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3053" w:rsidRDefault="00373053" w:rsidP="00373053">
      <w:pPr>
        <w:spacing w:after="0"/>
        <w:jc w:val="center"/>
        <w:rPr>
          <w:rFonts w:ascii="Arial" w:hAnsi="Arial" w:cs="Arial"/>
          <w:b/>
          <w:sz w:val="28"/>
        </w:rPr>
      </w:pPr>
      <w:r>
        <w:rPr>
          <w:rFonts w:ascii="Arial" w:hAnsi="Arial" w:cs="Arial"/>
          <w:b/>
          <w:sz w:val="28"/>
        </w:rPr>
        <w:t>Informe Anual de C</w:t>
      </w:r>
      <w:r w:rsidRPr="00373053">
        <w:rPr>
          <w:rFonts w:ascii="Arial" w:hAnsi="Arial" w:cs="Arial"/>
          <w:b/>
          <w:sz w:val="28"/>
        </w:rPr>
        <w:t>umplimiento</w:t>
      </w:r>
    </w:p>
    <w:p w:rsidR="00373053" w:rsidRPr="00373053" w:rsidRDefault="003E5DCC" w:rsidP="00373053">
      <w:pPr>
        <w:spacing w:after="0"/>
        <w:jc w:val="center"/>
        <w:rPr>
          <w:rFonts w:ascii="Arial" w:hAnsi="Arial" w:cs="Arial"/>
          <w:b/>
          <w:sz w:val="28"/>
        </w:rPr>
      </w:pPr>
      <w:proofErr w:type="gramStart"/>
      <w:r>
        <w:rPr>
          <w:rFonts w:ascii="Arial" w:hAnsi="Arial" w:cs="Arial"/>
          <w:b/>
          <w:sz w:val="28"/>
        </w:rPr>
        <w:t>de</w:t>
      </w:r>
      <w:r w:rsidR="00373053" w:rsidRPr="00373053">
        <w:rPr>
          <w:rFonts w:ascii="Arial" w:hAnsi="Arial" w:cs="Arial"/>
          <w:b/>
          <w:sz w:val="28"/>
        </w:rPr>
        <w:t>l</w:t>
      </w:r>
      <w:proofErr w:type="gramEnd"/>
      <w:r w:rsidR="00373053" w:rsidRPr="00373053">
        <w:rPr>
          <w:rFonts w:ascii="Arial" w:hAnsi="Arial" w:cs="Arial"/>
          <w:b/>
          <w:sz w:val="28"/>
        </w:rPr>
        <w:t xml:space="preserve"> Programa Anual de Desarrollo Archivístico 2025</w:t>
      </w:r>
    </w:p>
    <w:p w:rsidR="00373053" w:rsidRPr="00373053" w:rsidRDefault="00373053" w:rsidP="00373053">
      <w:pPr>
        <w:spacing w:before="240" w:after="0"/>
        <w:jc w:val="center"/>
        <w:rPr>
          <w:rFonts w:ascii="Arial" w:hAnsi="Arial" w:cs="Arial"/>
          <w:b/>
          <w:sz w:val="24"/>
          <w:szCs w:val="24"/>
        </w:rPr>
      </w:pPr>
      <w:r w:rsidRPr="00373053">
        <w:rPr>
          <w:rFonts w:ascii="Arial" w:hAnsi="Arial" w:cs="Arial"/>
          <w:b/>
          <w:sz w:val="24"/>
          <w:szCs w:val="24"/>
        </w:rPr>
        <w:t>Coordinación de Archivos</w:t>
      </w:r>
    </w:p>
    <w:p w:rsidR="005A1CCE" w:rsidRPr="00EC7CF6" w:rsidRDefault="005A1CCE" w:rsidP="00373053">
      <w:pPr>
        <w:spacing w:before="240" w:after="0"/>
        <w:jc w:val="both"/>
        <w:rPr>
          <w:rFonts w:ascii="Arial" w:hAnsi="Arial" w:cs="Arial"/>
          <w:sz w:val="24"/>
          <w:szCs w:val="24"/>
        </w:rPr>
      </w:pPr>
      <w:r w:rsidRPr="00EC7CF6">
        <w:rPr>
          <w:rFonts w:ascii="Arial" w:hAnsi="Arial" w:cs="Arial"/>
          <w:sz w:val="24"/>
          <w:szCs w:val="24"/>
        </w:rPr>
        <w:t>De conformidad con lo dispuesto en el Artículo 26 de la Ley de Archivos para el Estado de San Luis Potosí, se presenta el Informe anual de cumplimiento al Programa Anual de Desarrollo Archivístico 2025 de la Secretaría de Desarrollo Económico.</w:t>
      </w:r>
      <w:bookmarkStart w:id="0" w:name="_GoBack"/>
      <w:bookmarkEnd w:id="0"/>
    </w:p>
    <w:p w:rsidR="005A1CCE" w:rsidRPr="00EC7CF6" w:rsidRDefault="007027AF" w:rsidP="00373053">
      <w:pPr>
        <w:spacing w:before="240" w:after="0"/>
        <w:jc w:val="both"/>
        <w:rPr>
          <w:rFonts w:ascii="Arial" w:hAnsi="Arial" w:cs="Arial"/>
          <w:sz w:val="24"/>
          <w:szCs w:val="24"/>
        </w:rPr>
      </w:pPr>
      <w:r w:rsidRPr="00EC7CF6">
        <w:rPr>
          <w:rFonts w:ascii="Arial" w:hAnsi="Arial" w:cs="Arial"/>
          <w:sz w:val="24"/>
          <w:szCs w:val="24"/>
        </w:rPr>
        <w:t>Este informe se estructura en función de las actividades planeadas, señalando su ejecución y resultados alcanzados de acuerdo a los objetivos planteados.</w:t>
      </w:r>
    </w:p>
    <w:p w:rsidR="00373053" w:rsidRPr="00EC7CF6" w:rsidRDefault="00373053" w:rsidP="00373053">
      <w:pPr>
        <w:spacing w:before="240" w:after="0" w:line="240" w:lineRule="auto"/>
        <w:jc w:val="both"/>
        <w:rPr>
          <w:rFonts w:ascii="Arial" w:hAnsi="Arial" w:cs="Arial"/>
          <w:sz w:val="24"/>
          <w:szCs w:val="24"/>
        </w:rPr>
      </w:pPr>
      <w:r w:rsidRPr="00EC7CF6">
        <w:rPr>
          <w:rFonts w:ascii="Arial" w:hAnsi="Arial" w:cs="Arial"/>
          <w:sz w:val="24"/>
          <w:szCs w:val="24"/>
        </w:rPr>
        <w:t xml:space="preserve">  </w:t>
      </w:r>
    </w:p>
    <w:p w:rsidR="00373053" w:rsidRPr="00EC7CF6" w:rsidRDefault="00373053" w:rsidP="00373053">
      <w:pPr>
        <w:spacing w:line="360" w:lineRule="auto"/>
        <w:jc w:val="both"/>
        <w:rPr>
          <w:rFonts w:ascii="Arial" w:hAnsi="Arial" w:cs="Arial"/>
          <w:b/>
          <w:color w:val="5F497A" w:themeColor="accent4" w:themeShade="BF"/>
          <w:sz w:val="24"/>
          <w:szCs w:val="24"/>
        </w:rPr>
      </w:pPr>
      <w:r w:rsidRPr="00EC7CF6">
        <w:rPr>
          <w:rFonts w:ascii="Arial" w:hAnsi="Arial" w:cs="Arial"/>
          <w:b/>
          <w:color w:val="5F497A" w:themeColor="accent4" w:themeShade="BF"/>
          <w:sz w:val="24"/>
          <w:szCs w:val="24"/>
        </w:rPr>
        <w:t>AVANCE Y/O LOGROS ALCANZADOS</w:t>
      </w:r>
    </w:p>
    <w:p w:rsidR="00EC11A9" w:rsidRPr="00EC7CF6" w:rsidRDefault="00497031" w:rsidP="00373053">
      <w:pPr>
        <w:spacing w:before="240"/>
        <w:jc w:val="both"/>
        <w:rPr>
          <w:rFonts w:ascii="Arial" w:hAnsi="Arial" w:cs="Arial"/>
          <w:sz w:val="24"/>
          <w:szCs w:val="24"/>
        </w:rPr>
      </w:pPr>
      <w:r w:rsidRPr="00EC7CF6">
        <w:rPr>
          <w:rFonts w:ascii="Arial" w:hAnsi="Arial" w:cs="Arial"/>
          <w:sz w:val="24"/>
          <w:szCs w:val="24"/>
        </w:rPr>
        <w:t>Durante el año 2025 s</w:t>
      </w:r>
      <w:r w:rsidR="00373053" w:rsidRPr="00EC7CF6">
        <w:rPr>
          <w:rFonts w:ascii="Arial" w:hAnsi="Arial" w:cs="Arial"/>
          <w:sz w:val="24"/>
          <w:szCs w:val="24"/>
        </w:rPr>
        <w:t xml:space="preserve">e </w:t>
      </w:r>
      <w:r w:rsidR="007027AF" w:rsidRPr="00EC7CF6">
        <w:rPr>
          <w:rFonts w:ascii="Arial" w:hAnsi="Arial" w:cs="Arial"/>
          <w:sz w:val="24"/>
          <w:szCs w:val="24"/>
        </w:rPr>
        <w:t xml:space="preserve">trabajó </w:t>
      </w:r>
      <w:r w:rsidRPr="00EC7CF6">
        <w:rPr>
          <w:rFonts w:ascii="Arial" w:hAnsi="Arial" w:cs="Arial"/>
          <w:sz w:val="24"/>
          <w:szCs w:val="24"/>
        </w:rPr>
        <w:t>con</w:t>
      </w:r>
      <w:r w:rsidR="007027AF" w:rsidRPr="00EC7CF6">
        <w:rPr>
          <w:rFonts w:ascii="Arial" w:hAnsi="Arial" w:cs="Arial"/>
          <w:sz w:val="24"/>
          <w:szCs w:val="24"/>
        </w:rPr>
        <w:t xml:space="preserve"> el proyecto para la construcción del Ar</w:t>
      </w:r>
      <w:r w:rsidR="00EC11A9" w:rsidRPr="00EC7CF6">
        <w:rPr>
          <w:rFonts w:ascii="Arial" w:hAnsi="Arial" w:cs="Arial"/>
          <w:sz w:val="24"/>
          <w:szCs w:val="24"/>
        </w:rPr>
        <w:t xml:space="preserve">chivo de Concentración </w:t>
      </w:r>
      <w:r w:rsidRPr="00EC7CF6">
        <w:rPr>
          <w:rFonts w:ascii="Arial" w:hAnsi="Arial" w:cs="Arial"/>
          <w:sz w:val="24"/>
          <w:szCs w:val="24"/>
        </w:rPr>
        <w:t>logrando definirse</w:t>
      </w:r>
      <w:r w:rsidR="00EC11A9" w:rsidRPr="00EC7CF6">
        <w:rPr>
          <w:rFonts w:ascii="Arial" w:hAnsi="Arial" w:cs="Arial"/>
          <w:sz w:val="24"/>
          <w:szCs w:val="24"/>
        </w:rPr>
        <w:t xml:space="preserve"> el e</w:t>
      </w:r>
      <w:r w:rsidR="007027AF" w:rsidRPr="00EC7CF6">
        <w:rPr>
          <w:rFonts w:ascii="Arial" w:hAnsi="Arial" w:cs="Arial"/>
          <w:sz w:val="24"/>
          <w:szCs w:val="24"/>
        </w:rPr>
        <w:t xml:space="preserve">spacio donde estará ubicado, </w:t>
      </w:r>
      <w:r w:rsidRPr="00EC7CF6">
        <w:rPr>
          <w:rFonts w:ascii="Arial" w:hAnsi="Arial" w:cs="Arial"/>
          <w:sz w:val="24"/>
          <w:szCs w:val="24"/>
        </w:rPr>
        <w:t xml:space="preserve">el proceso de </w:t>
      </w:r>
      <w:r w:rsidR="00EC11A9" w:rsidRPr="00EC7CF6">
        <w:rPr>
          <w:rFonts w:ascii="Arial" w:hAnsi="Arial" w:cs="Arial"/>
          <w:sz w:val="24"/>
          <w:szCs w:val="24"/>
        </w:rPr>
        <w:t>su levantamie</w:t>
      </w:r>
      <w:r w:rsidR="007027AF" w:rsidRPr="00EC7CF6">
        <w:rPr>
          <w:rFonts w:ascii="Arial" w:hAnsi="Arial" w:cs="Arial"/>
          <w:sz w:val="24"/>
          <w:szCs w:val="24"/>
        </w:rPr>
        <w:t>n</w:t>
      </w:r>
      <w:r w:rsidR="00EC11A9" w:rsidRPr="00EC7CF6">
        <w:rPr>
          <w:rFonts w:ascii="Arial" w:hAnsi="Arial" w:cs="Arial"/>
          <w:sz w:val="24"/>
          <w:szCs w:val="24"/>
        </w:rPr>
        <w:t>t</w:t>
      </w:r>
      <w:r w:rsidR="007027AF" w:rsidRPr="00EC7CF6">
        <w:rPr>
          <w:rFonts w:ascii="Arial" w:hAnsi="Arial" w:cs="Arial"/>
          <w:sz w:val="24"/>
          <w:szCs w:val="24"/>
        </w:rPr>
        <w:t>o</w:t>
      </w:r>
      <w:r w:rsidR="00EC11A9" w:rsidRPr="00EC7CF6">
        <w:rPr>
          <w:rFonts w:ascii="Arial" w:hAnsi="Arial" w:cs="Arial"/>
          <w:sz w:val="24"/>
          <w:szCs w:val="24"/>
        </w:rPr>
        <w:t>, presupuesto,</w:t>
      </w:r>
      <w:r w:rsidRPr="00EC7CF6">
        <w:rPr>
          <w:rFonts w:ascii="Arial" w:hAnsi="Arial" w:cs="Arial"/>
          <w:sz w:val="24"/>
          <w:szCs w:val="24"/>
        </w:rPr>
        <w:t xml:space="preserve"> elaboración de</w:t>
      </w:r>
      <w:r w:rsidR="00EC11A9" w:rsidRPr="00EC7CF6">
        <w:rPr>
          <w:rFonts w:ascii="Arial" w:hAnsi="Arial" w:cs="Arial"/>
          <w:sz w:val="24"/>
          <w:szCs w:val="24"/>
        </w:rPr>
        <w:t xml:space="preserve"> expediente técnico, </w:t>
      </w:r>
      <w:r w:rsidRPr="00EC7CF6">
        <w:rPr>
          <w:rFonts w:ascii="Arial" w:hAnsi="Arial" w:cs="Arial"/>
          <w:sz w:val="24"/>
          <w:szCs w:val="24"/>
        </w:rPr>
        <w:t xml:space="preserve">firma de </w:t>
      </w:r>
      <w:r w:rsidR="00EC11A9" w:rsidRPr="00EC7CF6">
        <w:rPr>
          <w:rFonts w:ascii="Arial" w:hAnsi="Arial" w:cs="Arial"/>
          <w:sz w:val="24"/>
          <w:szCs w:val="24"/>
        </w:rPr>
        <w:t xml:space="preserve">Convenio de colaboración, acercamiento y trabajo en conjunto con </w:t>
      </w:r>
      <w:r w:rsidR="008E1D39" w:rsidRPr="00EC7CF6">
        <w:rPr>
          <w:rFonts w:ascii="Arial" w:hAnsi="Arial" w:cs="Arial"/>
          <w:sz w:val="24"/>
          <w:szCs w:val="24"/>
        </w:rPr>
        <w:t>la Secretaría de Desarrollo Urbano, Vivienda y Obras Públicas (</w:t>
      </w:r>
      <w:r w:rsidR="00EC11A9" w:rsidRPr="00EC7CF6">
        <w:rPr>
          <w:rFonts w:ascii="Arial" w:hAnsi="Arial" w:cs="Arial"/>
          <w:sz w:val="24"/>
          <w:szCs w:val="24"/>
        </w:rPr>
        <w:t>SEDUVOP</w:t>
      </w:r>
      <w:r w:rsidR="008E1D39" w:rsidRPr="00EC7CF6">
        <w:rPr>
          <w:rFonts w:ascii="Arial" w:hAnsi="Arial" w:cs="Arial"/>
          <w:sz w:val="24"/>
          <w:szCs w:val="24"/>
        </w:rPr>
        <w:t>)</w:t>
      </w:r>
      <w:r w:rsidR="00EC11A9" w:rsidRPr="00EC7CF6">
        <w:rPr>
          <w:rFonts w:ascii="Arial" w:hAnsi="Arial" w:cs="Arial"/>
          <w:sz w:val="24"/>
          <w:szCs w:val="24"/>
        </w:rPr>
        <w:t xml:space="preserve"> y</w:t>
      </w:r>
      <w:r w:rsidR="008E1D39" w:rsidRPr="00EC7CF6">
        <w:rPr>
          <w:rFonts w:ascii="Arial" w:hAnsi="Arial" w:cs="Arial"/>
          <w:sz w:val="24"/>
          <w:szCs w:val="24"/>
        </w:rPr>
        <w:t xml:space="preserve"> la Secretaría de</w:t>
      </w:r>
      <w:r w:rsidR="00EC11A9" w:rsidRPr="00EC7CF6">
        <w:rPr>
          <w:rFonts w:ascii="Arial" w:hAnsi="Arial" w:cs="Arial"/>
          <w:sz w:val="24"/>
          <w:szCs w:val="24"/>
        </w:rPr>
        <w:t xml:space="preserve"> Finanzas,</w:t>
      </w:r>
      <w:r w:rsidR="007027AF" w:rsidRPr="00EC7CF6">
        <w:rPr>
          <w:rFonts w:ascii="Arial" w:hAnsi="Arial" w:cs="Arial"/>
          <w:sz w:val="24"/>
          <w:szCs w:val="24"/>
        </w:rPr>
        <w:t xml:space="preserve"> quedando </w:t>
      </w:r>
      <w:r w:rsidR="00EC11A9" w:rsidRPr="00EC7CF6">
        <w:rPr>
          <w:rFonts w:ascii="Arial" w:hAnsi="Arial" w:cs="Arial"/>
          <w:sz w:val="24"/>
          <w:szCs w:val="24"/>
        </w:rPr>
        <w:t>listo a ejecutarse el recurso 2025 destinado para el inicio de la obra</w:t>
      </w:r>
      <w:r w:rsidRPr="00EC7CF6">
        <w:rPr>
          <w:rFonts w:ascii="Arial" w:hAnsi="Arial" w:cs="Arial"/>
          <w:sz w:val="24"/>
          <w:szCs w:val="24"/>
        </w:rPr>
        <w:t xml:space="preserve">, durante </w:t>
      </w:r>
      <w:r w:rsidR="00790AAC" w:rsidRPr="00EC7CF6">
        <w:rPr>
          <w:rFonts w:ascii="Arial" w:hAnsi="Arial" w:cs="Arial"/>
          <w:sz w:val="24"/>
          <w:szCs w:val="24"/>
        </w:rPr>
        <w:t>el primer tri</w:t>
      </w:r>
      <w:r w:rsidR="00A05B85" w:rsidRPr="00EC7CF6">
        <w:rPr>
          <w:rFonts w:ascii="Arial" w:hAnsi="Arial" w:cs="Arial"/>
          <w:sz w:val="24"/>
          <w:szCs w:val="24"/>
        </w:rPr>
        <w:t>mestre 2026</w:t>
      </w:r>
      <w:r w:rsidR="00EC11A9" w:rsidRPr="00EC7CF6">
        <w:rPr>
          <w:rFonts w:ascii="Arial" w:hAnsi="Arial" w:cs="Arial"/>
          <w:sz w:val="24"/>
          <w:szCs w:val="24"/>
        </w:rPr>
        <w:t>.</w:t>
      </w:r>
    </w:p>
    <w:p w:rsidR="003F211B" w:rsidRPr="00EC7CF6" w:rsidRDefault="00EC11A9" w:rsidP="003F211B">
      <w:pPr>
        <w:spacing w:before="240"/>
        <w:jc w:val="both"/>
        <w:rPr>
          <w:rFonts w:ascii="Arial" w:hAnsi="Arial" w:cs="Arial"/>
          <w:sz w:val="24"/>
          <w:szCs w:val="24"/>
        </w:rPr>
      </w:pPr>
      <w:r w:rsidRPr="00EC7CF6">
        <w:rPr>
          <w:rFonts w:ascii="Arial" w:hAnsi="Arial" w:cs="Arial"/>
          <w:sz w:val="24"/>
          <w:szCs w:val="24"/>
        </w:rPr>
        <w:t xml:space="preserve">Se </w:t>
      </w:r>
      <w:r w:rsidR="00497031" w:rsidRPr="00EC7CF6">
        <w:rPr>
          <w:rFonts w:ascii="Arial" w:hAnsi="Arial" w:cs="Arial"/>
          <w:sz w:val="24"/>
          <w:szCs w:val="24"/>
        </w:rPr>
        <w:t>atendieron</w:t>
      </w:r>
      <w:r w:rsidR="00790AAC" w:rsidRPr="00EC7CF6">
        <w:rPr>
          <w:rFonts w:ascii="Arial" w:hAnsi="Arial" w:cs="Arial"/>
          <w:sz w:val="24"/>
          <w:szCs w:val="24"/>
        </w:rPr>
        <w:t xml:space="preserve"> las correcciones </w:t>
      </w:r>
      <w:r w:rsidR="00497031" w:rsidRPr="00EC7CF6">
        <w:rPr>
          <w:rFonts w:ascii="Arial" w:hAnsi="Arial" w:cs="Arial"/>
          <w:sz w:val="24"/>
          <w:szCs w:val="24"/>
        </w:rPr>
        <w:t>que surgieron posterior al periodo de estabilización de</w:t>
      </w:r>
      <w:r w:rsidR="003F211B" w:rsidRPr="00EC7CF6">
        <w:rPr>
          <w:rFonts w:ascii="Arial" w:hAnsi="Arial" w:cs="Arial"/>
          <w:sz w:val="24"/>
          <w:szCs w:val="24"/>
        </w:rPr>
        <w:t xml:space="preserve"> la  base de datos</w:t>
      </w:r>
      <w:r w:rsidR="00497031" w:rsidRPr="00EC7CF6">
        <w:rPr>
          <w:rFonts w:ascii="Arial" w:hAnsi="Arial" w:cs="Arial"/>
          <w:sz w:val="24"/>
          <w:szCs w:val="24"/>
        </w:rPr>
        <w:t xml:space="preserve"> utilizada</w:t>
      </w:r>
      <w:r w:rsidR="003F211B" w:rsidRPr="00EC7CF6">
        <w:rPr>
          <w:rFonts w:ascii="Arial" w:hAnsi="Arial" w:cs="Arial"/>
          <w:sz w:val="24"/>
          <w:szCs w:val="24"/>
        </w:rPr>
        <w:t xml:space="preserve"> para la sistematización de los archivos</w:t>
      </w:r>
      <w:r w:rsidR="00497031" w:rsidRPr="00EC7CF6">
        <w:rPr>
          <w:rFonts w:ascii="Arial" w:hAnsi="Arial" w:cs="Arial"/>
          <w:sz w:val="24"/>
          <w:szCs w:val="24"/>
        </w:rPr>
        <w:t>, trabajando con cada uno de los responsables de Archivo de Trámite para la verificación y validación de sus inventarios</w:t>
      </w:r>
      <w:r w:rsidRPr="00EC7CF6">
        <w:rPr>
          <w:rFonts w:ascii="Arial" w:hAnsi="Arial" w:cs="Arial"/>
          <w:sz w:val="24"/>
          <w:szCs w:val="24"/>
        </w:rPr>
        <w:t xml:space="preserve">. </w:t>
      </w:r>
    </w:p>
    <w:p w:rsidR="003E5DCC" w:rsidRPr="00EC7CF6" w:rsidRDefault="00373053" w:rsidP="003F211B">
      <w:pPr>
        <w:spacing w:before="240"/>
        <w:jc w:val="both"/>
        <w:rPr>
          <w:rFonts w:ascii="Arial" w:hAnsi="Arial" w:cs="Arial"/>
          <w:sz w:val="24"/>
          <w:szCs w:val="24"/>
        </w:rPr>
      </w:pPr>
      <w:r w:rsidRPr="00EC7CF6">
        <w:rPr>
          <w:rFonts w:ascii="Arial" w:hAnsi="Arial" w:cs="Arial"/>
          <w:sz w:val="24"/>
          <w:szCs w:val="24"/>
        </w:rPr>
        <w:t xml:space="preserve">Se realizaron </w:t>
      </w:r>
      <w:r w:rsidR="003E5DCC" w:rsidRPr="00EC7CF6">
        <w:rPr>
          <w:rFonts w:ascii="Arial" w:hAnsi="Arial" w:cs="Arial"/>
          <w:sz w:val="24"/>
          <w:szCs w:val="24"/>
        </w:rPr>
        <w:t xml:space="preserve">transferencias primarias, el Grupo Interdisciplinario de Archivos sesionó </w:t>
      </w:r>
      <w:r w:rsidR="00377FC7" w:rsidRPr="00EC7CF6">
        <w:rPr>
          <w:rFonts w:ascii="Arial" w:hAnsi="Arial" w:cs="Arial"/>
          <w:sz w:val="24"/>
          <w:szCs w:val="24"/>
        </w:rPr>
        <w:t xml:space="preserve">de manera ordinaria </w:t>
      </w:r>
      <w:r w:rsidR="00671315" w:rsidRPr="00EC7CF6">
        <w:rPr>
          <w:rFonts w:ascii="Arial" w:hAnsi="Arial" w:cs="Arial"/>
          <w:sz w:val="24"/>
          <w:szCs w:val="24"/>
        </w:rPr>
        <w:t xml:space="preserve">conforme a lo previsto </w:t>
      </w:r>
      <w:r w:rsidR="003E5DCC" w:rsidRPr="00EC7CF6">
        <w:rPr>
          <w:rFonts w:ascii="Arial" w:hAnsi="Arial" w:cs="Arial"/>
          <w:sz w:val="24"/>
          <w:szCs w:val="24"/>
        </w:rPr>
        <w:t>y se atendió la capacitación debida a los servidores públicos de la Secretaría así como a todo el Sistema Institucional de Archivos.</w:t>
      </w:r>
    </w:p>
    <w:p w:rsidR="00373053" w:rsidRPr="00EC7CF6" w:rsidRDefault="003E0E63" w:rsidP="00373053">
      <w:pPr>
        <w:spacing w:before="240"/>
        <w:jc w:val="both"/>
        <w:rPr>
          <w:rFonts w:ascii="Arial" w:hAnsi="Arial" w:cs="Arial"/>
          <w:color w:val="000000" w:themeColor="text1"/>
          <w:sz w:val="24"/>
          <w:szCs w:val="24"/>
        </w:rPr>
      </w:pPr>
      <w:r w:rsidRPr="00EC7CF6">
        <w:rPr>
          <w:rFonts w:ascii="Arial" w:hAnsi="Arial" w:cs="Arial"/>
          <w:color w:val="000000" w:themeColor="text1"/>
          <w:sz w:val="24"/>
          <w:szCs w:val="24"/>
        </w:rPr>
        <w:t>En cuanto a lo</w:t>
      </w:r>
      <w:r w:rsidR="00EC33F4" w:rsidRPr="00EC7CF6">
        <w:rPr>
          <w:rFonts w:ascii="Arial" w:hAnsi="Arial" w:cs="Arial"/>
          <w:color w:val="000000" w:themeColor="text1"/>
          <w:sz w:val="24"/>
          <w:szCs w:val="24"/>
        </w:rPr>
        <w:t xml:space="preserve"> programado en el PADA 2025</w:t>
      </w:r>
      <w:r w:rsidR="00373053" w:rsidRPr="00EC7CF6">
        <w:rPr>
          <w:rFonts w:ascii="Arial" w:hAnsi="Arial" w:cs="Arial"/>
          <w:color w:val="000000" w:themeColor="text1"/>
          <w:sz w:val="24"/>
          <w:szCs w:val="24"/>
        </w:rPr>
        <w:t>:</w:t>
      </w:r>
    </w:p>
    <w:p w:rsidR="00373053" w:rsidRPr="00EC7CF6" w:rsidRDefault="00373053" w:rsidP="00373053">
      <w:pPr>
        <w:pStyle w:val="Default"/>
        <w:rPr>
          <w:color w:val="auto"/>
        </w:rPr>
      </w:pPr>
      <w:r w:rsidRPr="00EC7CF6">
        <w:rPr>
          <w:color w:val="auto"/>
        </w:rPr>
        <w:t xml:space="preserve">1. </w:t>
      </w:r>
      <w:r w:rsidRPr="00EC7CF6">
        <w:rPr>
          <w:color w:val="auto"/>
          <w:u w:val="single"/>
        </w:rPr>
        <w:t>Normativa Técnica</w:t>
      </w:r>
      <w:r w:rsidRPr="00EC7CF6">
        <w:rPr>
          <w:color w:val="auto"/>
        </w:rPr>
        <w:t>.</w:t>
      </w:r>
    </w:p>
    <w:p w:rsidR="00373053" w:rsidRPr="00EC7CF6" w:rsidRDefault="00373053" w:rsidP="00373053">
      <w:pPr>
        <w:pStyle w:val="Default"/>
        <w:rPr>
          <w:color w:val="auto"/>
        </w:rPr>
      </w:pPr>
    </w:p>
    <w:p w:rsidR="00373053" w:rsidRPr="00EC7CF6" w:rsidRDefault="007F54D1" w:rsidP="00373053">
      <w:pPr>
        <w:pStyle w:val="Default"/>
        <w:spacing w:line="276" w:lineRule="auto"/>
        <w:jc w:val="both"/>
        <w:rPr>
          <w:color w:val="auto"/>
        </w:rPr>
      </w:pPr>
      <w:r w:rsidRPr="00EC7CF6">
        <w:rPr>
          <w:color w:val="auto"/>
        </w:rPr>
        <w:t>Actualización del Manual de Procedimientos</w:t>
      </w:r>
      <w:r w:rsidR="00790AAC" w:rsidRPr="00EC7CF6">
        <w:rPr>
          <w:color w:val="auto"/>
        </w:rPr>
        <w:t xml:space="preserve"> de la Unidad de Transparencia y Coordinación de Archivos, aprobado por la Dirección de Orga</w:t>
      </w:r>
      <w:r w:rsidR="009225C6" w:rsidRPr="00EC7CF6">
        <w:rPr>
          <w:color w:val="auto"/>
        </w:rPr>
        <w:t>n</w:t>
      </w:r>
      <w:r w:rsidR="00790AAC" w:rsidRPr="00EC7CF6">
        <w:rPr>
          <w:color w:val="auto"/>
        </w:rPr>
        <w:t>ización y Métodos de Oficialía Mayor</w:t>
      </w:r>
      <w:r w:rsidR="00373053" w:rsidRPr="00EC7CF6">
        <w:rPr>
          <w:color w:val="auto"/>
        </w:rPr>
        <w:t xml:space="preserve"> </w:t>
      </w:r>
      <w:r w:rsidR="009225C6" w:rsidRPr="00EC7CF6">
        <w:rPr>
          <w:color w:val="auto"/>
        </w:rPr>
        <w:t>con fecha Julio 2025</w:t>
      </w:r>
      <w:r w:rsidR="00373053" w:rsidRPr="00EC7CF6">
        <w:rPr>
          <w:color w:val="auto"/>
        </w:rPr>
        <w:t>.</w:t>
      </w:r>
    </w:p>
    <w:p w:rsidR="00373053" w:rsidRPr="00EC7CF6" w:rsidRDefault="00373053" w:rsidP="00373053">
      <w:pPr>
        <w:pStyle w:val="Default"/>
        <w:jc w:val="both"/>
        <w:rPr>
          <w:color w:val="auto"/>
          <w:highlight w:val="yellow"/>
        </w:rPr>
      </w:pPr>
    </w:p>
    <w:p w:rsidR="00373053" w:rsidRPr="00EC7CF6" w:rsidRDefault="00373053" w:rsidP="00373053">
      <w:pPr>
        <w:pStyle w:val="Default"/>
        <w:jc w:val="both"/>
        <w:rPr>
          <w:color w:val="auto"/>
        </w:rPr>
      </w:pPr>
      <w:r w:rsidRPr="00EC7CF6">
        <w:rPr>
          <w:color w:val="auto"/>
        </w:rPr>
        <w:t xml:space="preserve">2. </w:t>
      </w:r>
      <w:r w:rsidRPr="00EC7CF6">
        <w:rPr>
          <w:color w:val="auto"/>
          <w:u w:val="single"/>
        </w:rPr>
        <w:t>Capacitación y desarrollo profesional del personal</w:t>
      </w:r>
      <w:r w:rsidRPr="00EC7CF6">
        <w:rPr>
          <w:color w:val="auto"/>
        </w:rPr>
        <w:t>.</w:t>
      </w:r>
    </w:p>
    <w:p w:rsidR="00373053" w:rsidRPr="00EC7CF6" w:rsidRDefault="00373053" w:rsidP="00373053">
      <w:pPr>
        <w:pStyle w:val="Default"/>
        <w:jc w:val="both"/>
        <w:rPr>
          <w:color w:val="auto"/>
          <w:highlight w:val="yellow"/>
        </w:rPr>
      </w:pPr>
    </w:p>
    <w:p w:rsidR="00373053" w:rsidRPr="00EC7CF6" w:rsidRDefault="009225C6" w:rsidP="00373053">
      <w:pPr>
        <w:pStyle w:val="Default"/>
        <w:spacing w:line="276" w:lineRule="auto"/>
        <w:jc w:val="both"/>
      </w:pPr>
      <w:r w:rsidRPr="00EC7CF6">
        <w:lastRenderedPageBreak/>
        <w:t>La Coordinación de Archivos capacitó a</w:t>
      </w:r>
      <w:r w:rsidR="003E0E63" w:rsidRPr="00EC7CF6">
        <w:t xml:space="preserve"> </w:t>
      </w:r>
      <w:r w:rsidRPr="00EC7CF6">
        <w:t>l</w:t>
      </w:r>
      <w:r w:rsidR="003E0E63" w:rsidRPr="00EC7CF6">
        <w:t>os servidores públicos de esta Secr</w:t>
      </w:r>
      <w:r w:rsidRPr="00EC7CF6">
        <w:t>etaría que genera o maneja expedientes con el tema “Sistema de Administración de Riesgos” en el cual se concientizó en los alcances de responsabilidad e infracciones</w:t>
      </w:r>
      <w:r w:rsidR="003E0E63" w:rsidRPr="00EC7CF6">
        <w:t xml:space="preserve"> previstas en la ley</w:t>
      </w:r>
      <w:r w:rsidRPr="00EC7CF6">
        <w:t xml:space="preserve">. </w:t>
      </w:r>
      <w:r w:rsidR="003E0E63" w:rsidRPr="00EC7CF6">
        <w:t>De igual manera,</w:t>
      </w:r>
      <w:r w:rsidRPr="00EC7CF6">
        <w:t xml:space="preserve"> la Coordinación de Archivos tomó diversas asesorías y cursos virtuales impartidos por el Archivo General de la Nación, entre ellos: Cumplimiento de la Ley General de Archivos y Normatividad en Materia de Archivos" y "Elaboración de la Guía de Archivo Documental".  Asimismo</w:t>
      </w:r>
      <w:r w:rsidR="003E0E63" w:rsidRPr="00EC7CF6">
        <w:t>, se</w:t>
      </w:r>
      <w:r w:rsidRPr="00EC7CF6">
        <w:t xml:space="preserve"> participó en los cursos impartidos por Oficialía Mayor del Estado en el “Taller de recomendaciones prácticas para la elaboración de los instrumentos de control archivístico"</w:t>
      </w:r>
      <w:r w:rsidR="003E0E63" w:rsidRPr="00EC7CF6">
        <w:t xml:space="preserve"> así como “</w:t>
      </w:r>
      <w:r w:rsidRPr="00EC7CF6">
        <w:t>Protección de datos personales, transparencia y archivo"</w:t>
      </w:r>
      <w:r w:rsidR="00377FC7" w:rsidRPr="00EC7CF6">
        <w:t>.</w:t>
      </w:r>
    </w:p>
    <w:p w:rsidR="003E0E63" w:rsidRPr="00EC7CF6" w:rsidRDefault="003E0E63" w:rsidP="00373053">
      <w:pPr>
        <w:pStyle w:val="Default"/>
        <w:spacing w:line="276" w:lineRule="auto"/>
        <w:jc w:val="both"/>
        <w:rPr>
          <w:color w:val="auto"/>
          <w:highlight w:val="yellow"/>
        </w:rPr>
      </w:pPr>
    </w:p>
    <w:p w:rsidR="00373053" w:rsidRPr="00EC7CF6" w:rsidRDefault="00373053" w:rsidP="00373053">
      <w:pPr>
        <w:pStyle w:val="Default"/>
        <w:spacing w:line="276" w:lineRule="auto"/>
        <w:jc w:val="both"/>
        <w:rPr>
          <w:color w:val="auto"/>
        </w:rPr>
      </w:pPr>
      <w:r w:rsidRPr="00EC7CF6">
        <w:rPr>
          <w:color w:val="auto"/>
        </w:rPr>
        <w:t xml:space="preserve">3. </w:t>
      </w:r>
      <w:r w:rsidRPr="00EC7CF6">
        <w:rPr>
          <w:color w:val="auto"/>
          <w:u w:val="single"/>
        </w:rPr>
        <w:t>Actualización de los instrumentos básicos de control archivístico</w:t>
      </w:r>
      <w:r w:rsidRPr="00EC7CF6">
        <w:rPr>
          <w:color w:val="auto"/>
        </w:rPr>
        <w:t>.</w:t>
      </w:r>
    </w:p>
    <w:p w:rsidR="00373053" w:rsidRPr="00EC7CF6" w:rsidRDefault="00373053" w:rsidP="00373053">
      <w:pPr>
        <w:pStyle w:val="Default"/>
        <w:spacing w:line="276" w:lineRule="auto"/>
        <w:jc w:val="both"/>
        <w:rPr>
          <w:color w:val="auto"/>
          <w:highlight w:val="yellow"/>
        </w:rPr>
      </w:pPr>
      <w:r w:rsidRPr="00EC7CF6">
        <w:rPr>
          <w:color w:val="auto"/>
          <w:highlight w:val="yellow"/>
        </w:rPr>
        <w:t xml:space="preserve"> </w:t>
      </w:r>
    </w:p>
    <w:p w:rsidR="00373053" w:rsidRPr="00EC7CF6" w:rsidRDefault="00373053" w:rsidP="00373053">
      <w:pPr>
        <w:spacing w:after="0"/>
        <w:jc w:val="both"/>
        <w:rPr>
          <w:rFonts w:ascii="Arial" w:hAnsi="Arial" w:cs="Arial"/>
          <w:sz w:val="24"/>
          <w:szCs w:val="24"/>
        </w:rPr>
      </w:pPr>
      <w:r w:rsidRPr="00EC7CF6">
        <w:rPr>
          <w:rFonts w:ascii="Arial" w:hAnsi="Arial" w:cs="Arial"/>
          <w:sz w:val="24"/>
          <w:szCs w:val="24"/>
        </w:rPr>
        <w:t>Durante el año 202</w:t>
      </w:r>
      <w:r w:rsidR="003E0E63" w:rsidRPr="00EC7CF6">
        <w:rPr>
          <w:rFonts w:ascii="Arial" w:hAnsi="Arial" w:cs="Arial"/>
          <w:sz w:val="24"/>
          <w:szCs w:val="24"/>
        </w:rPr>
        <w:t>5</w:t>
      </w:r>
      <w:r w:rsidRPr="00EC7CF6">
        <w:rPr>
          <w:rFonts w:ascii="Arial" w:hAnsi="Arial" w:cs="Arial"/>
          <w:sz w:val="24"/>
          <w:szCs w:val="24"/>
        </w:rPr>
        <w:t xml:space="preserve"> no se</w:t>
      </w:r>
      <w:r w:rsidR="00377FC7" w:rsidRPr="00EC7CF6">
        <w:rPr>
          <w:rFonts w:ascii="Arial" w:hAnsi="Arial" w:cs="Arial"/>
          <w:sz w:val="24"/>
          <w:szCs w:val="24"/>
        </w:rPr>
        <w:t xml:space="preserve"> realizaron actualizaciones de I</w:t>
      </w:r>
      <w:r w:rsidRPr="00EC7CF6">
        <w:rPr>
          <w:rFonts w:ascii="Arial" w:hAnsi="Arial" w:cs="Arial"/>
          <w:sz w:val="24"/>
          <w:szCs w:val="24"/>
        </w:rPr>
        <w:t>nstrumentos</w:t>
      </w:r>
      <w:r w:rsidR="003E0E63" w:rsidRPr="00EC7CF6">
        <w:rPr>
          <w:rFonts w:ascii="Arial" w:hAnsi="Arial" w:cs="Arial"/>
          <w:sz w:val="24"/>
          <w:szCs w:val="24"/>
        </w:rPr>
        <w:t xml:space="preserve"> de </w:t>
      </w:r>
      <w:r w:rsidR="00377FC7" w:rsidRPr="00EC7CF6">
        <w:rPr>
          <w:rFonts w:ascii="Arial" w:hAnsi="Arial" w:cs="Arial"/>
          <w:sz w:val="24"/>
          <w:szCs w:val="24"/>
        </w:rPr>
        <w:t>C</w:t>
      </w:r>
      <w:r w:rsidR="003E0E63" w:rsidRPr="00EC7CF6">
        <w:rPr>
          <w:rFonts w:ascii="Arial" w:hAnsi="Arial" w:cs="Arial"/>
          <w:sz w:val="24"/>
          <w:szCs w:val="24"/>
        </w:rPr>
        <w:t xml:space="preserve">ontrol </w:t>
      </w:r>
      <w:r w:rsidR="00377FC7" w:rsidRPr="00EC7CF6">
        <w:rPr>
          <w:rFonts w:ascii="Arial" w:hAnsi="Arial" w:cs="Arial"/>
          <w:sz w:val="24"/>
          <w:szCs w:val="24"/>
        </w:rPr>
        <w:t>A</w:t>
      </w:r>
      <w:r w:rsidR="003E0E63" w:rsidRPr="00EC7CF6">
        <w:rPr>
          <w:rFonts w:ascii="Arial" w:hAnsi="Arial" w:cs="Arial"/>
          <w:sz w:val="24"/>
          <w:szCs w:val="24"/>
        </w:rPr>
        <w:t>rchivísticos.  S</w:t>
      </w:r>
      <w:r w:rsidRPr="00EC7CF6">
        <w:rPr>
          <w:rFonts w:ascii="Arial" w:hAnsi="Arial" w:cs="Arial"/>
          <w:sz w:val="24"/>
          <w:szCs w:val="24"/>
        </w:rPr>
        <w:t>e mantiene la actualización mensual de los inventarios del Archivo de Trámite, del Archivo de Concentración y Transferencias Primarias, los cuales se reportan en las Plataformas de Transparencia.</w:t>
      </w:r>
    </w:p>
    <w:p w:rsidR="00373053" w:rsidRPr="00EC7CF6" w:rsidRDefault="00373053" w:rsidP="00373053">
      <w:pPr>
        <w:spacing w:after="0"/>
        <w:jc w:val="both"/>
        <w:rPr>
          <w:rFonts w:ascii="Arial" w:hAnsi="Arial" w:cs="Arial"/>
          <w:sz w:val="24"/>
          <w:szCs w:val="24"/>
          <w:highlight w:val="yellow"/>
        </w:rPr>
      </w:pPr>
    </w:p>
    <w:p w:rsidR="00373053" w:rsidRPr="00EC7CF6" w:rsidRDefault="00373053" w:rsidP="00373053">
      <w:pPr>
        <w:pStyle w:val="Default"/>
        <w:spacing w:line="276" w:lineRule="auto"/>
        <w:jc w:val="both"/>
        <w:rPr>
          <w:color w:val="auto"/>
        </w:rPr>
      </w:pPr>
      <w:r w:rsidRPr="00EC7CF6">
        <w:rPr>
          <w:color w:val="auto"/>
        </w:rPr>
        <w:t xml:space="preserve">4.  </w:t>
      </w:r>
      <w:r w:rsidRPr="00EC7CF6">
        <w:rPr>
          <w:color w:val="auto"/>
          <w:u w:val="single"/>
        </w:rPr>
        <w:t>Acciones de organización y conservación de la información archivística</w:t>
      </w:r>
      <w:r w:rsidRPr="00EC7CF6">
        <w:rPr>
          <w:color w:val="auto"/>
        </w:rPr>
        <w:t xml:space="preserve">. </w:t>
      </w:r>
    </w:p>
    <w:p w:rsidR="00373053" w:rsidRPr="00EC7CF6" w:rsidRDefault="00373053" w:rsidP="00373053">
      <w:pPr>
        <w:pStyle w:val="Default"/>
        <w:spacing w:line="276" w:lineRule="auto"/>
        <w:jc w:val="both"/>
        <w:rPr>
          <w:color w:val="auto"/>
          <w:highlight w:val="yellow"/>
          <w:u w:val="single"/>
        </w:rPr>
      </w:pPr>
    </w:p>
    <w:p w:rsidR="00863780" w:rsidRPr="00EC7CF6" w:rsidRDefault="00863780" w:rsidP="00373053">
      <w:pPr>
        <w:pStyle w:val="Default"/>
        <w:spacing w:line="276" w:lineRule="auto"/>
        <w:jc w:val="both"/>
        <w:rPr>
          <w:color w:val="auto"/>
        </w:rPr>
      </w:pPr>
      <w:r w:rsidRPr="00EC7CF6">
        <w:rPr>
          <w:color w:val="auto"/>
        </w:rPr>
        <w:t>La Coordinación de Archivos apoyó al personal encargado de la serie del REAI (Registro Estatal de Agentes Inmobiliarios) durante el mes de diciembre 2025 en la organización, depuración y registro de expedientes considerando un avance del 60% del proceso archivístico, el 40% restante es el foliado, cocido y las transferencias al archivo de concentración de aquellos expedientes que ya se cerraron y cumplieron su vigencia en el archivo de trámite.</w:t>
      </w:r>
    </w:p>
    <w:p w:rsidR="00863780" w:rsidRPr="00EC7CF6" w:rsidRDefault="008E1D39" w:rsidP="00373053">
      <w:pPr>
        <w:pStyle w:val="Default"/>
        <w:spacing w:line="276" w:lineRule="auto"/>
        <w:jc w:val="both"/>
        <w:rPr>
          <w:color w:val="auto"/>
        </w:rPr>
      </w:pPr>
      <w:r w:rsidRPr="00EC7CF6">
        <w:rPr>
          <w:color w:val="auto"/>
        </w:rPr>
        <w:t>Se realizaron transferencias primarias de once de las doce Unidades Administrativas de la Secretaría de Desarrollo Económico</w:t>
      </w:r>
      <w:r w:rsidR="00EC7CF6" w:rsidRPr="00EC7CF6">
        <w:rPr>
          <w:color w:val="auto"/>
        </w:rPr>
        <w:t xml:space="preserve">. </w:t>
      </w:r>
      <w:r w:rsidR="00863780" w:rsidRPr="00EC7CF6">
        <w:rPr>
          <w:color w:val="auto"/>
        </w:rPr>
        <w:t>Asimismo, se apoyó a la Dirección Administrativa</w:t>
      </w:r>
      <w:r w:rsidR="00362BA3" w:rsidRPr="00EC7CF6">
        <w:rPr>
          <w:color w:val="auto"/>
        </w:rPr>
        <w:t xml:space="preserve"> con su proceso archivístico de la serie </w:t>
      </w:r>
      <w:r w:rsidR="00377FC7" w:rsidRPr="00EC7CF6">
        <w:rPr>
          <w:color w:val="auto"/>
        </w:rPr>
        <w:t xml:space="preserve">de Servicios Generales. </w:t>
      </w:r>
    </w:p>
    <w:p w:rsidR="00373053" w:rsidRPr="00EC7CF6" w:rsidRDefault="00373053" w:rsidP="00373053">
      <w:pPr>
        <w:spacing w:after="0"/>
        <w:jc w:val="both"/>
        <w:rPr>
          <w:sz w:val="24"/>
          <w:szCs w:val="24"/>
          <w:highlight w:val="yellow"/>
        </w:rPr>
      </w:pPr>
      <w:r w:rsidRPr="00EC7CF6">
        <w:rPr>
          <w:rFonts w:ascii="Arial" w:hAnsi="Arial" w:cs="Arial"/>
          <w:sz w:val="24"/>
          <w:szCs w:val="24"/>
          <w:highlight w:val="yellow"/>
        </w:rPr>
        <w:t xml:space="preserve"> </w:t>
      </w:r>
    </w:p>
    <w:p w:rsidR="00373053" w:rsidRPr="00EC7CF6" w:rsidRDefault="00373053" w:rsidP="00373053">
      <w:pPr>
        <w:pStyle w:val="Default"/>
        <w:jc w:val="both"/>
        <w:rPr>
          <w:color w:val="auto"/>
        </w:rPr>
      </w:pPr>
      <w:r w:rsidRPr="00EC7CF6">
        <w:rPr>
          <w:color w:val="auto"/>
        </w:rPr>
        <w:t xml:space="preserve">5.  </w:t>
      </w:r>
      <w:r w:rsidRPr="00EC7CF6">
        <w:rPr>
          <w:color w:val="auto"/>
          <w:u w:val="single"/>
        </w:rPr>
        <w:t>Acciones para la incorporación de tecnologías en los archivos</w:t>
      </w:r>
      <w:r w:rsidRPr="00EC7CF6">
        <w:rPr>
          <w:color w:val="auto"/>
        </w:rPr>
        <w:t xml:space="preserve">. </w:t>
      </w:r>
    </w:p>
    <w:p w:rsidR="00373053" w:rsidRPr="00EC7CF6" w:rsidRDefault="00373053" w:rsidP="00373053">
      <w:pPr>
        <w:pStyle w:val="Default"/>
        <w:spacing w:line="276" w:lineRule="auto"/>
        <w:jc w:val="both"/>
        <w:rPr>
          <w:color w:val="auto"/>
          <w:highlight w:val="yellow"/>
        </w:rPr>
      </w:pPr>
    </w:p>
    <w:p w:rsidR="00362BA3" w:rsidRPr="00EC7CF6" w:rsidRDefault="00362BA3" w:rsidP="00373053">
      <w:pPr>
        <w:pStyle w:val="Default"/>
        <w:spacing w:line="276" w:lineRule="auto"/>
        <w:jc w:val="both"/>
        <w:rPr>
          <w:color w:val="auto"/>
        </w:rPr>
      </w:pPr>
      <w:r w:rsidRPr="00EC7CF6">
        <w:rPr>
          <w:color w:val="auto"/>
        </w:rPr>
        <w:t>Al cierre de año ya se cuenta con un perfil para la subdirección de informática debidamente validado por la Unidad de Sistemas e Informática (USI) quien es la autoridad para revisar y validar los perfiles.  El proceso será nuevamente revisado y definido una vez que esté abierto el presupuesto 2026.</w:t>
      </w:r>
    </w:p>
    <w:p w:rsidR="00362BA3" w:rsidRPr="00EC7CF6" w:rsidRDefault="00362BA3" w:rsidP="00373053">
      <w:pPr>
        <w:pStyle w:val="Default"/>
        <w:spacing w:line="276" w:lineRule="auto"/>
        <w:jc w:val="both"/>
        <w:rPr>
          <w:color w:val="auto"/>
        </w:rPr>
      </w:pPr>
      <w:r w:rsidRPr="00EC7CF6">
        <w:rPr>
          <w:color w:val="auto"/>
        </w:rPr>
        <w:t>Por otro lado, se sigue trabajando con la base de datos generada para la sistematización de los archivos, en tanto no se cuente con un responsable técnico informático que pueda desarrollar un sistema más completo o bien, mientras no se pueda contar con  el Sistema de Administración de Gestión de Archivos del Archivo General de la Nación.</w:t>
      </w:r>
    </w:p>
    <w:p w:rsidR="00362BA3" w:rsidRPr="00EC7CF6" w:rsidRDefault="00362BA3" w:rsidP="00373053">
      <w:pPr>
        <w:pStyle w:val="Default"/>
        <w:spacing w:line="276" w:lineRule="auto"/>
        <w:jc w:val="both"/>
        <w:rPr>
          <w:color w:val="auto"/>
          <w:highlight w:val="yellow"/>
        </w:rPr>
      </w:pPr>
    </w:p>
    <w:p w:rsidR="00373053" w:rsidRPr="00EC7CF6" w:rsidRDefault="00373053" w:rsidP="00373053">
      <w:pPr>
        <w:autoSpaceDE w:val="0"/>
        <w:autoSpaceDN w:val="0"/>
        <w:adjustRightInd w:val="0"/>
        <w:spacing w:after="0" w:line="240" w:lineRule="auto"/>
        <w:jc w:val="both"/>
        <w:rPr>
          <w:rFonts w:ascii="Arial" w:hAnsi="Arial" w:cs="Arial"/>
          <w:sz w:val="24"/>
          <w:szCs w:val="24"/>
        </w:rPr>
      </w:pPr>
      <w:r w:rsidRPr="00EC7CF6">
        <w:rPr>
          <w:rFonts w:ascii="Arial" w:hAnsi="Arial" w:cs="Arial"/>
          <w:sz w:val="24"/>
          <w:szCs w:val="24"/>
        </w:rPr>
        <w:lastRenderedPageBreak/>
        <w:t xml:space="preserve">6.  </w:t>
      </w:r>
      <w:r w:rsidRPr="00EC7CF6">
        <w:rPr>
          <w:rFonts w:ascii="Arial" w:hAnsi="Arial" w:cs="Arial"/>
          <w:sz w:val="24"/>
          <w:szCs w:val="24"/>
          <w:u w:val="single"/>
        </w:rPr>
        <w:t>Instalación y acondicionamiento del  Archivo de Concentración</w:t>
      </w:r>
      <w:r w:rsidRPr="00EC7CF6">
        <w:rPr>
          <w:rFonts w:ascii="Arial" w:hAnsi="Arial" w:cs="Arial"/>
          <w:sz w:val="24"/>
          <w:szCs w:val="24"/>
        </w:rPr>
        <w:t>.</w:t>
      </w:r>
    </w:p>
    <w:p w:rsidR="00373053" w:rsidRPr="00EC7CF6" w:rsidRDefault="00373053" w:rsidP="00373053">
      <w:pPr>
        <w:autoSpaceDE w:val="0"/>
        <w:autoSpaceDN w:val="0"/>
        <w:adjustRightInd w:val="0"/>
        <w:spacing w:after="0" w:line="240" w:lineRule="auto"/>
        <w:jc w:val="both"/>
        <w:rPr>
          <w:rFonts w:ascii="Arial" w:hAnsi="Arial" w:cs="Arial"/>
          <w:sz w:val="24"/>
          <w:szCs w:val="24"/>
          <w:highlight w:val="yellow"/>
        </w:rPr>
      </w:pPr>
    </w:p>
    <w:p w:rsidR="00671315" w:rsidRPr="00EC7CF6" w:rsidRDefault="00671315" w:rsidP="00373053">
      <w:pPr>
        <w:autoSpaceDE w:val="0"/>
        <w:autoSpaceDN w:val="0"/>
        <w:adjustRightInd w:val="0"/>
        <w:spacing w:after="0" w:line="240" w:lineRule="auto"/>
        <w:jc w:val="both"/>
        <w:rPr>
          <w:rFonts w:ascii="Arial" w:hAnsi="Arial" w:cs="Arial"/>
          <w:sz w:val="24"/>
          <w:szCs w:val="24"/>
        </w:rPr>
      </w:pPr>
      <w:r w:rsidRPr="00EC7CF6">
        <w:rPr>
          <w:rFonts w:ascii="Arial" w:hAnsi="Arial" w:cs="Arial"/>
          <w:sz w:val="24"/>
          <w:szCs w:val="24"/>
        </w:rPr>
        <w:t>Se cuenta con expediente técnico y autorización para comenzar la obra de la primera etapa del Archivo de Concentración en las instalaciones del Centro de Negocios Potosí. La segunda etapa se iniciará una vez esté abierto el presupuesto 2026.</w:t>
      </w:r>
    </w:p>
    <w:p w:rsidR="00671315" w:rsidRPr="00EC7CF6" w:rsidRDefault="00671315" w:rsidP="00373053">
      <w:pPr>
        <w:autoSpaceDE w:val="0"/>
        <w:autoSpaceDN w:val="0"/>
        <w:adjustRightInd w:val="0"/>
        <w:spacing w:after="0" w:line="240" w:lineRule="auto"/>
        <w:jc w:val="both"/>
        <w:rPr>
          <w:rFonts w:ascii="Arial" w:hAnsi="Arial" w:cs="Arial"/>
          <w:sz w:val="24"/>
          <w:szCs w:val="24"/>
          <w:highlight w:val="yellow"/>
        </w:rPr>
      </w:pPr>
    </w:p>
    <w:p w:rsidR="00373053" w:rsidRPr="00EC7CF6" w:rsidRDefault="00373053" w:rsidP="00373053">
      <w:pPr>
        <w:autoSpaceDE w:val="0"/>
        <w:autoSpaceDN w:val="0"/>
        <w:adjustRightInd w:val="0"/>
        <w:spacing w:after="0" w:line="240" w:lineRule="auto"/>
        <w:ind w:left="284" w:hanging="284"/>
        <w:rPr>
          <w:rFonts w:ascii="Arial" w:hAnsi="Arial" w:cs="Arial"/>
          <w:sz w:val="24"/>
          <w:szCs w:val="24"/>
        </w:rPr>
      </w:pPr>
      <w:r w:rsidRPr="00EC7CF6">
        <w:rPr>
          <w:rFonts w:ascii="Arial" w:hAnsi="Arial" w:cs="Arial"/>
          <w:sz w:val="24"/>
          <w:szCs w:val="24"/>
        </w:rPr>
        <w:t xml:space="preserve">7.  </w:t>
      </w:r>
      <w:r w:rsidRPr="00EC7CF6">
        <w:rPr>
          <w:rFonts w:ascii="Arial" w:hAnsi="Arial" w:cs="Arial"/>
          <w:sz w:val="24"/>
          <w:szCs w:val="24"/>
          <w:u w:val="single"/>
        </w:rPr>
        <w:t>Acciones de difusión y divulgación archivística para el fomento de una nueva cultura institucional</w:t>
      </w:r>
      <w:r w:rsidRPr="00EC7CF6">
        <w:rPr>
          <w:rFonts w:ascii="Arial" w:hAnsi="Arial" w:cs="Arial"/>
          <w:sz w:val="24"/>
          <w:szCs w:val="24"/>
        </w:rPr>
        <w:t>.</w:t>
      </w:r>
    </w:p>
    <w:p w:rsidR="00373053" w:rsidRPr="00EC7CF6" w:rsidRDefault="00373053" w:rsidP="00373053">
      <w:pPr>
        <w:autoSpaceDE w:val="0"/>
        <w:autoSpaceDN w:val="0"/>
        <w:adjustRightInd w:val="0"/>
        <w:spacing w:after="0" w:line="240" w:lineRule="auto"/>
        <w:rPr>
          <w:rFonts w:ascii="Arial" w:hAnsi="Arial" w:cs="Arial"/>
          <w:sz w:val="24"/>
          <w:szCs w:val="24"/>
        </w:rPr>
      </w:pPr>
    </w:p>
    <w:p w:rsidR="00373053" w:rsidRPr="00EC7CF6" w:rsidRDefault="00671315" w:rsidP="00373053">
      <w:pPr>
        <w:autoSpaceDE w:val="0"/>
        <w:autoSpaceDN w:val="0"/>
        <w:adjustRightInd w:val="0"/>
        <w:spacing w:after="0"/>
        <w:jc w:val="both"/>
        <w:rPr>
          <w:rFonts w:ascii="Arial" w:hAnsi="Arial" w:cs="Arial"/>
          <w:sz w:val="24"/>
          <w:szCs w:val="24"/>
        </w:rPr>
      </w:pPr>
      <w:r w:rsidRPr="00EC7CF6">
        <w:rPr>
          <w:rFonts w:ascii="Arial" w:hAnsi="Arial" w:cs="Arial"/>
          <w:sz w:val="24"/>
          <w:szCs w:val="24"/>
        </w:rPr>
        <w:t>Mensualmente se cumple</w:t>
      </w:r>
      <w:r w:rsidR="00373053" w:rsidRPr="00EC7CF6">
        <w:rPr>
          <w:rFonts w:ascii="Arial" w:hAnsi="Arial" w:cs="Arial"/>
          <w:sz w:val="24"/>
          <w:szCs w:val="24"/>
        </w:rPr>
        <w:t xml:space="preserve"> con la publicación</w:t>
      </w:r>
      <w:r w:rsidRPr="00EC7CF6">
        <w:rPr>
          <w:rFonts w:ascii="Arial" w:hAnsi="Arial" w:cs="Arial"/>
          <w:sz w:val="24"/>
          <w:szCs w:val="24"/>
        </w:rPr>
        <w:t xml:space="preserve"> de </w:t>
      </w:r>
      <w:r w:rsidR="00373053" w:rsidRPr="00EC7CF6">
        <w:rPr>
          <w:rFonts w:ascii="Arial" w:hAnsi="Arial" w:cs="Arial"/>
          <w:sz w:val="24"/>
          <w:szCs w:val="24"/>
        </w:rPr>
        <w:t>los Instrumentos Archivísticos, Programa An</w:t>
      </w:r>
      <w:r w:rsidR="008E1D39" w:rsidRPr="00EC7CF6">
        <w:rPr>
          <w:rFonts w:ascii="Arial" w:hAnsi="Arial" w:cs="Arial"/>
          <w:sz w:val="24"/>
          <w:szCs w:val="24"/>
        </w:rPr>
        <w:t>ual de Desarrollo Archivístico, Informe Anual de Cumplimiento e</w:t>
      </w:r>
      <w:r w:rsidR="00373053" w:rsidRPr="00EC7CF6">
        <w:rPr>
          <w:rFonts w:ascii="Arial" w:hAnsi="Arial" w:cs="Arial"/>
          <w:sz w:val="24"/>
          <w:szCs w:val="24"/>
        </w:rPr>
        <w:t xml:space="preserve"> Inventarios Documentales, </w:t>
      </w:r>
      <w:r w:rsidRPr="00EC7CF6">
        <w:rPr>
          <w:rFonts w:ascii="Arial" w:hAnsi="Arial" w:cs="Arial"/>
          <w:sz w:val="24"/>
          <w:szCs w:val="24"/>
        </w:rPr>
        <w:t>en la Plataforma Estatal y Nacional de Transparencia, atendiendo lo dispuesto en el</w:t>
      </w:r>
      <w:r w:rsidR="00373053" w:rsidRPr="00EC7CF6">
        <w:rPr>
          <w:rFonts w:ascii="Arial" w:hAnsi="Arial" w:cs="Arial"/>
          <w:sz w:val="24"/>
          <w:szCs w:val="24"/>
        </w:rPr>
        <w:t xml:space="preserve"> artículo 84 fracción I de la Ley de Transparencia y Acceso a la Información Púb</w:t>
      </w:r>
      <w:r w:rsidRPr="00EC7CF6">
        <w:rPr>
          <w:rFonts w:ascii="Arial" w:hAnsi="Arial" w:cs="Arial"/>
          <w:sz w:val="24"/>
          <w:szCs w:val="24"/>
        </w:rPr>
        <w:t>lica del Estado.  Así como la publicación del Programa anual e Informe anual en la página institucional</w:t>
      </w:r>
      <w:r w:rsidR="00426AAD" w:rsidRPr="00EC7CF6">
        <w:rPr>
          <w:rFonts w:ascii="Arial" w:hAnsi="Arial" w:cs="Arial"/>
          <w:sz w:val="24"/>
          <w:szCs w:val="24"/>
        </w:rPr>
        <w:t xml:space="preserve"> (</w:t>
      </w:r>
      <w:hyperlink r:id="rId8" w:history="1">
        <w:r w:rsidR="00426AAD" w:rsidRPr="00EC7CF6">
          <w:rPr>
            <w:rStyle w:val="Hipervnculo"/>
            <w:rFonts w:ascii="Arial" w:hAnsi="Arial" w:cs="Arial"/>
            <w:sz w:val="24"/>
            <w:szCs w:val="24"/>
          </w:rPr>
          <w:t>https://sedeco.slp.gob.mx/</w:t>
        </w:r>
      </w:hyperlink>
      <w:r w:rsidR="00426AAD" w:rsidRPr="00EC7CF6">
        <w:rPr>
          <w:rFonts w:ascii="Arial" w:hAnsi="Arial" w:cs="Arial"/>
          <w:sz w:val="24"/>
          <w:szCs w:val="24"/>
        </w:rPr>
        <w:t>)</w:t>
      </w:r>
      <w:r w:rsidRPr="00EC7CF6">
        <w:rPr>
          <w:rFonts w:ascii="Arial" w:hAnsi="Arial" w:cs="Arial"/>
          <w:sz w:val="24"/>
          <w:szCs w:val="24"/>
        </w:rPr>
        <w:t xml:space="preserve">, como lo señalan los Artículos 23 y 26 </w:t>
      </w:r>
      <w:r w:rsidR="00377FC7" w:rsidRPr="00EC7CF6">
        <w:rPr>
          <w:rFonts w:ascii="Arial" w:hAnsi="Arial" w:cs="Arial"/>
          <w:sz w:val="24"/>
          <w:szCs w:val="24"/>
        </w:rPr>
        <w:t>respectivamente de la Ley de Archivos para el E</w:t>
      </w:r>
      <w:r w:rsidRPr="00EC7CF6">
        <w:rPr>
          <w:rFonts w:ascii="Arial" w:hAnsi="Arial" w:cs="Arial"/>
          <w:sz w:val="24"/>
          <w:szCs w:val="24"/>
        </w:rPr>
        <w:t xml:space="preserve">stado de San Luis Potosí.  </w:t>
      </w:r>
    </w:p>
    <w:p w:rsidR="00373053" w:rsidRPr="00EC7CF6" w:rsidRDefault="00373053" w:rsidP="00373053">
      <w:pPr>
        <w:autoSpaceDE w:val="0"/>
        <w:autoSpaceDN w:val="0"/>
        <w:adjustRightInd w:val="0"/>
        <w:spacing w:after="0"/>
        <w:jc w:val="both"/>
        <w:rPr>
          <w:rFonts w:ascii="Arial" w:hAnsi="Arial" w:cs="Arial"/>
          <w:sz w:val="24"/>
          <w:szCs w:val="24"/>
          <w:highlight w:val="yellow"/>
        </w:rPr>
      </w:pPr>
    </w:p>
    <w:p w:rsidR="00373053" w:rsidRPr="00EC7CF6" w:rsidRDefault="00373053" w:rsidP="00373053">
      <w:pPr>
        <w:jc w:val="both"/>
        <w:rPr>
          <w:rFonts w:ascii="Arial" w:hAnsi="Arial" w:cs="Arial"/>
          <w:b/>
          <w:color w:val="5F497A" w:themeColor="accent4" w:themeShade="BF"/>
          <w:sz w:val="24"/>
          <w:szCs w:val="24"/>
        </w:rPr>
      </w:pPr>
      <w:r w:rsidRPr="00EC7CF6">
        <w:rPr>
          <w:rFonts w:ascii="Arial" w:hAnsi="Arial" w:cs="Arial"/>
          <w:b/>
          <w:color w:val="5F497A" w:themeColor="accent4" w:themeShade="BF"/>
          <w:sz w:val="24"/>
          <w:szCs w:val="24"/>
        </w:rPr>
        <w:t>ADMINISTRACIÓN DE RIESGOS</w:t>
      </w:r>
    </w:p>
    <w:p w:rsidR="00373053" w:rsidRPr="00EC7CF6" w:rsidRDefault="00377FC7" w:rsidP="00373053">
      <w:pPr>
        <w:spacing w:before="240"/>
        <w:jc w:val="both"/>
        <w:rPr>
          <w:rFonts w:ascii="Arial" w:hAnsi="Arial" w:cs="Arial"/>
          <w:sz w:val="24"/>
          <w:szCs w:val="24"/>
        </w:rPr>
      </w:pPr>
      <w:r w:rsidRPr="00EC7CF6">
        <w:rPr>
          <w:rFonts w:ascii="Arial" w:hAnsi="Arial" w:cs="Arial"/>
          <w:sz w:val="24"/>
          <w:szCs w:val="24"/>
        </w:rPr>
        <w:t>Se trabajó de manera regular, sin incidentes, pudiendo realizarse los registros de expedientes, transferencias y digitalización de información.  Si bien alguna estantería no es la óptima para el resguardo de los expedientes, se mantiene el monitoreo del área común del archivo de trámite de manera permanente, así como limpieza y fumigación por parte del área administrativa para evitar el deterioro.</w:t>
      </w:r>
    </w:p>
    <w:sectPr w:rsidR="00373053" w:rsidRPr="00EC7CF6" w:rsidSect="00F61FF4">
      <w:headerReference w:type="default" r:id="rId9"/>
      <w:pgSz w:w="12240" w:h="15840"/>
      <w:pgMar w:top="1417" w:right="1701"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653A" w:rsidRDefault="00C2653A" w:rsidP="00F61FF4">
      <w:pPr>
        <w:spacing w:after="0" w:line="240" w:lineRule="auto"/>
      </w:pPr>
      <w:r>
        <w:separator/>
      </w:r>
    </w:p>
  </w:endnote>
  <w:endnote w:type="continuationSeparator" w:id="0">
    <w:p w:rsidR="00C2653A" w:rsidRDefault="00C2653A" w:rsidP="00F61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653A" w:rsidRDefault="00C2653A" w:rsidP="00F61FF4">
      <w:pPr>
        <w:spacing w:after="0" w:line="240" w:lineRule="auto"/>
      </w:pPr>
      <w:r>
        <w:separator/>
      </w:r>
    </w:p>
  </w:footnote>
  <w:footnote w:type="continuationSeparator" w:id="0">
    <w:p w:rsidR="00C2653A" w:rsidRDefault="00C2653A" w:rsidP="00F61F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7DE" w:rsidRDefault="006F1557" w:rsidP="006F1557">
    <w:pPr>
      <w:pStyle w:val="Encabezado"/>
      <w:ind w:left="537" w:firstLine="4419"/>
    </w:pPr>
    <w:r w:rsidRPr="007A7685">
      <w:rPr>
        <w:noProof/>
        <w:sz w:val="28"/>
        <w:szCs w:val="28"/>
        <w:lang w:eastAsia="es-MX"/>
      </w:rPr>
      <w:drawing>
        <wp:anchor distT="0" distB="0" distL="114300" distR="114300" simplePos="0" relativeHeight="251661312" behindDoc="0" locked="0" layoutInCell="1" allowOverlap="1" wp14:anchorId="3ABFBD8C" wp14:editId="68D78617">
          <wp:simplePos x="0" y="0"/>
          <wp:positionH relativeFrom="column">
            <wp:posOffset>3390265</wp:posOffset>
          </wp:positionH>
          <wp:positionV relativeFrom="paragraph">
            <wp:posOffset>-325755</wp:posOffset>
          </wp:positionV>
          <wp:extent cx="2930525" cy="666750"/>
          <wp:effectExtent l="0" t="0" r="3175" b="0"/>
          <wp:wrapThrough wrapText="bothSides">
            <wp:wrapPolygon edited="0">
              <wp:start x="0" y="0"/>
              <wp:lineTo x="0" y="20983"/>
              <wp:lineTo x="21483" y="20983"/>
              <wp:lineTo x="21483"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2128" t="4059" r="8356" b="15214"/>
                  <a:stretch/>
                </pic:blipFill>
                <pic:spPr bwMode="auto">
                  <a:xfrm>
                    <a:off x="0" y="0"/>
                    <a:ext cx="2930525" cy="666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970DB">
      <w:rPr>
        <w:noProof/>
        <w:lang w:eastAsia="es-MX"/>
      </w:rPr>
      <w:drawing>
        <wp:anchor distT="0" distB="0" distL="0" distR="0" simplePos="0" relativeHeight="251659264" behindDoc="1" locked="0" layoutInCell="1" allowOverlap="1" wp14:anchorId="5DB47A81" wp14:editId="6FCC7F80">
          <wp:simplePos x="0" y="0"/>
          <wp:positionH relativeFrom="page">
            <wp:posOffset>38735</wp:posOffset>
          </wp:positionH>
          <wp:positionV relativeFrom="topMargin">
            <wp:posOffset>-728980</wp:posOffset>
          </wp:positionV>
          <wp:extent cx="2725420" cy="1778635"/>
          <wp:effectExtent l="0" t="0" r="0" b="0"/>
          <wp:wrapNone/>
          <wp:docPr id="5"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2"/>
                  <a:srcRect r="70512" b="85118"/>
                  <a:stretch/>
                </pic:blipFill>
                <pic:spPr bwMode="auto">
                  <a:xfrm>
                    <a:off x="0" y="0"/>
                    <a:ext cx="2725420" cy="1778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666D3"/>
    <w:multiLevelType w:val="multilevel"/>
    <w:tmpl w:val="D4404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C2906"/>
    <w:multiLevelType w:val="hybridMultilevel"/>
    <w:tmpl w:val="F0DE21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30C0F41"/>
    <w:multiLevelType w:val="hybridMultilevel"/>
    <w:tmpl w:val="A6D6CE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5B7790"/>
    <w:multiLevelType w:val="multilevel"/>
    <w:tmpl w:val="30F6C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B6670"/>
    <w:multiLevelType w:val="multilevel"/>
    <w:tmpl w:val="39C80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1C769E"/>
    <w:multiLevelType w:val="hybridMultilevel"/>
    <w:tmpl w:val="A7D8A0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AB9083E"/>
    <w:multiLevelType w:val="multilevel"/>
    <w:tmpl w:val="EC727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B76253"/>
    <w:multiLevelType w:val="multilevel"/>
    <w:tmpl w:val="A5540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784848"/>
    <w:multiLevelType w:val="multilevel"/>
    <w:tmpl w:val="55FAB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8C1CED"/>
    <w:multiLevelType w:val="multilevel"/>
    <w:tmpl w:val="E646A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3455F7"/>
    <w:multiLevelType w:val="multilevel"/>
    <w:tmpl w:val="3F306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CA2150"/>
    <w:multiLevelType w:val="hybridMultilevel"/>
    <w:tmpl w:val="51D859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5C662B0"/>
    <w:multiLevelType w:val="hybridMultilevel"/>
    <w:tmpl w:val="C268AF8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9AF6683"/>
    <w:multiLevelType w:val="multilevel"/>
    <w:tmpl w:val="1BC6D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775803"/>
    <w:multiLevelType w:val="multilevel"/>
    <w:tmpl w:val="7FE26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6E554B"/>
    <w:multiLevelType w:val="hybridMultilevel"/>
    <w:tmpl w:val="D0B06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BA06549"/>
    <w:multiLevelType w:val="multilevel"/>
    <w:tmpl w:val="76EE22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CE3A9D"/>
    <w:multiLevelType w:val="multilevel"/>
    <w:tmpl w:val="C4884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D25851"/>
    <w:multiLevelType w:val="multilevel"/>
    <w:tmpl w:val="AD32C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154848"/>
    <w:multiLevelType w:val="hybridMultilevel"/>
    <w:tmpl w:val="6BEEF3F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7AB594F"/>
    <w:multiLevelType w:val="hybridMultilevel"/>
    <w:tmpl w:val="F93ACE3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9C32DC3"/>
    <w:multiLevelType w:val="multilevel"/>
    <w:tmpl w:val="76EE22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FA7DF4"/>
    <w:multiLevelType w:val="hybridMultilevel"/>
    <w:tmpl w:val="4DAAD2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02466CB"/>
    <w:multiLevelType w:val="multilevel"/>
    <w:tmpl w:val="6C06A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A452B3"/>
    <w:multiLevelType w:val="hybridMultilevel"/>
    <w:tmpl w:val="B65ECF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AF67FE3"/>
    <w:multiLevelType w:val="multilevel"/>
    <w:tmpl w:val="F8B86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7334F5"/>
    <w:multiLevelType w:val="multilevel"/>
    <w:tmpl w:val="916EB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5551FD"/>
    <w:multiLevelType w:val="multilevel"/>
    <w:tmpl w:val="2016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A95FC2"/>
    <w:multiLevelType w:val="multilevel"/>
    <w:tmpl w:val="C9C07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A07633"/>
    <w:multiLevelType w:val="multilevel"/>
    <w:tmpl w:val="CC985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A1710C"/>
    <w:multiLevelType w:val="multilevel"/>
    <w:tmpl w:val="3DC4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E80427"/>
    <w:multiLevelType w:val="hybridMultilevel"/>
    <w:tmpl w:val="0BAE86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72C2DD9"/>
    <w:multiLevelType w:val="hybridMultilevel"/>
    <w:tmpl w:val="E8A830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740148C"/>
    <w:multiLevelType w:val="multilevel"/>
    <w:tmpl w:val="00E46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4"/>
  </w:num>
  <w:num w:numId="3">
    <w:abstractNumId w:val="15"/>
  </w:num>
  <w:num w:numId="4">
    <w:abstractNumId w:val="9"/>
  </w:num>
  <w:num w:numId="5">
    <w:abstractNumId w:val="29"/>
  </w:num>
  <w:num w:numId="6">
    <w:abstractNumId w:val="8"/>
  </w:num>
  <w:num w:numId="7">
    <w:abstractNumId w:val="16"/>
  </w:num>
  <w:num w:numId="8">
    <w:abstractNumId w:val="10"/>
  </w:num>
  <w:num w:numId="9">
    <w:abstractNumId w:val="32"/>
  </w:num>
  <w:num w:numId="10">
    <w:abstractNumId w:val="30"/>
  </w:num>
  <w:num w:numId="11">
    <w:abstractNumId w:val="17"/>
  </w:num>
  <w:num w:numId="12">
    <w:abstractNumId w:val="4"/>
  </w:num>
  <w:num w:numId="13">
    <w:abstractNumId w:val="33"/>
  </w:num>
  <w:num w:numId="14">
    <w:abstractNumId w:val="25"/>
  </w:num>
  <w:num w:numId="15">
    <w:abstractNumId w:val="3"/>
  </w:num>
  <w:num w:numId="16">
    <w:abstractNumId w:val="26"/>
  </w:num>
  <w:num w:numId="17">
    <w:abstractNumId w:val="1"/>
  </w:num>
  <w:num w:numId="18">
    <w:abstractNumId w:val="13"/>
  </w:num>
  <w:num w:numId="19">
    <w:abstractNumId w:val="6"/>
  </w:num>
  <w:num w:numId="20">
    <w:abstractNumId w:val="2"/>
  </w:num>
  <w:num w:numId="21">
    <w:abstractNumId w:val="20"/>
  </w:num>
  <w:num w:numId="22">
    <w:abstractNumId w:val="23"/>
  </w:num>
  <w:num w:numId="23">
    <w:abstractNumId w:val="19"/>
  </w:num>
  <w:num w:numId="24">
    <w:abstractNumId w:val="31"/>
  </w:num>
  <w:num w:numId="25">
    <w:abstractNumId w:val="21"/>
  </w:num>
  <w:num w:numId="26">
    <w:abstractNumId w:val="24"/>
  </w:num>
  <w:num w:numId="27">
    <w:abstractNumId w:val="5"/>
  </w:num>
  <w:num w:numId="28">
    <w:abstractNumId w:val="11"/>
  </w:num>
  <w:num w:numId="29">
    <w:abstractNumId w:val="28"/>
  </w:num>
  <w:num w:numId="30">
    <w:abstractNumId w:val="18"/>
  </w:num>
  <w:num w:numId="31">
    <w:abstractNumId w:val="27"/>
  </w:num>
  <w:num w:numId="32">
    <w:abstractNumId w:val="7"/>
  </w:num>
  <w:num w:numId="33">
    <w:abstractNumId w:val="22"/>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6D6"/>
    <w:rsid w:val="00001D4E"/>
    <w:rsid w:val="00004FFB"/>
    <w:rsid w:val="000150FD"/>
    <w:rsid w:val="00023D17"/>
    <w:rsid w:val="00026FB3"/>
    <w:rsid w:val="00027143"/>
    <w:rsid w:val="0004267A"/>
    <w:rsid w:val="000430AD"/>
    <w:rsid w:val="00046CB2"/>
    <w:rsid w:val="000517AA"/>
    <w:rsid w:val="000533A2"/>
    <w:rsid w:val="000576ED"/>
    <w:rsid w:val="00060F6C"/>
    <w:rsid w:val="00070317"/>
    <w:rsid w:val="00071403"/>
    <w:rsid w:val="0008343D"/>
    <w:rsid w:val="000A6E67"/>
    <w:rsid w:val="000B4207"/>
    <w:rsid w:val="000B6402"/>
    <w:rsid w:val="000E1F5A"/>
    <w:rsid w:val="000F2838"/>
    <w:rsid w:val="000F586D"/>
    <w:rsid w:val="000F7816"/>
    <w:rsid w:val="001006AA"/>
    <w:rsid w:val="001047DE"/>
    <w:rsid w:val="0010771F"/>
    <w:rsid w:val="001153AC"/>
    <w:rsid w:val="0012175E"/>
    <w:rsid w:val="0013099C"/>
    <w:rsid w:val="00135CE8"/>
    <w:rsid w:val="001544C6"/>
    <w:rsid w:val="00160866"/>
    <w:rsid w:val="001662DE"/>
    <w:rsid w:val="00187F75"/>
    <w:rsid w:val="001A1377"/>
    <w:rsid w:val="001A2463"/>
    <w:rsid w:val="001A5CE1"/>
    <w:rsid w:val="001A5E43"/>
    <w:rsid w:val="001B5BB1"/>
    <w:rsid w:val="001C75E4"/>
    <w:rsid w:val="001D648D"/>
    <w:rsid w:val="001E16EA"/>
    <w:rsid w:val="001E6315"/>
    <w:rsid w:val="001F2438"/>
    <w:rsid w:val="001F44F7"/>
    <w:rsid w:val="001F47CC"/>
    <w:rsid w:val="001F79CC"/>
    <w:rsid w:val="0020401C"/>
    <w:rsid w:val="002216E5"/>
    <w:rsid w:val="00250924"/>
    <w:rsid w:val="0025300F"/>
    <w:rsid w:val="0025787C"/>
    <w:rsid w:val="00262AB1"/>
    <w:rsid w:val="002646B4"/>
    <w:rsid w:val="00265AE2"/>
    <w:rsid w:val="0028641D"/>
    <w:rsid w:val="00294446"/>
    <w:rsid w:val="0029793E"/>
    <w:rsid w:val="002B55A3"/>
    <w:rsid w:val="002D7159"/>
    <w:rsid w:val="002F3B45"/>
    <w:rsid w:val="002F6A82"/>
    <w:rsid w:val="0030138C"/>
    <w:rsid w:val="00301D01"/>
    <w:rsid w:val="00310845"/>
    <w:rsid w:val="003118A8"/>
    <w:rsid w:val="00321D88"/>
    <w:rsid w:val="00322FBA"/>
    <w:rsid w:val="00325C4E"/>
    <w:rsid w:val="00326047"/>
    <w:rsid w:val="00332265"/>
    <w:rsid w:val="00332828"/>
    <w:rsid w:val="00342156"/>
    <w:rsid w:val="00342E18"/>
    <w:rsid w:val="00353CE8"/>
    <w:rsid w:val="00355B7A"/>
    <w:rsid w:val="00362BA3"/>
    <w:rsid w:val="0037131C"/>
    <w:rsid w:val="00372035"/>
    <w:rsid w:val="00373053"/>
    <w:rsid w:val="0037306C"/>
    <w:rsid w:val="00377FC7"/>
    <w:rsid w:val="0039055E"/>
    <w:rsid w:val="003B7FB4"/>
    <w:rsid w:val="003C1105"/>
    <w:rsid w:val="003C1817"/>
    <w:rsid w:val="003C705F"/>
    <w:rsid w:val="003E0E63"/>
    <w:rsid w:val="003E1EB8"/>
    <w:rsid w:val="003E5DCC"/>
    <w:rsid w:val="003F211B"/>
    <w:rsid w:val="00405927"/>
    <w:rsid w:val="004114CE"/>
    <w:rsid w:val="00426AAD"/>
    <w:rsid w:val="004271B7"/>
    <w:rsid w:val="00434D65"/>
    <w:rsid w:val="00437435"/>
    <w:rsid w:val="00442677"/>
    <w:rsid w:val="00444B9A"/>
    <w:rsid w:val="00461ADB"/>
    <w:rsid w:val="00483612"/>
    <w:rsid w:val="00495810"/>
    <w:rsid w:val="00497031"/>
    <w:rsid w:val="004B1946"/>
    <w:rsid w:val="004C2144"/>
    <w:rsid w:val="004C4AB4"/>
    <w:rsid w:val="004D1B29"/>
    <w:rsid w:val="004E29EB"/>
    <w:rsid w:val="004F445E"/>
    <w:rsid w:val="004F690A"/>
    <w:rsid w:val="00500FE5"/>
    <w:rsid w:val="005158CF"/>
    <w:rsid w:val="00536C43"/>
    <w:rsid w:val="00537303"/>
    <w:rsid w:val="00545257"/>
    <w:rsid w:val="005512DD"/>
    <w:rsid w:val="00554479"/>
    <w:rsid w:val="00556E85"/>
    <w:rsid w:val="005630CF"/>
    <w:rsid w:val="00584854"/>
    <w:rsid w:val="005953C8"/>
    <w:rsid w:val="005A1CCE"/>
    <w:rsid w:val="005A744A"/>
    <w:rsid w:val="005B18F4"/>
    <w:rsid w:val="005B745A"/>
    <w:rsid w:val="005C070A"/>
    <w:rsid w:val="005D02D5"/>
    <w:rsid w:val="005D0D2E"/>
    <w:rsid w:val="005E0A32"/>
    <w:rsid w:val="005E19D7"/>
    <w:rsid w:val="005F1F8F"/>
    <w:rsid w:val="005F6F69"/>
    <w:rsid w:val="00614285"/>
    <w:rsid w:val="00614FA2"/>
    <w:rsid w:val="0062195D"/>
    <w:rsid w:val="00627C69"/>
    <w:rsid w:val="00661290"/>
    <w:rsid w:val="00671315"/>
    <w:rsid w:val="00672DE0"/>
    <w:rsid w:val="006730BF"/>
    <w:rsid w:val="006732FE"/>
    <w:rsid w:val="006A620E"/>
    <w:rsid w:val="006C2154"/>
    <w:rsid w:val="006D1E9B"/>
    <w:rsid w:val="006D3EA7"/>
    <w:rsid w:val="006D3F76"/>
    <w:rsid w:val="006D4EDB"/>
    <w:rsid w:val="006E5653"/>
    <w:rsid w:val="006E623E"/>
    <w:rsid w:val="006F1557"/>
    <w:rsid w:val="006F57E2"/>
    <w:rsid w:val="00701832"/>
    <w:rsid w:val="007027AF"/>
    <w:rsid w:val="0072750D"/>
    <w:rsid w:val="00736770"/>
    <w:rsid w:val="00743995"/>
    <w:rsid w:val="007544F6"/>
    <w:rsid w:val="00767DA9"/>
    <w:rsid w:val="0077511D"/>
    <w:rsid w:val="00784C58"/>
    <w:rsid w:val="00790AAC"/>
    <w:rsid w:val="00791ED0"/>
    <w:rsid w:val="00792EA1"/>
    <w:rsid w:val="007C48F8"/>
    <w:rsid w:val="007D51C1"/>
    <w:rsid w:val="007E0A13"/>
    <w:rsid w:val="007F15BE"/>
    <w:rsid w:val="007F3DAA"/>
    <w:rsid w:val="007F54D1"/>
    <w:rsid w:val="00804A61"/>
    <w:rsid w:val="00807905"/>
    <w:rsid w:val="00813DFB"/>
    <w:rsid w:val="00814083"/>
    <w:rsid w:val="008215C4"/>
    <w:rsid w:val="00822A12"/>
    <w:rsid w:val="00822A14"/>
    <w:rsid w:val="00822E5B"/>
    <w:rsid w:val="0082375A"/>
    <w:rsid w:val="00845577"/>
    <w:rsid w:val="00863780"/>
    <w:rsid w:val="00871726"/>
    <w:rsid w:val="00872049"/>
    <w:rsid w:val="008723B6"/>
    <w:rsid w:val="00877F01"/>
    <w:rsid w:val="00880559"/>
    <w:rsid w:val="00883B38"/>
    <w:rsid w:val="008A5DA2"/>
    <w:rsid w:val="008B4B65"/>
    <w:rsid w:val="008C6026"/>
    <w:rsid w:val="008D15C2"/>
    <w:rsid w:val="008D1D3E"/>
    <w:rsid w:val="008D3327"/>
    <w:rsid w:val="008D5B83"/>
    <w:rsid w:val="008E1D39"/>
    <w:rsid w:val="008E666D"/>
    <w:rsid w:val="008E714A"/>
    <w:rsid w:val="008F0CAB"/>
    <w:rsid w:val="008F59FE"/>
    <w:rsid w:val="008F66DF"/>
    <w:rsid w:val="009116E6"/>
    <w:rsid w:val="00911957"/>
    <w:rsid w:val="00920CE4"/>
    <w:rsid w:val="00921A84"/>
    <w:rsid w:val="009225C6"/>
    <w:rsid w:val="00924ACC"/>
    <w:rsid w:val="00933960"/>
    <w:rsid w:val="009420BC"/>
    <w:rsid w:val="009524BD"/>
    <w:rsid w:val="0096327E"/>
    <w:rsid w:val="00967925"/>
    <w:rsid w:val="00973AE7"/>
    <w:rsid w:val="009752FF"/>
    <w:rsid w:val="00982678"/>
    <w:rsid w:val="009A195B"/>
    <w:rsid w:val="009A6BF8"/>
    <w:rsid w:val="009B3BEE"/>
    <w:rsid w:val="009B4A04"/>
    <w:rsid w:val="009C2FCD"/>
    <w:rsid w:val="009D4061"/>
    <w:rsid w:val="009E5A5A"/>
    <w:rsid w:val="009E671B"/>
    <w:rsid w:val="00A020DF"/>
    <w:rsid w:val="00A05B85"/>
    <w:rsid w:val="00A2285B"/>
    <w:rsid w:val="00A241AF"/>
    <w:rsid w:val="00A31D48"/>
    <w:rsid w:val="00A34BFA"/>
    <w:rsid w:val="00A52BDC"/>
    <w:rsid w:val="00A554D6"/>
    <w:rsid w:val="00A5560F"/>
    <w:rsid w:val="00A90E6C"/>
    <w:rsid w:val="00A970DB"/>
    <w:rsid w:val="00AA277F"/>
    <w:rsid w:val="00AA32C8"/>
    <w:rsid w:val="00AA433F"/>
    <w:rsid w:val="00AA7D19"/>
    <w:rsid w:val="00AB47A5"/>
    <w:rsid w:val="00AD233D"/>
    <w:rsid w:val="00AD392D"/>
    <w:rsid w:val="00AE28FB"/>
    <w:rsid w:val="00AE2B3A"/>
    <w:rsid w:val="00AF0744"/>
    <w:rsid w:val="00AF46E9"/>
    <w:rsid w:val="00B02367"/>
    <w:rsid w:val="00B24F61"/>
    <w:rsid w:val="00B359CD"/>
    <w:rsid w:val="00B4263F"/>
    <w:rsid w:val="00B4370E"/>
    <w:rsid w:val="00B53D1E"/>
    <w:rsid w:val="00B5624C"/>
    <w:rsid w:val="00B60BEA"/>
    <w:rsid w:val="00B64D3C"/>
    <w:rsid w:val="00B65C74"/>
    <w:rsid w:val="00BC353D"/>
    <w:rsid w:val="00BC427E"/>
    <w:rsid w:val="00BC75DD"/>
    <w:rsid w:val="00BD5EDB"/>
    <w:rsid w:val="00BE68BA"/>
    <w:rsid w:val="00BF03DB"/>
    <w:rsid w:val="00BF0AFD"/>
    <w:rsid w:val="00BF0D97"/>
    <w:rsid w:val="00BF58C1"/>
    <w:rsid w:val="00C01EC3"/>
    <w:rsid w:val="00C116C7"/>
    <w:rsid w:val="00C22D1C"/>
    <w:rsid w:val="00C22DB5"/>
    <w:rsid w:val="00C25A3C"/>
    <w:rsid w:val="00C2653A"/>
    <w:rsid w:val="00C30EEB"/>
    <w:rsid w:val="00C355E7"/>
    <w:rsid w:val="00C5637C"/>
    <w:rsid w:val="00C617CA"/>
    <w:rsid w:val="00C63BCC"/>
    <w:rsid w:val="00C71BE4"/>
    <w:rsid w:val="00C7454C"/>
    <w:rsid w:val="00C826AF"/>
    <w:rsid w:val="00C85830"/>
    <w:rsid w:val="00C96E30"/>
    <w:rsid w:val="00CA5B91"/>
    <w:rsid w:val="00CA6C17"/>
    <w:rsid w:val="00CB63B2"/>
    <w:rsid w:val="00CC4F36"/>
    <w:rsid w:val="00D03AAF"/>
    <w:rsid w:val="00D07663"/>
    <w:rsid w:val="00D23B58"/>
    <w:rsid w:val="00D359D7"/>
    <w:rsid w:val="00D657E7"/>
    <w:rsid w:val="00D670F1"/>
    <w:rsid w:val="00D67E0E"/>
    <w:rsid w:val="00D835F4"/>
    <w:rsid w:val="00D846D6"/>
    <w:rsid w:val="00DA2AFA"/>
    <w:rsid w:val="00DB0B5C"/>
    <w:rsid w:val="00DC3EEB"/>
    <w:rsid w:val="00DE29A3"/>
    <w:rsid w:val="00DE3DFE"/>
    <w:rsid w:val="00DE43B9"/>
    <w:rsid w:val="00E04C45"/>
    <w:rsid w:val="00E07349"/>
    <w:rsid w:val="00E10832"/>
    <w:rsid w:val="00E11F9E"/>
    <w:rsid w:val="00E12899"/>
    <w:rsid w:val="00E176B7"/>
    <w:rsid w:val="00E20235"/>
    <w:rsid w:val="00E2124F"/>
    <w:rsid w:val="00E27842"/>
    <w:rsid w:val="00E41E95"/>
    <w:rsid w:val="00E43212"/>
    <w:rsid w:val="00E47725"/>
    <w:rsid w:val="00E65079"/>
    <w:rsid w:val="00E6602A"/>
    <w:rsid w:val="00E730EF"/>
    <w:rsid w:val="00E81A7E"/>
    <w:rsid w:val="00E84372"/>
    <w:rsid w:val="00E92A8A"/>
    <w:rsid w:val="00E92C8A"/>
    <w:rsid w:val="00EA2D7D"/>
    <w:rsid w:val="00EA45C8"/>
    <w:rsid w:val="00EB4CA4"/>
    <w:rsid w:val="00EB7D73"/>
    <w:rsid w:val="00EC11A9"/>
    <w:rsid w:val="00EC1587"/>
    <w:rsid w:val="00EC2356"/>
    <w:rsid w:val="00EC33F4"/>
    <w:rsid w:val="00EC7CF6"/>
    <w:rsid w:val="00ED1F24"/>
    <w:rsid w:val="00ED5343"/>
    <w:rsid w:val="00EE39B7"/>
    <w:rsid w:val="00EE400D"/>
    <w:rsid w:val="00EE5D38"/>
    <w:rsid w:val="00F05BD2"/>
    <w:rsid w:val="00F40646"/>
    <w:rsid w:val="00F44E70"/>
    <w:rsid w:val="00F471B0"/>
    <w:rsid w:val="00F61FF4"/>
    <w:rsid w:val="00F65747"/>
    <w:rsid w:val="00F67BAF"/>
    <w:rsid w:val="00F77FBD"/>
    <w:rsid w:val="00F84517"/>
    <w:rsid w:val="00F84C3B"/>
    <w:rsid w:val="00F85FF1"/>
    <w:rsid w:val="00F93B2B"/>
    <w:rsid w:val="00FB134A"/>
    <w:rsid w:val="00FB7391"/>
    <w:rsid w:val="00FC5949"/>
    <w:rsid w:val="00FC5B59"/>
    <w:rsid w:val="00FD26F6"/>
    <w:rsid w:val="00FD2F4D"/>
    <w:rsid w:val="00FD2FA1"/>
    <w:rsid w:val="00FD665C"/>
    <w:rsid w:val="00FE71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CBB5A3A-9AC9-4941-845B-A84BE12D1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233D"/>
  </w:style>
  <w:style w:type="paragraph" w:styleId="Ttulo1">
    <w:name w:val="heading 1"/>
    <w:basedOn w:val="Normal"/>
    <w:next w:val="Normal"/>
    <w:link w:val="Ttulo1Car"/>
    <w:uiPriority w:val="9"/>
    <w:qFormat/>
    <w:rsid w:val="003730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286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8437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E84372"/>
    <w:pPr>
      <w:ind w:left="720"/>
      <w:contextualSpacing/>
    </w:pPr>
  </w:style>
  <w:style w:type="paragraph" w:styleId="Textodeglobo">
    <w:name w:val="Balloon Text"/>
    <w:basedOn w:val="Normal"/>
    <w:link w:val="TextodegloboCar"/>
    <w:uiPriority w:val="99"/>
    <w:semiHidden/>
    <w:unhideWhenUsed/>
    <w:rsid w:val="008723B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723B6"/>
    <w:rPr>
      <w:rFonts w:ascii="Tahoma" w:hAnsi="Tahoma" w:cs="Tahoma"/>
      <w:sz w:val="16"/>
      <w:szCs w:val="16"/>
    </w:rPr>
  </w:style>
  <w:style w:type="paragraph" w:customStyle="1" w:styleId="ioc-info-title">
    <w:name w:val="ioc-info-title"/>
    <w:basedOn w:val="Normal"/>
    <w:rsid w:val="00322FBA"/>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text-title-01">
    <w:name w:val="text-title-01"/>
    <w:basedOn w:val="Normal"/>
    <w:rsid w:val="007544F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7544F6"/>
    <w:rPr>
      <w:b/>
      <w:bCs/>
    </w:rPr>
  </w:style>
  <w:style w:type="character" w:styleId="nfasis">
    <w:name w:val="Emphasis"/>
    <w:basedOn w:val="Fuentedeprrafopredeter"/>
    <w:uiPriority w:val="20"/>
    <w:qFormat/>
    <w:rsid w:val="007544F6"/>
    <w:rPr>
      <w:i/>
      <w:iCs/>
    </w:rPr>
  </w:style>
  <w:style w:type="paragraph" w:customStyle="1" w:styleId="text-instruction">
    <w:name w:val="text-instruction"/>
    <w:basedOn w:val="Normal"/>
    <w:rsid w:val="007544F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glo">
    <w:name w:val="glo"/>
    <w:basedOn w:val="Fuentedeprrafopredeter"/>
    <w:rsid w:val="00B64D3C"/>
  </w:style>
  <w:style w:type="paragraph" w:customStyle="1" w:styleId="box-important-title">
    <w:name w:val="box-important-title"/>
    <w:basedOn w:val="Normal"/>
    <w:rsid w:val="00F67BA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Default">
    <w:name w:val="Default"/>
    <w:rsid w:val="004B1946"/>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61FF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61FF4"/>
  </w:style>
  <w:style w:type="paragraph" w:styleId="Piedepgina">
    <w:name w:val="footer"/>
    <w:basedOn w:val="Normal"/>
    <w:link w:val="PiedepginaCar"/>
    <w:uiPriority w:val="99"/>
    <w:unhideWhenUsed/>
    <w:rsid w:val="00F61FF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61FF4"/>
  </w:style>
  <w:style w:type="character" w:styleId="Ttulodellibro">
    <w:name w:val="Book Title"/>
    <w:basedOn w:val="Fuentedeprrafopredeter"/>
    <w:uiPriority w:val="33"/>
    <w:qFormat/>
    <w:rsid w:val="005630CF"/>
    <w:rPr>
      <w:b/>
      <w:bCs/>
      <w:smallCaps/>
      <w:spacing w:val="5"/>
    </w:rPr>
  </w:style>
  <w:style w:type="character" w:customStyle="1" w:styleId="Ttulo1Car">
    <w:name w:val="Título 1 Car"/>
    <w:basedOn w:val="Fuentedeprrafopredeter"/>
    <w:link w:val="Ttulo1"/>
    <w:uiPriority w:val="9"/>
    <w:rsid w:val="00373053"/>
    <w:rPr>
      <w:rFonts w:asciiTheme="majorHAnsi" w:eastAsiaTheme="majorEastAsia" w:hAnsiTheme="majorHAnsi" w:cstheme="majorBidi"/>
      <w:color w:val="365F91" w:themeColor="accent1" w:themeShade="BF"/>
      <w:sz w:val="32"/>
      <w:szCs w:val="32"/>
    </w:rPr>
  </w:style>
  <w:style w:type="character" w:styleId="Hipervnculo">
    <w:name w:val="Hyperlink"/>
    <w:basedOn w:val="Fuentedeprrafopredeter"/>
    <w:uiPriority w:val="99"/>
    <w:unhideWhenUsed/>
    <w:rsid w:val="00426AA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72091">
      <w:bodyDiv w:val="1"/>
      <w:marLeft w:val="0"/>
      <w:marRight w:val="0"/>
      <w:marTop w:val="0"/>
      <w:marBottom w:val="0"/>
      <w:divBdr>
        <w:top w:val="none" w:sz="0" w:space="0" w:color="auto"/>
        <w:left w:val="none" w:sz="0" w:space="0" w:color="auto"/>
        <w:bottom w:val="none" w:sz="0" w:space="0" w:color="auto"/>
        <w:right w:val="none" w:sz="0" w:space="0" w:color="auto"/>
      </w:divBdr>
    </w:div>
    <w:div w:id="176816595">
      <w:bodyDiv w:val="1"/>
      <w:marLeft w:val="0"/>
      <w:marRight w:val="0"/>
      <w:marTop w:val="0"/>
      <w:marBottom w:val="0"/>
      <w:divBdr>
        <w:top w:val="none" w:sz="0" w:space="0" w:color="auto"/>
        <w:left w:val="none" w:sz="0" w:space="0" w:color="auto"/>
        <w:bottom w:val="none" w:sz="0" w:space="0" w:color="auto"/>
        <w:right w:val="none" w:sz="0" w:space="0" w:color="auto"/>
      </w:divBdr>
    </w:div>
    <w:div w:id="230122446">
      <w:bodyDiv w:val="1"/>
      <w:marLeft w:val="0"/>
      <w:marRight w:val="0"/>
      <w:marTop w:val="0"/>
      <w:marBottom w:val="0"/>
      <w:divBdr>
        <w:top w:val="none" w:sz="0" w:space="0" w:color="auto"/>
        <w:left w:val="none" w:sz="0" w:space="0" w:color="auto"/>
        <w:bottom w:val="none" w:sz="0" w:space="0" w:color="auto"/>
        <w:right w:val="none" w:sz="0" w:space="0" w:color="auto"/>
      </w:divBdr>
    </w:div>
    <w:div w:id="259414935">
      <w:bodyDiv w:val="1"/>
      <w:marLeft w:val="0"/>
      <w:marRight w:val="0"/>
      <w:marTop w:val="0"/>
      <w:marBottom w:val="0"/>
      <w:divBdr>
        <w:top w:val="none" w:sz="0" w:space="0" w:color="auto"/>
        <w:left w:val="none" w:sz="0" w:space="0" w:color="auto"/>
        <w:bottom w:val="none" w:sz="0" w:space="0" w:color="auto"/>
        <w:right w:val="none" w:sz="0" w:space="0" w:color="auto"/>
      </w:divBdr>
      <w:divsChild>
        <w:div w:id="2137866385">
          <w:marLeft w:val="0"/>
          <w:marRight w:val="0"/>
          <w:marTop w:val="1080"/>
          <w:marBottom w:val="600"/>
          <w:divBdr>
            <w:top w:val="single" w:sz="12" w:space="8" w:color="000000"/>
            <w:left w:val="single" w:sz="12" w:space="31" w:color="000000"/>
            <w:bottom w:val="single" w:sz="12" w:space="8" w:color="000000"/>
            <w:right w:val="single" w:sz="12" w:space="15" w:color="000000"/>
          </w:divBdr>
        </w:div>
      </w:divsChild>
    </w:div>
    <w:div w:id="266159034">
      <w:bodyDiv w:val="1"/>
      <w:marLeft w:val="0"/>
      <w:marRight w:val="0"/>
      <w:marTop w:val="0"/>
      <w:marBottom w:val="0"/>
      <w:divBdr>
        <w:top w:val="none" w:sz="0" w:space="0" w:color="auto"/>
        <w:left w:val="none" w:sz="0" w:space="0" w:color="auto"/>
        <w:bottom w:val="none" w:sz="0" w:space="0" w:color="auto"/>
        <w:right w:val="none" w:sz="0" w:space="0" w:color="auto"/>
      </w:divBdr>
    </w:div>
    <w:div w:id="336469539">
      <w:bodyDiv w:val="1"/>
      <w:marLeft w:val="0"/>
      <w:marRight w:val="0"/>
      <w:marTop w:val="0"/>
      <w:marBottom w:val="0"/>
      <w:divBdr>
        <w:top w:val="none" w:sz="0" w:space="0" w:color="auto"/>
        <w:left w:val="none" w:sz="0" w:space="0" w:color="auto"/>
        <w:bottom w:val="none" w:sz="0" w:space="0" w:color="auto"/>
        <w:right w:val="none" w:sz="0" w:space="0" w:color="auto"/>
      </w:divBdr>
    </w:div>
    <w:div w:id="339545911">
      <w:bodyDiv w:val="1"/>
      <w:marLeft w:val="0"/>
      <w:marRight w:val="0"/>
      <w:marTop w:val="0"/>
      <w:marBottom w:val="0"/>
      <w:divBdr>
        <w:top w:val="none" w:sz="0" w:space="0" w:color="auto"/>
        <w:left w:val="none" w:sz="0" w:space="0" w:color="auto"/>
        <w:bottom w:val="none" w:sz="0" w:space="0" w:color="auto"/>
        <w:right w:val="none" w:sz="0" w:space="0" w:color="auto"/>
      </w:divBdr>
    </w:div>
    <w:div w:id="386799327">
      <w:bodyDiv w:val="1"/>
      <w:marLeft w:val="0"/>
      <w:marRight w:val="0"/>
      <w:marTop w:val="0"/>
      <w:marBottom w:val="0"/>
      <w:divBdr>
        <w:top w:val="none" w:sz="0" w:space="0" w:color="auto"/>
        <w:left w:val="none" w:sz="0" w:space="0" w:color="auto"/>
        <w:bottom w:val="none" w:sz="0" w:space="0" w:color="auto"/>
        <w:right w:val="none" w:sz="0" w:space="0" w:color="auto"/>
      </w:divBdr>
    </w:div>
    <w:div w:id="404181579">
      <w:bodyDiv w:val="1"/>
      <w:marLeft w:val="0"/>
      <w:marRight w:val="0"/>
      <w:marTop w:val="0"/>
      <w:marBottom w:val="0"/>
      <w:divBdr>
        <w:top w:val="none" w:sz="0" w:space="0" w:color="auto"/>
        <w:left w:val="none" w:sz="0" w:space="0" w:color="auto"/>
        <w:bottom w:val="none" w:sz="0" w:space="0" w:color="auto"/>
        <w:right w:val="none" w:sz="0" w:space="0" w:color="auto"/>
      </w:divBdr>
    </w:div>
    <w:div w:id="410006073">
      <w:bodyDiv w:val="1"/>
      <w:marLeft w:val="0"/>
      <w:marRight w:val="0"/>
      <w:marTop w:val="0"/>
      <w:marBottom w:val="0"/>
      <w:divBdr>
        <w:top w:val="none" w:sz="0" w:space="0" w:color="auto"/>
        <w:left w:val="none" w:sz="0" w:space="0" w:color="auto"/>
        <w:bottom w:val="none" w:sz="0" w:space="0" w:color="auto"/>
        <w:right w:val="none" w:sz="0" w:space="0" w:color="auto"/>
      </w:divBdr>
    </w:div>
    <w:div w:id="440875416">
      <w:bodyDiv w:val="1"/>
      <w:marLeft w:val="0"/>
      <w:marRight w:val="0"/>
      <w:marTop w:val="0"/>
      <w:marBottom w:val="0"/>
      <w:divBdr>
        <w:top w:val="none" w:sz="0" w:space="0" w:color="auto"/>
        <w:left w:val="none" w:sz="0" w:space="0" w:color="auto"/>
        <w:bottom w:val="none" w:sz="0" w:space="0" w:color="auto"/>
        <w:right w:val="none" w:sz="0" w:space="0" w:color="auto"/>
      </w:divBdr>
    </w:div>
    <w:div w:id="649213471">
      <w:bodyDiv w:val="1"/>
      <w:marLeft w:val="0"/>
      <w:marRight w:val="0"/>
      <w:marTop w:val="0"/>
      <w:marBottom w:val="0"/>
      <w:divBdr>
        <w:top w:val="none" w:sz="0" w:space="0" w:color="auto"/>
        <w:left w:val="none" w:sz="0" w:space="0" w:color="auto"/>
        <w:bottom w:val="none" w:sz="0" w:space="0" w:color="auto"/>
        <w:right w:val="none" w:sz="0" w:space="0" w:color="auto"/>
      </w:divBdr>
    </w:div>
    <w:div w:id="666520989">
      <w:bodyDiv w:val="1"/>
      <w:marLeft w:val="0"/>
      <w:marRight w:val="0"/>
      <w:marTop w:val="0"/>
      <w:marBottom w:val="0"/>
      <w:divBdr>
        <w:top w:val="none" w:sz="0" w:space="0" w:color="auto"/>
        <w:left w:val="none" w:sz="0" w:space="0" w:color="auto"/>
        <w:bottom w:val="none" w:sz="0" w:space="0" w:color="auto"/>
        <w:right w:val="none" w:sz="0" w:space="0" w:color="auto"/>
      </w:divBdr>
    </w:div>
    <w:div w:id="683628949">
      <w:bodyDiv w:val="1"/>
      <w:marLeft w:val="0"/>
      <w:marRight w:val="0"/>
      <w:marTop w:val="0"/>
      <w:marBottom w:val="0"/>
      <w:divBdr>
        <w:top w:val="none" w:sz="0" w:space="0" w:color="auto"/>
        <w:left w:val="none" w:sz="0" w:space="0" w:color="auto"/>
        <w:bottom w:val="none" w:sz="0" w:space="0" w:color="auto"/>
        <w:right w:val="none" w:sz="0" w:space="0" w:color="auto"/>
      </w:divBdr>
    </w:div>
    <w:div w:id="786394819">
      <w:bodyDiv w:val="1"/>
      <w:marLeft w:val="0"/>
      <w:marRight w:val="0"/>
      <w:marTop w:val="0"/>
      <w:marBottom w:val="0"/>
      <w:divBdr>
        <w:top w:val="none" w:sz="0" w:space="0" w:color="auto"/>
        <w:left w:val="none" w:sz="0" w:space="0" w:color="auto"/>
        <w:bottom w:val="none" w:sz="0" w:space="0" w:color="auto"/>
        <w:right w:val="none" w:sz="0" w:space="0" w:color="auto"/>
      </w:divBdr>
    </w:div>
    <w:div w:id="926307186">
      <w:bodyDiv w:val="1"/>
      <w:marLeft w:val="0"/>
      <w:marRight w:val="0"/>
      <w:marTop w:val="0"/>
      <w:marBottom w:val="0"/>
      <w:divBdr>
        <w:top w:val="none" w:sz="0" w:space="0" w:color="auto"/>
        <w:left w:val="none" w:sz="0" w:space="0" w:color="auto"/>
        <w:bottom w:val="none" w:sz="0" w:space="0" w:color="auto"/>
        <w:right w:val="none" w:sz="0" w:space="0" w:color="auto"/>
      </w:divBdr>
    </w:div>
    <w:div w:id="1061758373">
      <w:bodyDiv w:val="1"/>
      <w:marLeft w:val="0"/>
      <w:marRight w:val="0"/>
      <w:marTop w:val="0"/>
      <w:marBottom w:val="0"/>
      <w:divBdr>
        <w:top w:val="none" w:sz="0" w:space="0" w:color="auto"/>
        <w:left w:val="none" w:sz="0" w:space="0" w:color="auto"/>
        <w:bottom w:val="none" w:sz="0" w:space="0" w:color="auto"/>
        <w:right w:val="none" w:sz="0" w:space="0" w:color="auto"/>
      </w:divBdr>
    </w:div>
    <w:div w:id="1074861386">
      <w:bodyDiv w:val="1"/>
      <w:marLeft w:val="0"/>
      <w:marRight w:val="0"/>
      <w:marTop w:val="0"/>
      <w:marBottom w:val="0"/>
      <w:divBdr>
        <w:top w:val="none" w:sz="0" w:space="0" w:color="auto"/>
        <w:left w:val="none" w:sz="0" w:space="0" w:color="auto"/>
        <w:bottom w:val="none" w:sz="0" w:space="0" w:color="auto"/>
        <w:right w:val="none" w:sz="0" w:space="0" w:color="auto"/>
      </w:divBdr>
    </w:div>
    <w:div w:id="1136876784">
      <w:bodyDiv w:val="1"/>
      <w:marLeft w:val="0"/>
      <w:marRight w:val="0"/>
      <w:marTop w:val="0"/>
      <w:marBottom w:val="0"/>
      <w:divBdr>
        <w:top w:val="none" w:sz="0" w:space="0" w:color="auto"/>
        <w:left w:val="none" w:sz="0" w:space="0" w:color="auto"/>
        <w:bottom w:val="none" w:sz="0" w:space="0" w:color="auto"/>
        <w:right w:val="none" w:sz="0" w:space="0" w:color="auto"/>
      </w:divBdr>
    </w:div>
    <w:div w:id="1138912658">
      <w:bodyDiv w:val="1"/>
      <w:marLeft w:val="0"/>
      <w:marRight w:val="0"/>
      <w:marTop w:val="0"/>
      <w:marBottom w:val="0"/>
      <w:divBdr>
        <w:top w:val="none" w:sz="0" w:space="0" w:color="auto"/>
        <w:left w:val="none" w:sz="0" w:space="0" w:color="auto"/>
        <w:bottom w:val="none" w:sz="0" w:space="0" w:color="auto"/>
        <w:right w:val="none" w:sz="0" w:space="0" w:color="auto"/>
      </w:divBdr>
    </w:div>
    <w:div w:id="1233393775">
      <w:bodyDiv w:val="1"/>
      <w:marLeft w:val="0"/>
      <w:marRight w:val="0"/>
      <w:marTop w:val="0"/>
      <w:marBottom w:val="0"/>
      <w:divBdr>
        <w:top w:val="none" w:sz="0" w:space="0" w:color="auto"/>
        <w:left w:val="none" w:sz="0" w:space="0" w:color="auto"/>
        <w:bottom w:val="none" w:sz="0" w:space="0" w:color="auto"/>
        <w:right w:val="none" w:sz="0" w:space="0" w:color="auto"/>
      </w:divBdr>
    </w:div>
    <w:div w:id="1312170467">
      <w:bodyDiv w:val="1"/>
      <w:marLeft w:val="0"/>
      <w:marRight w:val="0"/>
      <w:marTop w:val="0"/>
      <w:marBottom w:val="0"/>
      <w:divBdr>
        <w:top w:val="none" w:sz="0" w:space="0" w:color="auto"/>
        <w:left w:val="none" w:sz="0" w:space="0" w:color="auto"/>
        <w:bottom w:val="none" w:sz="0" w:space="0" w:color="auto"/>
        <w:right w:val="none" w:sz="0" w:space="0" w:color="auto"/>
      </w:divBdr>
    </w:div>
    <w:div w:id="1420369515">
      <w:bodyDiv w:val="1"/>
      <w:marLeft w:val="0"/>
      <w:marRight w:val="0"/>
      <w:marTop w:val="0"/>
      <w:marBottom w:val="0"/>
      <w:divBdr>
        <w:top w:val="none" w:sz="0" w:space="0" w:color="auto"/>
        <w:left w:val="none" w:sz="0" w:space="0" w:color="auto"/>
        <w:bottom w:val="none" w:sz="0" w:space="0" w:color="auto"/>
        <w:right w:val="none" w:sz="0" w:space="0" w:color="auto"/>
      </w:divBdr>
    </w:div>
    <w:div w:id="1668706893">
      <w:bodyDiv w:val="1"/>
      <w:marLeft w:val="0"/>
      <w:marRight w:val="0"/>
      <w:marTop w:val="0"/>
      <w:marBottom w:val="0"/>
      <w:divBdr>
        <w:top w:val="none" w:sz="0" w:space="0" w:color="auto"/>
        <w:left w:val="none" w:sz="0" w:space="0" w:color="auto"/>
        <w:bottom w:val="none" w:sz="0" w:space="0" w:color="auto"/>
        <w:right w:val="none" w:sz="0" w:space="0" w:color="auto"/>
      </w:divBdr>
    </w:div>
    <w:div w:id="1691103048">
      <w:bodyDiv w:val="1"/>
      <w:marLeft w:val="0"/>
      <w:marRight w:val="0"/>
      <w:marTop w:val="0"/>
      <w:marBottom w:val="0"/>
      <w:divBdr>
        <w:top w:val="none" w:sz="0" w:space="0" w:color="auto"/>
        <w:left w:val="none" w:sz="0" w:space="0" w:color="auto"/>
        <w:bottom w:val="none" w:sz="0" w:space="0" w:color="auto"/>
        <w:right w:val="none" w:sz="0" w:space="0" w:color="auto"/>
      </w:divBdr>
    </w:div>
    <w:div w:id="1734740758">
      <w:bodyDiv w:val="1"/>
      <w:marLeft w:val="0"/>
      <w:marRight w:val="0"/>
      <w:marTop w:val="0"/>
      <w:marBottom w:val="0"/>
      <w:divBdr>
        <w:top w:val="none" w:sz="0" w:space="0" w:color="auto"/>
        <w:left w:val="none" w:sz="0" w:space="0" w:color="auto"/>
        <w:bottom w:val="none" w:sz="0" w:space="0" w:color="auto"/>
        <w:right w:val="none" w:sz="0" w:space="0" w:color="auto"/>
      </w:divBdr>
    </w:div>
    <w:div w:id="1759789504">
      <w:bodyDiv w:val="1"/>
      <w:marLeft w:val="0"/>
      <w:marRight w:val="0"/>
      <w:marTop w:val="0"/>
      <w:marBottom w:val="0"/>
      <w:divBdr>
        <w:top w:val="none" w:sz="0" w:space="0" w:color="auto"/>
        <w:left w:val="none" w:sz="0" w:space="0" w:color="auto"/>
        <w:bottom w:val="none" w:sz="0" w:space="0" w:color="auto"/>
        <w:right w:val="none" w:sz="0" w:space="0" w:color="auto"/>
      </w:divBdr>
    </w:div>
    <w:div w:id="1884827749">
      <w:bodyDiv w:val="1"/>
      <w:marLeft w:val="0"/>
      <w:marRight w:val="0"/>
      <w:marTop w:val="0"/>
      <w:marBottom w:val="0"/>
      <w:divBdr>
        <w:top w:val="none" w:sz="0" w:space="0" w:color="auto"/>
        <w:left w:val="none" w:sz="0" w:space="0" w:color="auto"/>
        <w:bottom w:val="none" w:sz="0" w:space="0" w:color="auto"/>
        <w:right w:val="none" w:sz="0" w:space="0" w:color="auto"/>
      </w:divBdr>
    </w:div>
    <w:div w:id="1950121806">
      <w:bodyDiv w:val="1"/>
      <w:marLeft w:val="0"/>
      <w:marRight w:val="0"/>
      <w:marTop w:val="0"/>
      <w:marBottom w:val="0"/>
      <w:divBdr>
        <w:top w:val="none" w:sz="0" w:space="0" w:color="auto"/>
        <w:left w:val="none" w:sz="0" w:space="0" w:color="auto"/>
        <w:bottom w:val="none" w:sz="0" w:space="0" w:color="auto"/>
        <w:right w:val="none" w:sz="0" w:space="0" w:color="auto"/>
      </w:divBdr>
    </w:div>
    <w:div w:id="2011593311">
      <w:bodyDiv w:val="1"/>
      <w:marLeft w:val="0"/>
      <w:marRight w:val="0"/>
      <w:marTop w:val="0"/>
      <w:marBottom w:val="0"/>
      <w:divBdr>
        <w:top w:val="none" w:sz="0" w:space="0" w:color="auto"/>
        <w:left w:val="none" w:sz="0" w:space="0" w:color="auto"/>
        <w:bottom w:val="none" w:sz="0" w:space="0" w:color="auto"/>
        <w:right w:val="none" w:sz="0" w:space="0" w:color="auto"/>
      </w:divBdr>
    </w:div>
    <w:div w:id="2048945019">
      <w:bodyDiv w:val="1"/>
      <w:marLeft w:val="0"/>
      <w:marRight w:val="0"/>
      <w:marTop w:val="0"/>
      <w:marBottom w:val="0"/>
      <w:divBdr>
        <w:top w:val="none" w:sz="0" w:space="0" w:color="auto"/>
        <w:left w:val="none" w:sz="0" w:space="0" w:color="auto"/>
        <w:bottom w:val="none" w:sz="0" w:space="0" w:color="auto"/>
        <w:right w:val="none" w:sz="0" w:space="0" w:color="auto"/>
      </w:divBdr>
    </w:div>
    <w:div w:id="2131197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deco.slp.gob.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7235F-FD74-45C4-9384-AD94B24B1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928</Words>
  <Characters>5105</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Laura Anaya Pardo</dc:creator>
  <cp:keywords/>
  <dc:description/>
  <cp:lastModifiedBy>Unidad de Transparencia</cp:lastModifiedBy>
  <cp:revision>3</cp:revision>
  <cp:lastPrinted>2025-01-20T15:51:00Z</cp:lastPrinted>
  <dcterms:created xsi:type="dcterms:W3CDTF">2026-02-05T21:16:00Z</dcterms:created>
  <dcterms:modified xsi:type="dcterms:W3CDTF">2026-02-06T19:18:00Z</dcterms:modified>
</cp:coreProperties>
</file>