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65" w:rsidRPr="003E3B5A" w:rsidRDefault="00C246B2" w:rsidP="00412162">
      <w:pPr>
        <w:spacing w:line="240" w:lineRule="auto"/>
        <w:jc w:val="both"/>
        <w:rPr>
          <w:rFonts w:ascii="Arial" w:hAnsi="Arial" w:cs="Arial"/>
          <w:sz w:val="24"/>
          <w:szCs w:val="24"/>
        </w:rPr>
      </w:pPr>
      <w:bookmarkStart w:id="0" w:name="_GoBack"/>
      <w:bookmarkEnd w:id="0"/>
      <w:r w:rsidRPr="003E3B5A">
        <w:rPr>
          <w:rFonts w:ascii="Arial" w:hAnsi="Arial" w:cs="Arial"/>
          <w:sz w:val="24"/>
          <w:szCs w:val="24"/>
        </w:rPr>
        <w:t>En la ciudad de San Luis Potosí, San Luis Potosí</w:t>
      </w:r>
      <w:r w:rsidR="007F24DE" w:rsidRPr="003E3B5A">
        <w:rPr>
          <w:rFonts w:ascii="Arial" w:hAnsi="Arial" w:cs="Arial"/>
          <w:sz w:val="24"/>
          <w:szCs w:val="24"/>
        </w:rPr>
        <w:t xml:space="preserve"> a los </w:t>
      </w:r>
      <w:r w:rsidR="001C3095" w:rsidRPr="003E3B5A">
        <w:rPr>
          <w:rFonts w:ascii="Arial" w:hAnsi="Arial" w:cs="Arial"/>
          <w:b/>
          <w:sz w:val="24"/>
          <w:szCs w:val="24"/>
        </w:rPr>
        <w:t>tres</w:t>
      </w:r>
      <w:r w:rsidR="0053156B" w:rsidRPr="003E3B5A">
        <w:rPr>
          <w:rFonts w:ascii="Arial" w:hAnsi="Arial" w:cs="Arial"/>
          <w:b/>
          <w:sz w:val="24"/>
          <w:szCs w:val="24"/>
        </w:rPr>
        <w:t xml:space="preserve"> </w:t>
      </w:r>
      <w:r w:rsidR="007F24DE" w:rsidRPr="003E3B5A">
        <w:rPr>
          <w:rFonts w:ascii="Arial" w:hAnsi="Arial" w:cs="Arial"/>
          <w:sz w:val="24"/>
          <w:szCs w:val="24"/>
        </w:rPr>
        <w:t xml:space="preserve">días del mes de </w:t>
      </w:r>
      <w:r w:rsidR="00A2555F" w:rsidRPr="003E3B5A">
        <w:rPr>
          <w:rFonts w:ascii="Arial" w:hAnsi="Arial" w:cs="Arial"/>
          <w:b/>
          <w:sz w:val="24"/>
          <w:szCs w:val="24"/>
        </w:rPr>
        <w:t>ju</w:t>
      </w:r>
      <w:r w:rsidR="001C3095" w:rsidRPr="003E3B5A">
        <w:rPr>
          <w:rFonts w:ascii="Arial" w:hAnsi="Arial" w:cs="Arial"/>
          <w:b/>
          <w:sz w:val="24"/>
          <w:szCs w:val="24"/>
        </w:rPr>
        <w:t>l</w:t>
      </w:r>
      <w:r w:rsidR="00A2555F" w:rsidRPr="003E3B5A">
        <w:rPr>
          <w:rFonts w:ascii="Arial" w:hAnsi="Arial" w:cs="Arial"/>
          <w:b/>
          <w:sz w:val="24"/>
          <w:szCs w:val="24"/>
        </w:rPr>
        <w:t>io</w:t>
      </w:r>
      <w:r w:rsidR="00C502DF" w:rsidRPr="003E3B5A">
        <w:rPr>
          <w:rFonts w:ascii="Arial" w:hAnsi="Arial" w:cs="Arial"/>
          <w:b/>
          <w:sz w:val="24"/>
          <w:szCs w:val="24"/>
        </w:rPr>
        <w:t xml:space="preserve"> </w:t>
      </w:r>
      <w:r w:rsidR="007F24DE" w:rsidRPr="003E3B5A">
        <w:rPr>
          <w:rFonts w:ascii="Arial" w:hAnsi="Arial" w:cs="Arial"/>
          <w:b/>
          <w:sz w:val="24"/>
          <w:szCs w:val="24"/>
        </w:rPr>
        <w:t>202</w:t>
      </w:r>
      <w:r w:rsidR="000D70CF" w:rsidRPr="003E3B5A">
        <w:rPr>
          <w:rFonts w:ascii="Arial" w:hAnsi="Arial" w:cs="Arial"/>
          <w:b/>
          <w:sz w:val="24"/>
          <w:szCs w:val="24"/>
        </w:rPr>
        <w:t>6</w:t>
      </w:r>
      <w:r w:rsidRPr="003E3B5A">
        <w:rPr>
          <w:rFonts w:ascii="Arial" w:hAnsi="Arial" w:cs="Arial"/>
          <w:sz w:val="24"/>
          <w:szCs w:val="24"/>
        </w:rPr>
        <w:t>, en</w:t>
      </w:r>
      <w:r w:rsidR="009819AE" w:rsidRPr="003E3B5A">
        <w:rPr>
          <w:rFonts w:ascii="Arial" w:hAnsi="Arial" w:cs="Arial"/>
          <w:sz w:val="24"/>
          <w:szCs w:val="24"/>
        </w:rPr>
        <w:t xml:space="preserve"> cumplimiento al acuerdo emitido por el Comité de Transparencia de la Fiscalía General, en </w:t>
      </w:r>
      <w:r w:rsidRPr="003E3B5A">
        <w:rPr>
          <w:rFonts w:ascii="Arial" w:hAnsi="Arial" w:cs="Arial"/>
          <w:sz w:val="24"/>
          <w:szCs w:val="24"/>
        </w:rPr>
        <w:t xml:space="preserve">su </w:t>
      </w:r>
      <w:r w:rsidR="001C3095" w:rsidRPr="003E3B5A">
        <w:rPr>
          <w:rFonts w:ascii="Arial" w:hAnsi="Arial" w:cs="Arial"/>
          <w:b/>
          <w:sz w:val="24"/>
          <w:szCs w:val="24"/>
        </w:rPr>
        <w:t>séptima</w:t>
      </w:r>
      <w:r w:rsidR="00A2555F" w:rsidRPr="003E3B5A">
        <w:rPr>
          <w:rFonts w:ascii="Arial" w:hAnsi="Arial" w:cs="Arial"/>
          <w:b/>
          <w:sz w:val="24"/>
          <w:szCs w:val="24"/>
        </w:rPr>
        <w:t xml:space="preserve"> </w:t>
      </w:r>
      <w:r w:rsidRPr="003E3B5A">
        <w:rPr>
          <w:rFonts w:ascii="Arial" w:hAnsi="Arial" w:cs="Arial"/>
          <w:bCs/>
          <w:sz w:val="24"/>
          <w:szCs w:val="24"/>
        </w:rPr>
        <w:t>s</w:t>
      </w:r>
      <w:r w:rsidR="009819AE" w:rsidRPr="003E3B5A">
        <w:rPr>
          <w:rFonts w:ascii="Arial" w:hAnsi="Arial" w:cs="Arial"/>
          <w:sz w:val="24"/>
          <w:szCs w:val="24"/>
        </w:rPr>
        <w:t xml:space="preserve">esión </w:t>
      </w:r>
      <w:r w:rsidR="007F24DE" w:rsidRPr="003E3B5A">
        <w:rPr>
          <w:rFonts w:ascii="Arial" w:hAnsi="Arial" w:cs="Arial"/>
          <w:b/>
          <w:bCs/>
          <w:sz w:val="24"/>
          <w:szCs w:val="24"/>
        </w:rPr>
        <w:t>ordinaria</w:t>
      </w:r>
      <w:r w:rsidR="009819AE" w:rsidRPr="003E3B5A">
        <w:rPr>
          <w:rFonts w:ascii="Arial" w:hAnsi="Arial" w:cs="Arial"/>
          <w:b/>
          <w:bCs/>
          <w:sz w:val="24"/>
          <w:szCs w:val="24"/>
        </w:rPr>
        <w:t xml:space="preserve"> </w:t>
      </w:r>
      <w:r w:rsidR="009819AE" w:rsidRPr="003E3B5A">
        <w:rPr>
          <w:rFonts w:ascii="Arial" w:hAnsi="Arial" w:cs="Arial"/>
          <w:b/>
          <w:sz w:val="24"/>
          <w:szCs w:val="24"/>
        </w:rPr>
        <w:t>202</w:t>
      </w:r>
      <w:r w:rsidR="000D70CF" w:rsidRPr="003E3B5A">
        <w:rPr>
          <w:rFonts w:ascii="Arial" w:hAnsi="Arial" w:cs="Arial"/>
          <w:b/>
          <w:sz w:val="24"/>
          <w:szCs w:val="24"/>
        </w:rPr>
        <w:t>6</w:t>
      </w:r>
      <w:r w:rsidR="009819AE" w:rsidRPr="003E3B5A">
        <w:rPr>
          <w:rFonts w:ascii="Arial" w:hAnsi="Arial" w:cs="Arial"/>
          <w:sz w:val="24"/>
          <w:szCs w:val="24"/>
        </w:rPr>
        <w:t xml:space="preserve">, </w:t>
      </w:r>
      <w:r w:rsidRPr="003E3B5A">
        <w:rPr>
          <w:rFonts w:ascii="Arial" w:hAnsi="Arial" w:cs="Arial"/>
          <w:sz w:val="24"/>
          <w:szCs w:val="24"/>
        </w:rPr>
        <w:t xml:space="preserve">y </w:t>
      </w:r>
      <w:r w:rsidR="009819AE" w:rsidRPr="003E3B5A">
        <w:rPr>
          <w:rFonts w:ascii="Arial" w:hAnsi="Arial" w:cs="Arial"/>
          <w:sz w:val="24"/>
          <w:szCs w:val="24"/>
        </w:rPr>
        <w:t xml:space="preserve">en términos de lo dispuesto por los artículos 51, 52 fracción II, 127 de la </w:t>
      </w:r>
      <w:r w:rsidR="001771BC" w:rsidRPr="003E3B5A">
        <w:rPr>
          <w:rFonts w:ascii="Arial" w:hAnsi="Arial" w:cs="Arial"/>
          <w:sz w:val="24"/>
          <w:szCs w:val="24"/>
        </w:rPr>
        <w:t>l</w:t>
      </w:r>
      <w:r w:rsidR="009819AE" w:rsidRPr="003E3B5A">
        <w:rPr>
          <w:rFonts w:ascii="Arial" w:hAnsi="Arial" w:cs="Arial"/>
          <w:sz w:val="24"/>
          <w:szCs w:val="24"/>
        </w:rPr>
        <w:t xml:space="preserve">ey de Transparencia y Acceso a la Información Pública del </w:t>
      </w:r>
      <w:r w:rsidR="001771BC" w:rsidRPr="003E3B5A">
        <w:rPr>
          <w:rFonts w:ascii="Arial" w:hAnsi="Arial" w:cs="Arial"/>
          <w:sz w:val="24"/>
          <w:szCs w:val="24"/>
        </w:rPr>
        <w:t>e</w:t>
      </w:r>
      <w:r w:rsidR="009819AE" w:rsidRPr="003E3B5A">
        <w:rPr>
          <w:rFonts w:ascii="Arial" w:hAnsi="Arial" w:cs="Arial"/>
          <w:sz w:val="24"/>
          <w:szCs w:val="24"/>
        </w:rPr>
        <w:t xml:space="preserve">stado de San Luis Potosí </w:t>
      </w:r>
      <w:r w:rsidR="001771BC" w:rsidRPr="003E3B5A">
        <w:rPr>
          <w:rFonts w:ascii="Arial" w:hAnsi="Arial" w:cs="Arial"/>
          <w:sz w:val="24"/>
          <w:szCs w:val="24"/>
        </w:rPr>
        <w:t>-</w:t>
      </w:r>
      <w:r w:rsidR="009819AE" w:rsidRPr="003E3B5A">
        <w:rPr>
          <w:rFonts w:ascii="Arial" w:hAnsi="Arial" w:cs="Arial"/>
          <w:sz w:val="24"/>
          <w:szCs w:val="24"/>
        </w:rPr>
        <w:t>LTAIPSLP</w:t>
      </w:r>
      <w:r w:rsidR="001771BC" w:rsidRPr="003E3B5A">
        <w:rPr>
          <w:rFonts w:ascii="Arial" w:hAnsi="Arial" w:cs="Arial"/>
          <w:sz w:val="24"/>
          <w:szCs w:val="24"/>
        </w:rPr>
        <w:t>-</w:t>
      </w:r>
      <w:r w:rsidR="009819AE" w:rsidRPr="003E3B5A">
        <w:rPr>
          <w:rFonts w:ascii="Arial" w:hAnsi="Arial" w:cs="Arial"/>
          <w:sz w:val="24"/>
          <w:szCs w:val="24"/>
        </w:rPr>
        <w:t xml:space="preserve">, lineamiento </w:t>
      </w:r>
      <w:r w:rsidR="005B0E50" w:rsidRPr="003E3B5A">
        <w:rPr>
          <w:rFonts w:ascii="Arial" w:hAnsi="Arial" w:cs="Arial"/>
          <w:sz w:val="24"/>
          <w:szCs w:val="24"/>
        </w:rPr>
        <w:t>q</w:t>
      </w:r>
      <w:r w:rsidR="009819AE" w:rsidRPr="003E3B5A">
        <w:rPr>
          <w:rFonts w:ascii="Arial" w:hAnsi="Arial" w:cs="Arial"/>
          <w:sz w:val="24"/>
          <w:szCs w:val="24"/>
        </w:rPr>
        <w:t xml:space="preserve">uincuagésimo </w:t>
      </w:r>
      <w:r w:rsidR="001771BC" w:rsidRPr="003E3B5A">
        <w:rPr>
          <w:rFonts w:ascii="Arial" w:hAnsi="Arial" w:cs="Arial"/>
          <w:sz w:val="24"/>
          <w:szCs w:val="24"/>
        </w:rPr>
        <w:t>p</w:t>
      </w:r>
      <w:r w:rsidR="009819AE" w:rsidRPr="003E3B5A">
        <w:rPr>
          <w:rFonts w:ascii="Arial" w:hAnsi="Arial" w:cs="Arial"/>
          <w:sz w:val="24"/>
          <w:szCs w:val="24"/>
        </w:rPr>
        <w:t xml:space="preserve">rimero de los Lineamientos Generales para la Clasificación y Desclasificación de la Información, así como para la </w:t>
      </w:r>
      <w:r w:rsidR="001771BC" w:rsidRPr="003E3B5A">
        <w:rPr>
          <w:rFonts w:ascii="Arial" w:hAnsi="Arial" w:cs="Arial"/>
          <w:sz w:val="24"/>
          <w:szCs w:val="24"/>
        </w:rPr>
        <w:t>e</w:t>
      </w:r>
      <w:r w:rsidR="009819AE" w:rsidRPr="003E3B5A">
        <w:rPr>
          <w:rFonts w:ascii="Arial" w:hAnsi="Arial" w:cs="Arial"/>
          <w:sz w:val="24"/>
          <w:szCs w:val="24"/>
        </w:rPr>
        <w:t>laboración de Versiones Públicas</w:t>
      </w:r>
      <w:r w:rsidR="003C7D26" w:rsidRPr="003E3B5A">
        <w:rPr>
          <w:rFonts w:ascii="Arial" w:hAnsi="Arial" w:cs="Arial"/>
          <w:sz w:val="24"/>
          <w:szCs w:val="24"/>
        </w:rPr>
        <w:t xml:space="preserve"> </w:t>
      </w:r>
      <w:r w:rsidR="001771BC" w:rsidRPr="003E3B5A">
        <w:rPr>
          <w:rFonts w:ascii="Arial" w:hAnsi="Arial" w:cs="Arial"/>
          <w:sz w:val="24"/>
          <w:szCs w:val="24"/>
        </w:rPr>
        <w:t>-</w:t>
      </w:r>
      <w:r w:rsidR="009819AE" w:rsidRPr="003E3B5A">
        <w:rPr>
          <w:rFonts w:ascii="Arial" w:hAnsi="Arial" w:cs="Arial"/>
          <w:sz w:val="24"/>
          <w:szCs w:val="24"/>
        </w:rPr>
        <w:t>LG</w:t>
      </w:r>
      <w:r w:rsidR="00C502DF" w:rsidRPr="003E3B5A">
        <w:rPr>
          <w:rFonts w:ascii="Arial" w:hAnsi="Arial" w:cs="Arial"/>
          <w:sz w:val="24"/>
          <w:szCs w:val="24"/>
        </w:rPr>
        <w:t>M</w:t>
      </w:r>
      <w:r w:rsidR="009819AE" w:rsidRPr="003E3B5A">
        <w:rPr>
          <w:rFonts w:ascii="Arial" w:hAnsi="Arial" w:cs="Arial"/>
          <w:sz w:val="24"/>
          <w:szCs w:val="24"/>
        </w:rPr>
        <w:t>CDIEVP</w:t>
      </w:r>
      <w:r w:rsidR="001771BC" w:rsidRPr="003E3B5A">
        <w:rPr>
          <w:rFonts w:ascii="Arial" w:hAnsi="Arial" w:cs="Arial"/>
          <w:sz w:val="24"/>
          <w:szCs w:val="24"/>
        </w:rPr>
        <w:t>-</w:t>
      </w:r>
      <w:r w:rsidR="009819AE" w:rsidRPr="003E3B5A">
        <w:rPr>
          <w:rFonts w:ascii="Arial" w:hAnsi="Arial" w:cs="Arial"/>
          <w:sz w:val="24"/>
          <w:szCs w:val="24"/>
        </w:rPr>
        <w:t xml:space="preserve">, se procede a emitir la siguiente </w:t>
      </w:r>
      <w:r w:rsidR="001771BC" w:rsidRPr="003E3B5A">
        <w:rPr>
          <w:rFonts w:ascii="Arial" w:hAnsi="Arial" w:cs="Arial"/>
          <w:sz w:val="24"/>
          <w:szCs w:val="24"/>
        </w:rPr>
        <w:t>r</w:t>
      </w:r>
      <w:r w:rsidR="009819AE" w:rsidRPr="003E3B5A">
        <w:rPr>
          <w:rFonts w:ascii="Arial" w:hAnsi="Arial" w:cs="Arial"/>
          <w:sz w:val="24"/>
          <w:szCs w:val="24"/>
        </w:rPr>
        <w:t xml:space="preserve">esolución. </w:t>
      </w:r>
    </w:p>
    <w:p w:rsidR="00BF3665" w:rsidRPr="003E3B5A" w:rsidRDefault="009819AE" w:rsidP="00412162">
      <w:pPr>
        <w:spacing w:line="240" w:lineRule="auto"/>
        <w:jc w:val="center"/>
        <w:rPr>
          <w:rFonts w:ascii="Arial" w:hAnsi="Arial" w:cs="Arial"/>
          <w:b/>
          <w:sz w:val="24"/>
          <w:szCs w:val="24"/>
        </w:rPr>
      </w:pPr>
      <w:r w:rsidRPr="003E3B5A">
        <w:rPr>
          <w:rFonts w:ascii="Arial" w:hAnsi="Arial" w:cs="Arial"/>
          <w:b/>
          <w:sz w:val="24"/>
          <w:szCs w:val="24"/>
        </w:rPr>
        <w:t>RESULTANDO</w:t>
      </w:r>
    </w:p>
    <w:p w:rsidR="00D33BBC" w:rsidRPr="003E3B5A" w:rsidRDefault="009819AE" w:rsidP="00480661">
      <w:pPr>
        <w:spacing w:line="240" w:lineRule="auto"/>
        <w:jc w:val="both"/>
        <w:rPr>
          <w:rFonts w:ascii="Arial" w:hAnsi="Arial" w:cs="Arial"/>
          <w:sz w:val="24"/>
          <w:szCs w:val="24"/>
        </w:rPr>
      </w:pPr>
      <w:r w:rsidRPr="003E3B5A">
        <w:rPr>
          <w:rFonts w:ascii="Arial" w:hAnsi="Arial" w:cs="Arial"/>
          <w:b/>
          <w:sz w:val="24"/>
          <w:szCs w:val="24"/>
        </w:rPr>
        <w:t>I</w:t>
      </w:r>
      <w:r w:rsidRPr="003E3B5A">
        <w:rPr>
          <w:rFonts w:ascii="Arial" w:hAnsi="Arial" w:cs="Arial"/>
          <w:sz w:val="24"/>
          <w:szCs w:val="24"/>
        </w:rPr>
        <w:t xml:space="preserve">. </w:t>
      </w:r>
      <w:r w:rsidR="00480661">
        <w:rPr>
          <w:rFonts w:ascii="Arial" w:hAnsi="Arial" w:cs="Arial"/>
          <w:sz w:val="24"/>
          <w:szCs w:val="24"/>
        </w:rPr>
        <w:t>La secretaria Técnica de la Fiscal General Juana María Castillo Ortega</w:t>
      </w:r>
      <w:r w:rsidR="00D4742A" w:rsidRPr="003E3B5A">
        <w:rPr>
          <w:rFonts w:ascii="Arial" w:hAnsi="Arial" w:cs="Arial"/>
          <w:sz w:val="24"/>
          <w:szCs w:val="24"/>
        </w:rPr>
        <w:t>,</w:t>
      </w:r>
      <w:r w:rsidRPr="003E3B5A">
        <w:rPr>
          <w:rFonts w:ascii="Arial" w:hAnsi="Arial" w:cs="Arial"/>
          <w:sz w:val="24"/>
          <w:szCs w:val="24"/>
        </w:rPr>
        <w:t xml:space="preserve"> mediante oficio </w:t>
      </w:r>
      <w:r w:rsidR="00480661">
        <w:rPr>
          <w:rFonts w:ascii="Arial" w:hAnsi="Arial" w:cs="Arial"/>
          <w:b/>
          <w:sz w:val="24"/>
          <w:szCs w:val="24"/>
        </w:rPr>
        <w:t>ST/019</w:t>
      </w:r>
      <w:r w:rsidR="00C63668" w:rsidRPr="003E3B5A">
        <w:rPr>
          <w:rFonts w:ascii="Arial" w:hAnsi="Arial" w:cs="Arial"/>
          <w:b/>
          <w:sz w:val="24"/>
          <w:szCs w:val="24"/>
        </w:rPr>
        <w:t>/</w:t>
      </w:r>
      <w:r w:rsidR="00C03933" w:rsidRPr="003E3B5A">
        <w:rPr>
          <w:rFonts w:ascii="Arial" w:hAnsi="Arial" w:cs="Arial"/>
          <w:b/>
          <w:sz w:val="24"/>
          <w:szCs w:val="24"/>
        </w:rPr>
        <w:t>202</w:t>
      </w:r>
      <w:r w:rsidR="00D63EFF" w:rsidRPr="003E3B5A">
        <w:rPr>
          <w:rFonts w:ascii="Arial" w:hAnsi="Arial" w:cs="Arial"/>
          <w:b/>
          <w:sz w:val="24"/>
          <w:szCs w:val="24"/>
        </w:rPr>
        <w:t>6</w:t>
      </w:r>
      <w:r w:rsidR="00C03933" w:rsidRPr="003E3B5A">
        <w:rPr>
          <w:rFonts w:ascii="Arial" w:hAnsi="Arial" w:cs="Arial"/>
          <w:b/>
          <w:sz w:val="24"/>
          <w:szCs w:val="24"/>
        </w:rPr>
        <w:t xml:space="preserve"> </w:t>
      </w:r>
      <w:r w:rsidR="00C03933" w:rsidRPr="003E3B5A">
        <w:rPr>
          <w:rFonts w:ascii="Arial" w:hAnsi="Arial" w:cs="Arial"/>
          <w:sz w:val="24"/>
          <w:szCs w:val="24"/>
        </w:rPr>
        <w:t>hace llegar el acuerdo de reserva</w:t>
      </w:r>
      <w:r w:rsidR="00E8129C" w:rsidRPr="003E3B5A">
        <w:rPr>
          <w:rFonts w:ascii="Arial" w:hAnsi="Arial" w:cs="Arial"/>
          <w:sz w:val="24"/>
          <w:szCs w:val="24"/>
        </w:rPr>
        <w:t xml:space="preserve"> </w:t>
      </w:r>
      <w:r w:rsidR="00480661">
        <w:rPr>
          <w:rFonts w:ascii="Arial" w:hAnsi="Arial" w:cs="Arial"/>
          <w:b/>
          <w:sz w:val="24"/>
          <w:szCs w:val="24"/>
        </w:rPr>
        <w:t>parcial</w:t>
      </w:r>
      <w:r w:rsidR="00A15922" w:rsidRPr="003E3B5A">
        <w:rPr>
          <w:rFonts w:ascii="Arial" w:hAnsi="Arial" w:cs="Arial"/>
          <w:b/>
          <w:sz w:val="24"/>
          <w:szCs w:val="24"/>
        </w:rPr>
        <w:t xml:space="preserve"> </w:t>
      </w:r>
      <w:r w:rsidR="00480661">
        <w:rPr>
          <w:rFonts w:ascii="Arial" w:hAnsi="Arial" w:cs="Arial"/>
          <w:b/>
          <w:sz w:val="24"/>
          <w:szCs w:val="24"/>
        </w:rPr>
        <w:t>FGE/ST/001</w:t>
      </w:r>
      <w:r w:rsidR="00D5202E" w:rsidRPr="003E3B5A">
        <w:rPr>
          <w:rFonts w:ascii="Arial" w:hAnsi="Arial" w:cs="Arial"/>
          <w:b/>
          <w:sz w:val="24"/>
          <w:szCs w:val="24"/>
        </w:rPr>
        <w:t>/202</w:t>
      </w:r>
      <w:r w:rsidR="00D63EFF" w:rsidRPr="003E3B5A">
        <w:rPr>
          <w:rFonts w:ascii="Arial" w:hAnsi="Arial" w:cs="Arial"/>
          <w:b/>
          <w:sz w:val="24"/>
          <w:szCs w:val="24"/>
        </w:rPr>
        <w:t>6</w:t>
      </w:r>
      <w:r w:rsidR="00C03933" w:rsidRPr="003E3B5A">
        <w:rPr>
          <w:rFonts w:ascii="Arial" w:hAnsi="Arial" w:cs="Arial"/>
          <w:sz w:val="24"/>
          <w:szCs w:val="24"/>
        </w:rPr>
        <w:t xml:space="preserve"> al Órgano Colegiado</w:t>
      </w:r>
      <w:r w:rsidR="00EF1D58" w:rsidRPr="003E3B5A">
        <w:rPr>
          <w:rFonts w:ascii="Arial" w:hAnsi="Arial" w:cs="Arial"/>
          <w:sz w:val="24"/>
          <w:szCs w:val="24"/>
        </w:rPr>
        <w:t xml:space="preserve"> manifestando </w:t>
      </w:r>
      <w:r w:rsidRPr="003E3B5A">
        <w:rPr>
          <w:rFonts w:ascii="Arial" w:hAnsi="Arial" w:cs="Arial"/>
          <w:sz w:val="24"/>
          <w:szCs w:val="24"/>
        </w:rPr>
        <w:t xml:space="preserve">encontrarse en el supuesto del artículo </w:t>
      </w:r>
      <w:r w:rsidR="00376B01" w:rsidRPr="003E3B5A">
        <w:rPr>
          <w:rFonts w:ascii="Arial" w:hAnsi="Arial" w:cs="Arial"/>
          <w:sz w:val="24"/>
          <w:szCs w:val="24"/>
        </w:rPr>
        <w:t>120</w:t>
      </w:r>
      <w:r w:rsidRPr="003E3B5A">
        <w:rPr>
          <w:rFonts w:ascii="Arial" w:hAnsi="Arial" w:cs="Arial"/>
          <w:sz w:val="24"/>
          <w:szCs w:val="24"/>
        </w:rPr>
        <w:t xml:space="preserve"> fracción</w:t>
      </w:r>
      <w:r w:rsidR="00376B01" w:rsidRPr="003E3B5A">
        <w:rPr>
          <w:rFonts w:ascii="Arial" w:hAnsi="Arial" w:cs="Arial"/>
          <w:sz w:val="24"/>
          <w:szCs w:val="24"/>
        </w:rPr>
        <w:t xml:space="preserve"> </w:t>
      </w:r>
      <w:r w:rsidR="00434058" w:rsidRPr="003E3B5A">
        <w:rPr>
          <w:rFonts w:ascii="Arial" w:hAnsi="Arial" w:cs="Arial"/>
          <w:sz w:val="24"/>
          <w:szCs w:val="24"/>
        </w:rPr>
        <w:t>I</w:t>
      </w:r>
      <w:r w:rsidR="00480661">
        <w:rPr>
          <w:rFonts w:ascii="Arial" w:hAnsi="Arial" w:cs="Arial"/>
          <w:sz w:val="24"/>
          <w:szCs w:val="24"/>
        </w:rPr>
        <w:t>II</w:t>
      </w:r>
      <w:r w:rsidRPr="003E3B5A">
        <w:rPr>
          <w:rFonts w:ascii="Arial" w:hAnsi="Arial" w:cs="Arial"/>
          <w:sz w:val="24"/>
          <w:szCs w:val="24"/>
        </w:rPr>
        <w:t xml:space="preserve"> de la LTAIPSLP, es decir,</w:t>
      </w:r>
      <w:r w:rsidR="00480661">
        <w:rPr>
          <w:rFonts w:ascii="Arial" w:hAnsi="Arial" w:cs="Arial"/>
          <w:sz w:val="24"/>
          <w:szCs w:val="24"/>
        </w:rPr>
        <w:t xml:space="preserve"> cu</w:t>
      </w:r>
      <w:r w:rsidR="00C911D2">
        <w:rPr>
          <w:rFonts w:ascii="Arial" w:hAnsi="Arial" w:cs="Arial"/>
          <w:sz w:val="24"/>
          <w:szCs w:val="24"/>
        </w:rPr>
        <w:t>e</w:t>
      </w:r>
      <w:r w:rsidR="00480661">
        <w:rPr>
          <w:rFonts w:ascii="Arial" w:hAnsi="Arial" w:cs="Arial"/>
          <w:sz w:val="24"/>
          <w:szCs w:val="24"/>
        </w:rPr>
        <w:t>nta con la obligación de publicar los convenios de coordinación de concertación con los sectores social y privado de acuerdo a lo establecido por el artículo 84, XL, de la citada ley.</w:t>
      </w:r>
    </w:p>
    <w:p w:rsidR="00BF3665" w:rsidRPr="003E3B5A" w:rsidRDefault="009819AE" w:rsidP="00412162">
      <w:pPr>
        <w:spacing w:line="240" w:lineRule="auto"/>
        <w:jc w:val="both"/>
        <w:rPr>
          <w:rFonts w:ascii="Arial" w:hAnsi="Arial" w:cs="Arial"/>
          <w:sz w:val="24"/>
          <w:szCs w:val="24"/>
        </w:rPr>
      </w:pPr>
      <w:r w:rsidRPr="003E3B5A">
        <w:rPr>
          <w:rFonts w:ascii="Arial" w:hAnsi="Arial" w:cs="Arial"/>
          <w:b/>
          <w:sz w:val="24"/>
          <w:szCs w:val="24"/>
        </w:rPr>
        <w:t>II.</w:t>
      </w:r>
      <w:r w:rsidRPr="003E3B5A">
        <w:rPr>
          <w:rFonts w:ascii="Arial" w:hAnsi="Arial" w:cs="Arial"/>
          <w:sz w:val="24"/>
          <w:szCs w:val="24"/>
        </w:rPr>
        <w:t xml:space="preserve"> </w:t>
      </w:r>
      <w:r w:rsidR="00480661">
        <w:rPr>
          <w:rFonts w:ascii="Arial" w:hAnsi="Arial" w:cs="Arial"/>
          <w:sz w:val="24"/>
          <w:szCs w:val="24"/>
        </w:rPr>
        <w:t>La secretaria Técnica de la Fiscal General Juana María Castillo Ortega</w:t>
      </w:r>
      <w:r w:rsidR="00672FE8" w:rsidRPr="003E3B5A">
        <w:rPr>
          <w:rFonts w:ascii="Arial" w:hAnsi="Arial" w:cs="Arial"/>
          <w:sz w:val="24"/>
          <w:szCs w:val="24"/>
        </w:rPr>
        <w:t>,</w:t>
      </w:r>
      <w:r w:rsidR="00590B9B" w:rsidRPr="003E3B5A">
        <w:rPr>
          <w:rFonts w:ascii="Arial" w:hAnsi="Arial" w:cs="Arial"/>
          <w:sz w:val="24"/>
          <w:szCs w:val="24"/>
        </w:rPr>
        <w:t xml:space="preserve"> </w:t>
      </w:r>
      <w:r w:rsidRPr="003E3B5A">
        <w:rPr>
          <w:rFonts w:ascii="Arial" w:hAnsi="Arial" w:cs="Arial"/>
          <w:sz w:val="24"/>
          <w:szCs w:val="24"/>
        </w:rPr>
        <w:t xml:space="preserve">al realizar el estudio de la información </w:t>
      </w:r>
      <w:r w:rsidR="0018660D">
        <w:rPr>
          <w:rFonts w:ascii="Arial" w:hAnsi="Arial" w:cs="Arial"/>
          <w:sz w:val="24"/>
          <w:szCs w:val="24"/>
        </w:rPr>
        <w:t>que debe de publicar</w:t>
      </w:r>
      <w:r w:rsidR="00035BE7" w:rsidRPr="003E3B5A">
        <w:rPr>
          <w:rFonts w:ascii="Arial" w:hAnsi="Arial" w:cs="Arial"/>
          <w:sz w:val="24"/>
          <w:szCs w:val="24"/>
        </w:rPr>
        <w:t xml:space="preserve"> </w:t>
      </w:r>
      <w:r w:rsidR="00C911D2">
        <w:rPr>
          <w:rFonts w:ascii="Arial" w:hAnsi="Arial" w:cs="Arial"/>
          <w:sz w:val="24"/>
          <w:szCs w:val="24"/>
        </w:rPr>
        <w:t xml:space="preserve">advierte que </w:t>
      </w:r>
      <w:r w:rsidRPr="003E3B5A">
        <w:rPr>
          <w:rFonts w:ascii="Arial" w:hAnsi="Arial" w:cs="Arial"/>
          <w:sz w:val="24"/>
          <w:szCs w:val="24"/>
        </w:rPr>
        <w:t>es susceptible de clasificar</w:t>
      </w:r>
      <w:r w:rsidR="008D7FD6" w:rsidRPr="003E3B5A">
        <w:rPr>
          <w:rFonts w:ascii="Arial" w:hAnsi="Arial" w:cs="Arial"/>
          <w:sz w:val="24"/>
          <w:szCs w:val="24"/>
        </w:rPr>
        <w:t>se</w:t>
      </w:r>
      <w:r w:rsidRPr="003E3B5A">
        <w:rPr>
          <w:rFonts w:ascii="Arial" w:hAnsi="Arial" w:cs="Arial"/>
          <w:sz w:val="24"/>
          <w:szCs w:val="24"/>
        </w:rPr>
        <w:t xml:space="preserve"> como </w:t>
      </w:r>
      <w:r w:rsidR="00C34EAC" w:rsidRPr="003E3B5A">
        <w:rPr>
          <w:rFonts w:ascii="Arial" w:hAnsi="Arial" w:cs="Arial"/>
          <w:b/>
          <w:sz w:val="24"/>
          <w:szCs w:val="24"/>
        </w:rPr>
        <w:t>parcia</w:t>
      </w:r>
      <w:r w:rsidR="00F77916" w:rsidRPr="003E3B5A">
        <w:rPr>
          <w:rFonts w:ascii="Arial" w:hAnsi="Arial" w:cs="Arial"/>
          <w:b/>
          <w:sz w:val="24"/>
          <w:szCs w:val="24"/>
        </w:rPr>
        <w:t>l</w:t>
      </w:r>
      <w:r w:rsidR="00C71D2F" w:rsidRPr="003E3B5A">
        <w:rPr>
          <w:rFonts w:ascii="Arial" w:hAnsi="Arial" w:cs="Arial"/>
          <w:b/>
          <w:sz w:val="24"/>
          <w:szCs w:val="24"/>
        </w:rPr>
        <w:t xml:space="preserve">mente </w:t>
      </w:r>
      <w:r w:rsidRPr="003E3B5A">
        <w:rPr>
          <w:rFonts w:ascii="Arial" w:hAnsi="Arial" w:cs="Arial"/>
          <w:sz w:val="24"/>
          <w:szCs w:val="24"/>
        </w:rPr>
        <w:t>reservada, de conformidad con el ar</w:t>
      </w:r>
      <w:r w:rsidR="007D4996" w:rsidRPr="003E3B5A">
        <w:rPr>
          <w:rFonts w:ascii="Arial" w:hAnsi="Arial" w:cs="Arial"/>
          <w:sz w:val="24"/>
          <w:szCs w:val="24"/>
        </w:rPr>
        <w:t xml:space="preserve">tículo 129 </w:t>
      </w:r>
      <w:r w:rsidR="005B0E50" w:rsidRPr="003E3B5A">
        <w:rPr>
          <w:rFonts w:ascii="Arial" w:hAnsi="Arial" w:cs="Arial"/>
          <w:sz w:val="24"/>
          <w:szCs w:val="24"/>
        </w:rPr>
        <w:t>fracci</w:t>
      </w:r>
      <w:r w:rsidR="00D63EFF" w:rsidRPr="003E3B5A">
        <w:rPr>
          <w:rFonts w:ascii="Arial" w:hAnsi="Arial" w:cs="Arial"/>
          <w:sz w:val="24"/>
          <w:szCs w:val="24"/>
        </w:rPr>
        <w:t xml:space="preserve">one I, y </w:t>
      </w:r>
      <w:r w:rsidR="005160BF" w:rsidRPr="003E3B5A">
        <w:rPr>
          <w:rFonts w:ascii="Arial" w:hAnsi="Arial" w:cs="Arial"/>
          <w:sz w:val="24"/>
          <w:szCs w:val="24"/>
        </w:rPr>
        <w:t>XII</w:t>
      </w:r>
      <w:r w:rsidRPr="003E3B5A">
        <w:rPr>
          <w:rFonts w:ascii="Arial" w:hAnsi="Arial" w:cs="Arial"/>
          <w:sz w:val="24"/>
          <w:szCs w:val="24"/>
        </w:rPr>
        <w:t xml:space="preserve"> de la LTAIPSLP.</w:t>
      </w:r>
    </w:p>
    <w:p w:rsidR="00BF3665" w:rsidRPr="003E3B5A" w:rsidRDefault="009819AE" w:rsidP="00412162">
      <w:pPr>
        <w:spacing w:line="240" w:lineRule="auto"/>
        <w:jc w:val="both"/>
        <w:rPr>
          <w:rFonts w:ascii="Arial" w:hAnsi="Arial" w:cs="Arial"/>
          <w:b/>
          <w:sz w:val="24"/>
          <w:szCs w:val="24"/>
        </w:rPr>
      </w:pPr>
      <w:r w:rsidRPr="003E3B5A">
        <w:rPr>
          <w:rFonts w:ascii="Arial" w:hAnsi="Arial" w:cs="Arial"/>
          <w:b/>
          <w:sz w:val="24"/>
          <w:szCs w:val="24"/>
        </w:rPr>
        <w:t>III.</w:t>
      </w:r>
      <w:r w:rsidRPr="003E3B5A">
        <w:rPr>
          <w:rFonts w:ascii="Arial" w:hAnsi="Arial" w:cs="Arial"/>
          <w:sz w:val="24"/>
          <w:szCs w:val="24"/>
        </w:rPr>
        <w:t xml:space="preserve"> </w:t>
      </w:r>
      <w:r w:rsidR="00480661">
        <w:rPr>
          <w:rFonts w:ascii="Arial" w:hAnsi="Arial" w:cs="Arial"/>
          <w:sz w:val="24"/>
          <w:szCs w:val="24"/>
        </w:rPr>
        <w:t>La secretaria Técnica de la Fiscal General Juana María Castillo Ortega</w:t>
      </w:r>
      <w:r w:rsidR="00672FE8" w:rsidRPr="003E3B5A">
        <w:rPr>
          <w:rFonts w:ascii="Arial" w:hAnsi="Arial" w:cs="Arial"/>
          <w:sz w:val="24"/>
          <w:szCs w:val="24"/>
        </w:rPr>
        <w:t xml:space="preserve">, </w:t>
      </w:r>
      <w:r w:rsidR="00682B93" w:rsidRPr="003E3B5A">
        <w:rPr>
          <w:rFonts w:ascii="Arial" w:hAnsi="Arial" w:cs="Arial"/>
          <w:sz w:val="24"/>
          <w:szCs w:val="24"/>
        </w:rPr>
        <w:t xml:space="preserve">a efecto de estar en posibilidades de </w:t>
      </w:r>
      <w:r w:rsidR="001F77C2">
        <w:rPr>
          <w:rFonts w:ascii="Arial" w:hAnsi="Arial" w:cs="Arial"/>
          <w:sz w:val="24"/>
          <w:szCs w:val="24"/>
        </w:rPr>
        <w:t>publicar la información de acuerdo a sus obligaciones de transparencia</w:t>
      </w:r>
      <w:r w:rsidR="00042CDD" w:rsidRPr="003E3B5A">
        <w:rPr>
          <w:rFonts w:ascii="Arial" w:hAnsi="Arial" w:cs="Arial"/>
          <w:sz w:val="24"/>
          <w:szCs w:val="24"/>
        </w:rPr>
        <w:t>,</w:t>
      </w:r>
      <w:r w:rsidR="00682B93" w:rsidRPr="003E3B5A">
        <w:rPr>
          <w:rFonts w:ascii="Arial" w:hAnsi="Arial" w:cs="Arial"/>
          <w:sz w:val="24"/>
          <w:szCs w:val="24"/>
        </w:rPr>
        <w:t xml:space="preserve"> emite el acuerdo de reserva </w:t>
      </w:r>
      <w:r w:rsidR="00C34EAC" w:rsidRPr="003E3B5A">
        <w:rPr>
          <w:rFonts w:ascii="Arial" w:hAnsi="Arial" w:cs="Arial"/>
          <w:b/>
          <w:sz w:val="24"/>
          <w:szCs w:val="24"/>
        </w:rPr>
        <w:t xml:space="preserve">parcial </w:t>
      </w:r>
      <w:r w:rsidR="00C911D2">
        <w:rPr>
          <w:rFonts w:ascii="Arial" w:hAnsi="Arial" w:cs="Arial"/>
          <w:b/>
          <w:sz w:val="24"/>
          <w:szCs w:val="24"/>
        </w:rPr>
        <w:t>FGE/ST/001</w:t>
      </w:r>
      <w:r w:rsidR="00C911D2" w:rsidRPr="003E3B5A">
        <w:rPr>
          <w:rFonts w:ascii="Arial" w:hAnsi="Arial" w:cs="Arial"/>
          <w:b/>
          <w:sz w:val="24"/>
          <w:szCs w:val="24"/>
        </w:rPr>
        <w:t>/2026</w:t>
      </w:r>
      <w:r w:rsidR="00682B93" w:rsidRPr="003E3B5A">
        <w:rPr>
          <w:rFonts w:ascii="Arial" w:hAnsi="Arial" w:cs="Arial"/>
          <w:b/>
          <w:sz w:val="24"/>
          <w:szCs w:val="24"/>
        </w:rPr>
        <w:t xml:space="preserve">. </w:t>
      </w:r>
    </w:p>
    <w:p w:rsidR="0015354E" w:rsidRDefault="0015354E" w:rsidP="00412162">
      <w:pPr>
        <w:spacing w:line="240" w:lineRule="auto"/>
        <w:jc w:val="center"/>
        <w:rPr>
          <w:rFonts w:ascii="Arial" w:hAnsi="Arial" w:cs="Arial"/>
          <w:b/>
          <w:sz w:val="24"/>
          <w:szCs w:val="24"/>
        </w:rPr>
      </w:pPr>
    </w:p>
    <w:p w:rsidR="00BF3665" w:rsidRPr="003E3B5A" w:rsidRDefault="009819AE" w:rsidP="00412162">
      <w:pPr>
        <w:spacing w:line="240" w:lineRule="auto"/>
        <w:jc w:val="center"/>
        <w:rPr>
          <w:rFonts w:ascii="Arial" w:hAnsi="Arial" w:cs="Arial"/>
          <w:b/>
          <w:sz w:val="24"/>
          <w:szCs w:val="24"/>
        </w:rPr>
      </w:pPr>
      <w:r w:rsidRPr="003E3B5A">
        <w:rPr>
          <w:rFonts w:ascii="Arial" w:hAnsi="Arial" w:cs="Arial"/>
          <w:b/>
          <w:sz w:val="24"/>
          <w:szCs w:val="24"/>
        </w:rPr>
        <w:t>CONSIDERANDO</w:t>
      </w:r>
    </w:p>
    <w:p w:rsidR="00BF3665" w:rsidRPr="003E3B5A" w:rsidRDefault="009819AE" w:rsidP="00412162">
      <w:pPr>
        <w:spacing w:line="240" w:lineRule="auto"/>
        <w:jc w:val="both"/>
        <w:rPr>
          <w:rFonts w:ascii="Arial" w:hAnsi="Arial" w:cs="Arial"/>
          <w:sz w:val="24"/>
          <w:szCs w:val="24"/>
        </w:rPr>
      </w:pPr>
      <w:r w:rsidRPr="003E3B5A">
        <w:rPr>
          <w:rFonts w:ascii="Arial" w:hAnsi="Arial" w:cs="Arial"/>
          <w:b/>
          <w:sz w:val="24"/>
          <w:szCs w:val="24"/>
        </w:rPr>
        <w:t>PRIMERO.</w:t>
      </w:r>
      <w:r w:rsidRPr="003E3B5A">
        <w:rPr>
          <w:rFonts w:ascii="Arial" w:hAnsi="Arial" w:cs="Arial"/>
          <w:sz w:val="24"/>
          <w:szCs w:val="24"/>
        </w:rPr>
        <w:t xml:space="preserve"> </w:t>
      </w:r>
      <w:r w:rsidRPr="003E3B5A">
        <w:rPr>
          <w:rFonts w:ascii="Arial" w:hAnsi="Arial" w:cs="Arial"/>
          <w:b/>
          <w:sz w:val="24"/>
          <w:szCs w:val="24"/>
        </w:rPr>
        <w:t>Competencia.</w:t>
      </w:r>
      <w:r w:rsidRPr="003E3B5A">
        <w:rPr>
          <w:rFonts w:ascii="Arial" w:hAnsi="Arial" w:cs="Arial"/>
          <w:sz w:val="24"/>
          <w:szCs w:val="24"/>
        </w:rPr>
        <w:t xml:space="preserve"> </w:t>
      </w:r>
    </w:p>
    <w:p w:rsidR="00BF3665" w:rsidRPr="003E3B5A" w:rsidRDefault="009819AE" w:rsidP="00412162">
      <w:pPr>
        <w:spacing w:line="240" w:lineRule="auto"/>
        <w:jc w:val="both"/>
        <w:rPr>
          <w:rFonts w:ascii="Arial" w:hAnsi="Arial" w:cs="Arial"/>
          <w:sz w:val="24"/>
          <w:szCs w:val="24"/>
        </w:rPr>
      </w:pPr>
      <w:r w:rsidRPr="003E3B5A">
        <w:rPr>
          <w:rFonts w:ascii="Arial" w:hAnsi="Arial" w:cs="Arial"/>
          <w:sz w:val="24"/>
          <w:szCs w:val="24"/>
        </w:rPr>
        <w:t>E</w:t>
      </w:r>
      <w:r w:rsidR="00995ED3" w:rsidRPr="003E3B5A">
        <w:rPr>
          <w:rFonts w:ascii="Arial" w:hAnsi="Arial" w:cs="Arial"/>
          <w:sz w:val="24"/>
          <w:szCs w:val="24"/>
        </w:rPr>
        <w:t>l</w:t>
      </w:r>
      <w:r w:rsidRPr="003E3B5A">
        <w:rPr>
          <w:rFonts w:ascii="Arial" w:hAnsi="Arial" w:cs="Arial"/>
          <w:sz w:val="24"/>
          <w:szCs w:val="24"/>
        </w:rPr>
        <w:t xml:space="preserve"> Comité de Transparencia es competente para determinar sobre la confirmación, modificación o revocación del </w:t>
      </w:r>
      <w:r w:rsidR="00376B01" w:rsidRPr="003E3B5A">
        <w:rPr>
          <w:rFonts w:ascii="Arial" w:hAnsi="Arial" w:cs="Arial"/>
          <w:sz w:val="24"/>
          <w:szCs w:val="24"/>
        </w:rPr>
        <w:t>a</w:t>
      </w:r>
      <w:r w:rsidRPr="003E3B5A">
        <w:rPr>
          <w:rFonts w:ascii="Arial" w:hAnsi="Arial" w:cs="Arial"/>
          <w:sz w:val="24"/>
          <w:szCs w:val="24"/>
        </w:rPr>
        <w:t xml:space="preserve">cuerdo de </w:t>
      </w:r>
      <w:r w:rsidR="00376B01" w:rsidRPr="003E3B5A">
        <w:rPr>
          <w:rFonts w:ascii="Arial" w:hAnsi="Arial" w:cs="Arial"/>
          <w:sz w:val="24"/>
          <w:szCs w:val="24"/>
        </w:rPr>
        <w:t>r</w:t>
      </w:r>
      <w:r w:rsidRPr="003E3B5A">
        <w:rPr>
          <w:rFonts w:ascii="Arial" w:hAnsi="Arial" w:cs="Arial"/>
          <w:sz w:val="24"/>
          <w:szCs w:val="24"/>
        </w:rPr>
        <w:t>eserva</w:t>
      </w:r>
      <w:r w:rsidRPr="003E3B5A">
        <w:rPr>
          <w:rFonts w:ascii="Arial" w:hAnsi="Arial" w:cs="Arial"/>
          <w:b/>
          <w:sz w:val="24"/>
          <w:szCs w:val="24"/>
        </w:rPr>
        <w:t xml:space="preserve"> </w:t>
      </w:r>
      <w:r w:rsidR="00C34EAC" w:rsidRPr="003E3B5A">
        <w:rPr>
          <w:rFonts w:ascii="Arial" w:hAnsi="Arial" w:cs="Arial"/>
          <w:b/>
          <w:sz w:val="24"/>
          <w:szCs w:val="24"/>
        </w:rPr>
        <w:t>parcial</w:t>
      </w:r>
      <w:r w:rsidR="00D66619" w:rsidRPr="003E3B5A">
        <w:rPr>
          <w:rFonts w:ascii="Arial" w:hAnsi="Arial" w:cs="Arial"/>
          <w:b/>
          <w:sz w:val="24"/>
          <w:szCs w:val="24"/>
        </w:rPr>
        <w:t xml:space="preserve"> </w:t>
      </w:r>
      <w:r w:rsidR="00A52F44">
        <w:rPr>
          <w:rFonts w:ascii="Arial" w:hAnsi="Arial" w:cs="Arial"/>
          <w:b/>
          <w:sz w:val="24"/>
          <w:szCs w:val="24"/>
        </w:rPr>
        <w:t>FGE/ST/001</w:t>
      </w:r>
      <w:r w:rsidR="00A52F44" w:rsidRPr="003E3B5A">
        <w:rPr>
          <w:rFonts w:ascii="Arial" w:hAnsi="Arial" w:cs="Arial"/>
          <w:b/>
          <w:sz w:val="24"/>
          <w:szCs w:val="24"/>
        </w:rPr>
        <w:t>/2026</w:t>
      </w:r>
      <w:r w:rsidRPr="003E3B5A">
        <w:rPr>
          <w:rFonts w:ascii="Arial" w:hAnsi="Arial" w:cs="Arial"/>
          <w:b/>
          <w:sz w:val="24"/>
          <w:szCs w:val="24"/>
        </w:rPr>
        <w:t>,</w:t>
      </w:r>
      <w:r w:rsidRPr="003E3B5A">
        <w:rPr>
          <w:rFonts w:ascii="Arial" w:hAnsi="Arial" w:cs="Arial"/>
          <w:sz w:val="24"/>
          <w:szCs w:val="24"/>
        </w:rPr>
        <w:t xml:space="preserve"> por lo que se </w:t>
      </w:r>
      <w:r w:rsidR="00376B01" w:rsidRPr="003E3B5A">
        <w:rPr>
          <w:rFonts w:ascii="Arial" w:hAnsi="Arial" w:cs="Arial"/>
          <w:sz w:val="24"/>
          <w:szCs w:val="24"/>
        </w:rPr>
        <w:t>sometió</w:t>
      </w:r>
      <w:r w:rsidRPr="003E3B5A">
        <w:rPr>
          <w:rFonts w:ascii="Arial" w:hAnsi="Arial" w:cs="Arial"/>
          <w:sz w:val="24"/>
          <w:szCs w:val="24"/>
        </w:rPr>
        <w:t xml:space="preserve"> a consideración</w:t>
      </w:r>
      <w:r w:rsidR="00376B01" w:rsidRPr="003E3B5A">
        <w:rPr>
          <w:rFonts w:ascii="Arial" w:hAnsi="Arial" w:cs="Arial"/>
          <w:sz w:val="24"/>
          <w:szCs w:val="24"/>
        </w:rPr>
        <w:t xml:space="preserve"> del </w:t>
      </w:r>
      <w:r w:rsidR="008D7FD6" w:rsidRPr="003E3B5A">
        <w:rPr>
          <w:rFonts w:ascii="Arial" w:hAnsi="Arial" w:cs="Arial"/>
          <w:sz w:val="24"/>
          <w:szCs w:val="24"/>
        </w:rPr>
        <w:t>c</w:t>
      </w:r>
      <w:r w:rsidR="00376B01" w:rsidRPr="003E3B5A">
        <w:rPr>
          <w:rFonts w:ascii="Arial" w:hAnsi="Arial" w:cs="Arial"/>
          <w:sz w:val="24"/>
          <w:szCs w:val="24"/>
        </w:rPr>
        <w:t>olegiado</w:t>
      </w:r>
      <w:r w:rsidRPr="003E3B5A">
        <w:rPr>
          <w:rFonts w:ascii="Arial" w:hAnsi="Arial" w:cs="Arial"/>
          <w:sz w:val="24"/>
          <w:szCs w:val="24"/>
        </w:rPr>
        <w:t xml:space="preserve"> en términos de lo dispuesto por los artículos 51, 52, fracción II de la LTAIPSLP, </w:t>
      </w:r>
      <w:r w:rsidR="008D7FD6" w:rsidRPr="003E3B5A">
        <w:rPr>
          <w:rFonts w:ascii="Arial" w:hAnsi="Arial" w:cs="Arial"/>
          <w:sz w:val="24"/>
          <w:szCs w:val="24"/>
        </w:rPr>
        <w:t>l</w:t>
      </w:r>
      <w:r w:rsidRPr="003E3B5A">
        <w:rPr>
          <w:rFonts w:ascii="Arial" w:hAnsi="Arial" w:cs="Arial"/>
          <w:sz w:val="24"/>
          <w:szCs w:val="24"/>
        </w:rPr>
        <w:t xml:space="preserve">ineamiento </w:t>
      </w:r>
      <w:r w:rsidR="008D7FD6" w:rsidRPr="003E3B5A">
        <w:rPr>
          <w:rFonts w:ascii="Arial" w:hAnsi="Arial" w:cs="Arial"/>
          <w:sz w:val="24"/>
          <w:szCs w:val="24"/>
        </w:rPr>
        <w:t>s</w:t>
      </w:r>
      <w:r w:rsidRPr="003E3B5A">
        <w:rPr>
          <w:rFonts w:ascii="Arial" w:hAnsi="Arial" w:cs="Arial"/>
          <w:sz w:val="24"/>
          <w:szCs w:val="24"/>
        </w:rPr>
        <w:t xml:space="preserve">egundo fracción III de los LGCDIEVP, artículo </w:t>
      </w:r>
      <w:r w:rsidR="008D7FD6" w:rsidRPr="003E3B5A">
        <w:rPr>
          <w:rFonts w:ascii="Arial" w:hAnsi="Arial" w:cs="Arial"/>
          <w:sz w:val="24"/>
          <w:szCs w:val="24"/>
        </w:rPr>
        <w:t>t</w:t>
      </w:r>
      <w:r w:rsidRPr="003E3B5A">
        <w:rPr>
          <w:rFonts w:ascii="Arial" w:hAnsi="Arial" w:cs="Arial"/>
          <w:sz w:val="24"/>
          <w:szCs w:val="24"/>
        </w:rPr>
        <w:t xml:space="preserve">ercero del </w:t>
      </w:r>
      <w:r w:rsidR="005B0E50" w:rsidRPr="003E3B5A">
        <w:rPr>
          <w:rFonts w:ascii="Arial" w:hAnsi="Arial" w:cs="Arial"/>
          <w:sz w:val="24"/>
          <w:szCs w:val="24"/>
        </w:rPr>
        <w:t>a</w:t>
      </w:r>
      <w:r w:rsidRPr="003E3B5A">
        <w:rPr>
          <w:rFonts w:ascii="Arial" w:hAnsi="Arial" w:cs="Arial"/>
          <w:sz w:val="24"/>
          <w:szCs w:val="24"/>
        </w:rPr>
        <w:t xml:space="preserve">cuerdo </w:t>
      </w:r>
      <w:r w:rsidR="005B0E50" w:rsidRPr="003E3B5A">
        <w:rPr>
          <w:rFonts w:ascii="Arial" w:hAnsi="Arial" w:cs="Arial"/>
          <w:sz w:val="24"/>
          <w:szCs w:val="24"/>
        </w:rPr>
        <w:t>g</w:t>
      </w:r>
      <w:r w:rsidRPr="003E3B5A">
        <w:rPr>
          <w:rFonts w:ascii="Arial" w:hAnsi="Arial" w:cs="Arial"/>
          <w:sz w:val="24"/>
          <w:szCs w:val="24"/>
        </w:rPr>
        <w:t>eneral número AG/003/2023, así como</w:t>
      </w:r>
      <w:r w:rsidR="008D7FD6" w:rsidRPr="003E3B5A">
        <w:rPr>
          <w:rFonts w:ascii="Arial" w:hAnsi="Arial" w:cs="Arial"/>
          <w:sz w:val="24"/>
          <w:szCs w:val="24"/>
        </w:rPr>
        <w:t>,</w:t>
      </w:r>
      <w:r w:rsidRPr="003E3B5A">
        <w:rPr>
          <w:rFonts w:ascii="Arial" w:hAnsi="Arial" w:cs="Arial"/>
          <w:sz w:val="24"/>
          <w:szCs w:val="24"/>
        </w:rPr>
        <w:t xml:space="preserve"> acuerdo general AG/011/2020.</w:t>
      </w:r>
    </w:p>
    <w:p w:rsidR="0015354E" w:rsidRDefault="0015354E" w:rsidP="00412162">
      <w:pPr>
        <w:spacing w:line="240" w:lineRule="auto"/>
        <w:jc w:val="both"/>
        <w:rPr>
          <w:rFonts w:ascii="Arial" w:hAnsi="Arial" w:cs="Arial"/>
          <w:b/>
          <w:sz w:val="24"/>
          <w:szCs w:val="24"/>
        </w:rPr>
      </w:pPr>
    </w:p>
    <w:p w:rsidR="005117B5" w:rsidRPr="003E3B5A" w:rsidRDefault="005117B5" w:rsidP="00412162">
      <w:pPr>
        <w:spacing w:line="240" w:lineRule="auto"/>
        <w:jc w:val="both"/>
        <w:rPr>
          <w:rFonts w:ascii="Arial" w:hAnsi="Arial" w:cs="Arial"/>
          <w:b/>
          <w:sz w:val="24"/>
          <w:szCs w:val="24"/>
        </w:rPr>
      </w:pPr>
      <w:r w:rsidRPr="003E3B5A">
        <w:rPr>
          <w:rFonts w:ascii="Arial" w:hAnsi="Arial" w:cs="Arial"/>
          <w:b/>
          <w:sz w:val="24"/>
          <w:szCs w:val="24"/>
        </w:rPr>
        <w:t xml:space="preserve">SEGUNDO. Análisis. </w:t>
      </w:r>
    </w:p>
    <w:p w:rsidR="005117B5" w:rsidRPr="003E3B5A" w:rsidRDefault="005117B5" w:rsidP="00412162">
      <w:pPr>
        <w:spacing w:line="240" w:lineRule="auto"/>
        <w:jc w:val="both"/>
        <w:rPr>
          <w:rFonts w:ascii="Arial" w:hAnsi="Arial" w:cs="Arial"/>
          <w:sz w:val="24"/>
          <w:szCs w:val="24"/>
        </w:rPr>
      </w:pPr>
      <w:r w:rsidRPr="003E3B5A">
        <w:rPr>
          <w:rFonts w:ascii="Arial" w:hAnsi="Arial" w:cs="Arial"/>
          <w:sz w:val="24"/>
          <w:szCs w:val="24"/>
        </w:rPr>
        <w:t xml:space="preserve">Del </w:t>
      </w:r>
      <w:r w:rsidR="00DA4A66" w:rsidRPr="003E3B5A">
        <w:rPr>
          <w:rFonts w:ascii="Arial" w:hAnsi="Arial" w:cs="Arial"/>
          <w:sz w:val="24"/>
          <w:szCs w:val="24"/>
        </w:rPr>
        <w:t>acuerdo de reserva</w:t>
      </w:r>
      <w:r w:rsidR="00DA4A66" w:rsidRPr="003E3B5A">
        <w:rPr>
          <w:rFonts w:ascii="Arial" w:hAnsi="Arial" w:cs="Arial"/>
          <w:b/>
          <w:sz w:val="24"/>
          <w:szCs w:val="24"/>
        </w:rPr>
        <w:t xml:space="preserve"> </w:t>
      </w:r>
      <w:r w:rsidR="00C34EAC" w:rsidRPr="003E3B5A">
        <w:rPr>
          <w:rFonts w:ascii="Arial" w:hAnsi="Arial" w:cs="Arial"/>
          <w:b/>
          <w:sz w:val="24"/>
          <w:szCs w:val="24"/>
        </w:rPr>
        <w:t>parcial</w:t>
      </w:r>
      <w:r w:rsidR="00D66619" w:rsidRPr="003E3B5A">
        <w:rPr>
          <w:rFonts w:ascii="Arial" w:hAnsi="Arial" w:cs="Arial"/>
          <w:b/>
          <w:sz w:val="24"/>
          <w:szCs w:val="24"/>
        </w:rPr>
        <w:t xml:space="preserve"> </w:t>
      </w:r>
      <w:r w:rsidR="00A52F44">
        <w:rPr>
          <w:rFonts w:ascii="Arial" w:hAnsi="Arial" w:cs="Arial"/>
          <w:b/>
          <w:sz w:val="24"/>
          <w:szCs w:val="24"/>
        </w:rPr>
        <w:t>FGE/ST/001</w:t>
      </w:r>
      <w:r w:rsidR="00A52F44" w:rsidRPr="003E3B5A">
        <w:rPr>
          <w:rFonts w:ascii="Arial" w:hAnsi="Arial" w:cs="Arial"/>
          <w:b/>
          <w:sz w:val="24"/>
          <w:szCs w:val="24"/>
        </w:rPr>
        <w:t>/2026</w:t>
      </w:r>
      <w:r w:rsidRPr="003E3B5A">
        <w:rPr>
          <w:rFonts w:ascii="Arial" w:hAnsi="Arial" w:cs="Arial"/>
          <w:sz w:val="24"/>
          <w:szCs w:val="24"/>
        </w:rPr>
        <w:t xml:space="preserve">, se advierte que el mismo contiene los requisitos mínimos establecidos por el artículo 128 de LTAIPSLP, y que a sabed son: </w:t>
      </w:r>
    </w:p>
    <w:p w:rsidR="005117B5" w:rsidRPr="003E3B5A" w:rsidRDefault="005117B5" w:rsidP="00412162">
      <w:pPr>
        <w:pStyle w:val="Prrafodelista"/>
        <w:numPr>
          <w:ilvl w:val="0"/>
          <w:numId w:val="1"/>
        </w:numPr>
        <w:jc w:val="both"/>
        <w:rPr>
          <w:rFonts w:ascii="Arial" w:hAnsi="Arial" w:cs="Arial"/>
        </w:rPr>
      </w:pPr>
      <w:r w:rsidRPr="003E3B5A">
        <w:rPr>
          <w:rFonts w:ascii="Arial" w:hAnsi="Arial" w:cs="Arial"/>
        </w:rPr>
        <w:t>La fuente y el archivo donde se encuentra la información;</w:t>
      </w:r>
    </w:p>
    <w:p w:rsidR="005117B5" w:rsidRPr="003E3B5A" w:rsidRDefault="005117B5" w:rsidP="00412162">
      <w:pPr>
        <w:pStyle w:val="Prrafodelista"/>
        <w:numPr>
          <w:ilvl w:val="0"/>
          <w:numId w:val="1"/>
        </w:numPr>
        <w:jc w:val="both"/>
        <w:rPr>
          <w:rFonts w:ascii="Arial" w:hAnsi="Arial" w:cs="Arial"/>
        </w:rPr>
      </w:pPr>
      <w:r w:rsidRPr="003E3B5A">
        <w:rPr>
          <w:rFonts w:ascii="Arial" w:hAnsi="Arial" w:cs="Arial"/>
        </w:rPr>
        <w:t>La fundamentación y motivación del acuerdo;</w:t>
      </w:r>
    </w:p>
    <w:p w:rsidR="005117B5" w:rsidRPr="003E3B5A" w:rsidRDefault="005117B5" w:rsidP="00412162">
      <w:pPr>
        <w:pStyle w:val="Prrafodelista"/>
        <w:numPr>
          <w:ilvl w:val="0"/>
          <w:numId w:val="1"/>
        </w:numPr>
        <w:jc w:val="both"/>
        <w:rPr>
          <w:rFonts w:ascii="Arial" w:hAnsi="Arial" w:cs="Arial"/>
        </w:rPr>
      </w:pPr>
      <w:r w:rsidRPr="003E3B5A">
        <w:rPr>
          <w:rFonts w:ascii="Arial" w:hAnsi="Arial" w:cs="Arial"/>
        </w:rPr>
        <w:lastRenderedPageBreak/>
        <w:t xml:space="preserve">El documento, la parte o las partes de los mismos, que se reservan; </w:t>
      </w:r>
    </w:p>
    <w:p w:rsidR="005117B5" w:rsidRPr="003E3B5A" w:rsidRDefault="005117B5" w:rsidP="00412162">
      <w:pPr>
        <w:pStyle w:val="Prrafodelista"/>
        <w:numPr>
          <w:ilvl w:val="0"/>
          <w:numId w:val="1"/>
        </w:numPr>
        <w:jc w:val="both"/>
        <w:rPr>
          <w:rFonts w:ascii="Arial" w:hAnsi="Arial" w:cs="Arial"/>
        </w:rPr>
      </w:pPr>
      <w:r w:rsidRPr="003E3B5A">
        <w:rPr>
          <w:rFonts w:ascii="Arial" w:hAnsi="Arial" w:cs="Arial"/>
        </w:rPr>
        <w:t xml:space="preserve">El plazo por el que se reserva la información; </w:t>
      </w:r>
    </w:p>
    <w:p w:rsidR="005117B5" w:rsidRPr="003E3B5A" w:rsidRDefault="005117B5" w:rsidP="00412162">
      <w:pPr>
        <w:pStyle w:val="Prrafodelista"/>
        <w:numPr>
          <w:ilvl w:val="0"/>
          <w:numId w:val="1"/>
        </w:numPr>
        <w:jc w:val="both"/>
        <w:rPr>
          <w:rFonts w:ascii="Arial" w:hAnsi="Arial" w:cs="Arial"/>
        </w:rPr>
      </w:pPr>
      <w:r w:rsidRPr="003E3B5A">
        <w:rPr>
          <w:rFonts w:ascii="Arial" w:hAnsi="Arial" w:cs="Arial"/>
        </w:rPr>
        <w:t>La designación de la autoridad responsable de su protección;</w:t>
      </w:r>
    </w:p>
    <w:p w:rsidR="005117B5" w:rsidRPr="004236F6" w:rsidRDefault="005117B5" w:rsidP="00412162">
      <w:pPr>
        <w:pStyle w:val="Prrafodelista"/>
        <w:numPr>
          <w:ilvl w:val="0"/>
          <w:numId w:val="1"/>
        </w:numPr>
        <w:jc w:val="both"/>
        <w:rPr>
          <w:rFonts w:ascii="Arial" w:hAnsi="Arial" w:cs="Arial"/>
          <w:sz w:val="22"/>
          <w:szCs w:val="22"/>
        </w:rPr>
      </w:pPr>
      <w:r w:rsidRPr="004236F6">
        <w:rPr>
          <w:rFonts w:ascii="Arial" w:hAnsi="Arial" w:cs="Arial"/>
          <w:sz w:val="22"/>
          <w:szCs w:val="22"/>
        </w:rPr>
        <w:t xml:space="preserve">Número de identificación del acuerdo de reserva; </w:t>
      </w:r>
    </w:p>
    <w:p w:rsidR="005117B5" w:rsidRPr="004236F6" w:rsidRDefault="005117B5" w:rsidP="00412162">
      <w:pPr>
        <w:pStyle w:val="Prrafodelista"/>
        <w:numPr>
          <w:ilvl w:val="0"/>
          <w:numId w:val="1"/>
        </w:numPr>
        <w:jc w:val="both"/>
        <w:rPr>
          <w:rFonts w:ascii="Arial" w:hAnsi="Arial" w:cs="Arial"/>
          <w:sz w:val="22"/>
          <w:szCs w:val="22"/>
        </w:rPr>
      </w:pPr>
      <w:r w:rsidRPr="004236F6">
        <w:rPr>
          <w:rFonts w:ascii="Arial" w:hAnsi="Arial" w:cs="Arial"/>
          <w:sz w:val="22"/>
          <w:szCs w:val="22"/>
        </w:rPr>
        <w:t xml:space="preserve">La aplicación de la prueba del daño; </w:t>
      </w:r>
    </w:p>
    <w:p w:rsidR="005117B5" w:rsidRPr="004236F6" w:rsidRDefault="005117B5" w:rsidP="00412162">
      <w:pPr>
        <w:pStyle w:val="Prrafodelista"/>
        <w:numPr>
          <w:ilvl w:val="0"/>
          <w:numId w:val="1"/>
        </w:numPr>
        <w:jc w:val="both"/>
        <w:rPr>
          <w:rFonts w:ascii="Arial" w:hAnsi="Arial" w:cs="Arial"/>
          <w:sz w:val="22"/>
          <w:szCs w:val="22"/>
        </w:rPr>
      </w:pPr>
      <w:r w:rsidRPr="004236F6">
        <w:rPr>
          <w:rFonts w:ascii="Arial" w:hAnsi="Arial" w:cs="Arial"/>
          <w:sz w:val="22"/>
          <w:szCs w:val="22"/>
        </w:rPr>
        <w:t>Fecha del acuerdo de clasificación.</w:t>
      </w:r>
    </w:p>
    <w:p w:rsidR="00D53B1B" w:rsidRPr="004236F6" w:rsidRDefault="00D53B1B" w:rsidP="00412162">
      <w:pPr>
        <w:spacing w:after="0" w:line="240" w:lineRule="auto"/>
        <w:jc w:val="both"/>
        <w:rPr>
          <w:rFonts w:ascii="Arial" w:hAnsi="Arial" w:cs="Arial"/>
        </w:rPr>
      </w:pPr>
    </w:p>
    <w:p w:rsidR="00E17D56" w:rsidRDefault="00842F00" w:rsidP="00412162">
      <w:pPr>
        <w:spacing w:line="240" w:lineRule="auto"/>
        <w:jc w:val="both"/>
        <w:rPr>
          <w:rFonts w:ascii="Arial" w:hAnsi="Arial" w:cs="Arial"/>
        </w:rPr>
      </w:pPr>
      <w:r w:rsidRPr="004236F6">
        <w:rPr>
          <w:rFonts w:ascii="Arial" w:hAnsi="Arial" w:cs="Arial"/>
        </w:rPr>
        <w:t xml:space="preserve">Dichos requisitos se encuentran concatenados a los lineamientos </w:t>
      </w:r>
      <w:r w:rsidR="008D7FD6" w:rsidRPr="004236F6">
        <w:rPr>
          <w:rFonts w:ascii="Arial" w:hAnsi="Arial" w:cs="Arial"/>
        </w:rPr>
        <w:t>o</w:t>
      </w:r>
      <w:r w:rsidRPr="004236F6">
        <w:rPr>
          <w:rFonts w:ascii="Arial" w:hAnsi="Arial" w:cs="Arial"/>
        </w:rPr>
        <w:t xml:space="preserve">ctavo, </w:t>
      </w:r>
      <w:r w:rsidR="008D7FD6" w:rsidRPr="004236F6">
        <w:rPr>
          <w:rFonts w:ascii="Arial" w:hAnsi="Arial" w:cs="Arial"/>
        </w:rPr>
        <w:t>d</w:t>
      </w:r>
      <w:r w:rsidRPr="004236F6">
        <w:rPr>
          <w:rFonts w:ascii="Arial" w:hAnsi="Arial" w:cs="Arial"/>
        </w:rPr>
        <w:t xml:space="preserve">écimo </w:t>
      </w:r>
      <w:r w:rsidR="008D7FD6" w:rsidRPr="004236F6">
        <w:rPr>
          <w:rFonts w:ascii="Arial" w:hAnsi="Arial" w:cs="Arial"/>
        </w:rPr>
        <w:t>s</w:t>
      </w:r>
      <w:r w:rsidRPr="004236F6">
        <w:rPr>
          <w:rFonts w:ascii="Arial" w:hAnsi="Arial" w:cs="Arial"/>
        </w:rPr>
        <w:t>éptimo</w:t>
      </w:r>
      <w:r w:rsidR="008D7FD6" w:rsidRPr="004236F6">
        <w:rPr>
          <w:rFonts w:ascii="Arial" w:hAnsi="Arial" w:cs="Arial"/>
        </w:rPr>
        <w:t>,</w:t>
      </w:r>
      <w:r w:rsidRPr="004236F6">
        <w:rPr>
          <w:rFonts w:ascii="Arial" w:hAnsi="Arial" w:cs="Arial"/>
        </w:rPr>
        <w:t xml:space="preserve"> </w:t>
      </w:r>
      <w:r w:rsidR="008D7FD6" w:rsidRPr="004236F6">
        <w:rPr>
          <w:rFonts w:ascii="Arial" w:hAnsi="Arial" w:cs="Arial"/>
        </w:rPr>
        <w:t>t</w:t>
      </w:r>
      <w:r w:rsidRPr="004236F6">
        <w:rPr>
          <w:rFonts w:ascii="Arial" w:hAnsi="Arial" w:cs="Arial"/>
        </w:rPr>
        <w:t xml:space="preserve">rigésimo </w:t>
      </w:r>
      <w:r w:rsidR="008D7FD6" w:rsidRPr="004236F6">
        <w:rPr>
          <w:rFonts w:ascii="Arial" w:hAnsi="Arial" w:cs="Arial"/>
        </w:rPr>
        <w:t>t</w:t>
      </w:r>
      <w:r w:rsidRPr="004236F6">
        <w:rPr>
          <w:rFonts w:ascii="Arial" w:hAnsi="Arial" w:cs="Arial"/>
        </w:rPr>
        <w:t xml:space="preserve">ercero, y </w:t>
      </w:r>
      <w:r w:rsidR="008D7FD6" w:rsidRPr="004236F6">
        <w:rPr>
          <w:rFonts w:ascii="Arial" w:hAnsi="Arial" w:cs="Arial"/>
        </w:rPr>
        <w:t>t</w:t>
      </w:r>
      <w:r w:rsidRPr="004236F6">
        <w:rPr>
          <w:rFonts w:ascii="Arial" w:hAnsi="Arial" w:cs="Arial"/>
        </w:rPr>
        <w:t xml:space="preserve">rigésimo </w:t>
      </w:r>
      <w:r w:rsidR="008D7FD6" w:rsidRPr="004236F6">
        <w:rPr>
          <w:rFonts w:ascii="Arial" w:hAnsi="Arial" w:cs="Arial"/>
        </w:rPr>
        <w:t>c</w:t>
      </w:r>
      <w:r w:rsidRPr="004236F6">
        <w:rPr>
          <w:rFonts w:ascii="Arial" w:hAnsi="Arial" w:cs="Arial"/>
        </w:rPr>
        <w:t>uarto de los LGCDIEVP.</w:t>
      </w:r>
    </w:p>
    <w:p w:rsidR="00AE5C19" w:rsidRPr="004236F6" w:rsidRDefault="00AE5C19" w:rsidP="00412162">
      <w:pPr>
        <w:spacing w:line="240" w:lineRule="auto"/>
        <w:jc w:val="both"/>
        <w:rPr>
          <w:rFonts w:ascii="Arial" w:hAnsi="Arial" w:cs="Arial"/>
        </w:rPr>
      </w:pPr>
    </w:p>
    <w:p w:rsidR="00BF3665" w:rsidRPr="004236F6" w:rsidRDefault="009819AE" w:rsidP="00412162">
      <w:pPr>
        <w:spacing w:line="240" w:lineRule="auto"/>
        <w:jc w:val="both"/>
        <w:rPr>
          <w:rFonts w:ascii="Arial" w:hAnsi="Arial" w:cs="Arial"/>
          <w:b/>
        </w:rPr>
      </w:pPr>
      <w:r w:rsidRPr="004236F6">
        <w:rPr>
          <w:rFonts w:ascii="Arial" w:hAnsi="Arial" w:cs="Arial"/>
          <w:b/>
        </w:rPr>
        <w:t>TERCERO. Sentido de la resolución.</w:t>
      </w:r>
    </w:p>
    <w:p w:rsidR="00BF3665" w:rsidRDefault="009819AE" w:rsidP="00412162">
      <w:pPr>
        <w:pStyle w:val="Prrafodelista"/>
        <w:numPr>
          <w:ilvl w:val="0"/>
          <w:numId w:val="2"/>
        </w:numPr>
        <w:jc w:val="both"/>
        <w:rPr>
          <w:rFonts w:ascii="Arial" w:hAnsi="Arial" w:cs="Arial"/>
          <w:b/>
          <w:sz w:val="22"/>
          <w:szCs w:val="22"/>
        </w:rPr>
      </w:pPr>
      <w:r w:rsidRPr="004236F6">
        <w:rPr>
          <w:rFonts w:ascii="Arial" w:hAnsi="Arial" w:cs="Arial"/>
          <w:b/>
          <w:sz w:val="22"/>
          <w:szCs w:val="22"/>
        </w:rPr>
        <w:t>Los motivos y razonamientos que sustenten la confirmación o modificación de la prueba de daño.</w:t>
      </w:r>
    </w:p>
    <w:p w:rsidR="008D653C" w:rsidRDefault="008D653C" w:rsidP="000809E2">
      <w:pPr>
        <w:autoSpaceDE w:val="0"/>
        <w:autoSpaceDN w:val="0"/>
        <w:adjustRightInd w:val="0"/>
        <w:spacing w:line="240" w:lineRule="auto"/>
        <w:jc w:val="both"/>
        <w:rPr>
          <w:rFonts w:ascii="Arial" w:hAnsi="Arial" w:cs="Arial"/>
          <w:u w:val="single"/>
        </w:rPr>
      </w:pPr>
    </w:p>
    <w:p w:rsidR="001B4E8A" w:rsidRPr="001B4E8A" w:rsidRDefault="007336C3" w:rsidP="001B4E8A">
      <w:pPr>
        <w:autoSpaceDE w:val="0"/>
        <w:autoSpaceDN w:val="0"/>
        <w:adjustRightInd w:val="0"/>
        <w:spacing w:line="240" w:lineRule="auto"/>
        <w:jc w:val="both"/>
        <w:rPr>
          <w:rFonts w:ascii="Arial" w:hAnsi="Arial" w:cs="Arial"/>
          <w:sz w:val="24"/>
          <w:szCs w:val="24"/>
        </w:rPr>
      </w:pPr>
      <w:r w:rsidRPr="003E3B5A">
        <w:rPr>
          <w:rFonts w:ascii="Arial" w:hAnsi="Arial" w:cs="Arial"/>
          <w:sz w:val="24"/>
          <w:szCs w:val="24"/>
          <w:u w:val="single"/>
        </w:rPr>
        <w:t>Motivación.</w:t>
      </w:r>
      <w:r w:rsidR="008565C9" w:rsidRPr="003E3B5A">
        <w:rPr>
          <w:rFonts w:ascii="Arial" w:hAnsi="Arial" w:cs="Arial"/>
          <w:sz w:val="24"/>
          <w:szCs w:val="24"/>
        </w:rPr>
        <w:t xml:space="preserve"> </w:t>
      </w:r>
      <w:r w:rsidR="001B4E8A" w:rsidRPr="001B4E8A">
        <w:rPr>
          <w:rFonts w:ascii="Arial" w:hAnsi="Arial" w:cs="Arial"/>
          <w:sz w:val="24"/>
          <w:szCs w:val="24"/>
        </w:rPr>
        <w:t xml:space="preserve">En el caso que nos ocupa la información pública de oficio que se reserva relativa a la información contenida en los cuatro anexos técnicos (Anexos 1 y 2 de fecha 09 de enero de 2025; Anexo 3 de fecha 21 de mayo de 2025 y anexo 4 de fecha 21 de enero de 2026) que forman parte integrante del Convenio Marco de Cooperación Técnica celebrado por una parte por la Fiscalía General del Estado de San Luis Potosí y por otra el Fondo de Población de Las Naciones Unidas (UNFPA), de fecha 09 de enero de 2025, concretamente lo siguiente: Primer Anexo Técnico sobre colaboración con Universidad de Alemania de obtener perfiles genéticos (Cláusula Segunda, Puntos 5 y 6): Cláusula Segunda, Puntos 5 y 6): Los marcadores específicos de la revisión y análisis genético de </w:t>
      </w:r>
      <w:proofErr w:type="spellStart"/>
      <w:r w:rsidR="001B4E8A" w:rsidRPr="001B4E8A">
        <w:rPr>
          <w:rFonts w:ascii="Arial" w:hAnsi="Arial" w:cs="Arial"/>
          <w:sz w:val="24"/>
          <w:szCs w:val="24"/>
        </w:rPr>
        <w:t>STRs</w:t>
      </w:r>
      <w:proofErr w:type="spellEnd"/>
      <w:r w:rsidR="001B4E8A" w:rsidRPr="001B4E8A">
        <w:rPr>
          <w:rFonts w:ascii="Arial" w:hAnsi="Arial" w:cs="Arial"/>
          <w:sz w:val="24"/>
          <w:szCs w:val="24"/>
        </w:rPr>
        <w:t xml:space="preserve"> (short </w:t>
      </w:r>
      <w:proofErr w:type="spellStart"/>
      <w:r w:rsidR="001B4E8A" w:rsidRPr="001B4E8A">
        <w:rPr>
          <w:rFonts w:ascii="Arial" w:hAnsi="Arial" w:cs="Arial"/>
          <w:sz w:val="24"/>
          <w:szCs w:val="24"/>
        </w:rPr>
        <w:t>tandem</w:t>
      </w:r>
      <w:proofErr w:type="spellEnd"/>
      <w:r w:rsidR="001B4E8A" w:rsidRPr="001B4E8A">
        <w:rPr>
          <w:rFonts w:ascii="Arial" w:hAnsi="Arial" w:cs="Arial"/>
          <w:sz w:val="24"/>
          <w:szCs w:val="24"/>
        </w:rPr>
        <w:t xml:space="preserve"> </w:t>
      </w:r>
      <w:proofErr w:type="spellStart"/>
      <w:r w:rsidR="001B4E8A" w:rsidRPr="001B4E8A">
        <w:rPr>
          <w:rFonts w:ascii="Arial" w:hAnsi="Arial" w:cs="Arial"/>
          <w:sz w:val="24"/>
          <w:szCs w:val="24"/>
        </w:rPr>
        <w:t>repeats</w:t>
      </w:r>
      <w:proofErr w:type="spellEnd"/>
      <w:r w:rsidR="001B4E8A" w:rsidRPr="001B4E8A">
        <w:rPr>
          <w:rFonts w:ascii="Arial" w:hAnsi="Arial" w:cs="Arial"/>
          <w:sz w:val="24"/>
          <w:szCs w:val="24"/>
        </w:rPr>
        <w:t xml:space="preserve">) autosómicos, Segundo Anexo Técnico sobre acompañamiento técnico para digitalización y conservación de fichas dactilares (Cláusula Primera): Las columnas de Descripción, Cantidad y Medida del recuadro de Transferencia del Título de la Propiedad de Suministros, Tercer Anexo Técnico en relación a transferencia a título gratuito de suministros (Cláusula Primera): Las columnas de Equipo, Marca/Modelo, Unidad, Número de Serie y Garantía del recuadro de Transferencia de Propiedad de Suministros y Equipo Fungible, Cuarto Anexo Técnico en relación a transferencia a título gratuito de suministros fungibles (Cláusula Primera): Las columnas de </w:t>
      </w:r>
      <w:proofErr w:type="spellStart"/>
      <w:r w:rsidR="001B4E8A" w:rsidRPr="001B4E8A">
        <w:rPr>
          <w:rFonts w:ascii="Arial" w:hAnsi="Arial" w:cs="Arial"/>
          <w:sz w:val="24"/>
          <w:szCs w:val="24"/>
        </w:rPr>
        <w:t>Item</w:t>
      </w:r>
      <w:proofErr w:type="spellEnd"/>
      <w:r w:rsidR="001B4E8A" w:rsidRPr="001B4E8A">
        <w:rPr>
          <w:rFonts w:ascii="Arial" w:hAnsi="Arial" w:cs="Arial"/>
          <w:sz w:val="24"/>
          <w:szCs w:val="24"/>
        </w:rPr>
        <w:t xml:space="preserve">, Concepto, Cantidad, Medida, Caducidad y Garantía del recuadro de Transferencia de Propiedad de Suministros Fungibles; es procedente puesto que el dar a conocer parte de ella, se deja en un grave estado de vulnerabilidad a la Institución debido a que la divulgación de los datos descritos causaría daño presente en razón de que al darse a conocer dicha información pueden ser clonados y suplantados permitiendo identificar las piezas, componentes y maquinaria, por lo cual, sería fácilmente determinar cómo se llevan a cabo las funciones de la Fiscalía General del Estado, la capacidad de reacción de la corporación ante hechos delictivos y delincuencia organizada además de haber una obstrucción en la persecución de delitos, por lo que es importante la reserva de información anteriormente descrita. </w:t>
      </w:r>
    </w:p>
    <w:p w:rsidR="001B4E8A" w:rsidRPr="001B4E8A" w:rsidRDefault="001B4E8A" w:rsidP="001B4E8A">
      <w:pPr>
        <w:autoSpaceDE w:val="0"/>
        <w:autoSpaceDN w:val="0"/>
        <w:adjustRightInd w:val="0"/>
        <w:spacing w:line="240" w:lineRule="auto"/>
        <w:jc w:val="both"/>
        <w:rPr>
          <w:rFonts w:ascii="Arial" w:hAnsi="Arial" w:cs="Arial"/>
          <w:sz w:val="24"/>
          <w:szCs w:val="24"/>
        </w:rPr>
      </w:pPr>
      <w:r w:rsidRPr="001B4E8A">
        <w:rPr>
          <w:rFonts w:ascii="Arial" w:hAnsi="Arial" w:cs="Arial"/>
          <w:sz w:val="24"/>
          <w:szCs w:val="24"/>
        </w:rPr>
        <w:lastRenderedPageBreak/>
        <w:t xml:space="preserve">Por lo que con fundamento en los dispuesto por el artículo 129, fracción I y XII de la Ley de Transparencia y Acceso a la Información Pública se considera debidamente fundado y motivado reservar parcialmente la información contenida en los cuatro anexos técnicos (Anexos 1 y 2 de fecha 09 de enero de 2025; Anexo 3 de fecha 21 de mayo de 2025 y anexo 4 de fecha 21 de enero de 2026) que forman parte integrante del Convenio Marco de Cooperación Técnica celebrado por una parte por la Fiscalía General del Estado de San Luis Potosí y por otra el Fondo de Población de Las Naciones Unidas (UNFPA), de fecha 09 de enero de 2025, concretamente lo siguiente: Primer Anexo Técnico sobre colaboración con Universidad de Alemania de obtener perfiles genéticos (Cláusula Segunda, Puntos 5 y 6): Cláusula Segunda, Puntos 5 y 6): Los marcadores específicos de la revisión y análisis genético de </w:t>
      </w:r>
      <w:proofErr w:type="spellStart"/>
      <w:r w:rsidRPr="001B4E8A">
        <w:rPr>
          <w:rFonts w:ascii="Arial" w:hAnsi="Arial" w:cs="Arial"/>
          <w:sz w:val="24"/>
          <w:szCs w:val="24"/>
        </w:rPr>
        <w:t>STRs</w:t>
      </w:r>
      <w:proofErr w:type="spellEnd"/>
      <w:r w:rsidRPr="001B4E8A">
        <w:rPr>
          <w:rFonts w:ascii="Arial" w:hAnsi="Arial" w:cs="Arial"/>
          <w:sz w:val="24"/>
          <w:szCs w:val="24"/>
        </w:rPr>
        <w:t xml:space="preserve"> (short </w:t>
      </w:r>
      <w:proofErr w:type="spellStart"/>
      <w:r w:rsidRPr="001B4E8A">
        <w:rPr>
          <w:rFonts w:ascii="Arial" w:hAnsi="Arial" w:cs="Arial"/>
          <w:sz w:val="24"/>
          <w:szCs w:val="24"/>
        </w:rPr>
        <w:t>tandem</w:t>
      </w:r>
      <w:proofErr w:type="spellEnd"/>
      <w:r w:rsidRPr="001B4E8A">
        <w:rPr>
          <w:rFonts w:ascii="Arial" w:hAnsi="Arial" w:cs="Arial"/>
          <w:sz w:val="24"/>
          <w:szCs w:val="24"/>
        </w:rPr>
        <w:t xml:space="preserve"> </w:t>
      </w:r>
      <w:proofErr w:type="spellStart"/>
      <w:r w:rsidRPr="001B4E8A">
        <w:rPr>
          <w:rFonts w:ascii="Arial" w:hAnsi="Arial" w:cs="Arial"/>
          <w:sz w:val="24"/>
          <w:szCs w:val="24"/>
        </w:rPr>
        <w:t>repeats</w:t>
      </w:r>
      <w:proofErr w:type="spellEnd"/>
      <w:r w:rsidRPr="001B4E8A">
        <w:rPr>
          <w:rFonts w:ascii="Arial" w:hAnsi="Arial" w:cs="Arial"/>
          <w:sz w:val="24"/>
          <w:szCs w:val="24"/>
        </w:rPr>
        <w:t xml:space="preserve">) autosómicos, Segundo Anexo Técnico sobre acompañamiento técnico para digitalización y conservación de fichas dactilares (Cláusula Primera): Las columnas de Descripción, Cantidad y Medida del recuadro de Transferencia del Título de la Propiedad de Suministros, Tercer Anexo Técnico en relación a transferencia a título gratuito de suministros (Cláusula Primera): Las columnas de Equipo, Marca/Modelo, Unidad, Número de Serie y Garantía del recuadro de Transferencia de Propiedad de Suministros y Equipo Fungible, Cuarto Anexo Técnico en relación a transferencia a título gratuito de suministros fungibles (Cláusula Primera): Las columnas de </w:t>
      </w:r>
      <w:proofErr w:type="spellStart"/>
      <w:r w:rsidRPr="001B4E8A">
        <w:rPr>
          <w:rFonts w:ascii="Arial" w:hAnsi="Arial" w:cs="Arial"/>
          <w:sz w:val="24"/>
          <w:szCs w:val="24"/>
        </w:rPr>
        <w:t>Item</w:t>
      </w:r>
      <w:proofErr w:type="spellEnd"/>
      <w:r w:rsidRPr="001B4E8A">
        <w:rPr>
          <w:rFonts w:ascii="Arial" w:hAnsi="Arial" w:cs="Arial"/>
          <w:sz w:val="24"/>
          <w:szCs w:val="24"/>
        </w:rPr>
        <w:t>, Concepto, Cantidad, Medida, Caducidad y Garantía del recuadro de Transferencia de Propiedad de Suministros Fungibles.</w:t>
      </w:r>
    </w:p>
    <w:p w:rsidR="001B4E8A" w:rsidRDefault="001B4E8A" w:rsidP="001B4E8A">
      <w:pPr>
        <w:autoSpaceDE w:val="0"/>
        <w:autoSpaceDN w:val="0"/>
        <w:adjustRightInd w:val="0"/>
        <w:spacing w:line="240" w:lineRule="auto"/>
        <w:jc w:val="both"/>
        <w:rPr>
          <w:rFonts w:ascii="Arial" w:hAnsi="Arial" w:cs="Arial"/>
          <w:sz w:val="24"/>
          <w:szCs w:val="24"/>
        </w:rPr>
      </w:pPr>
      <w:r w:rsidRPr="001B4E8A">
        <w:rPr>
          <w:rFonts w:ascii="Arial" w:hAnsi="Arial" w:cs="Arial"/>
          <w:sz w:val="24"/>
          <w:szCs w:val="24"/>
        </w:rPr>
        <w:t xml:space="preserve">En el caso que nos ocupa, la información pública de oficio que se reserva es procedente puesto que el darla a conocer contraviene lo dispuesto en el Artículo 93 Bis de la Ley del Sistema de Seguridad del Estado de San Luis Potosí que la función imperante de esta Fiscalía, en el que se considera “Se clasifica como reservada la información contenida en todas y cada una de las bases de datos del sistema, y la información contenida en ellos, en materia de detenciones, información criminal, personal de seguridad pública, personal y equipo de los servicios de seguridad privada, armamento y equipo, vehículos, huellas dactilares, teléfonos celulares, medidas cautelares, soluciones alternas y formas de terminación anticipada, sentenciados, y las demás necesarias para la operación del Sistema …” , </w:t>
      </w:r>
    </w:p>
    <w:p w:rsidR="00BF3665" w:rsidRPr="003E3B5A" w:rsidRDefault="007336C3" w:rsidP="001B4E8A">
      <w:pPr>
        <w:autoSpaceDE w:val="0"/>
        <w:autoSpaceDN w:val="0"/>
        <w:adjustRightInd w:val="0"/>
        <w:spacing w:line="240" w:lineRule="auto"/>
        <w:jc w:val="both"/>
        <w:rPr>
          <w:rFonts w:ascii="Arial" w:hAnsi="Arial" w:cs="Arial"/>
          <w:sz w:val="24"/>
          <w:szCs w:val="24"/>
        </w:rPr>
      </w:pPr>
      <w:r w:rsidRPr="003E3B5A">
        <w:rPr>
          <w:rFonts w:ascii="Arial" w:hAnsi="Arial" w:cs="Arial"/>
          <w:sz w:val="24"/>
          <w:szCs w:val="24"/>
          <w:u w:val="single"/>
        </w:rPr>
        <w:t>Razonamiento.</w:t>
      </w:r>
      <w:r w:rsidRPr="003E3B5A">
        <w:rPr>
          <w:rFonts w:ascii="Arial" w:hAnsi="Arial" w:cs="Arial"/>
          <w:sz w:val="24"/>
          <w:szCs w:val="24"/>
        </w:rPr>
        <w:t xml:space="preserve"> </w:t>
      </w:r>
      <w:r w:rsidR="00480661">
        <w:rPr>
          <w:rFonts w:ascii="Arial" w:hAnsi="Arial" w:cs="Arial"/>
          <w:sz w:val="24"/>
          <w:szCs w:val="24"/>
        </w:rPr>
        <w:t>La secretaria Técnica de la Fiscal General Juana María Castillo Ortega</w:t>
      </w:r>
      <w:r w:rsidR="00672FE8" w:rsidRPr="003E3B5A">
        <w:rPr>
          <w:rFonts w:ascii="Arial" w:hAnsi="Arial" w:cs="Arial"/>
          <w:sz w:val="24"/>
          <w:szCs w:val="24"/>
        </w:rPr>
        <w:t xml:space="preserve">, </w:t>
      </w:r>
      <w:r w:rsidR="009819AE" w:rsidRPr="003E3B5A">
        <w:rPr>
          <w:rFonts w:ascii="Arial" w:hAnsi="Arial" w:cs="Arial"/>
          <w:sz w:val="24"/>
          <w:szCs w:val="24"/>
        </w:rPr>
        <w:t xml:space="preserve">adminicula las causales de procedencia de la reserva con las justificaciones en la aplicación de la prueba de daño en las tres hipótesis aplicables de acuerdo a la LTAIPSLP, concatenado con lo establecido en el lineamiento </w:t>
      </w:r>
      <w:r w:rsidR="00481D63" w:rsidRPr="003E3B5A">
        <w:rPr>
          <w:rFonts w:ascii="Arial" w:hAnsi="Arial" w:cs="Arial"/>
          <w:sz w:val="24"/>
          <w:szCs w:val="24"/>
        </w:rPr>
        <w:t>t</w:t>
      </w:r>
      <w:r w:rsidR="009819AE" w:rsidRPr="003E3B5A">
        <w:rPr>
          <w:rFonts w:ascii="Arial" w:hAnsi="Arial" w:cs="Arial"/>
          <w:sz w:val="24"/>
          <w:szCs w:val="24"/>
        </w:rPr>
        <w:t>rigésimo tercero de los LG</w:t>
      </w:r>
      <w:r w:rsidR="00C502DF" w:rsidRPr="003E3B5A">
        <w:rPr>
          <w:rFonts w:ascii="Arial" w:hAnsi="Arial" w:cs="Arial"/>
          <w:sz w:val="24"/>
          <w:szCs w:val="24"/>
        </w:rPr>
        <w:t>M</w:t>
      </w:r>
      <w:r w:rsidR="009819AE" w:rsidRPr="003E3B5A">
        <w:rPr>
          <w:rFonts w:ascii="Arial" w:hAnsi="Arial" w:cs="Arial"/>
          <w:sz w:val="24"/>
          <w:szCs w:val="24"/>
        </w:rPr>
        <w:t>CDIEVP, los que a la letra establecen;</w:t>
      </w:r>
    </w:p>
    <w:p w:rsidR="00BF3665" w:rsidRPr="009A2504" w:rsidRDefault="009819AE" w:rsidP="00412162">
      <w:pPr>
        <w:spacing w:line="240" w:lineRule="auto"/>
        <w:ind w:right="-93"/>
        <w:jc w:val="both"/>
        <w:rPr>
          <w:rFonts w:ascii="Arial" w:hAnsi="Arial" w:cs="Arial"/>
          <w:i/>
          <w:sz w:val="20"/>
          <w:szCs w:val="20"/>
        </w:rPr>
      </w:pPr>
      <w:r w:rsidRPr="009A2504">
        <w:rPr>
          <w:rFonts w:ascii="Arial" w:hAnsi="Arial" w:cs="Arial"/>
          <w:b/>
          <w:i/>
          <w:sz w:val="20"/>
          <w:szCs w:val="20"/>
        </w:rPr>
        <w:t>Artículo 118.</w:t>
      </w:r>
      <w:r w:rsidRPr="009A2504">
        <w:rPr>
          <w:rFonts w:ascii="Arial" w:hAnsi="Arial" w:cs="Arial"/>
          <w:i/>
          <w:sz w:val="20"/>
          <w:szCs w:val="20"/>
        </w:rPr>
        <w:t xml:space="preserve"> En la aplicación de la prueba de daño, el sujeto obligado deberá justificar que:</w:t>
      </w:r>
    </w:p>
    <w:p w:rsidR="00BF3665" w:rsidRPr="009A2504" w:rsidRDefault="009819AE" w:rsidP="00412162">
      <w:pPr>
        <w:spacing w:after="0" w:line="240" w:lineRule="auto"/>
        <w:ind w:right="-93"/>
        <w:jc w:val="both"/>
        <w:rPr>
          <w:rFonts w:ascii="Arial" w:hAnsi="Arial" w:cs="Arial"/>
          <w:i/>
          <w:sz w:val="20"/>
          <w:szCs w:val="20"/>
        </w:rPr>
      </w:pPr>
      <w:r w:rsidRPr="009A2504">
        <w:rPr>
          <w:rFonts w:ascii="Arial" w:hAnsi="Arial" w:cs="Arial"/>
          <w:i/>
          <w:sz w:val="20"/>
          <w:szCs w:val="20"/>
        </w:rPr>
        <w:t>I. La divulgación de la información representa un riesgo real, demostrable e identificable de perjuicio significativo al interés público;</w:t>
      </w:r>
    </w:p>
    <w:p w:rsidR="00BF3665" w:rsidRPr="009A2504" w:rsidRDefault="009819AE" w:rsidP="00412162">
      <w:pPr>
        <w:spacing w:after="0" w:line="240" w:lineRule="auto"/>
        <w:ind w:right="-93"/>
        <w:jc w:val="both"/>
        <w:rPr>
          <w:rFonts w:ascii="Arial" w:hAnsi="Arial" w:cs="Arial"/>
          <w:i/>
          <w:sz w:val="20"/>
          <w:szCs w:val="20"/>
        </w:rPr>
      </w:pPr>
      <w:r w:rsidRPr="009A2504">
        <w:rPr>
          <w:rFonts w:ascii="Arial" w:hAnsi="Arial" w:cs="Arial"/>
          <w:i/>
          <w:sz w:val="20"/>
          <w:szCs w:val="20"/>
        </w:rPr>
        <w:t>II. El riesgo de perjuicio que supondría la divulgación supera el interés público general de que se difunda, y</w:t>
      </w:r>
    </w:p>
    <w:p w:rsidR="00BF3665" w:rsidRPr="009A2504" w:rsidRDefault="009819AE" w:rsidP="00412162">
      <w:pPr>
        <w:spacing w:after="0" w:line="240" w:lineRule="auto"/>
        <w:ind w:right="-93"/>
        <w:jc w:val="both"/>
        <w:rPr>
          <w:rFonts w:ascii="Arial" w:hAnsi="Arial" w:cs="Arial"/>
          <w:i/>
          <w:sz w:val="20"/>
          <w:szCs w:val="20"/>
        </w:rPr>
      </w:pPr>
      <w:r w:rsidRPr="009A2504">
        <w:rPr>
          <w:rFonts w:ascii="Arial" w:hAnsi="Arial" w:cs="Arial"/>
          <w:i/>
          <w:sz w:val="20"/>
          <w:szCs w:val="20"/>
        </w:rPr>
        <w:t>III. La limitación se adecua al principio de proporcionalidad y representa el medio menos restrictivo disponible para evitar el perjuicio.</w:t>
      </w:r>
    </w:p>
    <w:p w:rsidR="003474AB" w:rsidRPr="009A2504" w:rsidRDefault="003474AB" w:rsidP="00412162">
      <w:pPr>
        <w:spacing w:after="0" w:line="240" w:lineRule="auto"/>
        <w:ind w:right="-93"/>
        <w:jc w:val="both"/>
        <w:rPr>
          <w:rFonts w:ascii="Arial" w:hAnsi="Arial" w:cs="Arial"/>
          <w:b/>
          <w:i/>
          <w:sz w:val="20"/>
          <w:szCs w:val="20"/>
        </w:rPr>
      </w:pPr>
    </w:p>
    <w:p w:rsidR="00BF3665" w:rsidRPr="009A2504" w:rsidRDefault="009819AE" w:rsidP="00412162">
      <w:pPr>
        <w:spacing w:line="240" w:lineRule="auto"/>
        <w:ind w:right="-93"/>
        <w:jc w:val="both"/>
        <w:rPr>
          <w:rFonts w:ascii="Arial" w:hAnsi="Arial" w:cs="Arial"/>
          <w:i/>
          <w:sz w:val="20"/>
          <w:szCs w:val="20"/>
        </w:rPr>
      </w:pPr>
      <w:r w:rsidRPr="009A2504">
        <w:rPr>
          <w:rFonts w:ascii="Arial" w:hAnsi="Arial" w:cs="Arial"/>
          <w:b/>
          <w:i/>
          <w:sz w:val="20"/>
          <w:szCs w:val="20"/>
        </w:rPr>
        <w:lastRenderedPageBreak/>
        <w:t>Trigésimo tercero</w:t>
      </w:r>
      <w:r w:rsidRPr="009A2504">
        <w:rPr>
          <w:rFonts w:ascii="Arial" w:hAnsi="Arial" w:cs="Arial"/>
          <w:i/>
          <w:sz w:val="20"/>
          <w:szCs w:val="20"/>
        </w:rPr>
        <w:t>. Para la aplicación de la prueba de daño a la que hace referencia el artículo 104 de la Ley General, los sujetos obligados atenderán lo siguiente:</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Se deberá motivar la clasificación, señalando las circunstancias de modo, tiempo y lugar que acrediten el vínculo entre la difusión de la información y la afectación al interés público o a la seguridad nacional;</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Se deberán precisar las razones objetivas por las que la apertura de la información generaría un riesgo de perjuicio real, demostrable e identificable al interés jurídico tutelado de que se trate;</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Deberán elegir y justificar la opción de excepción al derecho de acceso a la información que menos lo restrinja y que sea adecuada y proporcional para evitar el perjuicio al interés público, evitando siempre que sea posible la reserva absoluta de documentos o expedientes;</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480661" w:rsidRDefault="00480661" w:rsidP="00412162">
      <w:pPr>
        <w:spacing w:line="240" w:lineRule="auto"/>
        <w:jc w:val="both"/>
        <w:rPr>
          <w:rFonts w:ascii="Arial" w:eastAsia="Times New Roman" w:hAnsi="Arial" w:cs="Arial"/>
          <w:sz w:val="24"/>
          <w:szCs w:val="24"/>
          <w:lang w:val="es-ES"/>
        </w:rPr>
      </w:pPr>
    </w:p>
    <w:p w:rsidR="000C4F3A" w:rsidRPr="003E3B5A" w:rsidRDefault="007336C3" w:rsidP="00412162">
      <w:pPr>
        <w:spacing w:line="240" w:lineRule="auto"/>
        <w:jc w:val="both"/>
        <w:rPr>
          <w:rFonts w:ascii="Arial" w:eastAsia="Times New Roman" w:hAnsi="Arial" w:cs="Arial"/>
          <w:sz w:val="24"/>
          <w:szCs w:val="24"/>
          <w:lang w:val="es-ES"/>
        </w:rPr>
      </w:pPr>
      <w:r w:rsidRPr="003E3B5A">
        <w:rPr>
          <w:rFonts w:ascii="Arial" w:eastAsia="Times New Roman" w:hAnsi="Arial" w:cs="Arial"/>
          <w:sz w:val="24"/>
          <w:szCs w:val="24"/>
          <w:lang w:val="es-ES"/>
        </w:rPr>
        <w:t>Con el ánimo de evitar repeticiones innecesarias se tienen aquí por reproducido el desarrollo de cada una de las hipótesis</w:t>
      </w:r>
      <w:r w:rsidR="000C4F3A" w:rsidRPr="003E3B5A">
        <w:rPr>
          <w:rFonts w:ascii="Arial" w:eastAsia="Times New Roman" w:hAnsi="Arial" w:cs="Arial"/>
          <w:sz w:val="24"/>
          <w:szCs w:val="24"/>
          <w:lang w:val="es-ES"/>
        </w:rPr>
        <w:t xml:space="preserve"> establecidas por </w:t>
      </w:r>
      <w:r w:rsidR="00480661">
        <w:rPr>
          <w:rFonts w:ascii="Arial" w:hAnsi="Arial" w:cs="Arial"/>
          <w:sz w:val="24"/>
          <w:szCs w:val="24"/>
        </w:rPr>
        <w:t xml:space="preserve">la </w:t>
      </w:r>
      <w:r w:rsidR="00480661" w:rsidRPr="00480661">
        <w:rPr>
          <w:rFonts w:ascii="Arial" w:hAnsi="Arial" w:cs="Arial"/>
          <w:i/>
          <w:sz w:val="24"/>
          <w:szCs w:val="24"/>
        </w:rPr>
        <w:t>secretaria Técnica de la Fiscal General Juana María Castillo Ortega</w:t>
      </w:r>
      <w:r w:rsidR="00480661" w:rsidRPr="003E3B5A">
        <w:rPr>
          <w:rFonts w:ascii="Arial" w:hAnsi="Arial" w:cs="Arial"/>
          <w:sz w:val="24"/>
          <w:szCs w:val="24"/>
        </w:rPr>
        <w:t xml:space="preserve"> </w:t>
      </w:r>
      <w:r w:rsidR="00DD5EE4" w:rsidRPr="003E3B5A">
        <w:rPr>
          <w:rFonts w:ascii="Arial" w:hAnsi="Arial" w:cs="Arial"/>
          <w:sz w:val="24"/>
          <w:szCs w:val="24"/>
        </w:rPr>
        <w:t>como si se insertarán a la letra</w:t>
      </w:r>
      <w:r w:rsidRPr="003E3B5A">
        <w:rPr>
          <w:rFonts w:ascii="Arial" w:eastAsia="Times New Roman" w:hAnsi="Arial" w:cs="Arial"/>
          <w:sz w:val="24"/>
          <w:szCs w:val="24"/>
          <w:lang w:val="es-ES"/>
        </w:rPr>
        <w:t xml:space="preserve">, </w:t>
      </w:r>
      <w:r w:rsidR="00C8519A" w:rsidRPr="003E3B5A">
        <w:rPr>
          <w:rFonts w:ascii="Arial" w:eastAsia="Times New Roman" w:hAnsi="Arial" w:cs="Arial"/>
          <w:sz w:val="24"/>
          <w:szCs w:val="24"/>
          <w:lang w:val="es-ES"/>
        </w:rPr>
        <w:t xml:space="preserve">de dicha </w:t>
      </w:r>
      <w:r w:rsidR="002503C3" w:rsidRPr="003E3B5A">
        <w:rPr>
          <w:rFonts w:ascii="Arial" w:eastAsia="Times New Roman" w:hAnsi="Arial" w:cs="Arial"/>
          <w:sz w:val="24"/>
          <w:szCs w:val="24"/>
          <w:lang w:val="es-ES"/>
        </w:rPr>
        <w:t>relatoría</w:t>
      </w:r>
      <w:r w:rsidR="000C4F3A" w:rsidRPr="003E3B5A">
        <w:rPr>
          <w:rFonts w:ascii="Arial" w:eastAsia="Times New Roman" w:hAnsi="Arial" w:cs="Arial"/>
          <w:sz w:val="24"/>
          <w:szCs w:val="24"/>
          <w:lang w:val="es-ES"/>
        </w:rPr>
        <w:t xml:space="preserve">, es </w:t>
      </w:r>
      <w:r w:rsidR="00C8519A" w:rsidRPr="003E3B5A">
        <w:rPr>
          <w:rFonts w:ascii="Arial" w:eastAsia="Times New Roman" w:hAnsi="Arial" w:cs="Arial"/>
          <w:sz w:val="24"/>
          <w:szCs w:val="24"/>
          <w:lang w:val="es-ES"/>
        </w:rPr>
        <w:t>proporcional la restricción</w:t>
      </w:r>
      <w:r w:rsidR="000C4F3A" w:rsidRPr="003E3B5A">
        <w:rPr>
          <w:rFonts w:ascii="Arial" w:eastAsia="Times New Roman" w:hAnsi="Arial" w:cs="Arial"/>
          <w:sz w:val="24"/>
          <w:szCs w:val="24"/>
          <w:lang w:val="es-ES"/>
        </w:rPr>
        <w:t xml:space="preserve"> que realiza</w:t>
      </w:r>
      <w:r w:rsidR="00C8519A" w:rsidRPr="003E3B5A">
        <w:rPr>
          <w:rFonts w:ascii="Arial" w:eastAsia="Times New Roman" w:hAnsi="Arial" w:cs="Arial"/>
          <w:sz w:val="24"/>
          <w:szCs w:val="24"/>
          <w:lang w:val="es-ES"/>
        </w:rPr>
        <w:t xml:space="preserve"> en virtud de que  existe una adecuada ponderación entre los principios en juego, ósea, entre el derecho de acceso a la información pública y el fin y objetivo que busca su restricción, relativo al interés</w:t>
      </w:r>
      <w:r w:rsidR="000774A6" w:rsidRPr="003E3B5A">
        <w:rPr>
          <w:rFonts w:ascii="Arial" w:eastAsia="Times New Roman" w:hAnsi="Arial" w:cs="Arial"/>
          <w:sz w:val="24"/>
          <w:szCs w:val="24"/>
          <w:lang w:val="es-ES"/>
        </w:rPr>
        <w:t xml:space="preserve"> </w:t>
      </w:r>
      <w:r w:rsidR="00C8519A" w:rsidRPr="003E3B5A">
        <w:rPr>
          <w:rFonts w:ascii="Arial" w:eastAsia="Times New Roman" w:hAnsi="Arial" w:cs="Arial"/>
          <w:sz w:val="24"/>
          <w:szCs w:val="24"/>
          <w:lang w:val="es-ES"/>
        </w:rPr>
        <w:t>público o general inmerso en la función pública de investigación y persecución de los delitos</w:t>
      </w:r>
      <w:r w:rsidR="000C4F3A" w:rsidRPr="003E3B5A">
        <w:rPr>
          <w:rFonts w:ascii="Arial" w:eastAsia="Times New Roman" w:hAnsi="Arial" w:cs="Arial"/>
          <w:sz w:val="24"/>
          <w:szCs w:val="24"/>
          <w:lang w:val="es-ES"/>
        </w:rPr>
        <w:t xml:space="preserve">. </w:t>
      </w:r>
      <w:r w:rsidR="000774A6" w:rsidRPr="003E3B5A">
        <w:rPr>
          <w:rFonts w:ascii="Arial" w:eastAsia="Times New Roman" w:hAnsi="Arial" w:cs="Arial"/>
          <w:sz w:val="24"/>
          <w:szCs w:val="24"/>
          <w:lang w:val="es-ES"/>
        </w:rPr>
        <w:t xml:space="preserve"> </w:t>
      </w:r>
    </w:p>
    <w:p w:rsidR="001A2764" w:rsidRPr="003E3B5A" w:rsidRDefault="000C4F3A" w:rsidP="00412162">
      <w:pPr>
        <w:autoSpaceDE w:val="0"/>
        <w:autoSpaceDN w:val="0"/>
        <w:adjustRightInd w:val="0"/>
        <w:spacing w:line="240" w:lineRule="auto"/>
        <w:jc w:val="both"/>
        <w:rPr>
          <w:rFonts w:ascii="Arial" w:hAnsi="Arial" w:cs="Arial"/>
          <w:sz w:val="24"/>
          <w:szCs w:val="24"/>
        </w:rPr>
      </w:pPr>
      <w:r w:rsidRPr="003E3B5A">
        <w:rPr>
          <w:rFonts w:ascii="Arial" w:hAnsi="Arial" w:cs="Arial"/>
          <w:sz w:val="24"/>
          <w:szCs w:val="24"/>
        </w:rPr>
        <w:t>Lo anterior, es así porque</w:t>
      </w:r>
      <w:r w:rsidR="001A2764" w:rsidRPr="003E3B5A">
        <w:rPr>
          <w:rFonts w:ascii="Arial" w:hAnsi="Arial" w:cs="Arial"/>
          <w:sz w:val="24"/>
          <w:szCs w:val="24"/>
        </w:rPr>
        <w:t xml:space="preserve"> la divulgación de la información pone en riesgo el objetivo que se salvaguarda, es decir, la información requerida se encuentra vinculada a las actividades de prevención y persecución de hechos posiblemente constitutivos de delitos, pues representa diligencias que sirven para robustecer las investigaciones y que forman parte de ellas,  por lo que su difusión podría </w:t>
      </w:r>
      <w:r w:rsidR="00263864" w:rsidRPr="003E3B5A">
        <w:rPr>
          <w:rFonts w:ascii="Arial" w:hAnsi="Arial" w:cs="Arial"/>
          <w:sz w:val="24"/>
          <w:szCs w:val="24"/>
        </w:rPr>
        <w:t xml:space="preserve">obstruir y/o entorpecer </w:t>
      </w:r>
      <w:r w:rsidR="001A2764" w:rsidRPr="003E3B5A">
        <w:rPr>
          <w:rFonts w:ascii="Arial" w:hAnsi="Arial" w:cs="Arial"/>
          <w:sz w:val="24"/>
          <w:szCs w:val="24"/>
        </w:rPr>
        <w:t xml:space="preserve">la prevención y persecución  de los delitos o poner en </w:t>
      </w:r>
      <w:r w:rsidR="00263864" w:rsidRPr="003E3B5A">
        <w:rPr>
          <w:rFonts w:ascii="Arial" w:hAnsi="Arial" w:cs="Arial"/>
          <w:sz w:val="24"/>
          <w:szCs w:val="24"/>
        </w:rPr>
        <w:t>riesgo</w:t>
      </w:r>
      <w:r w:rsidR="001A2764" w:rsidRPr="003E3B5A">
        <w:rPr>
          <w:rFonts w:ascii="Arial" w:hAnsi="Arial" w:cs="Arial"/>
          <w:sz w:val="24"/>
          <w:szCs w:val="24"/>
        </w:rPr>
        <w:t xml:space="preserve"> el éxito de </w:t>
      </w:r>
      <w:r w:rsidR="00263864" w:rsidRPr="003E3B5A">
        <w:rPr>
          <w:rFonts w:ascii="Arial" w:hAnsi="Arial" w:cs="Arial"/>
          <w:sz w:val="24"/>
          <w:szCs w:val="24"/>
        </w:rPr>
        <w:t>d</w:t>
      </w:r>
      <w:r w:rsidR="001A2764" w:rsidRPr="003E3B5A">
        <w:rPr>
          <w:rFonts w:ascii="Arial" w:hAnsi="Arial" w:cs="Arial"/>
          <w:sz w:val="24"/>
          <w:szCs w:val="24"/>
        </w:rPr>
        <w:t>ichas investigaciones.</w:t>
      </w:r>
      <w:r w:rsidR="00263864" w:rsidRPr="003E3B5A">
        <w:rPr>
          <w:rFonts w:ascii="Arial" w:hAnsi="Arial" w:cs="Arial"/>
          <w:sz w:val="24"/>
          <w:szCs w:val="24"/>
        </w:rPr>
        <w:t xml:space="preserve"> De otorgarse dicha información se contravendrían disposiciones de orden público e interés social relativas a la adecuada administración de justicia de los delitos que se persiguen.</w:t>
      </w:r>
    </w:p>
    <w:p w:rsidR="00AB4D60" w:rsidRPr="003E3B5A" w:rsidRDefault="001E22D9" w:rsidP="00412162">
      <w:pPr>
        <w:autoSpaceDE w:val="0"/>
        <w:autoSpaceDN w:val="0"/>
        <w:adjustRightInd w:val="0"/>
        <w:spacing w:line="240" w:lineRule="auto"/>
        <w:jc w:val="both"/>
        <w:rPr>
          <w:rFonts w:ascii="Arial" w:hAnsi="Arial" w:cs="Arial"/>
          <w:sz w:val="24"/>
          <w:szCs w:val="24"/>
        </w:rPr>
      </w:pPr>
      <w:r w:rsidRPr="003E3B5A">
        <w:rPr>
          <w:rFonts w:ascii="Arial" w:hAnsi="Arial" w:cs="Arial"/>
          <w:sz w:val="24"/>
          <w:szCs w:val="24"/>
        </w:rPr>
        <w:t>D</w:t>
      </w:r>
      <w:r w:rsidR="001A2764" w:rsidRPr="003E3B5A">
        <w:rPr>
          <w:rFonts w:ascii="Arial" w:hAnsi="Arial" w:cs="Arial"/>
          <w:sz w:val="24"/>
          <w:szCs w:val="24"/>
        </w:rPr>
        <w:t xml:space="preserve">e brindar acceso a la información que </w:t>
      </w:r>
      <w:r w:rsidR="00951002" w:rsidRPr="003E3B5A">
        <w:rPr>
          <w:rFonts w:ascii="Arial" w:hAnsi="Arial" w:cs="Arial"/>
          <w:sz w:val="24"/>
          <w:szCs w:val="24"/>
        </w:rPr>
        <w:t>se solicita</w:t>
      </w:r>
      <w:r w:rsidR="001A2764" w:rsidRPr="003E3B5A">
        <w:rPr>
          <w:rFonts w:ascii="Arial" w:hAnsi="Arial" w:cs="Arial"/>
          <w:sz w:val="24"/>
          <w:szCs w:val="24"/>
        </w:rPr>
        <w:t>, pone en riesgo la procuración de justicia, esto debido a que se entorpecería la investigación, e incluso se pondría en riesgo los programas de inteligencia y contrainteligencia</w:t>
      </w:r>
      <w:r w:rsidR="00AB4D60" w:rsidRPr="003E3B5A">
        <w:rPr>
          <w:rFonts w:ascii="Arial" w:hAnsi="Arial" w:cs="Arial"/>
          <w:sz w:val="24"/>
          <w:szCs w:val="24"/>
        </w:rPr>
        <w:t>.</w:t>
      </w:r>
    </w:p>
    <w:p w:rsidR="000C4F3A" w:rsidRPr="003E3B5A" w:rsidRDefault="00AB4D60" w:rsidP="00412162">
      <w:pPr>
        <w:autoSpaceDE w:val="0"/>
        <w:autoSpaceDN w:val="0"/>
        <w:adjustRightInd w:val="0"/>
        <w:spacing w:line="240" w:lineRule="auto"/>
        <w:jc w:val="both"/>
        <w:rPr>
          <w:rFonts w:ascii="Arial" w:hAnsi="Arial" w:cs="Arial"/>
          <w:sz w:val="24"/>
          <w:szCs w:val="24"/>
        </w:rPr>
      </w:pPr>
      <w:r w:rsidRPr="003E3B5A">
        <w:rPr>
          <w:rFonts w:ascii="Arial" w:hAnsi="Arial" w:cs="Arial"/>
          <w:sz w:val="24"/>
          <w:szCs w:val="24"/>
        </w:rPr>
        <w:t>Por lo que</w:t>
      </w:r>
      <w:r w:rsidR="003F7702" w:rsidRPr="003E3B5A">
        <w:rPr>
          <w:rFonts w:ascii="Arial" w:hAnsi="Arial" w:cs="Arial"/>
          <w:sz w:val="24"/>
          <w:szCs w:val="24"/>
        </w:rPr>
        <w:t xml:space="preserve">, la divulgación de la información </w:t>
      </w:r>
      <w:r w:rsidR="003F7702" w:rsidRPr="003E3B5A">
        <w:rPr>
          <w:rFonts w:ascii="Arial" w:hAnsi="Arial" w:cs="Arial"/>
          <w:i/>
          <w:sz w:val="24"/>
          <w:szCs w:val="24"/>
        </w:rPr>
        <w:t>representa un riesgo real, demostrable e identificable de perjuicio significativo al interés público</w:t>
      </w:r>
      <w:r w:rsidR="003F7702" w:rsidRPr="003E3B5A">
        <w:rPr>
          <w:rFonts w:ascii="Arial" w:hAnsi="Arial" w:cs="Arial"/>
          <w:sz w:val="24"/>
          <w:szCs w:val="24"/>
        </w:rPr>
        <w:t xml:space="preserve">, ya que se pueden sufrir amenazas de violencia o manipulaciones de pruebas si la información de la investigación se divulga </w:t>
      </w:r>
      <w:r w:rsidR="003F7702" w:rsidRPr="003E3B5A">
        <w:rPr>
          <w:rFonts w:ascii="Arial" w:hAnsi="Arial" w:cs="Arial"/>
          <w:sz w:val="24"/>
          <w:szCs w:val="24"/>
        </w:rPr>
        <w:lastRenderedPageBreak/>
        <w:t>prematuramente, lo que podría influir negativamente en las decisiones de los jueces o en la valoración de las pruebas, lo que comprometería la legalidad del proceso.</w:t>
      </w:r>
      <w:r w:rsidR="001A2764" w:rsidRPr="003E3B5A">
        <w:rPr>
          <w:rFonts w:ascii="Arial" w:hAnsi="Arial" w:cs="Arial"/>
          <w:sz w:val="24"/>
          <w:szCs w:val="24"/>
        </w:rPr>
        <w:t xml:space="preserve"> </w:t>
      </w:r>
    </w:p>
    <w:p w:rsidR="003F7702" w:rsidRPr="003E3B5A" w:rsidRDefault="003F7702" w:rsidP="00412162">
      <w:pPr>
        <w:spacing w:line="240" w:lineRule="auto"/>
        <w:ind w:right="-93"/>
        <w:jc w:val="both"/>
        <w:rPr>
          <w:rFonts w:ascii="Arial" w:hAnsi="Arial" w:cs="Arial"/>
          <w:sz w:val="24"/>
          <w:szCs w:val="24"/>
        </w:rPr>
      </w:pPr>
      <w:r w:rsidRPr="003E3B5A">
        <w:rPr>
          <w:rFonts w:ascii="Arial" w:hAnsi="Arial" w:cs="Arial"/>
          <w:i/>
          <w:sz w:val="24"/>
          <w:szCs w:val="24"/>
        </w:rPr>
        <w:t>El riesgo de perjuicio que supondría la divulgación supera el interés público general de que se difunda</w:t>
      </w:r>
      <w:r w:rsidRPr="003E3B5A">
        <w:rPr>
          <w:rFonts w:ascii="Arial" w:hAnsi="Arial" w:cs="Arial"/>
          <w:sz w:val="24"/>
          <w:szCs w:val="24"/>
        </w:rPr>
        <w:t>, si bien la divulgación de la información puede contribuir a la transparencia en las investigaciones, el interés público general de obtener esa información debe ser ponderado frente a los riesgos que conlleva su divulgación. Pues si se revela la información pudiera poner en peligro el resultado de la investigación o la seguridad de las personas, el interés de salvaguardar estos aspectos debe prevalecer. En este caso nos encontramos con una investigación sensible, por lo que el impacto de la divulgación puede afectar la confianza pública en la institución encargada de la administración de justicia, si se percibe que no se están tomando las medidas adecuadas para proteger el proceso</w:t>
      </w:r>
      <w:r w:rsidR="00C42F42" w:rsidRPr="003E3B5A">
        <w:rPr>
          <w:rFonts w:ascii="Arial" w:hAnsi="Arial" w:cs="Arial"/>
          <w:sz w:val="24"/>
          <w:szCs w:val="24"/>
        </w:rPr>
        <w:t xml:space="preserve">, además se podrían realizar </w:t>
      </w:r>
      <w:r w:rsidRPr="003E3B5A">
        <w:rPr>
          <w:rFonts w:ascii="Arial" w:hAnsi="Arial" w:cs="Arial"/>
          <w:sz w:val="24"/>
          <w:szCs w:val="24"/>
        </w:rPr>
        <w:t>estadísticas de incidentes previos donde la revelación de información pública afectó el avance de investigaciones.</w:t>
      </w:r>
    </w:p>
    <w:p w:rsidR="00C42F42" w:rsidRPr="003E3B5A" w:rsidRDefault="003F7702" w:rsidP="00412162">
      <w:pPr>
        <w:spacing w:after="0" w:line="240" w:lineRule="auto"/>
        <w:ind w:right="-93"/>
        <w:jc w:val="both"/>
        <w:rPr>
          <w:rFonts w:ascii="Arial" w:hAnsi="Arial" w:cs="Arial"/>
          <w:sz w:val="24"/>
          <w:szCs w:val="24"/>
        </w:rPr>
      </w:pPr>
      <w:r w:rsidRPr="003E3B5A">
        <w:rPr>
          <w:rFonts w:ascii="Arial" w:hAnsi="Arial" w:cs="Arial"/>
          <w:i/>
          <w:sz w:val="24"/>
          <w:szCs w:val="24"/>
        </w:rPr>
        <w:t>La limitación se adecua al principio de proporcionalidad y representa el medio menos restrictivo disponible para evitar el perjuicio</w:t>
      </w:r>
      <w:r w:rsidRPr="003E3B5A">
        <w:rPr>
          <w:rFonts w:ascii="Arial" w:hAnsi="Arial" w:cs="Arial"/>
          <w:sz w:val="24"/>
          <w:szCs w:val="24"/>
        </w:rPr>
        <w:t>.</w:t>
      </w:r>
      <w:r w:rsidR="00C42F42" w:rsidRPr="003E3B5A">
        <w:rPr>
          <w:rFonts w:ascii="Arial" w:hAnsi="Arial" w:cs="Arial"/>
          <w:sz w:val="24"/>
          <w:szCs w:val="24"/>
        </w:rPr>
        <w:t xml:space="preserve"> Mantener la confidencialidad de la investigación es adecuado para proteger la integridad de la investigación o la seguridad de las personas implicadas.</w:t>
      </w:r>
    </w:p>
    <w:p w:rsidR="00A2555F" w:rsidRPr="003E3B5A" w:rsidRDefault="00A2555F" w:rsidP="00412162">
      <w:pPr>
        <w:spacing w:after="0" w:line="240" w:lineRule="auto"/>
        <w:ind w:right="-93"/>
        <w:jc w:val="both"/>
        <w:rPr>
          <w:rFonts w:ascii="Arial" w:hAnsi="Arial" w:cs="Arial"/>
          <w:sz w:val="24"/>
          <w:szCs w:val="24"/>
        </w:rPr>
      </w:pPr>
    </w:p>
    <w:p w:rsidR="00C42F42" w:rsidRPr="003E3B5A" w:rsidRDefault="00C42F42" w:rsidP="00412162">
      <w:pPr>
        <w:autoSpaceDE w:val="0"/>
        <w:autoSpaceDN w:val="0"/>
        <w:adjustRightInd w:val="0"/>
        <w:spacing w:line="240" w:lineRule="auto"/>
        <w:jc w:val="both"/>
        <w:rPr>
          <w:rFonts w:ascii="Arial" w:hAnsi="Arial" w:cs="Arial"/>
          <w:sz w:val="24"/>
          <w:szCs w:val="24"/>
        </w:rPr>
      </w:pPr>
      <w:r w:rsidRPr="003E3B5A">
        <w:rPr>
          <w:rFonts w:ascii="Arial" w:hAnsi="Arial" w:cs="Arial"/>
          <w:sz w:val="24"/>
          <w:szCs w:val="24"/>
        </w:rPr>
        <w:t xml:space="preserve">No existen otras alternativas menos restrictivas para proteger el daño, pues la divulgación completa de la información puede generar un daño irreparable, por lo que no se puede considerar una medida menos invasivas, ni proporcionar de manera parcial la información, pues de acuerdo a la teoría del mosaico, en la que </w:t>
      </w:r>
      <w:r w:rsidRPr="003E3B5A">
        <w:rPr>
          <w:rFonts w:ascii="Arial" w:hAnsi="Arial" w:cs="Arial"/>
          <w:i/>
          <w:sz w:val="24"/>
          <w:szCs w:val="24"/>
        </w:rPr>
        <w:t>una serie de datos que, al ser combinados, revelan una imagen más completa y detallada</w:t>
      </w:r>
      <w:r w:rsidRPr="003E3B5A">
        <w:rPr>
          <w:rFonts w:ascii="Arial" w:hAnsi="Arial" w:cs="Arial"/>
          <w:sz w:val="24"/>
          <w:szCs w:val="24"/>
        </w:rPr>
        <w:t xml:space="preserve">, por lo que las personas que no tienen un propósito genuino con la rendición de cuentas, pueden utilizar la información para entorpecer de manera inequívoca el procedimiento de la investigación, o bien con la información obtenida realizar actos  </w:t>
      </w:r>
      <w:r w:rsidR="000C3B69" w:rsidRPr="003E3B5A">
        <w:rPr>
          <w:rFonts w:ascii="Arial" w:hAnsi="Arial" w:cs="Arial"/>
          <w:sz w:val="24"/>
          <w:szCs w:val="24"/>
        </w:rPr>
        <w:t xml:space="preserve">tendientes a </w:t>
      </w:r>
      <w:r w:rsidRPr="003E3B5A">
        <w:rPr>
          <w:rFonts w:ascii="Arial" w:hAnsi="Arial" w:cs="Arial"/>
          <w:sz w:val="24"/>
          <w:szCs w:val="24"/>
        </w:rPr>
        <w:t>lograr un resultado favorable a sus intereses particulares.</w:t>
      </w:r>
    </w:p>
    <w:p w:rsidR="00427CA6" w:rsidRPr="003E3B5A" w:rsidRDefault="00B115D6" w:rsidP="00412162">
      <w:pPr>
        <w:autoSpaceDE w:val="0"/>
        <w:autoSpaceDN w:val="0"/>
        <w:adjustRightInd w:val="0"/>
        <w:spacing w:line="240" w:lineRule="auto"/>
        <w:jc w:val="both"/>
        <w:rPr>
          <w:rFonts w:ascii="Arial" w:hAnsi="Arial" w:cs="Arial"/>
          <w:sz w:val="24"/>
          <w:szCs w:val="24"/>
        </w:rPr>
      </w:pPr>
      <w:r w:rsidRPr="003E3B5A">
        <w:rPr>
          <w:rFonts w:ascii="Arial" w:hAnsi="Arial" w:cs="Arial"/>
          <w:sz w:val="24"/>
          <w:szCs w:val="24"/>
        </w:rPr>
        <w:t xml:space="preserve">Consecuentemente </w:t>
      </w:r>
      <w:r w:rsidR="000C4F3A" w:rsidRPr="003E3B5A">
        <w:rPr>
          <w:rFonts w:ascii="Arial" w:hAnsi="Arial" w:cs="Arial"/>
          <w:sz w:val="24"/>
          <w:szCs w:val="24"/>
        </w:rPr>
        <w:t>se estima razonable la restricción al derecho humano de acceso a la información</w:t>
      </w:r>
      <w:r w:rsidRPr="003E3B5A">
        <w:rPr>
          <w:rFonts w:ascii="Arial" w:hAnsi="Arial" w:cs="Arial"/>
          <w:sz w:val="24"/>
          <w:szCs w:val="24"/>
        </w:rPr>
        <w:t>, ponderando el interés público o general contenido en la función de orden público consistente en la investigación y persecución de los delitos atribuida al Ministerio Público</w:t>
      </w:r>
      <w:r w:rsidR="000C4F3A" w:rsidRPr="003E3B5A">
        <w:rPr>
          <w:rFonts w:ascii="Arial" w:hAnsi="Arial" w:cs="Arial"/>
          <w:sz w:val="24"/>
          <w:szCs w:val="24"/>
        </w:rPr>
        <w:t>.</w:t>
      </w:r>
    </w:p>
    <w:p w:rsidR="009A2504" w:rsidRPr="003E3B5A" w:rsidRDefault="009A2504" w:rsidP="00412162">
      <w:pPr>
        <w:autoSpaceDE w:val="0"/>
        <w:autoSpaceDN w:val="0"/>
        <w:adjustRightInd w:val="0"/>
        <w:spacing w:line="240" w:lineRule="auto"/>
        <w:jc w:val="both"/>
        <w:rPr>
          <w:rFonts w:ascii="Arial" w:hAnsi="Arial" w:cs="Arial"/>
          <w:sz w:val="24"/>
          <w:szCs w:val="24"/>
        </w:rPr>
      </w:pPr>
    </w:p>
    <w:p w:rsidR="00BF3665" w:rsidRPr="003E3B5A" w:rsidRDefault="009819AE" w:rsidP="00412162">
      <w:pPr>
        <w:pStyle w:val="Prrafodelista"/>
        <w:numPr>
          <w:ilvl w:val="0"/>
          <w:numId w:val="17"/>
        </w:numPr>
        <w:ind w:left="709" w:hanging="425"/>
        <w:jc w:val="both"/>
        <w:rPr>
          <w:rFonts w:ascii="Arial" w:hAnsi="Arial" w:cs="Arial"/>
          <w:b/>
        </w:rPr>
      </w:pPr>
      <w:r w:rsidRPr="003E3B5A">
        <w:rPr>
          <w:rFonts w:ascii="Arial" w:hAnsi="Arial" w:cs="Arial"/>
          <w:b/>
        </w:rPr>
        <w:t>Descripción de las partes o secciones reservadas, en caso de clasificación parcial;</w:t>
      </w:r>
    </w:p>
    <w:p w:rsidR="00AE5C19" w:rsidRPr="003E3B5A" w:rsidRDefault="00AE5C19" w:rsidP="00AE5C19">
      <w:pPr>
        <w:pStyle w:val="Prrafodelista"/>
        <w:ind w:left="709"/>
        <w:jc w:val="both"/>
        <w:rPr>
          <w:rFonts w:ascii="Arial" w:hAnsi="Arial" w:cs="Arial"/>
          <w:b/>
        </w:rPr>
      </w:pPr>
    </w:p>
    <w:p w:rsidR="00615671" w:rsidRPr="00615671" w:rsidRDefault="00615671" w:rsidP="00615671">
      <w:pPr>
        <w:spacing w:line="240" w:lineRule="auto"/>
        <w:jc w:val="both"/>
        <w:rPr>
          <w:rFonts w:ascii="Arial" w:hAnsi="Arial" w:cs="Arial"/>
          <w:bCs/>
          <w:sz w:val="24"/>
          <w:szCs w:val="24"/>
        </w:rPr>
      </w:pPr>
      <w:r w:rsidRPr="00615671">
        <w:rPr>
          <w:rFonts w:ascii="Arial" w:hAnsi="Arial" w:cs="Arial"/>
          <w:bCs/>
          <w:sz w:val="24"/>
          <w:szCs w:val="24"/>
        </w:rPr>
        <w:t xml:space="preserve">Los cuatro anexos técnicos (Anexos 1 y 2 de fecha 09 de enero de 2025; Anexo 3 de fecha 21 de mayo de 2025 y anexo 4 de fecha 21 de enero de 2026) que forman parte integrante del Convenio Marco de Cooperación Técnica celebrado por una parte por la Fiscalía General del Estado de San Luis Potosí y por otra el Fondo de Población de Las Naciones Unidas (UNFPA), de fecha 09 de enero de 2025, se reservaría parcialmente la información, contenida en los siguiente: </w:t>
      </w:r>
    </w:p>
    <w:p w:rsidR="00615671" w:rsidRPr="00615671" w:rsidRDefault="00615671" w:rsidP="00615671">
      <w:pPr>
        <w:spacing w:line="240" w:lineRule="auto"/>
        <w:jc w:val="both"/>
        <w:rPr>
          <w:rFonts w:ascii="Arial" w:hAnsi="Arial" w:cs="Arial"/>
          <w:bCs/>
          <w:sz w:val="24"/>
          <w:szCs w:val="24"/>
        </w:rPr>
      </w:pPr>
      <w:r w:rsidRPr="00615671">
        <w:rPr>
          <w:rFonts w:ascii="Arial" w:hAnsi="Arial" w:cs="Arial"/>
          <w:bCs/>
          <w:sz w:val="24"/>
          <w:szCs w:val="24"/>
        </w:rPr>
        <w:lastRenderedPageBreak/>
        <w:t xml:space="preserve">Primer Anexo Técnico sobre colaboración con Universidad de Alemania de obtener perfiles genéticos (Cláusula Segunda, Puntos 5 y 6): Cláusula Segunda, Puntos 5 y 6): Los marcadores específicos de la revisión y análisis genético de </w:t>
      </w:r>
      <w:proofErr w:type="spellStart"/>
      <w:r w:rsidRPr="00615671">
        <w:rPr>
          <w:rFonts w:ascii="Arial" w:hAnsi="Arial" w:cs="Arial"/>
          <w:bCs/>
          <w:sz w:val="24"/>
          <w:szCs w:val="24"/>
        </w:rPr>
        <w:t>STRs</w:t>
      </w:r>
      <w:proofErr w:type="spellEnd"/>
      <w:r w:rsidRPr="00615671">
        <w:rPr>
          <w:rFonts w:ascii="Arial" w:hAnsi="Arial" w:cs="Arial"/>
          <w:bCs/>
          <w:sz w:val="24"/>
          <w:szCs w:val="24"/>
        </w:rPr>
        <w:t xml:space="preserve"> (short </w:t>
      </w:r>
      <w:proofErr w:type="spellStart"/>
      <w:r w:rsidRPr="00615671">
        <w:rPr>
          <w:rFonts w:ascii="Arial" w:hAnsi="Arial" w:cs="Arial"/>
          <w:bCs/>
          <w:sz w:val="24"/>
          <w:szCs w:val="24"/>
        </w:rPr>
        <w:t>tandem</w:t>
      </w:r>
      <w:proofErr w:type="spellEnd"/>
      <w:r w:rsidRPr="00615671">
        <w:rPr>
          <w:rFonts w:ascii="Arial" w:hAnsi="Arial" w:cs="Arial"/>
          <w:bCs/>
          <w:sz w:val="24"/>
          <w:szCs w:val="24"/>
        </w:rPr>
        <w:t xml:space="preserve"> </w:t>
      </w:r>
      <w:proofErr w:type="spellStart"/>
      <w:r w:rsidRPr="00615671">
        <w:rPr>
          <w:rFonts w:ascii="Arial" w:hAnsi="Arial" w:cs="Arial"/>
          <w:bCs/>
          <w:sz w:val="24"/>
          <w:szCs w:val="24"/>
        </w:rPr>
        <w:t>repeats</w:t>
      </w:r>
      <w:proofErr w:type="spellEnd"/>
      <w:r w:rsidRPr="00615671">
        <w:rPr>
          <w:rFonts w:ascii="Arial" w:hAnsi="Arial" w:cs="Arial"/>
          <w:bCs/>
          <w:sz w:val="24"/>
          <w:szCs w:val="24"/>
        </w:rPr>
        <w:t xml:space="preserve">) autosómicos. </w:t>
      </w:r>
    </w:p>
    <w:p w:rsidR="00615671" w:rsidRPr="00615671" w:rsidRDefault="00615671" w:rsidP="00615671">
      <w:pPr>
        <w:spacing w:line="240" w:lineRule="auto"/>
        <w:jc w:val="both"/>
        <w:rPr>
          <w:rFonts w:ascii="Arial" w:hAnsi="Arial" w:cs="Arial"/>
          <w:bCs/>
          <w:sz w:val="24"/>
          <w:szCs w:val="24"/>
        </w:rPr>
      </w:pPr>
      <w:r w:rsidRPr="00615671">
        <w:rPr>
          <w:rFonts w:ascii="Arial" w:hAnsi="Arial" w:cs="Arial"/>
          <w:bCs/>
          <w:sz w:val="24"/>
          <w:szCs w:val="24"/>
        </w:rPr>
        <w:t xml:space="preserve">Segundo Anexo Técnico sobre acompañamiento técnico para digitalización y conservación de fichas dactilares (Cláusula Primera): Las columnas de Descripción, Cantidad y Medida del recuadro de Transferencia del Título de la Propiedad de Suministros. </w:t>
      </w:r>
    </w:p>
    <w:p w:rsidR="00615671" w:rsidRPr="00615671" w:rsidRDefault="00615671" w:rsidP="00615671">
      <w:pPr>
        <w:spacing w:line="240" w:lineRule="auto"/>
        <w:jc w:val="both"/>
        <w:rPr>
          <w:rFonts w:ascii="Arial" w:hAnsi="Arial" w:cs="Arial"/>
          <w:bCs/>
          <w:sz w:val="24"/>
          <w:szCs w:val="24"/>
        </w:rPr>
      </w:pPr>
      <w:r w:rsidRPr="00615671">
        <w:rPr>
          <w:rFonts w:ascii="Arial" w:hAnsi="Arial" w:cs="Arial"/>
          <w:bCs/>
          <w:sz w:val="24"/>
          <w:szCs w:val="24"/>
        </w:rPr>
        <w:t xml:space="preserve">Tercer Anexo Técnico en relación a transferencia a título gratuito de suministros (Cláusula Primera): Las columnas de Equipo, Marca/Modelo, Unidad, Número de Serie y Garantía del recuadro de Transferencia de Propiedad de Suministros y Equipo Fungible. </w:t>
      </w:r>
    </w:p>
    <w:p w:rsidR="0015354E" w:rsidRPr="003E3B5A" w:rsidRDefault="00615671" w:rsidP="00615671">
      <w:pPr>
        <w:spacing w:line="240" w:lineRule="auto"/>
        <w:jc w:val="both"/>
        <w:rPr>
          <w:rFonts w:ascii="Arial" w:hAnsi="Arial" w:cs="Arial"/>
          <w:bCs/>
          <w:sz w:val="24"/>
          <w:szCs w:val="24"/>
        </w:rPr>
      </w:pPr>
      <w:r w:rsidRPr="00615671">
        <w:rPr>
          <w:rFonts w:ascii="Arial" w:hAnsi="Arial" w:cs="Arial"/>
          <w:bCs/>
          <w:sz w:val="24"/>
          <w:szCs w:val="24"/>
        </w:rPr>
        <w:t xml:space="preserve">Cuarto Anexo Técnico en relación a transferencia a título gratuito de suministros fungibles (Cláusula Primera): Las columnas de </w:t>
      </w:r>
      <w:proofErr w:type="spellStart"/>
      <w:r w:rsidRPr="00615671">
        <w:rPr>
          <w:rFonts w:ascii="Arial" w:hAnsi="Arial" w:cs="Arial"/>
          <w:bCs/>
          <w:sz w:val="24"/>
          <w:szCs w:val="24"/>
        </w:rPr>
        <w:t>Item</w:t>
      </w:r>
      <w:proofErr w:type="spellEnd"/>
      <w:r w:rsidRPr="00615671">
        <w:rPr>
          <w:rFonts w:ascii="Arial" w:hAnsi="Arial" w:cs="Arial"/>
          <w:bCs/>
          <w:sz w:val="24"/>
          <w:szCs w:val="24"/>
        </w:rPr>
        <w:t>, Concepto, Cantidad, Medida, Caducidad y Garantía del recuadro de Transferencia de Propiedad de Suministros Fungibles.</w:t>
      </w:r>
    </w:p>
    <w:p w:rsidR="00BF3665" w:rsidRPr="003E3B5A" w:rsidRDefault="009819AE" w:rsidP="002664DE">
      <w:pPr>
        <w:pStyle w:val="Prrafodelista"/>
        <w:numPr>
          <w:ilvl w:val="0"/>
          <w:numId w:val="17"/>
        </w:numPr>
        <w:jc w:val="both"/>
        <w:rPr>
          <w:rFonts w:ascii="Arial" w:hAnsi="Arial" w:cs="Arial"/>
          <w:bCs/>
        </w:rPr>
      </w:pPr>
      <w:r w:rsidRPr="003E3B5A">
        <w:rPr>
          <w:rFonts w:ascii="Arial" w:hAnsi="Arial" w:cs="Arial"/>
          <w:b/>
        </w:rPr>
        <w:t>El período por el que mantendrá su clasificación y fecha de expedición;</w:t>
      </w:r>
    </w:p>
    <w:p w:rsidR="00BF3665" w:rsidRPr="003E3B5A" w:rsidRDefault="009819AE" w:rsidP="00412162">
      <w:pPr>
        <w:spacing w:after="0" w:line="240" w:lineRule="auto"/>
        <w:jc w:val="both"/>
        <w:rPr>
          <w:rFonts w:ascii="Arial" w:hAnsi="Arial" w:cs="Arial"/>
          <w:sz w:val="24"/>
          <w:szCs w:val="24"/>
        </w:rPr>
      </w:pPr>
      <w:r w:rsidRPr="003E3B5A">
        <w:rPr>
          <w:rFonts w:ascii="Arial" w:hAnsi="Arial" w:cs="Arial"/>
          <w:sz w:val="24"/>
          <w:szCs w:val="24"/>
        </w:rPr>
        <w:t>Período. 5 años.</w:t>
      </w:r>
    </w:p>
    <w:p w:rsidR="000C23C7" w:rsidRPr="003E3B5A" w:rsidRDefault="000C23C7" w:rsidP="00412162">
      <w:pPr>
        <w:spacing w:after="0" w:line="240" w:lineRule="auto"/>
        <w:jc w:val="both"/>
        <w:rPr>
          <w:rFonts w:ascii="Arial" w:hAnsi="Arial" w:cs="Arial"/>
          <w:sz w:val="24"/>
          <w:szCs w:val="24"/>
        </w:rPr>
      </w:pPr>
    </w:p>
    <w:p w:rsidR="00BF3665" w:rsidRPr="003E3B5A" w:rsidRDefault="00F6015F" w:rsidP="00412162">
      <w:pPr>
        <w:spacing w:line="240" w:lineRule="auto"/>
        <w:jc w:val="both"/>
        <w:rPr>
          <w:rFonts w:ascii="Arial" w:eastAsia="Times New Roman" w:hAnsi="Arial" w:cs="Arial"/>
          <w:sz w:val="24"/>
          <w:szCs w:val="24"/>
        </w:rPr>
      </w:pPr>
      <w:r w:rsidRPr="003E3B5A">
        <w:rPr>
          <w:rFonts w:ascii="Arial" w:eastAsia="Times New Roman" w:hAnsi="Arial" w:cs="Arial"/>
          <w:sz w:val="24"/>
          <w:szCs w:val="24"/>
        </w:rPr>
        <w:t xml:space="preserve">Fecha de expiración: </w:t>
      </w:r>
      <w:r w:rsidR="007F24DE" w:rsidRPr="003E3B5A">
        <w:rPr>
          <w:rFonts w:ascii="Arial" w:eastAsia="Times New Roman" w:hAnsi="Arial" w:cs="Arial"/>
          <w:b/>
          <w:sz w:val="24"/>
          <w:szCs w:val="24"/>
        </w:rPr>
        <w:t>0</w:t>
      </w:r>
      <w:r w:rsidR="002664DE" w:rsidRPr="003E3B5A">
        <w:rPr>
          <w:rFonts w:ascii="Arial" w:eastAsia="Times New Roman" w:hAnsi="Arial" w:cs="Arial"/>
          <w:b/>
          <w:sz w:val="24"/>
          <w:szCs w:val="24"/>
        </w:rPr>
        <w:t>3</w:t>
      </w:r>
      <w:r w:rsidR="009F136E" w:rsidRPr="003E3B5A">
        <w:rPr>
          <w:rFonts w:ascii="Arial" w:eastAsia="Times New Roman" w:hAnsi="Arial" w:cs="Arial"/>
          <w:b/>
          <w:sz w:val="24"/>
          <w:szCs w:val="24"/>
        </w:rPr>
        <w:t xml:space="preserve"> de </w:t>
      </w:r>
      <w:r w:rsidR="009A2504" w:rsidRPr="003E3B5A">
        <w:rPr>
          <w:rFonts w:ascii="Arial" w:eastAsia="Times New Roman" w:hAnsi="Arial" w:cs="Arial"/>
          <w:b/>
          <w:sz w:val="24"/>
          <w:szCs w:val="24"/>
        </w:rPr>
        <w:t>ju</w:t>
      </w:r>
      <w:r w:rsidR="002664DE" w:rsidRPr="003E3B5A">
        <w:rPr>
          <w:rFonts w:ascii="Arial" w:eastAsia="Times New Roman" w:hAnsi="Arial" w:cs="Arial"/>
          <w:b/>
          <w:sz w:val="24"/>
          <w:szCs w:val="24"/>
        </w:rPr>
        <w:t>l</w:t>
      </w:r>
      <w:r w:rsidR="009A2504" w:rsidRPr="003E3B5A">
        <w:rPr>
          <w:rFonts w:ascii="Arial" w:eastAsia="Times New Roman" w:hAnsi="Arial" w:cs="Arial"/>
          <w:b/>
          <w:sz w:val="24"/>
          <w:szCs w:val="24"/>
        </w:rPr>
        <w:t>io</w:t>
      </w:r>
      <w:r w:rsidR="009819AE" w:rsidRPr="003E3B5A">
        <w:rPr>
          <w:rFonts w:ascii="Arial" w:eastAsia="Times New Roman" w:hAnsi="Arial" w:cs="Arial"/>
          <w:b/>
          <w:sz w:val="24"/>
          <w:szCs w:val="24"/>
        </w:rPr>
        <w:t xml:space="preserve"> 20</w:t>
      </w:r>
      <w:r w:rsidR="005E66F3" w:rsidRPr="003E3B5A">
        <w:rPr>
          <w:rFonts w:ascii="Arial" w:eastAsia="Times New Roman" w:hAnsi="Arial" w:cs="Arial"/>
          <w:b/>
          <w:sz w:val="24"/>
          <w:szCs w:val="24"/>
        </w:rPr>
        <w:t>3</w:t>
      </w:r>
      <w:r w:rsidR="00F042CD" w:rsidRPr="003E3B5A">
        <w:rPr>
          <w:rFonts w:ascii="Arial" w:eastAsia="Times New Roman" w:hAnsi="Arial" w:cs="Arial"/>
          <w:b/>
          <w:sz w:val="24"/>
          <w:szCs w:val="24"/>
        </w:rPr>
        <w:t>1</w:t>
      </w:r>
      <w:r w:rsidR="009819AE" w:rsidRPr="003E3B5A">
        <w:rPr>
          <w:rFonts w:ascii="Arial" w:eastAsia="Times New Roman" w:hAnsi="Arial" w:cs="Arial"/>
          <w:sz w:val="24"/>
          <w:szCs w:val="24"/>
        </w:rPr>
        <w:t xml:space="preserve">. Que cumple con lo establecido por el lineamiento </w:t>
      </w:r>
      <w:r w:rsidR="00481D63" w:rsidRPr="003E3B5A">
        <w:rPr>
          <w:rFonts w:ascii="Arial" w:eastAsia="Times New Roman" w:hAnsi="Arial" w:cs="Arial"/>
          <w:sz w:val="24"/>
          <w:szCs w:val="24"/>
        </w:rPr>
        <w:t>t</w:t>
      </w:r>
      <w:r w:rsidR="009819AE" w:rsidRPr="003E3B5A">
        <w:rPr>
          <w:rFonts w:ascii="Arial" w:eastAsia="Times New Roman" w:hAnsi="Arial" w:cs="Arial"/>
          <w:sz w:val="24"/>
          <w:szCs w:val="24"/>
        </w:rPr>
        <w:t>rigésimo cuarto de los LG</w:t>
      </w:r>
      <w:r w:rsidR="00D566DC" w:rsidRPr="003E3B5A">
        <w:rPr>
          <w:rFonts w:ascii="Arial" w:eastAsia="Times New Roman" w:hAnsi="Arial" w:cs="Arial"/>
          <w:sz w:val="24"/>
          <w:szCs w:val="24"/>
        </w:rPr>
        <w:t>M</w:t>
      </w:r>
      <w:r w:rsidR="009819AE" w:rsidRPr="003E3B5A">
        <w:rPr>
          <w:rFonts w:ascii="Arial" w:eastAsia="Times New Roman" w:hAnsi="Arial" w:cs="Arial"/>
          <w:sz w:val="24"/>
          <w:szCs w:val="24"/>
        </w:rPr>
        <w:t>CDIEVP. Señalando las razones por las cuales se estableció el plazo de reserva determinado, mismas que están relacionadas y sustentadas con la prueba de daño.</w:t>
      </w:r>
    </w:p>
    <w:p w:rsidR="001E22D9" w:rsidRPr="003E3B5A" w:rsidRDefault="001E22D9" w:rsidP="00412162">
      <w:pPr>
        <w:pStyle w:val="Prrafodelista"/>
        <w:numPr>
          <w:ilvl w:val="0"/>
          <w:numId w:val="17"/>
        </w:numPr>
        <w:jc w:val="both"/>
        <w:rPr>
          <w:rFonts w:ascii="Arial" w:hAnsi="Arial" w:cs="Arial"/>
          <w:b/>
        </w:rPr>
      </w:pPr>
      <w:r w:rsidRPr="003E3B5A">
        <w:rPr>
          <w:rFonts w:ascii="Arial" w:hAnsi="Arial" w:cs="Arial"/>
          <w:b/>
        </w:rPr>
        <w:t>El nombre del titular o área encargada de realizar la revisión pública del documento, en su caso.</w:t>
      </w:r>
    </w:p>
    <w:p w:rsidR="001B4E8A" w:rsidRPr="001B4E8A" w:rsidRDefault="001B4E8A" w:rsidP="001B4E8A">
      <w:pPr>
        <w:spacing w:line="240" w:lineRule="auto"/>
        <w:jc w:val="both"/>
        <w:rPr>
          <w:rFonts w:ascii="Arial" w:hAnsi="Arial" w:cs="Arial"/>
          <w:sz w:val="24"/>
          <w:szCs w:val="24"/>
        </w:rPr>
      </w:pPr>
      <w:r w:rsidRPr="001B4E8A">
        <w:rPr>
          <w:rFonts w:ascii="Arial" w:hAnsi="Arial" w:cs="Arial"/>
          <w:sz w:val="24"/>
          <w:szCs w:val="24"/>
        </w:rPr>
        <w:t xml:space="preserve">Una vez confirmado el acuerdo reserva parcial número </w:t>
      </w:r>
      <w:r>
        <w:rPr>
          <w:rFonts w:ascii="Arial" w:hAnsi="Arial" w:cs="Arial"/>
          <w:sz w:val="24"/>
          <w:szCs w:val="24"/>
        </w:rPr>
        <w:t>FGE/ST/001/2026</w:t>
      </w:r>
      <w:r w:rsidRPr="001B4E8A">
        <w:rPr>
          <w:rFonts w:ascii="Arial" w:hAnsi="Arial" w:cs="Arial"/>
          <w:sz w:val="24"/>
          <w:szCs w:val="24"/>
        </w:rPr>
        <w:t xml:space="preserve">, resulta procedente la aprobación de la realización de las versiones públicas que solicita </w:t>
      </w:r>
      <w:r>
        <w:rPr>
          <w:rFonts w:ascii="Arial" w:hAnsi="Arial" w:cs="Arial"/>
          <w:sz w:val="24"/>
          <w:szCs w:val="24"/>
        </w:rPr>
        <w:t xml:space="preserve">la secretara Técnica </w:t>
      </w:r>
      <w:r w:rsidRPr="001B4E8A">
        <w:rPr>
          <w:rFonts w:ascii="Arial" w:hAnsi="Arial" w:cs="Arial"/>
          <w:sz w:val="24"/>
          <w:szCs w:val="24"/>
        </w:rPr>
        <w:t xml:space="preserve">en el consecutivo </w:t>
      </w:r>
      <w:r>
        <w:rPr>
          <w:rFonts w:ascii="Arial" w:hAnsi="Arial" w:cs="Arial"/>
          <w:sz w:val="24"/>
          <w:szCs w:val="24"/>
        </w:rPr>
        <w:t>ST/019/</w:t>
      </w:r>
      <w:r w:rsidRPr="001B4E8A">
        <w:rPr>
          <w:rFonts w:ascii="Arial" w:hAnsi="Arial" w:cs="Arial"/>
          <w:sz w:val="24"/>
          <w:szCs w:val="24"/>
        </w:rPr>
        <w:t xml:space="preserve">2026, la cual debe de realizar atendiendo lo establecido en el capítulo IX, de las versiones públicas, de los LGMCDIEVP, respecto a los documentos </w:t>
      </w:r>
      <w:r>
        <w:rPr>
          <w:rFonts w:ascii="Arial" w:hAnsi="Arial" w:cs="Arial"/>
          <w:sz w:val="24"/>
          <w:szCs w:val="24"/>
        </w:rPr>
        <w:t xml:space="preserve">y </w:t>
      </w:r>
      <w:r w:rsidRPr="001B4E8A">
        <w:rPr>
          <w:rFonts w:ascii="Arial" w:hAnsi="Arial" w:cs="Arial"/>
          <w:sz w:val="24"/>
          <w:szCs w:val="24"/>
        </w:rPr>
        <w:t>únicamente la información relativa a los rubros de:</w:t>
      </w:r>
    </w:p>
    <w:p w:rsidR="001B4E8A" w:rsidRDefault="001B4E8A" w:rsidP="001B4E8A">
      <w:pPr>
        <w:spacing w:line="240" w:lineRule="auto"/>
        <w:jc w:val="both"/>
        <w:rPr>
          <w:rFonts w:ascii="Arial" w:hAnsi="Arial" w:cs="Arial"/>
          <w:bCs/>
          <w:sz w:val="24"/>
          <w:szCs w:val="24"/>
        </w:rPr>
      </w:pPr>
      <w:r w:rsidRPr="001B4E8A">
        <w:rPr>
          <w:rFonts w:ascii="Arial" w:hAnsi="Arial" w:cs="Arial"/>
          <w:bCs/>
          <w:sz w:val="24"/>
          <w:szCs w:val="24"/>
        </w:rPr>
        <w:t xml:space="preserve">Primer Anexo Técnico sobre colaboración con Universidad de Alemania de obtener perfiles genéticos (Cláusula Segunda, Puntos 5 y 6): Cláusula Segunda, Puntos 5 y 6): Los marcadores específicos de la revisión y análisis genético de </w:t>
      </w:r>
      <w:proofErr w:type="spellStart"/>
      <w:r w:rsidRPr="001B4E8A">
        <w:rPr>
          <w:rFonts w:ascii="Arial" w:hAnsi="Arial" w:cs="Arial"/>
          <w:bCs/>
          <w:sz w:val="24"/>
          <w:szCs w:val="24"/>
        </w:rPr>
        <w:t>STRs</w:t>
      </w:r>
      <w:proofErr w:type="spellEnd"/>
      <w:r w:rsidRPr="001B4E8A">
        <w:rPr>
          <w:rFonts w:ascii="Arial" w:hAnsi="Arial" w:cs="Arial"/>
          <w:bCs/>
          <w:sz w:val="24"/>
          <w:szCs w:val="24"/>
        </w:rPr>
        <w:t xml:space="preserve"> (short </w:t>
      </w:r>
      <w:proofErr w:type="spellStart"/>
      <w:r w:rsidRPr="001B4E8A">
        <w:rPr>
          <w:rFonts w:ascii="Arial" w:hAnsi="Arial" w:cs="Arial"/>
          <w:bCs/>
          <w:sz w:val="24"/>
          <w:szCs w:val="24"/>
        </w:rPr>
        <w:t>tandem</w:t>
      </w:r>
      <w:proofErr w:type="spellEnd"/>
      <w:r w:rsidRPr="001B4E8A">
        <w:rPr>
          <w:rFonts w:ascii="Arial" w:hAnsi="Arial" w:cs="Arial"/>
          <w:bCs/>
          <w:sz w:val="24"/>
          <w:szCs w:val="24"/>
        </w:rPr>
        <w:t xml:space="preserve"> </w:t>
      </w:r>
      <w:proofErr w:type="spellStart"/>
      <w:r w:rsidRPr="001B4E8A">
        <w:rPr>
          <w:rFonts w:ascii="Arial" w:hAnsi="Arial" w:cs="Arial"/>
          <w:bCs/>
          <w:sz w:val="24"/>
          <w:szCs w:val="24"/>
        </w:rPr>
        <w:t>repeats</w:t>
      </w:r>
      <w:proofErr w:type="spellEnd"/>
      <w:r w:rsidRPr="001B4E8A">
        <w:rPr>
          <w:rFonts w:ascii="Arial" w:hAnsi="Arial" w:cs="Arial"/>
          <w:bCs/>
          <w:sz w:val="24"/>
          <w:szCs w:val="24"/>
        </w:rPr>
        <w:t>) autosómicos</w:t>
      </w:r>
      <w:r>
        <w:rPr>
          <w:rFonts w:ascii="Arial" w:hAnsi="Arial" w:cs="Arial"/>
          <w:bCs/>
          <w:sz w:val="24"/>
          <w:szCs w:val="24"/>
        </w:rPr>
        <w:t>.</w:t>
      </w:r>
      <w:r w:rsidRPr="001B4E8A">
        <w:rPr>
          <w:rFonts w:ascii="Arial" w:hAnsi="Arial" w:cs="Arial"/>
          <w:bCs/>
          <w:sz w:val="24"/>
          <w:szCs w:val="24"/>
        </w:rPr>
        <w:t xml:space="preserve"> </w:t>
      </w:r>
    </w:p>
    <w:p w:rsidR="001B4E8A" w:rsidRDefault="001B4E8A" w:rsidP="001B4E8A">
      <w:pPr>
        <w:spacing w:line="240" w:lineRule="auto"/>
        <w:jc w:val="both"/>
        <w:rPr>
          <w:rFonts w:ascii="Arial" w:hAnsi="Arial" w:cs="Arial"/>
          <w:bCs/>
          <w:sz w:val="24"/>
          <w:szCs w:val="24"/>
        </w:rPr>
      </w:pPr>
      <w:r w:rsidRPr="001B4E8A">
        <w:rPr>
          <w:rFonts w:ascii="Arial" w:hAnsi="Arial" w:cs="Arial"/>
          <w:bCs/>
          <w:sz w:val="24"/>
          <w:szCs w:val="24"/>
        </w:rPr>
        <w:t>Segundo Anexo Técnico sobre acompañamiento técnico para digitalización y conservación de fichas dactilares (Cláusula Primera): Las columnas de Descripción, Cantidad y Medida del recuadro de Transferencia del Título de la Propiedad de Suministros</w:t>
      </w:r>
      <w:r>
        <w:rPr>
          <w:rFonts w:ascii="Arial" w:hAnsi="Arial" w:cs="Arial"/>
          <w:bCs/>
          <w:sz w:val="24"/>
          <w:szCs w:val="24"/>
        </w:rPr>
        <w:t>.</w:t>
      </w:r>
      <w:r w:rsidRPr="001B4E8A">
        <w:rPr>
          <w:rFonts w:ascii="Arial" w:hAnsi="Arial" w:cs="Arial"/>
          <w:bCs/>
          <w:sz w:val="24"/>
          <w:szCs w:val="24"/>
        </w:rPr>
        <w:t xml:space="preserve"> </w:t>
      </w:r>
    </w:p>
    <w:p w:rsidR="001B4E8A" w:rsidRDefault="001B4E8A" w:rsidP="001B4E8A">
      <w:pPr>
        <w:spacing w:line="240" w:lineRule="auto"/>
        <w:jc w:val="both"/>
        <w:rPr>
          <w:rFonts w:ascii="Arial" w:hAnsi="Arial" w:cs="Arial"/>
          <w:bCs/>
          <w:sz w:val="24"/>
          <w:szCs w:val="24"/>
        </w:rPr>
      </w:pPr>
      <w:r w:rsidRPr="001B4E8A">
        <w:rPr>
          <w:rFonts w:ascii="Arial" w:hAnsi="Arial" w:cs="Arial"/>
          <w:bCs/>
          <w:sz w:val="24"/>
          <w:szCs w:val="24"/>
        </w:rPr>
        <w:t>Tercer Anexo Técnico en relación a transferencia a título gratuito de suministros (Cláusula Primera): Las columnas de Equipo, Marca/Modelo, Unidad, Número de Serie y Garantía del recuadro de Transferencia de Propiedad de Suministros y Equipo Fungible</w:t>
      </w:r>
      <w:r>
        <w:rPr>
          <w:rFonts w:ascii="Arial" w:hAnsi="Arial" w:cs="Arial"/>
          <w:bCs/>
          <w:sz w:val="24"/>
          <w:szCs w:val="24"/>
        </w:rPr>
        <w:t>.</w:t>
      </w:r>
      <w:r w:rsidRPr="001B4E8A">
        <w:rPr>
          <w:rFonts w:ascii="Arial" w:hAnsi="Arial" w:cs="Arial"/>
          <w:bCs/>
          <w:sz w:val="24"/>
          <w:szCs w:val="24"/>
        </w:rPr>
        <w:t xml:space="preserve"> </w:t>
      </w:r>
    </w:p>
    <w:p w:rsidR="001B4E8A" w:rsidRPr="003E3B5A" w:rsidRDefault="001B4E8A" w:rsidP="001B4E8A">
      <w:pPr>
        <w:spacing w:line="240" w:lineRule="auto"/>
        <w:jc w:val="both"/>
        <w:rPr>
          <w:rFonts w:ascii="Arial" w:hAnsi="Arial" w:cs="Arial"/>
          <w:bCs/>
          <w:sz w:val="24"/>
          <w:szCs w:val="24"/>
        </w:rPr>
      </w:pPr>
      <w:r w:rsidRPr="001B4E8A">
        <w:rPr>
          <w:rFonts w:ascii="Arial" w:hAnsi="Arial" w:cs="Arial"/>
          <w:bCs/>
          <w:sz w:val="24"/>
          <w:szCs w:val="24"/>
        </w:rPr>
        <w:lastRenderedPageBreak/>
        <w:t xml:space="preserve">Cuarto Anexo Técnico en relación a transferencia a título gratuito de suministros fungibles (Cláusula Primera): Las columnas de </w:t>
      </w:r>
      <w:proofErr w:type="spellStart"/>
      <w:r w:rsidRPr="001B4E8A">
        <w:rPr>
          <w:rFonts w:ascii="Arial" w:hAnsi="Arial" w:cs="Arial"/>
          <w:bCs/>
          <w:sz w:val="24"/>
          <w:szCs w:val="24"/>
        </w:rPr>
        <w:t>Item</w:t>
      </w:r>
      <w:proofErr w:type="spellEnd"/>
      <w:r w:rsidRPr="001B4E8A">
        <w:rPr>
          <w:rFonts w:ascii="Arial" w:hAnsi="Arial" w:cs="Arial"/>
          <w:bCs/>
          <w:sz w:val="24"/>
          <w:szCs w:val="24"/>
        </w:rPr>
        <w:t>, Concepto, Cantidad, Medida, Caducidad y Garantía del recuadro de Transferencia de Propiedad de Suministros Fungibles</w:t>
      </w:r>
      <w:r>
        <w:rPr>
          <w:rFonts w:ascii="Arial" w:hAnsi="Arial" w:cs="Arial"/>
          <w:bCs/>
          <w:sz w:val="24"/>
          <w:szCs w:val="24"/>
        </w:rPr>
        <w:t>.</w:t>
      </w:r>
    </w:p>
    <w:p w:rsidR="001B4E8A" w:rsidRDefault="001B4E8A" w:rsidP="001B4E8A">
      <w:pPr>
        <w:spacing w:line="240" w:lineRule="auto"/>
        <w:jc w:val="both"/>
        <w:rPr>
          <w:rFonts w:ascii="Arial" w:hAnsi="Arial" w:cs="Arial"/>
          <w:sz w:val="24"/>
          <w:szCs w:val="24"/>
        </w:rPr>
      </w:pPr>
      <w:r w:rsidRPr="001B4E8A">
        <w:rPr>
          <w:rFonts w:ascii="Arial" w:hAnsi="Arial" w:cs="Arial"/>
          <w:sz w:val="24"/>
          <w:szCs w:val="24"/>
        </w:rPr>
        <w:t xml:space="preserve">Se nombra como responsable del testado a la </w:t>
      </w:r>
      <w:r w:rsidRPr="00A34E28">
        <w:rPr>
          <w:rFonts w:ascii="Arial" w:hAnsi="Arial" w:cs="Arial"/>
          <w:sz w:val="24"/>
          <w:szCs w:val="24"/>
        </w:rPr>
        <w:t>secretaria Técnica de la Fiscal General Juana María Castillo Ortega.</w:t>
      </w:r>
    </w:p>
    <w:p w:rsidR="00BF3665" w:rsidRPr="003E3B5A" w:rsidRDefault="009819AE" w:rsidP="00412162">
      <w:pPr>
        <w:pStyle w:val="Prrafodelista"/>
        <w:numPr>
          <w:ilvl w:val="0"/>
          <w:numId w:val="17"/>
        </w:numPr>
        <w:jc w:val="both"/>
        <w:rPr>
          <w:rFonts w:ascii="Arial" w:hAnsi="Arial" w:cs="Arial"/>
          <w:b/>
        </w:rPr>
      </w:pPr>
      <w:r w:rsidRPr="003E3B5A">
        <w:rPr>
          <w:rFonts w:ascii="Arial" w:hAnsi="Arial" w:cs="Arial"/>
          <w:b/>
        </w:rPr>
        <w:t>Efectos de la resolución.</w:t>
      </w:r>
    </w:p>
    <w:p w:rsidR="00FF1B19" w:rsidRPr="003E3B5A" w:rsidRDefault="00FF1B19" w:rsidP="00412162">
      <w:pPr>
        <w:spacing w:line="240" w:lineRule="auto"/>
        <w:jc w:val="both"/>
        <w:rPr>
          <w:rFonts w:ascii="Arial" w:hAnsi="Arial" w:cs="Arial"/>
          <w:sz w:val="24"/>
          <w:szCs w:val="24"/>
        </w:rPr>
      </w:pPr>
      <w:r w:rsidRPr="003E3B5A">
        <w:rPr>
          <w:rFonts w:ascii="Arial" w:hAnsi="Arial" w:cs="Arial"/>
          <w:sz w:val="24"/>
          <w:szCs w:val="24"/>
        </w:rPr>
        <w:t xml:space="preserve">El Comité de Transparencia en Pleno determinó procedente confirmar el </w:t>
      </w:r>
      <w:r w:rsidR="008565C9" w:rsidRPr="003E3B5A">
        <w:rPr>
          <w:rFonts w:ascii="Arial" w:hAnsi="Arial" w:cs="Arial"/>
          <w:sz w:val="24"/>
          <w:szCs w:val="24"/>
        </w:rPr>
        <w:t xml:space="preserve">acuerdo de reserva </w:t>
      </w:r>
      <w:r w:rsidR="00C34EAC" w:rsidRPr="003E3B5A">
        <w:rPr>
          <w:rFonts w:ascii="Arial" w:hAnsi="Arial" w:cs="Arial"/>
          <w:b/>
          <w:sz w:val="24"/>
          <w:szCs w:val="24"/>
        </w:rPr>
        <w:t xml:space="preserve">parcial </w:t>
      </w:r>
      <w:r w:rsidR="00A52F44">
        <w:rPr>
          <w:rFonts w:ascii="Arial" w:hAnsi="Arial" w:cs="Arial"/>
          <w:b/>
          <w:sz w:val="24"/>
          <w:szCs w:val="24"/>
        </w:rPr>
        <w:t>FGE/ST/001</w:t>
      </w:r>
      <w:r w:rsidR="00A52F44" w:rsidRPr="003E3B5A">
        <w:rPr>
          <w:rFonts w:ascii="Arial" w:hAnsi="Arial" w:cs="Arial"/>
          <w:b/>
          <w:sz w:val="24"/>
          <w:szCs w:val="24"/>
        </w:rPr>
        <w:t>/2026</w:t>
      </w:r>
      <w:r w:rsidR="00A52F44" w:rsidRPr="003E3B5A">
        <w:rPr>
          <w:rFonts w:ascii="Arial" w:hAnsi="Arial" w:cs="Arial"/>
          <w:sz w:val="24"/>
          <w:szCs w:val="24"/>
        </w:rPr>
        <w:t xml:space="preserve"> </w:t>
      </w:r>
      <w:r w:rsidRPr="003E3B5A">
        <w:rPr>
          <w:rFonts w:ascii="Arial" w:hAnsi="Arial" w:cs="Arial"/>
          <w:sz w:val="24"/>
          <w:szCs w:val="24"/>
        </w:rPr>
        <w:t>emitido por</w:t>
      </w:r>
      <w:r w:rsidR="007F24DE" w:rsidRPr="003E3B5A">
        <w:rPr>
          <w:rFonts w:ascii="Arial" w:hAnsi="Arial" w:cs="Arial"/>
          <w:sz w:val="24"/>
          <w:szCs w:val="24"/>
        </w:rPr>
        <w:t xml:space="preserve"> </w:t>
      </w:r>
      <w:r w:rsidR="00480661">
        <w:rPr>
          <w:rFonts w:ascii="Arial" w:hAnsi="Arial" w:cs="Arial"/>
          <w:sz w:val="24"/>
          <w:szCs w:val="24"/>
        </w:rPr>
        <w:t>la secretaria Técnica de la Fiscal General Juana María Castillo Ortega</w:t>
      </w:r>
      <w:r w:rsidR="002E085B" w:rsidRPr="003E3B5A">
        <w:rPr>
          <w:rFonts w:ascii="Arial" w:hAnsi="Arial" w:cs="Arial"/>
          <w:sz w:val="24"/>
          <w:szCs w:val="24"/>
        </w:rPr>
        <w:t>.</w:t>
      </w:r>
      <w:r w:rsidR="001E24B3" w:rsidRPr="003E3B5A">
        <w:rPr>
          <w:rFonts w:ascii="Arial" w:hAnsi="Arial" w:cs="Arial"/>
          <w:sz w:val="24"/>
          <w:szCs w:val="24"/>
        </w:rPr>
        <w:t xml:space="preserve"> </w:t>
      </w:r>
    </w:p>
    <w:p w:rsidR="00FF1B19" w:rsidRPr="003E3B5A" w:rsidRDefault="00FF1B19" w:rsidP="00412162">
      <w:pPr>
        <w:spacing w:line="240" w:lineRule="auto"/>
        <w:jc w:val="both"/>
        <w:rPr>
          <w:rFonts w:ascii="Arial" w:hAnsi="Arial" w:cs="Arial"/>
          <w:sz w:val="24"/>
          <w:szCs w:val="24"/>
        </w:rPr>
      </w:pPr>
      <w:r w:rsidRPr="003E3B5A">
        <w:rPr>
          <w:rFonts w:ascii="Arial" w:hAnsi="Arial" w:cs="Arial"/>
          <w:sz w:val="24"/>
          <w:szCs w:val="24"/>
        </w:rPr>
        <w:t xml:space="preserve">Se instruye </w:t>
      </w:r>
      <w:r w:rsidR="00480661">
        <w:rPr>
          <w:rFonts w:ascii="Arial" w:hAnsi="Arial" w:cs="Arial"/>
          <w:sz w:val="24"/>
          <w:szCs w:val="24"/>
        </w:rPr>
        <w:t>la secretaria Técnica de la Fiscal General Juana María Castillo Ortega</w:t>
      </w:r>
      <w:r w:rsidR="00672FE8" w:rsidRPr="003E3B5A">
        <w:rPr>
          <w:rFonts w:ascii="Arial" w:hAnsi="Arial" w:cs="Arial"/>
          <w:sz w:val="24"/>
          <w:szCs w:val="24"/>
        </w:rPr>
        <w:t xml:space="preserve">, </w:t>
      </w:r>
      <w:r w:rsidR="00FD350E" w:rsidRPr="003E3B5A">
        <w:rPr>
          <w:rFonts w:ascii="Arial" w:hAnsi="Arial" w:cs="Arial"/>
          <w:sz w:val="24"/>
          <w:szCs w:val="24"/>
        </w:rPr>
        <w:t xml:space="preserve">para </w:t>
      </w:r>
      <w:r w:rsidRPr="003E3B5A">
        <w:rPr>
          <w:rFonts w:ascii="Arial" w:hAnsi="Arial" w:cs="Arial"/>
          <w:sz w:val="24"/>
          <w:szCs w:val="24"/>
        </w:rPr>
        <w:t xml:space="preserve">que notifique a los </w:t>
      </w:r>
      <w:r w:rsidR="00DA4A66" w:rsidRPr="003E3B5A">
        <w:rPr>
          <w:rFonts w:ascii="Arial" w:hAnsi="Arial" w:cs="Arial"/>
          <w:sz w:val="24"/>
          <w:szCs w:val="24"/>
        </w:rPr>
        <w:t>t</w:t>
      </w:r>
      <w:r w:rsidRPr="003E3B5A">
        <w:rPr>
          <w:rFonts w:ascii="Arial" w:hAnsi="Arial" w:cs="Arial"/>
          <w:sz w:val="24"/>
          <w:szCs w:val="24"/>
        </w:rPr>
        <w:t xml:space="preserve">itulares de las diversas áreas de la </w:t>
      </w:r>
      <w:r w:rsidR="00481D63" w:rsidRPr="003E3B5A">
        <w:rPr>
          <w:rFonts w:ascii="Arial" w:hAnsi="Arial" w:cs="Arial"/>
          <w:sz w:val="24"/>
          <w:szCs w:val="24"/>
        </w:rPr>
        <w:t>i</w:t>
      </w:r>
      <w:r w:rsidRPr="003E3B5A">
        <w:rPr>
          <w:rFonts w:ascii="Arial" w:hAnsi="Arial" w:cs="Arial"/>
          <w:sz w:val="24"/>
          <w:szCs w:val="24"/>
        </w:rPr>
        <w:t>nstitución que deberán de conocer esta resolución.</w:t>
      </w:r>
    </w:p>
    <w:p w:rsidR="00BF3665" w:rsidRPr="003E3B5A" w:rsidRDefault="009819AE" w:rsidP="00412162">
      <w:pPr>
        <w:spacing w:line="240" w:lineRule="auto"/>
        <w:jc w:val="both"/>
        <w:rPr>
          <w:rFonts w:ascii="Arial" w:hAnsi="Arial" w:cs="Arial"/>
          <w:sz w:val="24"/>
          <w:szCs w:val="24"/>
        </w:rPr>
      </w:pPr>
      <w:r w:rsidRPr="003E3B5A">
        <w:rPr>
          <w:rFonts w:ascii="Arial" w:hAnsi="Arial" w:cs="Arial"/>
          <w:sz w:val="24"/>
          <w:szCs w:val="24"/>
        </w:rPr>
        <w:t>Se instruye</w:t>
      </w:r>
      <w:r w:rsidR="00E8129C" w:rsidRPr="003E3B5A">
        <w:rPr>
          <w:rFonts w:ascii="Arial" w:hAnsi="Arial" w:cs="Arial"/>
          <w:sz w:val="24"/>
          <w:szCs w:val="24"/>
        </w:rPr>
        <w:t xml:space="preserve"> </w:t>
      </w:r>
      <w:r w:rsidR="00480661">
        <w:rPr>
          <w:rFonts w:ascii="Arial" w:hAnsi="Arial" w:cs="Arial"/>
          <w:sz w:val="24"/>
          <w:szCs w:val="24"/>
        </w:rPr>
        <w:t>la secretaria Técnica de la Fiscal General Juana María Castillo Ortega</w:t>
      </w:r>
      <w:r w:rsidR="00672FE8" w:rsidRPr="003E3B5A">
        <w:rPr>
          <w:rFonts w:ascii="Arial" w:hAnsi="Arial" w:cs="Arial"/>
          <w:sz w:val="24"/>
          <w:szCs w:val="24"/>
        </w:rPr>
        <w:t xml:space="preserve">, </w:t>
      </w:r>
      <w:r w:rsidRPr="003E3B5A">
        <w:rPr>
          <w:rFonts w:ascii="Arial" w:hAnsi="Arial" w:cs="Arial"/>
          <w:sz w:val="24"/>
          <w:szCs w:val="24"/>
        </w:rPr>
        <w:t xml:space="preserve">a que realice las anotaciones correspondientes en los documentos clasificados como reservados, de conformidad con el artículo 121 de la LTAIPSLP, concatenado con el lineamiento </w:t>
      </w:r>
      <w:r w:rsidR="002E085B" w:rsidRPr="003E3B5A">
        <w:rPr>
          <w:rFonts w:ascii="Arial" w:hAnsi="Arial" w:cs="Arial"/>
          <w:sz w:val="24"/>
          <w:szCs w:val="24"/>
        </w:rPr>
        <w:t>q</w:t>
      </w:r>
      <w:r w:rsidRPr="003E3B5A">
        <w:rPr>
          <w:rFonts w:ascii="Arial" w:hAnsi="Arial" w:cs="Arial"/>
          <w:sz w:val="24"/>
          <w:szCs w:val="24"/>
        </w:rPr>
        <w:t xml:space="preserve">uincuagésimo </w:t>
      </w:r>
      <w:r w:rsidR="002E085B" w:rsidRPr="003E3B5A">
        <w:rPr>
          <w:rFonts w:ascii="Arial" w:hAnsi="Arial" w:cs="Arial"/>
          <w:sz w:val="24"/>
          <w:szCs w:val="24"/>
        </w:rPr>
        <w:t>p</w:t>
      </w:r>
      <w:r w:rsidRPr="003E3B5A">
        <w:rPr>
          <w:rFonts w:ascii="Arial" w:hAnsi="Arial" w:cs="Arial"/>
          <w:sz w:val="24"/>
          <w:szCs w:val="24"/>
        </w:rPr>
        <w:t xml:space="preserve">rimero de los LGCDIEVP. </w:t>
      </w:r>
    </w:p>
    <w:p w:rsidR="00412162" w:rsidRPr="003E3B5A" w:rsidRDefault="00412162" w:rsidP="00412162">
      <w:pPr>
        <w:spacing w:line="240" w:lineRule="auto"/>
        <w:jc w:val="both"/>
        <w:rPr>
          <w:rFonts w:ascii="Arial" w:hAnsi="Arial" w:cs="Arial"/>
          <w:sz w:val="24"/>
          <w:szCs w:val="24"/>
        </w:rPr>
      </w:pPr>
      <w:r w:rsidRPr="003E3B5A">
        <w:rPr>
          <w:rFonts w:ascii="Arial" w:hAnsi="Arial" w:cs="Arial"/>
          <w:sz w:val="24"/>
          <w:szCs w:val="24"/>
        </w:rPr>
        <w:t xml:space="preserve">Se </w:t>
      </w:r>
      <w:r w:rsidR="00A34E28">
        <w:rPr>
          <w:rFonts w:ascii="Arial" w:hAnsi="Arial" w:cs="Arial"/>
          <w:sz w:val="24"/>
          <w:szCs w:val="24"/>
        </w:rPr>
        <w:t>realice la versión pública, de conformidad con la LTAIP y los LGCDIEVP, y únicamente en cuanto a la información que ha sido aprobada</w:t>
      </w:r>
      <w:r w:rsidRPr="003E3B5A">
        <w:rPr>
          <w:rFonts w:ascii="Arial" w:hAnsi="Arial" w:cs="Arial"/>
          <w:sz w:val="24"/>
          <w:szCs w:val="24"/>
        </w:rPr>
        <w:t>.</w:t>
      </w:r>
    </w:p>
    <w:p w:rsidR="00BF3665" w:rsidRPr="003E3B5A" w:rsidRDefault="009819AE" w:rsidP="00412162">
      <w:pPr>
        <w:spacing w:line="240" w:lineRule="auto"/>
        <w:jc w:val="both"/>
        <w:rPr>
          <w:rFonts w:ascii="Arial" w:hAnsi="Arial" w:cs="Arial"/>
          <w:sz w:val="24"/>
          <w:szCs w:val="24"/>
        </w:rPr>
      </w:pPr>
      <w:r w:rsidRPr="003E3B5A">
        <w:rPr>
          <w:rFonts w:ascii="Arial" w:hAnsi="Arial" w:cs="Arial"/>
          <w:sz w:val="24"/>
          <w:szCs w:val="24"/>
        </w:rPr>
        <w:t>Por lo anteriormente expuesto, y fundado por los artículos 51, 52, fracción II y demás relativos aplicables de la LTAIPSLP</w:t>
      </w:r>
      <w:r w:rsidR="002E085B" w:rsidRPr="003E3B5A">
        <w:rPr>
          <w:rFonts w:ascii="Arial" w:hAnsi="Arial" w:cs="Arial"/>
          <w:sz w:val="24"/>
          <w:szCs w:val="24"/>
        </w:rPr>
        <w:t>,</w:t>
      </w:r>
      <w:r w:rsidRPr="003E3B5A">
        <w:rPr>
          <w:rFonts w:ascii="Arial" w:hAnsi="Arial" w:cs="Arial"/>
          <w:sz w:val="24"/>
          <w:szCs w:val="24"/>
        </w:rPr>
        <w:t xml:space="preserve"> y el artículo tercero del </w:t>
      </w:r>
      <w:r w:rsidR="002E085B" w:rsidRPr="003E3B5A">
        <w:rPr>
          <w:rFonts w:ascii="Arial" w:hAnsi="Arial" w:cs="Arial"/>
          <w:sz w:val="24"/>
          <w:szCs w:val="24"/>
        </w:rPr>
        <w:t>a</w:t>
      </w:r>
      <w:r w:rsidRPr="003E3B5A">
        <w:rPr>
          <w:rFonts w:ascii="Arial" w:hAnsi="Arial" w:cs="Arial"/>
          <w:sz w:val="24"/>
          <w:szCs w:val="24"/>
        </w:rPr>
        <w:t xml:space="preserve">cuerdo </w:t>
      </w:r>
      <w:r w:rsidR="002E085B" w:rsidRPr="003E3B5A">
        <w:rPr>
          <w:rFonts w:ascii="Arial" w:hAnsi="Arial" w:cs="Arial"/>
          <w:sz w:val="24"/>
          <w:szCs w:val="24"/>
        </w:rPr>
        <w:t>g</w:t>
      </w:r>
      <w:r w:rsidRPr="003E3B5A">
        <w:rPr>
          <w:rFonts w:ascii="Arial" w:hAnsi="Arial" w:cs="Arial"/>
          <w:sz w:val="24"/>
          <w:szCs w:val="24"/>
        </w:rPr>
        <w:t>eneral número AG/011/2020 se:</w:t>
      </w:r>
    </w:p>
    <w:p w:rsidR="009A2504" w:rsidRPr="003E3B5A" w:rsidRDefault="009A2504" w:rsidP="00412162">
      <w:pPr>
        <w:spacing w:line="240" w:lineRule="auto"/>
        <w:jc w:val="both"/>
        <w:rPr>
          <w:rFonts w:ascii="Arial" w:hAnsi="Arial" w:cs="Arial"/>
          <w:sz w:val="24"/>
          <w:szCs w:val="24"/>
        </w:rPr>
      </w:pPr>
    </w:p>
    <w:p w:rsidR="00BF3665" w:rsidRPr="003E3B5A" w:rsidRDefault="009819AE" w:rsidP="00412162">
      <w:pPr>
        <w:spacing w:line="240" w:lineRule="auto"/>
        <w:jc w:val="center"/>
        <w:rPr>
          <w:rFonts w:ascii="Arial" w:hAnsi="Arial" w:cs="Arial"/>
          <w:b/>
          <w:sz w:val="24"/>
          <w:szCs w:val="24"/>
        </w:rPr>
      </w:pPr>
      <w:r w:rsidRPr="003E3B5A">
        <w:rPr>
          <w:rFonts w:ascii="Arial" w:hAnsi="Arial" w:cs="Arial"/>
          <w:b/>
          <w:sz w:val="24"/>
          <w:szCs w:val="24"/>
        </w:rPr>
        <w:t>RESUELVE POR UNANIMIDAD:</w:t>
      </w:r>
    </w:p>
    <w:p w:rsidR="00476EF2" w:rsidRPr="003E3B5A" w:rsidRDefault="00476EF2" w:rsidP="00412162">
      <w:pPr>
        <w:spacing w:after="0" w:line="240" w:lineRule="auto"/>
        <w:jc w:val="both"/>
        <w:rPr>
          <w:rFonts w:ascii="Arial" w:hAnsi="Arial" w:cs="Arial"/>
          <w:sz w:val="24"/>
          <w:szCs w:val="24"/>
        </w:rPr>
      </w:pPr>
      <w:bookmarkStart w:id="1" w:name="_Hlk233028469"/>
      <w:bookmarkStart w:id="2" w:name="_Hlk207360276"/>
      <w:bookmarkStart w:id="3" w:name="_Hlk179366539"/>
      <w:r w:rsidRPr="003E3B5A">
        <w:rPr>
          <w:rFonts w:ascii="Arial" w:hAnsi="Arial" w:cs="Arial"/>
          <w:b/>
          <w:sz w:val="24"/>
          <w:szCs w:val="24"/>
        </w:rPr>
        <w:t>PRIMERO.</w:t>
      </w:r>
      <w:r w:rsidRPr="003E3B5A">
        <w:rPr>
          <w:rFonts w:ascii="Arial" w:hAnsi="Arial" w:cs="Arial"/>
          <w:sz w:val="24"/>
          <w:szCs w:val="24"/>
        </w:rPr>
        <w:t xml:space="preserve"> Se </w:t>
      </w:r>
      <w:r w:rsidRPr="003E3B5A">
        <w:rPr>
          <w:rFonts w:ascii="Arial" w:hAnsi="Arial" w:cs="Arial"/>
          <w:b/>
          <w:sz w:val="24"/>
          <w:szCs w:val="24"/>
        </w:rPr>
        <w:t>confirma</w:t>
      </w:r>
      <w:r w:rsidRPr="003E3B5A">
        <w:rPr>
          <w:rFonts w:ascii="Arial" w:hAnsi="Arial" w:cs="Arial"/>
          <w:sz w:val="24"/>
          <w:szCs w:val="24"/>
        </w:rPr>
        <w:t xml:space="preserve"> y adopta el </w:t>
      </w:r>
      <w:r w:rsidR="001E24B3" w:rsidRPr="003E3B5A">
        <w:rPr>
          <w:rFonts w:ascii="Arial" w:hAnsi="Arial" w:cs="Arial"/>
          <w:sz w:val="24"/>
          <w:szCs w:val="24"/>
        </w:rPr>
        <w:t xml:space="preserve">acuerdo de reserva </w:t>
      </w:r>
      <w:r w:rsidR="00C34EAC" w:rsidRPr="003E3B5A">
        <w:rPr>
          <w:rFonts w:ascii="Arial" w:hAnsi="Arial" w:cs="Arial"/>
          <w:b/>
          <w:sz w:val="24"/>
          <w:szCs w:val="24"/>
        </w:rPr>
        <w:t>parcial</w:t>
      </w:r>
      <w:r w:rsidR="00D66619" w:rsidRPr="003E3B5A">
        <w:rPr>
          <w:rFonts w:ascii="Arial" w:hAnsi="Arial" w:cs="Arial"/>
          <w:b/>
          <w:sz w:val="24"/>
          <w:szCs w:val="24"/>
        </w:rPr>
        <w:t xml:space="preserve"> </w:t>
      </w:r>
      <w:r w:rsidR="00A52F44">
        <w:rPr>
          <w:rFonts w:ascii="Arial" w:hAnsi="Arial" w:cs="Arial"/>
          <w:b/>
          <w:sz w:val="24"/>
          <w:szCs w:val="24"/>
        </w:rPr>
        <w:t>FGE/ST/001</w:t>
      </w:r>
      <w:r w:rsidR="00A52F44" w:rsidRPr="003E3B5A">
        <w:rPr>
          <w:rFonts w:ascii="Arial" w:hAnsi="Arial" w:cs="Arial"/>
          <w:b/>
          <w:sz w:val="24"/>
          <w:szCs w:val="24"/>
        </w:rPr>
        <w:t>/2026</w:t>
      </w:r>
      <w:r w:rsidRPr="003E3B5A">
        <w:rPr>
          <w:rFonts w:ascii="Arial" w:hAnsi="Arial" w:cs="Arial"/>
          <w:sz w:val="24"/>
          <w:szCs w:val="24"/>
        </w:rPr>
        <w:t>,</w:t>
      </w:r>
      <w:r w:rsidRPr="003E3B5A">
        <w:rPr>
          <w:rFonts w:ascii="Arial" w:hAnsi="Arial" w:cs="Arial"/>
          <w:b/>
          <w:sz w:val="24"/>
          <w:szCs w:val="24"/>
        </w:rPr>
        <w:t xml:space="preserve"> </w:t>
      </w:r>
      <w:r w:rsidRPr="003E3B5A">
        <w:rPr>
          <w:rFonts w:ascii="Arial" w:hAnsi="Arial" w:cs="Arial"/>
          <w:sz w:val="24"/>
          <w:szCs w:val="24"/>
        </w:rPr>
        <w:t xml:space="preserve">emitido por </w:t>
      </w:r>
      <w:r w:rsidR="00480661">
        <w:rPr>
          <w:rFonts w:ascii="Arial" w:hAnsi="Arial" w:cs="Arial"/>
          <w:sz w:val="24"/>
          <w:szCs w:val="24"/>
        </w:rPr>
        <w:t>la secretaria Técnica de la Fiscal General Juana María Castillo Ortega</w:t>
      </w:r>
      <w:r w:rsidR="00672FE8" w:rsidRPr="003E3B5A">
        <w:rPr>
          <w:rFonts w:ascii="Arial" w:hAnsi="Arial" w:cs="Arial"/>
          <w:sz w:val="24"/>
          <w:szCs w:val="24"/>
        </w:rPr>
        <w:t xml:space="preserve">, </w:t>
      </w:r>
      <w:r w:rsidRPr="003E3B5A">
        <w:rPr>
          <w:rFonts w:ascii="Arial" w:hAnsi="Arial" w:cs="Arial"/>
          <w:sz w:val="24"/>
          <w:szCs w:val="24"/>
        </w:rPr>
        <w:t xml:space="preserve">por las razones y fundamentos expuestos en el considerando </w:t>
      </w:r>
      <w:r w:rsidR="001E24B3" w:rsidRPr="003E3B5A">
        <w:rPr>
          <w:rFonts w:ascii="Arial" w:hAnsi="Arial" w:cs="Arial"/>
          <w:i/>
          <w:sz w:val="24"/>
          <w:szCs w:val="24"/>
        </w:rPr>
        <w:t>tercero</w:t>
      </w:r>
      <w:r w:rsidRPr="003E3B5A">
        <w:rPr>
          <w:rFonts w:ascii="Arial" w:hAnsi="Arial" w:cs="Arial"/>
          <w:sz w:val="24"/>
          <w:szCs w:val="24"/>
        </w:rPr>
        <w:t xml:space="preserve"> de la presente resolución. </w:t>
      </w:r>
    </w:p>
    <w:p w:rsidR="00AE5C19" w:rsidRPr="003E3B5A" w:rsidRDefault="00AE5C19" w:rsidP="00412162">
      <w:pPr>
        <w:spacing w:after="0" w:line="240" w:lineRule="auto"/>
        <w:jc w:val="both"/>
        <w:rPr>
          <w:rFonts w:ascii="Arial" w:hAnsi="Arial" w:cs="Arial"/>
          <w:sz w:val="24"/>
          <w:szCs w:val="24"/>
        </w:rPr>
      </w:pPr>
    </w:p>
    <w:p w:rsidR="000940CE" w:rsidRPr="003E3B5A" w:rsidRDefault="00476EF2" w:rsidP="00412162">
      <w:pPr>
        <w:spacing w:after="0" w:line="240" w:lineRule="auto"/>
        <w:jc w:val="both"/>
        <w:rPr>
          <w:rFonts w:ascii="Arial" w:hAnsi="Arial" w:cs="Arial"/>
          <w:sz w:val="24"/>
          <w:szCs w:val="24"/>
        </w:rPr>
      </w:pPr>
      <w:r w:rsidRPr="003E3B5A">
        <w:rPr>
          <w:rFonts w:ascii="Arial" w:hAnsi="Arial" w:cs="Arial"/>
          <w:b/>
          <w:sz w:val="24"/>
          <w:szCs w:val="24"/>
        </w:rPr>
        <w:t xml:space="preserve">SEGUNDO. </w:t>
      </w:r>
      <w:r w:rsidR="00480661">
        <w:rPr>
          <w:rFonts w:ascii="Arial" w:hAnsi="Arial" w:cs="Arial"/>
          <w:sz w:val="24"/>
          <w:szCs w:val="24"/>
        </w:rPr>
        <w:t>La secretaria Técnica de la Fiscal General Juana María Castillo Ortega</w:t>
      </w:r>
      <w:r w:rsidR="000940CE" w:rsidRPr="003E3B5A">
        <w:rPr>
          <w:rFonts w:ascii="Arial" w:hAnsi="Arial" w:cs="Arial"/>
          <w:sz w:val="24"/>
          <w:szCs w:val="24"/>
        </w:rPr>
        <w:t xml:space="preserve">, debe solicitar la desclasificación una vez que hayan fenecido las causas que dieron origen a la reserva o haya concluido el plazo establecido en el considerando </w:t>
      </w:r>
      <w:r w:rsidR="000940CE" w:rsidRPr="003E3B5A">
        <w:rPr>
          <w:rFonts w:ascii="Arial" w:hAnsi="Arial" w:cs="Arial"/>
          <w:i/>
          <w:sz w:val="24"/>
          <w:szCs w:val="24"/>
        </w:rPr>
        <w:t>tercero</w:t>
      </w:r>
      <w:r w:rsidR="000940CE" w:rsidRPr="003E3B5A">
        <w:rPr>
          <w:rFonts w:ascii="Arial" w:hAnsi="Arial" w:cs="Arial"/>
          <w:sz w:val="24"/>
          <w:szCs w:val="24"/>
        </w:rPr>
        <w:t xml:space="preserve"> fracción III de la presente resolución.</w:t>
      </w:r>
    </w:p>
    <w:p w:rsidR="007E043D" w:rsidRPr="003E3B5A" w:rsidRDefault="007E043D" w:rsidP="00412162">
      <w:pPr>
        <w:spacing w:after="0" w:line="240" w:lineRule="auto"/>
        <w:jc w:val="both"/>
        <w:rPr>
          <w:rFonts w:ascii="Arial" w:hAnsi="Arial" w:cs="Arial"/>
          <w:b/>
          <w:sz w:val="24"/>
          <w:szCs w:val="24"/>
        </w:rPr>
      </w:pPr>
    </w:p>
    <w:p w:rsidR="001B4E8A" w:rsidRPr="001B4E8A" w:rsidRDefault="00476EF2" w:rsidP="00412162">
      <w:pPr>
        <w:spacing w:after="0" w:line="240" w:lineRule="auto"/>
        <w:jc w:val="both"/>
        <w:rPr>
          <w:rFonts w:ascii="Arial" w:hAnsi="Arial" w:cs="Arial"/>
          <w:sz w:val="24"/>
          <w:szCs w:val="24"/>
        </w:rPr>
      </w:pPr>
      <w:r w:rsidRPr="003E3B5A">
        <w:rPr>
          <w:rFonts w:ascii="Arial" w:hAnsi="Arial" w:cs="Arial"/>
          <w:b/>
          <w:sz w:val="24"/>
          <w:szCs w:val="24"/>
        </w:rPr>
        <w:t xml:space="preserve">TERCERO. </w:t>
      </w:r>
      <w:r w:rsidR="001B4E8A" w:rsidRPr="001B4E8A">
        <w:rPr>
          <w:rFonts w:ascii="Arial" w:hAnsi="Arial" w:cs="Arial"/>
          <w:sz w:val="24"/>
          <w:szCs w:val="24"/>
        </w:rPr>
        <w:t xml:space="preserve">Se aprueba la realización de las versiones publicas solicitadas en el consecutivo </w:t>
      </w:r>
      <w:r w:rsidR="001B4E8A">
        <w:rPr>
          <w:rFonts w:ascii="Arial" w:hAnsi="Arial" w:cs="Arial"/>
          <w:sz w:val="24"/>
          <w:szCs w:val="24"/>
        </w:rPr>
        <w:t>ST/019/2026</w:t>
      </w:r>
      <w:r w:rsidR="001B4E8A" w:rsidRPr="001B4E8A">
        <w:rPr>
          <w:rFonts w:ascii="Arial" w:hAnsi="Arial" w:cs="Arial"/>
          <w:sz w:val="24"/>
          <w:szCs w:val="24"/>
        </w:rPr>
        <w:t xml:space="preserve">, en estricto cumplimiento al considerando </w:t>
      </w:r>
      <w:r w:rsidR="001B4E8A" w:rsidRPr="001B4E8A">
        <w:rPr>
          <w:rFonts w:ascii="Arial" w:hAnsi="Arial" w:cs="Arial"/>
          <w:i/>
          <w:sz w:val="24"/>
          <w:szCs w:val="24"/>
        </w:rPr>
        <w:t>tercero</w:t>
      </w:r>
      <w:r w:rsidR="001B4E8A">
        <w:rPr>
          <w:rFonts w:ascii="Arial" w:hAnsi="Arial" w:cs="Arial"/>
          <w:sz w:val="24"/>
          <w:szCs w:val="24"/>
        </w:rPr>
        <w:t xml:space="preserve">, </w:t>
      </w:r>
      <w:r w:rsidR="001B4E8A" w:rsidRPr="001B4E8A">
        <w:rPr>
          <w:rFonts w:ascii="Arial" w:hAnsi="Arial" w:cs="Arial"/>
          <w:i/>
          <w:sz w:val="24"/>
          <w:szCs w:val="24"/>
        </w:rPr>
        <w:t>IV.</w:t>
      </w:r>
    </w:p>
    <w:p w:rsidR="001B4E8A" w:rsidRPr="001B4E8A" w:rsidRDefault="001B4E8A" w:rsidP="00412162">
      <w:pPr>
        <w:spacing w:after="0" w:line="240" w:lineRule="auto"/>
        <w:jc w:val="both"/>
        <w:rPr>
          <w:rFonts w:ascii="Arial" w:hAnsi="Arial" w:cs="Arial"/>
          <w:sz w:val="24"/>
          <w:szCs w:val="24"/>
        </w:rPr>
      </w:pPr>
    </w:p>
    <w:p w:rsidR="000940CE" w:rsidRPr="003E3B5A" w:rsidRDefault="001B4E8A" w:rsidP="00412162">
      <w:pPr>
        <w:spacing w:after="0" w:line="240" w:lineRule="auto"/>
        <w:jc w:val="both"/>
        <w:rPr>
          <w:rFonts w:ascii="Arial" w:hAnsi="Arial" w:cs="Arial"/>
          <w:sz w:val="24"/>
          <w:szCs w:val="24"/>
        </w:rPr>
      </w:pPr>
      <w:r>
        <w:rPr>
          <w:rFonts w:ascii="Arial" w:hAnsi="Arial" w:cs="Arial"/>
          <w:b/>
          <w:sz w:val="24"/>
          <w:szCs w:val="24"/>
        </w:rPr>
        <w:lastRenderedPageBreak/>
        <w:t xml:space="preserve">CUARTO. </w:t>
      </w:r>
      <w:r w:rsidR="000940CE" w:rsidRPr="003E3B5A">
        <w:rPr>
          <w:rFonts w:ascii="Arial" w:hAnsi="Arial" w:cs="Arial"/>
          <w:sz w:val="24"/>
          <w:szCs w:val="24"/>
        </w:rPr>
        <w:t xml:space="preserve">Se instruye </w:t>
      </w:r>
      <w:r w:rsidR="00480661">
        <w:rPr>
          <w:rFonts w:ascii="Arial" w:hAnsi="Arial" w:cs="Arial"/>
          <w:sz w:val="24"/>
          <w:szCs w:val="24"/>
        </w:rPr>
        <w:t>a la secretaria Técnica de la Fiscal General Juana María Castillo Ortega</w:t>
      </w:r>
      <w:r w:rsidR="000940CE" w:rsidRPr="003E3B5A">
        <w:rPr>
          <w:rFonts w:ascii="Arial" w:hAnsi="Arial" w:cs="Arial"/>
          <w:sz w:val="24"/>
          <w:szCs w:val="24"/>
        </w:rPr>
        <w:t xml:space="preserve">, para que dé cumplimiento a los efectos de la presente resolución establecidos en el considerando </w:t>
      </w:r>
      <w:r w:rsidR="000940CE" w:rsidRPr="003E3B5A">
        <w:rPr>
          <w:rFonts w:ascii="Arial" w:hAnsi="Arial" w:cs="Arial"/>
          <w:i/>
          <w:sz w:val="24"/>
          <w:szCs w:val="24"/>
        </w:rPr>
        <w:t>tercero</w:t>
      </w:r>
      <w:r w:rsidR="000940CE" w:rsidRPr="003E3B5A">
        <w:rPr>
          <w:rFonts w:ascii="Arial" w:hAnsi="Arial" w:cs="Arial"/>
          <w:sz w:val="24"/>
          <w:szCs w:val="24"/>
        </w:rPr>
        <w:t xml:space="preserve"> fracción V.</w:t>
      </w:r>
    </w:p>
    <w:bookmarkEnd w:id="1"/>
    <w:p w:rsidR="00AE5C19" w:rsidRPr="003E3B5A" w:rsidRDefault="00AE5C19" w:rsidP="00412162">
      <w:pPr>
        <w:spacing w:after="0" w:line="240" w:lineRule="auto"/>
        <w:jc w:val="both"/>
        <w:rPr>
          <w:rFonts w:ascii="Arial" w:hAnsi="Arial" w:cs="Arial"/>
          <w:sz w:val="24"/>
          <w:szCs w:val="24"/>
        </w:rPr>
      </w:pPr>
    </w:p>
    <w:bookmarkEnd w:id="2"/>
    <w:p w:rsidR="00A52F44" w:rsidRPr="00A34E28" w:rsidRDefault="009819AE" w:rsidP="00A52F44">
      <w:pPr>
        <w:jc w:val="both"/>
        <w:rPr>
          <w:rFonts w:ascii="Arial" w:hAnsi="Arial" w:cs="Arial"/>
          <w:b/>
          <w:sz w:val="24"/>
          <w:szCs w:val="24"/>
        </w:rPr>
      </w:pPr>
      <w:r w:rsidRPr="003E3B5A">
        <w:rPr>
          <w:rFonts w:ascii="Arial" w:hAnsi="Arial" w:cs="Arial"/>
          <w:sz w:val="24"/>
          <w:szCs w:val="24"/>
        </w:rPr>
        <w:t xml:space="preserve">Es preciso dejar asentado que, con el fin de que el Comité de Transparencia lleve un control interno de todas y cada una de las resoluciones que emite, se le asigna el consecutivo </w:t>
      </w:r>
      <w:r w:rsidR="00F64080" w:rsidRPr="003E3B5A">
        <w:rPr>
          <w:rFonts w:ascii="Arial" w:hAnsi="Arial" w:cs="Arial"/>
          <w:b/>
          <w:sz w:val="24"/>
          <w:szCs w:val="24"/>
        </w:rPr>
        <w:t>FGE-CT-AR-</w:t>
      </w:r>
      <w:r w:rsidR="009A2504" w:rsidRPr="003E3B5A">
        <w:rPr>
          <w:rFonts w:ascii="Arial" w:hAnsi="Arial" w:cs="Arial"/>
          <w:b/>
          <w:sz w:val="24"/>
          <w:szCs w:val="24"/>
        </w:rPr>
        <w:t>1</w:t>
      </w:r>
      <w:r w:rsidR="00A52F44">
        <w:rPr>
          <w:rFonts w:ascii="Arial" w:hAnsi="Arial" w:cs="Arial"/>
          <w:b/>
          <w:sz w:val="24"/>
          <w:szCs w:val="24"/>
        </w:rPr>
        <w:t>20</w:t>
      </w:r>
      <w:r w:rsidRPr="003E3B5A">
        <w:rPr>
          <w:rFonts w:ascii="Arial" w:hAnsi="Arial" w:cs="Arial"/>
          <w:b/>
          <w:sz w:val="24"/>
          <w:szCs w:val="24"/>
        </w:rPr>
        <w:t>-202</w:t>
      </w:r>
      <w:r w:rsidR="00F042CD" w:rsidRPr="003E3B5A">
        <w:rPr>
          <w:rFonts w:ascii="Arial" w:hAnsi="Arial" w:cs="Arial"/>
          <w:b/>
          <w:sz w:val="24"/>
          <w:szCs w:val="24"/>
        </w:rPr>
        <w:t>6</w:t>
      </w:r>
      <w:r w:rsidR="00A52F44">
        <w:rPr>
          <w:rFonts w:ascii="Arial" w:hAnsi="Arial" w:cs="Arial"/>
          <w:b/>
          <w:sz w:val="24"/>
          <w:szCs w:val="24"/>
        </w:rPr>
        <w:t xml:space="preserve">, </w:t>
      </w:r>
      <w:r w:rsidR="00A52F44" w:rsidRPr="00A34E28">
        <w:rPr>
          <w:rFonts w:ascii="Arial" w:hAnsi="Arial" w:cs="Arial"/>
          <w:sz w:val="24"/>
          <w:szCs w:val="24"/>
        </w:rPr>
        <w:t xml:space="preserve">y en cuanto a la versión pública queda registrada bajo el consecutivo </w:t>
      </w:r>
      <w:r w:rsidR="00A52F44" w:rsidRPr="00A34E28">
        <w:rPr>
          <w:rFonts w:ascii="Arial" w:hAnsi="Arial" w:cs="Arial"/>
          <w:b/>
          <w:sz w:val="24"/>
          <w:szCs w:val="24"/>
        </w:rPr>
        <w:t>FGE-CT-AVP-46-2026.</w:t>
      </w:r>
    </w:p>
    <w:p w:rsidR="0064745D" w:rsidRPr="003E3B5A" w:rsidRDefault="0064745D" w:rsidP="00412162">
      <w:pPr>
        <w:spacing w:after="0" w:line="240" w:lineRule="auto"/>
        <w:jc w:val="both"/>
        <w:rPr>
          <w:rFonts w:ascii="Arial" w:hAnsi="Arial" w:cs="Arial"/>
          <w:b/>
          <w:sz w:val="24"/>
          <w:szCs w:val="24"/>
        </w:rPr>
      </w:pPr>
    </w:p>
    <w:bookmarkEnd w:id="3"/>
    <w:p w:rsidR="00BF3665" w:rsidRPr="003E3B5A" w:rsidRDefault="009819AE" w:rsidP="00412162">
      <w:pPr>
        <w:spacing w:after="0" w:line="240" w:lineRule="auto"/>
        <w:jc w:val="both"/>
        <w:rPr>
          <w:rFonts w:ascii="Arial" w:hAnsi="Arial" w:cs="Arial"/>
          <w:sz w:val="24"/>
          <w:szCs w:val="24"/>
        </w:rPr>
      </w:pPr>
      <w:r w:rsidRPr="003E3B5A">
        <w:rPr>
          <w:rFonts w:ascii="Arial" w:hAnsi="Arial" w:cs="Arial"/>
          <w:sz w:val="24"/>
          <w:szCs w:val="24"/>
        </w:rPr>
        <w:t xml:space="preserve">En cumplimiento a lo establecido por el artículo 128 fracción IX, de la LTAIPSLP, así como el </w:t>
      </w:r>
      <w:r w:rsidR="00481D63" w:rsidRPr="003E3B5A">
        <w:rPr>
          <w:rFonts w:ascii="Arial" w:hAnsi="Arial" w:cs="Arial"/>
          <w:sz w:val="24"/>
          <w:szCs w:val="24"/>
        </w:rPr>
        <w:t>l</w:t>
      </w:r>
      <w:r w:rsidRPr="003E3B5A">
        <w:rPr>
          <w:rFonts w:ascii="Arial" w:hAnsi="Arial" w:cs="Arial"/>
          <w:sz w:val="24"/>
          <w:szCs w:val="24"/>
        </w:rPr>
        <w:t xml:space="preserve">ineamiento </w:t>
      </w:r>
      <w:r w:rsidR="00481D63" w:rsidRPr="003E3B5A">
        <w:rPr>
          <w:rFonts w:ascii="Arial" w:hAnsi="Arial" w:cs="Arial"/>
          <w:sz w:val="24"/>
          <w:szCs w:val="24"/>
        </w:rPr>
        <w:t>q</w:t>
      </w:r>
      <w:r w:rsidRPr="003E3B5A">
        <w:rPr>
          <w:rFonts w:ascii="Arial" w:hAnsi="Arial" w:cs="Arial"/>
          <w:sz w:val="24"/>
          <w:szCs w:val="24"/>
        </w:rPr>
        <w:t>uincuagésimo primero, fracción V de los LGPCDIEVP, se procede a rubricar la presente resolución.</w:t>
      </w:r>
    </w:p>
    <w:p w:rsidR="00600426" w:rsidRDefault="00600426" w:rsidP="00412162">
      <w:pPr>
        <w:spacing w:after="0" w:line="240" w:lineRule="auto"/>
        <w:jc w:val="both"/>
        <w:rPr>
          <w:rFonts w:ascii="Arial" w:hAnsi="Arial" w:cs="Arial"/>
          <w:sz w:val="24"/>
          <w:szCs w:val="24"/>
          <w:highlight w:val="yellow"/>
        </w:rPr>
      </w:pPr>
    </w:p>
    <w:p w:rsidR="00412162" w:rsidRDefault="00412162" w:rsidP="00412162">
      <w:pPr>
        <w:spacing w:after="0" w:line="240" w:lineRule="auto"/>
        <w:jc w:val="both"/>
        <w:rPr>
          <w:rFonts w:ascii="Arial" w:hAnsi="Arial" w:cs="Arial"/>
          <w:sz w:val="24"/>
          <w:szCs w:val="24"/>
          <w:highlight w:val="yellow"/>
        </w:rPr>
      </w:pPr>
    </w:p>
    <w:p w:rsidR="00DC4909" w:rsidRDefault="00DC4909" w:rsidP="00412162">
      <w:pPr>
        <w:spacing w:after="0" w:line="240" w:lineRule="auto"/>
        <w:jc w:val="both"/>
        <w:rPr>
          <w:rFonts w:ascii="Arial" w:hAnsi="Arial" w:cs="Arial"/>
          <w:sz w:val="24"/>
          <w:szCs w:val="24"/>
          <w:highlight w:val="yellow"/>
        </w:rPr>
      </w:pPr>
    </w:p>
    <w:p w:rsidR="009A2504" w:rsidRDefault="009A2504" w:rsidP="00412162">
      <w:pPr>
        <w:spacing w:after="0" w:line="240" w:lineRule="auto"/>
        <w:jc w:val="both"/>
        <w:rPr>
          <w:rFonts w:ascii="Arial" w:hAnsi="Arial" w:cs="Arial"/>
          <w:sz w:val="24"/>
          <w:szCs w:val="24"/>
          <w:highlight w:val="yellow"/>
        </w:rPr>
      </w:pPr>
    </w:p>
    <w:p w:rsidR="00296E27" w:rsidRDefault="00296E27" w:rsidP="00412162">
      <w:pPr>
        <w:spacing w:after="0" w:line="240" w:lineRule="auto"/>
        <w:jc w:val="both"/>
        <w:rPr>
          <w:rFonts w:ascii="Arial" w:hAnsi="Arial" w:cs="Arial"/>
          <w:sz w:val="24"/>
          <w:szCs w:val="24"/>
          <w:highlight w:val="yellow"/>
        </w:rPr>
      </w:pPr>
    </w:p>
    <w:p w:rsidR="00BF3665" w:rsidRPr="00115CE3" w:rsidRDefault="009819AE" w:rsidP="00412162">
      <w:pPr>
        <w:spacing w:after="0" w:line="240" w:lineRule="auto"/>
        <w:rPr>
          <w:rFonts w:ascii="Arial" w:hAnsi="Arial" w:cs="Arial"/>
          <w:sz w:val="24"/>
          <w:szCs w:val="24"/>
        </w:rPr>
      </w:pPr>
      <w:r w:rsidRPr="00115CE3">
        <w:rPr>
          <w:rFonts w:ascii="Arial" w:hAnsi="Arial" w:cs="Arial"/>
          <w:sz w:val="24"/>
          <w:szCs w:val="24"/>
        </w:rPr>
        <w:t>____________________________________</w:t>
      </w:r>
    </w:p>
    <w:p w:rsidR="00BF3665" w:rsidRPr="00115CE3" w:rsidRDefault="009819AE" w:rsidP="00412162">
      <w:pPr>
        <w:tabs>
          <w:tab w:val="left" w:pos="8998"/>
          <w:tab w:val="left" w:pos="9932"/>
        </w:tabs>
        <w:spacing w:before="20" w:after="0" w:line="240" w:lineRule="auto"/>
        <w:rPr>
          <w:rFonts w:ascii="Arial" w:eastAsia="Arial" w:hAnsi="Arial" w:cs="Arial"/>
          <w:b/>
          <w:sz w:val="24"/>
          <w:szCs w:val="24"/>
        </w:rPr>
      </w:pPr>
      <w:r w:rsidRPr="00115CE3">
        <w:rPr>
          <w:rFonts w:ascii="Arial" w:eastAsia="Arial" w:hAnsi="Arial" w:cs="Arial"/>
          <w:b/>
          <w:sz w:val="24"/>
          <w:szCs w:val="24"/>
        </w:rPr>
        <w:t>MAESTRA XITLÁLIC SÁNCHEZ SERVÍN</w:t>
      </w:r>
    </w:p>
    <w:p w:rsidR="00BF3665" w:rsidRPr="00115CE3" w:rsidRDefault="009819AE" w:rsidP="00412162">
      <w:pPr>
        <w:tabs>
          <w:tab w:val="left" w:pos="8998"/>
          <w:tab w:val="left" w:pos="9932"/>
        </w:tabs>
        <w:spacing w:before="20" w:after="0" w:line="240" w:lineRule="auto"/>
        <w:rPr>
          <w:rFonts w:ascii="Arial" w:eastAsia="Arial" w:hAnsi="Arial" w:cs="Arial"/>
          <w:b/>
          <w:sz w:val="24"/>
          <w:szCs w:val="24"/>
        </w:rPr>
      </w:pPr>
      <w:r w:rsidRPr="00115CE3">
        <w:rPr>
          <w:rFonts w:ascii="Arial" w:eastAsia="Arial" w:hAnsi="Arial" w:cs="Arial"/>
          <w:b/>
          <w:sz w:val="24"/>
          <w:szCs w:val="24"/>
        </w:rPr>
        <w:t>VICEFISCAL JURIDICA Y PRESIDENTA DEL</w:t>
      </w:r>
    </w:p>
    <w:p w:rsidR="00431ACA" w:rsidRPr="00115CE3" w:rsidRDefault="009819AE" w:rsidP="00412162">
      <w:pPr>
        <w:tabs>
          <w:tab w:val="left" w:pos="8998"/>
          <w:tab w:val="left" w:pos="9932"/>
        </w:tabs>
        <w:spacing w:before="20" w:after="0" w:line="240" w:lineRule="auto"/>
        <w:rPr>
          <w:rFonts w:ascii="Arial" w:eastAsia="Arial" w:hAnsi="Arial" w:cs="Arial"/>
          <w:b/>
          <w:sz w:val="24"/>
          <w:szCs w:val="24"/>
        </w:rPr>
      </w:pPr>
      <w:r w:rsidRPr="00115CE3">
        <w:rPr>
          <w:rFonts w:ascii="Arial" w:eastAsia="Arial" w:hAnsi="Arial" w:cs="Arial"/>
          <w:b/>
          <w:sz w:val="24"/>
          <w:szCs w:val="24"/>
        </w:rPr>
        <w:t>COMITÉ DE TRANSPARENCIA</w:t>
      </w:r>
      <w:r w:rsidR="00431ACA" w:rsidRPr="00115CE3">
        <w:rPr>
          <w:rFonts w:ascii="Arial" w:eastAsia="Arial" w:hAnsi="Arial" w:cs="Arial"/>
          <w:b/>
          <w:sz w:val="24"/>
          <w:szCs w:val="24"/>
        </w:rPr>
        <w:t>.</w:t>
      </w:r>
    </w:p>
    <w:p w:rsidR="009A2504" w:rsidRDefault="009A2504" w:rsidP="00412162">
      <w:pPr>
        <w:tabs>
          <w:tab w:val="left" w:pos="8998"/>
          <w:tab w:val="left" w:pos="9932"/>
        </w:tabs>
        <w:spacing w:before="20" w:after="0" w:line="240" w:lineRule="auto"/>
        <w:rPr>
          <w:rFonts w:ascii="Arial" w:eastAsia="Arial" w:hAnsi="Arial" w:cs="Arial"/>
          <w:b/>
          <w:sz w:val="24"/>
          <w:szCs w:val="24"/>
        </w:rPr>
      </w:pPr>
    </w:p>
    <w:p w:rsidR="00DC4909" w:rsidRDefault="00DC4909" w:rsidP="00412162">
      <w:pPr>
        <w:tabs>
          <w:tab w:val="left" w:pos="8998"/>
          <w:tab w:val="left" w:pos="9932"/>
        </w:tabs>
        <w:spacing w:before="20" w:after="0" w:line="240" w:lineRule="auto"/>
        <w:rPr>
          <w:rFonts w:ascii="Arial" w:eastAsia="Arial" w:hAnsi="Arial" w:cs="Arial"/>
          <w:b/>
          <w:sz w:val="24"/>
          <w:szCs w:val="24"/>
        </w:rPr>
      </w:pPr>
    </w:p>
    <w:p w:rsidR="007B77C9" w:rsidRDefault="007B77C9" w:rsidP="00412162">
      <w:pPr>
        <w:tabs>
          <w:tab w:val="left" w:pos="8998"/>
          <w:tab w:val="left" w:pos="9932"/>
        </w:tabs>
        <w:spacing w:before="20" w:after="0" w:line="240" w:lineRule="auto"/>
        <w:rPr>
          <w:rFonts w:ascii="Arial" w:eastAsia="Arial" w:hAnsi="Arial" w:cs="Arial"/>
          <w:b/>
          <w:sz w:val="24"/>
          <w:szCs w:val="24"/>
        </w:rPr>
      </w:pPr>
    </w:p>
    <w:p w:rsidR="0015354E" w:rsidRDefault="0015354E" w:rsidP="00412162">
      <w:pPr>
        <w:spacing w:after="0" w:line="240" w:lineRule="auto"/>
        <w:jc w:val="both"/>
        <w:rPr>
          <w:rFonts w:ascii="Arial" w:hAnsi="Arial" w:cs="Arial"/>
          <w:sz w:val="24"/>
          <w:szCs w:val="24"/>
        </w:rPr>
      </w:pPr>
    </w:p>
    <w:p w:rsidR="00204354" w:rsidRPr="00115CE3" w:rsidRDefault="00204354" w:rsidP="00412162">
      <w:pPr>
        <w:spacing w:after="0" w:line="240" w:lineRule="auto"/>
        <w:jc w:val="both"/>
        <w:rPr>
          <w:rFonts w:ascii="Arial" w:hAnsi="Arial" w:cs="Arial"/>
          <w:sz w:val="24"/>
          <w:szCs w:val="24"/>
        </w:rPr>
      </w:pPr>
      <w:r w:rsidRPr="00115CE3">
        <w:rPr>
          <w:rFonts w:ascii="Arial" w:hAnsi="Arial" w:cs="Arial"/>
          <w:sz w:val="24"/>
          <w:szCs w:val="24"/>
        </w:rPr>
        <w:t>____________________________________</w:t>
      </w:r>
    </w:p>
    <w:p w:rsidR="000E378A" w:rsidRDefault="000E378A" w:rsidP="00412162">
      <w:pPr>
        <w:spacing w:after="0" w:line="240" w:lineRule="auto"/>
        <w:rPr>
          <w:rFonts w:ascii="Arial" w:hAnsi="Arial" w:cs="Arial"/>
          <w:b/>
          <w:sz w:val="24"/>
          <w:szCs w:val="24"/>
        </w:rPr>
      </w:pPr>
      <w:r>
        <w:rPr>
          <w:rFonts w:ascii="Arial" w:hAnsi="Arial" w:cs="Arial"/>
          <w:b/>
          <w:sz w:val="24"/>
          <w:szCs w:val="24"/>
        </w:rPr>
        <w:t xml:space="preserve">MAESTRO </w:t>
      </w:r>
      <w:r w:rsidRPr="000E378A">
        <w:rPr>
          <w:rFonts w:ascii="Arial" w:hAnsi="Arial" w:cs="Arial"/>
          <w:b/>
          <w:sz w:val="24"/>
          <w:szCs w:val="24"/>
        </w:rPr>
        <w:t xml:space="preserve">CARLOS ALEJANDRO PONCE RODRÍGUEZ </w:t>
      </w:r>
    </w:p>
    <w:p w:rsidR="00480799" w:rsidRDefault="00480799" w:rsidP="00412162">
      <w:pPr>
        <w:spacing w:after="0" w:line="240" w:lineRule="auto"/>
        <w:rPr>
          <w:rFonts w:ascii="Arial" w:hAnsi="Arial" w:cs="Arial"/>
          <w:b/>
          <w:sz w:val="24"/>
          <w:szCs w:val="24"/>
        </w:rPr>
      </w:pPr>
      <w:r w:rsidRPr="00115CE3">
        <w:rPr>
          <w:rFonts w:ascii="Arial" w:hAnsi="Arial" w:cs="Arial"/>
          <w:b/>
          <w:sz w:val="24"/>
          <w:szCs w:val="24"/>
        </w:rPr>
        <w:t>VICEFISCAL E INTEGRANTE DEL COMITÉ DE TRANSPARENCIA.</w:t>
      </w:r>
    </w:p>
    <w:p w:rsidR="00600426" w:rsidRDefault="00600426" w:rsidP="00412162">
      <w:pPr>
        <w:spacing w:after="0" w:line="240" w:lineRule="auto"/>
        <w:rPr>
          <w:rFonts w:ascii="Arial" w:hAnsi="Arial" w:cs="Arial"/>
          <w:b/>
          <w:sz w:val="24"/>
          <w:szCs w:val="24"/>
        </w:rPr>
      </w:pPr>
    </w:p>
    <w:p w:rsidR="0015354E" w:rsidRDefault="0015354E" w:rsidP="00412162">
      <w:pPr>
        <w:spacing w:after="0" w:line="240" w:lineRule="auto"/>
        <w:rPr>
          <w:rFonts w:ascii="Arial" w:hAnsi="Arial" w:cs="Arial"/>
          <w:b/>
          <w:sz w:val="24"/>
          <w:szCs w:val="24"/>
        </w:rPr>
      </w:pPr>
    </w:p>
    <w:p w:rsidR="00DC4909" w:rsidRDefault="00DC4909" w:rsidP="00412162">
      <w:pPr>
        <w:spacing w:after="0" w:line="240" w:lineRule="auto"/>
        <w:rPr>
          <w:rFonts w:ascii="Arial" w:hAnsi="Arial" w:cs="Arial"/>
          <w:b/>
          <w:sz w:val="24"/>
          <w:szCs w:val="24"/>
        </w:rPr>
      </w:pPr>
    </w:p>
    <w:p w:rsidR="009A2504" w:rsidRDefault="009A2504" w:rsidP="00412162">
      <w:pPr>
        <w:spacing w:after="0" w:line="240" w:lineRule="auto"/>
        <w:rPr>
          <w:rFonts w:ascii="Arial" w:hAnsi="Arial" w:cs="Arial"/>
          <w:b/>
          <w:sz w:val="24"/>
          <w:szCs w:val="24"/>
        </w:rPr>
      </w:pPr>
    </w:p>
    <w:p w:rsidR="00BF3665" w:rsidRPr="00115CE3" w:rsidRDefault="009819AE" w:rsidP="00412162">
      <w:pPr>
        <w:spacing w:after="0" w:line="240" w:lineRule="auto"/>
        <w:jc w:val="both"/>
        <w:rPr>
          <w:rFonts w:ascii="Arial" w:hAnsi="Arial" w:cs="Arial"/>
          <w:sz w:val="24"/>
          <w:szCs w:val="24"/>
        </w:rPr>
      </w:pPr>
      <w:r w:rsidRPr="00115CE3">
        <w:rPr>
          <w:rFonts w:ascii="Arial" w:hAnsi="Arial" w:cs="Arial"/>
          <w:sz w:val="24"/>
          <w:szCs w:val="24"/>
        </w:rPr>
        <w:t>____________________________________</w:t>
      </w:r>
    </w:p>
    <w:p w:rsidR="00C06DC3" w:rsidRPr="00115CE3" w:rsidRDefault="00C06DC3" w:rsidP="00412162">
      <w:pPr>
        <w:spacing w:after="0" w:line="240" w:lineRule="auto"/>
        <w:rPr>
          <w:rFonts w:ascii="Arial" w:hAnsi="Arial" w:cs="Arial"/>
          <w:b/>
          <w:sz w:val="24"/>
          <w:szCs w:val="24"/>
        </w:rPr>
      </w:pPr>
      <w:r w:rsidRPr="00115CE3">
        <w:rPr>
          <w:rFonts w:ascii="Arial" w:hAnsi="Arial" w:cs="Arial"/>
          <w:b/>
          <w:sz w:val="24"/>
          <w:szCs w:val="24"/>
        </w:rPr>
        <w:t xml:space="preserve">DOCTOR </w:t>
      </w:r>
      <w:r w:rsidR="00C61363" w:rsidRPr="00115CE3">
        <w:rPr>
          <w:rFonts w:ascii="Arial" w:hAnsi="Arial" w:cs="Arial"/>
          <w:b/>
          <w:sz w:val="24"/>
          <w:szCs w:val="24"/>
        </w:rPr>
        <w:t xml:space="preserve">JESÚS </w:t>
      </w:r>
      <w:r w:rsidRPr="00115CE3">
        <w:rPr>
          <w:rFonts w:ascii="Arial" w:hAnsi="Arial" w:cs="Arial"/>
          <w:b/>
          <w:sz w:val="24"/>
          <w:szCs w:val="24"/>
        </w:rPr>
        <w:t xml:space="preserve">RAFAEL RODRÍGUEZ LÓPEZ </w:t>
      </w:r>
    </w:p>
    <w:p w:rsidR="00431ACA" w:rsidRPr="00115CE3" w:rsidRDefault="009819AE" w:rsidP="00412162">
      <w:pPr>
        <w:spacing w:after="0" w:line="240" w:lineRule="auto"/>
        <w:rPr>
          <w:rFonts w:ascii="Arial" w:hAnsi="Arial" w:cs="Arial"/>
          <w:b/>
          <w:sz w:val="24"/>
          <w:szCs w:val="24"/>
        </w:rPr>
      </w:pPr>
      <w:r w:rsidRPr="00115CE3">
        <w:rPr>
          <w:rFonts w:ascii="Arial" w:hAnsi="Arial" w:cs="Arial"/>
          <w:b/>
          <w:sz w:val="24"/>
          <w:szCs w:val="24"/>
        </w:rPr>
        <w:t xml:space="preserve">TITULAR DEL ÓRGANO DE CONTROL INTERNO </w:t>
      </w:r>
    </w:p>
    <w:p w:rsidR="00BF3665" w:rsidRPr="00115CE3" w:rsidRDefault="009819AE" w:rsidP="00412162">
      <w:pPr>
        <w:spacing w:after="0" w:line="240" w:lineRule="auto"/>
        <w:rPr>
          <w:rFonts w:ascii="Arial" w:hAnsi="Arial" w:cs="Arial"/>
          <w:b/>
          <w:sz w:val="24"/>
          <w:szCs w:val="24"/>
        </w:rPr>
      </w:pPr>
      <w:r w:rsidRPr="00115CE3">
        <w:rPr>
          <w:rFonts w:ascii="Arial" w:hAnsi="Arial" w:cs="Arial"/>
          <w:b/>
          <w:sz w:val="24"/>
          <w:szCs w:val="24"/>
        </w:rPr>
        <w:t>E INTEGRANTE DEL COMITÉ DE TRANSPARENCIA.</w:t>
      </w:r>
    </w:p>
    <w:sectPr w:rsidR="00BF3665" w:rsidRPr="00115CE3" w:rsidSect="00946C13">
      <w:headerReference w:type="even" r:id="rId9"/>
      <w:headerReference w:type="default" r:id="rId10"/>
      <w:footerReference w:type="even" r:id="rId11"/>
      <w:footerReference w:type="default" r:id="rId12"/>
      <w:headerReference w:type="first" r:id="rId13"/>
      <w:footerReference w:type="first" r:id="rId14"/>
      <w:pgSz w:w="12240" w:h="15840"/>
      <w:pgMar w:top="929" w:right="1134" w:bottom="1418" w:left="1134"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3668" w:rsidRDefault="00733668">
      <w:r>
        <w:separator/>
      </w:r>
    </w:p>
  </w:endnote>
  <w:endnote w:type="continuationSeparator" w:id="0">
    <w:p w:rsidR="00733668" w:rsidRDefault="00733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3F07" w:rsidRDefault="00C73F0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9819AE">
    <w:pPr>
      <w:pStyle w:val="Piedepgina"/>
      <w:jc w:val="right"/>
      <w:rPr>
        <w:rFonts w:ascii="Arial" w:hAnsi="Arial" w:cs="Arial"/>
        <w:color w:val="000000" w:themeColor="text1"/>
        <w:sz w:val="13"/>
      </w:rPr>
    </w:pPr>
    <w:r>
      <w:rPr>
        <w:rFonts w:ascii="Arial" w:hAnsi="Arial" w:cs="Arial"/>
        <w:noProof/>
        <w:sz w:val="13"/>
        <w:lang w:eastAsia="es-MX"/>
      </w:rPr>
      <w:drawing>
        <wp:anchor distT="0" distB="0" distL="114300" distR="114300" simplePos="0" relativeHeight="251661312" behindDoc="1" locked="0" layoutInCell="1" allowOverlap="1">
          <wp:simplePos x="0" y="0"/>
          <wp:positionH relativeFrom="column">
            <wp:posOffset>-782320</wp:posOffset>
          </wp:positionH>
          <wp:positionV relativeFrom="paragraph">
            <wp:posOffset>-156845</wp:posOffset>
          </wp:positionV>
          <wp:extent cx="7991475" cy="802640"/>
          <wp:effectExtent l="0" t="0" r="952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anchor>
      </w:drawing>
    </w:r>
    <w:r>
      <w:rPr>
        <w:rFonts w:ascii="Arial" w:hAnsi="Arial" w:cs="Arial"/>
        <w:color w:val="000000" w:themeColor="text1"/>
        <w:sz w:val="13"/>
      </w:rPr>
      <w:t>Fiscalía General del Estado de SLP</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Comité de Transparencia</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Eje Vial No. 100, Zona Centro,</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San Luis Potosí, S.L.P. C.P. 78000</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Tel. 01 (444) 812 26 24</w:t>
    </w:r>
  </w:p>
  <w:p w:rsidR="00BF3665" w:rsidRDefault="00BF3665">
    <w:pPr>
      <w:pStyle w:val="Piedepgina"/>
      <w:jc w:val="right"/>
      <w:rPr>
        <w:rFonts w:ascii="Arial" w:hAnsi="Arial" w:cs="Arial"/>
        <w:b/>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3F07" w:rsidRDefault="00C73F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3668" w:rsidRDefault="00733668">
      <w:r>
        <w:separator/>
      </w:r>
    </w:p>
  </w:footnote>
  <w:footnote w:type="continuationSeparator" w:id="0">
    <w:p w:rsidR="00733668" w:rsidRDefault="00733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3F07" w:rsidRDefault="00C73F0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385282" o:spid="_x0000_s4098" type="#_x0000_t136" style="position:absolute;margin-left:0;margin-top:0;width:602.5pt;height:100.4pt;rotation:315;z-index:-251650048;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93" w:rsidRDefault="00C73F07">
    <w:pPr>
      <w:pStyle w:val="Encabezado"/>
      <w:tabs>
        <w:tab w:val="clear" w:pos="4419"/>
        <w:tab w:val="clear" w:pos="8838"/>
        <w:tab w:val="left" w:pos="812"/>
        <w:tab w:val="left" w:pos="9200"/>
      </w:tabs>
      <w:rPr>
        <w:noProof/>
        <w:lang w:eastAsia="es-MX"/>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385283" o:spid="_x0000_s4099" type="#_x0000_t136" style="position:absolute;margin-left:0;margin-top:0;width:602.5pt;height:100.4pt;rotation:315;z-index:-251648000;mso-position-horizontal:center;mso-position-horizontal-relative:margin;mso-position-vertical:center;mso-position-vertical-relative:margin" o:allowincell="f" fillcolor="silver" stroked="f">
          <v:fill opacity=".5"/>
          <v:textpath style="font-family:&quot;Calibri&quot;;font-size:1pt" string="VERSION ELECTRONICA"/>
        </v:shape>
      </w:pict>
    </w:r>
    <w:r w:rsidR="00CB2293">
      <w:rPr>
        <w:noProof/>
        <w:lang w:eastAsia="es-MX"/>
      </w:rPr>
      <w:drawing>
        <wp:anchor distT="0" distB="0" distL="114300" distR="114300" simplePos="0" relativeHeight="251662336" behindDoc="1" locked="0" layoutInCell="1" allowOverlap="1">
          <wp:simplePos x="0" y="0"/>
          <wp:positionH relativeFrom="page">
            <wp:posOffset>23854</wp:posOffset>
          </wp:positionH>
          <wp:positionV relativeFrom="paragraph">
            <wp:posOffset>-472191</wp:posOffset>
          </wp:positionV>
          <wp:extent cx="7772400" cy="10045700"/>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pic:spPr>
              </pic:pic>
            </a:graphicData>
          </a:graphic>
        </wp:anchor>
      </w:drawing>
    </w:r>
  </w:p>
  <w:p w:rsidR="00CB2293" w:rsidRDefault="00CB2293" w:rsidP="00CB2293">
    <w:pPr>
      <w:pStyle w:val="Encabezado"/>
      <w:tabs>
        <w:tab w:val="clear" w:pos="4419"/>
        <w:tab w:val="clear" w:pos="8838"/>
        <w:tab w:val="left" w:pos="1540"/>
      </w:tabs>
      <w:rPr>
        <w:noProof/>
        <w:lang w:eastAsia="es-MX"/>
      </w:rPr>
    </w:pPr>
    <w:r>
      <w:rPr>
        <w:noProof/>
        <w:lang w:eastAsia="es-MX"/>
      </w:rPr>
      <w:tab/>
    </w:r>
  </w:p>
  <w:p w:rsidR="00CB2293" w:rsidRDefault="00CB2293">
    <w:pPr>
      <w:pStyle w:val="Encabezado"/>
      <w:tabs>
        <w:tab w:val="clear" w:pos="4419"/>
        <w:tab w:val="clear" w:pos="8838"/>
        <w:tab w:val="left" w:pos="812"/>
        <w:tab w:val="left" w:pos="9200"/>
      </w:tabs>
      <w:rPr>
        <w:noProof/>
        <w:lang w:eastAsia="es-MX"/>
      </w:rPr>
    </w:pPr>
  </w:p>
  <w:p w:rsidR="00BF3665" w:rsidRDefault="009819AE">
    <w:pPr>
      <w:pStyle w:val="Encabezado"/>
      <w:tabs>
        <w:tab w:val="clear" w:pos="4419"/>
        <w:tab w:val="clear" w:pos="8838"/>
        <w:tab w:val="left" w:pos="812"/>
        <w:tab w:val="left" w:pos="9200"/>
      </w:tabs>
    </w:pPr>
    <w:r>
      <w:rPr>
        <w:rFonts w:ascii="Calibri" w:eastAsia="Times New Roman" w:hAnsi="Calibri" w:cs="Times New Roman"/>
        <w:noProof/>
        <w:lang w:eastAsia="es-MX"/>
      </w:rPr>
      <w:drawing>
        <wp:anchor distT="0" distB="0" distL="114300" distR="114300" simplePos="0" relativeHeight="251660288" behindDoc="1" locked="0" layoutInCell="1" allowOverlap="1">
          <wp:simplePos x="0" y="0"/>
          <wp:positionH relativeFrom="column">
            <wp:posOffset>-948690</wp:posOffset>
          </wp:positionH>
          <wp:positionV relativeFrom="paragraph">
            <wp:posOffset>-453390</wp:posOffset>
          </wp:positionV>
          <wp:extent cx="8488680" cy="10971530"/>
          <wp:effectExtent l="0" t="0" r="7620" b="1905"/>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8680" cy="10971480"/>
                  </a:xfrm>
                  <a:prstGeom prst="rect">
                    <a:avLst/>
                  </a:prstGeom>
                </pic:spPr>
              </pic:pic>
            </a:graphicData>
          </a:graphic>
        </wp:anchor>
      </w:drawing>
    </w:r>
    <w:sdt>
      <w:sdtPr>
        <w:rPr>
          <w:lang w:eastAsia="es-MX"/>
        </w:rPr>
        <w:id w:val="1099375115"/>
      </w:sdtPr>
      <w:sdtEndPr/>
      <w:sdtContent>
        <w:r>
          <w:rPr>
            <w:noProof/>
            <w:lang w:eastAsia="es-MX"/>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anchor>
              </w:drawing>
            </mc:Choice>
            <mc:Fallback>
              <w:pict>
                <v:rect id="Rectángulo 3" o:spid="_x0000_s1026" style="position:absolute;margin-left:0;margin-top:0;width:40.2pt;height:171.9pt;z-index:251659264;visibility:visible;mso-wrap-style:square;mso-wrap-distance-left:9pt;mso-wrap-distance-top:0;mso-wrap-distance-right:9pt;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H+JJ7jvAQAAr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Pr>
        <w:lang w:eastAsia="es-MX"/>
      </w:rPr>
      <w:t xml:space="preserve"> </w:t>
    </w:r>
    <w:r>
      <w:tab/>
    </w:r>
    <w:r>
      <w:tab/>
    </w:r>
  </w:p>
  <w:tbl>
    <w:tblPr>
      <w:tblStyle w:val="Tablaconcuadrcula"/>
      <w:tblW w:w="0" w:type="auto"/>
      <w:tblLook w:val="04A0" w:firstRow="1" w:lastRow="0" w:firstColumn="1" w:lastColumn="0" w:noHBand="0" w:noVBand="1"/>
    </w:tblPr>
    <w:tblGrid>
      <w:gridCol w:w="9962"/>
    </w:tblGrid>
    <w:tr w:rsidR="00CB2293" w:rsidTr="00946C13">
      <w:trPr>
        <w:trHeight w:val="410"/>
      </w:trPr>
      <w:tc>
        <w:tcPr>
          <w:tcW w:w="9962" w:type="dxa"/>
          <w:shd w:val="clear" w:color="auto" w:fill="000000" w:themeFill="text1"/>
        </w:tcPr>
        <w:p w:rsidR="00CB2293" w:rsidRPr="00CB2293" w:rsidRDefault="00CB2293" w:rsidP="00AB1AAA">
          <w:pPr>
            <w:spacing w:after="0"/>
            <w:jc w:val="both"/>
            <w:rPr>
              <w:lang w:val="es-ES"/>
            </w:rPr>
          </w:pPr>
          <w:r>
            <w:rPr>
              <w:rFonts w:ascii="Arial" w:hAnsi="Arial" w:cs="Arial"/>
              <w:color w:val="FFFFFF" w:themeColor="background1"/>
              <w:sz w:val="18"/>
              <w:szCs w:val="18"/>
              <w:lang w:val="es-ES"/>
            </w:rPr>
            <w:t>0</w:t>
          </w:r>
          <w:r w:rsidR="001C3095">
            <w:rPr>
              <w:rFonts w:ascii="Arial" w:hAnsi="Arial" w:cs="Arial"/>
              <w:color w:val="FFFFFF" w:themeColor="background1"/>
              <w:sz w:val="18"/>
              <w:szCs w:val="18"/>
              <w:lang w:val="es-ES"/>
            </w:rPr>
            <w:t>3</w:t>
          </w:r>
          <w:r>
            <w:rPr>
              <w:rFonts w:ascii="Arial" w:hAnsi="Arial" w:cs="Arial"/>
              <w:color w:val="FFFFFF" w:themeColor="background1"/>
              <w:sz w:val="18"/>
              <w:szCs w:val="18"/>
              <w:lang w:val="es-ES"/>
            </w:rPr>
            <w:t xml:space="preserve"> de </w:t>
          </w:r>
          <w:r w:rsidR="00A2555F">
            <w:rPr>
              <w:rFonts w:ascii="Arial" w:hAnsi="Arial" w:cs="Arial"/>
              <w:color w:val="FFFFFF" w:themeColor="background1"/>
              <w:sz w:val="18"/>
              <w:szCs w:val="18"/>
              <w:lang w:val="es-ES"/>
            </w:rPr>
            <w:t>ju</w:t>
          </w:r>
          <w:r w:rsidR="001C3095">
            <w:rPr>
              <w:rFonts w:ascii="Arial" w:hAnsi="Arial" w:cs="Arial"/>
              <w:color w:val="FFFFFF" w:themeColor="background1"/>
              <w:sz w:val="18"/>
              <w:szCs w:val="18"/>
              <w:lang w:val="es-ES"/>
            </w:rPr>
            <w:t>l</w:t>
          </w:r>
          <w:r w:rsidR="00A2555F">
            <w:rPr>
              <w:rFonts w:ascii="Arial" w:hAnsi="Arial" w:cs="Arial"/>
              <w:color w:val="FFFFFF" w:themeColor="background1"/>
              <w:sz w:val="18"/>
              <w:szCs w:val="18"/>
              <w:lang w:val="es-ES"/>
            </w:rPr>
            <w:t>io</w:t>
          </w:r>
          <w:r w:rsidR="00D33BBC">
            <w:rPr>
              <w:rFonts w:ascii="Arial" w:hAnsi="Arial" w:cs="Arial"/>
              <w:color w:val="FFFFFF" w:themeColor="background1"/>
              <w:sz w:val="18"/>
              <w:szCs w:val="18"/>
              <w:lang w:val="es-ES"/>
            </w:rPr>
            <w:t xml:space="preserve"> </w:t>
          </w:r>
          <w:r>
            <w:rPr>
              <w:rFonts w:ascii="Arial" w:hAnsi="Arial" w:cs="Arial"/>
              <w:color w:val="FFFFFF" w:themeColor="background1"/>
              <w:sz w:val="18"/>
              <w:szCs w:val="18"/>
              <w:lang w:val="es-ES"/>
            </w:rPr>
            <w:t>202</w:t>
          </w:r>
          <w:r w:rsidR="000D70CF">
            <w:rPr>
              <w:rFonts w:ascii="Arial" w:hAnsi="Arial" w:cs="Arial"/>
              <w:color w:val="FFFFFF" w:themeColor="background1"/>
              <w:sz w:val="18"/>
              <w:szCs w:val="18"/>
              <w:lang w:val="es-ES"/>
            </w:rPr>
            <w:t>6</w:t>
          </w:r>
          <w:r>
            <w:rPr>
              <w:rFonts w:ascii="Arial" w:hAnsi="Arial" w:cs="Arial"/>
              <w:color w:val="FFFFFF" w:themeColor="background1"/>
              <w:sz w:val="18"/>
              <w:szCs w:val="18"/>
              <w:lang w:val="es-ES"/>
            </w:rPr>
            <w:t xml:space="preserve">. </w:t>
          </w:r>
          <w:r w:rsidR="001C3095">
            <w:rPr>
              <w:rFonts w:ascii="Arial" w:hAnsi="Arial" w:cs="Arial"/>
              <w:color w:val="FFFFFF" w:themeColor="background1"/>
              <w:sz w:val="18"/>
              <w:szCs w:val="18"/>
              <w:lang w:val="es-ES"/>
            </w:rPr>
            <w:t>Séptima</w:t>
          </w:r>
          <w:r>
            <w:rPr>
              <w:rFonts w:ascii="Arial" w:hAnsi="Arial" w:cs="Arial"/>
              <w:color w:val="FFFFFF" w:themeColor="background1"/>
              <w:sz w:val="18"/>
              <w:szCs w:val="18"/>
            </w:rPr>
            <w:t xml:space="preserve"> </w:t>
          </w:r>
          <w:r w:rsidRPr="00D338A0">
            <w:rPr>
              <w:rFonts w:ascii="Arial" w:hAnsi="Arial" w:cs="Arial"/>
              <w:color w:val="FFFFFF" w:themeColor="background1"/>
              <w:sz w:val="18"/>
              <w:szCs w:val="18"/>
            </w:rPr>
            <w:t>sesión ordinaria 202</w:t>
          </w:r>
          <w:r w:rsidR="000D70CF">
            <w:rPr>
              <w:rFonts w:ascii="Arial" w:hAnsi="Arial" w:cs="Arial"/>
              <w:color w:val="FFFFFF" w:themeColor="background1"/>
              <w:sz w:val="18"/>
              <w:szCs w:val="18"/>
            </w:rPr>
            <w:t>6</w:t>
          </w:r>
          <w:r w:rsidRPr="00D338A0">
            <w:rPr>
              <w:rFonts w:ascii="Arial" w:hAnsi="Arial" w:cs="Arial"/>
              <w:color w:val="FFFFFF" w:themeColor="background1"/>
              <w:sz w:val="18"/>
              <w:szCs w:val="18"/>
            </w:rPr>
            <w:t xml:space="preserve"> del Comité de Transparencia. </w:t>
          </w:r>
          <w:r w:rsidRPr="00D338A0">
            <w:rPr>
              <w:rFonts w:ascii="Arial" w:hAnsi="Arial" w:cs="Arial"/>
              <w:color w:val="FFFFFF" w:themeColor="background1"/>
              <w:sz w:val="18"/>
              <w:szCs w:val="18"/>
              <w:lang w:val="es-ES"/>
            </w:rPr>
            <w:t xml:space="preserve">Confirmación del acuerdo de reserva </w:t>
          </w:r>
          <w:r w:rsidR="00C34EAC">
            <w:rPr>
              <w:rFonts w:ascii="Arial" w:hAnsi="Arial" w:cs="Arial"/>
              <w:b/>
              <w:color w:val="FFFFFF" w:themeColor="background1"/>
              <w:sz w:val="18"/>
              <w:szCs w:val="18"/>
              <w:lang w:val="es-ES"/>
            </w:rPr>
            <w:t>parcial</w:t>
          </w:r>
          <w:r w:rsidRPr="00BA05C2">
            <w:rPr>
              <w:rFonts w:ascii="Arial" w:hAnsi="Arial" w:cs="Arial"/>
              <w:b/>
              <w:color w:val="FFFFFF" w:themeColor="background1"/>
              <w:sz w:val="18"/>
              <w:szCs w:val="18"/>
              <w:lang w:val="es-ES"/>
            </w:rPr>
            <w:t xml:space="preserve"> </w:t>
          </w:r>
          <w:r w:rsidR="00480661">
            <w:rPr>
              <w:rFonts w:ascii="Arial" w:hAnsi="Arial" w:cs="Arial"/>
              <w:b/>
              <w:color w:val="FFFFFF" w:themeColor="background1"/>
              <w:sz w:val="18"/>
              <w:szCs w:val="18"/>
              <w:lang w:val="es-ES"/>
            </w:rPr>
            <w:t>FGE/ST/001</w:t>
          </w:r>
          <w:r>
            <w:rPr>
              <w:rFonts w:ascii="Arial" w:hAnsi="Arial" w:cs="Arial"/>
              <w:b/>
              <w:color w:val="FFFFFF" w:themeColor="background1"/>
              <w:sz w:val="18"/>
              <w:szCs w:val="18"/>
              <w:lang w:val="es-ES"/>
            </w:rPr>
            <w:t>/202</w:t>
          </w:r>
          <w:r w:rsidR="00D63EFF">
            <w:rPr>
              <w:rFonts w:ascii="Arial" w:hAnsi="Arial" w:cs="Arial"/>
              <w:b/>
              <w:color w:val="FFFFFF" w:themeColor="background1"/>
              <w:sz w:val="18"/>
              <w:szCs w:val="18"/>
              <w:lang w:val="es-ES"/>
            </w:rPr>
            <w:t>6</w:t>
          </w:r>
          <w:r w:rsidRPr="00D338A0">
            <w:rPr>
              <w:rFonts w:ascii="Arial" w:hAnsi="Arial" w:cs="Arial"/>
              <w:color w:val="FFFFFF" w:themeColor="background1"/>
              <w:sz w:val="18"/>
              <w:szCs w:val="18"/>
              <w:lang w:val="es-ES"/>
            </w:rPr>
            <w:t xml:space="preserve"> que emite </w:t>
          </w:r>
          <w:r w:rsidR="00480661">
            <w:rPr>
              <w:rFonts w:ascii="Arial" w:hAnsi="Arial" w:cs="Arial"/>
              <w:color w:val="FFFFFF" w:themeColor="background1"/>
              <w:sz w:val="18"/>
              <w:szCs w:val="18"/>
              <w:lang w:val="es-ES"/>
            </w:rPr>
            <w:t>la secretaria Técnica de la Fiscal General</w:t>
          </w:r>
          <w:r w:rsidRPr="00D338A0">
            <w:rPr>
              <w:rFonts w:ascii="Arial" w:hAnsi="Arial" w:cs="Arial"/>
              <w:color w:val="FFFFFF" w:themeColor="background1"/>
              <w:sz w:val="18"/>
              <w:szCs w:val="18"/>
              <w:lang w:val="es-ES"/>
            </w:rPr>
            <w:t xml:space="preserve">. </w:t>
          </w:r>
        </w:p>
      </w:tc>
    </w:tr>
  </w:tbl>
  <w:p w:rsidR="00BF3665" w:rsidRDefault="00BF3665" w:rsidP="00946C13">
    <w:pPr>
      <w:spacing w:after="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3F07" w:rsidRDefault="00C73F07">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385281" o:spid="_x0000_s4097" type="#_x0000_t136" style="position:absolute;margin-left:0;margin-top:0;width:602.5pt;height:100.4pt;rotation:315;z-index:-251652096;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3005B"/>
    <w:multiLevelType w:val="hybridMultilevel"/>
    <w:tmpl w:val="50343236"/>
    <w:lvl w:ilvl="0" w:tplc="080A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 w15:restartNumberingAfterBreak="0">
    <w:nsid w:val="0B1E23D7"/>
    <w:multiLevelType w:val="hybridMultilevel"/>
    <w:tmpl w:val="50A2EE04"/>
    <w:lvl w:ilvl="0" w:tplc="080A0003">
      <w:start w:val="1"/>
      <w:numFmt w:val="bullet"/>
      <w:lvlText w:val="o"/>
      <w:lvlJc w:val="left"/>
      <w:pPr>
        <w:ind w:left="1621" w:hanging="705"/>
      </w:pPr>
      <w:rPr>
        <w:rFonts w:ascii="Courier New" w:hAnsi="Courier New" w:cs="Courier New"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2" w15:restartNumberingAfterBreak="0">
    <w:nsid w:val="1CC44922"/>
    <w:multiLevelType w:val="multilevel"/>
    <w:tmpl w:val="1CC449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83F38FD"/>
    <w:multiLevelType w:val="hybridMultilevel"/>
    <w:tmpl w:val="030C38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B1B5EDA"/>
    <w:multiLevelType w:val="hybridMultilevel"/>
    <w:tmpl w:val="579C55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A1A2BA9"/>
    <w:multiLevelType w:val="hybridMultilevel"/>
    <w:tmpl w:val="A454AB26"/>
    <w:lvl w:ilvl="0" w:tplc="080A0003">
      <w:start w:val="1"/>
      <w:numFmt w:val="bullet"/>
      <w:lvlText w:val="o"/>
      <w:lvlJc w:val="left"/>
      <w:pPr>
        <w:ind w:left="1156" w:hanging="360"/>
      </w:pPr>
      <w:rPr>
        <w:rFonts w:ascii="Courier New" w:hAnsi="Courier New" w:cs="Courier New" w:hint="default"/>
      </w:rPr>
    </w:lvl>
    <w:lvl w:ilvl="1" w:tplc="FFFFFFFF">
      <w:start w:val="1"/>
      <w:numFmt w:val="bullet"/>
      <w:lvlText w:val="o"/>
      <w:lvlJc w:val="left"/>
      <w:pPr>
        <w:ind w:left="1876" w:hanging="360"/>
      </w:pPr>
      <w:rPr>
        <w:rFonts w:ascii="Courier New" w:hAnsi="Courier New" w:cs="Courier New" w:hint="default"/>
      </w:rPr>
    </w:lvl>
    <w:lvl w:ilvl="2" w:tplc="FFFFFFFF">
      <w:start w:val="1"/>
      <w:numFmt w:val="bullet"/>
      <w:lvlText w:val=""/>
      <w:lvlJc w:val="left"/>
      <w:pPr>
        <w:ind w:left="2596" w:hanging="360"/>
      </w:pPr>
      <w:rPr>
        <w:rFonts w:ascii="Wingdings" w:hAnsi="Wingdings" w:hint="default"/>
      </w:rPr>
    </w:lvl>
    <w:lvl w:ilvl="3" w:tplc="FFFFFFFF">
      <w:start w:val="1"/>
      <w:numFmt w:val="bullet"/>
      <w:lvlText w:val=""/>
      <w:lvlJc w:val="left"/>
      <w:pPr>
        <w:ind w:left="3316" w:hanging="360"/>
      </w:pPr>
      <w:rPr>
        <w:rFonts w:ascii="Symbol" w:hAnsi="Symbol" w:hint="default"/>
      </w:rPr>
    </w:lvl>
    <w:lvl w:ilvl="4" w:tplc="FFFFFFFF">
      <w:start w:val="1"/>
      <w:numFmt w:val="bullet"/>
      <w:lvlText w:val="o"/>
      <w:lvlJc w:val="left"/>
      <w:pPr>
        <w:ind w:left="4036" w:hanging="360"/>
      </w:pPr>
      <w:rPr>
        <w:rFonts w:ascii="Courier New" w:hAnsi="Courier New" w:cs="Courier New" w:hint="default"/>
      </w:rPr>
    </w:lvl>
    <w:lvl w:ilvl="5" w:tplc="FFFFFFFF">
      <w:start w:val="1"/>
      <w:numFmt w:val="bullet"/>
      <w:lvlText w:val=""/>
      <w:lvlJc w:val="left"/>
      <w:pPr>
        <w:ind w:left="4756" w:hanging="360"/>
      </w:pPr>
      <w:rPr>
        <w:rFonts w:ascii="Wingdings" w:hAnsi="Wingdings" w:hint="default"/>
      </w:rPr>
    </w:lvl>
    <w:lvl w:ilvl="6" w:tplc="FFFFFFFF">
      <w:start w:val="1"/>
      <w:numFmt w:val="bullet"/>
      <w:lvlText w:val=""/>
      <w:lvlJc w:val="left"/>
      <w:pPr>
        <w:ind w:left="5476" w:hanging="360"/>
      </w:pPr>
      <w:rPr>
        <w:rFonts w:ascii="Symbol" w:hAnsi="Symbol" w:hint="default"/>
      </w:rPr>
    </w:lvl>
    <w:lvl w:ilvl="7" w:tplc="FFFFFFFF">
      <w:start w:val="1"/>
      <w:numFmt w:val="bullet"/>
      <w:lvlText w:val="o"/>
      <w:lvlJc w:val="left"/>
      <w:pPr>
        <w:ind w:left="6196" w:hanging="360"/>
      </w:pPr>
      <w:rPr>
        <w:rFonts w:ascii="Courier New" w:hAnsi="Courier New" w:cs="Courier New" w:hint="default"/>
      </w:rPr>
    </w:lvl>
    <w:lvl w:ilvl="8" w:tplc="FFFFFFFF">
      <w:start w:val="1"/>
      <w:numFmt w:val="bullet"/>
      <w:lvlText w:val=""/>
      <w:lvlJc w:val="left"/>
      <w:pPr>
        <w:ind w:left="6916" w:hanging="360"/>
      </w:pPr>
      <w:rPr>
        <w:rFonts w:ascii="Wingdings" w:hAnsi="Wingdings" w:hint="default"/>
      </w:rPr>
    </w:lvl>
  </w:abstractNum>
  <w:abstractNum w:abstractNumId="6" w15:restartNumberingAfterBreak="0">
    <w:nsid w:val="3A877F4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F2F23F4"/>
    <w:multiLevelType w:val="multilevel"/>
    <w:tmpl w:val="3F2F23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31F4EE3"/>
    <w:multiLevelType w:val="multilevel"/>
    <w:tmpl w:val="CB5E6564"/>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E95871"/>
    <w:multiLevelType w:val="hybridMultilevel"/>
    <w:tmpl w:val="96747E92"/>
    <w:lvl w:ilvl="0" w:tplc="35F09D2E">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10" w15:restartNumberingAfterBreak="0">
    <w:nsid w:val="4B2623D6"/>
    <w:multiLevelType w:val="multilevel"/>
    <w:tmpl w:val="4B2623D6"/>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7028A2"/>
    <w:multiLevelType w:val="hybridMultilevel"/>
    <w:tmpl w:val="25F22D48"/>
    <w:lvl w:ilvl="0" w:tplc="BBAC28DE">
      <w:start w:val="1"/>
      <w:numFmt w:val="decimal"/>
      <w:lvlText w:val="%1)"/>
      <w:lvlJc w:val="left"/>
      <w:pPr>
        <w:ind w:left="436" w:hanging="360"/>
      </w:pPr>
    </w:lvl>
    <w:lvl w:ilvl="1" w:tplc="080A0019">
      <w:start w:val="1"/>
      <w:numFmt w:val="lowerLetter"/>
      <w:lvlText w:val="%2."/>
      <w:lvlJc w:val="left"/>
      <w:pPr>
        <w:ind w:left="1156" w:hanging="360"/>
      </w:pPr>
    </w:lvl>
    <w:lvl w:ilvl="2" w:tplc="080A001B">
      <w:start w:val="1"/>
      <w:numFmt w:val="lowerRoman"/>
      <w:lvlText w:val="%3."/>
      <w:lvlJc w:val="right"/>
      <w:pPr>
        <w:ind w:left="1876" w:hanging="180"/>
      </w:pPr>
    </w:lvl>
    <w:lvl w:ilvl="3" w:tplc="080A000F">
      <w:start w:val="1"/>
      <w:numFmt w:val="decimal"/>
      <w:lvlText w:val="%4."/>
      <w:lvlJc w:val="left"/>
      <w:pPr>
        <w:ind w:left="2596" w:hanging="360"/>
      </w:pPr>
    </w:lvl>
    <w:lvl w:ilvl="4" w:tplc="080A0019">
      <w:start w:val="1"/>
      <w:numFmt w:val="lowerLetter"/>
      <w:lvlText w:val="%5."/>
      <w:lvlJc w:val="left"/>
      <w:pPr>
        <w:ind w:left="3316" w:hanging="360"/>
      </w:pPr>
    </w:lvl>
    <w:lvl w:ilvl="5" w:tplc="080A001B">
      <w:start w:val="1"/>
      <w:numFmt w:val="lowerRoman"/>
      <w:lvlText w:val="%6."/>
      <w:lvlJc w:val="right"/>
      <w:pPr>
        <w:ind w:left="4036" w:hanging="180"/>
      </w:pPr>
    </w:lvl>
    <w:lvl w:ilvl="6" w:tplc="080A000F">
      <w:start w:val="1"/>
      <w:numFmt w:val="decimal"/>
      <w:lvlText w:val="%7."/>
      <w:lvlJc w:val="left"/>
      <w:pPr>
        <w:ind w:left="4756" w:hanging="360"/>
      </w:pPr>
    </w:lvl>
    <w:lvl w:ilvl="7" w:tplc="080A0019">
      <w:start w:val="1"/>
      <w:numFmt w:val="lowerLetter"/>
      <w:lvlText w:val="%8."/>
      <w:lvlJc w:val="left"/>
      <w:pPr>
        <w:ind w:left="5476" w:hanging="360"/>
      </w:pPr>
    </w:lvl>
    <w:lvl w:ilvl="8" w:tplc="080A001B">
      <w:start w:val="1"/>
      <w:numFmt w:val="lowerRoman"/>
      <w:lvlText w:val="%9."/>
      <w:lvlJc w:val="right"/>
      <w:pPr>
        <w:ind w:left="6196" w:hanging="180"/>
      </w:pPr>
    </w:lvl>
  </w:abstractNum>
  <w:abstractNum w:abstractNumId="12" w15:restartNumberingAfterBreak="0">
    <w:nsid w:val="4DC119B2"/>
    <w:multiLevelType w:val="hybridMultilevel"/>
    <w:tmpl w:val="DB0E4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DF74A7B"/>
    <w:multiLevelType w:val="hybridMultilevel"/>
    <w:tmpl w:val="2654C28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4" w15:restartNumberingAfterBreak="0">
    <w:nsid w:val="59794A21"/>
    <w:multiLevelType w:val="hybridMultilevel"/>
    <w:tmpl w:val="32925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FCA0CF4"/>
    <w:multiLevelType w:val="hybridMultilevel"/>
    <w:tmpl w:val="C72EBDE0"/>
    <w:lvl w:ilvl="0" w:tplc="2CF629E0">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2466672"/>
    <w:multiLevelType w:val="hybridMultilevel"/>
    <w:tmpl w:val="B8D8C84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7" w15:restartNumberingAfterBreak="0">
    <w:nsid w:val="64F72A9D"/>
    <w:multiLevelType w:val="hybridMultilevel"/>
    <w:tmpl w:val="B3F8D3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6E53BA9"/>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A2B4E80"/>
    <w:multiLevelType w:val="hybridMultilevel"/>
    <w:tmpl w:val="1834E384"/>
    <w:lvl w:ilvl="0" w:tplc="C4F69BD8">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20" w15:restartNumberingAfterBreak="0">
    <w:nsid w:val="6A685E8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CCD3ECC"/>
    <w:multiLevelType w:val="hybridMultilevel"/>
    <w:tmpl w:val="5978BE12"/>
    <w:lvl w:ilvl="0" w:tplc="973E8AAA">
      <w:start w:val="2"/>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4662F21"/>
    <w:multiLevelType w:val="multilevel"/>
    <w:tmpl w:val="74662F2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84C4253"/>
    <w:multiLevelType w:val="hybridMultilevel"/>
    <w:tmpl w:val="6890C7A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10"/>
  </w:num>
  <w:num w:numId="2">
    <w:abstractNumId w:val="8"/>
  </w:num>
  <w:num w:numId="3">
    <w:abstractNumId w:val="22"/>
  </w:num>
  <w:num w:numId="4">
    <w:abstractNumId w:val="18"/>
  </w:num>
  <w:num w:numId="5">
    <w:abstractNumId w:val="20"/>
  </w:num>
  <w:num w:numId="6">
    <w:abstractNumId w:val="6"/>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
  </w:num>
  <w:num w:numId="12">
    <w:abstractNumId w:val="9"/>
  </w:num>
  <w:num w:numId="13">
    <w:abstractNumId w:val="3"/>
  </w:num>
  <w:num w:numId="14">
    <w:abstractNumId w:val="14"/>
  </w:num>
  <w:num w:numId="15">
    <w:abstractNumId w:val="15"/>
  </w:num>
  <w:num w:numId="16">
    <w:abstractNumId w:val="4"/>
  </w:num>
  <w:num w:numId="17">
    <w:abstractNumId w:val="21"/>
  </w:num>
  <w:num w:numId="18">
    <w:abstractNumId w:val="23"/>
  </w:num>
  <w:num w:numId="19">
    <w:abstractNumId w:val="13"/>
  </w:num>
  <w:num w:numId="20">
    <w:abstractNumId w:val="12"/>
  </w:num>
  <w:num w:numId="21">
    <w:abstractNumId w:val="1"/>
  </w:num>
  <w:num w:numId="22">
    <w:abstractNumId w:val="16"/>
  </w:num>
  <w:num w:numId="23">
    <w:abstractNumId w:val="1"/>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F3B"/>
    <w:rsid w:val="0000089C"/>
    <w:rsid w:val="00001804"/>
    <w:rsid w:val="0000583E"/>
    <w:rsid w:val="00010012"/>
    <w:rsid w:val="00010714"/>
    <w:rsid w:val="000111BB"/>
    <w:rsid w:val="00011757"/>
    <w:rsid w:val="00012344"/>
    <w:rsid w:val="00014837"/>
    <w:rsid w:val="000215E3"/>
    <w:rsid w:val="00027130"/>
    <w:rsid w:val="000302D4"/>
    <w:rsid w:val="000316F8"/>
    <w:rsid w:val="00031EC3"/>
    <w:rsid w:val="000348C6"/>
    <w:rsid w:val="00035BE7"/>
    <w:rsid w:val="00036762"/>
    <w:rsid w:val="00042CDD"/>
    <w:rsid w:val="00043EA6"/>
    <w:rsid w:val="00044847"/>
    <w:rsid w:val="00045C57"/>
    <w:rsid w:val="0004691F"/>
    <w:rsid w:val="00047BEE"/>
    <w:rsid w:val="000501A3"/>
    <w:rsid w:val="000502DA"/>
    <w:rsid w:val="000516AB"/>
    <w:rsid w:val="00053810"/>
    <w:rsid w:val="00060363"/>
    <w:rsid w:val="000630C9"/>
    <w:rsid w:val="00066032"/>
    <w:rsid w:val="0006766C"/>
    <w:rsid w:val="0006789D"/>
    <w:rsid w:val="00074CBB"/>
    <w:rsid w:val="00075321"/>
    <w:rsid w:val="000774A6"/>
    <w:rsid w:val="000809E2"/>
    <w:rsid w:val="00090FF4"/>
    <w:rsid w:val="0009152F"/>
    <w:rsid w:val="00091F6F"/>
    <w:rsid w:val="00092311"/>
    <w:rsid w:val="000940CE"/>
    <w:rsid w:val="00097461"/>
    <w:rsid w:val="000A001A"/>
    <w:rsid w:val="000B4E59"/>
    <w:rsid w:val="000B4E6F"/>
    <w:rsid w:val="000B5998"/>
    <w:rsid w:val="000C04FF"/>
    <w:rsid w:val="000C09C1"/>
    <w:rsid w:val="000C23C7"/>
    <w:rsid w:val="000C3B69"/>
    <w:rsid w:val="000C4F3A"/>
    <w:rsid w:val="000C7192"/>
    <w:rsid w:val="000D2B3E"/>
    <w:rsid w:val="000D36B3"/>
    <w:rsid w:val="000D536E"/>
    <w:rsid w:val="000D61FB"/>
    <w:rsid w:val="000D70CF"/>
    <w:rsid w:val="000E151A"/>
    <w:rsid w:val="000E28C2"/>
    <w:rsid w:val="000E33F8"/>
    <w:rsid w:val="000E378A"/>
    <w:rsid w:val="000E6129"/>
    <w:rsid w:val="000E66E7"/>
    <w:rsid w:val="000E6D81"/>
    <w:rsid w:val="000F1388"/>
    <w:rsid w:val="000F25C5"/>
    <w:rsid w:val="000F34F2"/>
    <w:rsid w:val="000F7924"/>
    <w:rsid w:val="00104B37"/>
    <w:rsid w:val="001052FC"/>
    <w:rsid w:val="0010725A"/>
    <w:rsid w:val="001112A7"/>
    <w:rsid w:val="001122B3"/>
    <w:rsid w:val="00115CE3"/>
    <w:rsid w:val="00117688"/>
    <w:rsid w:val="00122709"/>
    <w:rsid w:val="00126041"/>
    <w:rsid w:val="00126BE1"/>
    <w:rsid w:val="00131153"/>
    <w:rsid w:val="0013153A"/>
    <w:rsid w:val="00131AE1"/>
    <w:rsid w:val="00133220"/>
    <w:rsid w:val="001337D3"/>
    <w:rsid w:val="00133B13"/>
    <w:rsid w:val="00134A88"/>
    <w:rsid w:val="00135B75"/>
    <w:rsid w:val="0013784F"/>
    <w:rsid w:val="00137B6F"/>
    <w:rsid w:val="0014081F"/>
    <w:rsid w:val="00140DD7"/>
    <w:rsid w:val="00140E5B"/>
    <w:rsid w:val="00142274"/>
    <w:rsid w:val="00142651"/>
    <w:rsid w:val="001451AC"/>
    <w:rsid w:val="0015354E"/>
    <w:rsid w:val="001543DE"/>
    <w:rsid w:val="00155DB1"/>
    <w:rsid w:val="001569ED"/>
    <w:rsid w:val="00157A2B"/>
    <w:rsid w:val="00160079"/>
    <w:rsid w:val="001610C7"/>
    <w:rsid w:val="0016273D"/>
    <w:rsid w:val="001645C1"/>
    <w:rsid w:val="00166BDA"/>
    <w:rsid w:val="00171740"/>
    <w:rsid w:val="001718AB"/>
    <w:rsid w:val="00171FB5"/>
    <w:rsid w:val="0017368E"/>
    <w:rsid w:val="001745FF"/>
    <w:rsid w:val="00174F96"/>
    <w:rsid w:val="00175555"/>
    <w:rsid w:val="00175F0E"/>
    <w:rsid w:val="00176FDC"/>
    <w:rsid w:val="001771BC"/>
    <w:rsid w:val="001771D4"/>
    <w:rsid w:val="001816A1"/>
    <w:rsid w:val="00182C9A"/>
    <w:rsid w:val="001848CD"/>
    <w:rsid w:val="00185709"/>
    <w:rsid w:val="001862D2"/>
    <w:rsid w:val="0018660D"/>
    <w:rsid w:val="00192119"/>
    <w:rsid w:val="00196E5A"/>
    <w:rsid w:val="00196E9A"/>
    <w:rsid w:val="001A0FF2"/>
    <w:rsid w:val="001A1BA9"/>
    <w:rsid w:val="001A2764"/>
    <w:rsid w:val="001A32B1"/>
    <w:rsid w:val="001A49EA"/>
    <w:rsid w:val="001B0330"/>
    <w:rsid w:val="001B23F0"/>
    <w:rsid w:val="001B3E1B"/>
    <w:rsid w:val="001B45DE"/>
    <w:rsid w:val="001B4E8A"/>
    <w:rsid w:val="001B6839"/>
    <w:rsid w:val="001B7394"/>
    <w:rsid w:val="001B742E"/>
    <w:rsid w:val="001C179B"/>
    <w:rsid w:val="001C1FF5"/>
    <w:rsid w:val="001C2EAB"/>
    <w:rsid w:val="001C3095"/>
    <w:rsid w:val="001C3880"/>
    <w:rsid w:val="001C4364"/>
    <w:rsid w:val="001C5BA9"/>
    <w:rsid w:val="001C5BFD"/>
    <w:rsid w:val="001C60C7"/>
    <w:rsid w:val="001C73C0"/>
    <w:rsid w:val="001D1082"/>
    <w:rsid w:val="001D6257"/>
    <w:rsid w:val="001E22D9"/>
    <w:rsid w:val="001E24B3"/>
    <w:rsid w:val="001E526F"/>
    <w:rsid w:val="001E6C44"/>
    <w:rsid w:val="001F22B7"/>
    <w:rsid w:val="001F2667"/>
    <w:rsid w:val="001F59DF"/>
    <w:rsid w:val="001F60B7"/>
    <w:rsid w:val="001F71C9"/>
    <w:rsid w:val="001F7332"/>
    <w:rsid w:val="001F77C2"/>
    <w:rsid w:val="00201B91"/>
    <w:rsid w:val="00204354"/>
    <w:rsid w:val="00204FE6"/>
    <w:rsid w:val="002054C1"/>
    <w:rsid w:val="002075EA"/>
    <w:rsid w:val="00207633"/>
    <w:rsid w:val="00216D37"/>
    <w:rsid w:val="0022103D"/>
    <w:rsid w:val="002224C6"/>
    <w:rsid w:val="00234321"/>
    <w:rsid w:val="00241C03"/>
    <w:rsid w:val="00244CB1"/>
    <w:rsid w:val="00244E15"/>
    <w:rsid w:val="00244EE4"/>
    <w:rsid w:val="00247F90"/>
    <w:rsid w:val="002503C3"/>
    <w:rsid w:val="002513CE"/>
    <w:rsid w:val="0025149A"/>
    <w:rsid w:val="00252EFB"/>
    <w:rsid w:val="0025627C"/>
    <w:rsid w:val="00256AE8"/>
    <w:rsid w:val="00257429"/>
    <w:rsid w:val="00257444"/>
    <w:rsid w:val="00262F6F"/>
    <w:rsid w:val="00263864"/>
    <w:rsid w:val="002648E0"/>
    <w:rsid w:val="002652A7"/>
    <w:rsid w:val="002664DE"/>
    <w:rsid w:val="00273340"/>
    <w:rsid w:val="00273E81"/>
    <w:rsid w:val="00275CAB"/>
    <w:rsid w:val="00276017"/>
    <w:rsid w:val="00281BD8"/>
    <w:rsid w:val="002825DF"/>
    <w:rsid w:val="002855CF"/>
    <w:rsid w:val="00286015"/>
    <w:rsid w:val="00287913"/>
    <w:rsid w:val="00290A2E"/>
    <w:rsid w:val="00291A4A"/>
    <w:rsid w:val="002935FF"/>
    <w:rsid w:val="00293C02"/>
    <w:rsid w:val="00296E27"/>
    <w:rsid w:val="002A169C"/>
    <w:rsid w:val="002B5530"/>
    <w:rsid w:val="002B58D7"/>
    <w:rsid w:val="002B62D5"/>
    <w:rsid w:val="002B7462"/>
    <w:rsid w:val="002C0021"/>
    <w:rsid w:val="002C182D"/>
    <w:rsid w:val="002C492F"/>
    <w:rsid w:val="002C4E71"/>
    <w:rsid w:val="002C506B"/>
    <w:rsid w:val="002D0260"/>
    <w:rsid w:val="002E085B"/>
    <w:rsid w:val="002E1A1F"/>
    <w:rsid w:val="002E1D10"/>
    <w:rsid w:val="002E4154"/>
    <w:rsid w:val="002E6666"/>
    <w:rsid w:val="002E7CE8"/>
    <w:rsid w:val="002F210D"/>
    <w:rsid w:val="002F5C73"/>
    <w:rsid w:val="002F5CAB"/>
    <w:rsid w:val="002F7281"/>
    <w:rsid w:val="002F72F1"/>
    <w:rsid w:val="003003C1"/>
    <w:rsid w:val="00303ECE"/>
    <w:rsid w:val="00311032"/>
    <w:rsid w:val="00311B65"/>
    <w:rsid w:val="00314F14"/>
    <w:rsid w:val="00315C9C"/>
    <w:rsid w:val="00316EB2"/>
    <w:rsid w:val="0032003C"/>
    <w:rsid w:val="00322663"/>
    <w:rsid w:val="00322769"/>
    <w:rsid w:val="00324084"/>
    <w:rsid w:val="00326DD7"/>
    <w:rsid w:val="00330384"/>
    <w:rsid w:val="00330F5F"/>
    <w:rsid w:val="003311E5"/>
    <w:rsid w:val="0033544C"/>
    <w:rsid w:val="00335E4C"/>
    <w:rsid w:val="0033754B"/>
    <w:rsid w:val="00337E40"/>
    <w:rsid w:val="00340F4C"/>
    <w:rsid w:val="00342CCD"/>
    <w:rsid w:val="00345751"/>
    <w:rsid w:val="003474AB"/>
    <w:rsid w:val="00350C59"/>
    <w:rsid w:val="00354DC2"/>
    <w:rsid w:val="00355785"/>
    <w:rsid w:val="00361535"/>
    <w:rsid w:val="003617AB"/>
    <w:rsid w:val="00364780"/>
    <w:rsid w:val="00374F51"/>
    <w:rsid w:val="00375ED0"/>
    <w:rsid w:val="00376B01"/>
    <w:rsid w:val="0037773A"/>
    <w:rsid w:val="0038167B"/>
    <w:rsid w:val="003834BC"/>
    <w:rsid w:val="00385479"/>
    <w:rsid w:val="0039029B"/>
    <w:rsid w:val="0039067D"/>
    <w:rsid w:val="003924E6"/>
    <w:rsid w:val="003930E6"/>
    <w:rsid w:val="003A0D63"/>
    <w:rsid w:val="003A2C50"/>
    <w:rsid w:val="003A36A6"/>
    <w:rsid w:val="003A7BD4"/>
    <w:rsid w:val="003B198E"/>
    <w:rsid w:val="003C1381"/>
    <w:rsid w:val="003C17BE"/>
    <w:rsid w:val="003C1914"/>
    <w:rsid w:val="003C2D3B"/>
    <w:rsid w:val="003C46A6"/>
    <w:rsid w:val="003C7C49"/>
    <w:rsid w:val="003C7D26"/>
    <w:rsid w:val="003D24D7"/>
    <w:rsid w:val="003D3322"/>
    <w:rsid w:val="003D379C"/>
    <w:rsid w:val="003D6E37"/>
    <w:rsid w:val="003D721A"/>
    <w:rsid w:val="003E03FF"/>
    <w:rsid w:val="003E3B5A"/>
    <w:rsid w:val="003E59C5"/>
    <w:rsid w:val="003E74F2"/>
    <w:rsid w:val="003F4311"/>
    <w:rsid w:val="003F5F79"/>
    <w:rsid w:val="003F62EE"/>
    <w:rsid w:val="003F6485"/>
    <w:rsid w:val="003F7702"/>
    <w:rsid w:val="00400739"/>
    <w:rsid w:val="004019BE"/>
    <w:rsid w:val="00402430"/>
    <w:rsid w:val="00404FA0"/>
    <w:rsid w:val="00405289"/>
    <w:rsid w:val="00405A61"/>
    <w:rsid w:val="00410772"/>
    <w:rsid w:val="00412162"/>
    <w:rsid w:val="00412968"/>
    <w:rsid w:val="00420AA1"/>
    <w:rsid w:val="004231C1"/>
    <w:rsid w:val="004236F6"/>
    <w:rsid w:val="00424F5C"/>
    <w:rsid w:val="00427CA6"/>
    <w:rsid w:val="00431ACA"/>
    <w:rsid w:val="0043309B"/>
    <w:rsid w:val="00433942"/>
    <w:rsid w:val="00433D8C"/>
    <w:rsid w:val="00434058"/>
    <w:rsid w:val="00437D50"/>
    <w:rsid w:val="00440358"/>
    <w:rsid w:val="00440E63"/>
    <w:rsid w:val="004443EA"/>
    <w:rsid w:val="004477C0"/>
    <w:rsid w:val="00450A9E"/>
    <w:rsid w:val="0045636F"/>
    <w:rsid w:val="00460780"/>
    <w:rsid w:val="004647AD"/>
    <w:rsid w:val="00465FBD"/>
    <w:rsid w:val="004663EE"/>
    <w:rsid w:val="004679EF"/>
    <w:rsid w:val="00470ADF"/>
    <w:rsid w:val="00473BF0"/>
    <w:rsid w:val="00473FA8"/>
    <w:rsid w:val="00474063"/>
    <w:rsid w:val="00476DC3"/>
    <w:rsid w:val="00476EF2"/>
    <w:rsid w:val="00476F1E"/>
    <w:rsid w:val="00480661"/>
    <w:rsid w:val="00480799"/>
    <w:rsid w:val="00481D63"/>
    <w:rsid w:val="00482360"/>
    <w:rsid w:val="004827F0"/>
    <w:rsid w:val="004832E2"/>
    <w:rsid w:val="0048349B"/>
    <w:rsid w:val="004858AB"/>
    <w:rsid w:val="00485D65"/>
    <w:rsid w:val="00493C1E"/>
    <w:rsid w:val="00496189"/>
    <w:rsid w:val="00497E2D"/>
    <w:rsid w:val="004A184C"/>
    <w:rsid w:val="004A6229"/>
    <w:rsid w:val="004B1662"/>
    <w:rsid w:val="004B2C7C"/>
    <w:rsid w:val="004B475C"/>
    <w:rsid w:val="004B58C7"/>
    <w:rsid w:val="004B6BFE"/>
    <w:rsid w:val="004C1B6F"/>
    <w:rsid w:val="004C51BC"/>
    <w:rsid w:val="004C5296"/>
    <w:rsid w:val="004C6394"/>
    <w:rsid w:val="004D49ED"/>
    <w:rsid w:val="004D7C2D"/>
    <w:rsid w:val="004E2730"/>
    <w:rsid w:val="004E4283"/>
    <w:rsid w:val="004E497E"/>
    <w:rsid w:val="004E75F9"/>
    <w:rsid w:val="004F4889"/>
    <w:rsid w:val="004F640E"/>
    <w:rsid w:val="004F6A58"/>
    <w:rsid w:val="004F7019"/>
    <w:rsid w:val="00501090"/>
    <w:rsid w:val="00501890"/>
    <w:rsid w:val="00502579"/>
    <w:rsid w:val="00503E4B"/>
    <w:rsid w:val="005057D5"/>
    <w:rsid w:val="005066D9"/>
    <w:rsid w:val="005078F4"/>
    <w:rsid w:val="005117B5"/>
    <w:rsid w:val="005137BF"/>
    <w:rsid w:val="005137F8"/>
    <w:rsid w:val="005150A4"/>
    <w:rsid w:val="005160BF"/>
    <w:rsid w:val="0052013D"/>
    <w:rsid w:val="00525599"/>
    <w:rsid w:val="0053156B"/>
    <w:rsid w:val="00533E32"/>
    <w:rsid w:val="00536224"/>
    <w:rsid w:val="00540338"/>
    <w:rsid w:val="0054303C"/>
    <w:rsid w:val="005433FA"/>
    <w:rsid w:val="00544069"/>
    <w:rsid w:val="00545219"/>
    <w:rsid w:val="005454A4"/>
    <w:rsid w:val="005502C0"/>
    <w:rsid w:val="00551990"/>
    <w:rsid w:val="00551DF0"/>
    <w:rsid w:val="00554106"/>
    <w:rsid w:val="00554315"/>
    <w:rsid w:val="0055658F"/>
    <w:rsid w:val="005621F2"/>
    <w:rsid w:val="00562A91"/>
    <w:rsid w:val="00566BE4"/>
    <w:rsid w:val="00570815"/>
    <w:rsid w:val="005753B3"/>
    <w:rsid w:val="00581A7F"/>
    <w:rsid w:val="0058247A"/>
    <w:rsid w:val="00582BE7"/>
    <w:rsid w:val="00584602"/>
    <w:rsid w:val="00590B9B"/>
    <w:rsid w:val="005962DD"/>
    <w:rsid w:val="00597895"/>
    <w:rsid w:val="005A2227"/>
    <w:rsid w:val="005A6420"/>
    <w:rsid w:val="005A6928"/>
    <w:rsid w:val="005B0E50"/>
    <w:rsid w:val="005B78DB"/>
    <w:rsid w:val="005C069E"/>
    <w:rsid w:val="005C319C"/>
    <w:rsid w:val="005C4C3F"/>
    <w:rsid w:val="005C62A1"/>
    <w:rsid w:val="005C750C"/>
    <w:rsid w:val="005D0085"/>
    <w:rsid w:val="005D099B"/>
    <w:rsid w:val="005D2768"/>
    <w:rsid w:val="005D2F74"/>
    <w:rsid w:val="005D3E7F"/>
    <w:rsid w:val="005E558A"/>
    <w:rsid w:val="005E58AA"/>
    <w:rsid w:val="005E66F3"/>
    <w:rsid w:val="005E7E7E"/>
    <w:rsid w:val="005F0249"/>
    <w:rsid w:val="005F457C"/>
    <w:rsid w:val="005F550E"/>
    <w:rsid w:val="005F599A"/>
    <w:rsid w:val="005F7CFE"/>
    <w:rsid w:val="00600426"/>
    <w:rsid w:val="006036CF"/>
    <w:rsid w:val="006046F9"/>
    <w:rsid w:val="00604782"/>
    <w:rsid w:val="00615671"/>
    <w:rsid w:val="006161FB"/>
    <w:rsid w:val="00620AA5"/>
    <w:rsid w:val="00620EB9"/>
    <w:rsid w:val="006214A7"/>
    <w:rsid w:val="00622506"/>
    <w:rsid w:val="006235C6"/>
    <w:rsid w:val="00624454"/>
    <w:rsid w:val="006272C3"/>
    <w:rsid w:val="0062770E"/>
    <w:rsid w:val="00627959"/>
    <w:rsid w:val="00631FA4"/>
    <w:rsid w:val="00633FD2"/>
    <w:rsid w:val="006356BE"/>
    <w:rsid w:val="00635FB1"/>
    <w:rsid w:val="0064041F"/>
    <w:rsid w:val="00641F47"/>
    <w:rsid w:val="00642ACE"/>
    <w:rsid w:val="00645A75"/>
    <w:rsid w:val="0064745D"/>
    <w:rsid w:val="00653EBB"/>
    <w:rsid w:val="00656F96"/>
    <w:rsid w:val="00660EA9"/>
    <w:rsid w:val="00662AED"/>
    <w:rsid w:val="006639DB"/>
    <w:rsid w:val="00663FD7"/>
    <w:rsid w:val="00667C54"/>
    <w:rsid w:val="00670055"/>
    <w:rsid w:val="00670B58"/>
    <w:rsid w:val="00672FE8"/>
    <w:rsid w:val="0067708B"/>
    <w:rsid w:val="00677AEE"/>
    <w:rsid w:val="00682B93"/>
    <w:rsid w:val="00687D08"/>
    <w:rsid w:val="006937A4"/>
    <w:rsid w:val="00694F13"/>
    <w:rsid w:val="006A2249"/>
    <w:rsid w:val="006A44DB"/>
    <w:rsid w:val="006A570F"/>
    <w:rsid w:val="006A624D"/>
    <w:rsid w:val="006B0801"/>
    <w:rsid w:val="006B331C"/>
    <w:rsid w:val="006B4084"/>
    <w:rsid w:val="006B7482"/>
    <w:rsid w:val="006C0831"/>
    <w:rsid w:val="006C25A9"/>
    <w:rsid w:val="006C5FA7"/>
    <w:rsid w:val="006C7E15"/>
    <w:rsid w:val="006E21D7"/>
    <w:rsid w:val="006E6D1D"/>
    <w:rsid w:val="006F077F"/>
    <w:rsid w:val="006F086E"/>
    <w:rsid w:val="006F0E03"/>
    <w:rsid w:val="006F6522"/>
    <w:rsid w:val="006F7D0F"/>
    <w:rsid w:val="007007EE"/>
    <w:rsid w:val="0070291D"/>
    <w:rsid w:val="0070568F"/>
    <w:rsid w:val="0070596D"/>
    <w:rsid w:val="00710C84"/>
    <w:rsid w:val="00711658"/>
    <w:rsid w:val="007136AC"/>
    <w:rsid w:val="00714D40"/>
    <w:rsid w:val="00717045"/>
    <w:rsid w:val="00717CF8"/>
    <w:rsid w:val="00720254"/>
    <w:rsid w:val="00721B57"/>
    <w:rsid w:val="00723AF7"/>
    <w:rsid w:val="00723C7B"/>
    <w:rsid w:val="007248BE"/>
    <w:rsid w:val="00733668"/>
    <w:rsid w:val="007336C3"/>
    <w:rsid w:val="007359E9"/>
    <w:rsid w:val="00740F43"/>
    <w:rsid w:val="0074193F"/>
    <w:rsid w:val="0074476D"/>
    <w:rsid w:val="007450C6"/>
    <w:rsid w:val="007460DC"/>
    <w:rsid w:val="0074687D"/>
    <w:rsid w:val="00746A7A"/>
    <w:rsid w:val="00752543"/>
    <w:rsid w:val="00752DEA"/>
    <w:rsid w:val="0076137E"/>
    <w:rsid w:val="00761E70"/>
    <w:rsid w:val="00771908"/>
    <w:rsid w:val="007723CC"/>
    <w:rsid w:val="00774D3D"/>
    <w:rsid w:val="00774F4B"/>
    <w:rsid w:val="007768CC"/>
    <w:rsid w:val="00781D2F"/>
    <w:rsid w:val="007863F5"/>
    <w:rsid w:val="00791B8A"/>
    <w:rsid w:val="0079307C"/>
    <w:rsid w:val="0079342F"/>
    <w:rsid w:val="0079403F"/>
    <w:rsid w:val="0079645E"/>
    <w:rsid w:val="007A18C2"/>
    <w:rsid w:val="007A28F6"/>
    <w:rsid w:val="007A292F"/>
    <w:rsid w:val="007B27EF"/>
    <w:rsid w:val="007B43AD"/>
    <w:rsid w:val="007B77C9"/>
    <w:rsid w:val="007C1D7B"/>
    <w:rsid w:val="007C4303"/>
    <w:rsid w:val="007C531F"/>
    <w:rsid w:val="007D1376"/>
    <w:rsid w:val="007D25FA"/>
    <w:rsid w:val="007D271B"/>
    <w:rsid w:val="007D4996"/>
    <w:rsid w:val="007D6423"/>
    <w:rsid w:val="007D6D72"/>
    <w:rsid w:val="007D772B"/>
    <w:rsid w:val="007D7A0D"/>
    <w:rsid w:val="007E043D"/>
    <w:rsid w:val="007E1E16"/>
    <w:rsid w:val="007E346A"/>
    <w:rsid w:val="007E35E7"/>
    <w:rsid w:val="007E4C1D"/>
    <w:rsid w:val="007E63DB"/>
    <w:rsid w:val="007E74EA"/>
    <w:rsid w:val="007F0237"/>
    <w:rsid w:val="007F0778"/>
    <w:rsid w:val="007F24DE"/>
    <w:rsid w:val="007F2DA8"/>
    <w:rsid w:val="007F4E72"/>
    <w:rsid w:val="007F56DE"/>
    <w:rsid w:val="00803F04"/>
    <w:rsid w:val="00805047"/>
    <w:rsid w:val="00805092"/>
    <w:rsid w:val="0080577A"/>
    <w:rsid w:val="00812BF7"/>
    <w:rsid w:val="00814012"/>
    <w:rsid w:val="0081523E"/>
    <w:rsid w:val="008158D1"/>
    <w:rsid w:val="008169B6"/>
    <w:rsid w:val="008235C2"/>
    <w:rsid w:val="00823D57"/>
    <w:rsid w:val="0082794C"/>
    <w:rsid w:val="00831099"/>
    <w:rsid w:val="00832DD2"/>
    <w:rsid w:val="00842F00"/>
    <w:rsid w:val="00845198"/>
    <w:rsid w:val="008458CE"/>
    <w:rsid w:val="00850661"/>
    <w:rsid w:val="00854CCF"/>
    <w:rsid w:val="008565C9"/>
    <w:rsid w:val="00861CB9"/>
    <w:rsid w:val="0086255E"/>
    <w:rsid w:val="0086360B"/>
    <w:rsid w:val="008669B5"/>
    <w:rsid w:val="008669E7"/>
    <w:rsid w:val="00870568"/>
    <w:rsid w:val="00870789"/>
    <w:rsid w:val="00871464"/>
    <w:rsid w:val="00871576"/>
    <w:rsid w:val="008760A4"/>
    <w:rsid w:val="008764AA"/>
    <w:rsid w:val="00876A3D"/>
    <w:rsid w:val="008777CC"/>
    <w:rsid w:val="00885156"/>
    <w:rsid w:val="00886225"/>
    <w:rsid w:val="0089199F"/>
    <w:rsid w:val="00891BAB"/>
    <w:rsid w:val="008929DA"/>
    <w:rsid w:val="008A6D52"/>
    <w:rsid w:val="008B2F16"/>
    <w:rsid w:val="008C1FCF"/>
    <w:rsid w:val="008C2B4C"/>
    <w:rsid w:val="008C2CF0"/>
    <w:rsid w:val="008C5A4E"/>
    <w:rsid w:val="008D1E6A"/>
    <w:rsid w:val="008D3B76"/>
    <w:rsid w:val="008D4C6C"/>
    <w:rsid w:val="008D653C"/>
    <w:rsid w:val="008D7FD6"/>
    <w:rsid w:val="008F4DEC"/>
    <w:rsid w:val="008F508A"/>
    <w:rsid w:val="008F60DF"/>
    <w:rsid w:val="009007AA"/>
    <w:rsid w:val="00904454"/>
    <w:rsid w:val="00905A2D"/>
    <w:rsid w:val="009062D3"/>
    <w:rsid w:val="009202F3"/>
    <w:rsid w:val="00920E6D"/>
    <w:rsid w:val="00921930"/>
    <w:rsid w:val="00926017"/>
    <w:rsid w:val="00926C71"/>
    <w:rsid w:val="00927902"/>
    <w:rsid w:val="009303FA"/>
    <w:rsid w:val="00930C23"/>
    <w:rsid w:val="009311C4"/>
    <w:rsid w:val="00931B62"/>
    <w:rsid w:val="00932D2B"/>
    <w:rsid w:val="00936591"/>
    <w:rsid w:val="00937045"/>
    <w:rsid w:val="00943A60"/>
    <w:rsid w:val="009445F1"/>
    <w:rsid w:val="00946C13"/>
    <w:rsid w:val="00950A63"/>
    <w:rsid w:val="00951002"/>
    <w:rsid w:val="00952023"/>
    <w:rsid w:val="009527D5"/>
    <w:rsid w:val="00953594"/>
    <w:rsid w:val="00954944"/>
    <w:rsid w:val="00956609"/>
    <w:rsid w:val="0095660D"/>
    <w:rsid w:val="00956A56"/>
    <w:rsid w:val="00961F3B"/>
    <w:rsid w:val="00967709"/>
    <w:rsid w:val="00973D78"/>
    <w:rsid w:val="009768FB"/>
    <w:rsid w:val="00981293"/>
    <w:rsid w:val="009819AE"/>
    <w:rsid w:val="00985470"/>
    <w:rsid w:val="00987CF2"/>
    <w:rsid w:val="00991CC1"/>
    <w:rsid w:val="00991EE3"/>
    <w:rsid w:val="0099252F"/>
    <w:rsid w:val="00992721"/>
    <w:rsid w:val="00995ED3"/>
    <w:rsid w:val="00996A0E"/>
    <w:rsid w:val="00997016"/>
    <w:rsid w:val="009A1E76"/>
    <w:rsid w:val="009A2504"/>
    <w:rsid w:val="009A3010"/>
    <w:rsid w:val="009A46F9"/>
    <w:rsid w:val="009A4F60"/>
    <w:rsid w:val="009A51D7"/>
    <w:rsid w:val="009B13C9"/>
    <w:rsid w:val="009B3FF4"/>
    <w:rsid w:val="009B461F"/>
    <w:rsid w:val="009B5721"/>
    <w:rsid w:val="009C36F2"/>
    <w:rsid w:val="009C3E52"/>
    <w:rsid w:val="009C51A7"/>
    <w:rsid w:val="009C71D2"/>
    <w:rsid w:val="009D1416"/>
    <w:rsid w:val="009D3B37"/>
    <w:rsid w:val="009D3B91"/>
    <w:rsid w:val="009D3CEF"/>
    <w:rsid w:val="009D498E"/>
    <w:rsid w:val="009D5B45"/>
    <w:rsid w:val="009D7D1C"/>
    <w:rsid w:val="009E1324"/>
    <w:rsid w:val="009E1D25"/>
    <w:rsid w:val="009E3729"/>
    <w:rsid w:val="009E3C35"/>
    <w:rsid w:val="009E4CCF"/>
    <w:rsid w:val="009E7D5B"/>
    <w:rsid w:val="009F136E"/>
    <w:rsid w:val="009F1F56"/>
    <w:rsid w:val="009F25F5"/>
    <w:rsid w:val="009F61A6"/>
    <w:rsid w:val="009F7723"/>
    <w:rsid w:val="00A00378"/>
    <w:rsid w:val="00A027E0"/>
    <w:rsid w:val="00A11177"/>
    <w:rsid w:val="00A1332F"/>
    <w:rsid w:val="00A1409E"/>
    <w:rsid w:val="00A142C3"/>
    <w:rsid w:val="00A15922"/>
    <w:rsid w:val="00A16087"/>
    <w:rsid w:val="00A16ED9"/>
    <w:rsid w:val="00A20C0F"/>
    <w:rsid w:val="00A21527"/>
    <w:rsid w:val="00A22535"/>
    <w:rsid w:val="00A23464"/>
    <w:rsid w:val="00A2555F"/>
    <w:rsid w:val="00A30513"/>
    <w:rsid w:val="00A30971"/>
    <w:rsid w:val="00A3119E"/>
    <w:rsid w:val="00A34E28"/>
    <w:rsid w:val="00A3671F"/>
    <w:rsid w:val="00A42F99"/>
    <w:rsid w:val="00A430C0"/>
    <w:rsid w:val="00A44A53"/>
    <w:rsid w:val="00A45B78"/>
    <w:rsid w:val="00A45C43"/>
    <w:rsid w:val="00A5063A"/>
    <w:rsid w:val="00A52F44"/>
    <w:rsid w:val="00A53612"/>
    <w:rsid w:val="00A5507D"/>
    <w:rsid w:val="00A5653B"/>
    <w:rsid w:val="00A61FE0"/>
    <w:rsid w:val="00A62538"/>
    <w:rsid w:val="00A63898"/>
    <w:rsid w:val="00A67F68"/>
    <w:rsid w:val="00A720FD"/>
    <w:rsid w:val="00A773A3"/>
    <w:rsid w:val="00A80CA3"/>
    <w:rsid w:val="00A85761"/>
    <w:rsid w:val="00A85EE3"/>
    <w:rsid w:val="00A903CF"/>
    <w:rsid w:val="00A90A66"/>
    <w:rsid w:val="00A90E40"/>
    <w:rsid w:val="00A92BFF"/>
    <w:rsid w:val="00A94E88"/>
    <w:rsid w:val="00A97941"/>
    <w:rsid w:val="00AA0F5E"/>
    <w:rsid w:val="00AA120F"/>
    <w:rsid w:val="00AA4D59"/>
    <w:rsid w:val="00AA5A00"/>
    <w:rsid w:val="00AB0017"/>
    <w:rsid w:val="00AB161E"/>
    <w:rsid w:val="00AB1A5A"/>
    <w:rsid w:val="00AB1AAA"/>
    <w:rsid w:val="00AB4D60"/>
    <w:rsid w:val="00AC091B"/>
    <w:rsid w:val="00AC1176"/>
    <w:rsid w:val="00AC14B9"/>
    <w:rsid w:val="00AC29C8"/>
    <w:rsid w:val="00AC3865"/>
    <w:rsid w:val="00AC47DD"/>
    <w:rsid w:val="00AC75EC"/>
    <w:rsid w:val="00AD20B6"/>
    <w:rsid w:val="00AD79A6"/>
    <w:rsid w:val="00AE465C"/>
    <w:rsid w:val="00AE4C4A"/>
    <w:rsid w:val="00AE5C19"/>
    <w:rsid w:val="00AE70C4"/>
    <w:rsid w:val="00AE7A31"/>
    <w:rsid w:val="00AF5437"/>
    <w:rsid w:val="00AF62D8"/>
    <w:rsid w:val="00AF7A5D"/>
    <w:rsid w:val="00B00015"/>
    <w:rsid w:val="00B0559D"/>
    <w:rsid w:val="00B06822"/>
    <w:rsid w:val="00B115D6"/>
    <w:rsid w:val="00B11FCD"/>
    <w:rsid w:val="00B147E2"/>
    <w:rsid w:val="00B219F9"/>
    <w:rsid w:val="00B22B99"/>
    <w:rsid w:val="00B245B6"/>
    <w:rsid w:val="00B3003C"/>
    <w:rsid w:val="00B32A02"/>
    <w:rsid w:val="00B34B1F"/>
    <w:rsid w:val="00B43263"/>
    <w:rsid w:val="00B43764"/>
    <w:rsid w:val="00B45B80"/>
    <w:rsid w:val="00B47C27"/>
    <w:rsid w:val="00B502A7"/>
    <w:rsid w:val="00B51013"/>
    <w:rsid w:val="00B5198B"/>
    <w:rsid w:val="00B52651"/>
    <w:rsid w:val="00B5443B"/>
    <w:rsid w:val="00B54D6F"/>
    <w:rsid w:val="00B553A3"/>
    <w:rsid w:val="00B55F32"/>
    <w:rsid w:val="00B579E5"/>
    <w:rsid w:val="00B60DD6"/>
    <w:rsid w:val="00B6394A"/>
    <w:rsid w:val="00B66634"/>
    <w:rsid w:val="00B66D2F"/>
    <w:rsid w:val="00B67333"/>
    <w:rsid w:val="00B70007"/>
    <w:rsid w:val="00B70723"/>
    <w:rsid w:val="00B72D93"/>
    <w:rsid w:val="00B7307C"/>
    <w:rsid w:val="00B74065"/>
    <w:rsid w:val="00B80027"/>
    <w:rsid w:val="00B82063"/>
    <w:rsid w:val="00B835A7"/>
    <w:rsid w:val="00B8766D"/>
    <w:rsid w:val="00B87F89"/>
    <w:rsid w:val="00B90860"/>
    <w:rsid w:val="00B90A8A"/>
    <w:rsid w:val="00B932D0"/>
    <w:rsid w:val="00B9390A"/>
    <w:rsid w:val="00BA05C2"/>
    <w:rsid w:val="00BA3E12"/>
    <w:rsid w:val="00BA41D6"/>
    <w:rsid w:val="00BA4F86"/>
    <w:rsid w:val="00BA7D37"/>
    <w:rsid w:val="00BB225B"/>
    <w:rsid w:val="00BB46E7"/>
    <w:rsid w:val="00BB6469"/>
    <w:rsid w:val="00BB6845"/>
    <w:rsid w:val="00BC0B10"/>
    <w:rsid w:val="00BC22A8"/>
    <w:rsid w:val="00BC37ED"/>
    <w:rsid w:val="00BD1CA5"/>
    <w:rsid w:val="00BD2550"/>
    <w:rsid w:val="00BD2602"/>
    <w:rsid w:val="00BD570D"/>
    <w:rsid w:val="00BD7410"/>
    <w:rsid w:val="00BE1AB7"/>
    <w:rsid w:val="00BE587C"/>
    <w:rsid w:val="00BE5C2C"/>
    <w:rsid w:val="00BE6BCF"/>
    <w:rsid w:val="00BF2889"/>
    <w:rsid w:val="00BF3665"/>
    <w:rsid w:val="00BF5146"/>
    <w:rsid w:val="00BF5FB4"/>
    <w:rsid w:val="00BF7C0E"/>
    <w:rsid w:val="00C01500"/>
    <w:rsid w:val="00C03933"/>
    <w:rsid w:val="00C06DC3"/>
    <w:rsid w:val="00C1710F"/>
    <w:rsid w:val="00C17676"/>
    <w:rsid w:val="00C204E9"/>
    <w:rsid w:val="00C2217A"/>
    <w:rsid w:val="00C246B2"/>
    <w:rsid w:val="00C25A0E"/>
    <w:rsid w:val="00C25E50"/>
    <w:rsid w:val="00C269D1"/>
    <w:rsid w:val="00C320BA"/>
    <w:rsid w:val="00C34BAC"/>
    <w:rsid w:val="00C34EAC"/>
    <w:rsid w:val="00C35708"/>
    <w:rsid w:val="00C358A5"/>
    <w:rsid w:val="00C40442"/>
    <w:rsid w:val="00C42AC3"/>
    <w:rsid w:val="00C42F42"/>
    <w:rsid w:val="00C44251"/>
    <w:rsid w:val="00C4433F"/>
    <w:rsid w:val="00C45988"/>
    <w:rsid w:val="00C502DF"/>
    <w:rsid w:val="00C5041B"/>
    <w:rsid w:val="00C54B5D"/>
    <w:rsid w:val="00C60803"/>
    <w:rsid w:val="00C61363"/>
    <w:rsid w:val="00C61851"/>
    <w:rsid w:val="00C621B7"/>
    <w:rsid w:val="00C62917"/>
    <w:rsid w:val="00C63027"/>
    <w:rsid w:val="00C63668"/>
    <w:rsid w:val="00C65A95"/>
    <w:rsid w:val="00C65C22"/>
    <w:rsid w:val="00C70971"/>
    <w:rsid w:val="00C71829"/>
    <w:rsid w:val="00C71D2F"/>
    <w:rsid w:val="00C73871"/>
    <w:rsid w:val="00C73F07"/>
    <w:rsid w:val="00C75574"/>
    <w:rsid w:val="00C760CF"/>
    <w:rsid w:val="00C76C0B"/>
    <w:rsid w:val="00C8519A"/>
    <w:rsid w:val="00C90D83"/>
    <w:rsid w:val="00C911D2"/>
    <w:rsid w:val="00C925F3"/>
    <w:rsid w:val="00C946CC"/>
    <w:rsid w:val="00C96F2F"/>
    <w:rsid w:val="00CA1236"/>
    <w:rsid w:val="00CA32D1"/>
    <w:rsid w:val="00CB2293"/>
    <w:rsid w:val="00CB2DB5"/>
    <w:rsid w:val="00CB380F"/>
    <w:rsid w:val="00CB78A0"/>
    <w:rsid w:val="00CB7ADB"/>
    <w:rsid w:val="00CD08A9"/>
    <w:rsid w:val="00CD106D"/>
    <w:rsid w:val="00CD259B"/>
    <w:rsid w:val="00CD3222"/>
    <w:rsid w:val="00CD3676"/>
    <w:rsid w:val="00CD6A48"/>
    <w:rsid w:val="00CD6B70"/>
    <w:rsid w:val="00CD77A1"/>
    <w:rsid w:val="00CD7BBA"/>
    <w:rsid w:val="00CE0353"/>
    <w:rsid w:val="00CE1625"/>
    <w:rsid w:val="00CE3272"/>
    <w:rsid w:val="00CE63DD"/>
    <w:rsid w:val="00CF11DE"/>
    <w:rsid w:val="00CF5326"/>
    <w:rsid w:val="00CF5772"/>
    <w:rsid w:val="00D01046"/>
    <w:rsid w:val="00D024F4"/>
    <w:rsid w:val="00D0353D"/>
    <w:rsid w:val="00D06E6C"/>
    <w:rsid w:val="00D07876"/>
    <w:rsid w:val="00D123AA"/>
    <w:rsid w:val="00D14ED2"/>
    <w:rsid w:val="00D15347"/>
    <w:rsid w:val="00D156E9"/>
    <w:rsid w:val="00D2520C"/>
    <w:rsid w:val="00D27601"/>
    <w:rsid w:val="00D3222A"/>
    <w:rsid w:val="00D338A0"/>
    <w:rsid w:val="00D33BBC"/>
    <w:rsid w:val="00D342D3"/>
    <w:rsid w:val="00D343CB"/>
    <w:rsid w:val="00D36F43"/>
    <w:rsid w:val="00D37E78"/>
    <w:rsid w:val="00D44519"/>
    <w:rsid w:val="00D44B8D"/>
    <w:rsid w:val="00D4742A"/>
    <w:rsid w:val="00D47683"/>
    <w:rsid w:val="00D511D2"/>
    <w:rsid w:val="00D516AB"/>
    <w:rsid w:val="00D5202E"/>
    <w:rsid w:val="00D52B99"/>
    <w:rsid w:val="00D52C0F"/>
    <w:rsid w:val="00D52EEE"/>
    <w:rsid w:val="00D534BA"/>
    <w:rsid w:val="00D53B1B"/>
    <w:rsid w:val="00D550D0"/>
    <w:rsid w:val="00D566DC"/>
    <w:rsid w:val="00D60FCE"/>
    <w:rsid w:val="00D63EFF"/>
    <w:rsid w:val="00D66619"/>
    <w:rsid w:val="00D73BF1"/>
    <w:rsid w:val="00D77002"/>
    <w:rsid w:val="00D7765F"/>
    <w:rsid w:val="00D812EA"/>
    <w:rsid w:val="00D843EF"/>
    <w:rsid w:val="00D855D5"/>
    <w:rsid w:val="00D90F51"/>
    <w:rsid w:val="00D93F6F"/>
    <w:rsid w:val="00D951F0"/>
    <w:rsid w:val="00D96174"/>
    <w:rsid w:val="00DA15CD"/>
    <w:rsid w:val="00DA1E52"/>
    <w:rsid w:val="00DA2497"/>
    <w:rsid w:val="00DA2785"/>
    <w:rsid w:val="00DA3298"/>
    <w:rsid w:val="00DA4A66"/>
    <w:rsid w:val="00DB2030"/>
    <w:rsid w:val="00DB51DB"/>
    <w:rsid w:val="00DC1C7F"/>
    <w:rsid w:val="00DC2367"/>
    <w:rsid w:val="00DC37CD"/>
    <w:rsid w:val="00DC4909"/>
    <w:rsid w:val="00DC7BFE"/>
    <w:rsid w:val="00DD2A4D"/>
    <w:rsid w:val="00DD37DB"/>
    <w:rsid w:val="00DD4D88"/>
    <w:rsid w:val="00DD5EE4"/>
    <w:rsid w:val="00DD6DC7"/>
    <w:rsid w:val="00DE6CDB"/>
    <w:rsid w:val="00DE7DFD"/>
    <w:rsid w:val="00DF000E"/>
    <w:rsid w:val="00DF2157"/>
    <w:rsid w:val="00DF434C"/>
    <w:rsid w:val="00DF7445"/>
    <w:rsid w:val="00E01963"/>
    <w:rsid w:val="00E01F09"/>
    <w:rsid w:val="00E02710"/>
    <w:rsid w:val="00E0610B"/>
    <w:rsid w:val="00E11EFC"/>
    <w:rsid w:val="00E1239C"/>
    <w:rsid w:val="00E1624C"/>
    <w:rsid w:val="00E16530"/>
    <w:rsid w:val="00E172C2"/>
    <w:rsid w:val="00E17D56"/>
    <w:rsid w:val="00E20F21"/>
    <w:rsid w:val="00E21D0D"/>
    <w:rsid w:val="00E23EF7"/>
    <w:rsid w:val="00E24478"/>
    <w:rsid w:val="00E26106"/>
    <w:rsid w:val="00E27D91"/>
    <w:rsid w:val="00E30153"/>
    <w:rsid w:val="00E334C7"/>
    <w:rsid w:val="00E36D27"/>
    <w:rsid w:val="00E40A44"/>
    <w:rsid w:val="00E45D1D"/>
    <w:rsid w:val="00E50A83"/>
    <w:rsid w:val="00E52A24"/>
    <w:rsid w:val="00E57FCA"/>
    <w:rsid w:val="00E6469D"/>
    <w:rsid w:val="00E716B5"/>
    <w:rsid w:val="00E7366C"/>
    <w:rsid w:val="00E74D9F"/>
    <w:rsid w:val="00E75443"/>
    <w:rsid w:val="00E76116"/>
    <w:rsid w:val="00E8129C"/>
    <w:rsid w:val="00E82FD0"/>
    <w:rsid w:val="00E838D3"/>
    <w:rsid w:val="00E852E0"/>
    <w:rsid w:val="00E864EA"/>
    <w:rsid w:val="00E8769E"/>
    <w:rsid w:val="00E928B5"/>
    <w:rsid w:val="00E92BE2"/>
    <w:rsid w:val="00E95EBE"/>
    <w:rsid w:val="00E974C6"/>
    <w:rsid w:val="00EA134F"/>
    <w:rsid w:val="00EA147D"/>
    <w:rsid w:val="00EA4BE5"/>
    <w:rsid w:val="00EA7728"/>
    <w:rsid w:val="00EB1804"/>
    <w:rsid w:val="00EB48A4"/>
    <w:rsid w:val="00EB5588"/>
    <w:rsid w:val="00EC0120"/>
    <w:rsid w:val="00EC1672"/>
    <w:rsid w:val="00EC1AE7"/>
    <w:rsid w:val="00EC29D1"/>
    <w:rsid w:val="00EC5BC8"/>
    <w:rsid w:val="00EC6DC8"/>
    <w:rsid w:val="00EC6F5F"/>
    <w:rsid w:val="00ED1602"/>
    <w:rsid w:val="00EE1B94"/>
    <w:rsid w:val="00EE2AB2"/>
    <w:rsid w:val="00EE4402"/>
    <w:rsid w:val="00EE4D7B"/>
    <w:rsid w:val="00EF0DD3"/>
    <w:rsid w:val="00EF1BD7"/>
    <w:rsid w:val="00EF1D58"/>
    <w:rsid w:val="00EF28B4"/>
    <w:rsid w:val="00EF5541"/>
    <w:rsid w:val="00EF583B"/>
    <w:rsid w:val="00EF6001"/>
    <w:rsid w:val="00F0180B"/>
    <w:rsid w:val="00F02A16"/>
    <w:rsid w:val="00F042CD"/>
    <w:rsid w:val="00F052CF"/>
    <w:rsid w:val="00F06897"/>
    <w:rsid w:val="00F0748B"/>
    <w:rsid w:val="00F104DC"/>
    <w:rsid w:val="00F113DD"/>
    <w:rsid w:val="00F114D5"/>
    <w:rsid w:val="00F1577E"/>
    <w:rsid w:val="00F2285F"/>
    <w:rsid w:val="00F251D7"/>
    <w:rsid w:val="00F25244"/>
    <w:rsid w:val="00F30B7B"/>
    <w:rsid w:val="00F31137"/>
    <w:rsid w:val="00F32008"/>
    <w:rsid w:val="00F36F63"/>
    <w:rsid w:val="00F40511"/>
    <w:rsid w:val="00F42B2F"/>
    <w:rsid w:val="00F434DE"/>
    <w:rsid w:val="00F44815"/>
    <w:rsid w:val="00F45354"/>
    <w:rsid w:val="00F46007"/>
    <w:rsid w:val="00F4731A"/>
    <w:rsid w:val="00F47D67"/>
    <w:rsid w:val="00F52044"/>
    <w:rsid w:val="00F53DFF"/>
    <w:rsid w:val="00F57D2A"/>
    <w:rsid w:val="00F6015F"/>
    <w:rsid w:val="00F60BAA"/>
    <w:rsid w:val="00F623FE"/>
    <w:rsid w:val="00F62491"/>
    <w:rsid w:val="00F62C18"/>
    <w:rsid w:val="00F64080"/>
    <w:rsid w:val="00F66C46"/>
    <w:rsid w:val="00F678C6"/>
    <w:rsid w:val="00F75163"/>
    <w:rsid w:val="00F76C58"/>
    <w:rsid w:val="00F77916"/>
    <w:rsid w:val="00F8233E"/>
    <w:rsid w:val="00F83DF1"/>
    <w:rsid w:val="00F85303"/>
    <w:rsid w:val="00F87C0B"/>
    <w:rsid w:val="00F9186B"/>
    <w:rsid w:val="00F9233E"/>
    <w:rsid w:val="00F94224"/>
    <w:rsid w:val="00F9513D"/>
    <w:rsid w:val="00F9700F"/>
    <w:rsid w:val="00F97B38"/>
    <w:rsid w:val="00FA1DB0"/>
    <w:rsid w:val="00FA5344"/>
    <w:rsid w:val="00FA5484"/>
    <w:rsid w:val="00FB1319"/>
    <w:rsid w:val="00FB300E"/>
    <w:rsid w:val="00FB5F3C"/>
    <w:rsid w:val="00FC109E"/>
    <w:rsid w:val="00FC1A90"/>
    <w:rsid w:val="00FC2EB9"/>
    <w:rsid w:val="00FC5F11"/>
    <w:rsid w:val="00FD1CEE"/>
    <w:rsid w:val="00FD28BF"/>
    <w:rsid w:val="00FD3263"/>
    <w:rsid w:val="00FD350E"/>
    <w:rsid w:val="00FD7A01"/>
    <w:rsid w:val="00FE1464"/>
    <w:rsid w:val="00FE6BAB"/>
    <w:rsid w:val="00FF0343"/>
    <w:rsid w:val="00FF1B19"/>
    <w:rsid w:val="00FF1E66"/>
    <w:rsid w:val="00FF1FCF"/>
    <w:rsid w:val="00FF21A2"/>
    <w:rsid w:val="00FF5573"/>
    <w:rsid w:val="00FF7CF0"/>
    <w:rsid w:val="00FF7F6D"/>
    <w:rsid w:val="091A070D"/>
    <w:rsid w:val="1016520A"/>
    <w:rsid w:val="1505614A"/>
    <w:rsid w:val="16CC6617"/>
    <w:rsid w:val="172340EF"/>
    <w:rsid w:val="17F124E3"/>
    <w:rsid w:val="19CB4F9F"/>
    <w:rsid w:val="1AD81A1B"/>
    <w:rsid w:val="1BC63C00"/>
    <w:rsid w:val="202F3E05"/>
    <w:rsid w:val="204244A8"/>
    <w:rsid w:val="24393BF4"/>
    <w:rsid w:val="2F3D2270"/>
    <w:rsid w:val="32230CF6"/>
    <w:rsid w:val="3A930D83"/>
    <w:rsid w:val="3AA54D45"/>
    <w:rsid w:val="3B0D4B9C"/>
    <w:rsid w:val="458A4E95"/>
    <w:rsid w:val="493F3382"/>
    <w:rsid w:val="4AEF58CB"/>
    <w:rsid w:val="4FB71838"/>
    <w:rsid w:val="52CC057C"/>
    <w:rsid w:val="55EA5E0C"/>
    <w:rsid w:val="5C862CAD"/>
    <w:rsid w:val="5D882B50"/>
    <w:rsid w:val="5FBE000A"/>
    <w:rsid w:val="6B04342E"/>
    <w:rsid w:val="6E073808"/>
    <w:rsid w:val="6F1A058D"/>
    <w:rsid w:val="6FF83780"/>
    <w:rsid w:val="707D0A96"/>
    <w:rsid w:val="718D5377"/>
    <w:rsid w:val="71B6070E"/>
    <w:rsid w:val="7387633D"/>
    <w:rsid w:val="74062F1A"/>
    <w:rsid w:val="753702FD"/>
    <w:rsid w:val="7AB861A3"/>
    <w:rsid w:val="7CE30FB3"/>
    <w:rsid w:val="7E281046"/>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efaultImageDpi w14:val="32767"/>
  <w15:docId w15:val="{1045D930-419B-4526-80B6-7AF1C222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D58"/>
    <w:pPr>
      <w:spacing w:after="200" w:line="276" w:lineRule="auto"/>
    </w:pPr>
    <w:rPr>
      <w:rFonts w:eastAsiaTheme="minorEastAs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Textonotapie">
    <w:name w:val="footnote text"/>
    <w:basedOn w:val="Normal"/>
    <w:link w:val="TextonotapieCar"/>
    <w:uiPriority w:val="99"/>
    <w:semiHidden/>
    <w:unhideWhenUsed/>
    <w:qFormat/>
    <w:pPr>
      <w:spacing w:after="0" w:line="240" w:lineRule="auto"/>
    </w:pPr>
    <w:rPr>
      <w:sz w:val="20"/>
      <w:szCs w:val="20"/>
      <w:lang w:eastAsia="es-E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unhideWhenUsed/>
    <w:qFormat/>
    <w:pPr>
      <w:spacing w:after="0" w:line="240" w:lineRule="auto"/>
    </w:pPr>
    <w:rPr>
      <w:sz w:val="20"/>
      <w:szCs w:val="20"/>
      <w:lang w:eastAsia="es-ES"/>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spacing w:after="0" w:line="240" w:lineRule="auto"/>
    </w:pPr>
    <w:rPr>
      <w:sz w:val="24"/>
      <w:szCs w:val="24"/>
      <w:lang w:eastAsia="es-ES"/>
    </w:rPr>
  </w:style>
  <w:style w:type="paragraph" w:styleId="Piedepgina">
    <w:name w:val="footer"/>
    <w:basedOn w:val="Normal"/>
    <w:link w:val="PiedepginaCar"/>
    <w:uiPriority w:val="99"/>
    <w:unhideWhenUsed/>
    <w:qFormat/>
    <w:pPr>
      <w:tabs>
        <w:tab w:val="center" w:pos="4419"/>
        <w:tab w:val="right" w:pos="8838"/>
      </w:tabs>
      <w:spacing w:after="0" w:line="240" w:lineRule="auto"/>
    </w:pPr>
    <w:rPr>
      <w:sz w:val="24"/>
      <w:szCs w:val="24"/>
      <w:lang w:eastAsia="es-ES"/>
    </w:rPr>
  </w:style>
  <w:style w:type="character" w:customStyle="1" w:styleId="EncabezadoCar">
    <w:name w:val="Encabezado Car"/>
    <w:basedOn w:val="Fuentedeprrafopredeter"/>
    <w:link w:val="Encabezado"/>
    <w:uiPriority w:val="99"/>
    <w:qFormat/>
    <w:rPr>
      <w:rFonts w:eastAsiaTheme="minorEastAsia"/>
      <w:lang w:eastAsia="es-ES"/>
    </w:rPr>
  </w:style>
  <w:style w:type="character" w:customStyle="1" w:styleId="PiedepginaCar">
    <w:name w:val="Pie de página Car"/>
    <w:basedOn w:val="Fuentedeprrafopredeter"/>
    <w:link w:val="Piedepgina"/>
    <w:uiPriority w:val="99"/>
    <w:qFormat/>
    <w:rPr>
      <w:rFonts w:eastAsiaTheme="minorEastAsia"/>
      <w:lang w:eastAsia="es-ES"/>
    </w:rPr>
  </w:style>
  <w:style w:type="character" w:customStyle="1" w:styleId="TextodegloboCar">
    <w:name w:val="Texto de globo Car"/>
    <w:basedOn w:val="Fuentedeprrafopredeter"/>
    <w:link w:val="Textodeglobo"/>
    <w:uiPriority w:val="99"/>
    <w:semiHidden/>
    <w:qFormat/>
    <w:rPr>
      <w:rFonts w:ascii="Segoe UI" w:eastAsiaTheme="minorEastAsia" w:hAnsi="Segoe UI" w:cs="Segoe UI"/>
      <w:sz w:val="18"/>
      <w:szCs w:val="18"/>
      <w:lang w:eastAsia="es-ES"/>
    </w:rPr>
  </w:style>
  <w:style w:type="paragraph" w:styleId="Prrafodelista">
    <w:name w:val="List Paragraph"/>
    <w:basedOn w:val="Normal"/>
    <w:uiPriority w:val="34"/>
    <w:qFormat/>
    <w:pPr>
      <w:spacing w:after="0" w:line="240" w:lineRule="auto"/>
      <w:ind w:left="720"/>
      <w:contextualSpacing/>
    </w:pPr>
    <w:rPr>
      <w:sz w:val="24"/>
      <w:szCs w:val="24"/>
      <w:lang w:eastAsia="es-ES"/>
    </w:rPr>
  </w:style>
  <w:style w:type="character" w:customStyle="1" w:styleId="TextonotapieCar">
    <w:name w:val="Texto nota pie Car"/>
    <w:basedOn w:val="Fuentedeprrafopredeter"/>
    <w:link w:val="Textonotapie"/>
    <w:uiPriority w:val="99"/>
    <w:semiHidden/>
    <w:qFormat/>
    <w:rPr>
      <w:rFonts w:eastAsiaTheme="minorEastAsia"/>
      <w:sz w:val="20"/>
      <w:szCs w:val="20"/>
      <w:lang w:eastAsia="es-ES"/>
    </w:rPr>
  </w:style>
  <w:style w:type="paragraph" w:styleId="Sinespaciad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paragraph" w:customStyle="1" w:styleId="Texto">
    <w:name w:val="Texto"/>
    <w:basedOn w:val="Normal"/>
    <w:link w:val="TextoCar"/>
    <w:qFormat/>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qFormat/>
    <w:locked/>
    <w:rPr>
      <w:rFonts w:ascii="Arial" w:eastAsia="Times New Roman" w:hAnsi="Arial" w:cs="Arial"/>
      <w:sz w:val="18"/>
      <w:szCs w:val="20"/>
      <w:lang w:val="es-ES" w:eastAsia="es-ES"/>
    </w:rPr>
  </w:style>
  <w:style w:type="paragraph" w:customStyle="1" w:styleId="corte4fondo">
    <w:name w:val="corte4 fondo"/>
    <w:basedOn w:val="Normal"/>
    <w:qFormat/>
    <w:pPr>
      <w:spacing w:after="0" w:line="360" w:lineRule="auto"/>
      <w:ind w:firstLine="709"/>
      <w:jc w:val="both"/>
    </w:pPr>
    <w:rPr>
      <w:rFonts w:ascii="Arial" w:eastAsia="Times New Roman" w:hAnsi="Arial" w:cs="Times New Roman"/>
      <w:sz w:val="30"/>
      <w:szCs w:val="20"/>
    </w:rPr>
  </w:style>
  <w:style w:type="character" w:customStyle="1" w:styleId="TextocomentarioCar">
    <w:name w:val="Texto comentario Car"/>
    <w:basedOn w:val="Fuentedeprrafopredeter"/>
    <w:link w:val="Textocomentario"/>
    <w:uiPriority w:val="99"/>
    <w:qFormat/>
    <w:rPr>
      <w:rFonts w:eastAsiaTheme="minorEastAsia"/>
      <w:lang w:eastAsia="es-ES"/>
    </w:rPr>
  </w:style>
  <w:style w:type="character" w:customStyle="1" w:styleId="AsuntodelcomentarioCar">
    <w:name w:val="Asunto del comentario Car"/>
    <w:basedOn w:val="TextocomentarioCar"/>
    <w:link w:val="Asuntodelcomentario"/>
    <w:uiPriority w:val="99"/>
    <w:semiHidden/>
    <w:qFormat/>
    <w:rPr>
      <w:rFonts w:eastAsiaTheme="minorEastAsia"/>
      <w:b/>
      <w:bCs/>
      <w:lang w:eastAsia="es-ES"/>
    </w:rPr>
  </w:style>
  <w:style w:type="paragraph" w:styleId="Textoindependiente">
    <w:name w:val="Body Text"/>
    <w:basedOn w:val="Normal"/>
    <w:link w:val="TextoindependienteCar"/>
    <w:uiPriority w:val="99"/>
    <w:unhideWhenUsed/>
    <w:rsid w:val="00D53B1B"/>
    <w:pPr>
      <w:spacing w:after="120" w:line="240" w:lineRule="auto"/>
    </w:pPr>
    <w:rPr>
      <w:sz w:val="24"/>
      <w:szCs w:val="24"/>
      <w:lang w:val="es-ES_tradnl" w:eastAsia="es-ES"/>
    </w:rPr>
  </w:style>
  <w:style w:type="character" w:customStyle="1" w:styleId="TextoindependienteCar">
    <w:name w:val="Texto independiente Car"/>
    <w:basedOn w:val="Fuentedeprrafopredeter"/>
    <w:link w:val="Textoindependiente"/>
    <w:uiPriority w:val="99"/>
    <w:rsid w:val="00D53B1B"/>
    <w:rPr>
      <w:rFonts w:eastAsiaTheme="minorEastAsia"/>
      <w:sz w:val="24"/>
      <w:szCs w:val="24"/>
      <w:lang w:val="es-ES_tradnl" w:eastAsia="es-ES"/>
    </w:rPr>
  </w:style>
  <w:style w:type="table" w:styleId="Tablaconcuadrcula">
    <w:name w:val="Table Grid"/>
    <w:basedOn w:val="Tablanormal"/>
    <w:uiPriority w:val="39"/>
    <w:rsid w:val="00CB2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562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9359">
      <w:bodyDiv w:val="1"/>
      <w:marLeft w:val="0"/>
      <w:marRight w:val="0"/>
      <w:marTop w:val="0"/>
      <w:marBottom w:val="0"/>
      <w:divBdr>
        <w:top w:val="none" w:sz="0" w:space="0" w:color="auto"/>
        <w:left w:val="none" w:sz="0" w:space="0" w:color="auto"/>
        <w:bottom w:val="none" w:sz="0" w:space="0" w:color="auto"/>
        <w:right w:val="none" w:sz="0" w:space="0" w:color="auto"/>
      </w:divBdr>
    </w:div>
    <w:div w:id="16394525">
      <w:bodyDiv w:val="1"/>
      <w:marLeft w:val="0"/>
      <w:marRight w:val="0"/>
      <w:marTop w:val="0"/>
      <w:marBottom w:val="0"/>
      <w:divBdr>
        <w:top w:val="none" w:sz="0" w:space="0" w:color="auto"/>
        <w:left w:val="none" w:sz="0" w:space="0" w:color="auto"/>
        <w:bottom w:val="none" w:sz="0" w:space="0" w:color="auto"/>
        <w:right w:val="none" w:sz="0" w:space="0" w:color="auto"/>
      </w:divBdr>
    </w:div>
    <w:div w:id="80102647">
      <w:bodyDiv w:val="1"/>
      <w:marLeft w:val="0"/>
      <w:marRight w:val="0"/>
      <w:marTop w:val="0"/>
      <w:marBottom w:val="0"/>
      <w:divBdr>
        <w:top w:val="none" w:sz="0" w:space="0" w:color="auto"/>
        <w:left w:val="none" w:sz="0" w:space="0" w:color="auto"/>
        <w:bottom w:val="none" w:sz="0" w:space="0" w:color="auto"/>
        <w:right w:val="none" w:sz="0" w:space="0" w:color="auto"/>
      </w:divBdr>
    </w:div>
    <w:div w:id="111218877">
      <w:bodyDiv w:val="1"/>
      <w:marLeft w:val="0"/>
      <w:marRight w:val="0"/>
      <w:marTop w:val="0"/>
      <w:marBottom w:val="0"/>
      <w:divBdr>
        <w:top w:val="none" w:sz="0" w:space="0" w:color="auto"/>
        <w:left w:val="none" w:sz="0" w:space="0" w:color="auto"/>
        <w:bottom w:val="none" w:sz="0" w:space="0" w:color="auto"/>
        <w:right w:val="none" w:sz="0" w:space="0" w:color="auto"/>
      </w:divBdr>
    </w:div>
    <w:div w:id="437985807">
      <w:bodyDiv w:val="1"/>
      <w:marLeft w:val="0"/>
      <w:marRight w:val="0"/>
      <w:marTop w:val="0"/>
      <w:marBottom w:val="0"/>
      <w:divBdr>
        <w:top w:val="none" w:sz="0" w:space="0" w:color="auto"/>
        <w:left w:val="none" w:sz="0" w:space="0" w:color="auto"/>
        <w:bottom w:val="none" w:sz="0" w:space="0" w:color="auto"/>
        <w:right w:val="none" w:sz="0" w:space="0" w:color="auto"/>
      </w:divBdr>
    </w:div>
    <w:div w:id="605118993">
      <w:bodyDiv w:val="1"/>
      <w:marLeft w:val="0"/>
      <w:marRight w:val="0"/>
      <w:marTop w:val="0"/>
      <w:marBottom w:val="0"/>
      <w:divBdr>
        <w:top w:val="none" w:sz="0" w:space="0" w:color="auto"/>
        <w:left w:val="none" w:sz="0" w:space="0" w:color="auto"/>
        <w:bottom w:val="none" w:sz="0" w:space="0" w:color="auto"/>
        <w:right w:val="none" w:sz="0" w:space="0" w:color="auto"/>
      </w:divBdr>
    </w:div>
    <w:div w:id="687952989">
      <w:bodyDiv w:val="1"/>
      <w:marLeft w:val="0"/>
      <w:marRight w:val="0"/>
      <w:marTop w:val="0"/>
      <w:marBottom w:val="0"/>
      <w:divBdr>
        <w:top w:val="none" w:sz="0" w:space="0" w:color="auto"/>
        <w:left w:val="none" w:sz="0" w:space="0" w:color="auto"/>
        <w:bottom w:val="none" w:sz="0" w:space="0" w:color="auto"/>
        <w:right w:val="none" w:sz="0" w:space="0" w:color="auto"/>
      </w:divBdr>
    </w:div>
    <w:div w:id="689571251">
      <w:bodyDiv w:val="1"/>
      <w:marLeft w:val="0"/>
      <w:marRight w:val="0"/>
      <w:marTop w:val="0"/>
      <w:marBottom w:val="0"/>
      <w:divBdr>
        <w:top w:val="none" w:sz="0" w:space="0" w:color="auto"/>
        <w:left w:val="none" w:sz="0" w:space="0" w:color="auto"/>
        <w:bottom w:val="none" w:sz="0" w:space="0" w:color="auto"/>
        <w:right w:val="none" w:sz="0" w:space="0" w:color="auto"/>
      </w:divBdr>
    </w:div>
    <w:div w:id="816067962">
      <w:bodyDiv w:val="1"/>
      <w:marLeft w:val="0"/>
      <w:marRight w:val="0"/>
      <w:marTop w:val="0"/>
      <w:marBottom w:val="0"/>
      <w:divBdr>
        <w:top w:val="none" w:sz="0" w:space="0" w:color="auto"/>
        <w:left w:val="none" w:sz="0" w:space="0" w:color="auto"/>
        <w:bottom w:val="none" w:sz="0" w:space="0" w:color="auto"/>
        <w:right w:val="none" w:sz="0" w:space="0" w:color="auto"/>
      </w:divBdr>
    </w:div>
    <w:div w:id="841431118">
      <w:bodyDiv w:val="1"/>
      <w:marLeft w:val="0"/>
      <w:marRight w:val="0"/>
      <w:marTop w:val="0"/>
      <w:marBottom w:val="0"/>
      <w:divBdr>
        <w:top w:val="none" w:sz="0" w:space="0" w:color="auto"/>
        <w:left w:val="none" w:sz="0" w:space="0" w:color="auto"/>
        <w:bottom w:val="none" w:sz="0" w:space="0" w:color="auto"/>
        <w:right w:val="none" w:sz="0" w:space="0" w:color="auto"/>
      </w:divBdr>
    </w:div>
    <w:div w:id="843936655">
      <w:bodyDiv w:val="1"/>
      <w:marLeft w:val="0"/>
      <w:marRight w:val="0"/>
      <w:marTop w:val="0"/>
      <w:marBottom w:val="0"/>
      <w:divBdr>
        <w:top w:val="none" w:sz="0" w:space="0" w:color="auto"/>
        <w:left w:val="none" w:sz="0" w:space="0" w:color="auto"/>
        <w:bottom w:val="none" w:sz="0" w:space="0" w:color="auto"/>
        <w:right w:val="none" w:sz="0" w:space="0" w:color="auto"/>
      </w:divBdr>
    </w:div>
    <w:div w:id="1303804669">
      <w:bodyDiv w:val="1"/>
      <w:marLeft w:val="0"/>
      <w:marRight w:val="0"/>
      <w:marTop w:val="0"/>
      <w:marBottom w:val="0"/>
      <w:divBdr>
        <w:top w:val="none" w:sz="0" w:space="0" w:color="auto"/>
        <w:left w:val="none" w:sz="0" w:space="0" w:color="auto"/>
        <w:bottom w:val="none" w:sz="0" w:space="0" w:color="auto"/>
        <w:right w:val="none" w:sz="0" w:space="0" w:color="auto"/>
      </w:divBdr>
    </w:div>
    <w:div w:id="1385448026">
      <w:bodyDiv w:val="1"/>
      <w:marLeft w:val="0"/>
      <w:marRight w:val="0"/>
      <w:marTop w:val="0"/>
      <w:marBottom w:val="0"/>
      <w:divBdr>
        <w:top w:val="none" w:sz="0" w:space="0" w:color="auto"/>
        <w:left w:val="none" w:sz="0" w:space="0" w:color="auto"/>
        <w:bottom w:val="none" w:sz="0" w:space="0" w:color="auto"/>
        <w:right w:val="none" w:sz="0" w:space="0" w:color="auto"/>
      </w:divBdr>
    </w:div>
    <w:div w:id="1538665384">
      <w:bodyDiv w:val="1"/>
      <w:marLeft w:val="0"/>
      <w:marRight w:val="0"/>
      <w:marTop w:val="0"/>
      <w:marBottom w:val="0"/>
      <w:divBdr>
        <w:top w:val="none" w:sz="0" w:space="0" w:color="auto"/>
        <w:left w:val="none" w:sz="0" w:space="0" w:color="auto"/>
        <w:bottom w:val="none" w:sz="0" w:space="0" w:color="auto"/>
        <w:right w:val="none" w:sz="0" w:space="0" w:color="auto"/>
      </w:divBdr>
    </w:div>
    <w:div w:id="1871063333">
      <w:bodyDiv w:val="1"/>
      <w:marLeft w:val="0"/>
      <w:marRight w:val="0"/>
      <w:marTop w:val="0"/>
      <w:marBottom w:val="0"/>
      <w:divBdr>
        <w:top w:val="none" w:sz="0" w:space="0" w:color="auto"/>
        <w:left w:val="none" w:sz="0" w:space="0" w:color="auto"/>
        <w:bottom w:val="none" w:sz="0" w:space="0" w:color="auto"/>
        <w:right w:val="none" w:sz="0" w:space="0" w:color="auto"/>
      </w:divBdr>
    </w:div>
    <w:div w:id="1935047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90035D-1A3D-4B8A-9237-A5F1B7397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8</Pages>
  <Words>3234</Words>
  <Characters>17793</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FGESLP</cp:lastModifiedBy>
  <cp:revision>14</cp:revision>
  <cp:lastPrinted>2026-07-03T15:42:00Z</cp:lastPrinted>
  <dcterms:created xsi:type="dcterms:W3CDTF">2026-06-22T19:26:00Z</dcterms:created>
  <dcterms:modified xsi:type="dcterms:W3CDTF">2026-07-22T17:38:00Z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2058-12.2.0.17119</vt:lpwstr>
  </property>
  <property fmtid="{D5CDD505-2E9C-101B-9397-08002B2CF9AE}" pid="3" name="ICV">
    <vt:lpwstr>2079CDD4F9A04498984247549F36F67E_13</vt:lpwstr>
  </property>
</Properties>
</file>