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4E68FB" w:rsidRDefault="009819AE" w:rsidP="004E68FB">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D63EFF">
        <w:rPr>
          <w:rFonts w:ascii="Arial" w:hAnsi="Arial" w:cs="Arial"/>
          <w:b/>
          <w:sz w:val="24"/>
          <w:szCs w:val="24"/>
        </w:rPr>
        <w:t>0</w:t>
      </w:r>
      <w:r w:rsidR="004E68FB">
        <w:rPr>
          <w:rFonts w:ascii="Arial" w:hAnsi="Arial" w:cs="Arial"/>
          <w:b/>
          <w:sz w:val="24"/>
          <w:szCs w:val="24"/>
        </w:rPr>
        <w:t>274</w:t>
      </w:r>
      <w:r w:rsidR="00C63668">
        <w:rPr>
          <w:rFonts w:ascii="Arial" w:hAnsi="Arial" w:cs="Arial"/>
          <w:b/>
          <w:sz w:val="24"/>
          <w:szCs w:val="24"/>
        </w:rPr>
        <w:t>/</w:t>
      </w:r>
      <w:r w:rsidR="00C03933" w:rsidRPr="00115CE3">
        <w:rPr>
          <w:rFonts w:ascii="Arial" w:hAnsi="Arial" w:cs="Arial"/>
          <w:b/>
          <w:sz w:val="24"/>
          <w:szCs w:val="24"/>
        </w:rPr>
        <w:t>202</w:t>
      </w:r>
      <w:r w:rsidR="00D63EFF">
        <w:rPr>
          <w:rFonts w:ascii="Arial" w:hAnsi="Arial" w:cs="Arial"/>
          <w:b/>
          <w:sz w:val="24"/>
          <w:szCs w:val="24"/>
        </w:rPr>
        <w:t>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D63EFF">
        <w:rPr>
          <w:rFonts w:ascii="Arial" w:hAnsi="Arial" w:cs="Arial"/>
          <w:b/>
          <w:sz w:val="24"/>
          <w:szCs w:val="24"/>
        </w:rPr>
        <w:t>0</w:t>
      </w:r>
      <w:r w:rsidR="004E68FB">
        <w:rPr>
          <w:rFonts w:ascii="Arial" w:hAnsi="Arial" w:cs="Arial"/>
          <w:b/>
          <w:sz w:val="24"/>
          <w:szCs w:val="24"/>
        </w:rPr>
        <w:t>2</w:t>
      </w:r>
      <w:r w:rsidR="00D5202E">
        <w:rPr>
          <w:rFonts w:ascii="Arial" w:hAnsi="Arial" w:cs="Arial"/>
          <w:b/>
          <w:sz w:val="24"/>
          <w:szCs w:val="24"/>
        </w:rPr>
        <w:t>/202</w:t>
      </w:r>
      <w:r w:rsidR="00D63EFF">
        <w:rPr>
          <w:rFonts w:ascii="Arial" w:hAnsi="Arial" w:cs="Arial"/>
          <w:b/>
          <w:sz w:val="24"/>
          <w:szCs w:val="24"/>
        </w:rPr>
        <w:t>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D63EFF">
        <w:rPr>
          <w:rFonts w:ascii="Arial" w:hAnsi="Arial" w:cs="Arial"/>
          <w:sz w:val="24"/>
          <w:szCs w:val="24"/>
        </w:rPr>
        <w:t>0</w:t>
      </w:r>
      <w:r w:rsidR="004E68FB" w:rsidRPr="004E68FB">
        <w:rPr>
          <w:rFonts w:ascii="Arial" w:hAnsi="Arial" w:cs="Arial"/>
          <w:b/>
          <w:sz w:val="24"/>
          <w:szCs w:val="24"/>
        </w:rPr>
        <w:t>30</w:t>
      </w:r>
      <w:r w:rsidR="0053156B" w:rsidRPr="00115CE3">
        <w:rPr>
          <w:rFonts w:ascii="Arial" w:hAnsi="Arial" w:cs="Arial"/>
          <w:sz w:val="24"/>
          <w:szCs w:val="24"/>
        </w:rPr>
        <w:t>-24046982</w:t>
      </w:r>
      <w:r w:rsidR="00D63EFF">
        <w:rPr>
          <w:rFonts w:ascii="Arial" w:hAnsi="Arial" w:cs="Arial"/>
          <w:sz w:val="24"/>
          <w:szCs w:val="24"/>
        </w:rPr>
        <w:t>6</w:t>
      </w:r>
      <w:r w:rsidR="0053156B" w:rsidRPr="00115CE3">
        <w:rPr>
          <w:rFonts w:ascii="Arial" w:hAnsi="Arial" w:cs="Arial"/>
          <w:sz w:val="24"/>
          <w:szCs w:val="24"/>
        </w:rPr>
        <w:t>000</w:t>
      </w:r>
      <w:r w:rsidR="00D63EFF">
        <w:rPr>
          <w:rFonts w:ascii="Arial" w:hAnsi="Arial" w:cs="Arial"/>
          <w:sz w:val="24"/>
          <w:szCs w:val="24"/>
        </w:rPr>
        <w:t>0</w:t>
      </w:r>
      <w:r w:rsidR="004E68FB" w:rsidRPr="004E68FB">
        <w:rPr>
          <w:rFonts w:ascii="Arial" w:hAnsi="Arial" w:cs="Arial"/>
          <w:b/>
          <w:sz w:val="24"/>
          <w:szCs w:val="24"/>
        </w:rPr>
        <w:t>30</w:t>
      </w:r>
      <w:r w:rsidR="0053156B" w:rsidRPr="00115CE3">
        <w:rPr>
          <w:rFonts w:ascii="Arial" w:hAnsi="Arial" w:cs="Arial"/>
          <w:sz w:val="24"/>
          <w:szCs w:val="24"/>
        </w:rPr>
        <w:t>-202</w:t>
      </w:r>
      <w:r w:rsidR="000E67EB">
        <w:rPr>
          <w:rFonts w:ascii="Arial" w:hAnsi="Arial" w:cs="Arial"/>
          <w:sz w:val="24"/>
          <w:szCs w:val="24"/>
        </w:rPr>
        <w:t>6</w:t>
      </w:r>
      <w:r w:rsidR="0053156B" w:rsidRPr="00115CE3">
        <w:rPr>
          <w:rFonts w:ascii="Arial" w:hAnsi="Arial" w:cs="Arial"/>
          <w:sz w:val="24"/>
          <w:szCs w:val="24"/>
        </w:rPr>
        <w:t xml:space="preserve"> </w:t>
      </w:r>
      <w:r w:rsidR="004E68FB">
        <w:rPr>
          <w:rFonts w:ascii="Arial" w:hAnsi="Arial" w:cs="Arial"/>
          <w:sz w:val="24"/>
          <w:szCs w:val="24"/>
        </w:rPr>
        <w:t xml:space="preserve">realizada por el usuario </w:t>
      </w:r>
      <w:r w:rsidR="004E68FB">
        <w:rPr>
          <w:rFonts w:ascii="Arial" w:hAnsi="Arial" w:cs="Arial"/>
          <w:b/>
          <w:sz w:val="24"/>
          <w:szCs w:val="24"/>
        </w:rPr>
        <w:t>sin identidad</w:t>
      </w:r>
      <w:r w:rsidR="004E68FB">
        <w:rPr>
          <w:rFonts w:ascii="Arial" w:hAnsi="Arial" w:cs="Arial"/>
          <w:sz w:val="24"/>
          <w:szCs w:val="24"/>
        </w:rPr>
        <w:t>, quien manifiesta su deseo de acceder a la siguiente información:</w:t>
      </w:r>
    </w:p>
    <w:p w:rsidR="004E68FB" w:rsidRDefault="004E68FB" w:rsidP="004E68FB">
      <w:pPr>
        <w:spacing w:after="0" w:line="240" w:lineRule="auto"/>
        <w:jc w:val="both"/>
        <w:rPr>
          <w:rFonts w:ascii="Arial" w:hAnsi="Arial" w:cs="Arial"/>
          <w:sz w:val="20"/>
          <w:szCs w:val="20"/>
        </w:rPr>
      </w:pPr>
      <w:r>
        <w:rPr>
          <w:rFonts w:ascii="Arial" w:hAnsi="Arial" w:cs="Arial"/>
          <w:sz w:val="20"/>
          <w:szCs w:val="20"/>
        </w:rPr>
        <w:t xml:space="preserve">1.Incidencia de homicidios de 2016 a 2026 en el municipio de San Luis Potosí, segregando datos de sexo y edad de víctimas y victimarios </w:t>
      </w:r>
    </w:p>
    <w:p w:rsidR="004E68FB" w:rsidRDefault="004E68FB" w:rsidP="004E68FB">
      <w:pPr>
        <w:spacing w:after="0" w:line="240" w:lineRule="auto"/>
        <w:jc w:val="both"/>
        <w:rPr>
          <w:rFonts w:ascii="Arial" w:hAnsi="Arial" w:cs="Arial"/>
          <w:sz w:val="20"/>
          <w:szCs w:val="20"/>
        </w:rPr>
      </w:pPr>
      <w:r>
        <w:rPr>
          <w:rFonts w:ascii="Arial" w:hAnsi="Arial" w:cs="Arial"/>
          <w:sz w:val="20"/>
          <w:szCs w:val="20"/>
        </w:rPr>
        <w:t xml:space="preserve">2. </w:t>
      </w:r>
      <w:proofErr w:type="spellStart"/>
      <w:r>
        <w:rPr>
          <w:rFonts w:ascii="Arial" w:hAnsi="Arial" w:cs="Arial"/>
          <w:sz w:val="20"/>
          <w:szCs w:val="20"/>
        </w:rPr>
        <w:t>Incicencia</w:t>
      </w:r>
      <w:proofErr w:type="spellEnd"/>
      <w:r>
        <w:rPr>
          <w:rFonts w:ascii="Arial" w:hAnsi="Arial" w:cs="Arial"/>
          <w:sz w:val="20"/>
          <w:szCs w:val="20"/>
        </w:rPr>
        <w:t xml:space="preserve"> de homicidios de 2016 a 2026 en el municipio de San Luis Potosí, en agravio de personas entre 12 y 29 años, segregando sexo y edad de las víctimas. </w:t>
      </w:r>
    </w:p>
    <w:p w:rsidR="004E68FB" w:rsidRDefault="004E68FB" w:rsidP="004E68FB">
      <w:pPr>
        <w:spacing w:after="0" w:line="240" w:lineRule="auto"/>
        <w:jc w:val="both"/>
        <w:rPr>
          <w:rFonts w:ascii="Arial" w:hAnsi="Arial" w:cs="Arial"/>
          <w:sz w:val="20"/>
          <w:szCs w:val="20"/>
        </w:rPr>
      </w:pPr>
      <w:r>
        <w:rPr>
          <w:rFonts w:ascii="Arial" w:hAnsi="Arial" w:cs="Arial"/>
          <w:sz w:val="20"/>
          <w:szCs w:val="20"/>
        </w:rPr>
        <w:t>3. Incidencia delictiva (homicidios y otros delitos) de 2016 a 2026 en el municipio de San Luis Potosí, segregado por colonias o zonas. [SIC]</w:t>
      </w:r>
    </w:p>
    <w:p w:rsidR="004E68FB" w:rsidRDefault="004E68FB"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63EFF">
        <w:rPr>
          <w:rFonts w:ascii="Arial" w:hAnsi="Arial" w:cs="Arial"/>
          <w:sz w:val="24"/>
          <w:szCs w:val="24"/>
        </w:rPr>
        <w:t xml:space="preserve">one XI,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w:t>
      </w:r>
      <w:r w:rsidR="004E68FB">
        <w:rPr>
          <w:rFonts w:ascii="Arial" w:hAnsi="Arial" w:cs="Arial"/>
          <w:b/>
          <w:sz w:val="24"/>
          <w:szCs w:val="24"/>
        </w:rPr>
        <w:t>2</w:t>
      </w:r>
      <w:r w:rsidR="00D5202E">
        <w:rPr>
          <w:rFonts w:ascii="Arial" w:hAnsi="Arial" w:cs="Arial"/>
          <w:b/>
          <w:sz w:val="24"/>
          <w:szCs w:val="24"/>
        </w:rPr>
        <w:t>/202</w:t>
      </w:r>
      <w:r w:rsidR="00D63EFF">
        <w:rPr>
          <w:rFonts w:ascii="Arial" w:hAnsi="Arial" w:cs="Arial"/>
          <w:b/>
          <w:sz w:val="24"/>
          <w:szCs w:val="24"/>
        </w:rPr>
        <w:t>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D63EFF">
        <w:rPr>
          <w:rFonts w:ascii="Arial" w:hAnsi="Arial" w:cs="Arial"/>
          <w:b/>
          <w:sz w:val="24"/>
          <w:szCs w:val="24"/>
        </w:rPr>
        <w:t>0</w:t>
      </w:r>
      <w:r w:rsidR="004E68FB">
        <w:rPr>
          <w:rFonts w:ascii="Arial" w:hAnsi="Arial" w:cs="Arial"/>
          <w:b/>
          <w:sz w:val="24"/>
          <w:szCs w:val="24"/>
        </w:rPr>
        <w:t>2</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w:t>
      </w:r>
      <w:r w:rsidR="004E68FB">
        <w:rPr>
          <w:rFonts w:ascii="Arial" w:hAnsi="Arial" w:cs="Arial"/>
          <w:b/>
          <w:sz w:val="24"/>
          <w:szCs w:val="24"/>
        </w:rPr>
        <w:t>2</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946C13" w:rsidRDefault="00946C13"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C25A0E">
      <w:pPr>
        <w:autoSpaceDE w:val="0"/>
        <w:autoSpaceDN w:val="0"/>
        <w:adjustRightInd w:val="0"/>
        <w:spacing w:line="240" w:lineRule="auto"/>
        <w:jc w:val="both"/>
        <w:rPr>
          <w:rFonts w:ascii="Arial" w:hAnsi="Arial" w:cs="Arial"/>
          <w:sz w:val="24"/>
          <w:szCs w:val="24"/>
          <w:u w:val="single"/>
        </w:rPr>
      </w:pPr>
    </w:p>
    <w:p w:rsidR="004E68FB" w:rsidRPr="004E68FB" w:rsidRDefault="007336C3" w:rsidP="004E68F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4E68FB" w:rsidRPr="004E68FB">
        <w:rPr>
          <w:rFonts w:ascii="Arial" w:hAnsi="Arial" w:cs="Arial"/>
          <w:sz w:val="24"/>
          <w:szCs w:val="24"/>
        </w:rPr>
        <w:t>El presente se emite atendiendo la obligación que tiene la Fiscalía General del Estado de San Luis Potosí como ente obligado en términos de lo señalado por los artículos 6, apartado A, Fracción I de la Constitución Política de los Estados Unidos Mexicanos y a la Ley de Transparencia y Acceso a la Información Pública; emitida en el Periódico Oficial del Estado el 5 de junio del año 2021, que reglamenta el ejercicio del derecho a la información pública y señala que debe considerarse información pública: “la que es creada, administrada o en posesión de los sujetos obligados, exceptuando la clasificada como reservada o confidencial” como lo describe el artículo 3, fracción XXI de la Ley de Transparencia y Acceso a la Información.</w:t>
      </w:r>
    </w:p>
    <w:p w:rsidR="004E68FB" w:rsidRDefault="004E68FB" w:rsidP="004E68FB">
      <w:pPr>
        <w:autoSpaceDE w:val="0"/>
        <w:autoSpaceDN w:val="0"/>
        <w:adjustRightInd w:val="0"/>
        <w:spacing w:line="240" w:lineRule="auto"/>
        <w:jc w:val="both"/>
        <w:rPr>
          <w:rFonts w:ascii="Arial" w:hAnsi="Arial" w:cs="Arial"/>
          <w:sz w:val="24"/>
          <w:szCs w:val="24"/>
        </w:rPr>
      </w:pPr>
      <w:r w:rsidRPr="004E68FB">
        <w:rPr>
          <w:rFonts w:ascii="Arial" w:hAnsi="Arial" w:cs="Arial"/>
          <w:sz w:val="24"/>
          <w:szCs w:val="24"/>
        </w:rPr>
        <w:t>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1º párrafo tercero de la Constitución; por lo que ante todo ejercicio de todo derecho a la información que haga un particular se analiza la proporcionalidad entre la invasión que pudiera ocasionarse por la divulgación de información y el interés público de la información.</w:t>
      </w:r>
    </w:p>
    <w:p w:rsidR="004E68FB" w:rsidRPr="004E68FB" w:rsidRDefault="004E68FB" w:rsidP="004E68FB">
      <w:pPr>
        <w:autoSpaceDE w:val="0"/>
        <w:autoSpaceDN w:val="0"/>
        <w:adjustRightInd w:val="0"/>
        <w:spacing w:line="240" w:lineRule="auto"/>
        <w:jc w:val="both"/>
        <w:rPr>
          <w:rFonts w:ascii="Arial" w:hAnsi="Arial" w:cs="Arial"/>
          <w:sz w:val="24"/>
          <w:szCs w:val="24"/>
        </w:rPr>
      </w:pPr>
      <w:r w:rsidRPr="004E68FB">
        <w:rPr>
          <w:rFonts w:ascii="Arial" w:hAnsi="Arial" w:cs="Arial"/>
          <w:sz w:val="24"/>
          <w:szCs w:val="24"/>
        </w:rPr>
        <w:t xml:space="preserve">Esto es así, porque como lo refiere el artículo 17 bis de la Constitución Política del Estado de San Luis Potosí, toda persona tiene derecho al acceso a la información que es garantizado por el Estado, sujetando su ejercicio a diversos principios y bases, prevaleciendo entre otros el de </w:t>
      </w:r>
      <w:r w:rsidRPr="004E68FB">
        <w:rPr>
          <w:rFonts w:ascii="Arial" w:hAnsi="Arial" w:cs="Arial"/>
          <w:sz w:val="24"/>
          <w:szCs w:val="24"/>
        </w:rPr>
        <w:lastRenderedPageBreak/>
        <w:t>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4E68FB" w:rsidRPr="004E68FB" w:rsidRDefault="004E68FB" w:rsidP="004E68FB">
      <w:pPr>
        <w:autoSpaceDE w:val="0"/>
        <w:autoSpaceDN w:val="0"/>
        <w:adjustRightInd w:val="0"/>
        <w:spacing w:line="240" w:lineRule="auto"/>
        <w:jc w:val="both"/>
        <w:rPr>
          <w:rFonts w:ascii="Arial" w:hAnsi="Arial" w:cs="Arial"/>
          <w:sz w:val="24"/>
          <w:szCs w:val="24"/>
        </w:rPr>
      </w:pPr>
      <w:r w:rsidRPr="004E68FB">
        <w:rPr>
          <w:rFonts w:ascii="Arial" w:hAnsi="Arial" w:cs="Arial"/>
          <w:sz w:val="24"/>
          <w:szCs w:val="24"/>
        </w:rPr>
        <w:t>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w:t>
      </w:r>
    </w:p>
    <w:p w:rsidR="004E68FB" w:rsidRPr="004E68FB" w:rsidRDefault="004E68FB" w:rsidP="004E68FB">
      <w:pPr>
        <w:autoSpaceDE w:val="0"/>
        <w:autoSpaceDN w:val="0"/>
        <w:adjustRightInd w:val="0"/>
        <w:spacing w:line="240" w:lineRule="auto"/>
        <w:jc w:val="both"/>
        <w:rPr>
          <w:rFonts w:ascii="Arial" w:hAnsi="Arial" w:cs="Arial"/>
          <w:sz w:val="24"/>
          <w:szCs w:val="24"/>
        </w:rPr>
      </w:pPr>
      <w:r w:rsidRPr="004E68FB">
        <w:rPr>
          <w:rFonts w:ascii="Arial" w:hAnsi="Arial" w:cs="Arial"/>
          <w:sz w:val="24"/>
          <w:szCs w:val="24"/>
        </w:rPr>
        <w:t xml:space="preserve">Así, la misma Ley de Transparencia y Acceso a la Información Pública precisa el momento en que puede clasificarse la información como reservada en el artículo 120, fracción I.  </w:t>
      </w:r>
    </w:p>
    <w:p w:rsidR="004E68FB" w:rsidRPr="004E68FB" w:rsidRDefault="004E68FB" w:rsidP="004E68FB">
      <w:pPr>
        <w:autoSpaceDE w:val="0"/>
        <w:autoSpaceDN w:val="0"/>
        <w:adjustRightInd w:val="0"/>
        <w:spacing w:line="240" w:lineRule="auto"/>
        <w:jc w:val="both"/>
        <w:rPr>
          <w:rFonts w:ascii="Arial" w:hAnsi="Arial" w:cs="Arial"/>
          <w:sz w:val="24"/>
          <w:szCs w:val="24"/>
        </w:rPr>
      </w:pPr>
      <w:r w:rsidRPr="004E68FB">
        <w:rPr>
          <w:rFonts w:ascii="Arial" w:hAnsi="Arial" w:cs="Arial"/>
          <w:sz w:val="24"/>
          <w:szCs w:val="24"/>
        </w:rPr>
        <w:t>En el caso que nos ocupa y de conformidad con el artículo 129 fracciones XI y XII de la Ley en comento, se considera que la información solicitada y cuya publicación y toda vez que esta información 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acceder las partes como sujetos del proceso penal, de acuerdo al artículo 105 del Código Nacional de Procedimientos Penales, por su parte el artículo 218 del citado Código, señala que: “Los registros de la investigación, así como todos los documentos, independientemente de su contenido o naturaleza, los objetos, los registros de voz e imágenes o cosas que le estén relacionados, son estrictamente reservados”.</w:t>
      </w:r>
    </w:p>
    <w:p w:rsidR="004E68FB" w:rsidRPr="004E68FB" w:rsidRDefault="004E68FB" w:rsidP="004E68FB">
      <w:pPr>
        <w:autoSpaceDE w:val="0"/>
        <w:autoSpaceDN w:val="0"/>
        <w:adjustRightInd w:val="0"/>
        <w:spacing w:line="240" w:lineRule="auto"/>
        <w:jc w:val="both"/>
        <w:rPr>
          <w:rFonts w:ascii="Arial" w:hAnsi="Arial" w:cs="Arial"/>
          <w:sz w:val="24"/>
          <w:szCs w:val="24"/>
        </w:rPr>
      </w:pPr>
      <w:r w:rsidRPr="004E68FB">
        <w:rPr>
          <w:rFonts w:ascii="Arial" w:hAnsi="Arial" w:cs="Arial"/>
          <w:sz w:val="24"/>
          <w:szCs w:val="24"/>
        </w:rPr>
        <w:t xml:space="preserve">Derivado de lo anterior y en concordancia a el artículo 129 fracciones XI y XII de la Ley de Transparencia y Acción a la Información Pública del Estado, Lineamiento Trigésimo primero, y Trigésimo segundo, de los Lineamientos Generales en Materia de Clasificación y Desclasificación de la Información, así como para la Elaboración de Versiones Públicas, se considera viable la RESERVA PARCIAL de: </w:t>
      </w:r>
    </w:p>
    <w:p w:rsidR="004E68FB" w:rsidRPr="004E68FB" w:rsidRDefault="004E68FB" w:rsidP="004E68FB">
      <w:pPr>
        <w:autoSpaceDE w:val="0"/>
        <w:autoSpaceDN w:val="0"/>
        <w:adjustRightInd w:val="0"/>
        <w:spacing w:line="240" w:lineRule="auto"/>
        <w:jc w:val="both"/>
        <w:rPr>
          <w:rFonts w:ascii="Arial" w:hAnsi="Arial" w:cs="Arial"/>
          <w:sz w:val="24"/>
          <w:szCs w:val="24"/>
        </w:rPr>
      </w:pPr>
      <w:r w:rsidRPr="004E68FB">
        <w:rPr>
          <w:rFonts w:ascii="Arial" w:hAnsi="Arial" w:cs="Arial"/>
          <w:sz w:val="24"/>
          <w:szCs w:val="24"/>
        </w:rPr>
        <w:t xml:space="preserve">Lo anterior se afirma en razón de que se revelaría información contenida en las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así mismo, se contraviene lo establecido en el artículo 218 del Código Nacional de Procedimientos Penales, el cual refiere que los documentos de la investigación, así como los registros, es información estrictamente reservada. </w:t>
      </w:r>
    </w:p>
    <w:p w:rsidR="004E68FB" w:rsidRPr="004E68FB" w:rsidRDefault="004E68FB" w:rsidP="004E68FB">
      <w:pPr>
        <w:autoSpaceDE w:val="0"/>
        <w:autoSpaceDN w:val="0"/>
        <w:adjustRightInd w:val="0"/>
        <w:spacing w:line="240" w:lineRule="auto"/>
        <w:jc w:val="both"/>
        <w:rPr>
          <w:rFonts w:ascii="Arial" w:hAnsi="Arial" w:cs="Arial"/>
          <w:sz w:val="24"/>
          <w:szCs w:val="24"/>
        </w:rPr>
      </w:pPr>
      <w:r w:rsidRPr="004E68FB">
        <w:rPr>
          <w:rFonts w:ascii="Arial" w:hAnsi="Arial" w:cs="Arial"/>
          <w:sz w:val="24"/>
          <w:szCs w:val="24"/>
        </w:rPr>
        <w:t>Es por ello que, la Vicefiscal</w:t>
      </w:r>
      <w:r>
        <w:rPr>
          <w:rFonts w:ascii="Arial" w:hAnsi="Arial" w:cs="Arial"/>
          <w:sz w:val="24"/>
          <w:szCs w:val="24"/>
        </w:rPr>
        <w:t>í</w:t>
      </w:r>
      <w:r w:rsidRPr="004E68FB">
        <w:rPr>
          <w:rFonts w:ascii="Arial" w:hAnsi="Arial" w:cs="Arial"/>
          <w:sz w:val="24"/>
          <w:szCs w:val="24"/>
        </w:rPr>
        <w:t xml:space="preserve">a de la fiscalía General del Estado de San Luis Potosí, es la responsable de adoptar medidas para restringir el acceso a la información garantizando la </w:t>
      </w:r>
      <w:r w:rsidRPr="004E68FB">
        <w:rPr>
          <w:rFonts w:ascii="Arial" w:hAnsi="Arial" w:cs="Arial"/>
          <w:sz w:val="24"/>
          <w:szCs w:val="24"/>
        </w:rPr>
        <w:lastRenderedPageBreak/>
        <w:t xml:space="preserve">seguridad de la misma, lo anterior conforme a lo estipulado en el artículo 82 de la Ley de Transparencia y Acceso a la Información Pública.  </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63EFF">
        <w:rPr>
          <w:rFonts w:ascii="Arial" w:hAnsi="Arial" w:cs="Arial"/>
          <w:sz w:val="24"/>
          <w:szCs w:val="24"/>
        </w:rPr>
        <w:t>one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D63EFF">
        <w:rPr>
          <w:rFonts w:ascii="Arial" w:hAnsi="Arial" w:cs="Arial"/>
          <w:sz w:val="24"/>
          <w:szCs w:val="24"/>
        </w:rPr>
        <w:t>Trigésimo primero y 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deberán precisar las razones objetivas por las que la apertura de la información generaría un riesgo de perjuicio real, demostrable e identificable al interés jurídico tutelado de que se trate;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C25A0E">
      <w:pPr>
        <w:spacing w:after="0"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w:t>
      </w:r>
      <w:r w:rsidRPr="003F7702">
        <w:rPr>
          <w:rFonts w:ascii="Arial" w:hAnsi="Arial" w:cs="Arial"/>
          <w:sz w:val="24"/>
          <w:szCs w:val="24"/>
        </w:rPr>
        <w:lastRenderedPageBreak/>
        <w:t xml:space="preserve">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4E68FB" w:rsidRPr="004E68FB" w:rsidRDefault="00D53B1B" w:rsidP="004E68FB">
      <w:pPr>
        <w:pStyle w:val="Textoindependiente"/>
        <w:jc w:val="both"/>
        <w:rPr>
          <w:rFonts w:ascii="Arial" w:hAnsi="Arial" w:cs="Arial"/>
          <w:bCs/>
          <w:lang w:val="es-MX"/>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w:t>
      </w:r>
      <w:r w:rsidR="000501A3">
        <w:rPr>
          <w:rFonts w:ascii="Arial" w:hAnsi="Arial" w:cs="Arial"/>
          <w:bCs/>
          <w:color w:val="000000" w:themeColor="text1"/>
        </w:rPr>
        <w:t>0</w:t>
      </w:r>
      <w:r w:rsidR="004E68FB">
        <w:rPr>
          <w:rFonts w:ascii="Arial" w:hAnsi="Arial" w:cs="Arial"/>
          <w:bCs/>
          <w:color w:val="000000" w:themeColor="text1"/>
        </w:rPr>
        <w:t>30</w:t>
      </w:r>
      <w:r w:rsidR="00720254" w:rsidRPr="00720254">
        <w:rPr>
          <w:rFonts w:ascii="Arial" w:hAnsi="Arial" w:cs="Arial"/>
          <w:bCs/>
          <w:color w:val="000000" w:themeColor="text1"/>
        </w:rPr>
        <w:t>-2404698250000</w:t>
      </w:r>
      <w:r w:rsidR="004E68FB">
        <w:rPr>
          <w:rFonts w:ascii="Arial" w:hAnsi="Arial" w:cs="Arial"/>
          <w:bCs/>
          <w:color w:val="000000" w:themeColor="text1"/>
        </w:rPr>
        <w:t>30</w:t>
      </w:r>
      <w:r w:rsidR="00720254" w:rsidRPr="00720254">
        <w:rPr>
          <w:rFonts w:ascii="Arial" w:hAnsi="Arial" w:cs="Arial"/>
          <w:bCs/>
          <w:color w:val="000000" w:themeColor="text1"/>
        </w:rPr>
        <w:t>-2025</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r w:rsidR="004E68FB">
        <w:rPr>
          <w:rFonts w:ascii="Arial" w:hAnsi="Arial" w:cs="Arial"/>
          <w:bCs/>
          <w:color w:val="000000" w:themeColor="text1"/>
        </w:rPr>
        <w:t>C</w:t>
      </w:r>
      <w:proofErr w:type="spellStart"/>
      <w:r w:rsidR="004E68FB" w:rsidRPr="004E68FB">
        <w:rPr>
          <w:rFonts w:ascii="Arial" w:hAnsi="Arial" w:cs="Arial"/>
          <w:bCs/>
          <w:lang w:val="es-MX"/>
        </w:rPr>
        <w:t>olonias</w:t>
      </w:r>
      <w:proofErr w:type="spellEnd"/>
      <w:r w:rsidR="004E68FB" w:rsidRPr="004E68FB">
        <w:rPr>
          <w:rFonts w:ascii="Arial" w:hAnsi="Arial" w:cs="Arial"/>
          <w:bCs/>
          <w:lang w:val="es-MX"/>
        </w:rPr>
        <w:t xml:space="preserve"> o zonas en el municipio de San Luis Potosí, con incidencia delictiva respecto de los antijuridicos de homicidio, homicidio en grado de tentativa, lesiones y robo.  </w:t>
      </w:r>
      <w:r w:rsidR="004E68FB">
        <w:rPr>
          <w:rFonts w:ascii="Arial" w:hAnsi="Arial" w:cs="Arial"/>
          <w:bCs/>
          <w:lang w:val="es-MX"/>
        </w:rPr>
        <w:t>L</w:t>
      </w:r>
      <w:r w:rsidR="004E68FB" w:rsidRPr="004E68FB">
        <w:rPr>
          <w:rFonts w:ascii="Arial" w:hAnsi="Arial" w:cs="Arial"/>
          <w:bCs/>
          <w:lang w:val="es-MX"/>
        </w:rPr>
        <w:t>o anterior dentro del periodo comprendido del 12 de junio de 2016, fecha en que entrara en vigencia el sistema penal acusatorio en la capital del estado al 23 de enero de 2026, momento de recepción de la solicitud.</w:t>
      </w:r>
    </w:p>
    <w:p w:rsidR="00D53B1B" w:rsidRDefault="00720254" w:rsidP="00C25A0E">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lastRenderedPageBreak/>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w:t>
      </w:r>
      <w:r w:rsidR="004E68FB">
        <w:rPr>
          <w:rFonts w:ascii="Arial" w:hAnsi="Arial" w:cs="Arial"/>
          <w:b/>
          <w:sz w:val="24"/>
          <w:szCs w:val="24"/>
        </w:rPr>
        <w:t>2</w:t>
      </w:r>
      <w:r w:rsidR="00D5202E">
        <w:rPr>
          <w:rFonts w:ascii="Arial" w:hAnsi="Arial" w:cs="Arial"/>
          <w:b/>
          <w:sz w:val="24"/>
          <w:szCs w:val="24"/>
        </w:rPr>
        <w:t>/202</w:t>
      </w:r>
      <w:r w:rsidR="000501A3">
        <w:rPr>
          <w:rFonts w:ascii="Arial" w:hAnsi="Arial" w:cs="Arial"/>
          <w:b/>
          <w:sz w:val="24"/>
          <w:szCs w:val="24"/>
        </w:rPr>
        <w:t>6</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w:t>
      </w:r>
      <w:r w:rsidR="004E68FB">
        <w:rPr>
          <w:rFonts w:ascii="Arial" w:hAnsi="Arial" w:cs="Arial"/>
          <w:b/>
          <w:sz w:val="24"/>
          <w:szCs w:val="24"/>
        </w:rPr>
        <w:t>2</w:t>
      </w:r>
      <w:r w:rsidR="00D5202E">
        <w:rPr>
          <w:rFonts w:ascii="Arial" w:hAnsi="Arial" w:cs="Arial"/>
          <w:b/>
          <w:sz w:val="24"/>
          <w:szCs w:val="24"/>
        </w:rPr>
        <w:t>/202</w:t>
      </w:r>
      <w:r w:rsidR="000501A3">
        <w:rPr>
          <w:rFonts w:ascii="Arial" w:hAnsi="Arial" w:cs="Arial"/>
          <w:b/>
          <w:sz w:val="24"/>
          <w:szCs w:val="24"/>
        </w:rPr>
        <w:t>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4E68FB">
        <w:rPr>
          <w:rFonts w:ascii="Arial" w:hAnsi="Arial" w:cs="Arial"/>
          <w:b/>
          <w:sz w:val="24"/>
          <w:szCs w:val="24"/>
        </w:rPr>
        <w:t>28</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2303" w:rsidRDefault="00F22303">
      <w:r>
        <w:separator/>
      </w:r>
    </w:p>
  </w:endnote>
  <w:endnote w:type="continuationSeparator" w:id="0">
    <w:p w:rsidR="00F22303" w:rsidRDefault="00F22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14FF" w:rsidRDefault="00A714F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14FF" w:rsidRDefault="00A714F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2303" w:rsidRDefault="00F22303">
      <w:r>
        <w:separator/>
      </w:r>
    </w:p>
  </w:footnote>
  <w:footnote w:type="continuationSeparator" w:id="0">
    <w:p w:rsidR="00F22303" w:rsidRDefault="00F223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14FF" w:rsidRDefault="00A714F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151563"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A714FF">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151564"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CB2293">
          <w:pPr>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D63EFF">
            <w:rPr>
              <w:rFonts w:ascii="Arial" w:hAnsi="Arial" w:cs="Arial"/>
              <w:b/>
              <w:color w:val="FFFFFF" w:themeColor="background1"/>
              <w:sz w:val="18"/>
              <w:szCs w:val="18"/>
              <w:lang w:val="es-ES"/>
            </w:rPr>
            <w:t>0</w:t>
          </w:r>
          <w:r w:rsidR="0067198F">
            <w:rPr>
              <w:rFonts w:ascii="Arial" w:hAnsi="Arial" w:cs="Arial"/>
              <w:b/>
              <w:color w:val="FFFFFF" w:themeColor="background1"/>
              <w:sz w:val="18"/>
              <w:szCs w:val="18"/>
              <w:lang w:val="es-ES"/>
            </w:rPr>
            <w:t>2</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14FF" w:rsidRDefault="00A714F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151562"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7EB"/>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4E2D"/>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68FB"/>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1398"/>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198F"/>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1200"/>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14FF"/>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303"/>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67997297">
      <w:bodyDiv w:val="1"/>
      <w:marLeft w:val="0"/>
      <w:marRight w:val="0"/>
      <w:marTop w:val="0"/>
      <w:marBottom w:val="0"/>
      <w:divBdr>
        <w:top w:val="none" w:sz="0" w:space="0" w:color="auto"/>
        <w:left w:val="none" w:sz="0" w:space="0" w:color="auto"/>
        <w:bottom w:val="none" w:sz="0" w:space="0" w:color="auto"/>
        <w:right w:val="none" w:sz="0" w:space="0" w:color="auto"/>
      </w:divBdr>
    </w:div>
    <w:div w:id="389883411">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905D05-E4A2-434B-ABE3-EE1E1B70F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8</Pages>
  <Words>3035</Words>
  <Characters>16696</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2026-02-04T19:26:00Z</cp:lastPrinted>
  <dcterms:created xsi:type="dcterms:W3CDTF">2026-02-03T21:19:00Z</dcterms:created>
  <dcterms:modified xsi:type="dcterms:W3CDTF">2026-02-18T20:46:00Z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