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BAAB0" w14:textId="4240C825" w:rsidR="005A589D" w:rsidRDefault="005A589D" w:rsidP="005A589D">
      <w:pPr>
        <w:jc w:val="both"/>
        <w:rPr>
          <w:rFonts w:ascii="Arial" w:hAnsi="Arial" w:cs="Arial"/>
        </w:rPr>
      </w:pPr>
      <w:r w:rsidRPr="00E00D34">
        <w:rPr>
          <w:rFonts w:ascii="Arial" w:hAnsi="Arial" w:cs="Arial"/>
        </w:rPr>
        <w:t>Este sujeto obligado si está facultado para generar la información requerida, según lo establecido en el artículo 48 fracciones XI, XII y XIX del Reglamento Interno de la Fiscalía General del Estado de San Luis Potosí, no obstante, no fueron recibidas denuncias por incumplimientos a las obligaciones de transparencia en el mes informado.</w:t>
      </w:r>
    </w:p>
    <w:p w14:paraId="4A4B0DCE" w14:textId="77777777" w:rsidR="005A589D" w:rsidRPr="00E00D34" w:rsidRDefault="005A589D" w:rsidP="005A589D">
      <w:pPr>
        <w:jc w:val="both"/>
        <w:rPr>
          <w:rFonts w:ascii="Arial" w:hAnsi="Arial" w:cs="Arial"/>
        </w:rPr>
      </w:pPr>
    </w:p>
    <w:p w14:paraId="682FEBE4" w14:textId="3C5D73EC" w:rsidR="005A589D" w:rsidRDefault="005A589D" w:rsidP="005A589D">
      <w:pPr>
        <w:jc w:val="center"/>
        <w:rPr>
          <w:rFonts w:ascii="Arial" w:hAnsi="Arial" w:cs="Arial"/>
          <w:b/>
          <w:u w:val="single"/>
        </w:rPr>
      </w:pPr>
      <w:r w:rsidRPr="00E00D34">
        <w:rPr>
          <w:rFonts w:ascii="Arial" w:hAnsi="Arial" w:cs="Arial"/>
          <w:b/>
          <w:u w:val="single"/>
        </w:rPr>
        <w:t>Reglamento Interno de la Fiscalía General del Estado de San Luis Potosí</w:t>
      </w:r>
    </w:p>
    <w:p w14:paraId="683507A3" w14:textId="77777777" w:rsidR="005A589D" w:rsidRPr="00E00D34" w:rsidRDefault="005A589D" w:rsidP="005A589D">
      <w:pPr>
        <w:jc w:val="center"/>
        <w:rPr>
          <w:rFonts w:ascii="Arial" w:hAnsi="Arial" w:cs="Arial"/>
          <w:b/>
          <w:u w:val="single"/>
        </w:rPr>
      </w:pPr>
    </w:p>
    <w:p w14:paraId="11796E63" w14:textId="77777777" w:rsidR="005A589D" w:rsidRPr="00E00D34" w:rsidRDefault="005A589D" w:rsidP="005A589D">
      <w:pPr>
        <w:jc w:val="both"/>
        <w:rPr>
          <w:rFonts w:ascii="Arial" w:hAnsi="Arial" w:cs="Arial"/>
        </w:rPr>
      </w:pPr>
      <w:r w:rsidRPr="00E00D34">
        <w:rPr>
          <w:rFonts w:ascii="Arial" w:hAnsi="Arial" w:cs="Arial"/>
          <w:b/>
        </w:rPr>
        <w:t>Artículo 48.</w:t>
      </w:r>
      <w:r w:rsidRPr="00E00D34">
        <w:rPr>
          <w:rFonts w:ascii="Arial" w:hAnsi="Arial" w:cs="Arial"/>
        </w:rPr>
        <w:t xml:space="preserve"> Unidad de Transparencia La Unidad de Transparencia será el órgano encargado de la conducción y ejecución de los actos jurídicos necesarios para transparentar el ejercicio de la función pública de los servidores públicos de la Fiscalía General, dando cumplimiento a lo estipulado en la Ley de Transparencia y Acceso a la información Pública del Estado, y estará a cargo de un Subdirector quien será nombrado y removido libremente por el Fiscal General, quien para el desempeño de su función tendrá las atribuciones siguientes:</w:t>
      </w:r>
    </w:p>
    <w:p w14:paraId="7A8C764C" w14:textId="77777777" w:rsidR="005A589D" w:rsidRPr="00E00D34" w:rsidRDefault="005A589D" w:rsidP="005A589D">
      <w:pPr>
        <w:jc w:val="both"/>
        <w:rPr>
          <w:rFonts w:ascii="Arial" w:hAnsi="Arial" w:cs="Arial"/>
        </w:rPr>
      </w:pPr>
      <w:r w:rsidRPr="00E00D34">
        <w:rPr>
          <w:rFonts w:ascii="Arial" w:hAnsi="Arial" w:cs="Arial"/>
        </w:rPr>
        <w:t>XI. Hacer del conocimiento de la instancia competente la probable responsabilidad por el incumplimiento de las obligaciones previstas en la Ley de la materia y en las demás disposiciones aplicables;</w:t>
      </w:r>
    </w:p>
    <w:p w14:paraId="79A3337F" w14:textId="77777777" w:rsidR="005A589D" w:rsidRPr="00E00D34" w:rsidRDefault="005A589D" w:rsidP="005A589D">
      <w:pPr>
        <w:jc w:val="both"/>
        <w:rPr>
          <w:rFonts w:ascii="Arial" w:hAnsi="Arial" w:cs="Arial"/>
        </w:rPr>
      </w:pPr>
      <w:r w:rsidRPr="00E00D34">
        <w:rPr>
          <w:rFonts w:ascii="Arial" w:hAnsi="Arial" w:cs="Arial"/>
        </w:rPr>
        <w:t>XII. Determinar, organizar, dirigir, coordinar y ejecutar las acciones necesarias para cumplir con las políticas en materia de transparencia, rendición de cuentas, acceso a la información, seguridad y protección de datos personales;</w:t>
      </w:r>
    </w:p>
    <w:p w14:paraId="04FB92F1" w14:textId="77777777" w:rsidR="005A589D" w:rsidRPr="00E00D34" w:rsidRDefault="005A589D" w:rsidP="005A589D">
      <w:pPr>
        <w:jc w:val="both"/>
        <w:rPr>
          <w:rFonts w:ascii="Arial" w:hAnsi="Arial" w:cs="Arial"/>
        </w:rPr>
      </w:pPr>
      <w:r w:rsidRPr="00E00D34">
        <w:rPr>
          <w:rFonts w:ascii="Arial" w:hAnsi="Arial" w:cs="Arial"/>
        </w:rPr>
        <w:t>XIX. Proporcionar el apoyo necesario que requieran las diferentes Unidades Administrativas de la Fiscalía General, para el cumplimiento de las obligaciones en materia de transparencia, rendición de cuentas, acceso a la información, seguridad y protección de datos personales;</w:t>
      </w:r>
    </w:p>
    <w:p w14:paraId="3DF0C142" w14:textId="77777777" w:rsidR="00083129" w:rsidRPr="005A589D" w:rsidRDefault="00083129" w:rsidP="005A589D">
      <w:bookmarkStart w:id="0" w:name="_GoBack"/>
      <w:bookmarkEnd w:id="0"/>
    </w:p>
    <w:sectPr w:rsidR="00083129" w:rsidRPr="005A589D" w:rsidSect="00035C8E">
      <w:headerReference w:type="default" r:id="rId7"/>
      <w:footerReference w:type="default" r:id="rId8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B658F" w14:textId="77777777" w:rsidR="009E7B04" w:rsidRDefault="009E7B04" w:rsidP="00961F3B">
      <w:r>
        <w:separator/>
      </w:r>
    </w:p>
  </w:endnote>
  <w:endnote w:type="continuationSeparator" w:id="0">
    <w:p w14:paraId="206ABA6A" w14:textId="77777777" w:rsidR="009E7B04" w:rsidRDefault="009E7B04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C1282A" w14:textId="77777777" w:rsidR="009E7B04" w:rsidRDefault="009E7B04" w:rsidP="00961F3B">
      <w:r>
        <w:separator/>
      </w:r>
    </w:p>
  </w:footnote>
  <w:footnote w:type="continuationSeparator" w:id="0">
    <w:p w14:paraId="139D6FDA" w14:textId="77777777" w:rsidR="009E7B04" w:rsidRDefault="009E7B04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19E6FEC3" w14:textId="7A10AF3D" w:rsidR="00F378F7" w:rsidRPr="00CA72A2" w:rsidRDefault="00F378F7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45128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52C30"/>
    <w:rsid w:val="00580EDC"/>
    <w:rsid w:val="005A589D"/>
    <w:rsid w:val="005C750C"/>
    <w:rsid w:val="005D2819"/>
    <w:rsid w:val="005D2F3D"/>
    <w:rsid w:val="005E0C03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E7B04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2026-03-02T16:55:00Z</cp:lastPrinted>
  <dcterms:created xsi:type="dcterms:W3CDTF">2026-06-02T21:04:00Z</dcterms:created>
  <dcterms:modified xsi:type="dcterms:W3CDTF">2026-06-02T21:04:00Z</dcterms:modified>
</cp:coreProperties>
</file>