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45C012">
      <w:pPr>
        <w:jc w:val="center"/>
        <w:rPr>
          <w:rFonts w:ascii="Arial" w:hAnsi="Arial" w:cs="Arial"/>
          <w:b/>
          <w:sz w:val="28"/>
          <w:szCs w:val="28"/>
        </w:rPr>
      </w:pPr>
      <w:bookmarkStart w:id="0" w:name="_GoBack"/>
      <w:bookmarkEnd w:id="0"/>
      <w:r>
        <w:rPr>
          <w:rFonts w:ascii="Arial" w:hAnsi="Arial" w:cs="Arial"/>
          <w:b/>
          <w:sz w:val="28"/>
          <w:szCs w:val="28"/>
        </w:rPr>
        <w:t>INFORME DE RECTORÍA (ENERO – DICIEMBRE 202</w:t>
      </w:r>
      <w:r>
        <w:rPr>
          <w:rFonts w:hint="default" w:ascii="Arial" w:hAnsi="Arial" w:cs="Arial"/>
          <w:b/>
          <w:sz w:val="28"/>
          <w:szCs w:val="28"/>
          <w:lang w:val="es-ES"/>
        </w:rPr>
        <w:t>5</w:t>
      </w:r>
      <w:r>
        <w:rPr>
          <w:rFonts w:ascii="Arial" w:hAnsi="Arial" w:cs="Arial"/>
          <w:b/>
          <w:sz w:val="28"/>
          <w:szCs w:val="28"/>
        </w:rPr>
        <w:t>)</w:t>
      </w:r>
    </w:p>
    <w:p w14:paraId="18E69389">
      <w:pPr>
        <w:jc w:val="center"/>
        <w:rPr>
          <w:rFonts w:ascii="Arial" w:hAnsi="Arial" w:cs="Arial"/>
          <w:b/>
          <w:sz w:val="28"/>
          <w:szCs w:val="28"/>
        </w:rPr>
      </w:pPr>
      <w:r>
        <w:rPr>
          <w:rFonts w:ascii="Arial" w:hAnsi="Arial" w:cs="Arial"/>
          <w:b/>
          <w:sz w:val="28"/>
          <w:szCs w:val="28"/>
        </w:rPr>
        <w:t xml:space="preserve">DEPARTAMENTO DE ARCHIVO </w:t>
      </w:r>
    </w:p>
    <w:p w14:paraId="60B6A325">
      <w:pPr>
        <w:spacing w:after="0" w:line="360" w:lineRule="auto"/>
        <w:jc w:val="center"/>
        <w:rPr>
          <w:b/>
        </w:rPr>
      </w:pPr>
    </w:p>
    <w:p w14:paraId="0E506A08">
      <w:pPr>
        <w:spacing w:after="0" w:line="360" w:lineRule="auto"/>
        <w:jc w:val="center"/>
        <w:rPr>
          <w:b/>
        </w:rPr>
      </w:pPr>
    </w:p>
    <w:p w14:paraId="5C55703C">
      <w:pPr>
        <w:spacing w:after="0" w:line="360" w:lineRule="auto"/>
        <w:jc w:val="both"/>
        <w:rPr>
          <w:rFonts w:ascii="Arial" w:hAnsi="Arial" w:cs="Arial"/>
          <w:sz w:val="24"/>
          <w:szCs w:val="24"/>
        </w:rPr>
      </w:pPr>
      <w:r>
        <w:rPr>
          <w:rFonts w:ascii="Arial" w:hAnsi="Arial" w:cs="Arial"/>
          <w:sz w:val="24"/>
          <w:szCs w:val="24"/>
        </w:rPr>
        <w:t>La Secretaría de Servicios Escolares dentro de su organigrama funcional cuenta con el Departamento de Archivo, las actividades y funciones de este departamento giran en torno a la oportuna y correcta salvaguarda del patrimonio documental archivístico, que a la fecha del presente informe mantiene en concentración 3,000 cajas en las cuales se resguardan 426,472 expedientes y tiene en disponibilidad 489 espacios para recibir más expedientes, a partir del ingreso de expedientes en concentración se comienzan a aplicar para su correcta salvaguarda, conocimientos y lineamientos archivísticos de calidad, los cuales además de manera adecuada se organizan y resguardan, el aseguramiento de su conservación, se sustenta en las estrategias y acciones que el personal revisa y actualiza de manera periódica y sistemática, durante el presente periodo además desarrollo las siguientes actividades:</w:t>
      </w:r>
    </w:p>
    <w:p w14:paraId="6940B2A2">
      <w:pPr>
        <w:spacing w:after="0" w:line="360" w:lineRule="auto"/>
        <w:jc w:val="both"/>
        <w:rPr>
          <w:rFonts w:ascii="Arial" w:hAnsi="Arial" w:cs="Arial"/>
          <w:sz w:val="24"/>
          <w:szCs w:val="24"/>
        </w:rPr>
      </w:pPr>
    </w:p>
    <w:p w14:paraId="34E38B25">
      <w:pPr>
        <w:pStyle w:val="4"/>
        <w:spacing w:before="0" w:beforeAutospacing="0" w:after="0" w:afterAutospacing="0" w:line="360" w:lineRule="auto"/>
        <w:jc w:val="both"/>
        <w:rPr>
          <w:rFonts w:ascii="Arial" w:hAnsi="Arial" w:cs="Arial"/>
        </w:rPr>
      </w:pPr>
      <w:r>
        <w:rPr>
          <w:rFonts w:ascii="Arial" w:hAnsi="Arial" w:cs="Arial"/>
        </w:rPr>
        <w:t xml:space="preserve">En materia de asesoría y capacitación, personal de este departamento ofreció, al personal a cargo de los archivos de trámite de las dependencias administrativas y entidades académicas, un curso previamente diseñado para socializar el tema “La Adecuada práctica archivística en los archivos de trámite”, capacitación que se impartió durante el transcurso del año, y  en el que participaron 72 responsables de los archivos de trámite; en materia de manejo documental y eficiente manejo del sistema SAAI se otorgaron dos capacitaciones a personal del Departamento de Certificación y de la Dirección de Gestión de Calidad, participado en estas 10 responsables de archivo de trámite. </w:t>
      </w:r>
    </w:p>
    <w:p w14:paraId="5A9C5041">
      <w:pPr>
        <w:pStyle w:val="4"/>
        <w:spacing w:before="0" w:beforeAutospacing="0" w:after="0" w:afterAutospacing="0" w:line="360" w:lineRule="auto"/>
        <w:jc w:val="both"/>
        <w:rPr>
          <w:rFonts w:ascii="Arial" w:hAnsi="Arial" w:cs="Arial"/>
          <w:b/>
          <w:bCs/>
        </w:rPr>
      </w:pPr>
    </w:p>
    <w:p w14:paraId="61F7D343">
      <w:pPr>
        <w:pStyle w:val="4"/>
        <w:jc w:val="both"/>
        <w:rPr>
          <w:rFonts w:ascii="Arial" w:hAnsi="Arial" w:cs="Arial"/>
        </w:rPr>
      </w:pPr>
    </w:p>
    <w:p w14:paraId="2A051973">
      <w:pPr>
        <w:pStyle w:val="4"/>
        <w:shd w:val="clear" w:color="auto" w:fill="FFFFFF"/>
        <w:spacing w:before="0" w:beforeAutospacing="0" w:after="0" w:afterAutospacing="0" w:line="360" w:lineRule="auto"/>
        <w:jc w:val="center"/>
        <w:rPr>
          <w:rFonts w:ascii="Arial" w:hAnsi="Arial" w:cs="Arial"/>
          <w:b/>
        </w:rPr>
      </w:pPr>
    </w:p>
    <w:p w14:paraId="4CAD32FA">
      <w:pPr>
        <w:spacing w:after="0" w:line="360" w:lineRule="auto"/>
        <w:jc w:val="both"/>
        <w:rPr>
          <w:rFonts w:ascii="Arial" w:hAnsi="Arial" w:eastAsia="Times New Roman" w:cs="Arial"/>
          <w:sz w:val="24"/>
          <w:szCs w:val="24"/>
        </w:rPr>
      </w:pPr>
      <w:r>
        <w:rPr>
          <w:rFonts w:ascii="Arial" w:hAnsi="Arial" w:cs="Arial"/>
          <w:sz w:val="24"/>
          <w:szCs w:val="24"/>
        </w:rPr>
        <w:t>Personal de este Departamento, de manera continua fortalece sus conocimientos y experiencias, para ello aprovecha los cursos que ofertan entes internacionales como la Asociación Latinoamericana de Archivos (ALA), durante el presente periodo se participó en el curso de capacitación de 4 horas, denominado “Conservación preventiva en patrimonio documental”. Impartido por: Tania Estrada Valadez. Conservadora-restauradora de acervos documentales en The British Library (BL), Londres, Reino Unido.,</w:t>
      </w:r>
      <w:r>
        <w:rPr>
          <w:rFonts w:ascii="Times New Roman" w:hAnsi="Times New Roman" w:cs="Times New Roman"/>
          <w:sz w:val="24"/>
          <w:szCs w:val="24"/>
        </w:rPr>
        <w:t xml:space="preserve"> </w:t>
      </w:r>
      <w:r>
        <w:rPr>
          <w:rFonts w:ascii="Arial" w:hAnsi="Arial" w:cs="Arial"/>
          <w:sz w:val="24"/>
          <w:szCs w:val="24"/>
        </w:rPr>
        <w:t>en la modalidad a distancia.</w:t>
      </w:r>
    </w:p>
    <w:p w14:paraId="2B8987EC">
      <w:pPr>
        <w:spacing w:after="0" w:line="360" w:lineRule="auto"/>
        <w:jc w:val="both"/>
        <w:rPr>
          <w:rFonts w:ascii="Arial" w:hAnsi="Arial" w:cs="Arial"/>
          <w:sz w:val="24"/>
          <w:szCs w:val="24"/>
        </w:rPr>
      </w:pPr>
    </w:p>
    <w:p w14:paraId="5630402D">
      <w:pPr>
        <w:pStyle w:val="4"/>
        <w:spacing w:before="0" w:beforeAutospacing="0" w:after="0" w:afterAutospacing="0" w:line="360" w:lineRule="auto"/>
        <w:jc w:val="both"/>
        <w:rPr>
          <w:rFonts w:ascii="Arial" w:hAnsi="Arial" w:cs="Arial"/>
        </w:rPr>
      </w:pPr>
      <w:r>
        <w:rPr>
          <w:rFonts w:ascii="Arial" w:hAnsi="Arial" w:cs="Arial"/>
        </w:rPr>
        <w:t xml:space="preserve">Una actividad de relevancia, es la atención que se brinda a las transferencias primarias de expedientes, que las entidades académicas y dependencias administrativas, envían para su resguardo en las salas de concentración que se tienen dispuestas pare tal fin, durante el periodo se llevaron a cabo 13 transferencias, que corresponden a 49 cajas en las cuales se transfirieron para su resguardo 14,609 expedientes. </w:t>
      </w:r>
    </w:p>
    <w:p w14:paraId="141AD737">
      <w:pPr>
        <w:pStyle w:val="4"/>
        <w:spacing w:before="0" w:beforeAutospacing="0" w:after="0" w:afterAutospacing="0" w:line="360" w:lineRule="auto"/>
        <w:jc w:val="both"/>
        <w:rPr>
          <w:rFonts w:ascii="Arial" w:hAnsi="Arial" w:cs="Arial"/>
        </w:rPr>
      </w:pPr>
    </w:p>
    <w:p w14:paraId="33995F9D">
      <w:pPr>
        <w:pStyle w:val="4"/>
        <w:spacing w:before="0" w:beforeAutospacing="0" w:after="0" w:afterAutospacing="0" w:line="360" w:lineRule="auto"/>
        <w:jc w:val="both"/>
        <w:rPr>
          <w:rFonts w:ascii="Arial" w:hAnsi="Arial" w:cs="Arial"/>
        </w:rPr>
      </w:pPr>
      <w:r>
        <w:rPr>
          <w:rFonts w:ascii="Arial" w:hAnsi="Arial" w:cs="Arial"/>
        </w:rPr>
        <w:t>En cuanto a la actividad que se llama expurgo, la cual se efectúa de manera constante a expedientes de la sección “Expedientes Escolares de Alumnos de Escuelas Preparatorias Incorporadas”, actividad en la que cada mes se intervienen doce cajas, en este periodo se intervinieron 132 cajas, lo que ha impactado en 29,415 expedientes, por lo que logramos recuperar con ello 46 espacios, esta actividad nos permitió generar espacios para futuras transferencias primarias.</w:t>
      </w:r>
    </w:p>
    <w:p w14:paraId="4C490C2B">
      <w:pPr>
        <w:pStyle w:val="4"/>
        <w:spacing w:before="0" w:beforeAutospacing="0" w:after="0" w:afterAutospacing="0" w:line="360" w:lineRule="auto"/>
        <w:jc w:val="both"/>
        <w:rPr>
          <w:rFonts w:ascii="Arial" w:hAnsi="Arial" w:cs="Arial"/>
          <w:b/>
          <w:bCs/>
        </w:rPr>
      </w:pPr>
    </w:p>
    <w:p w14:paraId="451A80B1">
      <w:pPr>
        <w:pStyle w:val="4"/>
        <w:spacing w:before="0" w:beforeAutospacing="0" w:after="0" w:afterAutospacing="0" w:line="360" w:lineRule="auto"/>
        <w:jc w:val="both"/>
        <w:rPr>
          <w:rFonts w:ascii="Arial" w:hAnsi="Arial" w:cs="Arial"/>
        </w:rPr>
      </w:pPr>
      <w:r>
        <w:rPr>
          <w:rFonts w:ascii="Arial" w:hAnsi="Arial" w:cs="Arial"/>
        </w:rPr>
        <w:t>Durante el periodo, personal del DAGU, recibió vía el Sistema de Administración de Archivos Institucionales (SAAI), la cantidad de 764 solicitudes de información que realizaron tanto las dependencias administrativas como las entidades académicas, las cuales se contestaron de manera eficiente y oportuna, las contestación a estas consultas de  información, se realizaron mediante la digitalización de documentos; Otro de los servicios que se apoyan es a través del préstamo físico de expedientes,   en este rubro se prestaron para consulta en físico 176 expedientes; así mismo, mediante el seguimiento oportuno a los expedientes prestados, y con el fin de fomentar su reingreso a concentración se logró que 177 expedientes se reincorporaran a los fondos documentales que se tienen en resguardo de concentración.</w:t>
      </w:r>
    </w:p>
    <w:p w14:paraId="4AD00ADA">
      <w:pPr>
        <w:spacing w:after="0" w:line="360" w:lineRule="auto"/>
        <w:jc w:val="both"/>
        <w:rPr>
          <w:rFonts w:ascii="Arial" w:hAnsi="Arial" w:cs="Arial"/>
          <w:b/>
          <w:bCs/>
          <w:sz w:val="24"/>
          <w:szCs w:val="24"/>
        </w:rPr>
      </w:pPr>
    </w:p>
    <w:p w14:paraId="4831B3BC">
      <w:pPr>
        <w:spacing w:after="0" w:line="360" w:lineRule="auto"/>
        <w:jc w:val="both"/>
        <w:rPr>
          <w:rFonts w:ascii="Arial" w:hAnsi="Arial" w:cs="Arial"/>
          <w:sz w:val="24"/>
          <w:szCs w:val="24"/>
        </w:rPr>
      </w:pPr>
      <w:r>
        <w:rPr>
          <w:rFonts w:ascii="Arial" w:hAnsi="Arial" w:cs="Arial"/>
          <w:sz w:val="24"/>
          <w:szCs w:val="24"/>
        </w:rPr>
        <w:t>En el transcurso del presente informe y con el objetivo de mantener en óptimas condiciones la plataforma documental denominada Sistema de Administración de Archivos Institucionales (SAAI), plataforma digital que tiene por objetivo sistematizar y controlar el patrimonio documental archivístico de la Secretaría y de la Institución que se tiene en resguardo, de manera planificada, en tres ocasiones se dio mantenimiento a los módulos de la plataforma, así mismo para asegurar que las condiciones físicas y de resguardo no causen alteraciones a los documentos se da seguimiento mediante tomas diarias por semana de registro de humedad y temperatura, esto durante 44 semanas lectivas y para complementar dicha finalidad también se realiza la valoración física de expedientes por semana de manera aleatoria se analizan 9 expedientes logrando que durante el presente periodo se analizaran las condiciones físicas de 351 expedientes, la combinación de estas actividades nos ayudó a identificar que los documentos que conforman los expedientes no tienen daños reversibles, ni irreversibles de carácter mecánico, químico ni biológico .</w:t>
      </w:r>
    </w:p>
    <w:p w14:paraId="1F770221">
      <w:pPr>
        <w:pStyle w:val="4"/>
        <w:spacing w:before="0" w:beforeAutospacing="0" w:after="0" w:afterAutospacing="0" w:line="360" w:lineRule="auto"/>
        <w:jc w:val="both"/>
        <w:rPr>
          <w:rFonts w:ascii="Arial" w:hAnsi="Arial" w:cs="Arial"/>
        </w:rPr>
      </w:pPr>
    </w:p>
    <w:p w14:paraId="7848E1E6">
      <w:pPr>
        <w:pStyle w:val="4"/>
        <w:spacing w:before="0" w:beforeAutospacing="0" w:after="0" w:afterAutospacing="0" w:line="360" w:lineRule="auto"/>
        <w:jc w:val="both"/>
        <w:rPr>
          <w:rFonts w:ascii="Arial" w:hAnsi="Arial" w:cs="Arial"/>
        </w:rPr>
      </w:pPr>
      <w:r>
        <w:rPr>
          <w:rFonts w:ascii="Arial" w:hAnsi="Arial" w:cs="Arial"/>
        </w:rPr>
        <w:t>Para el personal de este departamento es fundamental contar con tecnología de vanguardia para el desarrollo de sus actividades, para ello con el apoyo de la Secretaría de Servicios Escolares, se ha apoyado y fomentado la trasferencia tecnológica, estableciendo un vínculo importante de trabajo con espacios académicos de relevancia para tal fin, como lo es la materia de plan integrador de desarrollo tecnológico, que realizan los alumnos de esa entidad académica;  Durante este periodo con el apoyo de alumnos de la facultad de Ingeniería se logró desarrollar una trituradora de capacidad media, esta trituradora los alumnos tuvieron a bien donarla a este departamento, acción que nos permitió por tercer año consecutivo incorporar herramientas y aparatos de tecnología de vanguardia, siendo a la fecha el archivo con mayor desarrollo tecnológico en la región.</w:t>
      </w:r>
    </w:p>
    <w:p w14:paraId="1F0F2E17">
      <w:pPr>
        <w:pStyle w:val="4"/>
        <w:shd w:val="clear" w:color="auto" w:fill="FFFFFF"/>
        <w:spacing w:before="0" w:beforeAutospacing="0" w:after="0" w:afterAutospacing="0" w:line="360" w:lineRule="auto"/>
        <w:jc w:val="center"/>
        <w:rPr>
          <w:rFonts w:ascii="Arial" w:hAnsi="Arial" w:cs="Arial"/>
        </w:rPr>
      </w:pPr>
    </w:p>
    <w:p w14:paraId="430122AB">
      <w:pPr>
        <w:pStyle w:val="4"/>
        <w:shd w:val="clear" w:color="auto" w:fill="FFFFFF"/>
        <w:spacing w:before="0" w:beforeAutospacing="0" w:after="0" w:afterAutospacing="0" w:line="360" w:lineRule="auto"/>
        <w:jc w:val="center"/>
        <w:rPr>
          <w:rFonts w:ascii="Arial" w:hAnsi="Arial" w:cs="Arial"/>
          <w:b/>
        </w:rPr>
      </w:pPr>
    </w:p>
    <w:p w14:paraId="72F52912">
      <w:pPr>
        <w:spacing w:after="0" w:line="360" w:lineRule="auto"/>
        <w:jc w:val="both"/>
        <w:rPr>
          <w:rFonts w:ascii="Arial" w:hAnsi="Arial" w:cs="Arial"/>
          <w:sz w:val="24"/>
          <w:szCs w:val="24"/>
        </w:rPr>
      </w:pPr>
      <w:r>
        <w:rPr>
          <w:rFonts w:ascii="Arial" w:hAnsi="Arial" w:cs="Arial"/>
          <w:sz w:val="24"/>
          <w:szCs w:val="24"/>
        </w:rPr>
        <w:t xml:space="preserve">Se continúa dando forma al Subfondo documental denominado “Archivo Histórico Contemporáneo”, para lo cual se emplean estrategias y actividades, encaminadas a conservar y alargar la vida útil de los documentos que integran dicho fondo, durante este periodo se integraron a este fondo especializado 100 cajas que contienen 4,891 expedientes, de ellos 2,181 son libros de actas de calificaciones de alumnos que cursaron estudios en escuelas preparatorias incorporadas a esta institución. </w:t>
      </w:r>
    </w:p>
    <w:p w14:paraId="039DFE69">
      <w:pPr>
        <w:spacing w:after="0" w:line="360" w:lineRule="auto"/>
        <w:jc w:val="both"/>
        <w:rPr>
          <w:rFonts w:ascii="Arial" w:hAnsi="Arial" w:cs="Arial"/>
          <w:sz w:val="24"/>
          <w:szCs w:val="24"/>
        </w:rPr>
      </w:pPr>
    </w:p>
    <w:p w14:paraId="0E5ABF4D">
      <w:pPr>
        <w:spacing w:after="0" w:line="360" w:lineRule="auto"/>
        <w:jc w:val="both"/>
        <w:rPr>
          <w:rFonts w:ascii="Arial" w:hAnsi="Arial" w:cs="Arial"/>
          <w:sz w:val="24"/>
          <w:szCs w:val="24"/>
        </w:rPr>
      </w:pPr>
      <w:r>
        <w:rPr>
          <w:rFonts w:ascii="Arial" w:hAnsi="Arial" w:cs="Arial"/>
          <w:sz w:val="24"/>
          <w:szCs w:val="24"/>
        </w:rPr>
        <w:t>Es importante mencionar que, en coordinación con la administración de la Secretaría de Servicios Escolares, se han efectuado diversas actividades encaminadas a fortalecer el mantenimiento preventivo de los edificios e instalaciones de ese Departamento y durante el periodo que se informa se logro el cambio de 28 lámparas led en la sala de concentración número 1.</w:t>
      </w:r>
    </w:p>
    <w:p w14:paraId="4A69B042">
      <w:pPr>
        <w:spacing w:after="0" w:line="360" w:lineRule="auto"/>
        <w:jc w:val="both"/>
        <w:rPr>
          <w:rFonts w:ascii="Arial" w:hAnsi="Arial" w:cs="Arial"/>
          <w:sz w:val="24"/>
          <w:szCs w:val="24"/>
        </w:rPr>
      </w:pPr>
    </w:p>
    <w:sectPr>
      <w:pgSz w:w="12240" w:h="15840"/>
      <w:pgMar w:top="1417" w:right="1701" w:bottom="1417" w:left="1701" w:header="708" w:footer="708" w:gutter="0"/>
      <w:cols w:space="708"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Arial">
    <w:panose1 w:val="020B0604020202090204"/>
    <w:charset w:val="00"/>
    <w:family w:val="swiss"/>
    <w:pitch w:val="default"/>
    <w:sig w:usb0="E0000AFF" w:usb1="00007843" w:usb2="00000001" w:usb3="00000000" w:csb0="400001BF" w:csb1="DFF70000"/>
  </w:font>
  <w:font w:name="Courier New">
    <w:panose1 w:val="02070609020205090404"/>
    <w:charset w:val="00"/>
    <w:family w:val="modern"/>
    <w:pitch w:val="default"/>
    <w:sig w:usb0="E0000AFF" w:usb1="40007843" w:usb2="00000001" w:usb3="00000000" w:csb0="400001BF" w:csb1="DFF70000"/>
  </w:font>
  <w:font w:name="SimHei">
    <w:altName w:val="黑体-简"/>
    <w:panose1 w:val="02010609060101010101"/>
    <w:charset w:val="00"/>
    <w:family w:val="modern"/>
    <w:pitch w:val="default"/>
    <w:sig w:usb0="800002BF" w:usb1="38CF7CFA" w:usb2="00000016" w:usb3="00000000" w:csb0="00040001" w:csb1="00000000"/>
  </w:font>
  <w:font w:name="Wingdings">
    <w:panose1 w:val="05000000000000000000"/>
    <w:charset w:val="00"/>
    <w:family w:val="auto"/>
    <w:pitch w:val="default"/>
    <w:sig w:usb0="00000000" w:usb1="00000000" w:usb2="00000000" w:usb3="00000000" w:csb0="80000000" w:csb1="00000000"/>
  </w:font>
  <w:font w:name="Calibri">
    <w:altName w:val="Helvetica Neue"/>
    <w:panose1 w:val="020F0502020204030204"/>
    <w:charset w:val="86"/>
    <w:family w:val="swiss"/>
    <w:pitch w:val="default"/>
    <w:sig w:usb0="00000000" w:usb1="00000000" w:usb2="00000001" w:usb3="00000000" w:csb0="0000019F" w:csb1="00000000"/>
  </w:font>
  <w:font w:name="SimSun">
    <w:altName w:val="宋体-简"/>
    <w:panose1 w:val="02010600030101010101"/>
    <w:charset w:val="86"/>
    <w:family w:val="auto"/>
    <w:pitch w:val="default"/>
    <w:sig w:usb0="00000000" w:usb1="00000000" w:usb2="00000016" w:usb3="00000000" w:csb0="00040001" w:csb1="00000000"/>
  </w:font>
  <w:font w:name="Calibri">
    <w:altName w:val="Helvetica Neue"/>
    <w:panose1 w:val="00000000000000000000"/>
    <w:charset w:val="00"/>
    <w:family w:val="auto"/>
    <w:pitch w:val="default"/>
    <w:sig w:usb0="00000000" w:usb1="00000000" w:usb2="00000000" w:usb3="00000000" w:csb0="00000000" w:csb1="00000000"/>
  </w:font>
  <w:font w:name="Helvetica Neue">
    <w:panose1 w:val="02000503000000020004"/>
    <w:charset w:val="00"/>
    <w:family w:val="auto"/>
    <w:pitch w:val="default"/>
    <w:sig w:usb0="E50002FF" w:usb1="500079DB" w:usb2="00000010" w:usb3="00000000" w:csb0="0000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cumentProtection w:enforcement="0"/>
  <w:defaultTabStop w:val="708"/>
  <w:hyphenationZone w:val="425"/>
  <w:characterSpacingControl w:val="doNotCompress"/>
  <w:footnotePr>
    <w:footnote w:id="0"/>
    <w:footnote w:id="1"/>
  </w:footnotePr>
  <w:endnotePr>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11A"/>
    <w:rsid w:val="0000182D"/>
    <w:rsid w:val="00020245"/>
    <w:rsid w:val="00021E6A"/>
    <w:rsid w:val="0007467C"/>
    <w:rsid w:val="000952E1"/>
    <w:rsid w:val="0017333B"/>
    <w:rsid w:val="0017550D"/>
    <w:rsid w:val="001F1731"/>
    <w:rsid w:val="001F22B5"/>
    <w:rsid w:val="001F6946"/>
    <w:rsid w:val="00211B03"/>
    <w:rsid w:val="002717D6"/>
    <w:rsid w:val="002A5C8F"/>
    <w:rsid w:val="002E6B47"/>
    <w:rsid w:val="003020AE"/>
    <w:rsid w:val="00323883"/>
    <w:rsid w:val="0039426A"/>
    <w:rsid w:val="003D5FD7"/>
    <w:rsid w:val="004F6D01"/>
    <w:rsid w:val="00543A55"/>
    <w:rsid w:val="005601C9"/>
    <w:rsid w:val="00571DD0"/>
    <w:rsid w:val="00583E41"/>
    <w:rsid w:val="00594BC9"/>
    <w:rsid w:val="005E4E7A"/>
    <w:rsid w:val="00622CB2"/>
    <w:rsid w:val="00635DF9"/>
    <w:rsid w:val="006458F7"/>
    <w:rsid w:val="006634C0"/>
    <w:rsid w:val="006D45AF"/>
    <w:rsid w:val="00765508"/>
    <w:rsid w:val="00767412"/>
    <w:rsid w:val="007871B3"/>
    <w:rsid w:val="007916F4"/>
    <w:rsid w:val="007F7D7D"/>
    <w:rsid w:val="00842FEB"/>
    <w:rsid w:val="00843264"/>
    <w:rsid w:val="0088530D"/>
    <w:rsid w:val="00897352"/>
    <w:rsid w:val="008C70E9"/>
    <w:rsid w:val="00920461"/>
    <w:rsid w:val="00937390"/>
    <w:rsid w:val="00970C7B"/>
    <w:rsid w:val="0098515E"/>
    <w:rsid w:val="009C4B24"/>
    <w:rsid w:val="009E611A"/>
    <w:rsid w:val="009E663A"/>
    <w:rsid w:val="009E7F1D"/>
    <w:rsid w:val="00A2724C"/>
    <w:rsid w:val="00A579B9"/>
    <w:rsid w:val="00A808DF"/>
    <w:rsid w:val="00A9601C"/>
    <w:rsid w:val="00AB4BEE"/>
    <w:rsid w:val="00AB6A98"/>
    <w:rsid w:val="00AD3749"/>
    <w:rsid w:val="00AE3590"/>
    <w:rsid w:val="00B045F9"/>
    <w:rsid w:val="00B06444"/>
    <w:rsid w:val="00B06824"/>
    <w:rsid w:val="00B1613B"/>
    <w:rsid w:val="00B20DD4"/>
    <w:rsid w:val="00BE5ABC"/>
    <w:rsid w:val="00C1157D"/>
    <w:rsid w:val="00C22ED3"/>
    <w:rsid w:val="00C41D6F"/>
    <w:rsid w:val="00C7251A"/>
    <w:rsid w:val="00CA7968"/>
    <w:rsid w:val="00CF11B0"/>
    <w:rsid w:val="00D10F1E"/>
    <w:rsid w:val="00D578CC"/>
    <w:rsid w:val="00D779BC"/>
    <w:rsid w:val="00D84699"/>
    <w:rsid w:val="00DD781E"/>
    <w:rsid w:val="00DE17A5"/>
    <w:rsid w:val="00E1702E"/>
    <w:rsid w:val="00E67C6A"/>
    <w:rsid w:val="00E73EFA"/>
    <w:rsid w:val="00EE4E3B"/>
    <w:rsid w:val="00F7305C"/>
    <w:rsid w:val="00F963D2"/>
    <w:rsid w:val="00FB07B4"/>
    <w:rsid w:val="00FD4DFB"/>
    <w:rsid w:val="CFF77D61"/>
  </w:rsids>
  <m:mathPr>
    <m:mathFont m:val="Cambria Math"/>
    <m:brkBin m:val="before"/>
    <m:brkBinSub m:val="--"/>
    <m:smallFrac m:val="0"/>
    <m:dispDef/>
    <m:lMargin m:val="0"/>
    <m:rMargin m:val="0"/>
    <m:defJc m:val="centerGroup"/>
    <m:wrapIndent m:val="1440"/>
    <m:intLim m:val="subSup"/>
    <m:naryLim m:val="undOvr"/>
  </m:mathPr>
  <w:themeFontLang w:val="es-MX"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160" w:line="259" w:lineRule="auto"/>
    </w:pPr>
    <w:rPr>
      <w:rFonts w:asciiTheme="minorHAnsi" w:hAnsiTheme="minorHAnsi" w:eastAsiaTheme="minorHAnsi" w:cstheme="minorBidi"/>
      <w:sz w:val="22"/>
      <w:szCs w:val="22"/>
      <w:lang w:val="es-MX" w:eastAsia="en-US"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4">
    <w:name w:val="Normal (Web)"/>
    <w:basedOn w:val="1"/>
    <w:unhideWhenUsed/>
    <w:qFormat/>
    <w:uiPriority w:val="99"/>
    <w:pPr>
      <w:spacing w:before="100" w:beforeAutospacing="1" w:after="100" w:afterAutospacing="1" w:line="240" w:lineRule="auto"/>
    </w:pPr>
    <w:rPr>
      <w:rFonts w:ascii="Times New Roman" w:hAnsi="Times New Roman" w:eastAsia="Times New Roman" w:cs="Times New Roman"/>
      <w:sz w:val="24"/>
      <w:szCs w:val="24"/>
      <w:lang w:eastAsia="es-MX"/>
    </w:rPr>
  </w:style>
  <w:style w:type="paragraph" w:styleId="5">
    <w:name w:val="List Paragraph"/>
    <w:basedOn w:val="1"/>
    <w:qFormat/>
    <w:uiPriority w:val="34"/>
    <w:pPr>
      <w:ind w:left="720"/>
      <w:contextualSpacing/>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1033</Words>
  <Characters>5685</Characters>
  <Lines>47</Lines>
  <Paragraphs>13</Paragraphs>
  <TotalTime>114</TotalTime>
  <ScaleCrop>false</ScaleCrop>
  <LinksUpToDate>false</LinksUpToDate>
  <CharactersWithSpaces>6705</CharactersWithSpaces>
  <Application>WPS Office_12.1.23152.23152_F1E327BC-269C-435d-A152-05C5408002CA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2024-01-15T12:29:00Z</dcterms:created>
  <dc:creator>Eduardo</dc:creator>
  <cp:lastModifiedBy>Papa</cp:lastModifiedBy>
  <cp:lastPrinted>2023-01-19T13:25:00Z</cp:lastPrinted>
  <dcterms:modified xsi:type="dcterms:W3CDTF">2026-03-08T13:43:11Z</dcterms:modified>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3082-12.1.23152.23152</vt:lpwstr>
  </property>
  <property fmtid="{D5CDD505-2E9C-101B-9397-08002B2CF9AE}" pid="3" name="ICV">
    <vt:lpwstr>D90A794E7E9F4A984FD1AD69C31FDB95_42</vt:lpwstr>
  </property>
</Properties>
</file>