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E61018" w:rsidRDefault="00C246B2" w:rsidP="004A324C">
      <w:pPr>
        <w:pStyle w:val="Subttulo"/>
        <w:jc w:val="both"/>
        <w:rPr>
          <w:rFonts w:ascii="Arial" w:hAnsi="Arial" w:cs="Arial"/>
          <w:color w:val="auto"/>
          <w:spacing w:val="0"/>
          <w:sz w:val="24"/>
          <w:szCs w:val="24"/>
        </w:rPr>
      </w:pPr>
      <w:bookmarkStart w:id="0" w:name="_GoBack"/>
      <w:bookmarkEnd w:id="0"/>
      <w:r w:rsidRPr="00E61018">
        <w:rPr>
          <w:rFonts w:ascii="Arial" w:hAnsi="Arial" w:cs="Arial"/>
          <w:color w:val="auto"/>
          <w:spacing w:val="0"/>
          <w:sz w:val="24"/>
          <w:szCs w:val="24"/>
        </w:rPr>
        <w:t>En la ciudad de San Luis Potosí, San Luis Potosí</w:t>
      </w:r>
      <w:r w:rsidR="007F24DE" w:rsidRPr="00E61018">
        <w:rPr>
          <w:rFonts w:ascii="Arial" w:hAnsi="Arial" w:cs="Arial"/>
          <w:color w:val="auto"/>
          <w:spacing w:val="0"/>
          <w:sz w:val="24"/>
          <w:szCs w:val="24"/>
        </w:rPr>
        <w:t xml:space="preserve"> a los </w:t>
      </w:r>
      <w:r w:rsidR="00CC2ABF">
        <w:rPr>
          <w:rFonts w:ascii="Arial" w:hAnsi="Arial" w:cs="Arial"/>
          <w:b/>
          <w:color w:val="auto"/>
          <w:spacing w:val="0"/>
          <w:sz w:val="24"/>
          <w:szCs w:val="24"/>
        </w:rPr>
        <w:t>cinco</w:t>
      </w:r>
      <w:r w:rsidR="009B0D72">
        <w:rPr>
          <w:rFonts w:ascii="Arial" w:hAnsi="Arial" w:cs="Arial"/>
          <w:b/>
          <w:color w:val="auto"/>
          <w:spacing w:val="0"/>
          <w:sz w:val="24"/>
          <w:szCs w:val="24"/>
        </w:rPr>
        <w:t xml:space="preserve"> </w:t>
      </w:r>
      <w:r w:rsidR="007F24DE" w:rsidRPr="00E61018">
        <w:rPr>
          <w:rFonts w:ascii="Arial" w:hAnsi="Arial" w:cs="Arial"/>
          <w:color w:val="auto"/>
          <w:spacing w:val="0"/>
          <w:sz w:val="24"/>
          <w:szCs w:val="24"/>
        </w:rPr>
        <w:t xml:space="preserve"> días del mes de </w:t>
      </w:r>
      <w:r w:rsidR="00F6247F">
        <w:rPr>
          <w:rFonts w:ascii="Arial" w:hAnsi="Arial" w:cs="Arial"/>
          <w:b/>
          <w:color w:val="auto"/>
          <w:spacing w:val="0"/>
          <w:sz w:val="24"/>
          <w:szCs w:val="24"/>
        </w:rPr>
        <w:t>febrero</w:t>
      </w:r>
      <w:r w:rsidR="00CC2ABF">
        <w:rPr>
          <w:rFonts w:ascii="Arial" w:hAnsi="Arial" w:cs="Arial"/>
          <w:b/>
          <w:color w:val="auto"/>
          <w:spacing w:val="0"/>
          <w:sz w:val="24"/>
          <w:szCs w:val="24"/>
        </w:rPr>
        <w:t xml:space="preserve"> </w:t>
      </w:r>
      <w:r w:rsidR="00662DF6" w:rsidRPr="00E61018">
        <w:rPr>
          <w:rFonts w:ascii="Arial" w:hAnsi="Arial" w:cs="Arial"/>
          <w:color w:val="auto"/>
          <w:spacing w:val="0"/>
          <w:sz w:val="24"/>
          <w:szCs w:val="24"/>
        </w:rPr>
        <w:t>202</w:t>
      </w:r>
      <w:r w:rsidR="00F6247F">
        <w:rPr>
          <w:rFonts w:ascii="Arial" w:hAnsi="Arial" w:cs="Arial"/>
          <w:color w:val="auto"/>
          <w:spacing w:val="0"/>
          <w:sz w:val="24"/>
          <w:szCs w:val="24"/>
        </w:rPr>
        <w:t>6</w:t>
      </w:r>
      <w:r w:rsidRPr="00E61018">
        <w:rPr>
          <w:rFonts w:ascii="Arial" w:hAnsi="Arial" w:cs="Arial"/>
          <w:color w:val="auto"/>
          <w:spacing w:val="0"/>
          <w:sz w:val="24"/>
          <w:szCs w:val="24"/>
        </w:rPr>
        <w:t>, en</w:t>
      </w:r>
      <w:r w:rsidR="009819AE" w:rsidRPr="00E61018">
        <w:rPr>
          <w:rFonts w:ascii="Arial" w:hAnsi="Arial" w:cs="Arial"/>
          <w:color w:val="auto"/>
          <w:spacing w:val="0"/>
          <w:sz w:val="24"/>
          <w:szCs w:val="24"/>
        </w:rPr>
        <w:t xml:space="preserve"> cumplimiento al acuerdo emitido por el Comité de Transparencia de la Fiscalía General en </w:t>
      </w:r>
      <w:r w:rsidRPr="00E61018">
        <w:rPr>
          <w:rFonts w:ascii="Arial" w:hAnsi="Arial" w:cs="Arial"/>
          <w:color w:val="auto"/>
          <w:spacing w:val="0"/>
          <w:sz w:val="24"/>
          <w:szCs w:val="24"/>
        </w:rPr>
        <w:t xml:space="preserve">su </w:t>
      </w:r>
      <w:r w:rsidR="00CC2ABF">
        <w:rPr>
          <w:rFonts w:ascii="Arial" w:hAnsi="Arial" w:cs="Arial"/>
          <w:b/>
          <w:color w:val="auto"/>
          <w:spacing w:val="0"/>
          <w:sz w:val="24"/>
          <w:szCs w:val="24"/>
        </w:rPr>
        <w:t>segunda</w:t>
      </w:r>
      <w:r w:rsidR="003F4878" w:rsidRPr="00E61018">
        <w:rPr>
          <w:rFonts w:ascii="Arial" w:hAnsi="Arial" w:cs="Arial"/>
          <w:color w:val="auto"/>
          <w:spacing w:val="0"/>
          <w:sz w:val="24"/>
          <w:szCs w:val="24"/>
        </w:rPr>
        <w:t xml:space="preserve"> </w:t>
      </w:r>
      <w:r w:rsidRPr="00E61018">
        <w:rPr>
          <w:rFonts w:ascii="Arial" w:hAnsi="Arial" w:cs="Arial"/>
          <w:color w:val="auto"/>
          <w:spacing w:val="0"/>
          <w:sz w:val="24"/>
          <w:szCs w:val="24"/>
        </w:rPr>
        <w:t>s</w:t>
      </w:r>
      <w:r w:rsidR="009819AE" w:rsidRPr="00E61018">
        <w:rPr>
          <w:rFonts w:ascii="Arial" w:hAnsi="Arial" w:cs="Arial"/>
          <w:color w:val="auto"/>
          <w:spacing w:val="0"/>
          <w:sz w:val="24"/>
          <w:szCs w:val="24"/>
        </w:rPr>
        <w:t xml:space="preserve">esión </w:t>
      </w:r>
      <w:r w:rsidR="007F24DE" w:rsidRPr="00E61018">
        <w:rPr>
          <w:rFonts w:ascii="Arial" w:hAnsi="Arial" w:cs="Arial"/>
          <w:color w:val="auto"/>
          <w:spacing w:val="0"/>
          <w:sz w:val="24"/>
          <w:szCs w:val="24"/>
        </w:rPr>
        <w:t>ordinaria</w:t>
      </w:r>
      <w:r w:rsidR="009819AE" w:rsidRPr="00E61018">
        <w:rPr>
          <w:rFonts w:ascii="Arial" w:hAnsi="Arial" w:cs="Arial"/>
          <w:color w:val="auto"/>
          <w:spacing w:val="0"/>
          <w:sz w:val="24"/>
          <w:szCs w:val="24"/>
        </w:rPr>
        <w:t xml:space="preserve"> 202</w:t>
      </w:r>
      <w:r w:rsidR="00F6247F">
        <w:rPr>
          <w:rFonts w:ascii="Arial" w:hAnsi="Arial" w:cs="Arial"/>
          <w:color w:val="auto"/>
          <w:spacing w:val="0"/>
          <w:sz w:val="24"/>
          <w:szCs w:val="24"/>
        </w:rPr>
        <w:t>6</w:t>
      </w:r>
      <w:r w:rsidR="009819AE" w:rsidRPr="00E61018">
        <w:rPr>
          <w:rFonts w:ascii="Arial" w:hAnsi="Arial" w:cs="Arial"/>
          <w:color w:val="auto"/>
          <w:spacing w:val="0"/>
          <w:sz w:val="24"/>
          <w:szCs w:val="24"/>
        </w:rPr>
        <w:t xml:space="preserve">, </w:t>
      </w:r>
      <w:r w:rsidRPr="00E61018">
        <w:rPr>
          <w:rFonts w:ascii="Arial" w:hAnsi="Arial" w:cs="Arial"/>
          <w:color w:val="auto"/>
          <w:spacing w:val="0"/>
          <w:sz w:val="24"/>
          <w:szCs w:val="24"/>
        </w:rPr>
        <w:t xml:space="preserve">y </w:t>
      </w:r>
      <w:r w:rsidR="009819AE" w:rsidRPr="00E61018">
        <w:rPr>
          <w:rFonts w:ascii="Arial" w:hAnsi="Arial" w:cs="Arial"/>
          <w:color w:val="auto"/>
          <w:spacing w:val="0"/>
          <w:sz w:val="24"/>
          <w:szCs w:val="24"/>
        </w:rPr>
        <w:t xml:space="preserve">en términos de lo dispuesto por los artículos 51, 52 fracción II, 127 de la </w:t>
      </w:r>
      <w:r w:rsidR="001771BC" w:rsidRPr="00E61018">
        <w:rPr>
          <w:rFonts w:ascii="Arial" w:hAnsi="Arial" w:cs="Arial"/>
          <w:color w:val="auto"/>
          <w:spacing w:val="0"/>
          <w:sz w:val="24"/>
          <w:szCs w:val="24"/>
        </w:rPr>
        <w:t>l</w:t>
      </w:r>
      <w:r w:rsidR="009819AE" w:rsidRPr="00E61018">
        <w:rPr>
          <w:rFonts w:ascii="Arial" w:hAnsi="Arial" w:cs="Arial"/>
          <w:color w:val="auto"/>
          <w:spacing w:val="0"/>
          <w:sz w:val="24"/>
          <w:szCs w:val="24"/>
        </w:rPr>
        <w:t xml:space="preserve">ey de Transparencia y Acceso a la Información Pública del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 xml:space="preserve">stado de San Luis Potosí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LTAIPSLP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lineamiento </w:t>
      </w:r>
      <w:r w:rsidR="005B0E50" w:rsidRPr="00E61018">
        <w:rPr>
          <w:rFonts w:ascii="Arial" w:hAnsi="Arial" w:cs="Arial"/>
          <w:color w:val="auto"/>
          <w:spacing w:val="0"/>
          <w:sz w:val="24"/>
          <w:szCs w:val="24"/>
        </w:rPr>
        <w:t>q</w:t>
      </w:r>
      <w:r w:rsidR="009819AE" w:rsidRPr="00E61018">
        <w:rPr>
          <w:rFonts w:ascii="Arial" w:hAnsi="Arial" w:cs="Arial"/>
          <w:color w:val="auto"/>
          <w:spacing w:val="0"/>
          <w:sz w:val="24"/>
          <w:szCs w:val="24"/>
        </w:rPr>
        <w:t xml:space="preserve">uincuagésimo </w:t>
      </w:r>
      <w:r w:rsidR="001771BC" w:rsidRPr="00E61018">
        <w:rPr>
          <w:rFonts w:ascii="Arial" w:hAnsi="Arial" w:cs="Arial"/>
          <w:color w:val="auto"/>
          <w:spacing w:val="0"/>
          <w:sz w:val="24"/>
          <w:szCs w:val="24"/>
        </w:rPr>
        <w:t>p</w:t>
      </w:r>
      <w:r w:rsidR="009819AE" w:rsidRPr="00E61018">
        <w:rPr>
          <w:rFonts w:ascii="Arial" w:hAnsi="Arial" w:cs="Arial"/>
          <w:color w:val="auto"/>
          <w:spacing w:val="0"/>
          <w:sz w:val="24"/>
          <w:szCs w:val="24"/>
        </w:rPr>
        <w:t xml:space="preserve">rimero de los Lineamientos Generales para la Clasificación y Desclasificación de la Información, así como para la </w:t>
      </w:r>
      <w:r w:rsidR="001771BC" w:rsidRPr="00E61018">
        <w:rPr>
          <w:rFonts w:ascii="Arial" w:hAnsi="Arial" w:cs="Arial"/>
          <w:color w:val="auto"/>
          <w:spacing w:val="0"/>
          <w:sz w:val="24"/>
          <w:szCs w:val="24"/>
        </w:rPr>
        <w:t>e</w:t>
      </w:r>
      <w:r w:rsidR="009819AE" w:rsidRPr="00E61018">
        <w:rPr>
          <w:rFonts w:ascii="Arial" w:hAnsi="Arial" w:cs="Arial"/>
          <w:color w:val="auto"/>
          <w:spacing w:val="0"/>
          <w:sz w:val="24"/>
          <w:szCs w:val="24"/>
        </w:rPr>
        <w:t>laboración de Versiones Públicas</w:t>
      </w:r>
      <w:r w:rsidR="00CE31CC" w:rsidRPr="00E61018">
        <w:rPr>
          <w:rFonts w:ascii="Arial" w:hAnsi="Arial" w:cs="Arial"/>
          <w:color w:val="auto"/>
          <w:spacing w:val="0"/>
          <w:sz w:val="24"/>
          <w:szCs w:val="24"/>
        </w:rPr>
        <w:t xml:space="preserve"> </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LG</w:t>
      </w:r>
      <w:r w:rsidR="00CC2ABF">
        <w:rPr>
          <w:rFonts w:ascii="Arial" w:hAnsi="Arial" w:cs="Arial"/>
          <w:color w:val="auto"/>
          <w:spacing w:val="0"/>
          <w:sz w:val="24"/>
          <w:szCs w:val="24"/>
        </w:rPr>
        <w:t>M</w:t>
      </w:r>
      <w:r w:rsidR="009819AE" w:rsidRPr="00E61018">
        <w:rPr>
          <w:rFonts w:ascii="Arial" w:hAnsi="Arial" w:cs="Arial"/>
          <w:color w:val="auto"/>
          <w:spacing w:val="0"/>
          <w:sz w:val="24"/>
          <w:szCs w:val="24"/>
        </w:rPr>
        <w:t>CDIEVP</w:t>
      </w:r>
      <w:r w:rsidR="001771BC" w:rsidRPr="00E61018">
        <w:rPr>
          <w:rFonts w:ascii="Arial" w:hAnsi="Arial" w:cs="Arial"/>
          <w:color w:val="auto"/>
          <w:spacing w:val="0"/>
          <w:sz w:val="24"/>
          <w:szCs w:val="24"/>
        </w:rPr>
        <w:t>-</w:t>
      </w:r>
      <w:r w:rsidR="009819AE" w:rsidRPr="00E61018">
        <w:rPr>
          <w:rFonts w:ascii="Arial" w:hAnsi="Arial" w:cs="Arial"/>
          <w:color w:val="auto"/>
          <w:spacing w:val="0"/>
          <w:sz w:val="24"/>
          <w:szCs w:val="24"/>
        </w:rPr>
        <w:t xml:space="preserve">, se procede a emitir la siguiente </w:t>
      </w:r>
      <w:r w:rsidR="001771BC" w:rsidRPr="00E61018">
        <w:rPr>
          <w:rFonts w:ascii="Arial" w:hAnsi="Arial" w:cs="Arial"/>
          <w:color w:val="auto"/>
          <w:spacing w:val="0"/>
          <w:sz w:val="24"/>
          <w:szCs w:val="24"/>
        </w:rPr>
        <w:t>r</w:t>
      </w:r>
      <w:r w:rsidR="009819AE" w:rsidRPr="00E61018">
        <w:rPr>
          <w:rFonts w:ascii="Arial" w:hAnsi="Arial" w:cs="Arial"/>
          <w:color w:val="auto"/>
          <w:spacing w:val="0"/>
          <w:sz w:val="24"/>
          <w:szCs w:val="24"/>
        </w:rPr>
        <w:t xml:space="preserve">esolución. </w:t>
      </w:r>
    </w:p>
    <w:p w:rsidR="00BF3665" w:rsidRDefault="009819AE" w:rsidP="004A324C">
      <w:pPr>
        <w:jc w:val="center"/>
        <w:rPr>
          <w:rFonts w:ascii="Arial" w:hAnsi="Arial" w:cs="Arial"/>
          <w:b/>
        </w:rPr>
      </w:pPr>
      <w:r>
        <w:rPr>
          <w:rFonts w:ascii="Arial" w:hAnsi="Arial" w:cs="Arial"/>
          <w:b/>
        </w:rPr>
        <w:t>RESULTANDO</w:t>
      </w:r>
    </w:p>
    <w:p w:rsidR="00B51013" w:rsidRDefault="00B51013"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w:t>
      </w:r>
      <w:r>
        <w:rPr>
          <w:rFonts w:ascii="Arial" w:hAnsi="Arial" w:cs="Arial"/>
        </w:rPr>
        <w:t xml:space="preserve"> mediante </w:t>
      </w:r>
      <w:r w:rsidR="006F3DBB">
        <w:rPr>
          <w:rFonts w:ascii="Arial" w:hAnsi="Arial" w:cs="Arial"/>
        </w:rPr>
        <w:t xml:space="preserve">acuerdo </w:t>
      </w:r>
      <w:r w:rsidR="006F3DBB" w:rsidRPr="00662DF6">
        <w:rPr>
          <w:rFonts w:ascii="Arial" w:hAnsi="Arial" w:cs="Arial"/>
          <w:b/>
        </w:rPr>
        <w:t>AR/</w:t>
      </w:r>
      <w:r w:rsidR="00F6247F">
        <w:rPr>
          <w:rFonts w:ascii="Arial" w:hAnsi="Arial" w:cs="Arial"/>
          <w:b/>
        </w:rPr>
        <w:t>04</w:t>
      </w:r>
      <w:r w:rsidR="006F3DBB" w:rsidRPr="00662DF6">
        <w:rPr>
          <w:rFonts w:ascii="Arial" w:hAnsi="Arial" w:cs="Arial"/>
          <w:b/>
        </w:rPr>
        <w:t>/202</w:t>
      </w:r>
      <w:r w:rsidR="00662DF6">
        <w:rPr>
          <w:rFonts w:ascii="Arial" w:hAnsi="Arial" w:cs="Arial"/>
          <w:b/>
        </w:rPr>
        <w:t>5</w:t>
      </w:r>
      <w:r w:rsidRPr="00662DF6">
        <w:rPr>
          <w:rFonts w:ascii="Arial" w:hAnsi="Arial" w:cs="Arial"/>
          <w:b/>
        </w:rPr>
        <w:t xml:space="preserve"> </w:t>
      </w:r>
      <w:r>
        <w:rPr>
          <w:rFonts w:ascii="Arial" w:hAnsi="Arial" w:cs="Arial"/>
        </w:rPr>
        <w:t xml:space="preserve">manifiesta </w:t>
      </w:r>
      <w:r w:rsidR="006F3DBB">
        <w:rPr>
          <w:rFonts w:ascii="Arial" w:hAnsi="Arial" w:cs="Arial"/>
        </w:rPr>
        <w:t xml:space="preserve">contar con la obligación establecida en </w:t>
      </w:r>
      <w:r>
        <w:rPr>
          <w:rFonts w:ascii="Arial" w:hAnsi="Arial" w:cs="Arial"/>
        </w:rPr>
        <w:t xml:space="preserve">el supuesto del artículo </w:t>
      </w:r>
      <w:r w:rsidR="00376B01">
        <w:rPr>
          <w:rFonts w:ascii="Arial" w:hAnsi="Arial" w:cs="Arial"/>
        </w:rPr>
        <w:t>120</w:t>
      </w:r>
      <w:r>
        <w:rPr>
          <w:rFonts w:ascii="Arial" w:hAnsi="Arial" w:cs="Arial"/>
        </w:rPr>
        <w:t xml:space="preserve"> fracción</w:t>
      </w:r>
      <w:r w:rsidR="00376B01">
        <w:rPr>
          <w:rFonts w:ascii="Arial" w:hAnsi="Arial" w:cs="Arial"/>
        </w:rPr>
        <w:t xml:space="preserve"> I</w:t>
      </w:r>
      <w:r w:rsidR="006F3DBB">
        <w:rPr>
          <w:rFonts w:ascii="Arial" w:hAnsi="Arial" w:cs="Arial"/>
        </w:rPr>
        <w:t>II</w:t>
      </w:r>
      <w:r>
        <w:rPr>
          <w:rFonts w:ascii="Arial" w:hAnsi="Arial" w:cs="Arial"/>
        </w:rPr>
        <w:t xml:space="preserve"> de la LTAIPSLP, es decir, </w:t>
      </w:r>
      <w:r w:rsidR="006F3DBB">
        <w:rPr>
          <w:rFonts w:ascii="Arial" w:hAnsi="Arial" w:cs="Arial"/>
        </w:rPr>
        <w:t xml:space="preserve">deberá de publicar la información en versión pública de las declaraciones, de situación patrimonial, fiscal y de interés de los servidores públicos recibidas en el mes de </w:t>
      </w:r>
      <w:r w:rsidR="00F6247F">
        <w:rPr>
          <w:rFonts w:ascii="Arial" w:hAnsi="Arial" w:cs="Arial"/>
          <w:b/>
        </w:rPr>
        <w:t>enero</w:t>
      </w:r>
      <w:r w:rsidR="006F3DBB">
        <w:rPr>
          <w:rFonts w:ascii="Arial" w:hAnsi="Arial" w:cs="Arial"/>
        </w:rPr>
        <w:t xml:space="preserve"> </w:t>
      </w:r>
      <w:r w:rsidR="006F3DBB" w:rsidRPr="00662DF6">
        <w:rPr>
          <w:rFonts w:ascii="Arial" w:hAnsi="Arial" w:cs="Arial"/>
          <w:b/>
        </w:rPr>
        <w:t>202</w:t>
      </w:r>
      <w:r w:rsidR="00F6247F">
        <w:rPr>
          <w:rFonts w:ascii="Arial" w:hAnsi="Arial" w:cs="Arial"/>
          <w:b/>
        </w:rPr>
        <w:t>6</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b/>
        </w:rPr>
        <w:t>II.</w:t>
      </w:r>
      <w:r>
        <w:rPr>
          <w:rFonts w:ascii="Arial" w:hAnsi="Arial" w:cs="Arial"/>
        </w:rPr>
        <w:t xml:space="preserve"> </w:t>
      </w:r>
      <w:r w:rsidR="003F4878">
        <w:rPr>
          <w:rFonts w:ascii="Arial" w:hAnsi="Arial" w:cs="Arial"/>
        </w:rPr>
        <w:t xml:space="preserve">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8D7FD6">
        <w:rPr>
          <w:rFonts w:ascii="Arial" w:hAnsi="Arial" w:cs="Arial"/>
        </w:rPr>
        <w:t>,</w:t>
      </w:r>
      <w:r w:rsidR="00590B9B">
        <w:rPr>
          <w:rFonts w:ascii="Arial" w:hAnsi="Arial" w:cs="Arial"/>
        </w:rPr>
        <w:t xml:space="preserve"> </w:t>
      </w:r>
      <w:r>
        <w:rPr>
          <w:rFonts w:ascii="Arial" w:hAnsi="Arial" w:cs="Arial"/>
        </w:rPr>
        <w:t xml:space="preserve">al realizar el estudio de </w:t>
      </w:r>
      <w:r w:rsidR="006F3DBB">
        <w:rPr>
          <w:rFonts w:ascii="Arial" w:hAnsi="Arial" w:cs="Arial"/>
        </w:rPr>
        <w:t xml:space="preserve">las declaraciones </w:t>
      </w:r>
      <w:r w:rsidR="00F91CB5">
        <w:rPr>
          <w:rFonts w:ascii="Arial" w:hAnsi="Arial" w:cs="Arial"/>
        </w:rPr>
        <w:t xml:space="preserve">de </w:t>
      </w:r>
      <w:r w:rsidR="00F91CB5">
        <w:rPr>
          <w:rFonts w:ascii="Arial" w:hAnsi="Arial" w:cs="Arial"/>
          <w:b/>
        </w:rPr>
        <w:t xml:space="preserve">conclusión </w:t>
      </w:r>
      <w:r w:rsidR="00F91CB5">
        <w:rPr>
          <w:rFonts w:ascii="Arial" w:hAnsi="Arial" w:cs="Arial"/>
        </w:rPr>
        <w:t xml:space="preserve">de situación patrimonial </w:t>
      </w:r>
      <w:r w:rsidR="008275DD">
        <w:rPr>
          <w:rFonts w:ascii="Arial" w:hAnsi="Arial" w:cs="Arial"/>
          <w:b/>
        </w:rPr>
        <w:t>completas</w:t>
      </w:r>
      <w:r w:rsidR="00F91CB5">
        <w:rPr>
          <w:rFonts w:ascii="Arial" w:hAnsi="Arial" w:cs="Arial"/>
          <w:b/>
        </w:rPr>
        <w:t xml:space="preserve"> </w:t>
      </w:r>
      <w:r w:rsidR="006F3DBB">
        <w:rPr>
          <w:rFonts w:ascii="Arial" w:hAnsi="Arial" w:cs="Arial"/>
        </w:rPr>
        <w:t xml:space="preserve">que le fueron presentadas en el mes de </w:t>
      </w:r>
      <w:r w:rsidR="00F6247F">
        <w:rPr>
          <w:rFonts w:ascii="Arial" w:hAnsi="Arial" w:cs="Arial"/>
          <w:b/>
        </w:rPr>
        <w:t>enero</w:t>
      </w:r>
      <w:r w:rsidR="006F3DBB" w:rsidRPr="00662DF6">
        <w:rPr>
          <w:rFonts w:ascii="Arial" w:hAnsi="Arial" w:cs="Arial"/>
          <w:b/>
        </w:rPr>
        <w:t xml:space="preserve"> 202</w:t>
      </w:r>
      <w:r w:rsidR="00F6247F">
        <w:rPr>
          <w:rFonts w:ascii="Arial" w:hAnsi="Arial" w:cs="Arial"/>
          <w:b/>
        </w:rPr>
        <w:t>6</w:t>
      </w:r>
      <w:r w:rsidR="006F3DBB">
        <w:rPr>
          <w:rFonts w:ascii="Arial" w:hAnsi="Arial" w:cs="Arial"/>
        </w:rPr>
        <w:t xml:space="preserve">, </w:t>
      </w:r>
      <w:r>
        <w:rPr>
          <w:rFonts w:ascii="Arial" w:hAnsi="Arial" w:cs="Arial"/>
        </w:rPr>
        <w:t xml:space="preserve">advierte que la información </w:t>
      </w:r>
      <w:r w:rsidR="006F3DBB">
        <w:rPr>
          <w:rFonts w:ascii="Arial" w:hAnsi="Arial" w:cs="Arial"/>
        </w:rPr>
        <w:t xml:space="preserve">guarda relevancia con los acuerdos de reserva </w:t>
      </w:r>
      <w:r w:rsidR="006F3DBB" w:rsidRPr="00662DF6">
        <w:rPr>
          <w:rFonts w:ascii="Arial" w:hAnsi="Arial" w:cs="Arial"/>
          <w:b/>
        </w:rPr>
        <w:t>AR/</w:t>
      </w:r>
      <w:r w:rsidR="00F6247F">
        <w:rPr>
          <w:rFonts w:ascii="Arial" w:hAnsi="Arial" w:cs="Arial"/>
          <w:b/>
        </w:rPr>
        <w:t>01</w:t>
      </w:r>
      <w:r w:rsidR="006F3DBB" w:rsidRPr="00662DF6">
        <w:rPr>
          <w:rFonts w:ascii="Arial" w:hAnsi="Arial" w:cs="Arial"/>
          <w:b/>
        </w:rPr>
        <w:t>/202</w:t>
      </w:r>
      <w:r w:rsidR="00F6247F">
        <w:rPr>
          <w:rFonts w:ascii="Arial" w:hAnsi="Arial" w:cs="Arial"/>
          <w:b/>
        </w:rPr>
        <w:t>6</w:t>
      </w:r>
      <w:r w:rsidR="006F3DBB">
        <w:rPr>
          <w:rFonts w:ascii="Arial" w:hAnsi="Arial" w:cs="Arial"/>
        </w:rPr>
        <w:t xml:space="preserve"> emitidos por el </w:t>
      </w:r>
      <w:r w:rsidR="006F3DBB" w:rsidRPr="00662DF6">
        <w:rPr>
          <w:rFonts w:ascii="Arial" w:hAnsi="Arial" w:cs="Arial"/>
          <w:b/>
        </w:rPr>
        <w:t xml:space="preserve">director </w:t>
      </w:r>
      <w:r w:rsidR="00662DF6" w:rsidRPr="00662DF6">
        <w:rPr>
          <w:rFonts w:ascii="Arial" w:hAnsi="Arial" w:cs="Arial"/>
          <w:b/>
        </w:rPr>
        <w:t>G</w:t>
      </w:r>
      <w:r w:rsidR="006F3DBB" w:rsidRPr="00662DF6">
        <w:rPr>
          <w:rFonts w:ascii="Arial" w:hAnsi="Arial" w:cs="Arial"/>
          <w:b/>
        </w:rPr>
        <w:t xml:space="preserve">eneral de </w:t>
      </w:r>
      <w:r w:rsidR="00662DF6" w:rsidRPr="00662DF6">
        <w:rPr>
          <w:rFonts w:ascii="Arial" w:hAnsi="Arial" w:cs="Arial"/>
          <w:b/>
        </w:rPr>
        <w:t>A</w:t>
      </w:r>
      <w:r w:rsidR="006F3DBB" w:rsidRPr="00662DF6">
        <w:rPr>
          <w:rFonts w:ascii="Arial" w:hAnsi="Arial" w:cs="Arial"/>
          <w:b/>
        </w:rPr>
        <w:t>dministración</w:t>
      </w:r>
      <w:r>
        <w:rPr>
          <w:rFonts w:ascii="Arial" w:hAnsi="Arial" w:cs="Arial"/>
        </w:rPr>
        <w:t>.</w:t>
      </w:r>
    </w:p>
    <w:p w:rsidR="00B51013" w:rsidRPr="00D90F51" w:rsidRDefault="00B51013" w:rsidP="004A324C">
      <w:pPr>
        <w:jc w:val="both"/>
        <w:rPr>
          <w:rFonts w:ascii="Arial" w:hAnsi="Arial" w:cs="Arial"/>
        </w:rPr>
      </w:pPr>
    </w:p>
    <w:p w:rsidR="00BF3665" w:rsidRPr="00044847" w:rsidRDefault="009819AE" w:rsidP="004A324C">
      <w:pPr>
        <w:jc w:val="both"/>
        <w:rPr>
          <w:rFonts w:ascii="Arial" w:hAnsi="Arial" w:cs="Arial"/>
        </w:rPr>
      </w:pPr>
      <w:r w:rsidRPr="00D90F51">
        <w:rPr>
          <w:rFonts w:ascii="Arial" w:hAnsi="Arial" w:cs="Arial"/>
          <w:b/>
        </w:rPr>
        <w:t>III.</w:t>
      </w:r>
      <w:r w:rsidRPr="00D90F51">
        <w:rPr>
          <w:rFonts w:ascii="Arial" w:hAnsi="Arial" w:cs="Arial"/>
        </w:rPr>
        <w:t xml:space="preserve"> </w:t>
      </w:r>
      <w:r w:rsidR="003F4878">
        <w:rPr>
          <w:rFonts w:ascii="Arial" w:hAnsi="Arial" w:cs="Arial"/>
        </w:rPr>
        <w:t>D</w:t>
      </w:r>
      <w:r w:rsidR="006F3DBB">
        <w:rPr>
          <w:rFonts w:ascii="Arial" w:hAnsi="Arial" w:cs="Arial"/>
        </w:rPr>
        <w:t>el estudio citado en el párrafo que antecede e</w:t>
      </w:r>
      <w:r w:rsidR="00376B01">
        <w:rPr>
          <w:rFonts w:ascii="Arial" w:hAnsi="Arial" w:cs="Arial"/>
        </w:rPr>
        <w:t xml:space="preserve">l </w:t>
      </w:r>
      <w:r w:rsidR="00C24991">
        <w:rPr>
          <w:rFonts w:ascii="Arial" w:hAnsi="Arial" w:cs="Arial"/>
        </w:rPr>
        <w:t>d</w:t>
      </w:r>
      <w:r w:rsidR="003F4878">
        <w:rPr>
          <w:rFonts w:ascii="Arial" w:hAnsi="Arial" w:cs="Arial"/>
        </w:rPr>
        <w:t>octor Jesús Rafael Rodríguez López</w:t>
      </w:r>
      <w:r w:rsidR="006F3DBB">
        <w:rPr>
          <w:rFonts w:ascii="Arial" w:hAnsi="Arial" w:cs="Arial"/>
        </w:rPr>
        <w:t xml:space="preserve">, titular del </w:t>
      </w:r>
      <w:r w:rsidR="0031213A">
        <w:rPr>
          <w:rFonts w:ascii="Arial" w:hAnsi="Arial" w:cs="Arial"/>
        </w:rPr>
        <w:t>Órgano Interno de Control</w:t>
      </w:r>
      <w:r w:rsidR="00376B01">
        <w:rPr>
          <w:rFonts w:ascii="Arial" w:hAnsi="Arial" w:cs="Arial"/>
        </w:rPr>
        <w:t xml:space="preserve"> emite el acuerdo de reserva </w:t>
      </w:r>
      <w:r w:rsidR="008D7FD6">
        <w:rPr>
          <w:rFonts w:ascii="Arial" w:hAnsi="Arial" w:cs="Arial"/>
          <w:b/>
        </w:rPr>
        <w:t>total</w:t>
      </w:r>
      <w:r w:rsidR="00376B01">
        <w:rPr>
          <w:rFonts w:ascii="Arial" w:hAnsi="Arial" w:cs="Arial"/>
        </w:rPr>
        <w:t xml:space="preserve"> número </w:t>
      </w:r>
      <w:r w:rsidR="008D7FD6" w:rsidRPr="00662DF6">
        <w:rPr>
          <w:rFonts w:ascii="Arial" w:hAnsi="Arial" w:cs="Arial"/>
          <w:b/>
        </w:rPr>
        <w:t>AR/</w:t>
      </w:r>
      <w:r w:rsidR="00F6247F">
        <w:rPr>
          <w:rFonts w:ascii="Arial" w:hAnsi="Arial" w:cs="Arial"/>
          <w:b/>
        </w:rPr>
        <w:t>04</w:t>
      </w:r>
      <w:r w:rsidR="00590B9B" w:rsidRPr="00662DF6">
        <w:rPr>
          <w:rFonts w:ascii="Arial" w:hAnsi="Arial" w:cs="Arial"/>
          <w:b/>
        </w:rPr>
        <w:t>/202</w:t>
      </w:r>
      <w:r w:rsidR="00F6247F">
        <w:rPr>
          <w:rFonts w:ascii="Arial" w:hAnsi="Arial" w:cs="Arial"/>
          <w:b/>
        </w:rPr>
        <w:t>6</w:t>
      </w:r>
      <w:r w:rsidR="00376B01">
        <w:rPr>
          <w:rFonts w:ascii="Arial" w:hAnsi="Arial" w:cs="Arial"/>
        </w:rPr>
        <w:t>.</w:t>
      </w:r>
    </w:p>
    <w:p w:rsidR="007D4996" w:rsidRDefault="007D4996" w:rsidP="004A324C">
      <w:pPr>
        <w:jc w:val="both"/>
        <w:rPr>
          <w:rFonts w:ascii="Arial" w:hAnsi="Arial" w:cs="Arial"/>
          <w:shd w:val="clear" w:color="auto" w:fill="FFFFFF"/>
        </w:rPr>
      </w:pPr>
    </w:p>
    <w:p w:rsidR="00480799" w:rsidRDefault="00480799" w:rsidP="004A324C">
      <w:pPr>
        <w:jc w:val="center"/>
        <w:rPr>
          <w:rFonts w:ascii="Arial" w:hAnsi="Arial" w:cs="Arial"/>
          <w:b/>
        </w:rPr>
      </w:pPr>
    </w:p>
    <w:p w:rsidR="00BF3665" w:rsidRDefault="009819AE" w:rsidP="004A324C">
      <w:pPr>
        <w:jc w:val="center"/>
        <w:rPr>
          <w:rFonts w:ascii="Arial" w:hAnsi="Arial" w:cs="Arial"/>
          <w:b/>
        </w:rPr>
      </w:pPr>
      <w:r>
        <w:rPr>
          <w:rFonts w:ascii="Arial" w:hAnsi="Arial" w:cs="Arial"/>
          <w:b/>
        </w:rPr>
        <w:t>CONSIDERANDO</w:t>
      </w:r>
    </w:p>
    <w:p w:rsidR="00B11FCD" w:rsidRDefault="00B11FCD" w:rsidP="004A324C">
      <w:pPr>
        <w:jc w:val="center"/>
        <w:rPr>
          <w:rFonts w:ascii="Arial" w:hAnsi="Arial" w:cs="Arial"/>
          <w:b/>
        </w:rPr>
      </w:pPr>
    </w:p>
    <w:p w:rsidR="00BF3665" w:rsidRDefault="009819AE" w:rsidP="004A324C">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B51013" w:rsidRDefault="00B51013" w:rsidP="004A324C">
      <w:pPr>
        <w:jc w:val="both"/>
        <w:rPr>
          <w:rFonts w:ascii="Arial" w:hAnsi="Arial" w:cs="Arial"/>
        </w:rPr>
      </w:pPr>
    </w:p>
    <w:p w:rsidR="00BF3665" w:rsidRDefault="009819AE" w:rsidP="004A324C">
      <w:pPr>
        <w:jc w:val="both"/>
        <w:rPr>
          <w:rFonts w:ascii="Arial" w:hAnsi="Arial" w:cs="Arial"/>
        </w:rPr>
      </w:pPr>
      <w:r>
        <w:rPr>
          <w:rFonts w:ascii="Arial" w:hAnsi="Arial" w:cs="Arial"/>
        </w:rPr>
        <w:t>E</w:t>
      </w:r>
      <w:r w:rsidR="00995ED3">
        <w:rPr>
          <w:rFonts w:ascii="Arial" w:hAnsi="Arial" w:cs="Arial"/>
        </w:rPr>
        <w:t>l</w:t>
      </w:r>
      <w:r>
        <w:rPr>
          <w:rFonts w:ascii="Arial" w:hAnsi="Arial" w:cs="Arial"/>
        </w:rPr>
        <w:t xml:space="preserve"> Comité de Transparencia es competente para determinar sobre la confirmación, modificación o revocación del </w:t>
      </w:r>
      <w:r w:rsidR="00376B01" w:rsidRPr="008D7FD6">
        <w:rPr>
          <w:rFonts w:ascii="Arial" w:hAnsi="Arial" w:cs="Arial"/>
        </w:rPr>
        <w:t>a</w:t>
      </w:r>
      <w:r w:rsidRPr="008D7FD6">
        <w:rPr>
          <w:rFonts w:ascii="Arial" w:hAnsi="Arial" w:cs="Arial"/>
        </w:rPr>
        <w:t xml:space="preserve">cuerdo de </w:t>
      </w:r>
      <w:r w:rsidR="00376B01" w:rsidRPr="008D7FD6">
        <w:rPr>
          <w:rFonts w:ascii="Arial" w:hAnsi="Arial" w:cs="Arial"/>
        </w:rPr>
        <w:t>r</w:t>
      </w:r>
      <w:r w:rsidRPr="008D7FD6">
        <w:rPr>
          <w:rFonts w:ascii="Arial" w:hAnsi="Arial" w:cs="Arial"/>
        </w:rPr>
        <w:t>eserva</w:t>
      </w:r>
      <w:r>
        <w:rPr>
          <w:rFonts w:ascii="Arial" w:hAnsi="Arial" w:cs="Arial"/>
          <w:b/>
        </w:rPr>
        <w:t xml:space="preserve"> </w:t>
      </w:r>
      <w:r w:rsidR="008D7FD6">
        <w:rPr>
          <w:rFonts w:ascii="Arial" w:hAnsi="Arial" w:cs="Arial"/>
          <w:b/>
        </w:rPr>
        <w:t>total</w:t>
      </w:r>
      <w:r>
        <w:rPr>
          <w:rFonts w:ascii="Arial" w:hAnsi="Arial" w:cs="Arial"/>
        </w:rPr>
        <w:t xml:space="preserve"> número </w:t>
      </w:r>
      <w:r w:rsidR="006F7D0F">
        <w:rPr>
          <w:rFonts w:ascii="Arial" w:hAnsi="Arial" w:cs="Arial"/>
          <w:b/>
        </w:rPr>
        <w:t>AR/</w:t>
      </w:r>
      <w:r w:rsidR="00F6247F">
        <w:rPr>
          <w:rFonts w:ascii="Arial" w:hAnsi="Arial" w:cs="Arial"/>
          <w:b/>
        </w:rPr>
        <w:t>04</w:t>
      </w:r>
      <w:r w:rsidR="006F7D0F">
        <w:rPr>
          <w:rFonts w:ascii="Arial" w:hAnsi="Arial" w:cs="Arial"/>
          <w:b/>
        </w:rPr>
        <w:t>/202</w:t>
      </w:r>
      <w:r w:rsidR="00F6247F">
        <w:rPr>
          <w:rFonts w:ascii="Arial" w:hAnsi="Arial" w:cs="Arial"/>
          <w:b/>
        </w:rPr>
        <w:t>6</w:t>
      </w:r>
      <w:r>
        <w:rPr>
          <w:rFonts w:ascii="Arial" w:hAnsi="Arial" w:cs="Arial"/>
          <w:b/>
        </w:rPr>
        <w:t>,</w:t>
      </w:r>
      <w:r>
        <w:rPr>
          <w:rFonts w:ascii="Arial" w:hAnsi="Arial" w:cs="Arial"/>
        </w:rPr>
        <w:t xml:space="preserve"> por lo que se </w:t>
      </w:r>
      <w:r w:rsidR="00376B01">
        <w:rPr>
          <w:rFonts w:ascii="Arial" w:hAnsi="Arial" w:cs="Arial"/>
        </w:rPr>
        <w:t>sometió</w:t>
      </w:r>
      <w:r>
        <w:rPr>
          <w:rFonts w:ascii="Arial" w:hAnsi="Arial" w:cs="Arial"/>
        </w:rPr>
        <w:t xml:space="preserve"> a consideración</w:t>
      </w:r>
      <w:r w:rsidR="00376B01">
        <w:rPr>
          <w:rFonts w:ascii="Arial" w:hAnsi="Arial" w:cs="Arial"/>
        </w:rPr>
        <w:t xml:space="preserve"> del </w:t>
      </w:r>
      <w:r w:rsidR="008D7FD6">
        <w:rPr>
          <w:rFonts w:ascii="Arial" w:hAnsi="Arial" w:cs="Arial"/>
        </w:rPr>
        <w:t>c</w:t>
      </w:r>
      <w:r w:rsidR="00376B01">
        <w:rPr>
          <w:rFonts w:ascii="Arial" w:hAnsi="Arial" w:cs="Arial"/>
        </w:rPr>
        <w:t>olegiado</w:t>
      </w:r>
      <w:r>
        <w:rPr>
          <w:rFonts w:ascii="Arial" w:hAnsi="Arial" w:cs="Arial"/>
        </w:rPr>
        <w:t xml:space="preserve"> en términos de lo dispuesto por los artículos 51, 52, fracción II de la LTAIPSLP, </w:t>
      </w:r>
      <w:r w:rsidR="008D7FD6">
        <w:rPr>
          <w:rFonts w:ascii="Arial" w:hAnsi="Arial" w:cs="Arial"/>
        </w:rPr>
        <w:t>l</w:t>
      </w:r>
      <w:r>
        <w:rPr>
          <w:rFonts w:ascii="Arial" w:hAnsi="Arial" w:cs="Arial"/>
        </w:rPr>
        <w:t xml:space="preserve">ineamiento </w:t>
      </w:r>
      <w:r w:rsidR="008D7FD6">
        <w:rPr>
          <w:rFonts w:ascii="Arial" w:hAnsi="Arial" w:cs="Arial"/>
        </w:rPr>
        <w:t>s</w:t>
      </w:r>
      <w:r>
        <w:rPr>
          <w:rFonts w:ascii="Arial" w:hAnsi="Arial" w:cs="Arial"/>
        </w:rPr>
        <w:t xml:space="preserve">egundo fracción III de los LGCDIEVP, artículo </w:t>
      </w:r>
      <w:r w:rsidR="008D7FD6">
        <w:rPr>
          <w:rFonts w:ascii="Arial" w:hAnsi="Arial" w:cs="Arial"/>
        </w:rPr>
        <w:t>t</w:t>
      </w:r>
      <w:r>
        <w:rPr>
          <w:rFonts w:ascii="Arial" w:hAnsi="Arial" w:cs="Arial"/>
        </w:rPr>
        <w:t xml:space="preserve">ercero del </w:t>
      </w:r>
      <w:r w:rsidR="005B0E50">
        <w:rPr>
          <w:rFonts w:ascii="Arial" w:hAnsi="Arial" w:cs="Arial"/>
        </w:rPr>
        <w:t>a</w:t>
      </w:r>
      <w:r>
        <w:rPr>
          <w:rFonts w:ascii="Arial" w:hAnsi="Arial" w:cs="Arial"/>
        </w:rPr>
        <w:t xml:space="preserve">cuerdo </w:t>
      </w:r>
      <w:r w:rsidR="005B0E50">
        <w:rPr>
          <w:rFonts w:ascii="Arial" w:hAnsi="Arial" w:cs="Arial"/>
        </w:rPr>
        <w:t>g</w:t>
      </w:r>
      <w:r>
        <w:rPr>
          <w:rFonts w:ascii="Arial" w:hAnsi="Arial" w:cs="Arial"/>
        </w:rPr>
        <w:t>eneral número AG/003/2023, así como</w:t>
      </w:r>
      <w:r w:rsidR="008D7FD6">
        <w:rPr>
          <w:rFonts w:ascii="Arial" w:hAnsi="Arial" w:cs="Arial"/>
        </w:rPr>
        <w:t>,</w:t>
      </w:r>
      <w:r>
        <w:rPr>
          <w:rFonts w:ascii="Arial" w:hAnsi="Arial" w:cs="Arial"/>
        </w:rPr>
        <w:t xml:space="preserve"> acuerdo general AG/011/2020.</w:t>
      </w:r>
    </w:p>
    <w:p w:rsidR="005B0E50" w:rsidRDefault="005B0E50" w:rsidP="004A324C">
      <w:pPr>
        <w:jc w:val="both"/>
        <w:rPr>
          <w:rFonts w:ascii="Arial" w:hAnsi="Arial" w:cs="Arial"/>
        </w:rPr>
      </w:pPr>
    </w:p>
    <w:p w:rsidR="005117B5" w:rsidRDefault="005117B5" w:rsidP="004A324C">
      <w:pPr>
        <w:jc w:val="both"/>
        <w:rPr>
          <w:rFonts w:ascii="Arial" w:hAnsi="Arial" w:cs="Arial"/>
          <w:b/>
        </w:rPr>
      </w:pPr>
      <w:r w:rsidRPr="005117B5">
        <w:rPr>
          <w:rFonts w:ascii="Arial" w:hAnsi="Arial" w:cs="Arial"/>
          <w:b/>
        </w:rPr>
        <w:t xml:space="preserve">SEGUNDO. Análisis. </w:t>
      </w:r>
    </w:p>
    <w:p w:rsidR="00376B01" w:rsidRPr="005117B5" w:rsidRDefault="00376B01" w:rsidP="004A324C">
      <w:pPr>
        <w:jc w:val="both"/>
        <w:rPr>
          <w:rFonts w:ascii="Arial" w:hAnsi="Arial" w:cs="Arial"/>
        </w:rPr>
      </w:pPr>
    </w:p>
    <w:p w:rsidR="005117B5" w:rsidRPr="005117B5" w:rsidRDefault="005117B5" w:rsidP="004A324C">
      <w:pPr>
        <w:jc w:val="both"/>
        <w:rPr>
          <w:rFonts w:ascii="Arial" w:hAnsi="Arial" w:cs="Arial"/>
        </w:rPr>
      </w:pPr>
      <w:r w:rsidRPr="005117B5">
        <w:rPr>
          <w:rFonts w:ascii="Arial" w:hAnsi="Arial" w:cs="Arial"/>
        </w:rPr>
        <w:t xml:space="preserve">Del </w:t>
      </w:r>
      <w:r w:rsidR="00DA4A66" w:rsidRPr="007F24DE">
        <w:rPr>
          <w:rFonts w:ascii="Arial" w:hAnsi="Arial" w:cs="Arial"/>
        </w:rPr>
        <w:t>acuerdo de reserva</w:t>
      </w:r>
      <w:r w:rsidR="00DA4A66" w:rsidRPr="005117B5">
        <w:rPr>
          <w:rFonts w:ascii="Arial" w:hAnsi="Arial" w:cs="Arial"/>
          <w:b/>
        </w:rPr>
        <w:t xml:space="preserve"> </w:t>
      </w:r>
      <w:r w:rsidR="008D7FD6">
        <w:rPr>
          <w:rFonts w:ascii="Arial" w:hAnsi="Arial" w:cs="Arial"/>
          <w:b/>
        </w:rPr>
        <w:t>total</w:t>
      </w:r>
      <w:r w:rsidR="00DA4A66" w:rsidRPr="005117B5">
        <w:rPr>
          <w:rFonts w:ascii="Arial" w:hAnsi="Arial" w:cs="Arial"/>
        </w:rPr>
        <w:t xml:space="preserve"> </w:t>
      </w:r>
      <w:r w:rsidRPr="005117B5">
        <w:rPr>
          <w:rFonts w:ascii="Arial" w:hAnsi="Arial" w:cs="Arial"/>
        </w:rPr>
        <w:t xml:space="preserve">número </w:t>
      </w:r>
      <w:r w:rsidR="006F7D0F">
        <w:rPr>
          <w:rFonts w:ascii="Arial" w:hAnsi="Arial" w:cs="Arial"/>
          <w:b/>
        </w:rPr>
        <w:t>AR/</w:t>
      </w:r>
      <w:r w:rsidR="00F6247F">
        <w:rPr>
          <w:rFonts w:ascii="Arial" w:hAnsi="Arial" w:cs="Arial"/>
          <w:b/>
        </w:rPr>
        <w:t>04</w:t>
      </w:r>
      <w:r w:rsidR="006F7D0F">
        <w:rPr>
          <w:rFonts w:ascii="Arial" w:hAnsi="Arial" w:cs="Arial"/>
          <w:b/>
        </w:rPr>
        <w:t>/202</w:t>
      </w:r>
      <w:r w:rsidR="00F6247F">
        <w:rPr>
          <w:rFonts w:ascii="Arial" w:hAnsi="Arial" w:cs="Arial"/>
          <w:b/>
        </w:rPr>
        <w:t>6</w:t>
      </w:r>
      <w:r w:rsidRPr="005117B5">
        <w:rPr>
          <w:rFonts w:ascii="Arial" w:hAnsi="Arial" w:cs="Arial"/>
        </w:rPr>
        <w:t xml:space="preserve">, se advierte que el mismo contiene los requisitos mínimos establecidos por el artículo 128 de LTAIPSLP, y que a sabed son: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fuente y el archivo donde se encuentra la información;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fundamentación y motivación del acuerdo;</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lastRenderedPageBreak/>
        <w:t xml:space="preserve">El documento, la parte o las partes de los mismos, que se reservan;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El plazo por el que se reserva la información;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La designación de la autoridad responsable de su protección;</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Número de identificación del acuerdo de reserva;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 xml:space="preserve">La aplicación de la prueba del daño; </w:t>
      </w:r>
    </w:p>
    <w:p w:rsidR="005117B5" w:rsidRPr="005117B5" w:rsidRDefault="005117B5" w:rsidP="004A324C">
      <w:pPr>
        <w:pStyle w:val="Prrafodelista"/>
        <w:numPr>
          <w:ilvl w:val="0"/>
          <w:numId w:val="1"/>
        </w:numPr>
        <w:jc w:val="both"/>
        <w:rPr>
          <w:rFonts w:ascii="Arial" w:hAnsi="Arial" w:cs="Arial"/>
        </w:rPr>
      </w:pPr>
      <w:r w:rsidRPr="005117B5">
        <w:rPr>
          <w:rFonts w:ascii="Arial" w:hAnsi="Arial" w:cs="Arial"/>
        </w:rPr>
        <w:t>Fecha del acuerdo de clasificación.</w:t>
      </w:r>
    </w:p>
    <w:p w:rsidR="005117B5" w:rsidRPr="005117B5" w:rsidRDefault="005117B5" w:rsidP="004A324C">
      <w:pPr>
        <w:jc w:val="both"/>
        <w:rPr>
          <w:rFonts w:ascii="Arial" w:hAnsi="Arial" w:cs="Arial"/>
        </w:rPr>
      </w:pPr>
    </w:p>
    <w:p w:rsidR="00E17D56" w:rsidRDefault="00842F00" w:rsidP="004A324C">
      <w:pPr>
        <w:jc w:val="both"/>
        <w:rPr>
          <w:rFonts w:ascii="Arial" w:hAnsi="Arial" w:cs="Arial"/>
        </w:rPr>
      </w:pPr>
      <w:r w:rsidRPr="0096658D">
        <w:rPr>
          <w:rFonts w:ascii="Arial" w:hAnsi="Arial" w:cs="Arial"/>
        </w:rPr>
        <w:t xml:space="preserve">Dichos requisitos se encuentran concatenados a los lineamientos </w:t>
      </w:r>
      <w:r w:rsidR="008D7FD6">
        <w:rPr>
          <w:rFonts w:ascii="Arial" w:hAnsi="Arial" w:cs="Arial"/>
        </w:rPr>
        <w:t>o</w:t>
      </w:r>
      <w:r w:rsidRPr="0096658D">
        <w:rPr>
          <w:rFonts w:ascii="Arial" w:hAnsi="Arial" w:cs="Arial"/>
        </w:rPr>
        <w:t xml:space="preserve">ctavo, </w:t>
      </w:r>
      <w:r w:rsidR="008D7FD6">
        <w:rPr>
          <w:rFonts w:ascii="Arial" w:hAnsi="Arial" w:cs="Arial"/>
        </w:rPr>
        <w:t>d</w:t>
      </w:r>
      <w:r w:rsidRPr="0096658D">
        <w:rPr>
          <w:rFonts w:ascii="Arial" w:hAnsi="Arial" w:cs="Arial"/>
        </w:rPr>
        <w:t xml:space="preserve">écimo </w:t>
      </w:r>
      <w:r w:rsidR="008D7FD6">
        <w:rPr>
          <w:rFonts w:ascii="Arial" w:hAnsi="Arial" w:cs="Arial"/>
        </w:rPr>
        <w:t>s</w:t>
      </w:r>
      <w:r w:rsidRPr="0096658D">
        <w:rPr>
          <w:rFonts w:ascii="Arial" w:hAnsi="Arial" w:cs="Arial"/>
        </w:rPr>
        <w:t>éptimo</w:t>
      </w:r>
      <w:r w:rsidR="008D7FD6">
        <w:rPr>
          <w:rFonts w:ascii="Arial" w:hAnsi="Arial" w:cs="Arial"/>
        </w:rPr>
        <w:t>,</w:t>
      </w:r>
      <w:r w:rsidRPr="0096658D">
        <w:rPr>
          <w:rFonts w:ascii="Arial" w:hAnsi="Arial" w:cs="Arial"/>
        </w:rPr>
        <w:t xml:space="preserve"> </w:t>
      </w:r>
      <w:r w:rsidR="008D7FD6">
        <w:rPr>
          <w:rFonts w:ascii="Arial" w:hAnsi="Arial" w:cs="Arial"/>
        </w:rPr>
        <w:t>d</w:t>
      </w:r>
      <w:r w:rsidRPr="0096658D">
        <w:rPr>
          <w:rFonts w:ascii="Arial" w:hAnsi="Arial" w:cs="Arial"/>
        </w:rPr>
        <w:t xml:space="preserve">écimo </w:t>
      </w:r>
      <w:r w:rsidR="008D7FD6">
        <w:rPr>
          <w:rFonts w:ascii="Arial" w:hAnsi="Arial" w:cs="Arial"/>
        </w:rPr>
        <w:t>o</w:t>
      </w:r>
      <w:r w:rsidRPr="0096658D">
        <w:rPr>
          <w:rFonts w:ascii="Arial" w:hAnsi="Arial" w:cs="Arial"/>
        </w:rPr>
        <w:t>ctavo</w:t>
      </w:r>
      <w:r w:rsidR="008D7FD6">
        <w:rPr>
          <w:rFonts w:ascii="Arial" w:hAnsi="Arial" w:cs="Arial"/>
        </w:rPr>
        <w:t>,</w:t>
      </w:r>
      <w:r w:rsidRPr="0096658D">
        <w:rPr>
          <w:rFonts w:ascii="Arial" w:hAnsi="Arial" w:cs="Arial"/>
        </w:rPr>
        <w:t xml:space="preserve"> </w:t>
      </w:r>
      <w:r w:rsidR="008D7FD6">
        <w:rPr>
          <w:rFonts w:ascii="Arial" w:hAnsi="Arial" w:cs="Arial"/>
        </w:rPr>
        <w:t>v</w:t>
      </w:r>
      <w:r w:rsidRPr="0096658D">
        <w:rPr>
          <w:rFonts w:ascii="Arial" w:hAnsi="Arial" w:cs="Arial"/>
        </w:rPr>
        <w:t xml:space="preserve">igésimo </w:t>
      </w:r>
      <w:r w:rsidR="008D7FD6">
        <w:rPr>
          <w:rFonts w:ascii="Arial" w:hAnsi="Arial" w:cs="Arial"/>
        </w:rPr>
        <w:t>t</w:t>
      </w:r>
      <w:r w:rsidRPr="0096658D">
        <w:rPr>
          <w:rFonts w:ascii="Arial" w:hAnsi="Arial" w:cs="Arial"/>
        </w:rPr>
        <w:t xml:space="preserve">ercero, </w:t>
      </w:r>
      <w:r w:rsidR="008D7FD6">
        <w:rPr>
          <w:rFonts w:ascii="Arial" w:hAnsi="Arial" w:cs="Arial"/>
        </w:rPr>
        <w:t>t</w:t>
      </w:r>
      <w:r w:rsidRPr="0096658D">
        <w:rPr>
          <w:rFonts w:ascii="Arial" w:hAnsi="Arial" w:cs="Arial"/>
        </w:rPr>
        <w:t xml:space="preserve">rigésimo primero, </w:t>
      </w:r>
      <w:r w:rsidR="008D7FD6">
        <w:rPr>
          <w:rFonts w:ascii="Arial" w:hAnsi="Arial" w:cs="Arial"/>
        </w:rPr>
        <w:t>t</w:t>
      </w:r>
      <w:r w:rsidRPr="0096658D">
        <w:rPr>
          <w:rFonts w:ascii="Arial" w:hAnsi="Arial" w:cs="Arial"/>
        </w:rPr>
        <w:t xml:space="preserve">rigésimo segundo, </w:t>
      </w:r>
      <w:r w:rsidR="008D7FD6">
        <w:rPr>
          <w:rFonts w:ascii="Arial" w:hAnsi="Arial" w:cs="Arial"/>
        </w:rPr>
        <w:t>t</w:t>
      </w:r>
      <w:r w:rsidRPr="0096658D">
        <w:rPr>
          <w:rFonts w:ascii="Arial" w:hAnsi="Arial" w:cs="Arial"/>
        </w:rPr>
        <w:t xml:space="preserve">rigésimo </w:t>
      </w:r>
      <w:r w:rsidR="008D7FD6">
        <w:rPr>
          <w:rFonts w:ascii="Arial" w:hAnsi="Arial" w:cs="Arial"/>
        </w:rPr>
        <w:t>t</w:t>
      </w:r>
      <w:r w:rsidRPr="0096658D">
        <w:rPr>
          <w:rFonts w:ascii="Arial" w:hAnsi="Arial" w:cs="Arial"/>
        </w:rPr>
        <w:t xml:space="preserve">ercero, y </w:t>
      </w:r>
      <w:r w:rsidR="008D7FD6">
        <w:rPr>
          <w:rFonts w:ascii="Arial" w:hAnsi="Arial" w:cs="Arial"/>
        </w:rPr>
        <w:t>t</w:t>
      </w:r>
      <w:r w:rsidRPr="0096658D">
        <w:rPr>
          <w:rFonts w:ascii="Arial" w:hAnsi="Arial" w:cs="Arial"/>
        </w:rPr>
        <w:t xml:space="preserve">rigésimo </w:t>
      </w:r>
      <w:r w:rsidR="008D7FD6">
        <w:rPr>
          <w:rFonts w:ascii="Arial" w:hAnsi="Arial" w:cs="Arial"/>
        </w:rPr>
        <w:t>c</w:t>
      </w:r>
      <w:r w:rsidRPr="0096658D">
        <w:rPr>
          <w:rFonts w:ascii="Arial" w:hAnsi="Arial" w:cs="Arial"/>
        </w:rPr>
        <w:t>uarto de los LG</w:t>
      </w:r>
      <w:r w:rsidR="00E5019D">
        <w:rPr>
          <w:rFonts w:ascii="Arial" w:hAnsi="Arial" w:cs="Arial"/>
        </w:rPr>
        <w:t>M</w:t>
      </w:r>
      <w:r w:rsidRPr="0096658D">
        <w:rPr>
          <w:rFonts w:ascii="Arial" w:hAnsi="Arial" w:cs="Arial"/>
        </w:rPr>
        <w:t>CDIEVP</w:t>
      </w:r>
      <w:r>
        <w:rPr>
          <w:rFonts w:ascii="Arial" w:hAnsi="Arial" w:cs="Arial"/>
        </w:rPr>
        <w:t>.</w:t>
      </w:r>
    </w:p>
    <w:p w:rsidR="00B51013" w:rsidRDefault="00B51013" w:rsidP="004A324C">
      <w:pPr>
        <w:jc w:val="both"/>
        <w:rPr>
          <w:rFonts w:ascii="Arial" w:hAnsi="Arial" w:cs="Arial"/>
        </w:rPr>
      </w:pPr>
    </w:p>
    <w:p w:rsidR="00BF3665" w:rsidRDefault="009819AE" w:rsidP="004A324C">
      <w:pPr>
        <w:jc w:val="both"/>
        <w:rPr>
          <w:rFonts w:ascii="Arial" w:hAnsi="Arial" w:cs="Arial"/>
          <w:b/>
        </w:rPr>
      </w:pPr>
      <w:r>
        <w:rPr>
          <w:rFonts w:ascii="Arial" w:hAnsi="Arial" w:cs="Arial"/>
          <w:b/>
        </w:rPr>
        <w:t>TERCERO. Sentido de la resolución.</w:t>
      </w:r>
    </w:p>
    <w:p w:rsidR="001C2EAB" w:rsidRDefault="001C2EAB" w:rsidP="004A324C">
      <w:pPr>
        <w:jc w:val="both"/>
        <w:rPr>
          <w:rFonts w:ascii="Arial" w:hAnsi="Arial" w:cs="Arial"/>
        </w:rPr>
      </w:pPr>
    </w:p>
    <w:p w:rsidR="00BF3665" w:rsidRDefault="009819AE" w:rsidP="004A324C">
      <w:pPr>
        <w:pStyle w:val="Prrafodelista"/>
        <w:numPr>
          <w:ilvl w:val="0"/>
          <w:numId w:val="2"/>
        </w:numPr>
        <w:jc w:val="both"/>
        <w:rPr>
          <w:rFonts w:ascii="Arial" w:hAnsi="Arial" w:cs="Arial"/>
          <w:b/>
        </w:rPr>
      </w:pPr>
      <w:r>
        <w:rPr>
          <w:rFonts w:ascii="Arial" w:hAnsi="Arial" w:cs="Arial"/>
          <w:b/>
        </w:rPr>
        <w:t>Los motivos y razonamientos que sustenten la confirmación o modificación de la prueba de daño.</w:t>
      </w:r>
    </w:p>
    <w:p w:rsidR="005621F2" w:rsidRDefault="005621F2" w:rsidP="004A324C">
      <w:pPr>
        <w:pStyle w:val="Prrafodelista"/>
        <w:ind w:left="1080"/>
        <w:jc w:val="both"/>
        <w:rPr>
          <w:rFonts w:ascii="Arial" w:hAnsi="Arial" w:cs="Arial"/>
          <w:b/>
        </w:rPr>
      </w:pPr>
    </w:p>
    <w:p w:rsidR="003F4878" w:rsidRPr="003F4878" w:rsidRDefault="007336C3" w:rsidP="004A324C">
      <w:pPr>
        <w:autoSpaceDE w:val="0"/>
        <w:autoSpaceDN w:val="0"/>
        <w:adjustRightInd w:val="0"/>
        <w:jc w:val="both"/>
        <w:rPr>
          <w:rFonts w:ascii="Arial" w:hAnsi="Arial" w:cs="Arial"/>
          <w:b/>
        </w:rPr>
      </w:pPr>
      <w:r w:rsidRPr="003F4878">
        <w:rPr>
          <w:rFonts w:ascii="Arial" w:hAnsi="Arial" w:cs="Arial"/>
          <w:b/>
        </w:rPr>
        <w:t>Motivación.</w:t>
      </w:r>
      <w:r w:rsidR="008565C9" w:rsidRPr="003F4878">
        <w:rPr>
          <w:rFonts w:ascii="Arial" w:hAnsi="Arial" w:cs="Arial"/>
          <w:b/>
        </w:rPr>
        <w:t xml:space="preserve"> </w:t>
      </w:r>
    </w:p>
    <w:p w:rsidR="00514D65" w:rsidRDefault="00514D65"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Primero. La Dirección General de Administración emitió un acuerdo de reserva número </w:t>
      </w:r>
      <w:r w:rsidRPr="00961FA4">
        <w:rPr>
          <w:rFonts w:ascii="Arial" w:hAnsi="Arial" w:cs="Arial"/>
          <w:b/>
        </w:rPr>
        <w:t>AR/</w:t>
      </w:r>
      <w:r w:rsidR="00F6247F">
        <w:rPr>
          <w:rFonts w:ascii="Arial" w:hAnsi="Arial" w:cs="Arial"/>
          <w:b/>
        </w:rPr>
        <w:t>01</w:t>
      </w:r>
      <w:r w:rsidRPr="00961FA4">
        <w:rPr>
          <w:rFonts w:ascii="Arial" w:hAnsi="Arial" w:cs="Arial"/>
          <w:b/>
        </w:rPr>
        <w:t>/202</w:t>
      </w:r>
      <w:r w:rsidR="00F6247F">
        <w:rPr>
          <w:rFonts w:ascii="Arial" w:hAnsi="Arial" w:cs="Arial"/>
          <w:b/>
        </w:rPr>
        <w:t>6</w:t>
      </w:r>
      <w:r w:rsidRPr="003F4878">
        <w:rPr>
          <w:rFonts w:ascii="Arial" w:hAnsi="Arial" w:cs="Arial"/>
        </w:rPr>
        <w:t xml:space="preserve">, el cual fue confirmado por el Comité de Transparencia, en el cual reserva </w:t>
      </w:r>
      <w:r w:rsidR="00C24991" w:rsidRPr="003F4878">
        <w:rPr>
          <w:rFonts w:ascii="Arial" w:hAnsi="Arial" w:cs="Arial"/>
        </w:rPr>
        <w:t xml:space="preserve">nombres, primer apellido, segundo apellido, sexo y área de adscripción, </w:t>
      </w:r>
      <w:r w:rsidRPr="003F4878">
        <w:rPr>
          <w:rFonts w:ascii="Arial" w:hAnsi="Arial" w:cs="Arial"/>
        </w:rPr>
        <w:t xml:space="preserve">únicamente por lo que corresponde al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Segundo. Dentro de las obligaciones de la Fiscalía General del Estado establecidas en la Ley de Transparencia y Acceso a la Información Pública del Estado de San Luis Potosí en su artículo 84, se encuentra la señalada en la fracción XVII, La información en versión pública de las declaraciones, de situación patrimonial, fiscal y de intereses de los servidores públicos, en los sistemas habilitados para ello. </w:t>
      </w:r>
    </w:p>
    <w:p w:rsidR="003F4878" w:rsidRPr="003F4878" w:rsidRDefault="003F4878" w:rsidP="004A324C">
      <w:pPr>
        <w:jc w:val="both"/>
        <w:rPr>
          <w:rFonts w:ascii="Arial" w:hAnsi="Arial" w:cs="Arial"/>
        </w:rPr>
      </w:pPr>
    </w:p>
    <w:p w:rsidR="00C24991" w:rsidRDefault="003F4878" w:rsidP="004A324C">
      <w:pPr>
        <w:jc w:val="both"/>
        <w:rPr>
          <w:rFonts w:ascii="Arial" w:hAnsi="Arial" w:cs="Arial"/>
        </w:rPr>
      </w:pPr>
      <w:r w:rsidRPr="003F4878">
        <w:rPr>
          <w:rFonts w:ascii="Arial" w:hAnsi="Arial" w:cs="Arial"/>
        </w:rPr>
        <w:t xml:space="preserve">Tercero. </w:t>
      </w:r>
      <w:r>
        <w:rPr>
          <w:rFonts w:ascii="Arial" w:hAnsi="Arial" w:cs="Arial"/>
        </w:rPr>
        <w:t>S</w:t>
      </w:r>
      <w:r w:rsidRPr="003F4878">
        <w:rPr>
          <w:rFonts w:ascii="Arial" w:hAnsi="Arial" w:cs="Arial"/>
        </w:rPr>
        <w:t xml:space="preserve">e acuerda una </w:t>
      </w:r>
      <w:r w:rsidR="00A9088A" w:rsidRPr="003F4878">
        <w:rPr>
          <w:rFonts w:ascii="Arial" w:hAnsi="Arial" w:cs="Arial"/>
        </w:rPr>
        <w:t xml:space="preserve">reserva total </w:t>
      </w:r>
      <w:r w:rsidRPr="003F4878">
        <w:rPr>
          <w:rFonts w:ascii="Arial" w:hAnsi="Arial" w:cs="Arial"/>
        </w:rPr>
        <w:t>en relación a: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961FA4">
        <w:rPr>
          <w:rFonts w:ascii="Arial" w:hAnsi="Arial" w:cs="Arial"/>
          <w:b/>
        </w:rPr>
        <w:t xml:space="preserve"> </w:t>
      </w:r>
      <w:r w:rsidR="00961FA4" w:rsidRPr="008941EF">
        <w:rPr>
          <w:rFonts w:ascii="Arial" w:hAnsi="Arial" w:cs="Arial"/>
        </w:rPr>
        <w:t xml:space="preserve">de situación </w:t>
      </w:r>
      <w:r w:rsidRPr="008941EF">
        <w:rPr>
          <w:rFonts w:ascii="Arial" w:hAnsi="Arial" w:cs="Arial"/>
        </w:rPr>
        <w:t>patrimonial</w:t>
      </w:r>
      <w:r w:rsidRPr="003F4878">
        <w:rPr>
          <w:rFonts w:ascii="Arial" w:hAnsi="Arial" w:cs="Arial"/>
          <w:b/>
        </w:rPr>
        <w:t xml:space="preserve"> </w:t>
      </w:r>
      <w:r w:rsidR="008275DD">
        <w:rPr>
          <w:rFonts w:ascii="Arial" w:hAnsi="Arial" w:cs="Arial"/>
          <w:b/>
        </w:rPr>
        <w:t>completas</w:t>
      </w:r>
      <w:r w:rsidRPr="003F4878">
        <w:rPr>
          <w:rFonts w:ascii="Arial" w:hAnsi="Arial" w:cs="Arial"/>
        </w:rPr>
        <w:t xml:space="preserve"> presentadas en el mes de </w:t>
      </w:r>
      <w:r w:rsidR="00F6247F">
        <w:rPr>
          <w:rFonts w:ascii="Arial" w:hAnsi="Arial" w:cs="Arial"/>
          <w:b/>
        </w:rPr>
        <w:t>enero</w:t>
      </w:r>
      <w:r w:rsidR="00CE31CC">
        <w:rPr>
          <w:rFonts w:ascii="Arial" w:hAnsi="Arial" w:cs="Arial"/>
          <w:b/>
        </w:rPr>
        <w:t xml:space="preserve"> </w:t>
      </w:r>
      <w:r w:rsidRPr="003F4878">
        <w:rPr>
          <w:rFonts w:ascii="Arial" w:hAnsi="Arial" w:cs="Arial"/>
        </w:rPr>
        <w:t>de 202</w:t>
      </w:r>
      <w:r w:rsidR="00F6247F">
        <w:rPr>
          <w:rFonts w:ascii="Arial" w:hAnsi="Arial" w:cs="Arial"/>
        </w:rPr>
        <w:t>6</w:t>
      </w:r>
      <w:r w:rsidR="007C4CBF">
        <w:rPr>
          <w:rFonts w:ascii="Arial" w:hAnsi="Arial" w:cs="Arial"/>
        </w:rPr>
        <w:t xml:space="preserve"> mediante el sistema DECLARANET-FGESLP</w:t>
      </w:r>
      <w:r>
        <w:rPr>
          <w:rFonts w:ascii="Arial" w:hAnsi="Arial" w:cs="Arial"/>
        </w:rPr>
        <w:t>,</w:t>
      </w:r>
      <w:r w:rsidRPr="003F4878">
        <w:rPr>
          <w:rFonts w:ascii="Arial" w:hAnsi="Arial" w:cs="Arial"/>
        </w:rPr>
        <w:t xml:space="preserve"> del personal </w:t>
      </w:r>
      <w:r w:rsidR="00391F8E">
        <w:rPr>
          <w:rFonts w:ascii="Arial" w:hAnsi="Arial" w:cs="Arial"/>
        </w:rPr>
        <w:t xml:space="preserve">que se describe en </w:t>
      </w:r>
      <w:r w:rsidR="00391F8E">
        <w:rPr>
          <w:rFonts w:ascii="Arial" w:hAnsi="Arial" w:cs="Arial"/>
          <w:color w:val="231F20"/>
        </w:rPr>
        <w:t xml:space="preserve">el Manual de Remuneraciones para los Servidores Públicos de la Fiscalía General del Estado de San Luis Potosí, aprobado para el Ejercicio Fiscal 2025, que no realicen funciones directivas y </w:t>
      </w:r>
      <w:r w:rsidR="00391F8E">
        <w:rPr>
          <w:rFonts w:ascii="Arial" w:hAnsi="Arial" w:cs="Arial"/>
        </w:rPr>
        <w:t xml:space="preserve">que se encuentren adscrito a los Órganos Tácticos Operativos de la Fiscalía General del </w:t>
      </w:r>
      <w:r w:rsidR="00391F8E">
        <w:rPr>
          <w:rFonts w:ascii="Arial" w:hAnsi="Arial" w:cs="Arial"/>
        </w:rPr>
        <w:lastRenderedPageBreak/>
        <w:t>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sidR="00391F8E">
        <w:rPr>
          <w:rFonts w:ascii="Arial" w:hAnsi="Arial" w:cs="Arial"/>
          <w:b/>
        </w:rPr>
        <w:t xml:space="preserve"> </w:t>
      </w:r>
      <w:r w:rsidR="00391F8E">
        <w:rPr>
          <w:rFonts w:ascii="Arial" w:hAnsi="Arial" w:cs="Arial"/>
        </w:rPr>
        <w:t>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391F8E" w:rsidRDefault="00391F8E"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Por lo que una vez analizado el personal que realiza sus </w:t>
      </w:r>
      <w:r w:rsidR="00961FA4" w:rsidRPr="008941EF">
        <w:rPr>
          <w:rFonts w:ascii="Arial" w:hAnsi="Arial" w:cs="Arial"/>
        </w:rPr>
        <w:t xml:space="preserve">declaraciones </w:t>
      </w:r>
      <w:r w:rsidR="008941EF" w:rsidRPr="008941EF">
        <w:rPr>
          <w:rFonts w:ascii="Arial" w:hAnsi="Arial" w:cs="Arial"/>
        </w:rPr>
        <w:t>de</w:t>
      </w:r>
      <w:r w:rsidR="008941EF">
        <w:rPr>
          <w:rFonts w:ascii="Arial" w:hAnsi="Arial" w:cs="Arial"/>
          <w:b/>
        </w:rPr>
        <w:t xml:space="preserve"> conclusión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se advierte que entre ellos se encuentra 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w:t>
      </w:r>
      <w:r>
        <w:rPr>
          <w:rFonts w:ascii="Arial" w:hAnsi="Arial" w:cs="Arial"/>
        </w:rPr>
        <w:t xml:space="preserve">. </w:t>
      </w:r>
      <w:r w:rsidRPr="003F4878">
        <w:rPr>
          <w:rFonts w:ascii="Arial" w:hAnsi="Arial" w:cs="Arial"/>
        </w:rPr>
        <w:t xml:space="preserve">Información que se encuentra reservada mediante acuerdo </w:t>
      </w:r>
      <w:r w:rsidRPr="00961FA4">
        <w:rPr>
          <w:rFonts w:ascii="Arial" w:hAnsi="Arial" w:cs="Arial"/>
          <w:b/>
        </w:rPr>
        <w:t>AR/</w:t>
      </w:r>
      <w:r w:rsidR="00F6247F">
        <w:rPr>
          <w:rFonts w:ascii="Arial" w:hAnsi="Arial" w:cs="Arial"/>
          <w:b/>
        </w:rPr>
        <w:t>01</w:t>
      </w:r>
      <w:r w:rsidRPr="00961FA4">
        <w:rPr>
          <w:rFonts w:ascii="Arial" w:hAnsi="Arial" w:cs="Arial"/>
          <w:b/>
        </w:rPr>
        <w:t>/202</w:t>
      </w:r>
      <w:r w:rsidR="00F6247F">
        <w:rPr>
          <w:rFonts w:ascii="Arial" w:hAnsi="Arial" w:cs="Arial"/>
          <w:b/>
        </w:rPr>
        <w:t>6</w:t>
      </w:r>
      <w:r w:rsidRPr="003F4878">
        <w:rPr>
          <w:rFonts w:ascii="Arial" w:hAnsi="Arial" w:cs="Arial"/>
        </w:rPr>
        <w:t xml:space="preserve"> emitido por el Director General de Administración. </w:t>
      </w:r>
    </w:p>
    <w:p w:rsidR="003F4878" w:rsidRDefault="003F4878" w:rsidP="004A324C">
      <w:pPr>
        <w:jc w:val="both"/>
        <w:rPr>
          <w:rFonts w:ascii="Arial" w:hAnsi="Arial" w:cs="Arial"/>
        </w:rPr>
      </w:pPr>
    </w:p>
    <w:p w:rsidR="003F4878" w:rsidRDefault="00EE7429" w:rsidP="004A324C">
      <w:pPr>
        <w:jc w:val="both"/>
        <w:rPr>
          <w:rFonts w:ascii="Arial" w:hAnsi="Arial" w:cs="Arial"/>
        </w:rPr>
      </w:pPr>
      <w:r w:rsidRPr="003F4878">
        <w:rPr>
          <w:rFonts w:ascii="Arial" w:hAnsi="Arial" w:cs="Arial"/>
        </w:rPr>
        <w:t>Cuarto.</w:t>
      </w:r>
      <w:r w:rsidR="003F4878" w:rsidRPr="003F4878">
        <w:rPr>
          <w:rFonts w:ascii="Arial" w:hAnsi="Arial" w:cs="Arial"/>
        </w:rPr>
        <w:t xml:space="preserve"> El artículo 17 fracción III de la Constitución Política del Estado de San Luis Potosí, toda persona tiene derecho al acceso a la información que es garantizado por el Estado, sujetando su ejercicio a diversos principios y bases, prevaleciendo entre otros el de máxima publicidad, como criterio establecido para todas las autoridades administrativas, jurisdiccionales e incluso legislativas, responsables de garantizar el debido cumplimiento de acceso a la información pública, sin más restricciones que las debidamente establecidas conforme a derecho.</w:t>
      </w:r>
    </w:p>
    <w:p w:rsidR="00961FA4" w:rsidRPr="003F4878" w:rsidRDefault="00961FA4"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Por ello, la Ley de Transparencia y Acceso a la Información Pública, emitida en el Periódico Oficial del Estado el 9 de mayo del año 2016, reglamenta el ejercicio del derecho a la información pública y señala que debe considerarse Información pública: “la que es creada, administrada o en posesión de los sujetos obligados, exceptuando la clasificada como reservada o confidencial.”</w:t>
      </w:r>
    </w:p>
    <w:p w:rsidR="00C24991" w:rsidRPr="003F4878" w:rsidRDefault="00C24991"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Si bien, lo relatado con anterioridad establece el derecho humano al acceso a la información, también lo es que, este derecho tiene sus excepciones que se encuentran establecidas en el numeral 113 de la Ley de Transparencia en el Estado, es decir, la figura jurídica de información reservada e información confidencial. </w:t>
      </w:r>
    </w:p>
    <w:p w:rsidR="00A9088A" w:rsidRDefault="00A9088A"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 xml:space="preserve">En el caso que nos ocupa, se considera que se está ante información cuya publicación puede comprometer, por un lado, la seguridad y vida de los servidores públicos operativos y su familia </w:t>
      </w:r>
      <w:r w:rsidRPr="003F4878">
        <w:rPr>
          <w:rFonts w:ascii="Arial" w:hAnsi="Arial" w:cs="Arial"/>
        </w:rPr>
        <w:lastRenderedPageBreak/>
        <w:t>y, por el otro la procuración de justicia, esto último como función imperante en esta dependencia.</w:t>
      </w:r>
    </w:p>
    <w:p w:rsidR="003F4878" w:rsidRDefault="003F4878" w:rsidP="004A324C">
      <w:pPr>
        <w:jc w:val="both"/>
        <w:rPr>
          <w:rFonts w:ascii="Arial" w:hAnsi="Arial" w:cs="Arial"/>
        </w:rPr>
      </w:pPr>
    </w:p>
    <w:p w:rsidR="003F4878" w:rsidRPr="003F4878" w:rsidRDefault="003F4878" w:rsidP="004A324C">
      <w:pPr>
        <w:jc w:val="both"/>
        <w:rPr>
          <w:rFonts w:ascii="Arial" w:hAnsi="Arial" w:cs="Arial"/>
        </w:rPr>
      </w:pPr>
      <w:r w:rsidRPr="003F4878">
        <w:rPr>
          <w:rFonts w:ascii="Arial" w:hAnsi="Arial" w:cs="Arial"/>
        </w:rPr>
        <w:t>Y dar a conocer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961FA4" w:rsidRPr="008941EF">
        <w:rPr>
          <w:rFonts w:ascii="Arial" w:hAnsi="Arial" w:cs="Arial"/>
        </w:rPr>
        <w:t>de situación patrimonial</w:t>
      </w:r>
      <w:r w:rsidR="00961FA4">
        <w:rPr>
          <w:rFonts w:ascii="Arial" w:hAnsi="Arial" w:cs="Arial"/>
          <w:b/>
        </w:rPr>
        <w:t xml:space="preserve"> </w:t>
      </w:r>
      <w:r w:rsidR="008275DD">
        <w:rPr>
          <w:rFonts w:ascii="Arial" w:hAnsi="Arial" w:cs="Arial"/>
          <w:b/>
        </w:rPr>
        <w:t>completas</w:t>
      </w:r>
      <w:r w:rsidRPr="003F4878">
        <w:rPr>
          <w:rFonts w:ascii="Arial" w:hAnsi="Arial" w:cs="Arial"/>
        </w:rPr>
        <w:t xml:space="preserve"> contraviene lo dispuesto en el Artículo 93 Bis de la ley del Sistema de Seguridad del Estado de San Luis Potosí que rige al personal de esta Fiscalía, en el que se considera “como reservada la información contenida en todas y cada una de las bases de datos del sistema, y la información contenida en ellos, en materia de detenciones, información criminal, personal de seguridad pública…” Por lo que resulta de gran importancia la reserva de la información referente a totalidad de la información contenida en las declaraciones</w:t>
      </w:r>
      <w:r w:rsidR="008941EF">
        <w:rPr>
          <w:rFonts w:ascii="Arial" w:hAnsi="Arial" w:cs="Arial"/>
        </w:rPr>
        <w:t xml:space="preserve"> de</w:t>
      </w:r>
      <w:r w:rsidRPr="003F4878">
        <w:rPr>
          <w:rFonts w:ascii="Arial" w:hAnsi="Arial" w:cs="Arial"/>
        </w:rPr>
        <w:t xml:space="preserve"> </w:t>
      </w:r>
      <w:r w:rsidR="008941EF">
        <w:rPr>
          <w:rFonts w:ascii="Arial" w:hAnsi="Arial" w:cs="Arial"/>
          <w:b/>
        </w:rPr>
        <w:t>conclusión</w:t>
      </w:r>
      <w:r w:rsidR="00A51397">
        <w:rPr>
          <w:rFonts w:ascii="Arial" w:hAnsi="Arial" w:cs="Arial"/>
          <w:b/>
        </w:rPr>
        <w:t xml:space="preserve"> </w:t>
      </w:r>
      <w:r w:rsidR="00FC0201">
        <w:rPr>
          <w:rFonts w:ascii="Arial" w:hAnsi="Arial" w:cs="Arial"/>
          <w:b/>
        </w:rPr>
        <w:t xml:space="preserve"> </w:t>
      </w:r>
      <w:r w:rsidR="00F239B9" w:rsidRPr="008941EF">
        <w:rPr>
          <w:rFonts w:ascii="Arial" w:hAnsi="Arial" w:cs="Arial"/>
        </w:rPr>
        <w:t>de situación patrimonial</w:t>
      </w:r>
      <w:r w:rsidR="00F239B9">
        <w:rPr>
          <w:rFonts w:ascii="Arial" w:hAnsi="Arial" w:cs="Arial"/>
          <w:b/>
        </w:rPr>
        <w:t xml:space="preserve"> </w:t>
      </w:r>
      <w:r w:rsidR="008275DD">
        <w:rPr>
          <w:rFonts w:ascii="Arial" w:hAnsi="Arial" w:cs="Arial"/>
          <w:b/>
        </w:rPr>
        <w:t>completas</w:t>
      </w:r>
      <w:r w:rsidR="00F239B9" w:rsidRPr="003F4878">
        <w:rPr>
          <w:rFonts w:ascii="Arial" w:hAnsi="Arial" w:cs="Arial"/>
        </w:rPr>
        <w:t xml:space="preserve"> </w:t>
      </w:r>
      <w:r w:rsidRPr="003F4878">
        <w:rPr>
          <w:rFonts w:ascii="Arial" w:hAnsi="Arial" w:cs="Arial"/>
        </w:rPr>
        <w:t xml:space="preserve">presentadas en el mes de </w:t>
      </w:r>
      <w:r w:rsidR="00F6247F">
        <w:rPr>
          <w:rFonts w:ascii="Arial" w:hAnsi="Arial" w:cs="Arial"/>
          <w:b/>
        </w:rPr>
        <w:t>enero</w:t>
      </w:r>
      <w:r w:rsidRPr="003F4878">
        <w:rPr>
          <w:rFonts w:ascii="Arial" w:hAnsi="Arial" w:cs="Arial"/>
          <w:b/>
        </w:rPr>
        <w:t xml:space="preserve"> 202</w:t>
      </w:r>
      <w:r w:rsidR="00F6247F">
        <w:rPr>
          <w:rFonts w:ascii="Arial" w:hAnsi="Arial" w:cs="Arial"/>
          <w:b/>
        </w:rPr>
        <w:t>6</w:t>
      </w:r>
      <w:r w:rsidRPr="003F4878">
        <w:rPr>
          <w:rFonts w:ascii="Arial" w:hAnsi="Arial" w:cs="Arial"/>
        </w:rPr>
        <w:t xml:space="preserve">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w:t>
      </w:r>
      <w:r w:rsidR="00CE31CC" w:rsidRPr="003F4878">
        <w:rPr>
          <w:rFonts w:ascii="Arial" w:hAnsi="Arial" w:cs="Arial"/>
        </w:rPr>
        <w:t>Visitaduría</w:t>
      </w:r>
      <w:r w:rsidRPr="003F4878">
        <w:rPr>
          <w:rFonts w:ascii="Arial" w:hAnsi="Arial" w:cs="Arial"/>
        </w:rPr>
        <w:t xml:space="preserve">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y que desempeñan los cargos que se describieron con anterioridad. </w:t>
      </w:r>
    </w:p>
    <w:p w:rsidR="00A51397" w:rsidRDefault="00A51397" w:rsidP="004A324C">
      <w:pPr>
        <w:jc w:val="both"/>
        <w:rPr>
          <w:rFonts w:ascii="Arial" w:hAnsi="Arial" w:cs="Arial"/>
          <w:b/>
        </w:rPr>
      </w:pPr>
    </w:p>
    <w:p w:rsidR="003F4878" w:rsidRDefault="00045C57" w:rsidP="004A324C">
      <w:pPr>
        <w:jc w:val="both"/>
        <w:rPr>
          <w:rFonts w:ascii="Arial" w:hAnsi="Arial" w:cs="Arial"/>
          <w:b/>
        </w:rPr>
      </w:pPr>
      <w:r w:rsidRPr="003F4878">
        <w:rPr>
          <w:rFonts w:ascii="Arial" w:hAnsi="Arial" w:cs="Arial"/>
          <w:b/>
        </w:rPr>
        <w:t xml:space="preserve">Fundamentación. </w:t>
      </w:r>
    </w:p>
    <w:p w:rsidR="00045C57" w:rsidRDefault="00045C57" w:rsidP="004A324C">
      <w:pPr>
        <w:jc w:val="both"/>
        <w:rPr>
          <w:rFonts w:ascii="Arial" w:hAnsi="Arial" w:cs="Arial"/>
        </w:rPr>
      </w:pPr>
      <w:r>
        <w:rPr>
          <w:rFonts w:ascii="Arial" w:hAnsi="Arial" w:cs="Arial"/>
        </w:rPr>
        <w:t xml:space="preserve">La normativa que </w:t>
      </w:r>
      <w:r w:rsidR="00CC2ABF">
        <w:rPr>
          <w:rFonts w:ascii="Arial" w:hAnsi="Arial" w:cs="Arial"/>
        </w:rPr>
        <w:t>aplica</w:t>
      </w:r>
      <w:r>
        <w:rPr>
          <w:rFonts w:ascii="Arial" w:hAnsi="Arial" w:cs="Arial"/>
        </w:rPr>
        <w:t xml:space="preserve"> el </w:t>
      </w:r>
      <w:r w:rsidR="00514D65">
        <w:rPr>
          <w:rFonts w:ascii="Arial" w:hAnsi="Arial" w:cs="Arial"/>
        </w:rPr>
        <w:t>titular del órgano interno de control</w:t>
      </w:r>
      <w:r>
        <w:rPr>
          <w:rFonts w:ascii="Arial" w:hAnsi="Arial" w:cs="Arial"/>
        </w:rPr>
        <w:t xml:space="preserve"> es la correcta pues aplica los numerales 6º de la Constitución </w:t>
      </w:r>
      <w:r w:rsidR="00164F0D">
        <w:rPr>
          <w:rFonts w:ascii="Arial" w:hAnsi="Arial" w:cs="Arial"/>
        </w:rPr>
        <w:t>P</w:t>
      </w:r>
      <w:r>
        <w:rPr>
          <w:rFonts w:ascii="Arial" w:hAnsi="Arial" w:cs="Arial"/>
        </w:rPr>
        <w:t xml:space="preserve">olítica de los </w:t>
      </w:r>
      <w:r w:rsidR="00164F0D">
        <w:rPr>
          <w:rFonts w:ascii="Arial" w:hAnsi="Arial" w:cs="Arial"/>
        </w:rPr>
        <w:t>E</w:t>
      </w:r>
      <w:r>
        <w:rPr>
          <w:rFonts w:ascii="Arial" w:hAnsi="Arial" w:cs="Arial"/>
        </w:rPr>
        <w:t xml:space="preserve">stados </w:t>
      </w:r>
      <w:r w:rsidR="00164F0D">
        <w:rPr>
          <w:rFonts w:ascii="Arial" w:hAnsi="Arial" w:cs="Arial"/>
        </w:rPr>
        <w:t>U</w:t>
      </w:r>
      <w:r>
        <w:rPr>
          <w:rFonts w:ascii="Arial" w:hAnsi="Arial" w:cs="Arial"/>
        </w:rPr>
        <w:t xml:space="preserve">nidos </w:t>
      </w:r>
      <w:r w:rsidR="00164F0D">
        <w:rPr>
          <w:rFonts w:ascii="Arial" w:hAnsi="Arial" w:cs="Arial"/>
        </w:rPr>
        <w:t>M</w:t>
      </w:r>
      <w:r>
        <w:rPr>
          <w:rFonts w:ascii="Arial" w:hAnsi="Arial" w:cs="Arial"/>
        </w:rPr>
        <w:t>exicanos,</w:t>
      </w:r>
      <w:r w:rsidR="00374F51">
        <w:rPr>
          <w:rFonts w:ascii="Arial" w:hAnsi="Arial" w:cs="Arial"/>
        </w:rPr>
        <w:t xml:space="preserve"> 17, fracción III,</w:t>
      </w:r>
      <w:r w:rsidR="00514D65">
        <w:rPr>
          <w:rFonts w:ascii="Arial" w:hAnsi="Arial" w:cs="Arial"/>
        </w:rPr>
        <w:t xml:space="preserve"> de la Constitución </w:t>
      </w:r>
      <w:r w:rsidR="00164F0D">
        <w:rPr>
          <w:rFonts w:ascii="Arial" w:hAnsi="Arial" w:cs="Arial"/>
        </w:rPr>
        <w:t>P</w:t>
      </w:r>
      <w:r w:rsidR="00514D65">
        <w:rPr>
          <w:rFonts w:ascii="Arial" w:hAnsi="Arial" w:cs="Arial"/>
        </w:rPr>
        <w:t xml:space="preserve">olítica del </w:t>
      </w:r>
      <w:r w:rsidR="00164F0D">
        <w:rPr>
          <w:rFonts w:ascii="Arial" w:hAnsi="Arial" w:cs="Arial"/>
        </w:rPr>
        <w:t>E</w:t>
      </w:r>
      <w:r w:rsidR="00514D65">
        <w:rPr>
          <w:rFonts w:ascii="Arial" w:hAnsi="Arial" w:cs="Arial"/>
        </w:rPr>
        <w:t>stado de San Luis Potosí,</w:t>
      </w:r>
      <w:r w:rsidR="00374F51">
        <w:rPr>
          <w:rFonts w:ascii="Arial" w:hAnsi="Arial" w:cs="Arial"/>
        </w:rPr>
        <w:t xml:space="preserve"> 93 BIS de la </w:t>
      </w:r>
      <w:r w:rsidR="00164F0D">
        <w:rPr>
          <w:rFonts w:ascii="Arial" w:hAnsi="Arial" w:cs="Arial"/>
        </w:rPr>
        <w:t>L</w:t>
      </w:r>
      <w:r w:rsidR="00374F51">
        <w:rPr>
          <w:rFonts w:ascii="Arial" w:hAnsi="Arial" w:cs="Arial"/>
        </w:rPr>
        <w:t xml:space="preserve">ey del </w:t>
      </w:r>
      <w:r w:rsidR="00164F0D">
        <w:rPr>
          <w:rFonts w:ascii="Arial" w:hAnsi="Arial" w:cs="Arial"/>
        </w:rPr>
        <w:t>S</w:t>
      </w:r>
      <w:r w:rsidR="00374F51">
        <w:rPr>
          <w:rFonts w:ascii="Arial" w:hAnsi="Arial" w:cs="Arial"/>
        </w:rPr>
        <w:t xml:space="preserve">istema de </w:t>
      </w:r>
      <w:r w:rsidR="00164F0D">
        <w:rPr>
          <w:rFonts w:ascii="Arial" w:hAnsi="Arial" w:cs="Arial"/>
        </w:rPr>
        <w:t>S</w:t>
      </w:r>
      <w:r w:rsidR="00374F51">
        <w:rPr>
          <w:rFonts w:ascii="Arial" w:hAnsi="Arial" w:cs="Arial"/>
        </w:rPr>
        <w:t xml:space="preserve">eguridad </w:t>
      </w:r>
      <w:r w:rsidR="00164F0D">
        <w:rPr>
          <w:rFonts w:ascii="Arial" w:hAnsi="Arial" w:cs="Arial"/>
        </w:rPr>
        <w:t>P</w:t>
      </w:r>
      <w:r w:rsidR="00374F51">
        <w:rPr>
          <w:rFonts w:ascii="Arial" w:hAnsi="Arial" w:cs="Arial"/>
        </w:rPr>
        <w:t xml:space="preserve">ública del </w:t>
      </w:r>
      <w:r w:rsidR="00164F0D">
        <w:rPr>
          <w:rFonts w:ascii="Arial" w:hAnsi="Arial" w:cs="Arial"/>
        </w:rPr>
        <w:t>E</w:t>
      </w:r>
      <w:r w:rsidR="00374F51">
        <w:rPr>
          <w:rFonts w:ascii="Arial" w:hAnsi="Arial" w:cs="Arial"/>
        </w:rPr>
        <w:t xml:space="preserve">stado de San Luis Potosí, 3º fracciones II, XIII, XX, y XXI, </w:t>
      </w:r>
      <w:r w:rsidR="00B23791">
        <w:rPr>
          <w:rFonts w:ascii="Arial" w:hAnsi="Arial" w:cs="Arial"/>
        </w:rPr>
        <w:t xml:space="preserve">20, 24, fracción VI, </w:t>
      </w:r>
      <w:r w:rsidR="00374F51">
        <w:rPr>
          <w:rFonts w:ascii="Arial" w:hAnsi="Arial" w:cs="Arial"/>
        </w:rPr>
        <w:t xml:space="preserve">113, </w:t>
      </w:r>
      <w:r w:rsidR="00B23791">
        <w:rPr>
          <w:rFonts w:ascii="Arial" w:hAnsi="Arial" w:cs="Arial"/>
        </w:rPr>
        <w:t>114, 117, 118, 119</w:t>
      </w:r>
      <w:r w:rsidR="00472BF5">
        <w:rPr>
          <w:rFonts w:ascii="Arial" w:hAnsi="Arial" w:cs="Arial"/>
        </w:rPr>
        <w:t>,</w:t>
      </w:r>
      <w:r w:rsidR="00B23791">
        <w:rPr>
          <w:rFonts w:ascii="Arial" w:hAnsi="Arial" w:cs="Arial"/>
        </w:rPr>
        <w:t xml:space="preserve"> 120 </w:t>
      </w:r>
      <w:r w:rsidR="00374F51">
        <w:rPr>
          <w:rFonts w:ascii="Arial" w:hAnsi="Arial" w:cs="Arial"/>
        </w:rPr>
        <w:t xml:space="preserve">fracción </w:t>
      </w:r>
      <w:r w:rsidR="00B23791">
        <w:rPr>
          <w:rFonts w:ascii="Arial" w:hAnsi="Arial" w:cs="Arial"/>
        </w:rPr>
        <w:t>II</w:t>
      </w:r>
      <w:r w:rsidR="00374F51">
        <w:rPr>
          <w:rFonts w:ascii="Arial" w:hAnsi="Arial" w:cs="Arial"/>
        </w:rPr>
        <w:t xml:space="preserve">I, 129 fracciones </w:t>
      </w:r>
      <w:r w:rsidR="005160BF">
        <w:rPr>
          <w:rFonts w:ascii="Arial" w:hAnsi="Arial" w:cs="Arial"/>
        </w:rPr>
        <w:t>I, y XII</w:t>
      </w:r>
      <w:r w:rsidR="00374F51">
        <w:rPr>
          <w:rFonts w:ascii="Arial" w:hAnsi="Arial" w:cs="Arial"/>
        </w:rPr>
        <w:t>, y 132 de la ley de transparencia y acceso a la información pública del estado,</w:t>
      </w:r>
      <w:r w:rsidR="005160BF">
        <w:rPr>
          <w:rFonts w:ascii="Arial" w:hAnsi="Arial" w:cs="Arial"/>
        </w:rPr>
        <w:t xml:space="preserve"> 218 del código nacional de procedimientos penales</w:t>
      </w:r>
      <w:r w:rsidR="00A5063A">
        <w:rPr>
          <w:rFonts w:ascii="Arial" w:hAnsi="Arial" w:cs="Arial"/>
        </w:rPr>
        <w:t>,</w:t>
      </w:r>
      <w:r w:rsidR="00374F51">
        <w:rPr>
          <w:rFonts w:ascii="Arial" w:hAnsi="Arial" w:cs="Arial"/>
        </w:rPr>
        <w:t xml:space="preserve"> lineamientos, </w:t>
      </w:r>
      <w:r w:rsidR="00B23791">
        <w:rPr>
          <w:rFonts w:ascii="Arial" w:hAnsi="Arial" w:cs="Arial"/>
        </w:rPr>
        <w:t xml:space="preserve">décimo séptimo, </w:t>
      </w:r>
      <w:r w:rsidR="00374F51">
        <w:rPr>
          <w:rFonts w:ascii="Arial" w:hAnsi="Arial" w:cs="Arial"/>
        </w:rPr>
        <w:t>décimo octavo,</w:t>
      </w:r>
      <w:r w:rsidR="00B23791">
        <w:rPr>
          <w:rFonts w:ascii="Arial" w:hAnsi="Arial" w:cs="Arial"/>
        </w:rPr>
        <w:t xml:space="preserve"> trigésimo primero, </w:t>
      </w:r>
      <w:r w:rsidR="00374F51">
        <w:rPr>
          <w:rFonts w:ascii="Arial" w:hAnsi="Arial" w:cs="Arial"/>
        </w:rPr>
        <w:t>de los LG</w:t>
      </w:r>
      <w:r w:rsidR="00CC2ABF">
        <w:rPr>
          <w:rFonts w:ascii="Arial" w:hAnsi="Arial" w:cs="Arial"/>
        </w:rPr>
        <w:t>M</w:t>
      </w:r>
      <w:r w:rsidR="00374F51">
        <w:rPr>
          <w:rFonts w:ascii="Arial" w:hAnsi="Arial" w:cs="Arial"/>
        </w:rPr>
        <w:t>CDIEVP.</w:t>
      </w:r>
    </w:p>
    <w:p w:rsidR="001B11A7" w:rsidRDefault="001B11A7" w:rsidP="004A324C">
      <w:pPr>
        <w:jc w:val="both"/>
        <w:rPr>
          <w:rFonts w:ascii="Arial" w:hAnsi="Arial" w:cs="Arial"/>
          <w:b/>
        </w:rPr>
      </w:pPr>
    </w:p>
    <w:p w:rsidR="003F4878" w:rsidRPr="003F4878" w:rsidRDefault="007336C3" w:rsidP="004A324C">
      <w:pPr>
        <w:jc w:val="both"/>
        <w:rPr>
          <w:rFonts w:ascii="Arial" w:hAnsi="Arial" w:cs="Arial"/>
          <w:b/>
        </w:rPr>
      </w:pPr>
      <w:r w:rsidRPr="003F4878">
        <w:rPr>
          <w:rFonts w:ascii="Arial" w:hAnsi="Arial" w:cs="Arial"/>
          <w:b/>
        </w:rPr>
        <w:t xml:space="preserve">Razonamiento. </w:t>
      </w:r>
    </w:p>
    <w:p w:rsidR="00BF3665" w:rsidRDefault="00EE7429" w:rsidP="004A324C">
      <w:pPr>
        <w:jc w:val="both"/>
        <w:rPr>
          <w:rFonts w:ascii="Arial" w:hAnsi="Arial" w:cs="Arial"/>
        </w:rPr>
      </w:pPr>
      <w:r>
        <w:rPr>
          <w:rFonts w:ascii="Arial" w:hAnsi="Arial" w:cs="Arial"/>
        </w:rPr>
        <w:t xml:space="preserve">El </w:t>
      </w:r>
      <w:r w:rsidR="00E61018">
        <w:rPr>
          <w:rFonts w:ascii="Arial" w:hAnsi="Arial" w:cs="Arial"/>
        </w:rPr>
        <w:t>d</w:t>
      </w:r>
      <w:r>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 xml:space="preserve">ontrol </w:t>
      </w:r>
      <w:r w:rsidR="009819AE">
        <w:rPr>
          <w:rFonts w:ascii="Arial" w:hAnsi="Arial" w:cs="Arial"/>
        </w:rPr>
        <w:t xml:space="preserve">adminicula las causales de procedencia de la reserva con las justificaciones en la aplicación de la prueba de daño en las tres hipótesis aplicables de acuerdo a la LTAIPSLP, concatenado con lo establecido en el lineamiento </w:t>
      </w:r>
      <w:r w:rsidR="00481D63">
        <w:rPr>
          <w:rFonts w:ascii="Arial" w:hAnsi="Arial" w:cs="Arial"/>
        </w:rPr>
        <w:t>t</w:t>
      </w:r>
      <w:r w:rsidR="009819AE">
        <w:rPr>
          <w:rFonts w:ascii="Arial" w:hAnsi="Arial" w:cs="Arial"/>
        </w:rPr>
        <w:t>rigésimo tercero de los LG</w:t>
      </w:r>
      <w:r w:rsidR="00CC2ABF">
        <w:rPr>
          <w:rFonts w:ascii="Arial" w:hAnsi="Arial" w:cs="Arial"/>
        </w:rPr>
        <w:t>M</w:t>
      </w:r>
      <w:r w:rsidR="009819AE">
        <w:rPr>
          <w:rFonts w:ascii="Arial" w:hAnsi="Arial" w:cs="Arial"/>
        </w:rPr>
        <w:t>CDIEVP, los que a la letra establecen;</w:t>
      </w:r>
    </w:p>
    <w:p w:rsidR="00DF2157" w:rsidRDefault="00DF2157" w:rsidP="004A324C">
      <w:pPr>
        <w:jc w:val="both"/>
        <w:rPr>
          <w:rFonts w:ascii="Arial" w:hAnsi="Arial" w:cs="Arial"/>
        </w:rPr>
      </w:pPr>
    </w:p>
    <w:p w:rsidR="00BF3665" w:rsidRDefault="009819AE" w:rsidP="004A324C">
      <w:pPr>
        <w:ind w:right="49"/>
        <w:jc w:val="both"/>
        <w:rPr>
          <w:rFonts w:ascii="Arial" w:hAnsi="Arial" w:cs="Arial"/>
          <w:i/>
          <w:sz w:val="18"/>
          <w:szCs w:val="18"/>
        </w:rPr>
      </w:pPr>
      <w:r>
        <w:rPr>
          <w:rFonts w:ascii="Arial" w:hAnsi="Arial" w:cs="Arial"/>
          <w:b/>
          <w:i/>
          <w:sz w:val="18"/>
          <w:szCs w:val="18"/>
        </w:rPr>
        <w:t>Artículo 118.</w:t>
      </w:r>
      <w:r>
        <w:rPr>
          <w:rFonts w:ascii="Arial" w:hAnsi="Arial" w:cs="Arial"/>
          <w:i/>
          <w:sz w:val="18"/>
          <w:szCs w:val="18"/>
        </w:rPr>
        <w:t xml:space="preserve"> En la aplicación de la prueba de daño, el sujeto obligado deberá justificar que:</w:t>
      </w:r>
    </w:p>
    <w:p w:rsidR="00BF3665" w:rsidRDefault="00BF3665" w:rsidP="004A324C">
      <w:pPr>
        <w:ind w:right="49"/>
        <w:jc w:val="both"/>
        <w:rPr>
          <w:rFonts w:ascii="Arial" w:hAnsi="Arial" w:cs="Arial"/>
          <w:i/>
          <w:sz w:val="18"/>
          <w:szCs w:val="18"/>
        </w:rPr>
      </w:pPr>
    </w:p>
    <w:p w:rsidR="00BF3665" w:rsidRPr="004A324C" w:rsidRDefault="009819AE" w:rsidP="004A324C">
      <w:pPr>
        <w:ind w:right="49"/>
        <w:jc w:val="both"/>
        <w:rPr>
          <w:rFonts w:ascii="Arial" w:hAnsi="Arial" w:cs="Arial"/>
          <w:i/>
        </w:rPr>
      </w:pPr>
      <w:r w:rsidRPr="004A324C">
        <w:rPr>
          <w:rFonts w:ascii="Arial" w:hAnsi="Arial" w:cs="Arial"/>
          <w:i/>
        </w:rPr>
        <w:lastRenderedPageBreak/>
        <w:t>I. La divulgación de la información representa un riesgo real, demostrable e identificable de perjuicio significativo al interés público;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 El riesgo de perjuicio que supondría la divulgación supera el interés público general de que se difunda, y</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i/>
        </w:rPr>
        <w:t>III. La limitación se adecua al principio de proporcionalidad y representa el medio menos restrictivo disponible para evitar el perjuicio.</w:t>
      </w:r>
    </w:p>
    <w:p w:rsidR="00BF3665" w:rsidRPr="004A324C" w:rsidRDefault="00BF3665" w:rsidP="004A324C">
      <w:pPr>
        <w:ind w:right="49"/>
        <w:jc w:val="both"/>
        <w:rPr>
          <w:rFonts w:ascii="Arial" w:hAnsi="Arial" w:cs="Arial"/>
          <w:i/>
        </w:rPr>
      </w:pPr>
    </w:p>
    <w:p w:rsidR="00BF3665" w:rsidRPr="004A324C" w:rsidRDefault="009819AE" w:rsidP="004A324C">
      <w:pPr>
        <w:ind w:right="49"/>
        <w:jc w:val="both"/>
        <w:rPr>
          <w:rFonts w:ascii="Arial" w:hAnsi="Arial" w:cs="Arial"/>
          <w:i/>
        </w:rPr>
      </w:pPr>
      <w:r w:rsidRPr="004A324C">
        <w:rPr>
          <w:rFonts w:ascii="Arial" w:hAnsi="Arial" w:cs="Arial"/>
          <w:b/>
          <w:i/>
        </w:rPr>
        <w:t>Trigésimo tercero</w:t>
      </w:r>
      <w:r w:rsidRPr="004A324C">
        <w:rPr>
          <w:rFonts w:ascii="Arial" w:hAnsi="Arial" w:cs="Arial"/>
          <w:i/>
        </w:rPr>
        <w:t>. Para la aplicación de la prueba de daño a la que hace referencia el artículo 104 de la Ley General, los sujetos obligados atenderán lo siguiente: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4A324C" w:rsidRDefault="00BF3665" w:rsidP="004A324C">
      <w:pPr>
        <w:ind w:right="49"/>
        <w:jc w:val="both"/>
        <w:rPr>
          <w:rFonts w:ascii="Arial" w:hAnsi="Arial" w:cs="Arial"/>
          <w:i/>
        </w:rPr>
      </w:pPr>
    </w:p>
    <w:p w:rsidR="00BF3665" w:rsidRPr="004A324C" w:rsidRDefault="009819AE" w:rsidP="004A324C">
      <w:pPr>
        <w:pStyle w:val="Prrafodelista"/>
        <w:numPr>
          <w:ilvl w:val="0"/>
          <w:numId w:val="3"/>
        </w:numPr>
        <w:ind w:left="0" w:right="49" w:firstLine="0"/>
        <w:jc w:val="both"/>
        <w:rPr>
          <w:rFonts w:ascii="Arial" w:hAnsi="Arial" w:cs="Arial"/>
          <w:i/>
        </w:rPr>
      </w:pPr>
      <w:r w:rsidRPr="004A324C">
        <w:rPr>
          <w:rFonts w:ascii="Arial" w:hAnsi="Arial" w:cs="Arial"/>
          <w:i/>
        </w:rPr>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CE31CC" w:rsidRDefault="00CE31CC"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Con el ánimo de evitar repeticiones innecesarias se tienen aquí por reproducido el desarrollo de cada una de las hipótesis establecidas por</w:t>
      </w:r>
      <w:r>
        <w:rPr>
          <w:rFonts w:ascii="Arial" w:eastAsia="Times New Roman" w:hAnsi="Arial" w:cs="Arial"/>
          <w:lang w:val="es-ES"/>
        </w:rPr>
        <w:t xml:space="preserve"> el </w:t>
      </w:r>
      <w:r>
        <w:rPr>
          <w:rFonts w:ascii="Arial" w:hAnsi="Arial" w:cs="Arial"/>
        </w:rPr>
        <w:t xml:space="preserve">titular del Órgano Interno de Control </w:t>
      </w:r>
      <w:r w:rsidRPr="009B0D72">
        <w:rPr>
          <w:rFonts w:ascii="Arial" w:eastAsia="Times New Roman" w:hAnsi="Arial" w:cs="Arial"/>
          <w:lang w:val="es-ES"/>
        </w:rPr>
        <w:t xml:space="preserve">como si </w:t>
      </w:r>
      <w:r w:rsidRPr="009B0D72">
        <w:rPr>
          <w:rFonts w:ascii="Arial" w:eastAsia="Times New Roman" w:hAnsi="Arial" w:cs="Arial"/>
          <w:lang w:val="es-ES"/>
        </w:rPr>
        <w:lastRenderedPageBreak/>
        <w:t xml:space="preserve">se insertarán a la letra, de dicha relatoría, es proporcional la restricción que realiza en virtud de que  existe una adecuada ponderación entre los principios en juego, ósea, entre el derecho de acceso a la información pública y el fin y objetivo que busca su restricción, relativo al interés público o general inmerso en la función pública de investigación y persecución de los delitos.  </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Quedó  debidamente justificada la prueba de daño que causaría el proporcionar la información</w:t>
      </w:r>
      <w:r w:rsidR="00CC2ABF">
        <w:rPr>
          <w:rFonts w:ascii="Arial" w:eastAsia="Times New Roman" w:hAnsi="Arial" w:cs="Arial"/>
          <w:lang w:val="es-ES"/>
        </w:rPr>
        <w:t xml:space="preserve"> relativa a las declaraciones recibidas del personal</w:t>
      </w:r>
      <w:r w:rsidRPr="009B0D72">
        <w:rPr>
          <w:rFonts w:ascii="Arial" w:eastAsia="Times New Roman" w:hAnsi="Arial" w:cs="Arial"/>
          <w:lang w:val="es-ES"/>
        </w:rPr>
        <w:t xml:space="preserve">  adscrito a áreas sustantivas, incluyendo al personal administrativo</w:t>
      </w:r>
      <w:r w:rsidR="004F7658">
        <w:rPr>
          <w:rFonts w:ascii="Arial" w:eastAsia="Times New Roman" w:hAnsi="Arial" w:cs="Arial"/>
          <w:lang w:val="es-ES"/>
        </w:rPr>
        <w:t xml:space="preserve"> de la Fiscalía General del Estado</w:t>
      </w:r>
      <w:r w:rsidRPr="009B0D72">
        <w:rPr>
          <w:rFonts w:ascii="Arial" w:eastAsia="Times New Roman" w:hAnsi="Arial" w:cs="Arial"/>
          <w:lang w:val="es-ES"/>
        </w:rPr>
        <w:t xml:space="preserve">, pues como lo determinó Suprema Corte de Justicia de la Nación en la Controversia constitucional  325/2019, “hacer </w:t>
      </w:r>
      <w:r w:rsidR="004F7658" w:rsidRPr="009B0D72">
        <w:rPr>
          <w:rFonts w:ascii="Arial" w:eastAsia="Times New Roman" w:hAnsi="Arial" w:cs="Arial"/>
          <w:lang w:val="es-ES"/>
        </w:rPr>
        <w:t>público</w:t>
      </w:r>
      <w:r w:rsidRPr="009B0D72">
        <w:rPr>
          <w:rFonts w:ascii="Arial" w:eastAsia="Times New Roman" w:hAnsi="Arial" w:cs="Arial"/>
          <w:lang w:val="es-ES"/>
        </w:rPr>
        <w:t xml:space="preserve"> cualquier dato o información que haga identificable al personal operativo/sustantivo así como al administrativo que labora en la </w:t>
      </w:r>
      <w:r w:rsidR="00CC2ABF">
        <w:rPr>
          <w:rFonts w:ascii="Arial" w:eastAsia="Times New Roman" w:hAnsi="Arial" w:cs="Arial"/>
          <w:lang w:val="es-ES"/>
        </w:rPr>
        <w:t>Fiscalía General de la República</w:t>
      </w:r>
      <w:r w:rsidRPr="009B0D72">
        <w:rPr>
          <w:rFonts w:ascii="Arial" w:eastAsia="Times New Roman" w:hAnsi="Arial" w:cs="Arial"/>
          <w:lang w:val="es-ES"/>
        </w:rPr>
        <w:t>, representa un riesgo real, demostrable e identificable de perjuicio significativo al interés público y a la seguridad pública nacional”, lo cual debe ser un espejo para las Fiscalía de las distintas Federaciones.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En este sentido, con la finalidad de cumplir no solo con objetivos conferidos constitucionalmente a la Fiscalía General del Estado, sino también para mantener la seguridad pública en la colaboración con todas las instituciones democráticas del país es que dichas funciones son realizadas por las personas agentes del ministerio público, policías y peritos, e invariablemente por el personal administrativo que labora en las diversas unidades administrativas que forman parte de la estructura orgánica este último si bien es cierto que no está en la primer línea de intervención, también lo es que por la naturaleza de las funciones de esta Institución,  en auxilio de aquellas, es quien tienen acceso a toda la información e insumos generados en la investigación de delitos, por lo que dar a conocer datos sobre estas pone en riesgo su vida, seguridad, salud e integridad, incluso la de sus familiares.</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Resulta claro que la participación del personal administrativo es de vital relevancia, pues, desde la elaboración, envío y recepción de oficios entre las unidades administrativas o Instituciones gubernamentales, hasta la integración de expedientes que en su caso se requieran, les es posible el acceso a información sensible contenida en esos documentos que evidentemente debe ser resguardada con el mayor sigilo.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Al respecto, se debe tomar en cuenta que en la aludida resolución de la Controversia constitucional 325/2019, el Alto Tribunal constitucional sostuvo que “el personal administrativo tiene injerencia en la producción de información clave para procurar la impartición de justicia en el mercado criminal más peligroso de los Estados Unidos Mexicanos, por lo que permitir a los agentes criminales conocer cualquier tipo de información del personal que labora en la Fiscalía General de la República revelaría su capacidad de reacción: por ello, es perjudicial realizar la identificación de dicho personal, pues se pondría en riesgo su vida, seguridad, salud e integridad, incluso la de sus familiares, pues se demostró que únicamente con entregar el nombre y cargo de las personas servidoras y/o ex servidoras públicas de la </w:t>
      </w:r>
      <w:r w:rsidR="00CC2ABF">
        <w:rPr>
          <w:rFonts w:ascii="Arial" w:eastAsia="Times New Roman" w:hAnsi="Arial" w:cs="Arial"/>
          <w:lang w:val="es-ES"/>
        </w:rPr>
        <w:t>Fiscalía General de la República</w:t>
      </w:r>
      <w:r w:rsidRPr="009B0D72">
        <w:rPr>
          <w:rFonts w:ascii="Arial" w:eastAsia="Times New Roman" w:hAnsi="Arial" w:cs="Arial"/>
          <w:lang w:val="es-ES"/>
        </w:rPr>
        <w:t xml:space="preserve">, se permitiría acceder a datos identificativos, académicos, electrónicos, patrimoniales, biométricos y los referentes a sus familiares”.                               </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lastRenderedPageBreak/>
        <w:t xml:space="preserve">Por lo anterior, se concluye que el hacer público la información que se reserva, se atentaría de manera directa en contra de la Vida seguridad y salud de dichas personas, pues los miembros de las asociaciones delictivas podrían aprovechar esa información para amenazarlos con el objeto de obtener datos que les permitan sustraerse de la acción de la justicia y, por lo tanto, quedar impunes, aunado a que podrían tomar represalias por las investigaciones instauradas en su contra. Lo que impactaría en la capacidad de reacción y en la revelación del estado de fuerza de esta Institución, transgrediendo así lo dispuesto en el artículo 129 fracciones I, y XII de la Ley de Transparencia en el Estado. </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Perjuicio que supera el interés público.</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Con la divulgación de la información </w:t>
      </w:r>
      <w:r w:rsidR="004F7658">
        <w:rPr>
          <w:rFonts w:ascii="Arial" w:eastAsia="Times New Roman" w:hAnsi="Arial" w:cs="Arial"/>
          <w:lang w:val="es-ES"/>
        </w:rPr>
        <w:t>que se reserva</w:t>
      </w:r>
      <w:r w:rsidRPr="009B0D72">
        <w:rPr>
          <w:rFonts w:ascii="Arial" w:eastAsia="Times New Roman" w:hAnsi="Arial" w:cs="Arial"/>
          <w:lang w:val="es-ES"/>
        </w:rPr>
        <w:t>, supera el interés público general de que se difunda en razón de que, como ya se dijo, divulgar datos que nos ocupan, en cualquier categoría o puesto, los hace blancos identificables y no solo pone en riesgo su vida, seguridad y salud, así como la de sus familiares, sino también las actividades realizadas por esta Fiscalía, toda vez que podrían ser sujetos de amenazas y extorsiones por parte de miembros de la delincuencia, con la finalidad de obtener la información relacionada con el combate y persecución de los delitos del fuero común.</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que los mercados criminales identifiquen y conozcan plenamente al personal que compone a la Institución y cuenten con información respecto a su capacidad de fuerza y reacción, esto es, el número total de personal, sus cargos y donde se encuentran ubicados, expone a la Fiscalía a amenazas y ataques que necesariamente tienen implicaciones negativa en el ejercicio de sus competencias constitucionales, por ello el Alto Tribunal concluyo que “conociendo el nombre de las personas físicas que laboran o laboraban en la Fiscalía y recopilando información de internet, es posible identificar plenamente a las personas; de modo que un simple dato que pudiera parecer inofensivo, puede arrojar información relativa a su edad, sexo, </w:t>
      </w:r>
      <w:r w:rsidR="004F7658">
        <w:rPr>
          <w:rFonts w:ascii="Arial" w:eastAsia="Times New Roman" w:hAnsi="Arial" w:cs="Arial"/>
          <w:lang w:val="es-ES"/>
        </w:rPr>
        <w:t>Clave Única de Registro de Población</w:t>
      </w:r>
      <w:r w:rsidRPr="009B0D72">
        <w:rPr>
          <w:rFonts w:ascii="Arial" w:eastAsia="Times New Roman" w:hAnsi="Arial" w:cs="Arial"/>
          <w:lang w:val="es-ES"/>
        </w:rPr>
        <w:t xml:space="preserve">, experiencia profesional, grado académico, domicilio laboral, inclusive cambios de adscripción, domicilio personal bienes muebles e inmuebles, así como, características físicas, amigos, familiares, y grado de parentesco, lo que incluye cónyuges, ex parejas e hijos, así como las escuelas en la que estudian estos; por lo que entregar el nombre de cualquier persona servidora pública de la Institución revelaría el 100% del estado de fuerza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El anterior fenómeno puede ser explicado por la teoría del mosaico, la cual constituye una herramienta que da cuenta de cómo es que funciona el flujo de información y, con ello, la construcción de inteligencia. Se trata de un proceso que describe cómo se recopila, combina y procesa información, de tal manera que convierte información inofensiva en conocimiento útil. La metodología que se utiliza esencialmente consiste en recopilar piezas de información dispersas y después unirlas con la finalidad de tener una visión de conjunto o “mosaico”. Es decir, a partir de un dato que pudiese parecer inofensivo, como puede ser el nombre y adscripción de una persona, potencializa que un agente criminal lo utilice para deducir a partir </w:t>
      </w:r>
      <w:r w:rsidRPr="009B0D72">
        <w:rPr>
          <w:rFonts w:ascii="Arial" w:eastAsia="Times New Roman" w:hAnsi="Arial" w:cs="Arial"/>
          <w:lang w:val="es-ES"/>
        </w:rPr>
        <w:lastRenderedPageBreak/>
        <w:t>de un dato independiente, una vulnerabilidad estratégica susceptible de explotación para fines mal intencionados, en este caso para evadir la procuración de la justicia o, peor aún, llevar a cabo actos de contrainteligencia para combatir frontalmente a los agentes encargados de la investigación y persecución de los delitos del Estado.</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Se concluye que, si bien es un derecho de las personas imputadas, conocer el nombre y datos del servidor público salvo tratándose de delincuencia organizada, lo cierto es que conocer esa información no deriva del ámbito de protección del derecho de acceso a la información, si no del derecho a gozar de un debido proceso y una adecuada defensa, en la que la Fiscalía funciona como una corporación formada por eslabones, es decir, su alguno de los eslabones se ve afectado, el desempeño de sus funciones afecta las demás partes y funciones de la Institución. </w:t>
      </w:r>
    </w:p>
    <w:p w:rsidR="009B0D72" w:rsidRPr="009B0D72" w:rsidRDefault="009B0D72"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Bajo esta tesitura, la divulgación de la información </w:t>
      </w:r>
      <w:r w:rsidR="004F7658">
        <w:rPr>
          <w:rFonts w:ascii="Arial" w:eastAsia="Times New Roman" w:hAnsi="Arial" w:cs="Arial"/>
          <w:lang w:val="es-ES"/>
        </w:rPr>
        <w:t>reservada</w:t>
      </w:r>
      <w:r w:rsidRPr="009B0D72">
        <w:rPr>
          <w:rFonts w:ascii="Arial" w:eastAsia="Times New Roman" w:hAnsi="Arial" w:cs="Arial"/>
          <w:lang w:val="es-ES"/>
        </w:rPr>
        <w:t xml:space="preserve">, actualiza el riesgo de perjuicio a la vida, la seguridad o </w:t>
      </w:r>
      <w:r w:rsidR="00A9088A" w:rsidRPr="009B0D72">
        <w:rPr>
          <w:rFonts w:ascii="Arial" w:eastAsia="Times New Roman" w:hAnsi="Arial" w:cs="Arial"/>
          <w:lang w:val="es-ES"/>
        </w:rPr>
        <w:t>salud,</w:t>
      </w:r>
      <w:r w:rsidRPr="009B0D72">
        <w:rPr>
          <w:rFonts w:ascii="Arial" w:eastAsia="Times New Roman" w:hAnsi="Arial" w:cs="Arial"/>
          <w:lang w:val="es-ES"/>
        </w:rPr>
        <w:t xml:space="preserve"> así como para sus familiares y personas cercanas, por lo que el ejercicio de ponderación de derechos de la colectividad que debe prevalecer, es aquel relacionado con la procuración de justicia bajo los principios constitucionales, en relación con esclarecer los hechos, procurar que el culpable no quede impune y que los daños causados por el delito se reparen.</w:t>
      </w:r>
    </w:p>
    <w:p w:rsidR="009B0D72" w:rsidRPr="009B0D72" w:rsidRDefault="009B0D72" w:rsidP="004A324C">
      <w:pPr>
        <w:jc w:val="both"/>
        <w:rPr>
          <w:rFonts w:ascii="Arial" w:eastAsia="Times New Roman" w:hAnsi="Arial" w:cs="Arial"/>
          <w:lang w:val="es-ES"/>
        </w:rPr>
      </w:pPr>
    </w:p>
    <w:p w:rsidR="009B0D72" w:rsidRPr="00CC2ABF" w:rsidRDefault="009B0D72" w:rsidP="004A324C">
      <w:pPr>
        <w:jc w:val="both"/>
        <w:rPr>
          <w:rFonts w:ascii="Arial" w:eastAsia="Times New Roman" w:hAnsi="Arial" w:cs="Arial"/>
          <w:b/>
          <w:lang w:val="es-ES"/>
        </w:rPr>
      </w:pPr>
      <w:r w:rsidRPr="00CC2ABF">
        <w:rPr>
          <w:rFonts w:ascii="Arial" w:eastAsia="Times New Roman" w:hAnsi="Arial" w:cs="Arial"/>
          <w:b/>
          <w:lang w:val="es-ES"/>
        </w:rPr>
        <w:t>Principio de proporcionalidad.</w:t>
      </w: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La Suprema Corte de Justicia, concluyo de manera esencial que “el derecho a ser informado no es absoluto, pues, a pesar de que el Estado tiene la obligación de informar a la población sobre temas de interés y relevancia pública, también se debe proteger y garantizar el derecho a la vida, la seguridad, y salud de personas, así como la salvaguarda de la seguridad pública”.</w:t>
      </w:r>
    </w:p>
    <w:p w:rsidR="009B0D72" w:rsidRPr="009B0D72" w:rsidRDefault="009B0D72" w:rsidP="004A324C">
      <w:pPr>
        <w:jc w:val="both"/>
        <w:rPr>
          <w:rFonts w:ascii="Arial" w:eastAsia="Times New Roman" w:hAnsi="Arial" w:cs="Arial"/>
          <w:lang w:val="es-ES"/>
        </w:rPr>
      </w:pPr>
    </w:p>
    <w:p w:rsidR="009B0D72" w:rsidRDefault="009B0D72" w:rsidP="004A324C">
      <w:pPr>
        <w:jc w:val="both"/>
        <w:rPr>
          <w:rFonts w:ascii="Arial" w:eastAsia="Times New Roman" w:hAnsi="Arial" w:cs="Arial"/>
          <w:lang w:val="es-ES"/>
        </w:rPr>
      </w:pPr>
      <w:r w:rsidRPr="009B0D72">
        <w:rPr>
          <w:rFonts w:ascii="Arial" w:eastAsia="Times New Roman" w:hAnsi="Arial" w:cs="Arial"/>
          <w:lang w:val="es-ES"/>
        </w:rPr>
        <w:t>Por lo que, la calidad de persona servidora pública, no suprime los derechos humanos a la vida, seguridad y privacidad, por el contrario, existe un interés general o superior en esos derechos frente al derecho de acceso a la información de un particular, en una ponderación frente a los derechos humanos de los servidores públicos de sus familiares y círculos cercanos, información que debe ser considerada como clasificada.</w:t>
      </w:r>
    </w:p>
    <w:p w:rsidR="001B11A7" w:rsidRPr="009B0D72" w:rsidRDefault="001B11A7" w:rsidP="004A324C">
      <w:pPr>
        <w:jc w:val="both"/>
        <w:rPr>
          <w:rFonts w:ascii="Arial" w:eastAsia="Times New Roman" w:hAnsi="Arial" w:cs="Arial"/>
          <w:lang w:val="es-ES"/>
        </w:rPr>
      </w:pPr>
    </w:p>
    <w:p w:rsidR="009B0D72" w:rsidRPr="009B0D72" w:rsidRDefault="009B0D72" w:rsidP="004A324C">
      <w:pPr>
        <w:jc w:val="both"/>
        <w:rPr>
          <w:rFonts w:ascii="Arial" w:eastAsia="Times New Roman" w:hAnsi="Arial" w:cs="Arial"/>
          <w:lang w:val="es-ES"/>
        </w:rPr>
      </w:pPr>
      <w:r w:rsidRPr="009B0D72">
        <w:rPr>
          <w:rFonts w:ascii="Arial" w:eastAsia="Times New Roman" w:hAnsi="Arial" w:cs="Arial"/>
          <w:lang w:val="es-ES"/>
        </w:rPr>
        <w:t xml:space="preserve">Tomando en consideración la ponderación de riesgo de los distintos mercados criminales que combate la Fiscalía, las funciones que desempeña el personal y la tasa de delitos del orden común, además de lo señalado por el Pleno de la suprema Corte el revelar la identidad y cargo de quienes tienen o tuvieron la responsabilidad de investigar y perseguir delitos expondría la capacidad de fuerza y reacción que tiene la fiscalía y, por consecuencia, vulneraría las competencias constitucionales que en materia de seguridad pública le están conferidas. </w:t>
      </w:r>
    </w:p>
    <w:p w:rsidR="009B0D72" w:rsidRPr="009B0D72" w:rsidRDefault="009B0D72" w:rsidP="004A324C">
      <w:pPr>
        <w:jc w:val="both"/>
        <w:rPr>
          <w:rFonts w:ascii="Arial" w:eastAsia="Times New Roman" w:hAnsi="Arial" w:cs="Arial"/>
          <w:lang w:val="es-ES"/>
        </w:rPr>
      </w:pPr>
    </w:p>
    <w:p w:rsidR="00481D63" w:rsidRDefault="009B0D72" w:rsidP="004A324C">
      <w:pPr>
        <w:jc w:val="both"/>
        <w:rPr>
          <w:rFonts w:ascii="Arial" w:eastAsia="Times New Roman" w:hAnsi="Arial" w:cs="Arial"/>
          <w:lang w:val="es-ES"/>
        </w:rPr>
      </w:pPr>
      <w:r w:rsidRPr="009B0D72">
        <w:rPr>
          <w:rFonts w:ascii="Arial" w:eastAsia="Times New Roman" w:hAnsi="Arial" w:cs="Arial"/>
          <w:lang w:val="es-ES"/>
        </w:rPr>
        <w:t>Consecuentemente, se concluye que clasificar como reservada la información</w:t>
      </w:r>
      <w:r w:rsidR="004F7658">
        <w:rPr>
          <w:rFonts w:ascii="Arial" w:eastAsia="Times New Roman" w:hAnsi="Arial" w:cs="Arial"/>
          <w:lang w:val="es-ES"/>
        </w:rPr>
        <w:t xml:space="preserve"> relativa </w:t>
      </w:r>
      <w:r w:rsidR="00CC2ABF">
        <w:rPr>
          <w:rFonts w:ascii="Arial" w:eastAsia="Times New Roman" w:hAnsi="Arial" w:cs="Arial"/>
          <w:lang w:val="es-ES"/>
        </w:rPr>
        <w:t xml:space="preserve">a las </w:t>
      </w:r>
      <w:r w:rsidR="00CC2ABF" w:rsidRPr="00CC2ABF">
        <w:rPr>
          <w:rFonts w:ascii="Arial" w:eastAsia="Times New Roman" w:hAnsi="Arial" w:cs="Arial"/>
          <w:lang w:val="es-ES"/>
        </w:rPr>
        <w:t>declaraciones de</w:t>
      </w:r>
      <w:r w:rsidR="00CC2ABF">
        <w:rPr>
          <w:rFonts w:ascii="Arial" w:eastAsia="Times New Roman" w:hAnsi="Arial" w:cs="Arial"/>
          <w:b/>
          <w:lang w:val="es-ES"/>
        </w:rPr>
        <w:t xml:space="preserve"> conclusión </w:t>
      </w:r>
      <w:r w:rsidR="00CC2ABF" w:rsidRPr="00CC2ABF">
        <w:rPr>
          <w:rFonts w:ascii="Arial" w:eastAsia="Times New Roman" w:hAnsi="Arial" w:cs="Arial"/>
          <w:lang w:val="es-ES"/>
        </w:rPr>
        <w:t>de situación patrimonial</w:t>
      </w:r>
      <w:r w:rsidR="00CC2ABF">
        <w:rPr>
          <w:rFonts w:ascii="Arial" w:eastAsia="Times New Roman" w:hAnsi="Arial" w:cs="Arial"/>
          <w:b/>
          <w:lang w:val="es-ES"/>
        </w:rPr>
        <w:t xml:space="preserve"> completas</w:t>
      </w:r>
      <w:r w:rsidR="004F7658" w:rsidRPr="009B0D72">
        <w:rPr>
          <w:rFonts w:ascii="Arial" w:eastAsia="Times New Roman" w:hAnsi="Arial" w:cs="Arial"/>
          <w:lang w:val="es-ES"/>
        </w:rPr>
        <w:t xml:space="preserve"> </w:t>
      </w:r>
      <w:r w:rsidR="00CC2ABF">
        <w:rPr>
          <w:rFonts w:ascii="Arial" w:eastAsia="Times New Roman" w:hAnsi="Arial" w:cs="Arial"/>
          <w:lang w:val="es-ES"/>
        </w:rPr>
        <w:t xml:space="preserve">del personal </w:t>
      </w:r>
      <w:r w:rsidR="004F7658" w:rsidRPr="009B0D72">
        <w:rPr>
          <w:rFonts w:ascii="Arial" w:eastAsia="Times New Roman" w:hAnsi="Arial" w:cs="Arial"/>
          <w:lang w:val="es-ES"/>
        </w:rPr>
        <w:t xml:space="preserve">adscrito a áreas </w:t>
      </w:r>
      <w:r w:rsidR="004F7658" w:rsidRPr="009B0D72">
        <w:rPr>
          <w:rFonts w:ascii="Arial" w:eastAsia="Times New Roman" w:hAnsi="Arial" w:cs="Arial"/>
          <w:lang w:val="es-ES"/>
        </w:rPr>
        <w:lastRenderedPageBreak/>
        <w:t>sustantivas, incluyendo al personal administrativo</w:t>
      </w:r>
      <w:r w:rsidRPr="009B0D72">
        <w:rPr>
          <w:rFonts w:ascii="Arial" w:eastAsia="Times New Roman" w:hAnsi="Arial" w:cs="Arial"/>
          <w:lang w:val="es-ES"/>
        </w:rPr>
        <w:t xml:space="preserve"> de personas servidoras y/o ex servidoras públicas de Fiscalía General del Estado, resulta el medio menos restrictivo frente al derecho de acceso a la información en cualquiera de sus diferentes manifestaciones.</w:t>
      </w:r>
    </w:p>
    <w:p w:rsidR="004A324C" w:rsidRDefault="004A324C" w:rsidP="004A324C">
      <w:pPr>
        <w:jc w:val="both"/>
        <w:rPr>
          <w:rFonts w:ascii="Arial" w:eastAsia="Times New Roman" w:hAnsi="Arial" w:cs="Arial"/>
          <w:lang w:val="es-ES"/>
        </w:rPr>
      </w:pPr>
    </w:p>
    <w:p w:rsidR="004F7658" w:rsidRDefault="004F7658" w:rsidP="004A324C">
      <w:pPr>
        <w:jc w:val="both"/>
        <w:rPr>
          <w:rFonts w:ascii="Arial" w:eastAsia="Times New Roman" w:hAnsi="Arial" w:cs="Arial"/>
          <w:lang w:val="es-ES"/>
        </w:rPr>
      </w:pPr>
    </w:p>
    <w:p w:rsidR="00BF3665" w:rsidRDefault="009819AE" w:rsidP="004A324C">
      <w:pPr>
        <w:pStyle w:val="Prrafodelista"/>
        <w:numPr>
          <w:ilvl w:val="0"/>
          <w:numId w:val="2"/>
        </w:numPr>
        <w:jc w:val="both"/>
        <w:rPr>
          <w:rFonts w:ascii="Arial" w:hAnsi="Arial" w:cs="Arial"/>
          <w:b/>
        </w:rPr>
      </w:pPr>
      <w:r>
        <w:rPr>
          <w:rFonts w:ascii="Arial" w:hAnsi="Arial" w:cs="Arial"/>
          <w:b/>
        </w:rPr>
        <w:t>Descripción de las partes o secciones reservadas, en caso de clasificación parcial;</w:t>
      </w:r>
    </w:p>
    <w:p w:rsidR="004A324C" w:rsidRDefault="004A324C" w:rsidP="004A324C">
      <w:pPr>
        <w:pStyle w:val="Prrafodelista"/>
        <w:ind w:left="1080"/>
        <w:jc w:val="both"/>
        <w:rPr>
          <w:rFonts w:ascii="Arial" w:hAnsi="Arial" w:cs="Arial"/>
          <w:b/>
        </w:rPr>
      </w:pPr>
    </w:p>
    <w:p w:rsidR="007F24DE" w:rsidRDefault="00374F51" w:rsidP="004A324C">
      <w:pPr>
        <w:autoSpaceDE w:val="0"/>
        <w:autoSpaceDN w:val="0"/>
        <w:adjustRightInd w:val="0"/>
        <w:ind w:right="141"/>
        <w:jc w:val="both"/>
        <w:rPr>
          <w:rFonts w:ascii="Arial" w:hAnsi="Arial" w:cs="Arial"/>
        </w:rPr>
      </w:pPr>
      <w:bookmarkStart w:id="1" w:name="_Hlk158291519"/>
      <w:r>
        <w:rPr>
          <w:rFonts w:ascii="Arial" w:hAnsi="Arial" w:cs="Arial"/>
        </w:rPr>
        <w:t>Se da cuenta</w:t>
      </w:r>
      <w:r w:rsidR="00CE31CC">
        <w:rPr>
          <w:rFonts w:ascii="Arial" w:hAnsi="Arial" w:cs="Arial"/>
        </w:rPr>
        <w:t>,</w:t>
      </w:r>
      <w:r>
        <w:rPr>
          <w:rFonts w:ascii="Arial" w:hAnsi="Arial" w:cs="Arial"/>
        </w:rPr>
        <w:t xml:space="preserve"> que se trata de una reserva total</w:t>
      </w:r>
      <w:r w:rsidR="00CC2ABF" w:rsidRPr="00CC2ABF">
        <w:rPr>
          <w:rFonts w:ascii="Arial" w:hAnsi="Arial" w:cs="Arial"/>
        </w:rPr>
        <w:t xml:space="preserve">, de las Declaraciones de </w:t>
      </w:r>
      <w:r w:rsidR="00CC2ABF" w:rsidRPr="00CC2ABF">
        <w:rPr>
          <w:rFonts w:ascii="Arial" w:hAnsi="Arial" w:cs="Arial"/>
          <w:b/>
        </w:rPr>
        <w:t>Conclusión</w:t>
      </w:r>
      <w:r w:rsidR="00CC2ABF" w:rsidRPr="00CC2ABF">
        <w:rPr>
          <w:rFonts w:ascii="Arial" w:hAnsi="Arial" w:cs="Arial"/>
        </w:rPr>
        <w:t xml:space="preserve"> de Situación Patrimonial </w:t>
      </w:r>
      <w:r w:rsidR="00CC2ABF" w:rsidRPr="00CC2ABF">
        <w:rPr>
          <w:rFonts w:ascii="Arial" w:hAnsi="Arial" w:cs="Arial"/>
          <w:b/>
        </w:rPr>
        <w:t>completas</w:t>
      </w:r>
      <w:r w:rsidR="00CC2ABF" w:rsidRPr="00CC2ABF">
        <w:rPr>
          <w:rFonts w:ascii="Arial" w:hAnsi="Arial" w:cs="Arial"/>
        </w:rPr>
        <w:t xml:space="preserve"> presentadas en el mes de </w:t>
      </w:r>
      <w:r w:rsidR="00F6247F">
        <w:rPr>
          <w:rFonts w:ascii="Arial" w:hAnsi="Arial" w:cs="Arial"/>
          <w:b/>
        </w:rPr>
        <w:t>enero</w:t>
      </w:r>
      <w:r w:rsidR="00CC2ABF" w:rsidRPr="00CC2ABF">
        <w:rPr>
          <w:rFonts w:ascii="Arial" w:hAnsi="Arial" w:cs="Arial"/>
        </w:rPr>
        <w:t xml:space="preserve"> de 202</w:t>
      </w:r>
      <w:r w:rsidR="00F6247F">
        <w:rPr>
          <w:rFonts w:ascii="Arial" w:hAnsi="Arial" w:cs="Arial"/>
        </w:rPr>
        <w:t>6</w:t>
      </w:r>
      <w:r w:rsidR="00CC2ABF" w:rsidRPr="00CC2ABF">
        <w:rPr>
          <w:rFonts w:ascii="Arial" w:hAnsi="Arial" w:cs="Arial"/>
        </w:rPr>
        <w:t xml:space="preserve"> mediante el sistema DECLARANET-FGESLP, del personal que se describe en el Manual de Remuneraciones para los Servidores Públicos de la Fiscalía General del Estado de San Luis Potosí, aprobado para el Ejercicio Fiscal 2025, que no realicen funciones directivas y que se encuentren adscrito a los Órganos Tácticos Operativos de la Fiscalía General del Estado como lo son Vice fiscalías, Fiscalías Especializadas y Dirección General de Métodos de Investigación, y de los Órganos Estratégicos: adscritos a la Dirección General de Política de Persecución Penal y Análisis Estratégico, Visitaduría General y la Dirección General de Análisis Criminal así como del personal administrativo y de apoyo adscrito a los órganos estratégicos: Vice fiscalía Jurídica, Dirección General de Política de Persecución Penal y Análisis Estratégico y la Dirección General de Análisis Criminal, además del personal operativo de seguridad y custodia que desempeñan los cargos de Perito A, Perito B, Perito C, Inspector jefe, Inspector, Subinspector, Oficial Suboficial, Jefe de departamento B, Jefe de departamento C, Policía, Policía Primero, Policía Segundo, Policía Tercero, Auxiliar A, Auxiliar B, Auxiliar C, Agente del Ministerio Público B, Agente del Ministerio Público C, Cabo de ordenanzas.</w:t>
      </w:r>
    </w:p>
    <w:p w:rsidR="004A324C" w:rsidRDefault="004A324C" w:rsidP="004A324C">
      <w:pPr>
        <w:autoSpaceDE w:val="0"/>
        <w:autoSpaceDN w:val="0"/>
        <w:adjustRightInd w:val="0"/>
        <w:ind w:right="141"/>
        <w:jc w:val="both"/>
        <w:rPr>
          <w:rFonts w:ascii="Arial" w:hAnsi="Arial" w:cs="Arial"/>
        </w:rPr>
      </w:pPr>
    </w:p>
    <w:p w:rsidR="00803FA7" w:rsidRPr="00374F51" w:rsidRDefault="00803FA7" w:rsidP="004A324C">
      <w:pPr>
        <w:autoSpaceDE w:val="0"/>
        <w:autoSpaceDN w:val="0"/>
        <w:adjustRightInd w:val="0"/>
        <w:ind w:right="141"/>
        <w:jc w:val="both"/>
        <w:rPr>
          <w:rFonts w:ascii="Arial" w:hAnsi="Arial" w:cs="Arial"/>
        </w:rPr>
      </w:pPr>
    </w:p>
    <w:bookmarkEnd w:id="1"/>
    <w:p w:rsidR="00BF3665" w:rsidRPr="00F64080" w:rsidRDefault="009819AE" w:rsidP="004A324C">
      <w:pPr>
        <w:pStyle w:val="Prrafodelista"/>
        <w:numPr>
          <w:ilvl w:val="0"/>
          <w:numId w:val="2"/>
        </w:numPr>
        <w:jc w:val="both"/>
        <w:rPr>
          <w:rFonts w:ascii="Arial" w:hAnsi="Arial" w:cs="Arial"/>
        </w:rPr>
      </w:pPr>
      <w:r w:rsidRPr="00F64080">
        <w:rPr>
          <w:rFonts w:ascii="Arial" w:hAnsi="Arial" w:cs="Arial"/>
          <w:b/>
        </w:rPr>
        <w:t>El período por el que mantendrá su clasificación y fecha de expedición;</w:t>
      </w:r>
    </w:p>
    <w:p w:rsidR="004A324C" w:rsidRDefault="004A324C" w:rsidP="004A324C">
      <w:pPr>
        <w:jc w:val="both"/>
        <w:rPr>
          <w:rFonts w:ascii="Arial" w:hAnsi="Arial" w:cs="Arial"/>
        </w:rPr>
      </w:pPr>
    </w:p>
    <w:p w:rsidR="00BF3665" w:rsidRDefault="009819AE" w:rsidP="004A324C">
      <w:pPr>
        <w:jc w:val="both"/>
        <w:rPr>
          <w:rFonts w:ascii="Arial" w:hAnsi="Arial" w:cs="Arial"/>
        </w:rPr>
      </w:pPr>
      <w:r>
        <w:rPr>
          <w:rFonts w:ascii="Arial" w:hAnsi="Arial" w:cs="Arial"/>
        </w:rPr>
        <w:t>Período. 5 años.</w:t>
      </w:r>
    </w:p>
    <w:p w:rsidR="004A324C" w:rsidRDefault="004A324C" w:rsidP="004A324C">
      <w:pPr>
        <w:jc w:val="both"/>
        <w:rPr>
          <w:rFonts w:ascii="Arial" w:hAnsi="Arial" w:cs="Arial"/>
        </w:rPr>
      </w:pPr>
    </w:p>
    <w:p w:rsidR="00BF3665" w:rsidRDefault="00F6015F" w:rsidP="004A324C">
      <w:pPr>
        <w:jc w:val="both"/>
        <w:rPr>
          <w:rFonts w:ascii="Arial" w:eastAsia="Times New Roman" w:hAnsi="Arial" w:cs="Arial"/>
        </w:rPr>
      </w:pPr>
      <w:r>
        <w:rPr>
          <w:rFonts w:ascii="Arial" w:eastAsia="Times New Roman" w:hAnsi="Arial" w:cs="Arial"/>
        </w:rPr>
        <w:t xml:space="preserve">Fecha de expiración: </w:t>
      </w:r>
      <w:r w:rsidR="007F24DE" w:rsidRPr="00B11FCD">
        <w:rPr>
          <w:rFonts w:ascii="Arial" w:eastAsia="Times New Roman" w:hAnsi="Arial" w:cs="Arial"/>
          <w:b/>
        </w:rPr>
        <w:t>0</w:t>
      </w:r>
      <w:r w:rsidR="00CC2ABF">
        <w:rPr>
          <w:rFonts w:ascii="Arial" w:eastAsia="Times New Roman" w:hAnsi="Arial" w:cs="Arial"/>
          <w:b/>
        </w:rPr>
        <w:t>5</w:t>
      </w:r>
      <w:r w:rsidR="009F136E" w:rsidRPr="00B11FCD">
        <w:rPr>
          <w:rFonts w:ascii="Arial" w:eastAsia="Times New Roman" w:hAnsi="Arial" w:cs="Arial"/>
          <w:b/>
        </w:rPr>
        <w:t xml:space="preserve"> de </w:t>
      </w:r>
      <w:r w:rsidR="00F6247F">
        <w:rPr>
          <w:rFonts w:ascii="Arial" w:eastAsia="Times New Roman" w:hAnsi="Arial" w:cs="Arial"/>
          <w:b/>
        </w:rPr>
        <w:t>febrero</w:t>
      </w:r>
      <w:r w:rsidR="00CE31CC">
        <w:rPr>
          <w:rFonts w:ascii="Arial" w:eastAsia="Times New Roman" w:hAnsi="Arial" w:cs="Arial"/>
          <w:b/>
        </w:rPr>
        <w:t xml:space="preserve"> </w:t>
      </w:r>
      <w:r w:rsidR="009819AE" w:rsidRPr="00B11FCD">
        <w:rPr>
          <w:rFonts w:ascii="Arial" w:eastAsia="Times New Roman" w:hAnsi="Arial" w:cs="Arial"/>
          <w:b/>
        </w:rPr>
        <w:t>20</w:t>
      </w:r>
      <w:r w:rsidR="00662DF6">
        <w:rPr>
          <w:rFonts w:ascii="Arial" w:eastAsia="Times New Roman" w:hAnsi="Arial" w:cs="Arial"/>
          <w:b/>
        </w:rPr>
        <w:t>3</w:t>
      </w:r>
      <w:r w:rsidR="00F6247F">
        <w:rPr>
          <w:rFonts w:ascii="Arial" w:eastAsia="Times New Roman" w:hAnsi="Arial" w:cs="Arial"/>
          <w:b/>
        </w:rPr>
        <w:t>1</w:t>
      </w:r>
      <w:r w:rsidR="009819AE">
        <w:rPr>
          <w:rFonts w:ascii="Arial" w:eastAsia="Times New Roman" w:hAnsi="Arial" w:cs="Arial"/>
        </w:rPr>
        <w:t xml:space="preserve">. Que cumple con lo establecido por el lineamiento </w:t>
      </w:r>
      <w:r w:rsidR="00481D63">
        <w:rPr>
          <w:rFonts w:ascii="Arial" w:eastAsia="Times New Roman" w:hAnsi="Arial" w:cs="Arial"/>
        </w:rPr>
        <w:t>t</w:t>
      </w:r>
      <w:r w:rsidR="009819AE">
        <w:rPr>
          <w:rFonts w:ascii="Arial" w:eastAsia="Times New Roman" w:hAnsi="Arial" w:cs="Arial"/>
        </w:rPr>
        <w:t>rigésimo cuarto de los LGCDIEVP. Señalando las razones por las cuales se estableció el plazo de reserva determinado, mismas que están relacionadas y sustentadas con la prueba de daño.</w:t>
      </w:r>
    </w:p>
    <w:p w:rsidR="004A324C" w:rsidRDefault="004A324C" w:rsidP="004A324C">
      <w:pPr>
        <w:jc w:val="both"/>
        <w:rPr>
          <w:rFonts w:ascii="Arial" w:eastAsia="Times New Roman" w:hAnsi="Arial" w:cs="Arial"/>
        </w:rPr>
      </w:pPr>
    </w:p>
    <w:p w:rsidR="00481D63" w:rsidRDefault="00481D63" w:rsidP="004A324C">
      <w:pPr>
        <w:jc w:val="both"/>
        <w:rPr>
          <w:rFonts w:ascii="Arial" w:eastAsia="Times New Roman" w:hAnsi="Arial" w:cs="Arial"/>
        </w:rPr>
      </w:pPr>
    </w:p>
    <w:p w:rsidR="00BF3665" w:rsidRDefault="009819AE" w:rsidP="004A324C">
      <w:pPr>
        <w:pStyle w:val="Prrafodelista"/>
        <w:numPr>
          <w:ilvl w:val="0"/>
          <w:numId w:val="2"/>
        </w:numPr>
        <w:jc w:val="both"/>
        <w:rPr>
          <w:rFonts w:ascii="Arial" w:hAnsi="Arial" w:cs="Arial"/>
          <w:b/>
        </w:rPr>
      </w:pPr>
      <w:r w:rsidRPr="00FF1B19">
        <w:rPr>
          <w:rFonts w:ascii="Arial" w:hAnsi="Arial" w:cs="Arial"/>
          <w:b/>
        </w:rPr>
        <w:t xml:space="preserve"> Efectos de la resolución.</w:t>
      </w:r>
    </w:p>
    <w:p w:rsidR="00694F13" w:rsidRDefault="00694F13" w:rsidP="004A324C">
      <w:pPr>
        <w:pStyle w:val="Prrafodelista"/>
        <w:jc w:val="both"/>
        <w:rPr>
          <w:rFonts w:ascii="Arial" w:hAnsi="Arial" w:cs="Arial"/>
          <w:b/>
        </w:rPr>
      </w:pPr>
    </w:p>
    <w:p w:rsidR="00FF1B19" w:rsidRDefault="00FF1B19" w:rsidP="004A324C">
      <w:pPr>
        <w:jc w:val="both"/>
        <w:rPr>
          <w:rFonts w:ascii="Arial" w:hAnsi="Arial" w:cs="Arial"/>
        </w:rPr>
      </w:pPr>
      <w:r w:rsidRPr="00476EF2">
        <w:rPr>
          <w:rFonts w:ascii="Arial" w:hAnsi="Arial" w:cs="Arial"/>
        </w:rPr>
        <w:t xml:space="preserve">El Comité de Transparencia en Pleno determinó </w:t>
      </w:r>
      <w:r w:rsidRPr="008565C9">
        <w:rPr>
          <w:rFonts w:ascii="Arial" w:hAnsi="Arial" w:cs="Arial"/>
        </w:rPr>
        <w:t xml:space="preserve">procedente confirmar el </w:t>
      </w:r>
      <w:r w:rsidR="008565C9" w:rsidRPr="008565C9">
        <w:rPr>
          <w:rFonts w:ascii="Arial" w:hAnsi="Arial" w:cs="Arial"/>
        </w:rPr>
        <w:t xml:space="preserve">acuerdo de reserva </w:t>
      </w:r>
      <w:r w:rsidR="00374F51">
        <w:rPr>
          <w:rFonts w:ascii="Arial" w:hAnsi="Arial" w:cs="Arial"/>
          <w:b/>
        </w:rPr>
        <w:t>total</w:t>
      </w:r>
      <w:r w:rsidR="007F24DE">
        <w:rPr>
          <w:rFonts w:ascii="Arial" w:hAnsi="Arial" w:cs="Arial"/>
          <w:b/>
        </w:rPr>
        <w:t xml:space="preserve"> </w:t>
      </w:r>
      <w:r w:rsidRPr="00476EF2">
        <w:rPr>
          <w:rFonts w:ascii="Arial" w:hAnsi="Arial" w:cs="Arial"/>
        </w:rPr>
        <w:t xml:space="preserve">número </w:t>
      </w:r>
      <w:r w:rsidR="008565C9" w:rsidRPr="00AA4B7C">
        <w:rPr>
          <w:rFonts w:ascii="Arial" w:hAnsi="Arial" w:cs="Arial"/>
          <w:b/>
        </w:rPr>
        <w:t>AR/</w:t>
      </w:r>
      <w:r w:rsidR="00F6247F">
        <w:rPr>
          <w:rFonts w:ascii="Arial" w:hAnsi="Arial" w:cs="Arial"/>
          <w:b/>
        </w:rPr>
        <w:t>04</w:t>
      </w:r>
      <w:r w:rsidR="008565C9" w:rsidRPr="00AA4B7C">
        <w:rPr>
          <w:rFonts w:ascii="Arial" w:hAnsi="Arial" w:cs="Arial"/>
          <w:b/>
        </w:rPr>
        <w:t>/202</w:t>
      </w:r>
      <w:r w:rsidR="00F6247F">
        <w:rPr>
          <w:rFonts w:ascii="Arial" w:hAnsi="Arial" w:cs="Arial"/>
          <w:b/>
        </w:rPr>
        <w:t>6</w:t>
      </w:r>
      <w:r w:rsidRPr="00476EF2">
        <w:rPr>
          <w:rFonts w:ascii="Arial" w:hAnsi="Arial" w:cs="Arial"/>
          <w:b/>
        </w:rPr>
        <w:t xml:space="preserve"> </w:t>
      </w:r>
      <w:r w:rsidRPr="00476EF2">
        <w:rPr>
          <w:rFonts w:ascii="Arial" w:hAnsi="Arial" w:cs="Arial"/>
        </w:rPr>
        <w:t>emitido por</w:t>
      </w:r>
      <w:r w:rsidR="007F24DE">
        <w:rPr>
          <w:rFonts w:ascii="Arial" w:hAnsi="Arial" w:cs="Arial"/>
        </w:rPr>
        <w:t xml:space="preserve"> el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31213A">
        <w:rPr>
          <w:rFonts w:ascii="Arial" w:hAnsi="Arial" w:cs="Arial"/>
        </w:rPr>
        <w:t>Órgano Interno de Control</w:t>
      </w:r>
      <w:r w:rsidR="002E085B">
        <w:rPr>
          <w:rFonts w:ascii="Arial" w:hAnsi="Arial" w:cs="Arial"/>
        </w:rPr>
        <w:t>.</w:t>
      </w:r>
      <w:r w:rsidR="001E24B3">
        <w:rPr>
          <w:rFonts w:ascii="Arial" w:hAnsi="Arial" w:cs="Arial"/>
        </w:rPr>
        <w:t xml:space="preserve"> </w:t>
      </w:r>
    </w:p>
    <w:p w:rsidR="00FF1B19" w:rsidRDefault="00FF1B19" w:rsidP="004A324C">
      <w:pPr>
        <w:jc w:val="both"/>
        <w:rPr>
          <w:rFonts w:ascii="Arial" w:hAnsi="Arial" w:cs="Arial"/>
        </w:rPr>
      </w:pPr>
      <w:r w:rsidRPr="00476EF2">
        <w:rPr>
          <w:rFonts w:ascii="Arial" w:hAnsi="Arial" w:cs="Arial"/>
        </w:rPr>
        <w:lastRenderedPageBreak/>
        <w:t xml:space="preserve">Se instruye al </w:t>
      </w:r>
      <w:r w:rsidR="00C24991">
        <w:rPr>
          <w:rFonts w:ascii="Arial" w:hAnsi="Arial" w:cs="Arial"/>
        </w:rPr>
        <w:t>d</w:t>
      </w:r>
      <w:r w:rsidR="00EE7429">
        <w:rPr>
          <w:rFonts w:ascii="Arial" w:hAnsi="Arial" w:cs="Arial"/>
        </w:rPr>
        <w:t>octor Jesús Rafael Rodríguez López</w:t>
      </w:r>
      <w:r w:rsidR="003E4299">
        <w:rPr>
          <w:rFonts w:ascii="Arial" w:hAnsi="Arial" w:cs="Arial"/>
        </w:rPr>
        <w:t xml:space="preserve">, titular del </w:t>
      </w:r>
      <w:r w:rsidR="00164F0D">
        <w:rPr>
          <w:rFonts w:ascii="Arial" w:hAnsi="Arial" w:cs="Arial"/>
        </w:rPr>
        <w:t>Ó</w:t>
      </w:r>
      <w:r w:rsidR="003E4299">
        <w:rPr>
          <w:rFonts w:ascii="Arial" w:hAnsi="Arial" w:cs="Arial"/>
        </w:rPr>
        <w:t xml:space="preserve">rgano </w:t>
      </w:r>
      <w:r w:rsidR="00164F0D">
        <w:rPr>
          <w:rFonts w:ascii="Arial" w:hAnsi="Arial" w:cs="Arial"/>
        </w:rPr>
        <w:t>I</w:t>
      </w:r>
      <w:r w:rsidR="003E4299">
        <w:rPr>
          <w:rFonts w:ascii="Arial" w:hAnsi="Arial" w:cs="Arial"/>
        </w:rPr>
        <w:t xml:space="preserve">nterno de </w:t>
      </w:r>
      <w:r w:rsidR="00164F0D">
        <w:rPr>
          <w:rFonts w:ascii="Arial" w:hAnsi="Arial" w:cs="Arial"/>
        </w:rPr>
        <w:t>C</w:t>
      </w:r>
      <w:r w:rsidR="003E4299">
        <w:rPr>
          <w:rFonts w:ascii="Arial" w:hAnsi="Arial" w:cs="Arial"/>
        </w:rPr>
        <w:t>ontrol</w:t>
      </w:r>
      <w:r w:rsidR="003E4299" w:rsidRPr="00476EF2">
        <w:rPr>
          <w:rFonts w:ascii="Arial" w:hAnsi="Arial" w:cs="Arial"/>
        </w:rPr>
        <w:t xml:space="preserve"> </w:t>
      </w:r>
      <w:r w:rsidRPr="00476EF2">
        <w:rPr>
          <w:rFonts w:ascii="Arial" w:hAnsi="Arial" w:cs="Arial"/>
        </w:rPr>
        <w:t xml:space="preserve">que notifique a los </w:t>
      </w:r>
      <w:r w:rsidR="00DA4A66">
        <w:rPr>
          <w:rFonts w:ascii="Arial" w:hAnsi="Arial" w:cs="Arial"/>
        </w:rPr>
        <w:t>t</w:t>
      </w:r>
      <w:r w:rsidRPr="00476EF2">
        <w:rPr>
          <w:rFonts w:ascii="Arial" w:hAnsi="Arial" w:cs="Arial"/>
        </w:rPr>
        <w:t xml:space="preserve">itulares de las diversas áreas de la </w:t>
      </w:r>
      <w:r w:rsidR="00481D63">
        <w:rPr>
          <w:rFonts w:ascii="Arial" w:hAnsi="Arial" w:cs="Arial"/>
        </w:rPr>
        <w:t>i</w:t>
      </w:r>
      <w:r w:rsidRPr="00476EF2">
        <w:rPr>
          <w:rFonts w:ascii="Arial" w:hAnsi="Arial" w:cs="Arial"/>
        </w:rPr>
        <w:t>nstitución que deberán de conocer esta resolución.</w:t>
      </w:r>
    </w:p>
    <w:p w:rsidR="00C24991" w:rsidRDefault="00C24991" w:rsidP="004A324C">
      <w:pPr>
        <w:jc w:val="both"/>
        <w:rPr>
          <w:rFonts w:ascii="Arial" w:hAnsi="Arial" w:cs="Arial"/>
        </w:rPr>
      </w:pPr>
    </w:p>
    <w:p w:rsidR="00FF1B19" w:rsidRDefault="00FF1B19" w:rsidP="004A324C">
      <w:pPr>
        <w:pStyle w:val="Sinespaciado"/>
        <w:jc w:val="both"/>
        <w:rPr>
          <w:rFonts w:ascii="Arial" w:eastAsiaTheme="minorEastAsia" w:hAnsi="Arial" w:cs="Arial"/>
          <w:sz w:val="24"/>
          <w:szCs w:val="24"/>
          <w:lang w:eastAsia="es-ES"/>
        </w:rPr>
      </w:pPr>
      <w:r w:rsidRPr="00476EF2">
        <w:rPr>
          <w:rFonts w:ascii="Arial" w:eastAsiaTheme="minorEastAsia" w:hAnsi="Arial" w:cs="Arial"/>
          <w:sz w:val="24"/>
          <w:szCs w:val="24"/>
          <w:lang w:eastAsia="es-ES"/>
        </w:rPr>
        <w:t>Respecto a</w:t>
      </w:r>
      <w:r w:rsidR="001E24B3">
        <w:rPr>
          <w:rFonts w:ascii="Arial" w:eastAsiaTheme="minorEastAsia" w:hAnsi="Arial" w:cs="Arial"/>
          <w:sz w:val="24"/>
          <w:szCs w:val="24"/>
          <w:lang w:eastAsia="es-ES"/>
        </w:rPr>
        <w:t xml:space="preserve"> la</w:t>
      </w:r>
      <w:r w:rsidR="00490831">
        <w:rPr>
          <w:rFonts w:ascii="Arial" w:eastAsiaTheme="minorEastAsia" w:hAnsi="Arial" w:cs="Arial"/>
          <w:sz w:val="24"/>
          <w:szCs w:val="24"/>
          <w:lang w:eastAsia="es-ES"/>
        </w:rPr>
        <w:t xml:space="preserve"> </w:t>
      </w:r>
      <w:r w:rsidR="003E4299">
        <w:rPr>
          <w:rFonts w:ascii="Arial" w:eastAsiaTheme="minorEastAsia" w:hAnsi="Arial" w:cs="Arial"/>
          <w:sz w:val="24"/>
          <w:szCs w:val="24"/>
          <w:lang w:eastAsia="es-ES"/>
        </w:rPr>
        <w:t xml:space="preserve">publicación de la información de las versiones </w:t>
      </w:r>
      <w:r w:rsidR="00490831">
        <w:rPr>
          <w:rFonts w:ascii="Arial" w:eastAsiaTheme="minorEastAsia" w:hAnsi="Arial" w:cs="Arial"/>
          <w:sz w:val="24"/>
          <w:szCs w:val="24"/>
          <w:lang w:eastAsia="es-ES"/>
        </w:rPr>
        <w:t>públicas</w:t>
      </w:r>
      <w:r w:rsidR="003E4299">
        <w:rPr>
          <w:rFonts w:ascii="Arial" w:eastAsiaTheme="minorEastAsia" w:hAnsi="Arial" w:cs="Arial"/>
          <w:sz w:val="24"/>
          <w:szCs w:val="24"/>
          <w:lang w:eastAsia="es-ES"/>
        </w:rPr>
        <w:t xml:space="preserve"> de las declaraciones, de situación patrimonia</w:t>
      </w:r>
      <w:r w:rsidR="00490831">
        <w:rPr>
          <w:rFonts w:ascii="Arial" w:eastAsiaTheme="minorEastAsia" w:hAnsi="Arial" w:cs="Arial"/>
          <w:sz w:val="24"/>
          <w:szCs w:val="24"/>
          <w:lang w:eastAsia="es-ES"/>
        </w:rPr>
        <w:t>l</w:t>
      </w:r>
      <w:r w:rsidR="003E4299">
        <w:rPr>
          <w:rFonts w:ascii="Arial" w:eastAsiaTheme="minorEastAsia" w:hAnsi="Arial" w:cs="Arial"/>
          <w:sz w:val="24"/>
          <w:szCs w:val="24"/>
          <w:lang w:eastAsia="es-ES"/>
        </w:rPr>
        <w:t>, fiscal y de intereses que presentar</w:t>
      </w:r>
      <w:r w:rsidR="00490831">
        <w:rPr>
          <w:rFonts w:ascii="Arial" w:eastAsiaTheme="minorEastAsia" w:hAnsi="Arial" w:cs="Arial"/>
          <w:sz w:val="24"/>
          <w:szCs w:val="24"/>
          <w:lang w:eastAsia="es-ES"/>
        </w:rPr>
        <w:t>o</w:t>
      </w:r>
      <w:r w:rsidR="003E4299">
        <w:rPr>
          <w:rFonts w:ascii="Arial" w:eastAsiaTheme="minorEastAsia" w:hAnsi="Arial" w:cs="Arial"/>
          <w:sz w:val="24"/>
          <w:szCs w:val="24"/>
          <w:lang w:eastAsia="es-ES"/>
        </w:rPr>
        <w:t xml:space="preserve">n los servidores públicos en el mes de </w:t>
      </w:r>
      <w:r w:rsidR="00F6247F">
        <w:rPr>
          <w:rFonts w:ascii="Arial" w:eastAsiaTheme="minorEastAsia" w:hAnsi="Arial" w:cs="Arial"/>
          <w:b/>
          <w:sz w:val="24"/>
          <w:szCs w:val="24"/>
          <w:lang w:eastAsia="es-ES"/>
        </w:rPr>
        <w:t>enero</w:t>
      </w:r>
      <w:r w:rsidR="00A9088A">
        <w:rPr>
          <w:rFonts w:ascii="Arial" w:eastAsiaTheme="minorEastAsia" w:hAnsi="Arial" w:cs="Arial"/>
          <w:b/>
          <w:sz w:val="24"/>
          <w:szCs w:val="24"/>
          <w:lang w:eastAsia="es-ES"/>
        </w:rPr>
        <w:t xml:space="preserve"> </w:t>
      </w:r>
      <w:r w:rsidR="00662DF6">
        <w:rPr>
          <w:rFonts w:ascii="Arial" w:eastAsiaTheme="minorEastAsia" w:hAnsi="Arial" w:cs="Arial"/>
          <w:b/>
          <w:sz w:val="24"/>
          <w:szCs w:val="24"/>
          <w:lang w:eastAsia="es-ES"/>
        </w:rPr>
        <w:t>202</w:t>
      </w:r>
      <w:r w:rsidR="00F6247F">
        <w:rPr>
          <w:rFonts w:ascii="Arial" w:eastAsiaTheme="minorEastAsia" w:hAnsi="Arial" w:cs="Arial"/>
          <w:b/>
          <w:sz w:val="24"/>
          <w:szCs w:val="24"/>
          <w:lang w:eastAsia="es-ES"/>
        </w:rPr>
        <w:t>6</w:t>
      </w:r>
      <w:r w:rsidR="003E4299">
        <w:rPr>
          <w:rFonts w:ascii="Arial" w:eastAsiaTheme="minorEastAsia" w:hAnsi="Arial" w:cs="Arial"/>
          <w:sz w:val="24"/>
          <w:szCs w:val="24"/>
          <w:lang w:eastAsia="es-ES"/>
        </w:rPr>
        <w:t xml:space="preserve">, </w:t>
      </w:r>
      <w:r w:rsidR="001E24B3">
        <w:rPr>
          <w:rFonts w:ascii="Arial" w:eastAsiaTheme="minorEastAsia" w:hAnsi="Arial" w:cs="Arial"/>
          <w:sz w:val="24"/>
          <w:szCs w:val="24"/>
          <w:lang w:eastAsia="es-ES"/>
        </w:rPr>
        <w:t xml:space="preserve">deberá de realizarla en estricto cumplimiento a </w:t>
      </w:r>
      <w:r w:rsidRPr="00476EF2">
        <w:rPr>
          <w:rFonts w:ascii="Arial" w:eastAsiaTheme="minorEastAsia" w:hAnsi="Arial" w:cs="Arial"/>
          <w:sz w:val="24"/>
          <w:szCs w:val="24"/>
          <w:lang w:eastAsia="es-ES"/>
        </w:rPr>
        <w:t xml:space="preserve">LTAIPSLP y de los LGCDIEVP analizando los rubros aquí reservados. </w:t>
      </w:r>
    </w:p>
    <w:p w:rsidR="00B11FCD" w:rsidRDefault="00B11FCD" w:rsidP="004A324C">
      <w:pPr>
        <w:pStyle w:val="Sinespaciado"/>
        <w:jc w:val="both"/>
        <w:rPr>
          <w:rFonts w:ascii="Arial" w:eastAsiaTheme="minorEastAsia" w:hAnsi="Arial" w:cs="Arial"/>
          <w:sz w:val="24"/>
          <w:szCs w:val="24"/>
          <w:lang w:eastAsia="es-ES"/>
        </w:rPr>
      </w:pPr>
    </w:p>
    <w:p w:rsidR="00BF3665" w:rsidRDefault="009819AE" w:rsidP="004A324C">
      <w:pPr>
        <w:widowControl w:val="0"/>
        <w:jc w:val="both"/>
        <w:rPr>
          <w:rFonts w:ascii="Arial" w:hAnsi="Arial" w:cs="Arial"/>
        </w:rPr>
      </w:pPr>
      <w:r>
        <w:rPr>
          <w:rFonts w:ascii="Arial" w:hAnsi="Arial" w:cs="Arial"/>
        </w:rPr>
        <w:t>Se instruye al</w:t>
      </w:r>
      <w:r w:rsidR="00EE7429">
        <w:rPr>
          <w:rFonts w:ascii="Arial" w:hAnsi="Arial" w:cs="Arial"/>
        </w:rPr>
        <w:t xml:space="preserve"> </w:t>
      </w:r>
      <w:r w:rsidR="004A45B9">
        <w:rPr>
          <w:rFonts w:ascii="Arial" w:hAnsi="Arial" w:cs="Arial"/>
        </w:rPr>
        <w:t>d</w:t>
      </w:r>
      <w:r w:rsidR="00EE7429">
        <w:rPr>
          <w:rFonts w:ascii="Arial" w:hAnsi="Arial" w:cs="Arial"/>
        </w:rPr>
        <w:t>octor Jesús Rafael Rodríguez López</w:t>
      </w:r>
      <w:r w:rsidR="00EE0DE9">
        <w:rPr>
          <w:rFonts w:ascii="Arial" w:hAnsi="Arial" w:cs="Arial"/>
        </w:rPr>
        <w:t>, titular del órgano interno de control</w:t>
      </w:r>
      <w:r w:rsidR="002E085B">
        <w:rPr>
          <w:rFonts w:ascii="Arial" w:hAnsi="Arial" w:cs="Arial"/>
        </w:rPr>
        <w:t xml:space="preserve">, </w:t>
      </w:r>
      <w:r>
        <w:rPr>
          <w:rFonts w:ascii="Arial" w:hAnsi="Arial" w:cs="Arial"/>
        </w:rPr>
        <w:t xml:space="preserve">para que realice las anotaciones correspondientes en los documentos clasificados como </w:t>
      </w:r>
      <w:r w:rsidRPr="001E24B3">
        <w:rPr>
          <w:rFonts w:ascii="Arial" w:hAnsi="Arial" w:cs="Arial"/>
        </w:rPr>
        <w:t>reservados,</w:t>
      </w:r>
      <w:r>
        <w:rPr>
          <w:rFonts w:ascii="Arial" w:hAnsi="Arial" w:cs="Arial"/>
        </w:rPr>
        <w:t xml:space="preserve"> de conformidad con el artículo 121 de la LTAIPSLP, concatenado con el lineamiento </w:t>
      </w:r>
      <w:r w:rsidR="002E085B">
        <w:rPr>
          <w:rFonts w:ascii="Arial" w:hAnsi="Arial" w:cs="Arial"/>
        </w:rPr>
        <w:t>q</w:t>
      </w:r>
      <w:r>
        <w:rPr>
          <w:rFonts w:ascii="Arial" w:hAnsi="Arial" w:cs="Arial"/>
        </w:rPr>
        <w:t xml:space="preserve">uincuagésimo </w:t>
      </w:r>
      <w:r w:rsidR="002E085B">
        <w:rPr>
          <w:rFonts w:ascii="Arial" w:hAnsi="Arial" w:cs="Arial"/>
        </w:rPr>
        <w:t>p</w:t>
      </w:r>
      <w:r>
        <w:rPr>
          <w:rFonts w:ascii="Arial" w:hAnsi="Arial" w:cs="Arial"/>
        </w:rPr>
        <w:t xml:space="preserve">rimero de los LGCDIEVP. </w:t>
      </w:r>
    </w:p>
    <w:p w:rsidR="00C24991" w:rsidRDefault="00C24991" w:rsidP="004A324C">
      <w:pPr>
        <w:widowControl w:val="0"/>
        <w:jc w:val="both"/>
        <w:rPr>
          <w:rFonts w:ascii="Arial" w:hAnsi="Arial" w:cs="Arial"/>
        </w:rPr>
      </w:pPr>
    </w:p>
    <w:p w:rsidR="00BF3665" w:rsidRDefault="009819AE" w:rsidP="004A324C">
      <w:pPr>
        <w:jc w:val="both"/>
        <w:rPr>
          <w:rFonts w:ascii="Arial" w:hAnsi="Arial" w:cs="Arial"/>
        </w:rPr>
      </w:pPr>
      <w:r>
        <w:rPr>
          <w:rFonts w:ascii="Arial" w:hAnsi="Arial" w:cs="Arial"/>
        </w:rPr>
        <w:t>Por lo anteriormente expuesto, y fundado por los artículos 51, 52, fracción II y demás relativos aplicables de la LTAIPSLP</w:t>
      </w:r>
      <w:r w:rsidR="002E085B">
        <w:rPr>
          <w:rFonts w:ascii="Arial" w:hAnsi="Arial" w:cs="Arial"/>
        </w:rPr>
        <w:t>,</w:t>
      </w:r>
      <w:r>
        <w:rPr>
          <w:rFonts w:ascii="Arial" w:hAnsi="Arial" w:cs="Arial"/>
        </w:rPr>
        <w:t xml:space="preserve"> y el artículo tercero del </w:t>
      </w:r>
      <w:r w:rsidR="002E085B">
        <w:rPr>
          <w:rFonts w:ascii="Arial" w:hAnsi="Arial" w:cs="Arial"/>
        </w:rPr>
        <w:t>a</w:t>
      </w:r>
      <w:r>
        <w:rPr>
          <w:rFonts w:ascii="Arial" w:hAnsi="Arial" w:cs="Arial"/>
        </w:rPr>
        <w:t xml:space="preserve">cuerdo </w:t>
      </w:r>
      <w:r w:rsidR="002E085B">
        <w:rPr>
          <w:rFonts w:ascii="Arial" w:hAnsi="Arial" w:cs="Arial"/>
        </w:rPr>
        <w:t>g</w:t>
      </w:r>
      <w:r>
        <w:rPr>
          <w:rFonts w:ascii="Arial" w:hAnsi="Arial" w:cs="Arial"/>
        </w:rPr>
        <w:t>eneral número AG/011/2020 se:</w:t>
      </w:r>
    </w:p>
    <w:p w:rsidR="00B11FCD" w:rsidRDefault="00B11FCD" w:rsidP="004A324C">
      <w:pPr>
        <w:jc w:val="both"/>
        <w:rPr>
          <w:rFonts w:ascii="Arial" w:hAnsi="Arial" w:cs="Arial"/>
        </w:rPr>
      </w:pPr>
    </w:p>
    <w:p w:rsidR="00CB380F" w:rsidRDefault="00CB380F" w:rsidP="004A324C">
      <w:pPr>
        <w:jc w:val="both"/>
        <w:rPr>
          <w:rFonts w:ascii="Arial" w:hAnsi="Arial" w:cs="Arial"/>
        </w:rPr>
      </w:pPr>
    </w:p>
    <w:p w:rsidR="00BF3665" w:rsidRDefault="009819AE" w:rsidP="004A324C">
      <w:pPr>
        <w:jc w:val="center"/>
        <w:rPr>
          <w:rFonts w:ascii="Arial" w:hAnsi="Arial" w:cs="Arial"/>
          <w:b/>
        </w:rPr>
      </w:pPr>
      <w:r>
        <w:rPr>
          <w:rFonts w:ascii="Arial" w:hAnsi="Arial" w:cs="Arial"/>
          <w:b/>
        </w:rPr>
        <w:t>RESUELVE POR UNANIMIDAD:</w:t>
      </w:r>
    </w:p>
    <w:p w:rsidR="004A324C" w:rsidRDefault="004A324C" w:rsidP="004A324C">
      <w:pPr>
        <w:jc w:val="center"/>
        <w:rPr>
          <w:rFonts w:ascii="Arial" w:hAnsi="Arial" w:cs="Arial"/>
          <w:b/>
        </w:rPr>
      </w:pPr>
    </w:p>
    <w:p w:rsidR="00C24991" w:rsidRDefault="00C24991" w:rsidP="004A324C">
      <w:pPr>
        <w:jc w:val="center"/>
        <w:rPr>
          <w:rFonts w:ascii="Arial" w:hAnsi="Arial" w:cs="Arial"/>
          <w:b/>
        </w:rPr>
      </w:pPr>
    </w:p>
    <w:p w:rsidR="00476EF2" w:rsidRDefault="00476EF2" w:rsidP="004A324C">
      <w:pPr>
        <w:jc w:val="both"/>
        <w:rPr>
          <w:rFonts w:ascii="Arial" w:hAnsi="Arial" w:cs="Arial"/>
        </w:rPr>
      </w:pPr>
      <w:bookmarkStart w:id="2" w:name="_Hlk179366539"/>
      <w:r w:rsidRPr="00476EF2">
        <w:rPr>
          <w:rFonts w:ascii="Arial" w:hAnsi="Arial" w:cs="Arial"/>
          <w:b/>
        </w:rPr>
        <w:t>PRIMERO.</w:t>
      </w:r>
      <w:r w:rsidRPr="00476EF2">
        <w:rPr>
          <w:rFonts w:ascii="Arial" w:hAnsi="Arial" w:cs="Arial"/>
        </w:rPr>
        <w:t xml:space="preserve"> Se </w:t>
      </w:r>
      <w:r w:rsidRPr="00476EF2">
        <w:rPr>
          <w:rFonts w:ascii="Arial" w:hAnsi="Arial" w:cs="Arial"/>
          <w:b/>
        </w:rPr>
        <w:t>confirma</w:t>
      </w:r>
      <w:r w:rsidRPr="00476EF2">
        <w:rPr>
          <w:rFonts w:ascii="Arial" w:hAnsi="Arial" w:cs="Arial"/>
        </w:rPr>
        <w:t xml:space="preserve"> y adopta el </w:t>
      </w:r>
      <w:r w:rsidR="001E24B3" w:rsidRPr="008565C9">
        <w:rPr>
          <w:rFonts w:ascii="Arial" w:hAnsi="Arial" w:cs="Arial"/>
        </w:rPr>
        <w:t xml:space="preserve">acuerdo de reserva </w:t>
      </w:r>
      <w:r w:rsidR="002E085B">
        <w:rPr>
          <w:rFonts w:ascii="Arial" w:hAnsi="Arial" w:cs="Arial"/>
          <w:b/>
        </w:rPr>
        <w:t>total</w:t>
      </w:r>
      <w:r w:rsidR="001E24B3" w:rsidRPr="008565C9">
        <w:rPr>
          <w:rFonts w:ascii="Arial" w:hAnsi="Arial" w:cs="Arial"/>
        </w:rPr>
        <w:t xml:space="preserve"> </w:t>
      </w:r>
      <w:r w:rsidRPr="008565C9">
        <w:rPr>
          <w:rFonts w:ascii="Arial" w:hAnsi="Arial" w:cs="Arial"/>
        </w:rPr>
        <w:t xml:space="preserve">número </w:t>
      </w:r>
      <w:r w:rsidR="008565C9" w:rsidRPr="00662DF6">
        <w:rPr>
          <w:rFonts w:ascii="Arial" w:hAnsi="Arial" w:cs="Arial"/>
          <w:b/>
        </w:rPr>
        <w:t>AR/</w:t>
      </w:r>
      <w:r w:rsidR="00F6247F">
        <w:rPr>
          <w:rFonts w:ascii="Arial" w:hAnsi="Arial" w:cs="Arial"/>
          <w:b/>
        </w:rPr>
        <w:t>04</w:t>
      </w:r>
      <w:r w:rsidR="008565C9" w:rsidRPr="00662DF6">
        <w:rPr>
          <w:rFonts w:ascii="Arial" w:hAnsi="Arial" w:cs="Arial"/>
          <w:b/>
        </w:rPr>
        <w:t>/202</w:t>
      </w:r>
      <w:r w:rsidR="00316644">
        <w:rPr>
          <w:rFonts w:ascii="Arial" w:hAnsi="Arial" w:cs="Arial"/>
          <w:b/>
        </w:rPr>
        <w:t>6</w:t>
      </w:r>
      <w:r w:rsidRPr="008565C9">
        <w:rPr>
          <w:rFonts w:ascii="Arial" w:hAnsi="Arial" w:cs="Arial"/>
        </w:rPr>
        <w:t>,</w:t>
      </w:r>
      <w:r w:rsidRPr="00476EF2">
        <w:rPr>
          <w:rFonts w:ascii="Arial" w:hAnsi="Arial" w:cs="Arial"/>
          <w:b/>
        </w:rPr>
        <w:t xml:space="preserve"> </w:t>
      </w:r>
      <w:r w:rsidRPr="00476EF2">
        <w:rPr>
          <w:rFonts w:ascii="Arial" w:hAnsi="Arial" w:cs="Arial"/>
        </w:rPr>
        <w:t xml:space="preserve">emitido por el </w:t>
      </w:r>
      <w:r w:rsidR="00C24991">
        <w:rPr>
          <w:rFonts w:ascii="Arial" w:hAnsi="Arial" w:cs="Arial"/>
        </w:rPr>
        <w:t>d</w:t>
      </w:r>
      <w:r w:rsidR="00502E2B">
        <w:rPr>
          <w:rFonts w:ascii="Arial" w:hAnsi="Arial" w:cs="Arial"/>
        </w:rPr>
        <w:t>octor Jesús Rafael Rodríguez López</w:t>
      </w:r>
      <w:r w:rsidR="00EE0DE9">
        <w:rPr>
          <w:rFonts w:ascii="Arial" w:hAnsi="Arial" w:cs="Arial"/>
        </w:rPr>
        <w:t xml:space="preserve">, titular del </w:t>
      </w:r>
      <w:r w:rsidR="00164F0D">
        <w:rPr>
          <w:rFonts w:ascii="Arial" w:hAnsi="Arial" w:cs="Arial"/>
        </w:rPr>
        <w:t>Ó</w:t>
      </w:r>
      <w:r w:rsidR="00EE0DE9">
        <w:rPr>
          <w:rFonts w:ascii="Arial" w:hAnsi="Arial" w:cs="Arial"/>
        </w:rPr>
        <w:t xml:space="preserve">rgano </w:t>
      </w:r>
      <w:r w:rsidR="00164F0D">
        <w:rPr>
          <w:rFonts w:ascii="Arial" w:hAnsi="Arial" w:cs="Arial"/>
        </w:rPr>
        <w:t>I</w:t>
      </w:r>
      <w:r w:rsidR="00EE0DE9">
        <w:rPr>
          <w:rFonts w:ascii="Arial" w:hAnsi="Arial" w:cs="Arial"/>
        </w:rPr>
        <w:t xml:space="preserve">nterno de </w:t>
      </w:r>
      <w:r w:rsidR="00164F0D">
        <w:rPr>
          <w:rFonts w:ascii="Arial" w:hAnsi="Arial" w:cs="Arial"/>
        </w:rPr>
        <w:t>C</w:t>
      </w:r>
      <w:r w:rsidR="00EE0DE9">
        <w:rPr>
          <w:rFonts w:ascii="Arial" w:hAnsi="Arial" w:cs="Arial"/>
        </w:rPr>
        <w:t>ontrol</w:t>
      </w:r>
      <w:r w:rsidRPr="001E24B3">
        <w:rPr>
          <w:rFonts w:ascii="Arial" w:hAnsi="Arial" w:cs="Arial"/>
        </w:rPr>
        <w:t xml:space="preserve">, por las razones y fundamentos expuestos en el considerando </w:t>
      </w:r>
      <w:r w:rsidR="001E24B3" w:rsidRPr="001E24B3">
        <w:rPr>
          <w:rFonts w:ascii="Arial" w:hAnsi="Arial" w:cs="Arial"/>
          <w:i/>
        </w:rPr>
        <w:t>tercero</w:t>
      </w:r>
      <w:r w:rsidRPr="00476EF2">
        <w:rPr>
          <w:rFonts w:ascii="Arial" w:hAnsi="Arial" w:cs="Arial"/>
        </w:rPr>
        <w:t xml:space="preserve"> de la presente resolución. </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SEGUNDO. </w:t>
      </w:r>
      <w:r w:rsidR="004D05E0" w:rsidRPr="00476EF2">
        <w:rPr>
          <w:rFonts w:ascii="Arial" w:hAnsi="Arial" w:cs="Arial"/>
        </w:rPr>
        <w:t>El</w:t>
      </w:r>
      <w:r w:rsidR="004D05E0">
        <w:rPr>
          <w:rFonts w:ascii="Arial" w:hAnsi="Arial" w:cs="Arial"/>
        </w:rPr>
        <w:t xml:space="preserve"> doctor Jesús Rafael Rodríguez López, titular del Órgano Interno de Control</w:t>
      </w:r>
      <w:r w:rsidR="004D05E0" w:rsidRPr="00476EF2">
        <w:rPr>
          <w:rFonts w:ascii="Arial" w:hAnsi="Arial" w:cs="Arial"/>
        </w:rPr>
        <w:t xml:space="preserve">, debe solicitar la desclasificación una vez que hayan fenecido las causas que dieron origen a la reserva o haya concluido el plazo establecido en el </w:t>
      </w:r>
      <w:r w:rsidR="004D05E0">
        <w:rPr>
          <w:rFonts w:ascii="Arial" w:hAnsi="Arial" w:cs="Arial"/>
        </w:rPr>
        <w:t>c</w:t>
      </w:r>
      <w:r w:rsidR="004D05E0" w:rsidRPr="00476EF2">
        <w:rPr>
          <w:rFonts w:ascii="Arial" w:hAnsi="Arial" w:cs="Arial"/>
        </w:rPr>
        <w:t xml:space="preserve">onsiderando </w:t>
      </w:r>
      <w:r w:rsidR="004D05E0" w:rsidRPr="00450A9E">
        <w:rPr>
          <w:rFonts w:ascii="Arial" w:hAnsi="Arial" w:cs="Arial"/>
          <w:i/>
        </w:rPr>
        <w:t>tercero</w:t>
      </w:r>
      <w:r w:rsidR="004D05E0" w:rsidRPr="00476EF2">
        <w:rPr>
          <w:rFonts w:ascii="Arial" w:hAnsi="Arial" w:cs="Arial"/>
        </w:rPr>
        <w:t xml:space="preserve"> </w:t>
      </w:r>
      <w:r w:rsidR="004D05E0">
        <w:rPr>
          <w:rFonts w:ascii="Arial" w:hAnsi="Arial" w:cs="Arial"/>
        </w:rPr>
        <w:t>fracción</w:t>
      </w:r>
      <w:r w:rsidR="004D05E0" w:rsidRPr="00476EF2">
        <w:rPr>
          <w:rFonts w:ascii="Arial" w:hAnsi="Arial" w:cs="Arial"/>
        </w:rPr>
        <w:t xml:space="preserve"> III de la presente resolución.</w:t>
      </w:r>
    </w:p>
    <w:p w:rsidR="004A324C" w:rsidRDefault="004A324C" w:rsidP="004A324C">
      <w:pPr>
        <w:jc w:val="both"/>
        <w:rPr>
          <w:rFonts w:ascii="Arial" w:hAnsi="Arial" w:cs="Arial"/>
        </w:rPr>
      </w:pPr>
    </w:p>
    <w:p w:rsidR="004F7658" w:rsidRDefault="004F7658" w:rsidP="004A324C">
      <w:pPr>
        <w:jc w:val="both"/>
        <w:rPr>
          <w:rFonts w:ascii="Arial" w:hAnsi="Arial" w:cs="Arial"/>
        </w:rPr>
      </w:pPr>
    </w:p>
    <w:p w:rsidR="004D05E0" w:rsidRDefault="00476EF2" w:rsidP="004A324C">
      <w:pPr>
        <w:jc w:val="both"/>
        <w:rPr>
          <w:rFonts w:ascii="Arial" w:hAnsi="Arial" w:cs="Arial"/>
        </w:rPr>
      </w:pPr>
      <w:r w:rsidRPr="00476EF2">
        <w:rPr>
          <w:rFonts w:ascii="Arial" w:hAnsi="Arial" w:cs="Arial"/>
          <w:b/>
        </w:rPr>
        <w:t xml:space="preserve">TERCERO. </w:t>
      </w:r>
      <w:r w:rsidR="004D05E0" w:rsidRPr="00476EF2">
        <w:rPr>
          <w:rFonts w:ascii="Arial" w:hAnsi="Arial" w:cs="Arial"/>
        </w:rPr>
        <w:t xml:space="preserve">Se instruye </w:t>
      </w:r>
      <w:r w:rsidR="004D05E0">
        <w:rPr>
          <w:rFonts w:ascii="Arial" w:hAnsi="Arial" w:cs="Arial"/>
        </w:rPr>
        <w:t>al doctor Jesús Rafael Rodríguez López, titular del Órgano Interno de Control</w:t>
      </w:r>
      <w:r w:rsidR="004D05E0" w:rsidRPr="00476EF2">
        <w:rPr>
          <w:rFonts w:ascii="Arial" w:hAnsi="Arial" w:cs="Arial"/>
        </w:rPr>
        <w:t xml:space="preserve"> para que dé cumplimiento a los efectos de la presente resolución</w:t>
      </w:r>
      <w:r w:rsidR="004D05E0">
        <w:rPr>
          <w:rFonts w:ascii="Arial" w:hAnsi="Arial" w:cs="Arial"/>
        </w:rPr>
        <w:t xml:space="preserve"> establecidos en el considerando </w:t>
      </w:r>
      <w:r w:rsidR="004D05E0" w:rsidRPr="00450A9E">
        <w:rPr>
          <w:rFonts w:ascii="Arial" w:hAnsi="Arial" w:cs="Arial"/>
          <w:i/>
        </w:rPr>
        <w:t>tercero</w:t>
      </w:r>
      <w:r w:rsidR="004D05E0">
        <w:rPr>
          <w:rFonts w:ascii="Arial" w:hAnsi="Arial" w:cs="Arial"/>
        </w:rPr>
        <w:t xml:space="preserve"> fracción IV</w:t>
      </w:r>
      <w:r w:rsidR="004D05E0" w:rsidRPr="00476EF2">
        <w:rPr>
          <w:rFonts w:ascii="Arial" w:hAnsi="Arial" w:cs="Arial"/>
        </w:rPr>
        <w:t>.</w:t>
      </w:r>
    </w:p>
    <w:p w:rsidR="004A324C" w:rsidRDefault="004A324C" w:rsidP="004A324C">
      <w:pPr>
        <w:jc w:val="both"/>
        <w:rPr>
          <w:rFonts w:ascii="Arial" w:hAnsi="Arial" w:cs="Arial"/>
        </w:rPr>
      </w:pPr>
    </w:p>
    <w:p w:rsidR="00C24991" w:rsidRDefault="00C24991" w:rsidP="004A324C">
      <w:pPr>
        <w:jc w:val="both"/>
        <w:rPr>
          <w:rFonts w:ascii="Arial" w:hAnsi="Arial" w:cs="Arial"/>
        </w:rPr>
      </w:pPr>
    </w:p>
    <w:p w:rsidR="00BF3665" w:rsidRDefault="009819AE" w:rsidP="004A324C">
      <w:pPr>
        <w:jc w:val="both"/>
        <w:rPr>
          <w:rFonts w:ascii="Arial" w:hAnsi="Arial" w:cs="Arial"/>
          <w:b/>
        </w:rPr>
      </w:pPr>
      <w:r>
        <w:rPr>
          <w:rFonts w:ascii="Arial" w:hAnsi="Arial" w:cs="Arial"/>
        </w:rPr>
        <w:t xml:space="preserve">Es preciso dejar asentado que, con el fin de que el Comité de Transparencia lleve un control interno de todas y cada una de las resoluciones que emite, se le asigna el consecutivo </w:t>
      </w:r>
      <w:r w:rsidR="00F64080">
        <w:rPr>
          <w:rFonts w:ascii="Arial" w:hAnsi="Arial" w:cs="Arial"/>
          <w:b/>
        </w:rPr>
        <w:t>FGE-CT-AR-</w:t>
      </w:r>
      <w:r w:rsidR="00F6247F">
        <w:rPr>
          <w:rFonts w:ascii="Arial" w:hAnsi="Arial" w:cs="Arial"/>
          <w:b/>
        </w:rPr>
        <w:t>020</w:t>
      </w:r>
      <w:r>
        <w:rPr>
          <w:rFonts w:ascii="Arial" w:hAnsi="Arial" w:cs="Arial"/>
          <w:b/>
        </w:rPr>
        <w:t>-202</w:t>
      </w:r>
      <w:r w:rsidR="00316644">
        <w:rPr>
          <w:rFonts w:ascii="Arial" w:hAnsi="Arial" w:cs="Arial"/>
          <w:b/>
        </w:rPr>
        <w:t>6</w:t>
      </w:r>
      <w:r>
        <w:rPr>
          <w:rFonts w:ascii="Arial" w:hAnsi="Arial" w:cs="Arial"/>
          <w:b/>
        </w:rPr>
        <w:t>.</w:t>
      </w:r>
    </w:p>
    <w:p w:rsidR="004A324C" w:rsidRPr="00C24991" w:rsidRDefault="004A324C" w:rsidP="004A324C">
      <w:pPr>
        <w:jc w:val="both"/>
        <w:rPr>
          <w:rFonts w:ascii="Arial" w:hAnsi="Arial" w:cs="Arial"/>
        </w:rPr>
      </w:pPr>
    </w:p>
    <w:p w:rsidR="00490831" w:rsidRDefault="00490831" w:rsidP="004A324C">
      <w:pPr>
        <w:jc w:val="both"/>
        <w:rPr>
          <w:rFonts w:ascii="Arial" w:hAnsi="Arial" w:cs="Arial"/>
          <w:b/>
        </w:rPr>
      </w:pPr>
    </w:p>
    <w:bookmarkEnd w:id="2"/>
    <w:p w:rsidR="00BF3665" w:rsidRDefault="009819AE" w:rsidP="004A324C">
      <w:pPr>
        <w:jc w:val="both"/>
        <w:rPr>
          <w:rFonts w:ascii="Arial" w:hAnsi="Arial" w:cs="Arial"/>
        </w:rPr>
      </w:pPr>
      <w:r>
        <w:rPr>
          <w:rFonts w:ascii="Arial" w:hAnsi="Arial" w:cs="Arial"/>
        </w:rPr>
        <w:t xml:space="preserve">En cumplimiento a lo establecido por el artículo 128 fracción IX, de la LTAIPSLP, así como el </w:t>
      </w:r>
      <w:r w:rsidR="00481D63">
        <w:rPr>
          <w:rFonts w:ascii="Arial" w:hAnsi="Arial" w:cs="Arial"/>
        </w:rPr>
        <w:t>l</w:t>
      </w:r>
      <w:r>
        <w:rPr>
          <w:rFonts w:ascii="Arial" w:hAnsi="Arial" w:cs="Arial"/>
        </w:rPr>
        <w:t xml:space="preserve">ineamiento </w:t>
      </w:r>
      <w:r w:rsidR="00481D63">
        <w:rPr>
          <w:rFonts w:ascii="Arial" w:hAnsi="Arial" w:cs="Arial"/>
        </w:rPr>
        <w:t>q</w:t>
      </w:r>
      <w:r>
        <w:rPr>
          <w:rFonts w:ascii="Arial" w:hAnsi="Arial" w:cs="Arial"/>
        </w:rPr>
        <w:t>uincuagésimo primero, fracción V de los LGPCDIEVP, se procede a rubricar la presente resolución.</w:t>
      </w:r>
    </w:p>
    <w:p w:rsidR="00BF3665" w:rsidRDefault="00BF3665" w:rsidP="004A324C">
      <w:pPr>
        <w:rPr>
          <w:rFonts w:ascii="Arial" w:hAnsi="Arial" w:cs="Arial"/>
        </w:rPr>
      </w:pPr>
    </w:p>
    <w:p w:rsidR="00405A61" w:rsidRDefault="00405A61" w:rsidP="004A324C">
      <w:pPr>
        <w:rPr>
          <w:rFonts w:ascii="Arial" w:hAnsi="Arial" w:cs="Arial"/>
        </w:rPr>
      </w:pPr>
    </w:p>
    <w:p w:rsidR="002E085B" w:rsidRDefault="002E085B" w:rsidP="004A324C">
      <w:pPr>
        <w:rPr>
          <w:rFonts w:ascii="Arial" w:hAnsi="Arial" w:cs="Arial"/>
        </w:rPr>
      </w:pPr>
    </w:p>
    <w:p w:rsidR="004A324C" w:rsidRDefault="004A324C" w:rsidP="004A324C">
      <w:pPr>
        <w:rPr>
          <w:rFonts w:ascii="Arial" w:hAnsi="Arial" w:cs="Arial"/>
        </w:rPr>
      </w:pPr>
    </w:p>
    <w:p w:rsidR="00803FA7" w:rsidRDefault="00803FA7" w:rsidP="004A324C">
      <w:pPr>
        <w:rPr>
          <w:rFonts w:ascii="Arial" w:hAnsi="Arial" w:cs="Arial"/>
        </w:rPr>
      </w:pPr>
    </w:p>
    <w:p w:rsidR="00BF3665" w:rsidRDefault="009819AE" w:rsidP="004A324C">
      <w:pPr>
        <w:rPr>
          <w:rFonts w:ascii="Arial" w:hAnsi="Arial" w:cs="Arial"/>
        </w:rPr>
      </w:pPr>
      <w:r>
        <w:rPr>
          <w:rFonts w:ascii="Arial" w:hAnsi="Arial" w:cs="Arial"/>
        </w:rPr>
        <w:t>____________________________________</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BF3665" w:rsidRDefault="009819AE" w:rsidP="004A324C">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B87D5E" w:rsidRDefault="009819AE" w:rsidP="004A324C">
      <w:pPr>
        <w:tabs>
          <w:tab w:val="left" w:pos="8998"/>
          <w:tab w:val="left" w:pos="9932"/>
        </w:tabs>
        <w:spacing w:before="20"/>
        <w:rPr>
          <w:rFonts w:ascii="Arial" w:eastAsia="Arial" w:hAnsi="Arial" w:cs="Arial"/>
          <w:b/>
        </w:rPr>
      </w:pPr>
      <w:r>
        <w:rPr>
          <w:rFonts w:ascii="Arial" w:eastAsia="Arial" w:hAnsi="Arial" w:cs="Arial"/>
          <w:b/>
        </w:rPr>
        <w:t>COMITÉ DE TRANSPARENCIA</w:t>
      </w:r>
    </w:p>
    <w:p w:rsidR="00BF3665" w:rsidRDefault="00BF3665" w:rsidP="004A324C">
      <w:pPr>
        <w:tabs>
          <w:tab w:val="left" w:pos="8998"/>
          <w:tab w:val="left" w:pos="9932"/>
        </w:tabs>
        <w:spacing w:before="20"/>
        <w:rPr>
          <w:rFonts w:ascii="Arial" w:eastAsia="Arial" w:hAnsi="Arial" w:cs="Arial"/>
          <w:b/>
        </w:rPr>
      </w:pPr>
    </w:p>
    <w:p w:rsidR="00CB7ADB" w:rsidRDefault="00CB7ADB" w:rsidP="004A324C">
      <w:pPr>
        <w:tabs>
          <w:tab w:val="left" w:pos="8998"/>
          <w:tab w:val="left" w:pos="9932"/>
        </w:tabs>
        <w:spacing w:before="20"/>
        <w:rPr>
          <w:rFonts w:ascii="Arial" w:eastAsia="Arial" w:hAnsi="Arial" w:cs="Arial"/>
          <w:b/>
        </w:rPr>
      </w:pPr>
    </w:p>
    <w:p w:rsidR="00803FA7" w:rsidRDefault="00803FA7" w:rsidP="004A324C">
      <w:pPr>
        <w:tabs>
          <w:tab w:val="left" w:pos="8998"/>
          <w:tab w:val="left" w:pos="9932"/>
        </w:tabs>
        <w:spacing w:before="20"/>
        <w:rPr>
          <w:rFonts w:ascii="Arial" w:eastAsia="Arial" w:hAnsi="Arial" w:cs="Arial"/>
          <w:b/>
        </w:rPr>
      </w:pPr>
    </w:p>
    <w:p w:rsidR="004A324C" w:rsidRDefault="004A324C" w:rsidP="004A324C">
      <w:pPr>
        <w:tabs>
          <w:tab w:val="left" w:pos="8998"/>
          <w:tab w:val="left" w:pos="9932"/>
        </w:tabs>
        <w:spacing w:before="20"/>
        <w:rPr>
          <w:rFonts w:ascii="Arial" w:eastAsia="Arial" w:hAnsi="Arial" w:cs="Arial"/>
          <w:b/>
        </w:rPr>
      </w:pPr>
    </w:p>
    <w:p w:rsidR="00391F8E" w:rsidRDefault="00391F8E" w:rsidP="004A324C">
      <w:pPr>
        <w:tabs>
          <w:tab w:val="left" w:pos="8998"/>
          <w:tab w:val="left" w:pos="9932"/>
        </w:tabs>
        <w:spacing w:before="20"/>
        <w:rPr>
          <w:rFonts w:ascii="Arial" w:eastAsia="Arial" w:hAnsi="Arial" w:cs="Arial"/>
          <w:b/>
        </w:rPr>
      </w:pPr>
    </w:p>
    <w:p w:rsidR="00204354" w:rsidRDefault="00204354" w:rsidP="004A324C">
      <w:pPr>
        <w:jc w:val="both"/>
        <w:rPr>
          <w:rFonts w:ascii="Arial" w:hAnsi="Arial" w:cs="Arial"/>
        </w:rPr>
      </w:pPr>
      <w:r>
        <w:rPr>
          <w:rFonts w:ascii="Arial" w:hAnsi="Arial" w:cs="Arial"/>
        </w:rPr>
        <w:t>____________________________________</w:t>
      </w:r>
    </w:p>
    <w:p w:rsidR="00A9088A" w:rsidRDefault="00A9088A" w:rsidP="004A324C">
      <w:pPr>
        <w:rPr>
          <w:rFonts w:ascii="Arial" w:hAnsi="Arial" w:cs="Arial"/>
          <w:b/>
          <w:lang w:eastAsia="es-MX"/>
        </w:rPr>
      </w:pPr>
      <w:r>
        <w:rPr>
          <w:rFonts w:ascii="Arial" w:hAnsi="Arial" w:cs="Arial"/>
          <w:b/>
        </w:rPr>
        <w:t xml:space="preserve">MAESTRO CARLOS ALEJANDRO PONCE RODRÍGUEZ </w:t>
      </w:r>
    </w:p>
    <w:p w:rsidR="00A9088A" w:rsidRDefault="00A9088A" w:rsidP="004A324C">
      <w:pPr>
        <w:rPr>
          <w:rFonts w:ascii="Arial" w:hAnsi="Arial" w:cs="Arial"/>
          <w:b/>
        </w:rPr>
      </w:pPr>
      <w:r>
        <w:rPr>
          <w:rFonts w:ascii="Arial" w:hAnsi="Arial" w:cs="Arial"/>
          <w:b/>
        </w:rPr>
        <w:t>VICEFISCAL E INTEGRANTE DEL COMITÉ DE TRANSPARENCIA.</w:t>
      </w:r>
    </w:p>
    <w:p w:rsidR="00480799" w:rsidRDefault="00480799" w:rsidP="004A324C">
      <w:pPr>
        <w:jc w:val="both"/>
        <w:rPr>
          <w:rFonts w:ascii="Arial" w:hAnsi="Arial" w:cs="Arial"/>
          <w:b/>
        </w:rPr>
      </w:pPr>
    </w:p>
    <w:p w:rsidR="00761E70" w:rsidRDefault="00761E70" w:rsidP="004A324C">
      <w:pPr>
        <w:jc w:val="both"/>
        <w:rPr>
          <w:rFonts w:ascii="Arial" w:hAnsi="Arial" w:cs="Arial"/>
          <w:b/>
        </w:rPr>
      </w:pPr>
    </w:p>
    <w:p w:rsidR="00803FA7" w:rsidRDefault="00803FA7" w:rsidP="004A324C">
      <w:pPr>
        <w:jc w:val="both"/>
        <w:rPr>
          <w:rFonts w:ascii="Arial" w:hAnsi="Arial" w:cs="Arial"/>
          <w:b/>
        </w:rPr>
      </w:pPr>
    </w:p>
    <w:p w:rsidR="002E085B" w:rsidRDefault="002E085B" w:rsidP="004A324C">
      <w:pPr>
        <w:jc w:val="both"/>
        <w:rPr>
          <w:rFonts w:ascii="Arial" w:hAnsi="Arial" w:cs="Arial"/>
          <w:b/>
        </w:rPr>
      </w:pPr>
    </w:p>
    <w:p w:rsidR="00694F13" w:rsidRDefault="00694F13" w:rsidP="004A324C">
      <w:pPr>
        <w:jc w:val="both"/>
        <w:rPr>
          <w:rFonts w:ascii="Arial" w:hAnsi="Arial" w:cs="Arial"/>
          <w:b/>
        </w:rPr>
      </w:pPr>
    </w:p>
    <w:p w:rsidR="00BF3665" w:rsidRDefault="009819AE" w:rsidP="004A324C">
      <w:pPr>
        <w:jc w:val="both"/>
        <w:rPr>
          <w:rFonts w:ascii="Arial" w:hAnsi="Arial" w:cs="Arial"/>
        </w:rPr>
      </w:pPr>
      <w:r>
        <w:rPr>
          <w:rFonts w:ascii="Arial" w:hAnsi="Arial" w:cs="Arial"/>
        </w:rPr>
        <w:t>_____________________________________</w:t>
      </w:r>
    </w:p>
    <w:p w:rsidR="00BF3665" w:rsidRPr="00C24991" w:rsidRDefault="00C24991" w:rsidP="004A324C">
      <w:pPr>
        <w:rPr>
          <w:rFonts w:ascii="Arial" w:hAnsi="Arial" w:cs="Arial"/>
          <w:b/>
        </w:rPr>
      </w:pPr>
      <w:r w:rsidRPr="00C24991">
        <w:rPr>
          <w:rFonts w:ascii="Arial" w:hAnsi="Arial" w:cs="Arial"/>
          <w:b/>
        </w:rPr>
        <w:t xml:space="preserve">DOCTOR JESÚS RAFAEL RODRÍGUEZ LÓPEZ </w:t>
      </w:r>
    </w:p>
    <w:p w:rsidR="00B87D5E" w:rsidRDefault="009819AE" w:rsidP="004A324C">
      <w:pPr>
        <w:rPr>
          <w:rFonts w:ascii="Arial" w:hAnsi="Arial" w:cs="Arial"/>
          <w:b/>
        </w:rPr>
      </w:pPr>
      <w:r>
        <w:rPr>
          <w:rFonts w:ascii="Arial" w:hAnsi="Arial" w:cs="Arial"/>
          <w:b/>
        </w:rPr>
        <w:t xml:space="preserve">TITULAR DEL ÓRGANO DE CONTROL INTERNO </w:t>
      </w:r>
    </w:p>
    <w:p w:rsidR="00BF3665" w:rsidRDefault="009819AE" w:rsidP="004A324C">
      <w:pPr>
        <w:rPr>
          <w:rFonts w:ascii="Arial" w:hAnsi="Arial" w:cs="Arial"/>
          <w:b/>
        </w:rPr>
      </w:pPr>
      <w:r>
        <w:rPr>
          <w:rFonts w:ascii="Arial" w:hAnsi="Arial" w:cs="Arial"/>
          <w:b/>
        </w:rPr>
        <w:t>E INTEGRANTE DEL COMITÉ DE TRANSPARENCIA.</w:t>
      </w:r>
    </w:p>
    <w:sectPr w:rsidR="00BF3665" w:rsidSect="004A324C">
      <w:headerReference w:type="even" r:id="rId9"/>
      <w:headerReference w:type="default" r:id="rId10"/>
      <w:footerReference w:type="even" r:id="rId11"/>
      <w:footerReference w:type="default" r:id="rId12"/>
      <w:headerReference w:type="first" r:id="rId13"/>
      <w:footerReference w:type="first" r:id="rId14"/>
      <w:pgSz w:w="12240" w:h="15840"/>
      <w:pgMar w:top="1678"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20BA2" w:rsidRDefault="00220BA2">
      <w:r>
        <w:separator/>
      </w:r>
    </w:p>
  </w:endnote>
  <w:endnote w:type="continuationSeparator" w:id="0">
    <w:p w:rsidR="00220BA2" w:rsidRDefault="00220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628" w:rsidRDefault="00A6062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628" w:rsidRDefault="00A6062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20BA2" w:rsidRDefault="00220BA2">
      <w:r>
        <w:separator/>
      </w:r>
    </w:p>
  </w:footnote>
  <w:footnote w:type="continuationSeparator" w:id="0">
    <w:p w:rsidR="00220BA2" w:rsidRDefault="00220B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628" w:rsidRDefault="00A6062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263532" o:spid="_x0000_s4098" type="#_x0000_t136" style="position:absolute;margin-left:0;margin-top:0;width:602.5pt;height:100.4pt;rotation:315;z-index:-251651072;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5D34" w:rsidRDefault="00A6062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263533" o:spid="_x0000_s4099" type="#_x0000_t136" style="position:absolute;margin-left:0;margin-top:0;width:602.5pt;height:100.4pt;rotation:315;z-index:-251649024;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4A324C">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page">
            <wp:align>left</wp:align>
          </wp:positionH>
          <wp:positionV relativeFrom="paragraph">
            <wp:posOffset>-450470</wp:posOffset>
          </wp:positionV>
          <wp:extent cx="8488680" cy="10971530"/>
          <wp:effectExtent l="0" t="0" r="7620" b="127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53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p>
  <w:p w:rsidR="00165D34" w:rsidRDefault="00165D34">
    <w:pPr>
      <w:pStyle w:val="Encabezado"/>
      <w:tabs>
        <w:tab w:val="clear" w:pos="4419"/>
        <w:tab w:val="clear" w:pos="8838"/>
        <w:tab w:val="left" w:pos="812"/>
        <w:tab w:val="left" w:pos="9200"/>
      </w:tabs>
    </w:pPr>
  </w:p>
  <w:p w:rsidR="00BF3665" w:rsidRDefault="009819AE">
    <w:pPr>
      <w:pStyle w:val="Encabezado"/>
      <w:tabs>
        <w:tab w:val="clear" w:pos="4419"/>
        <w:tab w:val="clear" w:pos="8838"/>
        <w:tab w:val="left" w:pos="812"/>
        <w:tab w:val="left" w:pos="9200"/>
      </w:tabs>
    </w:pPr>
    <w:r>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Ind w:w="-5" w:type="dxa"/>
      <w:tblLook w:val="04A0" w:firstRow="1" w:lastRow="0" w:firstColumn="1" w:lastColumn="0" w:noHBand="0" w:noVBand="1"/>
    </w:tblPr>
    <w:tblGrid>
      <w:gridCol w:w="9962"/>
    </w:tblGrid>
    <w:tr w:rsidR="00165D34" w:rsidTr="004A324C">
      <w:tc>
        <w:tcPr>
          <w:tcW w:w="9962" w:type="dxa"/>
          <w:shd w:val="clear" w:color="auto" w:fill="000000" w:themeFill="text1"/>
        </w:tcPr>
        <w:p w:rsidR="00165D34" w:rsidRPr="00165D34" w:rsidRDefault="00165D34" w:rsidP="00165D34">
          <w:pPr>
            <w:spacing w:line="276" w:lineRule="auto"/>
            <w:jc w:val="both"/>
            <w:rPr>
              <w:lang w:val="es-ES"/>
            </w:rPr>
          </w:pPr>
          <w:r>
            <w:rPr>
              <w:rFonts w:ascii="Arial" w:hAnsi="Arial" w:cs="Arial"/>
              <w:color w:val="FFFFFF" w:themeColor="background1"/>
              <w:sz w:val="18"/>
              <w:szCs w:val="18"/>
            </w:rPr>
            <w:t>0</w:t>
          </w:r>
          <w:r w:rsidR="00CC2ABF">
            <w:rPr>
              <w:rFonts w:ascii="Arial" w:hAnsi="Arial" w:cs="Arial"/>
              <w:color w:val="FFFFFF" w:themeColor="background1"/>
              <w:sz w:val="18"/>
              <w:szCs w:val="18"/>
            </w:rPr>
            <w:t>5</w:t>
          </w:r>
          <w:r>
            <w:rPr>
              <w:rFonts w:ascii="Arial" w:hAnsi="Arial" w:cs="Arial"/>
              <w:color w:val="FFFFFF" w:themeColor="background1"/>
              <w:sz w:val="18"/>
              <w:szCs w:val="18"/>
            </w:rPr>
            <w:t xml:space="preserve"> de </w:t>
          </w:r>
          <w:r w:rsidR="00F6247F">
            <w:rPr>
              <w:rFonts w:ascii="Arial" w:hAnsi="Arial" w:cs="Arial"/>
              <w:color w:val="FFFFFF" w:themeColor="background1"/>
              <w:sz w:val="18"/>
              <w:szCs w:val="18"/>
            </w:rPr>
            <w:t>febrero</w:t>
          </w:r>
          <w:r>
            <w:rPr>
              <w:rFonts w:ascii="Arial" w:hAnsi="Arial" w:cs="Arial"/>
              <w:color w:val="FFFFFF" w:themeColor="background1"/>
              <w:sz w:val="18"/>
              <w:szCs w:val="18"/>
            </w:rPr>
            <w:t xml:space="preserve"> 202</w:t>
          </w:r>
          <w:r w:rsidR="00F6247F">
            <w:rPr>
              <w:rFonts w:ascii="Arial" w:hAnsi="Arial" w:cs="Arial"/>
              <w:color w:val="FFFFFF" w:themeColor="background1"/>
              <w:sz w:val="18"/>
              <w:szCs w:val="18"/>
            </w:rPr>
            <w:t>6</w:t>
          </w:r>
          <w:r>
            <w:rPr>
              <w:rFonts w:ascii="Arial" w:hAnsi="Arial" w:cs="Arial"/>
              <w:color w:val="FFFFFF" w:themeColor="background1"/>
              <w:sz w:val="18"/>
              <w:szCs w:val="18"/>
            </w:rPr>
            <w:t xml:space="preserve">. </w:t>
          </w:r>
          <w:r w:rsidR="00F6247F">
            <w:rPr>
              <w:rFonts w:ascii="Arial" w:hAnsi="Arial" w:cs="Arial"/>
              <w:color w:val="FFFFFF" w:themeColor="background1"/>
              <w:sz w:val="18"/>
              <w:szCs w:val="18"/>
            </w:rPr>
            <w:t>S</w:t>
          </w:r>
          <w:r w:rsidR="00CC2ABF">
            <w:rPr>
              <w:rFonts w:ascii="Arial" w:hAnsi="Arial" w:cs="Arial"/>
              <w:color w:val="FFFFFF" w:themeColor="background1"/>
              <w:sz w:val="18"/>
              <w:szCs w:val="18"/>
            </w:rPr>
            <w:t>egunda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F6247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total</w:t>
          </w:r>
          <w:r w:rsidRPr="00BA05C2">
            <w:rPr>
              <w:rFonts w:ascii="Arial" w:hAnsi="Arial" w:cs="Arial"/>
              <w:b/>
              <w:color w:val="FFFFFF" w:themeColor="background1"/>
              <w:sz w:val="18"/>
              <w:szCs w:val="18"/>
              <w:lang w:val="es-ES"/>
            </w:rPr>
            <w:t xml:space="preserve"> </w:t>
          </w:r>
          <w:r w:rsidRPr="00CE31CC">
            <w:rPr>
              <w:rFonts w:ascii="Arial" w:hAnsi="Arial" w:cs="Arial"/>
              <w:b/>
              <w:color w:val="FFFFFF" w:themeColor="background1"/>
              <w:sz w:val="18"/>
              <w:szCs w:val="18"/>
              <w:lang w:val="es-ES"/>
            </w:rPr>
            <w:t>AR/</w:t>
          </w:r>
          <w:r w:rsidR="00F6247F">
            <w:rPr>
              <w:rFonts w:ascii="Arial" w:hAnsi="Arial" w:cs="Arial"/>
              <w:b/>
              <w:color w:val="FFFFFF" w:themeColor="background1"/>
              <w:sz w:val="18"/>
              <w:szCs w:val="18"/>
              <w:lang w:val="es-ES"/>
            </w:rPr>
            <w:t>04</w:t>
          </w:r>
          <w:r w:rsidRPr="00CE31CC">
            <w:rPr>
              <w:rFonts w:ascii="Arial" w:hAnsi="Arial" w:cs="Arial"/>
              <w:b/>
              <w:color w:val="FFFFFF" w:themeColor="background1"/>
              <w:sz w:val="18"/>
              <w:szCs w:val="18"/>
              <w:lang w:val="es-ES"/>
            </w:rPr>
            <w:t>/202</w:t>
          </w:r>
          <w:r w:rsidR="00F6247F">
            <w:rPr>
              <w:rFonts w:ascii="Arial" w:hAnsi="Arial" w:cs="Arial"/>
              <w:b/>
              <w:color w:val="FFFFFF" w:themeColor="background1"/>
              <w:sz w:val="18"/>
              <w:szCs w:val="18"/>
              <w:lang w:val="es-ES"/>
            </w:rPr>
            <w:t>6</w:t>
          </w:r>
          <w:r w:rsidRPr="00D338A0">
            <w:rPr>
              <w:rFonts w:ascii="Arial" w:hAnsi="Arial" w:cs="Arial"/>
              <w:color w:val="FFFFFF" w:themeColor="background1"/>
              <w:sz w:val="18"/>
              <w:szCs w:val="18"/>
              <w:lang w:val="es-ES"/>
            </w:rPr>
            <w:t xml:space="preserve"> que emite el </w:t>
          </w:r>
          <w:r>
            <w:rPr>
              <w:rFonts w:ascii="Arial" w:hAnsi="Arial" w:cs="Arial"/>
              <w:color w:val="FFFFFF" w:themeColor="background1"/>
              <w:sz w:val="18"/>
              <w:szCs w:val="18"/>
              <w:lang w:val="es-ES"/>
            </w:rPr>
            <w:t xml:space="preserve">titular del </w:t>
          </w:r>
          <w:r w:rsidRPr="0031213A">
            <w:rPr>
              <w:rFonts w:ascii="Arial" w:hAnsi="Arial" w:cs="Arial"/>
              <w:color w:val="FFFFFF" w:themeColor="background1"/>
              <w:sz w:val="18"/>
              <w:szCs w:val="18"/>
              <w:lang w:val="es-ES"/>
            </w:rPr>
            <w:t>Órgano Interno de Control</w:t>
          </w:r>
          <w:r w:rsidRPr="00D338A0">
            <w:rPr>
              <w:rFonts w:ascii="Arial" w:hAnsi="Arial" w:cs="Arial"/>
              <w:color w:val="FFFFFF" w:themeColor="background1"/>
              <w:sz w:val="18"/>
              <w:szCs w:val="18"/>
              <w:lang w:val="es-ES"/>
            </w:rPr>
            <w:t xml:space="preserve">. </w:t>
          </w:r>
        </w:p>
      </w:tc>
    </w:tr>
  </w:tbl>
  <w:p w:rsidR="00BF3665" w:rsidRDefault="00BF3665" w:rsidP="004A324C">
    <w:pPr>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0628" w:rsidRDefault="00A6062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92263531" o:spid="_x0000_s4097" type="#_x0000_t136" style="position:absolute;margin-left:0;margin-top:0;width:602.5pt;height:100.4pt;rotation:315;z-index:-25165312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431F4EE3"/>
    <w:multiLevelType w:val="multilevel"/>
    <w:tmpl w:val="87565F32"/>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3"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5"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7"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1"/>
  </w:num>
  <w:num w:numId="3">
    <w:abstractNumId w:val="8"/>
  </w:num>
  <w:num w:numId="4">
    <w:abstractNumId w:val="5"/>
  </w:num>
  <w:num w:numId="5">
    <w:abstractNumId w:val="7"/>
  </w:num>
  <w:num w:numId="6">
    <w:abstractNumId w:val="0"/>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583E"/>
    <w:rsid w:val="00010714"/>
    <w:rsid w:val="000111BB"/>
    <w:rsid w:val="00011757"/>
    <w:rsid w:val="00012344"/>
    <w:rsid w:val="00014837"/>
    <w:rsid w:val="000215E3"/>
    <w:rsid w:val="000316F8"/>
    <w:rsid w:val="00043EA6"/>
    <w:rsid w:val="00044847"/>
    <w:rsid w:val="00045C57"/>
    <w:rsid w:val="0004691F"/>
    <w:rsid w:val="00047BEE"/>
    <w:rsid w:val="000502DA"/>
    <w:rsid w:val="000516AB"/>
    <w:rsid w:val="00053810"/>
    <w:rsid w:val="00060363"/>
    <w:rsid w:val="0006063D"/>
    <w:rsid w:val="00064BCB"/>
    <w:rsid w:val="00066032"/>
    <w:rsid w:val="0006766C"/>
    <w:rsid w:val="0006789D"/>
    <w:rsid w:val="00074CBB"/>
    <w:rsid w:val="00075321"/>
    <w:rsid w:val="0009152F"/>
    <w:rsid w:val="00091F6F"/>
    <w:rsid w:val="00092311"/>
    <w:rsid w:val="00097461"/>
    <w:rsid w:val="000A001A"/>
    <w:rsid w:val="000A59A9"/>
    <w:rsid w:val="000B4E59"/>
    <w:rsid w:val="000B4E6F"/>
    <w:rsid w:val="000B5998"/>
    <w:rsid w:val="000C04FF"/>
    <w:rsid w:val="000C09C1"/>
    <w:rsid w:val="000C7192"/>
    <w:rsid w:val="000D2B3E"/>
    <w:rsid w:val="000D536E"/>
    <w:rsid w:val="000D61FB"/>
    <w:rsid w:val="000E151A"/>
    <w:rsid w:val="000E33F8"/>
    <w:rsid w:val="000E66E7"/>
    <w:rsid w:val="000E6D81"/>
    <w:rsid w:val="000F1388"/>
    <w:rsid w:val="000F25C5"/>
    <w:rsid w:val="000F34F2"/>
    <w:rsid w:val="000F7924"/>
    <w:rsid w:val="000F79F5"/>
    <w:rsid w:val="00104B37"/>
    <w:rsid w:val="0010725A"/>
    <w:rsid w:val="001112A7"/>
    <w:rsid w:val="001122B3"/>
    <w:rsid w:val="0011610A"/>
    <w:rsid w:val="00117688"/>
    <w:rsid w:val="00122709"/>
    <w:rsid w:val="00126041"/>
    <w:rsid w:val="00131153"/>
    <w:rsid w:val="0013153A"/>
    <w:rsid w:val="00133220"/>
    <w:rsid w:val="00133B13"/>
    <w:rsid w:val="00134A88"/>
    <w:rsid w:val="00135B75"/>
    <w:rsid w:val="0013784F"/>
    <w:rsid w:val="00137B6F"/>
    <w:rsid w:val="0014081F"/>
    <w:rsid w:val="00140DD7"/>
    <w:rsid w:val="00140E5B"/>
    <w:rsid w:val="00142651"/>
    <w:rsid w:val="001451AC"/>
    <w:rsid w:val="00155DB1"/>
    <w:rsid w:val="001569ED"/>
    <w:rsid w:val="00157A2B"/>
    <w:rsid w:val="00160079"/>
    <w:rsid w:val="001610C7"/>
    <w:rsid w:val="0016273D"/>
    <w:rsid w:val="001645C1"/>
    <w:rsid w:val="00164F0D"/>
    <w:rsid w:val="00165D34"/>
    <w:rsid w:val="00166BDA"/>
    <w:rsid w:val="00171740"/>
    <w:rsid w:val="00171840"/>
    <w:rsid w:val="00171FB5"/>
    <w:rsid w:val="0017368E"/>
    <w:rsid w:val="00174F96"/>
    <w:rsid w:val="00175555"/>
    <w:rsid w:val="00175F0E"/>
    <w:rsid w:val="00176FDC"/>
    <w:rsid w:val="001771BC"/>
    <w:rsid w:val="001771D4"/>
    <w:rsid w:val="001816A1"/>
    <w:rsid w:val="00182C9A"/>
    <w:rsid w:val="001848CD"/>
    <w:rsid w:val="00185709"/>
    <w:rsid w:val="00192119"/>
    <w:rsid w:val="00196E5A"/>
    <w:rsid w:val="00196E9A"/>
    <w:rsid w:val="001A0FF2"/>
    <w:rsid w:val="001A1BA9"/>
    <w:rsid w:val="001A32B1"/>
    <w:rsid w:val="001B0330"/>
    <w:rsid w:val="001B11A7"/>
    <w:rsid w:val="001B3E1B"/>
    <w:rsid w:val="001B45DE"/>
    <w:rsid w:val="001B6839"/>
    <w:rsid w:val="001B7394"/>
    <w:rsid w:val="001B742E"/>
    <w:rsid w:val="001C179B"/>
    <w:rsid w:val="001C1FF5"/>
    <w:rsid w:val="001C2EAB"/>
    <w:rsid w:val="001C3880"/>
    <w:rsid w:val="001C4364"/>
    <w:rsid w:val="001C5BA9"/>
    <w:rsid w:val="001C5BFD"/>
    <w:rsid w:val="001C73C0"/>
    <w:rsid w:val="001D6257"/>
    <w:rsid w:val="001E24B3"/>
    <w:rsid w:val="001E526F"/>
    <w:rsid w:val="001E6C44"/>
    <w:rsid w:val="001F22B7"/>
    <w:rsid w:val="001F2667"/>
    <w:rsid w:val="001F60B7"/>
    <w:rsid w:val="001F71C9"/>
    <w:rsid w:val="001F7332"/>
    <w:rsid w:val="00201B91"/>
    <w:rsid w:val="00204354"/>
    <w:rsid w:val="002054C1"/>
    <w:rsid w:val="002075EA"/>
    <w:rsid w:val="00207633"/>
    <w:rsid w:val="00216011"/>
    <w:rsid w:val="00216D37"/>
    <w:rsid w:val="00220BA2"/>
    <w:rsid w:val="0022103D"/>
    <w:rsid w:val="002224C6"/>
    <w:rsid w:val="00232556"/>
    <w:rsid w:val="00234321"/>
    <w:rsid w:val="00236EA7"/>
    <w:rsid w:val="00241C03"/>
    <w:rsid w:val="00244CB1"/>
    <w:rsid w:val="00244E15"/>
    <w:rsid w:val="00244EE4"/>
    <w:rsid w:val="002513CE"/>
    <w:rsid w:val="0025149A"/>
    <w:rsid w:val="00256AE8"/>
    <w:rsid w:val="00257429"/>
    <w:rsid w:val="00262F6F"/>
    <w:rsid w:val="002648E0"/>
    <w:rsid w:val="002652A7"/>
    <w:rsid w:val="00273340"/>
    <w:rsid w:val="00275CAB"/>
    <w:rsid w:val="00276017"/>
    <w:rsid w:val="00281174"/>
    <w:rsid w:val="00281BD8"/>
    <w:rsid w:val="002825DF"/>
    <w:rsid w:val="00290A2E"/>
    <w:rsid w:val="00291A4A"/>
    <w:rsid w:val="002935FF"/>
    <w:rsid w:val="002A4D63"/>
    <w:rsid w:val="002A53EB"/>
    <w:rsid w:val="002B5530"/>
    <w:rsid w:val="002B62D5"/>
    <w:rsid w:val="002B7462"/>
    <w:rsid w:val="002C182D"/>
    <w:rsid w:val="002C433B"/>
    <w:rsid w:val="002C492F"/>
    <w:rsid w:val="002D0260"/>
    <w:rsid w:val="002E085B"/>
    <w:rsid w:val="002E1A1F"/>
    <w:rsid w:val="002E1D10"/>
    <w:rsid w:val="002E6666"/>
    <w:rsid w:val="002E7CE8"/>
    <w:rsid w:val="002F210D"/>
    <w:rsid w:val="002F5CAB"/>
    <w:rsid w:val="002F7281"/>
    <w:rsid w:val="003003C1"/>
    <w:rsid w:val="00303ECE"/>
    <w:rsid w:val="00311032"/>
    <w:rsid w:val="00311B65"/>
    <w:rsid w:val="0031213A"/>
    <w:rsid w:val="00316644"/>
    <w:rsid w:val="0032003C"/>
    <w:rsid w:val="00322663"/>
    <w:rsid w:val="00322769"/>
    <w:rsid w:val="00326DD7"/>
    <w:rsid w:val="00330F5F"/>
    <w:rsid w:val="003311E5"/>
    <w:rsid w:val="0033544C"/>
    <w:rsid w:val="0033754B"/>
    <w:rsid w:val="003376B5"/>
    <w:rsid w:val="00337E40"/>
    <w:rsid w:val="00340F4C"/>
    <w:rsid w:val="00342CCD"/>
    <w:rsid w:val="00345751"/>
    <w:rsid w:val="00350C59"/>
    <w:rsid w:val="00352A40"/>
    <w:rsid w:val="0035469B"/>
    <w:rsid w:val="003617AB"/>
    <w:rsid w:val="00364780"/>
    <w:rsid w:val="003649DD"/>
    <w:rsid w:val="00374F51"/>
    <w:rsid w:val="00376B01"/>
    <w:rsid w:val="0037773A"/>
    <w:rsid w:val="0038167B"/>
    <w:rsid w:val="003834BC"/>
    <w:rsid w:val="00385479"/>
    <w:rsid w:val="0039067D"/>
    <w:rsid w:val="00391F8E"/>
    <w:rsid w:val="003924E6"/>
    <w:rsid w:val="003930E6"/>
    <w:rsid w:val="003A0D63"/>
    <w:rsid w:val="003A2C50"/>
    <w:rsid w:val="003A7BD4"/>
    <w:rsid w:val="003B198E"/>
    <w:rsid w:val="003C1381"/>
    <w:rsid w:val="003C17BE"/>
    <w:rsid w:val="003C2D3B"/>
    <w:rsid w:val="003D24D7"/>
    <w:rsid w:val="003D3322"/>
    <w:rsid w:val="003D379C"/>
    <w:rsid w:val="003D6E37"/>
    <w:rsid w:val="003D721A"/>
    <w:rsid w:val="003E03FF"/>
    <w:rsid w:val="003E4299"/>
    <w:rsid w:val="003E59C5"/>
    <w:rsid w:val="003E74F2"/>
    <w:rsid w:val="003F4311"/>
    <w:rsid w:val="003F4878"/>
    <w:rsid w:val="003F5F79"/>
    <w:rsid w:val="003F62EE"/>
    <w:rsid w:val="004019BE"/>
    <w:rsid w:val="00402430"/>
    <w:rsid w:val="00404FA0"/>
    <w:rsid w:val="00405289"/>
    <w:rsid w:val="00405A61"/>
    <w:rsid w:val="00410772"/>
    <w:rsid w:val="00415C05"/>
    <w:rsid w:val="00420AA1"/>
    <w:rsid w:val="004231C1"/>
    <w:rsid w:val="00424F5C"/>
    <w:rsid w:val="0043309B"/>
    <w:rsid w:val="00433942"/>
    <w:rsid w:val="00433D8C"/>
    <w:rsid w:val="00437D50"/>
    <w:rsid w:val="00440E63"/>
    <w:rsid w:val="00442EE9"/>
    <w:rsid w:val="004443EA"/>
    <w:rsid w:val="004477C0"/>
    <w:rsid w:val="00450A9E"/>
    <w:rsid w:val="0045636F"/>
    <w:rsid w:val="00460780"/>
    <w:rsid w:val="004647AD"/>
    <w:rsid w:val="004663EE"/>
    <w:rsid w:val="004679EF"/>
    <w:rsid w:val="00472BF5"/>
    <w:rsid w:val="004730D6"/>
    <w:rsid w:val="00473BF0"/>
    <w:rsid w:val="00473FA8"/>
    <w:rsid w:val="00474063"/>
    <w:rsid w:val="00476DC3"/>
    <w:rsid w:val="00476EF2"/>
    <w:rsid w:val="004771FA"/>
    <w:rsid w:val="00480799"/>
    <w:rsid w:val="00481D63"/>
    <w:rsid w:val="00482360"/>
    <w:rsid w:val="004827F0"/>
    <w:rsid w:val="004832E2"/>
    <w:rsid w:val="004858AB"/>
    <w:rsid w:val="00485D65"/>
    <w:rsid w:val="00490831"/>
    <w:rsid w:val="00493C1E"/>
    <w:rsid w:val="00496189"/>
    <w:rsid w:val="004976CE"/>
    <w:rsid w:val="00497E2D"/>
    <w:rsid w:val="004A184C"/>
    <w:rsid w:val="004A324C"/>
    <w:rsid w:val="004A45B9"/>
    <w:rsid w:val="004B1662"/>
    <w:rsid w:val="004B2C7C"/>
    <w:rsid w:val="004B475C"/>
    <w:rsid w:val="004B58C7"/>
    <w:rsid w:val="004B6BFE"/>
    <w:rsid w:val="004C1B6F"/>
    <w:rsid w:val="004C5296"/>
    <w:rsid w:val="004D05E0"/>
    <w:rsid w:val="004D19AE"/>
    <w:rsid w:val="004D49ED"/>
    <w:rsid w:val="004D5A7E"/>
    <w:rsid w:val="004D7C2D"/>
    <w:rsid w:val="004E4283"/>
    <w:rsid w:val="004E497E"/>
    <w:rsid w:val="004F4889"/>
    <w:rsid w:val="004F640E"/>
    <w:rsid w:val="004F7019"/>
    <w:rsid w:val="004F7658"/>
    <w:rsid w:val="00502579"/>
    <w:rsid w:val="00502E2B"/>
    <w:rsid w:val="005066D9"/>
    <w:rsid w:val="005078F4"/>
    <w:rsid w:val="005117B5"/>
    <w:rsid w:val="005121D2"/>
    <w:rsid w:val="005137BF"/>
    <w:rsid w:val="00514D65"/>
    <w:rsid w:val="005160BF"/>
    <w:rsid w:val="0052013D"/>
    <w:rsid w:val="00525599"/>
    <w:rsid w:val="00525AD7"/>
    <w:rsid w:val="00533E32"/>
    <w:rsid w:val="005350CC"/>
    <w:rsid w:val="00536224"/>
    <w:rsid w:val="00540338"/>
    <w:rsid w:val="0054303C"/>
    <w:rsid w:val="005433FA"/>
    <w:rsid w:val="00544069"/>
    <w:rsid w:val="00545219"/>
    <w:rsid w:val="005454A4"/>
    <w:rsid w:val="005502C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928"/>
    <w:rsid w:val="005B0E50"/>
    <w:rsid w:val="005B78DB"/>
    <w:rsid w:val="005C069E"/>
    <w:rsid w:val="005C319C"/>
    <w:rsid w:val="005C4C3F"/>
    <w:rsid w:val="005C750C"/>
    <w:rsid w:val="005D0085"/>
    <w:rsid w:val="005D099B"/>
    <w:rsid w:val="005D2768"/>
    <w:rsid w:val="005D2F74"/>
    <w:rsid w:val="005D3E7F"/>
    <w:rsid w:val="005E558A"/>
    <w:rsid w:val="005E58AA"/>
    <w:rsid w:val="005E7E7E"/>
    <w:rsid w:val="005F457C"/>
    <w:rsid w:val="005F550E"/>
    <w:rsid w:val="005F7CFE"/>
    <w:rsid w:val="006036CF"/>
    <w:rsid w:val="006046F9"/>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2ACE"/>
    <w:rsid w:val="00645A75"/>
    <w:rsid w:val="00653EBB"/>
    <w:rsid w:val="00656F96"/>
    <w:rsid w:val="00660EA9"/>
    <w:rsid w:val="00662AED"/>
    <w:rsid w:val="00662DF6"/>
    <w:rsid w:val="006639DB"/>
    <w:rsid w:val="00670055"/>
    <w:rsid w:val="00670755"/>
    <w:rsid w:val="00677AEE"/>
    <w:rsid w:val="00687D08"/>
    <w:rsid w:val="006937A4"/>
    <w:rsid w:val="00694F13"/>
    <w:rsid w:val="006A44DB"/>
    <w:rsid w:val="006A570F"/>
    <w:rsid w:val="006B0801"/>
    <w:rsid w:val="006B331C"/>
    <w:rsid w:val="006B4084"/>
    <w:rsid w:val="006B7482"/>
    <w:rsid w:val="006C0831"/>
    <w:rsid w:val="006C25A9"/>
    <w:rsid w:val="006C5FA7"/>
    <w:rsid w:val="006E21D7"/>
    <w:rsid w:val="006E6D1D"/>
    <w:rsid w:val="006F077F"/>
    <w:rsid w:val="006F086E"/>
    <w:rsid w:val="006F3DBB"/>
    <w:rsid w:val="006F4726"/>
    <w:rsid w:val="006F6522"/>
    <w:rsid w:val="006F7D0F"/>
    <w:rsid w:val="007007EE"/>
    <w:rsid w:val="0070291D"/>
    <w:rsid w:val="0070596D"/>
    <w:rsid w:val="00710C84"/>
    <w:rsid w:val="00711658"/>
    <w:rsid w:val="007136AC"/>
    <w:rsid w:val="00714D40"/>
    <w:rsid w:val="00716B41"/>
    <w:rsid w:val="00717045"/>
    <w:rsid w:val="00717CF8"/>
    <w:rsid w:val="007238A8"/>
    <w:rsid w:val="00723AF7"/>
    <w:rsid w:val="00723C7B"/>
    <w:rsid w:val="007248BE"/>
    <w:rsid w:val="007336C3"/>
    <w:rsid w:val="00740F43"/>
    <w:rsid w:val="0074476D"/>
    <w:rsid w:val="007460DC"/>
    <w:rsid w:val="0074687D"/>
    <w:rsid w:val="00752DEA"/>
    <w:rsid w:val="0076137E"/>
    <w:rsid w:val="00761E70"/>
    <w:rsid w:val="00766E51"/>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B55D3"/>
    <w:rsid w:val="007C1D7B"/>
    <w:rsid w:val="007C4303"/>
    <w:rsid w:val="007C4CBF"/>
    <w:rsid w:val="007C531F"/>
    <w:rsid w:val="007C7E2F"/>
    <w:rsid w:val="007D1376"/>
    <w:rsid w:val="007D271B"/>
    <w:rsid w:val="007D4996"/>
    <w:rsid w:val="007D6423"/>
    <w:rsid w:val="007D6D72"/>
    <w:rsid w:val="007D772B"/>
    <w:rsid w:val="007D7A0D"/>
    <w:rsid w:val="007E1E16"/>
    <w:rsid w:val="007E346A"/>
    <w:rsid w:val="007E35E7"/>
    <w:rsid w:val="007E63DB"/>
    <w:rsid w:val="007E7085"/>
    <w:rsid w:val="007F0237"/>
    <w:rsid w:val="007F0778"/>
    <w:rsid w:val="007F24DE"/>
    <w:rsid w:val="007F2DA8"/>
    <w:rsid w:val="007F4E72"/>
    <w:rsid w:val="007F56DE"/>
    <w:rsid w:val="00803FA7"/>
    <w:rsid w:val="00805047"/>
    <w:rsid w:val="00805092"/>
    <w:rsid w:val="00810A57"/>
    <w:rsid w:val="00812BF7"/>
    <w:rsid w:val="00814012"/>
    <w:rsid w:val="008235C2"/>
    <w:rsid w:val="00823D57"/>
    <w:rsid w:val="0082412D"/>
    <w:rsid w:val="008275DD"/>
    <w:rsid w:val="0082794C"/>
    <w:rsid w:val="00831099"/>
    <w:rsid w:val="00832DD2"/>
    <w:rsid w:val="008417B3"/>
    <w:rsid w:val="00842F00"/>
    <w:rsid w:val="00845198"/>
    <w:rsid w:val="00850661"/>
    <w:rsid w:val="00854CCF"/>
    <w:rsid w:val="008565C9"/>
    <w:rsid w:val="0086255E"/>
    <w:rsid w:val="0086360B"/>
    <w:rsid w:val="008669B5"/>
    <w:rsid w:val="00871464"/>
    <w:rsid w:val="008760A4"/>
    <w:rsid w:val="00876A3D"/>
    <w:rsid w:val="008777CC"/>
    <w:rsid w:val="00885156"/>
    <w:rsid w:val="00886225"/>
    <w:rsid w:val="0089199F"/>
    <w:rsid w:val="00891BAB"/>
    <w:rsid w:val="008929DA"/>
    <w:rsid w:val="008941EF"/>
    <w:rsid w:val="008A514D"/>
    <w:rsid w:val="008A6D52"/>
    <w:rsid w:val="008B2F16"/>
    <w:rsid w:val="008C1FCF"/>
    <w:rsid w:val="008C2B4C"/>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6017"/>
    <w:rsid w:val="00926C71"/>
    <w:rsid w:val="00927902"/>
    <w:rsid w:val="00930C23"/>
    <w:rsid w:val="009311C4"/>
    <w:rsid w:val="00931B62"/>
    <w:rsid w:val="00932D2B"/>
    <w:rsid w:val="00936591"/>
    <w:rsid w:val="00937045"/>
    <w:rsid w:val="00943A60"/>
    <w:rsid w:val="009445F1"/>
    <w:rsid w:val="00952023"/>
    <w:rsid w:val="009527D5"/>
    <w:rsid w:val="00953594"/>
    <w:rsid w:val="00954944"/>
    <w:rsid w:val="0095660D"/>
    <w:rsid w:val="00961F3B"/>
    <w:rsid w:val="00961FA4"/>
    <w:rsid w:val="00962025"/>
    <w:rsid w:val="00967709"/>
    <w:rsid w:val="00973D78"/>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0D72"/>
    <w:rsid w:val="009B13C9"/>
    <w:rsid w:val="009B3FF4"/>
    <w:rsid w:val="009B461F"/>
    <w:rsid w:val="009C36F2"/>
    <w:rsid w:val="009C51A7"/>
    <w:rsid w:val="009C71D2"/>
    <w:rsid w:val="009D1416"/>
    <w:rsid w:val="009D3B37"/>
    <w:rsid w:val="009D3B91"/>
    <w:rsid w:val="009D498E"/>
    <w:rsid w:val="009D5B45"/>
    <w:rsid w:val="009D7D1C"/>
    <w:rsid w:val="009E1324"/>
    <w:rsid w:val="009E2F6E"/>
    <w:rsid w:val="009E3729"/>
    <w:rsid w:val="009E3C35"/>
    <w:rsid w:val="009E4CCF"/>
    <w:rsid w:val="009F136E"/>
    <w:rsid w:val="009F1F56"/>
    <w:rsid w:val="009F25F5"/>
    <w:rsid w:val="009F61A6"/>
    <w:rsid w:val="009F7723"/>
    <w:rsid w:val="00A00378"/>
    <w:rsid w:val="00A027E0"/>
    <w:rsid w:val="00A11177"/>
    <w:rsid w:val="00A1332F"/>
    <w:rsid w:val="00A142C3"/>
    <w:rsid w:val="00A16087"/>
    <w:rsid w:val="00A16ED9"/>
    <w:rsid w:val="00A20C0F"/>
    <w:rsid w:val="00A21527"/>
    <w:rsid w:val="00A22535"/>
    <w:rsid w:val="00A23464"/>
    <w:rsid w:val="00A30513"/>
    <w:rsid w:val="00A3119E"/>
    <w:rsid w:val="00A3671F"/>
    <w:rsid w:val="00A42F99"/>
    <w:rsid w:val="00A430C0"/>
    <w:rsid w:val="00A4427E"/>
    <w:rsid w:val="00A44A53"/>
    <w:rsid w:val="00A45C43"/>
    <w:rsid w:val="00A5063A"/>
    <w:rsid w:val="00A51397"/>
    <w:rsid w:val="00A53612"/>
    <w:rsid w:val="00A5653B"/>
    <w:rsid w:val="00A60628"/>
    <w:rsid w:val="00A61FE0"/>
    <w:rsid w:val="00A63898"/>
    <w:rsid w:val="00A67F68"/>
    <w:rsid w:val="00A720FD"/>
    <w:rsid w:val="00A773A3"/>
    <w:rsid w:val="00A80CA3"/>
    <w:rsid w:val="00A85761"/>
    <w:rsid w:val="00A9088A"/>
    <w:rsid w:val="00A90A66"/>
    <w:rsid w:val="00A90E40"/>
    <w:rsid w:val="00A92BFF"/>
    <w:rsid w:val="00A94E88"/>
    <w:rsid w:val="00A97941"/>
    <w:rsid w:val="00AA120F"/>
    <w:rsid w:val="00AA4B7C"/>
    <w:rsid w:val="00AA5A00"/>
    <w:rsid w:val="00AB0017"/>
    <w:rsid w:val="00AB161E"/>
    <w:rsid w:val="00AB1A5A"/>
    <w:rsid w:val="00AC091B"/>
    <w:rsid w:val="00AC1176"/>
    <w:rsid w:val="00AC14B9"/>
    <w:rsid w:val="00AC29C8"/>
    <w:rsid w:val="00AC3865"/>
    <w:rsid w:val="00AC75EC"/>
    <w:rsid w:val="00AD20B6"/>
    <w:rsid w:val="00AD79A6"/>
    <w:rsid w:val="00AE4C4A"/>
    <w:rsid w:val="00AE70C4"/>
    <w:rsid w:val="00AE765F"/>
    <w:rsid w:val="00AF5437"/>
    <w:rsid w:val="00AF62D8"/>
    <w:rsid w:val="00AF7A5D"/>
    <w:rsid w:val="00B00015"/>
    <w:rsid w:val="00B0559D"/>
    <w:rsid w:val="00B06822"/>
    <w:rsid w:val="00B11FCD"/>
    <w:rsid w:val="00B147E2"/>
    <w:rsid w:val="00B219F9"/>
    <w:rsid w:val="00B22B99"/>
    <w:rsid w:val="00B23791"/>
    <w:rsid w:val="00B245B6"/>
    <w:rsid w:val="00B3003C"/>
    <w:rsid w:val="00B32A02"/>
    <w:rsid w:val="00B34B1F"/>
    <w:rsid w:val="00B45B80"/>
    <w:rsid w:val="00B47C27"/>
    <w:rsid w:val="00B502A7"/>
    <w:rsid w:val="00B51013"/>
    <w:rsid w:val="00B5198B"/>
    <w:rsid w:val="00B52651"/>
    <w:rsid w:val="00B54D6F"/>
    <w:rsid w:val="00B553A3"/>
    <w:rsid w:val="00B55F32"/>
    <w:rsid w:val="00B579E5"/>
    <w:rsid w:val="00B60DD6"/>
    <w:rsid w:val="00B6394A"/>
    <w:rsid w:val="00B64651"/>
    <w:rsid w:val="00B66D2F"/>
    <w:rsid w:val="00B70007"/>
    <w:rsid w:val="00B72D93"/>
    <w:rsid w:val="00B7307C"/>
    <w:rsid w:val="00B74065"/>
    <w:rsid w:val="00B80027"/>
    <w:rsid w:val="00B82063"/>
    <w:rsid w:val="00B835A7"/>
    <w:rsid w:val="00B8766D"/>
    <w:rsid w:val="00B87D5E"/>
    <w:rsid w:val="00B87F89"/>
    <w:rsid w:val="00B90860"/>
    <w:rsid w:val="00B90A8A"/>
    <w:rsid w:val="00B9390A"/>
    <w:rsid w:val="00BA05C2"/>
    <w:rsid w:val="00BA3E12"/>
    <w:rsid w:val="00BA41D6"/>
    <w:rsid w:val="00BB225B"/>
    <w:rsid w:val="00BB6469"/>
    <w:rsid w:val="00BB6845"/>
    <w:rsid w:val="00BC0B10"/>
    <w:rsid w:val="00BC22A8"/>
    <w:rsid w:val="00BC37ED"/>
    <w:rsid w:val="00BD1CA5"/>
    <w:rsid w:val="00BD2550"/>
    <w:rsid w:val="00BD570D"/>
    <w:rsid w:val="00BE587C"/>
    <w:rsid w:val="00BE5C2C"/>
    <w:rsid w:val="00BE6BCF"/>
    <w:rsid w:val="00BF2889"/>
    <w:rsid w:val="00BF3665"/>
    <w:rsid w:val="00BF5146"/>
    <w:rsid w:val="00BF5FB4"/>
    <w:rsid w:val="00BF7622"/>
    <w:rsid w:val="00BF7C0E"/>
    <w:rsid w:val="00C01500"/>
    <w:rsid w:val="00C1710F"/>
    <w:rsid w:val="00C17676"/>
    <w:rsid w:val="00C204E9"/>
    <w:rsid w:val="00C2217A"/>
    <w:rsid w:val="00C246B2"/>
    <w:rsid w:val="00C24991"/>
    <w:rsid w:val="00C25E50"/>
    <w:rsid w:val="00C269D1"/>
    <w:rsid w:val="00C35708"/>
    <w:rsid w:val="00C40442"/>
    <w:rsid w:val="00C42AC3"/>
    <w:rsid w:val="00C44251"/>
    <w:rsid w:val="00C4433F"/>
    <w:rsid w:val="00C45988"/>
    <w:rsid w:val="00C5041B"/>
    <w:rsid w:val="00C54B5D"/>
    <w:rsid w:val="00C60803"/>
    <w:rsid w:val="00C61851"/>
    <w:rsid w:val="00C621B7"/>
    <w:rsid w:val="00C62917"/>
    <w:rsid w:val="00C63027"/>
    <w:rsid w:val="00C70971"/>
    <w:rsid w:val="00C71829"/>
    <w:rsid w:val="00C760CF"/>
    <w:rsid w:val="00C76C0B"/>
    <w:rsid w:val="00C90D83"/>
    <w:rsid w:val="00C96F2F"/>
    <w:rsid w:val="00CA1236"/>
    <w:rsid w:val="00CA32D1"/>
    <w:rsid w:val="00CB2DB5"/>
    <w:rsid w:val="00CB380F"/>
    <w:rsid w:val="00CB78A0"/>
    <w:rsid w:val="00CB7ADB"/>
    <w:rsid w:val="00CC2ABF"/>
    <w:rsid w:val="00CD08A9"/>
    <w:rsid w:val="00CD106D"/>
    <w:rsid w:val="00CD1B42"/>
    <w:rsid w:val="00CD259B"/>
    <w:rsid w:val="00CD3222"/>
    <w:rsid w:val="00CD3676"/>
    <w:rsid w:val="00CD7BBA"/>
    <w:rsid w:val="00CE1625"/>
    <w:rsid w:val="00CE31CC"/>
    <w:rsid w:val="00CF11DE"/>
    <w:rsid w:val="00CF5326"/>
    <w:rsid w:val="00CF5772"/>
    <w:rsid w:val="00D01046"/>
    <w:rsid w:val="00D024F4"/>
    <w:rsid w:val="00D0353D"/>
    <w:rsid w:val="00D06E6C"/>
    <w:rsid w:val="00D07876"/>
    <w:rsid w:val="00D123AA"/>
    <w:rsid w:val="00D14ED2"/>
    <w:rsid w:val="00D156E9"/>
    <w:rsid w:val="00D2520C"/>
    <w:rsid w:val="00D338A0"/>
    <w:rsid w:val="00D342D3"/>
    <w:rsid w:val="00D343CB"/>
    <w:rsid w:val="00D37E78"/>
    <w:rsid w:val="00D44519"/>
    <w:rsid w:val="00D44B8D"/>
    <w:rsid w:val="00D47683"/>
    <w:rsid w:val="00D511D2"/>
    <w:rsid w:val="00D516AB"/>
    <w:rsid w:val="00D52B99"/>
    <w:rsid w:val="00D52C0F"/>
    <w:rsid w:val="00D534BA"/>
    <w:rsid w:val="00D550D0"/>
    <w:rsid w:val="00D60FCE"/>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6DC7"/>
    <w:rsid w:val="00DE7DFD"/>
    <w:rsid w:val="00DF000E"/>
    <w:rsid w:val="00DF2157"/>
    <w:rsid w:val="00DF434C"/>
    <w:rsid w:val="00DF7445"/>
    <w:rsid w:val="00DF75FC"/>
    <w:rsid w:val="00E01963"/>
    <w:rsid w:val="00E01F09"/>
    <w:rsid w:val="00E11EFC"/>
    <w:rsid w:val="00E1239C"/>
    <w:rsid w:val="00E1624C"/>
    <w:rsid w:val="00E16530"/>
    <w:rsid w:val="00E17D56"/>
    <w:rsid w:val="00E20F21"/>
    <w:rsid w:val="00E21D0D"/>
    <w:rsid w:val="00E24478"/>
    <w:rsid w:val="00E27D91"/>
    <w:rsid w:val="00E334C7"/>
    <w:rsid w:val="00E36D27"/>
    <w:rsid w:val="00E40A44"/>
    <w:rsid w:val="00E45D1D"/>
    <w:rsid w:val="00E5019D"/>
    <w:rsid w:val="00E50A83"/>
    <w:rsid w:val="00E57FCA"/>
    <w:rsid w:val="00E61018"/>
    <w:rsid w:val="00E6469D"/>
    <w:rsid w:val="00E67687"/>
    <w:rsid w:val="00E716B5"/>
    <w:rsid w:val="00E7366C"/>
    <w:rsid w:val="00E74D9F"/>
    <w:rsid w:val="00E75443"/>
    <w:rsid w:val="00E76116"/>
    <w:rsid w:val="00E82FD0"/>
    <w:rsid w:val="00E852E0"/>
    <w:rsid w:val="00E864EA"/>
    <w:rsid w:val="00E8769E"/>
    <w:rsid w:val="00E926CF"/>
    <w:rsid w:val="00E928B5"/>
    <w:rsid w:val="00E92BE2"/>
    <w:rsid w:val="00E95EBE"/>
    <w:rsid w:val="00E974C6"/>
    <w:rsid w:val="00EA134F"/>
    <w:rsid w:val="00EA147D"/>
    <w:rsid w:val="00EA4BE5"/>
    <w:rsid w:val="00EA7728"/>
    <w:rsid w:val="00EB48A4"/>
    <w:rsid w:val="00EB5588"/>
    <w:rsid w:val="00EC0120"/>
    <w:rsid w:val="00EC1AE7"/>
    <w:rsid w:val="00EC29D1"/>
    <w:rsid w:val="00EC5BC8"/>
    <w:rsid w:val="00EC6DC8"/>
    <w:rsid w:val="00EC6F5F"/>
    <w:rsid w:val="00ED1602"/>
    <w:rsid w:val="00EE0DE9"/>
    <w:rsid w:val="00EE1B94"/>
    <w:rsid w:val="00EE2AB2"/>
    <w:rsid w:val="00EE4402"/>
    <w:rsid w:val="00EE6E0A"/>
    <w:rsid w:val="00EE7429"/>
    <w:rsid w:val="00EF0DD3"/>
    <w:rsid w:val="00EF1BD7"/>
    <w:rsid w:val="00EF28B4"/>
    <w:rsid w:val="00EF5541"/>
    <w:rsid w:val="00EF583B"/>
    <w:rsid w:val="00EF6001"/>
    <w:rsid w:val="00F0180B"/>
    <w:rsid w:val="00F02A16"/>
    <w:rsid w:val="00F052CF"/>
    <w:rsid w:val="00F06897"/>
    <w:rsid w:val="00F0748B"/>
    <w:rsid w:val="00F104DC"/>
    <w:rsid w:val="00F113DD"/>
    <w:rsid w:val="00F114D5"/>
    <w:rsid w:val="00F1577E"/>
    <w:rsid w:val="00F239B9"/>
    <w:rsid w:val="00F251D7"/>
    <w:rsid w:val="00F25244"/>
    <w:rsid w:val="00F30B7B"/>
    <w:rsid w:val="00F31137"/>
    <w:rsid w:val="00F32008"/>
    <w:rsid w:val="00F40511"/>
    <w:rsid w:val="00F42B2F"/>
    <w:rsid w:val="00F44815"/>
    <w:rsid w:val="00F45354"/>
    <w:rsid w:val="00F46007"/>
    <w:rsid w:val="00F4731A"/>
    <w:rsid w:val="00F47D67"/>
    <w:rsid w:val="00F53DFF"/>
    <w:rsid w:val="00F57D2A"/>
    <w:rsid w:val="00F6015F"/>
    <w:rsid w:val="00F60BAA"/>
    <w:rsid w:val="00F623FE"/>
    <w:rsid w:val="00F6247F"/>
    <w:rsid w:val="00F64080"/>
    <w:rsid w:val="00F66C46"/>
    <w:rsid w:val="00F678C6"/>
    <w:rsid w:val="00F71839"/>
    <w:rsid w:val="00F76531"/>
    <w:rsid w:val="00F76C58"/>
    <w:rsid w:val="00F8233E"/>
    <w:rsid w:val="00F835F1"/>
    <w:rsid w:val="00F83DF1"/>
    <w:rsid w:val="00F85303"/>
    <w:rsid w:val="00F87C0B"/>
    <w:rsid w:val="00F900A7"/>
    <w:rsid w:val="00F9186B"/>
    <w:rsid w:val="00F91CB5"/>
    <w:rsid w:val="00F9233E"/>
    <w:rsid w:val="00F94224"/>
    <w:rsid w:val="00F9513D"/>
    <w:rsid w:val="00F9700F"/>
    <w:rsid w:val="00FA1DB0"/>
    <w:rsid w:val="00FA5344"/>
    <w:rsid w:val="00FA5484"/>
    <w:rsid w:val="00FB1319"/>
    <w:rsid w:val="00FB300E"/>
    <w:rsid w:val="00FB5F3C"/>
    <w:rsid w:val="00FC0201"/>
    <w:rsid w:val="00FC14BE"/>
    <w:rsid w:val="00FC1A90"/>
    <w:rsid w:val="00FC2EB9"/>
    <w:rsid w:val="00FC5F11"/>
    <w:rsid w:val="00FD1CEE"/>
    <w:rsid w:val="00FD28BF"/>
    <w:rsid w:val="00FD3263"/>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rPr>
      <w:sz w:val="20"/>
      <w:szCs w:val="20"/>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line="360" w:lineRule="auto"/>
      <w:ind w:firstLine="709"/>
      <w:jc w:val="both"/>
    </w:pPr>
    <w:rPr>
      <w:rFonts w:ascii="Arial" w:eastAsia="Times New Roman" w:hAnsi="Arial" w:cs="Times New Roman"/>
      <w:sz w:val="30"/>
      <w:szCs w:val="20"/>
      <w:lang w:eastAsia="es-MX"/>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Subttulo">
    <w:name w:val="Subtitle"/>
    <w:basedOn w:val="Normal"/>
    <w:next w:val="Normal"/>
    <w:link w:val="SubttuloCar"/>
    <w:uiPriority w:val="11"/>
    <w:qFormat/>
    <w:rsid w:val="00E61018"/>
    <w:pPr>
      <w:numPr>
        <w:ilvl w:val="1"/>
      </w:numPr>
      <w:spacing w:after="160"/>
    </w:pPr>
    <w:rPr>
      <w:color w:val="5A5A5A" w:themeColor="text1" w:themeTint="A5"/>
      <w:spacing w:val="15"/>
      <w:sz w:val="22"/>
      <w:szCs w:val="22"/>
    </w:rPr>
  </w:style>
  <w:style w:type="character" w:customStyle="1" w:styleId="SubttuloCar">
    <w:name w:val="Subtítulo Car"/>
    <w:basedOn w:val="Fuentedeprrafopredeter"/>
    <w:link w:val="Subttulo"/>
    <w:uiPriority w:val="11"/>
    <w:rsid w:val="00E61018"/>
    <w:rPr>
      <w:rFonts w:eastAsiaTheme="minorEastAsia"/>
      <w:color w:val="5A5A5A" w:themeColor="text1" w:themeTint="A5"/>
      <w:spacing w:val="15"/>
      <w:sz w:val="22"/>
      <w:szCs w:val="22"/>
      <w:lang w:eastAsia="es-ES"/>
    </w:rPr>
  </w:style>
  <w:style w:type="table" w:styleId="Tablaconcuadrcula">
    <w:name w:val="Table Grid"/>
    <w:basedOn w:val="Tablanormal"/>
    <w:uiPriority w:val="39"/>
    <w:rsid w:val="00165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718359749">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B6A9E3E-891C-4F95-8A78-2742760D5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81</TotalTime>
  <Pages>11</Pages>
  <Words>4300</Words>
  <Characters>23653</Characters>
  <Application>Microsoft Office Word</Application>
  <DocSecurity>0</DocSecurity>
  <Lines>197</Lines>
  <Paragraphs>55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13</cp:revision>
  <cp:lastPrinted>2026-01-29T18:11:00Z</cp:lastPrinted>
  <dcterms:created xsi:type="dcterms:W3CDTF">2025-10-01T20:44:00Z</dcterms:created>
  <dcterms:modified xsi:type="dcterms:W3CDTF">2026-02-17T18:42:00Z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