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25916CD6"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A279A">
        <w:rPr>
          <w:rFonts w:ascii="AvantGarde Bk BT" w:hAnsi="AvantGarde Bk BT" w:cs="Arial"/>
          <w:b/>
          <w:color w:val="000000" w:themeColor="text1"/>
          <w:sz w:val="24"/>
          <w:szCs w:val="24"/>
        </w:rPr>
        <w:t>0</w:t>
      </w:r>
      <w:r w:rsidR="00A00F41">
        <w:rPr>
          <w:rFonts w:ascii="AvantGarde Bk BT" w:hAnsi="AvantGarde Bk BT" w:cs="Arial"/>
          <w:b/>
          <w:color w:val="000000" w:themeColor="text1"/>
          <w:sz w:val="24"/>
          <w:szCs w:val="24"/>
        </w:rPr>
        <w:t>7</w:t>
      </w:r>
      <w:r w:rsidR="004F5FBC">
        <w:rPr>
          <w:rFonts w:ascii="AvantGarde Bk BT" w:hAnsi="AvantGarde Bk BT" w:cs="Arial"/>
          <w:b/>
          <w:color w:val="000000" w:themeColor="text1"/>
          <w:sz w:val="24"/>
          <w:szCs w:val="24"/>
        </w:rPr>
        <w:t>8</w:t>
      </w:r>
      <w:r w:rsidR="00126008">
        <w:rPr>
          <w:rFonts w:ascii="AvantGarde Bk BT" w:hAnsi="AvantGarde Bk BT" w:cs="Arial"/>
          <w:b/>
          <w:color w:val="000000" w:themeColor="text1"/>
          <w:sz w:val="24"/>
          <w:szCs w:val="24"/>
        </w:rPr>
        <w:t>/</w:t>
      </w:r>
      <w:r w:rsidR="00A00F41">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1772E77B" w:rsidR="0004274F" w:rsidRPr="007C5605" w:rsidRDefault="004F5FBC"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SISTEMA EDUCATIVO ESTATAL REGULAR</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5586379"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2C2039">
        <w:rPr>
          <w:rFonts w:ascii="AvantGarde Bk BT" w:hAnsi="AvantGarde Bk BT" w:cs="Arial"/>
          <w:color w:val="000000" w:themeColor="text1"/>
          <w:sz w:val="24"/>
          <w:szCs w:val="24"/>
        </w:rPr>
        <w:t>ocho de abril</w:t>
      </w:r>
      <w:r w:rsidR="00A00F41">
        <w:rPr>
          <w:rFonts w:ascii="AvantGarde Bk BT" w:hAnsi="AvantGarde Bk BT" w:cs="Arial"/>
          <w:color w:val="000000" w:themeColor="text1"/>
          <w:sz w:val="24"/>
          <w:szCs w:val="24"/>
        </w:rPr>
        <w:t xml:space="preserve">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71479C8D"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4F5FBC">
        <w:rPr>
          <w:rFonts w:ascii="AvantGarde Bk BT" w:hAnsi="AvantGarde Bk BT" w:cs="Arial"/>
          <w:color w:val="000000" w:themeColor="text1"/>
          <w:sz w:val="24"/>
          <w:szCs w:val="24"/>
        </w:rPr>
        <w:t>veintinueve</w:t>
      </w:r>
      <w:r w:rsidR="002C2039">
        <w:rPr>
          <w:rFonts w:ascii="AvantGarde Bk BT" w:hAnsi="AvantGarde Bk BT" w:cs="Arial"/>
          <w:color w:val="000000" w:themeColor="text1"/>
          <w:sz w:val="24"/>
          <w:szCs w:val="24"/>
        </w:rPr>
        <w:t xml:space="preserve"> de enero</w:t>
      </w:r>
      <w:r w:rsidR="00710E8F">
        <w:rPr>
          <w:rFonts w:ascii="AvantGarde Bk BT" w:hAnsi="AvantGarde Bk BT" w:cs="Arial"/>
          <w:color w:val="000000" w:themeColor="text1"/>
          <w:sz w:val="24"/>
          <w:szCs w:val="24"/>
        </w:rPr>
        <w:t xml:space="preserve"> de dos mil </w:t>
      </w:r>
      <w:r w:rsidR="002C2039">
        <w:rPr>
          <w:rFonts w:ascii="AvantGarde Bk BT" w:hAnsi="AvantGarde Bk BT" w:cs="Arial"/>
          <w:color w:val="000000" w:themeColor="text1"/>
          <w:sz w:val="24"/>
          <w:szCs w:val="24"/>
        </w:rPr>
        <w:t>veintiséis</w:t>
      </w:r>
      <w:r w:rsidR="00EE5D0F">
        <w:rPr>
          <w:rFonts w:ascii="AvantGarde Bk BT" w:hAnsi="AvantGarde Bk BT" w:cs="Arial"/>
          <w:color w:val="000000" w:themeColor="text1"/>
          <w:sz w:val="24"/>
          <w:szCs w:val="24"/>
        </w:rPr>
        <w:t xml:space="preserve"> </w:t>
      </w:r>
      <w:r w:rsidR="002C2039">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4F5FBC">
        <w:rPr>
          <w:rFonts w:ascii="AvantGarde Bk BT" w:hAnsi="AvantGarde Bk BT" w:cs="Arial"/>
          <w:b/>
          <w:color w:val="000000" w:themeColor="text1"/>
          <w:sz w:val="24"/>
          <w:szCs w:val="24"/>
        </w:rPr>
        <w:t>SISTEMA EDUCATIVO ESTATAL REGULAR</w:t>
      </w:r>
      <w:r w:rsidR="004F5FB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w:t>
      </w:r>
      <w:r w:rsidR="000C5159">
        <w:rPr>
          <w:rFonts w:ascii="AvantGarde Bk BT" w:hAnsi="AvantGarde Bk BT" w:cs="Arial"/>
          <w:color w:val="000000" w:themeColor="text1"/>
          <w:sz w:val="24"/>
          <w:szCs w:val="24"/>
        </w:rPr>
        <w:t xml:space="preserve"> </w:t>
      </w:r>
      <w:r w:rsidR="00C56E66">
        <w:rPr>
          <w:rFonts w:ascii="AvantGarde Bk BT" w:hAnsi="AvantGarde Bk BT" w:cs="Arial"/>
          <w:color w:val="000000" w:themeColor="text1"/>
          <w:sz w:val="24"/>
          <w:szCs w:val="24"/>
        </w:rPr>
        <w:t xml:space="preserve">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 xml:space="preserve">la Plataforma Nacional de Transparencia y quedó registrada con el número de folio </w:t>
      </w:r>
      <w:r w:rsidR="004F5FBC">
        <w:rPr>
          <w:rFonts w:ascii="AvantGarde Bk BT" w:hAnsi="AvantGarde Bk BT" w:cs="Arial"/>
          <w:color w:val="000000" w:themeColor="text1"/>
          <w:sz w:val="24"/>
          <w:szCs w:val="24"/>
        </w:rPr>
        <w:t>240</w:t>
      </w:r>
      <w:r w:rsidR="00A00F41" w:rsidRPr="00A00F41">
        <w:rPr>
          <w:rFonts w:ascii="AvantGarde Bk BT" w:hAnsi="AvantGarde Bk BT" w:cs="Arial"/>
          <w:color w:val="000000" w:themeColor="text1"/>
          <w:sz w:val="24"/>
          <w:szCs w:val="24"/>
        </w:rPr>
        <w:t>4</w:t>
      </w:r>
      <w:r w:rsidR="004F5FBC">
        <w:rPr>
          <w:rFonts w:ascii="AvantGarde Bk BT" w:hAnsi="AvantGarde Bk BT" w:cs="Arial"/>
          <w:color w:val="000000" w:themeColor="text1"/>
          <w:sz w:val="24"/>
          <w:szCs w:val="24"/>
        </w:rPr>
        <w:t>70826000027</w:t>
      </w:r>
      <w:r>
        <w:rPr>
          <w:rFonts w:ascii="AvantGarde Bk BT" w:hAnsi="AvantGarde Bk BT" w:cs="Arial"/>
          <w:color w:val="000000" w:themeColor="text1"/>
          <w:sz w:val="24"/>
          <w:szCs w:val="24"/>
        </w:rPr>
        <w:t xml:space="preserve"> (Visible de foja </w:t>
      </w:r>
      <w:r w:rsidR="004F5FBC">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37818C9" w14:textId="3D7B91AC" w:rsidR="002C2039" w:rsidRPr="002C2039"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F5FBC">
        <w:rPr>
          <w:rFonts w:ascii="AvantGarde Bk BT" w:hAnsi="AvantGarde Bk BT" w:cs="Arial"/>
          <w:b/>
          <w:color w:val="000000" w:themeColor="text1"/>
          <w:sz w:val="24"/>
          <w:szCs w:val="24"/>
        </w:rPr>
        <w:t>Respuesta de la solicitud de información</w:t>
      </w:r>
      <w:r w:rsidR="004F5FBC" w:rsidRPr="003E53AD">
        <w:rPr>
          <w:rFonts w:ascii="AvantGarde Bk BT" w:hAnsi="AvantGarde Bk BT" w:cs="Arial"/>
          <w:b/>
          <w:color w:val="000000" w:themeColor="text1"/>
          <w:sz w:val="24"/>
          <w:szCs w:val="24"/>
        </w:rPr>
        <w:t xml:space="preserve">. </w:t>
      </w:r>
      <w:r w:rsidR="004F5FBC">
        <w:rPr>
          <w:rFonts w:ascii="AvantGarde Bk BT" w:hAnsi="AvantGarde Bk BT" w:cs="Arial"/>
          <w:color w:val="000000" w:themeColor="text1"/>
          <w:sz w:val="24"/>
          <w:szCs w:val="24"/>
        </w:rPr>
        <w:t>El</w:t>
      </w:r>
      <w:r w:rsidR="004F5FBC" w:rsidRPr="003E53AD">
        <w:rPr>
          <w:rFonts w:ascii="AvantGarde Bk BT" w:hAnsi="AvantGarde Bk BT" w:cs="Arial"/>
          <w:color w:val="000000" w:themeColor="text1"/>
          <w:sz w:val="24"/>
          <w:szCs w:val="24"/>
        </w:rPr>
        <w:t xml:space="preserve"> </w:t>
      </w:r>
      <w:r w:rsidR="004F5FBC">
        <w:rPr>
          <w:rFonts w:ascii="AvantGarde Bk BT" w:hAnsi="AvantGarde Bk BT" w:cs="Arial"/>
          <w:b/>
          <w:color w:val="000000" w:themeColor="text1"/>
          <w:sz w:val="24"/>
          <w:szCs w:val="24"/>
        </w:rPr>
        <w:t>SISTEMA EDUCATIVO ESTATAL REGULAR</w:t>
      </w:r>
      <w:r w:rsidR="004F5FBC">
        <w:rPr>
          <w:rFonts w:ascii="AvantGarde Bk BT" w:hAnsi="AvantGarde Bk BT" w:cs="Arial"/>
          <w:color w:val="000000" w:themeColor="text1"/>
          <w:sz w:val="24"/>
          <w:szCs w:val="24"/>
        </w:rPr>
        <w:t xml:space="preserve"> respondió</w:t>
      </w:r>
      <w:r w:rsidR="004F5FBC" w:rsidRPr="00F56862">
        <w:rPr>
          <w:rFonts w:ascii="AvantGarde Bk BT" w:hAnsi="AvantGarde Bk BT" w:cs="Arial"/>
          <w:color w:val="000000" w:themeColor="text1"/>
          <w:sz w:val="24"/>
          <w:szCs w:val="24"/>
        </w:rPr>
        <w:t xml:space="preserve"> la solicitud de información el </w:t>
      </w:r>
      <w:r w:rsidR="004F5FBC">
        <w:rPr>
          <w:rFonts w:ascii="AvantGarde Bk BT" w:hAnsi="AvantGarde Bk BT" w:cs="Arial"/>
          <w:color w:val="000000" w:themeColor="text1"/>
          <w:sz w:val="24"/>
          <w:szCs w:val="24"/>
        </w:rPr>
        <w:t xml:space="preserve">once de febrero de dos mil veintiséis. (Visible a foja 03 </w:t>
      </w:r>
      <w:r w:rsidR="004F5FBC" w:rsidRPr="00F56862">
        <w:rPr>
          <w:rFonts w:ascii="AvantGarde Bk BT" w:hAnsi="AvantGarde Bk BT" w:cs="Arial"/>
          <w:color w:val="000000" w:themeColor="text1"/>
          <w:sz w:val="24"/>
          <w:szCs w:val="24"/>
        </w:rPr>
        <w:t>de autos.)</w:t>
      </w:r>
    </w:p>
    <w:p w14:paraId="743928FA" w14:textId="0C54A3B0" w:rsidR="000C5159" w:rsidRPr="000C5159" w:rsidRDefault="002C2039"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F5FBC" w:rsidRPr="007C5605">
        <w:rPr>
          <w:rFonts w:ascii="AvantGarde Bk BT" w:hAnsi="AvantGarde Bk BT" w:cs="Arial"/>
          <w:b/>
          <w:color w:val="000000" w:themeColor="text1"/>
          <w:sz w:val="24"/>
          <w:szCs w:val="24"/>
        </w:rPr>
        <w:t>Interposición del recurso.</w:t>
      </w:r>
      <w:r w:rsidR="004F5FBC" w:rsidRPr="007C5605">
        <w:rPr>
          <w:rFonts w:ascii="AvantGarde Bk BT" w:hAnsi="AvantGarde Bk BT" w:cs="Arial"/>
          <w:color w:val="000000" w:themeColor="text1"/>
          <w:sz w:val="24"/>
          <w:szCs w:val="24"/>
        </w:rPr>
        <w:t xml:space="preserve"> El </w:t>
      </w:r>
      <w:r w:rsidR="004F5FBC">
        <w:rPr>
          <w:rFonts w:ascii="AvantGarde Bk BT" w:hAnsi="AvantGarde Bk BT" w:cs="Arial"/>
          <w:color w:val="000000" w:themeColor="text1"/>
          <w:sz w:val="24"/>
          <w:szCs w:val="24"/>
        </w:rPr>
        <w:t>veinticuatro de febrero de dos mil veintiséis</w:t>
      </w:r>
      <w:r w:rsidR="004F5FBC" w:rsidRPr="007C5605">
        <w:rPr>
          <w:rFonts w:ascii="AvantGarde Bk BT" w:hAnsi="AvantGarde Bk BT" w:cs="Arial"/>
          <w:color w:val="000000" w:themeColor="text1"/>
          <w:sz w:val="24"/>
          <w:szCs w:val="24"/>
        </w:rPr>
        <w:t xml:space="preserve"> </w:t>
      </w:r>
      <w:r w:rsidR="004F5FBC">
        <w:rPr>
          <w:rFonts w:ascii="AvantGarde Bk BT" w:hAnsi="AvantGarde Bk BT" w:cs="Arial"/>
          <w:color w:val="000000" w:themeColor="text1"/>
          <w:sz w:val="24"/>
          <w:szCs w:val="24"/>
        </w:rPr>
        <w:t xml:space="preserve">la persona solicitante </w:t>
      </w:r>
      <w:r w:rsidR="004F5FBC" w:rsidRPr="007C5605">
        <w:rPr>
          <w:rFonts w:ascii="AvantGarde Bk BT" w:hAnsi="AvantGarde Bk BT" w:cs="Arial"/>
          <w:color w:val="000000" w:themeColor="text1"/>
          <w:sz w:val="24"/>
          <w:szCs w:val="24"/>
        </w:rPr>
        <w:t xml:space="preserve">de la información interpuso el recurso de revisión en contra de la </w:t>
      </w:r>
      <w:r w:rsidR="004F5FBC">
        <w:rPr>
          <w:rFonts w:ascii="AvantGarde Bk BT" w:hAnsi="AvantGarde Bk BT" w:cs="Arial"/>
          <w:color w:val="000000" w:themeColor="text1"/>
          <w:sz w:val="24"/>
          <w:szCs w:val="24"/>
        </w:rPr>
        <w:t>respuesta. (visible de foja 01 de autos.)</w:t>
      </w:r>
    </w:p>
    <w:p w14:paraId="75C77F87" w14:textId="2643E829" w:rsidR="00476D4C" w:rsidRPr="00476D4C" w:rsidRDefault="00C271FA"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9138E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138EC" w:rsidRPr="007C5605">
        <w:rPr>
          <w:rFonts w:ascii="AvantGarde Bk BT" w:hAnsi="AvantGarde Bk BT" w:cs="Arial"/>
          <w:color w:val="000000" w:themeColor="text1"/>
          <w:sz w:val="24"/>
          <w:szCs w:val="24"/>
        </w:rPr>
        <w:t xml:space="preserve"> Mediante auto del </w:t>
      </w:r>
      <w:r w:rsidR="009138EC">
        <w:rPr>
          <w:rFonts w:ascii="AvantGarde Bk BT" w:hAnsi="AvantGarde Bk BT" w:cs="Arial"/>
          <w:color w:val="000000" w:themeColor="text1"/>
          <w:sz w:val="24"/>
          <w:szCs w:val="24"/>
        </w:rPr>
        <w:t>veinticuatro de febrero de dos mil veintiséis</w:t>
      </w:r>
      <w:r w:rsidR="009138EC" w:rsidRPr="007C5605">
        <w:rPr>
          <w:rFonts w:ascii="AvantGarde Bk BT" w:hAnsi="AvantGarde Bk BT" w:cs="Arial"/>
          <w:color w:val="000000" w:themeColor="text1"/>
          <w:sz w:val="24"/>
          <w:szCs w:val="24"/>
        </w:rPr>
        <w:t xml:space="preserve"> la presidencia de esta Comisión de Transparencia</w:t>
      </w:r>
      <w:r w:rsidR="009138EC">
        <w:rPr>
          <w:rFonts w:ascii="AvantGarde Bk BT" w:hAnsi="AvantGarde Bk BT" w:cs="Arial"/>
          <w:color w:val="000000" w:themeColor="text1"/>
          <w:sz w:val="24"/>
          <w:szCs w:val="24"/>
        </w:rPr>
        <w:t>, por conducto de la Secretaría de Pleno,</w:t>
      </w:r>
      <w:r w:rsidR="009138EC" w:rsidRPr="007C5605">
        <w:rPr>
          <w:rFonts w:ascii="AvantGarde Bk BT" w:hAnsi="AvantGarde Bk BT" w:cs="Arial"/>
          <w:color w:val="000000" w:themeColor="text1"/>
          <w:sz w:val="24"/>
          <w:szCs w:val="24"/>
        </w:rPr>
        <w:t xml:space="preserve"> tuvo por recibido el recurso de revisión, que por razón de turno, tocó conocer a la ponencia del </w:t>
      </w:r>
      <w:r w:rsidR="009138EC">
        <w:rPr>
          <w:rFonts w:ascii="AvantGarde Bk BT" w:hAnsi="AvantGarde Bk BT" w:cs="Arial"/>
          <w:color w:val="000000" w:themeColor="text1"/>
          <w:sz w:val="24"/>
          <w:szCs w:val="24"/>
        </w:rPr>
        <w:t xml:space="preserve">Comisionado Licenciado José Gerardo </w:t>
      </w:r>
      <w:r w:rsidR="009138EC">
        <w:rPr>
          <w:rFonts w:ascii="AvantGarde Bk BT" w:hAnsi="AvantGarde Bk BT" w:cs="Arial"/>
          <w:color w:val="000000" w:themeColor="text1"/>
          <w:sz w:val="24"/>
          <w:szCs w:val="24"/>
        </w:rPr>
        <w:lastRenderedPageBreak/>
        <w:t>Navarro Alviso</w:t>
      </w:r>
      <w:r w:rsidR="009138E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572E244A" w14:textId="77777777" w:rsidR="009138EC" w:rsidRPr="007C5605" w:rsidRDefault="00C271FA" w:rsidP="009138E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9138EC" w:rsidRPr="003D5C15">
        <w:rPr>
          <w:rFonts w:ascii="AvantGarde Bk BT" w:hAnsi="AvantGarde Bk BT" w:cs="Arial"/>
          <w:b/>
          <w:color w:val="000000" w:themeColor="text1"/>
          <w:sz w:val="24"/>
          <w:szCs w:val="24"/>
        </w:rPr>
        <w:t>Auto de admisión</w:t>
      </w:r>
      <w:r w:rsidR="009138EC">
        <w:rPr>
          <w:rFonts w:ascii="AvantGarde Bk BT" w:hAnsi="AvantGarde Bk BT" w:cs="Arial"/>
          <w:color w:val="000000" w:themeColor="text1"/>
          <w:sz w:val="24"/>
          <w:szCs w:val="24"/>
        </w:rPr>
        <w:t>. Por proveído de diecinueve de febrero de dos mil veintiséis, esta Comisión</w:t>
      </w:r>
      <w:r w:rsidR="009138EC" w:rsidRPr="007C5605">
        <w:rPr>
          <w:rFonts w:ascii="AvantGarde Bk BT" w:hAnsi="AvantGarde Bk BT" w:cs="Arial"/>
          <w:color w:val="000000" w:themeColor="text1"/>
          <w:sz w:val="24"/>
          <w:szCs w:val="24"/>
        </w:rPr>
        <w:t>:</w:t>
      </w:r>
    </w:p>
    <w:p w14:paraId="20331F06"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439F17C" w14:textId="49BB4BCE" w:rsidR="009138EC" w:rsidRPr="00D85914"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RR-078/2026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DF206C1"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68F9D262" w14:textId="7172D085"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Pr>
          <w:rFonts w:ascii="AvantGarde Bk BT" w:hAnsi="AvantGarde Bk BT" w:cs="Arial"/>
          <w:color w:val="000000" w:themeColor="text1"/>
          <w:sz w:val="24"/>
          <w:szCs w:val="24"/>
        </w:rPr>
        <w:t>parcialmente a trámite</w:t>
      </w:r>
      <w:r w:rsidRPr="006932D1">
        <w:rPr>
          <w:rFonts w:ascii="AvantGarde Bk BT" w:hAnsi="AvantGarde Bk BT" w:cs="Arial"/>
          <w:color w:val="000000" w:themeColor="text1"/>
          <w:sz w:val="24"/>
          <w:szCs w:val="24"/>
        </w:rPr>
        <w:t xml:space="preserve"> el medio de impugnación en atención a la</w:t>
      </w:r>
      <w:r>
        <w:rPr>
          <w:rFonts w:ascii="AvantGarde Bk BT" w:hAnsi="AvantGarde Bk BT" w:cs="Arial"/>
          <w:color w:val="000000" w:themeColor="text1"/>
          <w:sz w:val="24"/>
          <w:szCs w:val="24"/>
        </w:rPr>
        <w:t>s</w:t>
      </w:r>
      <w:r w:rsidRPr="006932D1">
        <w:rPr>
          <w:rFonts w:ascii="AvantGarde Bk BT" w:hAnsi="AvantGarde Bk BT" w:cs="Arial"/>
          <w:color w:val="000000" w:themeColor="text1"/>
          <w:sz w:val="24"/>
          <w:szCs w:val="24"/>
        </w:rPr>
        <w:t xml:space="preserve"> hipóte</w:t>
      </w:r>
      <w:r>
        <w:rPr>
          <w:rFonts w:ascii="AvantGarde Bk BT" w:hAnsi="AvantGarde Bk BT" w:cs="Arial"/>
          <w:color w:val="000000" w:themeColor="text1"/>
          <w:sz w:val="24"/>
          <w:szCs w:val="24"/>
        </w:rPr>
        <w:t xml:space="preserve">sis establecidas en </w:t>
      </w:r>
      <w:r w:rsidRPr="00AF12A6">
        <w:rPr>
          <w:rFonts w:ascii="AvantGarde Bk BT" w:hAnsi="AvantGarde Bk BT" w:cs="Arial"/>
          <w:b/>
          <w:color w:val="000000" w:themeColor="text1"/>
          <w:sz w:val="24"/>
          <w:szCs w:val="24"/>
        </w:rPr>
        <w:t>la</w:t>
      </w:r>
      <w:r>
        <w:rPr>
          <w:rFonts w:ascii="AvantGarde Bk BT" w:hAnsi="AvantGarde Bk BT" w:cs="Arial"/>
          <w:b/>
          <w:color w:val="000000" w:themeColor="text1"/>
          <w:sz w:val="24"/>
          <w:szCs w:val="24"/>
        </w:rPr>
        <w:t>s fracciones</w:t>
      </w:r>
      <w:r w:rsidRPr="00AF12A6">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IV y VII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308E340" w14:textId="24328C02" w:rsidR="009138EC" w:rsidRPr="00D6546A"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l </w:t>
      </w:r>
      <w:r w:rsidR="002739AB">
        <w:rPr>
          <w:rFonts w:ascii="AvantGarde Bk BT" w:hAnsi="AvantGarde Bk BT" w:cs="Arial"/>
          <w:b/>
          <w:color w:val="000000" w:themeColor="text1"/>
          <w:sz w:val="24"/>
          <w:szCs w:val="24"/>
        </w:rPr>
        <w:t>SISTEMA EDUCATIVO ESTATAL REGULAR</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1702EC70"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66354486"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2492BF98"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2CCCE7D0" w14:textId="77777777" w:rsidR="009138EC" w:rsidRDefault="009138EC" w:rsidP="009138EC">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6E0B267D" w14:textId="2983DF9D" w:rsidR="00CB72BB" w:rsidRPr="002739AB" w:rsidRDefault="009138EC" w:rsidP="002739AB">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41A946FA" w14:textId="4559FC5F" w:rsidR="002739AB" w:rsidRPr="00D63D8E" w:rsidRDefault="00C271FA" w:rsidP="002739AB">
      <w:pPr>
        <w:pStyle w:val="corte4fondo"/>
        <w:tabs>
          <w:tab w:val="left" w:pos="567"/>
        </w:tabs>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2739AB">
        <w:rPr>
          <w:rFonts w:ascii="AvantGarde Bk BT" w:hAnsi="AvantGarde Bk BT" w:cs="Arial"/>
          <w:b/>
          <w:color w:val="000000" w:themeColor="text1"/>
          <w:sz w:val="24"/>
          <w:szCs w:val="24"/>
        </w:rPr>
        <w:t>Recepción del informe del sujeto obligado, sobreseimiento parcial y c</w:t>
      </w:r>
      <w:r w:rsidR="002739AB" w:rsidRPr="00DC67E0">
        <w:rPr>
          <w:rFonts w:ascii="AvantGarde Bk BT" w:hAnsi="AvantGarde Bk BT" w:cs="Arial"/>
          <w:b/>
          <w:color w:val="000000" w:themeColor="text1"/>
          <w:sz w:val="24"/>
          <w:szCs w:val="24"/>
        </w:rPr>
        <w:t>ierre de instrucción.</w:t>
      </w:r>
      <w:r w:rsidR="002739AB" w:rsidRPr="00DC67E0">
        <w:rPr>
          <w:rFonts w:ascii="AvantGarde Bk BT" w:hAnsi="AvantGarde Bk BT" w:cs="Arial"/>
          <w:color w:val="000000" w:themeColor="text1"/>
          <w:sz w:val="24"/>
          <w:szCs w:val="24"/>
        </w:rPr>
        <w:t xml:space="preserve"> </w:t>
      </w:r>
      <w:r w:rsidR="002739AB" w:rsidRPr="00D63D8E">
        <w:rPr>
          <w:rFonts w:ascii="AvantGarde Bk BT" w:hAnsi="AvantGarde Bk BT" w:cs="Arial"/>
          <w:color w:val="000000" w:themeColor="text1"/>
          <w:sz w:val="24"/>
          <w:szCs w:val="24"/>
        </w:rPr>
        <w:t xml:space="preserve">Mediante el auto del </w:t>
      </w:r>
      <w:r w:rsidR="002739AB">
        <w:rPr>
          <w:rFonts w:ascii="AvantGarde Bk BT" w:hAnsi="AvantGarde Bk BT" w:cs="Arial"/>
          <w:color w:val="000000" w:themeColor="text1"/>
          <w:sz w:val="24"/>
          <w:szCs w:val="24"/>
        </w:rPr>
        <w:t>trece de marzo de dos mil veintiséis</w:t>
      </w:r>
      <w:r w:rsidR="002739AB" w:rsidRPr="00D63D8E">
        <w:rPr>
          <w:rFonts w:ascii="AvantGarde Bk BT" w:hAnsi="AvantGarde Bk BT" w:cs="Arial"/>
          <w:color w:val="000000" w:themeColor="text1"/>
          <w:sz w:val="24"/>
          <w:szCs w:val="24"/>
        </w:rPr>
        <w:t>, esta Comisión:</w:t>
      </w:r>
    </w:p>
    <w:p w14:paraId="1614B6F2" w14:textId="4D35FF14" w:rsidR="002739AB" w:rsidRPr="00D63D8E" w:rsidRDefault="002739AB" w:rsidP="002739AB">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a los autos e</w:t>
      </w:r>
      <w:r w:rsidRPr="002739AB">
        <w:rPr>
          <w:rFonts w:ascii="AvantGarde Bk BT" w:hAnsi="AvantGarde Bk BT" w:cs="Arial"/>
          <w:color w:val="000000" w:themeColor="text1"/>
          <w:sz w:val="24"/>
          <w:szCs w:val="24"/>
        </w:rPr>
        <w:t>l oficio 30/2025-2026, signado por Ma. Juana Marín Carrillo, Directora de la Escuela Oficial Vespertina “Héroe de Nacozari”</w:t>
      </w:r>
      <w:r>
        <w:rPr>
          <w:rFonts w:ascii="AvantGarde Bk BT" w:hAnsi="AvantGarde Bk BT" w:cs="Arial"/>
          <w:color w:val="000000" w:themeColor="text1"/>
          <w:sz w:val="24"/>
          <w:szCs w:val="24"/>
        </w:rPr>
        <w:t>, así como e</w:t>
      </w:r>
      <w:r w:rsidRPr="002739AB">
        <w:rPr>
          <w:rFonts w:ascii="AvantGarde Bk BT" w:hAnsi="AvantGarde Bk BT" w:cs="Arial"/>
          <w:color w:val="000000" w:themeColor="text1"/>
          <w:sz w:val="24"/>
          <w:szCs w:val="24"/>
        </w:rPr>
        <w:t>l oficio SIP-005/2026PNT, signado por Manuel Jaramillo Portales, Titular de la Unidad de Transparencia del Sistema Educativo Estatal Regular</w:t>
      </w:r>
      <w:r>
        <w:rPr>
          <w:rFonts w:ascii="AvantGarde Bk BT" w:hAnsi="AvantGarde Bk BT" w:cs="Arial"/>
          <w:color w:val="000000" w:themeColor="text1"/>
          <w:sz w:val="24"/>
          <w:szCs w:val="24"/>
        </w:rPr>
        <w:t>, recibidos en la Oficialía de Partes de esta Comisión el diez y once de marzo de dos mil veintiséis, respectivamente</w:t>
      </w:r>
      <w:r w:rsidRPr="00D63D8E">
        <w:rPr>
          <w:rFonts w:ascii="AvantGarde Bk BT" w:hAnsi="AvantGarde Bk BT" w:cs="Arial"/>
          <w:color w:val="000000" w:themeColor="text1"/>
          <w:sz w:val="24"/>
          <w:szCs w:val="24"/>
        </w:rPr>
        <w:t>.</w:t>
      </w:r>
    </w:p>
    <w:p w14:paraId="33BB1863" w14:textId="77777777" w:rsidR="002739AB" w:rsidRPr="00D63D8E" w:rsidRDefault="002739AB" w:rsidP="002739AB">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rendido</w:t>
      </w:r>
      <w:r w:rsidRPr="00D63D8E">
        <w:rPr>
          <w:rFonts w:ascii="AvantGarde Bk BT" w:hAnsi="AvantGarde Bk BT" w:cs="Arial"/>
          <w:color w:val="000000" w:themeColor="text1"/>
          <w:sz w:val="24"/>
          <w:szCs w:val="24"/>
        </w:rPr>
        <w:t xml:space="preserve"> el informe del sujeto obligado, así como</w:t>
      </w:r>
      <w:r>
        <w:rPr>
          <w:rFonts w:ascii="AvantGarde Bk BT" w:hAnsi="AvantGarde Bk BT" w:cs="Arial"/>
          <w:color w:val="000000" w:themeColor="text1"/>
          <w:sz w:val="24"/>
          <w:szCs w:val="24"/>
        </w:rPr>
        <w:t xml:space="preserve"> ofrecidas</w:t>
      </w:r>
      <w:r w:rsidRPr="00D63D8E">
        <w:rPr>
          <w:rFonts w:ascii="AvantGarde Bk BT" w:hAnsi="AvantGarde Bk BT" w:cs="Arial"/>
          <w:color w:val="000000" w:themeColor="text1"/>
          <w:sz w:val="24"/>
          <w:szCs w:val="24"/>
        </w:rPr>
        <w:t xml:space="preserve"> las pruebas de su intención.</w:t>
      </w:r>
    </w:p>
    <w:p w14:paraId="2BA369D4" w14:textId="260610FF" w:rsidR="002739AB" w:rsidRDefault="002739AB" w:rsidP="002739AB">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En cuanto al peticionario, feneció el plazo para que presentara pruebas y manifestara lo que a su derecho conviniera.</w:t>
      </w:r>
    </w:p>
    <w:p w14:paraId="51C6D4DC" w14:textId="7A6D41C7" w:rsidR="002739AB" w:rsidRPr="00D63D8E" w:rsidRDefault="002739AB" w:rsidP="002739AB">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Sobreseyó parcialmente el recurso de revisión, esto derivado de que el sujeto obligado modificó el acto impugnado y dejó sin materia parte del recurso de revisión.</w:t>
      </w:r>
    </w:p>
    <w:p w14:paraId="371FB804" w14:textId="77777777" w:rsidR="002739AB" w:rsidRPr="00D63D8E" w:rsidRDefault="002739AB" w:rsidP="002739AB">
      <w:pPr>
        <w:pStyle w:val="corte4fondo"/>
        <w:numPr>
          <w:ilvl w:val="0"/>
          <w:numId w:val="44"/>
        </w:numPr>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w:t>
      </w:r>
      <w:r w:rsidRPr="00D63D8E">
        <w:rPr>
          <w:rFonts w:ascii="AvantGarde Bk BT" w:hAnsi="AvantGarde Bk BT" w:cs="Arial"/>
          <w:color w:val="000000" w:themeColor="text1"/>
          <w:sz w:val="24"/>
          <w:szCs w:val="24"/>
        </w:rPr>
        <w:t xml:space="preserve">decretó el cierre del periodo de instrucción con fundamento en lo previsto por el artículo 174, fracciones V y VII de la Ley de la materia y procedió a elaborar el proyecto de resolución.  </w:t>
      </w:r>
    </w:p>
    <w:p w14:paraId="0C72F3DF" w14:textId="19D4294A" w:rsidR="00E215D2" w:rsidRDefault="00CC35B6" w:rsidP="00CF0D4F">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756C5F">
        <w:rPr>
          <w:rFonts w:ascii="AvantGarde Bk BT" w:hAnsi="AvantGarde Bk BT" w:cs="Arial"/>
          <w:color w:val="000000" w:themeColor="text1"/>
          <w:sz w:val="24"/>
          <w:szCs w:val="24"/>
        </w:rPr>
        <w:lastRenderedPageBreak/>
        <w:t>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752D4195"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CF0D4F">
        <w:rPr>
          <w:rFonts w:ascii="AvantGarde Bk BT" w:hAnsi="AvantGarde Bk BT" w:cs="Arial"/>
          <w:color w:val="000000" w:themeColor="text1"/>
          <w:sz w:val="24"/>
          <w:szCs w:val="24"/>
        </w:rPr>
        <w:t>once</w:t>
      </w:r>
      <w:r w:rsidR="00782DDF">
        <w:rPr>
          <w:rFonts w:ascii="AvantGarde Bk BT" w:hAnsi="AvantGarde Bk BT" w:cs="Arial"/>
          <w:color w:val="000000" w:themeColor="text1"/>
          <w:sz w:val="24"/>
          <w:szCs w:val="24"/>
        </w:rPr>
        <w:t xml:space="preserve"> de febrero de dos mil veintiséis</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39885E99"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CF0D4F">
        <w:rPr>
          <w:rFonts w:ascii="AvantGarde Bk BT" w:hAnsi="AvantGarde Bk BT" w:cs="Arial"/>
          <w:color w:val="000000" w:themeColor="text1"/>
          <w:sz w:val="24"/>
          <w:szCs w:val="24"/>
        </w:rPr>
        <w:t>doce</w:t>
      </w:r>
      <w:r w:rsidR="00782DDF">
        <w:rPr>
          <w:rFonts w:ascii="AvantGarde Bk BT" w:hAnsi="AvantGarde Bk BT" w:cs="Arial"/>
          <w:color w:val="000000" w:themeColor="text1"/>
          <w:sz w:val="24"/>
          <w:szCs w:val="24"/>
        </w:rPr>
        <w:t xml:space="preserve"> de febrero al </w:t>
      </w:r>
      <w:r w:rsidR="00CF0D4F">
        <w:rPr>
          <w:rFonts w:ascii="AvantGarde Bk BT" w:hAnsi="AvantGarde Bk BT" w:cs="Arial"/>
          <w:color w:val="000000" w:themeColor="text1"/>
          <w:sz w:val="24"/>
          <w:szCs w:val="24"/>
        </w:rPr>
        <w:t>cuatro</w:t>
      </w:r>
      <w:r w:rsidR="00782DDF">
        <w:rPr>
          <w:rFonts w:ascii="AvantGarde Bk BT" w:hAnsi="AvantGarde Bk BT" w:cs="Arial"/>
          <w:color w:val="000000" w:themeColor="text1"/>
          <w:sz w:val="24"/>
          <w:szCs w:val="24"/>
        </w:rPr>
        <w:t xml:space="preserve"> de marzo</w:t>
      </w:r>
      <w:r w:rsidR="002E4587">
        <w:rPr>
          <w:rFonts w:ascii="AvantGarde Bk BT" w:hAnsi="AvantGarde Bk BT" w:cs="Arial"/>
          <w:color w:val="000000" w:themeColor="text1"/>
          <w:sz w:val="24"/>
          <w:szCs w:val="24"/>
        </w:rPr>
        <w:t xml:space="preserve"> de dos mil veintiséis</w:t>
      </w:r>
      <w:r>
        <w:rPr>
          <w:rFonts w:ascii="AvantGarde Bk BT" w:hAnsi="AvantGarde Bk BT" w:cs="Arial"/>
          <w:color w:val="000000" w:themeColor="text1"/>
          <w:sz w:val="24"/>
          <w:szCs w:val="24"/>
        </w:rPr>
        <w:t xml:space="preserve">, sin tomar en cuenta </w:t>
      </w:r>
      <w:r w:rsidR="00782DDF">
        <w:rPr>
          <w:rFonts w:ascii="AvantGarde Bk BT" w:hAnsi="AvantGarde Bk BT" w:cs="Arial"/>
          <w:color w:val="000000" w:themeColor="text1"/>
          <w:sz w:val="24"/>
          <w:szCs w:val="24"/>
        </w:rPr>
        <w:t xml:space="preserve">el </w:t>
      </w:r>
      <w:r w:rsidR="00CF0D4F">
        <w:rPr>
          <w:rFonts w:ascii="AvantGarde Bk BT" w:hAnsi="AvantGarde Bk BT" w:cs="Arial"/>
          <w:color w:val="000000" w:themeColor="text1"/>
          <w:sz w:val="24"/>
          <w:szCs w:val="24"/>
        </w:rPr>
        <w:t xml:space="preserve">catorce, quince, </w:t>
      </w:r>
      <w:r w:rsidR="00782DDF">
        <w:rPr>
          <w:rFonts w:ascii="AvantGarde Bk BT" w:hAnsi="AvantGarde Bk BT" w:cs="Arial"/>
          <w:color w:val="000000" w:themeColor="text1"/>
          <w:sz w:val="24"/>
          <w:szCs w:val="24"/>
        </w:rPr>
        <w:t>veintiuno, veintidós y veintiocho de febrero, así como el uno de marzo</w:t>
      </w:r>
      <w:r w:rsidR="002E4587">
        <w:rPr>
          <w:rFonts w:ascii="AvantGarde Bk BT" w:hAnsi="AvantGarde Bk BT" w:cs="Arial"/>
          <w:color w:val="000000" w:themeColor="text1"/>
          <w:sz w:val="24"/>
          <w:szCs w:val="24"/>
        </w:rPr>
        <w:t xml:space="preserve"> de dos mil veintiséis, </w:t>
      </w:r>
      <w:r w:rsidR="002239D8">
        <w:rPr>
          <w:rFonts w:ascii="AvantGarde Bk BT" w:hAnsi="AvantGarde Bk BT" w:cs="Arial"/>
          <w:color w:val="000000" w:themeColor="text1"/>
          <w:sz w:val="24"/>
          <w:szCs w:val="24"/>
        </w:rPr>
        <w:t>por ser inhábiles</w:t>
      </w:r>
      <w:r>
        <w:rPr>
          <w:rFonts w:ascii="AvantGarde Bk BT" w:hAnsi="AvantGarde Bk BT" w:cs="Arial"/>
          <w:color w:val="000000" w:themeColor="text1"/>
          <w:sz w:val="24"/>
          <w:szCs w:val="24"/>
        </w:rPr>
        <w:t>.</w:t>
      </w:r>
    </w:p>
    <w:p w14:paraId="52530DF1" w14:textId="1FAA49D2"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CF0D4F">
        <w:rPr>
          <w:rFonts w:ascii="AvantGarde Bk BT" w:hAnsi="AvantGarde Bk BT" w:cs="Arial"/>
          <w:color w:val="000000" w:themeColor="text1"/>
          <w:sz w:val="24"/>
          <w:szCs w:val="24"/>
        </w:rPr>
        <w:t>veinticuatro</w:t>
      </w:r>
      <w:r w:rsidR="002E4587">
        <w:rPr>
          <w:rFonts w:ascii="AvantGarde Bk BT" w:hAnsi="AvantGarde Bk BT" w:cs="Arial"/>
          <w:color w:val="000000" w:themeColor="text1"/>
          <w:sz w:val="24"/>
          <w:szCs w:val="24"/>
        </w:rPr>
        <w:t xml:space="preserve"> de </w:t>
      </w:r>
      <w:r w:rsidR="00782DDF">
        <w:rPr>
          <w:rFonts w:ascii="AvantGarde Bk BT" w:hAnsi="AvantGarde Bk BT" w:cs="Arial"/>
          <w:color w:val="000000" w:themeColor="text1"/>
          <w:sz w:val="24"/>
          <w:szCs w:val="24"/>
        </w:rPr>
        <w:t>febrero de dos mil veintiséis</w:t>
      </w:r>
      <w:r w:rsidR="002239D8">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w:t>
      </w:r>
      <w:r w:rsidRPr="007F0BFC">
        <w:rPr>
          <w:rFonts w:ascii="AvantGarde Bk BT" w:hAnsi="AvantGarde Bk BT" w:cs="Arial"/>
          <w:color w:val="000000" w:themeColor="text1"/>
          <w:sz w:val="24"/>
          <w:szCs w:val="24"/>
        </w:rPr>
        <w:lastRenderedPageBreak/>
        <w:t>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43EA7CDD" w14:textId="77777777" w:rsidR="00FC2715" w:rsidRDefault="00FC2715" w:rsidP="009E2819">
      <w:pPr>
        <w:pStyle w:val="corte4fondo"/>
        <w:tabs>
          <w:tab w:val="left" w:pos="567"/>
        </w:tabs>
        <w:spacing w:after="240"/>
        <w:ind w:firstLine="680"/>
        <w:rPr>
          <w:rFonts w:ascii="AvantGarde Bk BT" w:hAnsi="AvantGarde Bk BT" w:cs="Arial"/>
          <w:b/>
          <w:color w:val="000000" w:themeColor="text1"/>
          <w:sz w:val="24"/>
          <w:szCs w:val="24"/>
        </w:rPr>
      </w:pPr>
    </w:p>
    <w:p w14:paraId="36A64980" w14:textId="77777777" w:rsidR="00FC2715" w:rsidRDefault="00FC2715" w:rsidP="009E2819">
      <w:pPr>
        <w:pStyle w:val="corte4fondo"/>
        <w:tabs>
          <w:tab w:val="left" w:pos="567"/>
        </w:tabs>
        <w:spacing w:after="240"/>
        <w:ind w:firstLine="680"/>
        <w:rPr>
          <w:rFonts w:ascii="AvantGarde Bk BT" w:hAnsi="AvantGarde Bk BT" w:cs="Arial"/>
          <w:b/>
          <w:color w:val="000000" w:themeColor="text1"/>
          <w:sz w:val="24"/>
          <w:szCs w:val="24"/>
        </w:rPr>
      </w:pPr>
    </w:p>
    <w:p w14:paraId="5F44BE68" w14:textId="77777777" w:rsidR="00FC2715" w:rsidRDefault="00FC2715" w:rsidP="009E2819">
      <w:pPr>
        <w:pStyle w:val="corte4fondo"/>
        <w:tabs>
          <w:tab w:val="left" w:pos="567"/>
        </w:tabs>
        <w:spacing w:after="240"/>
        <w:ind w:firstLine="680"/>
        <w:rPr>
          <w:rFonts w:ascii="AvantGarde Bk BT" w:hAnsi="AvantGarde Bk BT" w:cs="Arial"/>
          <w:b/>
          <w:color w:val="000000" w:themeColor="text1"/>
          <w:sz w:val="24"/>
          <w:szCs w:val="24"/>
        </w:rPr>
      </w:pPr>
    </w:p>
    <w:p w14:paraId="79A00A4D" w14:textId="2DFD08BB"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5F5B1A88"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CF0D4F">
        <w:rPr>
          <w:rFonts w:ascii="AvantGarde Bk BT" w:hAnsi="AvantGarde Bk BT" w:cs="Arial"/>
          <w:color w:val="000000" w:themeColor="text1"/>
          <w:sz w:val="24"/>
          <w:szCs w:val="24"/>
        </w:rPr>
        <w:t>240</w:t>
      </w:r>
      <w:r w:rsidR="00CF0D4F" w:rsidRPr="00A00F41">
        <w:rPr>
          <w:rFonts w:ascii="AvantGarde Bk BT" w:hAnsi="AvantGarde Bk BT" w:cs="Arial"/>
          <w:color w:val="000000" w:themeColor="text1"/>
          <w:sz w:val="24"/>
          <w:szCs w:val="24"/>
        </w:rPr>
        <w:t>4</w:t>
      </w:r>
      <w:r w:rsidR="00CF0D4F">
        <w:rPr>
          <w:rFonts w:ascii="AvantGarde Bk BT" w:hAnsi="AvantGarde Bk BT" w:cs="Arial"/>
          <w:color w:val="000000" w:themeColor="text1"/>
          <w:sz w:val="24"/>
          <w:szCs w:val="24"/>
        </w:rPr>
        <w:t>70826000027</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6C9169FA"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7D707E">
        <w:rPr>
          <w:rFonts w:ascii="AvantGarde Bk BT" w:eastAsia="Times New Roman" w:hAnsi="AvantGarde Bk BT" w:cs="Arial"/>
          <w:color w:val="000000" w:themeColor="text1"/>
          <w:sz w:val="24"/>
          <w:szCs w:val="24"/>
        </w:rPr>
        <w:t>“</w:t>
      </w:r>
      <w:r w:rsidRPr="00672060">
        <w:rPr>
          <w:rFonts w:ascii="Tahoma" w:eastAsia="Times New Roman" w:hAnsi="Tahoma" w:cs="Tahoma"/>
          <w:i/>
          <w:color w:val="000000" w:themeColor="text1"/>
          <w:szCs w:val="24"/>
        </w:rPr>
        <w:t>﻿﻿﻿</w:t>
      </w:r>
      <w:r w:rsidRPr="00B01E74">
        <w:rPr>
          <w:rFonts w:ascii="AvantGarde Bk BT" w:eastAsia="Times New Roman" w:hAnsi="AvantGarde Bk BT" w:cs="Arial"/>
          <w:i/>
          <w:color w:val="000000" w:themeColor="text1"/>
          <w:szCs w:val="24"/>
        </w:rPr>
        <w:t>Por medio de la presente, y con fundamento en el Artículo 6° de la Constitución Política de los Estados Unidos Mexicanos, así como en la Ley de Transparencia y Acceso a la Información Pública vigente, se solicita copia certificada o simple (según corresponda) en formato digital (PDF, Excel o archivos procesables) de la información documentada generada por la Escuela Secundaria Héroes de Nacozari“ correspondiente a los ciclos escolares 2020-2021, 2021-2022, 2022-2023, 2023-2024, 2024-2025 y 2025-2026, con el propósito de verificar el cumplimiento de funciones, la correcta gestión institucional y la calidad del servicio educativo, conforme a los siguientes rubros, separados por ciclo escolar:</w:t>
      </w:r>
    </w:p>
    <w:p w14:paraId="219B99B4"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 Gestión Académica, Administrativa y Operativa</w:t>
      </w:r>
    </w:p>
    <w:p w14:paraId="696447DC"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Planificación Institucional:</w:t>
      </w:r>
    </w:p>
    <w:p w14:paraId="4725A8F9"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Planes de trabajo de la Dirección Escolar, metas institucionales, informes de resultados, evaluaciones internas y planeaciones pedagógicas de los docentes frente a grupo.</w:t>
      </w:r>
    </w:p>
    <w:p w14:paraId="0AD0416F"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Seguimiento Académico:</w:t>
      </w:r>
    </w:p>
    <w:p w14:paraId="726B0528"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Resultados de evaluaciones diagnósticas, intermedias y finales (en versión pública), informes de avance académico, estrategias de atención a rezago educativo y evidencias de mejora continua.</w:t>
      </w:r>
    </w:p>
    <w:p w14:paraId="0EB1B477"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Consejo Técnico Escolar (CTE):</w:t>
      </w:r>
    </w:p>
    <w:p w14:paraId="5264E01E"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Informes detallados de las sesiones del Consejo Técnico Escolar, incluyendo actas, acuerdos, compromisos, bitácoras de seguimiento y evidencias de cumplimiento.</w:t>
      </w:r>
    </w:p>
    <w:p w14:paraId="02F6C328"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Plantilla de Personal:</w:t>
      </w:r>
    </w:p>
    <w:p w14:paraId="4FA98A5B"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Relación nominal del personal docente, directivo y administrativo adscrito a la escuela por ciclo escolar, indicando función, tipo de nombramiento y turno.</w:t>
      </w:r>
    </w:p>
    <w:p w14:paraId="362DA113"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Asistencia del Personal:</w:t>
      </w:r>
    </w:p>
    <w:p w14:paraId="0F89227B"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Registros de asistencia del personal docente y administrativo, en versión pública, incluyendo:</w:t>
      </w:r>
    </w:p>
    <w:p w14:paraId="1AFC9497"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Incapacidades médicas debidamente justificadas.</w:t>
      </w:r>
    </w:p>
    <w:p w14:paraId="66DD1867"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Comisiones oficiales y comisiones sindicales autorizadas, especificando periodo, fundamento y autoridad que las emite, testando datos personales sensibles conforme a la ley.</w:t>
      </w:r>
    </w:p>
    <w:p w14:paraId="4AFE266C"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Control Escolar:</w:t>
      </w:r>
    </w:p>
    <w:p w14:paraId="1314D281"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lastRenderedPageBreak/>
        <w:t>Listas de asistencia de alumnos (en versión pública), estadísticas de inscripción, bajas y egresos, así como reportes sobre procesos de promoción y graduación.</w:t>
      </w:r>
    </w:p>
    <w:p w14:paraId="20DC6D77"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II. Gestión de la Asociación de Padres de Familia (APF)</w:t>
      </w:r>
    </w:p>
    <w:p w14:paraId="43603676"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Marco Organizativo:</w:t>
      </w:r>
    </w:p>
    <w:p w14:paraId="5D162A9A"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Acta constitutiva, estructura orgánica, actas de asamblea, planes de trabajo anuales y mecanismos de participación de madres y padres de familia.</w:t>
      </w:r>
    </w:p>
    <w:p w14:paraId="366D38B4"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Transparencia Financiera:</w:t>
      </w:r>
    </w:p>
    <w:p w14:paraId="1725144E"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Estados de cuenta, presupuestos anuales, informes mensuales de ingresos y egresos, comprobantes de gasto, informes de auditoría o rendición de cuentas presentados a la comunidad escolar.</w:t>
      </w:r>
    </w:p>
    <w:p w14:paraId="0488AFAF"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Recaudación de Fondos:</w:t>
      </w:r>
    </w:p>
    <w:p w14:paraId="0AC87AA9"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Relación de actividades para la procuración de fondos (kermeses, convivios, rifas, eventos), especificando montos recaudados, destino, objetivos y beneficios para la comunidad educativa.</w:t>
      </w:r>
    </w:p>
    <w:p w14:paraId="48164DB5"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III. Infraestructura, Seguridad y Entorno Escolar</w:t>
      </w:r>
    </w:p>
    <w:p w14:paraId="1AAFE7F5"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Infraestructura Educativa:</w:t>
      </w:r>
    </w:p>
    <w:p w14:paraId="69625541"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Inventarios de mobiliario y equipo, reportes de mantenimiento, diagnósticos de infraestructura, solicitudes de apoyo y gestiones realizadas ante autoridades competentes.</w:t>
      </w:r>
    </w:p>
    <w:p w14:paraId="7C6D81BD"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Seguridad Escolar:</w:t>
      </w:r>
    </w:p>
    <w:p w14:paraId="10173BC8"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Protocolos de protección civil, planes de emergencia, simulacros realizados, actas de capacitación y evidencias de cumplimiento en materia de seguridad escolar.</w:t>
      </w:r>
    </w:p>
    <w:p w14:paraId="665D0E8B"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Normatividad Interna:</w:t>
      </w:r>
    </w:p>
    <w:p w14:paraId="1B03CEC1"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Acuerdos de Convivencia Escolar, códigos de conducta, reglamentos internos y procedimientos disciplinarios debidamente autorizados.</w:t>
      </w:r>
    </w:p>
    <w:p w14:paraId="7C1F76EF"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IV. Convivencia, Bienestar y Atención a la Comunidad</w:t>
      </w:r>
    </w:p>
    <w:p w14:paraId="5E22B133"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Bienestar Estudiantil:</w:t>
      </w:r>
    </w:p>
    <w:p w14:paraId="73F4CD76"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Programas y acciones para la prevención del acoso escolar (bullying), atención socioemocional, inclusión educativa y seguimiento a casos relevantes (en versión pública).</w:t>
      </w:r>
    </w:p>
    <w:p w14:paraId="117B2334"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Incidencias:</w:t>
      </w:r>
    </w:p>
    <w:p w14:paraId="3C0234C4"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Bitácoras de incidencias, reportes conductuales y actas circunstanciadas generadas por personal docente y de apoyo.</w:t>
      </w:r>
    </w:p>
    <w:p w14:paraId="3BAF29DB"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Canales de Comunicación:</w:t>
      </w:r>
    </w:p>
    <w:p w14:paraId="49E58A8E"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Medios oficiales de comunicación utilizados (circulares, redes institucionales, avisos físicos y digitales), así como mecanismos de participación y consulta con la comunidad escolar.</w:t>
      </w:r>
    </w:p>
    <w:p w14:paraId="060134D1"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V. Apoyo y Programas Educativos</w:t>
      </w:r>
    </w:p>
    <w:p w14:paraId="7753F77C" w14:textId="77777777" w:rsidR="00FC2715" w:rsidRPr="00B01E74" w:rsidRDefault="00FC2715" w:rsidP="00FC2715">
      <w:pPr>
        <w:tabs>
          <w:tab w:val="left" w:pos="567"/>
        </w:tabs>
        <w:spacing w:after="0" w:line="240" w:lineRule="auto"/>
        <w:ind w:left="680" w:right="680"/>
        <w:jc w:val="both"/>
        <w:rPr>
          <w:rFonts w:ascii="AvantGarde Bk BT" w:eastAsia="Times New Roman" w:hAnsi="AvantGarde Bk BT" w:cs="Arial"/>
          <w:i/>
          <w:color w:val="000000" w:themeColor="text1"/>
          <w:szCs w:val="24"/>
        </w:rPr>
      </w:pPr>
      <w:r w:rsidRPr="00B01E74">
        <w:rPr>
          <w:rFonts w:ascii="AvantGarde Bk BT" w:eastAsia="Times New Roman" w:hAnsi="AvantGarde Bk BT" w:cs="Arial"/>
          <w:i/>
          <w:color w:val="000000" w:themeColor="text1"/>
          <w:szCs w:val="24"/>
        </w:rPr>
        <w:t>Programas de Beneficio:</w:t>
      </w:r>
    </w:p>
    <w:p w14:paraId="6B4A4DC6" w14:textId="77777777" w:rsidR="00FC2715" w:rsidRPr="008D4CCC" w:rsidRDefault="00FC2715" w:rsidP="00FC2715">
      <w:pPr>
        <w:tabs>
          <w:tab w:val="left" w:pos="567"/>
        </w:tabs>
        <w:spacing w:line="240" w:lineRule="auto"/>
        <w:ind w:left="680" w:right="680"/>
        <w:jc w:val="both"/>
        <w:rPr>
          <w:rFonts w:ascii="AvantGarde Bk BT" w:eastAsia="Times New Roman" w:hAnsi="AvantGarde Bk BT" w:cs="Arial"/>
          <w:i/>
          <w:color w:val="000000" w:themeColor="text1"/>
          <w:sz w:val="24"/>
          <w:szCs w:val="24"/>
        </w:rPr>
      </w:pPr>
      <w:r w:rsidRPr="00B01E74">
        <w:rPr>
          <w:rFonts w:ascii="AvantGarde Bk BT" w:eastAsia="Times New Roman" w:hAnsi="AvantGarde Bk BT" w:cs="Arial"/>
          <w:i/>
          <w:color w:val="000000" w:themeColor="text1"/>
          <w:szCs w:val="24"/>
        </w:rPr>
        <w:t>Información sobre becas, apoyos económicos, programas federales o estatales, talle</w:t>
      </w:r>
      <w:r w:rsidRPr="007D707E">
        <w:rPr>
          <w:rFonts w:ascii="AvantGarde Bk BT" w:eastAsia="Times New Roman" w:hAnsi="AvantGarde Bk BT" w:cs="Arial"/>
          <w:color w:val="000000" w:themeColor="text1"/>
          <w:sz w:val="24"/>
          <w:szCs w:val="24"/>
        </w:rPr>
        <w:t>” SIC.</w:t>
      </w:r>
      <w:r>
        <w:rPr>
          <w:rFonts w:ascii="AvantGarde Bk BT" w:eastAsia="Times New Roman" w:hAnsi="AvantGarde Bk BT" w:cs="Arial"/>
          <w:i/>
          <w:color w:val="000000" w:themeColor="text1"/>
          <w:sz w:val="24"/>
          <w:szCs w:val="24"/>
        </w:rPr>
        <w:t xml:space="preserve"> </w:t>
      </w:r>
      <w:r>
        <w:rPr>
          <w:rFonts w:ascii="AvantGarde Bk BT" w:eastAsia="Times New Roman" w:hAnsi="AvantGarde Bk BT" w:cs="Arial"/>
          <w:color w:val="000000" w:themeColor="text1"/>
          <w:sz w:val="24"/>
          <w:szCs w:val="24"/>
        </w:rPr>
        <w:t>(Visible a foja 06</w:t>
      </w:r>
      <w:r w:rsidRPr="007C0FB6">
        <w:rPr>
          <w:rFonts w:ascii="AvantGarde Bk BT" w:eastAsia="Times New Roman" w:hAnsi="AvantGarde Bk BT" w:cs="Arial"/>
          <w:color w:val="000000" w:themeColor="text1"/>
          <w:sz w:val="24"/>
          <w:szCs w:val="24"/>
        </w:rPr>
        <w:t xml:space="preserve"> de autos).</w:t>
      </w:r>
    </w:p>
    <w:p w14:paraId="3599C0B5" w14:textId="03DBF557" w:rsidR="00FC2715" w:rsidRPr="00FC2715" w:rsidRDefault="00892191" w:rsidP="00FC2715">
      <w:pPr>
        <w:pStyle w:val="corte4fondo"/>
        <w:tabs>
          <w:tab w:val="left" w:pos="567"/>
        </w:tabs>
        <w:rPr>
          <w:rFonts w:ascii="AvantGarde Bk BT" w:hAnsi="AvantGarde Bk BT" w:cs="Arial"/>
          <w:i/>
          <w:color w:val="000000" w:themeColor="text1"/>
          <w:sz w:val="24"/>
          <w:szCs w:val="24"/>
        </w:rPr>
      </w:pPr>
      <w:r>
        <w:rPr>
          <w:rFonts w:ascii="AvantGarde Bk BT" w:hAnsi="AvantGarde Bk BT" w:cs="Arial"/>
          <w:color w:val="000000" w:themeColor="text1"/>
          <w:sz w:val="24"/>
          <w:szCs w:val="24"/>
        </w:rPr>
        <w:t>Por otro lado, c</w:t>
      </w:r>
      <w:r w:rsidR="00FC2715">
        <w:rPr>
          <w:rFonts w:ascii="AvantGarde Bk BT" w:hAnsi="AvantGarde Bk BT" w:cs="Arial"/>
          <w:color w:val="000000" w:themeColor="text1"/>
          <w:sz w:val="24"/>
          <w:szCs w:val="24"/>
        </w:rPr>
        <w:t xml:space="preserve">onsta en autos que </w:t>
      </w:r>
      <w:r w:rsidR="00FC2715" w:rsidRPr="00FC2715">
        <w:rPr>
          <w:rFonts w:ascii="AvantGarde Bk BT" w:hAnsi="AvantGarde Bk BT" w:cs="Arial"/>
          <w:color w:val="000000" w:themeColor="text1"/>
          <w:sz w:val="24"/>
          <w:szCs w:val="24"/>
        </w:rPr>
        <w:t>el sujeto obligado documentó su respuesta el once de febrero de dos mil veintiséis a través de la Plataforma Nacional de Transparencia, misma que obra de foja 03 de autos y que se tiene por reproducida como si a la letra se insertase.</w:t>
      </w:r>
    </w:p>
    <w:p w14:paraId="22ADD575" w14:textId="77777777" w:rsidR="00FC2715" w:rsidRDefault="00FC2715" w:rsidP="00FC2715">
      <w:pPr>
        <w:pStyle w:val="corte4fondo"/>
        <w:tabs>
          <w:tab w:val="left" w:pos="567"/>
        </w:tabs>
        <w:rPr>
          <w:rFonts w:ascii="AvantGarde Bk BT" w:hAnsi="AvantGarde Bk BT" w:cs="Arial"/>
          <w:sz w:val="24"/>
          <w:szCs w:val="24"/>
        </w:rPr>
      </w:pPr>
      <w:r>
        <w:rPr>
          <w:rFonts w:ascii="AvantGarde Bk BT" w:hAnsi="AvantGarde Bk BT" w:cs="Arial"/>
          <w:sz w:val="24"/>
          <w:szCs w:val="24"/>
        </w:rPr>
        <w:t>Inconforme con la respuesta la persona solicitante interpuso el presente recurso de revisión y señaló como agravio lo siguiente:</w:t>
      </w:r>
    </w:p>
    <w:p w14:paraId="01E2B423" w14:textId="77777777" w:rsidR="00FC2715" w:rsidRPr="00F54F0C" w:rsidRDefault="00FC2715" w:rsidP="00FC2715">
      <w:pPr>
        <w:pStyle w:val="corte4fondo"/>
        <w:tabs>
          <w:tab w:val="left" w:pos="567"/>
        </w:tabs>
        <w:spacing w:after="240"/>
        <w:ind w:left="680" w:right="680" w:firstLine="0"/>
        <w:rPr>
          <w:rFonts w:ascii="AvantGarde Bk BT" w:hAnsi="AvantGarde Bk BT" w:cs="Arial"/>
          <w:i/>
          <w:sz w:val="22"/>
          <w:lang w:val="es-ES"/>
        </w:rPr>
      </w:pPr>
      <w:r>
        <w:rPr>
          <w:rFonts w:ascii="AvantGarde Bk BT" w:hAnsi="AvantGarde Bk BT" w:cs="Arial"/>
          <w:sz w:val="24"/>
          <w:szCs w:val="24"/>
        </w:rPr>
        <w:lastRenderedPageBreak/>
        <w:t>“</w:t>
      </w:r>
      <w:r w:rsidRPr="00DF3E26">
        <w:rPr>
          <w:rFonts w:ascii="AvantGarde Bk BT" w:hAnsi="AvantGarde Bk BT" w:cs="Arial"/>
          <w:i/>
          <w:sz w:val="22"/>
        </w:rPr>
        <w:t xml:space="preserve">interpongo RECURSO DE REVISIÓN en contra de la respuesta emitida solo dame el texto para enviarlo de Hasta 4000 caracteres) I. Acto impugnado La respuesta que: </w:t>
      </w:r>
      <w:r w:rsidRPr="001B30CD">
        <w:rPr>
          <w:rFonts w:ascii="AvantGarde Bk BT" w:hAnsi="AvantGarde Bk BT" w:cs="Arial"/>
          <w:i/>
          <w:sz w:val="22"/>
          <w:u w:val="single"/>
        </w:rPr>
        <w:t>(1) cambia la modalidad solicitada digital</w:t>
      </w:r>
      <w:r w:rsidRPr="00DF3E26">
        <w:rPr>
          <w:rFonts w:ascii="AvantGarde Bk BT" w:hAnsi="AvantGarde Bk BT" w:cs="Arial"/>
          <w:i/>
          <w:sz w:val="22"/>
        </w:rPr>
        <w:t xml:space="preserve"> (PDF/Excel/procesables) por consulta directa; </w:t>
      </w:r>
      <w:r w:rsidRPr="001B30CD">
        <w:rPr>
          <w:rFonts w:ascii="AvantGarde Bk BT" w:hAnsi="AvantGarde Bk BT" w:cs="Arial"/>
          <w:i/>
          <w:sz w:val="22"/>
          <w:u w:val="single"/>
        </w:rPr>
        <w:t>(2) omite entregar información por ciclos escolares y rubros solicitados</w:t>
      </w:r>
      <w:r w:rsidRPr="00DF3E26">
        <w:rPr>
          <w:rFonts w:ascii="AvantGarde Bk BT" w:hAnsi="AvantGarde Bk BT" w:cs="Arial"/>
          <w:i/>
          <w:sz w:val="22"/>
        </w:rPr>
        <w:t>; y/</w:t>
      </w:r>
      <w:r w:rsidRPr="001B30CD">
        <w:rPr>
          <w:rFonts w:ascii="AvantGarde Bk BT" w:hAnsi="AvantGarde Bk BT" w:cs="Arial"/>
          <w:i/>
          <w:sz w:val="22"/>
          <w:u w:val="single"/>
        </w:rPr>
        <w:t>o (3) fragmenta la atención señalando que parte “corresponde” a otra área (p.ej. Recursos Humanos) sin turno interno</w:t>
      </w:r>
      <w:r w:rsidRPr="00DF3E26">
        <w:rPr>
          <w:rFonts w:ascii="AvantGarde Bk BT" w:hAnsi="AvantGarde Bk BT" w:cs="Arial"/>
          <w:i/>
          <w:sz w:val="22"/>
        </w:rPr>
        <w:t xml:space="preserve"> ni entrega en versión pública. II. Agravios Cambio ilegal de modalidad (consulta directa como regla). Solicité entrega digital. La autoridad impone “consulta directa” sin acreditar de forma excepcional, fundada y motivada una imposibilidad técnica/material real para reproducir/entregar dentro del plazo, ni ofrece alternativas razonables (entrega por partes, priorización de lo ya digital, calendario de digitalización). Esto obstaculiza y encarece el ejercicio del derecho. Violación al principio de máxima publicidad y facilitación. Si la información existe en digital, debe entregarse por esa vía. Si obra en físico, procede entrega gradual y/o reproducción conforme a capacidades, no condicionar todo a consulta presencial. Respuesta incompleta e incongruente; falta de búsqueda exhaustiva. La autoridad no acredita una búsqueda razonable y exhaustiva en todas las áreas que generan/poseen la información (dirección, control escolar, archivo, áreas administrativas y, en su caso, archivo de concentración/histórico). Tampoco precisa qué documentos existen por ciclo y rubro, cuáles no, ni emite determinación formal y documentada de inexistencia cuando corresponda. Incompetencia/canalización parcial deficiente. Remitir rubros a “otra área” sin integrar respuesta, sin turno interno y sin entrega (en versión pública) constituye atención parcial y dilatoria. III. Petición (lo que solicito se ordene) Se revoque o modifique la respuesta y se ordene al Sujeto Obligado: a) Realizar búsqueda exhaustiva en todas las unidades competentes y archivos, informando resultados por ciclo escolar y rubro. b) Entregar la información localizada en formato digital por PNT, al menos la ya existente en ese soporte. c) Para documentación física: implementar entrega por partes (calendario por ciclos/rubros) mediante digitalización razonable y/o reproducción conforme a ley. d) Emitir versiones públicas cuando existan datos personales, sin negar el documento. e) Si se sostiene inexistencia, que sea formal, fundada, motivad</w:t>
      </w:r>
      <w:r>
        <w:rPr>
          <w:rFonts w:ascii="AvantGarde Bk BT" w:hAnsi="AvantGarde Bk BT" w:cs="Arial"/>
          <w:i/>
          <w:sz w:val="22"/>
        </w:rPr>
        <w:t>a y con constancias de búsqueda.</w:t>
      </w:r>
      <w:r>
        <w:rPr>
          <w:rFonts w:ascii="AvantGarde Bk BT" w:hAnsi="AvantGarde Bk BT" w:cs="Arial"/>
          <w:sz w:val="24"/>
          <w:szCs w:val="24"/>
        </w:rPr>
        <w:t>” SIC. (Visible a foja 01 de autos).</w:t>
      </w:r>
    </w:p>
    <w:p w14:paraId="712552E4" w14:textId="5AB2A4AB" w:rsidR="00FC2715" w:rsidRDefault="00FC2715" w:rsidP="00FC2715">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 lo anterior se desprende que la persona recurrente medularmente se inconformó por el cambio en la modalidad de entrega de la información, la entrega de información incompleta y las gestiones de búsqueda deficientes.</w:t>
      </w:r>
    </w:p>
    <w:p w14:paraId="7BEA1723" w14:textId="0DE72776" w:rsidR="00050F84" w:rsidRPr="00050F84" w:rsidRDefault="00FC2715" w:rsidP="00050F84">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lo anterior, mediante proveído de trece de marzo de dos mil veintiséis, esta Comisión sobreseyó </w:t>
      </w:r>
      <w:r w:rsidR="00050F84">
        <w:rPr>
          <w:rFonts w:ascii="AvantGarde Bk BT" w:hAnsi="AvantGarde Bk BT" w:cs="Arial"/>
          <w:color w:val="000000" w:themeColor="text1"/>
          <w:sz w:val="24"/>
          <w:szCs w:val="24"/>
        </w:rPr>
        <w:t>parcialmente el recurso de revisión y únicamente quedaron</w:t>
      </w:r>
      <w:r w:rsidR="00050F84" w:rsidRPr="00050F84">
        <w:rPr>
          <w:rFonts w:ascii="AvantGarde Bk BT" w:hAnsi="AvantGarde Bk BT" w:cs="Arial"/>
          <w:b/>
          <w:color w:val="000000" w:themeColor="text1"/>
          <w:sz w:val="24"/>
          <w:szCs w:val="24"/>
          <w:u w:val="single"/>
        </w:rPr>
        <w:t xml:space="preserve"> subsistentes los agravios relacionados con las gestiones de búsqueda deficientes y la entrega incompleta de la información relativa a las incapacidades médicas debidamente justificadas del personal adscrito al plantel señalado en la solicitud, así como las comisiones oficiales y sindicales autorizadas</w:t>
      </w:r>
      <w:r w:rsidR="00050F84" w:rsidRPr="00050F84">
        <w:rPr>
          <w:rFonts w:ascii="AvantGarde Bk BT" w:hAnsi="AvantGarde Bk BT" w:cs="Arial"/>
          <w:color w:val="000000" w:themeColor="text1"/>
          <w:sz w:val="24"/>
          <w:szCs w:val="24"/>
        </w:rPr>
        <w:t>.</w:t>
      </w:r>
    </w:p>
    <w:p w14:paraId="7209E0B1" w14:textId="686B6E9D" w:rsidR="0037401E" w:rsidRDefault="00512C3E" w:rsidP="00AB2011">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Establecido </w:t>
      </w:r>
      <w:r w:rsidR="00BE1362" w:rsidRPr="00AB2011">
        <w:rPr>
          <w:rFonts w:ascii="AvantGarde Bk BT" w:hAnsi="AvantGarde Bk BT" w:cs="Arial"/>
          <w:color w:val="000000" w:themeColor="text1"/>
          <w:sz w:val="24"/>
          <w:szCs w:val="24"/>
        </w:rPr>
        <w:t>lo anterior</w:t>
      </w:r>
      <w:r w:rsidR="00AB2011" w:rsidRPr="00AB2011">
        <w:rPr>
          <w:rFonts w:ascii="AvantGarde Bk BT" w:hAnsi="AvantGarde Bk BT" w:cs="Arial"/>
          <w:color w:val="000000" w:themeColor="text1"/>
          <w:sz w:val="24"/>
          <w:szCs w:val="24"/>
        </w:rPr>
        <w:t>,</w:t>
      </w:r>
      <w:r w:rsidR="00BE1362" w:rsidRPr="00AB2011">
        <w:rPr>
          <w:rFonts w:ascii="AvantGarde Bk BT" w:hAnsi="AvantGarde Bk BT" w:cs="Arial"/>
          <w:color w:val="000000" w:themeColor="text1"/>
          <w:sz w:val="24"/>
          <w:szCs w:val="24"/>
        </w:rPr>
        <w:t xml:space="preserve"> </w:t>
      </w:r>
      <w:r w:rsidR="00AB2011" w:rsidRPr="00AB2011">
        <w:rPr>
          <w:rFonts w:ascii="AvantGarde Bk BT" w:hAnsi="AvantGarde Bk BT" w:cs="Arial"/>
          <w:color w:val="000000" w:themeColor="text1"/>
          <w:sz w:val="24"/>
          <w:szCs w:val="24"/>
        </w:rPr>
        <w:t xml:space="preserve">es necesario precisar que </w:t>
      </w:r>
      <w:r w:rsidRPr="00AB2011">
        <w:rPr>
          <w:rFonts w:ascii="AvantGarde Bk BT" w:hAnsi="AvantGarde Bk BT" w:cs="Arial"/>
          <w:color w:val="000000" w:themeColor="text1"/>
          <w:sz w:val="24"/>
          <w:szCs w:val="24"/>
        </w:rPr>
        <w:t xml:space="preserve">el estudio de </w:t>
      </w:r>
      <w:r w:rsidR="00AB2011" w:rsidRPr="00AB2011">
        <w:rPr>
          <w:rFonts w:ascii="AvantGarde Bk BT" w:hAnsi="AvantGarde Bk BT" w:cs="Arial"/>
          <w:color w:val="000000" w:themeColor="text1"/>
          <w:sz w:val="24"/>
          <w:szCs w:val="24"/>
        </w:rPr>
        <w:t>los agravios subsistentes se har</w:t>
      </w:r>
      <w:r w:rsidR="00AB2011">
        <w:rPr>
          <w:rFonts w:ascii="AvantGarde Bk BT" w:hAnsi="AvantGarde Bk BT" w:cs="Arial"/>
          <w:color w:val="000000" w:themeColor="text1"/>
          <w:sz w:val="24"/>
          <w:szCs w:val="24"/>
        </w:rPr>
        <w:t>á en su conjunto</w:t>
      </w:r>
      <w:r w:rsidR="00AB2011" w:rsidRPr="00AB2011">
        <w:rPr>
          <w:rFonts w:ascii="AvantGarde Bk BT" w:hAnsi="AvantGarde Bk BT" w:cs="Arial"/>
          <w:color w:val="000000" w:themeColor="text1"/>
          <w:sz w:val="24"/>
          <w:szCs w:val="24"/>
        </w:rPr>
        <w:t>, esto por cuestión de método y porque dichos agravios se encuentran estrechamente ligados.</w:t>
      </w:r>
    </w:p>
    <w:p w14:paraId="0AAB3D89" w14:textId="1FF35FAA" w:rsidR="000468A0" w:rsidRPr="007A5577" w:rsidRDefault="00AB2011" w:rsidP="00DA312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Pues bien,</w:t>
      </w:r>
      <w:r w:rsidR="0037401E">
        <w:rPr>
          <w:rFonts w:ascii="AvantGarde Bk BT" w:hAnsi="AvantGarde Bk BT" w:cs="Arial"/>
          <w:color w:val="000000" w:themeColor="text1"/>
          <w:sz w:val="24"/>
          <w:szCs w:val="24"/>
        </w:rPr>
        <w:t xml:space="preserve"> </w:t>
      </w:r>
      <w:r w:rsidR="00DA312C">
        <w:rPr>
          <w:rFonts w:ascii="AvantGarde Bk BT" w:hAnsi="AvantGarde Bk BT" w:cs="Arial"/>
          <w:color w:val="000000" w:themeColor="text1"/>
          <w:sz w:val="24"/>
          <w:szCs w:val="24"/>
        </w:rPr>
        <w:t xml:space="preserve">la </w:t>
      </w:r>
      <w:r w:rsidRPr="00327C7F">
        <w:rPr>
          <w:rFonts w:ascii="AvantGarde Bk BT" w:hAnsi="AvantGarde Bk BT" w:cs="Arial"/>
          <w:sz w:val="24"/>
          <w:szCs w:val="24"/>
        </w:rPr>
        <w:t>Ley de Transparencia</w:t>
      </w:r>
      <w:r>
        <w:rPr>
          <w:rFonts w:ascii="AvantGarde Bk BT" w:hAnsi="AvantGarde Bk BT" w:cs="Arial"/>
          <w:sz w:val="24"/>
          <w:szCs w:val="24"/>
        </w:rPr>
        <w:t xml:space="preserve"> local</w:t>
      </w:r>
      <w:r w:rsidR="00DA312C">
        <w:rPr>
          <w:rFonts w:ascii="AvantGarde Bk BT" w:hAnsi="AvantGarde Bk BT" w:cs="Arial"/>
          <w:color w:val="000000" w:themeColor="text1"/>
          <w:sz w:val="24"/>
          <w:szCs w:val="24"/>
        </w:rPr>
        <w:t xml:space="preserve"> prescribe que </w:t>
      </w:r>
      <w:r w:rsidR="000468A0" w:rsidRPr="00DA312C">
        <w:rPr>
          <w:rFonts w:ascii="AvantGarde Bk BT" w:hAnsi="AvantGarde Bk BT" w:cs="Arial"/>
          <w:b/>
          <w:sz w:val="24"/>
          <w:szCs w:val="24"/>
          <w:u w:val="single"/>
        </w:rPr>
        <w:t>los sujetos obligados se encuentran constreñidos a proporcionar la información que se encuentra en su posesión</w:t>
      </w:r>
      <w:r w:rsidR="000468A0" w:rsidRPr="00DA312C">
        <w:rPr>
          <w:rFonts w:ascii="AvantGarde Bk BT" w:hAnsi="AvantGarde Bk BT" w:cs="Arial"/>
          <w:sz w:val="24"/>
          <w:szCs w:val="24"/>
        </w:rPr>
        <w:t>, lo anterior para efecto de permitir que el derecho de acceso a la información se encuentre satisfecho</w:t>
      </w:r>
      <w:r w:rsidR="000468A0" w:rsidRPr="00327C7F">
        <w:rPr>
          <w:rFonts w:ascii="AvantGarde Bk BT" w:hAnsi="AvantGarde Bk BT" w:cs="Arial"/>
          <w:sz w:val="24"/>
          <w:szCs w:val="24"/>
        </w:rPr>
        <w:t>.</w:t>
      </w:r>
      <w:r w:rsidR="000468A0" w:rsidRPr="00327C7F">
        <w:rPr>
          <w:rFonts w:ascii="AvantGarde Bk BT" w:hAnsi="AvantGarde Bk BT" w:cs="Arial"/>
          <w:sz w:val="24"/>
          <w:szCs w:val="24"/>
          <w:vertAlign w:val="superscript"/>
        </w:rPr>
        <w:footnoteReference w:id="1"/>
      </w:r>
    </w:p>
    <w:p w14:paraId="66647314" w14:textId="36A6E202"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w:t>
      </w:r>
      <w:r w:rsidR="00AB2011">
        <w:rPr>
          <w:rFonts w:ascii="AvantGarde Bk BT" w:hAnsi="AvantGarde Bk BT" w:cs="Arial"/>
          <w:sz w:val="24"/>
          <w:szCs w:val="24"/>
        </w:rPr>
        <w:t xml:space="preserve">la ley en comento prevé que </w:t>
      </w:r>
      <w:r w:rsidRPr="00F337EC">
        <w:rPr>
          <w:rFonts w:ascii="AvantGarde Bk BT" w:hAnsi="AvantGarde Bk BT" w:cs="Arial"/>
          <w:sz w:val="24"/>
          <w:szCs w:val="24"/>
        </w:rPr>
        <w:t>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Criterio 02/17. Congruencia y exhaustividad.-</w:t>
      </w:r>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w:t>
      </w:r>
      <w:r w:rsidRPr="007A5577">
        <w:rPr>
          <w:rFonts w:ascii="AvantGarde Bk BT" w:hAnsi="AvantGarde Bk BT" w:cs="Arial"/>
          <w:b/>
          <w:sz w:val="24"/>
          <w:szCs w:val="24"/>
          <w:u w:val="single"/>
        </w:rPr>
        <w:t xml:space="preserve">estos deben de entregar la expresión documental que contenga la información solicitada y evitar proporcionar una respuesta elaborada </w:t>
      </w:r>
      <w:r w:rsidR="00D65E44" w:rsidRPr="007A5577">
        <w:rPr>
          <w:rFonts w:ascii="AvantGarde Bk BT" w:hAnsi="AvantGarde Bk BT" w:cs="Arial"/>
          <w:b/>
          <w:sz w:val="24"/>
          <w:szCs w:val="24"/>
          <w:u w:val="single"/>
        </w:rPr>
        <w:t xml:space="preserve">acorde </w:t>
      </w:r>
      <w:r w:rsidRPr="007A5577">
        <w:rPr>
          <w:rFonts w:ascii="AvantGarde Bk BT" w:hAnsi="AvantGarde Bk BT" w:cs="Arial"/>
          <w:b/>
          <w:sz w:val="24"/>
          <w:szCs w:val="24"/>
          <w:u w:val="single"/>
        </w:rPr>
        <w:t>a los requerimientos del peticionario</w:t>
      </w:r>
      <w:r>
        <w:rPr>
          <w:rFonts w:ascii="AvantGarde Bk BT" w:hAnsi="AvantGarde Bk BT" w:cs="Arial"/>
          <w:sz w:val="24"/>
          <w:szCs w:val="24"/>
        </w:rPr>
        <w:t>.</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w:t>
      </w:r>
      <w:r w:rsidRPr="00847F87">
        <w:rPr>
          <w:rFonts w:ascii="AvantGarde Bk BT" w:hAnsi="AvantGarde Bk BT" w:cs="Arial"/>
          <w:i/>
          <w:sz w:val="22"/>
          <w:szCs w:val="24"/>
        </w:rPr>
        <w:lastRenderedPageBreak/>
        <w:t xml:space="preserve">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Criterio 16/17. Expresión documental.-</w:t>
      </w:r>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60801445" w14:textId="799A88DB" w:rsidR="00AB2011" w:rsidRDefault="00AB2011" w:rsidP="00A430A2">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w:t>
      </w:r>
      <w:r w:rsidR="00443418">
        <w:rPr>
          <w:rFonts w:ascii="AvantGarde Bk BT" w:hAnsi="AvantGarde Bk BT" w:cs="Arial"/>
          <w:color w:val="000000" w:themeColor="text1"/>
          <w:sz w:val="24"/>
          <w:szCs w:val="24"/>
        </w:rPr>
        <w:t>el Manual de Organización aplicado al Departamento de Recursos Humanos del Sistema Educativo Estatal Regular prevé que el aludido departamento tendrá dentro de sus funciones las siguientes:</w:t>
      </w:r>
    </w:p>
    <w:p w14:paraId="38813FAE" w14:textId="60E7BF86" w:rsidR="00443418" w:rsidRDefault="00443418"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443418">
        <w:rPr>
          <w:rFonts w:ascii="AvantGarde Bk BT" w:hAnsi="AvantGarde Bk BT" w:cs="Arial"/>
          <w:color w:val="000000" w:themeColor="text1"/>
          <w:sz w:val="24"/>
          <w:szCs w:val="24"/>
        </w:rPr>
        <w:t>Vigilar que se mantenga actualizada la plantilla de personal.</w:t>
      </w:r>
    </w:p>
    <w:p w14:paraId="35AB5424" w14:textId="6D31C75A" w:rsidR="00443418" w:rsidRDefault="00443418"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443418">
        <w:rPr>
          <w:rFonts w:ascii="AvantGarde Bk BT" w:hAnsi="AvantGarde Bk BT" w:cs="Arial"/>
          <w:color w:val="000000" w:themeColor="text1"/>
          <w:sz w:val="24"/>
          <w:szCs w:val="24"/>
        </w:rPr>
        <w:t>Atender al personal adscrito al Sistema, aclarando dudas acerca de su situación laboral, problemas de pago y lugar de adscripción.</w:t>
      </w:r>
    </w:p>
    <w:p w14:paraId="29B9B637" w14:textId="1CC2CD69" w:rsidR="00443418" w:rsidRDefault="00443418"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Recibir propuestas sindicales de movimientos de personal, revisarlas y turnarlas a Control Laboral</w:t>
      </w:r>
      <w:r w:rsidR="00A430A2">
        <w:rPr>
          <w:rFonts w:ascii="AvantGarde Bk BT" w:hAnsi="AvantGarde Bk BT" w:cs="Arial"/>
          <w:color w:val="000000" w:themeColor="text1"/>
          <w:sz w:val="24"/>
          <w:szCs w:val="24"/>
        </w:rPr>
        <w:t>.</w:t>
      </w:r>
    </w:p>
    <w:p w14:paraId="31149C8D" w14:textId="1362F050"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Validar el formato de movimiento de Personal que se prejubila y enviar información a la Direc</w:t>
      </w:r>
      <w:r>
        <w:rPr>
          <w:rFonts w:ascii="AvantGarde Bk BT" w:hAnsi="AvantGarde Bk BT" w:cs="Arial"/>
          <w:color w:val="000000" w:themeColor="text1"/>
          <w:sz w:val="24"/>
          <w:szCs w:val="24"/>
        </w:rPr>
        <w:t xml:space="preserve">ción de Pensiones del Estado. </w:t>
      </w:r>
    </w:p>
    <w:p w14:paraId="42350A3C" w14:textId="77777777"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Recibir información de la Oficialía Mayor del Poder Ejecutivo acerca de los cambios de claves presupuesta les e informar a Control laboral para que sean con</w:t>
      </w:r>
      <w:r>
        <w:rPr>
          <w:rFonts w:ascii="AvantGarde Bk BT" w:hAnsi="AvantGarde Bk BT" w:cs="Arial"/>
          <w:color w:val="000000" w:themeColor="text1"/>
          <w:sz w:val="24"/>
          <w:szCs w:val="24"/>
        </w:rPr>
        <w:t xml:space="preserve">siderados en los movimientos. </w:t>
      </w:r>
    </w:p>
    <w:p w14:paraId="784EF80D" w14:textId="32854540"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Apoyar al Departamento de Recursos Financieros para la elaboración de anteproyecto de presupuesto en el capítulo 1000.</w:t>
      </w:r>
    </w:p>
    <w:p w14:paraId="3DBE6504" w14:textId="60DE0A47"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Revisar y validar los reportes de reloj checador</w:t>
      </w:r>
      <w:r>
        <w:rPr>
          <w:rFonts w:ascii="AvantGarde Bk BT" w:hAnsi="AvantGarde Bk BT" w:cs="Arial"/>
          <w:color w:val="000000" w:themeColor="text1"/>
          <w:sz w:val="24"/>
          <w:szCs w:val="24"/>
        </w:rPr>
        <w:t>.</w:t>
      </w:r>
    </w:p>
    <w:p w14:paraId="2639F9FD" w14:textId="245753DE"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Vigilar que se mantenga la confidencialidad de los expedientes y datos del personal adscrito al S</w:t>
      </w:r>
      <w:r>
        <w:rPr>
          <w:rFonts w:ascii="AvantGarde Bk BT" w:hAnsi="AvantGarde Bk BT" w:cs="Arial"/>
          <w:color w:val="000000" w:themeColor="text1"/>
          <w:sz w:val="24"/>
          <w:szCs w:val="24"/>
        </w:rPr>
        <w:t>istema</w:t>
      </w:r>
      <w:r w:rsidRPr="00A430A2">
        <w:rPr>
          <w:rFonts w:ascii="AvantGarde Bk BT" w:hAnsi="AvantGarde Bk BT" w:cs="Arial"/>
          <w:color w:val="000000" w:themeColor="text1"/>
          <w:sz w:val="24"/>
          <w:szCs w:val="24"/>
        </w:rPr>
        <w:t xml:space="preserve"> que se encuentran bajo resguardo del Departamento de Recursos Humanos de acuerdo a la Ley de</w:t>
      </w:r>
      <w:r>
        <w:rPr>
          <w:rFonts w:ascii="AvantGarde Bk BT" w:hAnsi="AvantGarde Bk BT" w:cs="Arial"/>
          <w:color w:val="000000" w:themeColor="text1"/>
          <w:sz w:val="24"/>
          <w:szCs w:val="24"/>
        </w:rPr>
        <w:t xml:space="preserve"> Protección de Datos vigente. </w:t>
      </w:r>
    </w:p>
    <w:p w14:paraId="6E1D5795" w14:textId="77777777"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Evaluar al personal del Departamento para el ingreso o promoc</w:t>
      </w:r>
      <w:r>
        <w:rPr>
          <w:rFonts w:ascii="AvantGarde Bk BT" w:hAnsi="AvantGarde Bk BT" w:cs="Arial"/>
          <w:color w:val="000000" w:themeColor="text1"/>
          <w:sz w:val="24"/>
          <w:szCs w:val="24"/>
        </w:rPr>
        <w:t xml:space="preserve">ión a Carrera Administrativa. </w:t>
      </w:r>
    </w:p>
    <w:p w14:paraId="37E47011" w14:textId="77777777"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lastRenderedPageBreak/>
        <w:t>Proporcionar información requerida por las instancias correspondientes para efectos de au</w:t>
      </w:r>
      <w:r>
        <w:rPr>
          <w:rFonts w:ascii="AvantGarde Bk BT" w:hAnsi="AvantGarde Bk BT" w:cs="Arial"/>
          <w:color w:val="000000" w:themeColor="text1"/>
          <w:sz w:val="24"/>
          <w:szCs w:val="24"/>
        </w:rPr>
        <w:t xml:space="preserve">ditorías internas y externas. </w:t>
      </w:r>
    </w:p>
    <w:p w14:paraId="4AD9215C" w14:textId="77777777" w:rsidR="00A430A2" w:rsidRDefault="00A430A2" w:rsidP="00A430A2">
      <w:pPr>
        <w:pStyle w:val="Prrafodelista"/>
        <w:numPr>
          <w:ilvl w:val="0"/>
          <w:numId w:val="48"/>
        </w:numPr>
        <w:spacing w:after="0"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Informar al personal del Departamento de Recursos Humanos de los cambios que surjan en algún proceso a</w:t>
      </w:r>
      <w:r>
        <w:rPr>
          <w:rFonts w:ascii="AvantGarde Bk BT" w:hAnsi="AvantGarde Bk BT" w:cs="Arial"/>
          <w:color w:val="000000" w:themeColor="text1"/>
          <w:sz w:val="24"/>
          <w:szCs w:val="24"/>
        </w:rPr>
        <w:t xml:space="preserve">dministrativo a realizar. </w:t>
      </w:r>
    </w:p>
    <w:p w14:paraId="413D34D6" w14:textId="4F147DDC" w:rsidR="00A430A2" w:rsidRPr="00443418" w:rsidRDefault="00A430A2" w:rsidP="00A430A2">
      <w:pPr>
        <w:pStyle w:val="Prrafodelista"/>
        <w:numPr>
          <w:ilvl w:val="0"/>
          <w:numId w:val="48"/>
        </w:numPr>
        <w:spacing w:line="360" w:lineRule="auto"/>
        <w:ind w:left="680" w:firstLine="0"/>
        <w:jc w:val="both"/>
        <w:rPr>
          <w:rFonts w:ascii="AvantGarde Bk BT" w:hAnsi="AvantGarde Bk BT" w:cs="Arial"/>
          <w:color w:val="000000" w:themeColor="text1"/>
          <w:sz w:val="24"/>
          <w:szCs w:val="24"/>
        </w:rPr>
      </w:pPr>
      <w:r w:rsidRPr="00A430A2">
        <w:rPr>
          <w:rFonts w:ascii="AvantGarde Bk BT" w:hAnsi="AvantGarde Bk BT" w:cs="Arial"/>
          <w:color w:val="000000" w:themeColor="text1"/>
          <w:sz w:val="24"/>
          <w:szCs w:val="24"/>
        </w:rPr>
        <w:t>Reportar a la Dirección de Servicios Administrativos las incidencias del personal adscrito al Departamento de Recursos Humanos</w:t>
      </w:r>
      <w:r>
        <w:rPr>
          <w:rFonts w:ascii="AvantGarde Bk BT" w:hAnsi="AvantGarde Bk BT" w:cs="Arial"/>
          <w:color w:val="000000" w:themeColor="text1"/>
          <w:sz w:val="24"/>
          <w:szCs w:val="24"/>
        </w:rPr>
        <w:t>.</w:t>
      </w:r>
    </w:p>
    <w:p w14:paraId="11041E36" w14:textId="2F962881" w:rsidR="009316E1" w:rsidRDefault="009316E1" w:rsidP="009316E1">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acuerdo con la normativa previamente anotada, el Departamento de Recursos Humanos es el área que cuenta con atribuciones para resguardar la información relacionada con</w:t>
      </w:r>
      <w:r w:rsidRPr="009316E1">
        <w:rPr>
          <w:rFonts w:ascii="AvantGarde Bk BT" w:hAnsi="AvantGarde Bk BT" w:cs="Arial"/>
          <w:color w:val="000000" w:themeColor="text1"/>
          <w:sz w:val="24"/>
          <w:szCs w:val="24"/>
        </w:rPr>
        <w:t xml:space="preserve"> las incapacidades médicas del personal </w:t>
      </w:r>
      <w:r w:rsidR="000F6106">
        <w:rPr>
          <w:rFonts w:ascii="AvantGarde Bk BT" w:hAnsi="AvantGarde Bk BT" w:cs="Arial"/>
          <w:color w:val="000000" w:themeColor="text1"/>
          <w:sz w:val="24"/>
          <w:szCs w:val="24"/>
        </w:rPr>
        <w:t>perteneciente al Sistema Educativo Estatal Regular</w:t>
      </w:r>
      <w:r w:rsidRPr="009316E1">
        <w:rPr>
          <w:rFonts w:ascii="AvantGarde Bk BT" w:hAnsi="AvantGarde Bk BT" w:cs="Arial"/>
          <w:color w:val="000000" w:themeColor="text1"/>
          <w:sz w:val="24"/>
          <w:szCs w:val="24"/>
        </w:rPr>
        <w:t>, así como las comisiones oficiales y sindicales autorizadas</w:t>
      </w:r>
      <w:r>
        <w:rPr>
          <w:rFonts w:ascii="AvantGarde Bk BT" w:hAnsi="AvantGarde Bk BT" w:cs="Arial"/>
          <w:color w:val="000000" w:themeColor="text1"/>
          <w:sz w:val="24"/>
          <w:szCs w:val="24"/>
        </w:rPr>
        <w:t>.</w:t>
      </w:r>
    </w:p>
    <w:p w14:paraId="1C96230B" w14:textId="3688E665" w:rsidR="00D14CDD" w:rsidRDefault="00CE13EE" w:rsidP="009316E1">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w:t>
      </w:r>
      <w:r w:rsidR="00A430A2" w:rsidRPr="00A430A2">
        <w:rPr>
          <w:rFonts w:ascii="AvantGarde Bk BT" w:hAnsi="AvantGarde Bk BT" w:cs="Arial"/>
          <w:color w:val="000000" w:themeColor="text1"/>
          <w:sz w:val="24"/>
          <w:szCs w:val="24"/>
        </w:rPr>
        <w:t xml:space="preserve">, </w:t>
      </w:r>
      <w:r w:rsidR="009316E1">
        <w:rPr>
          <w:rFonts w:ascii="AvantGarde Bk BT" w:hAnsi="AvantGarde Bk BT" w:cs="Arial"/>
          <w:color w:val="000000" w:themeColor="text1"/>
          <w:sz w:val="24"/>
          <w:szCs w:val="24"/>
        </w:rPr>
        <w:t xml:space="preserve">se puede concluir válidamente </w:t>
      </w:r>
      <w:r w:rsidR="00D14CDD">
        <w:rPr>
          <w:rFonts w:ascii="AvantGarde Bk BT" w:hAnsi="AvantGarde Bk BT" w:cs="Arial"/>
          <w:color w:val="000000" w:themeColor="text1"/>
          <w:sz w:val="24"/>
          <w:szCs w:val="24"/>
        </w:rPr>
        <w:t>que las gestiones de búsqueda realizadas por la Unidad de Transparencia resultaron deficientes, pues</w:t>
      </w:r>
      <w:r w:rsidR="009316E1" w:rsidRPr="00A430A2">
        <w:rPr>
          <w:rFonts w:ascii="AvantGarde Bk BT" w:hAnsi="AvantGarde Bk BT" w:cs="Arial"/>
          <w:color w:val="000000" w:themeColor="text1"/>
          <w:sz w:val="24"/>
          <w:szCs w:val="24"/>
        </w:rPr>
        <w:t xml:space="preserve"> únicamente </w:t>
      </w:r>
      <w:r w:rsidR="009316E1">
        <w:rPr>
          <w:rFonts w:ascii="AvantGarde Bk BT" w:hAnsi="AvantGarde Bk BT" w:cs="Arial"/>
          <w:color w:val="000000" w:themeColor="text1"/>
          <w:sz w:val="24"/>
          <w:szCs w:val="24"/>
        </w:rPr>
        <w:t>gestionó la solicitud de información</w:t>
      </w:r>
      <w:r w:rsidR="000F6106">
        <w:rPr>
          <w:rFonts w:ascii="AvantGarde Bk BT" w:hAnsi="AvantGarde Bk BT" w:cs="Arial"/>
          <w:color w:val="000000" w:themeColor="text1"/>
          <w:sz w:val="24"/>
          <w:szCs w:val="24"/>
        </w:rPr>
        <w:t xml:space="preserve"> </w:t>
      </w:r>
      <w:r w:rsidR="009316E1">
        <w:rPr>
          <w:rFonts w:ascii="AvantGarde Bk BT" w:hAnsi="AvantGarde Bk BT" w:cs="Arial"/>
          <w:color w:val="000000" w:themeColor="text1"/>
          <w:sz w:val="24"/>
          <w:szCs w:val="24"/>
        </w:rPr>
        <w:t xml:space="preserve">ante </w:t>
      </w:r>
      <w:r w:rsidR="009316E1" w:rsidRPr="00D14CDD">
        <w:rPr>
          <w:rFonts w:ascii="AvantGarde Bk BT" w:hAnsi="AvantGarde Bk BT" w:cs="Arial"/>
          <w:color w:val="000000" w:themeColor="text1"/>
          <w:sz w:val="24"/>
          <w:szCs w:val="24"/>
        </w:rPr>
        <w:t>la Escuela Oficial “Héroe de Nacozari”</w:t>
      </w:r>
      <w:r w:rsidR="009316E1">
        <w:rPr>
          <w:rFonts w:ascii="AvantGarde Bk BT" w:hAnsi="AvantGarde Bk BT" w:cs="Arial"/>
          <w:color w:val="000000" w:themeColor="text1"/>
          <w:sz w:val="24"/>
          <w:szCs w:val="24"/>
        </w:rPr>
        <w:t xml:space="preserve"> sin </w:t>
      </w:r>
      <w:r w:rsidR="00852BE7">
        <w:rPr>
          <w:rFonts w:ascii="AvantGarde Bk BT" w:hAnsi="AvantGarde Bk BT" w:cs="Arial"/>
          <w:color w:val="000000" w:themeColor="text1"/>
          <w:sz w:val="24"/>
          <w:szCs w:val="24"/>
        </w:rPr>
        <w:t xml:space="preserve">turnarla </w:t>
      </w:r>
      <w:r w:rsidR="009316E1">
        <w:rPr>
          <w:rFonts w:ascii="AvantGarde Bk BT" w:hAnsi="AvantGarde Bk BT" w:cs="Arial"/>
          <w:color w:val="000000" w:themeColor="text1"/>
          <w:sz w:val="24"/>
          <w:szCs w:val="24"/>
        </w:rPr>
        <w:t>al Departamento de Recursos Humanos</w:t>
      </w:r>
      <w:r w:rsidR="002679FB">
        <w:rPr>
          <w:rFonts w:ascii="AvantGarde Bk BT" w:hAnsi="AvantGarde Bk BT" w:cs="Arial"/>
          <w:color w:val="000000" w:themeColor="text1"/>
          <w:sz w:val="24"/>
          <w:szCs w:val="24"/>
        </w:rPr>
        <w:t>.</w:t>
      </w:r>
    </w:p>
    <w:p w14:paraId="27CCEB3C" w14:textId="4CC32013" w:rsidR="00A430A2" w:rsidRPr="00D14CDD" w:rsidRDefault="00CE13EE" w:rsidP="00CE13EE">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derivado de la gestión deficiente de la solicitud de información, resulta evidente que la información proporcionada por el sujeto obligado se encuentra incompleta, pues </w:t>
      </w:r>
      <w:r w:rsidR="000F6106">
        <w:rPr>
          <w:rFonts w:ascii="AvantGarde Bk BT" w:hAnsi="AvantGarde Bk BT" w:cs="Arial"/>
          <w:color w:val="000000" w:themeColor="text1"/>
          <w:sz w:val="24"/>
          <w:szCs w:val="24"/>
        </w:rPr>
        <w:t xml:space="preserve">no obra </w:t>
      </w:r>
      <w:r w:rsidR="000F6106">
        <w:rPr>
          <w:rFonts w:ascii="AvantGarde Bk BT" w:hAnsi="AvantGarde Bk BT" w:cs="Arial"/>
          <w:color w:val="000000" w:themeColor="text1"/>
          <w:sz w:val="24"/>
          <w:szCs w:val="24"/>
        </w:rPr>
        <w:t>constancia</w:t>
      </w:r>
      <w:r>
        <w:rPr>
          <w:rFonts w:ascii="AvantGarde Bk BT" w:hAnsi="AvantGarde Bk BT" w:cs="Arial"/>
          <w:color w:val="000000" w:themeColor="text1"/>
          <w:sz w:val="24"/>
          <w:szCs w:val="24"/>
        </w:rPr>
        <w:t xml:space="preserve"> </w:t>
      </w:r>
      <w:r w:rsidR="000F6106">
        <w:rPr>
          <w:rFonts w:ascii="AvantGarde Bk BT" w:hAnsi="AvantGarde Bk BT" w:cs="Arial"/>
          <w:color w:val="000000" w:themeColor="text1"/>
          <w:sz w:val="24"/>
          <w:szCs w:val="24"/>
        </w:rPr>
        <w:t xml:space="preserve">alguna que permita </w:t>
      </w:r>
      <w:r>
        <w:rPr>
          <w:rFonts w:ascii="AvantGarde Bk BT" w:hAnsi="AvantGarde Bk BT" w:cs="Arial"/>
          <w:color w:val="000000" w:themeColor="text1"/>
          <w:sz w:val="24"/>
          <w:szCs w:val="24"/>
        </w:rPr>
        <w:t xml:space="preserve">demostrar que </w:t>
      </w:r>
      <w:r w:rsidR="00B13357">
        <w:rPr>
          <w:rFonts w:ascii="AvantGarde Bk BT" w:hAnsi="AvantGarde Bk BT" w:cs="Arial"/>
          <w:color w:val="000000" w:themeColor="text1"/>
          <w:sz w:val="24"/>
          <w:szCs w:val="24"/>
        </w:rPr>
        <w:t xml:space="preserve">el sujeto obligado </w:t>
      </w:r>
      <w:r w:rsidR="000F6106">
        <w:rPr>
          <w:rFonts w:ascii="AvantGarde Bk BT" w:hAnsi="AvantGarde Bk BT" w:cs="Arial"/>
          <w:color w:val="000000" w:themeColor="text1"/>
          <w:sz w:val="24"/>
          <w:szCs w:val="24"/>
        </w:rPr>
        <w:t xml:space="preserve">entregó </w:t>
      </w:r>
      <w:r w:rsidR="000F6106">
        <w:rPr>
          <w:rFonts w:ascii="AvantGarde Bk BT" w:hAnsi="AvantGarde Bk BT" w:cs="Arial"/>
          <w:color w:val="000000" w:themeColor="text1"/>
          <w:sz w:val="24"/>
          <w:szCs w:val="24"/>
        </w:rPr>
        <w:t xml:space="preserve">la información </w:t>
      </w:r>
      <w:r w:rsidR="000F6106">
        <w:rPr>
          <w:rFonts w:ascii="AvantGarde Bk BT" w:hAnsi="AvantGarde Bk BT" w:cs="Arial"/>
          <w:color w:val="000000" w:themeColor="text1"/>
          <w:sz w:val="24"/>
          <w:szCs w:val="24"/>
        </w:rPr>
        <w:t>concerniente a</w:t>
      </w:r>
      <w:r w:rsidR="000F6106" w:rsidRPr="009316E1">
        <w:rPr>
          <w:rFonts w:ascii="AvantGarde Bk BT" w:hAnsi="AvantGarde Bk BT" w:cs="Arial"/>
          <w:color w:val="000000" w:themeColor="text1"/>
          <w:sz w:val="24"/>
          <w:szCs w:val="24"/>
        </w:rPr>
        <w:t xml:space="preserve"> las incapacidades médicas debidamente justificadas del personal adscrito a</w:t>
      </w:r>
      <w:r w:rsidR="000F6106">
        <w:rPr>
          <w:rFonts w:ascii="AvantGarde Bk BT" w:hAnsi="AvantGarde Bk BT" w:cs="Arial"/>
          <w:color w:val="000000" w:themeColor="text1"/>
          <w:sz w:val="24"/>
          <w:szCs w:val="24"/>
        </w:rPr>
        <w:t xml:space="preserve"> </w:t>
      </w:r>
      <w:r w:rsidR="000F6106" w:rsidRPr="00D14CDD">
        <w:rPr>
          <w:rFonts w:ascii="AvantGarde Bk BT" w:hAnsi="AvantGarde Bk BT" w:cs="Arial"/>
          <w:color w:val="000000" w:themeColor="text1"/>
          <w:sz w:val="24"/>
          <w:szCs w:val="24"/>
        </w:rPr>
        <w:t>la Escuela Oficial “Héroe de Nacozari”</w:t>
      </w:r>
      <w:r w:rsidR="000F6106" w:rsidRPr="009316E1">
        <w:rPr>
          <w:rFonts w:ascii="AvantGarde Bk BT" w:hAnsi="AvantGarde Bk BT" w:cs="Arial"/>
          <w:color w:val="000000" w:themeColor="text1"/>
          <w:sz w:val="24"/>
          <w:szCs w:val="24"/>
        </w:rPr>
        <w:t>, así como las comisiones oficiales y sindicales autorizadas</w:t>
      </w:r>
      <w:r w:rsidR="000F6106">
        <w:rPr>
          <w:rFonts w:ascii="AvantGarde Bk BT" w:hAnsi="AvantGarde Bk BT" w:cs="Arial"/>
          <w:color w:val="000000" w:themeColor="text1"/>
          <w:sz w:val="24"/>
          <w:szCs w:val="24"/>
        </w:rPr>
        <w:t>.</w:t>
      </w:r>
    </w:p>
    <w:p w14:paraId="730B161E" w14:textId="04279E4C" w:rsidR="00640089" w:rsidRDefault="00C01371" w:rsidP="00C141F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que anteceden </w:t>
      </w:r>
      <w:r w:rsidR="00C141F9">
        <w:rPr>
          <w:rFonts w:ascii="AvantGarde Bk BT" w:hAnsi="AvantGarde Bk BT" w:cs="Arial"/>
          <w:color w:val="000000" w:themeColor="text1"/>
          <w:sz w:val="24"/>
          <w:szCs w:val="24"/>
        </w:rPr>
        <w:t xml:space="preserve">el </w:t>
      </w:r>
      <w:r w:rsidR="00C141F9" w:rsidRPr="00880D55">
        <w:rPr>
          <w:rFonts w:ascii="AvantGarde Bk BT" w:hAnsi="AvantGarde Bk BT" w:cs="Arial"/>
          <w:b/>
          <w:color w:val="000000" w:themeColor="text1"/>
          <w:sz w:val="24"/>
          <w:szCs w:val="24"/>
        </w:rPr>
        <w:t xml:space="preserve">Pleno de esta Comisión </w:t>
      </w:r>
      <w:r w:rsidR="00C141F9">
        <w:rPr>
          <w:rFonts w:ascii="AvantGarde Bk BT" w:hAnsi="AvantGarde Bk BT" w:cs="Arial"/>
          <w:b/>
          <w:color w:val="000000" w:themeColor="text1"/>
          <w:sz w:val="24"/>
          <w:szCs w:val="24"/>
        </w:rPr>
        <w:t>considera que</w:t>
      </w:r>
      <w:r>
        <w:rPr>
          <w:rFonts w:ascii="AvantGarde Bk BT" w:hAnsi="AvantGarde Bk BT" w:cs="Arial"/>
          <w:color w:val="000000" w:themeColor="text1"/>
          <w:sz w:val="24"/>
          <w:szCs w:val="24"/>
        </w:rPr>
        <w:t xml:space="preserve"> </w:t>
      </w:r>
      <w:r w:rsidRPr="00C141F9">
        <w:rPr>
          <w:rFonts w:ascii="AvantGarde Bk BT" w:hAnsi="AvantGarde Bk BT" w:cs="Arial"/>
          <w:b/>
          <w:color w:val="000000" w:themeColor="text1"/>
          <w:sz w:val="24"/>
          <w:szCs w:val="24"/>
        </w:rPr>
        <w:t>los agravios</w:t>
      </w:r>
      <w:r w:rsidR="00C141F9">
        <w:rPr>
          <w:rFonts w:ascii="AvantGarde Bk BT" w:hAnsi="AvantGarde Bk BT" w:cs="Arial"/>
          <w:b/>
          <w:color w:val="000000" w:themeColor="text1"/>
          <w:sz w:val="24"/>
          <w:szCs w:val="24"/>
        </w:rPr>
        <w:t xml:space="preserve"> expresados por la persona recurrente</w:t>
      </w:r>
      <w:r w:rsidRPr="00C141F9">
        <w:rPr>
          <w:rFonts w:ascii="AvantGarde Bk BT" w:hAnsi="AvantGarde Bk BT" w:cs="Arial"/>
          <w:b/>
          <w:color w:val="000000" w:themeColor="text1"/>
          <w:sz w:val="24"/>
          <w:szCs w:val="24"/>
        </w:rPr>
        <w:t xml:space="preserve"> resultaron fundados</w:t>
      </w:r>
      <w:r w:rsidR="00C141F9">
        <w:rPr>
          <w:rFonts w:ascii="AvantGarde Bk BT" w:hAnsi="AvantGarde Bk BT" w:cs="Arial"/>
          <w:color w:val="000000" w:themeColor="text1"/>
          <w:sz w:val="24"/>
          <w:szCs w:val="24"/>
        </w:rPr>
        <w:t xml:space="preserve"> </w:t>
      </w:r>
      <w:r w:rsidR="00C141F9" w:rsidRPr="00C141F9">
        <w:rPr>
          <w:rFonts w:ascii="AvantGarde Bk BT" w:hAnsi="AvantGarde Bk BT" w:cs="Arial"/>
          <w:b/>
          <w:color w:val="000000" w:themeColor="text1"/>
          <w:sz w:val="24"/>
          <w:szCs w:val="24"/>
        </w:rPr>
        <w:t>y suficientes para modificar el acto impugnado.</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61D6E7A1"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C141F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719A45C0" w14:textId="206D8934" w:rsidR="00B91FCB" w:rsidRDefault="00531A80" w:rsidP="00B91FCB">
      <w:pPr>
        <w:pStyle w:val="Prrafodelista"/>
        <w:numPr>
          <w:ilvl w:val="0"/>
          <w:numId w:val="46"/>
        </w:numPr>
        <w:spacing w:line="360" w:lineRule="auto"/>
        <w:ind w:left="1134" w:hanging="425"/>
        <w:jc w:val="both"/>
        <w:rPr>
          <w:rFonts w:ascii="AvantGarde Bk BT" w:hAnsi="AvantGarde Bk BT" w:cs="Arial"/>
          <w:color w:val="000000" w:themeColor="text1"/>
          <w:sz w:val="24"/>
          <w:szCs w:val="24"/>
        </w:rPr>
      </w:pPr>
      <w:r w:rsidRPr="00B91FCB">
        <w:rPr>
          <w:rFonts w:ascii="AvantGarde Bk BT" w:hAnsi="AvantGarde Bk BT" w:cs="Arial"/>
          <w:bCs/>
          <w:color w:val="000000" w:themeColor="text1"/>
          <w:sz w:val="24"/>
          <w:szCs w:val="24"/>
        </w:rPr>
        <w:lastRenderedPageBreak/>
        <w:t>La Titular de la Unidad de Transparencia</w:t>
      </w:r>
      <w:r w:rsidR="009D329A" w:rsidRPr="00B91FCB">
        <w:rPr>
          <w:rFonts w:ascii="AvantGarde Bk BT" w:hAnsi="AvantGarde Bk BT" w:cs="Arial"/>
          <w:bCs/>
          <w:color w:val="000000" w:themeColor="text1"/>
          <w:sz w:val="24"/>
          <w:szCs w:val="24"/>
        </w:rPr>
        <w:t xml:space="preserve"> </w:t>
      </w:r>
      <w:r w:rsidRPr="00B91FCB">
        <w:rPr>
          <w:rFonts w:ascii="AvantGarde Bk BT" w:hAnsi="AvantGarde Bk BT" w:cs="Arial"/>
          <w:bCs/>
          <w:color w:val="000000" w:themeColor="text1"/>
          <w:sz w:val="24"/>
          <w:szCs w:val="24"/>
        </w:rPr>
        <w:t xml:space="preserve">turne </w:t>
      </w:r>
      <w:r w:rsidRPr="00B91FCB">
        <w:rPr>
          <w:rFonts w:ascii="AvantGarde Bk BT" w:hAnsi="AvantGarde Bk BT" w:cs="Arial"/>
          <w:color w:val="000000" w:themeColor="text1"/>
          <w:sz w:val="24"/>
          <w:szCs w:val="24"/>
        </w:rPr>
        <w:t xml:space="preserve">la solicitud de información </w:t>
      </w:r>
      <w:r w:rsidR="009226B6">
        <w:rPr>
          <w:rFonts w:ascii="AvantGarde Bk BT" w:hAnsi="AvantGarde Bk BT" w:cs="Arial"/>
          <w:color w:val="000000" w:themeColor="text1"/>
          <w:sz w:val="24"/>
          <w:szCs w:val="24"/>
        </w:rPr>
        <w:t>al Departamento de Recursos Humanos</w:t>
      </w:r>
      <w:r w:rsidR="009226B6">
        <w:rPr>
          <w:rFonts w:ascii="AvantGarde Bk BT" w:hAnsi="AvantGarde Bk BT" w:cs="Arial"/>
          <w:color w:val="000000" w:themeColor="text1"/>
          <w:sz w:val="24"/>
          <w:szCs w:val="24"/>
        </w:rPr>
        <w:t xml:space="preserve"> del Sistema Educativo Estatal Regular</w:t>
      </w:r>
      <w:r w:rsidR="00B91FCB">
        <w:rPr>
          <w:rFonts w:ascii="AvantGarde Bk BT" w:hAnsi="AvantGarde Bk BT" w:cs="Arial"/>
          <w:color w:val="000000" w:themeColor="text1"/>
          <w:sz w:val="24"/>
          <w:szCs w:val="24"/>
        </w:rPr>
        <w:t xml:space="preserve">, para que dicha área </w:t>
      </w:r>
      <w:r w:rsidR="009226B6">
        <w:rPr>
          <w:rFonts w:ascii="AvantGarde Bk BT" w:hAnsi="AvantGarde Bk BT" w:cs="Arial"/>
          <w:color w:val="000000" w:themeColor="text1"/>
          <w:sz w:val="24"/>
          <w:szCs w:val="24"/>
        </w:rPr>
        <w:t xml:space="preserve">realice la búsqueda de </w:t>
      </w:r>
      <w:r w:rsidR="009226B6" w:rsidRPr="009226B6">
        <w:rPr>
          <w:rFonts w:ascii="AvantGarde Bk BT" w:hAnsi="AvantGarde Bk BT" w:cs="Arial"/>
          <w:color w:val="000000" w:themeColor="text1"/>
          <w:sz w:val="24"/>
          <w:szCs w:val="24"/>
        </w:rPr>
        <w:t>la información concerniente a las incapacidades médicas debidamente justificadas del personal adscrito a la Escuela Oficial “Héroe de Nacozari”, así como las comisiones oficiales y sindicales autorizadas</w:t>
      </w:r>
      <w:r w:rsidR="009226B6">
        <w:rPr>
          <w:rFonts w:ascii="AvantGarde Bk BT" w:hAnsi="AvantGarde Bk BT" w:cs="Arial"/>
          <w:color w:val="000000" w:themeColor="text1"/>
          <w:sz w:val="24"/>
          <w:szCs w:val="24"/>
        </w:rPr>
        <w:t xml:space="preserve">; todo esto respecto de </w:t>
      </w:r>
      <w:r w:rsidR="009226B6" w:rsidRPr="009226B6">
        <w:rPr>
          <w:rFonts w:ascii="AvantGarde Bk BT" w:hAnsi="AvantGarde Bk BT" w:cs="Arial"/>
          <w:color w:val="000000" w:themeColor="text1"/>
          <w:sz w:val="24"/>
          <w:szCs w:val="24"/>
        </w:rPr>
        <w:t>los ciclos escolares 2020-2021, 2021-2022, 2022-2023, 2023-2024, 2024-2025 y 2025-2026</w:t>
      </w:r>
      <w:r w:rsidR="009226B6">
        <w:rPr>
          <w:rFonts w:ascii="AvantGarde Bk BT" w:hAnsi="AvantGarde Bk BT" w:cs="Arial"/>
          <w:color w:val="000000" w:themeColor="text1"/>
          <w:sz w:val="24"/>
          <w:szCs w:val="24"/>
        </w:rPr>
        <w:t>.</w:t>
      </w:r>
    </w:p>
    <w:p w14:paraId="0A22C2BD" w14:textId="0D9BAEF3" w:rsidR="005C5DA1" w:rsidRPr="0067260C" w:rsidRDefault="007C62BF" w:rsidP="009A0D4F">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5.2.</w:t>
      </w:r>
      <w:r w:rsidR="005C5DA1">
        <w:rPr>
          <w:rFonts w:ascii="AvantGarde Bk BT" w:hAnsi="AvantGarde Bk BT" w:cs="Arial"/>
          <w:b/>
          <w:color w:val="000000" w:themeColor="text1"/>
          <w:sz w:val="24"/>
          <w:szCs w:val="24"/>
        </w:rPr>
        <w:t xml:space="preserve"> </w:t>
      </w:r>
      <w:r w:rsidR="009A4012" w:rsidRPr="009A4012">
        <w:rPr>
          <w:rFonts w:ascii="AvantGarde Bk BT" w:hAnsi="AvantGarde Bk BT" w:cs="Arial"/>
          <w:b/>
          <w:color w:val="000000" w:themeColor="text1"/>
          <w:sz w:val="24"/>
          <w:szCs w:val="24"/>
        </w:rPr>
        <w:t>Modalidad de la información</w:t>
      </w:r>
      <w:r w:rsidR="005C5DA1" w:rsidRPr="009A4012">
        <w:rPr>
          <w:rFonts w:ascii="AvantGarde Bk BT" w:hAnsi="AvantGarde Bk BT" w:cs="Arial"/>
          <w:b/>
          <w:color w:val="000000" w:themeColor="text1"/>
          <w:sz w:val="24"/>
          <w:szCs w:val="24"/>
        </w:rPr>
        <w:t>.</w:t>
      </w:r>
    </w:p>
    <w:p w14:paraId="155C4D46" w14:textId="77777777" w:rsidR="009A4012" w:rsidRDefault="009A4012" w:rsidP="009A40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389C4756" w:rsidR="009A0D4F" w:rsidRDefault="007C62BF"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5.3</w:t>
      </w:r>
      <w:r w:rsidR="009A0D4F">
        <w:rPr>
          <w:rFonts w:ascii="AvantGarde Bk BT" w:hAnsi="AvantGarde Bk BT" w:cs="Arial"/>
          <w:b/>
          <w:color w:val="000000" w:themeColor="text1"/>
          <w:sz w:val="24"/>
          <w:szCs w:val="24"/>
        </w:rPr>
        <w:t xml:space="preserve">.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258910C2" w:rsidR="009A0D4F" w:rsidRPr="00C12794" w:rsidRDefault="009A0D4F"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7C62BF">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w:t>
      </w:r>
      <w:r w:rsidRPr="00831D47">
        <w:rPr>
          <w:rFonts w:ascii="AvantGarde Bk BT" w:hAnsi="AvantGarde Bk BT" w:cs="Arial"/>
          <w:color w:val="000000" w:themeColor="text1"/>
          <w:sz w:val="24"/>
          <w:szCs w:val="24"/>
        </w:rPr>
        <w:lastRenderedPageBreak/>
        <w:t>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24116B4C" w:rsidR="009A0D4F" w:rsidRPr="004C15C0" w:rsidRDefault="007C62B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9A0D4F" w:rsidRPr="00831D47">
        <w:rPr>
          <w:rFonts w:ascii="AvantGarde Bk BT" w:hAnsi="AvantGarde Bk BT" w:cs="Arial"/>
          <w:b/>
          <w:color w:val="000000" w:themeColor="text1"/>
          <w:sz w:val="24"/>
          <w:szCs w:val="24"/>
        </w:rPr>
        <w:t>. 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02592FF1" w:rsidR="009A0D4F" w:rsidRPr="00684218"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7C62B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D25712">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7548D40E"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55E52">
        <w:rPr>
          <w:rFonts w:ascii="AvantGarde Bk BT" w:hAnsi="AvantGarde Bk BT" w:cs="Arial"/>
          <w:b/>
          <w:bCs/>
          <w:color w:val="000000" w:themeColor="text1"/>
          <w:sz w:val="24"/>
          <w:szCs w:val="24"/>
        </w:rPr>
        <w:t>MODIFI</w:t>
      </w:r>
      <w:r w:rsidR="00E35AC3">
        <w:rPr>
          <w:rFonts w:ascii="AvantGarde Bk BT" w:hAnsi="AvantGarde Bk BT" w:cs="Arial"/>
          <w:b/>
          <w:bCs/>
          <w:color w:val="000000" w:themeColor="text1"/>
          <w:sz w:val="24"/>
          <w:szCs w:val="24"/>
        </w:rPr>
        <w:t>C</w:t>
      </w:r>
      <w:r>
        <w:rPr>
          <w:rFonts w:ascii="AvantGarde Bk BT" w:hAnsi="AvantGarde Bk BT" w:cs="Arial"/>
          <w:b/>
          <w:bCs/>
          <w:color w:val="000000" w:themeColor="text1"/>
          <w:sz w:val="24"/>
          <w:szCs w:val="24"/>
        </w:rPr>
        <w:t>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1DFD1376" w14:textId="2BDD7E7A" w:rsidR="00531A80" w:rsidRPr="006809EF" w:rsidRDefault="009A0D4F" w:rsidP="00C131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sidRPr="00D33617">
        <w:rPr>
          <w:rFonts w:ascii="AvantGarde Bk BT" w:hAnsi="AvantGarde Bk BT"/>
          <w:sz w:val="24"/>
          <w:szCs w:val="24"/>
        </w:rPr>
        <w:t xml:space="preserve">Ordinaria del </w:t>
      </w:r>
      <w:r w:rsidR="00C55E52">
        <w:rPr>
          <w:rFonts w:ascii="AvantGarde Bk BT" w:hAnsi="AvantGarde Bk BT"/>
          <w:sz w:val="24"/>
          <w:szCs w:val="24"/>
        </w:rPr>
        <w:t>ocho de abril</w:t>
      </w:r>
      <w:r w:rsidR="00531A80">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José Gerardo Navarro Alviso</w:t>
      </w:r>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16D2370D" w14:textId="5E2624E5" w:rsidR="009171C0" w:rsidRPr="00FE6442" w:rsidRDefault="009171C0" w:rsidP="00C1314F">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290AE5B5" w:rsidR="005873DB" w:rsidRPr="004C15C0" w:rsidRDefault="009171C0" w:rsidP="00C1314F">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w:t>
      </w:r>
      <w:r w:rsidRPr="00D33617">
        <w:rPr>
          <w:rFonts w:ascii="AvantGarde Bk BT" w:hAnsi="AvantGarde Bk BT" w:cs="Arial"/>
          <w:color w:val="000000" w:themeColor="text1"/>
          <w:sz w:val="14"/>
          <w:szCs w:val="14"/>
        </w:rPr>
        <w:t xml:space="preserve">ordinaria de </w:t>
      </w:r>
      <w:r w:rsidR="00C55E52">
        <w:rPr>
          <w:rFonts w:ascii="AvantGarde Bk BT" w:hAnsi="AvantGarde Bk BT" w:cs="Arial"/>
          <w:color w:val="000000" w:themeColor="text1"/>
          <w:sz w:val="14"/>
          <w:szCs w:val="14"/>
        </w:rPr>
        <w:t>ocho de abril</w:t>
      </w:r>
      <w:r w:rsidR="00531A80">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w:t>
      </w:r>
      <w:r w:rsidR="0004149D">
        <w:rPr>
          <w:rFonts w:ascii="AvantGarde Bk BT" w:hAnsi="AvantGarde Bk BT" w:cs="Arial"/>
          <w:color w:val="000000" w:themeColor="text1"/>
          <w:sz w:val="14"/>
          <w:szCs w:val="14"/>
        </w:rPr>
        <w:t>o de re</w:t>
      </w:r>
      <w:r w:rsidR="00D25712">
        <w:rPr>
          <w:rFonts w:ascii="AvantGarde Bk BT" w:hAnsi="AvantGarde Bk BT" w:cs="Arial"/>
          <w:color w:val="000000" w:themeColor="text1"/>
          <w:sz w:val="14"/>
          <w:szCs w:val="14"/>
        </w:rPr>
        <w:t>visión RR-</w:t>
      </w:r>
      <w:r w:rsidR="00C55E52">
        <w:rPr>
          <w:rFonts w:ascii="AvantGarde Bk BT" w:hAnsi="AvantGarde Bk BT" w:cs="Arial"/>
          <w:color w:val="000000" w:themeColor="text1"/>
          <w:sz w:val="14"/>
          <w:szCs w:val="14"/>
        </w:rPr>
        <w:t>0</w:t>
      </w:r>
      <w:r w:rsidR="009226B6">
        <w:rPr>
          <w:rFonts w:ascii="AvantGarde Bk BT" w:hAnsi="AvantGarde Bk BT" w:cs="Arial"/>
          <w:color w:val="000000" w:themeColor="text1"/>
          <w:sz w:val="14"/>
          <w:szCs w:val="14"/>
        </w:rPr>
        <w:t>78</w:t>
      </w:r>
      <w:bookmarkStart w:id="1" w:name="_GoBack"/>
      <w:bookmarkEnd w:id="1"/>
      <w:r w:rsidR="00531A80">
        <w:rPr>
          <w:rFonts w:ascii="AvantGarde Bk BT" w:hAnsi="AvantGarde Bk BT" w:cs="Arial"/>
          <w:color w:val="000000" w:themeColor="text1"/>
          <w:sz w:val="14"/>
          <w:szCs w:val="14"/>
        </w:rPr>
        <w:t>/2026</w:t>
      </w:r>
      <w:r>
        <w:rPr>
          <w:rFonts w:ascii="AvantGarde Bk BT" w:hAnsi="AvantGarde Bk BT" w:cs="Arial"/>
          <w:color w:val="000000" w:themeColor="text1"/>
          <w:sz w:val="14"/>
          <w:szCs w:val="14"/>
        </w:rPr>
        <w:t>-1.)</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D161E0" w14:textId="77777777" w:rsidR="0012031D" w:rsidRDefault="0012031D" w:rsidP="003864ED">
      <w:pPr>
        <w:spacing w:after="0" w:line="240" w:lineRule="auto"/>
      </w:pPr>
      <w:r>
        <w:separator/>
      </w:r>
    </w:p>
  </w:endnote>
  <w:endnote w:type="continuationSeparator" w:id="0">
    <w:p w14:paraId="69909860" w14:textId="77777777" w:rsidR="0012031D" w:rsidRDefault="0012031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15BFE6" w14:textId="77777777" w:rsidR="0012031D" w:rsidRDefault="0012031D" w:rsidP="003864ED">
      <w:pPr>
        <w:spacing w:after="0" w:line="240" w:lineRule="auto"/>
      </w:pPr>
      <w:r>
        <w:separator/>
      </w:r>
    </w:p>
  </w:footnote>
  <w:footnote w:type="continuationSeparator" w:id="0">
    <w:p w14:paraId="62A29AD1" w14:textId="77777777" w:rsidR="0012031D" w:rsidRDefault="0012031D" w:rsidP="003864ED">
      <w:pPr>
        <w:spacing w:after="0" w:line="240" w:lineRule="auto"/>
      </w:pPr>
      <w:r>
        <w:continuationSeparator/>
      </w:r>
    </w:p>
  </w:footnote>
  <w:footnote w:id="1">
    <w:p w14:paraId="5A83CB04" w14:textId="77777777" w:rsidR="005142BE" w:rsidRPr="0004149D" w:rsidRDefault="005142BE" w:rsidP="000468A0">
      <w:pPr>
        <w:pStyle w:val="Textonotapie"/>
        <w:jc w:val="both"/>
        <w:rPr>
          <w:sz w:val="18"/>
          <w:szCs w:val="18"/>
          <w:lang w:val="es-ES_tradnl"/>
        </w:rPr>
      </w:pPr>
      <w:r w:rsidRPr="0004149D">
        <w:rPr>
          <w:rStyle w:val="Refdenotaalpie"/>
          <w:sz w:val="18"/>
          <w:szCs w:val="18"/>
        </w:rPr>
        <w:footnoteRef/>
      </w:r>
      <w:r w:rsidRPr="0004149D">
        <w:rPr>
          <w:sz w:val="18"/>
          <w:szCs w:val="18"/>
        </w:rPr>
        <w:t xml:space="preserve"> </w:t>
      </w:r>
      <w:r w:rsidRPr="0004149D">
        <w:rPr>
          <w:b/>
          <w:bCs/>
          <w:sz w:val="18"/>
          <w:szCs w:val="18"/>
          <w:lang w:val="es-ES_tradnl"/>
        </w:rPr>
        <w:t>ARTÍCULO 61.</w:t>
      </w:r>
      <w:r w:rsidRPr="0004149D">
        <w:rPr>
          <w:bCs/>
          <w:sz w:val="18"/>
          <w:szCs w:val="18"/>
          <w:lang w:val="es-ES_tradnl"/>
        </w:rPr>
        <w:t xml:space="preserve"> </w:t>
      </w:r>
      <w:r w:rsidRPr="0004149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04149D" w:rsidRDefault="005142BE" w:rsidP="000468A0">
      <w:pPr>
        <w:pStyle w:val="Textonotapie"/>
        <w:jc w:val="both"/>
        <w:rPr>
          <w:sz w:val="18"/>
          <w:szCs w:val="18"/>
          <w:lang w:val="es-ES_tradnl"/>
        </w:rPr>
      </w:pPr>
      <w:r w:rsidRPr="0004149D">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45880953" w14:textId="77777777" w:rsidR="005142BE" w:rsidRPr="0004149D" w:rsidRDefault="005142BE" w:rsidP="000468A0">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18.</w:t>
      </w:r>
      <w:r w:rsidRPr="0004149D">
        <w:rPr>
          <w:sz w:val="18"/>
          <w:szCs w:val="18"/>
        </w:rPr>
        <w:t xml:space="preserve"> Los sujetos obligados deberán documentar todo acto que derive del ejercicio de sus facultades, competencias o funciones.</w:t>
      </w:r>
    </w:p>
    <w:p w14:paraId="0EDAA087" w14:textId="77777777" w:rsidR="005142BE" w:rsidRPr="0004149D" w:rsidRDefault="005142BE" w:rsidP="000468A0">
      <w:pPr>
        <w:pStyle w:val="Textonotapie"/>
        <w:jc w:val="both"/>
        <w:rPr>
          <w:sz w:val="18"/>
          <w:szCs w:val="18"/>
        </w:rPr>
      </w:pPr>
      <w:r w:rsidRPr="0004149D">
        <w:rPr>
          <w:b/>
          <w:sz w:val="18"/>
          <w:szCs w:val="18"/>
        </w:rPr>
        <w:t>ARTÍCULO 59.</w:t>
      </w:r>
      <w:r w:rsidRPr="0004149D">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04149D" w:rsidRDefault="005142BE" w:rsidP="000468A0">
      <w:pPr>
        <w:pStyle w:val="Textonotapie"/>
        <w:jc w:val="both"/>
        <w:rPr>
          <w:sz w:val="18"/>
          <w:szCs w:val="18"/>
        </w:rPr>
      </w:pPr>
      <w:r w:rsidRPr="0004149D">
        <w:rPr>
          <w:b/>
          <w:sz w:val="18"/>
          <w:szCs w:val="18"/>
        </w:rPr>
        <w:t>ARTÍCULO 60.</w:t>
      </w:r>
      <w:r w:rsidRPr="0004149D">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04149D" w:rsidRDefault="005142BE" w:rsidP="000468A0">
      <w:pPr>
        <w:pStyle w:val="Textonotapie"/>
        <w:jc w:val="both"/>
        <w:rPr>
          <w:sz w:val="18"/>
          <w:szCs w:val="18"/>
        </w:rPr>
      </w:pPr>
      <w:r w:rsidRPr="0004149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04149D" w:rsidRDefault="005142BE" w:rsidP="000468A0">
      <w:pPr>
        <w:pStyle w:val="Textonotapie"/>
        <w:jc w:val="both"/>
        <w:rPr>
          <w:sz w:val="18"/>
          <w:szCs w:val="18"/>
        </w:rPr>
      </w:pPr>
      <w:r w:rsidRPr="0004149D">
        <w:rPr>
          <w:b/>
          <w:sz w:val="18"/>
          <w:szCs w:val="18"/>
        </w:rPr>
        <w:t>ARTÍCULO 61.</w:t>
      </w:r>
      <w:r w:rsidRPr="0004149D">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04149D" w:rsidRDefault="005142BE" w:rsidP="000468A0">
      <w:pPr>
        <w:pStyle w:val="Textonotapie"/>
        <w:jc w:val="both"/>
        <w:rPr>
          <w:sz w:val="18"/>
          <w:szCs w:val="18"/>
        </w:rPr>
      </w:pPr>
      <w:r w:rsidRPr="0004149D">
        <w:rPr>
          <w:sz w:val="18"/>
          <w:szCs w:val="18"/>
        </w:rPr>
        <w:t>La obligación de los sujetos obligados de proporcionar información no comprende el procesamiento de la misma, ni el presentarla conforme al interés del solicitante.</w:t>
      </w:r>
    </w:p>
    <w:p w14:paraId="69187026" w14:textId="77777777" w:rsidR="005142BE" w:rsidRPr="0004149D" w:rsidRDefault="005142BE" w:rsidP="000468A0">
      <w:pPr>
        <w:pStyle w:val="Textonotapie"/>
        <w:jc w:val="both"/>
        <w:rPr>
          <w:sz w:val="18"/>
          <w:szCs w:val="18"/>
        </w:rPr>
      </w:pPr>
      <w:r w:rsidRPr="0004149D">
        <w:rPr>
          <w:b/>
          <w:sz w:val="18"/>
          <w:szCs w:val="18"/>
        </w:rPr>
        <w:t>ARTÍCULO 152</w:t>
      </w:r>
      <w:r w:rsidRPr="0004149D">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0DBA7585" w:rsidR="005142BE" w:rsidRDefault="005142BE">
        <w:pPr>
          <w:pStyle w:val="Encabezado"/>
          <w:jc w:val="center"/>
        </w:pPr>
        <w:r>
          <w:fldChar w:fldCharType="begin"/>
        </w:r>
        <w:r>
          <w:instrText>PAGE   \* MERGEFORMAT</w:instrText>
        </w:r>
        <w:r>
          <w:fldChar w:fldCharType="separate"/>
        </w:r>
        <w:r w:rsidR="009226B6" w:rsidRPr="009226B6">
          <w:rPr>
            <w:noProof/>
            <w:lang w:val="es-ES"/>
          </w:rPr>
          <w:t>10</w:t>
        </w:r>
        <w:r>
          <w:fldChar w:fldCharType="end"/>
        </w:r>
      </w:p>
    </w:sdtContent>
  </w:sdt>
  <w:p w14:paraId="3407CE7F" w14:textId="02DF9B8F" w:rsidR="005142BE" w:rsidRDefault="00183EF3" w:rsidP="00403C89">
    <w:pPr>
      <w:pStyle w:val="Encabezado"/>
      <w:jc w:val="right"/>
    </w:pPr>
    <w:r>
      <w:t xml:space="preserve">RECURSO DE REVISIÓN </w:t>
    </w:r>
    <w:r w:rsidR="009A279A">
      <w:t>0</w:t>
    </w:r>
    <w:r w:rsidR="00A00F41">
      <w:t>7</w:t>
    </w:r>
    <w:r w:rsidR="004F5FBC">
      <w:t>8</w:t>
    </w:r>
    <w:r w:rsidR="00A00F41">
      <w:t>/2026</w:t>
    </w:r>
    <w:r w:rsidR="00710E8F">
      <w:t>-1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7910DF50"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9226B6" w:rsidRPr="009226B6">
          <w:rPr>
            <w:noProof/>
            <w:lang w:val="es-ES"/>
          </w:rPr>
          <w:t>9</w:t>
        </w:r>
        <w:r>
          <w:fldChar w:fldCharType="end"/>
        </w:r>
        <w:r>
          <w:t xml:space="preserve">                                  </w:t>
        </w:r>
      </w:p>
      <w:p w14:paraId="4B8CFE5F" w14:textId="77777777" w:rsidR="005142BE" w:rsidRDefault="005142BE" w:rsidP="00125FB7">
        <w:pPr>
          <w:pStyle w:val="Encabezado"/>
          <w:jc w:val="right"/>
        </w:pPr>
      </w:p>
      <w:p w14:paraId="33FF87E3" w14:textId="5FB4DE5D" w:rsidR="005142BE" w:rsidRDefault="00385540" w:rsidP="00403C89">
        <w:pPr>
          <w:pStyle w:val="Encabezado"/>
          <w:jc w:val="right"/>
        </w:pPr>
        <w:r>
          <w:t xml:space="preserve">RECURSO DE REVISIÓN </w:t>
        </w:r>
        <w:r w:rsidR="009A279A">
          <w:t>0</w:t>
        </w:r>
        <w:r w:rsidR="00A00F41">
          <w:t>7</w:t>
        </w:r>
        <w:r w:rsidR="004F5FBC">
          <w:t>8</w:t>
        </w:r>
        <w:r w:rsidR="00A00F41">
          <w:t>/2026</w:t>
        </w:r>
        <w:r w:rsidR="00710E8F">
          <w:t>-1</w:t>
        </w:r>
      </w:p>
      <w:p w14:paraId="1F581E29" w14:textId="484A7B4B" w:rsidR="005142BE" w:rsidRDefault="0012031D"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8C84BEE"/>
    <w:multiLevelType w:val="hybridMultilevel"/>
    <w:tmpl w:val="63E2698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7"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2"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5F7B4755"/>
    <w:multiLevelType w:val="hybridMultilevel"/>
    <w:tmpl w:val="3F24CAB2"/>
    <w:lvl w:ilvl="0" w:tplc="140C92B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1C4582A"/>
    <w:multiLevelType w:val="hybridMultilevel"/>
    <w:tmpl w:val="FFD65B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65B22DF8"/>
    <w:multiLevelType w:val="hybridMultilevel"/>
    <w:tmpl w:val="94C49C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2"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5"/>
  </w:num>
  <w:num w:numId="6">
    <w:abstractNumId w:val="19"/>
  </w:num>
  <w:num w:numId="7">
    <w:abstractNumId w:val="27"/>
  </w:num>
  <w:num w:numId="8">
    <w:abstractNumId w:val="37"/>
  </w:num>
  <w:num w:numId="9">
    <w:abstractNumId w:val="7"/>
  </w:num>
  <w:num w:numId="10">
    <w:abstractNumId w:val="42"/>
  </w:num>
  <w:num w:numId="11">
    <w:abstractNumId w:val="11"/>
  </w:num>
  <w:num w:numId="12">
    <w:abstractNumId w:val="38"/>
  </w:num>
  <w:num w:numId="13">
    <w:abstractNumId w:val="23"/>
  </w:num>
  <w:num w:numId="14">
    <w:abstractNumId w:val="13"/>
  </w:num>
  <w:num w:numId="15">
    <w:abstractNumId w:val="41"/>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30"/>
  </w:num>
  <w:num w:numId="23">
    <w:abstractNumId w:val="40"/>
  </w:num>
  <w:num w:numId="24">
    <w:abstractNumId w:val="46"/>
  </w:num>
  <w:num w:numId="25">
    <w:abstractNumId w:val="20"/>
  </w:num>
  <w:num w:numId="26">
    <w:abstractNumId w:val="43"/>
  </w:num>
  <w:num w:numId="27">
    <w:abstractNumId w:val="10"/>
  </w:num>
  <w:num w:numId="28">
    <w:abstractNumId w:val="44"/>
  </w:num>
  <w:num w:numId="29">
    <w:abstractNumId w:val="39"/>
  </w:num>
  <w:num w:numId="30">
    <w:abstractNumId w:val="25"/>
  </w:num>
  <w:num w:numId="31">
    <w:abstractNumId w:val="34"/>
  </w:num>
  <w:num w:numId="32">
    <w:abstractNumId w:val="9"/>
  </w:num>
  <w:num w:numId="33">
    <w:abstractNumId w:val="16"/>
  </w:num>
  <w:num w:numId="34">
    <w:abstractNumId w:val="24"/>
  </w:num>
  <w:num w:numId="35">
    <w:abstractNumId w:val="6"/>
  </w:num>
  <w:num w:numId="36">
    <w:abstractNumId w:val="28"/>
  </w:num>
  <w:num w:numId="37">
    <w:abstractNumId w:val="18"/>
  </w:num>
  <w:num w:numId="38">
    <w:abstractNumId w:val="22"/>
  </w:num>
  <w:num w:numId="39">
    <w:abstractNumId w:val="0"/>
  </w:num>
  <w:num w:numId="40">
    <w:abstractNumId w:val="32"/>
  </w:num>
  <w:num w:numId="41">
    <w:abstractNumId w:val="3"/>
  </w:num>
  <w:num w:numId="42">
    <w:abstractNumId w:val="15"/>
  </w:num>
  <w:num w:numId="43">
    <w:abstractNumId w:val="12"/>
  </w:num>
  <w:num w:numId="44">
    <w:abstractNumId w:val="31"/>
  </w:num>
  <w:num w:numId="45">
    <w:abstractNumId w:val="26"/>
  </w:num>
  <w:num w:numId="46">
    <w:abstractNumId w:val="35"/>
  </w:num>
  <w:num w:numId="47">
    <w:abstractNumId w:val="33"/>
  </w:num>
  <w:num w:numId="48">
    <w:abstractNumId w:val="3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898"/>
    <w:rsid w:val="00002CFF"/>
    <w:rsid w:val="00003183"/>
    <w:rsid w:val="0000362E"/>
    <w:rsid w:val="00003AB5"/>
    <w:rsid w:val="00003DC1"/>
    <w:rsid w:val="000048AE"/>
    <w:rsid w:val="0000495B"/>
    <w:rsid w:val="00004D3C"/>
    <w:rsid w:val="000066AD"/>
    <w:rsid w:val="00010A6E"/>
    <w:rsid w:val="00010DA2"/>
    <w:rsid w:val="00010FE8"/>
    <w:rsid w:val="00011D20"/>
    <w:rsid w:val="00011DA1"/>
    <w:rsid w:val="00011F00"/>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49D"/>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0F84"/>
    <w:rsid w:val="000515E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5DE4"/>
    <w:rsid w:val="0006659D"/>
    <w:rsid w:val="0006668E"/>
    <w:rsid w:val="00066886"/>
    <w:rsid w:val="00067418"/>
    <w:rsid w:val="00067660"/>
    <w:rsid w:val="0007014F"/>
    <w:rsid w:val="0007132B"/>
    <w:rsid w:val="000713A9"/>
    <w:rsid w:val="0007170B"/>
    <w:rsid w:val="0007175D"/>
    <w:rsid w:val="00071C60"/>
    <w:rsid w:val="000724D7"/>
    <w:rsid w:val="000728F5"/>
    <w:rsid w:val="000729BE"/>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18A"/>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159"/>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2C79"/>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106"/>
    <w:rsid w:val="000F6857"/>
    <w:rsid w:val="000F6A00"/>
    <w:rsid w:val="000F6B87"/>
    <w:rsid w:val="000F6E8F"/>
    <w:rsid w:val="000F712C"/>
    <w:rsid w:val="000F7644"/>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0790D"/>
    <w:rsid w:val="0011106A"/>
    <w:rsid w:val="00111B8C"/>
    <w:rsid w:val="001139E8"/>
    <w:rsid w:val="0011415A"/>
    <w:rsid w:val="0011417A"/>
    <w:rsid w:val="00114B4F"/>
    <w:rsid w:val="001151E7"/>
    <w:rsid w:val="00116CBC"/>
    <w:rsid w:val="00117EFC"/>
    <w:rsid w:val="00117F76"/>
    <w:rsid w:val="0012031D"/>
    <w:rsid w:val="001204E0"/>
    <w:rsid w:val="00121981"/>
    <w:rsid w:val="001221B0"/>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0CB2"/>
    <w:rsid w:val="00140D18"/>
    <w:rsid w:val="00141314"/>
    <w:rsid w:val="00141F55"/>
    <w:rsid w:val="00143CF3"/>
    <w:rsid w:val="00143E86"/>
    <w:rsid w:val="001453D7"/>
    <w:rsid w:val="001458BC"/>
    <w:rsid w:val="001463BA"/>
    <w:rsid w:val="00146903"/>
    <w:rsid w:val="00146EA8"/>
    <w:rsid w:val="00147F36"/>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712"/>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5E81"/>
    <w:rsid w:val="00196474"/>
    <w:rsid w:val="00196579"/>
    <w:rsid w:val="00197157"/>
    <w:rsid w:val="00197212"/>
    <w:rsid w:val="00197CE0"/>
    <w:rsid w:val="00197E4C"/>
    <w:rsid w:val="001A0953"/>
    <w:rsid w:val="001A11F8"/>
    <w:rsid w:val="001A12A8"/>
    <w:rsid w:val="001A1B21"/>
    <w:rsid w:val="001A23EF"/>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D7F74"/>
    <w:rsid w:val="001E0E77"/>
    <w:rsid w:val="001E17C7"/>
    <w:rsid w:val="001E1F04"/>
    <w:rsid w:val="001E27F5"/>
    <w:rsid w:val="001E46F0"/>
    <w:rsid w:val="001E4A97"/>
    <w:rsid w:val="001E4B8D"/>
    <w:rsid w:val="001E57D9"/>
    <w:rsid w:val="001E5BCA"/>
    <w:rsid w:val="001E5D8A"/>
    <w:rsid w:val="001E6071"/>
    <w:rsid w:val="001E6629"/>
    <w:rsid w:val="001E7191"/>
    <w:rsid w:val="001E74D0"/>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C61"/>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679FB"/>
    <w:rsid w:val="002711B4"/>
    <w:rsid w:val="00271861"/>
    <w:rsid w:val="00271912"/>
    <w:rsid w:val="00271C6C"/>
    <w:rsid w:val="002724F9"/>
    <w:rsid w:val="00273646"/>
    <w:rsid w:val="002739AB"/>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5AB0"/>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39"/>
    <w:rsid w:val="002C2098"/>
    <w:rsid w:val="002C2184"/>
    <w:rsid w:val="002C2C27"/>
    <w:rsid w:val="002C2E8E"/>
    <w:rsid w:val="002C3369"/>
    <w:rsid w:val="002C3608"/>
    <w:rsid w:val="002C3807"/>
    <w:rsid w:val="002C41E5"/>
    <w:rsid w:val="002C4AE8"/>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222"/>
    <w:rsid w:val="002E08BD"/>
    <w:rsid w:val="002E0CE2"/>
    <w:rsid w:val="002E1369"/>
    <w:rsid w:val="002E17ED"/>
    <w:rsid w:val="002E1C06"/>
    <w:rsid w:val="002E39ED"/>
    <w:rsid w:val="002E3E6F"/>
    <w:rsid w:val="002E415A"/>
    <w:rsid w:val="002E440B"/>
    <w:rsid w:val="002E4587"/>
    <w:rsid w:val="002E4982"/>
    <w:rsid w:val="002E5C34"/>
    <w:rsid w:val="002E5F5A"/>
    <w:rsid w:val="002E61EF"/>
    <w:rsid w:val="002E64CA"/>
    <w:rsid w:val="002E6D6B"/>
    <w:rsid w:val="002E7709"/>
    <w:rsid w:val="002E7959"/>
    <w:rsid w:val="002E7B1E"/>
    <w:rsid w:val="002F0788"/>
    <w:rsid w:val="002F1032"/>
    <w:rsid w:val="002F1FD5"/>
    <w:rsid w:val="002F2079"/>
    <w:rsid w:val="002F23E0"/>
    <w:rsid w:val="002F23E1"/>
    <w:rsid w:val="002F2B4D"/>
    <w:rsid w:val="002F37D4"/>
    <w:rsid w:val="002F3958"/>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3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01E"/>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540"/>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7AF"/>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4EB"/>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415"/>
    <w:rsid w:val="003D3FEA"/>
    <w:rsid w:val="003D4E97"/>
    <w:rsid w:val="003D5449"/>
    <w:rsid w:val="003D5A1A"/>
    <w:rsid w:val="003D5C15"/>
    <w:rsid w:val="003D6998"/>
    <w:rsid w:val="003D6ECF"/>
    <w:rsid w:val="003D7603"/>
    <w:rsid w:val="003D770B"/>
    <w:rsid w:val="003D7984"/>
    <w:rsid w:val="003E0A78"/>
    <w:rsid w:val="003E0B31"/>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37A"/>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418"/>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87E4E"/>
    <w:rsid w:val="004905F4"/>
    <w:rsid w:val="004908C5"/>
    <w:rsid w:val="004908DD"/>
    <w:rsid w:val="00490AAA"/>
    <w:rsid w:val="00491EB9"/>
    <w:rsid w:val="00491F18"/>
    <w:rsid w:val="0049219E"/>
    <w:rsid w:val="00492289"/>
    <w:rsid w:val="004932F2"/>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379"/>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2837"/>
    <w:rsid w:val="004F35CA"/>
    <w:rsid w:val="004F3B26"/>
    <w:rsid w:val="004F497E"/>
    <w:rsid w:val="004F524B"/>
    <w:rsid w:val="004F5FBC"/>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51E"/>
    <w:rsid w:val="00510F43"/>
    <w:rsid w:val="00511894"/>
    <w:rsid w:val="00511F29"/>
    <w:rsid w:val="00512C3E"/>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1A80"/>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590A"/>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16B"/>
    <w:rsid w:val="005933C1"/>
    <w:rsid w:val="00593C3E"/>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1D5"/>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7E3"/>
    <w:rsid w:val="005D2C05"/>
    <w:rsid w:val="005D2D89"/>
    <w:rsid w:val="005D40B1"/>
    <w:rsid w:val="005D485C"/>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3C01"/>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1F30"/>
    <w:rsid w:val="00622D9B"/>
    <w:rsid w:val="00622E2A"/>
    <w:rsid w:val="0062536E"/>
    <w:rsid w:val="006254F5"/>
    <w:rsid w:val="00626491"/>
    <w:rsid w:val="00627B33"/>
    <w:rsid w:val="00630546"/>
    <w:rsid w:val="00630835"/>
    <w:rsid w:val="00631629"/>
    <w:rsid w:val="006334B5"/>
    <w:rsid w:val="00634179"/>
    <w:rsid w:val="00634281"/>
    <w:rsid w:val="00634A36"/>
    <w:rsid w:val="00636A24"/>
    <w:rsid w:val="00636A6A"/>
    <w:rsid w:val="00636B2E"/>
    <w:rsid w:val="00637967"/>
    <w:rsid w:val="00637AC5"/>
    <w:rsid w:val="00640089"/>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16C7"/>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0C"/>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0E2"/>
    <w:rsid w:val="006B34E7"/>
    <w:rsid w:val="006B4509"/>
    <w:rsid w:val="006B4C8C"/>
    <w:rsid w:val="006B518A"/>
    <w:rsid w:val="006B51E8"/>
    <w:rsid w:val="006B5647"/>
    <w:rsid w:val="006B564B"/>
    <w:rsid w:val="006B7996"/>
    <w:rsid w:val="006B7E1C"/>
    <w:rsid w:val="006C0024"/>
    <w:rsid w:val="006C02C3"/>
    <w:rsid w:val="006C140E"/>
    <w:rsid w:val="006C1939"/>
    <w:rsid w:val="006C2516"/>
    <w:rsid w:val="006C297E"/>
    <w:rsid w:val="006C2A52"/>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DFC"/>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4FF0"/>
    <w:rsid w:val="006F5037"/>
    <w:rsid w:val="006F5289"/>
    <w:rsid w:val="006F544B"/>
    <w:rsid w:val="006F5950"/>
    <w:rsid w:val="006F5B7D"/>
    <w:rsid w:val="006F5E9A"/>
    <w:rsid w:val="006F6C13"/>
    <w:rsid w:val="006F6EDD"/>
    <w:rsid w:val="006F714A"/>
    <w:rsid w:val="006F7D6A"/>
    <w:rsid w:val="006F7DAE"/>
    <w:rsid w:val="00700086"/>
    <w:rsid w:val="007007EB"/>
    <w:rsid w:val="00700AE8"/>
    <w:rsid w:val="00700B7B"/>
    <w:rsid w:val="0070153D"/>
    <w:rsid w:val="00701A15"/>
    <w:rsid w:val="00702108"/>
    <w:rsid w:val="00702B0C"/>
    <w:rsid w:val="00702FB1"/>
    <w:rsid w:val="0070304D"/>
    <w:rsid w:val="0070305B"/>
    <w:rsid w:val="00703A06"/>
    <w:rsid w:val="0070541D"/>
    <w:rsid w:val="00705C1A"/>
    <w:rsid w:val="00706075"/>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1FB9"/>
    <w:rsid w:val="00722BBB"/>
    <w:rsid w:val="00723496"/>
    <w:rsid w:val="00723B08"/>
    <w:rsid w:val="00723CF2"/>
    <w:rsid w:val="007241E1"/>
    <w:rsid w:val="00724932"/>
    <w:rsid w:val="0072512D"/>
    <w:rsid w:val="007255B1"/>
    <w:rsid w:val="00725D51"/>
    <w:rsid w:val="00726332"/>
    <w:rsid w:val="0072682B"/>
    <w:rsid w:val="00726D64"/>
    <w:rsid w:val="00726FF9"/>
    <w:rsid w:val="00727354"/>
    <w:rsid w:val="00727965"/>
    <w:rsid w:val="00730140"/>
    <w:rsid w:val="0073157A"/>
    <w:rsid w:val="00731B85"/>
    <w:rsid w:val="00732646"/>
    <w:rsid w:val="007326CA"/>
    <w:rsid w:val="0073313D"/>
    <w:rsid w:val="0073360E"/>
    <w:rsid w:val="0073399C"/>
    <w:rsid w:val="00735D8C"/>
    <w:rsid w:val="00735EB7"/>
    <w:rsid w:val="00737D5D"/>
    <w:rsid w:val="00737E62"/>
    <w:rsid w:val="0074037F"/>
    <w:rsid w:val="007414F4"/>
    <w:rsid w:val="00741579"/>
    <w:rsid w:val="007422F8"/>
    <w:rsid w:val="007430FA"/>
    <w:rsid w:val="00744552"/>
    <w:rsid w:val="00744FF4"/>
    <w:rsid w:val="007450A8"/>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1A0"/>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2DDF"/>
    <w:rsid w:val="007837FD"/>
    <w:rsid w:val="007842C0"/>
    <w:rsid w:val="007842E7"/>
    <w:rsid w:val="00784375"/>
    <w:rsid w:val="00784896"/>
    <w:rsid w:val="00784E21"/>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0EB"/>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77"/>
    <w:rsid w:val="007A55B7"/>
    <w:rsid w:val="007A55CB"/>
    <w:rsid w:val="007A5DC2"/>
    <w:rsid w:val="007A5FB9"/>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3DB"/>
    <w:rsid w:val="007C5605"/>
    <w:rsid w:val="007C5F38"/>
    <w:rsid w:val="007C62BF"/>
    <w:rsid w:val="007C6874"/>
    <w:rsid w:val="007C713F"/>
    <w:rsid w:val="007C7475"/>
    <w:rsid w:val="007C7C7E"/>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1A5A"/>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8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A23"/>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AFB"/>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BE7"/>
    <w:rsid w:val="00852DFE"/>
    <w:rsid w:val="00853244"/>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2F17"/>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CCF"/>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1E3"/>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5CA7"/>
    <w:rsid w:val="008D667F"/>
    <w:rsid w:val="008D6E96"/>
    <w:rsid w:val="008D7986"/>
    <w:rsid w:val="008D7F20"/>
    <w:rsid w:val="008E010A"/>
    <w:rsid w:val="008E0719"/>
    <w:rsid w:val="008E162A"/>
    <w:rsid w:val="008E1CF4"/>
    <w:rsid w:val="008E26CE"/>
    <w:rsid w:val="008E2ADF"/>
    <w:rsid w:val="008E3A87"/>
    <w:rsid w:val="008E4159"/>
    <w:rsid w:val="008E5213"/>
    <w:rsid w:val="008E530F"/>
    <w:rsid w:val="008E541A"/>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5B0"/>
    <w:rsid w:val="00901B0C"/>
    <w:rsid w:val="00902038"/>
    <w:rsid w:val="00902D96"/>
    <w:rsid w:val="00902E89"/>
    <w:rsid w:val="0090408A"/>
    <w:rsid w:val="009046DF"/>
    <w:rsid w:val="00905344"/>
    <w:rsid w:val="009055BC"/>
    <w:rsid w:val="009058EB"/>
    <w:rsid w:val="00905AF3"/>
    <w:rsid w:val="00905B4A"/>
    <w:rsid w:val="00906244"/>
    <w:rsid w:val="00906E32"/>
    <w:rsid w:val="00907D72"/>
    <w:rsid w:val="0091068B"/>
    <w:rsid w:val="00912170"/>
    <w:rsid w:val="00912C54"/>
    <w:rsid w:val="00912EB3"/>
    <w:rsid w:val="009131AA"/>
    <w:rsid w:val="0091378D"/>
    <w:rsid w:val="009137B4"/>
    <w:rsid w:val="009138EC"/>
    <w:rsid w:val="00913B53"/>
    <w:rsid w:val="00914AB6"/>
    <w:rsid w:val="00914C0B"/>
    <w:rsid w:val="00914C94"/>
    <w:rsid w:val="009152F9"/>
    <w:rsid w:val="009171C0"/>
    <w:rsid w:val="0092045D"/>
    <w:rsid w:val="009212D1"/>
    <w:rsid w:val="009214BC"/>
    <w:rsid w:val="009226B6"/>
    <w:rsid w:val="00922915"/>
    <w:rsid w:val="00922BEC"/>
    <w:rsid w:val="00923428"/>
    <w:rsid w:val="0092495A"/>
    <w:rsid w:val="00925206"/>
    <w:rsid w:val="00925220"/>
    <w:rsid w:val="00925B73"/>
    <w:rsid w:val="0092679D"/>
    <w:rsid w:val="009268ED"/>
    <w:rsid w:val="00926B27"/>
    <w:rsid w:val="00926B84"/>
    <w:rsid w:val="00926CE2"/>
    <w:rsid w:val="00927BD8"/>
    <w:rsid w:val="009316E1"/>
    <w:rsid w:val="0093241A"/>
    <w:rsid w:val="00932E22"/>
    <w:rsid w:val="00933308"/>
    <w:rsid w:val="009348C8"/>
    <w:rsid w:val="0093490C"/>
    <w:rsid w:val="0093526E"/>
    <w:rsid w:val="0093586B"/>
    <w:rsid w:val="009369EC"/>
    <w:rsid w:val="009372F8"/>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197"/>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54B"/>
    <w:rsid w:val="00970FE1"/>
    <w:rsid w:val="009712BE"/>
    <w:rsid w:val="009724FC"/>
    <w:rsid w:val="0097265D"/>
    <w:rsid w:val="0097293F"/>
    <w:rsid w:val="00972ED6"/>
    <w:rsid w:val="00973664"/>
    <w:rsid w:val="0097484C"/>
    <w:rsid w:val="00974AA8"/>
    <w:rsid w:val="00975706"/>
    <w:rsid w:val="00976379"/>
    <w:rsid w:val="00976FB1"/>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1D68"/>
    <w:rsid w:val="00992849"/>
    <w:rsid w:val="009930C5"/>
    <w:rsid w:val="009938F5"/>
    <w:rsid w:val="00994B32"/>
    <w:rsid w:val="00995170"/>
    <w:rsid w:val="009954F2"/>
    <w:rsid w:val="00995E2B"/>
    <w:rsid w:val="00996815"/>
    <w:rsid w:val="00996CCB"/>
    <w:rsid w:val="0099737A"/>
    <w:rsid w:val="009A04B7"/>
    <w:rsid w:val="009A0A57"/>
    <w:rsid w:val="009A0D4F"/>
    <w:rsid w:val="009A1120"/>
    <w:rsid w:val="009A162E"/>
    <w:rsid w:val="009A18E3"/>
    <w:rsid w:val="009A19E5"/>
    <w:rsid w:val="009A1B64"/>
    <w:rsid w:val="009A269D"/>
    <w:rsid w:val="009A279A"/>
    <w:rsid w:val="009A29CD"/>
    <w:rsid w:val="009A370A"/>
    <w:rsid w:val="009A4012"/>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3EB3"/>
    <w:rsid w:val="009C4374"/>
    <w:rsid w:val="009C4684"/>
    <w:rsid w:val="009D0348"/>
    <w:rsid w:val="009D162C"/>
    <w:rsid w:val="009D213E"/>
    <w:rsid w:val="009D284E"/>
    <w:rsid w:val="009D2AB5"/>
    <w:rsid w:val="009D2F04"/>
    <w:rsid w:val="009D329A"/>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3D53"/>
    <w:rsid w:val="009E4194"/>
    <w:rsid w:val="009E4679"/>
    <w:rsid w:val="009E548F"/>
    <w:rsid w:val="009E5876"/>
    <w:rsid w:val="009E5BBD"/>
    <w:rsid w:val="009E61DF"/>
    <w:rsid w:val="009E6CC7"/>
    <w:rsid w:val="009E73B9"/>
    <w:rsid w:val="009F0742"/>
    <w:rsid w:val="009F122E"/>
    <w:rsid w:val="009F1408"/>
    <w:rsid w:val="009F143C"/>
    <w:rsid w:val="009F1B70"/>
    <w:rsid w:val="009F22D9"/>
    <w:rsid w:val="009F239A"/>
    <w:rsid w:val="009F31D2"/>
    <w:rsid w:val="009F3FB4"/>
    <w:rsid w:val="009F569F"/>
    <w:rsid w:val="009F57FA"/>
    <w:rsid w:val="009F657D"/>
    <w:rsid w:val="009F673A"/>
    <w:rsid w:val="009F6DBC"/>
    <w:rsid w:val="009F767C"/>
    <w:rsid w:val="009F76D2"/>
    <w:rsid w:val="009F790D"/>
    <w:rsid w:val="009F7BBE"/>
    <w:rsid w:val="00A00230"/>
    <w:rsid w:val="00A00F41"/>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08B1"/>
    <w:rsid w:val="00A113A2"/>
    <w:rsid w:val="00A113F9"/>
    <w:rsid w:val="00A11972"/>
    <w:rsid w:val="00A123D4"/>
    <w:rsid w:val="00A124AA"/>
    <w:rsid w:val="00A12F31"/>
    <w:rsid w:val="00A13840"/>
    <w:rsid w:val="00A14344"/>
    <w:rsid w:val="00A153CC"/>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C73"/>
    <w:rsid w:val="00A24D8D"/>
    <w:rsid w:val="00A2554C"/>
    <w:rsid w:val="00A26591"/>
    <w:rsid w:val="00A265FA"/>
    <w:rsid w:val="00A3025C"/>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30A2"/>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46D4"/>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1E1"/>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011"/>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5959"/>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33E"/>
    <w:rsid w:val="00B06540"/>
    <w:rsid w:val="00B067AE"/>
    <w:rsid w:val="00B100F8"/>
    <w:rsid w:val="00B10168"/>
    <w:rsid w:val="00B10B8A"/>
    <w:rsid w:val="00B10D6F"/>
    <w:rsid w:val="00B111B6"/>
    <w:rsid w:val="00B1126D"/>
    <w:rsid w:val="00B11D9E"/>
    <w:rsid w:val="00B12605"/>
    <w:rsid w:val="00B12CA0"/>
    <w:rsid w:val="00B13357"/>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6C24"/>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0A42"/>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75C"/>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C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439"/>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28F"/>
    <w:rsid w:val="00BD43F3"/>
    <w:rsid w:val="00BD4495"/>
    <w:rsid w:val="00BD49B8"/>
    <w:rsid w:val="00BD4DB2"/>
    <w:rsid w:val="00BD4F69"/>
    <w:rsid w:val="00BD584E"/>
    <w:rsid w:val="00BD5C8E"/>
    <w:rsid w:val="00BD5CD8"/>
    <w:rsid w:val="00BD624D"/>
    <w:rsid w:val="00BD685F"/>
    <w:rsid w:val="00BD6867"/>
    <w:rsid w:val="00BD68DE"/>
    <w:rsid w:val="00BD76B0"/>
    <w:rsid w:val="00BE07E1"/>
    <w:rsid w:val="00BE1362"/>
    <w:rsid w:val="00BE147A"/>
    <w:rsid w:val="00BE2375"/>
    <w:rsid w:val="00BE2ABF"/>
    <w:rsid w:val="00BE3DA0"/>
    <w:rsid w:val="00BE4579"/>
    <w:rsid w:val="00BE486C"/>
    <w:rsid w:val="00BE491D"/>
    <w:rsid w:val="00BE4AED"/>
    <w:rsid w:val="00BE4E6C"/>
    <w:rsid w:val="00BE5881"/>
    <w:rsid w:val="00BE59A5"/>
    <w:rsid w:val="00BE5E2D"/>
    <w:rsid w:val="00BE69B7"/>
    <w:rsid w:val="00BE6B23"/>
    <w:rsid w:val="00BF058D"/>
    <w:rsid w:val="00BF05EE"/>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371"/>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416"/>
    <w:rsid w:val="00C0761B"/>
    <w:rsid w:val="00C07F50"/>
    <w:rsid w:val="00C11128"/>
    <w:rsid w:val="00C12794"/>
    <w:rsid w:val="00C12921"/>
    <w:rsid w:val="00C12CF7"/>
    <w:rsid w:val="00C1314F"/>
    <w:rsid w:val="00C13868"/>
    <w:rsid w:val="00C139A6"/>
    <w:rsid w:val="00C141F9"/>
    <w:rsid w:val="00C147F4"/>
    <w:rsid w:val="00C15015"/>
    <w:rsid w:val="00C1512C"/>
    <w:rsid w:val="00C15DBB"/>
    <w:rsid w:val="00C166C1"/>
    <w:rsid w:val="00C16736"/>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1FA"/>
    <w:rsid w:val="00C278C5"/>
    <w:rsid w:val="00C278CA"/>
    <w:rsid w:val="00C30118"/>
    <w:rsid w:val="00C30EBB"/>
    <w:rsid w:val="00C310F9"/>
    <w:rsid w:val="00C32F1C"/>
    <w:rsid w:val="00C33A62"/>
    <w:rsid w:val="00C34325"/>
    <w:rsid w:val="00C34486"/>
    <w:rsid w:val="00C34C24"/>
    <w:rsid w:val="00C350FE"/>
    <w:rsid w:val="00C354B1"/>
    <w:rsid w:val="00C35A9F"/>
    <w:rsid w:val="00C35AEC"/>
    <w:rsid w:val="00C36E14"/>
    <w:rsid w:val="00C374AD"/>
    <w:rsid w:val="00C37CF7"/>
    <w:rsid w:val="00C37F66"/>
    <w:rsid w:val="00C408D4"/>
    <w:rsid w:val="00C4139C"/>
    <w:rsid w:val="00C4163F"/>
    <w:rsid w:val="00C41DC2"/>
    <w:rsid w:val="00C41E97"/>
    <w:rsid w:val="00C42490"/>
    <w:rsid w:val="00C42EA3"/>
    <w:rsid w:val="00C42EF5"/>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1CFC"/>
    <w:rsid w:val="00C520C6"/>
    <w:rsid w:val="00C523B3"/>
    <w:rsid w:val="00C52A30"/>
    <w:rsid w:val="00C52DB3"/>
    <w:rsid w:val="00C52EAF"/>
    <w:rsid w:val="00C53225"/>
    <w:rsid w:val="00C533B8"/>
    <w:rsid w:val="00C53744"/>
    <w:rsid w:val="00C53BBE"/>
    <w:rsid w:val="00C53ED0"/>
    <w:rsid w:val="00C550D6"/>
    <w:rsid w:val="00C55B39"/>
    <w:rsid w:val="00C55E52"/>
    <w:rsid w:val="00C5613F"/>
    <w:rsid w:val="00C56499"/>
    <w:rsid w:val="00C56685"/>
    <w:rsid w:val="00C56886"/>
    <w:rsid w:val="00C568CD"/>
    <w:rsid w:val="00C56DEF"/>
    <w:rsid w:val="00C56E66"/>
    <w:rsid w:val="00C56EA2"/>
    <w:rsid w:val="00C57701"/>
    <w:rsid w:val="00C57C11"/>
    <w:rsid w:val="00C60600"/>
    <w:rsid w:val="00C612E5"/>
    <w:rsid w:val="00C614A2"/>
    <w:rsid w:val="00C615D8"/>
    <w:rsid w:val="00C61D6D"/>
    <w:rsid w:val="00C6226D"/>
    <w:rsid w:val="00C646BE"/>
    <w:rsid w:val="00C64BA1"/>
    <w:rsid w:val="00C64E73"/>
    <w:rsid w:val="00C65EF3"/>
    <w:rsid w:val="00C6686D"/>
    <w:rsid w:val="00C67034"/>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61"/>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C780F"/>
    <w:rsid w:val="00CD0A2E"/>
    <w:rsid w:val="00CD0B2D"/>
    <w:rsid w:val="00CD17DA"/>
    <w:rsid w:val="00CD1943"/>
    <w:rsid w:val="00CD26C5"/>
    <w:rsid w:val="00CD2722"/>
    <w:rsid w:val="00CD33DF"/>
    <w:rsid w:val="00CD37EE"/>
    <w:rsid w:val="00CD3864"/>
    <w:rsid w:val="00CD53EB"/>
    <w:rsid w:val="00CD54D8"/>
    <w:rsid w:val="00CD56B2"/>
    <w:rsid w:val="00CD570B"/>
    <w:rsid w:val="00CD61E4"/>
    <w:rsid w:val="00CD6603"/>
    <w:rsid w:val="00CD6FB7"/>
    <w:rsid w:val="00CE0B81"/>
    <w:rsid w:val="00CE0C42"/>
    <w:rsid w:val="00CE110C"/>
    <w:rsid w:val="00CE13EE"/>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E7D4B"/>
    <w:rsid w:val="00CF0D4F"/>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7ED"/>
    <w:rsid w:val="00D12DAB"/>
    <w:rsid w:val="00D13A12"/>
    <w:rsid w:val="00D13F05"/>
    <w:rsid w:val="00D13F74"/>
    <w:rsid w:val="00D1450E"/>
    <w:rsid w:val="00D14995"/>
    <w:rsid w:val="00D14CDD"/>
    <w:rsid w:val="00D14D6C"/>
    <w:rsid w:val="00D150D6"/>
    <w:rsid w:val="00D1581D"/>
    <w:rsid w:val="00D1586D"/>
    <w:rsid w:val="00D16929"/>
    <w:rsid w:val="00D16BDB"/>
    <w:rsid w:val="00D17331"/>
    <w:rsid w:val="00D17806"/>
    <w:rsid w:val="00D17BB7"/>
    <w:rsid w:val="00D20E64"/>
    <w:rsid w:val="00D21576"/>
    <w:rsid w:val="00D2175A"/>
    <w:rsid w:val="00D22D10"/>
    <w:rsid w:val="00D230E7"/>
    <w:rsid w:val="00D2320E"/>
    <w:rsid w:val="00D23668"/>
    <w:rsid w:val="00D24564"/>
    <w:rsid w:val="00D247F7"/>
    <w:rsid w:val="00D24D2D"/>
    <w:rsid w:val="00D24FBB"/>
    <w:rsid w:val="00D2532D"/>
    <w:rsid w:val="00D25712"/>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617"/>
    <w:rsid w:val="00D33950"/>
    <w:rsid w:val="00D348D1"/>
    <w:rsid w:val="00D34D73"/>
    <w:rsid w:val="00D34F67"/>
    <w:rsid w:val="00D35487"/>
    <w:rsid w:val="00D3558A"/>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18B9"/>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312C"/>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4CF"/>
    <w:rsid w:val="00DF0B2B"/>
    <w:rsid w:val="00DF0BA4"/>
    <w:rsid w:val="00DF14AD"/>
    <w:rsid w:val="00DF2407"/>
    <w:rsid w:val="00DF24D0"/>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6FB2"/>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5AC3"/>
    <w:rsid w:val="00E36277"/>
    <w:rsid w:val="00E36DCC"/>
    <w:rsid w:val="00E376C1"/>
    <w:rsid w:val="00E376F4"/>
    <w:rsid w:val="00E40E02"/>
    <w:rsid w:val="00E417D9"/>
    <w:rsid w:val="00E41A5D"/>
    <w:rsid w:val="00E41F96"/>
    <w:rsid w:val="00E4495F"/>
    <w:rsid w:val="00E455A8"/>
    <w:rsid w:val="00E458B7"/>
    <w:rsid w:val="00E4656E"/>
    <w:rsid w:val="00E46819"/>
    <w:rsid w:val="00E46F18"/>
    <w:rsid w:val="00E4761A"/>
    <w:rsid w:val="00E47B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2D6"/>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30E"/>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617E"/>
    <w:rsid w:val="00EC72D6"/>
    <w:rsid w:val="00ED08A0"/>
    <w:rsid w:val="00ED0B39"/>
    <w:rsid w:val="00ED1158"/>
    <w:rsid w:val="00ED1221"/>
    <w:rsid w:val="00ED15CF"/>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2DFD"/>
    <w:rsid w:val="00F130BC"/>
    <w:rsid w:val="00F132D3"/>
    <w:rsid w:val="00F134A8"/>
    <w:rsid w:val="00F139DF"/>
    <w:rsid w:val="00F147B9"/>
    <w:rsid w:val="00F14DCC"/>
    <w:rsid w:val="00F14EEC"/>
    <w:rsid w:val="00F15FE9"/>
    <w:rsid w:val="00F16828"/>
    <w:rsid w:val="00F17A7F"/>
    <w:rsid w:val="00F20200"/>
    <w:rsid w:val="00F20A9D"/>
    <w:rsid w:val="00F20AE4"/>
    <w:rsid w:val="00F20E32"/>
    <w:rsid w:val="00F218A4"/>
    <w:rsid w:val="00F219A0"/>
    <w:rsid w:val="00F21BC4"/>
    <w:rsid w:val="00F21E9D"/>
    <w:rsid w:val="00F21FCC"/>
    <w:rsid w:val="00F22A50"/>
    <w:rsid w:val="00F22BFC"/>
    <w:rsid w:val="00F230D0"/>
    <w:rsid w:val="00F23763"/>
    <w:rsid w:val="00F241AF"/>
    <w:rsid w:val="00F24A31"/>
    <w:rsid w:val="00F27372"/>
    <w:rsid w:val="00F27575"/>
    <w:rsid w:val="00F27F51"/>
    <w:rsid w:val="00F30472"/>
    <w:rsid w:val="00F305B0"/>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1BA"/>
    <w:rsid w:val="00F42B02"/>
    <w:rsid w:val="00F42CB9"/>
    <w:rsid w:val="00F42F06"/>
    <w:rsid w:val="00F4372D"/>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A5F"/>
    <w:rsid w:val="00F54EF3"/>
    <w:rsid w:val="00F5588F"/>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4B22"/>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72C"/>
    <w:rsid w:val="00FB5AE8"/>
    <w:rsid w:val="00FB5F59"/>
    <w:rsid w:val="00FB6929"/>
    <w:rsid w:val="00FB772A"/>
    <w:rsid w:val="00FB7796"/>
    <w:rsid w:val="00FB7A70"/>
    <w:rsid w:val="00FB7D87"/>
    <w:rsid w:val="00FC01B5"/>
    <w:rsid w:val="00FC0829"/>
    <w:rsid w:val="00FC0A50"/>
    <w:rsid w:val="00FC12FA"/>
    <w:rsid w:val="00FC16AE"/>
    <w:rsid w:val="00FC1B8C"/>
    <w:rsid w:val="00FC2715"/>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2A"/>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32273901">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53017285">
      <w:bodyDiv w:val="1"/>
      <w:marLeft w:val="0"/>
      <w:marRight w:val="0"/>
      <w:marTop w:val="0"/>
      <w:marBottom w:val="0"/>
      <w:divBdr>
        <w:top w:val="none" w:sz="0" w:space="0" w:color="auto"/>
        <w:left w:val="none" w:sz="0" w:space="0" w:color="auto"/>
        <w:bottom w:val="none" w:sz="0" w:space="0" w:color="auto"/>
        <w:right w:val="none" w:sz="0" w:space="0" w:color="auto"/>
      </w:divBdr>
    </w:div>
    <w:div w:id="474611976">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65695815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18360952">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690637727">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B93D0B-FD6B-4F89-843F-1F3A2B3B7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15</Pages>
  <Words>4668</Words>
  <Characters>25677</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4</cp:revision>
  <cp:lastPrinted>2025-11-05T14:45:00Z</cp:lastPrinted>
  <dcterms:created xsi:type="dcterms:W3CDTF">2026-03-20T19:30:00Z</dcterms:created>
  <dcterms:modified xsi:type="dcterms:W3CDTF">2026-03-23T20:03:00Z</dcterms:modified>
</cp:coreProperties>
</file>