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4B6C3516"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D21CA">
        <w:rPr>
          <w:rFonts w:ascii="AvantGarde Bk BT" w:hAnsi="AvantGarde Bk BT" w:cs="Arial"/>
          <w:b/>
          <w:color w:val="000000" w:themeColor="text1"/>
          <w:sz w:val="24"/>
          <w:szCs w:val="24"/>
        </w:rPr>
        <w:t>369</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8B499A0" w:rsidR="0004274F" w:rsidRPr="007C5605" w:rsidRDefault="0004274F" w:rsidP="00917AFC">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0010254A" w:rsidR="0004274F" w:rsidRPr="007C5605" w:rsidRDefault="00CD21CA"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SECRETARÍA DE FINANZAS</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2BB7092B"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CD21CA">
        <w:rPr>
          <w:rFonts w:ascii="AvantGarde Bk BT" w:hAnsi="AvantGarde Bk BT" w:cs="Arial"/>
          <w:color w:val="000000" w:themeColor="text1"/>
          <w:sz w:val="24"/>
          <w:szCs w:val="24"/>
        </w:rPr>
        <w:t>ocho de septiembre</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53EC687B"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CD21CA">
        <w:rPr>
          <w:rFonts w:ascii="AvantGarde Bk BT" w:hAnsi="AvantGarde Bk BT" w:cs="Arial"/>
          <w:color w:val="000000" w:themeColor="text1"/>
          <w:sz w:val="24"/>
          <w:szCs w:val="24"/>
        </w:rPr>
        <w:t>veintidós</w:t>
      </w:r>
      <w:r w:rsidR="00A4687C">
        <w:rPr>
          <w:rFonts w:ascii="AvantGarde Bk BT" w:hAnsi="AvantGarde Bk BT" w:cs="Arial"/>
          <w:color w:val="000000" w:themeColor="text1"/>
          <w:sz w:val="24"/>
          <w:szCs w:val="24"/>
        </w:rPr>
        <w:t xml:space="preserve"> de junio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l</w:t>
      </w:r>
      <w:r w:rsidR="00CD21CA">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CD21CA">
        <w:rPr>
          <w:rFonts w:ascii="AvantGarde Bk BT" w:hAnsi="AvantGarde Bk BT" w:cs="Arial"/>
          <w:b/>
          <w:color w:val="000000" w:themeColor="text1"/>
          <w:sz w:val="24"/>
          <w:szCs w:val="24"/>
        </w:rPr>
        <w:t>SECRETARÍA DE FINANZAS</w:t>
      </w:r>
      <w:r w:rsidR="00CD21CA">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C56E66">
        <w:rPr>
          <w:rFonts w:ascii="AvantGarde Bk BT" w:hAnsi="AvantGarde Bk BT" w:cs="Arial"/>
          <w:color w:val="000000" w:themeColor="text1"/>
          <w:sz w:val="24"/>
          <w:szCs w:val="24"/>
        </w:rPr>
        <w:t xml:space="preserve">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 xml:space="preserve">la Plataforma Nacional de Transparencia y quedó registrada con el número de folio </w:t>
      </w:r>
      <w:r w:rsidR="004F5FBC">
        <w:rPr>
          <w:rFonts w:ascii="AvantGarde Bk BT" w:hAnsi="AvantGarde Bk BT" w:cs="Arial"/>
          <w:color w:val="000000" w:themeColor="text1"/>
          <w:sz w:val="24"/>
          <w:szCs w:val="24"/>
        </w:rPr>
        <w:t>240</w:t>
      </w:r>
      <w:r w:rsidR="00A00F41" w:rsidRPr="00A00F41">
        <w:rPr>
          <w:rFonts w:ascii="AvantGarde Bk BT" w:hAnsi="AvantGarde Bk BT" w:cs="Arial"/>
          <w:color w:val="000000" w:themeColor="text1"/>
          <w:sz w:val="24"/>
          <w:szCs w:val="24"/>
        </w:rPr>
        <w:t>4</w:t>
      </w:r>
      <w:r w:rsidR="00C003AC">
        <w:rPr>
          <w:rFonts w:ascii="AvantGarde Bk BT" w:hAnsi="AvantGarde Bk BT" w:cs="Arial"/>
          <w:color w:val="000000" w:themeColor="text1"/>
          <w:sz w:val="24"/>
          <w:szCs w:val="24"/>
        </w:rPr>
        <w:t>7</w:t>
      </w:r>
      <w:r w:rsidR="00CD21CA">
        <w:rPr>
          <w:rFonts w:ascii="AvantGarde Bk BT" w:hAnsi="AvantGarde Bk BT" w:cs="Arial"/>
          <w:color w:val="000000" w:themeColor="text1"/>
          <w:sz w:val="24"/>
          <w:szCs w:val="24"/>
        </w:rPr>
        <w:t>05</w:t>
      </w:r>
      <w:r w:rsidR="004D6912">
        <w:rPr>
          <w:rFonts w:ascii="AvantGarde Bk BT" w:hAnsi="AvantGarde Bk BT" w:cs="Arial"/>
          <w:color w:val="000000" w:themeColor="text1"/>
          <w:sz w:val="24"/>
          <w:szCs w:val="24"/>
        </w:rPr>
        <w:t>26000</w:t>
      </w:r>
      <w:r w:rsidR="00CD21CA">
        <w:rPr>
          <w:rFonts w:ascii="AvantGarde Bk BT" w:hAnsi="AvantGarde Bk BT" w:cs="Arial"/>
          <w:color w:val="000000" w:themeColor="text1"/>
          <w:sz w:val="24"/>
          <w:szCs w:val="24"/>
        </w:rPr>
        <w:t>086</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CD21CA">
        <w:rPr>
          <w:rFonts w:ascii="AvantGarde Bk BT" w:hAnsi="AvantGarde Bk BT" w:cs="Arial"/>
          <w:color w:val="000000" w:themeColor="text1"/>
          <w:sz w:val="24"/>
          <w:szCs w:val="24"/>
        </w:rPr>
        <w:t xml:space="preserve">05 y </w:t>
      </w:r>
      <w:r w:rsidR="00A4687C">
        <w:rPr>
          <w:rFonts w:ascii="AvantGarde Bk BT" w:hAnsi="AvantGarde Bk BT" w:cs="Arial"/>
          <w:color w:val="000000" w:themeColor="text1"/>
          <w:sz w:val="24"/>
          <w:szCs w:val="24"/>
        </w:rPr>
        <w:t>06</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12EF4993" w14:textId="79A882E0" w:rsidR="00C003AC" w:rsidRPr="00C003AC" w:rsidRDefault="004E2C5A" w:rsidP="00C003A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D21CA" w:rsidRPr="007C5605">
        <w:rPr>
          <w:rFonts w:ascii="AvantGarde Bk BT" w:hAnsi="AvantGarde Bk BT" w:cs="Arial"/>
          <w:b/>
          <w:color w:val="000000" w:themeColor="text1"/>
          <w:sz w:val="24"/>
          <w:szCs w:val="24"/>
        </w:rPr>
        <w:t>Interposición del recurso.</w:t>
      </w:r>
      <w:r w:rsidR="00CD21CA" w:rsidRPr="007C5605">
        <w:rPr>
          <w:rFonts w:ascii="AvantGarde Bk BT" w:hAnsi="AvantGarde Bk BT" w:cs="Arial"/>
          <w:color w:val="000000" w:themeColor="text1"/>
          <w:sz w:val="24"/>
          <w:szCs w:val="24"/>
        </w:rPr>
        <w:t xml:space="preserve"> El </w:t>
      </w:r>
      <w:r w:rsidR="00CD21CA">
        <w:rPr>
          <w:rFonts w:ascii="AvantGarde Bk BT" w:hAnsi="AvantGarde Bk BT" w:cs="Arial"/>
          <w:color w:val="000000" w:themeColor="text1"/>
          <w:sz w:val="24"/>
          <w:szCs w:val="24"/>
        </w:rPr>
        <w:t>ocho de julio de dos mil veintiséis</w:t>
      </w:r>
      <w:r w:rsidR="00CD21CA" w:rsidRPr="007C5605">
        <w:rPr>
          <w:rFonts w:ascii="AvantGarde Bk BT" w:hAnsi="AvantGarde Bk BT" w:cs="Arial"/>
          <w:color w:val="000000" w:themeColor="text1"/>
          <w:sz w:val="24"/>
          <w:szCs w:val="24"/>
        </w:rPr>
        <w:t xml:space="preserve"> </w:t>
      </w:r>
      <w:r w:rsidR="00CD21CA">
        <w:rPr>
          <w:rFonts w:ascii="AvantGarde Bk BT" w:hAnsi="AvantGarde Bk BT" w:cs="Arial"/>
          <w:color w:val="000000" w:themeColor="text1"/>
          <w:sz w:val="24"/>
          <w:szCs w:val="24"/>
        </w:rPr>
        <w:t xml:space="preserve">la persona solicitante </w:t>
      </w:r>
      <w:r w:rsidR="00CD21CA" w:rsidRPr="007C5605">
        <w:rPr>
          <w:rFonts w:ascii="AvantGarde Bk BT" w:hAnsi="AvantGarde Bk BT" w:cs="Arial"/>
          <w:color w:val="000000" w:themeColor="text1"/>
          <w:sz w:val="24"/>
          <w:szCs w:val="24"/>
        </w:rPr>
        <w:t xml:space="preserve">de la información interpuso el recurso de revisión en contra de la </w:t>
      </w:r>
      <w:r w:rsidR="00CD21CA">
        <w:rPr>
          <w:rFonts w:ascii="AvantGarde Bk BT" w:hAnsi="AvantGarde Bk BT" w:cs="Arial"/>
          <w:color w:val="000000" w:themeColor="text1"/>
          <w:sz w:val="24"/>
          <w:szCs w:val="24"/>
        </w:rPr>
        <w:t>falta de respuesta, mismo que tuvo como fecha oficial de recepción el nueve de junio de dos mil veintiséis. (visible de foja 01 de autos.)</w:t>
      </w:r>
    </w:p>
    <w:p w14:paraId="737818C9" w14:textId="6C57FAE9" w:rsidR="002C2039" w:rsidRPr="002C2039" w:rsidRDefault="00C003AC"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CD21CA"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D21CA" w:rsidRPr="007C5605">
        <w:rPr>
          <w:rFonts w:ascii="AvantGarde Bk BT" w:hAnsi="AvantGarde Bk BT" w:cs="Arial"/>
          <w:color w:val="000000" w:themeColor="text1"/>
          <w:sz w:val="24"/>
          <w:szCs w:val="24"/>
        </w:rPr>
        <w:t xml:space="preserve"> Mediante auto del </w:t>
      </w:r>
      <w:r w:rsidR="00CD21CA">
        <w:rPr>
          <w:rFonts w:ascii="AvantGarde Bk BT" w:hAnsi="AvantGarde Bk BT" w:cs="Arial"/>
          <w:color w:val="000000" w:themeColor="text1"/>
          <w:sz w:val="24"/>
          <w:szCs w:val="24"/>
        </w:rPr>
        <w:t>nueve de julio de dos mil veintiséis</w:t>
      </w:r>
      <w:r w:rsidR="00CD21CA" w:rsidRPr="007C5605">
        <w:rPr>
          <w:rFonts w:ascii="AvantGarde Bk BT" w:hAnsi="AvantGarde Bk BT" w:cs="Arial"/>
          <w:color w:val="000000" w:themeColor="text1"/>
          <w:sz w:val="24"/>
          <w:szCs w:val="24"/>
        </w:rPr>
        <w:t xml:space="preserve"> la presidencia de esta Comisión de Transparencia</w:t>
      </w:r>
      <w:r w:rsidR="00CD21CA">
        <w:rPr>
          <w:rFonts w:ascii="AvantGarde Bk BT" w:hAnsi="AvantGarde Bk BT" w:cs="Arial"/>
          <w:color w:val="000000" w:themeColor="text1"/>
          <w:sz w:val="24"/>
          <w:szCs w:val="24"/>
        </w:rPr>
        <w:t>, por conducto de la Secretaría de Pleno,</w:t>
      </w:r>
      <w:r w:rsidR="00CD21CA" w:rsidRPr="007C5605">
        <w:rPr>
          <w:rFonts w:ascii="AvantGarde Bk BT" w:hAnsi="AvantGarde Bk BT" w:cs="Arial"/>
          <w:color w:val="000000" w:themeColor="text1"/>
          <w:sz w:val="24"/>
          <w:szCs w:val="24"/>
        </w:rPr>
        <w:t xml:space="preserve"> tuvo por recibido el recurso de revisión, </w:t>
      </w:r>
      <w:proofErr w:type="gramStart"/>
      <w:r w:rsidR="00CD21CA" w:rsidRPr="007C5605">
        <w:rPr>
          <w:rFonts w:ascii="AvantGarde Bk BT" w:hAnsi="AvantGarde Bk BT" w:cs="Arial"/>
          <w:color w:val="000000" w:themeColor="text1"/>
          <w:sz w:val="24"/>
          <w:szCs w:val="24"/>
        </w:rPr>
        <w:t>que</w:t>
      </w:r>
      <w:proofErr w:type="gramEnd"/>
      <w:r w:rsidR="00CD21CA" w:rsidRPr="007C5605">
        <w:rPr>
          <w:rFonts w:ascii="AvantGarde Bk BT" w:hAnsi="AvantGarde Bk BT" w:cs="Arial"/>
          <w:color w:val="000000" w:themeColor="text1"/>
          <w:sz w:val="24"/>
          <w:szCs w:val="24"/>
        </w:rPr>
        <w:t xml:space="preserve"> por razón de turno, tocó conocer a la ponencia del </w:t>
      </w:r>
      <w:r w:rsidR="00CD21CA">
        <w:rPr>
          <w:rFonts w:ascii="AvantGarde Bk BT" w:hAnsi="AvantGarde Bk BT" w:cs="Arial"/>
          <w:color w:val="000000" w:themeColor="text1"/>
          <w:sz w:val="24"/>
          <w:szCs w:val="24"/>
        </w:rPr>
        <w:t xml:space="preserve">Comisionado Licenciado José Gerardo Navarro </w:t>
      </w:r>
      <w:proofErr w:type="spellStart"/>
      <w:r w:rsidR="00CD21CA">
        <w:rPr>
          <w:rFonts w:ascii="AvantGarde Bk BT" w:hAnsi="AvantGarde Bk BT" w:cs="Arial"/>
          <w:color w:val="000000" w:themeColor="text1"/>
          <w:sz w:val="24"/>
          <w:szCs w:val="24"/>
        </w:rPr>
        <w:t>Alviso</w:t>
      </w:r>
      <w:proofErr w:type="spellEnd"/>
      <w:r w:rsidR="00CD21CA" w:rsidRPr="007C5605">
        <w:rPr>
          <w:rFonts w:ascii="AvantGarde Bk BT" w:hAnsi="AvantGarde Bk BT" w:cs="Arial"/>
          <w:color w:val="000000" w:themeColor="text1"/>
          <w:sz w:val="24"/>
          <w:szCs w:val="24"/>
        </w:rPr>
        <w:t xml:space="preserve"> para que procediera, previo su análisis, a su admisión o </w:t>
      </w:r>
      <w:proofErr w:type="spellStart"/>
      <w:r w:rsidR="00CD21CA" w:rsidRPr="007C5605">
        <w:rPr>
          <w:rFonts w:ascii="AvantGarde Bk BT" w:hAnsi="AvantGarde Bk BT" w:cs="Arial"/>
          <w:color w:val="000000" w:themeColor="text1"/>
          <w:sz w:val="24"/>
          <w:szCs w:val="24"/>
        </w:rPr>
        <w:t>desechamiento</w:t>
      </w:r>
      <w:proofErr w:type="spellEnd"/>
      <w:r w:rsidR="00CD21CA" w:rsidRPr="007C5605">
        <w:rPr>
          <w:rFonts w:ascii="AvantGarde Bk BT" w:hAnsi="AvantGarde Bk BT" w:cs="Arial"/>
          <w:color w:val="000000" w:themeColor="text1"/>
          <w:sz w:val="24"/>
          <w:szCs w:val="24"/>
        </w:rPr>
        <w:t xml:space="preserve"> según fuera el caso.</w:t>
      </w:r>
    </w:p>
    <w:p w14:paraId="679F917C" w14:textId="15FADC54" w:rsidR="00CD21CA" w:rsidRPr="007C5605" w:rsidRDefault="00C003AC" w:rsidP="00CD21CA">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 xml:space="preserve">CUARTO. </w:t>
      </w:r>
      <w:r w:rsidR="00CD21CA" w:rsidRPr="003D5C15">
        <w:rPr>
          <w:rFonts w:ascii="AvantGarde Bk BT" w:hAnsi="AvantGarde Bk BT" w:cs="Arial"/>
          <w:b/>
          <w:color w:val="000000" w:themeColor="text1"/>
          <w:sz w:val="24"/>
          <w:szCs w:val="24"/>
        </w:rPr>
        <w:t>Auto de admisión</w:t>
      </w:r>
      <w:r w:rsidR="00CD21CA">
        <w:rPr>
          <w:rFonts w:ascii="AvantGarde Bk BT" w:hAnsi="AvantGarde Bk BT" w:cs="Arial"/>
          <w:color w:val="000000" w:themeColor="text1"/>
          <w:sz w:val="24"/>
          <w:szCs w:val="24"/>
        </w:rPr>
        <w:t>. Por proveído de catorce de julio de dos mil veintiséis, esta Comisión</w:t>
      </w:r>
      <w:r w:rsidR="00CD21CA" w:rsidRPr="007C5605">
        <w:rPr>
          <w:rFonts w:ascii="AvantGarde Bk BT" w:hAnsi="AvantGarde Bk BT" w:cs="Arial"/>
          <w:color w:val="000000" w:themeColor="text1"/>
          <w:sz w:val="24"/>
          <w:szCs w:val="24"/>
        </w:rPr>
        <w:t>:</w:t>
      </w:r>
    </w:p>
    <w:p w14:paraId="6F9D252D"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7AA81519" w14:textId="560FBDEC" w:rsidR="00CD21CA" w:rsidRPr="00D85914"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RR-369/2026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D3E53B3"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7B1DB7FD" w14:textId="68AF0823"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VI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3E286D6E" w14:textId="6B33AC2D" w:rsidR="00CD21CA" w:rsidRPr="00D6546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Pr>
          <w:rFonts w:ascii="AvantGarde Bk BT" w:hAnsi="AvantGarde Bk BT" w:cs="Arial"/>
          <w:color w:val="000000" w:themeColor="text1"/>
          <w:sz w:val="24"/>
          <w:szCs w:val="24"/>
        </w:rPr>
        <w:t xml:space="preserve"> la </w:t>
      </w:r>
      <w:r>
        <w:rPr>
          <w:rFonts w:ascii="AvantGarde Bk BT" w:hAnsi="AvantGarde Bk BT" w:cs="Arial"/>
          <w:b/>
          <w:color w:val="000000" w:themeColor="text1"/>
          <w:sz w:val="24"/>
          <w:szCs w:val="24"/>
        </w:rPr>
        <w:t>SECRETARÍA DE FINANZAS</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2FFAED01"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48630340"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19807775"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707388BC" w14:textId="77777777" w:rsidR="00CD21CA" w:rsidRDefault="00CD21CA" w:rsidP="00CD21CA">
      <w:pPr>
        <w:pStyle w:val="corte4fondo"/>
        <w:numPr>
          <w:ilvl w:val="0"/>
          <w:numId w:val="1"/>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Hizo de conocimiento del recurrente el derecho que le asiste para oponerse a la publicación de sus datos personales, en términos del artículo 67 de la Ley de Protección de Datos Personales en Posesión de Sujetos Obligados.</w:t>
      </w:r>
    </w:p>
    <w:p w14:paraId="743928FA" w14:textId="23DA62B6" w:rsidR="000C5159" w:rsidRPr="00CD21CA" w:rsidRDefault="00CD21CA" w:rsidP="00CD21CA">
      <w:pPr>
        <w:pStyle w:val="corte4fondo"/>
        <w:numPr>
          <w:ilvl w:val="0"/>
          <w:numId w:val="1"/>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6BFE3450" w14:textId="18FB047F" w:rsidR="00CD21CA" w:rsidRPr="00D63D8E" w:rsidRDefault="00C003AC" w:rsidP="00CD21CA">
      <w:pPr>
        <w:pStyle w:val="corte4fondo"/>
        <w:tabs>
          <w:tab w:val="left" w:pos="567"/>
        </w:tabs>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CD21CA">
        <w:rPr>
          <w:rFonts w:ascii="AvantGarde Bk BT" w:hAnsi="AvantGarde Bk BT" w:cs="Arial"/>
          <w:b/>
          <w:color w:val="000000" w:themeColor="text1"/>
          <w:sz w:val="24"/>
          <w:szCs w:val="24"/>
        </w:rPr>
        <w:t>Recepción del informe del sujeto obligado y c</w:t>
      </w:r>
      <w:r w:rsidR="00CD21CA" w:rsidRPr="00DC67E0">
        <w:rPr>
          <w:rFonts w:ascii="AvantGarde Bk BT" w:hAnsi="AvantGarde Bk BT" w:cs="Arial"/>
          <w:b/>
          <w:color w:val="000000" w:themeColor="text1"/>
          <w:sz w:val="24"/>
          <w:szCs w:val="24"/>
        </w:rPr>
        <w:t>ierre de instrucción.</w:t>
      </w:r>
      <w:r w:rsidR="00CD21CA" w:rsidRPr="00DC67E0">
        <w:rPr>
          <w:rFonts w:ascii="AvantGarde Bk BT" w:hAnsi="AvantGarde Bk BT" w:cs="Arial"/>
          <w:color w:val="000000" w:themeColor="text1"/>
          <w:sz w:val="24"/>
          <w:szCs w:val="24"/>
        </w:rPr>
        <w:t xml:space="preserve"> </w:t>
      </w:r>
      <w:r w:rsidR="00CD21CA" w:rsidRPr="00D63D8E">
        <w:rPr>
          <w:rFonts w:ascii="AvantGarde Bk BT" w:hAnsi="AvantGarde Bk BT" w:cs="Arial"/>
          <w:color w:val="000000" w:themeColor="text1"/>
          <w:sz w:val="24"/>
          <w:szCs w:val="24"/>
        </w:rPr>
        <w:t xml:space="preserve">Mediante el auto del </w:t>
      </w:r>
      <w:r w:rsidR="00CD21CA">
        <w:rPr>
          <w:rFonts w:ascii="AvantGarde Bk BT" w:hAnsi="AvantGarde Bk BT" w:cs="Arial"/>
          <w:color w:val="000000" w:themeColor="text1"/>
          <w:sz w:val="24"/>
          <w:szCs w:val="24"/>
        </w:rPr>
        <w:t>diez de agosto de dos mil veintiséis</w:t>
      </w:r>
      <w:r w:rsidR="00CD21CA" w:rsidRPr="00D63D8E">
        <w:rPr>
          <w:rFonts w:ascii="AvantGarde Bk BT" w:hAnsi="AvantGarde Bk BT" w:cs="Arial"/>
          <w:color w:val="000000" w:themeColor="text1"/>
          <w:sz w:val="24"/>
          <w:szCs w:val="24"/>
        </w:rPr>
        <w:t>, esta Comisión:</w:t>
      </w:r>
    </w:p>
    <w:p w14:paraId="1229D55B" w14:textId="33DD1252" w:rsidR="00CD21CA" w:rsidRPr="00D63D8E" w:rsidRDefault="00CD21CA" w:rsidP="00CD21CA">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un oficio SF/UT/108/2026</w:t>
      </w:r>
      <w:r w:rsidRPr="002739AB">
        <w:rPr>
          <w:rFonts w:ascii="AvantGarde Bk BT" w:hAnsi="AvantGarde Bk BT" w:cs="Arial"/>
          <w:color w:val="000000" w:themeColor="text1"/>
          <w:sz w:val="24"/>
          <w:szCs w:val="24"/>
        </w:rPr>
        <w:t xml:space="preserve">, signado por </w:t>
      </w:r>
      <w:r>
        <w:rPr>
          <w:rFonts w:ascii="AvantGarde Bk BT" w:hAnsi="AvantGarde Bk BT" w:cs="Arial"/>
          <w:color w:val="000000" w:themeColor="text1"/>
          <w:sz w:val="24"/>
          <w:szCs w:val="24"/>
        </w:rPr>
        <w:t>Óscar Martín Alvarado Cano</w:t>
      </w:r>
      <w:r w:rsidRPr="002739AB">
        <w:rPr>
          <w:rFonts w:ascii="AvantGarde Bk BT" w:hAnsi="AvantGarde Bk BT" w:cs="Arial"/>
          <w:color w:val="000000" w:themeColor="text1"/>
          <w:sz w:val="24"/>
          <w:szCs w:val="24"/>
        </w:rPr>
        <w:t>, Titular de la Unidad de Transparencia de</w:t>
      </w:r>
      <w:r>
        <w:rPr>
          <w:rFonts w:ascii="AvantGarde Bk BT" w:hAnsi="AvantGarde Bk BT" w:cs="Arial"/>
          <w:color w:val="000000" w:themeColor="text1"/>
          <w:sz w:val="24"/>
          <w:szCs w:val="24"/>
        </w:rPr>
        <w:t xml:space="preserve"> </w:t>
      </w:r>
      <w:r w:rsidRPr="002739A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a</w:t>
      </w:r>
      <w:r w:rsidRP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Secretaría de Finanzas, recibido en la Oficialía de Partes de esta Comisión el tres de agosto de dos mil veintiséis</w:t>
      </w:r>
      <w:r w:rsidRPr="00D63D8E">
        <w:rPr>
          <w:rFonts w:ascii="AvantGarde Bk BT" w:hAnsi="AvantGarde Bk BT" w:cs="Arial"/>
          <w:color w:val="000000" w:themeColor="text1"/>
          <w:sz w:val="24"/>
          <w:szCs w:val="24"/>
        </w:rPr>
        <w:t>.</w:t>
      </w:r>
    </w:p>
    <w:p w14:paraId="69EAB3EF" w14:textId="77777777" w:rsidR="00CD21CA" w:rsidRPr="00D63D8E" w:rsidRDefault="00CD21CA" w:rsidP="00CD21CA">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6C05DAA6" w14:textId="77777777" w:rsidR="00CD21CA" w:rsidRDefault="00CD21CA" w:rsidP="00CD21CA">
      <w:pPr>
        <w:pStyle w:val="corte4fondo"/>
        <w:numPr>
          <w:ilvl w:val="0"/>
          <w:numId w:val="1"/>
        </w:numPr>
        <w:rPr>
          <w:rFonts w:ascii="AvantGarde Bk BT" w:hAnsi="AvantGarde Bk BT" w:cs="Arial"/>
          <w:color w:val="000000" w:themeColor="text1"/>
          <w:sz w:val="24"/>
          <w:szCs w:val="24"/>
        </w:rPr>
      </w:pPr>
      <w:r w:rsidRPr="00D63D8E">
        <w:rPr>
          <w:rFonts w:ascii="AvantGarde Bk BT" w:hAnsi="AvantGarde Bk BT" w:cs="Arial"/>
          <w:color w:val="000000" w:themeColor="text1"/>
          <w:sz w:val="24"/>
          <w:szCs w:val="24"/>
        </w:rPr>
        <w:t>En cuanto al peticionario, feneció el plazo para que presentara pruebas y manifestara lo que a su derecho conviniera.</w:t>
      </w:r>
    </w:p>
    <w:p w14:paraId="37A1F1B0" w14:textId="489A0F51" w:rsidR="00CD21CA" w:rsidRDefault="00CD21CA" w:rsidP="00CD21CA">
      <w:pPr>
        <w:pStyle w:val="corte4fondo"/>
        <w:numPr>
          <w:ilvl w:val="0"/>
          <w:numId w:val="1"/>
        </w:numPr>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w:t>
      </w:r>
      <w:r w:rsidRPr="00D63D8E">
        <w:rPr>
          <w:rFonts w:ascii="AvantGarde Bk BT" w:hAnsi="AvantGarde Bk BT" w:cs="Arial"/>
          <w:color w:val="000000" w:themeColor="text1"/>
          <w:sz w:val="24"/>
          <w:szCs w:val="24"/>
        </w:rPr>
        <w:t xml:space="preserve">decretó el cierre del periodo de instrucción con fundamento en lo previsto por el artículo 174, fracciones V y VII de la Ley de la materia y procedió a elaborar el proyecto de resolución.  </w:t>
      </w:r>
    </w:p>
    <w:p w14:paraId="594A67B9" w14:textId="1C48E2B2" w:rsidR="000F6690" w:rsidRPr="00D63D8E" w:rsidRDefault="000F6690" w:rsidP="000F6690">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Pr>
          <w:rFonts w:ascii="AvantGarde Bk BT" w:hAnsi="AvantGarde Bk BT" w:cs="Arial"/>
          <w:b/>
          <w:color w:val="000000" w:themeColor="text1"/>
          <w:sz w:val="24"/>
          <w:szCs w:val="24"/>
        </w:rPr>
        <w:t>. Ampliación para resolver.</w:t>
      </w:r>
      <w:r>
        <w:rPr>
          <w:rFonts w:ascii="AvantGarde Bk BT" w:hAnsi="AvantGarde Bk BT" w:cs="Arial"/>
          <w:color w:val="000000" w:themeColor="text1"/>
          <w:sz w:val="24"/>
          <w:szCs w:val="24"/>
        </w:rPr>
        <w:t xml:space="preserve"> Mediante el auto del dos de septiembre de dos mil veintiséis, esta Comisión decretó la ampliación del plazo para resolver el recurso de revisión en que se actúa, esto con fundamento en lo dispuesto por el artículo 170 de la Ley de Transparencia y Acceso a la Información Pública del Estado, con relación al lineamiento vigésimo séptimo, fracción I de los Lineamientos para la recepción, sustanciación, resolución y cumplimiento de los recursos de revisión promovidos ante esta Comisión.</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w:t>
      </w:r>
      <w:r w:rsidRPr="00756C5F">
        <w:rPr>
          <w:rFonts w:ascii="AvantGarde Bk BT" w:hAnsi="AvantGarde Bk BT" w:cs="Arial"/>
          <w:color w:val="000000" w:themeColor="text1"/>
          <w:sz w:val="24"/>
          <w:szCs w:val="24"/>
        </w:rPr>
        <w:lastRenderedPageBreak/>
        <w:t>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22848B2" w14:textId="08158BC8" w:rsidR="00CD21CA" w:rsidRDefault="00CD21CA" w:rsidP="00CD21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El veintidós de junio de dos mil veintiséis, el peticionario presentó su solicitud ante el sujeto obligado.</w:t>
      </w:r>
    </w:p>
    <w:p w14:paraId="3E79BFF6" w14:textId="2A8FBF03" w:rsidR="00CD21CA" w:rsidRDefault="00CD21CA" w:rsidP="00CD21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•Por ello, el plazo para responder transcurrió del veintitrés de junio al seis de julio de dos mil veintiséis, sin tomar en cuenta el nueve, veintisiete y veintiocho de junio, así como el cuatro y cinco de julio de dos mil veintiséis, por ser inhábiles; sin que el sujeto obligado documentara respuesta alguna.</w:t>
      </w:r>
    </w:p>
    <w:p w14:paraId="5FC61E67" w14:textId="060A1507" w:rsidR="00CD21CA" w:rsidRDefault="00CD21CA" w:rsidP="00CD21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Por lo tanto, el plazo de los quince días hábiles para interponer el recurso de revisión transcurrió del </w:t>
      </w:r>
      <w:r w:rsidR="000000E6">
        <w:rPr>
          <w:rFonts w:ascii="AvantGarde Bk BT" w:hAnsi="AvantGarde Bk BT" w:cs="Arial"/>
          <w:color w:val="000000" w:themeColor="text1"/>
          <w:sz w:val="24"/>
          <w:szCs w:val="24"/>
        </w:rPr>
        <w:t>siete</w:t>
      </w:r>
      <w:r>
        <w:rPr>
          <w:rFonts w:ascii="AvantGarde Bk BT" w:hAnsi="AvantGarde Bk BT" w:cs="Arial"/>
          <w:color w:val="000000" w:themeColor="text1"/>
          <w:sz w:val="24"/>
          <w:szCs w:val="24"/>
        </w:rPr>
        <w:t xml:space="preserve"> de julio </w:t>
      </w:r>
      <w:r w:rsidR="000000E6">
        <w:rPr>
          <w:rFonts w:ascii="AvantGarde Bk BT" w:hAnsi="AvantGarde Bk BT" w:cs="Arial"/>
          <w:color w:val="000000" w:themeColor="text1"/>
          <w:sz w:val="24"/>
          <w:szCs w:val="24"/>
        </w:rPr>
        <w:t xml:space="preserve">al diez de agosto </w:t>
      </w:r>
      <w:r>
        <w:rPr>
          <w:rFonts w:ascii="AvantGarde Bk BT" w:hAnsi="AvantGarde Bk BT" w:cs="Arial"/>
          <w:color w:val="000000" w:themeColor="text1"/>
          <w:sz w:val="24"/>
          <w:szCs w:val="24"/>
        </w:rPr>
        <w:t>de dos mil veintiséis.</w:t>
      </w:r>
    </w:p>
    <w:p w14:paraId="4E892DAF" w14:textId="57ADFD9D" w:rsidR="00CD21CA" w:rsidRDefault="00CD21CA" w:rsidP="00CD21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Sin tomar en cuenta los días </w:t>
      </w:r>
      <w:r w:rsidR="000000E6">
        <w:rPr>
          <w:rFonts w:ascii="AvantGarde Bk BT" w:hAnsi="AvantGarde Bk BT" w:cs="Arial"/>
          <w:color w:val="000000" w:themeColor="text1"/>
          <w:sz w:val="24"/>
          <w:szCs w:val="24"/>
        </w:rPr>
        <w:t xml:space="preserve">once, doce y del dieciocho al treinta y uno </w:t>
      </w:r>
      <w:r>
        <w:rPr>
          <w:rFonts w:ascii="AvantGarde Bk BT" w:hAnsi="AvantGarde Bk BT" w:cs="Arial"/>
          <w:color w:val="000000" w:themeColor="text1"/>
          <w:sz w:val="24"/>
          <w:szCs w:val="24"/>
        </w:rPr>
        <w:t>de julio</w:t>
      </w:r>
      <w:r w:rsidR="000000E6">
        <w:rPr>
          <w:rFonts w:ascii="AvantGarde Bk BT" w:hAnsi="AvantGarde Bk BT" w:cs="Arial"/>
          <w:color w:val="000000" w:themeColor="text1"/>
          <w:sz w:val="24"/>
          <w:szCs w:val="24"/>
        </w:rPr>
        <w:t>, así como el uno, dos, ocho y nueve de agosto</w:t>
      </w:r>
      <w:r>
        <w:rPr>
          <w:rFonts w:ascii="AvantGarde Bk BT" w:hAnsi="AvantGarde Bk BT" w:cs="Arial"/>
          <w:color w:val="000000" w:themeColor="text1"/>
          <w:sz w:val="24"/>
          <w:szCs w:val="24"/>
        </w:rPr>
        <w:t xml:space="preserve"> de dos mil veintiséis, por ser inhábiles.</w:t>
      </w:r>
    </w:p>
    <w:p w14:paraId="7FAA6B5C" w14:textId="2D47D88B" w:rsidR="00CD21CA" w:rsidRDefault="00CD21CA" w:rsidP="00CD21CA">
      <w:pPr>
        <w:pStyle w:val="corte4fondo"/>
        <w:tabs>
          <w:tab w:val="left" w:pos="567"/>
        </w:tabs>
        <w:spacing w:after="240"/>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Consecuentemente si el </w:t>
      </w:r>
      <w:r w:rsidR="000000E6">
        <w:rPr>
          <w:rFonts w:ascii="AvantGarde Bk BT" w:hAnsi="AvantGarde Bk BT" w:cs="Arial"/>
          <w:color w:val="000000" w:themeColor="text1"/>
          <w:sz w:val="24"/>
          <w:szCs w:val="24"/>
        </w:rPr>
        <w:t>nueve</w:t>
      </w:r>
      <w:r>
        <w:rPr>
          <w:rFonts w:ascii="AvantGarde Bk BT" w:hAnsi="AvantGarde Bk BT" w:cs="Arial"/>
          <w:color w:val="000000" w:themeColor="text1"/>
          <w:sz w:val="24"/>
          <w:szCs w:val="24"/>
        </w:rPr>
        <w:t xml:space="preserve"> de julio de dos mil veintiséis el recurrente interpuso el citado medio de impugnación ante esta Comisión de Transparencia, resulta claro que es oportuna su presentación.</w:t>
      </w:r>
    </w:p>
    <w:p w14:paraId="5F1B18A0" w14:textId="47E5B1FD" w:rsidR="002B7639" w:rsidRPr="00627F78" w:rsidRDefault="00CD21CA" w:rsidP="00CD21CA">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 </w:t>
      </w:r>
      <w:r w:rsidR="00AE0DBD"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Asimismo, de una revisión efectuada a las constancias que obran en autos, no se evidencia que se haya efectuado requerimiento alguno al peticionario en términos </w:t>
      </w:r>
      <w:r w:rsidRPr="007F0BFC">
        <w:rPr>
          <w:rFonts w:ascii="AvantGarde Bk BT" w:hAnsi="AvantGarde Bk BT" w:cs="Arial"/>
          <w:color w:val="000000" w:themeColor="text1"/>
          <w:sz w:val="24"/>
          <w:szCs w:val="24"/>
        </w:rPr>
        <w:lastRenderedPageBreak/>
        <w:t>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4E2E98F1" w14:textId="0E371A6F" w:rsidR="00714CB5" w:rsidRPr="00714CB5" w:rsidRDefault="00AE0DBD" w:rsidP="00714CB5">
      <w:pPr>
        <w:pStyle w:val="corte4fondo"/>
        <w:tabs>
          <w:tab w:val="left" w:pos="567"/>
        </w:tabs>
        <w:rPr>
          <w:rFonts w:ascii="AvantGarde Bk BT" w:hAnsi="AvantGarde Bk BT" w:cs="Arial"/>
          <w:color w:val="000000"/>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F05B70">
        <w:rPr>
          <w:rFonts w:ascii="AvantGarde Bk BT" w:hAnsi="AvantGarde Bk BT" w:cs="Arial"/>
          <w:b/>
          <w:color w:val="000000" w:themeColor="text1"/>
          <w:sz w:val="24"/>
          <w:szCs w:val="24"/>
        </w:rPr>
        <w:t>Sobreseimiento</w:t>
      </w:r>
      <w:r w:rsidR="00E215D2" w:rsidRPr="0065124E">
        <w:rPr>
          <w:rFonts w:ascii="AvantGarde Bk BT" w:hAnsi="AvantGarde Bk BT" w:cs="Arial"/>
          <w:b/>
          <w:color w:val="000000" w:themeColor="text1"/>
          <w:sz w:val="24"/>
          <w:szCs w:val="24"/>
        </w:rPr>
        <w:t>.</w:t>
      </w:r>
      <w:r w:rsidR="00E215D2" w:rsidRPr="0065124E">
        <w:rPr>
          <w:rFonts w:ascii="AvantGarde Bk BT" w:hAnsi="AvantGarde Bk BT" w:cs="Arial"/>
          <w:color w:val="000000" w:themeColor="text1"/>
          <w:sz w:val="24"/>
          <w:szCs w:val="24"/>
        </w:rPr>
        <w:t xml:space="preserve">  </w:t>
      </w:r>
      <w:r w:rsidR="00714CB5" w:rsidRPr="00714CB5">
        <w:rPr>
          <w:rFonts w:ascii="AvantGarde Bk BT" w:hAnsi="AvantGarde Bk BT" w:cs="Arial"/>
          <w:color w:val="000000"/>
          <w:sz w:val="24"/>
          <w:szCs w:val="24"/>
        </w:rPr>
        <w:t>Dicha figura del sobreseimiento es la resolución por parte de esta Comisión Estatal de Garantía de Acceso a la Información Pública de carácter definitivo ya que pone fin al procedimiento sin resolver las cuestiones de fondo, al actualizarse alguno de los supuestos que establece el artículo 180 de la Ley de Transparencia y Acceso a la Información Pública del Estado, el cual dispone:</w:t>
      </w:r>
    </w:p>
    <w:p w14:paraId="6CAE2978"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color w:val="000000"/>
          <w:sz w:val="24"/>
          <w:szCs w:val="24"/>
        </w:rPr>
        <w:t>“</w:t>
      </w:r>
      <w:r w:rsidRPr="00714CB5">
        <w:rPr>
          <w:rFonts w:ascii="AvantGarde Bk BT" w:eastAsia="Times New Roman" w:hAnsi="AvantGarde Bk BT" w:cs="Arial"/>
          <w:b/>
          <w:i/>
          <w:color w:val="000000"/>
        </w:rPr>
        <w:t xml:space="preserve">ARTÍCULO 180. </w:t>
      </w:r>
      <w:r w:rsidRPr="00714CB5">
        <w:rPr>
          <w:rFonts w:ascii="AvantGarde Bk BT" w:eastAsia="Times New Roman" w:hAnsi="AvantGarde Bk BT" w:cs="Arial"/>
          <w:i/>
          <w:color w:val="000000"/>
        </w:rPr>
        <w:t>El recurso será sobreseído, en todo o en parte, cuando, una vez admitido, se actualicen alguno de los siguientes supuestos:</w:t>
      </w:r>
    </w:p>
    <w:p w14:paraId="7079CB37"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 El recurrente se desista;</w:t>
      </w:r>
    </w:p>
    <w:p w14:paraId="0B75E91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 El recurrente fallezca;</w:t>
      </w:r>
    </w:p>
    <w:p w14:paraId="457C687B" w14:textId="77777777" w:rsidR="00714CB5" w:rsidRPr="00714CB5" w:rsidRDefault="00714CB5" w:rsidP="00714CB5">
      <w:pPr>
        <w:tabs>
          <w:tab w:val="left" w:pos="567"/>
        </w:tabs>
        <w:spacing w:after="0" w:line="240" w:lineRule="auto"/>
        <w:ind w:left="680" w:right="680"/>
        <w:jc w:val="both"/>
        <w:rPr>
          <w:rFonts w:ascii="AvantGarde Bk BT" w:eastAsia="Times New Roman" w:hAnsi="AvantGarde Bk BT" w:cs="Arial"/>
          <w:i/>
          <w:color w:val="000000"/>
        </w:rPr>
      </w:pPr>
      <w:r w:rsidRPr="00714CB5">
        <w:rPr>
          <w:rFonts w:ascii="AvantGarde Bk BT" w:eastAsia="Times New Roman" w:hAnsi="AvantGarde Bk BT" w:cs="Arial"/>
          <w:i/>
          <w:color w:val="000000"/>
        </w:rPr>
        <w:t>III. El sujeto obligado responsable del acto lo modifique o revoque de tal manera que el recurso de revisión quede sin materia, o</w:t>
      </w:r>
    </w:p>
    <w:p w14:paraId="50C10EF3" w14:textId="77777777" w:rsidR="00714CB5" w:rsidRPr="00714CB5" w:rsidRDefault="00714CB5" w:rsidP="00714CB5">
      <w:pPr>
        <w:tabs>
          <w:tab w:val="left" w:pos="567"/>
        </w:tabs>
        <w:spacing w:after="240" w:line="240" w:lineRule="auto"/>
        <w:ind w:left="680" w:right="680"/>
        <w:jc w:val="both"/>
        <w:rPr>
          <w:rFonts w:ascii="AvantGarde Bk BT" w:eastAsia="Times New Roman" w:hAnsi="AvantGarde Bk BT" w:cs="Arial"/>
          <w:b/>
          <w:color w:val="000000"/>
          <w:sz w:val="24"/>
          <w:szCs w:val="24"/>
        </w:rPr>
      </w:pPr>
      <w:r w:rsidRPr="00714CB5">
        <w:rPr>
          <w:rFonts w:ascii="AvantGarde Bk BT" w:eastAsia="Times New Roman" w:hAnsi="AvantGarde Bk BT" w:cs="Arial"/>
          <w:i/>
          <w:color w:val="000000"/>
        </w:rPr>
        <w:t>IV. Admitido el recurso de revisión, aparezca alguna causal de improcedencia en los términos del presente Capítulo.</w:t>
      </w:r>
      <w:r w:rsidRPr="00714CB5">
        <w:rPr>
          <w:rFonts w:ascii="AvantGarde Bk BT" w:eastAsia="Times New Roman" w:hAnsi="AvantGarde Bk BT" w:cs="Arial"/>
          <w:color w:val="000000"/>
          <w:sz w:val="24"/>
          <w:szCs w:val="24"/>
        </w:rPr>
        <w:t>”</w:t>
      </w:r>
    </w:p>
    <w:p w14:paraId="19675912" w14:textId="77777777" w:rsidR="00714CB5" w:rsidRPr="00714CB5" w:rsidRDefault="00714CB5" w:rsidP="00714CB5">
      <w:pPr>
        <w:tabs>
          <w:tab w:val="left" w:pos="567"/>
        </w:tabs>
        <w:spacing w:after="240" w:line="360" w:lineRule="auto"/>
        <w:ind w:firstLine="709"/>
        <w:jc w:val="both"/>
        <w:rPr>
          <w:rFonts w:ascii="AvantGarde Bk BT" w:eastAsia="Times New Roman" w:hAnsi="AvantGarde Bk BT" w:cs="Arial"/>
          <w:color w:val="000000"/>
          <w:sz w:val="24"/>
          <w:szCs w:val="24"/>
        </w:rPr>
      </w:pPr>
      <w:r w:rsidRPr="00714CB5">
        <w:rPr>
          <w:rFonts w:ascii="AvantGarde Bk BT" w:eastAsia="Times New Roman" w:hAnsi="AvantGarde Bk BT" w:cs="Arial"/>
          <w:color w:val="000000"/>
          <w:sz w:val="24"/>
          <w:szCs w:val="24"/>
        </w:rPr>
        <w:t>Del análisis realizado por esta Comisión, se advierte que se actualiza la causal prevista en la fracción III, esto es, que el sujeto obligado responsable del acto impugnado modifique éste, de manera tal que el recurso de revisión se quede sin materia.</w:t>
      </w:r>
    </w:p>
    <w:p w14:paraId="5D8C20AE" w14:textId="5B70E766" w:rsidR="000D589A" w:rsidRDefault="002239D8" w:rsidP="00714CB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714CB5">
        <w:rPr>
          <w:rFonts w:ascii="AvantGarde Bk BT" w:hAnsi="AvantGarde Bk BT" w:cs="Arial"/>
          <w:color w:val="000000" w:themeColor="text1"/>
          <w:sz w:val="24"/>
          <w:szCs w:val="24"/>
        </w:rPr>
        <w:t xml:space="preserve">esta tesitura, las constancias que integran los autos demuestran que en </w:t>
      </w:r>
      <w:r>
        <w:rPr>
          <w:rFonts w:ascii="AvantGarde Bk BT" w:hAnsi="AvantGarde Bk BT" w:cs="Arial"/>
          <w:color w:val="000000" w:themeColor="text1"/>
          <w:sz w:val="24"/>
          <w:szCs w:val="24"/>
        </w:rPr>
        <w:t xml:space="preserve">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957DCF">
        <w:rPr>
          <w:rFonts w:ascii="AvantGarde Bk BT" w:hAnsi="AvantGarde Bk BT" w:cs="Arial"/>
          <w:color w:val="000000" w:themeColor="text1"/>
          <w:sz w:val="24"/>
          <w:szCs w:val="24"/>
        </w:rPr>
        <w:t>240</w:t>
      </w:r>
      <w:r w:rsidR="00957DCF" w:rsidRPr="00A00F41">
        <w:rPr>
          <w:rFonts w:ascii="AvantGarde Bk BT" w:hAnsi="AvantGarde Bk BT" w:cs="Arial"/>
          <w:color w:val="000000" w:themeColor="text1"/>
          <w:sz w:val="24"/>
          <w:szCs w:val="24"/>
        </w:rPr>
        <w:t>4</w:t>
      </w:r>
      <w:r w:rsidR="00957DCF">
        <w:rPr>
          <w:rFonts w:ascii="AvantGarde Bk BT" w:hAnsi="AvantGarde Bk BT" w:cs="Arial"/>
          <w:color w:val="000000" w:themeColor="text1"/>
          <w:sz w:val="24"/>
          <w:szCs w:val="24"/>
        </w:rPr>
        <w:t>70526000086</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9EE3BD8" w14:textId="3EA09F45" w:rsidR="008F4E3F" w:rsidRPr="008F4E3F" w:rsidRDefault="008F4E3F" w:rsidP="008F4E3F">
      <w:pPr>
        <w:tabs>
          <w:tab w:val="left" w:pos="567"/>
        </w:tabs>
        <w:spacing w:after="0" w:line="240" w:lineRule="auto"/>
        <w:ind w:left="680" w:right="680"/>
        <w:jc w:val="both"/>
        <w:rPr>
          <w:rFonts w:ascii="AvantGarde Bk BT" w:eastAsia="Times New Roman" w:hAnsi="AvantGarde Bk BT" w:cs="Arial"/>
          <w:i/>
          <w:color w:val="000000" w:themeColor="text1"/>
          <w:szCs w:val="24"/>
        </w:rPr>
      </w:pPr>
      <w:r>
        <w:rPr>
          <w:rFonts w:ascii="AvantGarde Bk BT" w:eastAsia="Times New Roman" w:hAnsi="AvantGarde Bk BT" w:cs="Arial"/>
          <w:color w:val="000000" w:themeColor="text1"/>
          <w:sz w:val="24"/>
          <w:szCs w:val="24"/>
        </w:rPr>
        <w:t>“</w:t>
      </w:r>
      <w:r w:rsidRPr="008F4E3F">
        <w:rPr>
          <w:rFonts w:ascii="AvantGarde Bk BT" w:eastAsia="Times New Roman" w:hAnsi="AvantGarde Bk BT" w:cs="Arial"/>
          <w:i/>
          <w:color w:val="000000" w:themeColor="text1"/>
          <w:szCs w:val="24"/>
        </w:rPr>
        <w:t>Por medio de la presente solicito:</w:t>
      </w:r>
    </w:p>
    <w:p w14:paraId="737ACF3E" w14:textId="77777777" w:rsidR="008F4E3F" w:rsidRPr="008F4E3F" w:rsidRDefault="008F4E3F" w:rsidP="008F4E3F">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8F4E3F">
        <w:rPr>
          <w:rFonts w:ascii="AvantGarde Bk BT" w:eastAsia="Times New Roman" w:hAnsi="AvantGarde Bk BT" w:cs="Arial"/>
          <w:i/>
          <w:color w:val="000000" w:themeColor="text1"/>
          <w:szCs w:val="24"/>
        </w:rPr>
        <w:t>a)</w:t>
      </w:r>
      <w:r w:rsidRPr="008F4E3F">
        <w:rPr>
          <w:rFonts w:ascii="AvantGarde Bk BT" w:eastAsia="Times New Roman" w:hAnsi="AvantGarde Bk BT" w:cs="Arial"/>
          <w:i/>
          <w:color w:val="000000" w:themeColor="text1"/>
          <w:szCs w:val="24"/>
        </w:rPr>
        <w:tab/>
        <w:t>Copias de los contratos y los anexos que pudieran contener firmados por esta institución con las empresas Grupo Manufacturero Unido del Valle SA de CV y Tracción en Publicidad SA de CV, correspondientes a los años 2024, 2025 y lo que va de este 2026, por cualquier concepto, pero en especial, por los servicios de transmisión pública de partidos del Mundial 2026 en el estado.</w:t>
      </w:r>
    </w:p>
    <w:p w14:paraId="496D6E71" w14:textId="77777777" w:rsidR="008F4E3F" w:rsidRPr="008F4E3F" w:rsidRDefault="008F4E3F" w:rsidP="008F4E3F">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8F4E3F">
        <w:rPr>
          <w:rFonts w:ascii="AvantGarde Bk BT" w:eastAsia="Times New Roman" w:hAnsi="AvantGarde Bk BT" w:cs="Arial"/>
          <w:i/>
          <w:color w:val="000000" w:themeColor="text1"/>
          <w:szCs w:val="24"/>
        </w:rPr>
        <w:t>b)</w:t>
      </w:r>
      <w:r w:rsidRPr="008F4E3F">
        <w:rPr>
          <w:rFonts w:ascii="AvantGarde Bk BT" w:eastAsia="Times New Roman" w:hAnsi="AvantGarde Bk BT" w:cs="Arial"/>
          <w:i/>
          <w:color w:val="000000" w:themeColor="text1"/>
          <w:szCs w:val="24"/>
        </w:rPr>
        <w:tab/>
        <w:t>La documentación correspondiente a los procesos de selección de ambas empresas para proporcionar éste último servicio.</w:t>
      </w:r>
    </w:p>
    <w:p w14:paraId="6B4A4DC6" w14:textId="6B9C5903" w:rsidR="00FC2715" w:rsidRPr="008D4CCC" w:rsidRDefault="008F4E3F" w:rsidP="008F4E3F">
      <w:pPr>
        <w:tabs>
          <w:tab w:val="left" w:pos="567"/>
        </w:tabs>
        <w:spacing w:line="240" w:lineRule="auto"/>
        <w:ind w:left="680" w:right="680"/>
        <w:jc w:val="both"/>
        <w:rPr>
          <w:rFonts w:ascii="AvantGarde Bk BT" w:eastAsia="Times New Roman" w:hAnsi="AvantGarde Bk BT" w:cs="Arial"/>
          <w:i/>
          <w:color w:val="000000" w:themeColor="text1"/>
          <w:sz w:val="24"/>
          <w:szCs w:val="24"/>
        </w:rPr>
      </w:pPr>
      <w:r w:rsidRPr="008F4E3F">
        <w:rPr>
          <w:rFonts w:ascii="AvantGarde Bk BT" w:eastAsia="Times New Roman" w:hAnsi="AvantGarde Bk BT" w:cs="Arial"/>
          <w:i/>
          <w:color w:val="000000" w:themeColor="text1"/>
          <w:szCs w:val="24"/>
        </w:rPr>
        <w:t>c)</w:t>
      </w:r>
      <w:r w:rsidRPr="008F4E3F">
        <w:rPr>
          <w:rFonts w:ascii="AvantGarde Bk BT" w:eastAsia="Times New Roman" w:hAnsi="AvantGarde Bk BT" w:cs="Arial"/>
          <w:i/>
          <w:color w:val="000000" w:themeColor="text1"/>
          <w:szCs w:val="24"/>
        </w:rPr>
        <w:tab/>
        <w:t xml:space="preserve">Las facturas correspondientes al pago de las sumas pactadas con estas empresas por la </w:t>
      </w:r>
      <w:proofErr w:type="spellStart"/>
      <w:r w:rsidRPr="008F4E3F">
        <w:rPr>
          <w:rFonts w:ascii="AvantGarde Bk BT" w:eastAsia="Times New Roman" w:hAnsi="AvantGarde Bk BT" w:cs="Arial"/>
          <w:i/>
          <w:color w:val="000000" w:themeColor="text1"/>
          <w:szCs w:val="24"/>
        </w:rPr>
        <w:t>realizaciónd</w:t>
      </w:r>
      <w:proofErr w:type="spellEnd"/>
      <w:r w:rsidRPr="008F4E3F">
        <w:rPr>
          <w:rFonts w:ascii="AvantGarde Bk BT" w:eastAsia="Times New Roman" w:hAnsi="AvantGarde Bk BT" w:cs="Arial"/>
          <w:i/>
          <w:color w:val="000000" w:themeColor="text1"/>
          <w:szCs w:val="24"/>
        </w:rPr>
        <w:t xml:space="preserve"> e este servicio</w:t>
      </w:r>
      <w:r w:rsidR="00547C58" w:rsidRPr="008F4E3F">
        <w:rPr>
          <w:rFonts w:ascii="AvantGarde Bk BT" w:eastAsia="Times New Roman" w:hAnsi="AvantGarde Bk BT" w:cs="Arial"/>
          <w:i/>
          <w:color w:val="000000" w:themeColor="text1"/>
          <w:sz w:val="24"/>
          <w:szCs w:val="24"/>
        </w:rPr>
        <w:t>.</w:t>
      </w:r>
      <w:r w:rsidR="00FC2715" w:rsidRPr="007D707E">
        <w:rPr>
          <w:rFonts w:ascii="AvantGarde Bk BT" w:eastAsia="Times New Roman" w:hAnsi="AvantGarde Bk BT" w:cs="Arial"/>
          <w:color w:val="000000" w:themeColor="text1"/>
          <w:sz w:val="24"/>
          <w:szCs w:val="24"/>
        </w:rPr>
        <w:t>” SIC.</w:t>
      </w:r>
      <w:r w:rsidR="00FC2715">
        <w:rPr>
          <w:rFonts w:ascii="AvantGarde Bk BT" w:eastAsia="Times New Roman" w:hAnsi="AvantGarde Bk BT" w:cs="Arial"/>
          <w:i/>
          <w:color w:val="000000" w:themeColor="text1"/>
          <w:sz w:val="24"/>
          <w:szCs w:val="24"/>
        </w:rPr>
        <w:t xml:space="preserve"> </w:t>
      </w:r>
      <w:r w:rsidR="006A640B">
        <w:rPr>
          <w:rFonts w:ascii="AvantGarde Bk BT" w:eastAsia="Times New Roman" w:hAnsi="AvantGarde Bk BT" w:cs="Arial"/>
          <w:color w:val="000000" w:themeColor="text1"/>
          <w:sz w:val="24"/>
          <w:szCs w:val="24"/>
        </w:rPr>
        <w:t>(Visible a foja 06</w:t>
      </w:r>
      <w:r w:rsidR="00FC2715" w:rsidRPr="007C0FB6">
        <w:rPr>
          <w:rFonts w:ascii="AvantGarde Bk BT" w:eastAsia="Times New Roman" w:hAnsi="AvantGarde Bk BT" w:cs="Arial"/>
          <w:color w:val="000000" w:themeColor="text1"/>
          <w:sz w:val="24"/>
          <w:szCs w:val="24"/>
        </w:rPr>
        <w:t xml:space="preserve"> de autos).</w:t>
      </w:r>
    </w:p>
    <w:p w14:paraId="4B90044F" w14:textId="77777777" w:rsidR="008F4E3F" w:rsidRDefault="00892191" w:rsidP="00C31BF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Por otro lado, c</w:t>
      </w:r>
      <w:r w:rsidR="00FC2715">
        <w:rPr>
          <w:rFonts w:ascii="AvantGarde Bk BT" w:hAnsi="AvantGarde Bk BT" w:cs="Arial"/>
          <w:color w:val="000000" w:themeColor="text1"/>
          <w:sz w:val="24"/>
          <w:szCs w:val="24"/>
        </w:rPr>
        <w:t xml:space="preserve">onsta en autos que </w:t>
      </w:r>
      <w:r w:rsidR="00FC2715" w:rsidRPr="00FC2715">
        <w:rPr>
          <w:rFonts w:ascii="AvantGarde Bk BT" w:hAnsi="AvantGarde Bk BT" w:cs="Arial"/>
          <w:color w:val="000000" w:themeColor="text1"/>
          <w:sz w:val="24"/>
          <w:szCs w:val="24"/>
        </w:rPr>
        <w:t xml:space="preserve">el sujeto obligado </w:t>
      </w:r>
      <w:r w:rsidR="008F4E3F">
        <w:rPr>
          <w:rFonts w:ascii="AvantGarde Bk BT" w:hAnsi="AvantGarde Bk BT" w:cs="Arial"/>
          <w:color w:val="000000" w:themeColor="text1"/>
          <w:sz w:val="24"/>
          <w:szCs w:val="24"/>
        </w:rPr>
        <w:t>omitió responder la solicitud de información planteada por la persona solicitante.</w:t>
      </w:r>
    </w:p>
    <w:p w14:paraId="22ADD575" w14:textId="58B5E47B" w:rsidR="00FC2715" w:rsidRDefault="008F4E3F" w:rsidP="008F4E3F">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t xml:space="preserve">Inconforme, </w:t>
      </w:r>
      <w:r w:rsidR="00FC2715">
        <w:rPr>
          <w:rFonts w:ascii="AvantGarde Bk BT" w:hAnsi="AvantGarde Bk BT" w:cs="Arial"/>
          <w:sz w:val="24"/>
          <w:szCs w:val="24"/>
        </w:rPr>
        <w:t xml:space="preserve">la persona solicitante </w:t>
      </w:r>
      <w:r w:rsidR="00FC2715" w:rsidRPr="008F4E3F">
        <w:rPr>
          <w:rFonts w:ascii="AvantGarde Bk BT" w:hAnsi="AvantGarde Bk BT" w:cs="Arial"/>
          <w:sz w:val="24"/>
          <w:szCs w:val="24"/>
        </w:rPr>
        <w:t xml:space="preserve">interpuso el presente recurso de revisión y </w:t>
      </w:r>
      <w:r w:rsidR="00FC2715" w:rsidRPr="008F4E3F">
        <w:rPr>
          <w:rFonts w:ascii="AvantGarde Bk BT" w:hAnsi="AvantGarde Bk BT" w:cs="Arial"/>
          <w:b/>
          <w:sz w:val="24"/>
          <w:szCs w:val="24"/>
        </w:rPr>
        <w:t xml:space="preserve">señaló como agravio </w:t>
      </w:r>
      <w:r w:rsidRPr="008F4E3F">
        <w:rPr>
          <w:rFonts w:ascii="AvantGarde Bk BT" w:hAnsi="AvantGarde Bk BT" w:cs="Arial"/>
          <w:b/>
          <w:sz w:val="24"/>
          <w:szCs w:val="24"/>
        </w:rPr>
        <w:t>la falta de respuesta por parte del sujeto obligado</w:t>
      </w:r>
      <w:r>
        <w:rPr>
          <w:rFonts w:ascii="AvantGarde Bk BT" w:hAnsi="AvantGarde Bk BT" w:cs="Arial"/>
          <w:sz w:val="24"/>
          <w:szCs w:val="24"/>
        </w:rPr>
        <w:t>.</w:t>
      </w:r>
    </w:p>
    <w:p w14:paraId="4442BC4B" w14:textId="77777777" w:rsidR="00D327C4" w:rsidRDefault="00D327C4" w:rsidP="00D327C4">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F3E6D5A" w14:textId="77777777" w:rsidR="00D327C4" w:rsidRDefault="00D327C4" w:rsidP="00D327C4">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w:t>
      </w:r>
      <w:proofErr w:type="gramStart"/>
      <w:r w:rsidRPr="00847F87">
        <w:rPr>
          <w:rFonts w:ascii="AvantGarde Bk BT" w:hAnsi="AvantGarde Bk BT" w:cs="Arial"/>
          <w:b/>
          <w:i/>
          <w:color w:val="000000" w:themeColor="text1"/>
          <w:szCs w:val="24"/>
        </w:rPr>
        <w:t>20 .</w:t>
      </w:r>
      <w:proofErr w:type="gramEnd"/>
      <w:r w:rsidRPr="00847F87">
        <w:rPr>
          <w:rFonts w:ascii="AvantGarde Bk BT" w:hAnsi="AvantGarde Bk BT" w:cs="Arial"/>
          <w:b/>
          <w:i/>
          <w:color w:val="000000" w:themeColor="text1"/>
          <w:szCs w:val="24"/>
        </w:rPr>
        <w:t xml:space="preserve">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28F5E2F3" w14:textId="010412A8"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criterio </w:t>
      </w:r>
      <w:r w:rsidR="00D54D20">
        <w:rPr>
          <w:rFonts w:ascii="AvantGarde Bk BT" w:hAnsi="AvantGarde Bk BT" w:cs="Arial"/>
          <w:color w:val="000000" w:themeColor="text1"/>
          <w:sz w:val="24"/>
          <w:szCs w:val="24"/>
        </w:rPr>
        <w:t>previamente</w:t>
      </w:r>
      <w:r>
        <w:rPr>
          <w:rFonts w:ascii="AvantGarde Bk BT" w:hAnsi="AvantGarde Bk BT" w:cs="Arial"/>
          <w:color w:val="000000" w:themeColor="text1"/>
          <w:sz w:val="24"/>
          <w:szCs w:val="24"/>
        </w:rPr>
        <w:t xml:space="preserve">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7C10422A" w14:textId="77777777" w:rsidR="00D327C4" w:rsidRDefault="00D327C4" w:rsidP="00D327C4">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596C5D21" w:rsidR="000468A0" w:rsidRPr="007A5577" w:rsidRDefault="00AB2011" w:rsidP="00DA312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bien,</w:t>
      </w:r>
      <w:r w:rsidR="0037401E">
        <w:rPr>
          <w:rFonts w:ascii="AvantGarde Bk BT" w:hAnsi="AvantGarde Bk BT" w:cs="Arial"/>
          <w:color w:val="000000" w:themeColor="text1"/>
          <w:sz w:val="24"/>
          <w:szCs w:val="24"/>
        </w:rPr>
        <w:t xml:space="preserve"> </w:t>
      </w:r>
      <w:r w:rsidR="00D54D20">
        <w:rPr>
          <w:rFonts w:ascii="AvantGarde Bk BT" w:hAnsi="AvantGarde Bk BT" w:cs="Arial"/>
          <w:color w:val="000000" w:themeColor="text1"/>
          <w:sz w:val="24"/>
          <w:szCs w:val="24"/>
        </w:rPr>
        <w:t xml:space="preserve">dicho lo anterior  es necesario precisar que </w:t>
      </w:r>
      <w:r w:rsidR="00DA312C">
        <w:rPr>
          <w:rFonts w:ascii="AvantGarde Bk BT" w:hAnsi="AvantGarde Bk BT" w:cs="Arial"/>
          <w:color w:val="000000" w:themeColor="text1"/>
          <w:sz w:val="24"/>
          <w:szCs w:val="24"/>
        </w:rPr>
        <w:t xml:space="preserve">la </w:t>
      </w:r>
      <w:r w:rsidRPr="00327C7F">
        <w:rPr>
          <w:rFonts w:ascii="AvantGarde Bk BT" w:hAnsi="AvantGarde Bk BT" w:cs="Arial"/>
          <w:sz w:val="24"/>
          <w:szCs w:val="24"/>
        </w:rPr>
        <w:t>Ley de Transparencia</w:t>
      </w:r>
      <w:r>
        <w:rPr>
          <w:rFonts w:ascii="AvantGarde Bk BT" w:hAnsi="AvantGarde Bk BT" w:cs="Arial"/>
          <w:sz w:val="24"/>
          <w:szCs w:val="24"/>
        </w:rPr>
        <w:t xml:space="preserve"> local</w:t>
      </w:r>
      <w:r w:rsidR="00DA312C">
        <w:rPr>
          <w:rFonts w:ascii="AvantGarde Bk BT" w:hAnsi="AvantGarde Bk BT" w:cs="Arial"/>
          <w:color w:val="000000" w:themeColor="text1"/>
          <w:sz w:val="24"/>
          <w:szCs w:val="24"/>
        </w:rPr>
        <w:t xml:space="preserve"> prescribe que </w:t>
      </w:r>
      <w:r w:rsidR="000468A0" w:rsidRPr="00DA312C">
        <w:rPr>
          <w:rFonts w:ascii="AvantGarde Bk BT" w:hAnsi="AvantGarde Bk BT" w:cs="Arial"/>
          <w:b/>
          <w:sz w:val="24"/>
          <w:szCs w:val="24"/>
          <w:u w:val="single"/>
        </w:rPr>
        <w:t>los sujetos obligados se encuentran constreñidos a proporcionar la información que se encuentra en su posesión</w:t>
      </w:r>
      <w:r w:rsidR="000468A0" w:rsidRPr="00DA312C">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rPr>
        <w:t>.</w:t>
      </w:r>
      <w:r w:rsidR="000468A0" w:rsidRPr="00327C7F">
        <w:rPr>
          <w:rFonts w:ascii="AvantGarde Bk BT" w:hAnsi="AvantGarde Bk BT" w:cs="Arial"/>
          <w:sz w:val="24"/>
          <w:szCs w:val="24"/>
          <w:vertAlign w:val="superscript"/>
        </w:rPr>
        <w:footnoteReference w:id="1"/>
      </w:r>
    </w:p>
    <w:p w14:paraId="66647314" w14:textId="36A6E202"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w:t>
      </w:r>
      <w:r w:rsidR="00AB2011">
        <w:rPr>
          <w:rFonts w:ascii="AvantGarde Bk BT" w:hAnsi="AvantGarde Bk BT" w:cs="Arial"/>
          <w:sz w:val="24"/>
          <w:szCs w:val="24"/>
        </w:rPr>
        <w:t xml:space="preserve">la ley en comento prevé que </w:t>
      </w:r>
      <w:r w:rsidRPr="00F337EC">
        <w:rPr>
          <w:rFonts w:ascii="AvantGarde Bk BT" w:hAnsi="AvantGarde Bk BT" w:cs="Arial"/>
          <w:sz w:val="24"/>
          <w:szCs w:val="24"/>
        </w:rPr>
        <w:t>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lastRenderedPageBreak/>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2"/>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02/17. Congruencia y </w:t>
      </w:r>
      <w:proofErr w:type="gramStart"/>
      <w:r w:rsidRPr="00847F87">
        <w:rPr>
          <w:rFonts w:ascii="AvantGarde Bk BT" w:hAnsi="AvantGarde Bk BT" w:cs="Arial"/>
          <w:b/>
          <w:i/>
          <w:sz w:val="22"/>
          <w:szCs w:val="24"/>
        </w:rPr>
        <w:t>exhaustividad.-</w:t>
      </w:r>
      <w:proofErr w:type="gramEnd"/>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 xml:space="preserve">estos deben de entregar la expresión documental que contenga la </w:t>
      </w:r>
      <w:r w:rsidRPr="007A5577">
        <w:rPr>
          <w:rFonts w:ascii="AvantGarde Bk BT" w:hAnsi="AvantGarde Bk BT" w:cs="Arial"/>
          <w:b/>
          <w:sz w:val="24"/>
          <w:szCs w:val="24"/>
          <w:u w:val="single"/>
        </w:rPr>
        <w:lastRenderedPageBreak/>
        <w:t xml:space="preserve">información solicitada y evitar proporcionar una respuesta elaborada </w:t>
      </w:r>
      <w:r w:rsidR="00D65E44" w:rsidRPr="007A5577">
        <w:rPr>
          <w:rFonts w:ascii="AvantGarde Bk BT" w:hAnsi="AvantGarde Bk BT" w:cs="Arial"/>
          <w:b/>
          <w:sz w:val="24"/>
          <w:szCs w:val="24"/>
          <w:u w:val="single"/>
        </w:rPr>
        <w:t xml:space="preserve">acorde </w:t>
      </w:r>
      <w:r w:rsidRPr="007A5577">
        <w:rPr>
          <w:rFonts w:ascii="AvantGarde Bk BT" w:hAnsi="AvantGarde Bk BT" w:cs="Arial"/>
          <w:b/>
          <w:sz w:val="24"/>
          <w:szCs w:val="24"/>
          <w:u w:val="single"/>
        </w:rPr>
        <w:t>a los requerimientos del peticionario</w:t>
      </w:r>
      <w:r>
        <w:rPr>
          <w:rFonts w:ascii="AvantGarde Bk BT" w:hAnsi="AvantGarde Bk BT" w:cs="Arial"/>
          <w:sz w:val="24"/>
          <w:szCs w:val="24"/>
        </w:rPr>
        <w:t>.</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 xml:space="preserve">Criterio 16/17. Expresión </w:t>
      </w:r>
      <w:proofErr w:type="gramStart"/>
      <w:r w:rsidRPr="00847F87">
        <w:rPr>
          <w:rFonts w:ascii="AvantGarde Bk BT" w:hAnsi="AvantGarde Bk BT" w:cs="Arial"/>
          <w:b/>
          <w:i/>
          <w:sz w:val="22"/>
          <w:szCs w:val="24"/>
        </w:rPr>
        <w:t>documental.-</w:t>
      </w:r>
      <w:proofErr w:type="gramEnd"/>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22DFC2AC" w14:textId="4C17D789" w:rsidR="006A16AC" w:rsidRDefault="00196B0C"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Establecido lo anterior, resulta oportuno precisar que </w:t>
      </w:r>
      <w:r w:rsidR="006A16AC">
        <w:rPr>
          <w:rFonts w:ascii="AvantGarde Bk BT" w:hAnsi="AvantGarde Bk BT" w:cs="Arial"/>
          <w:color w:val="000000" w:themeColor="text1"/>
          <w:sz w:val="24"/>
          <w:szCs w:val="24"/>
        </w:rPr>
        <w:t xml:space="preserve">en el informe que rindió el sujeto obligado durante el periodo de instrucción del recurso de revisión en que se actúa, hizo de conocimiento de esta Comisión que modificó el acto impugnado el emitir una respuesta que fue notificada a la persona recurrente </w:t>
      </w:r>
      <w:r w:rsidR="00665926">
        <w:rPr>
          <w:rFonts w:ascii="AvantGarde Bk BT" w:hAnsi="AvantGarde Bk BT" w:cs="Arial"/>
          <w:color w:val="000000" w:themeColor="text1"/>
          <w:sz w:val="24"/>
          <w:szCs w:val="24"/>
        </w:rPr>
        <w:t xml:space="preserve">el </w:t>
      </w:r>
      <w:r w:rsidR="004763AD">
        <w:rPr>
          <w:rFonts w:ascii="AvantGarde Bk BT" w:hAnsi="AvantGarde Bk BT" w:cs="Arial"/>
          <w:color w:val="000000" w:themeColor="text1"/>
          <w:sz w:val="24"/>
          <w:szCs w:val="24"/>
        </w:rPr>
        <w:t xml:space="preserve">tres </w:t>
      </w:r>
      <w:r w:rsidR="00665926">
        <w:rPr>
          <w:rFonts w:ascii="AvantGarde Bk BT" w:hAnsi="AvantGarde Bk BT" w:cs="Arial"/>
          <w:color w:val="000000" w:themeColor="text1"/>
          <w:sz w:val="24"/>
          <w:szCs w:val="24"/>
        </w:rPr>
        <w:t xml:space="preserve">de </w:t>
      </w:r>
      <w:r w:rsidR="004763AD">
        <w:rPr>
          <w:rFonts w:ascii="AvantGarde Bk BT" w:hAnsi="AvantGarde Bk BT" w:cs="Arial"/>
          <w:color w:val="000000" w:themeColor="text1"/>
          <w:sz w:val="24"/>
          <w:szCs w:val="24"/>
        </w:rPr>
        <w:t>agosto</w:t>
      </w:r>
      <w:r w:rsidR="00665926">
        <w:rPr>
          <w:rFonts w:ascii="AvantGarde Bk BT" w:hAnsi="AvantGarde Bk BT" w:cs="Arial"/>
          <w:color w:val="000000" w:themeColor="text1"/>
          <w:sz w:val="24"/>
          <w:szCs w:val="24"/>
        </w:rPr>
        <w:t xml:space="preserve"> de dos mil veintiséis </w:t>
      </w:r>
      <w:r w:rsidR="006A16AC">
        <w:rPr>
          <w:rFonts w:ascii="AvantGarde Bk BT" w:hAnsi="AvantGarde Bk BT" w:cs="Arial"/>
          <w:color w:val="000000" w:themeColor="text1"/>
          <w:sz w:val="24"/>
          <w:szCs w:val="24"/>
        </w:rPr>
        <w:t>a través de la cuenta de correo electrónico que designó para efecto de oír y recibir no</w:t>
      </w:r>
      <w:r w:rsidR="004763AD">
        <w:rPr>
          <w:rFonts w:ascii="AvantGarde Bk BT" w:hAnsi="AvantGarde Bk BT" w:cs="Arial"/>
          <w:color w:val="000000" w:themeColor="text1"/>
          <w:sz w:val="24"/>
          <w:szCs w:val="24"/>
        </w:rPr>
        <w:t xml:space="preserve">tificaciones (visible de foja </w:t>
      </w:r>
      <w:r w:rsidR="00F92F07">
        <w:rPr>
          <w:rFonts w:ascii="AvantGarde Bk BT" w:hAnsi="AvantGarde Bk BT" w:cs="Arial"/>
          <w:color w:val="000000" w:themeColor="text1"/>
          <w:sz w:val="24"/>
          <w:szCs w:val="24"/>
        </w:rPr>
        <w:t>1</w:t>
      </w:r>
      <w:r w:rsidR="00B35C02">
        <w:rPr>
          <w:rFonts w:ascii="AvantGarde Bk BT" w:hAnsi="AvantGarde Bk BT" w:cs="Arial"/>
          <w:color w:val="000000" w:themeColor="text1"/>
          <w:sz w:val="24"/>
          <w:szCs w:val="24"/>
        </w:rPr>
        <w:t>8</w:t>
      </w:r>
      <w:r w:rsidR="006A16AC">
        <w:rPr>
          <w:rFonts w:ascii="AvantGarde Bk BT" w:hAnsi="AvantGarde Bk BT" w:cs="Arial"/>
          <w:color w:val="000000" w:themeColor="text1"/>
          <w:sz w:val="24"/>
          <w:szCs w:val="24"/>
        </w:rPr>
        <w:t xml:space="preserve"> de autos).</w:t>
      </w:r>
    </w:p>
    <w:p w14:paraId="43522FC9" w14:textId="0D05C875" w:rsidR="006A16AC" w:rsidRDefault="006A16AC" w:rsidP="004D7235">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w:t>
      </w:r>
      <w:r w:rsidR="00B35C02">
        <w:rPr>
          <w:rFonts w:ascii="AvantGarde Bk BT" w:hAnsi="AvantGarde Bk BT" w:cs="Arial"/>
          <w:color w:val="000000" w:themeColor="text1"/>
          <w:sz w:val="24"/>
          <w:szCs w:val="24"/>
        </w:rPr>
        <w:t>la respuesta complementaria d</w:t>
      </w:r>
      <w:r>
        <w:rPr>
          <w:rFonts w:ascii="AvantGarde Bk BT" w:hAnsi="AvantGarde Bk BT" w:cs="Arial"/>
          <w:color w:val="000000" w:themeColor="text1"/>
          <w:sz w:val="24"/>
          <w:szCs w:val="24"/>
        </w:rPr>
        <w:t xml:space="preserve">el sujeto obligado </w:t>
      </w:r>
      <w:r w:rsidR="00B35C02">
        <w:rPr>
          <w:rFonts w:ascii="AvantGarde Bk BT" w:hAnsi="AvantGarde Bk BT" w:cs="Arial"/>
          <w:color w:val="000000" w:themeColor="text1"/>
          <w:sz w:val="24"/>
          <w:szCs w:val="24"/>
        </w:rPr>
        <w:t>fue emitida</w:t>
      </w:r>
      <w:r>
        <w:rPr>
          <w:rFonts w:ascii="AvantGarde Bk BT" w:hAnsi="AvantGarde Bk BT" w:cs="Arial"/>
          <w:color w:val="000000" w:themeColor="text1"/>
          <w:sz w:val="24"/>
          <w:szCs w:val="24"/>
        </w:rPr>
        <w:t xml:space="preserve"> en los siguientes términos:</w:t>
      </w:r>
    </w:p>
    <w:p w14:paraId="139AE3C4" w14:textId="73857CF7" w:rsidR="004D7F0A" w:rsidRPr="004D7F0A" w:rsidRDefault="006A16AC" w:rsidP="004D7F0A">
      <w:pPr>
        <w:spacing w:after="0" w:line="240" w:lineRule="auto"/>
        <w:ind w:left="680" w:right="680"/>
        <w:jc w:val="both"/>
        <w:rPr>
          <w:rFonts w:ascii="AvantGarde Bk BT" w:hAnsi="AvantGarde Bk BT" w:cs="Arial"/>
          <w:i/>
          <w:color w:val="000000" w:themeColor="text1"/>
          <w:szCs w:val="24"/>
        </w:rPr>
      </w:pPr>
      <w:r>
        <w:rPr>
          <w:rFonts w:ascii="AvantGarde Bk BT" w:hAnsi="AvantGarde Bk BT" w:cs="Arial"/>
          <w:color w:val="000000" w:themeColor="text1"/>
          <w:sz w:val="24"/>
          <w:szCs w:val="24"/>
        </w:rPr>
        <w:t>“</w:t>
      </w:r>
      <w:r w:rsidR="004D7F0A">
        <w:rPr>
          <w:rFonts w:ascii="AvantGarde Bk BT" w:hAnsi="AvantGarde Bk BT" w:cs="Arial"/>
          <w:i/>
          <w:color w:val="000000" w:themeColor="text1"/>
          <w:szCs w:val="24"/>
        </w:rPr>
        <w:t>APRECIABLE SOLICITANTE</w:t>
      </w:r>
    </w:p>
    <w:p w14:paraId="56C6E1EC" w14:textId="06308F6D"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Pr>
          <w:rFonts w:ascii="AvantGarde Bk BT" w:hAnsi="AvantGarde Bk BT" w:cs="Arial"/>
          <w:i/>
          <w:color w:val="000000" w:themeColor="text1"/>
          <w:szCs w:val="24"/>
        </w:rPr>
        <w:t>PRESENTE.</w:t>
      </w:r>
    </w:p>
    <w:p w14:paraId="5E49F52E" w14:textId="4FBFCD24"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En respuesta a su solicitud de información que se recibió en la Plataforma Nacional de Transparencia</w:t>
      </w:r>
      <w:r>
        <w:rPr>
          <w:rFonts w:ascii="AvantGarde Bk BT" w:hAnsi="AvantGarde Bk BT" w:cs="Arial"/>
          <w:i/>
          <w:color w:val="000000" w:themeColor="text1"/>
          <w:szCs w:val="24"/>
        </w:rPr>
        <w:t xml:space="preserve"> con folio 240470526000086 cuyo contenido es:</w:t>
      </w:r>
    </w:p>
    <w:p w14:paraId="329810D5" w14:textId="5C5C58F5" w:rsidR="004D7F0A" w:rsidRPr="004D7F0A" w:rsidRDefault="004D7F0A" w:rsidP="004D7F0A">
      <w:pPr>
        <w:spacing w:after="0" w:line="240" w:lineRule="auto"/>
        <w:ind w:left="680" w:right="680"/>
        <w:jc w:val="center"/>
        <w:rPr>
          <w:rFonts w:ascii="AvantGarde Bk BT" w:hAnsi="AvantGarde Bk BT" w:cs="Arial"/>
          <w:i/>
          <w:color w:val="000000" w:themeColor="text1"/>
          <w:szCs w:val="24"/>
        </w:rPr>
      </w:pPr>
      <w:r>
        <w:rPr>
          <w:rFonts w:ascii="AvantGarde Bk BT" w:hAnsi="AvantGarde Bk BT" w:cs="Arial"/>
          <w:i/>
          <w:color w:val="000000" w:themeColor="text1"/>
          <w:szCs w:val="24"/>
        </w:rPr>
        <w:t>[Transcripción de la solicitud de información]</w:t>
      </w:r>
    </w:p>
    <w:p w14:paraId="0A3B9D59" w14:textId="77777777" w:rsid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 xml:space="preserve">Se informa, que atendiendo a lo establecido en el artículo 33 de la Ley Orgánica de la Administración Pública y Reglamento Interior no son facultades de la Secretaría de Finanzas del Gobierno del Estado, por tal motivo no le resulta competencia a este sujeto obligado conocer del tema señalado en la solicitud de información, por lo que, con fundamento a lo dispuesto por el artículo 158 de la Ley de Transparencia y Acceso a la Información Pública del Estado, , se orienta </w:t>
      </w:r>
      <w:r w:rsidRPr="004D7F0A">
        <w:rPr>
          <w:rFonts w:ascii="AvantGarde Bk BT" w:hAnsi="AvantGarde Bk BT" w:cs="Arial"/>
          <w:i/>
          <w:color w:val="000000" w:themeColor="text1"/>
          <w:szCs w:val="24"/>
        </w:rPr>
        <w:lastRenderedPageBreak/>
        <w:t>al peticionario a efecto se dirija su solicitud a Oficialía</w:t>
      </w:r>
      <w:r>
        <w:rPr>
          <w:rFonts w:ascii="AvantGarde Bk BT" w:hAnsi="AvantGarde Bk BT" w:cs="Arial"/>
          <w:i/>
          <w:color w:val="000000" w:themeColor="text1"/>
          <w:szCs w:val="24"/>
        </w:rPr>
        <w:t xml:space="preserve"> Mayor del Estado de San </w:t>
      </w:r>
      <w:r w:rsidRPr="004D7F0A">
        <w:rPr>
          <w:rFonts w:ascii="AvantGarde Bk BT" w:hAnsi="AvantGarde Bk BT" w:cs="Arial"/>
          <w:i/>
          <w:color w:val="000000" w:themeColor="text1"/>
          <w:szCs w:val="24"/>
        </w:rPr>
        <w:t>Luis Potosí., según se dispone en los artículos 3 fracción I inciso b), 31 fracción XIV, 41 fracciones I, II, XIX y XXVII de la Ley Orgánica de la Administración Pública del Estado de San Luis Potosí, lo anterior en virtud de que resulta ser la autoridad competente para atender</w:t>
      </w:r>
      <w:r>
        <w:rPr>
          <w:rFonts w:ascii="AvantGarde Bk BT" w:hAnsi="AvantGarde Bk BT" w:cs="Arial"/>
          <w:i/>
          <w:color w:val="000000" w:themeColor="text1"/>
          <w:szCs w:val="24"/>
        </w:rPr>
        <w:t xml:space="preserve"> lo concerniente a su solicitud</w:t>
      </w:r>
    </w:p>
    <w:p w14:paraId="004DC925" w14:textId="716DE84C"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Teniendo su ubicación en la calle Guerreo No. 800, zona centro, Teléfono 8124601, en un horario de 08:00 a 15:00 horas de lunes à viernes. correo electrón</w:t>
      </w:r>
      <w:r>
        <w:rPr>
          <w:rFonts w:ascii="AvantGarde Bk BT" w:hAnsi="AvantGarde Bk BT" w:cs="Arial"/>
          <w:i/>
          <w:color w:val="000000" w:themeColor="text1"/>
          <w:szCs w:val="24"/>
        </w:rPr>
        <w:t>ico: transparenciaom</w:t>
      </w:r>
      <w:r w:rsidRPr="004D7F0A">
        <w:rPr>
          <w:rFonts w:ascii="AvantGarde Bk BT" w:hAnsi="AvantGarde Bk BT" w:cs="Arial"/>
          <w:i/>
          <w:color w:val="000000" w:themeColor="text1"/>
          <w:szCs w:val="24"/>
        </w:rPr>
        <w:t>@slp.gob.mx, ya que es la dependencia que posiblemente pueda dar acce</w:t>
      </w:r>
      <w:r>
        <w:rPr>
          <w:rFonts w:ascii="AvantGarde Bk BT" w:hAnsi="AvantGarde Bk BT" w:cs="Arial"/>
          <w:i/>
          <w:color w:val="000000" w:themeColor="text1"/>
          <w:szCs w:val="24"/>
        </w:rPr>
        <w:t>so a la información solicitada.</w:t>
      </w:r>
    </w:p>
    <w:p w14:paraId="4468C37B" w14:textId="1ACD4559"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Conforme con los artículos 163 y 166 de la Ley de Transparencia y Acceso a la Información Pública del Estado de San Luis Potosí, se hace de su conocimiento que, para cualquier inconformidad relacionada con la respuesta recibida por la Unidad de Transparencia de la Secretaría de Finanzas, podrá interponer recurso de revisión dentr</w:t>
      </w:r>
      <w:r>
        <w:rPr>
          <w:rFonts w:ascii="AvantGarde Bk BT" w:hAnsi="AvantGarde Bk BT" w:cs="Arial"/>
          <w:i/>
          <w:color w:val="000000" w:themeColor="text1"/>
          <w:szCs w:val="24"/>
        </w:rPr>
        <w:t>o del plazo de 15 días hábiles.</w:t>
      </w:r>
    </w:p>
    <w:p w14:paraId="243B36CE" w14:textId="3BB23679"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Pr>
          <w:rFonts w:ascii="AvantGarde Bk BT" w:hAnsi="AvantGarde Bk BT" w:cs="Arial"/>
          <w:i/>
          <w:color w:val="000000" w:themeColor="text1"/>
          <w:szCs w:val="24"/>
        </w:rPr>
        <w:t>ATENTAMENTE</w:t>
      </w:r>
    </w:p>
    <w:p w14:paraId="65E00B21" w14:textId="3B6536A7"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LIC. OSCAR M</w:t>
      </w:r>
      <w:r>
        <w:rPr>
          <w:rFonts w:ascii="AvantGarde Bk BT" w:hAnsi="AvantGarde Bk BT" w:cs="Arial"/>
          <w:i/>
          <w:color w:val="000000" w:themeColor="text1"/>
          <w:szCs w:val="24"/>
        </w:rPr>
        <w:t>ARTIN ALVARADO CANO</w:t>
      </w:r>
    </w:p>
    <w:p w14:paraId="34395A39" w14:textId="01A16EDC" w:rsidR="004D7F0A" w:rsidRPr="004D7F0A" w:rsidRDefault="004D7F0A" w:rsidP="004D7F0A">
      <w:pPr>
        <w:spacing w:after="0" w:line="240" w:lineRule="auto"/>
        <w:ind w:left="680" w:right="680"/>
        <w:jc w:val="both"/>
        <w:rPr>
          <w:rFonts w:ascii="AvantGarde Bk BT" w:hAnsi="AvantGarde Bk BT" w:cs="Arial"/>
          <w:i/>
          <w:color w:val="000000" w:themeColor="text1"/>
          <w:szCs w:val="24"/>
        </w:rPr>
      </w:pPr>
      <w:r w:rsidRPr="004D7F0A">
        <w:rPr>
          <w:rFonts w:ascii="AvantGarde Bk BT" w:hAnsi="AvantGarde Bk BT" w:cs="Arial"/>
          <w:i/>
          <w:color w:val="000000" w:themeColor="text1"/>
          <w:szCs w:val="24"/>
        </w:rPr>
        <w:t>TITULA</w:t>
      </w:r>
      <w:r>
        <w:rPr>
          <w:rFonts w:ascii="AvantGarde Bk BT" w:hAnsi="AvantGarde Bk BT" w:cs="Arial"/>
          <w:i/>
          <w:color w:val="000000" w:themeColor="text1"/>
          <w:szCs w:val="24"/>
        </w:rPr>
        <w:t>R DE LA UNIDAD DE TRANSPARENCIA</w:t>
      </w:r>
    </w:p>
    <w:p w14:paraId="15DDD0E1" w14:textId="274C7E47" w:rsidR="006A16AC" w:rsidRDefault="004D7F0A" w:rsidP="004D7F0A">
      <w:pPr>
        <w:spacing w:line="240" w:lineRule="auto"/>
        <w:ind w:left="680" w:right="680"/>
        <w:jc w:val="both"/>
        <w:rPr>
          <w:rFonts w:ascii="AvantGarde Bk BT" w:hAnsi="AvantGarde Bk BT" w:cs="Arial"/>
          <w:color w:val="000000" w:themeColor="text1"/>
          <w:sz w:val="24"/>
          <w:szCs w:val="24"/>
        </w:rPr>
      </w:pPr>
      <w:r w:rsidRPr="004D7F0A">
        <w:rPr>
          <w:rFonts w:ascii="AvantGarde Bk BT" w:hAnsi="AvantGarde Bk BT" w:cs="Arial"/>
          <w:i/>
          <w:color w:val="000000" w:themeColor="text1"/>
          <w:szCs w:val="24"/>
        </w:rPr>
        <w:t>DE LA SECRETARÍA DE FINANZAS DE GOBIERNO DEL ESTADO</w:t>
      </w:r>
      <w:r>
        <w:rPr>
          <w:rFonts w:ascii="AvantGarde Bk BT" w:hAnsi="AvantGarde Bk BT" w:cs="Arial"/>
          <w:i/>
          <w:color w:val="000000" w:themeColor="text1"/>
          <w:szCs w:val="24"/>
        </w:rPr>
        <w:t>.</w:t>
      </w:r>
      <w:r w:rsidR="006A16AC">
        <w:rPr>
          <w:rFonts w:ascii="AvantGarde Bk BT" w:hAnsi="AvantGarde Bk BT" w:cs="Arial"/>
          <w:color w:val="000000" w:themeColor="text1"/>
          <w:sz w:val="24"/>
          <w:szCs w:val="24"/>
        </w:rPr>
        <w:t>”</w:t>
      </w:r>
      <w:r w:rsidR="004D723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SIC (Visible a foja 17 de autos).</w:t>
      </w:r>
    </w:p>
    <w:p w14:paraId="19B09604" w14:textId="18DF01D5" w:rsidR="004D7F0A" w:rsidRDefault="004D7235" w:rsidP="004D7F0A">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la transcripción que antecede se desprende que el sujeto obligado</w:t>
      </w:r>
      <w:r w:rsidR="004D7F0A">
        <w:rPr>
          <w:rFonts w:ascii="AvantGarde Bk BT" w:hAnsi="AvantGarde Bk BT" w:cs="Arial"/>
          <w:color w:val="000000" w:themeColor="text1"/>
          <w:sz w:val="24"/>
          <w:szCs w:val="24"/>
        </w:rPr>
        <w:t xml:space="preserve"> se declaró incompetente para conocer de la solicitud de información y declinó la competencia a la Oficialía Mayor de Gobierno del Estado, esto en términos de los artículos 33 y 41 de la Ley Orgánica de la Administración Pública, con relación al artículo 158 de la Ley de Transparencia local.</w:t>
      </w:r>
    </w:p>
    <w:p w14:paraId="3D74CA05" w14:textId="232FCBAC" w:rsidR="00FA5741" w:rsidRDefault="00FA5741" w:rsidP="00FA5741">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Respecto de este tópico, la Ley de Transparencia local prescribe que, en caso de que el sujeto obligado no cuente con la información requerida derivado de carecer de atribuciones para generarla, archivarla y/o resguardarla, deberá declararse incompetente y hacerlo de conocimiento de la persona solicitante, debiendo señalar el o los sujetos obligados competentes.</w:t>
      </w:r>
      <w:r>
        <w:rPr>
          <w:rStyle w:val="Refdenotaalpie"/>
          <w:rFonts w:ascii="AvantGarde Bk BT" w:hAnsi="AvantGarde Bk BT" w:cs="Arial"/>
          <w:color w:val="000000" w:themeColor="text1"/>
        </w:rPr>
        <w:footnoteReference w:id="3"/>
      </w:r>
    </w:p>
    <w:p w14:paraId="4476F510" w14:textId="77777777" w:rsidR="00FA5741" w:rsidRDefault="00FA5741" w:rsidP="00FA5741">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t>A este respecto, la incompetencia es una cualidad atribuida al sujeto obligado que la declara, en cuanto a que carece de atribuciones y/o competencias para generar, archivar, poseer y/o resguardar la información solicitada.</w:t>
      </w:r>
    </w:p>
    <w:p w14:paraId="22A43916" w14:textId="77777777" w:rsidR="00FA5741" w:rsidRDefault="00FA5741" w:rsidP="00FA5741">
      <w:pPr>
        <w:pStyle w:val="corte4fondo"/>
        <w:tabs>
          <w:tab w:val="left" w:pos="567"/>
        </w:tabs>
        <w:rPr>
          <w:rFonts w:ascii="AvantGarde Bk BT" w:hAnsi="AvantGarde Bk BT" w:cs="Arial"/>
          <w:sz w:val="24"/>
          <w:szCs w:val="24"/>
        </w:rPr>
      </w:pPr>
      <w:r>
        <w:rPr>
          <w:rFonts w:ascii="AvantGarde Bk BT" w:hAnsi="AvantGarde Bk BT" w:cs="Arial"/>
          <w:sz w:val="24"/>
          <w:szCs w:val="24"/>
        </w:rPr>
        <w:t>Sirve de apoyo a lo anterior, el siguiente criterio emitido por el Instituto Nacional de Transparencia, Acceso a la Información y Protección de Datos Personales:</w:t>
      </w:r>
    </w:p>
    <w:p w14:paraId="112EC568" w14:textId="77777777" w:rsidR="00FA5741" w:rsidRDefault="00FA5741" w:rsidP="00FA5741">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lastRenderedPageBreak/>
        <w:t>“</w:t>
      </w:r>
      <w:r>
        <w:rPr>
          <w:rFonts w:ascii="AvantGarde Bk BT" w:hAnsi="AvantGarde Bk BT" w:cs="Arial"/>
          <w:b/>
          <w:i/>
          <w:sz w:val="22"/>
          <w:szCs w:val="24"/>
        </w:rPr>
        <w:t>Criterio 13/17. Incompetencia.</w:t>
      </w:r>
      <w:r>
        <w:rPr>
          <w:rFonts w:ascii="AvantGarde Bk BT" w:hAnsi="AvantGarde Bk BT" w:cs="Arial"/>
          <w:i/>
          <w:sz w:val="22"/>
          <w:szCs w:val="24"/>
        </w:rPr>
        <w:t xml:space="preserve"> La incompetencia implica </w:t>
      </w:r>
      <w:r>
        <w:rPr>
          <w:rFonts w:ascii="AvantGarde Bk BT" w:hAnsi="AvantGarde Bk BT" w:cs="Arial"/>
          <w:i/>
          <w:sz w:val="22"/>
          <w:szCs w:val="24"/>
          <w:u w:val="single"/>
        </w:rPr>
        <w:t>la ausencia de atribuciones del sujeto obligado para poseer la información solicitada</w:t>
      </w:r>
      <w:r>
        <w:rPr>
          <w:rFonts w:ascii="AvantGarde Bk BT" w:hAnsi="AvantGarde Bk BT" w:cs="Arial"/>
          <w:i/>
          <w:sz w:val="22"/>
          <w:szCs w:val="24"/>
        </w:rPr>
        <w:t>; es decir, se trata de una cuestión de derecho, en tanto que no existan facultades para contar con lo requerido; por lo que la incompetencia es una cualidad atribuida al sujeto obligado que la declara</w:t>
      </w:r>
      <w:r>
        <w:rPr>
          <w:rFonts w:ascii="AvantGarde Bk BT" w:hAnsi="AvantGarde Bk BT" w:cs="Arial"/>
          <w:i/>
          <w:sz w:val="20"/>
          <w:szCs w:val="24"/>
        </w:rPr>
        <w:t>.</w:t>
      </w:r>
      <w:r>
        <w:rPr>
          <w:rFonts w:ascii="AvantGarde Bk BT" w:hAnsi="AvantGarde Bk BT" w:cs="Arial"/>
          <w:sz w:val="24"/>
          <w:szCs w:val="24"/>
        </w:rPr>
        <w:t>” Énfasis propio.</w:t>
      </w:r>
    </w:p>
    <w:p w14:paraId="3E55FEC7" w14:textId="70FA9E0D" w:rsidR="00FA5741" w:rsidRDefault="00FA5741" w:rsidP="004D7F0A">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acuerdo con lo anterior, es necesario analizar la normativa del sujeto obligado a fin de determinar si la respuesta emitida resulta válida.</w:t>
      </w:r>
    </w:p>
    <w:p w14:paraId="6AB4420E" w14:textId="341E527E" w:rsidR="00FA5741" w:rsidRDefault="00FA5741" w:rsidP="00FA5741">
      <w:pPr>
        <w:tabs>
          <w:tab w:val="left" w:pos="1170"/>
        </w:tabs>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b/>
        <w:t>Pues bien, de acuerdo con</w:t>
      </w:r>
      <w:r w:rsidR="00066FA8">
        <w:rPr>
          <w:rFonts w:ascii="AvantGarde Bk BT" w:hAnsi="AvantGarde Bk BT" w:cs="Arial"/>
          <w:color w:val="000000" w:themeColor="text1"/>
          <w:sz w:val="24"/>
          <w:szCs w:val="24"/>
        </w:rPr>
        <w:t xml:space="preserve"> el artículo 33 de</w:t>
      </w:r>
      <w:r>
        <w:rPr>
          <w:rFonts w:ascii="AvantGarde Bk BT" w:hAnsi="AvantGarde Bk BT" w:cs="Arial"/>
          <w:color w:val="000000" w:themeColor="text1"/>
          <w:sz w:val="24"/>
          <w:szCs w:val="24"/>
        </w:rPr>
        <w:t xml:space="preserve"> la Ley Orgánica de la Administración Pública, la Secretaría de Finezas cuenta con las siguientes atribuciones:</w:t>
      </w:r>
    </w:p>
    <w:p w14:paraId="21EABB11"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Proponer e instrumentar la política fiscal y de deuda pública del Estado, tomando en cuenta los convenios celebrados por el Estado con la Federación y los Ayuntamientos, así como las disposiciones</w:t>
      </w:r>
      <w:r>
        <w:rPr>
          <w:rFonts w:ascii="AvantGarde Bk BT" w:hAnsi="AvantGarde Bk BT" w:cs="Arial"/>
          <w:color w:val="000000" w:themeColor="text1"/>
          <w:sz w:val="24"/>
          <w:szCs w:val="24"/>
        </w:rPr>
        <w:t xml:space="preserve"> jurídicas sobre la materia; </w:t>
      </w:r>
    </w:p>
    <w:p w14:paraId="1C2F8521"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Proyectar y calcular el ingreso público del Estado, de acuerdo con la demanda del gasto público; </w:t>
      </w:r>
    </w:p>
    <w:p w14:paraId="130E4234"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Estudiar, formular y presentar al Ejecutivo el anteproyecto de la Ley de Ingresos; </w:t>
      </w:r>
    </w:p>
    <w:p w14:paraId="051B9357"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Recaudar los impuestos, derechos, contribuciones de mejoras, productos y aprovechamientos que correspondan al Estado; administrar las participaciones federales en los términos de los convenios celebrados, así como vigilar y asegurar el cumplimiento de las disposiciones fiscales; </w:t>
      </w:r>
    </w:p>
    <w:p w14:paraId="69FFDA9D" w14:textId="35AF4AB6"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Establecer y revisar los precios y tarifas de los bienes y servicios de la administración pública estatal y fijar sus bases con la participación de las dependencias y entidades que correspondan; </w:t>
      </w:r>
    </w:p>
    <w:p w14:paraId="525AF0FB"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Ejercer las atribuciones derivadas de los convenios fiscales que celebre el Gobierno del Estado con la Secretaría de Hacienda y Crédito Público del Gobierno Federal, con los Gobiernos Municipales y con los organismos públicos y privados; </w:t>
      </w:r>
    </w:p>
    <w:p w14:paraId="55422EE0"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Establecer y mantener al corriente el padrón fiscal de contribuyentes; IX. Practicar revisiones y auditorías a los contribuyentes, de conformidad con las disposiciones legales aplicables; </w:t>
      </w:r>
    </w:p>
    <w:p w14:paraId="1361FC00"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Proporcionar asesoría en materia de interpretación y aplicación de las leyes tributarias que le sea solicitada por las dependencias y entidades de la administración pública, por los Ayuntamientos y por los particulares, así como realizar una labor permanente de difusión y orientación fiscal; </w:t>
      </w:r>
    </w:p>
    <w:p w14:paraId="610EAEB5" w14:textId="79D24B30"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Ejercer la facultad económico-coactiva, conforme a las leyes de la materia; </w:t>
      </w:r>
    </w:p>
    <w:p w14:paraId="37B6FDE9"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Vigilar el cumplimiento de las disposiciones legales y administrativas de carácter fiscal y demás de su ramo, vigentes en el Estado; </w:t>
      </w:r>
    </w:p>
    <w:p w14:paraId="2D72D63F"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Imponer las sanciones por infracción a las disposiciones fiscales, de conformidad con la legislación aplicable; </w:t>
      </w:r>
    </w:p>
    <w:p w14:paraId="61181941"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Dictar las normas relacionadas con el manejo de fondos y valores de las entidades y dependencias de la administración pública estatal, así como custodiar los documentos que constituyen valores, acciones y demás derechos que formen parte del patrimonio del Estado; </w:t>
      </w:r>
    </w:p>
    <w:p w14:paraId="76E03B00"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lastRenderedPageBreak/>
        <w:t xml:space="preserve">Cuidar que los empleados y funcionarios que tengan a su cargo el manejo de fondos públicos lo caucionen debidamente en los términos de ley; </w:t>
      </w:r>
    </w:p>
    <w:p w14:paraId="41C91A58"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Negociar y administrar, previo acuerdo del Ejecutivo, la deuda pública del Estado, en términos de las disposiciones legales aplicables; </w:t>
      </w:r>
    </w:p>
    <w:p w14:paraId="15DEE01E"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Coordinar y dictar la normatividad necesaria para el control y evaluación de las actividades de las oficinas recaudadoras en el Estado; </w:t>
      </w:r>
    </w:p>
    <w:p w14:paraId="3B8BFDC1" w14:textId="72949196" w:rsidR="00FA5741"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Efectuar los pagos conforme a los programas y presupuestos aprobados y formular mensualmente el estado de origen y aplicación de los recursos financieros y tributarios del Estado;</w:t>
      </w:r>
    </w:p>
    <w:p w14:paraId="1E1922E8"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Establecer y operar el Sistema Estat</w:t>
      </w:r>
      <w:r>
        <w:rPr>
          <w:rFonts w:ascii="AvantGarde Bk BT" w:hAnsi="AvantGarde Bk BT" w:cs="Arial"/>
          <w:color w:val="000000" w:themeColor="text1"/>
          <w:sz w:val="24"/>
          <w:szCs w:val="24"/>
        </w:rPr>
        <w:t xml:space="preserve">al de Control Presupuestal; </w:t>
      </w:r>
    </w:p>
    <w:p w14:paraId="69D72AEC"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Formular los estados financieros de la Hacienda Pública estatal en los térm</w:t>
      </w:r>
      <w:r>
        <w:rPr>
          <w:rFonts w:ascii="AvantGarde Bk BT" w:hAnsi="AvantGarde Bk BT" w:cs="Arial"/>
          <w:color w:val="000000" w:themeColor="text1"/>
          <w:sz w:val="24"/>
          <w:szCs w:val="24"/>
        </w:rPr>
        <w:t xml:space="preserve">inos de la ley respectiva; </w:t>
      </w:r>
    </w:p>
    <w:p w14:paraId="0D69E811"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Proponer al Gobernador del Estado la cancelación de cuentas incobrables, así como el otorgamiento de subsidios y estímulos fiscales en los casos que proceda conforme a las disposiciones legales; </w:t>
      </w:r>
    </w:p>
    <w:p w14:paraId="45126905"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Intervenir en los juicios de carácter fiscal que se ventilen ante cualquier tribunal cuando tenga interés la Hacienda Pública del Estado; </w:t>
      </w:r>
    </w:p>
    <w:p w14:paraId="44058509"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Establecer las políticas y lineamientos del Sistema Estatal de Contabilidad Gubernamental y coordinar su funcionamiento; </w:t>
      </w:r>
    </w:p>
    <w:p w14:paraId="487A2E11"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Hacer la glosa preventiva de los ingresos y egresos del Gobierno del Estado; elaborar la cuenta pública; y mantener las relaciones con la Auditoria Superior del Estado; </w:t>
      </w:r>
    </w:p>
    <w:p w14:paraId="07F35422"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Emitir la normatividad e intervenir en el otorgamiento de subsidios y estímulos fiscales, vigilando que los recursos se apliquen en los términos debidos; </w:t>
      </w:r>
    </w:p>
    <w:p w14:paraId="21394125"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Presentar las denuncias y querellas correspondientes cuando la Hacienda Pública resulte afectada; </w:t>
      </w:r>
    </w:p>
    <w:p w14:paraId="7AEF3CCC"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Fungir como fideicomitente de la administración pública estatal en los fideicomisos constituidos por el Ejecutivo, excepto en fideicomisos traslativos de dominio de bienes inmuebles; y </w:t>
      </w:r>
    </w:p>
    <w:p w14:paraId="7E0BFF90"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Presentar ante el Congreso del Estado, la información a que se refiere la fracción VI del artículo 80 de la Constitución Política del Estado, a más tardar dentro de los treinta días siguientes a la culminación del período que se informa, con excepción del último período de cada año cuyo plazo será de noventa días. El incumplimiento de esta disposición será objeto de responsabilidad administrativa, y </w:t>
      </w:r>
    </w:p>
    <w:p w14:paraId="7BE8F38E"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Diseñar el Sistema Estatal de Planeación, y establecer la normatividad del proceso de planeación, programación, </w:t>
      </w:r>
      <w:proofErr w:type="spellStart"/>
      <w:r w:rsidRPr="00066FA8">
        <w:rPr>
          <w:rFonts w:ascii="AvantGarde Bk BT" w:hAnsi="AvantGarde Bk BT" w:cs="Arial"/>
          <w:color w:val="000000" w:themeColor="text1"/>
          <w:sz w:val="24"/>
          <w:szCs w:val="24"/>
        </w:rPr>
        <w:t>presupuestación</w:t>
      </w:r>
      <w:proofErr w:type="spellEnd"/>
      <w:r w:rsidRPr="00066FA8">
        <w:rPr>
          <w:rFonts w:ascii="AvantGarde Bk BT" w:hAnsi="AvantGarde Bk BT" w:cs="Arial"/>
          <w:color w:val="000000" w:themeColor="text1"/>
          <w:sz w:val="24"/>
          <w:szCs w:val="24"/>
        </w:rPr>
        <w:t xml:space="preserve"> y evaluación en apego a las dis</w:t>
      </w:r>
      <w:r>
        <w:rPr>
          <w:rFonts w:ascii="AvantGarde Bk BT" w:hAnsi="AvantGarde Bk BT" w:cs="Arial"/>
          <w:color w:val="000000" w:themeColor="text1"/>
          <w:sz w:val="24"/>
          <w:szCs w:val="24"/>
        </w:rPr>
        <w:t xml:space="preserve">posiciones legales aplicables; </w:t>
      </w:r>
    </w:p>
    <w:p w14:paraId="48A22286" w14:textId="5E10B333" w:rsidR="00FA5741"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Formular, con la participación de las dependencias y entidades de la administración pública y con las organizaciones sociales, el Plan Estatal de Desarrollo y los programas respectivos; así como también el Programa Estatal de Infraestructura contemplado en la ley de Asociaciones Público-Privadas en Proyectos para la Prestación de Servicios del Estado y Municipios de San Luis Potosí.</w:t>
      </w:r>
    </w:p>
    <w:p w14:paraId="6E90EB83"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Asumir la Coordinación del Comité de Planeación para el Desarrollo del Estado (COPLADE), propiciar la operatividad de éste y otros foros de expresión de las organizaciones de la sociedad civil, para reconocer con claridad las demandas y las prioridades</w:t>
      </w:r>
      <w:r>
        <w:rPr>
          <w:rFonts w:ascii="AvantGarde Bk BT" w:hAnsi="AvantGarde Bk BT" w:cs="Arial"/>
          <w:color w:val="000000" w:themeColor="text1"/>
          <w:sz w:val="24"/>
          <w:szCs w:val="24"/>
        </w:rPr>
        <w:t xml:space="preserve"> de la comunidad; </w:t>
      </w:r>
    </w:p>
    <w:p w14:paraId="374C1A2F" w14:textId="77777777"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lastRenderedPageBreak/>
        <w:t xml:space="preserve">Definir y someter a acuerdo del Gobernador del Estado, las prioridades económicas y sociales para la acción de la Administración Pública Estatal, así como los programas y proyectos estratégicos; </w:t>
      </w:r>
    </w:p>
    <w:p w14:paraId="5DE7CAD1"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Normar, coordinar e integrar el Programa Operativo Anual; </w:t>
      </w:r>
    </w:p>
    <w:p w14:paraId="6EAE3F56"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Determinar las necesidades de gasto público de la administración pública estatal, atendiendo a los requerimientos y prioridades del desarrollo económico y social del Estado; </w:t>
      </w:r>
    </w:p>
    <w:p w14:paraId="38D117D2"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Efectuar la distribución del presupuesto entre los diversos programas del gobierno, definiendo montos presupuestales para cada dependencia y entidad; </w:t>
      </w:r>
    </w:p>
    <w:p w14:paraId="1AC1850A"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Determinar el monto de gasto para cada uno de los programas estratégicos definidos por el Gobernador del Estado; </w:t>
      </w:r>
    </w:p>
    <w:p w14:paraId="09BB70DB"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Formular y presentar al Ejecutivo el proyecto del Presupuesto de Egresos, así como el programa general del gasto público; </w:t>
      </w:r>
    </w:p>
    <w:p w14:paraId="716BD28D"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Definir y comunicar a las dependencias y entidades los criterios y normas para el ejercicio del presupuesto aprobado; </w:t>
      </w:r>
    </w:p>
    <w:p w14:paraId="02888261"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Autorizar los programas, los presupuestos, la estructura y el calendario de gasto a cada una de las dependencias y entidades de la administración pública estatal; </w:t>
      </w:r>
    </w:p>
    <w:p w14:paraId="25C4739C"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Conocer del avance del ejercicio presupuestal, y las modificaciones que realicen las dependencias al presupuesto aprobado; </w:t>
      </w:r>
    </w:p>
    <w:p w14:paraId="28230738"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Coordinar la ejecución de planes y programas con la Federación; </w:t>
      </w:r>
    </w:p>
    <w:p w14:paraId="5F522D4E"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Integrar conjuntamente con la Secretaría General de Gobierno, el Informe Anual de Gobierno, y someterlo a consideración del titular del Ejecutivo; </w:t>
      </w:r>
    </w:p>
    <w:p w14:paraId="6D954629" w14:textId="77777777" w:rsidR="000F4293"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 xml:space="preserve">Vigilar y evaluar la ejecución de los programas sectoriales, institucionales, regionales y especiales, y su congruencia con los objetivos del Plan Estatal de Desarrollo; </w:t>
      </w:r>
    </w:p>
    <w:p w14:paraId="41B79208" w14:textId="73BDDF86" w:rsidR="00066FA8" w:rsidRDefault="00066FA8"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66FA8">
        <w:rPr>
          <w:rFonts w:ascii="AvantGarde Bk BT" w:hAnsi="AvantGarde Bk BT" w:cs="Arial"/>
          <w:color w:val="000000" w:themeColor="text1"/>
          <w:sz w:val="24"/>
          <w:szCs w:val="24"/>
        </w:rPr>
        <w:t>Establecer y coordinar el funcionamiento del Sistema Estatal de Información, así como coordinar la información geográfica y estadística de la Entidad;</w:t>
      </w:r>
    </w:p>
    <w:p w14:paraId="62EFB6F4" w14:textId="77777777" w:rsidR="000F4293" w:rsidRDefault="000F4293"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F4293">
        <w:rPr>
          <w:rFonts w:ascii="AvantGarde Bk BT" w:hAnsi="AvantGarde Bk BT" w:cs="Arial"/>
          <w:color w:val="000000" w:themeColor="text1"/>
          <w:sz w:val="24"/>
          <w:szCs w:val="24"/>
        </w:rPr>
        <w:t xml:space="preserve">Delegar a persona específica la función de proporcionar la información que corresponda a la Secretaría, de conformidad con la Ley de Transparencia Administrativa y Acceso a la Información Pública del Estado de San Luis Potosí; </w:t>
      </w:r>
    </w:p>
    <w:p w14:paraId="566E73FB" w14:textId="77777777" w:rsidR="000F4293" w:rsidRDefault="000F4293"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F4293">
        <w:rPr>
          <w:rFonts w:ascii="AvantGarde Bk BT" w:hAnsi="AvantGarde Bk BT" w:cs="Arial"/>
          <w:color w:val="000000" w:themeColor="text1"/>
          <w:sz w:val="24"/>
          <w:szCs w:val="24"/>
        </w:rPr>
        <w:t xml:space="preserve">Confirmar que los financiamientos que se contraten sean celebrados en las mejores condiciones del mercado, y </w:t>
      </w:r>
    </w:p>
    <w:p w14:paraId="56350094" w14:textId="3B63A64B" w:rsidR="000F4293" w:rsidRPr="000F4293" w:rsidRDefault="000F4293" w:rsidP="000F4293">
      <w:pPr>
        <w:pStyle w:val="Prrafodelista"/>
        <w:numPr>
          <w:ilvl w:val="0"/>
          <w:numId w:val="12"/>
        </w:numPr>
        <w:tabs>
          <w:tab w:val="left" w:pos="1170"/>
        </w:tabs>
        <w:spacing w:line="240" w:lineRule="auto"/>
        <w:ind w:left="680" w:firstLine="0"/>
        <w:jc w:val="both"/>
        <w:rPr>
          <w:rFonts w:ascii="AvantGarde Bk BT" w:hAnsi="AvantGarde Bk BT" w:cs="Arial"/>
          <w:color w:val="000000" w:themeColor="text1"/>
          <w:sz w:val="24"/>
          <w:szCs w:val="24"/>
        </w:rPr>
      </w:pPr>
      <w:r w:rsidRPr="000F4293">
        <w:rPr>
          <w:rFonts w:ascii="AvantGarde Bk BT" w:hAnsi="AvantGarde Bk BT" w:cs="Arial"/>
          <w:color w:val="000000" w:themeColor="text1"/>
          <w:sz w:val="24"/>
          <w:szCs w:val="24"/>
        </w:rPr>
        <w:t>Las demás que le señalen las leyes, reglamentos y demás disposiciones que le atribuyan, así como aquellas que le otorgue el Gobernador del Estado.</w:t>
      </w:r>
    </w:p>
    <w:p w14:paraId="0E737E98" w14:textId="62BF8113" w:rsidR="000F4293" w:rsidRDefault="000F4293" w:rsidP="00C06692">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las atribuciones previamente anotadas </w:t>
      </w:r>
      <w:r w:rsidRPr="00C06692">
        <w:rPr>
          <w:rFonts w:ascii="AvantGarde Bk BT" w:hAnsi="AvantGarde Bk BT" w:cs="Arial"/>
          <w:b/>
          <w:color w:val="000000" w:themeColor="text1"/>
          <w:sz w:val="24"/>
          <w:szCs w:val="24"/>
        </w:rPr>
        <w:t>se desprende que la Secretaría de Finanzas es la dependencia responsable de la recaudación, administración y control de los recursos financieros del estado, así como de la ejecución de la política fiscal y hacendaria</w:t>
      </w:r>
      <w:r>
        <w:rPr>
          <w:rFonts w:ascii="AvantGarde Bk BT" w:hAnsi="AvantGarde Bk BT" w:cs="Arial"/>
          <w:color w:val="000000" w:themeColor="text1"/>
          <w:sz w:val="24"/>
          <w:szCs w:val="24"/>
        </w:rPr>
        <w:t>.</w:t>
      </w:r>
    </w:p>
    <w:p w14:paraId="43A31294" w14:textId="17ED8AA6" w:rsidR="00C06692" w:rsidRDefault="00C06692"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el artículo 41 de la Ley </w:t>
      </w:r>
      <w:r w:rsidRPr="00C06692">
        <w:rPr>
          <w:rFonts w:ascii="AvantGarde Bk BT" w:hAnsi="AvantGarde Bk BT" w:cs="Arial"/>
          <w:color w:val="000000" w:themeColor="text1"/>
          <w:sz w:val="24"/>
          <w:szCs w:val="24"/>
        </w:rPr>
        <w:t>Orgánica de la Administración Pública</w:t>
      </w:r>
      <w:r>
        <w:rPr>
          <w:rFonts w:ascii="AvantGarde Bk BT" w:hAnsi="AvantGarde Bk BT" w:cs="Arial"/>
          <w:color w:val="000000" w:themeColor="text1"/>
          <w:sz w:val="24"/>
          <w:szCs w:val="24"/>
        </w:rPr>
        <w:t xml:space="preserve"> prevé que la Oficialía Mayor contará con las siguientes atribuciones</w:t>
      </w:r>
      <w:r w:rsidR="00074D0A">
        <w:rPr>
          <w:rFonts w:ascii="AvantGarde Bk BT" w:hAnsi="AvantGarde Bk BT" w:cs="Arial"/>
          <w:color w:val="000000" w:themeColor="text1"/>
          <w:sz w:val="24"/>
          <w:szCs w:val="24"/>
        </w:rPr>
        <w:t>, entre otras</w:t>
      </w:r>
      <w:r>
        <w:rPr>
          <w:rFonts w:ascii="AvantGarde Bk BT" w:hAnsi="AvantGarde Bk BT" w:cs="Arial"/>
          <w:color w:val="000000" w:themeColor="text1"/>
          <w:sz w:val="24"/>
          <w:szCs w:val="24"/>
        </w:rPr>
        <w:t xml:space="preserve">: </w:t>
      </w:r>
    </w:p>
    <w:p w14:paraId="59915075" w14:textId="77777777" w:rsidR="00C06692"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C06692">
        <w:rPr>
          <w:rFonts w:ascii="AvantGarde Bk BT" w:hAnsi="AvantGarde Bk BT" w:cs="Arial"/>
          <w:color w:val="000000" w:themeColor="text1"/>
          <w:sz w:val="24"/>
          <w:szCs w:val="24"/>
        </w:rPr>
        <w:lastRenderedPageBreak/>
        <w:t xml:space="preserve">Proponer e instrumentar la política de administración de recursos humanos, </w:t>
      </w:r>
      <w:r w:rsidRPr="00C06692">
        <w:rPr>
          <w:rFonts w:ascii="AvantGarde Bk BT" w:hAnsi="AvantGarde Bk BT" w:cs="Arial"/>
          <w:b/>
          <w:color w:val="000000" w:themeColor="text1"/>
          <w:sz w:val="24"/>
          <w:szCs w:val="24"/>
        </w:rPr>
        <w:t>adquisiciones, prestación de servicios generales,</w:t>
      </w:r>
      <w:r w:rsidRPr="00C06692">
        <w:rPr>
          <w:rFonts w:ascii="AvantGarde Bk BT" w:hAnsi="AvantGarde Bk BT" w:cs="Arial"/>
          <w:color w:val="000000" w:themeColor="text1"/>
          <w:sz w:val="24"/>
          <w:szCs w:val="24"/>
        </w:rPr>
        <w:t xml:space="preserve"> y patrimonio inmobiliario </w:t>
      </w:r>
      <w:r w:rsidRPr="00C06692">
        <w:rPr>
          <w:rFonts w:ascii="AvantGarde Bk BT" w:hAnsi="AvantGarde Bk BT" w:cs="Arial"/>
          <w:b/>
          <w:color w:val="000000" w:themeColor="text1"/>
          <w:sz w:val="24"/>
          <w:szCs w:val="24"/>
        </w:rPr>
        <w:t>del Ejecutivo del Estado</w:t>
      </w:r>
      <w:r w:rsidRPr="00C06692">
        <w:rPr>
          <w:rFonts w:ascii="AvantGarde Bk BT" w:hAnsi="AvantGarde Bk BT" w:cs="Arial"/>
          <w:color w:val="000000" w:themeColor="text1"/>
          <w:sz w:val="24"/>
          <w:szCs w:val="24"/>
        </w:rPr>
        <w:t xml:space="preserve">, conforme a las disposiciones jurídicas aplicables; </w:t>
      </w:r>
    </w:p>
    <w:p w14:paraId="0E620C1E" w14:textId="77777777" w:rsidR="00C06692"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C06692">
        <w:rPr>
          <w:rFonts w:ascii="AvantGarde Bk BT" w:hAnsi="AvantGarde Bk BT" w:cs="Arial"/>
          <w:color w:val="000000" w:themeColor="text1"/>
          <w:sz w:val="24"/>
          <w:szCs w:val="24"/>
        </w:rPr>
        <w:t xml:space="preserve">Llevar la administración de sueldos de los trabajadores al servicio del Poder Ejecutivo estatal, estableciendo los lineamientos generales, políticas y programas relativos a los nombramientos, desarrollo, transferencia y separación del personal, con base en las disposiciones legales aplicables; </w:t>
      </w:r>
    </w:p>
    <w:p w14:paraId="60AF6C75" w14:textId="11F75DF3" w:rsidR="00C06692"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C06692">
        <w:rPr>
          <w:rFonts w:ascii="AvantGarde Bk BT" w:hAnsi="AvantGarde Bk BT" w:cs="Arial"/>
          <w:color w:val="000000" w:themeColor="text1"/>
          <w:sz w:val="24"/>
          <w:szCs w:val="24"/>
        </w:rPr>
        <w:t>Proporcionar y administrar las prestaciones económicas y los servicios que correspondan al personal de la administración pública estatal;</w:t>
      </w:r>
    </w:p>
    <w:p w14:paraId="4DA50D2A" w14:textId="5D307ADD" w:rsidR="00C06692"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C06692">
        <w:rPr>
          <w:rFonts w:ascii="AvantGarde Bk BT" w:hAnsi="AvantGarde Bk BT" w:cs="Arial"/>
          <w:color w:val="000000" w:themeColor="text1"/>
          <w:sz w:val="24"/>
          <w:szCs w:val="24"/>
        </w:rPr>
        <w:t xml:space="preserve">Atender las necesidades de los servicios médicos, asistenciales, sociales y culturales del personal al servicio del Gobierno del Estado, a través de las instituciones con las cuales se conviniere su prestación; </w:t>
      </w:r>
    </w:p>
    <w:p w14:paraId="28D4512A" w14:textId="77777777" w:rsidR="00074D0A"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074D0A">
        <w:rPr>
          <w:rFonts w:ascii="AvantGarde Bk BT" w:hAnsi="AvantGarde Bk BT" w:cs="Arial"/>
          <w:b/>
          <w:color w:val="000000" w:themeColor="text1"/>
          <w:sz w:val="24"/>
          <w:szCs w:val="24"/>
        </w:rPr>
        <w:t>Aplicar las políticas y normas para la adquisición de bienes y servicios que requiera el funcionamiento de la administración pública estatal</w:t>
      </w:r>
      <w:r w:rsidRPr="00C06692">
        <w:rPr>
          <w:rFonts w:ascii="AvantGarde Bk BT" w:hAnsi="AvantGarde Bk BT" w:cs="Arial"/>
          <w:color w:val="000000" w:themeColor="text1"/>
          <w:sz w:val="24"/>
          <w:szCs w:val="24"/>
        </w:rPr>
        <w:t xml:space="preserve">; </w:t>
      </w:r>
    </w:p>
    <w:p w14:paraId="1A54B455" w14:textId="3CC4AB74" w:rsidR="00074D0A"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074D0A">
        <w:rPr>
          <w:rFonts w:ascii="AvantGarde Bk BT" w:hAnsi="AvantGarde Bk BT" w:cs="Arial"/>
          <w:color w:val="000000" w:themeColor="text1"/>
          <w:sz w:val="24"/>
          <w:szCs w:val="24"/>
        </w:rPr>
        <w:t>Realizar las adquisiciones de los bienes y contratar los servicios que requieran las dependencias de la administración pública estatal</w:t>
      </w:r>
      <w:r w:rsidRPr="00C06692">
        <w:rPr>
          <w:rFonts w:ascii="AvantGarde Bk BT" w:hAnsi="AvantGarde Bk BT" w:cs="Arial"/>
          <w:color w:val="000000" w:themeColor="text1"/>
          <w:sz w:val="24"/>
          <w:szCs w:val="24"/>
        </w:rPr>
        <w:t>, con apego a</w:t>
      </w:r>
      <w:r w:rsidR="00074D0A">
        <w:rPr>
          <w:rFonts w:ascii="AvantGarde Bk BT" w:hAnsi="AvantGarde Bk BT" w:cs="Arial"/>
          <w:color w:val="000000" w:themeColor="text1"/>
          <w:sz w:val="24"/>
          <w:szCs w:val="24"/>
        </w:rPr>
        <w:t xml:space="preserve"> la normatividad aplicable;</w:t>
      </w:r>
      <w:r w:rsidRPr="00C06692">
        <w:rPr>
          <w:rFonts w:ascii="AvantGarde Bk BT" w:hAnsi="AvantGarde Bk BT" w:cs="Arial"/>
          <w:color w:val="000000" w:themeColor="text1"/>
          <w:sz w:val="24"/>
          <w:szCs w:val="24"/>
        </w:rPr>
        <w:t xml:space="preserve"> </w:t>
      </w:r>
    </w:p>
    <w:p w14:paraId="4E2A1832" w14:textId="77777777" w:rsidR="00074D0A"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074D0A">
        <w:rPr>
          <w:rFonts w:ascii="AvantGarde Bk BT" w:hAnsi="AvantGarde Bk BT" w:cs="Arial"/>
          <w:b/>
          <w:color w:val="000000" w:themeColor="text1"/>
          <w:sz w:val="24"/>
          <w:szCs w:val="24"/>
        </w:rPr>
        <w:t>Proveer oportunamente a las dependencias del Ejecutivo del Estado de los elementos necesarios para el desarrollo de sus funciones</w:t>
      </w:r>
      <w:r w:rsidRPr="00C06692">
        <w:rPr>
          <w:rFonts w:ascii="AvantGarde Bk BT" w:hAnsi="AvantGarde Bk BT" w:cs="Arial"/>
          <w:color w:val="000000" w:themeColor="text1"/>
          <w:sz w:val="24"/>
          <w:szCs w:val="24"/>
        </w:rPr>
        <w:t xml:space="preserve">; </w:t>
      </w:r>
    </w:p>
    <w:p w14:paraId="59DBED1F" w14:textId="4C48D43E" w:rsidR="00C06692" w:rsidRPr="00C06692" w:rsidRDefault="00C06692" w:rsidP="00074D0A">
      <w:pPr>
        <w:pStyle w:val="Prrafodelista"/>
        <w:numPr>
          <w:ilvl w:val="0"/>
          <w:numId w:val="13"/>
        </w:numPr>
        <w:spacing w:line="240" w:lineRule="auto"/>
        <w:ind w:left="680" w:firstLine="0"/>
        <w:jc w:val="both"/>
        <w:rPr>
          <w:rFonts w:ascii="AvantGarde Bk BT" w:hAnsi="AvantGarde Bk BT" w:cs="Arial"/>
          <w:color w:val="000000" w:themeColor="text1"/>
          <w:sz w:val="24"/>
          <w:szCs w:val="24"/>
        </w:rPr>
      </w:pPr>
      <w:r w:rsidRPr="00C06692">
        <w:rPr>
          <w:rFonts w:ascii="AvantGarde Bk BT" w:hAnsi="AvantGarde Bk BT" w:cs="Arial"/>
          <w:color w:val="000000" w:themeColor="text1"/>
          <w:sz w:val="24"/>
          <w:szCs w:val="24"/>
        </w:rPr>
        <w:t>Levantar y tener al corriente el inventario de los bienes muebles e inmuebles pr</w:t>
      </w:r>
      <w:r w:rsidR="00074D0A">
        <w:rPr>
          <w:rFonts w:ascii="AvantGarde Bk BT" w:hAnsi="AvantGarde Bk BT" w:cs="Arial"/>
          <w:color w:val="000000" w:themeColor="text1"/>
          <w:sz w:val="24"/>
          <w:szCs w:val="24"/>
        </w:rPr>
        <w:t>opiedad del Gobierno del Estado.</w:t>
      </w:r>
    </w:p>
    <w:p w14:paraId="67AC8DC8" w14:textId="037F2318" w:rsidR="00074D0A" w:rsidRDefault="00074D0A"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las atribuciones que anteceden se desprende que </w:t>
      </w:r>
      <w:r w:rsidRPr="00E755F0">
        <w:rPr>
          <w:rFonts w:ascii="AvantGarde Bk BT" w:hAnsi="AvantGarde Bk BT" w:cs="Arial"/>
          <w:b/>
          <w:color w:val="000000" w:themeColor="text1"/>
          <w:sz w:val="24"/>
          <w:szCs w:val="24"/>
        </w:rPr>
        <w:t>la Oficialía Mayor es la dependencia responsable de proveer, administrar y coordinar los recursos</w:t>
      </w:r>
      <w:r>
        <w:rPr>
          <w:rFonts w:ascii="AvantGarde Bk BT" w:hAnsi="AvantGarde Bk BT" w:cs="Arial"/>
          <w:color w:val="000000" w:themeColor="text1"/>
          <w:sz w:val="24"/>
          <w:szCs w:val="24"/>
        </w:rPr>
        <w:t xml:space="preserve"> humanos, </w:t>
      </w:r>
      <w:r w:rsidRPr="00E755F0">
        <w:rPr>
          <w:rFonts w:ascii="AvantGarde Bk BT" w:hAnsi="AvantGarde Bk BT" w:cs="Arial"/>
          <w:b/>
          <w:color w:val="000000" w:themeColor="text1"/>
          <w:sz w:val="24"/>
          <w:szCs w:val="24"/>
        </w:rPr>
        <w:t>materiales y servicios generales necesarios para la operación de las dependencias de la Administración Pública Estatal</w:t>
      </w:r>
      <w:r>
        <w:rPr>
          <w:rFonts w:ascii="AvantGarde Bk BT" w:hAnsi="AvantGarde Bk BT" w:cs="Arial"/>
          <w:color w:val="000000" w:themeColor="text1"/>
          <w:sz w:val="24"/>
          <w:szCs w:val="24"/>
        </w:rPr>
        <w:t>.</w:t>
      </w:r>
    </w:p>
    <w:p w14:paraId="6C8AF3FD" w14:textId="779D5FC3" w:rsidR="00E755F0" w:rsidRDefault="00E755F0" w:rsidP="005864D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 este modo, resulta claro que el sujeto obligado competente para atender la solicitud de información es la Oficialía Mayor, pues la persona ahora recurrente requirió información relacionada con la contratación de servicios con la persona moral señalada en la solicitud de información.</w:t>
      </w:r>
    </w:p>
    <w:p w14:paraId="434FD60F" w14:textId="3D634990" w:rsidR="0049541E" w:rsidRDefault="00096FAB" w:rsidP="005864D9">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Así, dentro del margen de las consideraciones que anteceden se puede colegir válidamente que </w:t>
      </w:r>
      <w:r w:rsidRPr="00096FAB">
        <w:rPr>
          <w:rFonts w:ascii="AvantGarde Bk BT" w:hAnsi="AvantGarde Bk BT" w:cs="Arial"/>
          <w:b/>
          <w:color w:val="000000" w:themeColor="text1"/>
          <w:sz w:val="24"/>
          <w:szCs w:val="24"/>
        </w:rPr>
        <w:t xml:space="preserve">la respuesta es correcta en cuanto a que </w:t>
      </w:r>
      <w:r>
        <w:rPr>
          <w:rFonts w:ascii="AvantGarde Bk BT" w:hAnsi="AvantGarde Bk BT" w:cs="Arial"/>
          <w:b/>
          <w:color w:val="000000" w:themeColor="text1"/>
          <w:sz w:val="24"/>
          <w:szCs w:val="24"/>
        </w:rPr>
        <w:t xml:space="preserve">el sujeto obligado </w:t>
      </w:r>
      <w:r w:rsidR="00E755F0">
        <w:rPr>
          <w:rFonts w:ascii="AvantGarde Bk BT" w:hAnsi="AvantGarde Bk BT" w:cs="Arial"/>
          <w:b/>
          <w:color w:val="000000" w:themeColor="text1"/>
          <w:sz w:val="24"/>
          <w:szCs w:val="24"/>
        </w:rPr>
        <w:t>se declaró incompetente para atender la solicitud</w:t>
      </w:r>
      <w:r>
        <w:rPr>
          <w:rFonts w:ascii="AvantGarde Bk BT" w:hAnsi="AvantGarde Bk BT" w:cs="Arial"/>
          <w:b/>
          <w:color w:val="000000" w:themeColor="text1"/>
          <w:sz w:val="24"/>
          <w:szCs w:val="24"/>
        </w:rPr>
        <w:t>.</w:t>
      </w:r>
    </w:p>
    <w:p w14:paraId="15B58CEE" w14:textId="33FACDB6"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Por ello, se puede colegir válidamente que </w:t>
      </w:r>
      <w:r w:rsidRPr="00096FAB">
        <w:rPr>
          <w:rFonts w:ascii="AvantGarde Bk BT" w:hAnsi="AvantGarde Bk BT" w:cs="Arial"/>
          <w:b/>
          <w:color w:val="000000" w:themeColor="text1"/>
          <w:sz w:val="24"/>
          <w:szCs w:val="24"/>
          <w:u w:val="single"/>
        </w:rPr>
        <w:t xml:space="preserve">el sujeto obligado subsanó las deficiencias que motivaron la interposición del recurso de revisión, pues emitió una respuesta que fue notificada a la persona recurrente a través de la cuenta de correo electrónico que señaló para tal efecto </w:t>
      </w:r>
      <w:r>
        <w:rPr>
          <w:rFonts w:ascii="AvantGarde Bk BT" w:hAnsi="AvantGarde Bk BT" w:cs="Arial"/>
          <w:color w:val="000000" w:themeColor="text1"/>
          <w:sz w:val="24"/>
          <w:szCs w:val="24"/>
        </w:rPr>
        <w:t xml:space="preserve">(visible de fojas </w:t>
      </w:r>
      <w:r w:rsidR="00E755F0">
        <w:rPr>
          <w:rFonts w:ascii="AvantGarde Bk BT" w:hAnsi="AvantGarde Bk BT" w:cs="Arial"/>
          <w:color w:val="000000" w:themeColor="text1"/>
          <w:sz w:val="24"/>
          <w:szCs w:val="24"/>
        </w:rPr>
        <w:t>1</w:t>
      </w:r>
      <w:r w:rsidR="001A698D">
        <w:rPr>
          <w:rFonts w:ascii="AvantGarde Bk BT" w:hAnsi="AvantGarde Bk BT" w:cs="Arial"/>
          <w:color w:val="000000" w:themeColor="text1"/>
          <w:sz w:val="24"/>
          <w:szCs w:val="24"/>
        </w:rPr>
        <w:t>8</w:t>
      </w:r>
      <w:r w:rsidRPr="00096FAB">
        <w:rPr>
          <w:rFonts w:ascii="AvantGarde Bk BT" w:hAnsi="AvantGarde Bk BT" w:cs="Arial"/>
          <w:color w:val="000000" w:themeColor="text1"/>
          <w:sz w:val="24"/>
          <w:szCs w:val="24"/>
        </w:rPr>
        <w:t xml:space="preserve"> de autos); motivo por el cual </w:t>
      </w:r>
      <w:r w:rsidRPr="00096FAB">
        <w:rPr>
          <w:rFonts w:ascii="AvantGarde Bk BT" w:hAnsi="AvantGarde Bk BT" w:cs="Arial"/>
          <w:b/>
          <w:color w:val="000000" w:themeColor="text1"/>
          <w:sz w:val="24"/>
          <w:szCs w:val="24"/>
          <w:u w:val="single"/>
        </w:rPr>
        <w:lastRenderedPageBreak/>
        <w:t>esta Comisión advierte que los agravios vertidos por la persona recurrente quedaron superados por la</w:t>
      </w:r>
      <w:r w:rsidR="00E755F0">
        <w:rPr>
          <w:rFonts w:ascii="AvantGarde Bk BT" w:hAnsi="AvantGarde Bk BT" w:cs="Arial"/>
          <w:b/>
          <w:color w:val="000000" w:themeColor="text1"/>
          <w:sz w:val="24"/>
          <w:szCs w:val="24"/>
          <w:u w:val="single"/>
        </w:rPr>
        <w:t xml:space="preserve"> nueva</w:t>
      </w:r>
      <w:r w:rsidRPr="00096FAB">
        <w:rPr>
          <w:rFonts w:ascii="AvantGarde Bk BT" w:hAnsi="AvantGarde Bk BT" w:cs="Arial"/>
          <w:b/>
          <w:color w:val="000000" w:themeColor="text1"/>
          <w:sz w:val="24"/>
          <w:szCs w:val="24"/>
          <w:u w:val="single"/>
        </w:rPr>
        <w:t xml:space="preserve"> respuesta</w:t>
      </w:r>
      <w:r w:rsidRPr="00096FAB">
        <w:rPr>
          <w:rFonts w:ascii="AvantGarde Bk BT" w:hAnsi="AvantGarde Bk BT" w:cs="Arial"/>
          <w:color w:val="000000" w:themeColor="text1"/>
          <w:sz w:val="24"/>
          <w:szCs w:val="24"/>
        </w:rPr>
        <w:t xml:space="preserve">. </w:t>
      </w:r>
    </w:p>
    <w:p w14:paraId="5E0ED5E8" w14:textId="1F08787C" w:rsidR="00096FAB" w:rsidRPr="00096FAB" w:rsidRDefault="00096FAB" w:rsidP="00096FAB">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En este contexto, debe tomarse en consideración</w:t>
      </w:r>
      <w:r w:rsidR="00714CB5">
        <w:rPr>
          <w:rFonts w:ascii="AvantGarde Bk BT" w:hAnsi="AvantGarde Bk BT" w:cs="Arial"/>
          <w:color w:val="000000" w:themeColor="text1"/>
          <w:sz w:val="24"/>
          <w:szCs w:val="24"/>
        </w:rPr>
        <w:t xml:space="preserve"> el ya citado a</w:t>
      </w:r>
      <w:r w:rsidRPr="00096FAB">
        <w:rPr>
          <w:rFonts w:ascii="AvantGarde Bk BT" w:hAnsi="AvantGarde Bk BT" w:cs="Arial"/>
          <w:color w:val="000000" w:themeColor="text1"/>
          <w:sz w:val="24"/>
          <w:szCs w:val="24"/>
        </w:rPr>
        <w:t>rtículo 180, fracción III, de la Ley de Transparencia local</w:t>
      </w:r>
      <w:r w:rsidRPr="00096FAB">
        <w:rPr>
          <w:rFonts w:ascii="AvantGarde Bk BT" w:hAnsi="AvantGarde Bk BT" w:cs="Arial"/>
          <w:color w:val="000000" w:themeColor="text1"/>
          <w:sz w:val="24"/>
          <w:szCs w:val="24"/>
          <w:vertAlign w:val="superscript"/>
        </w:rPr>
        <w:footnoteReference w:id="4"/>
      </w:r>
      <w:r w:rsidRPr="00096FAB">
        <w:rPr>
          <w:rFonts w:ascii="AvantGarde Bk BT" w:hAnsi="AvantGarde Bk BT" w:cs="Arial"/>
          <w:color w:val="000000" w:themeColor="text1"/>
          <w:sz w:val="24"/>
          <w:szCs w:val="24"/>
        </w:rPr>
        <w:t>, mismo que prescribe que el recurso de revisión podrá ser sobreseído, todo o en parte, cuando el sujeto obligado responsable del acto impugnado lo modifique de manera que el recurso quede sin materia.</w:t>
      </w:r>
    </w:p>
    <w:p w14:paraId="07E728B5" w14:textId="490FF2FB" w:rsidR="00096FAB" w:rsidRDefault="00096FAB" w:rsidP="00714CB5">
      <w:pPr>
        <w:spacing w:line="360" w:lineRule="auto"/>
        <w:ind w:firstLine="709"/>
        <w:jc w:val="both"/>
        <w:rPr>
          <w:rFonts w:ascii="AvantGarde Bk BT" w:hAnsi="AvantGarde Bk BT" w:cs="Arial"/>
          <w:color w:val="000000" w:themeColor="text1"/>
          <w:sz w:val="24"/>
          <w:szCs w:val="24"/>
        </w:rPr>
      </w:pPr>
      <w:r w:rsidRPr="00096FAB">
        <w:rPr>
          <w:rFonts w:ascii="AvantGarde Bk BT" w:hAnsi="AvantGarde Bk BT" w:cs="Arial"/>
          <w:color w:val="000000" w:themeColor="text1"/>
          <w:sz w:val="24"/>
          <w:szCs w:val="24"/>
        </w:rPr>
        <w:t xml:space="preserve">De este modo, </w:t>
      </w:r>
      <w:r w:rsidRPr="00096FAB">
        <w:rPr>
          <w:rFonts w:ascii="AvantGarde Bk BT" w:hAnsi="AvantGarde Bk BT" w:cs="Arial"/>
          <w:b/>
          <w:color w:val="000000" w:themeColor="text1"/>
          <w:sz w:val="24"/>
          <w:szCs w:val="24"/>
          <w:u w:val="single"/>
        </w:rPr>
        <w:t>si el sujeto obligado subsanó la</w:t>
      </w:r>
      <w:r w:rsidR="00E755F0">
        <w:rPr>
          <w:rFonts w:ascii="AvantGarde Bk BT" w:hAnsi="AvantGarde Bk BT" w:cs="Arial"/>
          <w:b/>
          <w:color w:val="000000" w:themeColor="text1"/>
          <w:sz w:val="24"/>
          <w:szCs w:val="24"/>
          <w:u w:val="single"/>
        </w:rPr>
        <w:t xml:space="preserve"> omisión de responder la solicitud</w:t>
      </w:r>
      <w:r w:rsidRPr="00096FAB">
        <w:rPr>
          <w:rFonts w:ascii="AvantGarde Bk BT" w:hAnsi="AvantGarde Bk BT" w:cs="Arial"/>
          <w:b/>
          <w:color w:val="000000" w:themeColor="text1"/>
          <w:sz w:val="24"/>
          <w:szCs w:val="24"/>
          <w:u w:val="single"/>
        </w:rPr>
        <w:t xml:space="preserve">, </w:t>
      </w:r>
      <w:r>
        <w:rPr>
          <w:rFonts w:ascii="AvantGarde Bk BT" w:hAnsi="AvantGarde Bk BT" w:cs="Arial"/>
          <w:b/>
          <w:color w:val="000000" w:themeColor="text1"/>
          <w:sz w:val="24"/>
          <w:szCs w:val="24"/>
          <w:u w:val="single"/>
        </w:rPr>
        <w:t>al emitir una respuesta</w:t>
      </w:r>
      <w:r w:rsidRPr="00096FAB">
        <w:rPr>
          <w:rFonts w:ascii="AvantGarde Bk BT" w:hAnsi="AvantGarde Bk BT" w:cs="Arial"/>
          <w:b/>
          <w:color w:val="000000" w:themeColor="text1"/>
          <w:sz w:val="24"/>
          <w:szCs w:val="24"/>
        </w:rPr>
        <w:t xml:space="preserve">, </w:t>
      </w:r>
      <w:r w:rsidRPr="00096FAB">
        <w:rPr>
          <w:rFonts w:ascii="AvantGarde Bk BT" w:hAnsi="AvantGarde Bk BT" w:cs="Arial"/>
          <w:color w:val="000000" w:themeColor="text1"/>
          <w:sz w:val="24"/>
          <w:szCs w:val="24"/>
        </w:rPr>
        <w:t xml:space="preserve">entonces, </w:t>
      </w:r>
      <w:r w:rsidRPr="00096FAB">
        <w:rPr>
          <w:rFonts w:ascii="AvantGarde Bk BT" w:hAnsi="AvantGarde Bk BT" w:cs="Arial"/>
          <w:b/>
          <w:color w:val="000000" w:themeColor="text1"/>
          <w:sz w:val="24"/>
          <w:szCs w:val="24"/>
        </w:rPr>
        <w:t xml:space="preserve">los agravios vertidos por la persona ahora recurrente quedaron superado por lo que </w:t>
      </w:r>
      <w:r w:rsidRPr="00096FAB">
        <w:rPr>
          <w:rFonts w:ascii="AvantGarde Bk BT" w:hAnsi="AvantGarde Bk BT" w:cs="Arial"/>
          <w:b/>
          <w:color w:val="000000" w:themeColor="text1"/>
          <w:sz w:val="24"/>
          <w:szCs w:val="24"/>
          <w:u w:val="single"/>
        </w:rPr>
        <w:t>el presente recurso de revisión debe dejarse sin materia</w:t>
      </w:r>
      <w:r w:rsidRPr="00096FAB">
        <w:rPr>
          <w:rFonts w:ascii="AvantGarde Bk BT" w:hAnsi="AvantGarde Bk BT" w:cs="Arial"/>
          <w:color w:val="000000" w:themeColor="text1"/>
          <w:sz w:val="24"/>
          <w:szCs w:val="24"/>
        </w:rPr>
        <w:t>.</w:t>
      </w:r>
    </w:p>
    <w:p w14:paraId="7ED18A7A" w14:textId="3287C19E"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w:t>
      </w:r>
    </w:p>
    <w:p w14:paraId="47BA56F7" w14:textId="5EB19E45"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w:t>
      </w:r>
      <w:r w:rsidR="00096FAB" w:rsidRPr="00096FAB">
        <w:rPr>
          <w:rFonts w:ascii="AvantGarde Bk BT" w:hAnsi="AvantGarde Bk BT" w:cs="Arial"/>
          <w:color w:val="000000" w:themeColor="text1"/>
          <w:sz w:val="24"/>
          <w:szCs w:val="24"/>
        </w:rPr>
        <w:t xml:space="preserve">artículo 180, fracción III de la Ley de Transparencia y Acceso a la Información Pública del Estado se </w:t>
      </w:r>
      <w:r w:rsidR="00096FAB" w:rsidRPr="00096FAB">
        <w:rPr>
          <w:rFonts w:ascii="AvantGarde Bk BT" w:hAnsi="AvantGarde Bk BT" w:cs="Arial"/>
          <w:b/>
          <w:color w:val="000000" w:themeColor="text1"/>
          <w:sz w:val="24"/>
          <w:szCs w:val="24"/>
        </w:rPr>
        <w:t>SOBRESEE</w:t>
      </w:r>
      <w:r w:rsidR="00096FAB" w:rsidRPr="00096FAB">
        <w:rPr>
          <w:rFonts w:ascii="AvantGarde Bk BT" w:hAnsi="AvantGarde Bk BT" w:cs="Arial"/>
          <w:color w:val="000000" w:themeColor="text1"/>
          <w:sz w:val="24"/>
          <w:szCs w:val="24"/>
        </w:rPr>
        <w:t xml:space="preserve"> el presente recurso de revisión en los términos ya precisados en el párrafo inmediato anterior</w:t>
      </w:r>
      <w:r w:rsidR="00096FA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3CA0EA5" w14:textId="4D8CD1E7" w:rsidR="00BB16E6" w:rsidRPr="005B109B" w:rsidRDefault="00BB16E6" w:rsidP="00BB16E6">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032EAEF5" w14:textId="5A265AB1" w:rsidR="00BB16E6" w:rsidRPr="00BB16E6" w:rsidRDefault="00BB16E6" w:rsidP="00BB16E6">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Que una vez que la presente resolución sea notificada a las partes y haya causado estado, la ponencia mande archi</w:t>
      </w:r>
      <w:r>
        <w:rPr>
          <w:rFonts w:ascii="AvantGarde Bk BT" w:hAnsi="AvantGarde Bk BT" w:cs="Arial"/>
          <w:sz w:val="24"/>
          <w:szCs w:val="24"/>
        </w:rPr>
        <w:t>var este asunto como concluido.</w:t>
      </w:r>
    </w:p>
    <w:p w14:paraId="55DED2EB" w14:textId="7668B014" w:rsidR="00096FAB" w:rsidRPr="00684218" w:rsidRDefault="00BB16E6" w:rsidP="00096FAB">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5.3. </w:t>
      </w:r>
      <w:r w:rsidR="00096FAB" w:rsidRPr="008E469A">
        <w:rPr>
          <w:rFonts w:ascii="AvantGarde Bk BT" w:hAnsi="AvantGarde Bk BT" w:cs="Arial"/>
          <w:b/>
          <w:color w:val="000000" w:themeColor="text1"/>
          <w:sz w:val="24"/>
          <w:szCs w:val="24"/>
        </w:rPr>
        <w:t>Medio de impugnación.</w:t>
      </w:r>
    </w:p>
    <w:p w14:paraId="604E7103" w14:textId="77777777" w:rsidR="00096FAB" w:rsidRPr="003358EE" w:rsidRDefault="00096FAB" w:rsidP="00096FAB">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lastRenderedPageBreak/>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50630115"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w:t>
      </w:r>
      <w:r w:rsidR="004C7D44" w:rsidRPr="004C7D44">
        <w:rPr>
          <w:rFonts w:ascii="AvantGarde Bk BT" w:hAnsi="AvantGarde Bk BT" w:cs="Arial"/>
          <w:color w:val="000000" w:themeColor="text1"/>
          <w:sz w:val="24"/>
          <w:szCs w:val="24"/>
        </w:rPr>
        <w:t xml:space="preserve">artículo 180, fracción III de la Ley de Transparencia y Acceso a la Información Pública del Estado se </w:t>
      </w:r>
      <w:r w:rsidR="004C7D44" w:rsidRPr="004C7D44">
        <w:rPr>
          <w:rFonts w:ascii="AvantGarde Bk BT" w:hAnsi="AvantGarde Bk BT" w:cs="Arial"/>
          <w:b/>
          <w:color w:val="000000" w:themeColor="text1"/>
          <w:sz w:val="24"/>
          <w:szCs w:val="24"/>
        </w:rPr>
        <w:t>SOBRESEE</w:t>
      </w:r>
      <w:r w:rsidR="004C7D44" w:rsidRPr="004C7D44">
        <w:rPr>
          <w:rFonts w:ascii="AvantGarde Bk BT" w:hAnsi="AvantGarde Bk BT" w:cs="Arial"/>
          <w:color w:val="000000" w:themeColor="text1"/>
          <w:sz w:val="24"/>
          <w:szCs w:val="24"/>
        </w:rPr>
        <w:t xml:space="preserve"> el presente recurso de revisión</w:t>
      </w:r>
      <w:r w:rsidRPr="004C7D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608B8849" w14:textId="6765B518" w:rsidR="004C7D44" w:rsidRPr="006809EF" w:rsidRDefault="009A0D4F" w:rsidP="001A698D">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596853" w:rsidRPr="00F90E70">
        <w:rPr>
          <w:rFonts w:ascii="AvantGarde Bk BT" w:hAnsi="AvantGarde Bk BT"/>
          <w:sz w:val="24"/>
          <w:szCs w:val="24"/>
        </w:rPr>
        <w:t xml:space="preserve">Sesión </w:t>
      </w:r>
      <w:r w:rsidR="00E755F0">
        <w:rPr>
          <w:rFonts w:ascii="AvantGarde Bk BT" w:hAnsi="AvantGarde Bk BT"/>
          <w:sz w:val="24"/>
          <w:szCs w:val="24"/>
        </w:rPr>
        <w:t>O</w:t>
      </w:r>
      <w:r w:rsidRPr="00F90E70">
        <w:rPr>
          <w:rFonts w:ascii="AvantGarde Bk BT" w:hAnsi="AvantGarde Bk BT"/>
          <w:sz w:val="24"/>
          <w:szCs w:val="24"/>
        </w:rPr>
        <w:t xml:space="preserve">rdinaria del </w:t>
      </w:r>
      <w:r w:rsidR="00E755F0">
        <w:rPr>
          <w:rFonts w:ascii="AvantGarde Bk BT" w:hAnsi="AvantGarde Bk BT"/>
          <w:sz w:val="24"/>
          <w:szCs w:val="24"/>
        </w:rPr>
        <w:t>ocho de septiembre</w:t>
      </w:r>
      <w:r w:rsidR="00531A80" w:rsidRPr="00F90E70">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1A698D">
      <w:pPr>
        <w:pStyle w:val="NormalWeb"/>
        <w:spacing w:after="0" w:afterAutospacing="0"/>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1A698D">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bookmarkStart w:id="1" w:name="_GoBack"/>
      <w:bookmarkEnd w:id="1"/>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6F2905E3" w:rsidR="009171C0" w:rsidRPr="0045524D" w:rsidRDefault="001A698D" w:rsidP="000F6690">
      <w:pPr>
        <w:pStyle w:val="NormalWeb"/>
        <w:tabs>
          <w:tab w:val="center" w:pos="4989"/>
          <w:tab w:val="left" w:pos="8115"/>
        </w:tabs>
        <w:spacing w:before="0" w:beforeAutospacing="0" w:after="0" w:afterAutospacing="0" w:line="600" w:lineRule="auto"/>
        <w:rPr>
          <w:rFonts w:ascii="AvantGarde Bk BT" w:hAnsi="AvantGarde Bk BT" w:cs="Arial"/>
          <w:b/>
          <w:color w:val="000000" w:themeColor="text1"/>
          <w:lang w:val="es-MX"/>
        </w:rPr>
      </w:pPr>
      <w:r>
        <w:rPr>
          <w:rFonts w:ascii="AvantGarde Bk BT" w:hAnsi="AvantGarde Bk BT" w:cs="Arial"/>
          <w:b/>
          <w:color w:val="000000" w:themeColor="text1"/>
          <w:lang w:val="es-MX"/>
        </w:rPr>
        <w:tab/>
      </w:r>
      <w:r w:rsidR="009171C0" w:rsidRPr="003358EE">
        <w:rPr>
          <w:rFonts w:ascii="AvantGarde Bk BT" w:hAnsi="AvantGarde Bk BT" w:cs="Arial"/>
          <w:b/>
          <w:color w:val="000000" w:themeColor="text1"/>
          <w:lang w:val="es-MX"/>
        </w:rPr>
        <w:t>LIC. ROSA MARÍA MOTILLA GARCÍA.</w:t>
      </w:r>
      <w:r>
        <w:rPr>
          <w:rFonts w:ascii="AvantGarde Bk BT" w:hAnsi="AvantGarde Bk BT" w:cs="Arial"/>
          <w:b/>
          <w:color w:val="000000" w:themeColor="text1"/>
          <w:lang w:val="es-MX"/>
        </w:rPr>
        <w:tab/>
      </w:r>
    </w:p>
    <w:p w14:paraId="12D315FD" w14:textId="77777777" w:rsidR="009171C0" w:rsidRPr="000F6690" w:rsidRDefault="009171C0" w:rsidP="009171C0">
      <w:pPr>
        <w:pStyle w:val="corte4fondo"/>
        <w:tabs>
          <w:tab w:val="left" w:pos="567"/>
        </w:tabs>
        <w:spacing w:line="240" w:lineRule="auto"/>
        <w:ind w:firstLine="0"/>
        <w:rPr>
          <w:rFonts w:ascii="AvantGarde Bk BT" w:hAnsi="AvantGarde Bk BT" w:cs="Arial"/>
          <w:i/>
          <w:color w:val="000000" w:themeColor="text1"/>
          <w:sz w:val="16"/>
          <w:szCs w:val="14"/>
          <w:vertAlign w:val="superscript"/>
        </w:rPr>
      </w:pPr>
      <w:r w:rsidRPr="000F6690">
        <w:rPr>
          <w:rFonts w:ascii="AvantGarde Bk BT" w:hAnsi="AvantGarde Bk BT" w:cs="Arial"/>
          <w:i/>
          <w:color w:val="000000" w:themeColor="text1"/>
          <w:sz w:val="16"/>
          <w:szCs w:val="14"/>
          <w:vertAlign w:val="superscript"/>
        </w:rPr>
        <w:t>PRT.</w:t>
      </w:r>
    </w:p>
    <w:p w14:paraId="41A776EA" w14:textId="0B99A009"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90E70">
        <w:rPr>
          <w:rFonts w:ascii="AvantGarde Bk BT" w:hAnsi="AvantGarde Bk BT" w:cs="Arial"/>
          <w:color w:val="000000" w:themeColor="text1"/>
          <w:sz w:val="14"/>
          <w:szCs w:val="14"/>
        </w:rPr>
        <w:t xml:space="preserve">sesión ordinaria de </w:t>
      </w:r>
      <w:r w:rsidR="001A698D">
        <w:rPr>
          <w:rFonts w:ascii="AvantGarde Bk BT" w:hAnsi="AvantGarde Bk BT" w:cs="Arial"/>
          <w:color w:val="000000" w:themeColor="text1"/>
          <w:sz w:val="14"/>
          <w:szCs w:val="14"/>
        </w:rPr>
        <w:t xml:space="preserve">veintisiete </w:t>
      </w:r>
      <w:r w:rsidR="00E755F0">
        <w:rPr>
          <w:rFonts w:ascii="AvantGarde Bk BT" w:hAnsi="AvantGarde Bk BT" w:cs="Arial"/>
          <w:color w:val="000000" w:themeColor="text1"/>
          <w:sz w:val="14"/>
          <w:szCs w:val="14"/>
        </w:rPr>
        <w:t xml:space="preserve">de ocho de septiembre </w:t>
      </w:r>
      <w:r w:rsidR="00531A80" w:rsidRPr="00F90E70">
        <w:rPr>
          <w:rFonts w:ascii="AvantGarde Bk BT" w:hAnsi="AvantGarde Bk BT" w:cs="Arial"/>
          <w:color w:val="000000" w:themeColor="text1"/>
          <w:sz w:val="14"/>
          <w:szCs w:val="14"/>
        </w:rPr>
        <w:t>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E755F0">
        <w:rPr>
          <w:rFonts w:ascii="AvantGarde Bk BT" w:hAnsi="AvantGarde Bk BT" w:cs="Arial"/>
          <w:color w:val="000000" w:themeColor="text1"/>
          <w:sz w:val="14"/>
          <w:szCs w:val="14"/>
        </w:rPr>
        <w:t>369</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FCB91" w14:textId="77777777" w:rsidR="00C648CF" w:rsidRDefault="00C648CF" w:rsidP="003864ED">
      <w:pPr>
        <w:spacing w:after="0" w:line="240" w:lineRule="auto"/>
      </w:pPr>
      <w:r>
        <w:separator/>
      </w:r>
    </w:p>
  </w:endnote>
  <w:endnote w:type="continuationSeparator" w:id="0">
    <w:p w14:paraId="078ADB8F" w14:textId="77777777" w:rsidR="00C648CF" w:rsidRDefault="00C648CF"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44C96" w14:textId="77777777" w:rsidR="00C648CF" w:rsidRDefault="00C648CF" w:rsidP="003864ED">
      <w:pPr>
        <w:spacing w:after="0" w:line="240" w:lineRule="auto"/>
      </w:pPr>
      <w:r>
        <w:separator/>
      </w:r>
    </w:p>
  </w:footnote>
  <w:footnote w:type="continuationSeparator" w:id="0">
    <w:p w14:paraId="010EF054" w14:textId="77777777" w:rsidR="00C648CF" w:rsidRDefault="00C648CF" w:rsidP="003864ED">
      <w:pPr>
        <w:spacing w:after="0" w:line="240" w:lineRule="auto"/>
      </w:pPr>
      <w:r>
        <w:continuationSeparator/>
      </w:r>
    </w:p>
  </w:footnote>
  <w:footnote w:id="1">
    <w:p w14:paraId="5A83CB04" w14:textId="77777777" w:rsidR="005142BE" w:rsidRPr="000F6690" w:rsidRDefault="005142BE" w:rsidP="000468A0">
      <w:pPr>
        <w:pStyle w:val="Textonotapie"/>
        <w:jc w:val="both"/>
        <w:rPr>
          <w:sz w:val="16"/>
          <w:szCs w:val="16"/>
          <w:lang w:val="es-ES_tradnl"/>
        </w:rPr>
      </w:pPr>
      <w:r w:rsidRPr="000F6690">
        <w:rPr>
          <w:rStyle w:val="Refdenotaalpie"/>
          <w:sz w:val="16"/>
          <w:szCs w:val="16"/>
        </w:rPr>
        <w:footnoteRef/>
      </w:r>
      <w:r w:rsidRPr="000F6690">
        <w:rPr>
          <w:sz w:val="16"/>
          <w:szCs w:val="16"/>
        </w:rPr>
        <w:t xml:space="preserve"> </w:t>
      </w:r>
      <w:r w:rsidRPr="000F6690">
        <w:rPr>
          <w:b/>
          <w:bCs/>
          <w:sz w:val="16"/>
          <w:szCs w:val="16"/>
          <w:lang w:val="es-ES_tradnl"/>
        </w:rPr>
        <w:t>ARTÍCULO 61.</w:t>
      </w:r>
      <w:r w:rsidRPr="000F6690">
        <w:rPr>
          <w:bCs/>
          <w:sz w:val="16"/>
          <w:szCs w:val="16"/>
          <w:lang w:val="es-ES_tradnl"/>
        </w:rPr>
        <w:t xml:space="preserve"> </w:t>
      </w:r>
      <w:r w:rsidRPr="000F6690">
        <w:rPr>
          <w:sz w:val="16"/>
          <w:szCs w:val="16"/>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0F6690" w:rsidRDefault="005142BE" w:rsidP="000468A0">
      <w:pPr>
        <w:pStyle w:val="Textonotapie"/>
        <w:jc w:val="both"/>
        <w:rPr>
          <w:sz w:val="16"/>
          <w:szCs w:val="16"/>
          <w:lang w:val="es-ES_tradnl"/>
        </w:rPr>
      </w:pPr>
      <w:r w:rsidRPr="000F6690">
        <w:rPr>
          <w:sz w:val="16"/>
          <w:szCs w:val="16"/>
          <w:lang w:val="es-ES_tradnl"/>
        </w:rPr>
        <w:t xml:space="preserve">La obligación de los sujetos obligados de proporcionar información no comprende el procesamiento de la misma, ni el presentarla conforme al interés del solicitante. </w:t>
      </w:r>
    </w:p>
  </w:footnote>
  <w:footnote w:id="2">
    <w:p w14:paraId="45880953" w14:textId="77777777" w:rsidR="005142BE" w:rsidRPr="000F6690" w:rsidRDefault="005142BE" w:rsidP="000468A0">
      <w:pPr>
        <w:pStyle w:val="Textonotapie"/>
        <w:jc w:val="both"/>
        <w:rPr>
          <w:sz w:val="16"/>
          <w:szCs w:val="16"/>
        </w:rPr>
      </w:pPr>
      <w:r w:rsidRPr="000F6690">
        <w:rPr>
          <w:rStyle w:val="Refdenotaalpie"/>
          <w:sz w:val="16"/>
          <w:szCs w:val="16"/>
        </w:rPr>
        <w:footnoteRef/>
      </w:r>
      <w:r w:rsidRPr="000F6690">
        <w:rPr>
          <w:sz w:val="16"/>
          <w:szCs w:val="16"/>
        </w:rPr>
        <w:t xml:space="preserve"> </w:t>
      </w:r>
      <w:r w:rsidRPr="000F6690">
        <w:rPr>
          <w:b/>
          <w:sz w:val="16"/>
          <w:szCs w:val="16"/>
        </w:rPr>
        <w:t>ARTÍCULO 18.</w:t>
      </w:r>
      <w:r w:rsidRPr="000F6690">
        <w:rPr>
          <w:sz w:val="16"/>
          <w:szCs w:val="16"/>
        </w:rPr>
        <w:t xml:space="preserve"> Los sujetos obligados deberán documentar todo acto que derive del ejercicio de sus facultades, competencias o funciones.</w:t>
      </w:r>
    </w:p>
    <w:p w14:paraId="0EDAA087" w14:textId="77777777" w:rsidR="005142BE" w:rsidRPr="000F6690" w:rsidRDefault="005142BE" w:rsidP="000468A0">
      <w:pPr>
        <w:pStyle w:val="Textonotapie"/>
        <w:jc w:val="both"/>
        <w:rPr>
          <w:sz w:val="16"/>
          <w:szCs w:val="16"/>
        </w:rPr>
      </w:pPr>
      <w:r w:rsidRPr="000F6690">
        <w:rPr>
          <w:b/>
          <w:sz w:val="16"/>
          <w:szCs w:val="16"/>
        </w:rPr>
        <w:t>ARTÍCULO 59.</w:t>
      </w:r>
      <w:r w:rsidRPr="000F6690">
        <w:rPr>
          <w:sz w:val="16"/>
          <w:szCs w:val="16"/>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0F6690" w:rsidRDefault="005142BE" w:rsidP="000468A0">
      <w:pPr>
        <w:pStyle w:val="Textonotapie"/>
        <w:jc w:val="both"/>
        <w:rPr>
          <w:sz w:val="16"/>
          <w:szCs w:val="16"/>
        </w:rPr>
      </w:pPr>
      <w:r w:rsidRPr="000F6690">
        <w:rPr>
          <w:b/>
          <w:sz w:val="16"/>
          <w:szCs w:val="16"/>
        </w:rPr>
        <w:t>ARTÍCULO 60.</w:t>
      </w:r>
      <w:r w:rsidRPr="000F6690">
        <w:rPr>
          <w:sz w:val="16"/>
          <w:szCs w:val="16"/>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0F6690" w:rsidRDefault="005142BE" w:rsidP="000468A0">
      <w:pPr>
        <w:pStyle w:val="Textonotapie"/>
        <w:jc w:val="both"/>
        <w:rPr>
          <w:sz w:val="16"/>
          <w:szCs w:val="16"/>
        </w:rPr>
      </w:pPr>
      <w:r w:rsidRPr="000F6690">
        <w:rPr>
          <w:sz w:val="16"/>
          <w:szCs w:val="16"/>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0F6690" w:rsidRDefault="005142BE" w:rsidP="000468A0">
      <w:pPr>
        <w:pStyle w:val="Textonotapie"/>
        <w:jc w:val="both"/>
        <w:rPr>
          <w:sz w:val="16"/>
          <w:szCs w:val="16"/>
        </w:rPr>
      </w:pPr>
      <w:r w:rsidRPr="000F6690">
        <w:rPr>
          <w:b/>
          <w:sz w:val="16"/>
          <w:szCs w:val="16"/>
        </w:rPr>
        <w:t>ARTÍCULO 61.</w:t>
      </w:r>
      <w:r w:rsidRPr="000F6690">
        <w:rPr>
          <w:sz w:val="16"/>
          <w:szCs w:val="16"/>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0F6690" w:rsidRDefault="005142BE" w:rsidP="000468A0">
      <w:pPr>
        <w:pStyle w:val="Textonotapie"/>
        <w:jc w:val="both"/>
        <w:rPr>
          <w:sz w:val="16"/>
          <w:szCs w:val="16"/>
        </w:rPr>
      </w:pPr>
      <w:r w:rsidRPr="000F6690">
        <w:rPr>
          <w:sz w:val="16"/>
          <w:szCs w:val="16"/>
        </w:rPr>
        <w:t>La obligación de los sujetos obligados de proporcionar información no comprende el procesamiento de la misma, ni el presentarla conforme al interés del solicitante.</w:t>
      </w:r>
    </w:p>
    <w:p w14:paraId="69187026" w14:textId="77777777" w:rsidR="005142BE" w:rsidRPr="000F6690" w:rsidRDefault="005142BE" w:rsidP="000468A0">
      <w:pPr>
        <w:pStyle w:val="Textonotapie"/>
        <w:jc w:val="both"/>
        <w:rPr>
          <w:sz w:val="16"/>
          <w:szCs w:val="16"/>
        </w:rPr>
      </w:pPr>
      <w:r w:rsidRPr="000F6690">
        <w:rPr>
          <w:b/>
          <w:sz w:val="16"/>
          <w:szCs w:val="16"/>
        </w:rPr>
        <w:t>ARTÍCULO 152</w:t>
      </w:r>
      <w:r w:rsidRPr="000F6690">
        <w:rPr>
          <w:sz w:val="16"/>
          <w:szCs w:val="16"/>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4A57D40A" w14:textId="77777777" w:rsidR="00FA5741" w:rsidRPr="000F6690" w:rsidRDefault="00FA5741" w:rsidP="00FA5741">
      <w:pPr>
        <w:pStyle w:val="Textonotapie"/>
        <w:jc w:val="both"/>
        <w:rPr>
          <w:sz w:val="16"/>
          <w:szCs w:val="16"/>
        </w:rPr>
      </w:pPr>
      <w:r w:rsidRPr="000F6690">
        <w:rPr>
          <w:rStyle w:val="Refdenotaalpie"/>
          <w:sz w:val="16"/>
          <w:szCs w:val="16"/>
        </w:rPr>
        <w:footnoteRef/>
      </w:r>
      <w:r w:rsidRPr="000F6690">
        <w:rPr>
          <w:sz w:val="16"/>
          <w:szCs w:val="16"/>
        </w:rPr>
        <w:t xml:space="preserve"> </w:t>
      </w:r>
      <w:r w:rsidRPr="000F6690">
        <w:rPr>
          <w:b/>
          <w:sz w:val="16"/>
          <w:szCs w:val="16"/>
        </w:rPr>
        <w:t>ARTÍCULO 158.</w:t>
      </w:r>
      <w:r w:rsidRPr="000F6690">
        <w:rPr>
          <w:sz w:val="16"/>
          <w:szCs w:val="16"/>
        </w:rPr>
        <w:t xml:space="preserve">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p>
    <w:p w14:paraId="266E5262" w14:textId="77777777" w:rsidR="00FA5741" w:rsidRPr="000F6690" w:rsidRDefault="00FA5741" w:rsidP="00FA5741">
      <w:pPr>
        <w:pStyle w:val="Textonotapie"/>
        <w:jc w:val="both"/>
        <w:rPr>
          <w:sz w:val="16"/>
          <w:szCs w:val="16"/>
        </w:rPr>
      </w:pPr>
      <w:r w:rsidRPr="000F6690">
        <w:rPr>
          <w:sz w:val="16"/>
          <w:szCs w:val="16"/>
        </w:rPr>
        <w:t>[…].</w:t>
      </w:r>
    </w:p>
  </w:footnote>
  <w:footnote w:id="4">
    <w:p w14:paraId="47A6582E" w14:textId="77777777" w:rsidR="00096FAB" w:rsidRPr="000F6690" w:rsidRDefault="00096FAB" w:rsidP="00096FAB">
      <w:pPr>
        <w:pStyle w:val="Textonotapie"/>
        <w:rPr>
          <w:sz w:val="16"/>
          <w:szCs w:val="16"/>
        </w:rPr>
      </w:pPr>
      <w:r w:rsidRPr="000F6690">
        <w:rPr>
          <w:rStyle w:val="Refdenotaalpie"/>
          <w:sz w:val="16"/>
          <w:szCs w:val="16"/>
        </w:rPr>
        <w:footnoteRef/>
      </w:r>
      <w:r w:rsidRPr="000F6690">
        <w:rPr>
          <w:sz w:val="16"/>
          <w:szCs w:val="16"/>
        </w:rPr>
        <w:t xml:space="preserve"> </w:t>
      </w:r>
      <w:r w:rsidRPr="000F6690">
        <w:rPr>
          <w:b/>
          <w:sz w:val="16"/>
          <w:szCs w:val="16"/>
        </w:rPr>
        <w:t>ARTÍCULO 180.</w:t>
      </w:r>
      <w:r w:rsidRPr="000F6690">
        <w:rPr>
          <w:sz w:val="16"/>
          <w:szCs w:val="16"/>
        </w:rPr>
        <w:t xml:space="preserve"> El recurso será sobreseído, en todo o en parte, cuando, una vez admitido, se actualicen alguno de los siguientes supuestos:</w:t>
      </w:r>
    </w:p>
    <w:p w14:paraId="5391B4C0" w14:textId="77777777" w:rsidR="00096FAB" w:rsidRPr="000F6690" w:rsidRDefault="00096FAB" w:rsidP="00096FAB">
      <w:pPr>
        <w:pStyle w:val="Textonotapie"/>
        <w:rPr>
          <w:sz w:val="16"/>
          <w:szCs w:val="16"/>
        </w:rPr>
      </w:pPr>
      <w:r w:rsidRPr="000F6690">
        <w:rPr>
          <w:sz w:val="16"/>
          <w:szCs w:val="16"/>
        </w:rPr>
        <w:t>[…]</w:t>
      </w:r>
    </w:p>
    <w:p w14:paraId="17D01400" w14:textId="77777777" w:rsidR="00096FAB" w:rsidRPr="000F6690" w:rsidRDefault="00096FAB" w:rsidP="00096FAB">
      <w:pPr>
        <w:pStyle w:val="Textonotapie"/>
        <w:rPr>
          <w:sz w:val="16"/>
          <w:szCs w:val="16"/>
        </w:rPr>
      </w:pPr>
      <w:r w:rsidRPr="000F6690">
        <w:rPr>
          <w:b/>
          <w:sz w:val="16"/>
          <w:szCs w:val="16"/>
        </w:rPr>
        <w:t>III.</w:t>
      </w:r>
      <w:r w:rsidRPr="000F6690">
        <w:rPr>
          <w:sz w:val="16"/>
          <w:szCs w:val="16"/>
        </w:rPr>
        <w:t xml:space="preserve"> El sujeto obligado responsable del acto lo modifique o revoque de tal manera que el recurso de revisión quede sin materia, o</w:t>
      </w:r>
    </w:p>
    <w:p w14:paraId="249C0D35" w14:textId="77777777" w:rsidR="00096FAB" w:rsidRPr="000F6690" w:rsidRDefault="00096FAB" w:rsidP="00096FAB">
      <w:pPr>
        <w:pStyle w:val="Textonotapie"/>
        <w:rPr>
          <w:sz w:val="16"/>
          <w:szCs w:val="16"/>
        </w:rPr>
      </w:pPr>
      <w:r w:rsidRPr="000F6690">
        <w:rPr>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12267022" w:rsidR="005142BE" w:rsidRDefault="005142BE">
        <w:pPr>
          <w:pStyle w:val="Encabezado"/>
          <w:jc w:val="center"/>
        </w:pPr>
        <w:r>
          <w:fldChar w:fldCharType="begin"/>
        </w:r>
        <w:r>
          <w:instrText>PAGE   \* MERGEFORMAT</w:instrText>
        </w:r>
        <w:r>
          <w:fldChar w:fldCharType="separate"/>
        </w:r>
        <w:r w:rsidR="000F6690" w:rsidRPr="000F6690">
          <w:rPr>
            <w:noProof/>
            <w:lang w:val="es-ES"/>
          </w:rPr>
          <w:t>16</w:t>
        </w:r>
        <w:r>
          <w:fldChar w:fldCharType="end"/>
        </w:r>
      </w:p>
    </w:sdtContent>
  </w:sdt>
  <w:p w14:paraId="3407CE7F" w14:textId="29073C3F" w:rsidR="005142BE" w:rsidRDefault="00183EF3" w:rsidP="00403C89">
    <w:pPr>
      <w:pStyle w:val="Encabezado"/>
      <w:jc w:val="right"/>
    </w:pPr>
    <w:r>
      <w:t xml:space="preserve">RECURSO DE REVISIÓN </w:t>
    </w:r>
    <w:r w:rsidR="00CD21CA">
      <w:t>369</w:t>
    </w:r>
    <w:r w:rsidR="00A00F41">
      <w:t>/2026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6877AEC9"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F6690" w:rsidRPr="000F6690">
          <w:rPr>
            <w:noProof/>
            <w:lang w:val="es-ES"/>
          </w:rPr>
          <w:t>15</w:t>
        </w:r>
        <w:r>
          <w:fldChar w:fldCharType="end"/>
        </w:r>
        <w:r>
          <w:t xml:space="preserve">                                  </w:t>
        </w:r>
      </w:p>
      <w:p w14:paraId="4B8CFE5F" w14:textId="77777777" w:rsidR="005142BE" w:rsidRDefault="005142BE" w:rsidP="00125FB7">
        <w:pPr>
          <w:pStyle w:val="Encabezado"/>
          <w:jc w:val="right"/>
        </w:pPr>
      </w:p>
      <w:p w14:paraId="33FF87E3" w14:textId="680DE676" w:rsidR="005142BE" w:rsidRDefault="00385540" w:rsidP="00403C89">
        <w:pPr>
          <w:pStyle w:val="Encabezado"/>
          <w:jc w:val="right"/>
        </w:pPr>
        <w:r>
          <w:t xml:space="preserve">RECURSO DE REVISIÓN </w:t>
        </w:r>
        <w:r w:rsidR="00CD21CA">
          <w:t>369</w:t>
        </w:r>
        <w:r w:rsidR="00A00F41">
          <w:t>/2026</w:t>
        </w:r>
        <w:r w:rsidR="00710E8F">
          <w:t>-1</w:t>
        </w:r>
      </w:p>
      <w:p w14:paraId="1F581E29" w14:textId="484A7B4B" w:rsidR="005142BE" w:rsidRDefault="00C648CF"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03DC9"/>
    <w:multiLevelType w:val="multilevel"/>
    <w:tmpl w:val="30660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E3D38"/>
    <w:multiLevelType w:val="multilevel"/>
    <w:tmpl w:val="773817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65B09"/>
    <w:multiLevelType w:val="multilevel"/>
    <w:tmpl w:val="62E0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73CA8"/>
    <w:multiLevelType w:val="multilevel"/>
    <w:tmpl w:val="4D646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0D14DC7"/>
    <w:multiLevelType w:val="hybridMultilevel"/>
    <w:tmpl w:val="E166B106"/>
    <w:lvl w:ilvl="0" w:tplc="596CE0BA">
      <w:start w:val="1"/>
      <w:numFmt w:val="upperRoman"/>
      <w:lvlText w:val="%1."/>
      <w:lvlJc w:val="left"/>
      <w:pPr>
        <w:ind w:left="510" w:firstLine="199"/>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210199C"/>
    <w:multiLevelType w:val="multilevel"/>
    <w:tmpl w:val="46F82A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21267A4"/>
    <w:multiLevelType w:val="multilevel"/>
    <w:tmpl w:val="BC36E5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BBB6082"/>
    <w:multiLevelType w:val="multilevel"/>
    <w:tmpl w:val="4CD4B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9" w15:restartNumberingAfterBreak="0">
    <w:nsid w:val="66325917"/>
    <w:multiLevelType w:val="multilevel"/>
    <w:tmpl w:val="35B6D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C4576A"/>
    <w:multiLevelType w:val="hybridMultilevel"/>
    <w:tmpl w:val="A756F99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6D7E4040"/>
    <w:multiLevelType w:val="hybridMultilevel"/>
    <w:tmpl w:val="33FCDA2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747F0C19"/>
    <w:multiLevelType w:val="hybridMultilevel"/>
    <w:tmpl w:val="FDCE5EAE"/>
    <w:lvl w:ilvl="0" w:tplc="10EA65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7F257228"/>
    <w:multiLevelType w:val="hybridMultilevel"/>
    <w:tmpl w:val="69E058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9"/>
  </w:num>
  <w:num w:numId="4">
    <w:abstractNumId w:val="2"/>
  </w:num>
  <w:num w:numId="5">
    <w:abstractNumId w:val="0"/>
  </w:num>
  <w:num w:numId="6">
    <w:abstractNumId w:val="1"/>
    <w:lvlOverride w:ilvl="0"/>
    <w:lvlOverride w:ilvl="1">
      <w:startOverride w:val="1"/>
    </w:lvlOverride>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2"/>
  </w:num>
  <w:num w:numId="12">
    <w:abstractNumId w:val="13"/>
  </w:num>
  <w:num w:numId="13">
    <w:abstractNumId w:val="11"/>
  </w:num>
  <w:num w:numId="1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0E6"/>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0DB"/>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5DE4"/>
    <w:rsid w:val="0006659D"/>
    <w:rsid w:val="0006668E"/>
    <w:rsid w:val="00066886"/>
    <w:rsid w:val="00066FA8"/>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4D0A"/>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6FAB"/>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293"/>
    <w:rsid w:val="000F4347"/>
    <w:rsid w:val="000F4B35"/>
    <w:rsid w:val="000F5376"/>
    <w:rsid w:val="000F56CE"/>
    <w:rsid w:val="000F6106"/>
    <w:rsid w:val="000F6690"/>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6B0C"/>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98D"/>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481"/>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1D3"/>
    <w:rsid w:val="00325332"/>
    <w:rsid w:val="00325459"/>
    <w:rsid w:val="00325CBB"/>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59D5"/>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3AD"/>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41E"/>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26B"/>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D44"/>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35"/>
    <w:rsid w:val="004D7266"/>
    <w:rsid w:val="004D72F6"/>
    <w:rsid w:val="004D7692"/>
    <w:rsid w:val="004D7F0A"/>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C69"/>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853"/>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5C90"/>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7E3"/>
    <w:rsid w:val="005D2C05"/>
    <w:rsid w:val="005D2D89"/>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92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AC"/>
    <w:rsid w:val="006A16E9"/>
    <w:rsid w:val="006A1845"/>
    <w:rsid w:val="006A1ADE"/>
    <w:rsid w:val="006A21FB"/>
    <w:rsid w:val="006A252C"/>
    <w:rsid w:val="006A27B9"/>
    <w:rsid w:val="006A2C54"/>
    <w:rsid w:val="006A3029"/>
    <w:rsid w:val="006A37C1"/>
    <w:rsid w:val="006A3B12"/>
    <w:rsid w:val="006A48EA"/>
    <w:rsid w:val="006A4954"/>
    <w:rsid w:val="006A5158"/>
    <w:rsid w:val="006A640B"/>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3AAC"/>
    <w:rsid w:val="00703C92"/>
    <w:rsid w:val="0070541D"/>
    <w:rsid w:val="00705C1A"/>
    <w:rsid w:val="00706075"/>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CB5"/>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AAA"/>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15C"/>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4E3F"/>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71C0"/>
    <w:rsid w:val="00917AFC"/>
    <w:rsid w:val="0092045D"/>
    <w:rsid w:val="009212D1"/>
    <w:rsid w:val="009214BC"/>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0F2"/>
    <w:rsid w:val="00956935"/>
    <w:rsid w:val="0095750C"/>
    <w:rsid w:val="00957DCF"/>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369"/>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687C"/>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9782E"/>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33E"/>
    <w:rsid w:val="00B06540"/>
    <w:rsid w:val="00B067AE"/>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02"/>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08E2"/>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466"/>
    <w:rsid w:val="00BA77B6"/>
    <w:rsid w:val="00BB066B"/>
    <w:rsid w:val="00BB09D4"/>
    <w:rsid w:val="00BB0DF8"/>
    <w:rsid w:val="00BB0FC9"/>
    <w:rsid w:val="00BB16E6"/>
    <w:rsid w:val="00BB1A90"/>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3AC"/>
    <w:rsid w:val="00C006CD"/>
    <w:rsid w:val="00C00CB3"/>
    <w:rsid w:val="00C01371"/>
    <w:rsid w:val="00C01F55"/>
    <w:rsid w:val="00C023EC"/>
    <w:rsid w:val="00C02EF8"/>
    <w:rsid w:val="00C02FFD"/>
    <w:rsid w:val="00C03B6B"/>
    <w:rsid w:val="00C0476C"/>
    <w:rsid w:val="00C04E61"/>
    <w:rsid w:val="00C05C4B"/>
    <w:rsid w:val="00C06692"/>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C2E"/>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8CF"/>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462"/>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1CA"/>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562"/>
    <w:rsid w:val="00D316A6"/>
    <w:rsid w:val="00D31755"/>
    <w:rsid w:val="00D32523"/>
    <w:rsid w:val="00D326F9"/>
    <w:rsid w:val="00D327C4"/>
    <w:rsid w:val="00D32BDF"/>
    <w:rsid w:val="00D32D81"/>
    <w:rsid w:val="00D33466"/>
    <w:rsid w:val="00D33584"/>
    <w:rsid w:val="00D33617"/>
    <w:rsid w:val="00D337D3"/>
    <w:rsid w:val="00D33950"/>
    <w:rsid w:val="00D348D1"/>
    <w:rsid w:val="00D34D73"/>
    <w:rsid w:val="00D34F67"/>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2877"/>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DA2"/>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565"/>
    <w:rsid w:val="00E31E98"/>
    <w:rsid w:val="00E32697"/>
    <w:rsid w:val="00E32F0A"/>
    <w:rsid w:val="00E33BF2"/>
    <w:rsid w:val="00E349EC"/>
    <w:rsid w:val="00E35AC3"/>
    <w:rsid w:val="00E36277"/>
    <w:rsid w:val="00E36DCC"/>
    <w:rsid w:val="00E376C1"/>
    <w:rsid w:val="00E376F4"/>
    <w:rsid w:val="00E40E02"/>
    <w:rsid w:val="00E417D9"/>
    <w:rsid w:val="00E41A5D"/>
    <w:rsid w:val="00E41F96"/>
    <w:rsid w:val="00E4495F"/>
    <w:rsid w:val="00E455A8"/>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5F0"/>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B70"/>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9C"/>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0E70"/>
    <w:rsid w:val="00F9175C"/>
    <w:rsid w:val="00F91826"/>
    <w:rsid w:val="00F91E39"/>
    <w:rsid w:val="00F926C9"/>
    <w:rsid w:val="00F929E0"/>
    <w:rsid w:val="00F92F07"/>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741"/>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2280880">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958417941">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65901170">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724985916">
      <w:bodyDiv w:val="1"/>
      <w:marLeft w:val="0"/>
      <w:marRight w:val="0"/>
      <w:marTop w:val="0"/>
      <w:marBottom w:val="0"/>
      <w:divBdr>
        <w:top w:val="none" w:sz="0" w:space="0" w:color="auto"/>
        <w:left w:val="none" w:sz="0" w:space="0" w:color="auto"/>
        <w:bottom w:val="none" w:sz="0" w:space="0" w:color="auto"/>
        <w:right w:val="none" w:sz="0" w:space="0" w:color="auto"/>
      </w:divBdr>
    </w:div>
    <w:div w:id="1733262745">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2458891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7742144">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26443132">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895A0D-5701-46D4-8334-A9347A8DD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16</Pages>
  <Words>5531</Words>
  <Characters>30425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5</cp:revision>
  <cp:lastPrinted>2025-11-05T14:45:00Z</cp:lastPrinted>
  <dcterms:created xsi:type="dcterms:W3CDTF">2026-09-02T15:33:00Z</dcterms:created>
  <dcterms:modified xsi:type="dcterms:W3CDTF">2026-09-02T19:19:00Z</dcterms:modified>
</cp:coreProperties>
</file>