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F29" w:rsidRDefault="00C602F1">
      <w:pPr>
        <w:pStyle w:val="Ttulo"/>
        <w:spacing w:before="0" w:after="0"/>
        <w:ind w:left="708" w:hanging="708"/>
        <w:jc w:val="right"/>
        <w:rPr>
          <w:rFonts w:ascii="Arial" w:hAnsi="Arial" w:cs="Arial"/>
          <w:color w:val="4472C4" w:themeColor="accent5"/>
          <w:sz w:val="24"/>
          <w:szCs w:val="24"/>
        </w:rPr>
      </w:pPr>
      <w:r>
        <w:rPr>
          <w:rFonts w:ascii="Arial" w:hAnsi="Arial" w:cs="Arial"/>
          <w:color w:val="4472C4" w:themeColor="accent5"/>
          <w:sz w:val="24"/>
          <w:szCs w:val="24"/>
        </w:rPr>
        <w:t xml:space="preserve">                                                       RECURSO DE REVISIÓN </w:t>
      </w:r>
      <w:r>
        <w:rPr>
          <w:rFonts w:ascii="Arial" w:hAnsi="Arial" w:cs="Arial"/>
          <w:color w:val="4472C4" w:themeColor="accent5"/>
          <w:sz w:val="24"/>
          <w:szCs w:val="24"/>
        </w:rPr>
        <w:t>327</w:t>
      </w:r>
      <w:r>
        <w:rPr>
          <w:rFonts w:ascii="Arial" w:hAnsi="Arial" w:cs="Arial"/>
          <w:color w:val="4472C4" w:themeColor="accent5"/>
          <w:sz w:val="24"/>
          <w:szCs w:val="24"/>
        </w:rPr>
        <w:t>/2026-2</w:t>
      </w:r>
    </w:p>
    <w:p w:rsidR="00AB1F29" w:rsidRDefault="00C602F1">
      <w:pPr>
        <w:pStyle w:val="corte1datos"/>
        <w:spacing w:line="276" w:lineRule="auto"/>
        <w:jc w:val="right"/>
        <w:rPr>
          <w:rFonts w:cs="Arial"/>
          <w:color w:val="4472C4" w:themeColor="accent5"/>
          <w:sz w:val="24"/>
          <w:szCs w:val="24"/>
          <w:lang w:val="es-MX"/>
        </w:rPr>
      </w:pPr>
      <w:r>
        <w:rPr>
          <w:rFonts w:cs="Arial"/>
          <w:color w:val="4472C4" w:themeColor="accent5"/>
          <w:sz w:val="24"/>
          <w:szCs w:val="24"/>
          <w:lang w:val="es-MX"/>
        </w:rPr>
        <w:t xml:space="preserve">   </w:t>
      </w:r>
    </w:p>
    <w:p w:rsidR="00AB1F29" w:rsidRDefault="00AB1F29">
      <w:pPr>
        <w:pStyle w:val="corte2ponente"/>
        <w:spacing w:line="276" w:lineRule="auto"/>
        <w:jc w:val="right"/>
        <w:rPr>
          <w:rFonts w:cs="Arial"/>
          <w:color w:val="4472C4" w:themeColor="accent5"/>
          <w:sz w:val="24"/>
          <w:szCs w:val="24"/>
          <w:lang w:val="es-MX"/>
        </w:rPr>
      </w:pPr>
    </w:p>
    <w:p w:rsidR="00AB1F29" w:rsidRDefault="00C602F1">
      <w:pPr>
        <w:pStyle w:val="corte2ponente"/>
        <w:spacing w:line="276" w:lineRule="auto"/>
        <w:jc w:val="right"/>
        <w:rPr>
          <w:rFonts w:cs="Arial"/>
          <w:color w:val="4472C4" w:themeColor="accent5"/>
          <w:sz w:val="24"/>
          <w:szCs w:val="24"/>
          <w:lang w:val="es-MX"/>
        </w:rPr>
      </w:pPr>
      <w:r>
        <w:rPr>
          <w:rFonts w:cs="Arial"/>
          <w:color w:val="4472C4" w:themeColor="accent5"/>
          <w:sz w:val="24"/>
          <w:szCs w:val="24"/>
        </w:rPr>
        <w:t>COMISIONADO PONENTE:</w:t>
      </w:r>
      <w:r>
        <w:rPr>
          <w:rFonts w:cs="Arial"/>
          <w:color w:val="4472C4" w:themeColor="accent5"/>
          <w:sz w:val="24"/>
          <w:szCs w:val="24"/>
          <w:lang w:val="es-MX"/>
        </w:rPr>
        <w:t xml:space="preserve"> </w:t>
      </w:r>
    </w:p>
    <w:p w:rsidR="00AB1F29" w:rsidRDefault="00C602F1">
      <w:pPr>
        <w:pStyle w:val="corte2ponente"/>
        <w:spacing w:line="276" w:lineRule="auto"/>
        <w:jc w:val="right"/>
        <w:rPr>
          <w:rFonts w:cs="Arial"/>
          <w:color w:val="4472C4" w:themeColor="accent5"/>
          <w:sz w:val="24"/>
          <w:szCs w:val="24"/>
        </w:rPr>
      </w:pPr>
      <w:r>
        <w:rPr>
          <w:rFonts w:eastAsia="Arial Unicode MS" w:cs="Arial"/>
          <w:caps w:val="0"/>
          <w:color w:val="4472C4" w:themeColor="accent5"/>
          <w:sz w:val="24"/>
          <w:szCs w:val="24"/>
        </w:rPr>
        <w:t>LIC. JOSÉ GERARDO NAVARRO ALVISO</w:t>
      </w:r>
      <w:r>
        <w:rPr>
          <w:rFonts w:cs="Arial"/>
          <w:caps w:val="0"/>
          <w:color w:val="4472C4" w:themeColor="accent5"/>
          <w:sz w:val="24"/>
          <w:szCs w:val="24"/>
        </w:rPr>
        <w:t xml:space="preserve"> </w:t>
      </w:r>
    </w:p>
    <w:p w:rsidR="00AB1F29" w:rsidRDefault="00C602F1">
      <w:pPr>
        <w:pStyle w:val="corte2ponente"/>
        <w:spacing w:line="276" w:lineRule="auto"/>
        <w:jc w:val="right"/>
        <w:rPr>
          <w:rFonts w:cs="Arial"/>
          <w:color w:val="4472C4" w:themeColor="accent5"/>
          <w:sz w:val="24"/>
          <w:szCs w:val="24"/>
          <w:lang w:val="es-MX"/>
        </w:rPr>
      </w:pPr>
      <w:r>
        <w:rPr>
          <w:rFonts w:cs="Arial"/>
          <w:color w:val="4472C4" w:themeColor="accent5"/>
          <w:sz w:val="24"/>
          <w:szCs w:val="24"/>
          <w:lang w:val="es-MX"/>
        </w:rPr>
        <w:t xml:space="preserve">                                                                                                                                                                                                                                                                </w:t>
      </w:r>
      <w:r>
        <w:rPr>
          <w:rFonts w:cs="Arial"/>
          <w:color w:val="4472C4" w:themeColor="accent5"/>
          <w:sz w:val="24"/>
          <w:szCs w:val="24"/>
          <w:lang w:val="es-MX"/>
        </w:rPr>
        <w:t xml:space="preserve">                                                                                                                                                                                                                                                                </w:t>
      </w:r>
      <w:r>
        <w:rPr>
          <w:rFonts w:cs="Arial"/>
          <w:color w:val="4472C4" w:themeColor="accent5"/>
          <w:sz w:val="24"/>
          <w:szCs w:val="24"/>
          <w:lang w:val="es-MX"/>
        </w:rPr>
        <w:t xml:space="preserve">                                                                                                                                                                                                                                                                </w:t>
      </w:r>
      <w:r>
        <w:rPr>
          <w:rFonts w:cs="Arial"/>
          <w:color w:val="4472C4" w:themeColor="accent5"/>
          <w:sz w:val="24"/>
          <w:szCs w:val="24"/>
          <w:lang w:val="es-MX"/>
        </w:rPr>
        <w:t xml:space="preserve">                                                                                                                                                                                                                                                                </w:t>
      </w:r>
      <w:r>
        <w:rPr>
          <w:rFonts w:cs="Arial"/>
          <w:color w:val="4472C4" w:themeColor="accent5"/>
          <w:sz w:val="24"/>
          <w:szCs w:val="24"/>
          <w:lang w:val="es-MX"/>
        </w:rPr>
        <w:t xml:space="preserve">                                                                                                                                                                                                                                                                </w:t>
      </w:r>
      <w:r>
        <w:rPr>
          <w:rFonts w:cs="Arial"/>
          <w:color w:val="4472C4" w:themeColor="accent5"/>
          <w:sz w:val="24"/>
          <w:szCs w:val="24"/>
          <w:lang w:val="es-MX"/>
        </w:rPr>
        <w:t xml:space="preserve">                                                                                                                                                                                                                                                                </w:t>
      </w:r>
      <w:r>
        <w:rPr>
          <w:rFonts w:cs="Arial"/>
          <w:color w:val="4472C4" w:themeColor="accent5"/>
          <w:sz w:val="24"/>
          <w:szCs w:val="24"/>
          <w:lang w:val="es-MX"/>
        </w:rPr>
        <w:t xml:space="preserve">                                                                                                                                                                                                                                                                </w:t>
      </w:r>
      <w:r>
        <w:rPr>
          <w:rFonts w:cs="Arial"/>
          <w:color w:val="4472C4" w:themeColor="accent5"/>
          <w:sz w:val="24"/>
          <w:szCs w:val="24"/>
          <w:lang w:val="es-MX"/>
        </w:rPr>
        <w:t xml:space="preserve">                                                                                                                                                                                                                                                                </w:t>
      </w:r>
      <w:r>
        <w:rPr>
          <w:rFonts w:cs="Arial"/>
          <w:color w:val="4472C4" w:themeColor="accent5"/>
          <w:sz w:val="24"/>
          <w:szCs w:val="24"/>
          <w:lang w:val="es-MX"/>
        </w:rPr>
        <w:t xml:space="preserve">                                                                  </w:t>
      </w:r>
    </w:p>
    <w:p w:rsidR="00AB1F29" w:rsidRDefault="00C602F1">
      <w:pPr>
        <w:pStyle w:val="corte2ponente"/>
        <w:spacing w:line="276" w:lineRule="auto"/>
        <w:jc w:val="right"/>
        <w:rPr>
          <w:rFonts w:cs="Arial"/>
          <w:color w:val="4472C4" w:themeColor="accent5"/>
          <w:sz w:val="24"/>
          <w:szCs w:val="24"/>
        </w:rPr>
      </w:pPr>
      <w:r>
        <w:rPr>
          <w:rFonts w:cs="Arial"/>
          <w:caps w:val="0"/>
          <w:color w:val="4472C4" w:themeColor="accent5"/>
          <w:sz w:val="24"/>
          <w:szCs w:val="24"/>
          <w:lang w:val="es-MX"/>
        </w:rPr>
        <w:t xml:space="preserve">            </w:t>
      </w:r>
      <w:r>
        <w:rPr>
          <w:rFonts w:cs="Arial"/>
          <w:caps w:val="0"/>
          <w:color w:val="4472C4" w:themeColor="accent5"/>
          <w:sz w:val="24"/>
          <w:szCs w:val="24"/>
        </w:rPr>
        <w:t>SUJETO OBLIGADO:</w:t>
      </w:r>
    </w:p>
    <w:p w:rsidR="00AB1F29" w:rsidRDefault="00C602F1">
      <w:pPr>
        <w:pStyle w:val="corte4fondo"/>
        <w:spacing w:line="276" w:lineRule="auto"/>
        <w:ind w:firstLine="0"/>
        <w:jc w:val="right"/>
        <w:rPr>
          <w:rFonts w:cs="Arial"/>
          <w:b/>
          <w:color w:val="4472C4" w:themeColor="accent5"/>
          <w:sz w:val="24"/>
          <w:szCs w:val="24"/>
          <w:lang w:val="es-MX"/>
        </w:rPr>
      </w:pPr>
      <w:r>
        <w:rPr>
          <w:rFonts w:cs="Arial"/>
          <w:color w:val="4472C4" w:themeColor="accent5"/>
          <w:sz w:val="24"/>
          <w:szCs w:val="24"/>
        </w:rPr>
        <w:tab/>
      </w:r>
      <w:r>
        <w:rPr>
          <w:rFonts w:cs="Arial"/>
          <w:b/>
          <w:color w:val="4472C4" w:themeColor="accent5"/>
          <w:sz w:val="24"/>
          <w:szCs w:val="24"/>
          <w:lang w:val="es-MX"/>
        </w:rPr>
        <w:t>OFICIALÍA MAYOR, SAN LUIS POTOSÍ.</w:t>
      </w:r>
    </w:p>
    <w:p w:rsidR="00AB1F29" w:rsidRDefault="00C602F1">
      <w:pPr>
        <w:pStyle w:val="corte4fondo"/>
        <w:tabs>
          <w:tab w:val="left" w:pos="2620"/>
        </w:tabs>
        <w:spacing w:line="276" w:lineRule="auto"/>
        <w:ind w:firstLine="708"/>
        <w:rPr>
          <w:rFonts w:cs="Arial"/>
          <w:color w:val="4472C4" w:themeColor="accent5"/>
          <w:sz w:val="24"/>
          <w:szCs w:val="24"/>
        </w:rPr>
      </w:pPr>
      <w:r>
        <w:rPr>
          <w:rFonts w:cs="Arial"/>
          <w:color w:val="4472C4" w:themeColor="accent5"/>
          <w:sz w:val="24"/>
          <w:szCs w:val="24"/>
        </w:rPr>
        <w:tab/>
      </w:r>
    </w:p>
    <w:p w:rsidR="00AB1F29" w:rsidRDefault="00C602F1">
      <w:pPr>
        <w:pStyle w:val="corte4fondo"/>
        <w:spacing w:line="276" w:lineRule="auto"/>
        <w:ind w:firstLine="708"/>
        <w:rPr>
          <w:rFonts w:cs="Arial"/>
          <w:color w:val="4472C4" w:themeColor="accent5"/>
          <w:sz w:val="24"/>
          <w:szCs w:val="24"/>
          <w:lang w:val="es-MX"/>
        </w:rPr>
      </w:pPr>
      <w:r>
        <w:rPr>
          <w:rFonts w:cs="Arial"/>
          <w:color w:val="4472C4" w:themeColor="accent5"/>
          <w:sz w:val="24"/>
          <w:szCs w:val="24"/>
          <w:lang w:val="es-MX"/>
        </w:rPr>
        <w:t xml:space="preserve">         </w:t>
      </w:r>
    </w:p>
    <w:p w:rsidR="00AB1F29" w:rsidRDefault="00C602F1">
      <w:pPr>
        <w:pStyle w:val="corte4fondo"/>
        <w:spacing w:line="276" w:lineRule="auto"/>
        <w:ind w:firstLine="708"/>
        <w:rPr>
          <w:rFonts w:cs="Arial"/>
          <w:b/>
          <w:color w:val="4472C4" w:themeColor="accent5"/>
          <w:sz w:val="24"/>
          <w:szCs w:val="24"/>
          <w:vertAlign w:val="subscript"/>
        </w:rPr>
      </w:pPr>
      <w:r>
        <w:rPr>
          <w:rFonts w:cs="Arial"/>
          <w:color w:val="4472C4" w:themeColor="accent5"/>
          <w:sz w:val="24"/>
          <w:szCs w:val="24"/>
          <w:lang w:val="es-MX"/>
        </w:rPr>
        <w:t xml:space="preserve">      </w:t>
      </w:r>
      <w:r>
        <w:rPr>
          <w:rFonts w:cs="Arial"/>
          <w:color w:val="4472C4" w:themeColor="accent5"/>
          <w:sz w:val="24"/>
          <w:szCs w:val="24"/>
        </w:rPr>
        <w:t xml:space="preserve">San Luis Potosí, San Luis Potosí. Acuerdo del Pleno de la Comisión Estatal de Garantía de Acceso a la Información Pública, correspondiente a la </w:t>
      </w:r>
      <w:r>
        <w:rPr>
          <w:rFonts w:cs="Arial"/>
          <w:color w:val="4472C4" w:themeColor="accent5"/>
          <w:sz w:val="24"/>
          <w:szCs w:val="24"/>
          <w:lang w:val="es-MX"/>
        </w:rPr>
        <w:t>S</w:t>
      </w:r>
      <w:r>
        <w:rPr>
          <w:rFonts w:cs="Arial"/>
          <w:color w:val="4472C4" w:themeColor="accent5"/>
          <w:sz w:val="24"/>
          <w:szCs w:val="24"/>
        </w:rPr>
        <w:t xml:space="preserve">esión </w:t>
      </w:r>
      <w:r>
        <w:rPr>
          <w:rFonts w:cs="Arial"/>
          <w:color w:val="4472C4" w:themeColor="accent5"/>
          <w:sz w:val="24"/>
          <w:szCs w:val="24"/>
          <w:lang w:val="es-MX"/>
        </w:rPr>
        <w:t>Extra</w:t>
      </w:r>
      <w:r>
        <w:rPr>
          <w:rFonts w:cs="Arial"/>
          <w:color w:val="4472C4" w:themeColor="accent5"/>
          <w:sz w:val="24"/>
          <w:szCs w:val="24"/>
          <w:lang w:val="es-MX"/>
        </w:rPr>
        <w:t xml:space="preserve">ordinaria de </w:t>
      </w:r>
      <w:r>
        <w:rPr>
          <w:rFonts w:cs="Arial"/>
          <w:color w:val="4472C4" w:themeColor="accent5"/>
          <w:sz w:val="24"/>
          <w:szCs w:val="24"/>
          <w:lang w:val="es-MX"/>
        </w:rPr>
        <w:t>27 veintisiete de agost</w:t>
      </w:r>
      <w:r>
        <w:rPr>
          <w:rFonts w:cs="Arial"/>
          <w:color w:val="4472C4" w:themeColor="accent5"/>
          <w:sz w:val="24"/>
          <w:szCs w:val="24"/>
          <w:lang w:val="es-MX"/>
        </w:rPr>
        <w:t>o de 2026 dos mil veintiséis</w:t>
      </w:r>
      <w:r>
        <w:rPr>
          <w:rFonts w:cs="Arial"/>
          <w:color w:val="4472C4" w:themeColor="accent5"/>
          <w:sz w:val="24"/>
          <w:szCs w:val="24"/>
        </w:rPr>
        <w:t xml:space="preserve">. </w:t>
      </w:r>
    </w:p>
    <w:p w:rsidR="00AB1F29" w:rsidRDefault="00C602F1">
      <w:pPr>
        <w:pStyle w:val="corte4fondo"/>
        <w:spacing w:line="276" w:lineRule="auto"/>
        <w:ind w:firstLine="708"/>
        <w:rPr>
          <w:rFonts w:cs="Arial"/>
          <w:b/>
          <w:color w:val="4472C4" w:themeColor="accent5"/>
          <w:sz w:val="24"/>
          <w:szCs w:val="24"/>
          <w:vertAlign w:val="subscript"/>
        </w:rPr>
      </w:pPr>
      <w:r>
        <w:rPr>
          <w:rFonts w:cs="Arial"/>
          <w:color w:val="4472C4" w:themeColor="accent5"/>
          <w:sz w:val="24"/>
          <w:szCs w:val="24"/>
        </w:rPr>
        <w:t xml:space="preserve"> </w:t>
      </w:r>
    </w:p>
    <w:p w:rsidR="00AB1F29" w:rsidRDefault="00C602F1">
      <w:pPr>
        <w:pStyle w:val="corte4fondo"/>
        <w:spacing w:line="276" w:lineRule="auto"/>
        <w:rPr>
          <w:rFonts w:cs="Arial"/>
          <w:color w:val="4472C4" w:themeColor="accent5"/>
          <w:sz w:val="24"/>
          <w:szCs w:val="24"/>
        </w:rPr>
      </w:pPr>
      <w:r>
        <w:rPr>
          <w:rFonts w:cs="Arial"/>
          <w:b/>
          <w:color w:val="4472C4" w:themeColor="accent5"/>
          <w:sz w:val="24"/>
          <w:szCs w:val="24"/>
        </w:rPr>
        <w:t>VISTOS</w:t>
      </w:r>
      <w:r>
        <w:rPr>
          <w:rFonts w:cs="Arial"/>
          <w:color w:val="4472C4" w:themeColor="accent5"/>
          <w:sz w:val="24"/>
          <w:szCs w:val="24"/>
        </w:rPr>
        <w:t>, para resolver, los auto</w:t>
      </w:r>
      <w:r>
        <w:rPr>
          <w:rFonts w:cs="Arial"/>
          <w:color w:val="4472C4" w:themeColor="accent5"/>
          <w:sz w:val="24"/>
          <w:szCs w:val="24"/>
        </w:rPr>
        <w:t>s del recurso de revisión identificado al rubro; y</w:t>
      </w:r>
    </w:p>
    <w:p w:rsidR="00AB1F29" w:rsidRDefault="00C602F1">
      <w:pPr>
        <w:pStyle w:val="corte4fondo"/>
        <w:spacing w:line="276" w:lineRule="auto"/>
        <w:rPr>
          <w:rFonts w:cs="Arial"/>
          <w:color w:val="4472C4" w:themeColor="accent5"/>
          <w:sz w:val="24"/>
          <w:szCs w:val="24"/>
          <w:lang w:val="es-MX"/>
        </w:rPr>
      </w:pPr>
      <w:r>
        <w:rPr>
          <w:rFonts w:cs="Arial"/>
          <w:color w:val="4472C4" w:themeColor="accent5"/>
          <w:sz w:val="24"/>
          <w:szCs w:val="24"/>
          <w:lang w:val="es-MX"/>
        </w:rPr>
        <w:t xml:space="preserve">          </w:t>
      </w:r>
    </w:p>
    <w:p w:rsidR="00AB1F29" w:rsidRDefault="00C602F1">
      <w:pPr>
        <w:pStyle w:val="corte4fondo"/>
        <w:spacing w:line="276" w:lineRule="auto"/>
        <w:jc w:val="center"/>
        <w:rPr>
          <w:rFonts w:cs="Arial"/>
          <w:color w:val="4472C4" w:themeColor="accent5"/>
          <w:sz w:val="24"/>
          <w:szCs w:val="24"/>
        </w:rPr>
      </w:pPr>
      <w:r>
        <w:rPr>
          <w:rFonts w:cs="Arial"/>
          <w:b/>
          <w:color w:val="4472C4" w:themeColor="accent5"/>
          <w:sz w:val="24"/>
          <w:szCs w:val="24"/>
        </w:rPr>
        <w:t>R E S U L T A N D O</w:t>
      </w:r>
      <w:r>
        <w:rPr>
          <w:rFonts w:cs="Arial"/>
          <w:color w:val="4472C4" w:themeColor="accent5"/>
          <w:sz w:val="24"/>
          <w:szCs w:val="24"/>
        </w:rPr>
        <w:t>:</w:t>
      </w:r>
    </w:p>
    <w:p w:rsidR="00AB1F29" w:rsidRDefault="00AB1F29">
      <w:pPr>
        <w:pStyle w:val="corte4fondo"/>
        <w:spacing w:line="276" w:lineRule="auto"/>
        <w:jc w:val="center"/>
        <w:rPr>
          <w:rFonts w:cs="Arial"/>
          <w:color w:val="4472C4" w:themeColor="accent5"/>
          <w:sz w:val="24"/>
          <w:szCs w:val="24"/>
        </w:rPr>
      </w:pPr>
    </w:p>
    <w:p w:rsidR="00AB1F29" w:rsidRDefault="00C602F1">
      <w:pPr>
        <w:spacing w:after="0"/>
        <w:ind w:firstLine="709"/>
        <w:jc w:val="both"/>
        <w:rPr>
          <w:rFonts w:ascii="Arial" w:eastAsia="Times New Roman" w:hAnsi="Arial" w:cs="Arial"/>
          <w:color w:val="4472C4" w:themeColor="accent5"/>
          <w:sz w:val="24"/>
          <w:szCs w:val="24"/>
          <w:lang w:eastAsia="es-MX"/>
        </w:rPr>
      </w:pPr>
      <w:r>
        <w:rPr>
          <w:rFonts w:ascii="Arial" w:eastAsia="Times New Roman" w:hAnsi="Arial" w:cs="Arial"/>
          <w:b/>
          <w:color w:val="4472C4" w:themeColor="accent5"/>
          <w:sz w:val="24"/>
          <w:szCs w:val="24"/>
          <w:lang w:eastAsia="es-MX"/>
        </w:rPr>
        <w:t xml:space="preserve">I. </w:t>
      </w:r>
      <w:r>
        <w:rPr>
          <w:rFonts w:ascii="Arial" w:eastAsia="Times New Roman" w:hAnsi="Arial" w:cs="Arial"/>
          <w:b/>
          <w:color w:val="4472C4" w:themeColor="accent5"/>
          <w:sz w:val="24"/>
          <w:szCs w:val="24"/>
          <w:lang w:eastAsia="es-MX"/>
        </w:rPr>
        <w:t xml:space="preserve">Solicitud de acceso a la información pública. </w:t>
      </w:r>
      <w:r>
        <w:rPr>
          <w:rFonts w:ascii="Arial" w:eastAsia="Times New Roman" w:hAnsi="Arial" w:cs="Arial"/>
          <w:color w:val="4472C4" w:themeColor="accent5"/>
          <w:sz w:val="24"/>
          <w:szCs w:val="24"/>
          <w:lang w:eastAsia="es-MX"/>
        </w:rPr>
        <w:t xml:space="preserve">Según consta en la Plataforma Nacional de Transparencia con folio </w:t>
      </w:r>
      <w:r>
        <w:rPr>
          <w:rFonts w:ascii="Arial" w:eastAsia="sans-serif" w:hAnsi="Arial" w:cs="Arial"/>
          <w:color w:val="4472C4" w:themeColor="accent5"/>
          <w:sz w:val="24"/>
          <w:szCs w:val="24"/>
          <w:shd w:val="clear" w:color="auto" w:fill="FFFFFF"/>
        </w:rPr>
        <w:t>240469726000056</w:t>
      </w:r>
      <w:r>
        <w:rPr>
          <w:rFonts w:ascii="Arial" w:eastAsia="Times New Roman" w:hAnsi="Arial" w:cs="Arial"/>
          <w:color w:val="4472C4" w:themeColor="accent5"/>
          <w:sz w:val="24"/>
          <w:szCs w:val="24"/>
          <w:lang w:eastAsia="es-MX"/>
        </w:rPr>
        <w:t xml:space="preserve">, el </w:t>
      </w:r>
      <w:r w:rsidRPr="00B161DD">
        <w:rPr>
          <w:rFonts w:ascii="Arial" w:eastAsia="Times New Roman" w:hAnsi="Arial" w:cs="Arial"/>
          <w:color w:val="4472C4" w:themeColor="accent5"/>
          <w:sz w:val="24"/>
          <w:szCs w:val="24"/>
          <w:lang w:eastAsia="es-MX"/>
        </w:rPr>
        <w:t xml:space="preserve">03 tres de junio </w:t>
      </w:r>
      <w:r>
        <w:rPr>
          <w:rFonts w:ascii="Arial" w:eastAsia="Times New Roman" w:hAnsi="Arial" w:cs="Arial"/>
          <w:color w:val="4472C4" w:themeColor="accent5"/>
          <w:sz w:val="24"/>
          <w:szCs w:val="24"/>
          <w:lang w:eastAsia="es-MX"/>
        </w:rPr>
        <w:t xml:space="preserve">de 2026 dos mil veintiséis, </w:t>
      </w:r>
      <w:r>
        <w:rPr>
          <w:rFonts w:ascii="Arial" w:eastAsia="Times New Roman" w:hAnsi="Arial" w:cs="Arial"/>
          <w:b/>
          <w:color w:val="4472C4" w:themeColor="accent5"/>
          <w:sz w:val="24"/>
          <w:szCs w:val="24"/>
          <w:lang w:eastAsia="es-MX"/>
        </w:rPr>
        <w:t>la Oficialía Mayor</w:t>
      </w:r>
      <w:r>
        <w:rPr>
          <w:rFonts w:ascii="Arial" w:hAnsi="Arial" w:cs="Arial"/>
          <w:b/>
          <w:color w:val="4472C4" w:themeColor="accent5"/>
          <w:sz w:val="24"/>
          <w:szCs w:val="24"/>
        </w:rPr>
        <w:t>,</w:t>
      </w:r>
      <w:r>
        <w:rPr>
          <w:rFonts w:ascii="Arial" w:eastAsia="Times New Roman" w:hAnsi="Arial" w:cs="Arial"/>
          <w:b/>
          <w:color w:val="4472C4" w:themeColor="accent5"/>
          <w:sz w:val="24"/>
          <w:szCs w:val="24"/>
          <w:lang w:eastAsia="es-MX"/>
        </w:rPr>
        <w:t xml:space="preserve"> </w:t>
      </w:r>
      <w:r>
        <w:rPr>
          <w:rFonts w:ascii="Arial" w:eastAsia="Times New Roman" w:hAnsi="Arial" w:cs="Arial"/>
          <w:color w:val="4472C4" w:themeColor="accent5"/>
          <w:sz w:val="24"/>
          <w:szCs w:val="24"/>
          <w:lang w:eastAsia="es-MX"/>
        </w:rPr>
        <w:t>recibió una solicitud de acceso a la información pública</w:t>
      </w:r>
      <w:r>
        <w:rPr>
          <w:rStyle w:val="Refdenotaalpie"/>
          <w:rFonts w:ascii="Arial" w:eastAsia="Times New Roman" w:hAnsi="Arial" w:cs="Arial"/>
          <w:color w:val="4472C4" w:themeColor="accent5"/>
          <w:sz w:val="24"/>
          <w:szCs w:val="24"/>
          <w:lang w:eastAsia="es-MX"/>
        </w:rPr>
        <w:footnoteReference w:id="1"/>
      </w:r>
      <w:r>
        <w:rPr>
          <w:rFonts w:ascii="Arial" w:eastAsia="Times New Roman" w:hAnsi="Arial" w:cs="Arial"/>
          <w:color w:val="4472C4" w:themeColor="accent5"/>
          <w:sz w:val="24"/>
          <w:szCs w:val="24"/>
          <w:lang w:eastAsia="es-MX"/>
        </w:rPr>
        <w:t xml:space="preserve"> en donde se le pidió la información siguiente:  </w:t>
      </w:r>
    </w:p>
    <w:p w:rsidR="00AB1F29" w:rsidRDefault="00AB1F29">
      <w:pPr>
        <w:spacing w:after="0"/>
        <w:ind w:firstLine="709"/>
        <w:jc w:val="both"/>
        <w:rPr>
          <w:rFonts w:ascii="Arial" w:eastAsia="Times New Roman" w:hAnsi="Arial" w:cs="Arial"/>
          <w:color w:val="4472C4" w:themeColor="accent5"/>
          <w:sz w:val="24"/>
          <w:szCs w:val="24"/>
          <w:lang w:eastAsia="es-MX"/>
        </w:rPr>
      </w:pPr>
    </w:p>
    <w:p w:rsidR="00AB1F29" w:rsidRDefault="00C602F1">
      <w:pPr>
        <w:ind w:firstLine="708"/>
        <w:jc w:val="both"/>
        <w:rPr>
          <w:rFonts w:ascii="Arial" w:hAnsi="Arial" w:cs="Arial"/>
          <w:i/>
          <w:iCs/>
          <w:color w:val="4472C4" w:themeColor="accent5"/>
          <w:sz w:val="20"/>
          <w:szCs w:val="20"/>
        </w:rPr>
      </w:pPr>
      <w:r>
        <w:rPr>
          <w:rFonts w:ascii="Arial" w:hAnsi="Arial" w:cs="Arial"/>
          <w:i/>
          <w:iCs/>
          <w:color w:val="4472C4" w:themeColor="accent5"/>
          <w:sz w:val="20"/>
          <w:szCs w:val="20"/>
        </w:rPr>
        <w:t>“</w:t>
      </w:r>
      <w:r>
        <w:rPr>
          <w:rFonts w:ascii="Arial" w:hAnsi="Arial" w:cs="Arial"/>
          <w:i/>
          <w:iCs/>
          <w:color w:val="4472C4" w:themeColor="accent5"/>
          <w:sz w:val="20"/>
          <w:szCs w:val="20"/>
        </w:rPr>
        <w:t xml:space="preserve">De conformidad con el artículo 6º de la Constitución Política de los Estados Unidos Mexicanos, así </w:t>
      </w:r>
      <w:r>
        <w:rPr>
          <w:rFonts w:ascii="Arial" w:hAnsi="Arial" w:cs="Arial"/>
          <w:i/>
          <w:iCs/>
          <w:color w:val="4472C4" w:themeColor="accent5"/>
          <w:sz w:val="20"/>
          <w:szCs w:val="20"/>
        </w:rPr>
        <w:t>como los artículos 4 y 70 de la Ley General de Transparencia y Acceso a la Información Pública, solicito respetuosamente a la Comisión Local de Búsqueda de personas desaparecidas o en su caso, al órgano del que dependa la comisión mencionada, se me proporc</w:t>
      </w:r>
      <w:r>
        <w:rPr>
          <w:rFonts w:ascii="Arial" w:hAnsi="Arial" w:cs="Arial"/>
          <w:i/>
          <w:iCs/>
          <w:color w:val="4472C4" w:themeColor="accent5"/>
          <w:sz w:val="20"/>
          <w:szCs w:val="20"/>
        </w:rPr>
        <w:t>ione la siguiente información: El número total de personas funcionarias adscritas a la dependencia o entidad al 31 de diciembre de 2025, incluyendo para cada persona: Nombre del puesto Cargo y descripción del puesto Vigencia del nombramiento o contrato Tip</w:t>
      </w:r>
      <w:r>
        <w:rPr>
          <w:rFonts w:ascii="Arial" w:hAnsi="Arial" w:cs="Arial"/>
          <w:i/>
          <w:iCs/>
          <w:color w:val="4472C4" w:themeColor="accent5"/>
          <w:sz w:val="20"/>
          <w:szCs w:val="20"/>
        </w:rPr>
        <w:t>o de contrato (por ejemplo: base, confianza, honorarios, etc.) Agradezco que la información se entregue en formato abierto y reutilizable (por ejemplo, Excel o CSV), e indique con claridad la dependencia, unidad administrativa o área correspondiente en cad</w:t>
      </w:r>
      <w:r>
        <w:rPr>
          <w:rFonts w:ascii="Arial" w:hAnsi="Arial" w:cs="Arial"/>
          <w:i/>
          <w:iCs/>
          <w:color w:val="4472C4" w:themeColor="accent5"/>
          <w:sz w:val="20"/>
          <w:szCs w:val="20"/>
        </w:rPr>
        <w:t>a caso. Asimismo, agradeceré que, en caso de no contar con la información solicitada, se me indique con claridad el motivo de su inexistencia o la unidad administrativa responsable de su generación, resguardo o publicación. Sin más por el momento, agradezc</w:t>
      </w:r>
      <w:r>
        <w:rPr>
          <w:rFonts w:ascii="Arial" w:hAnsi="Arial" w:cs="Arial"/>
          <w:i/>
          <w:iCs/>
          <w:color w:val="4472C4" w:themeColor="accent5"/>
          <w:sz w:val="20"/>
          <w:szCs w:val="20"/>
        </w:rPr>
        <w:t>o de antemano la atención a esta solicitud y quedo atento(a) a la respuesta dentro de los plazos establecidos por la Ley.</w:t>
      </w:r>
      <w:r>
        <w:rPr>
          <w:rFonts w:ascii="Arial" w:hAnsi="Arial" w:cs="Arial"/>
          <w:i/>
          <w:iCs/>
          <w:color w:val="4472C4" w:themeColor="accent5"/>
          <w:sz w:val="20"/>
          <w:szCs w:val="20"/>
        </w:rPr>
        <w:t>”</w:t>
      </w:r>
    </w:p>
    <w:p w:rsidR="00AB1F29" w:rsidRDefault="00C602F1">
      <w:pPr>
        <w:autoSpaceDE w:val="0"/>
        <w:autoSpaceDN w:val="0"/>
        <w:adjustRightInd w:val="0"/>
        <w:spacing w:after="0"/>
        <w:ind w:firstLine="708"/>
        <w:jc w:val="both"/>
        <w:rPr>
          <w:rFonts w:ascii="Arial" w:hAnsi="Arial" w:cs="Arial"/>
          <w:color w:val="4472C4" w:themeColor="accent5"/>
          <w:sz w:val="24"/>
          <w:szCs w:val="24"/>
        </w:rPr>
      </w:pPr>
      <w:r>
        <w:rPr>
          <w:rFonts w:ascii="Arial" w:hAnsi="Arial" w:cs="Arial"/>
          <w:b/>
          <w:color w:val="4472C4" w:themeColor="accent5"/>
          <w:sz w:val="24"/>
          <w:szCs w:val="24"/>
        </w:rPr>
        <w:t xml:space="preserve">II. </w:t>
      </w:r>
      <w:r>
        <w:rPr>
          <w:rFonts w:ascii="Arial" w:hAnsi="Arial" w:cs="Arial"/>
          <w:b/>
          <w:color w:val="4472C4" w:themeColor="accent5"/>
          <w:sz w:val="24"/>
          <w:szCs w:val="24"/>
        </w:rPr>
        <w:t>Incompetencia</w:t>
      </w:r>
      <w:r>
        <w:rPr>
          <w:rFonts w:ascii="Arial" w:hAnsi="Arial" w:cs="Arial"/>
          <w:b/>
          <w:color w:val="4472C4" w:themeColor="accent5"/>
          <w:sz w:val="24"/>
          <w:szCs w:val="24"/>
        </w:rPr>
        <w:t xml:space="preserve">. </w:t>
      </w:r>
      <w:r>
        <w:rPr>
          <w:rFonts w:ascii="Arial" w:hAnsi="Arial" w:cs="Arial"/>
          <w:color w:val="4472C4" w:themeColor="accent5"/>
          <w:sz w:val="24"/>
          <w:szCs w:val="24"/>
        </w:rPr>
        <w:t xml:space="preserve">El 08 ocho de </w:t>
      </w:r>
      <w:r>
        <w:rPr>
          <w:rFonts w:ascii="Arial" w:hAnsi="Arial" w:cs="Arial"/>
          <w:color w:val="4472C4" w:themeColor="accent5"/>
          <w:sz w:val="24"/>
          <w:szCs w:val="24"/>
        </w:rPr>
        <w:t xml:space="preserve">junio </w:t>
      </w:r>
      <w:r>
        <w:rPr>
          <w:rFonts w:ascii="Arial" w:hAnsi="Arial" w:cs="Arial"/>
          <w:color w:val="4472C4" w:themeColor="accent5"/>
          <w:sz w:val="24"/>
          <w:szCs w:val="24"/>
        </w:rPr>
        <w:t xml:space="preserve">de 2026 dos mil veintiséis, </w:t>
      </w:r>
      <w:r>
        <w:rPr>
          <w:rFonts w:ascii="Arial" w:hAnsi="Arial" w:cs="Arial"/>
          <w:color w:val="4472C4" w:themeColor="accent5"/>
          <w:sz w:val="24"/>
          <w:szCs w:val="24"/>
        </w:rPr>
        <w:t>el sujeto obligado notificó no ser competente para conocer de la s</w:t>
      </w:r>
      <w:r>
        <w:rPr>
          <w:rFonts w:ascii="Arial" w:hAnsi="Arial" w:cs="Arial"/>
          <w:color w:val="4472C4" w:themeColor="accent5"/>
          <w:sz w:val="24"/>
          <w:szCs w:val="24"/>
        </w:rPr>
        <w:t>olicitud de información</w:t>
      </w:r>
      <w:r>
        <w:rPr>
          <w:rStyle w:val="Refdenotaalpie"/>
          <w:rFonts w:ascii="Arial" w:hAnsi="Arial" w:cs="Arial"/>
          <w:color w:val="4472C4" w:themeColor="accent5"/>
          <w:sz w:val="24"/>
          <w:szCs w:val="24"/>
        </w:rPr>
        <w:footnoteReference w:id="2"/>
      </w:r>
      <w:r>
        <w:rPr>
          <w:rFonts w:ascii="Arial" w:hAnsi="Arial" w:cs="Arial"/>
          <w:color w:val="4472C4" w:themeColor="accent5"/>
          <w:sz w:val="24"/>
          <w:szCs w:val="24"/>
        </w:rPr>
        <w:t>:</w:t>
      </w:r>
    </w:p>
    <w:p w:rsidR="00AB1F29" w:rsidRDefault="00AB1F29">
      <w:pPr>
        <w:autoSpaceDE w:val="0"/>
        <w:autoSpaceDN w:val="0"/>
        <w:adjustRightInd w:val="0"/>
        <w:spacing w:after="0"/>
        <w:jc w:val="both"/>
        <w:rPr>
          <w:rFonts w:ascii="Arial" w:eastAsia="Times New Roman" w:hAnsi="Arial" w:cs="Arial"/>
          <w:i/>
          <w:color w:val="4472C4" w:themeColor="accent5"/>
          <w:sz w:val="20"/>
          <w:szCs w:val="20"/>
          <w:lang w:eastAsia="es-MX"/>
        </w:rPr>
      </w:pPr>
    </w:p>
    <w:p w:rsidR="00AB1F29" w:rsidRDefault="00C602F1">
      <w:pPr>
        <w:autoSpaceDE w:val="0"/>
        <w:autoSpaceDN w:val="0"/>
        <w:adjustRightInd w:val="0"/>
        <w:spacing w:after="0"/>
        <w:jc w:val="both"/>
        <w:rPr>
          <w:rFonts w:ascii="Arial" w:eastAsia="Times New Roman" w:hAnsi="Arial" w:cs="Arial"/>
          <w:i/>
          <w:color w:val="4472C4" w:themeColor="accent5"/>
          <w:sz w:val="20"/>
          <w:szCs w:val="20"/>
          <w:lang w:eastAsia="es-MX"/>
        </w:rPr>
      </w:pPr>
      <w:r>
        <w:rPr>
          <w:noProof/>
          <w:lang w:eastAsia="es-MX"/>
        </w:rPr>
        <w:drawing>
          <wp:inline distT="0" distB="0" distL="114300" distR="114300">
            <wp:extent cx="6145530" cy="1205230"/>
            <wp:effectExtent l="0" t="0" r="7620" b="139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9" cstate="print"/>
                    <a:stretch>
                      <a:fillRect/>
                    </a:stretch>
                  </pic:blipFill>
                  <pic:spPr>
                    <a:xfrm>
                      <a:off x="0" y="0"/>
                      <a:ext cx="6145530" cy="1205230"/>
                    </a:xfrm>
                    <a:prstGeom prst="rect">
                      <a:avLst/>
                    </a:prstGeom>
                    <a:noFill/>
                    <a:ln>
                      <a:noFill/>
                    </a:ln>
                  </pic:spPr>
                </pic:pic>
              </a:graphicData>
            </a:graphic>
          </wp:inline>
        </w:drawing>
      </w:r>
    </w:p>
    <w:p w:rsidR="00AB1F29" w:rsidRDefault="00C602F1">
      <w:pPr>
        <w:autoSpaceDE w:val="0"/>
        <w:autoSpaceDN w:val="0"/>
        <w:adjustRightInd w:val="0"/>
        <w:spacing w:after="0"/>
        <w:jc w:val="both"/>
        <w:rPr>
          <w:rFonts w:ascii="Arial" w:eastAsia="Times New Roman" w:hAnsi="Arial" w:cs="Arial"/>
          <w:i/>
          <w:color w:val="4472C4" w:themeColor="accent5"/>
          <w:sz w:val="20"/>
          <w:szCs w:val="20"/>
          <w:lang w:eastAsia="es-MX"/>
        </w:rPr>
      </w:pPr>
      <w:r>
        <w:rPr>
          <w:noProof/>
          <w:lang w:eastAsia="es-MX"/>
        </w:rPr>
        <w:lastRenderedPageBreak/>
        <w:drawing>
          <wp:inline distT="0" distB="0" distL="114300" distR="114300">
            <wp:extent cx="6149340" cy="2292350"/>
            <wp:effectExtent l="0" t="0" r="3810" b="1270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pic:cNvPicPr>
                  </pic:nvPicPr>
                  <pic:blipFill>
                    <a:blip r:embed="rId10" cstate="print"/>
                    <a:stretch>
                      <a:fillRect/>
                    </a:stretch>
                  </pic:blipFill>
                  <pic:spPr>
                    <a:xfrm>
                      <a:off x="0" y="0"/>
                      <a:ext cx="6149340" cy="2292350"/>
                    </a:xfrm>
                    <a:prstGeom prst="rect">
                      <a:avLst/>
                    </a:prstGeom>
                    <a:noFill/>
                    <a:ln>
                      <a:noFill/>
                    </a:ln>
                  </pic:spPr>
                </pic:pic>
              </a:graphicData>
            </a:graphic>
          </wp:inline>
        </w:drawing>
      </w:r>
    </w:p>
    <w:p w:rsidR="00AB1F29" w:rsidRDefault="00AB1F29">
      <w:pPr>
        <w:pStyle w:val="Encabezado"/>
        <w:spacing w:line="276" w:lineRule="auto"/>
        <w:ind w:firstLine="708"/>
        <w:jc w:val="both"/>
        <w:rPr>
          <w:rFonts w:ascii="Arial" w:hAnsi="Arial" w:cs="Arial"/>
          <w:b/>
          <w:color w:val="4472C4" w:themeColor="accent5"/>
          <w:sz w:val="24"/>
          <w:szCs w:val="24"/>
        </w:rPr>
      </w:pPr>
    </w:p>
    <w:p w:rsidR="00AB1F29" w:rsidRDefault="00C602F1">
      <w:pPr>
        <w:pStyle w:val="Encabezado"/>
        <w:spacing w:line="276" w:lineRule="auto"/>
        <w:ind w:firstLine="708"/>
        <w:jc w:val="both"/>
        <w:rPr>
          <w:rFonts w:ascii="Arial" w:hAnsi="Arial" w:cs="Arial"/>
          <w:color w:val="4472C4" w:themeColor="accent5"/>
          <w:sz w:val="24"/>
          <w:szCs w:val="24"/>
        </w:rPr>
      </w:pPr>
      <w:r>
        <w:rPr>
          <w:rFonts w:ascii="Arial" w:hAnsi="Arial" w:cs="Arial"/>
          <w:b/>
          <w:color w:val="4472C4" w:themeColor="accent5"/>
          <w:sz w:val="24"/>
          <w:szCs w:val="24"/>
        </w:rPr>
        <w:t>I</w:t>
      </w:r>
      <w:r>
        <w:rPr>
          <w:rFonts w:ascii="Arial" w:hAnsi="Arial" w:cs="Arial"/>
          <w:b/>
          <w:color w:val="4472C4" w:themeColor="accent5"/>
          <w:sz w:val="24"/>
          <w:szCs w:val="24"/>
        </w:rPr>
        <w:t>II</w:t>
      </w:r>
      <w:r>
        <w:rPr>
          <w:rFonts w:ascii="Arial" w:hAnsi="Arial" w:cs="Arial"/>
          <w:b/>
          <w:color w:val="4472C4" w:themeColor="accent5"/>
          <w:sz w:val="24"/>
          <w:szCs w:val="24"/>
        </w:rPr>
        <w:t xml:space="preserve">. Interposición del recurso. </w:t>
      </w:r>
      <w:r>
        <w:rPr>
          <w:rFonts w:ascii="Arial" w:hAnsi="Arial" w:cs="Arial"/>
          <w:color w:val="4472C4" w:themeColor="accent5"/>
          <w:sz w:val="24"/>
          <w:szCs w:val="24"/>
        </w:rPr>
        <w:t xml:space="preserve">El </w:t>
      </w:r>
      <w:r>
        <w:rPr>
          <w:rFonts w:ascii="Arial" w:hAnsi="Arial" w:cs="Arial"/>
          <w:color w:val="4472C4" w:themeColor="accent5"/>
          <w:sz w:val="24"/>
          <w:szCs w:val="24"/>
        </w:rPr>
        <w:t xml:space="preserve">22 veintidós </w:t>
      </w:r>
      <w:r>
        <w:rPr>
          <w:rFonts w:ascii="Arial" w:eastAsia="Times New Roman" w:hAnsi="Arial" w:cs="Arial"/>
          <w:color w:val="4472C4" w:themeColor="accent5"/>
          <w:sz w:val="24"/>
          <w:szCs w:val="24"/>
          <w:lang w:eastAsia="es-MX"/>
        </w:rPr>
        <w:t xml:space="preserve">de junio </w:t>
      </w:r>
      <w:r>
        <w:rPr>
          <w:rFonts w:ascii="Arial" w:hAnsi="Arial" w:cs="Arial"/>
          <w:color w:val="4472C4" w:themeColor="accent5"/>
          <w:sz w:val="24"/>
          <w:szCs w:val="24"/>
        </w:rPr>
        <w:t>de 2026 dos mil veintiséis, a través del Sistema de Comunicación con los Sujetos Obligados de la Plataforma Nacional de Transparencia San Luis Potosí, el solicitante de la información interpuso recurso de revisión contra la respuesta a su solicitud de acce</w:t>
      </w:r>
      <w:r>
        <w:rPr>
          <w:rFonts w:ascii="Arial" w:hAnsi="Arial" w:cs="Arial"/>
          <w:color w:val="4472C4" w:themeColor="accent5"/>
          <w:sz w:val="24"/>
          <w:szCs w:val="24"/>
        </w:rPr>
        <w:t xml:space="preserve">so a la información pública mencionada en el punto anterior, recibido en la Oficialía de Partes de esta Comisión el día </w:t>
      </w:r>
      <w:r>
        <w:rPr>
          <w:rFonts w:ascii="Arial" w:hAnsi="Arial" w:cs="Arial"/>
          <w:color w:val="4472C4" w:themeColor="accent5"/>
          <w:sz w:val="24"/>
          <w:szCs w:val="24"/>
        </w:rPr>
        <w:t xml:space="preserve">23 veintitrés </w:t>
      </w:r>
      <w:r>
        <w:rPr>
          <w:rFonts w:ascii="Arial" w:hAnsi="Arial" w:cs="Arial"/>
          <w:color w:val="4472C4" w:themeColor="accent5"/>
          <w:sz w:val="24"/>
          <w:szCs w:val="24"/>
        </w:rPr>
        <w:t xml:space="preserve"> del mismo mes y año.</w:t>
      </w:r>
    </w:p>
    <w:p w:rsidR="00AB1F29" w:rsidRDefault="00AB1F29">
      <w:pPr>
        <w:pStyle w:val="corte4fondo"/>
        <w:spacing w:line="276" w:lineRule="auto"/>
        <w:ind w:firstLine="708"/>
        <w:rPr>
          <w:rFonts w:cs="Arial"/>
          <w:color w:val="4472C4" w:themeColor="accent5"/>
          <w:sz w:val="24"/>
          <w:szCs w:val="24"/>
          <w:lang w:val="es-MX"/>
        </w:rPr>
      </w:pPr>
    </w:p>
    <w:p w:rsidR="00AB1F29" w:rsidRDefault="00C602F1">
      <w:pPr>
        <w:spacing w:after="0"/>
        <w:ind w:firstLine="709"/>
        <w:jc w:val="both"/>
        <w:rPr>
          <w:rFonts w:ascii="Arial" w:eastAsia="Times New Roman" w:hAnsi="Arial" w:cs="Arial"/>
          <w:color w:val="4472C4" w:themeColor="accent5"/>
          <w:sz w:val="24"/>
          <w:szCs w:val="24"/>
          <w:lang w:eastAsia="es-MX"/>
        </w:rPr>
      </w:pPr>
      <w:r>
        <w:rPr>
          <w:rFonts w:ascii="Arial" w:hAnsi="Arial" w:cs="Arial"/>
          <w:b/>
          <w:color w:val="4472C4" w:themeColor="accent5"/>
          <w:sz w:val="24"/>
          <w:szCs w:val="24"/>
        </w:rPr>
        <w:t>I</w:t>
      </w:r>
      <w:r>
        <w:rPr>
          <w:rFonts w:ascii="Arial" w:hAnsi="Arial" w:cs="Arial"/>
          <w:b/>
          <w:color w:val="4472C4" w:themeColor="accent5"/>
          <w:sz w:val="24"/>
          <w:szCs w:val="24"/>
        </w:rPr>
        <w:t>V.</w:t>
      </w:r>
      <w:r>
        <w:rPr>
          <w:rFonts w:ascii="Arial" w:eastAsia="Times New Roman" w:hAnsi="Arial" w:cs="Arial"/>
          <w:color w:val="4472C4" w:themeColor="accent5"/>
          <w:sz w:val="24"/>
          <w:szCs w:val="24"/>
          <w:lang w:eastAsia="es-MX"/>
        </w:rPr>
        <w:t xml:space="preserve"> </w:t>
      </w:r>
      <w:r>
        <w:rPr>
          <w:rFonts w:ascii="Arial" w:eastAsia="Times New Roman" w:hAnsi="Arial" w:cs="Arial"/>
          <w:b/>
          <w:color w:val="4472C4" w:themeColor="accent5"/>
          <w:sz w:val="24"/>
          <w:szCs w:val="24"/>
          <w:lang w:eastAsia="es-MX"/>
        </w:rPr>
        <w:t>Trámite del recurso de revisión ante esta Comisión Estatal de Garantía de Acceso a la Informaci</w:t>
      </w:r>
      <w:r>
        <w:rPr>
          <w:rFonts w:ascii="Arial" w:eastAsia="Times New Roman" w:hAnsi="Arial" w:cs="Arial"/>
          <w:b/>
          <w:color w:val="4472C4" w:themeColor="accent5"/>
          <w:sz w:val="24"/>
          <w:szCs w:val="24"/>
          <w:lang w:eastAsia="es-MX"/>
        </w:rPr>
        <w:t xml:space="preserve">ón Pública. </w:t>
      </w:r>
      <w:r>
        <w:rPr>
          <w:rFonts w:ascii="Arial" w:eastAsia="Times New Roman" w:hAnsi="Arial" w:cs="Arial"/>
          <w:color w:val="4472C4" w:themeColor="accent5"/>
          <w:sz w:val="24"/>
          <w:szCs w:val="24"/>
          <w:lang w:eastAsia="es-MX"/>
        </w:rPr>
        <w:t xml:space="preserve">Mediante auto de </w:t>
      </w:r>
      <w:r w:rsidRPr="00B161DD">
        <w:rPr>
          <w:rFonts w:ascii="Arial" w:eastAsia="Times New Roman" w:hAnsi="Arial" w:cs="Arial"/>
          <w:color w:val="4472C4" w:themeColor="accent5"/>
          <w:sz w:val="24"/>
          <w:szCs w:val="24"/>
          <w:lang w:eastAsia="es-MX"/>
        </w:rPr>
        <w:t xml:space="preserve">24 veinticuatro </w:t>
      </w:r>
      <w:r>
        <w:rPr>
          <w:rFonts w:ascii="Arial" w:eastAsia="Times New Roman" w:hAnsi="Arial" w:cs="Arial"/>
          <w:color w:val="4472C4" w:themeColor="accent5"/>
          <w:sz w:val="24"/>
          <w:szCs w:val="24"/>
          <w:lang w:eastAsia="es-MX"/>
        </w:rPr>
        <w:t>de junio de 2026 dos mil veintiséis, la presidencia de esta Comisión de Transparencia tuvo por recibido el recurso de revisión, por lo que, por razón de turno, tocó conocer a esta ponencia por lo que se le turnó</w:t>
      </w:r>
      <w:r>
        <w:rPr>
          <w:rFonts w:ascii="Arial" w:eastAsia="Times New Roman" w:hAnsi="Arial" w:cs="Arial"/>
          <w:color w:val="4472C4" w:themeColor="accent5"/>
          <w:sz w:val="24"/>
          <w:szCs w:val="24"/>
          <w:lang w:eastAsia="es-MX"/>
        </w:rPr>
        <w:t xml:space="preserve"> dicho expediente para que procediera, previo su análisis, a su admisión o desechamiento según fuera el caso.</w:t>
      </w:r>
    </w:p>
    <w:p w:rsidR="00AB1F29" w:rsidRDefault="00AB1F29">
      <w:pPr>
        <w:spacing w:after="0"/>
        <w:ind w:firstLine="709"/>
        <w:jc w:val="both"/>
        <w:rPr>
          <w:rFonts w:ascii="Arial" w:eastAsia="Times New Roman" w:hAnsi="Arial" w:cs="Arial"/>
          <w:color w:val="4472C4" w:themeColor="accent5"/>
          <w:sz w:val="24"/>
          <w:szCs w:val="24"/>
          <w:lang w:eastAsia="es-MX"/>
        </w:rPr>
      </w:pPr>
    </w:p>
    <w:p w:rsidR="00AB1F29" w:rsidRDefault="00C602F1">
      <w:pPr>
        <w:pStyle w:val="corte4fondo"/>
        <w:spacing w:line="276" w:lineRule="auto"/>
        <w:rPr>
          <w:rFonts w:cs="Arial"/>
          <w:color w:val="4472C4" w:themeColor="accent5"/>
          <w:sz w:val="24"/>
          <w:szCs w:val="24"/>
          <w:lang w:val="es-MX"/>
        </w:rPr>
      </w:pPr>
      <w:r>
        <w:rPr>
          <w:rFonts w:cs="Arial"/>
          <w:b/>
          <w:color w:val="4472C4" w:themeColor="accent5"/>
          <w:sz w:val="24"/>
          <w:szCs w:val="24"/>
        </w:rPr>
        <w:t xml:space="preserve">V. Auto de admisión y trámite. </w:t>
      </w:r>
      <w:r>
        <w:rPr>
          <w:rFonts w:cs="Arial"/>
          <w:color w:val="4472C4" w:themeColor="accent5"/>
          <w:sz w:val="24"/>
          <w:szCs w:val="24"/>
        </w:rPr>
        <w:t>Por proveído</w:t>
      </w:r>
      <w:r>
        <w:rPr>
          <w:rFonts w:cs="Arial"/>
          <w:color w:val="4472C4" w:themeColor="accent5"/>
          <w:sz w:val="24"/>
          <w:szCs w:val="24"/>
          <w:lang w:val="es-MX"/>
        </w:rPr>
        <w:t xml:space="preserve"> de </w:t>
      </w:r>
      <w:r>
        <w:rPr>
          <w:rFonts w:cs="Arial"/>
          <w:color w:val="4472C4" w:themeColor="accent5"/>
          <w:sz w:val="24"/>
          <w:szCs w:val="24"/>
          <w:lang w:val="es-MX"/>
        </w:rPr>
        <w:t>24 veinticuatro</w:t>
      </w:r>
      <w:r>
        <w:rPr>
          <w:rFonts w:cs="Arial"/>
          <w:color w:val="4472C4" w:themeColor="accent5"/>
          <w:sz w:val="24"/>
          <w:szCs w:val="24"/>
          <w:lang w:val="es-MX"/>
        </w:rPr>
        <w:t xml:space="preserve"> de junio de 2026 dos mil veintiséis</w:t>
      </w:r>
      <w:r>
        <w:rPr>
          <w:rFonts w:cs="Arial"/>
          <w:color w:val="4472C4" w:themeColor="accent5"/>
          <w:sz w:val="24"/>
          <w:szCs w:val="24"/>
        </w:rPr>
        <w:t>,</w:t>
      </w:r>
      <w:r>
        <w:rPr>
          <w:rFonts w:cs="Arial"/>
          <w:color w:val="4472C4" w:themeColor="accent5"/>
          <w:sz w:val="24"/>
          <w:szCs w:val="24"/>
          <w:lang w:val="es-MX"/>
        </w:rPr>
        <w:t xml:space="preserve"> la unidad de ponencia </w:t>
      </w:r>
      <w:r>
        <w:rPr>
          <w:rFonts w:cs="Arial"/>
          <w:color w:val="4472C4" w:themeColor="accent5"/>
          <w:sz w:val="24"/>
          <w:szCs w:val="24"/>
        </w:rPr>
        <w:t xml:space="preserve">acordó </w:t>
      </w:r>
      <w:r>
        <w:rPr>
          <w:rFonts w:cs="Arial"/>
          <w:color w:val="4472C4" w:themeColor="accent5"/>
          <w:sz w:val="24"/>
          <w:szCs w:val="24"/>
          <w:lang w:val="es-MX"/>
        </w:rPr>
        <w:t xml:space="preserve">en los </w:t>
      </w:r>
      <w:r>
        <w:rPr>
          <w:rFonts w:cs="Arial"/>
          <w:color w:val="4472C4" w:themeColor="accent5"/>
          <w:sz w:val="24"/>
          <w:szCs w:val="24"/>
          <w:lang w:val="es-MX"/>
        </w:rPr>
        <w:t>siguientes términos:</w:t>
      </w:r>
    </w:p>
    <w:p w:rsidR="00AB1F29" w:rsidRDefault="00AB1F29">
      <w:pPr>
        <w:pStyle w:val="corte4fondo"/>
        <w:spacing w:line="276" w:lineRule="auto"/>
        <w:rPr>
          <w:rFonts w:cs="Arial"/>
          <w:color w:val="4472C4" w:themeColor="accent5"/>
          <w:sz w:val="24"/>
          <w:szCs w:val="24"/>
        </w:rPr>
      </w:pPr>
    </w:p>
    <w:p w:rsidR="00AB1F29" w:rsidRDefault="00C602F1">
      <w:pPr>
        <w:pStyle w:val="corte4fondo"/>
        <w:numPr>
          <w:ilvl w:val="0"/>
          <w:numId w:val="1"/>
        </w:numPr>
        <w:spacing w:line="276" w:lineRule="auto"/>
        <w:rPr>
          <w:rFonts w:cs="Arial"/>
          <w:color w:val="4472C4" w:themeColor="accent5"/>
          <w:sz w:val="24"/>
          <w:szCs w:val="24"/>
        </w:rPr>
      </w:pPr>
      <w:r>
        <w:rPr>
          <w:rFonts w:cs="Arial"/>
          <w:color w:val="4472C4" w:themeColor="accent5"/>
          <w:sz w:val="24"/>
          <w:szCs w:val="24"/>
        </w:rPr>
        <w:t>Admitió a trámite el presente recurso de revisión.</w:t>
      </w:r>
      <w:r>
        <w:rPr>
          <w:rFonts w:cs="Arial"/>
          <w:color w:val="4472C4" w:themeColor="accent5"/>
          <w:sz w:val="24"/>
          <w:szCs w:val="24"/>
          <w:lang w:val="es-MX"/>
        </w:rPr>
        <w:t xml:space="preserve">           </w:t>
      </w:r>
    </w:p>
    <w:p w:rsidR="00AB1F29" w:rsidRDefault="00C602F1">
      <w:pPr>
        <w:numPr>
          <w:ilvl w:val="0"/>
          <w:numId w:val="2"/>
        </w:numPr>
        <w:spacing w:after="0"/>
        <w:jc w:val="both"/>
        <w:rPr>
          <w:rFonts w:ascii="Arial" w:hAnsi="Arial" w:cs="Arial"/>
          <w:b/>
          <w:color w:val="4472C4" w:themeColor="accent5"/>
          <w:sz w:val="24"/>
          <w:szCs w:val="24"/>
        </w:rPr>
      </w:pPr>
      <w:r>
        <w:rPr>
          <w:rFonts w:ascii="Arial" w:eastAsia="Times New Roman" w:hAnsi="Arial" w:cs="Arial"/>
          <w:color w:val="4472C4" w:themeColor="accent5"/>
          <w:sz w:val="24"/>
          <w:szCs w:val="24"/>
          <w:lang w:eastAsia="es-MX"/>
        </w:rPr>
        <w:t xml:space="preserve">Tuvo como sujeto obligado a la </w:t>
      </w:r>
      <w:r>
        <w:rPr>
          <w:rFonts w:ascii="Arial" w:eastAsia="Times New Roman" w:hAnsi="Arial" w:cs="Arial"/>
          <w:b/>
          <w:color w:val="4472C4" w:themeColor="accent5"/>
          <w:sz w:val="24"/>
          <w:szCs w:val="24"/>
          <w:lang w:eastAsia="es-MX"/>
        </w:rPr>
        <w:t>Oficialía Mayor.</w:t>
      </w:r>
    </w:p>
    <w:p w:rsidR="00AB1F29" w:rsidRDefault="00C602F1">
      <w:pPr>
        <w:numPr>
          <w:ilvl w:val="0"/>
          <w:numId w:val="2"/>
        </w:numPr>
        <w:spacing w:after="0"/>
        <w:jc w:val="both"/>
        <w:rPr>
          <w:rFonts w:ascii="Arial" w:hAnsi="Arial" w:cs="Arial"/>
          <w:color w:val="4472C4" w:themeColor="accent5"/>
          <w:sz w:val="24"/>
          <w:szCs w:val="24"/>
        </w:rPr>
      </w:pPr>
      <w:r>
        <w:rPr>
          <w:rFonts w:ascii="Arial" w:hAnsi="Arial" w:cs="Arial"/>
          <w:color w:val="4472C4" w:themeColor="accent5"/>
          <w:sz w:val="24"/>
          <w:szCs w:val="24"/>
        </w:rPr>
        <w:t>Se actualizó para su procedencia la hipótesis establecida en la fracción III, del artículo 167</w:t>
      </w:r>
      <w:r>
        <w:rPr>
          <w:rStyle w:val="Refdenotaalpie"/>
          <w:rFonts w:ascii="Arial" w:hAnsi="Arial" w:cs="Arial"/>
          <w:color w:val="4472C4" w:themeColor="accent5"/>
          <w:sz w:val="24"/>
          <w:szCs w:val="24"/>
        </w:rPr>
        <w:footnoteReference w:id="3"/>
      </w:r>
      <w:r>
        <w:rPr>
          <w:rFonts w:ascii="Arial" w:hAnsi="Arial" w:cs="Arial"/>
          <w:color w:val="4472C4" w:themeColor="accent5"/>
          <w:sz w:val="24"/>
          <w:szCs w:val="24"/>
        </w:rPr>
        <w:t xml:space="preserve"> de la Ley de Transparencia y</w:t>
      </w:r>
      <w:r>
        <w:rPr>
          <w:rFonts w:ascii="Arial" w:hAnsi="Arial" w:cs="Arial"/>
          <w:color w:val="4472C4" w:themeColor="accent5"/>
          <w:sz w:val="24"/>
          <w:szCs w:val="24"/>
        </w:rPr>
        <w:t xml:space="preserve"> Acceso a la Información Pública del Estado, sin embargo, en suplencia, se actualiza la fracción II del referido artículo. </w:t>
      </w:r>
    </w:p>
    <w:p w:rsidR="00AB1F29" w:rsidRDefault="00C602F1">
      <w:pPr>
        <w:numPr>
          <w:ilvl w:val="0"/>
          <w:numId w:val="2"/>
        </w:numPr>
        <w:spacing w:after="0"/>
        <w:jc w:val="both"/>
        <w:rPr>
          <w:rFonts w:ascii="Arial" w:eastAsia="Times New Roman" w:hAnsi="Arial" w:cs="Arial"/>
          <w:color w:val="4472C4" w:themeColor="accent5"/>
          <w:sz w:val="24"/>
          <w:szCs w:val="24"/>
          <w:lang w:eastAsia="es-MX"/>
        </w:rPr>
      </w:pPr>
      <w:r>
        <w:rPr>
          <w:rFonts w:ascii="Arial" w:eastAsia="Times New Roman" w:hAnsi="Arial" w:cs="Arial"/>
          <w:color w:val="4472C4" w:themeColor="accent5"/>
          <w:sz w:val="24"/>
          <w:szCs w:val="24"/>
          <w:lang w:eastAsia="es-MX"/>
        </w:rPr>
        <w:t xml:space="preserve">Se puso a disposición de las partes el expediente para que en un plazo máximo de 7 siete días manifestaran lo que a su derecho conviniera –ofrecer pruebas y alegar-.  </w:t>
      </w:r>
    </w:p>
    <w:p w:rsidR="00AB1F29" w:rsidRDefault="00C602F1">
      <w:pPr>
        <w:numPr>
          <w:ilvl w:val="0"/>
          <w:numId w:val="1"/>
        </w:numPr>
        <w:spacing w:after="0"/>
        <w:jc w:val="both"/>
        <w:rPr>
          <w:rFonts w:ascii="Arial" w:eastAsia="Times New Roman" w:hAnsi="Arial" w:cs="Arial"/>
          <w:color w:val="4472C4" w:themeColor="accent5"/>
          <w:sz w:val="24"/>
          <w:szCs w:val="24"/>
          <w:lang w:eastAsia="es-MX"/>
        </w:rPr>
      </w:pPr>
      <w:r>
        <w:rPr>
          <w:rFonts w:ascii="Arial" w:eastAsia="Times New Roman" w:hAnsi="Arial" w:cs="Arial"/>
          <w:color w:val="4472C4" w:themeColor="accent5"/>
          <w:sz w:val="24"/>
          <w:szCs w:val="24"/>
          <w:lang w:eastAsia="es-MX"/>
        </w:rPr>
        <w:t xml:space="preserve">Se le tuvo al recurrente por señalada dirección electrónica para oír notificaciones.     </w:t>
      </w:r>
    </w:p>
    <w:p w:rsidR="00AB1F29" w:rsidRDefault="00AB1F29">
      <w:pPr>
        <w:spacing w:after="0"/>
        <w:jc w:val="both"/>
        <w:rPr>
          <w:rFonts w:ascii="Arial" w:eastAsia="Times New Roman" w:hAnsi="Arial" w:cs="Arial"/>
          <w:color w:val="4472C4" w:themeColor="accent5"/>
          <w:sz w:val="24"/>
          <w:szCs w:val="24"/>
          <w:lang w:eastAsia="es-MX"/>
        </w:rPr>
      </w:pPr>
    </w:p>
    <w:p w:rsidR="00AB1F29" w:rsidRDefault="00C602F1">
      <w:pPr>
        <w:spacing w:after="0"/>
        <w:ind w:firstLine="708"/>
        <w:jc w:val="both"/>
        <w:rPr>
          <w:rFonts w:ascii="Arial" w:hAnsi="Arial" w:cs="Arial"/>
          <w:color w:val="4472C4" w:themeColor="accent5"/>
          <w:sz w:val="24"/>
          <w:szCs w:val="24"/>
        </w:rPr>
      </w:pPr>
      <w:r>
        <w:rPr>
          <w:rFonts w:ascii="Arial" w:eastAsia="Times New Roman" w:hAnsi="Arial" w:cs="Arial"/>
          <w:color w:val="4472C4" w:themeColor="accent5"/>
          <w:sz w:val="24"/>
          <w:szCs w:val="24"/>
          <w:lang w:eastAsia="es-MX"/>
        </w:rPr>
        <w:t xml:space="preserve">Asimismo, </w:t>
      </w:r>
      <w:r>
        <w:rPr>
          <w:rFonts w:ascii="Arial" w:hAnsi="Arial" w:cs="Arial"/>
          <w:color w:val="4472C4" w:themeColor="accent5"/>
          <w:sz w:val="24"/>
          <w:szCs w:val="24"/>
        </w:rPr>
        <w:t>se le requirió al sujeto obligado para que señalaran personas y domicilio para oír y recibir notificaciones, así como para que el servidor público que comp</w:t>
      </w:r>
      <w:r>
        <w:rPr>
          <w:rFonts w:ascii="Arial" w:hAnsi="Arial" w:cs="Arial"/>
          <w:color w:val="4472C4" w:themeColor="accent5"/>
          <w:sz w:val="24"/>
          <w:szCs w:val="24"/>
        </w:rPr>
        <w:t>arezca a realizar manifestaciones remitiera copia certificada del nombramiento que lo acreditara como tal.</w:t>
      </w:r>
    </w:p>
    <w:p w:rsidR="00AB1F29" w:rsidRDefault="00AB1F29">
      <w:pPr>
        <w:pStyle w:val="corte4fondo"/>
        <w:tabs>
          <w:tab w:val="left" w:pos="0"/>
        </w:tabs>
        <w:spacing w:line="276" w:lineRule="auto"/>
        <w:ind w:left="1429" w:firstLine="0"/>
        <w:rPr>
          <w:rFonts w:cs="Arial"/>
          <w:color w:val="4472C4" w:themeColor="accent5"/>
          <w:sz w:val="24"/>
          <w:szCs w:val="24"/>
          <w:lang w:val="es-MX"/>
        </w:rPr>
      </w:pPr>
    </w:p>
    <w:p w:rsidR="00AB1F29" w:rsidRDefault="00C602F1">
      <w:pPr>
        <w:pStyle w:val="corte4fondo"/>
        <w:tabs>
          <w:tab w:val="left" w:pos="0"/>
        </w:tabs>
        <w:spacing w:line="276" w:lineRule="auto"/>
        <w:rPr>
          <w:rFonts w:cs="Arial"/>
          <w:color w:val="4472C4" w:themeColor="accent5"/>
          <w:sz w:val="24"/>
          <w:szCs w:val="24"/>
          <w:lang w:val="es-MX"/>
        </w:rPr>
      </w:pPr>
      <w:r>
        <w:rPr>
          <w:rFonts w:cs="Arial"/>
          <w:color w:val="4472C4" w:themeColor="accent5"/>
          <w:sz w:val="24"/>
          <w:szCs w:val="24"/>
        </w:rPr>
        <w:t>Finalmente,</w:t>
      </w:r>
      <w:r>
        <w:rPr>
          <w:rFonts w:cs="Arial"/>
          <w:color w:val="4472C4" w:themeColor="accent5"/>
          <w:sz w:val="24"/>
          <w:szCs w:val="24"/>
          <w:lang w:val="es-MX"/>
        </w:rPr>
        <w:t xml:space="preserve"> se le hizo saber al recurrente que en términos del artículo 67 de la Ley de Protección de Datos Personales en Posesión de los Sujetos Ob</w:t>
      </w:r>
      <w:r>
        <w:rPr>
          <w:rFonts w:cs="Arial"/>
          <w:color w:val="4472C4" w:themeColor="accent5"/>
          <w:sz w:val="24"/>
          <w:szCs w:val="24"/>
          <w:lang w:val="es-MX"/>
        </w:rPr>
        <w:t xml:space="preserve">ligados del estado de San Luis Potosí  se encontraba a salvo su derecho para oponerse a la publicación de sus datos personales. </w:t>
      </w:r>
    </w:p>
    <w:p w:rsidR="00AB1F29" w:rsidRDefault="00C602F1">
      <w:pPr>
        <w:spacing w:after="0"/>
        <w:ind w:firstLine="709"/>
        <w:jc w:val="both"/>
        <w:rPr>
          <w:rFonts w:ascii="Arial" w:eastAsia="Times New Roman" w:hAnsi="Arial" w:cs="Arial"/>
          <w:color w:val="4472C4" w:themeColor="accent5"/>
          <w:sz w:val="24"/>
          <w:szCs w:val="24"/>
          <w:lang w:eastAsia="es-MX"/>
        </w:rPr>
      </w:pPr>
      <w:r>
        <w:rPr>
          <w:rFonts w:ascii="Arial" w:eastAsia="Times New Roman" w:hAnsi="Arial" w:cs="Arial"/>
          <w:color w:val="4472C4" w:themeColor="accent5"/>
          <w:sz w:val="24"/>
          <w:szCs w:val="24"/>
          <w:lang w:eastAsia="es-MX"/>
        </w:rPr>
        <w:t xml:space="preserve">                                                              </w:t>
      </w:r>
    </w:p>
    <w:p w:rsidR="00AB1F29" w:rsidRDefault="00C602F1">
      <w:pPr>
        <w:pStyle w:val="corte4fondo"/>
        <w:tabs>
          <w:tab w:val="left" w:pos="0"/>
        </w:tabs>
        <w:spacing w:line="276" w:lineRule="auto"/>
        <w:ind w:firstLine="0"/>
        <w:rPr>
          <w:rFonts w:cs="Arial"/>
          <w:color w:val="4472C4" w:themeColor="accent5"/>
          <w:sz w:val="24"/>
          <w:szCs w:val="24"/>
        </w:rPr>
      </w:pPr>
      <w:r>
        <w:rPr>
          <w:rFonts w:cs="Arial"/>
          <w:b/>
          <w:color w:val="4472C4" w:themeColor="accent5"/>
          <w:sz w:val="24"/>
          <w:szCs w:val="24"/>
        </w:rPr>
        <w:tab/>
        <w:t>V</w:t>
      </w:r>
      <w:r>
        <w:rPr>
          <w:rFonts w:cs="Arial"/>
          <w:b/>
          <w:color w:val="4472C4" w:themeColor="accent5"/>
          <w:sz w:val="24"/>
          <w:szCs w:val="24"/>
          <w:lang w:val="es-MX"/>
        </w:rPr>
        <w:t>I</w:t>
      </w:r>
      <w:r>
        <w:rPr>
          <w:rFonts w:cs="Arial"/>
          <w:b/>
          <w:color w:val="4472C4" w:themeColor="accent5"/>
          <w:sz w:val="24"/>
          <w:szCs w:val="24"/>
        </w:rPr>
        <w:t>. Informe sujeto obligado</w:t>
      </w:r>
      <w:r>
        <w:rPr>
          <w:rFonts w:cs="Arial"/>
          <w:color w:val="4472C4" w:themeColor="accent5"/>
          <w:sz w:val="24"/>
          <w:szCs w:val="24"/>
        </w:rPr>
        <w:t>. Por proveído de</w:t>
      </w:r>
      <w:r>
        <w:rPr>
          <w:rFonts w:cs="Arial"/>
          <w:color w:val="4472C4" w:themeColor="accent5"/>
          <w:sz w:val="24"/>
          <w:szCs w:val="24"/>
          <w:lang w:val="es-MX"/>
        </w:rPr>
        <w:t xml:space="preserve"> </w:t>
      </w:r>
      <w:r>
        <w:rPr>
          <w:rFonts w:cs="Arial"/>
          <w:color w:val="4472C4" w:themeColor="accent5"/>
          <w:sz w:val="24"/>
          <w:szCs w:val="24"/>
          <w:lang w:val="es-MX"/>
        </w:rPr>
        <w:t xml:space="preserve">08 ocho de julio </w:t>
      </w:r>
      <w:r>
        <w:rPr>
          <w:rFonts w:cs="Arial"/>
          <w:color w:val="4472C4" w:themeColor="accent5"/>
          <w:sz w:val="24"/>
          <w:szCs w:val="24"/>
          <w:lang w:val="es-MX"/>
        </w:rPr>
        <w:t xml:space="preserve"> </w:t>
      </w:r>
      <w:r>
        <w:rPr>
          <w:rFonts w:cs="Arial"/>
          <w:color w:val="4472C4" w:themeColor="accent5"/>
          <w:sz w:val="24"/>
          <w:szCs w:val="24"/>
          <w:lang w:val="es-MX"/>
        </w:rPr>
        <w:t>de dos mil veintiséis</w:t>
      </w:r>
      <w:r>
        <w:rPr>
          <w:rFonts w:cs="Arial"/>
          <w:color w:val="4472C4" w:themeColor="accent5"/>
          <w:sz w:val="24"/>
          <w:szCs w:val="24"/>
        </w:rPr>
        <w:t>, el ponente del presente asunto tuvo:</w:t>
      </w:r>
    </w:p>
    <w:p w:rsidR="00AB1F29" w:rsidRDefault="00AB1F29">
      <w:pPr>
        <w:pStyle w:val="corte4fondo"/>
        <w:tabs>
          <w:tab w:val="left" w:pos="0"/>
        </w:tabs>
        <w:spacing w:line="276" w:lineRule="auto"/>
        <w:ind w:firstLine="0"/>
        <w:rPr>
          <w:rFonts w:cs="Arial"/>
          <w:color w:val="4472C4" w:themeColor="accent5"/>
          <w:sz w:val="24"/>
          <w:szCs w:val="24"/>
        </w:rPr>
      </w:pPr>
    </w:p>
    <w:p w:rsidR="00AB1F29" w:rsidRDefault="00C602F1">
      <w:pPr>
        <w:pStyle w:val="corte4fondo"/>
        <w:numPr>
          <w:ilvl w:val="0"/>
          <w:numId w:val="3"/>
        </w:numPr>
        <w:spacing w:line="276" w:lineRule="auto"/>
        <w:rPr>
          <w:rFonts w:cs="Arial"/>
          <w:color w:val="4472C4" w:themeColor="accent5"/>
          <w:sz w:val="24"/>
          <w:szCs w:val="24"/>
        </w:rPr>
      </w:pPr>
      <w:r>
        <w:rPr>
          <w:rFonts w:cs="Arial"/>
          <w:color w:val="4472C4" w:themeColor="accent5"/>
          <w:sz w:val="24"/>
          <w:szCs w:val="24"/>
          <w:lang w:val="es-MX"/>
        </w:rPr>
        <w:t>Por recibido oficio OM/UT/</w:t>
      </w:r>
      <w:r>
        <w:rPr>
          <w:rFonts w:cs="Arial"/>
          <w:color w:val="4472C4" w:themeColor="accent5"/>
          <w:sz w:val="24"/>
          <w:szCs w:val="24"/>
          <w:lang w:val="es-MX"/>
        </w:rPr>
        <w:t>202</w:t>
      </w:r>
      <w:r>
        <w:rPr>
          <w:rFonts w:cs="Arial"/>
          <w:color w:val="4472C4" w:themeColor="accent5"/>
          <w:sz w:val="24"/>
          <w:szCs w:val="24"/>
          <w:lang w:val="es-MX"/>
        </w:rPr>
        <w:t xml:space="preserve">/2026, recibido en la Oficialía de Partes de esta Comisión el </w:t>
      </w:r>
      <w:r>
        <w:rPr>
          <w:rFonts w:cs="Arial"/>
          <w:color w:val="4472C4" w:themeColor="accent5"/>
          <w:sz w:val="24"/>
          <w:szCs w:val="24"/>
          <w:lang w:val="es-MX"/>
        </w:rPr>
        <w:t xml:space="preserve">07 siete de julio </w:t>
      </w:r>
      <w:r>
        <w:rPr>
          <w:rFonts w:cs="Arial"/>
          <w:color w:val="4472C4" w:themeColor="accent5"/>
          <w:sz w:val="24"/>
          <w:szCs w:val="24"/>
          <w:lang w:val="es-MX"/>
        </w:rPr>
        <w:t>de 2026 dos mil veintiséis, signado por el Titular de la Unidad de Transparencia, junt</w:t>
      </w:r>
      <w:r>
        <w:rPr>
          <w:rFonts w:cs="Arial"/>
          <w:color w:val="4472C4" w:themeColor="accent5"/>
          <w:sz w:val="24"/>
          <w:szCs w:val="24"/>
          <w:lang w:val="es-MX"/>
        </w:rPr>
        <w:t>o con anexo.</w:t>
      </w:r>
    </w:p>
    <w:p w:rsidR="00AB1F29" w:rsidRDefault="00C602F1">
      <w:pPr>
        <w:pStyle w:val="corte4fondo"/>
        <w:numPr>
          <w:ilvl w:val="0"/>
          <w:numId w:val="3"/>
        </w:numPr>
        <w:spacing w:line="276" w:lineRule="auto"/>
        <w:rPr>
          <w:rFonts w:cs="Arial"/>
          <w:color w:val="4472C4" w:themeColor="accent5"/>
          <w:sz w:val="24"/>
          <w:szCs w:val="24"/>
        </w:rPr>
      </w:pPr>
      <w:r>
        <w:rPr>
          <w:rFonts w:cs="Arial"/>
          <w:color w:val="4472C4" w:themeColor="accent5"/>
          <w:sz w:val="24"/>
          <w:szCs w:val="24"/>
        </w:rPr>
        <w:t xml:space="preserve">Por reconocida la personalidad del sujeto </w:t>
      </w:r>
      <w:r>
        <w:rPr>
          <w:rFonts w:cs="Arial"/>
          <w:color w:val="4472C4" w:themeColor="accent5"/>
          <w:sz w:val="24"/>
          <w:szCs w:val="24"/>
          <w:lang w:val="es-MX"/>
        </w:rPr>
        <w:t xml:space="preserve">  </w:t>
      </w:r>
      <w:r>
        <w:rPr>
          <w:rFonts w:cs="Arial"/>
          <w:color w:val="4472C4" w:themeColor="accent5"/>
          <w:sz w:val="24"/>
          <w:szCs w:val="24"/>
        </w:rPr>
        <w:t>obligado.</w:t>
      </w:r>
    </w:p>
    <w:p w:rsidR="00AB1F29" w:rsidRDefault="00C602F1">
      <w:pPr>
        <w:pStyle w:val="corte4fondo"/>
        <w:numPr>
          <w:ilvl w:val="0"/>
          <w:numId w:val="3"/>
        </w:numPr>
        <w:spacing w:line="276" w:lineRule="auto"/>
        <w:rPr>
          <w:rFonts w:cs="Arial"/>
          <w:color w:val="4472C4" w:themeColor="accent5"/>
          <w:sz w:val="24"/>
          <w:szCs w:val="24"/>
        </w:rPr>
      </w:pPr>
      <w:r>
        <w:rPr>
          <w:rFonts w:cs="Arial"/>
          <w:color w:val="4472C4" w:themeColor="accent5"/>
          <w:sz w:val="24"/>
          <w:szCs w:val="24"/>
        </w:rPr>
        <w:t>Por expresados los argumentos relacionados con el presente asunto.</w:t>
      </w:r>
    </w:p>
    <w:p w:rsidR="00AB1F29" w:rsidRDefault="00C602F1">
      <w:pPr>
        <w:pStyle w:val="corte4fondo"/>
        <w:numPr>
          <w:ilvl w:val="0"/>
          <w:numId w:val="3"/>
        </w:numPr>
        <w:spacing w:line="276" w:lineRule="auto"/>
        <w:rPr>
          <w:rFonts w:cs="Arial"/>
          <w:color w:val="4472C4" w:themeColor="accent5"/>
          <w:sz w:val="24"/>
          <w:szCs w:val="24"/>
        </w:rPr>
      </w:pPr>
      <w:r>
        <w:rPr>
          <w:rFonts w:cs="Arial"/>
          <w:color w:val="4472C4" w:themeColor="accent5"/>
          <w:sz w:val="24"/>
          <w:szCs w:val="24"/>
        </w:rPr>
        <w:t>Por ofrecidas las pruebas documentales que adjuntó al oficio de cuenta.</w:t>
      </w:r>
    </w:p>
    <w:p w:rsidR="00AB1F29" w:rsidRDefault="00AB1F29">
      <w:pPr>
        <w:spacing w:after="0"/>
        <w:ind w:firstLine="708"/>
        <w:jc w:val="both"/>
        <w:rPr>
          <w:rFonts w:ascii="Arial" w:eastAsia="Times New Roman" w:hAnsi="Arial" w:cs="Arial"/>
          <w:color w:val="4472C4" w:themeColor="accent5"/>
          <w:sz w:val="24"/>
          <w:szCs w:val="24"/>
          <w:lang w:eastAsia="es-MX"/>
        </w:rPr>
      </w:pPr>
    </w:p>
    <w:p w:rsidR="00AB1F29" w:rsidRDefault="00C602F1">
      <w:pPr>
        <w:spacing w:after="0"/>
        <w:ind w:firstLine="708"/>
        <w:jc w:val="both"/>
        <w:rPr>
          <w:rFonts w:ascii="Arial" w:eastAsia="Times New Roman" w:hAnsi="Arial" w:cs="Arial"/>
          <w:color w:val="4472C4" w:themeColor="accent5"/>
          <w:sz w:val="24"/>
          <w:szCs w:val="24"/>
          <w:lang w:eastAsia="es-MX"/>
        </w:rPr>
      </w:pPr>
      <w:r>
        <w:rPr>
          <w:rFonts w:ascii="Arial" w:eastAsia="Times New Roman" w:hAnsi="Arial" w:cs="Arial"/>
          <w:color w:val="4472C4" w:themeColor="accent5"/>
          <w:sz w:val="24"/>
          <w:szCs w:val="24"/>
          <w:lang w:eastAsia="es-MX"/>
        </w:rPr>
        <w:t xml:space="preserve">Respecto de la parte recurrente, se advirtió que </w:t>
      </w:r>
      <w:r>
        <w:rPr>
          <w:rFonts w:ascii="Arial" w:eastAsia="Times New Roman" w:hAnsi="Arial" w:cs="Arial"/>
          <w:color w:val="4472C4" w:themeColor="accent5"/>
          <w:sz w:val="24"/>
          <w:szCs w:val="24"/>
          <w:lang w:eastAsia="es-MX"/>
        </w:rPr>
        <w:t>no compareció a formular, manifestaciones, alegatos y/o presentar pruebas que estimara convenientes.</w:t>
      </w:r>
    </w:p>
    <w:p w:rsidR="00AB1F29" w:rsidRDefault="00AB1F29">
      <w:pPr>
        <w:spacing w:after="0"/>
        <w:ind w:firstLine="708"/>
        <w:jc w:val="both"/>
        <w:rPr>
          <w:rFonts w:ascii="Arial" w:hAnsi="Arial" w:cs="Arial"/>
          <w:color w:val="4472C4" w:themeColor="accent5"/>
          <w:sz w:val="24"/>
          <w:szCs w:val="24"/>
        </w:rPr>
      </w:pPr>
    </w:p>
    <w:p w:rsidR="00AB1F29" w:rsidRDefault="00C602F1">
      <w:pPr>
        <w:pStyle w:val="corte4fondo"/>
        <w:tabs>
          <w:tab w:val="left" w:pos="0"/>
        </w:tabs>
        <w:spacing w:line="276" w:lineRule="auto"/>
        <w:ind w:firstLine="0"/>
        <w:rPr>
          <w:rFonts w:cs="Arial"/>
          <w:color w:val="4472C4" w:themeColor="accent5"/>
          <w:sz w:val="24"/>
          <w:szCs w:val="24"/>
        </w:rPr>
      </w:pPr>
      <w:r>
        <w:rPr>
          <w:rFonts w:cs="Arial"/>
          <w:color w:val="4472C4" w:themeColor="accent5"/>
          <w:sz w:val="24"/>
          <w:szCs w:val="24"/>
        </w:rPr>
        <w:tab/>
        <w:t xml:space="preserve">Para concluir, </w:t>
      </w:r>
      <w:r>
        <w:rPr>
          <w:rFonts w:cs="Arial"/>
          <w:color w:val="4472C4" w:themeColor="accent5"/>
          <w:sz w:val="24"/>
          <w:szCs w:val="24"/>
          <w:lang w:val="es-MX"/>
        </w:rPr>
        <w:t>se</w:t>
      </w:r>
      <w:r>
        <w:rPr>
          <w:rFonts w:cs="Arial"/>
          <w:color w:val="4472C4" w:themeColor="accent5"/>
          <w:sz w:val="24"/>
          <w:szCs w:val="24"/>
        </w:rPr>
        <w:t xml:space="preserve"> declaró cerrado el periodo de instrucción y procedió a elaborar el proyecto de resolución respectivo.</w:t>
      </w:r>
    </w:p>
    <w:p w:rsidR="00AB1F29" w:rsidRDefault="00C602F1">
      <w:pPr>
        <w:pStyle w:val="NormalWeb"/>
        <w:ind w:firstLine="708"/>
        <w:jc w:val="both"/>
        <w:rPr>
          <w:rFonts w:ascii="Arial" w:hAnsi="Arial" w:cs="Arial"/>
          <w:color w:val="4472C4" w:themeColor="accent5"/>
        </w:rPr>
      </w:pPr>
      <w:r>
        <w:rPr>
          <w:rFonts w:ascii="Arial" w:hAnsi="Arial" w:cs="Arial"/>
          <w:b/>
          <w:bCs/>
          <w:color w:val="4472C4" w:themeColor="accent5"/>
        </w:rPr>
        <w:t xml:space="preserve">VII. Auto de ampliación para </w:t>
      </w:r>
      <w:r>
        <w:rPr>
          <w:rFonts w:ascii="Arial" w:hAnsi="Arial" w:cs="Arial"/>
          <w:b/>
          <w:bCs/>
          <w:color w:val="4472C4" w:themeColor="accent5"/>
        </w:rPr>
        <w:t>resolver</w:t>
      </w:r>
      <w:r>
        <w:rPr>
          <w:rFonts w:ascii="Arial" w:hAnsi="Arial" w:cs="Arial"/>
          <w:color w:val="4472C4" w:themeColor="accent5"/>
        </w:rPr>
        <w:t xml:space="preserve">. El </w:t>
      </w:r>
      <w:r>
        <w:rPr>
          <w:rFonts w:ascii="Arial" w:hAnsi="Arial" w:cs="Arial"/>
          <w:color w:val="4472C4" w:themeColor="accent5"/>
          <w:lang w:val="es-MX"/>
        </w:rPr>
        <w:t xml:space="preserve">17 diecisiete </w:t>
      </w:r>
      <w:r>
        <w:rPr>
          <w:rFonts w:ascii="Arial" w:hAnsi="Arial" w:cs="Arial"/>
          <w:color w:val="4472C4" w:themeColor="accent5"/>
        </w:rPr>
        <w:t xml:space="preserve"> de agosto de 2026 dos mil veintiseis, esta ponencia decretó la ampliación del término para resolver, de conformidad con el artículo 1705 de la ley de la materia, concatenado con el numeral vigésimo séptimo fracción V</w:t>
      </w:r>
      <w:r>
        <w:rPr>
          <w:rStyle w:val="Refdenotaalpie"/>
          <w:rFonts w:ascii="Arial" w:hAnsi="Arial" w:cs="Arial"/>
          <w:color w:val="4472C4" w:themeColor="accent5"/>
        </w:rPr>
        <w:footnoteReference w:id="4"/>
      </w:r>
      <w:r>
        <w:rPr>
          <w:rFonts w:ascii="Arial" w:hAnsi="Arial" w:cs="Arial"/>
          <w:color w:val="4472C4" w:themeColor="accent5"/>
        </w:rPr>
        <w:t xml:space="preserve">, de los </w:t>
      </w:r>
      <w:r>
        <w:rPr>
          <w:rFonts w:ascii="Arial" w:hAnsi="Arial" w:cs="Arial"/>
          <w:color w:val="4472C4" w:themeColor="accent5"/>
        </w:rPr>
        <w:t>Lineamientos para la Recepción, Sustanciación, Resolución y Cumplimiento de los Recurso de Revisión.</w:t>
      </w:r>
    </w:p>
    <w:p w:rsidR="00AB1F29" w:rsidRDefault="00C602F1">
      <w:pPr>
        <w:pStyle w:val="NormalWeb"/>
        <w:jc w:val="both"/>
        <w:rPr>
          <w:rFonts w:ascii="Arial" w:hAnsi="Arial" w:cs="Arial"/>
          <w:color w:val="4472C4" w:themeColor="accent5"/>
        </w:rPr>
      </w:pPr>
      <w:r>
        <w:rPr>
          <w:rFonts w:ascii="Arial" w:hAnsi="Arial" w:cs="Arial"/>
          <w:color w:val="4472C4" w:themeColor="accent5"/>
        </w:rPr>
        <w:t>Consecuentemente, remitió de nueva cuenta el presente expediente para elaborar el proyecto de resolución correspondiente.</w:t>
      </w:r>
    </w:p>
    <w:p w:rsidR="00AB1F29" w:rsidRDefault="00C602F1">
      <w:pPr>
        <w:autoSpaceDE w:val="0"/>
        <w:autoSpaceDN w:val="0"/>
        <w:adjustRightInd w:val="0"/>
        <w:spacing w:after="0"/>
        <w:jc w:val="center"/>
        <w:rPr>
          <w:rFonts w:ascii="Arial" w:hAnsi="Arial" w:cs="Arial"/>
          <w:b/>
          <w:color w:val="4472C4" w:themeColor="accent5"/>
          <w:sz w:val="24"/>
          <w:szCs w:val="24"/>
        </w:rPr>
      </w:pPr>
      <w:r>
        <w:rPr>
          <w:rFonts w:ascii="Arial" w:hAnsi="Arial" w:cs="Arial"/>
          <w:b/>
          <w:color w:val="4472C4" w:themeColor="accent5"/>
          <w:sz w:val="24"/>
          <w:szCs w:val="24"/>
        </w:rPr>
        <w:t>C O N S I D E R A N D O</w:t>
      </w:r>
    </w:p>
    <w:p w:rsidR="00AB1F29" w:rsidRDefault="00AB1F29">
      <w:pPr>
        <w:autoSpaceDE w:val="0"/>
        <w:autoSpaceDN w:val="0"/>
        <w:adjustRightInd w:val="0"/>
        <w:spacing w:after="0"/>
        <w:jc w:val="center"/>
        <w:rPr>
          <w:rFonts w:ascii="Arial" w:hAnsi="Arial" w:cs="Arial"/>
          <w:color w:val="4472C4" w:themeColor="accent5"/>
          <w:sz w:val="24"/>
          <w:szCs w:val="24"/>
        </w:rPr>
      </w:pPr>
    </w:p>
    <w:p w:rsidR="00AB1F29" w:rsidRDefault="00C602F1">
      <w:pPr>
        <w:spacing w:after="0"/>
        <w:ind w:firstLine="709"/>
        <w:jc w:val="both"/>
        <w:rPr>
          <w:rFonts w:ascii="Arial" w:eastAsia="Times New Roman" w:hAnsi="Arial" w:cs="Arial"/>
          <w:color w:val="4472C4" w:themeColor="accent5"/>
          <w:sz w:val="24"/>
          <w:szCs w:val="24"/>
          <w:lang w:eastAsia="es-MX"/>
        </w:rPr>
      </w:pPr>
      <w:r>
        <w:rPr>
          <w:rFonts w:ascii="Arial" w:eastAsia="Times New Roman" w:hAnsi="Arial" w:cs="Arial"/>
          <w:b/>
          <w:color w:val="4472C4" w:themeColor="accent5"/>
          <w:sz w:val="24"/>
          <w:szCs w:val="24"/>
          <w:lang w:eastAsia="es-MX"/>
        </w:rPr>
        <w:t>PRIMERO.</w:t>
      </w:r>
      <w:r>
        <w:rPr>
          <w:rFonts w:ascii="Arial" w:eastAsia="Times New Roman" w:hAnsi="Arial" w:cs="Arial"/>
          <w:b/>
          <w:color w:val="4472C4" w:themeColor="accent5"/>
          <w:sz w:val="24"/>
          <w:szCs w:val="24"/>
          <w:lang w:eastAsia="es-MX"/>
        </w:rPr>
        <w:t xml:space="preserve"> Competencia. </w:t>
      </w:r>
      <w:r>
        <w:rPr>
          <w:rFonts w:ascii="Arial" w:eastAsia="Times New Roman" w:hAnsi="Arial" w:cs="Arial"/>
          <w:color w:val="4472C4" w:themeColor="accent5"/>
          <w:sz w:val="24"/>
          <w:szCs w:val="24"/>
          <w:lang w:eastAsia="es-MX"/>
        </w:rPr>
        <w:t>Esta Comisión Estatal de Garantía de Acceso a la Información Pública es competente para conocer del presente asunto, de acuerdo con los artículos 6, párrafo cuarto, apartado A, fracción IV, de la Constitución Política de los Estados Unidos Me</w:t>
      </w:r>
      <w:r>
        <w:rPr>
          <w:rFonts w:ascii="Arial" w:eastAsia="Times New Roman" w:hAnsi="Arial" w:cs="Arial"/>
          <w:color w:val="4472C4" w:themeColor="accent5"/>
          <w:sz w:val="24"/>
          <w:szCs w:val="24"/>
          <w:lang w:eastAsia="es-MX"/>
        </w:rPr>
        <w:t>xicanos; 17, fracción III, párrafo tercero, de la Constitución Política del Estado Libre y Soberano de San Luis Potosí; 27, primer párrafo, 34, fracciones I y II, 35, fracción I, y 175 de la Ley de Transparencia y Acceso a la Información Pública de este Es</w:t>
      </w:r>
      <w:r>
        <w:rPr>
          <w:rFonts w:ascii="Arial" w:eastAsia="Times New Roman" w:hAnsi="Arial" w:cs="Arial"/>
          <w:color w:val="4472C4" w:themeColor="accent5"/>
          <w:sz w:val="24"/>
          <w:szCs w:val="24"/>
          <w:lang w:eastAsia="es-MX"/>
        </w:rPr>
        <w:t xml:space="preserve">tado. </w:t>
      </w:r>
    </w:p>
    <w:p w:rsidR="00AB1F29" w:rsidRDefault="00AB1F29">
      <w:pPr>
        <w:spacing w:after="0"/>
        <w:ind w:firstLine="709"/>
        <w:jc w:val="both"/>
        <w:rPr>
          <w:rFonts w:ascii="Arial" w:eastAsia="Times New Roman" w:hAnsi="Arial" w:cs="Arial"/>
          <w:color w:val="4472C4" w:themeColor="accent5"/>
          <w:sz w:val="24"/>
          <w:szCs w:val="24"/>
          <w:lang w:eastAsia="es-MX"/>
        </w:rPr>
      </w:pPr>
    </w:p>
    <w:p w:rsidR="00AB1F29" w:rsidRDefault="00C602F1">
      <w:pPr>
        <w:spacing w:after="0"/>
        <w:ind w:firstLine="709"/>
        <w:jc w:val="both"/>
        <w:rPr>
          <w:rFonts w:ascii="Arial" w:eastAsia="Times New Roman" w:hAnsi="Arial" w:cs="Arial"/>
          <w:color w:val="4472C4" w:themeColor="accent5"/>
          <w:sz w:val="24"/>
          <w:szCs w:val="24"/>
          <w:lang w:eastAsia="es-MX"/>
        </w:rPr>
      </w:pPr>
      <w:r>
        <w:rPr>
          <w:rFonts w:ascii="Arial" w:eastAsia="Times New Roman" w:hAnsi="Arial" w:cs="Arial"/>
          <w:color w:val="4472C4" w:themeColor="accent5"/>
          <w:sz w:val="24"/>
          <w:szCs w:val="24"/>
          <w:lang w:eastAsia="es-MX"/>
        </w:rPr>
        <w:t>Asimismo, de acuerdo con el Decreto que propone reformar el artículo noveno transitorio, del “Decreto 0506.- Decreto que reforma los artículos 17 y 124 Bis de la constitución Política del Estado Libre y Soberano de San Luis Potosí, en materia de Tr</w:t>
      </w:r>
      <w:r>
        <w:rPr>
          <w:rFonts w:ascii="Arial" w:eastAsia="Times New Roman" w:hAnsi="Arial" w:cs="Arial"/>
          <w:color w:val="4472C4" w:themeColor="accent5"/>
          <w:sz w:val="24"/>
          <w:szCs w:val="24"/>
          <w:lang w:eastAsia="es-MX"/>
        </w:rPr>
        <w:t>ansparencia, Acceso a la Información Pública y Protección de Datos Personales.</w:t>
      </w:r>
    </w:p>
    <w:p w:rsidR="00AB1F29" w:rsidRDefault="00C602F1">
      <w:pPr>
        <w:spacing w:after="0"/>
        <w:ind w:firstLine="709"/>
        <w:jc w:val="both"/>
        <w:rPr>
          <w:rFonts w:ascii="Arial" w:eastAsia="Times New Roman" w:hAnsi="Arial" w:cs="Arial"/>
          <w:color w:val="4472C4" w:themeColor="accent5"/>
          <w:sz w:val="24"/>
          <w:szCs w:val="24"/>
          <w:lang w:eastAsia="es-MX"/>
        </w:rPr>
      </w:pPr>
      <w:r>
        <w:rPr>
          <w:rFonts w:ascii="Arial" w:eastAsia="Times New Roman" w:hAnsi="Arial" w:cs="Arial"/>
          <w:color w:val="4472C4" w:themeColor="accent5"/>
          <w:sz w:val="24"/>
          <w:szCs w:val="24"/>
          <w:lang w:eastAsia="es-MX"/>
        </w:rPr>
        <w:t xml:space="preserve"> </w:t>
      </w:r>
    </w:p>
    <w:p w:rsidR="00AB1F29" w:rsidRDefault="00C602F1">
      <w:pPr>
        <w:spacing w:after="0"/>
        <w:ind w:firstLine="709"/>
        <w:jc w:val="both"/>
        <w:rPr>
          <w:rFonts w:ascii="Arial" w:eastAsia="Times New Roman" w:hAnsi="Arial" w:cs="Arial"/>
          <w:color w:val="4472C4" w:themeColor="accent5"/>
          <w:sz w:val="24"/>
          <w:szCs w:val="24"/>
          <w:lang w:eastAsia="es-MX"/>
        </w:rPr>
      </w:pPr>
      <w:r>
        <w:rPr>
          <w:rFonts w:ascii="Arial" w:eastAsia="Times New Roman" w:hAnsi="Arial" w:cs="Arial"/>
          <w:b/>
          <w:color w:val="4472C4" w:themeColor="accent5"/>
          <w:sz w:val="24"/>
          <w:szCs w:val="24"/>
          <w:lang w:eastAsia="es-MX"/>
        </w:rPr>
        <w:t xml:space="preserve">SEGUNDO. Procedencia. </w:t>
      </w:r>
      <w:r>
        <w:rPr>
          <w:rFonts w:ascii="Arial" w:eastAsia="Times New Roman" w:hAnsi="Arial" w:cs="Arial"/>
          <w:color w:val="4472C4" w:themeColor="accent5"/>
          <w:sz w:val="24"/>
          <w:szCs w:val="24"/>
          <w:lang w:eastAsia="es-MX"/>
        </w:rPr>
        <w:t>El presente recurso de revisión es procedente en términos del artículo 166, 167 y 168 de la Ley de Transparencia y Acceso a la Información Pública del Es</w:t>
      </w:r>
      <w:r>
        <w:rPr>
          <w:rFonts w:ascii="Arial" w:eastAsia="Times New Roman" w:hAnsi="Arial" w:cs="Arial"/>
          <w:color w:val="4472C4" w:themeColor="accent5"/>
          <w:sz w:val="24"/>
          <w:szCs w:val="24"/>
          <w:lang w:eastAsia="es-MX"/>
        </w:rPr>
        <w:t xml:space="preserve">tado ya que el recurrente se inconforma por la respuesta a su solicitud de acceso a la información pública por parte del sujeto obligado. </w:t>
      </w:r>
    </w:p>
    <w:p w:rsidR="00AB1F29" w:rsidRDefault="00AB1F29">
      <w:pPr>
        <w:spacing w:after="0"/>
        <w:ind w:firstLine="709"/>
        <w:jc w:val="both"/>
        <w:rPr>
          <w:rFonts w:ascii="Arial" w:eastAsia="Times New Roman" w:hAnsi="Arial" w:cs="Arial"/>
          <w:color w:val="4472C4" w:themeColor="accent5"/>
          <w:sz w:val="24"/>
          <w:szCs w:val="24"/>
          <w:lang w:eastAsia="es-MX"/>
        </w:rPr>
      </w:pPr>
    </w:p>
    <w:p w:rsidR="00AB1F29" w:rsidRDefault="00C602F1">
      <w:pPr>
        <w:spacing w:after="0"/>
        <w:ind w:firstLine="709"/>
        <w:jc w:val="both"/>
        <w:rPr>
          <w:rFonts w:ascii="Arial" w:eastAsia="Times New Roman" w:hAnsi="Arial" w:cs="Arial"/>
          <w:color w:val="4472C4" w:themeColor="accent5"/>
          <w:sz w:val="24"/>
          <w:szCs w:val="24"/>
          <w:lang w:eastAsia="es-MX"/>
        </w:rPr>
      </w:pPr>
      <w:r>
        <w:rPr>
          <w:rFonts w:ascii="Arial" w:eastAsia="Times New Roman" w:hAnsi="Arial" w:cs="Arial"/>
          <w:b/>
          <w:color w:val="4472C4" w:themeColor="accent5"/>
          <w:sz w:val="24"/>
          <w:szCs w:val="24"/>
          <w:lang w:eastAsia="es-MX"/>
        </w:rPr>
        <w:t>TERCERO. Oportunidad del recurso</w:t>
      </w:r>
      <w:r>
        <w:rPr>
          <w:rFonts w:ascii="Arial" w:eastAsia="Times New Roman" w:hAnsi="Arial" w:cs="Arial"/>
          <w:color w:val="4472C4" w:themeColor="accent5"/>
          <w:sz w:val="24"/>
          <w:szCs w:val="24"/>
          <w:lang w:eastAsia="es-MX"/>
        </w:rPr>
        <w:t>. La interposición del escrito inicial del recurso de revisión fue oportuna al prese</w:t>
      </w:r>
      <w:r>
        <w:rPr>
          <w:rFonts w:ascii="Arial" w:eastAsia="Times New Roman" w:hAnsi="Arial" w:cs="Arial"/>
          <w:color w:val="4472C4" w:themeColor="accent5"/>
          <w:sz w:val="24"/>
          <w:szCs w:val="24"/>
          <w:lang w:eastAsia="es-MX"/>
        </w:rPr>
        <w:t>ntarse dentro del plazo de quince días a que se refiere el artículo 166 de la Ley de Transparencia y Acceso a la Información Pública del Estado, como se expone a continuación:</w:t>
      </w:r>
    </w:p>
    <w:p w:rsidR="00AB1F29" w:rsidRDefault="00AB1F29">
      <w:pPr>
        <w:pStyle w:val="corte4fondo"/>
        <w:spacing w:line="276" w:lineRule="auto"/>
        <w:rPr>
          <w:rFonts w:cs="Arial"/>
          <w:color w:val="4472C4" w:themeColor="accent5"/>
          <w:sz w:val="24"/>
          <w:szCs w:val="24"/>
          <w:lang w:val="es-MX"/>
        </w:rPr>
      </w:pPr>
    </w:p>
    <w:p w:rsidR="00AB1F29" w:rsidRDefault="00C602F1">
      <w:pPr>
        <w:pStyle w:val="corte4fondo"/>
        <w:numPr>
          <w:ilvl w:val="0"/>
          <w:numId w:val="4"/>
        </w:numPr>
        <w:spacing w:line="276" w:lineRule="auto"/>
        <w:rPr>
          <w:rFonts w:cs="Arial"/>
          <w:color w:val="4472C4" w:themeColor="accent5"/>
          <w:sz w:val="24"/>
          <w:szCs w:val="24"/>
        </w:rPr>
      </w:pPr>
      <w:r>
        <w:rPr>
          <w:rFonts w:cs="Arial"/>
          <w:color w:val="4472C4" w:themeColor="accent5"/>
          <w:sz w:val="24"/>
          <w:szCs w:val="24"/>
        </w:rPr>
        <w:t>El</w:t>
      </w:r>
      <w:r>
        <w:rPr>
          <w:rFonts w:cs="Arial"/>
          <w:color w:val="4472C4" w:themeColor="accent5"/>
          <w:sz w:val="24"/>
          <w:szCs w:val="24"/>
          <w:lang w:val="es-MX"/>
        </w:rPr>
        <w:t xml:space="preserve"> </w:t>
      </w:r>
      <w:r>
        <w:rPr>
          <w:rFonts w:cs="Arial"/>
          <w:color w:val="4472C4" w:themeColor="accent5"/>
          <w:sz w:val="24"/>
          <w:szCs w:val="24"/>
          <w:lang w:val="es-MX"/>
        </w:rPr>
        <w:t xml:space="preserve">8 ocho de junio </w:t>
      </w:r>
      <w:r>
        <w:rPr>
          <w:rFonts w:cs="Arial"/>
          <w:color w:val="4472C4" w:themeColor="accent5"/>
          <w:sz w:val="24"/>
          <w:szCs w:val="24"/>
          <w:lang w:val="es-MX"/>
        </w:rPr>
        <w:t>de 2026 dos mil veintiséis</w:t>
      </w:r>
      <w:r>
        <w:rPr>
          <w:rFonts w:cs="Arial"/>
          <w:color w:val="4472C4" w:themeColor="accent5"/>
          <w:sz w:val="24"/>
          <w:szCs w:val="24"/>
        </w:rPr>
        <w:t>, el solicitante de la información</w:t>
      </w:r>
      <w:r>
        <w:rPr>
          <w:rFonts w:cs="Arial"/>
          <w:color w:val="4472C4" w:themeColor="accent5"/>
          <w:sz w:val="24"/>
          <w:szCs w:val="24"/>
        </w:rPr>
        <w:t xml:space="preserve"> fue notificado de la respuesta a su solicitud.</w:t>
      </w:r>
    </w:p>
    <w:p w:rsidR="00AB1F29" w:rsidRDefault="00C602F1">
      <w:pPr>
        <w:pStyle w:val="corte4fondo"/>
        <w:numPr>
          <w:ilvl w:val="0"/>
          <w:numId w:val="4"/>
        </w:numPr>
        <w:spacing w:line="276" w:lineRule="auto"/>
        <w:rPr>
          <w:rFonts w:cs="Arial"/>
          <w:color w:val="4472C4" w:themeColor="accent5"/>
          <w:sz w:val="24"/>
          <w:szCs w:val="24"/>
        </w:rPr>
      </w:pPr>
      <w:r>
        <w:rPr>
          <w:rFonts w:cs="Arial"/>
          <w:color w:val="4472C4" w:themeColor="accent5"/>
          <w:sz w:val="24"/>
          <w:szCs w:val="24"/>
        </w:rPr>
        <w:t xml:space="preserve">Por lo tanto, el plazo de los </w:t>
      </w:r>
      <w:r>
        <w:rPr>
          <w:rFonts w:cs="Arial"/>
          <w:color w:val="4472C4" w:themeColor="accent5"/>
          <w:sz w:val="24"/>
          <w:szCs w:val="24"/>
          <w:lang w:val="es-MX"/>
        </w:rPr>
        <w:t xml:space="preserve">15 </w:t>
      </w:r>
      <w:r>
        <w:rPr>
          <w:rFonts w:cs="Arial"/>
          <w:color w:val="4472C4" w:themeColor="accent5"/>
          <w:sz w:val="24"/>
          <w:szCs w:val="24"/>
        </w:rPr>
        <w:t xml:space="preserve">quince días hábiles para interponer el recurso de revisión transcurrió del </w:t>
      </w:r>
      <w:r>
        <w:rPr>
          <w:rFonts w:cs="Arial"/>
          <w:color w:val="4472C4" w:themeColor="accent5"/>
          <w:sz w:val="24"/>
          <w:szCs w:val="24"/>
          <w:lang w:val="es-MX"/>
        </w:rPr>
        <w:t xml:space="preserve">09 nueve de junio </w:t>
      </w:r>
      <w:r>
        <w:rPr>
          <w:rFonts w:cs="Arial"/>
          <w:color w:val="4472C4" w:themeColor="accent5"/>
          <w:sz w:val="24"/>
          <w:szCs w:val="24"/>
          <w:lang w:val="es-MX"/>
        </w:rPr>
        <w:t xml:space="preserve">de dos mil veintiséis al </w:t>
      </w:r>
      <w:r>
        <w:rPr>
          <w:rFonts w:cs="Arial"/>
          <w:color w:val="4472C4" w:themeColor="accent5"/>
          <w:sz w:val="24"/>
          <w:szCs w:val="24"/>
          <w:lang w:val="es-MX"/>
        </w:rPr>
        <w:t>29 veintinueve del mismo me y año</w:t>
      </w:r>
      <w:r>
        <w:rPr>
          <w:rFonts w:cs="Arial"/>
          <w:color w:val="4472C4" w:themeColor="accent5"/>
          <w:sz w:val="24"/>
          <w:szCs w:val="24"/>
        </w:rPr>
        <w:t xml:space="preserve">. </w:t>
      </w:r>
    </w:p>
    <w:p w:rsidR="00AB1F29" w:rsidRDefault="00C602F1">
      <w:pPr>
        <w:pStyle w:val="corte4fondo"/>
        <w:numPr>
          <w:ilvl w:val="0"/>
          <w:numId w:val="4"/>
        </w:numPr>
        <w:spacing w:line="276" w:lineRule="auto"/>
        <w:rPr>
          <w:rFonts w:cs="Arial"/>
          <w:color w:val="4472C4" w:themeColor="accent5"/>
          <w:sz w:val="24"/>
          <w:szCs w:val="24"/>
        </w:rPr>
      </w:pPr>
      <w:r>
        <w:rPr>
          <w:rFonts w:cs="Arial"/>
          <w:color w:val="4472C4" w:themeColor="accent5"/>
          <w:sz w:val="24"/>
          <w:szCs w:val="24"/>
        </w:rPr>
        <w:t xml:space="preserve">Siendo inhábiles los </w:t>
      </w:r>
      <w:r>
        <w:rPr>
          <w:rFonts w:cs="Arial"/>
          <w:color w:val="4472C4" w:themeColor="accent5"/>
          <w:sz w:val="24"/>
          <w:szCs w:val="24"/>
        </w:rPr>
        <w:t>días</w:t>
      </w:r>
      <w:r>
        <w:rPr>
          <w:rFonts w:cs="Arial"/>
          <w:color w:val="4472C4" w:themeColor="accent5"/>
          <w:sz w:val="24"/>
          <w:szCs w:val="24"/>
          <w:lang w:val="es-MX"/>
        </w:rPr>
        <w:t xml:space="preserve"> </w:t>
      </w:r>
      <w:r>
        <w:rPr>
          <w:rFonts w:cs="Arial"/>
          <w:color w:val="4472C4" w:themeColor="accent5"/>
          <w:sz w:val="24"/>
          <w:szCs w:val="24"/>
          <w:lang w:val="es-MX"/>
        </w:rPr>
        <w:t xml:space="preserve">13 trece,  14 catorce,  20 veinte,  21 veintiuno,  27 veintisiete y  28 veintiocho </w:t>
      </w:r>
      <w:r>
        <w:rPr>
          <w:rFonts w:cs="Arial"/>
          <w:color w:val="4472C4" w:themeColor="accent5"/>
          <w:sz w:val="24"/>
          <w:szCs w:val="24"/>
          <w:lang w:val="es-MX"/>
        </w:rPr>
        <w:t>de junio de 2026 dos mil veintiséis</w:t>
      </w:r>
      <w:r>
        <w:rPr>
          <w:rFonts w:cs="Arial"/>
          <w:color w:val="4472C4" w:themeColor="accent5"/>
          <w:sz w:val="24"/>
          <w:szCs w:val="24"/>
        </w:rPr>
        <w:t xml:space="preserve">, </w:t>
      </w:r>
      <w:r>
        <w:rPr>
          <w:rFonts w:cs="Arial"/>
          <w:color w:val="4472C4" w:themeColor="accent5"/>
          <w:sz w:val="24"/>
          <w:szCs w:val="24"/>
          <w:lang w:val="es-MX"/>
        </w:rPr>
        <w:t xml:space="preserve">conforme </w:t>
      </w:r>
      <w:r>
        <w:rPr>
          <w:rFonts w:cs="Arial"/>
          <w:color w:val="4472C4" w:themeColor="accent5"/>
          <w:sz w:val="24"/>
          <w:szCs w:val="24"/>
        </w:rPr>
        <w:t>al calendario de actividades de este Organismo.</w:t>
      </w:r>
    </w:p>
    <w:p w:rsidR="00AB1F29" w:rsidRDefault="00C602F1">
      <w:pPr>
        <w:pStyle w:val="corte4fondo"/>
        <w:numPr>
          <w:ilvl w:val="0"/>
          <w:numId w:val="5"/>
        </w:numPr>
        <w:spacing w:line="276" w:lineRule="auto"/>
        <w:ind w:left="1353"/>
        <w:rPr>
          <w:rFonts w:cs="Arial"/>
          <w:color w:val="4472C4" w:themeColor="accent5"/>
          <w:sz w:val="24"/>
          <w:szCs w:val="24"/>
        </w:rPr>
      </w:pPr>
      <w:r>
        <w:rPr>
          <w:rFonts w:cs="Arial"/>
          <w:color w:val="4472C4" w:themeColor="accent5"/>
          <w:sz w:val="24"/>
          <w:szCs w:val="24"/>
        </w:rPr>
        <w:t xml:space="preserve">Consecuentemente, </w:t>
      </w:r>
      <w:r>
        <w:rPr>
          <w:rFonts w:cs="Arial"/>
          <w:color w:val="4472C4" w:themeColor="accent5"/>
          <w:sz w:val="24"/>
          <w:szCs w:val="24"/>
          <w:lang w:val="es-MX"/>
        </w:rPr>
        <w:t xml:space="preserve">si el </w:t>
      </w:r>
      <w:r>
        <w:rPr>
          <w:rFonts w:cs="Arial"/>
          <w:color w:val="4472C4" w:themeColor="accent5"/>
          <w:sz w:val="24"/>
          <w:szCs w:val="24"/>
          <w:lang w:val="es-MX"/>
        </w:rPr>
        <w:t xml:space="preserve">22 veintidós </w:t>
      </w:r>
      <w:r>
        <w:rPr>
          <w:rFonts w:cs="Arial"/>
          <w:color w:val="4472C4" w:themeColor="accent5"/>
          <w:sz w:val="24"/>
          <w:szCs w:val="24"/>
          <w:lang w:val="es-MX"/>
        </w:rPr>
        <w:t>de junio del año en curso</w:t>
      </w:r>
      <w:r>
        <w:rPr>
          <w:rFonts w:cs="Arial"/>
          <w:color w:val="4472C4" w:themeColor="accent5"/>
          <w:sz w:val="24"/>
          <w:szCs w:val="24"/>
        </w:rPr>
        <w:t>, el recurre</w:t>
      </w:r>
      <w:r>
        <w:rPr>
          <w:rFonts w:cs="Arial"/>
          <w:color w:val="4472C4" w:themeColor="accent5"/>
          <w:sz w:val="24"/>
          <w:szCs w:val="24"/>
        </w:rPr>
        <w:t>nte interpuso el citado medio de impugnación ante esta Comisión de Transparencia, resulta claro que es oportuna su presentación.</w:t>
      </w:r>
    </w:p>
    <w:p w:rsidR="00AB1F29" w:rsidRDefault="00AB1F29">
      <w:pPr>
        <w:spacing w:after="0"/>
        <w:jc w:val="both"/>
        <w:rPr>
          <w:rFonts w:ascii="Arial" w:eastAsia="Times New Roman" w:hAnsi="Arial" w:cs="Arial"/>
          <w:color w:val="4472C4" w:themeColor="accent5"/>
          <w:sz w:val="24"/>
          <w:szCs w:val="24"/>
          <w:lang w:eastAsia="es-MX"/>
        </w:rPr>
      </w:pPr>
    </w:p>
    <w:p w:rsidR="00AB1F29" w:rsidRDefault="00C602F1">
      <w:pPr>
        <w:pStyle w:val="corte4fondo"/>
        <w:spacing w:line="276" w:lineRule="auto"/>
        <w:ind w:firstLine="708"/>
        <w:rPr>
          <w:rFonts w:cs="Arial"/>
          <w:color w:val="4472C4" w:themeColor="accent5"/>
          <w:sz w:val="24"/>
          <w:szCs w:val="24"/>
        </w:rPr>
      </w:pPr>
      <w:r>
        <w:rPr>
          <w:rFonts w:cs="Arial"/>
          <w:b/>
          <w:color w:val="4472C4" w:themeColor="accent5"/>
          <w:sz w:val="24"/>
          <w:szCs w:val="24"/>
        </w:rPr>
        <w:t>CUARTO. Certeza del acto reclamado</w:t>
      </w:r>
      <w:r>
        <w:rPr>
          <w:rFonts w:cs="Arial"/>
          <w:color w:val="4472C4" w:themeColor="accent5"/>
          <w:sz w:val="24"/>
          <w:szCs w:val="24"/>
        </w:rPr>
        <w:t xml:space="preserve">. Es cierto lo que se le reclama al sujeto obligado en virtud de que la solicitud de acceso </w:t>
      </w:r>
      <w:r>
        <w:rPr>
          <w:rFonts w:cs="Arial"/>
          <w:color w:val="4472C4" w:themeColor="accent5"/>
          <w:sz w:val="24"/>
          <w:szCs w:val="24"/>
        </w:rPr>
        <w:t xml:space="preserve">a la información pública fue dirigida </w:t>
      </w:r>
      <w:r>
        <w:rPr>
          <w:rFonts w:cs="Arial"/>
          <w:color w:val="4472C4" w:themeColor="accent5"/>
          <w:sz w:val="24"/>
          <w:szCs w:val="24"/>
          <w:lang w:val="es-MX"/>
        </w:rPr>
        <w:t xml:space="preserve"> a la dependencia </w:t>
      </w:r>
      <w:r>
        <w:rPr>
          <w:rFonts w:cs="Arial"/>
          <w:color w:val="4472C4" w:themeColor="accent5"/>
          <w:sz w:val="24"/>
          <w:szCs w:val="24"/>
        </w:rPr>
        <w:t>de que se trata</w:t>
      </w:r>
      <w:r>
        <w:rPr>
          <w:rFonts w:cs="Arial"/>
          <w:color w:val="4472C4" w:themeColor="accent5"/>
          <w:sz w:val="24"/>
          <w:szCs w:val="24"/>
          <w:lang w:val="es-MX"/>
        </w:rPr>
        <w:t xml:space="preserve"> como sujeto obligado</w:t>
      </w:r>
      <w:r>
        <w:rPr>
          <w:rFonts w:cs="Arial"/>
          <w:color w:val="4472C4" w:themeColor="accent5"/>
          <w:sz w:val="24"/>
          <w:szCs w:val="24"/>
        </w:rPr>
        <w:t xml:space="preserve"> de acuerdo al registro de la Plataforma Nacional de Transparencia. </w:t>
      </w:r>
    </w:p>
    <w:p w:rsidR="00AB1F29" w:rsidRDefault="00AB1F29">
      <w:pPr>
        <w:pStyle w:val="corte4fondo"/>
        <w:spacing w:line="276" w:lineRule="auto"/>
        <w:rPr>
          <w:rFonts w:cs="Arial"/>
          <w:color w:val="4472C4" w:themeColor="accent5"/>
          <w:sz w:val="24"/>
          <w:szCs w:val="24"/>
        </w:rPr>
      </w:pPr>
    </w:p>
    <w:p w:rsidR="00AB1F29" w:rsidRDefault="00C602F1">
      <w:pPr>
        <w:spacing w:after="0"/>
        <w:ind w:firstLine="708"/>
        <w:jc w:val="both"/>
        <w:rPr>
          <w:rFonts w:ascii="Arial" w:eastAsia="Arial Unicode MS" w:hAnsi="Arial" w:cs="Arial"/>
          <w:color w:val="4472C4" w:themeColor="accent5"/>
          <w:sz w:val="24"/>
          <w:szCs w:val="24"/>
          <w:lang w:eastAsia="es-ES"/>
        </w:rPr>
      </w:pPr>
      <w:r>
        <w:rPr>
          <w:rFonts w:ascii="Arial" w:hAnsi="Arial" w:cs="Arial"/>
          <w:color w:val="4472C4" w:themeColor="accent5"/>
        </w:rPr>
        <w:t xml:space="preserve">       </w:t>
      </w:r>
      <w:r>
        <w:rPr>
          <w:rFonts w:ascii="Arial" w:hAnsi="Arial" w:cs="Arial"/>
          <w:b/>
          <w:color w:val="4472C4" w:themeColor="accent5"/>
          <w:sz w:val="24"/>
          <w:szCs w:val="24"/>
        </w:rPr>
        <w:t>QUINTO. Causales de improcedencia</w:t>
      </w:r>
      <w:r>
        <w:rPr>
          <w:rFonts w:ascii="Arial" w:eastAsia="Arial Unicode MS" w:hAnsi="Arial" w:cs="Arial"/>
          <w:b/>
          <w:color w:val="4472C4" w:themeColor="accent5"/>
          <w:sz w:val="24"/>
          <w:szCs w:val="24"/>
          <w:lang w:eastAsia="es-ES"/>
        </w:rPr>
        <w:t xml:space="preserve">. </w:t>
      </w:r>
      <w:r>
        <w:rPr>
          <w:rFonts w:ascii="Arial" w:eastAsia="Arial Unicode MS" w:hAnsi="Arial" w:cs="Arial"/>
          <w:color w:val="4472C4" w:themeColor="accent5"/>
          <w:sz w:val="24"/>
          <w:szCs w:val="24"/>
          <w:lang w:eastAsia="es-ES"/>
        </w:rPr>
        <w:t xml:space="preserve">Previo al análisis de fondo del asunto, esta </w:t>
      </w:r>
      <w:r>
        <w:rPr>
          <w:rFonts w:ascii="Arial" w:eastAsia="Arial Unicode MS" w:hAnsi="Arial" w:cs="Arial"/>
          <w:color w:val="4472C4" w:themeColor="accent5"/>
          <w:sz w:val="24"/>
          <w:szCs w:val="24"/>
          <w:lang w:eastAsia="es-ES"/>
        </w:rPr>
        <w:t>Comisión realiza el estudio oficioso de las causales de procedencia, por tratarse de una cuestión de orden público y de estudio preferente, atento a lo establecido por la Jurisprudencia que por analogía resulta aplicable y, que a la letra señala:</w:t>
      </w:r>
    </w:p>
    <w:p w:rsidR="00AB1F29" w:rsidRDefault="00AB1F29">
      <w:pPr>
        <w:spacing w:after="0"/>
        <w:ind w:firstLine="708"/>
        <w:jc w:val="both"/>
        <w:rPr>
          <w:rFonts w:ascii="Arial" w:eastAsia="Arial Unicode MS" w:hAnsi="Arial" w:cs="Arial"/>
          <w:b/>
          <w:color w:val="4472C4" w:themeColor="accent5"/>
          <w:sz w:val="20"/>
          <w:szCs w:val="20"/>
          <w:lang w:eastAsia="es-ES"/>
        </w:rPr>
      </w:pPr>
    </w:p>
    <w:p w:rsidR="00AB1F29" w:rsidRDefault="00C602F1">
      <w:pPr>
        <w:spacing w:after="0"/>
        <w:ind w:left="1134" w:right="1185"/>
        <w:jc w:val="both"/>
        <w:rPr>
          <w:rFonts w:ascii="Arial" w:eastAsia="Arial Unicode MS" w:hAnsi="Arial" w:cs="Arial"/>
          <w:i/>
          <w:color w:val="4472C4" w:themeColor="accent5"/>
          <w:sz w:val="20"/>
          <w:szCs w:val="20"/>
          <w:lang w:eastAsia="es-ES"/>
        </w:rPr>
      </w:pPr>
      <w:r>
        <w:rPr>
          <w:rFonts w:ascii="Arial" w:eastAsia="Arial Unicode MS" w:hAnsi="Arial" w:cs="Arial"/>
          <w:b/>
          <w:i/>
          <w:color w:val="4472C4" w:themeColor="accent5"/>
          <w:sz w:val="20"/>
          <w:szCs w:val="20"/>
          <w:lang w:eastAsia="es-ES"/>
        </w:rPr>
        <w:t>“IMPROCE</w:t>
      </w:r>
      <w:r>
        <w:rPr>
          <w:rFonts w:ascii="Arial" w:eastAsia="Arial Unicode MS" w:hAnsi="Arial" w:cs="Arial"/>
          <w:b/>
          <w:i/>
          <w:color w:val="4472C4" w:themeColor="accent5"/>
          <w:sz w:val="20"/>
          <w:szCs w:val="20"/>
          <w:lang w:eastAsia="es-ES"/>
        </w:rPr>
        <w:t xml:space="preserve">DENCIA. </w:t>
      </w:r>
      <w:r>
        <w:rPr>
          <w:rFonts w:ascii="Arial" w:eastAsia="Arial Unicode MS" w:hAnsi="Arial" w:cs="Arial"/>
          <w:i/>
          <w:color w:val="4472C4" w:themeColor="accent5"/>
          <w:sz w:val="20"/>
          <w:szCs w:val="20"/>
          <w:lang w:eastAsia="es-ES"/>
        </w:rPr>
        <w:t>Sea que las partes la aleguen o no, debe examinarse previamente la procedencia del juicio de amparo, por ser esa cuestión de orden público en el juicio de garantías</w:t>
      </w:r>
      <w:r>
        <w:rPr>
          <w:rStyle w:val="Refdenotaalpie"/>
          <w:rFonts w:ascii="Arial" w:eastAsia="Arial Unicode MS" w:hAnsi="Arial" w:cs="Arial"/>
          <w:i/>
          <w:color w:val="4472C4" w:themeColor="accent5"/>
          <w:sz w:val="20"/>
          <w:szCs w:val="20"/>
          <w:lang w:eastAsia="es-ES"/>
        </w:rPr>
        <w:footnoteReference w:id="5"/>
      </w:r>
      <w:r>
        <w:rPr>
          <w:rFonts w:ascii="Arial" w:eastAsia="Arial Unicode MS" w:hAnsi="Arial" w:cs="Arial"/>
          <w:i/>
          <w:color w:val="4472C4" w:themeColor="accent5"/>
          <w:sz w:val="20"/>
          <w:szCs w:val="20"/>
          <w:lang w:eastAsia="es-ES"/>
        </w:rPr>
        <w:t xml:space="preserve">.” </w:t>
      </w:r>
    </w:p>
    <w:p w:rsidR="00AB1F29" w:rsidRDefault="00AB1F29">
      <w:pPr>
        <w:spacing w:after="0"/>
        <w:ind w:left="1134" w:right="1185"/>
        <w:jc w:val="both"/>
        <w:rPr>
          <w:rFonts w:ascii="Arial" w:eastAsia="Arial Unicode MS" w:hAnsi="Arial" w:cs="Arial"/>
          <w:b/>
          <w:i/>
          <w:color w:val="4472C4" w:themeColor="accent5"/>
          <w:sz w:val="20"/>
          <w:szCs w:val="20"/>
          <w:lang w:eastAsia="es-ES"/>
        </w:rPr>
      </w:pPr>
    </w:p>
    <w:p w:rsidR="00AB1F29" w:rsidRDefault="00C602F1">
      <w:pPr>
        <w:spacing w:after="0"/>
        <w:ind w:firstLine="708"/>
        <w:jc w:val="both"/>
        <w:rPr>
          <w:rFonts w:ascii="Arial" w:eastAsia="Arial Unicode MS" w:hAnsi="Arial" w:cs="Arial"/>
          <w:color w:val="4472C4" w:themeColor="accent5"/>
          <w:sz w:val="24"/>
          <w:szCs w:val="24"/>
          <w:lang w:eastAsia="es-ES"/>
        </w:rPr>
      </w:pPr>
      <w:r>
        <w:rPr>
          <w:rFonts w:ascii="Arial" w:eastAsia="Arial Unicode MS" w:hAnsi="Arial" w:cs="Arial"/>
          <w:color w:val="4472C4" w:themeColor="accent5"/>
          <w:sz w:val="24"/>
          <w:szCs w:val="24"/>
          <w:lang w:eastAsia="es-ES"/>
        </w:rPr>
        <w:t>En ese sentido, es dable señalar que la figura jurídica de la improcedencia se</w:t>
      </w:r>
      <w:r>
        <w:rPr>
          <w:rFonts w:ascii="Arial" w:eastAsia="Arial Unicode MS" w:hAnsi="Arial" w:cs="Arial"/>
          <w:color w:val="4472C4" w:themeColor="accent5"/>
          <w:sz w:val="24"/>
          <w:szCs w:val="24"/>
          <w:lang w:eastAsia="es-ES"/>
        </w:rPr>
        <w:t xml:space="preserve"> traduce en la posibilidad o facultad que tiene este Órgano Garante para desechar el Recurso de Revisión en el que se actúa, es decir, no dar trámite al procedimiento previsto en el artículo 174 de la Ley de Transparencia y Acceso a la Información Pública </w:t>
      </w:r>
      <w:r>
        <w:rPr>
          <w:rFonts w:ascii="Arial" w:eastAsia="Arial Unicode MS" w:hAnsi="Arial" w:cs="Arial"/>
          <w:color w:val="4472C4" w:themeColor="accent5"/>
          <w:sz w:val="24"/>
          <w:szCs w:val="24"/>
          <w:lang w:eastAsia="es-ES"/>
        </w:rPr>
        <w:t>del Estado o bien, una vez admitido, conforme el artículo 180, se actualice alguna de las hipótesis previstas en el numeral 179</w:t>
      </w:r>
      <w:r>
        <w:rPr>
          <w:rStyle w:val="Refdenotaalpie"/>
          <w:rFonts w:ascii="Arial" w:eastAsia="Arial Unicode MS" w:hAnsi="Arial" w:cs="Arial"/>
          <w:color w:val="4472C4" w:themeColor="accent5"/>
          <w:sz w:val="24"/>
          <w:szCs w:val="24"/>
          <w:lang w:eastAsia="es-ES"/>
        </w:rPr>
        <w:footnoteReference w:id="6"/>
      </w:r>
      <w:r>
        <w:rPr>
          <w:rFonts w:ascii="Arial" w:eastAsia="Arial Unicode MS" w:hAnsi="Arial" w:cs="Arial"/>
          <w:color w:val="4472C4" w:themeColor="accent5"/>
          <w:sz w:val="24"/>
          <w:szCs w:val="24"/>
          <w:lang w:eastAsia="es-ES"/>
        </w:rPr>
        <w:t xml:space="preserve"> de la citada normatividad. </w:t>
      </w:r>
    </w:p>
    <w:p w:rsidR="00AB1F29" w:rsidRDefault="00AB1F29">
      <w:pPr>
        <w:pStyle w:val="corte4fondo"/>
        <w:tabs>
          <w:tab w:val="left" w:pos="6663"/>
        </w:tabs>
        <w:spacing w:line="276" w:lineRule="auto"/>
        <w:ind w:firstLine="708"/>
        <w:rPr>
          <w:rFonts w:cs="Arial"/>
          <w:color w:val="4472C4" w:themeColor="accent5"/>
          <w:sz w:val="24"/>
          <w:szCs w:val="24"/>
        </w:rPr>
      </w:pPr>
    </w:p>
    <w:p w:rsidR="00AB1F29" w:rsidRDefault="00C602F1">
      <w:pPr>
        <w:pStyle w:val="corte4fondo"/>
        <w:spacing w:line="276" w:lineRule="auto"/>
        <w:ind w:firstLine="0"/>
        <w:rPr>
          <w:rFonts w:cs="Arial"/>
          <w:color w:val="4472C4" w:themeColor="accent5"/>
          <w:sz w:val="24"/>
          <w:szCs w:val="24"/>
          <w:lang w:val="es-MX"/>
        </w:rPr>
      </w:pPr>
      <w:r>
        <w:rPr>
          <w:rFonts w:cs="Arial"/>
          <w:color w:val="4472C4" w:themeColor="accent5"/>
          <w:sz w:val="24"/>
          <w:szCs w:val="24"/>
          <w:lang w:val="es-MX"/>
        </w:rPr>
        <w:tab/>
      </w:r>
      <w:r>
        <w:rPr>
          <w:rFonts w:cs="Arial"/>
          <w:b/>
          <w:color w:val="4472C4" w:themeColor="accent5"/>
          <w:sz w:val="24"/>
          <w:szCs w:val="24"/>
          <w:lang w:val="es-MX"/>
        </w:rPr>
        <w:t>SEXTO</w:t>
      </w:r>
      <w:r>
        <w:rPr>
          <w:rFonts w:cs="Arial"/>
          <w:color w:val="4472C4" w:themeColor="accent5"/>
          <w:sz w:val="24"/>
          <w:szCs w:val="24"/>
          <w:lang w:val="es-MX"/>
        </w:rPr>
        <w:t xml:space="preserve">. </w:t>
      </w:r>
      <w:r>
        <w:rPr>
          <w:rFonts w:cs="Arial"/>
          <w:b/>
          <w:color w:val="4472C4" w:themeColor="accent5"/>
          <w:sz w:val="24"/>
          <w:szCs w:val="24"/>
          <w:lang w:val="es-MX"/>
        </w:rPr>
        <w:t>Sobreseimiento</w:t>
      </w:r>
      <w:r>
        <w:rPr>
          <w:rFonts w:cs="Arial"/>
          <w:color w:val="4472C4" w:themeColor="accent5"/>
          <w:sz w:val="24"/>
          <w:szCs w:val="24"/>
          <w:lang w:val="es-MX"/>
        </w:rPr>
        <w:t xml:space="preserve">. Dicha figura del sobreseimiento es la resolución por parte de esta </w:t>
      </w:r>
      <w:r>
        <w:rPr>
          <w:rFonts w:cs="Arial"/>
          <w:color w:val="4472C4" w:themeColor="accent5"/>
          <w:sz w:val="24"/>
          <w:szCs w:val="24"/>
          <w:lang w:val="es-MX"/>
        </w:rPr>
        <w:t>Comisión Estatal de Garantía de Acceso a la Información Pública de carácter definitivo porque pone fin al procedimiento sin resolver las cuestiones de fondo, es decir, porque se haya actualizado alguno de los supuestos que establece el referido artículo 18</w:t>
      </w:r>
      <w:r>
        <w:rPr>
          <w:rFonts w:cs="Arial"/>
          <w:color w:val="4472C4" w:themeColor="accent5"/>
          <w:sz w:val="24"/>
          <w:szCs w:val="24"/>
          <w:lang w:val="es-MX"/>
        </w:rPr>
        <w:t>0 de la Ley de Transparencia y Acceso a la Información Pública del Estado.</w:t>
      </w:r>
    </w:p>
    <w:p w:rsidR="00AB1F29" w:rsidRDefault="00AB1F29">
      <w:pPr>
        <w:pStyle w:val="corte4fondo"/>
        <w:spacing w:line="276" w:lineRule="auto"/>
        <w:ind w:firstLine="0"/>
        <w:rPr>
          <w:rFonts w:cs="Arial"/>
          <w:color w:val="4472C4" w:themeColor="accent5"/>
          <w:sz w:val="24"/>
          <w:szCs w:val="24"/>
          <w:lang w:val="es-MX"/>
        </w:rPr>
      </w:pPr>
    </w:p>
    <w:p w:rsidR="00AB1F29" w:rsidRDefault="00C602F1">
      <w:pPr>
        <w:pStyle w:val="corte4fondo"/>
        <w:spacing w:line="276" w:lineRule="auto"/>
        <w:ind w:firstLine="0"/>
        <w:rPr>
          <w:rFonts w:cs="Arial"/>
          <w:color w:val="4472C4" w:themeColor="accent5"/>
          <w:sz w:val="24"/>
          <w:szCs w:val="24"/>
          <w:lang w:val="es-MX"/>
        </w:rPr>
      </w:pPr>
      <w:r>
        <w:rPr>
          <w:rFonts w:cs="Arial"/>
          <w:color w:val="4472C4" w:themeColor="accent5"/>
          <w:sz w:val="24"/>
          <w:szCs w:val="24"/>
          <w:lang w:val="es-MX"/>
        </w:rPr>
        <w:tab/>
        <w:t>Ahora, está Comisión de Transparencia analiza la procedencia del sobreseimiento, en virtud de que de acuerdo con la Ley de Transparencia esta figura es una cuestión de orden públi</w:t>
      </w:r>
      <w:r>
        <w:rPr>
          <w:rFonts w:cs="Arial"/>
          <w:color w:val="4472C4" w:themeColor="accent5"/>
          <w:sz w:val="24"/>
          <w:szCs w:val="24"/>
          <w:lang w:val="es-MX"/>
        </w:rPr>
        <w:t xml:space="preserve">co que impide, como se ha dicho, entrar al fondo del asunto. </w:t>
      </w:r>
    </w:p>
    <w:p w:rsidR="00AB1F29" w:rsidRDefault="00AB1F29">
      <w:pPr>
        <w:pStyle w:val="corte4fondo"/>
        <w:spacing w:line="276" w:lineRule="auto"/>
        <w:ind w:firstLine="0"/>
        <w:rPr>
          <w:rFonts w:cs="Arial"/>
          <w:color w:val="4472C4" w:themeColor="accent5"/>
          <w:sz w:val="24"/>
          <w:szCs w:val="24"/>
          <w:lang w:val="es-MX"/>
        </w:rPr>
      </w:pPr>
    </w:p>
    <w:p w:rsidR="00AB1F29" w:rsidRDefault="00C602F1">
      <w:pPr>
        <w:pStyle w:val="corte4fondo"/>
        <w:spacing w:line="276" w:lineRule="auto"/>
        <w:ind w:firstLine="0"/>
        <w:rPr>
          <w:rFonts w:cs="Arial"/>
          <w:color w:val="4472C4" w:themeColor="accent5"/>
          <w:sz w:val="24"/>
          <w:szCs w:val="24"/>
          <w:lang w:val="es-MX"/>
        </w:rPr>
      </w:pPr>
      <w:r>
        <w:rPr>
          <w:rFonts w:cs="Arial"/>
          <w:color w:val="4472C4" w:themeColor="accent5"/>
          <w:sz w:val="24"/>
          <w:szCs w:val="24"/>
          <w:lang w:val="es-MX"/>
        </w:rPr>
        <w:tab/>
      </w:r>
      <w:r>
        <w:rPr>
          <w:rFonts w:cs="Arial"/>
          <w:b/>
          <w:color w:val="4472C4" w:themeColor="accent5"/>
          <w:sz w:val="24"/>
          <w:szCs w:val="24"/>
          <w:lang w:val="es-MX"/>
        </w:rPr>
        <w:t>6.1. Objetivo de la Ley de Transparencia</w:t>
      </w:r>
      <w:r>
        <w:rPr>
          <w:rFonts w:cs="Arial"/>
          <w:color w:val="4472C4" w:themeColor="accent5"/>
          <w:sz w:val="24"/>
          <w:szCs w:val="24"/>
          <w:lang w:val="es-MX"/>
        </w:rPr>
        <w:t>.</w:t>
      </w:r>
    </w:p>
    <w:p w:rsidR="00AB1F29" w:rsidRDefault="00AB1F29">
      <w:pPr>
        <w:pStyle w:val="corte4fondo"/>
        <w:spacing w:line="276" w:lineRule="auto"/>
        <w:ind w:firstLine="0"/>
        <w:rPr>
          <w:rFonts w:cs="Arial"/>
          <w:color w:val="4472C4" w:themeColor="accent5"/>
          <w:sz w:val="24"/>
          <w:szCs w:val="24"/>
          <w:lang w:val="es-MX"/>
        </w:rPr>
      </w:pPr>
    </w:p>
    <w:p w:rsidR="00AB1F29" w:rsidRDefault="00C602F1">
      <w:pPr>
        <w:pStyle w:val="NormalWeb"/>
        <w:spacing w:before="0" w:beforeAutospacing="0" w:after="0" w:afterAutospacing="0" w:line="276" w:lineRule="auto"/>
        <w:jc w:val="both"/>
        <w:rPr>
          <w:rFonts w:ascii="Arial" w:eastAsia="Arial Unicode MS" w:hAnsi="Arial" w:cs="Arial"/>
          <w:color w:val="4472C4" w:themeColor="accent5"/>
        </w:rPr>
      </w:pPr>
      <w:r>
        <w:rPr>
          <w:rFonts w:ascii="Arial" w:hAnsi="Arial" w:cs="Arial"/>
          <w:color w:val="4472C4" w:themeColor="accent5"/>
          <w:lang w:val="es-MX" w:eastAsia="es-MX"/>
        </w:rPr>
        <w:tab/>
      </w:r>
      <w:r>
        <w:rPr>
          <w:rFonts w:ascii="Arial" w:eastAsia="Arial Unicode MS" w:hAnsi="Arial" w:cs="Arial"/>
          <w:color w:val="4472C4" w:themeColor="accent5"/>
        </w:rPr>
        <w:t>Ahora, es necesario precisar que</w:t>
      </w:r>
      <w:r>
        <w:rPr>
          <w:rFonts w:ascii="Arial" w:eastAsia="Arial Unicode MS" w:hAnsi="Arial" w:cs="Arial"/>
          <w:color w:val="4472C4" w:themeColor="accent5"/>
        </w:rPr>
        <w:tab/>
        <w:t xml:space="preserve"> de conformidad con el segundo párrafo, del artículo 1°</w:t>
      </w:r>
      <w:r>
        <w:rPr>
          <w:rStyle w:val="Refdenotaalpie"/>
          <w:rFonts w:ascii="Arial" w:eastAsia="Arial Unicode MS" w:hAnsi="Arial" w:cs="Arial"/>
          <w:color w:val="4472C4" w:themeColor="accent5"/>
        </w:rPr>
        <w:footnoteReference w:id="7"/>
      </w:r>
      <w:r>
        <w:rPr>
          <w:rFonts w:ascii="Arial" w:eastAsia="Arial Unicode MS" w:hAnsi="Arial" w:cs="Arial"/>
          <w:color w:val="4472C4" w:themeColor="accent5"/>
        </w:rPr>
        <w:t xml:space="preserve"> de la Ley de Transparencia, uno de los objetivos de ésta e</w:t>
      </w:r>
      <w:r>
        <w:rPr>
          <w:rFonts w:ascii="Arial" w:eastAsia="Arial Unicode MS" w:hAnsi="Arial" w:cs="Arial"/>
          <w:color w:val="4472C4" w:themeColor="accent5"/>
        </w:rPr>
        <w:t xml:space="preserve">s garantizar el ejercicio del derecho de acceso a la información pública. </w:t>
      </w:r>
    </w:p>
    <w:p w:rsidR="00AB1F29" w:rsidRDefault="00C602F1">
      <w:pPr>
        <w:pStyle w:val="NormalWeb"/>
        <w:spacing w:before="0" w:beforeAutospacing="0" w:after="0" w:afterAutospacing="0" w:line="276" w:lineRule="auto"/>
        <w:jc w:val="both"/>
        <w:rPr>
          <w:rFonts w:ascii="Arial" w:hAnsi="Arial" w:cs="Arial"/>
          <w:color w:val="4472C4" w:themeColor="accent5"/>
        </w:rPr>
      </w:pPr>
      <w:r>
        <w:rPr>
          <w:rFonts w:ascii="Arial" w:eastAsia="Arial Unicode MS" w:hAnsi="Arial" w:cs="Arial"/>
          <w:color w:val="4472C4" w:themeColor="accent5"/>
        </w:rPr>
        <w:tab/>
      </w:r>
      <w:r>
        <w:rPr>
          <w:rFonts w:ascii="Arial" w:eastAsia="Arial Unicode MS" w:hAnsi="Arial" w:cs="Arial"/>
          <w:color w:val="4472C4" w:themeColor="accent5"/>
        </w:rPr>
        <w:tab/>
      </w:r>
    </w:p>
    <w:p w:rsidR="00AB1F29" w:rsidRDefault="00C602F1">
      <w:pPr>
        <w:pStyle w:val="NormalWeb"/>
        <w:tabs>
          <w:tab w:val="left" w:pos="0"/>
        </w:tabs>
        <w:spacing w:before="0" w:beforeAutospacing="0" w:after="0" w:afterAutospacing="0" w:line="276" w:lineRule="auto"/>
        <w:jc w:val="both"/>
        <w:rPr>
          <w:rFonts w:ascii="Arial" w:eastAsia="Arial Unicode MS" w:hAnsi="Arial" w:cs="Arial"/>
          <w:b/>
          <w:color w:val="4472C4" w:themeColor="accent5"/>
        </w:rPr>
      </w:pPr>
      <w:r>
        <w:rPr>
          <w:rFonts w:ascii="Arial" w:hAnsi="Arial" w:cs="Arial"/>
          <w:b/>
          <w:color w:val="4472C4" w:themeColor="accent5"/>
          <w:lang w:val="es-MX"/>
        </w:rPr>
        <w:tab/>
        <w:t>6</w:t>
      </w:r>
      <w:r>
        <w:rPr>
          <w:rFonts w:ascii="Arial" w:eastAsia="Arial Unicode MS" w:hAnsi="Arial" w:cs="Arial"/>
          <w:b/>
          <w:color w:val="4472C4" w:themeColor="accent5"/>
        </w:rPr>
        <w:t>.1.1 Sobreseimiento advertido por esta comisión.</w:t>
      </w:r>
    </w:p>
    <w:p w:rsidR="00AB1F29" w:rsidRDefault="00AB1F29">
      <w:pPr>
        <w:pStyle w:val="NormalWeb"/>
        <w:tabs>
          <w:tab w:val="left" w:pos="0"/>
        </w:tabs>
        <w:spacing w:before="0" w:beforeAutospacing="0" w:after="0" w:afterAutospacing="0" w:line="276" w:lineRule="auto"/>
        <w:ind w:left="708"/>
        <w:jc w:val="both"/>
        <w:rPr>
          <w:rFonts w:ascii="Arial" w:eastAsia="Arial Unicode MS" w:hAnsi="Arial" w:cs="Arial"/>
          <w:b/>
          <w:color w:val="4472C4" w:themeColor="accent5"/>
        </w:rPr>
      </w:pPr>
    </w:p>
    <w:p w:rsidR="00AB1F29" w:rsidRDefault="00C602F1">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r>
        <w:rPr>
          <w:rFonts w:ascii="Arial" w:eastAsia="Arial Unicode MS" w:hAnsi="Arial" w:cs="Arial"/>
          <w:color w:val="4472C4" w:themeColor="accent5"/>
        </w:rPr>
        <w:tab/>
      </w:r>
      <w:r>
        <w:rPr>
          <w:rFonts w:ascii="Arial" w:eastAsia="Arial Unicode MS" w:hAnsi="Arial" w:cs="Arial"/>
          <w:color w:val="4472C4" w:themeColor="accent5"/>
        </w:rPr>
        <w:t>Como se ha dicho, el sobreseimiento es de orden público y, por lo tanto, lo aleguen o no las partes, esta Comisión de Transparencia está obligada a analizar si se actualiza alguna de las causales previstas en el numeral 180 de la Ley Estatal de Transparenc</w:t>
      </w:r>
      <w:r>
        <w:rPr>
          <w:rFonts w:ascii="Arial" w:eastAsia="Arial Unicode MS" w:hAnsi="Arial" w:cs="Arial"/>
          <w:color w:val="4472C4" w:themeColor="accent5"/>
        </w:rPr>
        <w:t xml:space="preserve">ia, mismo que refiere: </w:t>
      </w:r>
    </w:p>
    <w:p w:rsidR="00AB1F29" w:rsidRDefault="00AB1F29">
      <w:pPr>
        <w:pStyle w:val="NormalWeb"/>
        <w:tabs>
          <w:tab w:val="left" w:pos="0"/>
        </w:tabs>
        <w:spacing w:before="0" w:beforeAutospacing="0" w:after="0" w:afterAutospacing="0" w:line="276" w:lineRule="auto"/>
        <w:jc w:val="both"/>
        <w:rPr>
          <w:rFonts w:ascii="Arial" w:eastAsia="Arial Unicode MS" w:hAnsi="Arial" w:cs="Arial"/>
          <w:b/>
          <w:color w:val="4472C4" w:themeColor="accent5"/>
        </w:rPr>
      </w:pPr>
    </w:p>
    <w:p w:rsidR="00AB1F29" w:rsidRDefault="00C602F1">
      <w:pPr>
        <w:pStyle w:val="corte4fondo"/>
        <w:spacing w:line="276" w:lineRule="auto"/>
        <w:ind w:firstLine="708"/>
        <w:rPr>
          <w:rFonts w:cs="Arial"/>
          <w:i/>
          <w:color w:val="4472C4" w:themeColor="accent5"/>
          <w:sz w:val="20"/>
        </w:rPr>
      </w:pPr>
      <w:r>
        <w:rPr>
          <w:rFonts w:cs="Arial"/>
          <w:b/>
          <w:i/>
          <w:color w:val="4472C4" w:themeColor="accent5"/>
          <w:sz w:val="20"/>
        </w:rPr>
        <w:t>ARTÍCULO 180.</w:t>
      </w:r>
      <w:r>
        <w:rPr>
          <w:rFonts w:cs="Arial"/>
          <w:i/>
          <w:color w:val="4472C4" w:themeColor="accent5"/>
          <w:sz w:val="20"/>
        </w:rPr>
        <w:t xml:space="preserve"> El recurso será sobreseído, en todo o en parte, cuando, una vez admitido, se actualicen alguno de los siguientes supuestos:</w:t>
      </w:r>
    </w:p>
    <w:p w:rsidR="00AB1F29" w:rsidRDefault="00AB1F29">
      <w:pPr>
        <w:pStyle w:val="corte4fondo"/>
        <w:spacing w:line="276" w:lineRule="auto"/>
        <w:ind w:firstLine="708"/>
        <w:rPr>
          <w:rFonts w:cs="Arial"/>
          <w:i/>
          <w:color w:val="4472C4" w:themeColor="accent5"/>
          <w:sz w:val="20"/>
        </w:rPr>
      </w:pPr>
    </w:p>
    <w:p w:rsidR="00AB1F29" w:rsidRDefault="00C602F1">
      <w:pPr>
        <w:pStyle w:val="NormalWeb"/>
        <w:numPr>
          <w:ilvl w:val="0"/>
          <w:numId w:val="6"/>
        </w:numPr>
        <w:shd w:val="clear" w:color="auto" w:fill="FFFFFF"/>
        <w:spacing w:before="0" w:beforeAutospacing="0" w:after="0" w:afterAutospacing="0" w:line="276" w:lineRule="auto"/>
        <w:ind w:right="616"/>
        <w:jc w:val="both"/>
        <w:rPr>
          <w:rFonts w:ascii="Arial" w:hAnsi="Arial" w:cs="Arial"/>
          <w:i/>
          <w:color w:val="4472C4" w:themeColor="accent5"/>
          <w:sz w:val="20"/>
          <w:szCs w:val="20"/>
        </w:rPr>
      </w:pPr>
      <w:r>
        <w:rPr>
          <w:rFonts w:ascii="Arial" w:hAnsi="Arial" w:cs="Arial"/>
          <w:i/>
          <w:color w:val="4472C4" w:themeColor="accent5"/>
          <w:sz w:val="20"/>
          <w:szCs w:val="20"/>
        </w:rPr>
        <w:t>El recurrente se desista;</w:t>
      </w:r>
    </w:p>
    <w:p w:rsidR="00AB1F29" w:rsidRDefault="00C602F1">
      <w:pPr>
        <w:pStyle w:val="NormalWeb"/>
        <w:numPr>
          <w:ilvl w:val="0"/>
          <w:numId w:val="6"/>
        </w:numPr>
        <w:shd w:val="clear" w:color="auto" w:fill="FFFFFF"/>
        <w:spacing w:before="0" w:beforeAutospacing="0" w:after="0" w:afterAutospacing="0" w:line="276" w:lineRule="auto"/>
        <w:ind w:right="616"/>
        <w:jc w:val="both"/>
        <w:rPr>
          <w:rFonts w:ascii="Arial" w:hAnsi="Arial" w:cs="Arial"/>
          <w:i/>
          <w:color w:val="4472C4" w:themeColor="accent5"/>
          <w:sz w:val="20"/>
          <w:szCs w:val="20"/>
        </w:rPr>
      </w:pPr>
      <w:r>
        <w:rPr>
          <w:rFonts w:ascii="Arial" w:hAnsi="Arial" w:cs="Arial"/>
          <w:i/>
          <w:color w:val="4472C4" w:themeColor="accent5"/>
          <w:sz w:val="20"/>
          <w:szCs w:val="20"/>
        </w:rPr>
        <w:t xml:space="preserve">El recurrente fallezca; </w:t>
      </w:r>
    </w:p>
    <w:p w:rsidR="00AB1F29" w:rsidRDefault="00C602F1">
      <w:pPr>
        <w:pStyle w:val="NormalWeb"/>
        <w:numPr>
          <w:ilvl w:val="0"/>
          <w:numId w:val="6"/>
        </w:numPr>
        <w:shd w:val="clear" w:color="auto" w:fill="FFFFFF"/>
        <w:spacing w:before="0" w:beforeAutospacing="0" w:after="0" w:afterAutospacing="0" w:line="276" w:lineRule="auto"/>
        <w:ind w:right="616"/>
        <w:jc w:val="both"/>
        <w:rPr>
          <w:rFonts w:ascii="Arial" w:hAnsi="Arial" w:cs="Arial"/>
          <w:b/>
          <w:i/>
          <w:color w:val="4472C4" w:themeColor="accent5"/>
          <w:sz w:val="20"/>
          <w:szCs w:val="20"/>
        </w:rPr>
      </w:pPr>
      <w:r>
        <w:rPr>
          <w:rFonts w:ascii="Arial" w:hAnsi="Arial" w:cs="Arial"/>
          <w:b/>
          <w:i/>
          <w:color w:val="4472C4" w:themeColor="accent5"/>
          <w:sz w:val="20"/>
          <w:szCs w:val="20"/>
        </w:rPr>
        <w:t xml:space="preserve">El sujeto obligado responsable del acto lo modifique o revoque de tal manera que el recurso de revisión quede sin materia, o </w:t>
      </w:r>
    </w:p>
    <w:p w:rsidR="00AB1F29" w:rsidRDefault="00C602F1">
      <w:pPr>
        <w:pStyle w:val="NormalWeb"/>
        <w:shd w:val="clear" w:color="auto" w:fill="FFFFFF"/>
        <w:spacing w:before="0" w:beforeAutospacing="0" w:after="0" w:afterAutospacing="0" w:line="276" w:lineRule="auto"/>
        <w:ind w:left="709" w:right="616"/>
        <w:jc w:val="both"/>
        <w:rPr>
          <w:rFonts w:ascii="Arial" w:hAnsi="Arial" w:cs="Arial"/>
          <w:i/>
          <w:color w:val="4472C4" w:themeColor="accent5"/>
          <w:sz w:val="20"/>
          <w:szCs w:val="20"/>
        </w:rPr>
      </w:pPr>
      <w:r>
        <w:rPr>
          <w:rFonts w:ascii="Arial" w:hAnsi="Arial" w:cs="Arial"/>
          <w:i/>
          <w:color w:val="4472C4" w:themeColor="accent5"/>
          <w:sz w:val="20"/>
          <w:szCs w:val="20"/>
        </w:rPr>
        <w:t>IV. Admitido el recurso de revisión, aparezca alguna causal de improcedencia en los términos del presente Capítulo.</w:t>
      </w:r>
    </w:p>
    <w:p w:rsidR="00AB1F29" w:rsidRDefault="00C602F1">
      <w:pPr>
        <w:pStyle w:val="NormalWeb"/>
        <w:shd w:val="clear" w:color="auto" w:fill="FFFFFF"/>
        <w:spacing w:before="0" w:beforeAutospacing="0" w:after="0" w:afterAutospacing="0" w:line="276" w:lineRule="auto"/>
        <w:ind w:firstLine="709"/>
        <w:jc w:val="both"/>
        <w:rPr>
          <w:rFonts w:ascii="Arial" w:hAnsi="Arial" w:cs="Arial"/>
          <w:b/>
          <w:color w:val="4472C4" w:themeColor="accent5"/>
          <w:sz w:val="22"/>
          <w:szCs w:val="22"/>
        </w:rPr>
      </w:pPr>
      <w:r>
        <w:rPr>
          <w:rFonts w:ascii="Arial" w:hAnsi="Arial" w:cs="Arial"/>
          <w:b/>
          <w:color w:val="4472C4" w:themeColor="accent5"/>
          <w:sz w:val="22"/>
          <w:szCs w:val="22"/>
        </w:rPr>
        <w:t> </w:t>
      </w:r>
    </w:p>
    <w:p w:rsidR="00AB1F29" w:rsidRDefault="00C602F1">
      <w:pPr>
        <w:pStyle w:val="NormalWeb"/>
        <w:shd w:val="clear" w:color="auto" w:fill="FFFFFF"/>
        <w:spacing w:before="0" w:beforeAutospacing="0" w:after="0" w:afterAutospacing="0" w:line="276" w:lineRule="auto"/>
        <w:ind w:firstLine="709"/>
        <w:jc w:val="both"/>
        <w:rPr>
          <w:rFonts w:ascii="Arial" w:hAnsi="Arial" w:cs="Arial"/>
          <w:color w:val="4472C4" w:themeColor="accent5"/>
        </w:rPr>
      </w:pPr>
      <w:r>
        <w:rPr>
          <w:rFonts w:ascii="Arial" w:hAnsi="Arial" w:cs="Arial"/>
          <w:color w:val="4472C4" w:themeColor="accent5"/>
        </w:rPr>
        <w:t xml:space="preserve">Conforme a lo anterior, el </w:t>
      </w:r>
      <w:r>
        <w:rPr>
          <w:rStyle w:val="il"/>
          <w:rFonts w:ascii="Arial" w:hAnsi="Arial" w:cs="Arial"/>
          <w:color w:val="4472C4" w:themeColor="accent5"/>
        </w:rPr>
        <w:t xml:space="preserve">sobreseimiento </w:t>
      </w:r>
      <w:r>
        <w:rPr>
          <w:rFonts w:ascii="Arial" w:hAnsi="Arial" w:cs="Arial"/>
          <w:color w:val="4472C4" w:themeColor="accent5"/>
        </w:rPr>
        <w:t xml:space="preserve">podrá actualizarse en aquellos casos en los que; </w:t>
      </w:r>
    </w:p>
    <w:p w:rsidR="00AB1F29" w:rsidRDefault="00AB1F29">
      <w:pPr>
        <w:pStyle w:val="NormalWeb"/>
        <w:shd w:val="clear" w:color="auto" w:fill="FFFFFF"/>
        <w:spacing w:before="0" w:beforeAutospacing="0" w:after="0" w:afterAutospacing="0" w:line="276" w:lineRule="auto"/>
        <w:ind w:firstLine="709"/>
        <w:jc w:val="both"/>
        <w:rPr>
          <w:rFonts w:ascii="Arial" w:hAnsi="Arial" w:cs="Arial"/>
          <w:color w:val="4472C4" w:themeColor="accent5"/>
        </w:rPr>
      </w:pPr>
    </w:p>
    <w:p w:rsidR="00AB1F29" w:rsidRDefault="00C602F1">
      <w:pPr>
        <w:pStyle w:val="NormalWeb"/>
        <w:shd w:val="clear" w:color="auto" w:fill="FFFFFF"/>
        <w:spacing w:before="0" w:beforeAutospacing="0" w:after="0" w:afterAutospacing="0" w:line="276" w:lineRule="auto"/>
        <w:ind w:left="708" w:firstLine="1"/>
        <w:jc w:val="both"/>
        <w:rPr>
          <w:rFonts w:ascii="Arial" w:hAnsi="Arial" w:cs="Arial"/>
          <w:color w:val="4472C4" w:themeColor="accent5"/>
        </w:rPr>
      </w:pPr>
      <w:r>
        <w:rPr>
          <w:rFonts w:ascii="Arial" w:hAnsi="Arial" w:cs="Arial"/>
          <w:color w:val="4472C4" w:themeColor="accent5"/>
        </w:rPr>
        <w:t>1</w:t>
      </w:r>
      <w:r>
        <w:rPr>
          <w:rFonts w:ascii="Arial" w:hAnsi="Arial" w:cs="Arial"/>
          <w:b/>
          <w:color w:val="4472C4" w:themeColor="accent5"/>
        </w:rPr>
        <w:t xml:space="preserve">. </w:t>
      </w:r>
      <w:r>
        <w:rPr>
          <w:rFonts w:ascii="Arial" w:hAnsi="Arial" w:cs="Arial"/>
          <w:color w:val="4472C4" w:themeColor="accent5"/>
        </w:rPr>
        <w:t>El recurrente se desista, es decir, cuando el actor, decide, a su propio derecho, abandonar la instancia o no continuar con una acción</w:t>
      </w:r>
      <w:hyperlink r:id="rId11" w:anchor="m_3838750572679398274__ftn1" w:history="1"/>
      <w:r>
        <w:rPr>
          <w:rFonts w:ascii="Arial" w:hAnsi="Arial" w:cs="Arial"/>
          <w:color w:val="4472C4" w:themeColor="accent5"/>
        </w:rPr>
        <w:t xml:space="preserve">; </w:t>
      </w:r>
    </w:p>
    <w:p w:rsidR="00AB1F29" w:rsidRDefault="00C602F1">
      <w:pPr>
        <w:pStyle w:val="NormalWeb"/>
        <w:shd w:val="clear" w:color="auto" w:fill="FFFFFF"/>
        <w:spacing w:before="0" w:beforeAutospacing="0" w:after="0" w:afterAutospacing="0" w:line="276" w:lineRule="auto"/>
        <w:ind w:left="708" w:firstLine="1"/>
        <w:jc w:val="both"/>
        <w:rPr>
          <w:rFonts w:ascii="Arial" w:hAnsi="Arial" w:cs="Arial"/>
          <w:color w:val="4472C4" w:themeColor="accent5"/>
        </w:rPr>
      </w:pPr>
      <w:r>
        <w:rPr>
          <w:rFonts w:ascii="Arial" w:hAnsi="Arial" w:cs="Arial"/>
          <w:color w:val="4472C4" w:themeColor="accent5"/>
        </w:rPr>
        <w:t xml:space="preserve">2. Cuando el recurrente, es decir quien promueve el recurso de revisión, fallezca; </w:t>
      </w:r>
    </w:p>
    <w:p w:rsidR="00AB1F29" w:rsidRDefault="00C602F1">
      <w:pPr>
        <w:pStyle w:val="NormalWeb"/>
        <w:shd w:val="clear" w:color="auto" w:fill="FFFFFF"/>
        <w:spacing w:before="0" w:beforeAutospacing="0" w:after="0" w:afterAutospacing="0" w:line="276" w:lineRule="auto"/>
        <w:ind w:left="708" w:firstLine="1"/>
        <w:jc w:val="both"/>
        <w:rPr>
          <w:rFonts w:ascii="Arial" w:hAnsi="Arial" w:cs="Arial"/>
          <w:b/>
          <w:color w:val="4472C4" w:themeColor="accent5"/>
        </w:rPr>
      </w:pPr>
      <w:r>
        <w:rPr>
          <w:rFonts w:ascii="Arial" w:hAnsi="Arial" w:cs="Arial"/>
          <w:b/>
          <w:bCs/>
          <w:color w:val="4472C4" w:themeColor="accent5"/>
        </w:rPr>
        <w:t xml:space="preserve">3. Cuando el sujeto obligado modifique o revoque el acto de manera que el recurso de revisión quede sin materia, </w:t>
      </w:r>
      <w:r>
        <w:rPr>
          <w:rFonts w:ascii="Arial" w:hAnsi="Arial" w:cs="Arial"/>
          <w:b/>
          <w:bCs/>
          <w:color w:val="4472C4" w:themeColor="accent5"/>
        </w:rPr>
        <w:t>esto es, cuando el sujeto obligado realice las cuestiones por las cuales se satisfaga las pretensiones del que promueve</w:t>
      </w:r>
      <w:r>
        <w:rPr>
          <w:rFonts w:ascii="Arial" w:hAnsi="Arial" w:cs="Arial"/>
          <w:b/>
          <w:color w:val="4472C4" w:themeColor="accent5"/>
        </w:rPr>
        <w:t>; y,</w:t>
      </w:r>
    </w:p>
    <w:p w:rsidR="00AB1F29" w:rsidRDefault="00C602F1">
      <w:pPr>
        <w:pStyle w:val="NormalWeb"/>
        <w:shd w:val="clear" w:color="auto" w:fill="FFFFFF"/>
        <w:spacing w:before="0" w:beforeAutospacing="0" w:after="0" w:afterAutospacing="0" w:line="276" w:lineRule="auto"/>
        <w:ind w:left="708" w:firstLine="61"/>
        <w:jc w:val="both"/>
        <w:rPr>
          <w:rFonts w:ascii="Arial" w:hAnsi="Arial" w:cs="Arial"/>
          <w:b/>
          <w:color w:val="4472C4" w:themeColor="accent5"/>
        </w:rPr>
      </w:pPr>
      <w:r>
        <w:rPr>
          <w:rFonts w:ascii="Arial" w:hAnsi="Arial" w:cs="Arial"/>
          <w:b/>
          <w:color w:val="4472C4" w:themeColor="accent5"/>
        </w:rPr>
        <w:t>4. Cuando de manera posterior a la admisión del recurso de revisión, se actualice una causal de improcedencia.</w:t>
      </w:r>
    </w:p>
    <w:p w:rsidR="00AB1F29" w:rsidRDefault="00AB1F29">
      <w:pPr>
        <w:pStyle w:val="NormalWeb"/>
        <w:shd w:val="clear" w:color="auto" w:fill="FFFFFF"/>
        <w:spacing w:before="0" w:beforeAutospacing="0" w:after="0" w:afterAutospacing="0" w:line="276" w:lineRule="auto"/>
        <w:ind w:left="708" w:firstLine="61"/>
        <w:jc w:val="both"/>
        <w:rPr>
          <w:rFonts w:ascii="Arial" w:hAnsi="Arial" w:cs="Arial"/>
          <w:color w:val="4472C4" w:themeColor="accent5"/>
        </w:rPr>
      </w:pPr>
    </w:p>
    <w:p w:rsidR="00AB1F29" w:rsidRDefault="00C602F1">
      <w:pPr>
        <w:pStyle w:val="NormalWeb"/>
        <w:shd w:val="clear" w:color="auto" w:fill="FFFFFF"/>
        <w:spacing w:before="0" w:beforeAutospacing="0" w:after="0" w:afterAutospacing="0" w:line="276" w:lineRule="auto"/>
        <w:ind w:firstLine="709"/>
        <w:jc w:val="both"/>
        <w:rPr>
          <w:rFonts w:ascii="Arial" w:hAnsi="Arial" w:cs="Arial"/>
          <w:color w:val="4472C4" w:themeColor="accent5"/>
        </w:rPr>
      </w:pPr>
      <w:r>
        <w:rPr>
          <w:rFonts w:ascii="Arial" w:hAnsi="Arial" w:cs="Arial"/>
          <w:color w:val="4472C4" w:themeColor="accent5"/>
        </w:rPr>
        <w:t xml:space="preserve">Expuesto lo previo, </w:t>
      </w:r>
      <w:r>
        <w:rPr>
          <w:rFonts w:ascii="Arial" w:hAnsi="Arial" w:cs="Arial"/>
          <w:color w:val="4472C4" w:themeColor="accent5"/>
        </w:rPr>
        <w:t xml:space="preserve">a fin de acreditar la causal de sobreseimiento, </w:t>
      </w:r>
      <w:r>
        <w:rPr>
          <w:rFonts w:ascii="Arial" w:eastAsia="Arial Unicode MS" w:hAnsi="Arial" w:cs="Arial"/>
          <w:color w:val="4472C4" w:themeColor="accent5"/>
        </w:rPr>
        <w:t xml:space="preserve">así como para </w:t>
      </w:r>
      <w:r>
        <w:rPr>
          <w:rFonts w:ascii="Arial" w:hAnsi="Arial" w:cs="Arial"/>
          <w:color w:val="4472C4" w:themeColor="accent5"/>
        </w:rPr>
        <w:t>una mejor apreciación este Órgano Garante procede a efectuar la comparación de   la información solicitada, en contraposición con el agravio formulado en su recurso de revisión y la respuesta ot</w:t>
      </w:r>
      <w:r>
        <w:rPr>
          <w:rFonts w:ascii="Arial" w:hAnsi="Arial" w:cs="Arial"/>
          <w:color w:val="4472C4" w:themeColor="accent5"/>
        </w:rPr>
        <w:t>orgada por el sujeto obligado; circunstancia que resulta como sigue:</w:t>
      </w:r>
    </w:p>
    <w:p w:rsidR="00AB1F29" w:rsidRDefault="00AB1F29">
      <w:pPr>
        <w:pStyle w:val="NormalWeb"/>
        <w:shd w:val="clear" w:color="auto" w:fill="FFFFFF"/>
        <w:spacing w:before="0" w:beforeAutospacing="0" w:after="0" w:afterAutospacing="0" w:line="276" w:lineRule="auto"/>
        <w:ind w:firstLine="709"/>
        <w:jc w:val="both"/>
        <w:rPr>
          <w:rFonts w:ascii="Arial" w:hAnsi="Arial" w:cs="Arial"/>
          <w:color w:val="4472C4" w:themeColor="accent5"/>
          <w:sz w:val="20"/>
          <w:szCs w:val="20"/>
        </w:rPr>
      </w:pPr>
    </w:p>
    <w:tbl>
      <w:tblPr>
        <w:tblW w:w="0" w:type="auto"/>
        <w:tblBorders>
          <w:top w:val="single" w:sz="8" w:space="0" w:color="4F81BD"/>
          <w:left w:val="single" w:sz="8" w:space="0" w:color="4F81BD"/>
          <w:bottom w:val="single" w:sz="8" w:space="0" w:color="4F81BD"/>
          <w:right w:val="single" w:sz="8" w:space="0" w:color="4F81BD"/>
          <w:insideH w:val="single" w:sz="4" w:space="0" w:color="auto"/>
          <w:insideV w:val="single" w:sz="4" w:space="0" w:color="auto"/>
        </w:tblBorders>
        <w:tblLook w:val="04A0"/>
      </w:tblPr>
      <w:tblGrid>
        <w:gridCol w:w="2536"/>
        <w:gridCol w:w="2711"/>
        <w:gridCol w:w="4657"/>
      </w:tblGrid>
      <w:tr w:rsidR="00AB1F29">
        <w:tc>
          <w:tcPr>
            <w:tcW w:w="0" w:type="auto"/>
            <w:shd w:val="clear" w:color="auto" w:fill="4F81BD"/>
          </w:tcPr>
          <w:p w:rsidR="00AB1F29" w:rsidRDefault="00C602F1">
            <w:pPr>
              <w:pStyle w:val="NormalWeb"/>
              <w:spacing w:before="0" w:beforeAutospacing="0" w:after="0" w:afterAutospacing="0" w:line="276" w:lineRule="auto"/>
              <w:jc w:val="center"/>
              <w:rPr>
                <w:rFonts w:ascii="Arial" w:hAnsi="Arial" w:cs="Arial"/>
                <w:b/>
                <w:bCs/>
                <w:color w:val="4472C4" w:themeColor="accent5"/>
                <w:sz w:val="20"/>
                <w:szCs w:val="20"/>
              </w:rPr>
            </w:pPr>
            <w:r>
              <w:rPr>
                <w:rFonts w:ascii="Arial" w:hAnsi="Arial" w:cs="Arial"/>
                <w:b/>
                <w:bCs/>
                <w:sz w:val="20"/>
                <w:szCs w:val="20"/>
              </w:rPr>
              <w:t>INFORMACIÓN SOLICITADA</w:t>
            </w:r>
          </w:p>
        </w:tc>
        <w:tc>
          <w:tcPr>
            <w:tcW w:w="0" w:type="auto"/>
            <w:shd w:val="clear" w:color="auto" w:fill="4F81BD"/>
          </w:tcPr>
          <w:p w:rsidR="00AB1F29" w:rsidRDefault="00C602F1">
            <w:pPr>
              <w:pStyle w:val="NormalWeb"/>
              <w:spacing w:before="0" w:beforeAutospacing="0" w:after="0" w:afterAutospacing="0" w:line="276" w:lineRule="auto"/>
              <w:jc w:val="center"/>
              <w:rPr>
                <w:rFonts w:ascii="Arial" w:hAnsi="Arial" w:cs="Arial"/>
                <w:b/>
                <w:bCs/>
                <w:color w:val="4472C4" w:themeColor="accent5"/>
                <w:sz w:val="20"/>
                <w:szCs w:val="20"/>
              </w:rPr>
            </w:pPr>
            <w:r>
              <w:rPr>
                <w:rFonts w:ascii="Arial" w:hAnsi="Arial" w:cs="Arial"/>
                <w:b/>
                <w:bCs/>
                <w:sz w:val="20"/>
                <w:szCs w:val="20"/>
              </w:rPr>
              <w:t>AGRAVIOS FORMULADOS</w:t>
            </w:r>
          </w:p>
        </w:tc>
        <w:tc>
          <w:tcPr>
            <w:tcW w:w="4657" w:type="dxa"/>
            <w:shd w:val="clear" w:color="auto" w:fill="4F81BD"/>
          </w:tcPr>
          <w:p w:rsidR="00AB1F29" w:rsidRDefault="00C602F1">
            <w:pPr>
              <w:pStyle w:val="NormalWeb"/>
              <w:spacing w:before="0" w:beforeAutospacing="0" w:after="0" w:afterAutospacing="0" w:line="276" w:lineRule="auto"/>
              <w:jc w:val="center"/>
              <w:rPr>
                <w:rFonts w:ascii="Arial" w:hAnsi="Arial" w:cs="Arial"/>
                <w:b/>
                <w:bCs/>
                <w:color w:val="4472C4" w:themeColor="accent5"/>
                <w:sz w:val="20"/>
                <w:szCs w:val="20"/>
              </w:rPr>
            </w:pPr>
            <w:r>
              <w:rPr>
                <w:rFonts w:ascii="Arial" w:hAnsi="Arial" w:cs="Arial"/>
                <w:b/>
                <w:bCs/>
                <w:sz w:val="20"/>
                <w:szCs w:val="20"/>
              </w:rPr>
              <w:t xml:space="preserve"> MODIFICACIÓN A LA RESPUESTA</w:t>
            </w:r>
          </w:p>
        </w:tc>
      </w:tr>
      <w:tr w:rsidR="00AB1F29">
        <w:tc>
          <w:tcPr>
            <w:tcW w:w="0" w:type="auto"/>
          </w:tcPr>
          <w:p w:rsidR="00AB1F29" w:rsidRDefault="00C602F1">
            <w:pPr>
              <w:ind w:firstLine="708"/>
              <w:jc w:val="both"/>
              <w:rPr>
                <w:rFonts w:ascii="Arial" w:hAnsi="Arial" w:cs="Arial"/>
                <w:i/>
                <w:iCs/>
                <w:color w:val="4472C4" w:themeColor="accent5"/>
                <w:sz w:val="20"/>
                <w:szCs w:val="20"/>
              </w:rPr>
            </w:pPr>
            <w:r>
              <w:rPr>
                <w:rFonts w:ascii="Arial" w:hAnsi="Arial" w:cs="Arial"/>
                <w:i/>
                <w:iCs/>
                <w:color w:val="4472C4" w:themeColor="accent5"/>
                <w:sz w:val="20"/>
                <w:szCs w:val="20"/>
              </w:rPr>
              <w:t>“</w:t>
            </w:r>
            <w:r>
              <w:rPr>
                <w:rFonts w:ascii="Arial" w:hAnsi="Arial" w:cs="Arial"/>
                <w:i/>
                <w:iCs/>
                <w:color w:val="4472C4" w:themeColor="accent5"/>
                <w:sz w:val="20"/>
                <w:szCs w:val="20"/>
              </w:rPr>
              <w:t xml:space="preserve">De conformidad con el artículo 6º de la Constitución Política de los Estados Unidos Mexicanos, así como los </w:t>
            </w:r>
            <w:r>
              <w:rPr>
                <w:rFonts w:ascii="Arial" w:hAnsi="Arial" w:cs="Arial"/>
                <w:i/>
                <w:iCs/>
                <w:color w:val="4472C4" w:themeColor="accent5"/>
                <w:sz w:val="20"/>
                <w:szCs w:val="20"/>
              </w:rPr>
              <w:t>artículos 4 y 70 de la Ley General de Transparencia y Acceso a la Información Pública, solicito respetuosamente a la Comisión Local de Búsqueda de personas desaparecidas o en su caso, al órgano del que dependa la comisión mencionada, se me proporcione la s</w:t>
            </w:r>
            <w:r>
              <w:rPr>
                <w:rFonts w:ascii="Arial" w:hAnsi="Arial" w:cs="Arial"/>
                <w:i/>
                <w:iCs/>
                <w:color w:val="4472C4" w:themeColor="accent5"/>
                <w:sz w:val="20"/>
                <w:szCs w:val="20"/>
              </w:rPr>
              <w:t>iguiente información: El número total de personas funcionarias adscritas a la dependencia o entidad al 31 de diciembre de 2025, incluyendo para cada persona: Nombre del puesto Cargo y descripción del puesto Vigencia del nombramiento o contrato Tipo de cont</w:t>
            </w:r>
            <w:r>
              <w:rPr>
                <w:rFonts w:ascii="Arial" w:hAnsi="Arial" w:cs="Arial"/>
                <w:i/>
                <w:iCs/>
                <w:color w:val="4472C4" w:themeColor="accent5"/>
                <w:sz w:val="20"/>
                <w:szCs w:val="20"/>
              </w:rPr>
              <w:t>rato (por ejemplo: base, confianza, honorarios, etc.) Agradezco que la información se entregue en formato abierto y reutilizable (por ejemplo, Excel o CSV), e indique con claridad la dependencia, unidad administrativa o área correspondiente en cada caso. A</w:t>
            </w:r>
            <w:r>
              <w:rPr>
                <w:rFonts w:ascii="Arial" w:hAnsi="Arial" w:cs="Arial"/>
                <w:i/>
                <w:iCs/>
                <w:color w:val="4472C4" w:themeColor="accent5"/>
                <w:sz w:val="20"/>
                <w:szCs w:val="20"/>
              </w:rPr>
              <w:t>simismo, agradeceré que, en caso de no contar con la información solicitada, se me indique con claridad el motivo de su inexistencia o la unidad administrativa responsable de su generación, resguardo o publicación. Sin más por el momento, agradezco de ante</w:t>
            </w:r>
            <w:r>
              <w:rPr>
                <w:rFonts w:ascii="Arial" w:hAnsi="Arial" w:cs="Arial"/>
                <w:i/>
                <w:iCs/>
                <w:color w:val="4472C4" w:themeColor="accent5"/>
                <w:sz w:val="20"/>
                <w:szCs w:val="20"/>
              </w:rPr>
              <w:t>mano la atención a esta solicitud y quedo atento(a) a la respuesta dentro de los plazos establecidos por la Ley.</w:t>
            </w:r>
            <w:r>
              <w:rPr>
                <w:rFonts w:ascii="Arial" w:hAnsi="Arial" w:cs="Arial"/>
                <w:i/>
                <w:iCs/>
                <w:color w:val="4472C4" w:themeColor="accent5"/>
                <w:sz w:val="20"/>
                <w:szCs w:val="20"/>
              </w:rPr>
              <w:t>”</w:t>
            </w:r>
          </w:p>
          <w:p w:rsidR="00AB1F29" w:rsidRDefault="00AB1F29">
            <w:pPr>
              <w:spacing w:after="0"/>
              <w:jc w:val="both"/>
              <w:rPr>
                <w:rFonts w:ascii="Arial" w:hAnsi="Arial" w:cs="Arial"/>
                <w:color w:val="4472C4" w:themeColor="accent5"/>
                <w:sz w:val="20"/>
                <w:szCs w:val="20"/>
              </w:rPr>
            </w:pPr>
          </w:p>
        </w:tc>
        <w:tc>
          <w:tcPr>
            <w:tcW w:w="0" w:type="auto"/>
          </w:tcPr>
          <w:p w:rsidR="00AB1F29" w:rsidRDefault="00C602F1">
            <w:pPr>
              <w:pStyle w:val="corte4fondo"/>
              <w:spacing w:line="276" w:lineRule="auto"/>
              <w:ind w:firstLine="0"/>
              <w:rPr>
                <w:rFonts w:cs="Arial"/>
                <w:color w:val="4472C4" w:themeColor="accent5"/>
                <w:sz w:val="20"/>
                <w:lang w:val="es-MX"/>
              </w:rPr>
            </w:pPr>
            <w:r>
              <w:rPr>
                <w:rFonts w:eastAsia="SimSun" w:cs="Arial"/>
                <w:i/>
                <w:iCs/>
                <w:color w:val="4472C4" w:themeColor="accent5"/>
                <w:sz w:val="20"/>
              </w:rPr>
              <w:t>De conformidad con los artículos 144 y 145 de la Ley General de Transparencia y Acceso a la Información Pública que señalan: 144.- La persona</w:t>
            </w:r>
            <w:r>
              <w:rPr>
                <w:rFonts w:eastAsia="SimSun" w:cs="Arial"/>
                <w:i/>
                <w:iCs/>
                <w:color w:val="4472C4" w:themeColor="accent5"/>
                <w:sz w:val="20"/>
              </w:rPr>
              <w:t xml:space="preserve"> solicitante podrá interponer, por sí mismo o por conducto de su representante, de manera física o por medios electrónicos, recurso de revisión ante la Autoridad garante que corresponda, o ante la Unidad de Transparencia que haya conocido de la solicitud d</w:t>
            </w:r>
            <w:r>
              <w:rPr>
                <w:rFonts w:eastAsia="SimSun" w:cs="Arial"/>
                <w:i/>
                <w:iCs/>
                <w:color w:val="4472C4" w:themeColor="accent5"/>
                <w:sz w:val="20"/>
              </w:rPr>
              <w:t xml:space="preserve">entro de los quince días siguientes a la fecha de la notificación de la respuesta, o del vencimiento del plazo para su notificación. En el caso de que se interponga ante la Unidad de Transparencia, esta deberá remitir el recurso de revisión a la Autoridad </w:t>
            </w:r>
            <w:r>
              <w:rPr>
                <w:rFonts w:eastAsia="SimSun" w:cs="Arial"/>
                <w:i/>
                <w:iCs/>
                <w:color w:val="4472C4" w:themeColor="accent5"/>
                <w:sz w:val="20"/>
              </w:rPr>
              <w:t>garante que corresponda a más tardar al día siguiente de haberlo recibido. 145.- El recurso de revisión procede en contra de: V. La entrega de información que no corresponda con lo solicitado; VII. La notificación, entrega o puesta a disposición de informa</w:t>
            </w:r>
            <w:r>
              <w:rPr>
                <w:rFonts w:eastAsia="SimSun" w:cs="Arial"/>
                <w:i/>
                <w:iCs/>
                <w:color w:val="4472C4" w:themeColor="accent5"/>
                <w:sz w:val="20"/>
              </w:rPr>
              <w:t xml:space="preserve">ción en una modalidad o formato distinto al solicitado; Asimismo, de conformidad con el artículo sexto constitucional que señala: Toda persona tiene derecho al libre acceso a información plural y oportuna, así como a buscar, recibir y difundir información </w:t>
            </w:r>
            <w:r>
              <w:rPr>
                <w:rFonts w:eastAsia="SimSun" w:cs="Arial"/>
                <w:i/>
                <w:iCs/>
                <w:color w:val="4472C4" w:themeColor="accent5"/>
                <w:sz w:val="20"/>
              </w:rPr>
              <w:t>e ideas de toda índole por cualquier medio de expresión. El Estado garantizará el derecho de acceso a las tecnologías de la información y comunicación. Por medio de la presente, interpongo recurso de revisión en contra de las respuestas emitidas por los su</w:t>
            </w:r>
            <w:r>
              <w:rPr>
                <w:rFonts w:eastAsia="SimSun" w:cs="Arial"/>
                <w:i/>
                <w:iCs/>
                <w:color w:val="4472C4" w:themeColor="accent5"/>
                <w:sz w:val="20"/>
              </w:rPr>
              <w:t>jetos obligados Secretaría General de Gobierno y Oficialía Mayor, respecto de las solicitudes de información con números de folio 241230226000108 y 240469726000056, respectivamente. En las respuestas proporcionadas, ninguno de los sujetos obligados atendió</w:t>
            </w:r>
            <w:r>
              <w:rPr>
                <w:rFonts w:eastAsia="SimSun" w:cs="Arial"/>
                <w:i/>
                <w:iCs/>
                <w:color w:val="4472C4" w:themeColor="accent5"/>
                <w:sz w:val="20"/>
              </w:rPr>
              <w:t xml:space="preserve"> de manera directa la información solicitada. Por una parte, la Secretaría General de Gobierno señaló, mediante oficio, que la información podría ser competencia de la Oficialía Mayor del Gobierno del Estado. Por otra, la Oficialía Mayor indicó que la soli</w:t>
            </w:r>
            <w:r>
              <w:rPr>
                <w:rFonts w:eastAsia="SimSun" w:cs="Arial"/>
                <w:i/>
                <w:iCs/>
                <w:color w:val="4472C4" w:themeColor="accent5"/>
                <w:sz w:val="20"/>
              </w:rPr>
              <w:t>citud podría ser atendida por la Secretaría General de Gobierno. Como resultado, ambas instituciones se limitaron a remitir la solicitud entre sí, sin proporcionar la información requerida ni realizar una búsqueda que permitiera atender la petición de mane</w:t>
            </w:r>
            <w:r>
              <w:rPr>
                <w:rFonts w:eastAsia="SimSun" w:cs="Arial"/>
                <w:i/>
                <w:iCs/>
                <w:color w:val="4472C4" w:themeColor="accent5"/>
                <w:sz w:val="20"/>
              </w:rPr>
              <w:t>ra efectiva.Por lo anterior, solicito que se instruya al sujeto obligado a realizar la búsqueda exhaustiva correspondiente y a proporcionar de manera directa los documentos y/o enlaces que podrían contener la información solicitada.</w:t>
            </w:r>
            <w:r>
              <w:rPr>
                <w:rFonts w:ascii="SimSun" w:eastAsia="SimSun" w:hAnsi="SimSun" w:cs="SimSun"/>
                <w:sz w:val="24"/>
                <w:szCs w:val="24"/>
              </w:rPr>
              <w:t> </w:t>
            </w:r>
            <w:r>
              <w:rPr>
                <w:rFonts w:cs="Arial"/>
                <w:color w:val="4472C4" w:themeColor="accent5"/>
                <w:sz w:val="20"/>
                <w:lang w:val="es-MX"/>
              </w:rPr>
              <w:t xml:space="preserve"> </w:t>
            </w:r>
          </w:p>
          <w:p w:rsidR="00AB1F29" w:rsidRDefault="00C602F1">
            <w:pPr>
              <w:pStyle w:val="corte4fondo"/>
              <w:spacing w:line="276" w:lineRule="auto"/>
              <w:ind w:firstLine="0"/>
              <w:rPr>
                <w:rFonts w:cs="Arial"/>
                <w:i/>
                <w:color w:val="4472C4" w:themeColor="accent5"/>
                <w:sz w:val="20"/>
                <w:highlight w:val="yellow"/>
                <w:lang w:val="es-MX"/>
              </w:rPr>
            </w:pPr>
            <w:r>
              <w:rPr>
                <w:rFonts w:cs="Arial"/>
                <w:i/>
                <w:color w:val="4472C4" w:themeColor="accent5"/>
                <w:sz w:val="20"/>
                <w:lang w:val="es-MX"/>
              </w:rPr>
              <w:t xml:space="preserve"> </w:t>
            </w:r>
          </w:p>
          <w:p w:rsidR="00AB1F29" w:rsidRDefault="00AB1F29">
            <w:pPr>
              <w:pStyle w:val="corte4fondo"/>
              <w:spacing w:line="276" w:lineRule="auto"/>
              <w:ind w:firstLine="0"/>
              <w:rPr>
                <w:rFonts w:cs="Arial"/>
                <w:color w:val="4472C4" w:themeColor="accent5"/>
                <w:sz w:val="20"/>
                <w:lang w:val="es-MX"/>
              </w:rPr>
            </w:pPr>
          </w:p>
        </w:tc>
        <w:tc>
          <w:tcPr>
            <w:tcW w:w="4657" w:type="dxa"/>
          </w:tcPr>
          <w:p w:rsidR="00AB1F29" w:rsidRDefault="00AB1F29">
            <w:pPr>
              <w:pStyle w:val="NormalWeb"/>
              <w:tabs>
                <w:tab w:val="left" w:pos="247"/>
              </w:tabs>
              <w:spacing w:before="0" w:beforeAutospacing="0" w:after="0" w:afterAutospacing="0" w:line="276" w:lineRule="auto"/>
              <w:jc w:val="both"/>
              <w:rPr>
                <w:rFonts w:ascii="Arial" w:hAnsi="Arial" w:cs="Arial"/>
                <w:i/>
                <w:color w:val="4472C4" w:themeColor="accent5"/>
                <w:sz w:val="20"/>
                <w:szCs w:val="20"/>
              </w:rPr>
            </w:pPr>
          </w:p>
          <w:p w:rsidR="00AB1F29" w:rsidRDefault="00C602F1">
            <w:pPr>
              <w:pStyle w:val="NormalWeb"/>
              <w:tabs>
                <w:tab w:val="left" w:pos="247"/>
              </w:tabs>
              <w:spacing w:before="0" w:beforeAutospacing="0" w:after="0" w:afterAutospacing="0" w:line="276" w:lineRule="auto"/>
              <w:jc w:val="both"/>
              <w:rPr>
                <w:rFonts w:ascii="Arial" w:hAnsi="Arial" w:cs="Arial"/>
                <w:i/>
                <w:color w:val="4472C4" w:themeColor="accent5"/>
                <w:sz w:val="20"/>
                <w:szCs w:val="20"/>
                <w:lang w:val="es-MX"/>
              </w:rPr>
            </w:pPr>
            <w:r>
              <w:rPr>
                <w:rFonts w:ascii="Arial" w:hAnsi="Arial" w:cs="Arial"/>
                <w:i/>
                <w:color w:val="4472C4" w:themeColor="accent5"/>
                <w:sz w:val="20"/>
                <w:szCs w:val="20"/>
                <w:lang w:val="es-MX"/>
              </w:rPr>
              <w:t xml:space="preserve">Mediante oficio </w:t>
            </w:r>
            <w:r>
              <w:rPr>
                <w:rFonts w:ascii="Arial" w:hAnsi="Arial" w:cs="Arial"/>
                <w:i/>
                <w:color w:val="4472C4" w:themeColor="accent5"/>
                <w:sz w:val="20"/>
                <w:szCs w:val="20"/>
                <w:lang w:val="es-MX"/>
              </w:rPr>
              <w:t>OM/UT/202/2026 de 07 de julio de 2026, por conducto del Titular de la Unidad de Transparencia, se remitieron las constancias que integran la información proporcionada al peticionario mediante correo electrónico de fecha 07 siete de julio de 2026 dos mil ve</w:t>
            </w:r>
            <w:r>
              <w:rPr>
                <w:rFonts w:ascii="Arial" w:hAnsi="Arial" w:cs="Arial"/>
                <w:i/>
                <w:color w:val="4472C4" w:themeColor="accent5"/>
                <w:sz w:val="20"/>
                <w:szCs w:val="20"/>
                <w:lang w:val="es-MX"/>
              </w:rPr>
              <w:t>intiséis, lo anterior para cumplimiento y atención al requerimiento.</w:t>
            </w:r>
          </w:p>
          <w:p w:rsidR="00AB1F29" w:rsidRDefault="00AB1F29">
            <w:pPr>
              <w:pStyle w:val="NormalWeb"/>
              <w:tabs>
                <w:tab w:val="left" w:pos="247"/>
              </w:tabs>
              <w:spacing w:before="0" w:beforeAutospacing="0" w:after="0" w:afterAutospacing="0" w:line="276" w:lineRule="auto"/>
              <w:jc w:val="both"/>
              <w:rPr>
                <w:rFonts w:ascii="Arial" w:hAnsi="Arial" w:cs="Arial"/>
                <w:i/>
                <w:color w:val="4472C4" w:themeColor="accent5"/>
                <w:sz w:val="20"/>
                <w:szCs w:val="20"/>
                <w:lang w:val="es-MX"/>
              </w:rPr>
            </w:pPr>
          </w:p>
          <w:p w:rsidR="00AB1F29" w:rsidRDefault="00C602F1">
            <w:pPr>
              <w:pStyle w:val="NormalWeb"/>
              <w:tabs>
                <w:tab w:val="left" w:pos="247"/>
              </w:tabs>
              <w:spacing w:before="0" w:beforeAutospacing="0" w:after="0" w:afterAutospacing="0" w:line="276" w:lineRule="auto"/>
              <w:jc w:val="both"/>
              <w:rPr>
                <w:rFonts w:ascii="Arial" w:hAnsi="Arial" w:cs="Arial"/>
                <w:i/>
                <w:color w:val="4472C4" w:themeColor="accent5"/>
                <w:sz w:val="20"/>
                <w:szCs w:val="20"/>
                <w:lang w:val="es-MX"/>
              </w:rPr>
            </w:pPr>
            <w:r>
              <w:rPr>
                <w:rFonts w:ascii="Arial" w:hAnsi="Arial" w:cs="Arial"/>
                <w:i/>
                <w:color w:val="4472C4" w:themeColor="accent5"/>
                <w:sz w:val="20"/>
                <w:szCs w:val="20"/>
                <w:lang w:val="es-MX"/>
              </w:rPr>
              <w:t>Asimismo, de los anexos adjuntos se aprecia el oficio OM/UT/196/2026 de 06 de julio de 2026, también con rúbrica del Titular de la Unidad de Transparencia, hizo del conocimiento del ahora recurrente, que la información solicitada ya se encuentra disponible</w:t>
            </w:r>
            <w:r>
              <w:rPr>
                <w:rFonts w:ascii="Arial" w:hAnsi="Arial" w:cs="Arial"/>
                <w:i/>
                <w:color w:val="4472C4" w:themeColor="accent5"/>
                <w:sz w:val="20"/>
                <w:szCs w:val="20"/>
                <w:lang w:val="es-MX"/>
              </w:rPr>
              <w:t xml:space="preserve"> de manera publica a través de la Plataforma Estatal de Transparencia y para tal efecto indicó el enlace elctrónico. </w:t>
            </w:r>
          </w:p>
        </w:tc>
      </w:tr>
    </w:tbl>
    <w:p w:rsidR="00AB1F29" w:rsidRDefault="00AB1F29">
      <w:pPr>
        <w:spacing w:after="0"/>
        <w:ind w:firstLine="708"/>
        <w:jc w:val="both"/>
        <w:rPr>
          <w:rFonts w:ascii="Arial" w:hAnsi="Arial" w:cs="Arial"/>
          <w:color w:val="4472C4" w:themeColor="accent5"/>
        </w:rPr>
      </w:pPr>
    </w:p>
    <w:p w:rsidR="00AB1F29" w:rsidRDefault="00C602F1">
      <w:pPr>
        <w:spacing w:after="0"/>
        <w:ind w:firstLine="708"/>
        <w:jc w:val="both"/>
        <w:rPr>
          <w:rFonts w:ascii="Arial" w:hAnsi="Arial" w:cs="Arial"/>
          <w:color w:val="4472C4" w:themeColor="accent5"/>
          <w:sz w:val="24"/>
          <w:szCs w:val="24"/>
        </w:rPr>
      </w:pPr>
      <w:r>
        <w:rPr>
          <w:rFonts w:ascii="Arial" w:hAnsi="Arial" w:cs="Arial"/>
          <w:color w:val="4472C4" w:themeColor="accent5"/>
          <w:sz w:val="24"/>
          <w:szCs w:val="24"/>
        </w:rPr>
        <w:t>Como se ve</w:t>
      </w:r>
      <w:r>
        <w:rPr>
          <w:rFonts w:ascii="Arial" w:hAnsi="Arial" w:cs="Arial"/>
          <w:color w:val="4472C4" w:themeColor="accent5"/>
          <w:sz w:val="24"/>
          <w:szCs w:val="24"/>
        </w:rPr>
        <w:t xml:space="preserve">, se aprecia que en atención al recurso de revisión el sujeto obligado notificó vía correo electrónico </w:t>
      </w:r>
      <w:r>
        <w:rPr>
          <w:rFonts w:ascii="Arial" w:hAnsi="Arial" w:cs="Arial"/>
          <w:color w:val="4472C4" w:themeColor="accent5"/>
          <w:sz w:val="24"/>
          <w:szCs w:val="24"/>
        </w:rPr>
        <w:t xml:space="preserve"> una nueva respuesta y/</w:t>
      </w:r>
      <w:r>
        <w:rPr>
          <w:rFonts w:ascii="Arial" w:hAnsi="Arial" w:cs="Arial"/>
          <w:color w:val="4472C4" w:themeColor="accent5"/>
          <w:sz w:val="24"/>
          <w:szCs w:val="24"/>
        </w:rPr>
        <w:t>o complemento a la solicitud de acceso a la información  que dio origen al presente expediente.</w:t>
      </w:r>
    </w:p>
    <w:p w:rsidR="00AB1F29" w:rsidRDefault="00C602F1">
      <w:pPr>
        <w:spacing w:after="0"/>
        <w:ind w:firstLine="708"/>
        <w:jc w:val="both"/>
        <w:rPr>
          <w:rFonts w:ascii="Arial" w:hAnsi="Arial" w:cs="Arial"/>
          <w:color w:val="4472C4" w:themeColor="accent5"/>
          <w:sz w:val="24"/>
          <w:szCs w:val="24"/>
        </w:rPr>
      </w:pPr>
      <w:r>
        <w:rPr>
          <w:rFonts w:ascii="Arial" w:hAnsi="Arial" w:cs="Arial"/>
          <w:color w:val="4472C4" w:themeColor="accent5"/>
          <w:sz w:val="24"/>
          <w:szCs w:val="24"/>
        </w:rPr>
        <w:t xml:space="preserve"> </w:t>
      </w:r>
    </w:p>
    <w:p w:rsidR="00AB1F29" w:rsidRDefault="00C602F1">
      <w:pPr>
        <w:spacing w:after="0"/>
        <w:ind w:firstLine="708"/>
        <w:jc w:val="both"/>
        <w:rPr>
          <w:rFonts w:ascii="Arial" w:eastAsia="Times New Roman" w:hAnsi="Arial" w:cs="Arial"/>
          <w:color w:val="4472C4" w:themeColor="accent5"/>
          <w:sz w:val="24"/>
          <w:szCs w:val="24"/>
          <w:lang w:eastAsia="es-MX"/>
        </w:rPr>
      </w:pPr>
      <w:r w:rsidRPr="00B161DD">
        <w:rPr>
          <w:rFonts w:ascii="Arial" w:eastAsia="Times New Roman" w:hAnsi="Arial" w:cs="Arial"/>
          <w:color w:val="4472C4"/>
          <w:sz w:val="24"/>
          <w:szCs w:val="24"/>
          <w:lang w:eastAsia="es-MX"/>
        </w:rPr>
        <w:t>Es importante mencionar que e</w:t>
      </w:r>
      <w:r>
        <w:rPr>
          <w:rFonts w:ascii="Arial" w:eastAsia="Times New Roman" w:hAnsi="Arial" w:cs="Arial"/>
          <w:color w:val="4472C4"/>
          <w:sz w:val="24"/>
          <w:szCs w:val="24"/>
          <w:lang w:eastAsia="es-MX"/>
        </w:rPr>
        <w:t xml:space="preserve">n vía de alegatos, </w:t>
      </w:r>
      <w:r w:rsidRPr="00B161DD">
        <w:rPr>
          <w:rFonts w:ascii="Arial" w:eastAsia="Times New Roman" w:hAnsi="Arial" w:cs="Arial"/>
          <w:color w:val="4472C4"/>
          <w:sz w:val="24"/>
          <w:szCs w:val="24"/>
          <w:lang w:eastAsia="es-MX"/>
        </w:rPr>
        <w:t xml:space="preserve">el Director de Administración </w:t>
      </w:r>
      <w:r>
        <w:rPr>
          <w:rFonts w:ascii="Arial" w:eastAsia="Times New Roman" w:hAnsi="Arial" w:cs="Arial"/>
          <w:color w:val="4472C4"/>
          <w:sz w:val="24"/>
          <w:szCs w:val="24"/>
          <w:lang w:eastAsia="es-MX"/>
        </w:rPr>
        <w:t>por conducto de la unidad de transparencia el sujeto obligado</w:t>
      </w:r>
      <w:r w:rsidRPr="00B161DD">
        <w:rPr>
          <w:rFonts w:ascii="Arial" w:eastAsia="Times New Roman" w:hAnsi="Arial" w:cs="Arial"/>
          <w:color w:val="4472C4"/>
          <w:sz w:val="24"/>
          <w:szCs w:val="24"/>
          <w:lang w:eastAsia="es-MX"/>
        </w:rPr>
        <w:t xml:space="preserve"> </w:t>
      </w:r>
      <w:r>
        <w:rPr>
          <w:rFonts w:ascii="Arial" w:eastAsia="Times New Roman" w:hAnsi="Arial" w:cs="Arial"/>
          <w:color w:val="4472C4" w:themeColor="accent5"/>
          <w:sz w:val="24"/>
          <w:szCs w:val="24"/>
          <w:lang w:eastAsia="es-MX"/>
        </w:rPr>
        <w:t xml:space="preserve">reiteró su </w:t>
      </w:r>
      <w:r>
        <w:rPr>
          <w:rFonts w:ascii="Arial" w:eastAsia="Times New Roman" w:hAnsi="Arial" w:cs="Arial"/>
          <w:color w:val="4472C4" w:themeColor="accent5"/>
          <w:sz w:val="24"/>
          <w:szCs w:val="24"/>
          <w:lang w:eastAsia="es-MX"/>
        </w:rPr>
        <w:t>respuesta inicial</w:t>
      </w:r>
      <w:r w:rsidRPr="00B161DD">
        <w:rPr>
          <w:rFonts w:ascii="Arial" w:eastAsia="Times New Roman" w:hAnsi="Arial" w:cs="Arial"/>
          <w:color w:val="4472C4" w:themeColor="accent5"/>
          <w:sz w:val="24"/>
          <w:szCs w:val="24"/>
          <w:lang w:eastAsia="es-MX"/>
        </w:rPr>
        <w:t xml:space="preserve">, mediante la cual informó lo siguiente </w:t>
      </w:r>
      <w:r w:rsidRPr="00B161DD">
        <w:rPr>
          <w:rFonts w:ascii="Arial" w:eastAsia="Times New Roman" w:hAnsi="Arial" w:cs="Arial"/>
          <w:i/>
          <w:iCs/>
          <w:color w:val="4472C4" w:themeColor="accent5"/>
          <w:sz w:val="20"/>
          <w:szCs w:val="20"/>
          <w:lang w:eastAsia="es-MX"/>
        </w:rPr>
        <w:t>“Referente a la informacion del personal adscrito a la Comision Local de Busqueda de Personas desaparecidas (sic), se hace de su conocimiento que conforme a lo establecido en el Decreto Administrativ</w:t>
      </w:r>
      <w:r w:rsidRPr="00B161DD">
        <w:rPr>
          <w:rFonts w:ascii="Arial" w:eastAsia="Times New Roman" w:hAnsi="Arial" w:cs="Arial"/>
          <w:i/>
          <w:iCs/>
          <w:color w:val="4472C4" w:themeColor="accent5"/>
          <w:sz w:val="20"/>
          <w:szCs w:val="20"/>
          <w:lang w:eastAsia="es-MX"/>
        </w:rPr>
        <w:t>o que se crea es la Comision Estatal de Busqueda de Personas, siendo esta la denominación correcta, dicho Decreto fue publicado con fecha 06 seis de julio de 2018 en el periodico oficial del Estado, y por ser informacion pública solicito que sea a su cargo</w:t>
      </w:r>
      <w:r w:rsidRPr="00B161DD">
        <w:rPr>
          <w:rFonts w:ascii="Arial" w:eastAsia="Times New Roman" w:hAnsi="Arial" w:cs="Arial"/>
          <w:i/>
          <w:iCs/>
          <w:color w:val="4472C4" w:themeColor="accent5"/>
          <w:sz w:val="20"/>
          <w:szCs w:val="20"/>
          <w:lang w:eastAsia="es-MX"/>
        </w:rPr>
        <w:t xml:space="preserve"> proporcione al peticionario la liga de ubicación donde se localiza lo solicitado, esto conforme a lo establecido en la normatividad aplicable”</w:t>
      </w:r>
      <w:r w:rsidRPr="00B161DD">
        <w:rPr>
          <w:rFonts w:ascii="Arial" w:eastAsia="Times New Roman" w:hAnsi="Arial" w:cs="Arial"/>
          <w:color w:val="4472C4" w:themeColor="accent5"/>
          <w:sz w:val="24"/>
          <w:szCs w:val="24"/>
          <w:lang w:eastAsia="es-MX"/>
        </w:rPr>
        <w:t xml:space="preserve">, es decir, </w:t>
      </w:r>
      <w:r>
        <w:rPr>
          <w:rFonts w:ascii="Arial" w:eastAsia="Times New Roman" w:hAnsi="Arial" w:cs="Arial"/>
          <w:color w:val="4472C4" w:themeColor="accent5"/>
          <w:sz w:val="24"/>
          <w:szCs w:val="24"/>
          <w:lang w:eastAsia="es-MX"/>
        </w:rPr>
        <w:t>defendió la legalidad de su actuar.</w:t>
      </w:r>
    </w:p>
    <w:p w:rsidR="00AB1F29" w:rsidRDefault="00AB1F29">
      <w:pPr>
        <w:spacing w:after="0"/>
        <w:ind w:firstLine="708"/>
        <w:jc w:val="both"/>
        <w:rPr>
          <w:rFonts w:ascii="Arial" w:hAnsi="Arial" w:cs="Arial"/>
          <w:color w:val="4472C4" w:themeColor="accent5"/>
          <w:sz w:val="24"/>
          <w:szCs w:val="24"/>
        </w:rPr>
      </w:pPr>
    </w:p>
    <w:p w:rsidR="00AB1F29" w:rsidRDefault="00C602F1">
      <w:pPr>
        <w:spacing w:after="0"/>
        <w:ind w:firstLine="708"/>
        <w:jc w:val="both"/>
        <w:rPr>
          <w:rFonts w:ascii="Arial" w:hAnsi="Arial" w:cs="Arial"/>
          <w:color w:val="4472C4" w:themeColor="accent5"/>
          <w:lang w:eastAsia="es-MX"/>
        </w:rPr>
      </w:pPr>
      <w:r>
        <w:rPr>
          <w:rFonts w:ascii="Arial" w:hAnsi="Arial" w:cs="Arial"/>
          <w:color w:val="4472C4" w:themeColor="accent5"/>
        </w:rPr>
        <w:t>Por lo anteriormente expuesto, es preciso indicar que, en relaci</w:t>
      </w:r>
      <w:r>
        <w:rPr>
          <w:rFonts w:ascii="Arial" w:hAnsi="Arial" w:cs="Arial"/>
          <w:color w:val="4472C4" w:themeColor="accent5"/>
        </w:rPr>
        <w:t>ón con el material documental que obra en el expediente y aquellas constancias obtenidas de la Plataforma Nacional de Transparencia, así como de los demás medios autorizados como correo electrónico</w:t>
      </w:r>
      <w:r>
        <w:rPr>
          <w:rFonts w:ascii="Arial" w:hAnsi="Arial" w:cs="Arial"/>
          <w:color w:val="4472C4" w:themeColor="accent5"/>
          <w:lang w:eastAsia="es-MX"/>
        </w:rPr>
        <w:t>, este Órgano Colegiado le otorga valor probatorio en virtu</w:t>
      </w:r>
      <w:r>
        <w:rPr>
          <w:rFonts w:ascii="Arial" w:hAnsi="Arial" w:cs="Arial"/>
          <w:color w:val="4472C4" w:themeColor="accent5"/>
          <w:lang w:eastAsia="es-MX"/>
        </w:rPr>
        <w:t>d de ser expedidas por el sujeto obligado en ejercicio de sus atribuciones, con fundamento en el artículo 74 del Código Procesal Administrativo para el Estado de San Luis Potosí, en aplicación supletoria a la Ley de Transparencia y Acceso a la Información,</w:t>
      </w:r>
      <w:r>
        <w:rPr>
          <w:rFonts w:ascii="Arial" w:hAnsi="Arial" w:cs="Arial"/>
          <w:color w:val="4472C4" w:themeColor="accent5"/>
          <w:lang w:eastAsia="es-MX"/>
        </w:rPr>
        <w:t xml:space="preserve"> de conformidad con lo establecido en el artículo 1° de la misma.</w:t>
      </w:r>
    </w:p>
    <w:p w:rsidR="00AB1F29" w:rsidRDefault="00AB1F29">
      <w:pPr>
        <w:spacing w:after="0"/>
        <w:ind w:firstLine="708"/>
        <w:jc w:val="both"/>
        <w:rPr>
          <w:rFonts w:ascii="Arial" w:hAnsi="Arial" w:cs="Arial"/>
          <w:color w:val="4472C4" w:themeColor="accent5"/>
          <w:lang w:eastAsia="es-MX"/>
        </w:rPr>
      </w:pPr>
    </w:p>
    <w:p w:rsidR="00AB1F29" w:rsidRDefault="00C602F1">
      <w:pPr>
        <w:spacing w:after="0"/>
        <w:ind w:firstLine="708"/>
        <w:jc w:val="both"/>
        <w:rPr>
          <w:rFonts w:ascii="Arial" w:hAnsi="Arial" w:cs="Arial"/>
          <w:color w:val="4472C4" w:themeColor="accent5"/>
          <w:lang w:eastAsia="es-MX"/>
        </w:rPr>
      </w:pPr>
      <w:r>
        <w:rPr>
          <w:rFonts w:ascii="Arial" w:hAnsi="Arial" w:cs="Arial"/>
          <w:color w:val="4472C4" w:themeColor="accent5"/>
          <w:lang w:eastAsia="es-MX"/>
        </w:rPr>
        <w:t>Sirve de criterio orientador la tesis aislada de la Segunda Sala de la Suprema Corte de justicia de la Nación, Registro digital: 268431, cuyo rubro es:</w:t>
      </w:r>
    </w:p>
    <w:p w:rsidR="00AB1F29" w:rsidRDefault="00AB1F29">
      <w:pPr>
        <w:spacing w:after="0"/>
        <w:ind w:firstLine="708"/>
        <w:jc w:val="both"/>
        <w:rPr>
          <w:rFonts w:ascii="Arial" w:hAnsi="Arial" w:cs="Arial"/>
          <w:i/>
          <w:color w:val="4472C4" w:themeColor="accent5"/>
          <w:lang w:eastAsia="es-MX"/>
        </w:rPr>
      </w:pPr>
    </w:p>
    <w:p w:rsidR="00AB1F29" w:rsidRDefault="00C602F1">
      <w:pPr>
        <w:spacing w:after="0"/>
        <w:ind w:firstLine="708"/>
        <w:jc w:val="both"/>
        <w:rPr>
          <w:rFonts w:ascii="Arial" w:hAnsi="Arial" w:cs="Arial"/>
          <w:i/>
          <w:color w:val="4472C4" w:themeColor="accent5"/>
          <w:lang w:eastAsia="es-MX"/>
        </w:rPr>
      </w:pPr>
      <w:r>
        <w:rPr>
          <w:rFonts w:ascii="Arial" w:hAnsi="Arial" w:cs="Arial"/>
          <w:i/>
          <w:color w:val="4472C4" w:themeColor="accent5"/>
          <w:lang w:eastAsia="es-MX"/>
        </w:rPr>
        <w:t>“[…] “</w:t>
      </w:r>
      <w:r>
        <w:rPr>
          <w:rFonts w:ascii="Arial" w:hAnsi="Arial" w:cs="Arial"/>
          <w:b/>
          <w:i/>
          <w:color w:val="4472C4" w:themeColor="accent5"/>
          <w:lang w:eastAsia="es-MX"/>
        </w:rPr>
        <w:t xml:space="preserve">DOCUMENTOS PUBLICOS, PRUEBA </w:t>
      </w:r>
      <w:r>
        <w:rPr>
          <w:rFonts w:ascii="Arial" w:hAnsi="Arial" w:cs="Arial"/>
          <w:b/>
          <w:i/>
          <w:color w:val="4472C4" w:themeColor="accent5"/>
          <w:lang w:eastAsia="es-MX"/>
        </w:rPr>
        <w:t>DE.”, DOCUMENTOS PUBLICOS, PRUEBA DE.</w:t>
      </w:r>
      <w:r>
        <w:rPr>
          <w:rFonts w:ascii="Arial" w:hAnsi="Arial" w:cs="Arial"/>
          <w:i/>
          <w:color w:val="4472C4" w:themeColor="accent5"/>
          <w:lang w:eastAsia="es-MX"/>
        </w:rPr>
        <w:t xml:space="preserve"> Si bien es cierto que los documentos públicos hacen prueba plena de los hechos legalmente afirmados por la autoridad de que aquellos proceden, también lo es que, en caso de estar contradicho su contenido por otras prue</w:t>
      </w:r>
      <w:r>
        <w:rPr>
          <w:rFonts w:ascii="Arial" w:hAnsi="Arial" w:cs="Arial"/>
          <w:i/>
          <w:color w:val="4472C4" w:themeColor="accent5"/>
          <w:lang w:eastAsia="es-MX"/>
        </w:rPr>
        <w:t>bas, su valor queda a la libre apreciación del tribunal, de tal manera que lo hecho constar en un documento público puede ser desvirtuado por otras pruebas que, en concepto, del juzgador, sean plenas para contradecir lo asentado en aquel documento. […]” (s</w:t>
      </w:r>
      <w:r>
        <w:rPr>
          <w:rFonts w:ascii="Arial" w:hAnsi="Arial" w:cs="Arial"/>
          <w:i/>
          <w:color w:val="4472C4" w:themeColor="accent5"/>
          <w:lang w:eastAsia="es-MX"/>
        </w:rPr>
        <w:t>ic)</w:t>
      </w:r>
    </w:p>
    <w:p w:rsidR="00AB1F29" w:rsidRDefault="00AB1F29">
      <w:pPr>
        <w:spacing w:after="0"/>
        <w:ind w:firstLine="708"/>
        <w:jc w:val="both"/>
        <w:rPr>
          <w:rFonts w:ascii="Arial" w:hAnsi="Arial" w:cs="Arial"/>
          <w:i/>
          <w:color w:val="4472C4" w:themeColor="accent5"/>
          <w:lang w:eastAsia="es-MX"/>
        </w:rPr>
      </w:pPr>
    </w:p>
    <w:p w:rsidR="00AB1F29" w:rsidRDefault="00C602F1">
      <w:pPr>
        <w:spacing w:after="0"/>
        <w:ind w:firstLine="708"/>
        <w:jc w:val="both"/>
        <w:rPr>
          <w:rFonts w:ascii="Arial" w:hAnsi="Arial" w:cs="Arial"/>
          <w:color w:val="4472C4" w:themeColor="accent5"/>
          <w:lang w:eastAsia="es-MX"/>
        </w:rPr>
      </w:pPr>
      <w:r>
        <w:rPr>
          <w:rFonts w:ascii="Arial" w:hAnsi="Arial" w:cs="Arial"/>
          <w:color w:val="4472C4" w:themeColor="accent5"/>
          <w:lang w:eastAsia="es-MX"/>
        </w:rPr>
        <w:t>De la anterior, se desprende que los documentos públicos hacen prueba plena de los hechos legalmente afirmados por la autoridad de que aquellos proceden, y su valor queda a la libre apreciación de esta Comisión.</w:t>
      </w:r>
    </w:p>
    <w:p w:rsidR="00AB1F29" w:rsidRDefault="00AB1F29">
      <w:pPr>
        <w:spacing w:after="0"/>
        <w:ind w:firstLine="708"/>
        <w:jc w:val="both"/>
        <w:rPr>
          <w:rFonts w:ascii="Arial" w:hAnsi="Arial" w:cs="Arial"/>
          <w:color w:val="4472C4" w:themeColor="accent5"/>
          <w:lang w:eastAsia="es-MX"/>
        </w:rPr>
      </w:pPr>
    </w:p>
    <w:p w:rsidR="00AB1F29" w:rsidRDefault="00C602F1">
      <w:pPr>
        <w:pStyle w:val="NormalWeb"/>
        <w:tabs>
          <w:tab w:val="left" w:pos="0"/>
        </w:tabs>
        <w:spacing w:before="0" w:beforeAutospacing="0" w:after="0" w:afterAutospacing="0" w:line="276" w:lineRule="auto"/>
        <w:jc w:val="both"/>
        <w:rPr>
          <w:rFonts w:ascii="Arial" w:eastAsia="Arial Unicode MS" w:hAnsi="Arial" w:cs="Arial"/>
          <w:b/>
          <w:color w:val="4472C4" w:themeColor="accent5"/>
        </w:rPr>
      </w:pPr>
      <w:r>
        <w:rPr>
          <w:rFonts w:ascii="Arial" w:eastAsia="Arial Unicode MS" w:hAnsi="Arial" w:cs="Arial"/>
          <w:color w:val="4472C4" w:themeColor="accent5"/>
        </w:rPr>
        <w:tab/>
      </w:r>
      <w:r>
        <w:rPr>
          <w:rFonts w:ascii="Arial" w:eastAsia="Arial Unicode MS" w:hAnsi="Arial" w:cs="Arial"/>
          <w:b/>
          <w:color w:val="4472C4" w:themeColor="accent5"/>
        </w:rPr>
        <w:t>6.1.2. Notificación de la respuesta a</w:t>
      </w:r>
      <w:r>
        <w:rPr>
          <w:rFonts w:ascii="Arial" w:eastAsia="Arial Unicode MS" w:hAnsi="Arial" w:cs="Arial"/>
          <w:b/>
          <w:color w:val="4472C4" w:themeColor="accent5"/>
        </w:rPr>
        <w:t xml:space="preserve"> la solicitud de acceso a la información pública.</w:t>
      </w:r>
    </w:p>
    <w:p w:rsidR="00AB1F29" w:rsidRDefault="00AB1F29">
      <w:pPr>
        <w:pStyle w:val="NormalWeb"/>
        <w:tabs>
          <w:tab w:val="left" w:pos="0"/>
        </w:tabs>
        <w:spacing w:before="0" w:beforeAutospacing="0" w:after="0" w:afterAutospacing="0" w:line="276" w:lineRule="auto"/>
        <w:jc w:val="both"/>
        <w:rPr>
          <w:rFonts w:ascii="Arial" w:eastAsia="Arial Unicode MS" w:hAnsi="Arial" w:cs="Arial"/>
          <w:b/>
          <w:color w:val="4472C4" w:themeColor="accent5"/>
        </w:rPr>
      </w:pPr>
    </w:p>
    <w:p w:rsidR="00AB1F29" w:rsidRDefault="00C602F1">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r>
        <w:rPr>
          <w:rFonts w:ascii="Arial" w:eastAsia="Arial Unicode MS" w:hAnsi="Arial" w:cs="Arial"/>
          <w:color w:val="4472C4" w:themeColor="accent5"/>
        </w:rPr>
        <w:tab/>
        <w:t>De ahí que para que el sobreseimiento se pueda actualizar, es necesario que se acredite que efectivamente el ahora recurrente ya se allegó de esa respuesta.</w:t>
      </w:r>
    </w:p>
    <w:p w:rsidR="00AB1F29" w:rsidRDefault="00AB1F29">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p>
    <w:p w:rsidR="00AB1F29" w:rsidRDefault="00C602F1">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r>
        <w:rPr>
          <w:rFonts w:ascii="Arial" w:eastAsia="Arial Unicode MS" w:hAnsi="Arial" w:cs="Arial"/>
          <w:color w:val="4472C4" w:themeColor="accent5"/>
        </w:rPr>
        <w:tab/>
        <w:t>Ahora, está Comisión al revisar la documentac</w:t>
      </w:r>
      <w:r>
        <w:rPr>
          <w:rFonts w:ascii="Arial" w:eastAsia="Arial Unicode MS" w:hAnsi="Arial" w:cs="Arial"/>
          <w:color w:val="4472C4" w:themeColor="accent5"/>
        </w:rPr>
        <w:t xml:space="preserve">ión que el sujeto obligado envío en su informe se </w:t>
      </w:r>
      <w:r>
        <w:rPr>
          <w:rFonts w:ascii="Arial" w:eastAsia="Arial Unicode MS" w:hAnsi="Arial" w:cs="Arial"/>
          <w:color w:val="4472C4" w:themeColor="accent5"/>
          <w:lang w:val="es-MX"/>
        </w:rPr>
        <w:t xml:space="preserve">advierte </w:t>
      </w:r>
      <w:r>
        <w:rPr>
          <w:rFonts w:ascii="Arial" w:eastAsia="Arial Unicode MS" w:hAnsi="Arial" w:cs="Arial"/>
          <w:color w:val="4472C4" w:themeColor="accent5"/>
        </w:rPr>
        <w:t>el envío del correo electrónico al ahora recurrente, mismo que señaló para oír y recibir notificaciones.</w:t>
      </w:r>
    </w:p>
    <w:p w:rsidR="00AB1F29" w:rsidRDefault="00C602F1">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r>
        <w:rPr>
          <w:rFonts w:ascii="Arial" w:eastAsia="Arial Unicode MS" w:hAnsi="Arial" w:cs="Arial"/>
          <w:color w:val="4472C4" w:themeColor="accent5"/>
        </w:rPr>
        <w:t xml:space="preserve">  </w:t>
      </w:r>
    </w:p>
    <w:p w:rsidR="00AB1F29" w:rsidRDefault="00C602F1">
      <w:pPr>
        <w:pStyle w:val="NormalWeb"/>
        <w:tabs>
          <w:tab w:val="left" w:pos="0"/>
        </w:tabs>
        <w:spacing w:before="0" w:beforeAutospacing="0" w:after="0" w:afterAutospacing="0" w:line="276" w:lineRule="auto"/>
        <w:jc w:val="both"/>
        <w:rPr>
          <w:rFonts w:ascii="Arial" w:eastAsia="Arial Unicode MS" w:hAnsi="Arial" w:cs="Arial"/>
          <w:bCs/>
          <w:color w:val="4472C4" w:themeColor="accent5"/>
        </w:rPr>
      </w:pPr>
      <w:r>
        <w:rPr>
          <w:rFonts w:ascii="Arial" w:eastAsia="Arial Unicode MS" w:hAnsi="Arial" w:cs="Arial"/>
          <w:color w:val="4472C4" w:themeColor="accent5"/>
        </w:rPr>
        <w:tab/>
      </w:r>
      <w:r>
        <w:rPr>
          <w:rFonts w:ascii="Arial" w:eastAsia="Arial Unicode MS" w:hAnsi="Arial" w:cs="Arial"/>
          <w:bCs/>
          <w:color w:val="4472C4" w:themeColor="accent5"/>
        </w:rPr>
        <w:t>En ese sentido, el Tribunal Colegiado en Materias de Trabajo y Administrativa del Décimo</w:t>
      </w:r>
      <w:r>
        <w:rPr>
          <w:rFonts w:ascii="Arial" w:eastAsia="Arial Unicode MS" w:hAnsi="Arial" w:cs="Arial"/>
          <w:bCs/>
          <w:color w:val="4472C4" w:themeColor="accent5"/>
        </w:rPr>
        <w:t xml:space="preserve"> Tercer Circuito, emitió un criterio relacionado con la cuestión que nos ocupa, misma que establece:</w:t>
      </w:r>
    </w:p>
    <w:p w:rsidR="00AB1F29" w:rsidRDefault="00AB1F29">
      <w:pPr>
        <w:spacing w:after="0"/>
        <w:ind w:firstLine="709"/>
        <w:jc w:val="both"/>
        <w:rPr>
          <w:rFonts w:ascii="Arial" w:eastAsia="Arial Unicode MS" w:hAnsi="Arial" w:cs="Arial"/>
          <w:b/>
          <w:bCs/>
          <w:color w:val="4472C4" w:themeColor="accent5"/>
          <w:sz w:val="24"/>
          <w:szCs w:val="24"/>
          <w:lang w:eastAsia="es-ES"/>
        </w:rPr>
      </w:pPr>
    </w:p>
    <w:p w:rsidR="00AB1F29" w:rsidRDefault="00C602F1">
      <w:pPr>
        <w:spacing w:after="0"/>
        <w:ind w:left="1134" w:right="1183"/>
        <w:jc w:val="both"/>
        <w:rPr>
          <w:rFonts w:ascii="Arial" w:eastAsia="Arial Unicode MS" w:hAnsi="Arial" w:cs="Arial"/>
          <w:bCs/>
          <w:i/>
          <w:color w:val="4472C4" w:themeColor="accent5"/>
          <w:sz w:val="20"/>
          <w:szCs w:val="20"/>
          <w:lang w:eastAsia="es-ES"/>
        </w:rPr>
      </w:pPr>
      <w:r>
        <w:rPr>
          <w:rFonts w:ascii="Arial" w:eastAsia="Arial Unicode MS" w:hAnsi="Arial" w:cs="Arial"/>
          <w:b/>
          <w:bCs/>
          <w:i/>
          <w:color w:val="4472C4" w:themeColor="accent5"/>
          <w:sz w:val="20"/>
          <w:szCs w:val="20"/>
          <w:lang w:eastAsia="es-ES"/>
        </w:rPr>
        <w:t xml:space="preserve">“NOTIFICACIÓN ELECTRÓNICA. AL PRACTICARLA, LA AUTORIDAD DEBE ANEXAR EN AUTOS DEL EXPEDIENTE ADMINISTRATIVO O JUDICIAL DEL QUE DERIVE, LA CONSTANCIA FEHACIENTE DE RECEPCIÓN POR SU DESTINATARIO. </w:t>
      </w:r>
      <w:r>
        <w:rPr>
          <w:rFonts w:ascii="Arial" w:eastAsia="Arial Unicode MS" w:hAnsi="Arial" w:cs="Arial"/>
          <w:bCs/>
          <w:i/>
          <w:color w:val="4472C4" w:themeColor="accent5"/>
          <w:sz w:val="20"/>
          <w:szCs w:val="20"/>
          <w:lang w:eastAsia="es-ES"/>
        </w:rPr>
        <w:t>La notificación electrónica es el acto mediante el cual, con la</w:t>
      </w:r>
      <w:r>
        <w:rPr>
          <w:rFonts w:ascii="Arial" w:eastAsia="Arial Unicode MS" w:hAnsi="Arial" w:cs="Arial"/>
          <w:bCs/>
          <w:i/>
          <w:color w:val="4472C4" w:themeColor="accent5"/>
          <w:sz w:val="20"/>
          <w:szCs w:val="20"/>
          <w:lang w:eastAsia="es-ES"/>
        </w:rPr>
        <w:t>s formalidades legales preestablecidas, se da a conocer a los interesados a través de medios electrónicos y telemáticos, tales como una página web o correo electrónico, un acuerdo administrativo o resolución judicial, por lo que, al practicarla, la autorid</w:t>
      </w:r>
      <w:r>
        <w:rPr>
          <w:rFonts w:ascii="Arial" w:eastAsia="Arial Unicode MS" w:hAnsi="Arial" w:cs="Arial"/>
          <w:bCs/>
          <w:i/>
          <w:color w:val="4472C4" w:themeColor="accent5"/>
          <w:sz w:val="20"/>
          <w:szCs w:val="20"/>
          <w:lang w:eastAsia="es-ES"/>
        </w:rPr>
        <w:t>ad debe anexar en autos del expediente administrativo o judicial del que derive, la constancia fehaciente de recepción por su destinatario, sin que baste la razón actuarial de que se realizó de esa manera, pues la omisión de esa constancia constituye una v</w:t>
      </w:r>
      <w:r>
        <w:rPr>
          <w:rFonts w:ascii="Arial" w:eastAsia="Arial Unicode MS" w:hAnsi="Arial" w:cs="Arial"/>
          <w:bCs/>
          <w:i/>
          <w:color w:val="4472C4" w:themeColor="accent5"/>
          <w:sz w:val="20"/>
          <w:szCs w:val="20"/>
          <w:lang w:eastAsia="es-ES"/>
        </w:rPr>
        <w:t>iolación que transgrede las leyes del procedimiento y afecta las defensas del quejoso, la cual actualiza el supuesto previsto en la </w:t>
      </w:r>
      <w:hyperlink r:id="rId12" w:history="1">
        <w:r>
          <w:rPr>
            <w:rStyle w:val="Hipervnculo"/>
            <w:rFonts w:ascii="Arial" w:eastAsia="Arial Unicode MS" w:hAnsi="Arial" w:cs="Arial"/>
            <w:bCs/>
            <w:i/>
            <w:color w:val="4472C4" w:themeColor="accent5"/>
            <w:sz w:val="20"/>
            <w:szCs w:val="20"/>
            <w:lang w:eastAsia="es-ES"/>
          </w:rPr>
          <w:t>fracción I del artículo 172 de la Ley de Amparo</w:t>
        </w:r>
      </w:hyperlink>
      <w:r>
        <w:rPr>
          <w:rFonts w:ascii="Arial" w:eastAsia="Arial Unicode MS" w:hAnsi="Arial" w:cs="Arial"/>
          <w:bCs/>
          <w:i/>
          <w:color w:val="4472C4" w:themeColor="accent5"/>
          <w:sz w:val="20"/>
          <w:szCs w:val="20"/>
          <w:lang w:eastAsia="es-ES"/>
        </w:rPr>
        <w:t>, vigente a partir del 3 de abril de</w:t>
      </w:r>
      <w:r>
        <w:rPr>
          <w:rFonts w:ascii="Arial" w:eastAsia="Arial Unicode MS" w:hAnsi="Arial" w:cs="Arial"/>
          <w:bCs/>
          <w:i/>
          <w:color w:val="4472C4" w:themeColor="accent5"/>
          <w:sz w:val="20"/>
          <w:szCs w:val="20"/>
          <w:lang w:eastAsia="es-ES"/>
        </w:rPr>
        <w:t xml:space="preserve"> 2013”.</w:t>
      </w:r>
      <w:r>
        <w:rPr>
          <w:rFonts w:ascii="Arial" w:eastAsia="Arial Unicode MS" w:hAnsi="Arial" w:cs="Arial"/>
          <w:bCs/>
          <w:i/>
          <w:color w:val="4472C4" w:themeColor="accent5"/>
          <w:sz w:val="20"/>
          <w:szCs w:val="20"/>
          <w:vertAlign w:val="superscript"/>
          <w:lang w:eastAsia="es-ES"/>
        </w:rPr>
        <w:footnoteReference w:id="8"/>
      </w:r>
    </w:p>
    <w:p w:rsidR="00AB1F29" w:rsidRDefault="00AB1F29">
      <w:pPr>
        <w:pStyle w:val="corte4fondo"/>
        <w:spacing w:line="276" w:lineRule="auto"/>
        <w:ind w:firstLine="708"/>
        <w:rPr>
          <w:rFonts w:cs="Arial"/>
          <w:color w:val="4472C4" w:themeColor="accent5"/>
          <w:sz w:val="24"/>
          <w:szCs w:val="24"/>
          <w:highlight w:val="yellow"/>
          <w:lang w:val="es-MX"/>
        </w:rPr>
      </w:pPr>
    </w:p>
    <w:p w:rsidR="00AB1F29" w:rsidRDefault="00C602F1">
      <w:pPr>
        <w:pStyle w:val="corte4fondo"/>
        <w:spacing w:line="276" w:lineRule="auto"/>
        <w:ind w:firstLine="708"/>
        <w:rPr>
          <w:rFonts w:eastAsia="Arial Unicode MS" w:cs="Arial"/>
          <w:bCs/>
          <w:color w:val="4472C4" w:themeColor="accent5"/>
          <w:sz w:val="24"/>
          <w:szCs w:val="24"/>
          <w:lang w:eastAsia="es-ES"/>
        </w:rPr>
      </w:pPr>
      <w:r>
        <w:rPr>
          <w:rFonts w:cs="Arial"/>
          <w:bCs/>
          <w:color w:val="4472C4" w:themeColor="accent5"/>
          <w:sz w:val="24"/>
          <w:szCs w:val="24"/>
        </w:rPr>
        <w:t xml:space="preserve">Ahora, </w:t>
      </w:r>
      <w:r>
        <w:rPr>
          <w:rFonts w:eastAsia="Arial Unicode MS" w:cs="Arial"/>
          <w:color w:val="4472C4" w:themeColor="accent5"/>
          <w:sz w:val="24"/>
          <w:szCs w:val="24"/>
        </w:rPr>
        <w:t xml:space="preserve">para que el sobreseimiento se pueda actualizar, es necesario que se documente que efectivamente el recurrente ya se allegó de esa respuesta, es decir, </w:t>
      </w:r>
      <w:r>
        <w:rPr>
          <w:rFonts w:cs="Arial"/>
          <w:bCs/>
          <w:color w:val="4472C4" w:themeColor="accent5"/>
          <w:sz w:val="24"/>
          <w:szCs w:val="24"/>
        </w:rPr>
        <w:t xml:space="preserve">que </w:t>
      </w:r>
      <w:r>
        <w:rPr>
          <w:rFonts w:eastAsia="Arial Unicode MS" w:cs="Arial"/>
          <w:bCs/>
          <w:color w:val="4472C4" w:themeColor="accent5"/>
          <w:sz w:val="24"/>
          <w:szCs w:val="24"/>
          <w:lang w:eastAsia="es-ES"/>
        </w:rPr>
        <w:t xml:space="preserve">se notificó el contenido generado durante la sustanciación del presente </w:t>
      </w:r>
      <w:r>
        <w:rPr>
          <w:rFonts w:eastAsia="Arial Unicode MS" w:cs="Arial"/>
          <w:bCs/>
          <w:color w:val="4472C4" w:themeColor="accent5"/>
          <w:sz w:val="24"/>
          <w:szCs w:val="24"/>
          <w:lang w:val="es-MX" w:eastAsia="es-ES"/>
        </w:rPr>
        <w:t>r</w:t>
      </w:r>
      <w:r>
        <w:rPr>
          <w:rFonts w:eastAsia="Arial Unicode MS" w:cs="Arial"/>
          <w:bCs/>
          <w:color w:val="4472C4" w:themeColor="accent5"/>
          <w:sz w:val="24"/>
          <w:szCs w:val="24"/>
          <w:lang w:eastAsia="es-ES"/>
        </w:rPr>
        <w:t xml:space="preserve">ecurso, </w:t>
      </w:r>
      <w:r>
        <w:rPr>
          <w:rFonts w:eastAsia="Arial Unicode MS" w:cs="Arial"/>
          <w:bCs/>
          <w:color w:val="4472C4" w:themeColor="accent5"/>
          <w:sz w:val="24"/>
          <w:szCs w:val="24"/>
          <w:lang w:eastAsia="es-ES"/>
        </w:rPr>
        <w:t>relativo a la información solicitada, lo que implica que existe convicción con respecto a la notificación de la respuesta.</w:t>
      </w:r>
    </w:p>
    <w:p w:rsidR="00AB1F29" w:rsidRDefault="00AB1F29">
      <w:pPr>
        <w:pStyle w:val="NormalWeb"/>
        <w:tabs>
          <w:tab w:val="left" w:pos="0"/>
        </w:tabs>
        <w:spacing w:before="0" w:beforeAutospacing="0" w:after="0" w:afterAutospacing="0" w:line="276" w:lineRule="auto"/>
        <w:jc w:val="both"/>
        <w:rPr>
          <w:rFonts w:ascii="Arial" w:hAnsi="Arial" w:cs="Arial"/>
          <w:bCs/>
          <w:color w:val="4472C4" w:themeColor="accent5"/>
        </w:rPr>
      </w:pPr>
    </w:p>
    <w:p w:rsidR="00AB1F29" w:rsidRDefault="00C602F1">
      <w:pPr>
        <w:pStyle w:val="NormalWeb"/>
        <w:tabs>
          <w:tab w:val="left" w:pos="0"/>
        </w:tabs>
        <w:spacing w:before="0" w:beforeAutospacing="0" w:after="0" w:afterAutospacing="0" w:line="276" w:lineRule="auto"/>
        <w:ind w:left="708"/>
        <w:jc w:val="both"/>
        <w:rPr>
          <w:rFonts w:ascii="Arial" w:eastAsia="Arial Unicode MS" w:hAnsi="Arial" w:cs="Arial"/>
          <w:b/>
          <w:color w:val="4472C4" w:themeColor="accent5"/>
        </w:rPr>
      </w:pPr>
      <w:r>
        <w:rPr>
          <w:rFonts w:ascii="Arial" w:eastAsia="Arial Unicode MS" w:hAnsi="Arial" w:cs="Arial"/>
          <w:b/>
          <w:color w:val="4472C4" w:themeColor="accent5"/>
        </w:rPr>
        <w:t>6.1.3. Modificación del acto reclamado para que el recurso quede sin materia.</w:t>
      </w:r>
    </w:p>
    <w:p w:rsidR="00AB1F29" w:rsidRDefault="00AB1F29">
      <w:pPr>
        <w:pStyle w:val="NormalWeb"/>
        <w:tabs>
          <w:tab w:val="left" w:pos="0"/>
        </w:tabs>
        <w:spacing w:before="0" w:beforeAutospacing="0" w:after="0" w:afterAutospacing="0" w:line="276" w:lineRule="auto"/>
        <w:ind w:left="708"/>
        <w:jc w:val="both"/>
        <w:rPr>
          <w:rFonts w:ascii="Arial" w:eastAsia="Arial Unicode MS" w:hAnsi="Arial" w:cs="Arial"/>
          <w:b/>
          <w:color w:val="4472C4" w:themeColor="accent5"/>
        </w:rPr>
      </w:pPr>
    </w:p>
    <w:p w:rsidR="00AB1F29" w:rsidRDefault="00C602F1">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r>
        <w:rPr>
          <w:rFonts w:ascii="Arial" w:eastAsia="Arial Unicode MS" w:hAnsi="Arial" w:cs="Arial"/>
          <w:color w:val="4472C4" w:themeColor="accent5"/>
        </w:rPr>
        <w:tab/>
        <w:t>Como se ha dicho, para que proceda el sobreseimiento</w:t>
      </w:r>
      <w:r>
        <w:rPr>
          <w:rFonts w:ascii="Arial" w:eastAsia="Arial Unicode MS" w:hAnsi="Arial" w:cs="Arial"/>
          <w:color w:val="4472C4" w:themeColor="accent5"/>
        </w:rPr>
        <w:t xml:space="preserve"> es necesario que el sujeto obligado modifique el acto que se le reclama para el efecto de que el recurso quede sin materia.</w:t>
      </w:r>
    </w:p>
    <w:p w:rsidR="00AB1F29" w:rsidRDefault="00AB1F29">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p>
    <w:p w:rsidR="00AB1F29" w:rsidRDefault="00C602F1">
      <w:pPr>
        <w:pStyle w:val="NormalWeb"/>
        <w:tabs>
          <w:tab w:val="left" w:pos="0"/>
        </w:tabs>
        <w:spacing w:before="0" w:beforeAutospacing="0" w:after="0" w:afterAutospacing="0" w:line="276" w:lineRule="auto"/>
        <w:jc w:val="both"/>
        <w:rPr>
          <w:rFonts w:ascii="Arial" w:eastAsia="Arial Unicode MS" w:hAnsi="Arial" w:cs="Arial"/>
          <w:color w:val="4472C4" w:themeColor="accent5"/>
          <w:lang w:val="es-MX"/>
        </w:rPr>
      </w:pPr>
      <w:r>
        <w:rPr>
          <w:rFonts w:ascii="Arial" w:eastAsia="Arial Unicode MS" w:hAnsi="Arial" w:cs="Arial"/>
          <w:color w:val="4472C4" w:themeColor="accent5"/>
        </w:rPr>
        <w:tab/>
      </w:r>
      <w:r>
        <w:rPr>
          <w:rFonts w:ascii="Arial" w:eastAsia="Arial Unicode MS" w:hAnsi="Arial" w:cs="Arial"/>
          <w:color w:val="4472C4" w:themeColor="accent5"/>
        </w:rPr>
        <w:t xml:space="preserve">En el caso, si la materia del presente recurso es porque </w:t>
      </w:r>
      <w:r>
        <w:rPr>
          <w:rFonts w:ascii="Arial" w:eastAsia="Arial Unicode MS" w:hAnsi="Arial" w:cs="Arial"/>
          <w:color w:val="4472C4" w:themeColor="accent5"/>
          <w:lang w:val="es-MX"/>
        </w:rPr>
        <w:t xml:space="preserve"> el sujeto obligado no atendió de manera directa la información solicita</w:t>
      </w:r>
      <w:r>
        <w:rPr>
          <w:rFonts w:ascii="Arial" w:eastAsia="Arial Unicode MS" w:hAnsi="Arial" w:cs="Arial"/>
          <w:color w:val="4472C4" w:themeColor="accent5"/>
          <w:lang w:val="es-MX"/>
        </w:rPr>
        <w:t>da</w:t>
      </w:r>
      <w:r>
        <w:rPr>
          <w:rFonts w:ascii="Arial" w:eastAsia="Arial Unicode MS" w:hAnsi="Arial" w:cs="Arial"/>
          <w:color w:val="4472C4" w:themeColor="accent5"/>
        </w:rPr>
        <w:t xml:space="preserve">, </w:t>
      </w:r>
      <w:r>
        <w:rPr>
          <w:rFonts w:ascii="Arial" w:eastAsia="Arial Unicode MS" w:hAnsi="Arial" w:cs="Arial"/>
          <w:color w:val="4472C4" w:themeColor="accent5"/>
          <w:lang w:val="es-MX"/>
        </w:rPr>
        <w:t>sin embargo,</w:t>
      </w:r>
      <w:r>
        <w:rPr>
          <w:rFonts w:ascii="Arial" w:eastAsia="Arial Unicode MS" w:hAnsi="Arial" w:cs="Arial"/>
          <w:color w:val="4472C4" w:themeColor="accent5"/>
        </w:rPr>
        <w:t xml:space="preserve"> </w:t>
      </w:r>
      <w:r>
        <w:rPr>
          <w:rFonts w:ascii="Arial" w:eastAsia="Arial Unicode MS" w:hAnsi="Arial" w:cs="Arial"/>
          <w:b/>
          <w:color w:val="4472C4" w:themeColor="accent5"/>
        </w:rPr>
        <w:t>dicha omisión ha sido subsanada por la autoridad</w:t>
      </w:r>
      <w:r>
        <w:rPr>
          <w:rFonts w:ascii="Arial" w:eastAsia="Arial Unicode MS" w:hAnsi="Arial" w:cs="Arial"/>
          <w:color w:val="4472C4" w:themeColor="accent5"/>
        </w:rPr>
        <w:t xml:space="preserve">, ya que, ésta ha dado </w:t>
      </w:r>
      <w:r>
        <w:rPr>
          <w:rFonts w:ascii="Arial" w:eastAsia="Arial Unicode MS" w:hAnsi="Arial" w:cs="Arial"/>
          <w:color w:val="4472C4" w:themeColor="accent5"/>
          <w:lang w:val="es-MX"/>
        </w:rPr>
        <w:t xml:space="preserve">una nueva </w:t>
      </w:r>
      <w:r>
        <w:rPr>
          <w:rFonts w:ascii="Arial" w:eastAsia="Arial Unicode MS" w:hAnsi="Arial" w:cs="Arial"/>
          <w:color w:val="4472C4" w:themeColor="accent5"/>
        </w:rPr>
        <w:t>respuesta a la solicitud de acceso a la información pública</w:t>
      </w:r>
      <w:r>
        <w:rPr>
          <w:rFonts w:ascii="Arial" w:eastAsia="Arial Unicode MS" w:hAnsi="Arial" w:cs="Arial"/>
          <w:color w:val="4472C4" w:themeColor="accent5"/>
          <w:lang w:val="es-MX"/>
        </w:rPr>
        <w:t xml:space="preserve"> en la que proporcionó el enlace electrónico</w:t>
      </w:r>
      <w:r>
        <w:rPr>
          <w:rFonts w:ascii="Arial" w:eastAsia="Arial Unicode MS" w:hAnsi="Arial" w:cs="Arial"/>
          <w:color w:val="4472C4" w:themeColor="accent5"/>
        </w:rPr>
        <w:t>.</w:t>
      </w:r>
      <w:r>
        <w:rPr>
          <w:rFonts w:ascii="Arial" w:eastAsia="Arial Unicode MS" w:hAnsi="Arial" w:cs="Arial"/>
          <w:color w:val="4472C4" w:themeColor="accent5"/>
          <w:lang w:val="es-MX"/>
        </w:rPr>
        <w:t xml:space="preserve"> </w:t>
      </w:r>
    </w:p>
    <w:p w:rsidR="00AB1F29" w:rsidRDefault="00AB1F29">
      <w:pPr>
        <w:pStyle w:val="NormalWeb"/>
        <w:tabs>
          <w:tab w:val="left" w:pos="0"/>
        </w:tabs>
        <w:spacing w:before="0" w:beforeAutospacing="0" w:after="0" w:afterAutospacing="0" w:line="276" w:lineRule="auto"/>
        <w:jc w:val="both"/>
        <w:rPr>
          <w:rFonts w:ascii="Arial" w:eastAsia="Arial Unicode MS" w:hAnsi="Arial" w:cs="Arial"/>
          <w:color w:val="4472C4" w:themeColor="accent5"/>
          <w:lang w:val="es-MX"/>
        </w:rPr>
      </w:pPr>
    </w:p>
    <w:p w:rsidR="00AB1F29" w:rsidRDefault="00C602F1">
      <w:pPr>
        <w:pStyle w:val="NormalWeb"/>
        <w:tabs>
          <w:tab w:val="left" w:pos="0"/>
        </w:tabs>
        <w:spacing w:before="0" w:beforeAutospacing="0" w:after="0" w:afterAutospacing="0" w:line="276" w:lineRule="auto"/>
        <w:jc w:val="both"/>
        <w:rPr>
          <w:rFonts w:ascii="Arial" w:eastAsia="Arial Unicode MS" w:hAnsi="Arial" w:cs="Arial"/>
          <w:color w:val="4472C4" w:themeColor="accent5"/>
          <w:lang w:val="es-MX"/>
        </w:rPr>
      </w:pPr>
      <w:r>
        <w:rPr>
          <w:rFonts w:ascii="Arial" w:eastAsia="Arial Unicode MS" w:hAnsi="Arial" w:cs="Arial"/>
          <w:color w:val="4472C4" w:themeColor="accent5"/>
        </w:rPr>
        <w:tab/>
      </w:r>
      <w:r>
        <w:rPr>
          <w:rFonts w:ascii="Arial" w:eastAsia="Arial Unicode MS" w:hAnsi="Arial" w:cs="Arial"/>
          <w:color w:val="4472C4" w:themeColor="accent5"/>
          <w:lang w:val="es-MX"/>
        </w:rPr>
        <w:t>De ahi que</w:t>
      </w:r>
      <w:r>
        <w:rPr>
          <w:rFonts w:ascii="Arial" w:eastAsia="Arial Unicode MS" w:hAnsi="Arial" w:cs="Arial"/>
          <w:color w:val="4472C4" w:themeColor="accent5"/>
          <w:lang w:val="es-MX"/>
        </w:rPr>
        <w:t>,</w:t>
      </w:r>
      <w:r>
        <w:rPr>
          <w:rFonts w:ascii="Arial" w:hAnsi="Arial" w:cs="Arial"/>
          <w:color w:val="4472C4" w:themeColor="accent5"/>
          <w:lang w:val="es-MX"/>
        </w:rPr>
        <w:t xml:space="preserve"> esta Comisión de Transparencia al ingresar a los datos proporcionados </w:t>
      </w:r>
      <w:r>
        <w:rPr>
          <w:rFonts w:ascii="Arial" w:hAnsi="Arial" w:cs="Arial"/>
          <w:i/>
          <w:iCs/>
          <w:color w:val="4472C4" w:themeColor="accent5"/>
          <w:sz w:val="20"/>
          <w:szCs w:val="20"/>
          <w:lang w:val="es-MX"/>
        </w:rPr>
        <w:t>(</w:t>
      </w:r>
      <w:r>
        <w:rPr>
          <w:rStyle w:val="Hipervnculo"/>
          <w:rFonts w:ascii="Arial" w:eastAsia="MS Sans Serif" w:hAnsi="Arial" w:cs="Arial"/>
          <w:i/>
          <w:iCs/>
          <w:color w:val="4472C4" w:themeColor="accent5"/>
          <w:sz w:val="20"/>
          <w:szCs w:val="20"/>
        </w:rPr>
        <w:t>http://www.cegaipslp.org.mx/webcegaip2026.nsf/xBuscadorGeneralGobierno?OpenForm</w:t>
      </w:r>
      <w:r>
        <w:rPr>
          <w:rFonts w:ascii="Arial" w:hAnsi="Arial" w:cs="Arial"/>
          <w:i/>
          <w:iCs/>
          <w:color w:val="4472C4" w:themeColor="accent5"/>
          <w:sz w:val="20"/>
          <w:szCs w:val="20"/>
          <w:lang w:val="es-MX"/>
        </w:rPr>
        <w:t xml:space="preserve">) </w:t>
      </w:r>
      <w:r>
        <w:rPr>
          <w:rFonts w:ascii="Arial" w:hAnsi="Arial" w:cs="Arial"/>
          <w:color w:val="4472C4" w:themeColor="accent5"/>
          <w:lang w:val="es-MX"/>
        </w:rPr>
        <w:t>por el sujeto obligado obtenemos que:</w:t>
      </w:r>
    </w:p>
    <w:p w:rsidR="00AB1F29" w:rsidRDefault="00AB1F29">
      <w:pPr>
        <w:pStyle w:val="NormalWeb"/>
        <w:tabs>
          <w:tab w:val="left" w:pos="0"/>
        </w:tabs>
        <w:spacing w:before="0" w:beforeAutospacing="0" w:after="0" w:afterAutospacing="0" w:line="276" w:lineRule="auto"/>
        <w:jc w:val="both"/>
        <w:rPr>
          <w:rFonts w:ascii="Arial" w:eastAsia="Arial Unicode MS" w:hAnsi="Arial" w:cs="Arial"/>
          <w:color w:val="4472C4" w:themeColor="accent5"/>
          <w:lang w:val="es-MX"/>
        </w:rPr>
      </w:pPr>
    </w:p>
    <w:p w:rsidR="00AB1F29" w:rsidRDefault="00AB1F29">
      <w:pPr>
        <w:pStyle w:val="NormalWeb"/>
        <w:tabs>
          <w:tab w:val="left" w:pos="0"/>
        </w:tabs>
        <w:spacing w:before="0" w:beforeAutospacing="0" w:after="0" w:afterAutospacing="0" w:line="276" w:lineRule="auto"/>
        <w:jc w:val="both"/>
        <w:rPr>
          <w:rFonts w:ascii="Arial" w:eastAsia="Arial Unicode MS" w:hAnsi="Arial" w:cs="Arial"/>
          <w:color w:val="4472C4" w:themeColor="accent5"/>
          <w:lang w:val="es-MX"/>
        </w:rPr>
      </w:pPr>
    </w:p>
    <w:p w:rsidR="00AB1F29" w:rsidRDefault="00C602F1">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r>
        <w:rPr>
          <w:rFonts w:ascii="Arial" w:eastAsia="Arial Unicode MS" w:hAnsi="Arial" w:cs="Arial"/>
          <w:color w:val="4472C4" w:themeColor="accent5"/>
        </w:rPr>
        <w:tab/>
      </w:r>
      <w:r>
        <w:rPr>
          <w:noProof/>
          <w:lang w:val="es-MX" w:eastAsia="es-MX"/>
        </w:rPr>
        <w:drawing>
          <wp:inline distT="0" distB="0" distL="114300" distR="114300">
            <wp:extent cx="6145530" cy="4265930"/>
            <wp:effectExtent l="0" t="0" r="762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3" cstate="print"/>
                    <a:stretch>
                      <a:fillRect/>
                    </a:stretch>
                  </pic:blipFill>
                  <pic:spPr>
                    <a:xfrm>
                      <a:off x="0" y="0"/>
                      <a:ext cx="6145530" cy="4265930"/>
                    </a:xfrm>
                    <a:prstGeom prst="rect">
                      <a:avLst/>
                    </a:prstGeom>
                    <a:noFill/>
                    <a:ln>
                      <a:noFill/>
                    </a:ln>
                  </pic:spPr>
                </pic:pic>
              </a:graphicData>
            </a:graphic>
          </wp:inline>
        </w:drawing>
      </w:r>
    </w:p>
    <w:p w:rsidR="00AB1F29" w:rsidRDefault="00C602F1">
      <w:pPr>
        <w:pStyle w:val="NormalWeb"/>
        <w:tabs>
          <w:tab w:val="left" w:pos="0"/>
        </w:tabs>
        <w:spacing w:before="0" w:beforeAutospacing="0" w:after="0" w:afterAutospacing="0" w:line="276" w:lineRule="auto"/>
        <w:jc w:val="both"/>
        <w:rPr>
          <w:rFonts w:ascii="Arial" w:eastAsia="Arial Unicode MS" w:hAnsi="Arial" w:cs="Arial"/>
          <w:color w:val="4472C4" w:themeColor="accent5"/>
          <w:lang w:val="es-MX"/>
        </w:rPr>
      </w:pPr>
      <w:r>
        <w:rPr>
          <w:rFonts w:ascii="Arial" w:eastAsia="Arial Unicode MS" w:hAnsi="Arial" w:cs="Arial"/>
          <w:color w:val="4472C4" w:themeColor="accent5"/>
          <w:lang w:val="es-MX"/>
        </w:rPr>
        <w:tab/>
      </w:r>
    </w:p>
    <w:p w:rsidR="00AB1F29" w:rsidRDefault="00C602F1">
      <w:pPr>
        <w:pStyle w:val="NormalWeb"/>
        <w:tabs>
          <w:tab w:val="left" w:pos="0"/>
        </w:tabs>
        <w:spacing w:before="0" w:beforeAutospacing="0" w:after="0" w:afterAutospacing="0" w:line="276" w:lineRule="auto"/>
        <w:jc w:val="both"/>
        <w:rPr>
          <w:rFonts w:ascii="Arial" w:eastAsia="Arial Unicode MS" w:hAnsi="Arial" w:cs="Arial"/>
          <w:color w:val="4472C4" w:themeColor="accent5"/>
          <w:lang w:val="es-MX"/>
        </w:rPr>
      </w:pPr>
      <w:r>
        <w:rPr>
          <w:rFonts w:ascii="Arial" w:eastAsia="Arial Unicode MS" w:hAnsi="Arial" w:cs="Arial"/>
          <w:color w:val="4472C4" w:themeColor="accent5"/>
          <w:lang w:val="es-MX"/>
        </w:rPr>
        <w:tab/>
      </w:r>
      <w:r>
        <w:rPr>
          <w:rFonts w:ascii="Arial" w:eastAsia="Arial Unicode MS" w:hAnsi="Arial" w:cs="Arial"/>
          <w:color w:val="4472C4" w:themeColor="accent5"/>
        </w:rPr>
        <w:t>Como se ve, hay una respuesta entendida desde el punto de</w:t>
      </w:r>
      <w:r>
        <w:rPr>
          <w:rFonts w:ascii="Arial" w:eastAsia="Arial Unicode MS" w:hAnsi="Arial" w:cs="Arial"/>
          <w:color w:val="4472C4" w:themeColor="accent5"/>
        </w:rPr>
        <w:t xml:space="preserve"> vista congruente con lo que le fue solicitado</w:t>
      </w:r>
      <w:r>
        <w:rPr>
          <w:rFonts w:ascii="Arial" w:eastAsia="Arial Unicode MS" w:hAnsi="Arial" w:cs="Arial"/>
          <w:color w:val="4472C4" w:themeColor="accent5"/>
          <w:lang w:val="es-MX"/>
        </w:rPr>
        <w:t xml:space="preserve">, ello de conformidad con el artículo 41, fracción II y IV de la Ley Orgánica de la Administración Pública del Estado de San Luis Potosí, que a la letra rezan: </w:t>
      </w:r>
    </w:p>
    <w:p w:rsidR="00AB1F29" w:rsidRDefault="00AB1F29">
      <w:pPr>
        <w:pStyle w:val="NormalWeb"/>
        <w:tabs>
          <w:tab w:val="left" w:pos="0"/>
        </w:tabs>
        <w:spacing w:before="0" w:beforeAutospacing="0" w:after="0" w:afterAutospacing="0" w:line="276" w:lineRule="auto"/>
        <w:jc w:val="both"/>
        <w:rPr>
          <w:rFonts w:ascii="Arial" w:eastAsia="SimSun" w:hAnsi="Arial" w:cs="Arial"/>
          <w:color w:val="4472C4" w:themeColor="accent5"/>
          <w:sz w:val="20"/>
          <w:szCs w:val="20"/>
        </w:rPr>
      </w:pPr>
    </w:p>
    <w:p w:rsidR="00AB1F29" w:rsidRDefault="00C602F1">
      <w:pPr>
        <w:pStyle w:val="NormalWeb"/>
        <w:tabs>
          <w:tab w:val="left" w:pos="0"/>
        </w:tabs>
        <w:spacing w:before="0" w:beforeAutospacing="0" w:after="0" w:afterAutospacing="0" w:line="276" w:lineRule="auto"/>
        <w:jc w:val="both"/>
        <w:rPr>
          <w:rFonts w:ascii="Arial" w:eastAsia="SimSun" w:hAnsi="Arial" w:cs="Arial"/>
          <w:b/>
          <w:bCs/>
          <w:i/>
          <w:iCs/>
          <w:color w:val="4472C4" w:themeColor="accent5"/>
          <w:sz w:val="20"/>
          <w:szCs w:val="20"/>
        </w:rPr>
      </w:pPr>
      <w:r>
        <w:rPr>
          <w:rFonts w:ascii="Arial" w:eastAsia="SimSun" w:hAnsi="Arial" w:cs="Arial"/>
          <w:b/>
          <w:bCs/>
          <w:i/>
          <w:iCs/>
          <w:color w:val="4472C4" w:themeColor="accent5"/>
          <w:sz w:val="20"/>
          <w:szCs w:val="20"/>
        </w:rPr>
        <w:t>ARTICULO 41. A la Oficialía Mayor corresponde el</w:t>
      </w:r>
      <w:r>
        <w:rPr>
          <w:rFonts w:ascii="Arial" w:eastAsia="SimSun" w:hAnsi="Arial" w:cs="Arial"/>
          <w:b/>
          <w:bCs/>
          <w:i/>
          <w:iCs/>
          <w:color w:val="4472C4" w:themeColor="accent5"/>
          <w:sz w:val="20"/>
          <w:szCs w:val="20"/>
        </w:rPr>
        <w:t xml:space="preserve"> despacho de los siguientes asuntos:</w:t>
      </w:r>
    </w:p>
    <w:p w:rsidR="00AB1F29" w:rsidRDefault="00AB1F29">
      <w:pPr>
        <w:pStyle w:val="NormalWeb"/>
        <w:tabs>
          <w:tab w:val="left" w:pos="0"/>
        </w:tabs>
        <w:spacing w:before="0" w:beforeAutospacing="0" w:after="0" w:afterAutospacing="0" w:line="276" w:lineRule="auto"/>
        <w:jc w:val="both"/>
        <w:rPr>
          <w:rFonts w:ascii="Arial" w:eastAsia="SimSun" w:hAnsi="Arial" w:cs="Arial"/>
          <w:i/>
          <w:iCs/>
          <w:color w:val="4472C4" w:themeColor="accent5"/>
          <w:sz w:val="20"/>
          <w:szCs w:val="20"/>
        </w:rPr>
      </w:pPr>
    </w:p>
    <w:p w:rsidR="00AB1F29" w:rsidRDefault="00C602F1">
      <w:pPr>
        <w:pStyle w:val="NormalWeb"/>
        <w:tabs>
          <w:tab w:val="left" w:pos="0"/>
        </w:tabs>
        <w:spacing w:before="0" w:beforeAutospacing="0" w:after="0" w:afterAutospacing="0" w:line="276" w:lineRule="auto"/>
        <w:jc w:val="both"/>
        <w:rPr>
          <w:rFonts w:ascii="Arial" w:eastAsia="SimSun" w:hAnsi="Arial" w:cs="Arial"/>
          <w:i/>
          <w:iCs/>
          <w:color w:val="4472C4" w:themeColor="accent5"/>
          <w:sz w:val="20"/>
          <w:szCs w:val="20"/>
        </w:rPr>
      </w:pPr>
      <w:r>
        <w:rPr>
          <w:rFonts w:ascii="Arial" w:eastAsia="SimSun" w:hAnsi="Arial" w:cs="Arial"/>
          <w:i/>
          <w:iCs/>
          <w:color w:val="4472C4" w:themeColor="accent5"/>
          <w:sz w:val="20"/>
          <w:szCs w:val="20"/>
          <w:lang w:val="es-MX"/>
        </w:rPr>
        <w:t>[...]</w:t>
      </w:r>
    </w:p>
    <w:p w:rsidR="00AB1F29" w:rsidRDefault="00C602F1">
      <w:pPr>
        <w:pStyle w:val="NormalWeb"/>
        <w:numPr>
          <w:ilvl w:val="0"/>
          <w:numId w:val="7"/>
        </w:numPr>
        <w:tabs>
          <w:tab w:val="left" w:pos="0"/>
        </w:tabs>
        <w:spacing w:before="0" w:beforeAutospacing="0" w:after="0" w:afterAutospacing="0" w:line="276" w:lineRule="auto"/>
        <w:jc w:val="both"/>
        <w:rPr>
          <w:rFonts w:ascii="Arial" w:eastAsia="SimSun" w:hAnsi="Arial" w:cs="Arial"/>
          <w:i/>
          <w:iCs/>
          <w:color w:val="4472C4" w:themeColor="accent5"/>
          <w:sz w:val="20"/>
          <w:szCs w:val="20"/>
        </w:rPr>
      </w:pPr>
      <w:r>
        <w:rPr>
          <w:rFonts w:ascii="Arial" w:eastAsia="SimSun" w:hAnsi="Arial" w:cs="Arial"/>
          <w:i/>
          <w:iCs/>
          <w:color w:val="4472C4" w:themeColor="accent5"/>
          <w:sz w:val="20"/>
          <w:szCs w:val="20"/>
        </w:rPr>
        <w:t>Llevar la administración de sueldos de los trabajadores al servicio del Poder Ejecutivo estatal, estableciendo los lineamientos generales, políticas y programas relativos a los nombramientos, desarrollo, transfer</w:t>
      </w:r>
      <w:r>
        <w:rPr>
          <w:rFonts w:ascii="Arial" w:eastAsia="SimSun" w:hAnsi="Arial" w:cs="Arial"/>
          <w:i/>
          <w:iCs/>
          <w:color w:val="4472C4" w:themeColor="accent5"/>
          <w:sz w:val="20"/>
          <w:szCs w:val="20"/>
        </w:rPr>
        <w:t xml:space="preserve">encia y separación del personal, con base en las disposiciones legales aplicables; </w:t>
      </w:r>
    </w:p>
    <w:p w:rsidR="00AB1F29" w:rsidRDefault="00C602F1">
      <w:pPr>
        <w:pStyle w:val="NormalWeb"/>
        <w:tabs>
          <w:tab w:val="left" w:pos="0"/>
        </w:tabs>
        <w:spacing w:before="0" w:beforeAutospacing="0" w:after="0" w:afterAutospacing="0" w:line="276" w:lineRule="auto"/>
        <w:jc w:val="both"/>
        <w:rPr>
          <w:rFonts w:ascii="Arial" w:eastAsia="SimSun" w:hAnsi="Arial" w:cs="Arial"/>
          <w:i/>
          <w:iCs/>
          <w:color w:val="4472C4" w:themeColor="accent5"/>
          <w:sz w:val="20"/>
          <w:szCs w:val="20"/>
        </w:rPr>
      </w:pPr>
      <w:r>
        <w:rPr>
          <w:rFonts w:ascii="Arial" w:eastAsia="SimSun" w:hAnsi="Arial" w:cs="Arial"/>
          <w:i/>
          <w:iCs/>
          <w:color w:val="4472C4" w:themeColor="accent5"/>
          <w:sz w:val="20"/>
          <w:szCs w:val="20"/>
          <w:lang w:val="es-MX"/>
        </w:rPr>
        <w:t>[...]</w:t>
      </w:r>
    </w:p>
    <w:p w:rsidR="00AB1F29" w:rsidRDefault="00C602F1">
      <w:pPr>
        <w:pStyle w:val="NormalWeb"/>
        <w:tabs>
          <w:tab w:val="left" w:pos="0"/>
        </w:tabs>
        <w:spacing w:before="0" w:beforeAutospacing="0" w:after="0" w:afterAutospacing="0" w:line="276" w:lineRule="auto"/>
        <w:jc w:val="both"/>
        <w:rPr>
          <w:rFonts w:ascii="Arial" w:eastAsia="Arial Unicode MS" w:hAnsi="Arial" w:cs="Arial"/>
          <w:i/>
          <w:iCs/>
          <w:color w:val="4472C4" w:themeColor="accent5"/>
          <w:sz w:val="20"/>
          <w:szCs w:val="20"/>
          <w:lang w:val="es-MX"/>
        </w:rPr>
      </w:pPr>
      <w:r>
        <w:rPr>
          <w:rFonts w:ascii="Arial" w:eastAsia="SimSun" w:hAnsi="Arial" w:cs="Arial"/>
          <w:i/>
          <w:iCs/>
          <w:color w:val="4472C4" w:themeColor="accent5"/>
          <w:sz w:val="20"/>
          <w:szCs w:val="20"/>
        </w:rPr>
        <w:t>IV. Tramitar los nombramientos, remociones, renuncias, licencias y jubilaciones de los funcionarios y trabajadores de la administración pública estatal, a excepción d</w:t>
      </w:r>
      <w:r>
        <w:rPr>
          <w:rFonts w:ascii="Arial" w:eastAsia="SimSun" w:hAnsi="Arial" w:cs="Arial"/>
          <w:i/>
          <w:iCs/>
          <w:color w:val="4472C4" w:themeColor="accent5"/>
          <w:sz w:val="20"/>
          <w:szCs w:val="20"/>
        </w:rPr>
        <w:t>e los titulares de las dependencias;</w:t>
      </w:r>
    </w:p>
    <w:p w:rsidR="00AB1F29" w:rsidRDefault="00AB1F29">
      <w:pPr>
        <w:pStyle w:val="NormalWeb"/>
        <w:tabs>
          <w:tab w:val="left" w:pos="0"/>
        </w:tabs>
        <w:spacing w:before="0" w:beforeAutospacing="0" w:after="0" w:afterAutospacing="0" w:line="276" w:lineRule="auto"/>
        <w:jc w:val="both"/>
        <w:rPr>
          <w:rFonts w:ascii="Arial" w:eastAsia="Arial Unicode MS" w:hAnsi="Arial" w:cs="Arial"/>
          <w:color w:val="4472C4" w:themeColor="accent5"/>
        </w:rPr>
      </w:pPr>
    </w:p>
    <w:p w:rsidR="00AB1F29" w:rsidRDefault="00C602F1">
      <w:pPr>
        <w:pStyle w:val="NormalWeb"/>
        <w:tabs>
          <w:tab w:val="left" w:pos="0"/>
        </w:tabs>
        <w:spacing w:before="0" w:beforeAutospacing="0" w:after="0" w:afterAutospacing="0" w:line="276" w:lineRule="auto"/>
        <w:jc w:val="both"/>
        <w:rPr>
          <w:rFonts w:ascii="Arial" w:hAnsi="Arial" w:cs="Arial"/>
          <w:color w:val="4472C4" w:themeColor="accent5"/>
          <w:highlight w:val="yellow"/>
        </w:rPr>
      </w:pPr>
      <w:r>
        <w:rPr>
          <w:rFonts w:ascii="Arial" w:eastAsia="Arial Unicode MS" w:hAnsi="Arial" w:cs="Arial"/>
          <w:color w:val="4472C4" w:themeColor="accent5"/>
          <w:lang w:val="es-MX"/>
        </w:rPr>
        <w:tab/>
      </w:r>
      <w:r>
        <w:rPr>
          <w:rFonts w:ascii="Arial" w:eastAsia="Arial Unicode MS" w:hAnsi="Arial" w:cs="Arial"/>
          <w:color w:val="4472C4" w:themeColor="accent5"/>
        </w:rPr>
        <w:t>Por lo anteriormente expuesto, quedó visto, que el sujeto obligado no sólo justificó haber notificado la nueva respuesta a</w:t>
      </w:r>
      <w:r>
        <w:rPr>
          <w:rFonts w:ascii="Arial" w:eastAsia="Arial Unicode MS" w:hAnsi="Arial" w:cs="Arial"/>
          <w:color w:val="4472C4" w:themeColor="accent5"/>
          <w:lang w:val="es-MX"/>
        </w:rPr>
        <w:t>l</w:t>
      </w:r>
      <w:r>
        <w:rPr>
          <w:rFonts w:ascii="Arial" w:eastAsia="Arial Unicode MS" w:hAnsi="Arial" w:cs="Arial"/>
          <w:color w:val="4472C4" w:themeColor="accent5"/>
        </w:rPr>
        <w:t xml:space="preserve">  solicitante, sino además se advierte que modificó su respuesta inicial, circunstancia por la cual </w:t>
      </w:r>
      <w:r>
        <w:rPr>
          <w:rFonts w:ascii="Arial" w:eastAsia="Arial Unicode MS" w:hAnsi="Arial" w:cs="Arial"/>
          <w:color w:val="4472C4" w:themeColor="accent5"/>
          <w:lang w:val="es-MX"/>
        </w:rPr>
        <w:t>la autoridad responsable modificó el acto</w:t>
      </w:r>
      <w:r>
        <w:rPr>
          <w:rFonts w:ascii="Arial" w:eastAsia="Arial Unicode MS" w:hAnsi="Arial" w:cs="Arial"/>
          <w:color w:val="4472C4" w:themeColor="accent5"/>
        </w:rPr>
        <w:t xml:space="preserve">,  de tal manera que actualiza el sobreseimiento y </w:t>
      </w:r>
      <w:r>
        <w:rPr>
          <w:rFonts w:ascii="Arial" w:hAnsi="Arial" w:cs="Arial"/>
          <w:color w:val="4472C4" w:themeColor="accent5"/>
        </w:rPr>
        <w:t>deja sin materia al presente asunto.</w:t>
      </w:r>
    </w:p>
    <w:p w:rsidR="00AB1F29" w:rsidRDefault="00AB1F29">
      <w:pPr>
        <w:pStyle w:val="NormalWeb"/>
        <w:shd w:val="clear" w:color="auto" w:fill="FFFFFF"/>
        <w:spacing w:before="0" w:beforeAutospacing="0" w:after="0" w:afterAutospacing="0" w:line="276" w:lineRule="auto"/>
        <w:ind w:firstLine="709"/>
        <w:jc w:val="both"/>
        <w:rPr>
          <w:rFonts w:ascii="Arial" w:hAnsi="Arial" w:cs="Arial"/>
          <w:color w:val="4472C4" w:themeColor="accent5"/>
          <w:highlight w:val="yellow"/>
        </w:rPr>
      </w:pPr>
    </w:p>
    <w:p w:rsidR="00AB1F29" w:rsidRDefault="00C602F1">
      <w:pPr>
        <w:pStyle w:val="NormalWeb"/>
        <w:tabs>
          <w:tab w:val="left" w:pos="0"/>
        </w:tabs>
        <w:spacing w:before="0" w:beforeAutospacing="0" w:after="0" w:afterAutospacing="0" w:line="276" w:lineRule="auto"/>
        <w:jc w:val="both"/>
        <w:rPr>
          <w:rFonts w:ascii="Arial" w:hAnsi="Arial" w:cs="Arial"/>
          <w:color w:val="4472C4" w:themeColor="accent5"/>
        </w:rPr>
      </w:pPr>
      <w:r>
        <w:rPr>
          <w:rFonts w:ascii="Arial" w:eastAsia="Arial Unicode MS" w:hAnsi="Arial" w:cs="Arial"/>
          <w:color w:val="4472C4" w:themeColor="accent5"/>
        </w:rPr>
        <w:tab/>
      </w:r>
      <w:r>
        <w:rPr>
          <w:rFonts w:ascii="Arial" w:hAnsi="Arial" w:cs="Arial"/>
          <w:color w:val="4472C4" w:themeColor="accent5"/>
        </w:rPr>
        <w:t xml:space="preserve">En consecuencia, se </w:t>
      </w:r>
      <w:r>
        <w:rPr>
          <w:rFonts w:ascii="Arial" w:hAnsi="Arial" w:cs="Arial"/>
          <w:b/>
          <w:color w:val="4472C4" w:themeColor="accent5"/>
        </w:rPr>
        <w:t>SOBRE</w:t>
      </w:r>
      <w:r>
        <w:rPr>
          <w:rFonts w:ascii="Arial" w:hAnsi="Arial" w:cs="Arial"/>
          <w:b/>
          <w:color w:val="4472C4" w:themeColor="accent5"/>
        </w:rPr>
        <w:t xml:space="preserve">SEE </w:t>
      </w:r>
      <w:r>
        <w:rPr>
          <w:rFonts w:ascii="Arial" w:hAnsi="Arial" w:cs="Arial"/>
          <w:color w:val="4472C4" w:themeColor="accent5"/>
        </w:rPr>
        <w:t>el presente recurso de revisión.</w:t>
      </w:r>
    </w:p>
    <w:p w:rsidR="00AB1F29" w:rsidRDefault="00AB1F29">
      <w:pPr>
        <w:pStyle w:val="NormalWeb"/>
        <w:tabs>
          <w:tab w:val="left" w:pos="0"/>
        </w:tabs>
        <w:spacing w:before="0" w:beforeAutospacing="0" w:after="0" w:afterAutospacing="0" w:line="276" w:lineRule="auto"/>
        <w:jc w:val="both"/>
        <w:rPr>
          <w:rFonts w:ascii="Arial" w:hAnsi="Arial" w:cs="Arial"/>
          <w:color w:val="4472C4" w:themeColor="accent5"/>
        </w:rPr>
      </w:pPr>
    </w:p>
    <w:p w:rsidR="00AB1F29" w:rsidRDefault="00C602F1">
      <w:pPr>
        <w:spacing w:after="0"/>
        <w:jc w:val="both"/>
        <w:rPr>
          <w:rFonts w:ascii="Arial" w:hAnsi="Arial" w:cs="Arial"/>
          <w:color w:val="4472C4" w:themeColor="accent5"/>
          <w:lang w:val="es-ES"/>
        </w:rPr>
      </w:pPr>
      <w:r>
        <w:rPr>
          <w:rFonts w:ascii="Arial" w:hAnsi="Arial" w:cs="Arial"/>
          <w:color w:val="4472C4" w:themeColor="accent5"/>
          <w:lang w:val="es-ES"/>
        </w:rPr>
        <w:tab/>
        <w:t>Por lo anteriormente expuesto y fundado se:</w:t>
      </w:r>
    </w:p>
    <w:p w:rsidR="00AB1F29" w:rsidRDefault="00AB1F29">
      <w:pPr>
        <w:spacing w:after="0"/>
        <w:jc w:val="center"/>
        <w:rPr>
          <w:rFonts w:ascii="Arial" w:hAnsi="Arial" w:cs="Arial"/>
          <w:b/>
          <w:color w:val="4472C4" w:themeColor="accent5"/>
          <w:lang w:val="es-ES"/>
        </w:rPr>
      </w:pPr>
    </w:p>
    <w:p w:rsidR="00AB1F29" w:rsidRDefault="00C602F1">
      <w:pPr>
        <w:spacing w:after="0"/>
        <w:jc w:val="center"/>
        <w:rPr>
          <w:rFonts w:ascii="Arial" w:hAnsi="Arial" w:cs="Arial"/>
          <w:b/>
          <w:color w:val="4472C4" w:themeColor="accent5"/>
          <w:lang w:val="es-ES"/>
        </w:rPr>
      </w:pPr>
      <w:r>
        <w:rPr>
          <w:rFonts w:ascii="Arial" w:hAnsi="Arial" w:cs="Arial"/>
          <w:b/>
          <w:color w:val="4472C4" w:themeColor="accent5"/>
          <w:lang w:val="es-ES"/>
        </w:rPr>
        <w:t xml:space="preserve">A C U E R D A: </w:t>
      </w:r>
    </w:p>
    <w:p w:rsidR="00AB1F29" w:rsidRDefault="00AB1F29">
      <w:pPr>
        <w:spacing w:after="0"/>
        <w:jc w:val="center"/>
        <w:rPr>
          <w:rFonts w:ascii="Arial" w:hAnsi="Arial" w:cs="Arial"/>
          <w:b/>
          <w:color w:val="4472C4" w:themeColor="accent5"/>
          <w:sz w:val="24"/>
          <w:szCs w:val="24"/>
          <w:lang w:val="es-ES"/>
        </w:rPr>
      </w:pPr>
    </w:p>
    <w:p w:rsidR="00AB1F29" w:rsidRDefault="00C602F1">
      <w:pPr>
        <w:spacing w:after="0"/>
        <w:jc w:val="both"/>
        <w:rPr>
          <w:rFonts w:ascii="Arial" w:hAnsi="Arial" w:cs="Arial"/>
          <w:color w:val="4472C4" w:themeColor="accent5"/>
          <w:sz w:val="24"/>
          <w:szCs w:val="24"/>
          <w:lang w:val="es-ES"/>
        </w:rPr>
      </w:pPr>
      <w:r>
        <w:rPr>
          <w:rFonts w:ascii="Arial" w:hAnsi="Arial" w:cs="Arial"/>
          <w:b/>
          <w:color w:val="4472C4" w:themeColor="accent5"/>
          <w:sz w:val="24"/>
          <w:szCs w:val="24"/>
          <w:lang w:val="es-ES"/>
        </w:rPr>
        <w:tab/>
        <w:t>PRIMERO.</w:t>
      </w:r>
      <w:r>
        <w:rPr>
          <w:rFonts w:ascii="Arial" w:hAnsi="Arial" w:cs="Arial"/>
          <w:color w:val="4472C4" w:themeColor="accent5"/>
          <w:sz w:val="24"/>
          <w:szCs w:val="24"/>
          <w:lang w:val="es-ES"/>
        </w:rPr>
        <w:t xml:space="preserve"> Con fundamento en el artículo 180, fracción III de la Ley de Transparencia y Acceso a la Información Pública del Estado, se</w:t>
      </w:r>
      <w:r>
        <w:rPr>
          <w:rFonts w:ascii="Arial" w:hAnsi="Arial" w:cs="Arial"/>
          <w:b/>
          <w:color w:val="4472C4" w:themeColor="accent5"/>
          <w:sz w:val="24"/>
          <w:szCs w:val="24"/>
          <w:lang w:val="es-ES"/>
        </w:rPr>
        <w:t xml:space="preserve"> SOBRESEE </w:t>
      </w:r>
      <w:r>
        <w:rPr>
          <w:rFonts w:ascii="Arial" w:hAnsi="Arial" w:cs="Arial"/>
          <w:color w:val="4472C4" w:themeColor="accent5"/>
          <w:sz w:val="24"/>
          <w:szCs w:val="24"/>
          <w:lang w:val="es-ES"/>
        </w:rPr>
        <w:t xml:space="preserve">el presente </w:t>
      </w:r>
      <w:r>
        <w:rPr>
          <w:rFonts w:ascii="Arial" w:hAnsi="Arial" w:cs="Arial"/>
          <w:color w:val="4472C4" w:themeColor="accent5"/>
          <w:sz w:val="24"/>
          <w:szCs w:val="24"/>
          <w:lang w:val="es-ES"/>
        </w:rPr>
        <w:t>recurso de revisión citado al rubro en los términos del considerando sexto de la presente resolución.</w:t>
      </w:r>
    </w:p>
    <w:p w:rsidR="00AB1F29" w:rsidRDefault="00C602F1">
      <w:pPr>
        <w:pStyle w:val="corte4fondo"/>
        <w:tabs>
          <w:tab w:val="left" w:pos="567"/>
        </w:tabs>
        <w:spacing w:line="276" w:lineRule="auto"/>
        <w:ind w:firstLine="0"/>
        <w:rPr>
          <w:rFonts w:cs="Arial"/>
          <w:b/>
          <w:color w:val="4472C4" w:themeColor="accent5"/>
          <w:sz w:val="24"/>
          <w:szCs w:val="24"/>
        </w:rPr>
      </w:pPr>
      <w:r>
        <w:rPr>
          <w:rFonts w:cs="Arial"/>
          <w:b/>
          <w:color w:val="4472C4" w:themeColor="accent5"/>
          <w:sz w:val="24"/>
          <w:szCs w:val="24"/>
          <w:lang w:val="es-MX"/>
        </w:rPr>
        <w:t xml:space="preserve"> </w:t>
      </w:r>
    </w:p>
    <w:p w:rsidR="00AB1F29" w:rsidRDefault="00C602F1">
      <w:pPr>
        <w:pStyle w:val="corte4fondo"/>
        <w:tabs>
          <w:tab w:val="left" w:pos="567"/>
        </w:tabs>
        <w:spacing w:line="276" w:lineRule="auto"/>
        <w:ind w:firstLine="0"/>
        <w:rPr>
          <w:rFonts w:cs="Arial"/>
          <w:color w:val="4472C4" w:themeColor="accent5"/>
          <w:sz w:val="24"/>
          <w:szCs w:val="24"/>
        </w:rPr>
      </w:pPr>
      <w:r>
        <w:rPr>
          <w:rFonts w:cs="Arial"/>
          <w:b/>
          <w:color w:val="4472C4" w:themeColor="accent5"/>
          <w:sz w:val="24"/>
          <w:szCs w:val="24"/>
        </w:rPr>
        <w:tab/>
      </w:r>
      <w:r>
        <w:rPr>
          <w:rFonts w:cs="Arial"/>
          <w:b/>
          <w:color w:val="4472C4" w:themeColor="accent5"/>
          <w:sz w:val="24"/>
          <w:szCs w:val="24"/>
          <w:lang w:val="es-MX"/>
        </w:rPr>
        <w:t xml:space="preserve"> </w:t>
      </w:r>
      <w:r>
        <w:rPr>
          <w:rFonts w:cs="Arial"/>
          <w:b/>
          <w:color w:val="4472C4" w:themeColor="accent5"/>
          <w:sz w:val="24"/>
          <w:szCs w:val="24"/>
        </w:rPr>
        <w:t xml:space="preserve">Notifíquese; </w:t>
      </w:r>
      <w:r>
        <w:rPr>
          <w:rFonts w:cs="Arial"/>
          <w:color w:val="4472C4" w:themeColor="accent5"/>
          <w:sz w:val="24"/>
          <w:szCs w:val="24"/>
        </w:rPr>
        <w:t>por oficio a las autoridades</w:t>
      </w:r>
      <w:r>
        <w:rPr>
          <w:rFonts w:cs="Arial"/>
          <w:b/>
          <w:color w:val="4472C4" w:themeColor="accent5"/>
          <w:sz w:val="24"/>
          <w:szCs w:val="24"/>
        </w:rPr>
        <w:t xml:space="preserve"> </w:t>
      </w:r>
      <w:r>
        <w:rPr>
          <w:rFonts w:cs="Arial"/>
          <w:color w:val="4472C4" w:themeColor="accent5"/>
          <w:sz w:val="24"/>
          <w:szCs w:val="24"/>
        </w:rPr>
        <w:t>y a la</w:t>
      </w:r>
      <w:r>
        <w:rPr>
          <w:rFonts w:cs="Arial"/>
          <w:color w:val="4472C4" w:themeColor="accent5"/>
          <w:sz w:val="24"/>
          <w:szCs w:val="24"/>
          <w:lang w:val="es-MX"/>
        </w:rPr>
        <w:t xml:space="preserve"> parte</w:t>
      </w:r>
      <w:r>
        <w:rPr>
          <w:rFonts w:cs="Arial"/>
          <w:color w:val="4472C4" w:themeColor="accent5"/>
          <w:sz w:val="24"/>
          <w:szCs w:val="24"/>
        </w:rPr>
        <w:t xml:space="preserve"> recurrente por el medio que designó</w:t>
      </w:r>
      <w:r>
        <w:rPr>
          <w:rFonts w:cs="Arial"/>
          <w:color w:val="4472C4" w:themeColor="accent5"/>
          <w:sz w:val="24"/>
          <w:szCs w:val="24"/>
          <w:lang w:val="es-MX"/>
        </w:rPr>
        <w:t xml:space="preserve">, lo anterior, en cumplimiento al acuerdo </w:t>
      </w:r>
      <w:r>
        <w:rPr>
          <w:rFonts w:cs="Arial"/>
          <w:b/>
          <w:color w:val="4472C4" w:themeColor="accent5"/>
          <w:sz w:val="24"/>
          <w:szCs w:val="24"/>
          <w:lang w:val="es-MX"/>
        </w:rPr>
        <w:t>CEGAIP 204/2023</w:t>
      </w:r>
      <w:r>
        <w:rPr>
          <w:rFonts w:cs="Arial"/>
          <w:color w:val="4472C4" w:themeColor="accent5"/>
          <w:sz w:val="24"/>
          <w:szCs w:val="24"/>
          <w:lang w:val="es-MX"/>
        </w:rPr>
        <w:t xml:space="preserve"> em</w:t>
      </w:r>
      <w:r>
        <w:rPr>
          <w:rFonts w:cs="Arial"/>
          <w:color w:val="4472C4" w:themeColor="accent5"/>
          <w:sz w:val="24"/>
          <w:szCs w:val="24"/>
          <w:lang w:val="es-MX"/>
        </w:rPr>
        <w:t>itido por el Pleno de este Organismo en Sesión Extraordinaria de 15 quince de febrero de 2023 dos mil veintitrés.</w:t>
      </w:r>
    </w:p>
    <w:p w:rsidR="00AB1F29" w:rsidRDefault="00AB1F29">
      <w:pPr>
        <w:pStyle w:val="corte4fondo"/>
        <w:tabs>
          <w:tab w:val="left" w:pos="567"/>
        </w:tabs>
        <w:spacing w:line="276" w:lineRule="auto"/>
        <w:rPr>
          <w:rFonts w:cs="Arial"/>
          <w:color w:val="4472C4" w:themeColor="accent5"/>
          <w:sz w:val="24"/>
          <w:szCs w:val="24"/>
        </w:rPr>
      </w:pPr>
    </w:p>
    <w:p w:rsidR="00AB1F29" w:rsidRDefault="00C602F1">
      <w:pPr>
        <w:pStyle w:val="corte4fondo"/>
        <w:tabs>
          <w:tab w:val="left" w:pos="567"/>
        </w:tabs>
        <w:spacing w:line="276" w:lineRule="auto"/>
        <w:rPr>
          <w:rFonts w:cs="Arial"/>
          <w:color w:val="4472C4" w:themeColor="accent5"/>
          <w:sz w:val="24"/>
          <w:szCs w:val="24"/>
        </w:rPr>
      </w:pPr>
      <w:r>
        <w:rPr>
          <w:rFonts w:cs="Arial"/>
          <w:color w:val="4472C4" w:themeColor="accent5"/>
          <w:sz w:val="24"/>
          <w:szCs w:val="24"/>
        </w:rPr>
        <w:t xml:space="preserve">Así, por </w:t>
      </w:r>
      <w:r>
        <w:rPr>
          <w:rFonts w:cs="Arial"/>
          <w:color w:val="4472C4" w:themeColor="accent5"/>
          <w:sz w:val="24"/>
          <w:szCs w:val="24"/>
          <w:lang w:val="es-MX"/>
        </w:rPr>
        <w:t xml:space="preserve">mayoría </w:t>
      </w:r>
      <w:r>
        <w:rPr>
          <w:rFonts w:cs="Arial"/>
          <w:color w:val="4472C4" w:themeColor="accent5"/>
          <w:sz w:val="24"/>
          <w:szCs w:val="24"/>
        </w:rPr>
        <w:t xml:space="preserve">de votos lo resolvió la Comisión Estatal de Garantía de Acceso a la Información Pública, integrado </w:t>
      </w:r>
      <w:r>
        <w:rPr>
          <w:rFonts w:cs="Arial"/>
          <w:color w:val="4472C4" w:themeColor="accent5"/>
          <w:sz w:val="24"/>
          <w:szCs w:val="24"/>
          <w:lang w:val="es-MX"/>
        </w:rPr>
        <w:t xml:space="preserve">por el Comisionado José </w:t>
      </w:r>
      <w:r>
        <w:rPr>
          <w:rFonts w:cs="Arial"/>
          <w:color w:val="4472C4" w:themeColor="accent5"/>
          <w:sz w:val="24"/>
          <w:szCs w:val="24"/>
          <w:lang w:val="es-MX"/>
        </w:rPr>
        <w:t>Gerardo Navarro Alviso</w:t>
      </w:r>
      <w:r>
        <w:rPr>
          <w:rFonts w:cs="Arial"/>
          <w:color w:val="4472C4" w:themeColor="accent5"/>
          <w:sz w:val="24"/>
          <w:szCs w:val="24"/>
        </w:rPr>
        <w:t>, Presidente y por la Comisionada</w:t>
      </w:r>
      <w:r>
        <w:rPr>
          <w:rFonts w:cs="Arial"/>
          <w:color w:val="4472C4" w:themeColor="accent5"/>
          <w:sz w:val="24"/>
          <w:szCs w:val="24"/>
          <w:lang w:val="es-MX"/>
        </w:rPr>
        <w:t xml:space="preserve"> </w:t>
      </w:r>
      <w:r>
        <w:rPr>
          <w:rFonts w:cs="Arial"/>
          <w:color w:val="4472C4" w:themeColor="accent5"/>
          <w:sz w:val="24"/>
          <w:szCs w:val="24"/>
        </w:rPr>
        <w:t>Ana Cristina García Nales</w:t>
      </w:r>
      <w:r>
        <w:rPr>
          <w:rFonts w:cs="Arial"/>
          <w:color w:val="4472C4" w:themeColor="accent5"/>
          <w:sz w:val="24"/>
          <w:szCs w:val="24"/>
          <w:lang w:val="es-MX"/>
        </w:rPr>
        <w:t>, conforme al Decreto 0506</w:t>
      </w:r>
      <w:r>
        <w:rPr>
          <w:rStyle w:val="Refdenotaalpie"/>
          <w:rFonts w:cs="Arial"/>
          <w:color w:val="4472C4" w:themeColor="accent5"/>
          <w:sz w:val="24"/>
          <w:szCs w:val="24"/>
          <w:lang w:val="es-MX"/>
        </w:rPr>
        <w:footnoteReference w:id="9"/>
      </w:r>
      <w:r>
        <w:rPr>
          <w:rFonts w:cs="Arial"/>
          <w:color w:val="4472C4" w:themeColor="accent5"/>
          <w:sz w:val="24"/>
          <w:szCs w:val="24"/>
          <w:lang w:val="es-MX"/>
        </w:rPr>
        <w:t>,</w:t>
      </w:r>
      <w:r>
        <w:rPr>
          <w:rFonts w:cs="Arial"/>
          <w:color w:val="4472C4" w:themeColor="accent5"/>
          <w:sz w:val="24"/>
          <w:szCs w:val="24"/>
        </w:rPr>
        <w:t xml:space="preserve">  siendo ponente </w:t>
      </w:r>
      <w:r>
        <w:rPr>
          <w:rFonts w:cs="Arial"/>
          <w:color w:val="4472C4" w:themeColor="accent5"/>
          <w:sz w:val="24"/>
          <w:szCs w:val="24"/>
          <w:lang w:val="es-MX"/>
        </w:rPr>
        <w:t xml:space="preserve">el primero </w:t>
      </w:r>
      <w:r>
        <w:rPr>
          <w:rFonts w:cs="Arial"/>
          <w:color w:val="4472C4" w:themeColor="accent5"/>
          <w:sz w:val="24"/>
          <w:szCs w:val="24"/>
        </w:rPr>
        <w:t>de los nombrados, quienes, en unión de la Licenciada Rosa María Motilla García, Secretaria Pleno que da fe, firman esta</w:t>
      </w:r>
      <w:r>
        <w:rPr>
          <w:rFonts w:cs="Arial"/>
          <w:color w:val="4472C4" w:themeColor="accent5"/>
          <w:sz w:val="24"/>
          <w:szCs w:val="24"/>
        </w:rPr>
        <w:t xml:space="preserve"> resolución. </w:t>
      </w:r>
    </w:p>
    <w:p w:rsidR="00AB1F29" w:rsidRDefault="00AB1F29">
      <w:pPr>
        <w:spacing w:after="0"/>
        <w:ind w:left="360" w:firstLine="900"/>
        <w:jc w:val="both"/>
        <w:rPr>
          <w:rFonts w:ascii="Arial" w:eastAsia="Arial Unicode MS" w:hAnsi="Arial" w:cs="Arial"/>
          <w:b/>
          <w:color w:val="4472C4" w:themeColor="accent5"/>
          <w:sz w:val="24"/>
          <w:szCs w:val="24"/>
        </w:rPr>
      </w:pPr>
    </w:p>
    <w:tbl>
      <w:tblPr>
        <w:tblW w:w="9900" w:type="dxa"/>
        <w:jc w:val="center"/>
        <w:tblLook w:val="04A0"/>
      </w:tblPr>
      <w:tblGrid>
        <w:gridCol w:w="4552"/>
        <w:gridCol w:w="154"/>
        <w:gridCol w:w="180"/>
        <w:gridCol w:w="5014"/>
      </w:tblGrid>
      <w:tr w:rsidR="00AB1F29">
        <w:trPr>
          <w:trHeight w:val="2654"/>
          <w:jc w:val="center"/>
        </w:trPr>
        <w:tc>
          <w:tcPr>
            <w:tcW w:w="4706" w:type="dxa"/>
            <w:gridSpan w:val="2"/>
          </w:tcPr>
          <w:p w:rsidR="00AB1F29" w:rsidRDefault="00C602F1">
            <w:pPr>
              <w:spacing w:after="0"/>
              <w:ind w:left="360"/>
              <w:rPr>
                <w:rFonts w:ascii="Arial" w:eastAsia="Arial Unicode MS" w:hAnsi="Arial" w:cs="Arial"/>
                <w:b/>
                <w:color w:val="4472C4" w:themeColor="accent5"/>
                <w:sz w:val="24"/>
                <w:szCs w:val="24"/>
              </w:rPr>
            </w:pPr>
            <w:r>
              <w:rPr>
                <w:rFonts w:ascii="Arial" w:eastAsia="Arial Unicode MS" w:hAnsi="Arial" w:cs="Arial"/>
                <w:b/>
                <w:color w:val="4472C4" w:themeColor="accent5"/>
                <w:sz w:val="24"/>
                <w:szCs w:val="24"/>
              </w:rPr>
              <w:t xml:space="preserve">  COMISIONADO PRESIDENTE</w:t>
            </w:r>
          </w:p>
          <w:p w:rsidR="00AB1F29" w:rsidRDefault="00C602F1">
            <w:pPr>
              <w:spacing w:after="0"/>
              <w:jc w:val="center"/>
              <w:rPr>
                <w:rFonts w:ascii="Arial" w:eastAsia="Arial Unicode MS" w:hAnsi="Arial" w:cs="Arial"/>
                <w:b/>
                <w:color w:val="4472C4" w:themeColor="accent5"/>
                <w:sz w:val="24"/>
                <w:szCs w:val="24"/>
              </w:rPr>
            </w:pPr>
            <w:r>
              <w:rPr>
                <w:rFonts w:ascii="Arial" w:eastAsia="Arial Unicode MS" w:hAnsi="Arial" w:cs="Arial"/>
                <w:b/>
                <w:color w:val="4472C4" w:themeColor="accent5"/>
                <w:sz w:val="24"/>
                <w:szCs w:val="24"/>
              </w:rPr>
              <w:t xml:space="preserve"> </w:t>
            </w:r>
          </w:p>
          <w:p w:rsidR="00AB1F29" w:rsidRDefault="00AB1F29">
            <w:pPr>
              <w:spacing w:after="0"/>
              <w:ind w:left="360" w:firstLine="708"/>
              <w:jc w:val="center"/>
              <w:rPr>
                <w:rFonts w:ascii="Arial" w:eastAsia="Arial Unicode MS" w:hAnsi="Arial" w:cs="Arial"/>
                <w:b/>
                <w:color w:val="4472C4" w:themeColor="accent5"/>
                <w:sz w:val="24"/>
                <w:szCs w:val="24"/>
              </w:rPr>
            </w:pPr>
          </w:p>
          <w:p w:rsidR="00AB1F29" w:rsidRDefault="00AB1F29">
            <w:pPr>
              <w:spacing w:after="0"/>
              <w:ind w:left="360" w:firstLine="708"/>
              <w:jc w:val="center"/>
              <w:rPr>
                <w:rFonts w:ascii="Arial" w:eastAsia="Arial Unicode MS" w:hAnsi="Arial" w:cs="Arial"/>
                <w:b/>
                <w:color w:val="4472C4" w:themeColor="accent5"/>
                <w:sz w:val="24"/>
                <w:szCs w:val="24"/>
              </w:rPr>
            </w:pPr>
          </w:p>
          <w:p w:rsidR="00AB1F29" w:rsidRDefault="00AB1F29">
            <w:pPr>
              <w:spacing w:after="0"/>
              <w:ind w:left="360" w:firstLine="708"/>
              <w:jc w:val="center"/>
              <w:rPr>
                <w:rFonts w:ascii="Arial" w:eastAsia="Arial Unicode MS" w:hAnsi="Arial" w:cs="Arial"/>
                <w:b/>
                <w:color w:val="4472C4" w:themeColor="accent5"/>
                <w:sz w:val="24"/>
                <w:szCs w:val="24"/>
              </w:rPr>
            </w:pPr>
          </w:p>
          <w:p w:rsidR="00AB1F29" w:rsidRDefault="00C602F1">
            <w:pPr>
              <w:spacing w:after="0"/>
              <w:jc w:val="center"/>
              <w:rPr>
                <w:rFonts w:ascii="Arial" w:eastAsia="Arial Unicode MS" w:hAnsi="Arial" w:cs="Arial"/>
                <w:b/>
                <w:color w:val="4472C4" w:themeColor="accent5"/>
                <w:sz w:val="24"/>
                <w:szCs w:val="24"/>
              </w:rPr>
            </w:pPr>
            <w:r>
              <w:rPr>
                <w:rFonts w:ascii="Arial" w:eastAsia="Arial Unicode MS" w:hAnsi="Arial" w:cs="Arial"/>
                <w:b/>
                <w:color w:val="4472C4" w:themeColor="accent5"/>
                <w:sz w:val="24"/>
                <w:szCs w:val="24"/>
              </w:rPr>
              <w:t>LIC. JOSE GERARDO NAVARRO ALVISO</w:t>
            </w:r>
          </w:p>
        </w:tc>
        <w:tc>
          <w:tcPr>
            <w:tcW w:w="5194" w:type="dxa"/>
            <w:gridSpan w:val="2"/>
          </w:tcPr>
          <w:p w:rsidR="00AB1F29" w:rsidRDefault="00C602F1">
            <w:pPr>
              <w:spacing w:after="0"/>
              <w:ind w:left="360" w:firstLine="708"/>
              <w:rPr>
                <w:rFonts w:ascii="Arial" w:eastAsia="Arial Unicode MS" w:hAnsi="Arial" w:cs="Arial"/>
                <w:b/>
                <w:color w:val="4472C4" w:themeColor="accent5"/>
                <w:sz w:val="24"/>
                <w:szCs w:val="24"/>
              </w:rPr>
            </w:pPr>
            <w:r>
              <w:rPr>
                <w:rFonts w:ascii="Arial" w:eastAsia="Arial Unicode MS" w:hAnsi="Arial" w:cs="Arial"/>
                <w:b/>
                <w:color w:val="4472C4" w:themeColor="accent5"/>
                <w:sz w:val="24"/>
                <w:szCs w:val="24"/>
              </w:rPr>
              <w:t xml:space="preserve">     COMISIONADA</w:t>
            </w:r>
          </w:p>
          <w:p w:rsidR="00AB1F29" w:rsidRDefault="00AB1F29">
            <w:pPr>
              <w:spacing w:after="0"/>
              <w:ind w:left="360" w:firstLine="708"/>
              <w:jc w:val="center"/>
              <w:rPr>
                <w:rFonts w:ascii="Arial" w:eastAsia="Arial Unicode MS" w:hAnsi="Arial" w:cs="Arial"/>
                <w:b/>
                <w:color w:val="4472C4" w:themeColor="accent5"/>
                <w:sz w:val="24"/>
                <w:szCs w:val="24"/>
              </w:rPr>
            </w:pPr>
          </w:p>
          <w:p w:rsidR="00AB1F29" w:rsidRDefault="00AB1F29">
            <w:pPr>
              <w:spacing w:after="0"/>
              <w:ind w:left="360" w:firstLine="708"/>
              <w:jc w:val="center"/>
              <w:rPr>
                <w:rFonts w:ascii="Arial" w:eastAsia="Arial Unicode MS" w:hAnsi="Arial" w:cs="Arial"/>
                <w:b/>
                <w:color w:val="4472C4" w:themeColor="accent5"/>
                <w:sz w:val="24"/>
                <w:szCs w:val="24"/>
              </w:rPr>
            </w:pPr>
          </w:p>
          <w:p w:rsidR="00AB1F29" w:rsidRDefault="00AB1F29">
            <w:pPr>
              <w:tabs>
                <w:tab w:val="left" w:pos="1358"/>
              </w:tabs>
              <w:spacing w:after="0"/>
              <w:ind w:firstLine="36"/>
              <w:jc w:val="center"/>
              <w:rPr>
                <w:rFonts w:ascii="Arial" w:eastAsia="Arial Unicode MS" w:hAnsi="Arial" w:cs="Arial"/>
                <w:b/>
                <w:color w:val="4472C4" w:themeColor="accent5"/>
                <w:sz w:val="24"/>
                <w:szCs w:val="24"/>
              </w:rPr>
            </w:pPr>
          </w:p>
          <w:p w:rsidR="00AB1F29" w:rsidRDefault="00C602F1">
            <w:pPr>
              <w:spacing w:after="0"/>
              <w:ind w:left="360"/>
              <w:rPr>
                <w:rFonts w:ascii="Arial" w:eastAsia="Arial Unicode MS" w:hAnsi="Arial" w:cs="Arial"/>
                <w:b/>
                <w:color w:val="4472C4" w:themeColor="accent5"/>
                <w:sz w:val="24"/>
                <w:szCs w:val="24"/>
                <w:highlight w:val="yellow"/>
              </w:rPr>
            </w:pPr>
            <w:r>
              <w:rPr>
                <w:rFonts w:ascii="Arial" w:eastAsia="Arial Unicode MS" w:hAnsi="Arial" w:cs="Arial"/>
                <w:b/>
                <w:color w:val="4472C4" w:themeColor="accent5"/>
                <w:sz w:val="24"/>
                <w:szCs w:val="24"/>
              </w:rPr>
              <w:t xml:space="preserve">          ANA CRISTINA GARCÍA NALES</w:t>
            </w:r>
          </w:p>
          <w:p w:rsidR="00AB1F29" w:rsidRDefault="00AB1F29">
            <w:pPr>
              <w:spacing w:after="0"/>
              <w:ind w:left="360"/>
              <w:rPr>
                <w:rFonts w:ascii="Arial" w:eastAsia="Arial Unicode MS" w:hAnsi="Arial" w:cs="Arial"/>
                <w:b/>
                <w:color w:val="4472C4" w:themeColor="accent5"/>
                <w:sz w:val="24"/>
                <w:szCs w:val="24"/>
                <w:highlight w:val="yellow"/>
              </w:rPr>
            </w:pPr>
          </w:p>
          <w:p w:rsidR="00AB1F29" w:rsidRDefault="00AB1F29">
            <w:pPr>
              <w:spacing w:after="0"/>
              <w:ind w:left="360"/>
              <w:rPr>
                <w:rFonts w:ascii="Arial" w:eastAsia="Arial Unicode MS" w:hAnsi="Arial" w:cs="Arial"/>
                <w:b/>
                <w:color w:val="4472C4" w:themeColor="accent5"/>
                <w:sz w:val="24"/>
                <w:szCs w:val="24"/>
                <w:highlight w:val="yellow"/>
              </w:rPr>
            </w:pPr>
          </w:p>
          <w:p w:rsidR="00AB1F29" w:rsidRDefault="00AB1F29">
            <w:pPr>
              <w:spacing w:after="0"/>
              <w:jc w:val="center"/>
              <w:rPr>
                <w:rFonts w:ascii="Arial" w:eastAsia="Arial Unicode MS" w:hAnsi="Arial" w:cs="Arial"/>
                <w:b/>
                <w:color w:val="4472C4" w:themeColor="accent5"/>
                <w:sz w:val="24"/>
                <w:szCs w:val="24"/>
                <w:highlight w:val="yellow"/>
              </w:rPr>
            </w:pPr>
          </w:p>
          <w:p w:rsidR="00AB1F29" w:rsidRDefault="00AB1F29">
            <w:pPr>
              <w:spacing w:after="0"/>
              <w:jc w:val="center"/>
              <w:rPr>
                <w:rFonts w:ascii="Arial" w:eastAsia="Arial Unicode MS" w:hAnsi="Arial" w:cs="Arial"/>
                <w:b/>
                <w:color w:val="4472C4" w:themeColor="accent5"/>
                <w:sz w:val="24"/>
                <w:szCs w:val="24"/>
              </w:rPr>
            </w:pPr>
          </w:p>
        </w:tc>
      </w:tr>
      <w:tr w:rsidR="00AB1F29">
        <w:trPr>
          <w:trHeight w:val="2085"/>
          <w:jc w:val="center"/>
        </w:trPr>
        <w:tc>
          <w:tcPr>
            <w:tcW w:w="4552" w:type="dxa"/>
          </w:tcPr>
          <w:p w:rsidR="00AB1F29" w:rsidRDefault="00C602F1">
            <w:pPr>
              <w:spacing w:after="0"/>
              <w:ind w:left="360" w:firstLine="708"/>
              <w:jc w:val="both"/>
              <w:rPr>
                <w:rFonts w:ascii="Arial" w:eastAsia="Arial Unicode MS" w:hAnsi="Arial" w:cs="Arial"/>
                <w:b/>
                <w:color w:val="4472C4" w:themeColor="accent5"/>
                <w:sz w:val="24"/>
                <w:szCs w:val="24"/>
              </w:rPr>
            </w:pPr>
            <w:r>
              <w:rPr>
                <w:rFonts w:ascii="Arial" w:eastAsia="Arial Unicode MS" w:hAnsi="Arial" w:cs="Arial"/>
                <w:b/>
                <w:color w:val="4472C4" w:themeColor="accent5"/>
                <w:sz w:val="24"/>
                <w:szCs w:val="24"/>
              </w:rPr>
              <w:t>SECRETARIA DE PLENO</w:t>
            </w:r>
          </w:p>
          <w:p w:rsidR="00AB1F29" w:rsidRDefault="00AB1F29">
            <w:pPr>
              <w:spacing w:after="0"/>
              <w:ind w:left="360" w:firstLine="708"/>
              <w:jc w:val="both"/>
              <w:rPr>
                <w:rFonts w:ascii="Arial" w:eastAsia="Arial Unicode MS" w:hAnsi="Arial" w:cs="Arial"/>
                <w:b/>
                <w:color w:val="4472C4" w:themeColor="accent5"/>
                <w:sz w:val="24"/>
                <w:szCs w:val="24"/>
              </w:rPr>
            </w:pPr>
          </w:p>
          <w:p w:rsidR="00AB1F29" w:rsidRDefault="00AB1F29">
            <w:pPr>
              <w:spacing w:after="0"/>
              <w:ind w:left="360" w:firstLine="708"/>
              <w:jc w:val="both"/>
              <w:rPr>
                <w:rFonts w:ascii="Arial" w:eastAsia="Arial Unicode MS" w:hAnsi="Arial" w:cs="Arial"/>
                <w:b/>
                <w:color w:val="4472C4" w:themeColor="accent5"/>
                <w:sz w:val="24"/>
                <w:szCs w:val="24"/>
              </w:rPr>
            </w:pPr>
          </w:p>
          <w:p w:rsidR="00AB1F29" w:rsidRDefault="00AB1F29">
            <w:pPr>
              <w:spacing w:after="0"/>
              <w:ind w:left="360" w:firstLine="708"/>
              <w:jc w:val="both"/>
              <w:rPr>
                <w:rFonts w:ascii="Arial" w:eastAsia="Arial Unicode MS" w:hAnsi="Arial" w:cs="Arial"/>
                <w:b/>
                <w:color w:val="4472C4" w:themeColor="accent5"/>
                <w:sz w:val="24"/>
                <w:szCs w:val="24"/>
              </w:rPr>
            </w:pPr>
          </w:p>
          <w:p w:rsidR="00AB1F29" w:rsidRDefault="00C602F1">
            <w:pPr>
              <w:tabs>
                <w:tab w:val="left" w:pos="1358"/>
              </w:tabs>
              <w:spacing w:after="0"/>
              <w:ind w:firstLine="36"/>
              <w:jc w:val="center"/>
              <w:rPr>
                <w:rFonts w:ascii="Arial" w:eastAsia="Arial Unicode MS" w:hAnsi="Arial" w:cs="Arial"/>
                <w:b/>
                <w:color w:val="4472C4" w:themeColor="accent5"/>
                <w:sz w:val="24"/>
                <w:szCs w:val="24"/>
              </w:rPr>
            </w:pPr>
            <w:r>
              <w:rPr>
                <w:rFonts w:ascii="Arial" w:eastAsia="Arial Unicode MS" w:hAnsi="Arial" w:cs="Arial"/>
                <w:b/>
                <w:color w:val="4472C4" w:themeColor="accent5"/>
                <w:sz w:val="24"/>
                <w:szCs w:val="24"/>
              </w:rPr>
              <w:t>LIC. ROSA MARÍA MOTILLA GARCÍA</w:t>
            </w:r>
          </w:p>
        </w:tc>
        <w:tc>
          <w:tcPr>
            <w:tcW w:w="334" w:type="dxa"/>
            <w:gridSpan w:val="2"/>
          </w:tcPr>
          <w:p w:rsidR="00AB1F29" w:rsidRDefault="00AB1F29">
            <w:pPr>
              <w:spacing w:after="0"/>
              <w:ind w:left="360" w:firstLine="708"/>
              <w:jc w:val="center"/>
              <w:rPr>
                <w:rFonts w:ascii="Arial" w:eastAsia="Arial Unicode MS" w:hAnsi="Arial" w:cs="Arial"/>
                <w:b/>
                <w:color w:val="4472C4" w:themeColor="accent5"/>
                <w:sz w:val="24"/>
                <w:szCs w:val="24"/>
              </w:rPr>
            </w:pPr>
          </w:p>
        </w:tc>
        <w:tc>
          <w:tcPr>
            <w:tcW w:w="5014" w:type="dxa"/>
          </w:tcPr>
          <w:p w:rsidR="00AB1F29" w:rsidRDefault="00AB1F29">
            <w:pPr>
              <w:spacing w:after="0"/>
              <w:ind w:left="360" w:hanging="360"/>
              <w:jc w:val="both"/>
              <w:rPr>
                <w:rFonts w:ascii="Arial" w:eastAsia="Arial Unicode MS" w:hAnsi="Arial" w:cs="Arial"/>
                <w:b/>
                <w:color w:val="4472C4" w:themeColor="accent5"/>
                <w:sz w:val="24"/>
                <w:szCs w:val="24"/>
              </w:rPr>
            </w:pPr>
          </w:p>
        </w:tc>
      </w:tr>
    </w:tbl>
    <w:p w:rsidR="00AB1F29" w:rsidRDefault="00AB1F29">
      <w:pPr>
        <w:pStyle w:val="corte4fondo"/>
        <w:spacing w:line="276" w:lineRule="auto"/>
        <w:ind w:firstLine="0"/>
        <w:rPr>
          <w:rFonts w:cs="Arial"/>
          <w:color w:val="4472C4" w:themeColor="accent5"/>
          <w:sz w:val="14"/>
          <w:szCs w:val="14"/>
        </w:rPr>
      </w:pPr>
    </w:p>
    <w:p w:rsidR="00AB1F29" w:rsidRDefault="00C602F1">
      <w:pPr>
        <w:pStyle w:val="corte4fondo"/>
        <w:spacing w:line="276" w:lineRule="auto"/>
        <w:ind w:firstLine="0"/>
        <w:rPr>
          <w:rFonts w:cs="Arial"/>
          <w:color w:val="4472C4" w:themeColor="accent5"/>
          <w:sz w:val="14"/>
          <w:szCs w:val="14"/>
          <w:lang w:val="es-MX"/>
        </w:rPr>
      </w:pPr>
      <w:r>
        <w:rPr>
          <w:rFonts w:cs="Arial"/>
          <w:color w:val="4472C4" w:themeColor="accent5"/>
          <w:sz w:val="14"/>
          <w:szCs w:val="14"/>
        </w:rPr>
        <w:t xml:space="preserve">ESTA FOJA CORRESPONDE A LA RESOLUCIÓN DEL RECURSO DE REVISIÓN </w:t>
      </w:r>
      <w:r>
        <w:rPr>
          <w:rFonts w:cs="Arial"/>
          <w:color w:val="4472C4" w:themeColor="accent5"/>
          <w:sz w:val="14"/>
          <w:szCs w:val="14"/>
          <w:lang w:val="es-MX"/>
        </w:rPr>
        <w:t>327</w:t>
      </w:r>
      <w:r>
        <w:rPr>
          <w:rFonts w:cs="Arial"/>
          <w:color w:val="4472C4" w:themeColor="accent5"/>
          <w:sz w:val="14"/>
          <w:szCs w:val="14"/>
          <w:lang w:val="es-MX"/>
        </w:rPr>
        <w:t>/2026-2</w:t>
      </w:r>
      <w:r>
        <w:rPr>
          <w:rFonts w:cs="Arial"/>
          <w:color w:val="4472C4" w:themeColor="accent5"/>
          <w:sz w:val="14"/>
          <w:szCs w:val="14"/>
        </w:rPr>
        <w:t xml:space="preserve"> EMITIDA POR EL PLENO DE LA COMISIÓN ESTATAL DE GARANTÍA Y ACCESO A LA INFORMACIÓN PÚBLICA, EN SESIÓN </w:t>
      </w:r>
      <w:r>
        <w:rPr>
          <w:rFonts w:cs="Arial"/>
          <w:color w:val="4472C4" w:themeColor="accent5"/>
          <w:sz w:val="14"/>
          <w:szCs w:val="14"/>
          <w:lang w:val="es-MX"/>
        </w:rPr>
        <w:t>EXTRA</w:t>
      </w:r>
      <w:r>
        <w:rPr>
          <w:rFonts w:cs="Arial"/>
          <w:color w:val="4472C4" w:themeColor="accent5"/>
          <w:sz w:val="14"/>
          <w:szCs w:val="14"/>
          <w:lang w:val="es-MX"/>
        </w:rPr>
        <w:t>O</w:t>
      </w:r>
      <w:r>
        <w:rPr>
          <w:rFonts w:cs="Arial"/>
          <w:color w:val="4472C4" w:themeColor="accent5"/>
          <w:sz w:val="14"/>
          <w:szCs w:val="14"/>
        </w:rPr>
        <w:t>RDINARIA</w:t>
      </w:r>
      <w:r>
        <w:rPr>
          <w:rFonts w:cs="Arial"/>
          <w:color w:val="4472C4" w:themeColor="accent5"/>
          <w:sz w:val="14"/>
          <w:szCs w:val="14"/>
          <w:lang w:val="es-MX"/>
        </w:rPr>
        <w:t xml:space="preserve"> DE</w:t>
      </w:r>
      <w:r>
        <w:rPr>
          <w:rFonts w:cs="Arial"/>
          <w:color w:val="4472C4" w:themeColor="accent5"/>
          <w:sz w:val="14"/>
          <w:szCs w:val="14"/>
          <w:lang w:val="es-MX"/>
        </w:rPr>
        <w:t xml:space="preserve"> 27 VEINTISIETE </w:t>
      </w:r>
      <w:r>
        <w:rPr>
          <w:rFonts w:cs="Arial"/>
          <w:color w:val="4472C4" w:themeColor="accent5"/>
          <w:sz w:val="14"/>
          <w:szCs w:val="14"/>
          <w:lang w:val="es-MX"/>
        </w:rPr>
        <w:t xml:space="preserve">DE </w:t>
      </w:r>
      <w:r>
        <w:rPr>
          <w:rFonts w:cs="Arial"/>
          <w:color w:val="4472C4" w:themeColor="accent5"/>
          <w:sz w:val="14"/>
          <w:szCs w:val="14"/>
          <w:lang w:val="es-MX"/>
        </w:rPr>
        <w:t xml:space="preserve">AGOSTO </w:t>
      </w:r>
      <w:r>
        <w:rPr>
          <w:rFonts w:cs="Arial"/>
          <w:color w:val="4472C4" w:themeColor="accent5"/>
          <w:sz w:val="14"/>
          <w:szCs w:val="14"/>
          <w:lang w:val="es-MX"/>
        </w:rPr>
        <w:t>2026</w:t>
      </w:r>
      <w:r>
        <w:rPr>
          <w:rFonts w:cs="Arial"/>
          <w:color w:val="4472C4" w:themeColor="accent5"/>
          <w:sz w:val="14"/>
          <w:szCs w:val="14"/>
          <w:lang w:val="es-MX"/>
        </w:rPr>
        <w:t xml:space="preserve"> DOS MIL VEINTISÉIS</w:t>
      </w:r>
      <w:r>
        <w:rPr>
          <w:rFonts w:cs="Arial"/>
          <w:color w:val="4472C4" w:themeColor="accent5"/>
          <w:sz w:val="14"/>
          <w:szCs w:val="14"/>
        </w:rPr>
        <w:t xml:space="preserve">. </w:t>
      </w:r>
      <w:r>
        <w:rPr>
          <w:rFonts w:cs="Arial"/>
          <w:color w:val="4472C4" w:themeColor="accent5"/>
          <w:sz w:val="14"/>
          <w:szCs w:val="14"/>
          <w:lang w:val="es-MX"/>
        </w:rPr>
        <w:t xml:space="preserve">                                                                                                                                                                                         </w:t>
      </w:r>
    </w:p>
    <w:p w:rsidR="00AB1F29" w:rsidRDefault="00AB1F29">
      <w:pPr>
        <w:pStyle w:val="corte4fondo"/>
        <w:spacing w:line="276" w:lineRule="auto"/>
        <w:ind w:firstLine="0"/>
        <w:rPr>
          <w:rFonts w:cs="Arial"/>
          <w:i/>
          <w:color w:val="4472C4" w:themeColor="accent5"/>
          <w:sz w:val="12"/>
          <w:szCs w:val="12"/>
          <w:lang w:val="es-MX"/>
        </w:rPr>
      </w:pPr>
    </w:p>
    <w:p w:rsidR="00AB1F29" w:rsidRDefault="00C602F1">
      <w:pPr>
        <w:pStyle w:val="corte4fondo"/>
        <w:spacing w:line="276" w:lineRule="auto"/>
        <w:ind w:firstLine="0"/>
        <w:rPr>
          <w:rFonts w:cs="Arial"/>
          <w:color w:val="4472C4" w:themeColor="accent5"/>
        </w:rPr>
      </w:pPr>
      <w:r>
        <w:rPr>
          <w:rFonts w:cs="Arial"/>
          <w:i/>
          <w:color w:val="4472C4" w:themeColor="accent5"/>
          <w:sz w:val="12"/>
          <w:szCs w:val="12"/>
          <w:lang w:val="es-MX"/>
        </w:rPr>
        <w:t>M</w:t>
      </w:r>
      <w:r>
        <w:rPr>
          <w:rFonts w:cs="Arial"/>
          <w:i/>
          <w:color w:val="4472C4" w:themeColor="accent5"/>
          <w:sz w:val="12"/>
          <w:szCs w:val="12"/>
        </w:rPr>
        <w:t>EMH</w:t>
      </w:r>
      <w:bookmarkStart w:id="0" w:name="_GoBack"/>
      <w:bookmarkEnd w:id="0"/>
    </w:p>
    <w:sectPr w:rsidR="00AB1F29" w:rsidSect="00AB1F29">
      <w:headerReference w:type="default" r:id="rId14"/>
      <w:footerReference w:type="default" r:id="rId15"/>
      <w:pgSz w:w="12240" w:h="20160"/>
      <w:pgMar w:top="2552" w:right="851" w:bottom="3005"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02F1" w:rsidRDefault="00C602F1">
      <w:pPr>
        <w:spacing w:line="240" w:lineRule="auto"/>
      </w:pPr>
      <w:r>
        <w:separator/>
      </w:r>
    </w:p>
  </w:endnote>
  <w:endnote w:type="continuationSeparator" w:id="0">
    <w:p w:rsidR="00C602F1" w:rsidRDefault="00C602F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ans-serif">
    <w:altName w:val="Segoe Print"/>
    <w:charset w:val="00"/>
    <w:family w:val="auto"/>
    <w:pitch w:val="default"/>
    <w:sig w:usb0="00000000" w:usb1="00000000" w:usb2="00000000" w:usb3="00000000" w:csb0="00000000" w:csb1="00000000"/>
  </w:font>
  <w:font w:name="MS Sans Serif">
    <w:altName w:val="Segoe Print"/>
    <w:charset w:val="00"/>
    <w:family w:val="auto"/>
    <w:pitch w:val="default"/>
    <w:sig w:usb0="00000000" w:usb1="00000000" w:usb2="00000000" w:usb3="00000000" w:csb0="00000000"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F29" w:rsidRDefault="00AB1F29">
    <w:pPr>
      <w:pStyle w:val="Piedepgina"/>
    </w:pPr>
    <w:r>
      <w:rPr>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097" type="#_x0000_t75" style="position:absolute;margin-left:-216.15pt;margin-top:-89.75pt;width:725pt;height:78pt;z-index:-251658240">
          <v:imagedata r:id="rId1" o:title=""/>
        </v:shape>
        <o:OLEObject Type="Embed" ProgID="PBrush" ShapeID="_x0000_s4097" DrawAspect="Content" ObjectID="_1848834761" r:id="rId2"/>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02F1" w:rsidRDefault="00C602F1">
      <w:pPr>
        <w:spacing w:after="0"/>
      </w:pPr>
      <w:r>
        <w:separator/>
      </w:r>
    </w:p>
  </w:footnote>
  <w:footnote w:type="continuationSeparator" w:id="0">
    <w:p w:rsidR="00C602F1" w:rsidRDefault="00C602F1">
      <w:pPr>
        <w:spacing w:after="0"/>
      </w:pPr>
      <w:r>
        <w:continuationSeparator/>
      </w:r>
    </w:p>
  </w:footnote>
  <w:footnote w:id="1">
    <w:p w:rsidR="00AB1F29" w:rsidRDefault="00C602F1">
      <w:pPr>
        <w:pStyle w:val="Textonotapie"/>
        <w:rPr>
          <w:rFonts w:ascii="Arial" w:hAnsi="Arial" w:cs="Arial"/>
          <w:color w:val="5B9BD5" w:themeColor="accent1"/>
          <w:sz w:val="14"/>
          <w:szCs w:val="14"/>
          <w:lang w:val="es-MX"/>
        </w:rPr>
      </w:pPr>
      <w:r>
        <w:rPr>
          <w:rStyle w:val="Refdenotaalpie"/>
          <w:rFonts w:ascii="Arial" w:hAnsi="Arial" w:cs="Arial"/>
          <w:color w:val="5B9BD5" w:themeColor="accent1"/>
          <w:sz w:val="14"/>
          <w:szCs w:val="14"/>
        </w:rPr>
        <w:footnoteRef/>
      </w:r>
      <w:r>
        <w:rPr>
          <w:rFonts w:ascii="Arial" w:hAnsi="Arial" w:cs="Arial"/>
          <w:color w:val="5B9BD5" w:themeColor="accent1"/>
          <w:sz w:val="14"/>
          <w:szCs w:val="14"/>
        </w:rPr>
        <w:t xml:space="preserve"> </w:t>
      </w:r>
      <w:r>
        <w:rPr>
          <w:rFonts w:ascii="Arial" w:hAnsi="Arial" w:cs="Arial"/>
          <w:color w:val="5B9BD5" w:themeColor="accent1"/>
          <w:sz w:val="14"/>
          <w:szCs w:val="14"/>
          <w:lang w:val="es-MX"/>
        </w:rPr>
        <w:t xml:space="preserve">Visible a foja </w:t>
      </w:r>
      <w:r>
        <w:rPr>
          <w:rFonts w:ascii="Arial" w:hAnsi="Arial" w:cs="Arial"/>
          <w:color w:val="5B9BD5" w:themeColor="accent1"/>
          <w:sz w:val="14"/>
          <w:szCs w:val="14"/>
          <w:lang w:val="es-MX"/>
        </w:rPr>
        <w:t>7</w:t>
      </w:r>
      <w:r>
        <w:rPr>
          <w:rFonts w:ascii="Arial" w:hAnsi="Arial" w:cs="Arial"/>
          <w:color w:val="5B9BD5" w:themeColor="accent1"/>
          <w:sz w:val="14"/>
          <w:szCs w:val="14"/>
          <w:lang w:val="es-MX"/>
        </w:rPr>
        <w:t xml:space="preserve"> de autos.</w:t>
      </w:r>
    </w:p>
  </w:footnote>
  <w:footnote w:id="2">
    <w:p w:rsidR="00AB1F29" w:rsidRDefault="00C602F1">
      <w:pPr>
        <w:pStyle w:val="Textonotapie"/>
        <w:rPr>
          <w:rFonts w:ascii="Arial" w:hAnsi="Arial" w:cs="Arial"/>
          <w:color w:val="4472C4" w:themeColor="accent5"/>
          <w:sz w:val="16"/>
          <w:szCs w:val="16"/>
        </w:rPr>
      </w:pPr>
      <w:r>
        <w:rPr>
          <w:rStyle w:val="Refdenotaalpie"/>
          <w:rFonts w:ascii="Arial" w:hAnsi="Arial" w:cs="Arial"/>
          <w:color w:val="5B9BD5" w:themeColor="accent1"/>
          <w:sz w:val="14"/>
          <w:szCs w:val="14"/>
        </w:rPr>
        <w:footnoteRef/>
      </w:r>
      <w:r>
        <w:rPr>
          <w:rFonts w:ascii="Arial" w:hAnsi="Arial" w:cs="Arial"/>
          <w:color w:val="5B9BD5" w:themeColor="accent1"/>
          <w:sz w:val="14"/>
          <w:szCs w:val="14"/>
        </w:rPr>
        <w:t xml:space="preserve"> Visible en la foja </w:t>
      </w:r>
      <w:r>
        <w:rPr>
          <w:rFonts w:ascii="Arial" w:hAnsi="Arial" w:cs="Arial"/>
          <w:color w:val="5B9BD5" w:themeColor="accent1"/>
          <w:sz w:val="14"/>
          <w:szCs w:val="14"/>
          <w:lang w:val="es-MX"/>
        </w:rPr>
        <w:t xml:space="preserve">9 </w:t>
      </w:r>
      <w:r>
        <w:rPr>
          <w:rFonts w:ascii="Arial" w:hAnsi="Arial" w:cs="Arial"/>
          <w:color w:val="5B9BD5" w:themeColor="accent1"/>
          <w:sz w:val="14"/>
          <w:szCs w:val="14"/>
        </w:rPr>
        <w:t>de autos.</w:t>
      </w:r>
      <w:r>
        <w:rPr>
          <w:rFonts w:ascii="Arial" w:hAnsi="Arial" w:cs="Arial"/>
          <w:color w:val="5B9BD5" w:themeColor="accent1"/>
          <w:sz w:val="16"/>
          <w:szCs w:val="16"/>
        </w:rPr>
        <w:t xml:space="preserve"> </w:t>
      </w:r>
    </w:p>
  </w:footnote>
  <w:footnote w:id="3">
    <w:p w:rsidR="00AB1F29" w:rsidRDefault="00C602F1">
      <w:pPr>
        <w:pStyle w:val="Textonotapie"/>
        <w:rPr>
          <w:rFonts w:ascii="Arial" w:hAnsi="Arial" w:cs="Arial"/>
          <w:i/>
          <w:color w:val="4472C4" w:themeColor="accent5"/>
          <w:sz w:val="14"/>
          <w:szCs w:val="14"/>
        </w:rPr>
      </w:pPr>
      <w:r>
        <w:rPr>
          <w:rStyle w:val="Refdenotaalpie"/>
          <w:rFonts w:ascii="Arial" w:hAnsi="Arial" w:cs="Arial"/>
          <w:i/>
          <w:color w:val="4472C4" w:themeColor="accent5"/>
          <w:sz w:val="14"/>
          <w:szCs w:val="14"/>
        </w:rPr>
        <w:footnoteRef/>
      </w:r>
      <w:r>
        <w:rPr>
          <w:rFonts w:ascii="Arial" w:hAnsi="Arial" w:cs="Arial"/>
          <w:i/>
          <w:color w:val="4472C4" w:themeColor="accent5"/>
          <w:sz w:val="14"/>
          <w:szCs w:val="14"/>
        </w:rPr>
        <w:t xml:space="preserve"> ARTÍCULO 167. El recurso de revisión procederá en contra de: </w:t>
      </w:r>
    </w:p>
    <w:p w:rsidR="00AB1F29" w:rsidRDefault="00C602F1">
      <w:pPr>
        <w:pStyle w:val="Textonotapie"/>
        <w:rPr>
          <w:rFonts w:ascii="Arial" w:hAnsi="Arial" w:cs="Arial"/>
          <w:i/>
          <w:color w:val="4472C4" w:themeColor="accent5"/>
          <w:sz w:val="14"/>
          <w:szCs w:val="14"/>
        </w:rPr>
      </w:pPr>
      <w:r>
        <w:rPr>
          <w:rFonts w:ascii="Arial" w:hAnsi="Arial" w:cs="Arial"/>
          <w:i/>
          <w:color w:val="4472C4" w:themeColor="accent5"/>
          <w:sz w:val="14"/>
          <w:szCs w:val="14"/>
        </w:rPr>
        <w:t xml:space="preserve">II. La declaración de inexistencia de información; </w:t>
      </w:r>
    </w:p>
    <w:p w:rsidR="00AB1F29" w:rsidRDefault="00C602F1">
      <w:pPr>
        <w:pStyle w:val="Textonotapie"/>
        <w:rPr>
          <w:sz w:val="20"/>
          <w:szCs w:val="20"/>
          <w:lang w:val="es-MX"/>
        </w:rPr>
      </w:pPr>
      <w:r>
        <w:rPr>
          <w:rFonts w:ascii="Arial" w:hAnsi="Arial" w:cs="Arial"/>
          <w:i/>
          <w:color w:val="4472C4" w:themeColor="accent5"/>
          <w:sz w:val="14"/>
          <w:szCs w:val="14"/>
        </w:rPr>
        <w:t xml:space="preserve">III. La </w:t>
      </w:r>
      <w:r>
        <w:rPr>
          <w:rFonts w:ascii="Arial" w:hAnsi="Arial" w:cs="Arial"/>
          <w:i/>
          <w:color w:val="4472C4" w:themeColor="accent5"/>
          <w:sz w:val="14"/>
          <w:szCs w:val="14"/>
        </w:rPr>
        <w:t>declaración de incompetencia por el sujeto obligado;</w:t>
      </w:r>
    </w:p>
  </w:footnote>
  <w:footnote w:id="4">
    <w:p w:rsidR="00AB1F29" w:rsidRDefault="00C602F1">
      <w:pPr>
        <w:pStyle w:val="Textonotapie"/>
        <w:rPr>
          <w:sz w:val="14"/>
          <w:szCs w:val="14"/>
        </w:rPr>
      </w:pPr>
      <w:r>
        <w:rPr>
          <w:rStyle w:val="Refdenotaalpie"/>
        </w:rPr>
        <w:footnoteRef/>
      </w:r>
      <w:r>
        <w:t xml:space="preserve"> </w:t>
      </w:r>
      <w:r>
        <w:rPr>
          <w:color w:val="4472C4" w:themeColor="accent5"/>
          <w:sz w:val="14"/>
          <w:szCs w:val="14"/>
        </w:rPr>
        <w:t>V. Que por agenda del Pleno o de uno de los Comisionados no se puedan llevar a cabo las sesiones y dentro de ese periodo se venzan los recursos de revisión; y</w:t>
      </w:r>
    </w:p>
    <w:p w:rsidR="00AB1F29" w:rsidRDefault="00AB1F29">
      <w:pPr>
        <w:pStyle w:val="Textonotapie"/>
        <w:snapToGrid w:val="0"/>
      </w:pPr>
    </w:p>
  </w:footnote>
  <w:footnote w:id="5">
    <w:p w:rsidR="00AB1F29" w:rsidRDefault="00C602F1">
      <w:pPr>
        <w:spacing w:after="0" w:line="240" w:lineRule="auto"/>
        <w:jc w:val="both"/>
        <w:rPr>
          <w:rFonts w:ascii="Arial" w:hAnsi="Arial" w:cs="Arial"/>
          <w:color w:val="5B9BD5" w:themeColor="accent1"/>
          <w:sz w:val="14"/>
          <w:szCs w:val="14"/>
        </w:rPr>
      </w:pPr>
      <w:r>
        <w:rPr>
          <w:rStyle w:val="Refdenotaalpie"/>
          <w:rFonts w:ascii="Arial" w:hAnsi="Arial" w:cs="Arial"/>
          <w:color w:val="5B9BD5" w:themeColor="accent1"/>
          <w:sz w:val="14"/>
          <w:szCs w:val="14"/>
        </w:rPr>
        <w:footnoteRef/>
      </w:r>
      <w:r>
        <w:rPr>
          <w:rFonts w:ascii="Arial" w:hAnsi="Arial" w:cs="Arial"/>
          <w:color w:val="5B9BD5" w:themeColor="accent1"/>
          <w:sz w:val="14"/>
          <w:szCs w:val="14"/>
        </w:rPr>
        <w:t xml:space="preserve"> Cfr. Jurisprudencia número VI.2o. J/323, visible en la Octava Época, de la Gaceta del Semanario Judicial de la Federación, Núm. 80, Agosto de 1994, p. 87. Instancia: Tribunales Colegiados de Circuito, con Registro electrónico: 210784.</w:t>
      </w:r>
    </w:p>
  </w:footnote>
  <w:footnote w:id="6">
    <w:p w:rsidR="00AB1F29" w:rsidRDefault="00C602F1">
      <w:pPr>
        <w:pStyle w:val="Textonotapie"/>
        <w:rPr>
          <w:color w:val="4472C4" w:themeColor="accent5"/>
        </w:rPr>
      </w:pPr>
      <w:r>
        <w:rPr>
          <w:rStyle w:val="Refdenotaalpie"/>
          <w:rFonts w:ascii="Arial" w:hAnsi="Arial" w:cs="Arial"/>
          <w:b/>
          <w:color w:val="5B9BD5" w:themeColor="accent1"/>
          <w:sz w:val="14"/>
          <w:szCs w:val="14"/>
        </w:rPr>
        <w:footnoteRef/>
      </w:r>
      <w:r>
        <w:rPr>
          <w:rFonts w:ascii="Arial" w:hAnsi="Arial" w:cs="Arial"/>
          <w:b/>
          <w:color w:val="5B9BD5" w:themeColor="accent1"/>
          <w:sz w:val="14"/>
          <w:szCs w:val="14"/>
        </w:rPr>
        <w:t xml:space="preserve"> ARTÍCULO 179.</w:t>
      </w:r>
      <w:r>
        <w:rPr>
          <w:rFonts w:ascii="Arial" w:hAnsi="Arial" w:cs="Arial"/>
          <w:color w:val="5B9BD5" w:themeColor="accent1"/>
          <w:sz w:val="14"/>
          <w:szCs w:val="14"/>
        </w:rPr>
        <w:t xml:space="preserve"> El r</w:t>
      </w:r>
      <w:r>
        <w:rPr>
          <w:rFonts w:ascii="Arial" w:hAnsi="Arial" w:cs="Arial"/>
          <w:color w:val="5B9BD5" w:themeColor="accent1"/>
          <w:sz w:val="14"/>
          <w:szCs w:val="14"/>
        </w:rPr>
        <w:t>ecurso será desechado por improcedente cuando: I. Sea extemporáneo por haber transcurrido el plazo establecido en el artículo 166 de la presente Ley; II. Se esté tramitando ante el Poder Judicial algún recurso o medio de defensa interpuesto por el recurren</w:t>
      </w:r>
      <w:r>
        <w:rPr>
          <w:rFonts w:ascii="Arial" w:hAnsi="Arial" w:cs="Arial"/>
          <w:color w:val="5B9BD5" w:themeColor="accent1"/>
          <w:sz w:val="14"/>
          <w:szCs w:val="14"/>
        </w:rPr>
        <w:t>te; III. Se esté tramitando ante la CEGAIP algún recurso de revisión por el mismo quejoso en los mismos términos; IV. No actualice alguno de los supuestos previstos en el artículo 167 de la presente Ley; V. No se haya desahogado la prevención en los términ</w:t>
      </w:r>
      <w:r>
        <w:rPr>
          <w:rFonts w:ascii="Arial" w:hAnsi="Arial" w:cs="Arial"/>
          <w:color w:val="5B9BD5" w:themeColor="accent1"/>
          <w:sz w:val="14"/>
          <w:szCs w:val="14"/>
        </w:rPr>
        <w:t>os establecidos en el artículo 168 de la presente Ley; VI. Se impugne la veracidad de la información proporcionada; VII. Se trate de una consulta, o VIII. El recurrente amplíe su solicitud en el recurso de revisión, únicamente respecto de los nuevos conten</w:t>
      </w:r>
      <w:r>
        <w:rPr>
          <w:rFonts w:ascii="Arial" w:hAnsi="Arial" w:cs="Arial"/>
          <w:color w:val="5B9BD5" w:themeColor="accent1"/>
          <w:sz w:val="14"/>
          <w:szCs w:val="14"/>
        </w:rPr>
        <w:t>idos.</w:t>
      </w:r>
    </w:p>
  </w:footnote>
  <w:footnote w:id="7">
    <w:p w:rsidR="00AB1F29" w:rsidRDefault="00C602F1">
      <w:pPr>
        <w:pStyle w:val="Default"/>
        <w:jc w:val="both"/>
        <w:rPr>
          <w:rFonts w:eastAsia="Arial Unicode MS"/>
          <w:color w:val="5B9BD5" w:themeColor="accent1"/>
          <w:sz w:val="14"/>
          <w:szCs w:val="14"/>
        </w:rPr>
      </w:pPr>
      <w:r>
        <w:rPr>
          <w:rStyle w:val="Refdenotaalpie"/>
          <w:rFonts w:eastAsia="Arial Unicode MS"/>
          <w:color w:val="5B9BD5" w:themeColor="accent1"/>
          <w:sz w:val="14"/>
          <w:szCs w:val="14"/>
        </w:rPr>
        <w:footnoteRef/>
      </w:r>
      <w:r>
        <w:rPr>
          <w:rFonts w:eastAsia="Arial Unicode MS"/>
          <w:color w:val="5B9BD5" w:themeColor="accent1"/>
          <w:sz w:val="14"/>
          <w:szCs w:val="14"/>
        </w:rPr>
        <w:t xml:space="preserve"> </w:t>
      </w:r>
      <w:r>
        <w:rPr>
          <w:rFonts w:eastAsia="Arial Unicode MS"/>
          <w:b/>
          <w:color w:val="5B9BD5" w:themeColor="accent1"/>
          <w:sz w:val="14"/>
          <w:szCs w:val="14"/>
        </w:rPr>
        <w:t>ARTÍCULO 1°.</w:t>
      </w:r>
      <w:r>
        <w:rPr>
          <w:rFonts w:eastAsia="Arial Unicode MS"/>
          <w:color w:val="5B9BD5" w:themeColor="accent1"/>
          <w:sz w:val="14"/>
          <w:szCs w:val="14"/>
        </w:rPr>
        <w:t xml:space="preserve"> – […] Tiene por objeto transparentar el ejercicio de la función pública y establecer los principios, bases generales y procedimientos para garantizar a toda persona el derecho humano de acceso a la información en posesión de cualquier </w:t>
      </w:r>
      <w:r>
        <w:rPr>
          <w:rFonts w:eastAsia="Arial Unicode MS"/>
          <w:color w:val="5B9BD5" w:themeColor="accent1"/>
          <w:sz w:val="14"/>
          <w:szCs w:val="14"/>
        </w:rPr>
        <w:t>autoridad, entidad, órgano y organismo de los poderes, Legislativo; Ejecutivo; y Judicial; organismos autónomos; partidos políticos; fideicomisos y fondos públicos; así como de cualquier persona física, moral o sindicato que reciba y ejerza recursos públic</w:t>
      </w:r>
      <w:r>
        <w:rPr>
          <w:rFonts w:eastAsia="Arial Unicode MS"/>
          <w:color w:val="5B9BD5" w:themeColor="accent1"/>
          <w:sz w:val="14"/>
          <w:szCs w:val="14"/>
        </w:rPr>
        <w:t>os o realice actos de autoridad en el ámbito estatal y municipal.</w:t>
      </w:r>
    </w:p>
    <w:p w:rsidR="00AB1F29" w:rsidRDefault="00AB1F29">
      <w:pPr>
        <w:pStyle w:val="Default"/>
        <w:jc w:val="both"/>
        <w:rPr>
          <w:rFonts w:eastAsia="Arial Unicode MS"/>
          <w:color w:val="5B9BD5" w:themeColor="accent1"/>
          <w:sz w:val="14"/>
          <w:szCs w:val="14"/>
        </w:rPr>
      </w:pPr>
    </w:p>
  </w:footnote>
  <w:footnote w:id="8">
    <w:p w:rsidR="00AB1F29" w:rsidRDefault="00C602F1">
      <w:pPr>
        <w:pStyle w:val="Textonotapie"/>
        <w:rPr>
          <w:sz w:val="14"/>
          <w:szCs w:val="14"/>
        </w:rPr>
      </w:pPr>
      <w:r>
        <w:rPr>
          <w:rStyle w:val="Refdenotaalpie"/>
          <w:rFonts w:ascii="Arial" w:hAnsi="Arial" w:cs="Arial"/>
          <w:color w:val="4472C4" w:themeColor="accent5"/>
          <w:sz w:val="14"/>
          <w:szCs w:val="14"/>
        </w:rPr>
        <w:footnoteRef/>
      </w:r>
      <w:r>
        <w:rPr>
          <w:rFonts w:ascii="Arial" w:hAnsi="Arial" w:cs="Arial"/>
          <w:color w:val="4472C4" w:themeColor="accent5"/>
          <w:sz w:val="14"/>
          <w:szCs w:val="14"/>
        </w:rPr>
        <w:t>Cfr. Tesis Aislada XIII.T.A.3 A (10a.), visible en la Décima Época, de la Gaceta del Semanario Judicial de la Federación, Libro XXIV, Septiembre de 2013, Tomo 3, página 2616. Instancia: Tr</w:t>
      </w:r>
      <w:r>
        <w:rPr>
          <w:rFonts w:ascii="Arial" w:hAnsi="Arial" w:cs="Arial"/>
          <w:color w:val="4472C4" w:themeColor="accent5"/>
          <w:sz w:val="14"/>
          <w:szCs w:val="14"/>
        </w:rPr>
        <w:t>ibunales Colegiados de Circuito, con Registro electrónico: 2004530.</w:t>
      </w:r>
    </w:p>
  </w:footnote>
  <w:footnote w:id="9">
    <w:p w:rsidR="00AB1F29" w:rsidRDefault="00C602F1">
      <w:pPr>
        <w:spacing w:after="0"/>
        <w:jc w:val="both"/>
        <w:rPr>
          <w:rFonts w:asciiTheme="minorHAnsi" w:hAnsiTheme="minorHAnsi"/>
        </w:rPr>
      </w:pPr>
      <w:r>
        <w:rPr>
          <w:rStyle w:val="Refdenotaalpie"/>
          <w:rFonts w:ascii="Arial" w:hAnsi="Arial" w:cs="Arial"/>
          <w:color w:val="4472C4" w:themeColor="accent5"/>
          <w:sz w:val="14"/>
          <w:szCs w:val="14"/>
        </w:rPr>
        <w:footnoteRef/>
      </w:r>
      <w:r>
        <w:rPr>
          <w:rFonts w:ascii="Arial" w:hAnsi="Arial" w:cs="Arial"/>
          <w:color w:val="4472C4" w:themeColor="accent5"/>
          <w:sz w:val="14"/>
          <w:szCs w:val="14"/>
        </w:rPr>
        <w:t xml:space="preserve"> </w:t>
      </w:r>
      <w:r>
        <w:rPr>
          <w:rFonts w:ascii="Arial" w:eastAsia="Times New Roman" w:hAnsi="Arial" w:cs="Arial"/>
          <w:color w:val="4472C4" w:themeColor="accent5"/>
          <w:sz w:val="14"/>
          <w:szCs w:val="14"/>
          <w:lang w:eastAsia="es-MX"/>
        </w:rPr>
        <w:t xml:space="preserve">Decreto que reforma los artículos 17 y 124 Bis de la constitución Política del Estado Libre y Soberano de San Luis Potosí, en materia de Transparencia, Acceso a la Información Pública y </w:t>
      </w:r>
      <w:r>
        <w:rPr>
          <w:rFonts w:ascii="Arial" w:eastAsia="Times New Roman" w:hAnsi="Arial" w:cs="Arial"/>
          <w:color w:val="4472C4" w:themeColor="accent5"/>
          <w:sz w:val="14"/>
          <w:szCs w:val="14"/>
          <w:lang w:eastAsia="es-MX"/>
        </w:rPr>
        <w:t>Protección de Datos Personales.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F29" w:rsidRDefault="00C602F1">
    <w:pPr>
      <w:pStyle w:val="Encabezado"/>
      <w:rPr>
        <w:rFonts w:ascii="Arial" w:hAnsi="Arial" w:cs="Arial"/>
        <w:b/>
        <w:sz w:val="24"/>
        <w:szCs w:val="24"/>
      </w:rPr>
    </w:pPr>
    <w:r>
      <w:rPr>
        <w:rFonts w:ascii="Arial" w:hAnsi="Arial" w:cs="Arial"/>
        <w:b/>
        <w:noProof/>
        <w:sz w:val="24"/>
        <w:szCs w:val="24"/>
        <w:lang w:eastAsia="es-MX"/>
      </w:rPr>
      <w:drawing>
        <wp:anchor distT="0" distB="0" distL="114300" distR="114300" simplePos="0" relativeHeight="251657216" behindDoc="1" locked="0" layoutInCell="1" allowOverlap="1">
          <wp:simplePos x="0" y="0"/>
          <wp:positionH relativeFrom="column">
            <wp:posOffset>-409575</wp:posOffset>
          </wp:positionH>
          <wp:positionV relativeFrom="paragraph">
            <wp:posOffset>-449580</wp:posOffset>
          </wp:positionV>
          <wp:extent cx="7539990" cy="1295400"/>
          <wp:effectExtent l="0"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a:picLocks noChangeAspect="1" noChangeArrowheads="1"/>
                  </pic:cNvPicPr>
                </pic:nvPicPr>
                <pic:blipFill>
                  <a:blip r:embed="rId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2791"/>
                  <a:stretch>
                    <a:fillRect/>
                  </a:stretch>
                </pic:blipFill>
                <pic:spPr>
                  <a:xfrm>
                    <a:off x="0" y="0"/>
                    <a:ext cx="7539990" cy="1295400"/>
                  </a:xfrm>
                  <a:prstGeom prst="rect">
                    <a:avLst/>
                  </a:prstGeom>
                  <a:noFill/>
                </pic:spPr>
              </pic:pic>
            </a:graphicData>
          </a:graphic>
        </wp:anchor>
      </w:drawing>
    </w:r>
  </w:p>
  <w:p w:rsidR="00AB1F29" w:rsidRDefault="00C602F1">
    <w:pPr>
      <w:pStyle w:val="Encabezado"/>
      <w:jc w:val="center"/>
      <w:rPr>
        <w:b/>
        <w:bCs/>
      </w:rPr>
    </w:pPr>
    <w:r>
      <w:rPr>
        <w:lang w:val="es-ES"/>
      </w:rPr>
      <w:t xml:space="preserve">Página </w:t>
    </w:r>
    <w:r w:rsidR="00AB1F29">
      <w:rPr>
        <w:b/>
        <w:bCs/>
      </w:rPr>
      <w:fldChar w:fldCharType="begin"/>
    </w:r>
    <w:r>
      <w:rPr>
        <w:b/>
        <w:bCs/>
      </w:rPr>
      <w:instrText>PAGE</w:instrText>
    </w:r>
    <w:r w:rsidR="00AB1F29">
      <w:rPr>
        <w:b/>
        <w:bCs/>
      </w:rPr>
      <w:fldChar w:fldCharType="separate"/>
    </w:r>
    <w:r w:rsidR="00B161DD">
      <w:rPr>
        <w:b/>
        <w:bCs/>
        <w:noProof/>
      </w:rPr>
      <w:t>1</w:t>
    </w:r>
    <w:r w:rsidR="00AB1F29">
      <w:rPr>
        <w:b/>
        <w:bCs/>
      </w:rPr>
      <w:fldChar w:fldCharType="end"/>
    </w:r>
    <w:r>
      <w:rPr>
        <w:lang w:val="es-ES"/>
      </w:rPr>
      <w:t xml:space="preserve"> de </w:t>
    </w:r>
    <w:r w:rsidR="00AB1F29">
      <w:rPr>
        <w:b/>
        <w:bCs/>
      </w:rPr>
      <w:fldChar w:fldCharType="begin"/>
    </w:r>
    <w:r>
      <w:rPr>
        <w:b/>
        <w:bCs/>
      </w:rPr>
      <w:instrText>NUMPAGES</w:instrText>
    </w:r>
    <w:r w:rsidR="00AB1F29">
      <w:rPr>
        <w:b/>
        <w:bCs/>
      </w:rPr>
      <w:fldChar w:fldCharType="separate"/>
    </w:r>
    <w:r w:rsidR="00B161DD">
      <w:rPr>
        <w:b/>
        <w:bCs/>
        <w:noProof/>
      </w:rPr>
      <w:t>1</w:t>
    </w:r>
    <w:r w:rsidR="00AB1F29">
      <w:rPr>
        <w:b/>
        <w:bCs/>
      </w:rPr>
      <w:fldChar w:fldCharType="end"/>
    </w:r>
  </w:p>
  <w:p w:rsidR="00AB1F29" w:rsidRDefault="00AB1F29">
    <w:pPr>
      <w:pStyle w:val="Encabezado"/>
      <w:jc w:val="center"/>
      <w:rPr>
        <w:b/>
        <w:bCs/>
      </w:rPr>
    </w:pPr>
  </w:p>
  <w:p w:rsidR="00AB1F29" w:rsidRDefault="00C602F1">
    <w:pPr>
      <w:pStyle w:val="Encabezado"/>
      <w:jc w:val="right"/>
      <w:rPr>
        <w:color w:val="5B9BD5" w:themeColor="accent1"/>
      </w:rPr>
    </w:pPr>
    <w:r>
      <w:rPr>
        <w:rFonts w:ascii="Arial" w:hAnsi="Arial" w:cs="Arial"/>
        <w:color w:val="5B9BD5" w:themeColor="accent1"/>
      </w:rPr>
      <w:t xml:space="preserve">RECURSO DE REVISIÓN </w:t>
    </w:r>
    <w:r>
      <w:rPr>
        <w:rFonts w:ascii="Arial" w:hAnsi="Arial" w:cs="Arial"/>
        <w:color w:val="5B9BD5" w:themeColor="accent1"/>
      </w:rPr>
      <w:t>327</w:t>
    </w:r>
    <w:r>
      <w:rPr>
        <w:rFonts w:ascii="Arial" w:hAnsi="Arial" w:cs="Arial"/>
        <w:color w:val="5B9BD5" w:themeColor="accent1"/>
      </w:rPr>
      <w:t>/2026-2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24D7"/>
    <w:multiLevelType w:val="multilevel"/>
    <w:tmpl w:val="0B8C24D7"/>
    <w:lvl w:ilvl="0">
      <w:start w:val="1"/>
      <w:numFmt w:val="bullet"/>
      <w:lvlText w:val=""/>
      <w:lvlJc w:val="left"/>
      <w:pPr>
        <w:ind w:left="1510" w:hanging="360"/>
      </w:pPr>
      <w:rPr>
        <w:rFonts w:ascii="Symbol" w:hAnsi="Symbol" w:hint="default"/>
      </w:rPr>
    </w:lvl>
    <w:lvl w:ilvl="1">
      <w:start w:val="1"/>
      <w:numFmt w:val="bullet"/>
      <w:lvlText w:val="o"/>
      <w:lvlJc w:val="left"/>
      <w:pPr>
        <w:ind w:left="2230" w:hanging="360"/>
      </w:pPr>
      <w:rPr>
        <w:rFonts w:ascii="Courier New" w:hAnsi="Courier New" w:cs="Courier New" w:hint="default"/>
      </w:rPr>
    </w:lvl>
    <w:lvl w:ilvl="2">
      <w:start w:val="1"/>
      <w:numFmt w:val="bullet"/>
      <w:lvlText w:val=""/>
      <w:lvlJc w:val="left"/>
      <w:pPr>
        <w:ind w:left="2950" w:hanging="360"/>
      </w:pPr>
      <w:rPr>
        <w:rFonts w:ascii="Wingdings" w:hAnsi="Wingdings" w:hint="default"/>
      </w:rPr>
    </w:lvl>
    <w:lvl w:ilvl="3">
      <w:start w:val="1"/>
      <w:numFmt w:val="bullet"/>
      <w:lvlText w:val=""/>
      <w:lvlJc w:val="left"/>
      <w:pPr>
        <w:ind w:left="3670" w:hanging="360"/>
      </w:pPr>
      <w:rPr>
        <w:rFonts w:ascii="Symbol" w:hAnsi="Symbol" w:hint="default"/>
      </w:rPr>
    </w:lvl>
    <w:lvl w:ilvl="4">
      <w:start w:val="1"/>
      <w:numFmt w:val="bullet"/>
      <w:lvlText w:val="o"/>
      <w:lvlJc w:val="left"/>
      <w:pPr>
        <w:ind w:left="4390" w:hanging="360"/>
      </w:pPr>
      <w:rPr>
        <w:rFonts w:ascii="Courier New" w:hAnsi="Courier New" w:cs="Courier New" w:hint="default"/>
      </w:rPr>
    </w:lvl>
    <w:lvl w:ilvl="5">
      <w:start w:val="1"/>
      <w:numFmt w:val="bullet"/>
      <w:lvlText w:val=""/>
      <w:lvlJc w:val="left"/>
      <w:pPr>
        <w:ind w:left="5110" w:hanging="360"/>
      </w:pPr>
      <w:rPr>
        <w:rFonts w:ascii="Wingdings" w:hAnsi="Wingdings" w:hint="default"/>
      </w:rPr>
    </w:lvl>
    <w:lvl w:ilvl="6">
      <w:start w:val="1"/>
      <w:numFmt w:val="bullet"/>
      <w:lvlText w:val=""/>
      <w:lvlJc w:val="left"/>
      <w:pPr>
        <w:ind w:left="5830" w:hanging="360"/>
      </w:pPr>
      <w:rPr>
        <w:rFonts w:ascii="Symbol" w:hAnsi="Symbol" w:hint="default"/>
      </w:rPr>
    </w:lvl>
    <w:lvl w:ilvl="7">
      <w:start w:val="1"/>
      <w:numFmt w:val="bullet"/>
      <w:lvlText w:val="o"/>
      <w:lvlJc w:val="left"/>
      <w:pPr>
        <w:ind w:left="6550" w:hanging="360"/>
      </w:pPr>
      <w:rPr>
        <w:rFonts w:ascii="Courier New" w:hAnsi="Courier New" w:cs="Courier New" w:hint="default"/>
      </w:rPr>
    </w:lvl>
    <w:lvl w:ilvl="8">
      <w:start w:val="1"/>
      <w:numFmt w:val="bullet"/>
      <w:lvlText w:val=""/>
      <w:lvlJc w:val="left"/>
      <w:pPr>
        <w:ind w:left="7270" w:hanging="360"/>
      </w:pPr>
      <w:rPr>
        <w:rFonts w:ascii="Wingdings" w:hAnsi="Wingdings" w:hint="default"/>
      </w:rPr>
    </w:lvl>
  </w:abstractNum>
  <w:abstractNum w:abstractNumId="1">
    <w:nsid w:val="26CE6665"/>
    <w:multiLevelType w:val="multilevel"/>
    <w:tmpl w:val="26CE666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nsid w:val="2D820CD2"/>
    <w:multiLevelType w:val="multilevel"/>
    <w:tmpl w:val="2D820CD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nsid w:val="4FE4261F"/>
    <w:multiLevelType w:val="singleLevel"/>
    <w:tmpl w:val="4FE4261F"/>
    <w:lvl w:ilvl="0">
      <w:start w:val="1"/>
      <w:numFmt w:val="upperRoman"/>
      <w:suff w:val="space"/>
      <w:lvlText w:val="%1."/>
      <w:lvlJc w:val="left"/>
      <w:pPr>
        <w:ind w:left="0" w:firstLine="0"/>
      </w:pPr>
    </w:lvl>
  </w:abstractNum>
  <w:abstractNum w:abstractNumId="4">
    <w:nsid w:val="5A9021AF"/>
    <w:multiLevelType w:val="multilevel"/>
    <w:tmpl w:val="5A9021AF"/>
    <w:lvl w:ilvl="0">
      <w:start w:val="1"/>
      <w:numFmt w:val="upperRoman"/>
      <w:lvlText w:val="%1."/>
      <w:lvlJc w:val="left"/>
      <w:pPr>
        <w:ind w:left="1429" w:hanging="72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nsid w:val="62157BB7"/>
    <w:multiLevelType w:val="multilevel"/>
    <w:tmpl w:val="62157BB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nsid w:val="702745E5"/>
    <w:multiLevelType w:val="multilevel"/>
    <w:tmpl w:val="702745E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 w:numId="4">
    <w:abstractNumId w:val="6"/>
  </w:num>
  <w:num w:numId="5">
    <w:abstractNumId w:val="5"/>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noPunctuationKerning/>
  <w:characterSpacingControl w:val="doNotCompress"/>
  <w:hdrShapeDefaults>
    <o:shapedefaults v:ext="edit" spidmax="6146"/>
    <o:shapelayout v:ext="edit">
      <o:idmap v:ext="edit" data="3,4"/>
    </o:shapelayout>
  </w:hdrShapeDefaults>
  <w:footnotePr>
    <w:footnote w:id="-1"/>
    <w:footnote w:id="0"/>
  </w:footnotePr>
  <w:endnotePr>
    <w:endnote w:id="-1"/>
    <w:endnote w:id="0"/>
  </w:endnotePr>
  <w:compat>
    <w:doNotExpandShiftReturn/>
    <w:doNotWrapTextWithPunct/>
    <w:doNotUseEastAsianBreakRules/>
    <w:useFELayout/>
  </w:compat>
  <w:rsids>
    <w:rsidRoot w:val="00C922B1"/>
    <w:rsid w:val="0001296B"/>
    <w:rsid w:val="0004254F"/>
    <w:rsid w:val="000576AB"/>
    <w:rsid w:val="000614CC"/>
    <w:rsid w:val="00066940"/>
    <w:rsid w:val="0008283C"/>
    <w:rsid w:val="000974BF"/>
    <w:rsid w:val="000C7CBF"/>
    <w:rsid w:val="000F4E7C"/>
    <w:rsid w:val="001002D6"/>
    <w:rsid w:val="00140159"/>
    <w:rsid w:val="00145D99"/>
    <w:rsid w:val="00171F29"/>
    <w:rsid w:val="00177838"/>
    <w:rsid w:val="00197840"/>
    <w:rsid w:val="001A08F1"/>
    <w:rsid w:val="001C3A91"/>
    <w:rsid w:val="001C73A8"/>
    <w:rsid w:val="00210A45"/>
    <w:rsid w:val="002A3D87"/>
    <w:rsid w:val="00303E95"/>
    <w:rsid w:val="003430F9"/>
    <w:rsid w:val="003646B4"/>
    <w:rsid w:val="00376A7F"/>
    <w:rsid w:val="003946FE"/>
    <w:rsid w:val="003D05F9"/>
    <w:rsid w:val="003E0CAD"/>
    <w:rsid w:val="003F7761"/>
    <w:rsid w:val="00480BB6"/>
    <w:rsid w:val="004B67D7"/>
    <w:rsid w:val="004D5C40"/>
    <w:rsid w:val="005535B3"/>
    <w:rsid w:val="005742C3"/>
    <w:rsid w:val="005819E6"/>
    <w:rsid w:val="005A5A83"/>
    <w:rsid w:val="005B075C"/>
    <w:rsid w:val="005C06BA"/>
    <w:rsid w:val="005D0950"/>
    <w:rsid w:val="00660FE5"/>
    <w:rsid w:val="00672CC9"/>
    <w:rsid w:val="006E1252"/>
    <w:rsid w:val="006F0E7C"/>
    <w:rsid w:val="00722948"/>
    <w:rsid w:val="00751CDC"/>
    <w:rsid w:val="00774287"/>
    <w:rsid w:val="00781051"/>
    <w:rsid w:val="0078339A"/>
    <w:rsid w:val="007F03A3"/>
    <w:rsid w:val="00817913"/>
    <w:rsid w:val="00825AFD"/>
    <w:rsid w:val="00893430"/>
    <w:rsid w:val="008949FB"/>
    <w:rsid w:val="008A4E63"/>
    <w:rsid w:val="008D09A2"/>
    <w:rsid w:val="008D6348"/>
    <w:rsid w:val="00935B47"/>
    <w:rsid w:val="00A008FA"/>
    <w:rsid w:val="00A43144"/>
    <w:rsid w:val="00AB1C0A"/>
    <w:rsid w:val="00AB1F29"/>
    <w:rsid w:val="00AF6999"/>
    <w:rsid w:val="00B161DD"/>
    <w:rsid w:val="00B21A7E"/>
    <w:rsid w:val="00B77734"/>
    <w:rsid w:val="00BB2426"/>
    <w:rsid w:val="00BF74E8"/>
    <w:rsid w:val="00C33A9B"/>
    <w:rsid w:val="00C55802"/>
    <w:rsid w:val="00C602F1"/>
    <w:rsid w:val="00C922B1"/>
    <w:rsid w:val="00D73571"/>
    <w:rsid w:val="00DD5E58"/>
    <w:rsid w:val="00DE4D6C"/>
    <w:rsid w:val="00DF7CB9"/>
    <w:rsid w:val="00E13D1B"/>
    <w:rsid w:val="00E55BC7"/>
    <w:rsid w:val="00E9185A"/>
    <w:rsid w:val="00E97F02"/>
    <w:rsid w:val="00EB54D8"/>
    <w:rsid w:val="00EE6E26"/>
    <w:rsid w:val="00F2209C"/>
    <w:rsid w:val="00F46B31"/>
    <w:rsid w:val="00F66014"/>
    <w:rsid w:val="00F81E5D"/>
    <w:rsid w:val="00FB5148"/>
    <w:rsid w:val="00FE1F86"/>
    <w:rsid w:val="035E2ED9"/>
    <w:rsid w:val="148E1610"/>
    <w:rsid w:val="1C9F1B1E"/>
    <w:rsid w:val="264D46F0"/>
    <w:rsid w:val="29461BBA"/>
    <w:rsid w:val="3B95464E"/>
    <w:rsid w:val="3BF0621C"/>
    <w:rsid w:val="42294DF3"/>
    <w:rsid w:val="460B41FF"/>
    <w:rsid w:val="46853279"/>
    <w:rsid w:val="488D3187"/>
    <w:rsid w:val="48B50492"/>
    <w:rsid w:val="4A7067B7"/>
    <w:rsid w:val="4EB25E7F"/>
    <w:rsid w:val="4EE94FAF"/>
    <w:rsid w:val="5A192969"/>
    <w:rsid w:val="613227E3"/>
    <w:rsid w:val="61D95419"/>
    <w:rsid w:val="65292543"/>
    <w:rsid w:val="677C4CD5"/>
    <w:rsid w:val="6844471E"/>
    <w:rsid w:val="6CEE66DF"/>
    <w:rsid w:val="6FCC3619"/>
    <w:rsid w:val="735344DD"/>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header" w:semiHidden="0" w:qFormat="1"/>
    <w:lsdException w:name="footer" w:semiHidden="0" w:qFormat="1"/>
    <w:lsdException w:name="caption" w:uiPriority="35" w:qFormat="1"/>
    <w:lsdException w:name="footnote reference" w:semiHidden="0"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F29"/>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uiPriority w:val="99"/>
    <w:unhideWhenUsed/>
    <w:qFormat/>
    <w:rsid w:val="00AB1F29"/>
    <w:rPr>
      <w:vertAlign w:val="superscript"/>
    </w:rPr>
  </w:style>
  <w:style w:type="character" w:styleId="Hipervnculo">
    <w:name w:val="Hyperlink"/>
    <w:basedOn w:val="Fuentedeprrafopredeter"/>
    <w:uiPriority w:val="99"/>
    <w:unhideWhenUsed/>
    <w:qFormat/>
    <w:rsid w:val="00AB1F29"/>
    <w:rPr>
      <w:color w:val="0000FF"/>
      <w:u w:val="single"/>
    </w:rPr>
  </w:style>
  <w:style w:type="paragraph" w:styleId="Textonotapie">
    <w:name w:val="footnote text"/>
    <w:basedOn w:val="Normal"/>
    <w:link w:val="TextonotapieCar"/>
    <w:uiPriority w:val="99"/>
    <w:unhideWhenUsed/>
    <w:qFormat/>
    <w:rsid w:val="00AB1F29"/>
    <w:pPr>
      <w:spacing w:after="0" w:line="240" w:lineRule="auto"/>
      <w:jc w:val="both"/>
    </w:pPr>
    <w:rPr>
      <w:rFonts w:ascii="Times New Roman" w:eastAsia="Times New Roman" w:hAnsi="Times New Roman" w:cstheme="minorBidi"/>
      <w:lang w:val="es-ES" w:eastAsia="es-ES"/>
    </w:rPr>
  </w:style>
  <w:style w:type="paragraph" w:styleId="Textodeglobo">
    <w:name w:val="Balloon Text"/>
    <w:basedOn w:val="Normal"/>
    <w:link w:val="TextodegloboCar"/>
    <w:uiPriority w:val="99"/>
    <w:semiHidden/>
    <w:unhideWhenUsed/>
    <w:qFormat/>
    <w:rsid w:val="00AB1F29"/>
    <w:pPr>
      <w:spacing w:after="0" w:line="240" w:lineRule="auto"/>
    </w:pPr>
    <w:rPr>
      <w:rFonts w:ascii="Segoe UI" w:hAnsi="Segoe UI" w:cs="Segoe UI"/>
      <w:sz w:val="18"/>
      <w:szCs w:val="18"/>
    </w:rPr>
  </w:style>
  <w:style w:type="paragraph" w:styleId="Encabezado">
    <w:name w:val="header"/>
    <w:basedOn w:val="Normal"/>
    <w:link w:val="EncabezadoCar"/>
    <w:uiPriority w:val="99"/>
    <w:unhideWhenUsed/>
    <w:qFormat/>
    <w:rsid w:val="00AB1F29"/>
    <w:pPr>
      <w:tabs>
        <w:tab w:val="center" w:pos="4419"/>
        <w:tab w:val="right" w:pos="8838"/>
      </w:tabs>
      <w:spacing w:after="0" w:line="240" w:lineRule="auto"/>
    </w:pPr>
    <w:rPr>
      <w:sz w:val="20"/>
      <w:szCs w:val="20"/>
    </w:rPr>
  </w:style>
  <w:style w:type="paragraph" w:styleId="NormalWeb">
    <w:name w:val="Normal (Web)"/>
    <w:basedOn w:val="Normal"/>
    <w:uiPriority w:val="99"/>
    <w:unhideWhenUsed/>
    <w:qFormat/>
    <w:rsid w:val="00AB1F29"/>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iedepgina">
    <w:name w:val="footer"/>
    <w:basedOn w:val="Normal"/>
    <w:link w:val="PiedepginaCar"/>
    <w:uiPriority w:val="99"/>
    <w:unhideWhenUsed/>
    <w:qFormat/>
    <w:rsid w:val="00AB1F29"/>
    <w:pPr>
      <w:tabs>
        <w:tab w:val="center" w:pos="4419"/>
        <w:tab w:val="right" w:pos="8838"/>
      </w:tabs>
      <w:spacing w:after="0" w:line="240" w:lineRule="auto"/>
    </w:pPr>
    <w:rPr>
      <w:sz w:val="20"/>
      <w:szCs w:val="20"/>
    </w:rPr>
  </w:style>
  <w:style w:type="paragraph" w:styleId="Ttulo">
    <w:name w:val="Title"/>
    <w:basedOn w:val="Normal"/>
    <w:next w:val="Normal"/>
    <w:link w:val="TtuloCar"/>
    <w:uiPriority w:val="10"/>
    <w:qFormat/>
    <w:rsid w:val="00AB1F29"/>
    <w:pPr>
      <w:spacing w:before="240" w:after="60"/>
      <w:jc w:val="center"/>
      <w:outlineLvl w:val="0"/>
    </w:pPr>
    <w:rPr>
      <w:rFonts w:ascii="Cambria" w:eastAsia="Times New Roman" w:hAnsi="Cambria"/>
      <w:b/>
      <w:bCs/>
      <w:kern w:val="28"/>
      <w:sz w:val="32"/>
      <w:szCs w:val="32"/>
    </w:rPr>
  </w:style>
  <w:style w:type="character" w:customStyle="1" w:styleId="EncabezadoCar">
    <w:name w:val="Encabezado Car"/>
    <w:basedOn w:val="Fuentedeprrafopredeter"/>
    <w:link w:val="Encabezado"/>
    <w:uiPriority w:val="99"/>
    <w:qFormat/>
    <w:rsid w:val="00AB1F29"/>
    <w:rPr>
      <w:rFonts w:ascii="Calibri" w:eastAsia="Calibri" w:hAnsi="Calibri" w:cs="Times New Roman"/>
      <w:sz w:val="20"/>
      <w:szCs w:val="20"/>
    </w:rPr>
  </w:style>
  <w:style w:type="character" w:customStyle="1" w:styleId="PiedepginaCar">
    <w:name w:val="Pie de página Car"/>
    <w:basedOn w:val="Fuentedeprrafopredeter"/>
    <w:link w:val="Piedepgina"/>
    <w:uiPriority w:val="99"/>
    <w:qFormat/>
    <w:rsid w:val="00AB1F29"/>
    <w:rPr>
      <w:rFonts w:ascii="Calibri" w:eastAsia="Calibri" w:hAnsi="Calibri" w:cs="Times New Roman"/>
      <w:sz w:val="20"/>
      <w:szCs w:val="20"/>
    </w:rPr>
  </w:style>
  <w:style w:type="character" w:customStyle="1" w:styleId="TextonotapieCar">
    <w:name w:val="Texto nota pie Car"/>
    <w:link w:val="Textonotapie"/>
    <w:uiPriority w:val="99"/>
    <w:qFormat/>
    <w:locked/>
    <w:rsid w:val="00AB1F29"/>
    <w:rPr>
      <w:rFonts w:ascii="Times New Roman" w:eastAsia="Times New Roman" w:hAnsi="Times New Roman"/>
      <w:lang w:val="es-ES" w:eastAsia="es-ES"/>
    </w:rPr>
  </w:style>
  <w:style w:type="character" w:customStyle="1" w:styleId="TextonotapieCar1">
    <w:name w:val="Texto nota pie Car1"/>
    <w:basedOn w:val="Fuentedeprrafopredeter"/>
    <w:uiPriority w:val="99"/>
    <w:semiHidden/>
    <w:qFormat/>
    <w:rsid w:val="00AB1F29"/>
    <w:rPr>
      <w:rFonts w:ascii="Calibri" w:eastAsia="Calibri" w:hAnsi="Calibri" w:cs="Times New Roman"/>
      <w:sz w:val="20"/>
      <w:szCs w:val="20"/>
    </w:rPr>
  </w:style>
  <w:style w:type="paragraph" w:customStyle="1" w:styleId="corte1datos">
    <w:name w:val="corte1 datos"/>
    <w:basedOn w:val="Normal"/>
    <w:link w:val="corte1datosCar"/>
    <w:qFormat/>
    <w:rsid w:val="00AB1F29"/>
    <w:pPr>
      <w:spacing w:after="0" w:line="240" w:lineRule="auto"/>
      <w:ind w:left="2552"/>
    </w:pPr>
    <w:rPr>
      <w:rFonts w:ascii="Arial" w:eastAsia="Times New Roman" w:hAnsi="Arial"/>
      <w:b/>
      <w:caps/>
      <w:sz w:val="30"/>
      <w:szCs w:val="20"/>
      <w:lang w:val="zh-CN" w:eastAsia="es-MX"/>
    </w:rPr>
  </w:style>
  <w:style w:type="paragraph" w:customStyle="1" w:styleId="corte2ponente">
    <w:name w:val="corte2 ponente"/>
    <w:basedOn w:val="Normal"/>
    <w:link w:val="corte2ponenteCar"/>
    <w:uiPriority w:val="99"/>
    <w:qFormat/>
    <w:rsid w:val="00AB1F29"/>
    <w:pPr>
      <w:spacing w:after="0" w:line="240" w:lineRule="auto"/>
    </w:pPr>
    <w:rPr>
      <w:rFonts w:ascii="Arial" w:eastAsia="Times New Roman" w:hAnsi="Arial"/>
      <w:b/>
      <w:caps/>
      <w:sz w:val="30"/>
      <w:szCs w:val="20"/>
      <w:lang w:val="zh-CN" w:eastAsia="es-MX"/>
    </w:rPr>
  </w:style>
  <w:style w:type="paragraph" w:customStyle="1" w:styleId="corte4fondo">
    <w:name w:val="corte4 fondo"/>
    <w:basedOn w:val="Normal"/>
    <w:link w:val="corte4fondoCar1"/>
    <w:qFormat/>
    <w:rsid w:val="00AB1F29"/>
    <w:pPr>
      <w:spacing w:after="0" w:line="360" w:lineRule="auto"/>
      <w:ind w:firstLine="709"/>
      <w:jc w:val="both"/>
    </w:pPr>
    <w:rPr>
      <w:rFonts w:ascii="Arial" w:eastAsia="Times New Roman" w:hAnsi="Arial"/>
      <w:sz w:val="30"/>
      <w:szCs w:val="20"/>
      <w:lang w:val="zh-CN" w:eastAsia="es-MX"/>
    </w:rPr>
  </w:style>
  <w:style w:type="character" w:customStyle="1" w:styleId="corte2ponenteCar">
    <w:name w:val="corte2 ponente Car"/>
    <w:link w:val="corte2ponente"/>
    <w:uiPriority w:val="99"/>
    <w:qFormat/>
    <w:rsid w:val="00AB1F29"/>
    <w:rPr>
      <w:rFonts w:ascii="Arial" w:eastAsia="Times New Roman" w:hAnsi="Arial" w:cs="Times New Roman"/>
      <w:b/>
      <w:caps/>
      <w:sz w:val="30"/>
      <w:szCs w:val="20"/>
      <w:lang w:val="zh-CN" w:eastAsia="es-MX"/>
    </w:rPr>
  </w:style>
  <w:style w:type="character" w:customStyle="1" w:styleId="corte4fondoCar1">
    <w:name w:val="corte4 fondo Car1"/>
    <w:link w:val="corte4fondo"/>
    <w:qFormat/>
    <w:rsid w:val="00AB1F29"/>
    <w:rPr>
      <w:rFonts w:ascii="Arial" w:eastAsia="Times New Roman" w:hAnsi="Arial" w:cs="Times New Roman"/>
      <w:sz w:val="30"/>
      <w:szCs w:val="20"/>
      <w:lang w:val="zh-CN" w:eastAsia="es-MX"/>
    </w:rPr>
  </w:style>
  <w:style w:type="character" w:customStyle="1" w:styleId="corte1datosCar">
    <w:name w:val="corte1 datos Car"/>
    <w:link w:val="corte1datos"/>
    <w:qFormat/>
    <w:rsid w:val="00AB1F29"/>
    <w:rPr>
      <w:rFonts w:ascii="Arial" w:eastAsia="Times New Roman" w:hAnsi="Arial" w:cs="Times New Roman"/>
      <w:b/>
      <w:caps/>
      <w:sz w:val="30"/>
      <w:szCs w:val="20"/>
      <w:lang w:val="zh-CN" w:eastAsia="es-MX"/>
    </w:rPr>
  </w:style>
  <w:style w:type="character" w:customStyle="1" w:styleId="TtuloCar">
    <w:name w:val="Título Car"/>
    <w:basedOn w:val="Fuentedeprrafopredeter"/>
    <w:link w:val="Ttulo"/>
    <w:uiPriority w:val="10"/>
    <w:qFormat/>
    <w:rsid w:val="00AB1F29"/>
    <w:rPr>
      <w:rFonts w:ascii="Cambria" w:eastAsia="Times New Roman" w:hAnsi="Cambria" w:cs="Times New Roman"/>
      <w:b/>
      <w:bCs/>
      <w:kern w:val="28"/>
      <w:sz w:val="32"/>
      <w:szCs w:val="32"/>
    </w:rPr>
  </w:style>
  <w:style w:type="paragraph" w:customStyle="1" w:styleId="Default">
    <w:name w:val="Default"/>
    <w:qFormat/>
    <w:rsid w:val="00AB1F29"/>
    <w:pPr>
      <w:autoSpaceDE w:val="0"/>
      <w:autoSpaceDN w:val="0"/>
      <w:adjustRightInd w:val="0"/>
    </w:pPr>
    <w:rPr>
      <w:rFonts w:ascii="Arial" w:eastAsia="Calibri" w:hAnsi="Arial" w:cs="Arial"/>
      <w:color w:val="000000"/>
      <w:sz w:val="24"/>
      <w:szCs w:val="24"/>
    </w:rPr>
  </w:style>
  <w:style w:type="character" w:customStyle="1" w:styleId="il">
    <w:name w:val="il"/>
    <w:basedOn w:val="Fuentedeprrafopredeter"/>
    <w:qFormat/>
    <w:rsid w:val="00AB1F29"/>
  </w:style>
  <w:style w:type="character" w:customStyle="1" w:styleId="TextodegloboCar">
    <w:name w:val="Texto de globo Car"/>
    <w:basedOn w:val="Fuentedeprrafopredeter"/>
    <w:link w:val="Textodeglobo"/>
    <w:uiPriority w:val="99"/>
    <w:semiHidden/>
    <w:qFormat/>
    <w:rsid w:val="00AB1F29"/>
    <w:rPr>
      <w:rFonts w:ascii="Segoe UI" w:eastAsia="Calibri" w:hAnsi="Segoe UI" w:cs="Segoe U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javascript:AbrirModal(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il.google.com/mail/u/0/"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9F44B0-553A-4EE7-A3B6-61A65BB05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4186</Words>
  <Characters>23028</Characters>
  <Application>Microsoft Office Word</Application>
  <DocSecurity>0</DocSecurity>
  <Lines>191</Lines>
  <Paragraphs>54</Paragraphs>
  <ScaleCrop>false</ScaleCrop>
  <Company>Hewlett-Packard Company</Company>
  <LinksUpToDate>false</LinksUpToDate>
  <CharactersWithSpaces>27160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cegaip</cp:lastModifiedBy>
  <cp:revision>2</cp:revision>
  <cp:lastPrinted>2026-07-14T16:21:00Z</cp:lastPrinted>
  <dcterms:created xsi:type="dcterms:W3CDTF">2026-08-21T22:25:00Z</dcterms:created>
  <dcterms:modified xsi:type="dcterms:W3CDTF">2026-08-21T22:25:00Z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eyJoZGlkIjoiZjg5YzIyODE4NWMzODRlZTAyZmUxZTk0ZmQ1YTAyNGMifQ==</vt:lpwstr>
  </property>
  <property fmtid="{D5CDD505-2E9C-101B-9397-08002B2CF9AE}" pid="3" name="KSOProductBuildVer">
    <vt:lpwstr>2058-12.1.0.28032</vt:lpwstr>
  </property>
  <property fmtid="{D5CDD505-2E9C-101B-9397-08002B2CF9AE}" pid="4" name="ICV">
    <vt:lpwstr>76DCC143C55840FBA691921B1E513CE0_12</vt:lpwstr>
  </property>
</Properties>
</file>