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4209EF4A"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20BA5">
        <w:rPr>
          <w:rFonts w:ascii="AvantGarde Bk BT" w:hAnsi="AvantGarde Bk BT" w:cs="Arial"/>
          <w:b/>
          <w:color w:val="000000" w:themeColor="text1"/>
          <w:sz w:val="24"/>
          <w:szCs w:val="24"/>
        </w:rPr>
        <w:t>3</w:t>
      </w:r>
      <w:r w:rsidR="00581889">
        <w:rPr>
          <w:rFonts w:ascii="AvantGarde Bk BT" w:hAnsi="AvantGarde Bk BT" w:cs="Arial"/>
          <w:b/>
          <w:color w:val="000000" w:themeColor="text1"/>
          <w:sz w:val="24"/>
          <w:szCs w:val="24"/>
        </w:rPr>
        <w:t>23</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0A6CA9B2" w:rsidR="0004274F" w:rsidRPr="007C5605" w:rsidRDefault="00581889"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SECRETARÍA DE DESARROLLO SOCIAL Y REGIONAL</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78415EC4"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E93CAC">
        <w:rPr>
          <w:rFonts w:ascii="AvantGarde Bk BT" w:hAnsi="AvantGarde Bk BT" w:cs="Arial"/>
          <w:color w:val="000000" w:themeColor="text1"/>
          <w:sz w:val="24"/>
          <w:szCs w:val="24"/>
        </w:rPr>
        <w:t xml:space="preserve">seis </w:t>
      </w:r>
      <w:r w:rsidR="00581889">
        <w:rPr>
          <w:rFonts w:ascii="AvantGarde Bk BT" w:hAnsi="AvantGarde Bk BT" w:cs="Arial"/>
          <w:color w:val="000000" w:themeColor="text1"/>
          <w:sz w:val="24"/>
          <w:szCs w:val="24"/>
        </w:rPr>
        <w:t>de agosto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07B61634"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581889">
        <w:rPr>
          <w:rFonts w:ascii="AvantGarde Bk BT" w:hAnsi="AvantGarde Bk BT" w:cs="Arial"/>
          <w:color w:val="000000" w:themeColor="text1"/>
          <w:sz w:val="24"/>
          <w:szCs w:val="24"/>
        </w:rPr>
        <w:t>veintiuno</w:t>
      </w:r>
      <w:r w:rsidR="0095504E">
        <w:rPr>
          <w:rFonts w:ascii="AvantGarde Bk BT" w:hAnsi="AvantGarde Bk BT" w:cs="Arial"/>
          <w:color w:val="000000" w:themeColor="text1"/>
          <w:sz w:val="24"/>
          <w:szCs w:val="24"/>
        </w:rPr>
        <w:t xml:space="preserve"> de mayo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l</w:t>
      </w:r>
      <w:r w:rsidR="00581889">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sidR="00581889">
        <w:rPr>
          <w:rFonts w:ascii="AvantGarde Bk BT" w:hAnsi="AvantGarde Bk BT" w:cs="Arial"/>
          <w:b/>
          <w:color w:val="000000" w:themeColor="text1"/>
          <w:sz w:val="24"/>
          <w:szCs w:val="24"/>
        </w:rPr>
        <w:t>SECRETARÍA DE DESARROLLO SOCIAL Y REGIONAL</w:t>
      </w:r>
      <w:r w:rsidR="004F5FB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4F5FBC">
        <w:rPr>
          <w:rFonts w:ascii="AvantGarde Bk BT" w:hAnsi="AvantGarde Bk BT" w:cs="Arial"/>
          <w:color w:val="000000" w:themeColor="text1"/>
          <w:sz w:val="24"/>
          <w:szCs w:val="24"/>
        </w:rPr>
        <w:t>240</w:t>
      </w:r>
      <w:r w:rsidR="00A00F41" w:rsidRPr="00A00F41">
        <w:rPr>
          <w:rFonts w:ascii="AvantGarde Bk BT" w:hAnsi="AvantGarde Bk BT" w:cs="Arial"/>
          <w:color w:val="000000" w:themeColor="text1"/>
          <w:sz w:val="24"/>
          <w:szCs w:val="24"/>
        </w:rPr>
        <w:t>4</w:t>
      </w:r>
      <w:r w:rsidR="00581889">
        <w:rPr>
          <w:rFonts w:ascii="AvantGarde Bk BT" w:hAnsi="AvantGarde Bk BT" w:cs="Arial"/>
          <w:color w:val="000000" w:themeColor="text1"/>
          <w:sz w:val="24"/>
          <w:szCs w:val="24"/>
        </w:rPr>
        <w:t>702</w:t>
      </w:r>
      <w:r w:rsidR="004D6912">
        <w:rPr>
          <w:rFonts w:ascii="AvantGarde Bk BT" w:hAnsi="AvantGarde Bk BT" w:cs="Arial"/>
          <w:color w:val="000000" w:themeColor="text1"/>
          <w:sz w:val="24"/>
          <w:szCs w:val="24"/>
        </w:rPr>
        <w:t>260000</w:t>
      </w:r>
      <w:r w:rsidR="00581889">
        <w:rPr>
          <w:rFonts w:ascii="AvantGarde Bk BT" w:hAnsi="AvantGarde Bk BT" w:cs="Arial"/>
          <w:color w:val="000000" w:themeColor="text1"/>
          <w:sz w:val="24"/>
          <w:szCs w:val="24"/>
        </w:rPr>
        <w:t>17</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581889">
        <w:rPr>
          <w:rFonts w:ascii="AvantGarde Bk BT" w:hAnsi="AvantGarde Bk BT" w:cs="Arial"/>
          <w:color w:val="000000" w:themeColor="text1"/>
          <w:sz w:val="24"/>
          <w:szCs w:val="24"/>
        </w:rPr>
        <w:t>07</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33BB1F4D" w14:textId="3ECEFA9E" w:rsidR="00581889"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581889">
        <w:rPr>
          <w:rFonts w:ascii="AvantGarde Bk BT" w:hAnsi="AvantGarde Bk BT" w:cs="Arial"/>
          <w:b/>
          <w:color w:val="000000" w:themeColor="text1"/>
          <w:sz w:val="24"/>
          <w:szCs w:val="24"/>
        </w:rPr>
        <w:t xml:space="preserve">Ampliación del plazo de respuesta. </w:t>
      </w:r>
      <w:r w:rsidR="00581889">
        <w:rPr>
          <w:rFonts w:ascii="AvantGarde Bk BT" w:hAnsi="AvantGarde Bk BT" w:cs="Arial"/>
          <w:color w:val="000000" w:themeColor="text1"/>
          <w:sz w:val="24"/>
          <w:szCs w:val="24"/>
        </w:rPr>
        <w:t xml:space="preserve">El cuatro de junio de dos mil veintiséis la </w:t>
      </w:r>
      <w:r w:rsidR="00581889">
        <w:rPr>
          <w:rFonts w:ascii="AvantGarde Bk BT" w:hAnsi="AvantGarde Bk BT" w:cs="Arial"/>
          <w:b/>
          <w:color w:val="000000" w:themeColor="text1"/>
          <w:sz w:val="24"/>
          <w:szCs w:val="24"/>
        </w:rPr>
        <w:t xml:space="preserve">SECRETARÍA DE DESARROLLO SOCIAL Y REGIONAL </w:t>
      </w:r>
      <w:r w:rsidR="00581889">
        <w:rPr>
          <w:rFonts w:ascii="AvantGarde Bk BT" w:hAnsi="AvantGarde Bk BT" w:cs="Arial"/>
          <w:color w:val="000000" w:themeColor="text1"/>
          <w:sz w:val="24"/>
          <w:szCs w:val="24"/>
        </w:rPr>
        <w:t>notificó a la persona solicitante la prórroga para responder la solicitud de información.</w:t>
      </w:r>
    </w:p>
    <w:p w14:paraId="040714BB" w14:textId="67E887D5" w:rsidR="00581889" w:rsidRPr="00581889" w:rsidRDefault="00581889" w:rsidP="00581889">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Respuesta a la solicitud de información. </w:t>
      </w:r>
      <w:r>
        <w:rPr>
          <w:rFonts w:ascii="AvantGarde Bk BT" w:hAnsi="AvantGarde Bk BT" w:cs="Arial"/>
          <w:color w:val="000000" w:themeColor="text1"/>
          <w:sz w:val="24"/>
          <w:szCs w:val="24"/>
        </w:rPr>
        <w:t xml:space="preserve">El diecisiete de junio de dos mil veintiséis la </w:t>
      </w:r>
      <w:r>
        <w:rPr>
          <w:rFonts w:ascii="AvantGarde Bk BT" w:hAnsi="AvantGarde Bk BT" w:cs="Arial"/>
          <w:b/>
          <w:color w:val="000000" w:themeColor="text1"/>
          <w:sz w:val="24"/>
          <w:szCs w:val="24"/>
        </w:rPr>
        <w:t xml:space="preserve">SECRETARÍA DE DESARROLLO SOCIAL Y REGIONAL </w:t>
      </w:r>
      <w:r>
        <w:rPr>
          <w:rFonts w:ascii="AvantGarde Bk BT" w:hAnsi="AvantGarde Bk BT" w:cs="Arial"/>
          <w:color w:val="000000" w:themeColor="text1"/>
          <w:sz w:val="24"/>
          <w:szCs w:val="24"/>
        </w:rPr>
        <w:t>respondió la solicitud de acceso a la información.</w:t>
      </w:r>
    </w:p>
    <w:p w14:paraId="737818C9" w14:textId="394B2BB0" w:rsidR="002C2039" w:rsidRPr="002C2039" w:rsidRDefault="00581889"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95504E" w:rsidRPr="007C5605">
        <w:rPr>
          <w:rFonts w:ascii="AvantGarde Bk BT" w:hAnsi="AvantGarde Bk BT" w:cs="Arial"/>
          <w:b/>
          <w:color w:val="000000" w:themeColor="text1"/>
          <w:sz w:val="24"/>
          <w:szCs w:val="24"/>
        </w:rPr>
        <w:t>Interposición del recurso.</w:t>
      </w:r>
      <w:r w:rsidR="0095504E" w:rsidRPr="007C5605">
        <w:rPr>
          <w:rFonts w:ascii="AvantGarde Bk BT" w:hAnsi="AvantGarde Bk BT" w:cs="Arial"/>
          <w:color w:val="000000" w:themeColor="text1"/>
          <w:sz w:val="24"/>
          <w:szCs w:val="24"/>
        </w:rPr>
        <w:t xml:space="preserve"> El </w:t>
      </w:r>
      <w:r>
        <w:rPr>
          <w:rFonts w:ascii="AvantGarde Bk BT" w:hAnsi="AvantGarde Bk BT" w:cs="Arial"/>
          <w:color w:val="000000" w:themeColor="text1"/>
          <w:sz w:val="24"/>
          <w:szCs w:val="24"/>
        </w:rPr>
        <w:t>veintidós</w:t>
      </w:r>
      <w:r w:rsidR="0095504E">
        <w:rPr>
          <w:rFonts w:ascii="AvantGarde Bk BT" w:hAnsi="AvantGarde Bk BT" w:cs="Arial"/>
          <w:color w:val="000000" w:themeColor="text1"/>
          <w:sz w:val="24"/>
          <w:szCs w:val="24"/>
        </w:rPr>
        <w:t xml:space="preserve"> de junio de dos mil veintiséis</w:t>
      </w:r>
      <w:r w:rsidR="0095504E" w:rsidRPr="007C5605">
        <w:rPr>
          <w:rFonts w:ascii="AvantGarde Bk BT" w:hAnsi="AvantGarde Bk BT" w:cs="Arial"/>
          <w:color w:val="000000" w:themeColor="text1"/>
          <w:sz w:val="24"/>
          <w:szCs w:val="24"/>
        </w:rPr>
        <w:t xml:space="preserve"> </w:t>
      </w:r>
      <w:r w:rsidR="0095504E">
        <w:rPr>
          <w:rFonts w:ascii="AvantGarde Bk BT" w:hAnsi="AvantGarde Bk BT" w:cs="Arial"/>
          <w:color w:val="000000" w:themeColor="text1"/>
          <w:sz w:val="24"/>
          <w:szCs w:val="24"/>
        </w:rPr>
        <w:t xml:space="preserve">la persona solicitante </w:t>
      </w:r>
      <w:r w:rsidR="0095504E" w:rsidRPr="007C5605">
        <w:rPr>
          <w:rFonts w:ascii="AvantGarde Bk BT" w:hAnsi="AvantGarde Bk BT" w:cs="Arial"/>
          <w:color w:val="000000" w:themeColor="text1"/>
          <w:sz w:val="24"/>
          <w:szCs w:val="24"/>
        </w:rPr>
        <w:t xml:space="preserve">de la información interpuso el recurso de revisión en contra de la </w:t>
      </w:r>
      <w:r>
        <w:rPr>
          <w:rFonts w:ascii="AvantGarde Bk BT" w:hAnsi="AvantGarde Bk BT" w:cs="Arial"/>
          <w:color w:val="000000" w:themeColor="text1"/>
          <w:sz w:val="24"/>
          <w:szCs w:val="24"/>
        </w:rPr>
        <w:t>respuesta</w:t>
      </w:r>
      <w:r w:rsidR="0095504E">
        <w:rPr>
          <w:rFonts w:ascii="AvantGarde Bk BT" w:hAnsi="AvantGarde Bk BT" w:cs="Arial"/>
          <w:color w:val="000000" w:themeColor="text1"/>
          <w:sz w:val="24"/>
          <w:szCs w:val="24"/>
        </w:rPr>
        <w:t>. (visible de foja 01 de autos.)</w:t>
      </w:r>
    </w:p>
    <w:p w14:paraId="743928FA" w14:textId="45969076" w:rsidR="000C5159" w:rsidRPr="000C5159" w:rsidRDefault="00581889" w:rsidP="00476D4C">
      <w:pPr>
        <w:pStyle w:val="corte4fondo"/>
        <w:spacing w:after="240"/>
        <w:ind w:left="142"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lastRenderedPageBreak/>
        <w:t>QUINTO.</w:t>
      </w:r>
      <w:r w:rsidRPr="006B4C8C">
        <w:rPr>
          <w:rFonts w:ascii="AvantGarde Bk BT" w:hAnsi="AvantGarde Bk BT" w:cs="Arial"/>
          <w:color w:val="000000" w:themeColor="text1"/>
          <w:sz w:val="24"/>
          <w:szCs w:val="24"/>
        </w:rPr>
        <w:t xml:space="preserve"> </w:t>
      </w:r>
      <w:r w:rsidR="0095504E"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95504E" w:rsidRPr="007C5605">
        <w:rPr>
          <w:rFonts w:ascii="AvantGarde Bk BT" w:hAnsi="AvantGarde Bk BT" w:cs="Arial"/>
          <w:color w:val="000000" w:themeColor="text1"/>
          <w:sz w:val="24"/>
          <w:szCs w:val="24"/>
        </w:rPr>
        <w:t xml:space="preserve"> Mediante auto del </w:t>
      </w:r>
      <w:r>
        <w:rPr>
          <w:rFonts w:ascii="AvantGarde Bk BT" w:hAnsi="AvantGarde Bk BT" w:cs="Arial"/>
          <w:color w:val="000000" w:themeColor="text1"/>
          <w:sz w:val="24"/>
          <w:szCs w:val="24"/>
        </w:rPr>
        <w:t>veintidós</w:t>
      </w:r>
      <w:r w:rsidR="0095504E">
        <w:rPr>
          <w:rFonts w:ascii="AvantGarde Bk BT" w:hAnsi="AvantGarde Bk BT" w:cs="Arial"/>
          <w:color w:val="000000" w:themeColor="text1"/>
          <w:sz w:val="24"/>
          <w:szCs w:val="24"/>
        </w:rPr>
        <w:t xml:space="preserve"> de junio de dos mil veintiséis</w:t>
      </w:r>
      <w:r w:rsidR="0095504E" w:rsidRPr="007C5605">
        <w:rPr>
          <w:rFonts w:ascii="AvantGarde Bk BT" w:hAnsi="AvantGarde Bk BT" w:cs="Arial"/>
          <w:color w:val="000000" w:themeColor="text1"/>
          <w:sz w:val="24"/>
          <w:szCs w:val="24"/>
        </w:rPr>
        <w:t xml:space="preserve"> la presidencia de esta Comisión de Transparencia</w:t>
      </w:r>
      <w:r w:rsidR="0095504E">
        <w:rPr>
          <w:rFonts w:ascii="AvantGarde Bk BT" w:hAnsi="AvantGarde Bk BT" w:cs="Arial"/>
          <w:color w:val="000000" w:themeColor="text1"/>
          <w:sz w:val="24"/>
          <w:szCs w:val="24"/>
        </w:rPr>
        <w:t>, por conducto de la Secretaría de Pleno,</w:t>
      </w:r>
      <w:r w:rsidR="0095504E" w:rsidRPr="007C5605">
        <w:rPr>
          <w:rFonts w:ascii="AvantGarde Bk BT" w:hAnsi="AvantGarde Bk BT" w:cs="Arial"/>
          <w:color w:val="000000" w:themeColor="text1"/>
          <w:sz w:val="24"/>
          <w:szCs w:val="24"/>
        </w:rPr>
        <w:t xml:space="preserve"> tuvo por recibido el recurso de revisión, que por razón de turno, tocó conocer a la ponencia del </w:t>
      </w:r>
      <w:r w:rsidR="0095504E">
        <w:rPr>
          <w:rFonts w:ascii="AvantGarde Bk BT" w:hAnsi="AvantGarde Bk BT" w:cs="Arial"/>
          <w:color w:val="000000" w:themeColor="text1"/>
          <w:sz w:val="24"/>
          <w:szCs w:val="24"/>
        </w:rPr>
        <w:t>Comisionado Licenciado José Gerardo Navarro Alviso</w:t>
      </w:r>
      <w:r w:rsidR="0095504E"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4573DB5D" w14:textId="7A0060CB" w:rsidR="0095504E" w:rsidRPr="007C5605" w:rsidRDefault="00581889" w:rsidP="0095504E">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95504E" w:rsidRPr="003D5C15">
        <w:rPr>
          <w:rFonts w:ascii="AvantGarde Bk BT" w:hAnsi="AvantGarde Bk BT" w:cs="Arial"/>
          <w:b/>
          <w:color w:val="000000" w:themeColor="text1"/>
          <w:sz w:val="24"/>
          <w:szCs w:val="24"/>
        </w:rPr>
        <w:t>Auto de admisión</w:t>
      </w:r>
      <w:r w:rsidR="0095504E">
        <w:rPr>
          <w:rFonts w:ascii="AvantGarde Bk BT" w:hAnsi="AvantGarde Bk BT" w:cs="Arial"/>
          <w:color w:val="000000" w:themeColor="text1"/>
          <w:sz w:val="24"/>
          <w:szCs w:val="24"/>
        </w:rPr>
        <w:t xml:space="preserve">. Por proveído de </w:t>
      </w:r>
      <w:r>
        <w:rPr>
          <w:rFonts w:ascii="AvantGarde Bk BT" w:hAnsi="AvantGarde Bk BT" w:cs="Arial"/>
          <w:color w:val="000000" w:themeColor="text1"/>
          <w:sz w:val="24"/>
          <w:szCs w:val="24"/>
        </w:rPr>
        <w:t>veintitrés</w:t>
      </w:r>
      <w:r w:rsidR="0095504E">
        <w:rPr>
          <w:rFonts w:ascii="AvantGarde Bk BT" w:hAnsi="AvantGarde Bk BT" w:cs="Arial"/>
          <w:color w:val="000000" w:themeColor="text1"/>
          <w:sz w:val="24"/>
          <w:szCs w:val="24"/>
        </w:rPr>
        <w:t xml:space="preserve"> de junio de dos mil veintiséis, esta Comisión</w:t>
      </w:r>
      <w:r w:rsidR="0095504E" w:rsidRPr="007C5605">
        <w:rPr>
          <w:rFonts w:ascii="AvantGarde Bk BT" w:hAnsi="AvantGarde Bk BT" w:cs="Arial"/>
          <w:color w:val="000000" w:themeColor="text1"/>
          <w:sz w:val="24"/>
          <w:szCs w:val="24"/>
        </w:rPr>
        <w:t>:</w:t>
      </w:r>
    </w:p>
    <w:p w14:paraId="08B359AD"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38401FC" w14:textId="6D8DD5C4" w:rsidR="0095504E" w:rsidRPr="00D85914"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581889">
        <w:rPr>
          <w:rFonts w:ascii="AvantGarde Bk BT" w:hAnsi="AvantGarde Bk BT" w:cs="Arial"/>
          <w:b/>
          <w:color w:val="000000" w:themeColor="text1"/>
          <w:sz w:val="24"/>
          <w:szCs w:val="24"/>
        </w:rPr>
        <w:t>RR-323</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5A4D0CF8"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8F75990" w14:textId="67E1F9F1"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sidR="00581889">
        <w:rPr>
          <w:rFonts w:ascii="AvantGarde Bk BT" w:hAnsi="AvantGarde Bk BT" w:cs="Arial"/>
          <w:b/>
          <w:color w:val="000000" w:themeColor="text1"/>
          <w:sz w:val="24"/>
          <w:szCs w:val="24"/>
        </w:rPr>
        <w:t>I</w:t>
      </w:r>
      <w:r>
        <w:rPr>
          <w:rFonts w:ascii="AvantGarde Bk BT" w:hAnsi="AvantGarde Bk BT" w:cs="Arial"/>
          <w:b/>
          <w:color w:val="000000" w:themeColor="text1"/>
          <w:sz w:val="24"/>
          <w:szCs w:val="24"/>
        </w:rPr>
        <w:t xml:space="preserve">V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2433D07E" w14:textId="64E8FA0A" w:rsidR="0095504E" w:rsidRPr="00D6546A"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sidR="0058188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w:t>
      </w:r>
      <w:r w:rsidR="00581889">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sidR="00581889">
        <w:rPr>
          <w:rFonts w:ascii="AvantGarde Bk BT" w:hAnsi="AvantGarde Bk BT" w:cs="Arial"/>
          <w:b/>
          <w:color w:val="000000" w:themeColor="text1"/>
          <w:sz w:val="24"/>
          <w:szCs w:val="24"/>
        </w:rPr>
        <w:t>SECRETARÍA DE DESARROLLO SOCIAL Y REGIONAL</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72D229D1"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039B3209"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73DB4787"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3E53F217"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75C77F87" w14:textId="1D1FBD5A" w:rsidR="00476D4C" w:rsidRPr="0095504E" w:rsidRDefault="0095504E" w:rsidP="0095504E">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622CA05F" w14:textId="758C0DFE" w:rsidR="0095504E" w:rsidRPr="00D63D8E" w:rsidRDefault="00581889"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 C</w:t>
      </w:r>
      <w:r w:rsidR="0095504E" w:rsidRPr="00DC67E0">
        <w:rPr>
          <w:rFonts w:ascii="AvantGarde Bk BT" w:hAnsi="AvantGarde Bk BT" w:cs="Arial"/>
          <w:b/>
          <w:color w:val="000000" w:themeColor="text1"/>
          <w:sz w:val="24"/>
          <w:szCs w:val="24"/>
        </w:rPr>
        <w:t>ierre de instrucción.</w:t>
      </w:r>
      <w:r w:rsidR="0095504E" w:rsidRPr="00DC67E0">
        <w:rPr>
          <w:rFonts w:ascii="AvantGarde Bk BT" w:hAnsi="AvantGarde Bk BT" w:cs="Arial"/>
          <w:color w:val="000000" w:themeColor="text1"/>
          <w:sz w:val="24"/>
          <w:szCs w:val="24"/>
        </w:rPr>
        <w:t xml:space="preserve"> </w:t>
      </w:r>
      <w:r w:rsidR="0095504E" w:rsidRPr="00D63D8E">
        <w:rPr>
          <w:rFonts w:ascii="AvantGarde Bk BT" w:hAnsi="AvantGarde Bk BT" w:cs="Arial"/>
          <w:color w:val="000000" w:themeColor="text1"/>
          <w:sz w:val="24"/>
          <w:szCs w:val="24"/>
        </w:rPr>
        <w:t xml:space="preserve">Mediante el auto del </w:t>
      </w:r>
      <w:r>
        <w:rPr>
          <w:rFonts w:ascii="AvantGarde Bk BT" w:hAnsi="AvantGarde Bk BT" w:cs="Arial"/>
          <w:color w:val="000000" w:themeColor="text1"/>
          <w:sz w:val="24"/>
          <w:szCs w:val="24"/>
        </w:rPr>
        <w:t>seis de jul</w:t>
      </w:r>
      <w:r w:rsidR="0095504E">
        <w:rPr>
          <w:rFonts w:ascii="AvantGarde Bk BT" w:hAnsi="AvantGarde Bk BT" w:cs="Arial"/>
          <w:color w:val="000000" w:themeColor="text1"/>
          <w:sz w:val="24"/>
          <w:szCs w:val="24"/>
        </w:rPr>
        <w:t>io de dos mil veintiséis</w:t>
      </w:r>
      <w:r w:rsidR="0095504E" w:rsidRPr="00D63D8E">
        <w:rPr>
          <w:rFonts w:ascii="AvantGarde Bk BT" w:hAnsi="AvantGarde Bk BT" w:cs="Arial"/>
          <w:color w:val="000000" w:themeColor="text1"/>
          <w:sz w:val="24"/>
          <w:szCs w:val="24"/>
        </w:rPr>
        <w:t>, esta Comisión:</w:t>
      </w:r>
    </w:p>
    <w:p w14:paraId="4C352DE7" w14:textId="77777777" w:rsidR="003604D4" w:rsidRPr="00A41687" w:rsidRDefault="003604D4" w:rsidP="003604D4">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Tuvo por omiso al sujeto obligado en rendir el informe ordenado en el auto de admisión, así como en ofrecer pruebas y realizar manifestaciones en vía de alegatos.</w:t>
      </w:r>
    </w:p>
    <w:p w14:paraId="2F2EC3B9" w14:textId="77777777" w:rsidR="003604D4" w:rsidRDefault="003604D4" w:rsidP="003604D4">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En cuanto al peticionario, feneció el plazo para que presentara pruebas y manifestara lo que a su derecho conviniera.</w:t>
      </w:r>
    </w:p>
    <w:p w14:paraId="3017561E" w14:textId="357A24DA" w:rsidR="003604D4" w:rsidRDefault="003604D4" w:rsidP="003604D4">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3B47FC7E" w14:textId="77777777" w:rsidR="0095504E" w:rsidRPr="00EA2555" w:rsidRDefault="00AE0DBD"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95504E" w:rsidRPr="002F37D4">
        <w:rPr>
          <w:rFonts w:ascii="AvantGarde Bk BT" w:hAnsi="AvantGarde Bk BT" w:cs="Arial"/>
          <w:b/>
          <w:color w:val="000000" w:themeColor="text1"/>
          <w:sz w:val="24"/>
          <w:szCs w:val="24"/>
        </w:rPr>
        <w:t>Oportunidad del recurso.</w:t>
      </w:r>
      <w:r w:rsidR="0095504E"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53AE503A" w14:textId="7A9D0F74"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6C2809">
        <w:rPr>
          <w:rFonts w:ascii="AvantGarde Bk BT" w:hAnsi="AvantGarde Bk BT" w:cs="Arial"/>
          <w:color w:val="000000" w:themeColor="text1"/>
          <w:sz w:val="24"/>
          <w:szCs w:val="24"/>
        </w:rPr>
        <w:t>diecisiete de junio</w:t>
      </w:r>
      <w:r>
        <w:rPr>
          <w:rFonts w:ascii="AvantGarde Bk BT" w:hAnsi="AvantGarde Bk BT" w:cs="Arial"/>
          <w:color w:val="000000" w:themeColor="text1"/>
          <w:sz w:val="24"/>
          <w:szCs w:val="24"/>
        </w:rPr>
        <w:t xml:space="preserve"> de dos mil veintiséis, el peticionario </w:t>
      </w:r>
      <w:r w:rsidR="006C2809">
        <w:rPr>
          <w:rFonts w:ascii="AvantGarde Bk BT" w:hAnsi="AvantGarde Bk BT" w:cs="Arial"/>
          <w:color w:val="000000" w:themeColor="text1"/>
          <w:sz w:val="24"/>
          <w:szCs w:val="24"/>
        </w:rPr>
        <w:t>recibió la respuesta d</w:t>
      </w:r>
      <w:r>
        <w:rPr>
          <w:rFonts w:ascii="AvantGarde Bk BT" w:hAnsi="AvantGarde Bk BT" w:cs="Arial"/>
          <w:color w:val="000000" w:themeColor="text1"/>
          <w:sz w:val="24"/>
          <w:szCs w:val="24"/>
        </w:rPr>
        <w:t>el sujeto obligado.</w:t>
      </w:r>
    </w:p>
    <w:p w14:paraId="6148B4D5" w14:textId="3CA9C723"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w:t>
      </w:r>
      <w:r w:rsidR="006C2809" w:rsidRPr="00726D64">
        <w:rPr>
          <w:rFonts w:ascii="AvantGarde Bk BT" w:hAnsi="AvantGarde Bk BT" w:cs="Arial"/>
          <w:color w:val="000000" w:themeColor="text1"/>
          <w:sz w:val="24"/>
          <w:szCs w:val="24"/>
        </w:rPr>
        <w:t xml:space="preserve">el plazo de los quince días hábiles para interponer el recurso de revisión transcurrió </w:t>
      </w:r>
      <w:r w:rsidR="006C2809">
        <w:rPr>
          <w:rFonts w:ascii="AvantGarde Bk BT" w:hAnsi="AvantGarde Bk BT" w:cs="Arial"/>
          <w:color w:val="000000" w:themeColor="text1"/>
          <w:sz w:val="24"/>
          <w:szCs w:val="24"/>
        </w:rPr>
        <w:t>del</w:t>
      </w:r>
      <w:r>
        <w:rPr>
          <w:rFonts w:ascii="AvantGarde Bk BT" w:hAnsi="AvantGarde Bk BT" w:cs="Arial"/>
          <w:color w:val="000000" w:themeColor="text1"/>
          <w:sz w:val="24"/>
          <w:szCs w:val="24"/>
        </w:rPr>
        <w:t xml:space="preserve"> </w:t>
      </w:r>
      <w:r w:rsidR="006C2809">
        <w:rPr>
          <w:rFonts w:ascii="AvantGarde Bk BT" w:hAnsi="AvantGarde Bk BT" w:cs="Arial"/>
          <w:color w:val="000000" w:themeColor="text1"/>
          <w:sz w:val="24"/>
          <w:szCs w:val="24"/>
        </w:rPr>
        <w:t>dieciocho de junio al ocho de julio</w:t>
      </w:r>
      <w:r>
        <w:rPr>
          <w:rFonts w:ascii="AvantGarde Bk BT" w:hAnsi="AvantGarde Bk BT" w:cs="Arial"/>
          <w:color w:val="000000" w:themeColor="text1"/>
          <w:sz w:val="24"/>
          <w:szCs w:val="24"/>
        </w:rPr>
        <w:t xml:space="preserve"> de dos mil veintiséis, sin tomar en cuenta el </w:t>
      </w:r>
      <w:r w:rsidR="006C2809">
        <w:rPr>
          <w:rFonts w:ascii="AvantGarde Bk BT" w:hAnsi="AvantGarde Bk BT" w:cs="Arial"/>
          <w:color w:val="000000" w:themeColor="text1"/>
          <w:sz w:val="24"/>
          <w:szCs w:val="24"/>
        </w:rPr>
        <w:t>veinte, veintiuno, veintisiete y veintiocho de junio, así como el cuatro y cinco de julio de dos mil veintiséis</w:t>
      </w:r>
      <w:r>
        <w:rPr>
          <w:rFonts w:ascii="AvantGarde Bk BT" w:hAnsi="AvantGarde Bk BT" w:cs="Arial"/>
          <w:color w:val="000000" w:themeColor="text1"/>
          <w:sz w:val="24"/>
          <w:szCs w:val="24"/>
        </w:rPr>
        <w:t>, por ser inhábiles</w:t>
      </w:r>
      <w:r w:rsidR="006C2809">
        <w:rPr>
          <w:rFonts w:ascii="AvantGarde Bk BT" w:hAnsi="AvantGarde Bk BT" w:cs="Arial"/>
          <w:color w:val="000000" w:themeColor="text1"/>
          <w:sz w:val="24"/>
          <w:szCs w:val="24"/>
        </w:rPr>
        <w:t>.</w:t>
      </w:r>
    </w:p>
    <w:p w14:paraId="04CDB050" w14:textId="427EA43C" w:rsidR="0095504E" w:rsidRPr="007C5605" w:rsidRDefault="0095504E" w:rsidP="0095504E">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C2809">
        <w:rPr>
          <w:rFonts w:ascii="AvantGarde Bk BT" w:hAnsi="AvantGarde Bk BT" w:cs="Arial"/>
          <w:color w:val="000000" w:themeColor="text1"/>
          <w:sz w:val="24"/>
          <w:szCs w:val="24"/>
        </w:rPr>
        <w:t>veintidós</w:t>
      </w:r>
      <w:r w:rsidR="000C7A1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junio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43FC25EE" w:rsidR="002B7639" w:rsidRPr="00627F78" w:rsidRDefault="00AE0DBD" w:rsidP="0095504E">
      <w:pPr>
        <w:pStyle w:val="corte4fondo"/>
        <w:tabs>
          <w:tab w:val="left" w:pos="567"/>
        </w:tabs>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2DFD08BB"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64412EA5" w:rsidR="000D589A" w:rsidRDefault="002239D8" w:rsidP="00A626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6C2809">
        <w:rPr>
          <w:rFonts w:ascii="AvantGarde Bk BT" w:hAnsi="AvantGarde Bk BT" w:cs="Arial"/>
          <w:color w:val="000000" w:themeColor="text1"/>
          <w:sz w:val="24"/>
          <w:szCs w:val="24"/>
        </w:rPr>
        <w:t>240</w:t>
      </w:r>
      <w:r w:rsidR="006C2809" w:rsidRPr="00A00F41">
        <w:rPr>
          <w:rFonts w:ascii="AvantGarde Bk BT" w:hAnsi="AvantGarde Bk BT" w:cs="Arial"/>
          <w:color w:val="000000" w:themeColor="text1"/>
          <w:sz w:val="24"/>
          <w:szCs w:val="24"/>
        </w:rPr>
        <w:t>4</w:t>
      </w:r>
      <w:r w:rsidR="006C2809">
        <w:rPr>
          <w:rFonts w:ascii="AvantGarde Bk BT" w:hAnsi="AvantGarde Bk BT" w:cs="Arial"/>
          <w:color w:val="000000" w:themeColor="text1"/>
          <w:sz w:val="24"/>
          <w:szCs w:val="24"/>
        </w:rPr>
        <w:t>70226000017</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B4A4DC6" w14:textId="0A13EC02" w:rsidR="00FC2715" w:rsidRPr="008D4CCC" w:rsidRDefault="00FC2715" w:rsidP="00547C58">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857C56" w:rsidRPr="00857C56">
        <w:rPr>
          <w:rFonts w:ascii="AvantGarde Bk BT" w:eastAsia="Times New Roman" w:hAnsi="AvantGarde Bk BT" w:cs="Arial"/>
          <w:i/>
          <w:color w:val="000000" w:themeColor="text1"/>
          <w:szCs w:val="24"/>
        </w:rPr>
        <w:t xml:space="preserve">Solicito copia de los convenios de confidencialidad, protección de datos personales y resguardo de información celebrados entre SEDESORE y las empresas responsables de dispersión de apoyos sociales mediante monederos electrónicos, tarjetas o vales durante </w:t>
      </w:r>
      <w:r w:rsidR="00857C56">
        <w:rPr>
          <w:rFonts w:ascii="AvantGarde Bk BT" w:eastAsia="Times New Roman" w:hAnsi="AvantGarde Bk BT" w:cs="Arial"/>
          <w:i/>
          <w:color w:val="000000" w:themeColor="text1"/>
          <w:szCs w:val="24"/>
        </w:rPr>
        <w:t>2023, 2024, 2025 y 2026</w:t>
      </w:r>
      <w:r w:rsidR="00547C58" w:rsidRPr="00547C58">
        <w:rPr>
          <w:rFonts w:ascii="AvantGarde Bk BT" w:eastAsia="Times New Roman" w:hAnsi="AvantGarde Bk BT" w:cs="Arial"/>
          <w:i/>
          <w:color w:val="000000" w:themeColor="text1"/>
          <w:szCs w:val="24"/>
        </w:rPr>
        <w:t>.</w:t>
      </w:r>
      <w:r w:rsidRPr="007D707E">
        <w:rPr>
          <w:rFonts w:ascii="AvantGarde Bk BT" w:eastAsia="Times New Roman" w:hAnsi="AvantGarde Bk BT" w:cs="Arial"/>
          <w:color w:val="000000" w:themeColor="text1"/>
          <w:sz w:val="24"/>
          <w:szCs w:val="24"/>
        </w:rPr>
        <w:t>” SIC.</w:t>
      </w:r>
      <w:r>
        <w:rPr>
          <w:rFonts w:ascii="AvantGarde Bk BT" w:eastAsia="Times New Roman" w:hAnsi="AvantGarde Bk BT" w:cs="Arial"/>
          <w:i/>
          <w:color w:val="000000" w:themeColor="text1"/>
          <w:sz w:val="24"/>
          <w:szCs w:val="24"/>
        </w:rPr>
        <w:t xml:space="preserve"> </w:t>
      </w:r>
      <w:r w:rsidR="00857C56">
        <w:rPr>
          <w:rFonts w:ascii="AvantGarde Bk BT" w:eastAsia="Times New Roman" w:hAnsi="AvantGarde Bk BT" w:cs="Arial"/>
          <w:color w:val="000000" w:themeColor="text1"/>
          <w:sz w:val="24"/>
          <w:szCs w:val="24"/>
        </w:rPr>
        <w:t>(Visible a foja 07</w:t>
      </w:r>
      <w:r w:rsidRPr="007C0FB6">
        <w:rPr>
          <w:rFonts w:ascii="AvantGarde Bk BT" w:eastAsia="Times New Roman" w:hAnsi="AvantGarde Bk BT" w:cs="Arial"/>
          <w:color w:val="000000" w:themeColor="text1"/>
          <w:sz w:val="24"/>
          <w:szCs w:val="24"/>
        </w:rPr>
        <w:t xml:space="preserve"> de autos).</w:t>
      </w:r>
    </w:p>
    <w:p w14:paraId="10167955" w14:textId="77777777" w:rsidR="00857C56" w:rsidRDefault="00857C56" w:rsidP="00857C5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consta en autos que el sujeto obligado, por conducto de la Unidad de Transparencia, respondió la solicitud de información en los siguientes términos:</w:t>
      </w:r>
    </w:p>
    <w:p w14:paraId="6964EA22"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Pr="00857C56">
        <w:rPr>
          <w:rFonts w:ascii="AvantGarde Bk BT" w:hAnsi="AvantGarde Bk BT" w:cs="Arial"/>
          <w:i/>
          <w:color w:val="000000" w:themeColor="text1"/>
          <w:sz w:val="22"/>
          <w:szCs w:val="24"/>
        </w:rPr>
        <w:t xml:space="preserve">Solicitante Periodismo de Investigación. </w:t>
      </w:r>
    </w:p>
    <w:p w14:paraId="41EC5CC0"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Presente.- </w:t>
      </w:r>
    </w:p>
    <w:p w14:paraId="78B5135C"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En atención a su solicitud con folio 240470226000017, a través de la cual nos solicita lo siguiente: Solicito copia de los convenios de confidencialidad, protección de datos personales y resguardo de información celebrados entre SEDESORE y las empresas responsables de dispersión de apoyos sociales mediante monederos electrónicos, tarjetas o vales durante 2023, 2024, 2025 y 2026. </w:t>
      </w:r>
    </w:p>
    <w:p w14:paraId="50A775A9"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Al respecto le informamos lo siguiente: </w:t>
      </w:r>
    </w:p>
    <w:p w14:paraId="2C4F9996"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Una vez analizada su solicitud de información; conforme a derecho esta Unidad de Transparencia se sirve a informar deforma fundada y motivada la presente respuesta acorde a lo siguiente: </w:t>
      </w:r>
    </w:p>
    <w:p w14:paraId="0963C2A8"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PRIMERO.- Que de conformidad con el artículo 143 de la Ley de Transparencia y Acceso a la Información Pública del Estado de San Luis Potosí, es la Unidad de Transparencia la instancia al interior de la Secretaría de Desarrollo Social y Regional del Gobierno del Estado de San Luis Potosí, responsable de garantizar las medidas y condiciones de accesibilidad para que toda persona pueda ejercer el derecho acceso a la información. </w:t>
      </w:r>
    </w:p>
    <w:p w14:paraId="2F845B82"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SEGUNDO.- Ahora se da parte que el derecho de acceso a la información pública tiene como cualidad fundamental permitir a cualquier persona acceder a la información generada, administrada o en posesión de los sujetos obligados, en términos claros, accesibles y sin necesidad de justificar interés. Para garantizar este derecho, la solicitud debe cumplir con ciertas características, conforme a la ley transparencia y acceso a la información pública del estado de San Luis potosí. </w:t>
      </w:r>
    </w:p>
    <w:p w14:paraId="0DCA0F25"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TERCERO.- Ahora bien, el derecho de petición y el derecho acceso a la información son prerrogativas constitucionales que comparten ciertas similitudes, como ser mecanismos de interacción entre los ciudadanos y las autoridades; sin embargo, presentan diferencias esenciales en cuanto su a su objeto, finalidad y regulación jurídica. </w:t>
      </w:r>
    </w:p>
    <w:p w14:paraId="232E55A3" w14:textId="77777777" w:rsidR="00857C56"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El derecho de petición consagrado en el artículo 8° de la Constitución Política de los Estados Unidos Mexicanos, faculta a los ciudadanos para formular solicitudes </w:t>
      </w:r>
      <w:r w:rsidRPr="00857C56">
        <w:rPr>
          <w:rFonts w:ascii="AvantGarde Bk BT" w:hAnsi="AvantGarde Bk BT" w:cs="Arial"/>
          <w:i/>
          <w:color w:val="000000" w:themeColor="text1"/>
          <w:sz w:val="22"/>
          <w:szCs w:val="24"/>
        </w:rPr>
        <w:lastRenderedPageBreak/>
        <w:t xml:space="preserve">respetuosas a las autoridades competentes, con la expectativa de obtener una respuesta en tiempo razonable. Este Derecho está orientado a atender situaciones particulares del solicitante, que pueden incluir demandas de acción, información o resolución específica por parte de las autoridades. Su ejercicio requiere que las peticiones estén expresadas de manera clara, respetuosa y dirigida al órgano competente, quien tiene la obligación de emitir una respuesta formal, aunque no necesariamente favorable para el solicitante. </w:t>
      </w:r>
    </w:p>
    <w:p w14:paraId="77F81A71"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CUARTO.- Se da cuenta a la persona solicitante que las respuestas a solicitudes de información presentadas, de acuerdo con el criterio de interpretación SO/003/2017 emitido por el Pleno del Instituto Nacional de Transparencia, Acceso a la Información Pública y Protección de Datos Personales (INAI), no se emiten con la obligación de generar documentación ad hoc a efecto de dar una respuesta, para un correcto proveer se trae a la letra el contenido del criterio en comento: </w:t>
      </w:r>
    </w:p>
    <w:p w14:paraId="4A0BF15B"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No existe obligación de elaborar documentos ad hoc para atender las solicitudes de acceso a la información.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62EA7A05"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Lo anterior se adminicula con lo señalado en los artículos 59 y 60 de la Ley de Transparencia y Acceso a la Información Pública del Estado de San Luis Potosí, normativa que establece: ARTÍCULO 59. Los sujetos obligados deben proporcionar la información solicitada en la modalidad en que se encuentre. Cuando la información requerida se encuentre en dos o más tipos de formatos, el solicitante elegirá entre los formatos, para la entrega correspondiente. </w:t>
      </w:r>
    </w:p>
    <w:p w14:paraId="059F160D"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ARTÍCULO 60. En la formulación, producción, procesamiento, administración, archivo y resguardo de la información, debe atenderse al principio de la máxima publicidad, con el objeto de facilitar el acceso de cualquier persona a su conocimiento. </w:t>
      </w:r>
    </w:p>
    <w:p w14:paraId="31E91983"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52EB7DD1"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Es entonces que, queda de manifiesto que las respuestas a pedimentos de información, que obra en posesión de la Secretaria de Desarrollo Social y Regional del Gobierno del Estado de San Luis Potosí como sujeto obligado, se realiza aportando la misma en la forma y estado en que se encuentra por disposición de Ley, esto conforme a la normatividad aplicable, y que no se generara expresión documental ad hoc que dé respuesta a lo solicitado. </w:t>
      </w:r>
    </w:p>
    <w:p w14:paraId="17ED7854"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Se da respuesta conforme a lo señalado en los artículos 59, 60, 143, 150,151 y 156 de la Ley de Transparencia y Acceso a la Información Pública del Estado de San Luis Potosí. </w:t>
      </w:r>
    </w:p>
    <w:p w14:paraId="74386018" w14:textId="77777777" w:rsidR="00E34DDC" w:rsidRDefault="00857C56" w:rsidP="00857C56">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57C56">
        <w:rPr>
          <w:rFonts w:ascii="AvantGarde Bk BT" w:hAnsi="AvantGarde Bk BT" w:cs="Arial"/>
          <w:i/>
          <w:color w:val="000000" w:themeColor="text1"/>
          <w:sz w:val="22"/>
          <w:szCs w:val="24"/>
        </w:rPr>
        <w:t xml:space="preserve">ATENTAMENTE </w:t>
      </w:r>
    </w:p>
    <w:p w14:paraId="08910210" w14:textId="4B50C23C" w:rsidR="00857C56" w:rsidRDefault="00857C56" w:rsidP="00857C56">
      <w:pPr>
        <w:pStyle w:val="corte4fondo"/>
        <w:tabs>
          <w:tab w:val="left" w:pos="567"/>
        </w:tabs>
        <w:spacing w:line="240" w:lineRule="auto"/>
        <w:ind w:left="680" w:right="680" w:firstLine="0"/>
        <w:rPr>
          <w:rFonts w:ascii="AvantGarde Bk BT" w:hAnsi="AvantGarde Bk BT" w:cs="Arial"/>
          <w:color w:val="000000" w:themeColor="text1"/>
          <w:sz w:val="24"/>
          <w:szCs w:val="24"/>
        </w:rPr>
      </w:pPr>
      <w:r w:rsidRPr="00857C56">
        <w:rPr>
          <w:rFonts w:ascii="AvantGarde Bk BT" w:hAnsi="AvantGarde Bk BT" w:cs="Arial"/>
          <w:i/>
          <w:color w:val="000000" w:themeColor="text1"/>
          <w:sz w:val="22"/>
          <w:szCs w:val="24"/>
        </w:rPr>
        <w:t xml:space="preserve">LA UNIDAD DE TRANSPARENCIA DE LA SECRETARÍA </w:t>
      </w:r>
      <w:r>
        <w:rPr>
          <w:rFonts w:ascii="AvantGarde Bk BT" w:hAnsi="AvantGarde Bk BT" w:cs="Arial"/>
          <w:i/>
          <w:color w:val="000000" w:themeColor="text1"/>
          <w:sz w:val="22"/>
          <w:szCs w:val="24"/>
        </w:rPr>
        <w:t>DE DESARROLLO SOCIAL Y REGIONAL</w:t>
      </w:r>
      <w:r w:rsidRPr="00487E4E">
        <w:rPr>
          <w:rFonts w:ascii="AvantGarde Bk BT" w:hAnsi="AvantGarde Bk BT" w:cs="Arial"/>
          <w:color w:val="000000" w:themeColor="text1"/>
          <w:sz w:val="22"/>
          <w:szCs w:val="24"/>
        </w:rPr>
        <w:t>.</w:t>
      </w:r>
      <w:r>
        <w:rPr>
          <w:rFonts w:ascii="AvantGarde Bk BT" w:hAnsi="AvantGarde Bk BT" w:cs="Arial"/>
          <w:color w:val="000000" w:themeColor="text1"/>
          <w:sz w:val="24"/>
          <w:szCs w:val="24"/>
        </w:rPr>
        <w:t>”</w:t>
      </w:r>
    </w:p>
    <w:p w14:paraId="3E08DFCD" w14:textId="77777777" w:rsidR="00857C56" w:rsidRDefault="00857C56" w:rsidP="00857C56">
      <w:pPr>
        <w:spacing w:before="240" w:line="360" w:lineRule="auto"/>
        <w:ind w:firstLine="709"/>
        <w:jc w:val="both"/>
        <w:rPr>
          <w:rFonts w:ascii="AvantGarde Bk BT" w:hAnsi="AvantGarde Bk BT" w:cs="Arial"/>
          <w:color w:val="000000" w:themeColor="text1"/>
          <w:sz w:val="24"/>
          <w:szCs w:val="24"/>
        </w:rPr>
      </w:pPr>
      <w:r w:rsidRPr="00132E47">
        <w:rPr>
          <w:rFonts w:ascii="AvantGarde Bk BT" w:hAnsi="AvantGarde Bk BT" w:cs="Arial"/>
          <w:color w:val="000000" w:themeColor="text1"/>
          <w:sz w:val="24"/>
          <w:szCs w:val="24"/>
        </w:rPr>
        <w:lastRenderedPageBreak/>
        <w:t xml:space="preserve">Ahora bien, resulta oportuno precisar que no es necesario que esta Comisión transcriba los agravios vertidos por </w:t>
      </w:r>
      <w:r>
        <w:rPr>
          <w:rFonts w:ascii="AvantGarde Bk BT" w:hAnsi="AvantGarde Bk BT" w:cs="Arial"/>
          <w:color w:val="000000" w:themeColor="text1"/>
          <w:sz w:val="24"/>
          <w:szCs w:val="24"/>
        </w:rPr>
        <w:t>la parte</w:t>
      </w:r>
      <w:r w:rsidRPr="00132E47">
        <w:rPr>
          <w:rFonts w:ascii="AvantGarde Bk BT" w:hAnsi="AvantGarde Bk BT" w:cs="Arial"/>
          <w:color w:val="000000" w:themeColor="text1"/>
          <w:sz w:val="24"/>
          <w:szCs w:val="24"/>
        </w:rPr>
        <w:t xml:space="preserve"> recurrente para efecto de cumplir con los principios de congruencia y exhaustividad en la resolución, toda vez que dichos principios pueden ser satisfechos al establecer los puntos controvertidos dentro del recurso de revisión.</w:t>
      </w:r>
    </w:p>
    <w:p w14:paraId="757E99F4"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con fundamento en la siguiente jurisprudencia aplicable por analogía de razón:</w:t>
      </w:r>
    </w:p>
    <w:p w14:paraId="14E527B8" w14:textId="77777777" w:rsidR="00857C56" w:rsidRDefault="00857C56" w:rsidP="00857C56">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36317DE9" w14:textId="32FF8A3F" w:rsidR="00857C56" w:rsidRPr="00F5588F" w:rsidRDefault="00857C56" w:rsidP="00857C5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é</w:t>
      </w:r>
      <w:r w:rsidRPr="00701A15">
        <w:rPr>
          <w:rFonts w:ascii="AvantGarde Bk BT" w:hAnsi="AvantGarde Bk BT" w:cs="Arial"/>
          <w:color w:val="000000" w:themeColor="text1"/>
          <w:sz w:val="24"/>
          <w:szCs w:val="24"/>
        </w:rPr>
        <w:t>ste contexto, el solicitante de la información interpuso este recurso de revisión contra dicha respuesta y</w:t>
      </w:r>
      <w:r>
        <w:rPr>
          <w:rFonts w:ascii="AvantGarde Bk BT" w:hAnsi="AvantGarde Bk BT" w:cs="Arial"/>
          <w:color w:val="000000" w:themeColor="text1"/>
          <w:sz w:val="24"/>
          <w:szCs w:val="24"/>
        </w:rPr>
        <w:t xml:space="preserve"> señaló como</w:t>
      </w:r>
      <w:r w:rsidRPr="00CE7D4B">
        <w:rPr>
          <w:rFonts w:ascii="AvantGarde Bk BT" w:hAnsi="AvantGarde Bk BT" w:cs="Arial"/>
          <w:color w:val="000000" w:themeColor="text1"/>
          <w:sz w:val="24"/>
          <w:szCs w:val="24"/>
        </w:rPr>
        <w:t xml:space="preserve"> motivo</w:t>
      </w:r>
      <w:r>
        <w:rPr>
          <w:rFonts w:ascii="AvantGarde Bk BT" w:hAnsi="AvantGarde Bk BT" w:cs="Arial"/>
          <w:color w:val="000000" w:themeColor="text1"/>
          <w:sz w:val="24"/>
          <w:szCs w:val="24"/>
        </w:rPr>
        <w:t>s</w:t>
      </w:r>
      <w:r w:rsidRPr="00CE7D4B">
        <w:rPr>
          <w:rFonts w:ascii="AvantGarde Bk BT" w:hAnsi="AvantGarde Bk BT" w:cs="Arial"/>
          <w:color w:val="000000" w:themeColor="text1"/>
          <w:sz w:val="24"/>
          <w:szCs w:val="24"/>
        </w:rPr>
        <w:t xml:space="preserve"> de disenso</w:t>
      </w:r>
      <w:r w:rsidR="00E34DD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la entrega de información incompleta</w:t>
      </w:r>
      <w:r w:rsidRPr="00CE7D4B">
        <w:rPr>
          <w:rFonts w:ascii="AvantGarde Bk BT" w:hAnsi="AvantGarde Bk BT" w:cs="Arial"/>
          <w:color w:val="000000" w:themeColor="text1"/>
          <w:sz w:val="24"/>
          <w:szCs w:val="24"/>
        </w:rPr>
        <w:t>.</w:t>
      </w:r>
    </w:p>
    <w:p w14:paraId="23B812BC"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67B38DE3" w14:textId="77777777" w:rsidR="00857C56" w:rsidRDefault="00857C56" w:rsidP="00857C56">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6E572444" w14:textId="77777777"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criterio antes anotado, se aprecia que, cuando en un recurso de revisión la parte recurrente no expresa inconformidad alguna con determinados aspectos de </w:t>
      </w:r>
      <w:r>
        <w:rPr>
          <w:rFonts w:ascii="AvantGarde Bk BT" w:hAnsi="AvantGarde Bk BT" w:cs="Arial"/>
          <w:color w:val="000000" w:themeColor="text1"/>
          <w:sz w:val="24"/>
          <w:szCs w:val="24"/>
        </w:rPr>
        <w:lastRenderedPageBreak/>
        <w:t>la respuesta emitida por el sujeto obligado, se entiende como tácitamente consentidas y, por ende, no forman parte del estudio de fondo de la resolución que al efecto se emita en el recurso de revisión respectivo.</w:t>
      </w:r>
    </w:p>
    <w:p w14:paraId="201726A3" w14:textId="77777777"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7B5BA8F6" w14:textId="77777777" w:rsidR="00E34DDC" w:rsidRDefault="00E34DDC"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Establecido lo anterior, es necesario puntualizar que la Ley de Transparencia local prescribe la Unidad de Transparencia deberá turnar la solicitud de información a todas aquellas áreas que cuenten con atribuciones para generar, archivar y/o resguardar la información solicitada.</w:t>
      </w:r>
      <w:r>
        <w:rPr>
          <w:rStyle w:val="Refdenotaalpie"/>
          <w:rFonts w:ascii="AvantGarde Bk BT" w:hAnsi="AvantGarde Bk BT" w:cs="Arial"/>
          <w:color w:val="000000" w:themeColor="text1"/>
          <w:sz w:val="24"/>
          <w:szCs w:val="24"/>
        </w:rPr>
        <w:footnoteReference w:id="2"/>
      </w:r>
    </w:p>
    <w:p w14:paraId="066DDEE8" w14:textId="77777777" w:rsidR="00E34DDC" w:rsidRPr="007A5577" w:rsidRDefault="00E34DDC"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la ley en comento prevé que </w:t>
      </w:r>
      <w:r w:rsidRPr="00DA312C">
        <w:rPr>
          <w:rFonts w:ascii="AvantGarde Bk BT" w:hAnsi="AvantGarde Bk BT" w:cs="Arial"/>
          <w:b/>
          <w:sz w:val="24"/>
          <w:szCs w:val="24"/>
          <w:u w:val="single"/>
        </w:rPr>
        <w:t>los sujetos obligados se encuentran constreñidos a proporcionar la información que se encuentra en su posesión</w:t>
      </w:r>
      <w:r w:rsidRPr="00DA312C">
        <w:rPr>
          <w:rFonts w:ascii="AvantGarde Bk BT" w:hAnsi="AvantGarde Bk BT" w:cs="Arial"/>
          <w:sz w:val="24"/>
          <w:szCs w:val="24"/>
        </w:rPr>
        <w:t>, lo anterior para efecto de permitir que el derecho de acceso a la información se encuentre satisfecho</w:t>
      </w:r>
      <w:r w:rsidRPr="00327C7F">
        <w:rPr>
          <w:rFonts w:ascii="AvantGarde Bk BT" w:hAnsi="AvantGarde Bk BT" w:cs="Arial"/>
          <w:sz w:val="24"/>
          <w:szCs w:val="24"/>
        </w:rPr>
        <w:t>.</w:t>
      </w:r>
      <w:r w:rsidRPr="00327C7F">
        <w:rPr>
          <w:rFonts w:ascii="AvantGarde Bk BT" w:hAnsi="AvantGarde Bk BT" w:cs="Arial"/>
          <w:sz w:val="24"/>
          <w:szCs w:val="24"/>
          <w:vertAlign w:val="superscript"/>
        </w:rPr>
        <w:footnoteReference w:id="3"/>
      </w:r>
    </w:p>
    <w:p w14:paraId="400D0F5F" w14:textId="77777777" w:rsidR="00E34DDC" w:rsidRDefault="00E34DDC" w:rsidP="00E34DDC">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4"/>
      </w:r>
    </w:p>
    <w:p w14:paraId="501385FA"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lastRenderedPageBreak/>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1807B931"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7B583974" w14:textId="77777777" w:rsidR="00E34DDC"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02A1213D"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estos deben de entregar la expresión documental que contenga la información solicitada y evitar proporcionar una respuesta elaborada acorde a los requerimientos del peticionario</w:t>
      </w:r>
      <w:r>
        <w:rPr>
          <w:rFonts w:ascii="AvantGarde Bk BT" w:hAnsi="AvantGarde Bk BT" w:cs="Arial"/>
          <w:sz w:val="24"/>
          <w:szCs w:val="24"/>
        </w:rPr>
        <w:t>.</w:t>
      </w:r>
    </w:p>
    <w:p w14:paraId="7A84CBA4"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53855268" w14:textId="77777777" w:rsidR="00E34DDC" w:rsidRPr="00204353"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w:t>
      </w:r>
      <w:r w:rsidRPr="00847F87">
        <w:rPr>
          <w:rFonts w:ascii="AvantGarde Bk BT" w:hAnsi="AvantGarde Bk BT" w:cs="Arial"/>
          <w:i/>
          <w:sz w:val="22"/>
          <w:szCs w:val="24"/>
        </w:rPr>
        <w:lastRenderedPageBreak/>
        <w:t xml:space="preserve">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3CB74C0E" w14:textId="77777777" w:rsidR="00E34DDC" w:rsidRPr="00D14D6C" w:rsidRDefault="00E34DDC" w:rsidP="00E34DD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33A31D04" w14:textId="53DCE8B2" w:rsidR="00DB5D63" w:rsidRDefault="00893082"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de acuerdo con la solicitud de información la persona ahora recurrente solicitó el convenio </w:t>
      </w:r>
      <w:r w:rsidR="00F76E31" w:rsidRPr="00F76E31">
        <w:rPr>
          <w:rFonts w:ascii="AvantGarde Bk BT" w:hAnsi="AvantGarde Bk BT" w:cs="Arial"/>
          <w:color w:val="000000" w:themeColor="text1"/>
          <w:sz w:val="24"/>
          <w:szCs w:val="24"/>
        </w:rPr>
        <w:t xml:space="preserve">de confidencialidad, protección de datos personales y resguardo de información </w:t>
      </w:r>
      <w:r>
        <w:rPr>
          <w:rFonts w:ascii="AvantGarde Bk BT" w:hAnsi="AvantGarde Bk BT" w:cs="Arial"/>
          <w:color w:val="000000" w:themeColor="text1"/>
          <w:sz w:val="24"/>
          <w:szCs w:val="24"/>
        </w:rPr>
        <w:t xml:space="preserve">que celebró el sujeto obligado con aquellas empresas responsables de </w:t>
      </w:r>
      <w:r w:rsidR="007E5BEE">
        <w:rPr>
          <w:rFonts w:ascii="AvantGarde Bk BT" w:hAnsi="AvantGarde Bk BT" w:cs="Arial"/>
          <w:color w:val="000000" w:themeColor="text1"/>
          <w:sz w:val="24"/>
          <w:szCs w:val="24"/>
        </w:rPr>
        <w:t>la dispersión de apoyos sociales mediante monederos electrónicos, tarjetas o vales; sin embargo, el sujeto obligado se limitó a responder que no se encuentra obligado a elaborar una respuesta acorde a los requerimientos de la persona peticionaria.</w:t>
      </w:r>
    </w:p>
    <w:p w14:paraId="2DF8A84C" w14:textId="625F5168" w:rsidR="007E5BEE" w:rsidRDefault="007E5BEE" w:rsidP="009A7B4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resulta oportuno precisar que el documento requerido por la persona ahora recurrente corresponde a aquel al que hace referencia los artículos 89 y 90 de la Ley de Protección de datos Personales en Posesión de Sujetos Obligados del Estado, mismos que a la letra prescriben:</w:t>
      </w:r>
    </w:p>
    <w:p w14:paraId="54D94329" w14:textId="77777777" w:rsidR="009A7B42"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Pr="007E5BEE">
        <w:rPr>
          <w:rFonts w:ascii="AvantGarde Bk BT" w:hAnsi="AvantGarde Bk BT" w:cs="Arial"/>
          <w:i/>
          <w:color w:val="000000" w:themeColor="text1"/>
          <w:sz w:val="22"/>
          <w:szCs w:val="24"/>
        </w:rPr>
        <w:t xml:space="preserve">ARTÍCULO 89. </w:t>
      </w:r>
      <w:r w:rsidRPr="009A7B42">
        <w:rPr>
          <w:rFonts w:ascii="AvantGarde Bk BT" w:hAnsi="AvantGarde Bk BT" w:cs="Arial"/>
          <w:b/>
          <w:i/>
          <w:color w:val="000000" w:themeColor="text1"/>
          <w:sz w:val="22"/>
          <w:szCs w:val="24"/>
          <w:u w:val="single"/>
        </w:rPr>
        <w:t>La relación entre el responsable y el encargado deberá estar formalizada mediante contrato o cualquier otro instrumento jurídico que decida el responsable,</w:t>
      </w:r>
      <w:r w:rsidRPr="007E5BEE">
        <w:rPr>
          <w:rFonts w:ascii="AvantGarde Bk BT" w:hAnsi="AvantGarde Bk BT" w:cs="Arial"/>
          <w:i/>
          <w:color w:val="000000" w:themeColor="text1"/>
          <w:sz w:val="22"/>
          <w:szCs w:val="24"/>
        </w:rPr>
        <w:t xml:space="preserve"> de conformidad con la normativa que le resulte aplicable, y que permita acreditar su existencia, alcance y contenido. </w:t>
      </w:r>
    </w:p>
    <w:p w14:paraId="02FD7EB7" w14:textId="225292DF"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El responsable podrá libremente determinar las obligaciones que le correspondan y aquéllas que llevará a cabo el encargado, de conformidad con las disposiciones previstas en la presente Ley y demás normativa que resulte aplicable. </w:t>
      </w:r>
    </w:p>
    <w:p w14:paraId="2E7D47CD"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ARTÍCULO 90. En </w:t>
      </w:r>
      <w:r w:rsidRPr="009A7B42">
        <w:rPr>
          <w:rFonts w:ascii="AvantGarde Bk BT" w:hAnsi="AvantGarde Bk BT" w:cs="Arial"/>
          <w:b/>
          <w:i/>
          <w:color w:val="000000" w:themeColor="text1"/>
          <w:sz w:val="22"/>
          <w:szCs w:val="24"/>
          <w:u w:val="single"/>
        </w:rPr>
        <w:t>el contrato o instrumento jurídico que decida el responsable se deberá prever, al menos, las siguientes cláusulas</w:t>
      </w:r>
      <w:r w:rsidRPr="007E5BEE">
        <w:rPr>
          <w:rFonts w:ascii="AvantGarde Bk BT" w:hAnsi="AvantGarde Bk BT" w:cs="Arial"/>
          <w:i/>
          <w:color w:val="000000" w:themeColor="text1"/>
          <w:sz w:val="22"/>
          <w:szCs w:val="24"/>
        </w:rPr>
        <w:t xml:space="preserve"> generales relacionadas con los servicios que preste el encargado: </w:t>
      </w:r>
    </w:p>
    <w:p w14:paraId="6848FAED"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I. Realizar el tratamiento de los datos personales conforme a las instrucciones del responsable; </w:t>
      </w:r>
    </w:p>
    <w:p w14:paraId="13BC10BF"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II. Abstenerse de tratar los datos personales para finalidades distintas a las instruidas por el responsable; </w:t>
      </w:r>
    </w:p>
    <w:p w14:paraId="7525E48A"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lastRenderedPageBreak/>
        <w:t xml:space="preserve">III. Implementar las medidas de seguridad conforme a los instrumentos jurídicos aplicables; </w:t>
      </w:r>
    </w:p>
    <w:p w14:paraId="5A60B326"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IV. Informar al responsable cuando ocurra una vulneración a los datos personales que trata a nombre y por sus instrucciones; </w:t>
      </w:r>
    </w:p>
    <w:p w14:paraId="42351A07"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A7B42">
        <w:rPr>
          <w:rFonts w:ascii="AvantGarde Bk BT" w:hAnsi="AvantGarde Bk BT" w:cs="Arial"/>
          <w:b/>
          <w:i/>
          <w:color w:val="000000" w:themeColor="text1"/>
          <w:sz w:val="22"/>
          <w:szCs w:val="24"/>
          <w:u w:val="single"/>
        </w:rPr>
        <w:t>V. Guardar confidencialidad respecto de los datos personales tratados</w:t>
      </w:r>
      <w:r w:rsidRPr="007E5BEE">
        <w:rPr>
          <w:rFonts w:ascii="AvantGarde Bk BT" w:hAnsi="AvantGarde Bk BT" w:cs="Arial"/>
          <w:i/>
          <w:color w:val="000000" w:themeColor="text1"/>
          <w:sz w:val="22"/>
          <w:szCs w:val="24"/>
        </w:rPr>
        <w:t xml:space="preserve">; </w:t>
      </w:r>
    </w:p>
    <w:p w14:paraId="7FC2AB6D"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VI. Devolver o suprimir los datos personales objeto de tratamiento una vez cumplida la relación jurídica con el responsable, siempre y cuando no exista una previsión legal que exija la conservación de los datos personales; </w:t>
      </w:r>
    </w:p>
    <w:p w14:paraId="670B7400"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VII. Abstenerse de transferir los datos personales salvo en el caso de que el responsable así lo determine, o la comunicación derive de una subcontratación, o por mandato expreso de la autoridad competente; </w:t>
      </w:r>
    </w:p>
    <w:p w14:paraId="78B0AD2F" w14:textId="77777777" w:rsidR="007E5BEE" w:rsidRPr="007E5BEE" w:rsidRDefault="007E5BEE" w:rsidP="007E5BE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E5BEE">
        <w:rPr>
          <w:rFonts w:ascii="AvantGarde Bk BT" w:hAnsi="AvantGarde Bk BT" w:cs="Arial"/>
          <w:i/>
          <w:color w:val="000000" w:themeColor="text1"/>
          <w:sz w:val="22"/>
          <w:szCs w:val="24"/>
        </w:rPr>
        <w:t xml:space="preserve">VIII. Permitir al responsable o la CEGAIP realizar inspecciones y verificaciones en el lugar o establecimiento donde se lleva a cabo el tratamiento de los datos personales, y </w:t>
      </w:r>
    </w:p>
    <w:p w14:paraId="50856F38" w14:textId="361643E9" w:rsidR="009A7B42" w:rsidRDefault="007E5BEE" w:rsidP="009A7B42">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E5BEE">
        <w:rPr>
          <w:rFonts w:ascii="AvantGarde Bk BT" w:hAnsi="AvantGarde Bk BT" w:cs="Arial"/>
          <w:i/>
          <w:color w:val="000000" w:themeColor="text1"/>
          <w:sz w:val="22"/>
          <w:szCs w:val="24"/>
        </w:rPr>
        <w:t>IX. Generar, actualizar y conservar la documentación necesaria que le permita acreditar el cumplimiento de sus obligaciones. Los acuerdos entre el responsable y el encargado relacionados con el tratamiento de datos personales no deberán contravenir la presente Ley y demás disposiciones aplicables, así como lo establecido en el aviso de privacidad correspondiente</w:t>
      </w:r>
      <w:r w:rsidRPr="007E5BEE">
        <w:rPr>
          <w:rFonts w:ascii="AvantGarde Bk BT" w:hAnsi="AvantGarde Bk BT" w:cs="Arial"/>
          <w:color w:val="000000" w:themeColor="text1"/>
          <w:sz w:val="24"/>
          <w:szCs w:val="24"/>
        </w:rPr>
        <w:t>.”</w:t>
      </w:r>
    </w:p>
    <w:p w14:paraId="72D792BD" w14:textId="6F4EB6D9" w:rsidR="009A7B42" w:rsidRDefault="00DB5D63"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De este modo,</w:t>
      </w:r>
      <w:r w:rsidR="009A7B42">
        <w:rPr>
          <w:rFonts w:ascii="AvantGarde Bk BT" w:hAnsi="AvantGarde Bk BT" w:cs="Arial"/>
          <w:color w:val="000000" w:themeColor="text1"/>
          <w:sz w:val="24"/>
          <w:szCs w:val="24"/>
        </w:rPr>
        <w:t xml:space="preserve"> resulta evidente que </w:t>
      </w:r>
      <w:r w:rsidR="009A7B42" w:rsidRPr="001B217C">
        <w:rPr>
          <w:rFonts w:ascii="AvantGarde Bk BT" w:hAnsi="AvantGarde Bk BT" w:cs="Arial"/>
          <w:color w:val="000000" w:themeColor="text1"/>
          <w:sz w:val="24"/>
          <w:szCs w:val="24"/>
          <w:u w:val="single"/>
        </w:rPr>
        <w:t xml:space="preserve">el particular no solicitó un documento elaborado </w:t>
      </w:r>
      <w:r w:rsidR="001B217C" w:rsidRPr="001B217C">
        <w:rPr>
          <w:rFonts w:ascii="AvantGarde Bk BT" w:hAnsi="AvantGarde Bk BT" w:cs="Arial"/>
          <w:color w:val="000000" w:themeColor="text1"/>
          <w:sz w:val="24"/>
          <w:szCs w:val="24"/>
          <w:u w:val="single"/>
        </w:rPr>
        <w:t>acorde</w:t>
      </w:r>
      <w:r w:rsidR="009A7B42" w:rsidRPr="001B217C">
        <w:rPr>
          <w:rFonts w:ascii="AvantGarde Bk BT" w:hAnsi="AvantGarde Bk BT" w:cs="Arial"/>
          <w:color w:val="000000" w:themeColor="text1"/>
          <w:sz w:val="24"/>
          <w:szCs w:val="24"/>
          <w:u w:val="single"/>
        </w:rPr>
        <w:t xml:space="preserve"> a </w:t>
      </w:r>
      <w:r w:rsidR="001B217C" w:rsidRPr="001B217C">
        <w:rPr>
          <w:rFonts w:ascii="AvantGarde Bk BT" w:hAnsi="AvantGarde Bk BT" w:cs="Arial"/>
          <w:color w:val="000000" w:themeColor="text1"/>
          <w:sz w:val="24"/>
          <w:szCs w:val="24"/>
          <w:u w:val="single"/>
        </w:rPr>
        <w:t>los requisitos de la solicitud, sino a un documento que</w:t>
      </w:r>
      <w:r w:rsidR="001B217C">
        <w:rPr>
          <w:rFonts w:ascii="AvantGarde Bk BT" w:hAnsi="AvantGarde Bk BT" w:cs="Arial"/>
          <w:color w:val="000000" w:themeColor="text1"/>
          <w:sz w:val="24"/>
          <w:szCs w:val="24"/>
        </w:rPr>
        <w:t xml:space="preserve">, de acuerdo con la Ley </w:t>
      </w:r>
      <w:r w:rsidR="001B217C" w:rsidRPr="001B217C">
        <w:rPr>
          <w:rFonts w:ascii="AvantGarde Bk BT" w:hAnsi="AvantGarde Bk BT" w:cs="Arial"/>
          <w:color w:val="000000" w:themeColor="text1"/>
          <w:sz w:val="24"/>
          <w:szCs w:val="24"/>
        </w:rPr>
        <w:t>de Protecci</w:t>
      </w:r>
      <w:r w:rsidR="001B217C">
        <w:rPr>
          <w:rFonts w:ascii="AvantGarde Bk BT" w:hAnsi="AvantGarde Bk BT" w:cs="Arial"/>
          <w:color w:val="000000" w:themeColor="text1"/>
          <w:sz w:val="24"/>
          <w:szCs w:val="24"/>
        </w:rPr>
        <w:t>ón de D</w:t>
      </w:r>
      <w:r w:rsidR="001B217C" w:rsidRPr="001B217C">
        <w:rPr>
          <w:rFonts w:ascii="AvantGarde Bk BT" w:hAnsi="AvantGarde Bk BT" w:cs="Arial"/>
          <w:color w:val="000000" w:themeColor="text1"/>
          <w:sz w:val="24"/>
          <w:szCs w:val="24"/>
        </w:rPr>
        <w:t>atos Personales en Posesión de Sujetos Obligados</w:t>
      </w:r>
      <w:r w:rsidR="001B217C">
        <w:rPr>
          <w:rFonts w:ascii="AvantGarde Bk BT" w:hAnsi="AvantGarde Bk BT" w:cs="Arial"/>
          <w:color w:val="000000" w:themeColor="text1"/>
          <w:sz w:val="24"/>
          <w:szCs w:val="24"/>
        </w:rPr>
        <w:t xml:space="preserve">, </w:t>
      </w:r>
      <w:r w:rsidR="001B217C" w:rsidRPr="001B217C">
        <w:rPr>
          <w:rFonts w:ascii="AvantGarde Bk BT" w:hAnsi="AvantGarde Bk BT" w:cs="Arial"/>
          <w:b/>
          <w:color w:val="000000" w:themeColor="text1"/>
          <w:sz w:val="24"/>
          <w:szCs w:val="24"/>
          <w:u w:val="single"/>
        </w:rPr>
        <w:t>debe elaborar el sujeto obligado cuando realice cualquier remisión de datos personales</w:t>
      </w:r>
      <w:r w:rsidR="001B217C">
        <w:rPr>
          <w:rFonts w:ascii="AvantGarde Bk BT" w:hAnsi="AvantGarde Bk BT" w:cs="Arial"/>
          <w:color w:val="000000" w:themeColor="text1"/>
          <w:sz w:val="24"/>
          <w:szCs w:val="24"/>
        </w:rPr>
        <w:t>.</w:t>
      </w:r>
    </w:p>
    <w:p w14:paraId="39C998B2" w14:textId="56A3FFA6" w:rsidR="001B217C" w:rsidRDefault="007A1C74" w:rsidP="00F76E3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w:t>
      </w:r>
      <w:r w:rsidRPr="003A203E">
        <w:rPr>
          <w:rFonts w:ascii="AvantGarde Bk BT" w:hAnsi="AvantGarde Bk BT" w:cs="Arial"/>
          <w:color w:val="000000" w:themeColor="text1"/>
          <w:sz w:val="24"/>
          <w:szCs w:val="24"/>
        </w:rPr>
        <w:t xml:space="preserve">dentro del marco de las consideraciones previamente anotadas se puede colegir válidamente que </w:t>
      </w:r>
      <w:r w:rsidRPr="00330BE2">
        <w:rPr>
          <w:rFonts w:ascii="AvantGarde Bk BT" w:hAnsi="AvantGarde Bk BT" w:cs="Arial"/>
          <w:b/>
          <w:color w:val="000000" w:themeColor="text1"/>
          <w:sz w:val="24"/>
          <w:szCs w:val="24"/>
          <w:u w:val="single"/>
        </w:rPr>
        <w:t>la respuesta emitida por el Titular de la Unidad de Transparencia no puede tenerse como válida</w:t>
      </w:r>
      <w:r w:rsidRPr="00330BE2">
        <w:rPr>
          <w:rFonts w:ascii="AvantGarde Bk BT" w:hAnsi="AvantGarde Bk BT" w:cs="Arial"/>
          <w:color w:val="000000" w:themeColor="text1"/>
          <w:sz w:val="24"/>
          <w:szCs w:val="24"/>
          <w:u w:val="single"/>
        </w:rPr>
        <w:t>,</w:t>
      </w:r>
      <w:r>
        <w:rPr>
          <w:rFonts w:ascii="AvantGarde Bk BT" w:hAnsi="AvantGarde Bk BT" w:cs="Arial"/>
          <w:color w:val="000000" w:themeColor="text1"/>
          <w:sz w:val="24"/>
          <w:szCs w:val="24"/>
        </w:rPr>
        <w:t xml:space="preserve"> pues</w:t>
      </w:r>
      <w:r w:rsidR="00F76E31">
        <w:rPr>
          <w:rFonts w:ascii="AvantGarde Bk BT" w:hAnsi="AvantGarde Bk BT" w:cs="Arial"/>
          <w:color w:val="000000" w:themeColor="text1"/>
          <w:sz w:val="24"/>
          <w:szCs w:val="24"/>
        </w:rPr>
        <w:t xml:space="preserve"> lo correcto debió ser que la Unidad de Transparencia realizara las gestiones necesarias a fin de que la solicitud de información fuera turnada a todas aquellas áreas que de acuerdo con sus atribuciones sean competentes para generar, archivar y/o resguardar los documentos </w:t>
      </w:r>
      <w:r w:rsidR="00F76E31" w:rsidRPr="00F76E31">
        <w:rPr>
          <w:rFonts w:ascii="AvantGarde Bk BT" w:hAnsi="AvantGarde Bk BT" w:cs="Arial"/>
          <w:color w:val="000000" w:themeColor="text1"/>
          <w:sz w:val="24"/>
          <w:szCs w:val="24"/>
        </w:rPr>
        <w:t>de confidencialidad, protección de datos personales y resguardo de información</w:t>
      </w:r>
      <w:r w:rsidR="00F76E31">
        <w:rPr>
          <w:rFonts w:ascii="AvantGarde Bk BT" w:hAnsi="AvantGarde Bk BT" w:cs="Arial"/>
          <w:color w:val="000000" w:themeColor="text1"/>
          <w:sz w:val="24"/>
          <w:szCs w:val="24"/>
        </w:rPr>
        <w:t xml:space="preserve"> (independientemente de su denominación al interior del sujeto obligado) que haya celebrado la Secretaría de Desarrollo Social y Regional con las empresas responsables de la dispersión de apoyos sociales mediante monederos electrónicos, tarjetas o vales; esto dentro del periodo comprendido del dos mil veintitrés al dos mil veintiséis.</w:t>
      </w:r>
    </w:p>
    <w:p w14:paraId="730B161E" w14:textId="02FEAFFF" w:rsidR="00640089" w:rsidRDefault="00C01371" w:rsidP="00C141F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que anteceden </w:t>
      </w:r>
      <w:r w:rsidR="00C141F9">
        <w:rPr>
          <w:rFonts w:ascii="AvantGarde Bk BT" w:hAnsi="AvantGarde Bk BT" w:cs="Arial"/>
          <w:color w:val="000000" w:themeColor="text1"/>
          <w:sz w:val="24"/>
          <w:szCs w:val="24"/>
        </w:rPr>
        <w:t xml:space="preserve">el </w:t>
      </w:r>
      <w:r w:rsidR="00C141F9" w:rsidRPr="00880D55">
        <w:rPr>
          <w:rFonts w:ascii="AvantGarde Bk BT" w:hAnsi="AvantGarde Bk BT" w:cs="Arial"/>
          <w:b/>
          <w:color w:val="000000" w:themeColor="text1"/>
          <w:sz w:val="24"/>
          <w:szCs w:val="24"/>
        </w:rPr>
        <w:t xml:space="preserve">Pleno de esta Comisión </w:t>
      </w:r>
      <w:r w:rsidR="00C141F9">
        <w:rPr>
          <w:rFonts w:ascii="AvantGarde Bk BT" w:hAnsi="AvantGarde Bk BT" w:cs="Arial"/>
          <w:b/>
          <w:color w:val="000000" w:themeColor="text1"/>
          <w:sz w:val="24"/>
          <w:szCs w:val="24"/>
        </w:rPr>
        <w:t>considera que</w:t>
      </w:r>
      <w:r>
        <w:rPr>
          <w:rFonts w:ascii="AvantGarde Bk BT" w:hAnsi="AvantGarde Bk BT" w:cs="Arial"/>
          <w:color w:val="000000" w:themeColor="text1"/>
          <w:sz w:val="24"/>
          <w:szCs w:val="24"/>
        </w:rPr>
        <w:t xml:space="preserve"> </w:t>
      </w:r>
      <w:r w:rsidR="00F07C35" w:rsidRPr="00F07C35">
        <w:rPr>
          <w:rFonts w:ascii="AvantGarde Bk BT" w:hAnsi="AvantGarde Bk BT" w:cs="Arial"/>
          <w:b/>
          <w:color w:val="000000" w:themeColor="text1"/>
          <w:sz w:val="24"/>
          <w:szCs w:val="24"/>
        </w:rPr>
        <w:t>el</w:t>
      </w:r>
      <w:r w:rsidR="00F07C35" w:rsidRPr="00C141F9">
        <w:rPr>
          <w:rFonts w:ascii="AvantGarde Bk BT" w:hAnsi="AvantGarde Bk BT" w:cs="Arial"/>
          <w:b/>
          <w:color w:val="000000" w:themeColor="text1"/>
          <w:sz w:val="24"/>
          <w:szCs w:val="24"/>
        </w:rPr>
        <w:t xml:space="preserve"> agravio expresado</w:t>
      </w:r>
      <w:r w:rsidR="00F07C35">
        <w:rPr>
          <w:rFonts w:ascii="AvantGarde Bk BT" w:hAnsi="AvantGarde Bk BT" w:cs="Arial"/>
          <w:b/>
          <w:color w:val="000000" w:themeColor="text1"/>
          <w:sz w:val="24"/>
          <w:szCs w:val="24"/>
        </w:rPr>
        <w:t xml:space="preserve"> por la persona recurrente</w:t>
      </w:r>
      <w:r w:rsidR="00F07C35" w:rsidRPr="00C141F9">
        <w:rPr>
          <w:rFonts w:ascii="AvantGarde Bk BT" w:hAnsi="AvantGarde Bk BT" w:cs="Arial"/>
          <w:b/>
          <w:color w:val="000000" w:themeColor="text1"/>
          <w:sz w:val="24"/>
          <w:szCs w:val="24"/>
        </w:rPr>
        <w:t xml:space="preserve"> resultó</w:t>
      </w:r>
      <w:r w:rsidR="00F07C35">
        <w:rPr>
          <w:rFonts w:ascii="AvantGarde Bk BT" w:hAnsi="AvantGarde Bk BT" w:cs="Arial"/>
          <w:b/>
          <w:color w:val="000000" w:themeColor="text1"/>
          <w:sz w:val="24"/>
          <w:szCs w:val="24"/>
        </w:rPr>
        <w:t xml:space="preserve"> fundado</w:t>
      </w:r>
      <w:r w:rsidR="00C141F9">
        <w:rPr>
          <w:rFonts w:ascii="AvantGarde Bk BT" w:hAnsi="AvantGarde Bk BT" w:cs="Arial"/>
          <w:color w:val="000000" w:themeColor="text1"/>
          <w:sz w:val="24"/>
          <w:szCs w:val="24"/>
        </w:rPr>
        <w:t xml:space="preserve"> </w:t>
      </w:r>
      <w:r w:rsidR="00F07C35">
        <w:rPr>
          <w:rFonts w:ascii="AvantGarde Bk BT" w:hAnsi="AvantGarde Bk BT" w:cs="Arial"/>
          <w:b/>
          <w:color w:val="000000" w:themeColor="text1"/>
          <w:sz w:val="24"/>
          <w:szCs w:val="24"/>
        </w:rPr>
        <w:t>y suficiente</w:t>
      </w:r>
      <w:r w:rsidR="00C141F9" w:rsidRPr="00C141F9">
        <w:rPr>
          <w:rFonts w:ascii="AvantGarde Bk BT" w:hAnsi="AvantGarde Bk BT" w:cs="Arial"/>
          <w:b/>
          <w:color w:val="000000" w:themeColor="text1"/>
          <w:sz w:val="24"/>
          <w:szCs w:val="24"/>
        </w:rPr>
        <w:t xml:space="preserve"> para </w:t>
      </w:r>
      <w:r w:rsidR="007A1C74">
        <w:rPr>
          <w:rFonts w:ascii="AvantGarde Bk BT" w:hAnsi="AvantGarde Bk BT" w:cs="Arial"/>
          <w:b/>
          <w:color w:val="000000" w:themeColor="text1"/>
          <w:sz w:val="24"/>
          <w:szCs w:val="24"/>
        </w:rPr>
        <w:t>modific</w:t>
      </w:r>
      <w:r w:rsidR="00044FE4">
        <w:rPr>
          <w:rFonts w:ascii="AvantGarde Bk BT" w:hAnsi="AvantGarde Bk BT" w:cs="Arial"/>
          <w:b/>
          <w:color w:val="000000" w:themeColor="text1"/>
          <w:sz w:val="24"/>
          <w:szCs w:val="24"/>
        </w:rPr>
        <w:t>ar</w:t>
      </w:r>
      <w:r w:rsidR="00C141F9" w:rsidRPr="00C141F9">
        <w:rPr>
          <w:rFonts w:ascii="AvantGarde Bk BT" w:hAnsi="AvantGarde Bk BT" w:cs="Arial"/>
          <w:b/>
          <w:color w:val="000000" w:themeColor="text1"/>
          <w:sz w:val="24"/>
          <w:szCs w:val="24"/>
        </w:rPr>
        <w:t xml:space="preserve"> el acto impugnado.</w:t>
      </w:r>
    </w:p>
    <w:p w14:paraId="7ED18A7A" w14:textId="77777777"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5.1. Sentido y efectos de esta resolución.</w:t>
      </w:r>
    </w:p>
    <w:p w14:paraId="47BA56F7" w14:textId="0C7681EE"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7A1C74">
        <w:rPr>
          <w:rFonts w:ascii="AvantGarde Bk BT" w:hAnsi="AvantGarde Bk BT" w:cs="Arial"/>
          <w:b/>
          <w:bCs/>
          <w:color w:val="000000" w:themeColor="text1"/>
          <w:sz w:val="24"/>
          <w:szCs w:val="24"/>
        </w:rPr>
        <w:t>MODIFI</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0978AC77" w14:textId="316BA87F" w:rsidR="007A1C74" w:rsidRDefault="00531A80" w:rsidP="00AF196A">
      <w:pPr>
        <w:pStyle w:val="Prrafodelista"/>
        <w:numPr>
          <w:ilvl w:val="0"/>
          <w:numId w:val="46"/>
        </w:numPr>
        <w:spacing w:line="360" w:lineRule="auto"/>
        <w:ind w:left="1134" w:hanging="425"/>
        <w:jc w:val="both"/>
        <w:rPr>
          <w:rFonts w:ascii="AvantGarde Bk BT" w:hAnsi="AvantGarde Bk BT" w:cs="Arial"/>
          <w:color w:val="000000" w:themeColor="text1"/>
          <w:sz w:val="24"/>
          <w:szCs w:val="24"/>
        </w:rPr>
      </w:pPr>
      <w:r w:rsidRPr="007A1C74">
        <w:rPr>
          <w:rFonts w:ascii="AvantGarde Bk BT" w:hAnsi="AvantGarde Bk BT" w:cs="Arial"/>
          <w:bCs/>
          <w:color w:val="000000" w:themeColor="text1"/>
          <w:sz w:val="24"/>
          <w:szCs w:val="24"/>
        </w:rPr>
        <w:t>La Titular de la Unidad de Transparencia</w:t>
      </w:r>
      <w:r w:rsidR="009D329A" w:rsidRPr="007A1C74">
        <w:rPr>
          <w:rFonts w:ascii="AvantGarde Bk BT" w:hAnsi="AvantGarde Bk BT" w:cs="Arial"/>
          <w:bCs/>
          <w:color w:val="000000" w:themeColor="text1"/>
          <w:sz w:val="24"/>
          <w:szCs w:val="24"/>
        </w:rPr>
        <w:t xml:space="preserve"> </w:t>
      </w:r>
      <w:r w:rsidRPr="007A1C74">
        <w:rPr>
          <w:rFonts w:ascii="AvantGarde Bk BT" w:hAnsi="AvantGarde Bk BT" w:cs="Arial"/>
          <w:bCs/>
          <w:color w:val="000000" w:themeColor="text1"/>
          <w:sz w:val="24"/>
          <w:szCs w:val="24"/>
        </w:rPr>
        <w:t xml:space="preserve">turne </w:t>
      </w:r>
      <w:r w:rsidRPr="007A1C74">
        <w:rPr>
          <w:rFonts w:ascii="AvantGarde Bk BT" w:hAnsi="AvantGarde Bk BT" w:cs="Arial"/>
          <w:color w:val="000000" w:themeColor="text1"/>
          <w:sz w:val="24"/>
          <w:szCs w:val="24"/>
        </w:rPr>
        <w:t xml:space="preserve">la solicitud de información </w:t>
      </w:r>
      <w:r w:rsidR="00D03430" w:rsidRPr="007A1C74">
        <w:rPr>
          <w:rFonts w:ascii="AvantGarde Bk BT" w:hAnsi="AvantGarde Bk BT" w:cs="Arial"/>
          <w:color w:val="000000" w:themeColor="text1"/>
          <w:sz w:val="24"/>
          <w:szCs w:val="24"/>
        </w:rPr>
        <w:t xml:space="preserve">a las áreas que cuenten con atribuciones para contar con </w:t>
      </w:r>
      <w:r w:rsidR="007A1C74">
        <w:rPr>
          <w:rFonts w:ascii="AvantGarde Bk BT" w:hAnsi="AvantGarde Bk BT" w:cs="Arial"/>
          <w:color w:val="000000" w:themeColor="text1"/>
          <w:sz w:val="24"/>
          <w:szCs w:val="24"/>
        </w:rPr>
        <w:t xml:space="preserve">los documentos </w:t>
      </w:r>
      <w:r w:rsidR="007A1C74" w:rsidRPr="00F76E31">
        <w:rPr>
          <w:rFonts w:ascii="AvantGarde Bk BT" w:hAnsi="AvantGarde Bk BT" w:cs="Arial"/>
          <w:color w:val="000000" w:themeColor="text1"/>
          <w:sz w:val="24"/>
          <w:szCs w:val="24"/>
        </w:rPr>
        <w:t>de confidencialidad, protección de datos personales y resguardo de información</w:t>
      </w:r>
      <w:r w:rsidR="007A1C74">
        <w:rPr>
          <w:rFonts w:ascii="AvantGarde Bk BT" w:hAnsi="AvantGarde Bk BT" w:cs="Arial"/>
          <w:color w:val="000000" w:themeColor="text1"/>
          <w:sz w:val="24"/>
          <w:szCs w:val="24"/>
        </w:rPr>
        <w:t xml:space="preserve"> (independientemente de su denominación al interior del sujeto obligado) que haya celebrado la Secretaría de Desarrollo Social y Regional con las empresas responsables de la dispersión de apoyos sociales mediante monederos electrónicos, tarjetas o vales; esto dentro del periodo comprendido del dos mil veintitrés al dos mil veintiséis.</w:t>
      </w:r>
    </w:p>
    <w:p w14:paraId="0A22C2BD" w14:textId="0D9BAEF3" w:rsidR="005C5DA1" w:rsidRPr="0067260C" w:rsidRDefault="007C62BF" w:rsidP="009A0D4F">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5.2.</w:t>
      </w:r>
      <w:r w:rsidR="005C5DA1">
        <w:rPr>
          <w:rFonts w:ascii="AvantGarde Bk BT" w:hAnsi="AvantGarde Bk BT" w:cs="Arial"/>
          <w:b/>
          <w:color w:val="000000" w:themeColor="text1"/>
          <w:sz w:val="24"/>
          <w:szCs w:val="24"/>
        </w:rPr>
        <w:t xml:space="preserve"> </w:t>
      </w:r>
      <w:r w:rsidR="009A4012" w:rsidRPr="009A4012">
        <w:rPr>
          <w:rFonts w:ascii="AvantGarde Bk BT" w:hAnsi="AvantGarde Bk BT" w:cs="Arial"/>
          <w:b/>
          <w:color w:val="000000" w:themeColor="text1"/>
          <w:sz w:val="24"/>
          <w:szCs w:val="24"/>
        </w:rPr>
        <w:t>Modalidad de la información</w:t>
      </w:r>
      <w:r w:rsidR="005C5DA1" w:rsidRPr="009A4012">
        <w:rPr>
          <w:rFonts w:ascii="AvantGarde Bk BT" w:hAnsi="AvantGarde Bk BT" w:cs="Arial"/>
          <w:b/>
          <w:color w:val="000000" w:themeColor="text1"/>
          <w:sz w:val="24"/>
          <w:szCs w:val="24"/>
        </w:rPr>
        <w:t>.</w:t>
      </w:r>
    </w:p>
    <w:p w14:paraId="155C4D46" w14:textId="77777777" w:rsidR="009A4012" w:rsidRDefault="009A4012" w:rsidP="009A4012">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18BE3D46" w14:textId="389C4756" w:rsidR="009A0D4F" w:rsidRDefault="007C62BF" w:rsidP="009A0D4F">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9A0D4F">
        <w:rPr>
          <w:rFonts w:ascii="AvantGarde Bk BT" w:hAnsi="AvantGarde Bk BT" w:cs="Arial"/>
          <w:b/>
          <w:color w:val="000000" w:themeColor="text1"/>
          <w:sz w:val="24"/>
          <w:szCs w:val="24"/>
        </w:rPr>
        <w:t xml:space="preserve">. </w:t>
      </w:r>
      <w:r w:rsidR="009A0D4F">
        <w:rPr>
          <w:rFonts w:ascii="AvantGarde Bk BT" w:hAnsi="AvantGarde Bk BT" w:cs="Arial"/>
          <w:b/>
          <w:sz w:val="24"/>
          <w:szCs w:val="24"/>
        </w:rPr>
        <w:t xml:space="preserve">Precisiones para el cumplimiento de la resolución. </w:t>
      </w:r>
    </w:p>
    <w:p w14:paraId="55415329" w14:textId="77777777" w:rsidR="009A0D4F" w:rsidRDefault="009A0D4F" w:rsidP="009A0D4F">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46203698" w14:textId="77777777" w:rsidR="009A0D4F" w:rsidRPr="00F331D9" w:rsidRDefault="009A0D4F" w:rsidP="009A0D4F">
      <w:pPr>
        <w:pStyle w:val="corte4fondo"/>
        <w:numPr>
          <w:ilvl w:val="3"/>
          <w:numId w:val="4"/>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CDB31DE" w14:textId="77777777" w:rsidR="009A0D4F" w:rsidRPr="00BB5524" w:rsidRDefault="009A0D4F" w:rsidP="009A0D4F">
      <w:pPr>
        <w:pStyle w:val="corte4fondo"/>
        <w:numPr>
          <w:ilvl w:val="3"/>
          <w:numId w:val="4"/>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60150AE1" w14:textId="258910C2" w:rsidR="009A0D4F" w:rsidRPr="00C12794" w:rsidRDefault="009A0D4F" w:rsidP="009A0D4F">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7C62BF">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224F55E6" w14:textId="77777777" w:rsidR="009A0D4F" w:rsidRPr="00A51A39" w:rsidRDefault="009A0D4F" w:rsidP="009A0D4F">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lastRenderedPageBreak/>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589F0B34" w14:textId="24116B4C" w:rsidR="009A0D4F" w:rsidRPr="004C15C0" w:rsidRDefault="007C62B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9A0D4F" w:rsidRPr="00831D47">
        <w:rPr>
          <w:rFonts w:ascii="AvantGarde Bk BT" w:hAnsi="AvantGarde Bk BT" w:cs="Arial"/>
          <w:b/>
          <w:color w:val="000000" w:themeColor="text1"/>
          <w:sz w:val="24"/>
          <w:szCs w:val="24"/>
        </w:rPr>
        <w:t>. Medida de apremio en caso de incumplimiento a la resolución.</w:t>
      </w:r>
    </w:p>
    <w:p w14:paraId="687DC200" w14:textId="77777777" w:rsidR="009A0D4F" w:rsidRPr="00002DE6" w:rsidRDefault="009A0D4F" w:rsidP="009A0D4F">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B885A5C" w14:textId="02592FF1" w:rsidR="009A0D4F" w:rsidRPr="00684218"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7C62BF">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78FF4586" w14:textId="77777777" w:rsidR="009A0D4F" w:rsidRPr="003358EE" w:rsidRDefault="009A0D4F" w:rsidP="00D25712">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492CA19E"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w:t>
      </w:r>
      <w:r w:rsidRPr="00CE1E98">
        <w:rPr>
          <w:rFonts w:ascii="AvantGarde Bk BT" w:hAnsi="AvantGarde Bk BT" w:cs="Arial"/>
          <w:color w:val="000000" w:themeColor="text1"/>
          <w:sz w:val="24"/>
          <w:szCs w:val="24"/>
        </w:rPr>
        <w:lastRenderedPageBreak/>
        <w:t xml:space="preserve">a la Información Pública del Estado </w:t>
      </w:r>
      <w:r w:rsidR="007A1C74">
        <w:rPr>
          <w:rFonts w:ascii="AvantGarde Bk BT" w:hAnsi="AvantGarde Bk BT" w:cs="Arial"/>
          <w:b/>
          <w:bCs/>
          <w:color w:val="000000" w:themeColor="text1"/>
          <w:sz w:val="24"/>
          <w:szCs w:val="24"/>
        </w:rPr>
        <w:t>MODIFI</w:t>
      </w:r>
      <w:r w:rsidR="00E35AC3">
        <w:rPr>
          <w:rFonts w:ascii="AvantGarde Bk BT" w:hAnsi="AvantGarde Bk BT" w:cs="Arial"/>
          <w:b/>
          <w:bCs/>
          <w:color w:val="000000" w:themeColor="text1"/>
          <w:sz w:val="24"/>
          <w:szCs w:val="24"/>
        </w:rPr>
        <w:t>C</w:t>
      </w:r>
      <w:r>
        <w:rPr>
          <w:rFonts w:ascii="AvantGarde Bk BT" w:hAnsi="AvantGarde Bk BT" w:cs="Arial"/>
          <w:b/>
          <w:bCs/>
          <w:color w:val="000000" w:themeColor="text1"/>
          <w:sz w:val="24"/>
          <w:szCs w:val="24"/>
        </w:rPr>
        <w:t>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29101280" w:rsidR="00531A80" w:rsidRPr="006809EF"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E4589C">
        <w:rPr>
          <w:rFonts w:ascii="AvantGarde Bk BT" w:hAnsi="AvantGarde Bk BT"/>
          <w:sz w:val="24"/>
          <w:szCs w:val="24"/>
        </w:rPr>
        <w:t>Sesión O</w:t>
      </w:r>
      <w:r w:rsidRPr="00DD6E4B">
        <w:rPr>
          <w:rFonts w:ascii="AvantGarde Bk BT" w:hAnsi="AvantGarde Bk BT"/>
          <w:sz w:val="24"/>
          <w:szCs w:val="24"/>
        </w:rPr>
        <w:t xml:space="preserve">rdinaria del </w:t>
      </w:r>
      <w:r w:rsidR="00E93CAC">
        <w:rPr>
          <w:rFonts w:ascii="AvantGarde Bk BT" w:hAnsi="AvantGarde Bk BT"/>
          <w:sz w:val="24"/>
          <w:szCs w:val="24"/>
        </w:rPr>
        <w:t>seis</w:t>
      </w:r>
      <w:r w:rsidR="007A1C74">
        <w:rPr>
          <w:rFonts w:ascii="AvantGarde Bk BT" w:hAnsi="AvantGarde Bk BT"/>
          <w:sz w:val="24"/>
          <w:szCs w:val="24"/>
        </w:rPr>
        <w:t xml:space="preserve"> de agosto</w:t>
      </w:r>
      <w:r w:rsidR="007A1C74" w:rsidRPr="00DD6E4B">
        <w:rPr>
          <w:rFonts w:ascii="AvantGarde Bk BT" w:hAnsi="AvantGarde Bk BT"/>
          <w:sz w:val="24"/>
          <w:szCs w:val="24"/>
        </w:rPr>
        <w:t xml:space="preserve"> </w:t>
      </w:r>
      <w:r w:rsidR="00531A80" w:rsidRPr="00DD6E4B">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4613DA52"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DD6E4B">
        <w:rPr>
          <w:rFonts w:ascii="AvantGarde Bk BT" w:hAnsi="AvantGarde Bk BT" w:cs="Arial"/>
          <w:color w:val="000000" w:themeColor="text1"/>
          <w:sz w:val="14"/>
          <w:szCs w:val="14"/>
        </w:rPr>
        <w:t xml:space="preserve">sesión ordinaria de </w:t>
      </w:r>
      <w:r w:rsidR="00E93CAC">
        <w:rPr>
          <w:rFonts w:ascii="AvantGarde Bk BT" w:hAnsi="AvantGarde Bk BT" w:cs="Arial"/>
          <w:color w:val="000000" w:themeColor="text1"/>
          <w:sz w:val="14"/>
          <w:szCs w:val="14"/>
        </w:rPr>
        <w:t>seis</w:t>
      </w:r>
      <w:bookmarkStart w:id="1" w:name="_GoBack"/>
      <w:bookmarkEnd w:id="1"/>
      <w:r w:rsidR="007A1C74">
        <w:rPr>
          <w:rFonts w:ascii="AvantGarde Bk BT" w:hAnsi="AvantGarde Bk BT" w:cs="Arial"/>
          <w:color w:val="000000" w:themeColor="text1"/>
          <w:sz w:val="14"/>
          <w:szCs w:val="14"/>
        </w:rPr>
        <w:t xml:space="preserve"> de agosto</w:t>
      </w:r>
      <w:r w:rsidR="00DD6E4B">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7A1C74">
        <w:rPr>
          <w:rFonts w:ascii="AvantGarde Bk BT" w:hAnsi="AvantGarde Bk BT" w:cs="Arial"/>
          <w:color w:val="000000" w:themeColor="text1"/>
          <w:sz w:val="14"/>
          <w:szCs w:val="14"/>
        </w:rPr>
        <w:t>323</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AB368" w14:textId="77777777" w:rsidR="00B7658F" w:rsidRDefault="00B7658F" w:rsidP="003864ED">
      <w:pPr>
        <w:spacing w:after="0" w:line="240" w:lineRule="auto"/>
      </w:pPr>
      <w:r>
        <w:separator/>
      </w:r>
    </w:p>
  </w:endnote>
  <w:endnote w:type="continuationSeparator" w:id="0">
    <w:p w14:paraId="4EFADEA6" w14:textId="77777777" w:rsidR="00B7658F" w:rsidRDefault="00B7658F"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5FBD9" w14:textId="77777777" w:rsidR="00B7658F" w:rsidRDefault="00B7658F" w:rsidP="003864ED">
      <w:pPr>
        <w:spacing w:after="0" w:line="240" w:lineRule="auto"/>
      </w:pPr>
      <w:r>
        <w:separator/>
      </w:r>
    </w:p>
  </w:footnote>
  <w:footnote w:type="continuationSeparator" w:id="0">
    <w:p w14:paraId="24A7AEF6" w14:textId="77777777" w:rsidR="00B7658F" w:rsidRDefault="00B7658F" w:rsidP="003864ED">
      <w:pPr>
        <w:spacing w:after="0" w:line="240" w:lineRule="auto"/>
      </w:pPr>
      <w:r>
        <w:continuationSeparator/>
      </w:r>
    </w:p>
  </w:footnote>
  <w:footnote w:id="1">
    <w:p w14:paraId="3331FE47" w14:textId="77777777" w:rsidR="00857C56" w:rsidRPr="0004149D" w:rsidRDefault="00857C56" w:rsidP="00857C56">
      <w:pPr>
        <w:pStyle w:val="Textonotapie"/>
        <w:jc w:val="both"/>
        <w:rPr>
          <w:sz w:val="18"/>
          <w:szCs w:val="18"/>
        </w:rPr>
      </w:pPr>
      <w:r w:rsidRPr="0004149D">
        <w:rPr>
          <w:rStyle w:val="Refdenotaalpie"/>
          <w:sz w:val="18"/>
          <w:szCs w:val="18"/>
        </w:rPr>
        <w:footnoteRef/>
      </w:r>
      <w:r w:rsidRPr="0004149D">
        <w:rPr>
          <w:sz w:val="18"/>
          <w:szCs w:val="18"/>
        </w:rPr>
        <w:t xml:space="preserve"> Suprema Corte de Justicia de la Nación, Registro digital: 164618, Instancia: Segunda Sala, Novena Época, Materias(s): Común, Tesis: 2a./J. 58/2010, Fuente: Semanario Judicial de la Federación y su Gaceta. Tomo XXXI, Mayo de 2010, página 830, Tipo: Jurisprudencia.</w:t>
      </w:r>
    </w:p>
  </w:footnote>
  <w:footnote w:id="2">
    <w:p w14:paraId="5EED7A9E" w14:textId="77777777" w:rsidR="00E34DDC" w:rsidRPr="00330597" w:rsidRDefault="00E34DDC" w:rsidP="00E34DDC">
      <w:pPr>
        <w:pStyle w:val="Textonotapie"/>
        <w:jc w:val="both"/>
      </w:pPr>
      <w:r w:rsidRPr="00330597">
        <w:rPr>
          <w:sz w:val="18"/>
          <w:szCs w:val="18"/>
          <w:vertAlign w:val="superscript"/>
          <w:lang w:val="es-ES_tradnl"/>
        </w:rPr>
        <w:footnoteRef/>
      </w:r>
      <w:r w:rsidRPr="00330597">
        <w:rPr>
          <w:sz w:val="18"/>
          <w:szCs w:val="18"/>
          <w:lang w:val="es-ES_tradnl"/>
        </w:rPr>
        <w:t xml:space="preserve"> </w:t>
      </w:r>
      <w:r w:rsidRPr="00330597">
        <w:rPr>
          <w:b/>
          <w:sz w:val="18"/>
          <w:szCs w:val="18"/>
          <w:lang w:val="es-ES_tradnl"/>
        </w:rPr>
        <w:t>ARTÍCULO 153.</w:t>
      </w:r>
      <w:r w:rsidRPr="00330597">
        <w:rPr>
          <w:sz w:val="18"/>
          <w:szCs w:val="18"/>
          <w:lang w:val="es-ES_tradnl"/>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3">
    <w:p w14:paraId="5785EED1" w14:textId="77777777" w:rsidR="00E34DDC" w:rsidRPr="0004149D" w:rsidRDefault="00E34DDC" w:rsidP="00E34DDC">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4827A596" w14:textId="77777777" w:rsidR="00E34DDC" w:rsidRPr="0004149D" w:rsidRDefault="00E34DDC" w:rsidP="00E34DDC">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4">
    <w:p w14:paraId="34084748" w14:textId="77777777" w:rsidR="00E34DDC" w:rsidRPr="0004149D" w:rsidRDefault="00E34DDC" w:rsidP="00E34DDC">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3CA35C30" w14:textId="77777777" w:rsidR="00E34DDC" w:rsidRPr="0004149D" w:rsidRDefault="00E34DDC" w:rsidP="00E34DDC">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62147EC5" w14:textId="77777777" w:rsidR="00E34DDC" w:rsidRPr="0004149D" w:rsidRDefault="00E34DDC" w:rsidP="00E34DDC">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7502388" w14:textId="77777777" w:rsidR="00E34DDC" w:rsidRPr="0004149D" w:rsidRDefault="00E34DDC" w:rsidP="00E34DDC">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686FFBAF" w14:textId="77777777" w:rsidR="00E34DDC" w:rsidRPr="0004149D" w:rsidRDefault="00E34DDC" w:rsidP="00E34DDC">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2B175C44" w14:textId="77777777" w:rsidR="00E34DDC" w:rsidRPr="0004149D" w:rsidRDefault="00E34DDC" w:rsidP="00E34DDC">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3A3B6190" w14:textId="77777777" w:rsidR="00E34DDC" w:rsidRPr="0004149D" w:rsidRDefault="00E34DDC" w:rsidP="00E34DDC">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6DF4C2C1" w:rsidR="005142BE" w:rsidRDefault="005142BE">
        <w:pPr>
          <w:pStyle w:val="Encabezado"/>
          <w:jc w:val="center"/>
        </w:pPr>
        <w:r>
          <w:fldChar w:fldCharType="begin"/>
        </w:r>
        <w:r>
          <w:instrText>PAGE   \* MERGEFORMAT</w:instrText>
        </w:r>
        <w:r>
          <w:fldChar w:fldCharType="separate"/>
        </w:r>
        <w:r w:rsidR="00E93CAC" w:rsidRPr="00E93CAC">
          <w:rPr>
            <w:noProof/>
            <w:lang w:val="es-ES"/>
          </w:rPr>
          <w:t>14</w:t>
        </w:r>
        <w:r>
          <w:fldChar w:fldCharType="end"/>
        </w:r>
      </w:p>
    </w:sdtContent>
  </w:sdt>
  <w:p w14:paraId="3407CE7F" w14:textId="62812A82" w:rsidR="005142BE" w:rsidRDefault="00183EF3" w:rsidP="00403C89">
    <w:pPr>
      <w:pStyle w:val="Encabezado"/>
      <w:jc w:val="right"/>
    </w:pPr>
    <w:r>
      <w:t xml:space="preserve">RECURSO DE REVISIÓN </w:t>
    </w:r>
    <w:r w:rsidR="00C20BA5">
      <w:t>3</w:t>
    </w:r>
    <w:r w:rsidR="00581889">
      <w:t>23</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09D97DB4"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E93CAC" w:rsidRPr="00E93CAC">
          <w:rPr>
            <w:noProof/>
            <w:lang w:val="es-ES"/>
          </w:rPr>
          <w:t>13</w:t>
        </w:r>
        <w:r>
          <w:fldChar w:fldCharType="end"/>
        </w:r>
        <w:r>
          <w:t xml:space="preserve">                                  </w:t>
        </w:r>
      </w:p>
      <w:p w14:paraId="4B8CFE5F" w14:textId="77777777" w:rsidR="005142BE" w:rsidRDefault="005142BE" w:rsidP="00125FB7">
        <w:pPr>
          <w:pStyle w:val="Encabezado"/>
          <w:jc w:val="right"/>
        </w:pPr>
      </w:p>
      <w:p w14:paraId="33FF87E3" w14:textId="444BA798" w:rsidR="005142BE" w:rsidRDefault="00385540" w:rsidP="00403C89">
        <w:pPr>
          <w:pStyle w:val="Encabezado"/>
          <w:jc w:val="right"/>
        </w:pPr>
        <w:r>
          <w:t xml:space="preserve">RECURSO DE REVISIÓN </w:t>
        </w:r>
        <w:r w:rsidR="00C20BA5">
          <w:t>3</w:t>
        </w:r>
        <w:r w:rsidR="00581889">
          <w:t>23</w:t>
        </w:r>
        <w:r w:rsidR="00A00F41">
          <w:t>/2026</w:t>
        </w:r>
        <w:r w:rsidR="00710E8F">
          <w:t>-1</w:t>
        </w:r>
      </w:p>
      <w:p w14:paraId="1F581E29" w14:textId="484A7B4B" w:rsidR="005142BE" w:rsidRDefault="00B7658F"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C84BEE"/>
    <w:multiLevelType w:val="hybridMultilevel"/>
    <w:tmpl w:val="63E2698E"/>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27"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2"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F7B4755"/>
    <w:multiLevelType w:val="hybridMultilevel"/>
    <w:tmpl w:val="3F24CAB2"/>
    <w:lvl w:ilvl="0" w:tplc="140C92B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4"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5B22DF8"/>
    <w:multiLevelType w:val="hybridMultilevel"/>
    <w:tmpl w:val="94C49C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DDF464F"/>
    <w:multiLevelType w:val="multilevel"/>
    <w:tmpl w:val="FD00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6"/>
  </w:num>
  <w:num w:numId="6">
    <w:abstractNumId w:val="19"/>
  </w:num>
  <w:num w:numId="7">
    <w:abstractNumId w:val="27"/>
  </w:num>
  <w:num w:numId="8">
    <w:abstractNumId w:val="37"/>
  </w:num>
  <w:num w:numId="9">
    <w:abstractNumId w:val="7"/>
  </w:num>
  <w:num w:numId="10">
    <w:abstractNumId w:val="43"/>
  </w:num>
  <w:num w:numId="11">
    <w:abstractNumId w:val="11"/>
  </w:num>
  <w:num w:numId="12">
    <w:abstractNumId w:val="39"/>
  </w:num>
  <w:num w:numId="13">
    <w:abstractNumId w:val="23"/>
  </w:num>
  <w:num w:numId="14">
    <w:abstractNumId w:val="13"/>
  </w:num>
  <w:num w:numId="15">
    <w:abstractNumId w:val="42"/>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0"/>
  </w:num>
  <w:num w:numId="23">
    <w:abstractNumId w:val="41"/>
  </w:num>
  <w:num w:numId="24">
    <w:abstractNumId w:val="47"/>
  </w:num>
  <w:num w:numId="25">
    <w:abstractNumId w:val="20"/>
  </w:num>
  <w:num w:numId="26">
    <w:abstractNumId w:val="44"/>
  </w:num>
  <w:num w:numId="27">
    <w:abstractNumId w:val="10"/>
  </w:num>
  <w:num w:numId="28">
    <w:abstractNumId w:val="45"/>
  </w:num>
  <w:num w:numId="29">
    <w:abstractNumId w:val="40"/>
  </w:num>
  <w:num w:numId="30">
    <w:abstractNumId w:val="25"/>
  </w:num>
  <w:num w:numId="31">
    <w:abstractNumId w:val="34"/>
  </w:num>
  <w:num w:numId="32">
    <w:abstractNumId w:val="9"/>
  </w:num>
  <w:num w:numId="33">
    <w:abstractNumId w:val="16"/>
  </w:num>
  <w:num w:numId="34">
    <w:abstractNumId w:val="24"/>
  </w:num>
  <w:num w:numId="35">
    <w:abstractNumId w:val="6"/>
  </w:num>
  <w:num w:numId="36">
    <w:abstractNumId w:val="28"/>
  </w:num>
  <w:num w:numId="37">
    <w:abstractNumId w:val="18"/>
  </w:num>
  <w:num w:numId="38">
    <w:abstractNumId w:val="22"/>
  </w:num>
  <w:num w:numId="39">
    <w:abstractNumId w:val="0"/>
  </w:num>
  <w:num w:numId="40">
    <w:abstractNumId w:val="32"/>
  </w:num>
  <w:num w:numId="41">
    <w:abstractNumId w:val="3"/>
  </w:num>
  <w:num w:numId="42">
    <w:abstractNumId w:val="15"/>
  </w:num>
  <w:num w:numId="43">
    <w:abstractNumId w:val="12"/>
  </w:num>
  <w:num w:numId="44">
    <w:abstractNumId w:val="31"/>
  </w:num>
  <w:num w:numId="45">
    <w:abstractNumId w:val="26"/>
  </w:num>
  <w:num w:numId="46">
    <w:abstractNumId w:val="35"/>
  </w:num>
  <w:num w:numId="47">
    <w:abstractNumId w:val="33"/>
  </w:num>
  <w:num w:numId="48">
    <w:abstractNumId w:val="36"/>
  </w:num>
  <w:num w:numId="49">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4FE4"/>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C7A1C"/>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2E8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17C"/>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6C9"/>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3E0"/>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4D4"/>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0B21"/>
    <w:rsid w:val="003D1073"/>
    <w:rsid w:val="003D1446"/>
    <w:rsid w:val="003D18F8"/>
    <w:rsid w:val="003D1EC1"/>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6E6"/>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18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889"/>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1E2B"/>
    <w:rsid w:val="005D22F8"/>
    <w:rsid w:val="005D27E3"/>
    <w:rsid w:val="005D2C05"/>
    <w:rsid w:val="005D2D89"/>
    <w:rsid w:val="005D39DA"/>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809"/>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541D"/>
    <w:rsid w:val="00705C17"/>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1C74"/>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BEE"/>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57C56"/>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082"/>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1BA2"/>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63A9"/>
    <w:rsid w:val="009171C0"/>
    <w:rsid w:val="0092045D"/>
    <w:rsid w:val="009212D1"/>
    <w:rsid w:val="009214BC"/>
    <w:rsid w:val="00921AD0"/>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04E"/>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B42"/>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58F"/>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3D9A"/>
    <w:rsid w:val="00BA4129"/>
    <w:rsid w:val="00BA4F3B"/>
    <w:rsid w:val="00BA5238"/>
    <w:rsid w:val="00BA7070"/>
    <w:rsid w:val="00BA77B6"/>
    <w:rsid w:val="00BB066B"/>
    <w:rsid w:val="00BB09D4"/>
    <w:rsid w:val="00BB0DF8"/>
    <w:rsid w:val="00BB0FC9"/>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BA5"/>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02C"/>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7ED"/>
    <w:rsid w:val="00D0288D"/>
    <w:rsid w:val="00D03430"/>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399F"/>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5D63"/>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6E4B"/>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4DDC"/>
    <w:rsid w:val="00E35AC3"/>
    <w:rsid w:val="00E36277"/>
    <w:rsid w:val="00E36DCC"/>
    <w:rsid w:val="00E376C1"/>
    <w:rsid w:val="00E376F4"/>
    <w:rsid w:val="00E40E02"/>
    <w:rsid w:val="00E417D9"/>
    <w:rsid w:val="00E41A5D"/>
    <w:rsid w:val="00E41F96"/>
    <w:rsid w:val="00E4495F"/>
    <w:rsid w:val="00E455A8"/>
    <w:rsid w:val="00E4589C"/>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4B3D"/>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CAC"/>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882"/>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E3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1BFE"/>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197733-9CD2-4473-B691-D60F1293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15</Pages>
  <Words>5110</Words>
  <Characters>28108</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4</cp:revision>
  <cp:lastPrinted>2025-11-05T14:45:00Z</cp:lastPrinted>
  <dcterms:created xsi:type="dcterms:W3CDTF">2026-07-09T17:14:00Z</dcterms:created>
  <dcterms:modified xsi:type="dcterms:W3CDTF">2026-08-06T17:02:00Z</dcterms:modified>
</cp:coreProperties>
</file>