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22259" w14:textId="77777777" w:rsidR="00EF5456" w:rsidRPr="00962B40" w:rsidRDefault="00EF5456" w:rsidP="00EF5456">
      <w:pPr>
        <w:tabs>
          <w:tab w:val="left" w:pos="5071"/>
        </w:tabs>
        <w:rPr>
          <w:rFonts w:ascii="Arial" w:hAnsi="Arial" w:cs="Arial"/>
          <w:color w:val="806000" w:themeColor="accent4" w:themeShade="80"/>
          <w:sz w:val="72"/>
          <w:szCs w:val="72"/>
        </w:rPr>
      </w:pPr>
    </w:p>
    <w:p w14:paraId="26C6A17F" w14:textId="2638A8F3" w:rsidR="00EF5456" w:rsidRDefault="00EF5456" w:rsidP="00F72BBB">
      <w:pPr>
        <w:tabs>
          <w:tab w:val="left" w:pos="5071"/>
        </w:tabs>
        <w:jc w:val="center"/>
        <w:rPr>
          <w:rFonts w:ascii="Bahnschrift" w:hAnsi="Bahnschrift" w:cs="Times New Roman"/>
          <w:b/>
          <w:bCs/>
          <w:color w:val="002060"/>
          <w:sz w:val="72"/>
          <w:szCs w:val="72"/>
        </w:rPr>
      </w:pPr>
      <w:r w:rsidRPr="00EF5456">
        <w:rPr>
          <w:rFonts w:ascii="Bahnschrift" w:hAnsi="Bahnschrift" w:cs="Times New Roman"/>
          <w:b/>
          <w:bCs/>
          <w:color w:val="002060"/>
          <w:sz w:val="72"/>
          <w:szCs w:val="72"/>
        </w:rPr>
        <w:t>PROGRAMA ANUAL DE DESARROLLO ARCHIVÍSTICO 2026</w:t>
      </w:r>
    </w:p>
    <w:p w14:paraId="66B643CC" w14:textId="77777777" w:rsidR="00F72BBB" w:rsidRPr="00F72BBB" w:rsidRDefault="00F72BBB" w:rsidP="00F72BBB">
      <w:pPr>
        <w:tabs>
          <w:tab w:val="left" w:pos="5071"/>
        </w:tabs>
        <w:jc w:val="center"/>
        <w:rPr>
          <w:rFonts w:ascii="Bahnschrift" w:hAnsi="Bahnschrift" w:cs="Times New Roman"/>
          <w:b/>
          <w:bCs/>
          <w:color w:val="002060"/>
          <w:sz w:val="72"/>
          <w:szCs w:val="72"/>
        </w:rPr>
      </w:pPr>
    </w:p>
    <w:p w14:paraId="2D2E5DC7" w14:textId="605B1C7D" w:rsidR="00EF5456" w:rsidRDefault="00EF5456" w:rsidP="00EF5456">
      <w:pPr>
        <w:tabs>
          <w:tab w:val="left" w:pos="5071"/>
        </w:tabs>
        <w:jc w:val="both"/>
        <w:rPr>
          <w:rFonts w:ascii="Arial" w:hAnsi="Arial" w:cs="Arial"/>
          <w:sz w:val="28"/>
          <w:szCs w:val="28"/>
        </w:rPr>
      </w:pPr>
      <w:r w:rsidRPr="00962B40">
        <w:rPr>
          <w:rFonts w:ascii="Arial" w:hAnsi="Arial" w:cs="Arial"/>
          <w:sz w:val="28"/>
          <w:szCs w:val="28"/>
        </w:rPr>
        <w:t xml:space="preserve">El </w:t>
      </w:r>
      <w:r>
        <w:rPr>
          <w:rFonts w:ascii="Arial" w:hAnsi="Arial" w:cs="Arial"/>
          <w:sz w:val="28"/>
          <w:szCs w:val="28"/>
        </w:rPr>
        <w:t xml:space="preserve">presente </w:t>
      </w:r>
      <w:r w:rsidRPr="00962B40">
        <w:rPr>
          <w:rFonts w:ascii="Arial" w:hAnsi="Arial" w:cs="Arial"/>
          <w:sz w:val="28"/>
          <w:szCs w:val="28"/>
        </w:rPr>
        <w:t xml:space="preserve">programa anual de desarrollo archivístico se </w:t>
      </w:r>
      <w:r>
        <w:rPr>
          <w:rFonts w:ascii="Arial" w:hAnsi="Arial" w:cs="Arial"/>
          <w:sz w:val="28"/>
          <w:szCs w:val="28"/>
        </w:rPr>
        <w:t>aplica</w:t>
      </w:r>
      <w:r w:rsidRPr="00962B40">
        <w:rPr>
          <w:rFonts w:ascii="Arial" w:hAnsi="Arial" w:cs="Arial"/>
          <w:sz w:val="28"/>
          <w:szCs w:val="28"/>
        </w:rPr>
        <w:t xml:space="preserve"> como una herramienta de planeación, organización</w:t>
      </w:r>
      <w:r>
        <w:rPr>
          <w:rFonts w:ascii="Arial" w:hAnsi="Arial" w:cs="Arial"/>
          <w:sz w:val="28"/>
          <w:szCs w:val="28"/>
        </w:rPr>
        <w:t>,</w:t>
      </w:r>
      <w:r w:rsidR="00964453">
        <w:rPr>
          <w:rFonts w:ascii="Arial" w:hAnsi="Arial" w:cs="Arial"/>
          <w:sz w:val="28"/>
          <w:szCs w:val="28"/>
        </w:rPr>
        <w:t xml:space="preserve"> integración, </w:t>
      </w:r>
      <w:r w:rsidRPr="00962B40">
        <w:rPr>
          <w:rFonts w:ascii="Arial" w:hAnsi="Arial" w:cs="Arial"/>
          <w:sz w:val="28"/>
          <w:szCs w:val="28"/>
        </w:rPr>
        <w:t>gestión</w:t>
      </w:r>
      <w:r>
        <w:rPr>
          <w:rFonts w:ascii="Arial" w:hAnsi="Arial" w:cs="Arial"/>
          <w:sz w:val="28"/>
          <w:szCs w:val="28"/>
        </w:rPr>
        <w:t>, modernización y conservación</w:t>
      </w:r>
      <w:r w:rsidRPr="00962B40">
        <w:rPr>
          <w:rFonts w:ascii="Arial" w:hAnsi="Arial" w:cs="Arial"/>
          <w:sz w:val="28"/>
          <w:szCs w:val="28"/>
        </w:rPr>
        <w:t>.</w:t>
      </w:r>
      <w:r>
        <w:rPr>
          <w:rFonts w:ascii="Arial" w:hAnsi="Arial" w:cs="Arial"/>
          <w:sz w:val="28"/>
          <w:szCs w:val="28"/>
        </w:rPr>
        <w:t xml:space="preserve"> </w:t>
      </w:r>
    </w:p>
    <w:p w14:paraId="66D0708F" w14:textId="77777777" w:rsidR="00EF5456" w:rsidRDefault="00EF5456" w:rsidP="00EF5456">
      <w:pPr>
        <w:tabs>
          <w:tab w:val="left" w:pos="5071"/>
        </w:tabs>
        <w:jc w:val="both"/>
        <w:rPr>
          <w:rFonts w:ascii="Arial" w:hAnsi="Arial" w:cs="Arial"/>
          <w:sz w:val="28"/>
          <w:szCs w:val="28"/>
        </w:rPr>
      </w:pPr>
      <w:r>
        <w:rPr>
          <w:rFonts w:ascii="Arial" w:hAnsi="Arial" w:cs="Arial"/>
          <w:sz w:val="28"/>
          <w:szCs w:val="28"/>
        </w:rPr>
        <w:t>Ti</w:t>
      </w:r>
      <w:r w:rsidRPr="00962B40">
        <w:rPr>
          <w:rFonts w:ascii="Arial" w:hAnsi="Arial" w:cs="Arial"/>
          <w:sz w:val="28"/>
          <w:szCs w:val="28"/>
        </w:rPr>
        <w:t>ene como propósito la mejora</w:t>
      </w:r>
      <w:r>
        <w:rPr>
          <w:rFonts w:ascii="Arial" w:hAnsi="Arial" w:cs="Arial"/>
          <w:sz w:val="28"/>
          <w:szCs w:val="28"/>
        </w:rPr>
        <w:t xml:space="preserve"> continua</w:t>
      </w:r>
      <w:r w:rsidRPr="00962B40">
        <w:rPr>
          <w:rFonts w:ascii="Arial" w:hAnsi="Arial" w:cs="Arial"/>
          <w:sz w:val="28"/>
          <w:szCs w:val="28"/>
        </w:rPr>
        <w:t xml:space="preserve"> en la administración de archivos de las instituciones </w:t>
      </w:r>
      <w:r>
        <w:rPr>
          <w:rFonts w:ascii="Arial" w:hAnsi="Arial" w:cs="Arial"/>
          <w:sz w:val="28"/>
          <w:szCs w:val="28"/>
        </w:rPr>
        <w:t>y/</w:t>
      </w:r>
      <w:r w:rsidRPr="00962B40">
        <w:rPr>
          <w:rFonts w:ascii="Arial" w:hAnsi="Arial" w:cs="Arial"/>
          <w:sz w:val="28"/>
          <w:szCs w:val="28"/>
        </w:rPr>
        <w:t>o entidades públicas para</w:t>
      </w:r>
      <w:r>
        <w:rPr>
          <w:rFonts w:ascii="Arial" w:hAnsi="Arial" w:cs="Arial"/>
          <w:sz w:val="28"/>
          <w:szCs w:val="28"/>
        </w:rPr>
        <w:t xml:space="preserve"> eficientizar los procesos de los mismos.</w:t>
      </w:r>
    </w:p>
    <w:p w14:paraId="657B12E9" w14:textId="592CB712" w:rsidR="00EF5456" w:rsidRDefault="00EF5456" w:rsidP="00EF5456">
      <w:pPr>
        <w:tabs>
          <w:tab w:val="left" w:pos="5071"/>
        </w:tabs>
        <w:jc w:val="both"/>
        <w:rPr>
          <w:rFonts w:ascii="Arial" w:hAnsi="Arial" w:cs="Arial"/>
          <w:sz w:val="28"/>
          <w:szCs w:val="28"/>
        </w:rPr>
      </w:pPr>
      <w:r>
        <w:rPr>
          <w:rFonts w:ascii="Arial" w:hAnsi="Arial" w:cs="Arial"/>
          <w:sz w:val="28"/>
          <w:szCs w:val="28"/>
        </w:rPr>
        <w:t>En el ejercicio 202</w:t>
      </w:r>
      <w:r w:rsidR="009E0450">
        <w:rPr>
          <w:rFonts w:ascii="Arial" w:hAnsi="Arial" w:cs="Arial"/>
          <w:sz w:val="28"/>
          <w:szCs w:val="28"/>
        </w:rPr>
        <w:t>6</w:t>
      </w:r>
      <w:r>
        <w:rPr>
          <w:rFonts w:ascii="Arial" w:hAnsi="Arial" w:cs="Arial"/>
          <w:sz w:val="28"/>
          <w:szCs w:val="28"/>
        </w:rPr>
        <w:t>, se estarán desarrollando en el Museo del Virreinato diversas actividades que se presentan a continuación con la finalidad de dar cumplimiento a la gestión documental y archivística de este.</w:t>
      </w:r>
    </w:p>
    <w:p w14:paraId="3D91633D" w14:textId="77777777" w:rsidR="00EF5456" w:rsidRPr="00962B40" w:rsidRDefault="00EF5456" w:rsidP="00EF5456">
      <w:pPr>
        <w:tabs>
          <w:tab w:val="left" w:pos="5071"/>
        </w:tabs>
        <w:jc w:val="right"/>
        <w:rPr>
          <w:rFonts w:ascii="Arial" w:hAnsi="Arial" w:cs="Arial"/>
          <w:sz w:val="28"/>
          <w:szCs w:val="28"/>
        </w:rPr>
      </w:pPr>
    </w:p>
    <w:p w14:paraId="0D98F8E6" w14:textId="21028C91" w:rsidR="00EF5456" w:rsidRPr="00F72BBB" w:rsidRDefault="00EF5456" w:rsidP="00EF5456">
      <w:pPr>
        <w:tabs>
          <w:tab w:val="left" w:pos="5071"/>
        </w:tabs>
        <w:jc w:val="right"/>
        <w:rPr>
          <w:rFonts w:ascii="Arial" w:hAnsi="Arial" w:cs="Arial"/>
          <w:b/>
          <w:bCs/>
          <w:color w:val="002060"/>
          <w:sz w:val="28"/>
          <w:szCs w:val="28"/>
        </w:rPr>
      </w:pPr>
      <w:r w:rsidRPr="00F72BBB">
        <w:rPr>
          <w:rFonts w:ascii="Arial" w:hAnsi="Arial" w:cs="Arial"/>
          <w:b/>
          <w:bCs/>
          <w:color w:val="002060"/>
          <w:sz w:val="28"/>
          <w:szCs w:val="28"/>
        </w:rPr>
        <w:t>San Luis Potosí, S.L.P., enero del 202</w:t>
      </w:r>
      <w:r w:rsidR="00F72BBB" w:rsidRPr="00F72BBB">
        <w:rPr>
          <w:rFonts w:ascii="Arial" w:hAnsi="Arial" w:cs="Arial"/>
          <w:b/>
          <w:bCs/>
          <w:color w:val="002060"/>
          <w:sz w:val="28"/>
          <w:szCs w:val="28"/>
        </w:rPr>
        <w:t>6</w:t>
      </w:r>
      <w:r w:rsidRPr="00F72BBB">
        <w:rPr>
          <w:rFonts w:ascii="Arial" w:hAnsi="Arial" w:cs="Arial"/>
          <w:b/>
          <w:bCs/>
          <w:color w:val="002060"/>
          <w:sz w:val="28"/>
          <w:szCs w:val="28"/>
        </w:rPr>
        <w:t>.</w:t>
      </w:r>
    </w:p>
    <w:p w14:paraId="44969FB1" w14:textId="77777777" w:rsidR="00EF5456" w:rsidRDefault="00EF5456" w:rsidP="00EF5456">
      <w:pPr>
        <w:tabs>
          <w:tab w:val="left" w:pos="5071"/>
        </w:tabs>
        <w:jc w:val="right"/>
        <w:rPr>
          <w:rFonts w:ascii="Arial" w:hAnsi="Arial" w:cs="Arial"/>
          <w:b/>
          <w:bCs/>
          <w:color w:val="806000" w:themeColor="accent4" w:themeShade="80"/>
          <w:sz w:val="28"/>
          <w:szCs w:val="28"/>
        </w:rPr>
      </w:pPr>
    </w:p>
    <w:p w14:paraId="40914BF2" w14:textId="77777777" w:rsidR="00EF5456" w:rsidRPr="00962B40" w:rsidRDefault="00EF5456" w:rsidP="00EF5456">
      <w:pPr>
        <w:tabs>
          <w:tab w:val="left" w:pos="5071"/>
        </w:tabs>
        <w:jc w:val="right"/>
        <w:rPr>
          <w:rFonts w:ascii="Arial" w:hAnsi="Arial" w:cs="Arial"/>
          <w:b/>
          <w:bCs/>
          <w:color w:val="806000" w:themeColor="accent4" w:themeShade="80"/>
          <w:sz w:val="28"/>
          <w:szCs w:val="28"/>
        </w:rPr>
      </w:pPr>
    </w:p>
    <w:p w14:paraId="211B6C31" w14:textId="61792B9B" w:rsidR="00EF5456" w:rsidRDefault="00EF5456" w:rsidP="00EF5456">
      <w:pPr>
        <w:numPr>
          <w:ilvl w:val="0"/>
          <w:numId w:val="2"/>
        </w:numPr>
        <w:tabs>
          <w:tab w:val="left" w:pos="5071"/>
        </w:tabs>
        <w:contextualSpacing/>
        <w:jc w:val="both"/>
        <w:rPr>
          <w:rFonts w:ascii="Arial" w:hAnsi="Arial" w:cs="Arial"/>
          <w:b/>
          <w:bCs/>
          <w:color w:val="806000" w:themeColor="accent4" w:themeShade="80"/>
          <w:sz w:val="28"/>
          <w:szCs w:val="28"/>
        </w:rPr>
      </w:pPr>
      <w:r w:rsidRPr="00962B40">
        <w:rPr>
          <w:rFonts w:ascii="Arial" w:hAnsi="Arial" w:cs="Arial"/>
          <w:b/>
          <w:bCs/>
          <w:color w:val="806000" w:themeColor="accent4" w:themeShade="80"/>
          <w:sz w:val="28"/>
          <w:szCs w:val="28"/>
        </w:rPr>
        <w:t>Introducción</w:t>
      </w:r>
    </w:p>
    <w:p w14:paraId="008ABF24" w14:textId="77777777" w:rsidR="00EF5456" w:rsidRPr="00962B40" w:rsidRDefault="00EF5456" w:rsidP="00EF5456">
      <w:pPr>
        <w:tabs>
          <w:tab w:val="left" w:pos="5071"/>
        </w:tabs>
        <w:ind w:left="1080"/>
        <w:contextualSpacing/>
        <w:jc w:val="both"/>
        <w:rPr>
          <w:rFonts w:ascii="Arial" w:hAnsi="Arial" w:cs="Arial"/>
          <w:b/>
          <w:bCs/>
          <w:color w:val="806000" w:themeColor="accent4" w:themeShade="80"/>
          <w:sz w:val="28"/>
          <w:szCs w:val="28"/>
        </w:rPr>
      </w:pPr>
    </w:p>
    <w:p w14:paraId="34124F25" w14:textId="77777777" w:rsidR="00EF5456" w:rsidRPr="00962B40" w:rsidRDefault="00EF5456" w:rsidP="00EF5456">
      <w:pPr>
        <w:tabs>
          <w:tab w:val="left" w:pos="5071"/>
        </w:tabs>
        <w:jc w:val="both"/>
        <w:rPr>
          <w:rFonts w:ascii="Arial" w:hAnsi="Arial" w:cs="Arial"/>
          <w:sz w:val="24"/>
          <w:szCs w:val="24"/>
        </w:rPr>
      </w:pPr>
      <w:r w:rsidRPr="00962B40">
        <w:rPr>
          <w:rFonts w:ascii="Arial" w:hAnsi="Arial" w:cs="Arial"/>
          <w:sz w:val="24"/>
          <w:szCs w:val="24"/>
        </w:rPr>
        <w:t>El presente Programa Anual de Desarrollo Archivístico es un instrumento de gestión que permitirá obtener mayor control con los procesos o actividades en las diversas áreas que conforman el Museo del Virreinato respecto a sus acervos documentales. Esto mediante estrategias y actividades que faciliten las funciones y los procesos de recuperación e integración de información.</w:t>
      </w:r>
    </w:p>
    <w:p w14:paraId="3D7312E3" w14:textId="77777777" w:rsidR="00EF5456" w:rsidRPr="00962B40" w:rsidRDefault="00EF5456" w:rsidP="00EF5456">
      <w:pPr>
        <w:tabs>
          <w:tab w:val="left" w:pos="5071"/>
        </w:tabs>
        <w:jc w:val="both"/>
        <w:rPr>
          <w:rFonts w:ascii="Arial" w:hAnsi="Arial" w:cs="Arial"/>
          <w:sz w:val="24"/>
          <w:szCs w:val="24"/>
        </w:rPr>
      </w:pPr>
      <w:r w:rsidRPr="00962B40">
        <w:rPr>
          <w:rFonts w:ascii="Arial" w:hAnsi="Arial" w:cs="Arial"/>
          <w:sz w:val="24"/>
          <w:szCs w:val="24"/>
        </w:rPr>
        <w:t xml:space="preserve">Dentro del presente documento, se integra un cronograma de actividades en donde se hace referencia de cuáles son las principales acciones para implementar y los tiempos en que se llevarán a cabo. </w:t>
      </w:r>
    </w:p>
    <w:p w14:paraId="02A85D25" w14:textId="157F5426" w:rsidR="00EF5456" w:rsidRPr="00962B40" w:rsidRDefault="00EF5456" w:rsidP="00EF5456">
      <w:pPr>
        <w:tabs>
          <w:tab w:val="left" w:pos="5071"/>
        </w:tabs>
        <w:jc w:val="both"/>
        <w:rPr>
          <w:rFonts w:ascii="Arial" w:hAnsi="Arial" w:cs="Arial"/>
          <w:sz w:val="24"/>
          <w:szCs w:val="24"/>
        </w:rPr>
      </w:pPr>
      <w:r w:rsidRPr="00962B40">
        <w:rPr>
          <w:rFonts w:ascii="Arial" w:hAnsi="Arial" w:cs="Arial"/>
          <w:sz w:val="24"/>
          <w:szCs w:val="24"/>
        </w:rPr>
        <w:t>Todo esto</w:t>
      </w:r>
      <w:r w:rsidR="000948E4">
        <w:rPr>
          <w:rFonts w:ascii="Arial" w:hAnsi="Arial" w:cs="Arial"/>
          <w:sz w:val="24"/>
          <w:szCs w:val="24"/>
        </w:rPr>
        <w:t>,</w:t>
      </w:r>
      <w:r w:rsidRPr="00962B40">
        <w:rPr>
          <w:rFonts w:ascii="Arial" w:hAnsi="Arial" w:cs="Arial"/>
          <w:sz w:val="24"/>
          <w:szCs w:val="24"/>
        </w:rPr>
        <w:t xml:space="preserve"> con la finalidad de tener un proceso encaminado hacia las metas y objetivos que se quieran lograr en la Coordinación de Archivos. Este programa sugiere facilitar el cumplimiento de las leyes, normas y reglas necesarias para el mejoramiento de obligaciones para los servidores públicos y para que puedan estar mejor capacitados al momento de llevar a cabo la gestión y la preservación documental.</w:t>
      </w:r>
    </w:p>
    <w:p w14:paraId="1009FD48" w14:textId="621EA12A" w:rsidR="00EF5456" w:rsidRPr="00962B40" w:rsidRDefault="00EF5456" w:rsidP="00EF5456">
      <w:pPr>
        <w:tabs>
          <w:tab w:val="left" w:pos="5071"/>
        </w:tabs>
        <w:jc w:val="both"/>
        <w:rPr>
          <w:rFonts w:ascii="Arial" w:hAnsi="Arial" w:cs="Arial"/>
          <w:sz w:val="24"/>
          <w:szCs w:val="24"/>
        </w:rPr>
      </w:pPr>
      <w:r w:rsidRPr="00962B40">
        <w:rPr>
          <w:rFonts w:ascii="Arial" w:hAnsi="Arial" w:cs="Arial"/>
          <w:sz w:val="24"/>
          <w:szCs w:val="24"/>
        </w:rPr>
        <w:t>Se muestra un Plan Anual de Desarrollo Archivístico 202</w:t>
      </w:r>
      <w:r w:rsidR="00437A40">
        <w:rPr>
          <w:rFonts w:ascii="Arial" w:hAnsi="Arial" w:cs="Arial"/>
          <w:sz w:val="24"/>
          <w:szCs w:val="24"/>
        </w:rPr>
        <w:t>6</w:t>
      </w:r>
      <w:r w:rsidRPr="00962B40">
        <w:rPr>
          <w:rFonts w:ascii="Arial" w:hAnsi="Arial" w:cs="Arial"/>
          <w:sz w:val="24"/>
          <w:szCs w:val="24"/>
        </w:rPr>
        <w:t xml:space="preserve"> del Museo del Virreinato como una herramienta de planeación para la mejora d</w:t>
      </w:r>
      <w:r w:rsidR="000948E4">
        <w:rPr>
          <w:rFonts w:ascii="Arial" w:hAnsi="Arial" w:cs="Arial"/>
          <w:sz w:val="24"/>
          <w:szCs w:val="24"/>
        </w:rPr>
        <w:t>e las actividades</w:t>
      </w:r>
      <w:r w:rsidRPr="00962B40">
        <w:rPr>
          <w:rFonts w:ascii="Arial" w:hAnsi="Arial" w:cs="Arial"/>
          <w:sz w:val="24"/>
          <w:szCs w:val="24"/>
        </w:rPr>
        <w:t xml:space="preserve"> del área de administración de archivos para las instituciones o entidades públicas.</w:t>
      </w:r>
    </w:p>
    <w:p w14:paraId="6A466668"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El artículo 23. Define que “Los sujetos obligados que cuenten con un sistema institucional de archivos, deberán elaborar un programa anual y publicarlo en su portal electrónico en los primeros 30 días naturales del ejercicio fiscal correspondiente.</w:t>
      </w:r>
    </w:p>
    <w:p w14:paraId="29D39DEB"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El artículo 24. “</w:t>
      </w:r>
      <w:r w:rsidRPr="00962B40">
        <w:rPr>
          <w:rFonts w:ascii="Arial" w:eastAsia="Times New Roman" w:hAnsi="Arial" w:cs="Arial"/>
          <w:sz w:val="24"/>
          <w:szCs w:val="24"/>
        </w:rPr>
        <w:tab/>
        <w:t>El programa Anual contendrá los elementos de planeación, programación y evaluación para el desarrollo de los archivos y deberá incluir un enfoque de administración de riesgos, protección de los derechos humanos y de otros derechos que de ellos deriven, así como de apertura proactiva de la información.</w:t>
      </w:r>
    </w:p>
    <w:p w14:paraId="365DF6B2"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El artículo 26. Finalmente define: “Los sujetos obligados deberán de elaborar un informe anual detallando el cumplimiento del programa Anual y publicarlo en su portal electrónico, a más tardar el último día del mes de enero del siguiente año de la ejecución de dicho programa”.</w:t>
      </w:r>
    </w:p>
    <w:p w14:paraId="4DCDD897"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lastRenderedPageBreak/>
        <w:t>En este sentido, La Coordinación de Archivos, en apoyo con las demás áreas administrativas, presentan para el ejercicio administrativo siguiente el Programa Anual de Desarrollo Archivístico 2024 con la finalidad de ordenar y organizar las tareas durante el año.</w:t>
      </w:r>
    </w:p>
    <w:p w14:paraId="6CFAEF18" w14:textId="77777777" w:rsidR="00EF5456" w:rsidRPr="00962B40" w:rsidRDefault="00EF5456" w:rsidP="00EF5456">
      <w:pPr>
        <w:tabs>
          <w:tab w:val="left" w:pos="5071"/>
        </w:tabs>
        <w:jc w:val="both"/>
        <w:rPr>
          <w:rFonts w:ascii="Arial" w:hAnsi="Arial" w:cs="Arial"/>
          <w:b/>
          <w:bCs/>
          <w:sz w:val="24"/>
          <w:szCs w:val="24"/>
        </w:rPr>
      </w:pPr>
    </w:p>
    <w:p w14:paraId="71B36E8A" w14:textId="77777777" w:rsidR="00EF5456" w:rsidRPr="00962B40" w:rsidRDefault="00EF5456" w:rsidP="00EF5456">
      <w:pPr>
        <w:numPr>
          <w:ilvl w:val="0"/>
          <w:numId w:val="2"/>
        </w:numPr>
        <w:tabs>
          <w:tab w:val="left" w:pos="5071"/>
        </w:tabs>
        <w:contextualSpacing/>
        <w:jc w:val="both"/>
        <w:rPr>
          <w:rFonts w:ascii="Arial" w:hAnsi="Arial" w:cs="Arial"/>
          <w:b/>
          <w:bCs/>
          <w:color w:val="806000" w:themeColor="accent4" w:themeShade="80"/>
          <w:sz w:val="28"/>
          <w:szCs w:val="28"/>
        </w:rPr>
      </w:pPr>
      <w:r w:rsidRPr="00962B40">
        <w:rPr>
          <w:rFonts w:ascii="Arial" w:hAnsi="Arial" w:cs="Arial"/>
          <w:b/>
          <w:bCs/>
          <w:color w:val="806000" w:themeColor="accent4" w:themeShade="80"/>
          <w:sz w:val="28"/>
          <w:szCs w:val="28"/>
        </w:rPr>
        <w:t>Marco Jurídico</w:t>
      </w:r>
    </w:p>
    <w:p w14:paraId="5C75C393" w14:textId="0007AA88" w:rsidR="00991FEB" w:rsidRPr="00991FEB" w:rsidRDefault="00EF5456" w:rsidP="00991FEB">
      <w:pPr>
        <w:jc w:val="both"/>
        <w:rPr>
          <w:rFonts w:ascii="Arial" w:eastAsia="Times New Roman" w:hAnsi="Arial" w:cs="Arial"/>
          <w:sz w:val="24"/>
          <w:szCs w:val="24"/>
        </w:rPr>
      </w:pPr>
      <w:r w:rsidRPr="00962B40">
        <w:rPr>
          <w:rFonts w:ascii="Arial" w:eastAsia="Times New Roman" w:hAnsi="Arial" w:cs="Arial"/>
          <w:sz w:val="24"/>
          <w:szCs w:val="24"/>
        </w:rPr>
        <w:t>El presente programa tiene su fundamento jurídico, en las siguientes disposiciones normativas:</w:t>
      </w:r>
    </w:p>
    <w:p w14:paraId="2CDCC162" w14:textId="77777777" w:rsidR="00991FEB" w:rsidRPr="00E26C34" w:rsidRDefault="00A57C65" w:rsidP="00E26C34">
      <w:pPr>
        <w:pStyle w:val="Prrafodelista"/>
        <w:numPr>
          <w:ilvl w:val="0"/>
          <w:numId w:val="1"/>
        </w:numPr>
        <w:shd w:val="clear" w:color="auto" w:fill="FFFFFF"/>
        <w:spacing w:after="180" w:line="360" w:lineRule="atLeast"/>
        <w:jc w:val="both"/>
        <w:rPr>
          <w:rFonts w:ascii="Arial" w:eastAsia="Times New Roman" w:hAnsi="Arial" w:cs="Arial"/>
          <w:color w:val="0A0A0A"/>
          <w:sz w:val="24"/>
          <w:szCs w:val="24"/>
          <w:lang w:eastAsia="es-MX"/>
        </w:rPr>
      </w:pPr>
      <w:hyperlink r:id="rId7" w:history="1">
        <w:r w:rsidR="00991FEB" w:rsidRPr="00E26C34">
          <w:rPr>
            <w:rFonts w:ascii="Arial" w:eastAsia="Times New Roman" w:hAnsi="Arial" w:cs="Arial"/>
            <w:sz w:val="24"/>
            <w:szCs w:val="24"/>
            <w:lang w:eastAsia="es-MX"/>
          </w:rPr>
          <w:t>Ley General de Archivos</w:t>
        </w:r>
      </w:hyperlink>
      <w:r w:rsidR="00991FEB" w:rsidRPr="00E26C34">
        <w:rPr>
          <w:rFonts w:ascii="Arial" w:eastAsia="Times New Roman" w:hAnsi="Arial" w:cs="Arial"/>
          <w:sz w:val="24"/>
          <w:szCs w:val="24"/>
          <w:lang w:eastAsia="es-MX"/>
        </w:rPr>
        <w:t> (LGA): </w:t>
      </w:r>
      <w:r w:rsidR="00991FEB" w:rsidRPr="00E26C34">
        <w:rPr>
          <w:rFonts w:ascii="Arial" w:eastAsia="Times New Roman" w:hAnsi="Arial" w:cs="Arial"/>
          <w:color w:val="0A0A0A"/>
          <w:sz w:val="24"/>
          <w:szCs w:val="24"/>
          <w:lang w:eastAsia="es-MX"/>
        </w:rPr>
        <w:t>Publicada en 2018, regula la organización y gestión de archivos, obligando a implementar sistemas institucionales de archivos y a gestionar el ciclo vital de los documentos.</w:t>
      </w:r>
    </w:p>
    <w:p w14:paraId="6B2253C1" w14:textId="0423C260" w:rsidR="00991FEB" w:rsidRPr="00E26C34" w:rsidRDefault="00991FEB" w:rsidP="00E26C34">
      <w:pPr>
        <w:pStyle w:val="Prrafodelista"/>
        <w:numPr>
          <w:ilvl w:val="0"/>
          <w:numId w:val="1"/>
        </w:numPr>
        <w:shd w:val="clear" w:color="auto" w:fill="FFFFFF"/>
        <w:spacing w:after="180" w:line="360" w:lineRule="atLeast"/>
        <w:jc w:val="both"/>
        <w:rPr>
          <w:rFonts w:ascii="Arial" w:eastAsia="Times New Roman" w:hAnsi="Arial" w:cs="Arial"/>
          <w:color w:val="0A0A0A"/>
          <w:sz w:val="24"/>
          <w:szCs w:val="24"/>
          <w:lang w:eastAsia="es-MX"/>
        </w:rPr>
      </w:pPr>
      <w:r w:rsidRPr="00E26C34">
        <w:rPr>
          <w:rFonts w:ascii="Arial" w:eastAsia="Times New Roman" w:hAnsi="Arial" w:cs="Arial"/>
          <w:color w:val="0A0A0A"/>
          <w:sz w:val="24"/>
          <w:szCs w:val="24"/>
          <w:lang w:eastAsia="es-MX"/>
        </w:rPr>
        <w:t>Reglamento de la Ley Federal de Archivos: Aún vigente en lo que no contravenga a la nueva Ley General</w:t>
      </w:r>
    </w:p>
    <w:p w14:paraId="3722E1D7" w14:textId="77777777" w:rsidR="00991FEB" w:rsidRPr="00E26C34" w:rsidRDefault="00A57C65" w:rsidP="00E26C34">
      <w:pPr>
        <w:pStyle w:val="Prrafodelista"/>
        <w:numPr>
          <w:ilvl w:val="0"/>
          <w:numId w:val="1"/>
        </w:numPr>
        <w:shd w:val="clear" w:color="auto" w:fill="FFFFFF"/>
        <w:spacing w:after="180" w:line="360" w:lineRule="atLeast"/>
        <w:jc w:val="both"/>
        <w:rPr>
          <w:rFonts w:ascii="Arial" w:eastAsia="Times New Roman" w:hAnsi="Arial" w:cs="Arial"/>
          <w:sz w:val="24"/>
          <w:szCs w:val="24"/>
          <w:lang w:eastAsia="es-MX"/>
        </w:rPr>
      </w:pPr>
      <w:hyperlink r:id="rId8" w:history="1">
        <w:r w:rsidR="00991FEB" w:rsidRPr="00E26C34">
          <w:rPr>
            <w:rStyle w:val="Hipervnculo"/>
            <w:rFonts w:ascii="Arial" w:hAnsi="Arial" w:cs="Arial"/>
            <w:color w:val="auto"/>
            <w:sz w:val="24"/>
            <w:szCs w:val="24"/>
            <w:u w:val="none"/>
            <w:shd w:val="clear" w:color="auto" w:fill="FFFFFF"/>
          </w:rPr>
          <w:t>Consejo Nacional de Archivos</w:t>
        </w:r>
      </w:hyperlink>
      <w:r w:rsidR="00991FEB" w:rsidRPr="00E26C34">
        <w:rPr>
          <w:rStyle w:val="Textoennegrita"/>
          <w:rFonts w:ascii="Arial" w:hAnsi="Arial" w:cs="Arial"/>
          <w:sz w:val="24"/>
          <w:szCs w:val="24"/>
          <w:shd w:val="clear" w:color="auto" w:fill="FFFFFF"/>
        </w:rPr>
        <w:t> (CONARCH):</w:t>
      </w:r>
      <w:r w:rsidR="00991FEB" w:rsidRPr="00E26C34">
        <w:rPr>
          <w:rFonts w:ascii="Arial" w:hAnsi="Arial" w:cs="Arial"/>
          <w:sz w:val="24"/>
          <w:szCs w:val="24"/>
          <w:shd w:val="clear" w:color="auto" w:fill="FFFFFF"/>
        </w:rPr>
        <w:t> Emite lineamientos técnicos, normas y directrices obligatorias.</w:t>
      </w:r>
    </w:p>
    <w:p w14:paraId="73987051" w14:textId="77777777" w:rsidR="00991FEB" w:rsidRPr="00E26C34" w:rsidRDefault="00A57C65" w:rsidP="00E26C34">
      <w:pPr>
        <w:pStyle w:val="Prrafodelista"/>
        <w:numPr>
          <w:ilvl w:val="0"/>
          <w:numId w:val="1"/>
        </w:numPr>
        <w:shd w:val="clear" w:color="auto" w:fill="FFFFFF"/>
        <w:spacing w:after="180" w:line="360" w:lineRule="atLeast"/>
        <w:jc w:val="both"/>
        <w:rPr>
          <w:rFonts w:ascii="Arial" w:eastAsia="Times New Roman" w:hAnsi="Arial" w:cs="Arial"/>
          <w:sz w:val="24"/>
          <w:szCs w:val="24"/>
          <w:lang w:eastAsia="es-MX"/>
        </w:rPr>
      </w:pPr>
      <w:hyperlink r:id="rId9" w:history="1">
        <w:r w:rsidR="00991FEB" w:rsidRPr="00E26C34">
          <w:rPr>
            <w:rFonts w:ascii="Arial" w:eastAsia="Times New Roman" w:hAnsi="Arial" w:cs="Arial"/>
            <w:sz w:val="24"/>
            <w:szCs w:val="24"/>
            <w:lang w:eastAsia="es-MX"/>
          </w:rPr>
          <w:t>Ley de Archivos para el Estado de San Luis Potosí</w:t>
        </w:r>
      </w:hyperlink>
      <w:r w:rsidR="00991FEB" w:rsidRPr="00E26C34">
        <w:rPr>
          <w:rFonts w:ascii="Arial" w:eastAsia="Times New Roman" w:hAnsi="Arial" w:cs="Arial"/>
          <w:sz w:val="24"/>
          <w:szCs w:val="24"/>
          <w:lang w:eastAsia="es-MX"/>
        </w:rPr>
        <w:t>: Reformada por última vez el 7 de junio de 2024, establece la creación del </w:t>
      </w:r>
      <w:hyperlink r:id="rId10" w:history="1">
        <w:r w:rsidR="00991FEB" w:rsidRPr="00E26C34">
          <w:rPr>
            <w:rFonts w:ascii="Arial" w:eastAsia="Times New Roman" w:hAnsi="Arial" w:cs="Arial"/>
            <w:sz w:val="24"/>
            <w:szCs w:val="24"/>
            <w:lang w:eastAsia="es-MX"/>
          </w:rPr>
          <w:t>Archivo General del Estado</w:t>
        </w:r>
      </w:hyperlink>
      <w:r w:rsidR="00991FEB" w:rsidRPr="00E26C34">
        <w:rPr>
          <w:rFonts w:ascii="Arial" w:eastAsia="Times New Roman" w:hAnsi="Arial" w:cs="Arial"/>
          <w:sz w:val="24"/>
          <w:szCs w:val="24"/>
          <w:lang w:eastAsia="es-MX"/>
        </w:rPr>
        <w:t> y el </w:t>
      </w:r>
      <w:hyperlink r:id="rId11" w:history="1">
        <w:r w:rsidR="00991FEB" w:rsidRPr="00E26C34">
          <w:rPr>
            <w:rFonts w:ascii="Arial" w:eastAsia="Times New Roman" w:hAnsi="Arial" w:cs="Arial"/>
            <w:sz w:val="24"/>
            <w:szCs w:val="24"/>
            <w:lang w:eastAsia="es-MX"/>
          </w:rPr>
          <w:t>Sistema Estatal de Archivos</w:t>
        </w:r>
      </w:hyperlink>
      <w:r w:rsidR="00991FEB" w:rsidRPr="00E26C34">
        <w:rPr>
          <w:rFonts w:ascii="Arial" w:eastAsia="Times New Roman" w:hAnsi="Arial" w:cs="Arial"/>
          <w:color w:val="0A0A0A"/>
          <w:sz w:val="24"/>
          <w:szCs w:val="24"/>
          <w:lang w:eastAsia="es-MX"/>
        </w:rPr>
        <w:t>.</w:t>
      </w:r>
    </w:p>
    <w:p w14:paraId="51A73A0F" w14:textId="04ACC89A" w:rsidR="00991FEB" w:rsidRPr="00E26C34" w:rsidRDefault="00A57C65" w:rsidP="00E26C34">
      <w:pPr>
        <w:pStyle w:val="Prrafodelista"/>
        <w:numPr>
          <w:ilvl w:val="0"/>
          <w:numId w:val="1"/>
        </w:numPr>
        <w:shd w:val="clear" w:color="auto" w:fill="FFFFFF"/>
        <w:spacing w:after="180" w:line="360" w:lineRule="atLeast"/>
        <w:jc w:val="both"/>
        <w:rPr>
          <w:rFonts w:ascii="Arial" w:eastAsia="Times New Roman" w:hAnsi="Arial" w:cs="Arial"/>
          <w:sz w:val="24"/>
          <w:szCs w:val="24"/>
          <w:lang w:eastAsia="es-MX"/>
        </w:rPr>
      </w:pPr>
      <w:hyperlink r:id="rId12" w:history="1">
        <w:r w:rsidR="00991FEB" w:rsidRPr="00E26C34">
          <w:rPr>
            <w:rFonts w:ascii="Arial" w:eastAsia="Times New Roman" w:hAnsi="Arial" w:cs="Arial"/>
            <w:sz w:val="24"/>
            <w:szCs w:val="24"/>
            <w:lang w:eastAsia="es-MX"/>
          </w:rPr>
          <w:t>Sistema Estatal de Documentación y Archivos (SEDA)</w:t>
        </w:r>
      </w:hyperlink>
      <w:r w:rsidR="00991FEB" w:rsidRPr="00E26C34">
        <w:rPr>
          <w:rFonts w:ascii="Arial" w:eastAsia="Times New Roman" w:hAnsi="Arial" w:cs="Arial"/>
          <w:sz w:val="24"/>
          <w:szCs w:val="24"/>
          <w:lang w:eastAsia="es-MX"/>
        </w:rPr>
        <w:t xml:space="preserve">: El ente responsable de vigilar que los sujetos </w:t>
      </w:r>
      <w:r w:rsidR="00991FEB" w:rsidRPr="00E26C34">
        <w:rPr>
          <w:rFonts w:ascii="Arial" w:eastAsia="Times New Roman" w:hAnsi="Arial" w:cs="Arial"/>
          <w:color w:val="0A0A0A"/>
          <w:sz w:val="24"/>
          <w:szCs w:val="24"/>
          <w:lang w:eastAsia="es-MX"/>
        </w:rPr>
        <w:t>obligados adopten la normativa, incluyendo la gestión de archivos de concentración e históricos.</w:t>
      </w:r>
    </w:p>
    <w:p w14:paraId="29E4E45C" w14:textId="77777777" w:rsidR="005D4CB8" w:rsidRPr="005D4CB8" w:rsidRDefault="00991FEB" w:rsidP="005D4CB8">
      <w:pPr>
        <w:pStyle w:val="Prrafodelista"/>
        <w:numPr>
          <w:ilvl w:val="0"/>
          <w:numId w:val="1"/>
        </w:numPr>
        <w:shd w:val="clear" w:color="auto" w:fill="FFFFFF"/>
        <w:spacing w:after="180" w:line="360" w:lineRule="atLeast"/>
        <w:jc w:val="both"/>
        <w:rPr>
          <w:rFonts w:ascii="Arial" w:eastAsia="Times New Roman" w:hAnsi="Arial" w:cs="Arial"/>
          <w:sz w:val="24"/>
          <w:szCs w:val="24"/>
          <w:lang w:eastAsia="es-MX"/>
        </w:rPr>
      </w:pPr>
      <w:r w:rsidRPr="00E26C34">
        <w:rPr>
          <w:rStyle w:val="Textoennegrita"/>
          <w:rFonts w:ascii="Arial" w:hAnsi="Arial" w:cs="Arial"/>
          <w:b w:val="0"/>
          <w:bCs w:val="0"/>
          <w:color w:val="0A0A0A"/>
          <w:sz w:val="24"/>
          <w:szCs w:val="24"/>
          <w:shd w:val="clear" w:color="auto" w:fill="FFFFFF"/>
        </w:rPr>
        <w:t>Reglamentos Internos</w:t>
      </w:r>
      <w:r w:rsidRPr="00E26C34">
        <w:rPr>
          <w:rStyle w:val="Textoennegrita"/>
          <w:rFonts w:ascii="Arial" w:hAnsi="Arial" w:cs="Arial"/>
          <w:color w:val="0A0A0A"/>
          <w:sz w:val="24"/>
          <w:szCs w:val="24"/>
          <w:shd w:val="clear" w:color="auto" w:fill="FFFFFF"/>
        </w:rPr>
        <w:t>:</w:t>
      </w:r>
      <w:r w:rsidRPr="00E26C34">
        <w:rPr>
          <w:rFonts w:ascii="Arial" w:hAnsi="Arial" w:cs="Arial"/>
          <w:color w:val="0A0A0A"/>
          <w:sz w:val="24"/>
          <w:szCs w:val="24"/>
          <w:shd w:val="clear" w:color="auto" w:fill="FFFFFF"/>
        </w:rPr>
        <w:t xml:space="preserve"> Cada sujeto obligado (municipios, organismos autónomos, poderes) debe contar con su propio reglamento en materia de archivos ajustado a la ley estatal. </w:t>
      </w:r>
    </w:p>
    <w:p w14:paraId="471BBF29" w14:textId="47CD4BE1" w:rsidR="00EF5456" w:rsidRPr="005D4CB8" w:rsidRDefault="00EF5456" w:rsidP="005D4CB8">
      <w:pPr>
        <w:pStyle w:val="Prrafodelista"/>
        <w:numPr>
          <w:ilvl w:val="0"/>
          <w:numId w:val="1"/>
        </w:numPr>
        <w:shd w:val="clear" w:color="auto" w:fill="FFFFFF"/>
        <w:spacing w:after="180" w:line="360" w:lineRule="atLeast"/>
        <w:jc w:val="both"/>
        <w:rPr>
          <w:rFonts w:ascii="Arial" w:eastAsia="Times New Roman" w:hAnsi="Arial" w:cs="Arial"/>
          <w:sz w:val="24"/>
          <w:szCs w:val="24"/>
          <w:lang w:eastAsia="es-MX"/>
        </w:rPr>
      </w:pPr>
      <w:r w:rsidRPr="005D4CB8">
        <w:rPr>
          <w:rFonts w:ascii="Arial" w:hAnsi="Arial" w:cs="Arial"/>
          <w:sz w:val="24"/>
          <w:szCs w:val="24"/>
        </w:rPr>
        <w:t>Constitución Política de los Estados Unidos Mexicanos, Art. 6° (</w:t>
      </w:r>
      <w:r w:rsidR="00B73D53" w:rsidRPr="005D4CB8">
        <w:rPr>
          <w:rFonts w:ascii="Arial" w:hAnsi="Arial" w:cs="Arial"/>
          <w:sz w:val="24"/>
          <w:szCs w:val="24"/>
        </w:rPr>
        <w:t xml:space="preserve">Reformada por última vez el15 de </w:t>
      </w:r>
      <w:r w:rsidR="005D4CB8" w:rsidRPr="005D4CB8">
        <w:rPr>
          <w:rFonts w:ascii="Arial" w:hAnsi="Arial" w:cs="Arial"/>
          <w:sz w:val="24"/>
          <w:szCs w:val="24"/>
        </w:rPr>
        <w:t>octubre</w:t>
      </w:r>
      <w:r w:rsidR="00B73D53" w:rsidRPr="005D4CB8">
        <w:rPr>
          <w:rFonts w:ascii="Arial" w:hAnsi="Arial" w:cs="Arial"/>
          <w:sz w:val="24"/>
          <w:szCs w:val="24"/>
        </w:rPr>
        <w:t xml:space="preserve"> de 2025).</w:t>
      </w:r>
    </w:p>
    <w:p w14:paraId="0E8161F6" w14:textId="184DE762" w:rsidR="00EF5456" w:rsidRPr="00962B40" w:rsidRDefault="00EF5456" w:rsidP="00EF5456">
      <w:pPr>
        <w:numPr>
          <w:ilvl w:val="0"/>
          <w:numId w:val="1"/>
        </w:numPr>
        <w:contextualSpacing/>
        <w:jc w:val="both"/>
        <w:rPr>
          <w:rFonts w:ascii="Arial" w:hAnsi="Arial" w:cs="Arial"/>
          <w:sz w:val="24"/>
          <w:szCs w:val="24"/>
        </w:rPr>
      </w:pPr>
      <w:r w:rsidRPr="00962B40">
        <w:rPr>
          <w:rFonts w:ascii="Arial" w:hAnsi="Arial" w:cs="Arial"/>
          <w:sz w:val="24"/>
          <w:szCs w:val="24"/>
        </w:rPr>
        <w:t xml:space="preserve">Constitución Política del Estado de San Luis Potosí, Artículos 17, fracción III, </w:t>
      </w:r>
      <w:r w:rsidRPr="00BC58BD">
        <w:rPr>
          <w:rFonts w:ascii="Arial" w:hAnsi="Arial" w:cs="Arial"/>
          <w:sz w:val="24"/>
          <w:szCs w:val="24"/>
        </w:rPr>
        <w:t>(</w:t>
      </w:r>
      <w:r w:rsidR="00BC58BD">
        <w:rPr>
          <w:rFonts w:ascii="Arial" w:hAnsi="Arial" w:cs="Arial"/>
          <w:sz w:val="24"/>
          <w:szCs w:val="24"/>
        </w:rPr>
        <w:t>Reformada</w:t>
      </w:r>
      <w:r w:rsidR="00BC58BD" w:rsidRPr="00BC58BD">
        <w:rPr>
          <w:rFonts w:ascii="Arial" w:hAnsi="Arial" w:cs="Arial"/>
          <w:sz w:val="24"/>
          <w:szCs w:val="24"/>
        </w:rPr>
        <w:t xml:space="preserve">, P.O. 03 </w:t>
      </w:r>
      <w:r w:rsidR="00BC58BD">
        <w:rPr>
          <w:rFonts w:ascii="Arial" w:hAnsi="Arial" w:cs="Arial"/>
          <w:sz w:val="24"/>
          <w:szCs w:val="24"/>
        </w:rPr>
        <w:t>de marzo</w:t>
      </w:r>
      <w:r w:rsidR="00BC58BD" w:rsidRPr="00BC58BD">
        <w:rPr>
          <w:rFonts w:ascii="Arial" w:hAnsi="Arial" w:cs="Arial"/>
          <w:sz w:val="24"/>
          <w:szCs w:val="24"/>
        </w:rPr>
        <w:t xml:space="preserve"> </w:t>
      </w:r>
      <w:r w:rsidR="00BC58BD">
        <w:rPr>
          <w:rFonts w:ascii="Arial" w:hAnsi="Arial" w:cs="Arial"/>
          <w:sz w:val="24"/>
          <w:szCs w:val="24"/>
        </w:rPr>
        <w:t>de</w:t>
      </w:r>
      <w:r w:rsidR="00BC58BD" w:rsidRPr="00BC58BD">
        <w:rPr>
          <w:rFonts w:ascii="Arial" w:hAnsi="Arial" w:cs="Arial"/>
          <w:sz w:val="24"/>
          <w:szCs w:val="24"/>
        </w:rPr>
        <w:t xml:space="preserve"> 2016)</w:t>
      </w:r>
      <w:r w:rsidR="00BC58BD">
        <w:rPr>
          <w:rFonts w:ascii="Arial" w:hAnsi="Arial" w:cs="Arial"/>
          <w:sz w:val="24"/>
          <w:szCs w:val="24"/>
        </w:rPr>
        <w:t>.</w:t>
      </w:r>
    </w:p>
    <w:p w14:paraId="20A95328" w14:textId="53FE1724" w:rsidR="00EF5456" w:rsidRPr="00991FEB" w:rsidRDefault="00EF5456" w:rsidP="00991FEB">
      <w:pPr>
        <w:numPr>
          <w:ilvl w:val="0"/>
          <w:numId w:val="1"/>
        </w:numPr>
        <w:contextualSpacing/>
        <w:jc w:val="both"/>
        <w:rPr>
          <w:rFonts w:ascii="Arial" w:hAnsi="Arial" w:cs="Arial"/>
          <w:sz w:val="24"/>
          <w:szCs w:val="24"/>
        </w:rPr>
      </w:pPr>
      <w:r w:rsidRPr="00962B40">
        <w:rPr>
          <w:rFonts w:ascii="Arial" w:hAnsi="Arial" w:cs="Arial"/>
          <w:sz w:val="24"/>
          <w:szCs w:val="24"/>
        </w:rPr>
        <w:t>Ley General de Transparencia y Acceso a la Información Pública (</w:t>
      </w:r>
      <w:r w:rsidR="00112B45">
        <w:rPr>
          <w:rFonts w:ascii="Arial" w:hAnsi="Arial" w:cs="Arial"/>
          <w:sz w:val="24"/>
          <w:szCs w:val="24"/>
        </w:rPr>
        <w:t>DOF 20 de marzo de 2025</w:t>
      </w:r>
      <w:r w:rsidRPr="00962B40">
        <w:rPr>
          <w:rFonts w:ascii="Arial" w:hAnsi="Arial" w:cs="Arial"/>
          <w:sz w:val="24"/>
          <w:szCs w:val="24"/>
        </w:rPr>
        <w:t>).</w:t>
      </w:r>
    </w:p>
    <w:p w14:paraId="4FAA434A" w14:textId="298B1A42" w:rsidR="00EF5456" w:rsidRPr="00991FEB" w:rsidRDefault="00EF5456" w:rsidP="00991FEB">
      <w:pPr>
        <w:numPr>
          <w:ilvl w:val="0"/>
          <w:numId w:val="1"/>
        </w:numPr>
        <w:contextualSpacing/>
        <w:jc w:val="both"/>
        <w:rPr>
          <w:rFonts w:ascii="Arial" w:hAnsi="Arial" w:cs="Arial"/>
          <w:sz w:val="24"/>
          <w:szCs w:val="24"/>
        </w:rPr>
      </w:pPr>
      <w:r w:rsidRPr="00962B40">
        <w:rPr>
          <w:rFonts w:ascii="Arial" w:hAnsi="Arial" w:cs="Arial"/>
          <w:sz w:val="24"/>
          <w:szCs w:val="24"/>
        </w:rPr>
        <w:t>Ley Orgánica de la Administración Pública del Estado de San Luis Potosí, (</w:t>
      </w:r>
      <w:r w:rsidR="008165AD">
        <w:rPr>
          <w:rFonts w:ascii="Arial" w:hAnsi="Arial" w:cs="Arial"/>
          <w:sz w:val="24"/>
          <w:szCs w:val="24"/>
        </w:rPr>
        <w:t>POE,16</w:t>
      </w:r>
      <w:r w:rsidRPr="00962B40">
        <w:rPr>
          <w:rFonts w:ascii="Arial" w:hAnsi="Arial" w:cs="Arial"/>
          <w:sz w:val="24"/>
          <w:szCs w:val="24"/>
        </w:rPr>
        <w:t>/1</w:t>
      </w:r>
      <w:r w:rsidR="008165AD">
        <w:rPr>
          <w:rFonts w:ascii="Arial" w:hAnsi="Arial" w:cs="Arial"/>
          <w:sz w:val="24"/>
          <w:szCs w:val="24"/>
        </w:rPr>
        <w:t>2</w:t>
      </w:r>
      <w:r w:rsidRPr="00962B40">
        <w:rPr>
          <w:rFonts w:ascii="Arial" w:hAnsi="Arial" w:cs="Arial"/>
          <w:sz w:val="24"/>
          <w:szCs w:val="24"/>
        </w:rPr>
        <w:t>/202</w:t>
      </w:r>
      <w:r w:rsidR="008165AD">
        <w:rPr>
          <w:rFonts w:ascii="Arial" w:hAnsi="Arial" w:cs="Arial"/>
          <w:sz w:val="24"/>
          <w:szCs w:val="24"/>
        </w:rPr>
        <w:t>5</w:t>
      </w:r>
      <w:r w:rsidRPr="00962B40">
        <w:rPr>
          <w:rFonts w:ascii="Arial" w:hAnsi="Arial" w:cs="Arial"/>
          <w:sz w:val="24"/>
          <w:szCs w:val="24"/>
        </w:rPr>
        <w:t>).</w:t>
      </w:r>
    </w:p>
    <w:p w14:paraId="51E448C5" w14:textId="77777777" w:rsidR="00EF5456" w:rsidRPr="00962B40" w:rsidRDefault="00EF5456" w:rsidP="00EF5456">
      <w:pPr>
        <w:numPr>
          <w:ilvl w:val="0"/>
          <w:numId w:val="1"/>
        </w:numPr>
        <w:contextualSpacing/>
        <w:jc w:val="both"/>
        <w:rPr>
          <w:rFonts w:ascii="Arial" w:hAnsi="Arial" w:cs="Arial"/>
          <w:sz w:val="24"/>
          <w:szCs w:val="24"/>
        </w:rPr>
      </w:pPr>
      <w:r w:rsidRPr="00962B40">
        <w:rPr>
          <w:rFonts w:ascii="Arial" w:hAnsi="Arial" w:cs="Arial"/>
          <w:sz w:val="24"/>
          <w:szCs w:val="24"/>
        </w:rPr>
        <w:t>Ley de Responsabilidades Administrativas del Estado y Municipios de San Luis Potosí, (POE, 24/10/2020).</w:t>
      </w:r>
    </w:p>
    <w:p w14:paraId="3DC89412" w14:textId="77777777" w:rsidR="00EF5456" w:rsidRPr="00962B40" w:rsidRDefault="00EF5456" w:rsidP="00EF5456">
      <w:pPr>
        <w:numPr>
          <w:ilvl w:val="0"/>
          <w:numId w:val="1"/>
        </w:numPr>
        <w:contextualSpacing/>
        <w:jc w:val="both"/>
        <w:rPr>
          <w:rFonts w:ascii="Arial" w:hAnsi="Arial" w:cs="Arial"/>
          <w:sz w:val="24"/>
          <w:szCs w:val="24"/>
        </w:rPr>
      </w:pPr>
      <w:r w:rsidRPr="00962B40">
        <w:rPr>
          <w:rFonts w:ascii="Arial" w:hAnsi="Arial" w:cs="Arial"/>
          <w:sz w:val="24"/>
          <w:szCs w:val="24"/>
        </w:rPr>
        <w:t>Ley de Transparencia y Acceso a la Información Pública del Estado de San Luis Potosí (POE, 18/05/2020).</w:t>
      </w:r>
    </w:p>
    <w:p w14:paraId="52E53C99" w14:textId="5B7A4A61" w:rsidR="00EF5456" w:rsidRPr="00962B40" w:rsidRDefault="00EF5456" w:rsidP="00EF5456">
      <w:pPr>
        <w:numPr>
          <w:ilvl w:val="0"/>
          <w:numId w:val="1"/>
        </w:numPr>
        <w:tabs>
          <w:tab w:val="left" w:pos="5071"/>
        </w:tabs>
        <w:contextualSpacing/>
        <w:jc w:val="both"/>
        <w:rPr>
          <w:rFonts w:ascii="Arial" w:hAnsi="Arial" w:cs="Arial"/>
          <w:sz w:val="24"/>
          <w:szCs w:val="24"/>
        </w:rPr>
      </w:pPr>
      <w:r w:rsidRPr="00962B40">
        <w:rPr>
          <w:rFonts w:ascii="Arial" w:hAnsi="Arial" w:cs="Arial"/>
          <w:sz w:val="24"/>
          <w:szCs w:val="24"/>
        </w:rPr>
        <w:t xml:space="preserve">Código </w:t>
      </w:r>
      <w:r w:rsidR="00E86649">
        <w:rPr>
          <w:rFonts w:ascii="Arial" w:hAnsi="Arial" w:cs="Arial"/>
          <w:sz w:val="24"/>
          <w:szCs w:val="24"/>
        </w:rPr>
        <w:t xml:space="preserve">Procesal Administrativo </w:t>
      </w:r>
      <w:r w:rsidRPr="00962B40">
        <w:rPr>
          <w:rFonts w:ascii="Arial" w:hAnsi="Arial" w:cs="Arial"/>
          <w:sz w:val="24"/>
          <w:szCs w:val="24"/>
        </w:rPr>
        <w:t>del estado de San Luis Potosí</w:t>
      </w:r>
      <w:r w:rsidR="009642F2">
        <w:rPr>
          <w:rFonts w:ascii="Arial" w:hAnsi="Arial" w:cs="Arial"/>
          <w:sz w:val="24"/>
          <w:szCs w:val="24"/>
        </w:rPr>
        <w:t xml:space="preserve"> (POE, 18 de septiembre de 2024)</w:t>
      </w:r>
      <w:r w:rsidR="00CC592D">
        <w:rPr>
          <w:rFonts w:ascii="Arial" w:hAnsi="Arial" w:cs="Arial"/>
          <w:sz w:val="24"/>
          <w:szCs w:val="24"/>
        </w:rPr>
        <w:t>.</w:t>
      </w:r>
    </w:p>
    <w:p w14:paraId="3F528D0D" w14:textId="75ED39A6" w:rsidR="00EF5456" w:rsidRPr="00962B40" w:rsidRDefault="00EF5456" w:rsidP="00EF5456">
      <w:pPr>
        <w:numPr>
          <w:ilvl w:val="0"/>
          <w:numId w:val="1"/>
        </w:numPr>
        <w:tabs>
          <w:tab w:val="left" w:pos="5071"/>
        </w:tabs>
        <w:contextualSpacing/>
        <w:jc w:val="both"/>
        <w:rPr>
          <w:rFonts w:ascii="Arial" w:hAnsi="Arial" w:cs="Arial"/>
          <w:sz w:val="24"/>
          <w:szCs w:val="24"/>
        </w:rPr>
      </w:pPr>
      <w:r w:rsidRPr="00962B40">
        <w:rPr>
          <w:rFonts w:ascii="Arial" w:hAnsi="Arial" w:cs="Arial"/>
          <w:sz w:val="24"/>
          <w:szCs w:val="24"/>
        </w:rPr>
        <w:t>Lineamientos Generales para la Gestión de Archivos</w:t>
      </w:r>
      <w:r w:rsidR="00CC592D">
        <w:rPr>
          <w:rFonts w:ascii="Arial" w:hAnsi="Arial" w:cs="Arial"/>
          <w:sz w:val="24"/>
          <w:szCs w:val="24"/>
        </w:rPr>
        <w:t xml:space="preserve"> (POE, 14 de febrero de 2013).</w:t>
      </w:r>
    </w:p>
    <w:p w14:paraId="5CFA12E6" w14:textId="6D27D692" w:rsidR="00EF5456" w:rsidRPr="00962B40" w:rsidRDefault="00EF5456" w:rsidP="00EF5456">
      <w:pPr>
        <w:numPr>
          <w:ilvl w:val="0"/>
          <w:numId w:val="1"/>
        </w:numPr>
        <w:tabs>
          <w:tab w:val="left" w:pos="5071"/>
        </w:tabs>
        <w:contextualSpacing/>
        <w:jc w:val="both"/>
        <w:rPr>
          <w:rFonts w:ascii="Arial" w:hAnsi="Arial" w:cs="Arial"/>
          <w:sz w:val="24"/>
          <w:szCs w:val="24"/>
        </w:rPr>
      </w:pPr>
      <w:r w:rsidRPr="00962B40">
        <w:rPr>
          <w:rFonts w:ascii="Arial" w:hAnsi="Arial" w:cs="Arial"/>
          <w:sz w:val="24"/>
          <w:szCs w:val="24"/>
        </w:rPr>
        <w:lastRenderedPageBreak/>
        <w:t>Guía general para el Expurgo Documental y el Descarté Bibliográfico en los Archivos de trámite y concentración</w:t>
      </w:r>
      <w:r w:rsidR="005E172E">
        <w:rPr>
          <w:rFonts w:ascii="Arial" w:hAnsi="Arial" w:cs="Arial"/>
          <w:sz w:val="24"/>
          <w:szCs w:val="24"/>
        </w:rPr>
        <w:t xml:space="preserve"> (POE, 1 de marzo de 2016).</w:t>
      </w:r>
    </w:p>
    <w:p w14:paraId="00B3DFF8" w14:textId="53457D79" w:rsidR="00EF5456" w:rsidRPr="00962B40" w:rsidRDefault="00EF5456" w:rsidP="00EF5456">
      <w:pPr>
        <w:numPr>
          <w:ilvl w:val="0"/>
          <w:numId w:val="1"/>
        </w:numPr>
        <w:tabs>
          <w:tab w:val="left" w:pos="5071"/>
        </w:tabs>
        <w:contextualSpacing/>
        <w:jc w:val="both"/>
        <w:rPr>
          <w:rFonts w:ascii="Arial" w:hAnsi="Arial" w:cs="Arial"/>
          <w:sz w:val="24"/>
          <w:szCs w:val="24"/>
        </w:rPr>
      </w:pPr>
      <w:r w:rsidRPr="00962B40">
        <w:rPr>
          <w:rFonts w:ascii="Arial" w:hAnsi="Arial" w:cs="Arial"/>
          <w:sz w:val="24"/>
          <w:szCs w:val="24"/>
        </w:rPr>
        <w:t xml:space="preserve">Decreto de </w:t>
      </w:r>
      <w:r w:rsidR="00501C26">
        <w:rPr>
          <w:rFonts w:ascii="Arial" w:hAnsi="Arial" w:cs="Arial"/>
          <w:sz w:val="24"/>
          <w:szCs w:val="24"/>
        </w:rPr>
        <w:t>C</w:t>
      </w:r>
      <w:r w:rsidRPr="00962B40">
        <w:rPr>
          <w:rFonts w:ascii="Arial" w:hAnsi="Arial" w:cs="Arial"/>
          <w:sz w:val="24"/>
          <w:szCs w:val="24"/>
        </w:rPr>
        <w:t>reación del Museo del Virreinato.</w:t>
      </w:r>
    </w:p>
    <w:p w14:paraId="0FA3DB7A" w14:textId="77777777" w:rsidR="00EF5456" w:rsidRPr="00962B40" w:rsidRDefault="00EF5456" w:rsidP="00EF5456">
      <w:pPr>
        <w:numPr>
          <w:ilvl w:val="0"/>
          <w:numId w:val="1"/>
        </w:numPr>
        <w:tabs>
          <w:tab w:val="left" w:pos="5071"/>
        </w:tabs>
        <w:contextualSpacing/>
        <w:jc w:val="both"/>
        <w:rPr>
          <w:rFonts w:ascii="Arial" w:hAnsi="Arial" w:cs="Arial"/>
          <w:sz w:val="24"/>
          <w:szCs w:val="24"/>
        </w:rPr>
      </w:pPr>
      <w:r w:rsidRPr="00962B40">
        <w:rPr>
          <w:rFonts w:ascii="Arial" w:hAnsi="Arial" w:cs="Arial"/>
          <w:sz w:val="24"/>
          <w:szCs w:val="24"/>
        </w:rPr>
        <w:t>Reglamento Interno del Museo del Virreinato.</w:t>
      </w:r>
    </w:p>
    <w:p w14:paraId="61061418" w14:textId="671853C3" w:rsidR="00AD4B94" w:rsidRDefault="00AD4B94" w:rsidP="00EF5456">
      <w:pPr>
        <w:numPr>
          <w:ilvl w:val="0"/>
          <w:numId w:val="1"/>
        </w:numPr>
        <w:tabs>
          <w:tab w:val="left" w:pos="5071"/>
          <w:tab w:val="left" w:pos="6645"/>
        </w:tabs>
        <w:contextualSpacing/>
        <w:jc w:val="both"/>
        <w:rPr>
          <w:rFonts w:ascii="Arial" w:hAnsi="Arial" w:cs="Arial"/>
          <w:sz w:val="24"/>
          <w:szCs w:val="24"/>
        </w:rPr>
      </w:pPr>
      <w:r>
        <w:rPr>
          <w:rFonts w:ascii="Arial" w:hAnsi="Arial" w:cs="Arial"/>
          <w:sz w:val="24"/>
          <w:szCs w:val="24"/>
        </w:rPr>
        <w:t>Lineamientos para la organización y conservación de archivos (Sistema Nacional de Transparencia, Acceso a la Información Pública y Protección de Datos Personales).</w:t>
      </w:r>
    </w:p>
    <w:p w14:paraId="3D9C9CD0" w14:textId="6112C5BF" w:rsidR="00EF5456" w:rsidRDefault="00EF5456" w:rsidP="00EF5456">
      <w:pPr>
        <w:numPr>
          <w:ilvl w:val="0"/>
          <w:numId w:val="1"/>
        </w:numPr>
        <w:tabs>
          <w:tab w:val="left" w:pos="5071"/>
          <w:tab w:val="left" w:pos="6645"/>
        </w:tabs>
        <w:contextualSpacing/>
        <w:jc w:val="both"/>
        <w:rPr>
          <w:rFonts w:ascii="Arial" w:hAnsi="Arial" w:cs="Arial"/>
          <w:sz w:val="24"/>
          <w:szCs w:val="24"/>
        </w:rPr>
      </w:pPr>
      <w:r w:rsidRPr="00962B40">
        <w:rPr>
          <w:rFonts w:ascii="Arial" w:hAnsi="Arial" w:cs="Arial"/>
          <w:sz w:val="24"/>
          <w:szCs w:val="24"/>
        </w:rPr>
        <w:t xml:space="preserve">Ley de Protección del Patrimonio Cultural </w:t>
      </w:r>
      <w:r w:rsidR="00AD4B94">
        <w:rPr>
          <w:rFonts w:ascii="Arial" w:hAnsi="Arial" w:cs="Arial"/>
          <w:sz w:val="24"/>
          <w:szCs w:val="24"/>
        </w:rPr>
        <w:t xml:space="preserve">para el </w:t>
      </w:r>
      <w:r w:rsidRPr="00962B40">
        <w:rPr>
          <w:rFonts w:ascii="Arial" w:hAnsi="Arial" w:cs="Arial"/>
          <w:sz w:val="24"/>
          <w:szCs w:val="24"/>
        </w:rPr>
        <w:t>Estado de San Luis Potosí</w:t>
      </w:r>
      <w:r w:rsidR="00AD4B94">
        <w:rPr>
          <w:rFonts w:ascii="Arial" w:hAnsi="Arial" w:cs="Arial"/>
          <w:sz w:val="24"/>
          <w:szCs w:val="24"/>
        </w:rPr>
        <w:t xml:space="preserve"> (POE, 29 de septiembre de 2023</w:t>
      </w:r>
      <w:r w:rsidR="00D0347D">
        <w:rPr>
          <w:rFonts w:ascii="Arial" w:hAnsi="Arial" w:cs="Arial"/>
          <w:sz w:val="24"/>
          <w:szCs w:val="24"/>
        </w:rPr>
        <w:t>, Art. 40, art. 41</w:t>
      </w:r>
      <w:r w:rsidR="00770378">
        <w:rPr>
          <w:rFonts w:ascii="Arial" w:hAnsi="Arial" w:cs="Arial"/>
          <w:sz w:val="24"/>
          <w:szCs w:val="24"/>
        </w:rPr>
        <w:t xml:space="preserve"> inciso f), fracción II</w:t>
      </w:r>
      <w:r w:rsidR="00AD4B94">
        <w:rPr>
          <w:rFonts w:ascii="Arial" w:hAnsi="Arial" w:cs="Arial"/>
          <w:sz w:val="24"/>
          <w:szCs w:val="24"/>
        </w:rPr>
        <w:t>).</w:t>
      </w:r>
    </w:p>
    <w:p w14:paraId="28392D72" w14:textId="29F1D56F" w:rsidR="00883715" w:rsidRPr="00883715" w:rsidRDefault="00883715" w:rsidP="00EF5456">
      <w:pPr>
        <w:numPr>
          <w:ilvl w:val="0"/>
          <w:numId w:val="1"/>
        </w:numPr>
        <w:tabs>
          <w:tab w:val="left" w:pos="5071"/>
          <w:tab w:val="left" w:pos="6645"/>
        </w:tabs>
        <w:contextualSpacing/>
        <w:jc w:val="both"/>
        <w:rPr>
          <w:rFonts w:ascii="Arial" w:hAnsi="Arial" w:cs="Arial"/>
          <w:sz w:val="24"/>
          <w:szCs w:val="24"/>
        </w:rPr>
      </w:pPr>
      <w:r w:rsidRPr="00883715">
        <w:rPr>
          <w:rStyle w:val="Textoennegrita"/>
          <w:rFonts w:ascii="Arial" w:hAnsi="Arial" w:cs="Arial"/>
          <w:b w:val="0"/>
          <w:bCs w:val="0"/>
          <w:color w:val="0A0A0A"/>
          <w:shd w:val="clear" w:color="auto" w:fill="FFFFFF"/>
        </w:rPr>
        <w:t>Normas Técnicas (ISAD(G)):</w:t>
      </w:r>
      <w:r w:rsidRPr="00883715">
        <w:rPr>
          <w:rFonts w:ascii="Arial" w:hAnsi="Arial" w:cs="Arial"/>
          <w:b/>
          <w:bCs/>
          <w:color w:val="0A0A0A"/>
          <w:shd w:val="clear" w:color="auto" w:fill="FFFFFF"/>
        </w:rPr>
        <w:t> </w:t>
      </w:r>
      <w:r>
        <w:rPr>
          <w:rFonts w:ascii="Arial" w:hAnsi="Arial" w:cs="Arial"/>
          <w:color w:val="0A0A0A"/>
          <w:shd w:val="clear" w:color="auto" w:fill="FFFFFF"/>
        </w:rPr>
        <w:t>La norma internacional general de descripción archivística es ampliamente aceptada en el ámbito nacional.</w:t>
      </w:r>
    </w:p>
    <w:p w14:paraId="3D95C9AF" w14:textId="14185B68" w:rsidR="00883715" w:rsidRPr="00883715" w:rsidRDefault="00883715" w:rsidP="00883715">
      <w:pPr>
        <w:numPr>
          <w:ilvl w:val="0"/>
          <w:numId w:val="1"/>
        </w:numPr>
        <w:shd w:val="clear" w:color="auto" w:fill="FFFFFF"/>
        <w:spacing w:after="180" w:line="360" w:lineRule="atLeast"/>
        <w:rPr>
          <w:rFonts w:ascii="Arial" w:eastAsia="Times New Roman" w:hAnsi="Arial" w:cs="Arial"/>
          <w:color w:val="0A0A0A"/>
          <w:sz w:val="24"/>
          <w:szCs w:val="24"/>
          <w:lang w:eastAsia="es-MX"/>
        </w:rPr>
      </w:pPr>
      <w:r w:rsidRPr="00883715">
        <w:rPr>
          <w:rFonts w:ascii="Arial" w:eastAsia="Times New Roman" w:hAnsi="Arial" w:cs="Arial"/>
          <w:color w:val="0A0A0A"/>
          <w:sz w:val="24"/>
          <w:szCs w:val="24"/>
          <w:lang w:eastAsia="es-MX"/>
        </w:rPr>
        <w:t>Lineamientos del Archivo General de la Nación (AGN): Disposiciones técnicas emitidas por el AGN para la organización y conservación de archivos.</w:t>
      </w:r>
    </w:p>
    <w:p w14:paraId="3B64D937" w14:textId="26EDE9A3" w:rsidR="009E0450" w:rsidRDefault="009E0450" w:rsidP="009E0450">
      <w:pPr>
        <w:tabs>
          <w:tab w:val="left" w:pos="5071"/>
          <w:tab w:val="left" w:pos="6645"/>
        </w:tabs>
        <w:contextualSpacing/>
        <w:jc w:val="both"/>
        <w:rPr>
          <w:rFonts w:ascii="Arial" w:hAnsi="Arial" w:cs="Arial"/>
          <w:sz w:val="24"/>
          <w:szCs w:val="24"/>
        </w:rPr>
      </w:pPr>
    </w:p>
    <w:p w14:paraId="1028DB7F" w14:textId="77777777" w:rsidR="009E0450" w:rsidRPr="00962B40" w:rsidRDefault="009E0450" w:rsidP="009E0450">
      <w:pPr>
        <w:tabs>
          <w:tab w:val="left" w:pos="5071"/>
          <w:tab w:val="left" w:pos="6645"/>
        </w:tabs>
        <w:contextualSpacing/>
        <w:jc w:val="both"/>
        <w:rPr>
          <w:rFonts w:ascii="Arial" w:hAnsi="Arial" w:cs="Arial"/>
          <w:sz w:val="24"/>
          <w:szCs w:val="24"/>
        </w:rPr>
      </w:pPr>
    </w:p>
    <w:p w14:paraId="6550F5B8" w14:textId="77777777" w:rsidR="00EF5456" w:rsidRPr="00962B40" w:rsidRDefault="00EF5456" w:rsidP="00EF5456">
      <w:pPr>
        <w:numPr>
          <w:ilvl w:val="0"/>
          <w:numId w:val="2"/>
        </w:numPr>
        <w:tabs>
          <w:tab w:val="left" w:pos="5071"/>
        </w:tabs>
        <w:contextualSpacing/>
        <w:jc w:val="both"/>
        <w:rPr>
          <w:rFonts w:ascii="Arial" w:hAnsi="Arial" w:cs="Arial"/>
          <w:b/>
          <w:bCs/>
          <w:color w:val="806000" w:themeColor="accent4" w:themeShade="80"/>
          <w:sz w:val="28"/>
          <w:szCs w:val="28"/>
        </w:rPr>
      </w:pPr>
      <w:r w:rsidRPr="00962B40">
        <w:rPr>
          <w:rFonts w:ascii="Arial" w:hAnsi="Arial" w:cs="Arial"/>
          <w:b/>
          <w:bCs/>
          <w:color w:val="806000" w:themeColor="accent4" w:themeShade="80"/>
          <w:sz w:val="28"/>
          <w:szCs w:val="28"/>
        </w:rPr>
        <w:t>Justificación</w:t>
      </w:r>
    </w:p>
    <w:p w14:paraId="6DEF7A31" w14:textId="77777777" w:rsidR="00EF5456" w:rsidRPr="00962B40" w:rsidRDefault="00EF5456" w:rsidP="00EF5456">
      <w:pPr>
        <w:tabs>
          <w:tab w:val="left" w:pos="5071"/>
        </w:tabs>
        <w:jc w:val="both"/>
        <w:rPr>
          <w:rFonts w:ascii="Arial" w:hAnsi="Arial" w:cs="Arial"/>
          <w:b/>
          <w:bCs/>
          <w:sz w:val="28"/>
          <w:szCs w:val="28"/>
        </w:rPr>
      </w:pPr>
    </w:p>
    <w:p w14:paraId="172FAEA7" w14:textId="77777777" w:rsidR="00EF5456" w:rsidRPr="00962B40" w:rsidRDefault="00EF5456" w:rsidP="00EF5456">
      <w:pPr>
        <w:tabs>
          <w:tab w:val="left" w:pos="5071"/>
        </w:tabs>
        <w:jc w:val="both"/>
        <w:rPr>
          <w:rFonts w:ascii="Arial" w:hAnsi="Arial" w:cs="Arial"/>
          <w:sz w:val="24"/>
          <w:szCs w:val="24"/>
        </w:rPr>
      </w:pPr>
      <w:r w:rsidRPr="00962B40">
        <w:rPr>
          <w:rFonts w:ascii="Arial" w:hAnsi="Arial" w:cs="Arial"/>
          <w:sz w:val="24"/>
          <w:szCs w:val="24"/>
        </w:rPr>
        <w:t>Es primordial la realización y ejecución de este Plan Anual de Desarrollo Archivístico, pues por medio de este se podrá dar cumplimiento adecuado respecto a las Leyes que obligan a implementar el presente para la correcta gestión documental y archivística de las instituciones y/o dependencias.</w:t>
      </w:r>
    </w:p>
    <w:p w14:paraId="1B4BF218"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Dicho plan establecerá las prioridades institucionales, con la integración de las condiciones y estrategias a implementar tomando en cuenta los recursos económicos, tecnológicos y operativos disponibles; de igual forma deberá contener programas de organización y capacitación con gestión documental y administración de archivos que incluyan mecanismos para su consulta, seguridad de la información y procedimientos para la generación, administración, uso, control, migración de formatos electrónicos y preservación a largo plazo de los documentos de archivos electrónicos. Esto permitirá una mejora continua a la Gestión Documental y Archivística en el Museo del Virreinato.</w:t>
      </w:r>
    </w:p>
    <w:p w14:paraId="4B9349C0" w14:textId="77777777" w:rsidR="00EF5456" w:rsidRPr="00962B40" w:rsidRDefault="00EF5456" w:rsidP="00EF5456">
      <w:pPr>
        <w:tabs>
          <w:tab w:val="left" w:pos="5071"/>
        </w:tabs>
        <w:jc w:val="both"/>
        <w:rPr>
          <w:rFonts w:ascii="Arial" w:hAnsi="Arial" w:cs="Arial"/>
          <w:sz w:val="24"/>
          <w:szCs w:val="24"/>
        </w:rPr>
      </w:pPr>
      <w:r w:rsidRPr="00962B40">
        <w:rPr>
          <w:rFonts w:ascii="Arial" w:hAnsi="Arial" w:cs="Arial"/>
          <w:sz w:val="24"/>
          <w:szCs w:val="24"/>
        </w:rPr>
        <w:lastRenderedPageBreak/>
        <w:t xml:space="preserve">Del mismo modo se establecerán objetivos a cumplir, así como los procedimientos que se deben llevar a cabo para obtener una correcta administración documental y administrativa mediante un cronograma de actividades donde estipule las actividades a realizar y la temporalidad de estas. </w:t>
      </w:r>
    </w:p>
    <w:p w14:paraId="6C812C14"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Es fundamental, el cumplimiento de la elaboración y aplicación del Plan Anual de Desarrollo Archivístico, ya que, a través de este podremos dar cumplimiento a lo establecido en los artículos 23, 24, y 25 de la Ley General de Archivos y a la Ley de Archivos del Estado de San Luis Potosí.</w:t>
      </w:r>
    </w:p>
    <w:p w14:paraId="4BD1B6EE" w14:textId="77777777" w:rsidR="00F737A0" w:rsidRDefault="00F737A0" w:rsidP="00EF5456">
      <w:pPr>
        <w:spacing w:after="0" w:line="240" w:lineRule="auto"/>
        <w:contextualSpacing/>
        <w:rPr>
          <w:rFonts w:ascii="Arial" w:hAnsi="Arial" w:cs="Arial"/>
          <w:b/>
          <w:bCs/>
          <w:sz w:val="24"/>
          <w:szCs w:val="24"/>
        </w:rPr>
      </w:pPr>
    </w:p>
    <w:p w14:paraId="32681FA6" w14:textId="21DD8F5D" w:rsidR="00EF5456" w:rsidRPr="00962B40" w:rsidRDefault="00EF5456" w:rsidP="00EF5456">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b/>
          <w:color w:val="806000" w:themeColor="accent4" w:themeShade="80"/>
          <w:sz w:val="24"/>
          <w:szCs w:val="24"/>
        </w:rPr>
        <w:t>IV. Objetivos.</w:t>
      </w:r>
    </w:p>
    <w:p w14:paraId="5F92FE91" w14:textId="77777777" w:rsidR="00EF5456" w:rsidRPr="00962B40" w:rsidRDefault="00EF5456" w:rsidP="00EF5456">
      <w:pPr>
        <w:rPr>
          <w:rFonts w:ascii="Calibri" w:eastAsia="Times New Roman" w:hAnsi="Calibri" w:cs="Times New Roman"/>
          <w:color w:val="538135" w:themeColor="accent6" w:themeShade="BF"/>
          <w:sz w:val="24"/>
          <w:szCs w:val="24"/>
        </w:rPr>
      </w:pPr>
    </w:p>
    <w:p w14:paraId="253CE3A8" w14:textId="77777777" w:rsidR="00EF5456" w:rsidRPr="00962B40" w:rsidRDefault="00EF5456" w:rsidP="00EF5456">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b/>
          <w:color w:val="806000" w:themeColor="accent4" w:themeShade="80"/>
          <w:sz w:val="24"/>
          <w:szCs w:val="24"/>
        </w:rPr>
        <w:t>IV.I Objetivo General.</w:t>
      </w:r>
    </w:p>
    <w:p w14:paraId="2BF67BD9" w14:textId="77777777" w:rsidR="00EF5456" w:rsidRPr="00962B40" w:rsidRDefault="00EF5456" w:rsidP="00EF5456">
      <w:pPr>
        <w:spacing w:after="0" w:line="240" w:lineRule="auto"/>
        <w:contextualSpacing/>
        <w:rPr>
          <w:rFonts w:ascii="Arial" w:eastAsia="Times New Roman" w:hAnsi="Arial" w:cs="Arial"/>
          <w:b/>
          <w:color w:val="000000"/>
          <w:sz w:val="24"/>
          <w:szCs w:val="24"/>
        </w:rPr>
      </w:pPr>
    </w:p>
    <w:p w14:paraId="29FA092D" w14:textId="12FB3062" w:rsidR="00EF5456" w:rsidRPr="00962B40" w:rsidRDefault="00EF5456" w:rsidP="00EF5456">
      <w:pPr>
        <w:numPr>
          <w:ilvl w:val="0"/>
          <w:numId w:val="3"/>
        </w:numPr>
        <w:contextualSpacing/>
        <w:jc w:val="both"/>
        <w:rPr>
          <w:rFonts w:ascii="Arial" w:eastAsia="Times New Roman" w:hAnsi="Arial" w:cs="Arial"/>
          <w:sz w:val="24"/>
          <w:szCs w:val="24"/>
        </w:rPr>
      </w:pPr>
      <w:r w:rsidRPr="00962B40">
        <w:rPr>
          <w:rFonts w:ascii="Arial" w:eastAsia="Times New Roman" w:hAnsi="Arial" w:cs="Arial"/>
          <w:sz w:val="24"/>
          <w:szCs w:val="24"/>
        </w:rPr>
        <w:t xml:space="preserve">Regular e implementar los procesos archivísticos conforme al ciclo vital de la documentación con base y en apego a la </w:t>
      </w:r>
      <w:r w:rsidR="00F737A0">
        <w:rPr>
          <w:rFonts w:ascii="Arial" w:eastAsia="Times New Roman" w:hAnsi="Arial" w:cs="Arial"/>
          <w:sz w:val="24"/>
          <w:szCs w:val="24"/>
        </w:rPr>
        <w:t xml:space="preserve">legislación y </w:t>
      </w:r>
      <w:r w:rsidRPr="00962B40">
        <w:rPr>
          <w:rFonts w:ascii="Arial" w:eastAsia="Times New Roman" w:hAnsi="Arial" w:cs="Arial"/>
          <w:sz w:val="24"/>
          <w:szCs w:val="24"/>
        </w:rPr>
        <w:t>normatividad vigente.</w:t>
      </w:r>
    </w:p>
    <w:p w14:paraId="783ED8EA" w14:textId="77777777" w:rsidR="00EF5456" w:rsidRPr="00962B40" w:rsidRDefault="00EF5456" w:rsidP="00EF5456">
      <w:pPr>
        <w:jc w:val="both"/>
        <w:rPr>
          <w:rFonts w:ascii="Arial" w:eastAsia="Times New Roman" w:hAnsi="Arial" w:cs="Arial"/>
          <w:sz w:val="24"/>
          <w:szCs w:val="24"/>
        </w:rPr>
      </w:pPr>
    </w:p>
    <w:p w14:paraId="1E14737C" w14:textId="77777777" w:rsidR="00EF5456" w:rsidRPr="00962B40" w:rsidRDefault="00EF5456" w:rsidP="00EF5456">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b/>
          <w:color w:val="806000" w:themeColor="accent4" w:themeShade="80"/>
          <w:sz w:val="24"/>
          <w:szCs w:val="24"/>
        </w:rPr>
        <w:t>IV.II Objetivos Específicos.</w:t>
      </w:r>
    </w:p>
    <w:p w14:paraId="119F13DF" w14:textId="77777777" w:rsidR="00EF5456" w:rsidRPr="00962B40" w:rsidRDefault="00EF5456" w:rsidP="00EF5456">
      <w:pPr>
        <w:spacing w:after="0" w:line="240" w:lineRule="auto"/>
        <w:contextualSpacing/>
        <w:rPr>
          <w:rFonts w:ascii="Arial" w:eastAsia="Times New Roman" w:hAnsi="Arial" w:cs="Arial"/>
          <w:b/>
          <w:color w:val="538135" w:themeColor="accent6" w:themeShade="BF"/>
          <w:sz w:val="24"/>
          <w:szCs w:val="24"/>
        </w:rPr>
      </w:pPr>
    </w:p>
    <w:p w14:paraId="1ECA11DA" w14:textId="77777777" w:rsidR="00EF5456" w:rsidRPr="00962B40" w:rsidRDefault="00EF5456" w:rsidP="00EF5456">
      <w:pPr>
        <w:numPr>
          <w:ilvl w:val="0"/>
          <w:numId w:val="3"/>
        </w:numPr>
        <w:contextualSpacing/>
        <w:jc w:val="both"/>
        <w:rPr>
          <w:rFonts w:ascii="Arial" w:eastAsia="Times New Roman" w:hAnsi="Arial" w:cs="Arial"/>
          <w:sz w:val="24"/>
          <w:szCs w:val="24"/>
        </w:rPr>
      </w:pPr>
      <w:r w:rsidRPr="00962B40">
        <w:rPr>
          <w:rFonts w:ascii="Arial" w:eastAsia="Times New Roman" w:hAnsi="Arial" w:cs="Arial"/>
          <w:sz w:val="24"/>
          <w:szCs w:val="24"/>
        </w:rPr>
        <w:t>Realizar las prácticas archivísticas que favorezcan los procesos administrativos del Museo del Virreinato.</w:t>
      </w:r>
    </w:p>
    <w:p w14:paraId="491BA8BE" w14:textId="77777777" w:rsidR="00EF5456" w:rsidRPr="00962B40" w:rsidRDefault="00EF5456" w:rsidP="00EF5456">
      <w:pPr>
        <w:numPr>
          <w:ilvl w:val="0"/>
          <w:numId w:val="3"/>
        </w:numPr>
        <w:contextualSpacing/>
        <w:jc w:val="both"/>
        <w:rPr>
          <w:rFonts w:ascii="Arial" w:eastAsia="Times New Roman" w:hAnsi="Arial" w:cs="Arial"/>
          <w:sz w:val="24"/>
          <w:szCs w:val="24"/>
        </w:rPr>
      </w:pPr>
      <w:r w:rsidRPr="00962B40">
        <w:rPr>
          <w:rFonts w:ascii="Arial" w:eastAsia="Times New Roman" w:hAnsi="Arial" w:cs="Arial"/>
          <w:sz w:val="24"/>
          <w:szCs w:val="24"/>
        </w:rPr>
        <w:t>Actualizar los instrumentos de control y consulta archivísticos, como lo son el Cuadro General de Clasificación Archivística, Catálogo de disposición documental, Inventarios, Guías Simples.</w:t>
      </w:r>
    </w:p>
    <w:p w14:paraId="452564FA" w14:textId="77777777" w:rsidR="00EF5456" w:rsidRPr="00962B40" w:rsidRDefault="00EF5456" w:rsidP="00EF5456">
      <w:pPr>
        <w:numPr>
          <w:ilvl w:val="0"/>
          <w:numId w:val="3"/>
        </w:numPr>
        <w:contextualSpacing/>
        <w:jc w:val="both"/>
        <w:rPr>
          <w:rFonts w:ascii="Arial" w:eastAsia="Times New Roman" w:hAnsi="Arial" w:cs="Arial"/>
          <w:sz w:val="24"/>
          <w:szCs w:val="24"/>
        </w:rPr>
      </w:pPr>
      <w:r w:rsidRPr="00962B40">
        <w:rPr>
          <w:rFonts w:ascii="Arial" w:eastAsia="Times New Roman" w:hAnsi="Arial" w:cs="Arial"/>
          <w:sz w:val="24"/>
          <w:szCs w:val="24"/>
        </w:rPr>
        <w:t>Contar con un Archivo de Trámite y de Concentración debidamente organizados, que garanticen el derecho de acceso a la información pública, la rendición de cuentas, y la transparencia institucional.</w:t>
      </w:r>
    </w:p>
    <w:p w14:paraId="469FB07F" w14:textId="77777777" w:rsidR="00EF5456" w:rsidRPr="00962B40" w:rsidRDefault="00EF5456" w:rsidP="00EF5456">
      <w:pPr>
        <w:numPr>
          <w:ilvl w:val="0"/>
          <w:numId w:val="3"/>
        </w:numPr>
        <w:contextualSpacing/>
        <w:jc w:val="both"/>
        <w:rPr>
          <w:rFonts w:ascii="Arial" w:eastAsia="Times New Roman" w:hAnsi="Arial" w:cs="Arial"/>
          <w:sz w:val="24"/>
          <w:szCs w:val="24"/>
        </w:rPr>
      </w:pPr>
      <w:r w:rsidRPr="00962B40">
        <w:rPr>
          <w:rFonts w:ascii="Arial" w:eastAsia="Times New Roman" w:hAnsi="Arial" w:cs="Arial"/>
          <w:sz w:val="24"/>
          <w:szCs w:val="24"/>
        </w:rPr>
        <w:t>Apoyar los procesos de Entrega – Recepción de la Administración Estatal.</w:t>
      </w:r>
    </w:p>
    <w:p w14:paraId="7742E4A1" w14:textId="77777777" w:rsidR="00EF5456" w:rsidRPr="00962B40" w:rsidRDefault="00EF5456" w:rsidP="00EF5456">
      <w:pPr>
        <w:numPr>
          <w:ilvl w:val="0"/>
          <w:numId w:val="3"/>
        </w:numPr>
        <w:contextualSpacing/>
        <w:jc w:val="both"/>
        <w:rPr>
          <w:rFonts w:ascii="Arial" w:eastAsia="Times New Roman" w:hAnsi="Arial" w:cs="Arial"/>
          <w:sz w:val="24"/>
          <w:szCs w:val="24"/>
        </w:rPr>
      </w:pPr>
      <w:r w:rsidRPr="00962B40">
        <w:rPr>
          <w:rFonts w:ascii="Arial" w:eastAsia="Times New Roman" w:hAnsi="Arial" w:cs="Arial"/>
          <w:sz w:val="24"/>
          <w:szCs w:val="24"/>
        </w:rPr>
        <w:t>Actualizar la Información de la Plataforma Estatal de Transparencia y del INAI en materia de Archivos del Museo del Virreinato.</w:t>
      </w:r>
    </w:p>
    <w:p w14:paraId="5C49F54A" w14:textId="0A796358" w:rsidR="00EF5456" w:rsidRDefault="00EF5456" w:rsidP="00EF5456">
      <w:pPr>
        <w:numPr>
          <w:ilvl w:val="0"/>
          <w:numId w:val="3"/>
        </w:numPr>
        <w:contextualSpacing/>
        <w:jc w:val="both"/>
        <w:rPr>
          <w:rFonts w:ascii="Arial" w:eastAsia="Times New Roman" w:hAnsi="Arial" w:cs="Arial"/>
          <w:sz w:val="24"/>
          <w:szCs w:val="24"/>
        </w:rPr>
      </w:pPr>
      <w:r w:rsidRPr="00962B40">
        <w:rPr>
          <w:rFonts w:ascii="Arial" w:eastAsia="Times New Roman" w:hAnsi="Arial" w:cs="Arial"/>
          <w:sz w:val="24"/>
          <w:szCs w:val="24"/>
        </w:rPr>
        <w:t>Resguardar la memoria documental del Museo del Virreinato.</w:t>
      </w:r>
    </w:p>
    <w:p w14:paraId="6DE4D007" w14:textId="7E0D8B0F" w:rsidR="009E0450" w:rsidRDefault="009E0450" w:rsidP="009E0450">
      <w:pPr>
        <w:contextualSpacing/>
        <w:jc w:val="both"/>
        <w:rPr>
          <w:rFonts w:ascii="Arial" w:eastAsia="Times New Roman" w:hAnsi="Arial" w:cs="Arial"/>
          <w:sz w:val="24"/>
          <w:szCs w:val="24"/>
        </w:rPr>
      </w:pPr>
    </w:p>
    <w:p w14:paraId="689CBBA7" w14:textId="77777777" w:rsidR="009E0450" w:rsidRPr="00962B40" w:rsidRDefault="009E0450" w:rsidP="009E0450">
      <w:pPr>
        <w:contextualSpacing/>
        <w:jc w:val="both"/>
        <w:rPr>
          <w:rFonts w:ascii="Arial" w:eastAsia="Times New Roman" w:hAnsi="Arial" w:cs="Arial"/>
          <w:sz w:val="24"/>
          <w:szCs w:val="24"/>
        </w:rPr>
      </w:pPr>
    </w:p>
    <w:p w14:paraId="1C53FB04" w14:textId="77777777" w:rsidR="00EF5456" w:rsidRPr="00962B40" w:rsidRDefault="00EF5456" w:rsidP="00EF5456">
      <w:pPr>
        <w:spacing w:after="0" w:line="240" w:lineRule="auto"/>
        <w:contextualSpacing/>
        <w:rPr>
          <w:rFonts w:ascii="Arial" w:eastAsiaTheme="majorEastAsia" w:hAnsi="Arial" w:cs="Arial"/>
          <w:b/>
          <w:color w:val="538135" w:themeColor="accent6" w:themeShade="BF"/>
          <w:sz w:val="24"/>
          <w:szCs w:val="24"/>
        </w:rPr>
      </w:pPr>
      <w:r w:rsidRPr="00962B40">
        <w:rPr>
          <w:rFonts w:ascii="Arial" w:eastAsiaTheme="majorEastAsia" w:hAnsi="Arial" w:cs="Arial"/>
          <w:b/>
          <w:color w:val="538135" w:themeColor="accent6" w:themeShade="BF"/>
          <w:sz w:val="24"/>
          <w:szCs w:val="24"/>
        </w:rPr>
        <w:lastRenderedPageBreak/>
        <w:t>V. Planeación.</w:t>
      </w:r>
    </w:p>
    <w:p w14:paraId="5CD187D7" w14:textId="77777777" w:rsidR="00EF5456" w:rsidRPr="00962B40" w:rsidRDefault="00EF5456" w:rsidP="00EF5456"/>
    <w:p w14:paraId="6D553691" w14:textId="2E859ACB" w:rsidR="00EF5456" w:rsidRPr="00962B40" w:rsidRDefault="00EF5456" w:rsidP="00EF5456">
      <w:pPr>
        <w:jc w:val="both"/>
        <w:rPr>
          <w:rFonts w:ascii="Arial" w:hAnsi="Arial" w:cs="Arial"/>
          <w:sz w:val="24"/>
          <w:szCs w:val="24"/>
        </w:rPr>
      </w:pPr>
      <w:r w:rsidRPr="00962B40">
        <w:rPr>
          <w:rFonts w:ascii="Arial" w:hAnsi="Arial" w:cs="Arial"/>
          <w:sz w:val="24"/>
          <w:szCs w:val="24"/>
        </w:rPr>
        <w:t>Para que el PADA se desarrolle de manera idónea es necesario que los titulares de las áreas trabajen en conjunto con la Coordinación de Archivo a través de acciones, estrategias y objetivos específicos</w:t>
      </w:r>
      <w:r w:rsidR="00F737A0">
        <w:rPr>
          <w:rFonts w:ascii="Arial" w:hAnsi="Arial" w:cs="Arial"/>
          <w:sz w:val="24"/>
          <w:szCs w:val="24"/>
        </w:rPr>
        <w:t>.</w:t>
      </w:r>
    </w:p>
    <w:p w14:paraId="791B555A" w14:textId="77777777" w:rsidR="00EF5456" w:rsidRPr="00962B40" w:rsidRDefault="00EF5456" w:rsidP="00EF5456">
      <w:pPr>
        <w:jc w:val="both"/>
        <w:rPr>
          <w:rFonts w:ascii="Arial" w:hAnsi="Arial" w:cs="Arial"/>
          <w:sz w:val="24"/>
          <w:szCs w:val="24"/>
        </w:rPr>
      </w:pPr>
    </w:p>
    <w:p w14:paraId="28A6677D" w14:textId="77777777" w:rsidR="00EF5456" w:rsidRPr="00962B40" w:rsidRDefault="00EF5456" w:rsidP="00EF5456">
      <w:pPr>
        <w:spacing w:after="0" w:line="240" w:lineRule="auto"/>
        <w:contextualSpacing/>
        <w:rPr>
          <w:rFonts w:ascii="Arial" w:eastAsiaTheme="majorEastAsia" w:hAnsi="Arial" w:cs="Arial"/>
          <w:b/>
          <w:color w:val="806000" w:themeColor="accent4" w:themeShade="80"/>
          <w:sz w:val="24"/>
          <w:szCs w:val="24"/>
        </w:rPr>
      </w:pPr>
      <w:r w:rsidRPr="00962B40">
        <w:rPr>
          <w:rFonts w:ascii="Arial" w:eastAsiaTheme="majorEastAsia" w:hAnsi="Arial" w:cs="Arial"/>
          <w:b/>
          <w:color w:val="806000" w:themeColor="accent4" w:themeShade="80"/>
          <w:sz w:val="24"/>
          <w:szCs w:val="24"/>
        </w:rPr>
        <w:t>VI. Alcance</w:t>
      </w:r>
    </w:p>
    <w:p w14:paraId="12DD01C0" w14:textId="77777777" w:rsidR="00EF5456" w:rsidRPr="00962B40" w:rsidRDefault="00EF5456" w:rsidP="00EF5456"/>
    <w:p w14:paraId="4398E656" w14:textId="77777777" w:rsidR="00EF5456" w:rsidRPr="00962B40" w:rsidRDefault="00EF5456" w:rsidP="00EF5456">
      <w:pPr>
        <w:jc w:val="both"/>
        <w:rPr>
          <w:rFonts w:ascii="Arial" w:hAnsi="Arial" w:cs="Arial"/>
          <w:sz w:val="24"/>
          <w:szCs w:val="24"/>
        </w:rPr>
      </w:pPr>
      <w:r w:rsidRPr="00962B40">
        <w:rPr>
          <w:rFonts w:ascii="Arial" w:hAnsi="Arial" w:cs="Arial"/>
          <w:sz w:val="24"/>
          <w:szCs w:val="24"/>
        </w:rPr>
        <w:t>Se logrará tener los instrumentos archivísticos del Museo del Virreinatos actualizados tal y como lo marca la Ley General de Archivos y la Ley de Archivos del Estado de San Luis Potosí. Del mismo modo que se entregará en tiempo y forma todo aquello que se solicite en materia de archivos. A su vez, se logrará tener un archivo institucional operante y en constante capacitación para brindar más y mejores servicios lo cual se reflejará en archivos ordenados y en la localización expedita de la información.</w:t>
      </w:r>
    </w:p>
    <w:p w14:paraId="5BC944F0" w14:textId="77777777" w:rsidR="00EF5456" w:rsidRPr="00962B40" w:rsidRDefault="00EF5456" w:rsidP="00EF5456">
      <w:pPr>
        <w:jc w:val="both"/>
        <w:rPr>
          <w:rFonts w:ascii="Arial" w:hAnsi="Arial" w:cs="Arial"/>
          <w:sz w:val="24"/>
          <w:szCs w:val="24"/>
        </w:rPr>
      </w:pPr>
    </w:p>
    <w:p w14:paraId="536680E8" w14:textId="77777777" w:rsidR="00EF5456" w:rsidRPr="00962B40" w:rsidRDefault="00EF5456" w:rsidP="00EF5456">
      <w:pPr>
        <w:spacing w:after="0" w:line="240" w:lineRule="auto"/>
        <w:contextualSpacing/>
        <w:rPr>
          <w:rFonts w:ascii="Arial" w:eastAsiaTheme="majorEastAsia" w:hAnsi="Arial" w:cs="Arial"/>
          <w:b/>
          <w:color w:val="806000" w:themeColor="accent4" w:themeShade="80"/>
          <w:sz w:val="24"/>
          <w:szCs w:val="24"/>
        </w:rPr>
      </w:pPr>
      <w:r w:rsidRPr="00962B40">
        <w:rPr>
          <w:rFonts w:ascii="Arial" w:eastAsiaTheme="majorEastAsia" w:hAnsi="Arial" w:cs="Arial"/>
          <w:b/>
          <w:color w:val="806000" w:themeColor="accent4" w:themeShade="80"/>
          <w:sz w:val="24"/>
          <w:szCs w:val="24"/>
        </w:rPr>
        <w:t>VII. Entregables.</w:t>
      </w:r>
    </w:p>
    <w:p w14:paraId="1E6C1655" w14:textId="77777777" w:rsidR="00EF5456" w:rsidRPr="00962B40" w:rsidRDefault="00EF5456" w:rsidP="00EF5456">
      <w:pPr>
        <w:rPr>
          <w:color w:val="806000" w:themeColor="accent4" w:themeShade="80"/>
        </w:rPr>
      </w:pPr>
    </w:p>
    <w:p w14:paraId="33A16A62" w14:textId="77777777" w:rsidR="00EF5456" w:rsidRPr="00962B40" w:rsidRDefault="00EF5456" w:rsidP="00EF5456">
      <w:pPr>
        <w:numPr>
          <w:ilvl w:val="0"/>
          <w:numId w:val="4"/>
        </w:numPr>
        <w:contextualSpacing/>
        <w:jc w:val="both"/>
        <w:rPr>
          <w:rFonts w:ascii="Arial" w:hAnsi="Arial" w:cs="Arial"/>
          <w:sz w:val="24"/>
          <w:szCs w:val="24"/>
        </w:rPr>
      </w:pPr>
      <w:r w:rsidRPr="00962B40">
        <w:rPr>
          <w:rFonts w:ascii="Arial" w:hAnsi="Arial" w:cs="Arial"/>
          <w:sz w:val="24"/>
          <w:szCs w:val="24"/>
        </w:rPr>
        <w:t>Actualización de los Instrumentos de Control y Consulta Archivísticos</w:t>
      </w:r>
    </w:p>
    <w:p w14:paraId="527B1195" w14:textId="77777777" w:rsidR="00EF5456" w:rsidRPr="00962B40" w:rsidRDefault="00EF5456" w:rsidP="00EF5456">
      <w:pPr>
        <w:numPr>
          <w:ilvl w:val="0"/>
          <w:numId w:val="4"/>
        </w:numPr>
        <w:contextualSpacing/>
        <w:jc w:val="both"/>
        <w:rPr>
          <w:rFonts w:ascii="Arial" w:hAnsi="Arial" w:cs="Arial"/>
          <w:sz w:val="24"/>
          <w:szCs w:val="24"/>
        </w:rPr>
      </w:pPr>
      <w:r w:rsidRPr="00962B40">
        <w:rPr>
          <w:rFonts w:ascii="Arial" w:hAnsi="Arial" w:cs="Arial"/>
          <w:sz w:val="24"/>
          <w:szCs w:val="24"/>
        </w:rPr>
        <w:t>Oficios de respuesta de solicitudes en materia de Archivos</w:t>
      </w:r>
    </w:p>
    <w:p w14:paraId="565E751E" w14:textId="77777777" w:rsidR="00EF5456" w:rsidRPr="00962B40" w:rsidRDefault="00EF5456" w:rsidP="00EF5456">
      <w:pPr>
        <w:numPr>
          <w:ilvl w:val="0"/>
          <w:numId w:val="4"/>
        </w:numPr>
        <w:contextualSpacing/>
        <w:jc w:val="both"/>
        <w:rPr>
          <w:rFonts w:ascii="Arial" w:hAnsi="Arial" w:cs="Arial"/>
          <w:sz w:val="24"/>
          <w:szCs w:val="24"/>
        </w:rPr>
      </w:pPr>
      <w:r w:rsidRPr="00962B40">
        <w:rPr>
          <w:rFonts w:ascii="Arial" w:hAnsi="Arial" w:cs="Arial"/>
          <w:sz w:val="24"/>
          <w:szCs w:val="24"/>
        </w:rPr>
        <w:t xml:space="preserve">Actas de las respectivas sesiones de las Juntas del Grupo Interdisciplinario de Archivos </w:t>
      </w:r>
    </w:p>
    <w:p w14:paraId="00BFE0A3" w14:textId="77777777" w:rsidR="00EF5456" w:rsidRPr="00962B40" w:rsidRDefault="00EF5456" w:rsidP="00EF5456">
      <w:pPr>
        <w:numPr>
          <w:ilvl w:val="0"/>
          <w:numId w:val="4"/>
        </w:numPr>
        <w:contextualSpacing/>
        <w:jc w:val="both"/>
        <w:rPr>
          <w:rFonts w:ascii="Arial" w:hAnsi="Arial" w:cs="Arial"/>
          <w:sz w:val="24"/>
          <w:szCs w:val="24"/>
        </w:rPr>
      </w:pPr>
      <w:r w:rsidRPr="00962B40">
        <w:rPr>
          <w:rFonts w:ascii="Arial" w:hAnsi="Arial" w:cs="Arial"/>
          <w:sz w:val="24"/>
          <w:szCs w:val="24"/>
        </w:rPr>
        <w:t>Actualización en las Plataformas de Transparencia</w:t>
      </w:r>
    </w:p>
    <w:p w14:paraId="5C196D6F" w14:textId="77777777" w:rsidR="00EF5456" w:rsidRPr="00962B40" w:rsidRDefault="00EF5456" w:rsidP="00EF5456">
      <w:pPr>
        <w:numPr>
          <w:ilvl w:val="0"/>
          <w:numId w:val="4"/>
        </w:numPr>
        <w:contextualSpacing/>
        <w:jc w:val="both"/>
        <w:rPr>
          <w:rFonts w:ascii="Arial" w:hAnsi="Arial" w:cs="Arial"/>
          <w:sz w:val="24"/>
          <w:szCs w:val="24"/>
        </w:rPr>
      </w:pPr>
      <w:r w:rsidRPr="00962B40">
        <w:rPr>
          <w:rFonts w:ascii="Arial" w:hAnsi="Arial" w:cs="Arial"/>
          <w:sz w:val="24"/>
          <w:szCs w:val="24"/>
        </w:rPr>
        <w:t>Fichas Técnicas de Valoración Documental</w:t>
      </w:r>
    </w:p>
    <w:p w14:paraId="56881936" w14:textId="77777777" w:rsidR="00EF5456" w:rsidRPr="00962B40" w:rsidRDefault="00EF5456" w:rsidP="00EF5456">
      <w:pPr>
        <w:numPr>
          <w:ilvl w:val="0"/>
          <w:numId w:val="4"/>
        </w:numPr>
        <w:contextualSpacing/>
        <w:jc w:val="both"/>
        <w:rPr>
          <w:rFonts w:ascii="Arial" w:hAnsi="Arial" w:cs="Arial"/>
          <w:sz w:val="24"/>
          <w:szCs w:val="24"/>
        </w:rPr>
      </w:pPr>
      <w:r w:rsidRPr="00962B40">
        <w:rPr>
          <w:rFonts w:ascii="Arial" w:hAnsi="Arial" w:cs="Arial"/>
          <w:sz w:val="24"/>
          <w:szCs w:val="24"/>
        </w:rPr>
        <w:t>Transferencias Primarias y secundarias.</w:t>
      </w:r>
    </w:p>
    <w:p w14:paraId="3E3C0269" w14:textId="77777777" w:rsidR="00EF5456" w:rsidRPr="00962B40" w:rsidRDefault="00EF5456" w:rsidP="00EF5456">
      <w:pPr>
        <w:jc w:val="both"/>
        <w:rPr>
          <w:rFonts w:ascii="Arial" w:hAnsi="Arial" w:cs="Arial"/>
          <w:sz w:val="24"/>
          <w:szCs w:val="24"/>
        </w:rPr>
      </w:pPr>
    </w:p>
    <w:p w14:paraId="1F354F29" w14:textId="77777777" w:rsidR="00EF5456" w:rsidRPr="00962B40" w:rsidRDefault="00EF5456" w:rsidP="00EF5456">
      <w:pPr>
        <w:jc w:val="both"/>
        <w:rPr>
          <w:rFonts w:ascii="Arial" w:hAnsi="Arial" w:cs="Arial"/>
          <w:sz w:val="24"/>
          <w:szCs w:val="24"/>
        </w:rPr>
      </w:pPr>
      <w:r w:rsidRPr="00962B40">
        <w:rPr>
          <w:rFonts w:ascii="Arial" w:hAnsi="Arial" w:cs="Arial"/>
          <w:sz w:val="24"/>
          <w:szCs w:val="24"/>
        </w:rPr>
        <w:t>Como parte del proceso de elaboración del catálogo de disposición documental se realizó el instrumento de ficha técnica de valoración documental que a continuación se presenta:</w:t>
      </w:r>
    </w:p>
    <w:p w14:paraId="5B2AA9A4" w14:textId="77777777" w:rsidR="00EF5456" w:rsidRPr="00962B40" w:rsidRDefault="00EF5456" w:rsidP="00EF5456">
      <w:pPr>
        <w:jc w:val="both"/>
        <w:rPr>
          <w:rFonts w:ascii="Arial" w:hAnsi="Arial" w:cs="Arial"/>
          <w:sz w:val="24"/>
          <w:szCs w:val="24"/>
        </w:rPr>
      </w:pPr>
    </w:p>
    <w:tbl>
      <w:tblPr>
        <w:tblW w:w="12177" w:type="dxa"/>
        <w:tblCellMar>
          <w:left w:w="70" w:type="dxa"/>
          <w:right w:w="70" w:type="dxa"/>
        </w:tblCellMar>
        <w:tblLook w:val="04A0" w:firstRow="1" w:lastRow="0" w:firstColumn="1" w:lastColumn="0" w:noHBand="0" w:noVBand="1"/>
      </w:tblPr>
      <w:tblGrid>
        <w:gridCol w:w="3828"/>
        <w:gridCol w:w="2126"/>
        <w:gridCol w:w="1927"/>
        <w:gridCol w:w="2713"/>
        <w:gridCol w:w="500"/>
        <w:gridCol w:w="1420"/>
      </w:tblGrid>
      <w:tr w:rsidR="00EF5456" w:rsidRPr="00962B40" w14:paraId="629FBE5F" w14:textId="77777777" w:rsidTr="0044362D">
        <w:trPr>
          <w:trHeight w:val="375"/>
        </w:trPr>
        <w:tc>
          <w:tcPr>
            <w:tcW w:w="10757" w:type="dxa"/>
            <w:gridSpan w:val="5"/>
            <w:tcBorders>
              <w:top w:val="nil"/>
              <w:left w:val="nil"/>
              <w:bottom w:val="nil"/>
              <w:right w:val="nil"/>
            </w:tcBorders>
            <w:shd w:val="clear" w:color="auto" w:fill="auto"/>
            <w:noWrap/>
            <w:vAlign w:val="bottom"/>
            <w:hideMark/>
          </w:tcPr>
          <w:p w14:paraId="0EBAD8F0" w14:textId="77777777" w:rsidR="00EF5456" w:rsidRPr="00962B40" w:rsidRDefault="00EF5456" w:rsidP="0044362D">
            <w:pPr>
              <w:spacing w:after="0" w:line="240" w:lineRule="auto"/>
              <w:jc w:val="both"/>
              <w:rPr>
                <w:rFonts w:ascii="Arial" w:eastAsia="Times New Roman" w:hAnsi="Arial" w:cs="Arial"/>
                <w:b/>
                <w:bCs/>
                <w:color w:val="000000"/>
                <w:sz w:val="24"/>
                <w:szCs w:val="24"/>
                <w:lang w:eastAsia="es-MX"/>
              </w:rPr>
            </w:pPr>
            <w:r w:rsidRPr="00962B40">
              <w:rPr>
                <w:rFonts w:ascii="Arial" w:eastAsia="Times New Roman" w:hAnsi="Arial" w:cs="Arial"/>
                <w:b/>
                <w:bCs/>
                <w:color w:val="806000" w:themeColor="accent4" w:themeShade="80"/>
                <w:sz w:val="24"/>
                <w:szCs w:val="24"/>
                <w:lang w:eastAsia="es-MX"/>
              </w:rPr>
              <w:t>FICHA TÉCNICA DE VALORACIÓN DOCUMENTAL</w:t>
            </w:r>
          </w:p>
        </w:tc>
        <w:tc>
          <w:tcPr>
            <w:tcW w:w="1420" w:type="dxa"/>
            <w:tcBorders>
              <w:top w:val="nil"/>
              <w:left w:val="nil"/>
              <w:bottom w:val="nil"/>
              <w:right w:val="nil"/>
            </w:tcBorders>
            <w:shd w:val="clear" w:color="auto" w:fill="auto"/>
            <w:noWrap/>
            <w:vAlign w:val="bottom"/>
            <w:hideMark/>
          </w:tcPr>
          <w:p w14:paraId="3121394B" w14:textId="77777777" w:rsidR="00EF5456" w:rsidRPr="00962B40" w:rsidRDefault="00EF5456" w:rsidP="0044362D">
            <w:pPr>
              <w:spacing w:after="0" w:line="240" w:lineRule="auto"/>
              <w:jc w:val="both"/>
              <w:rPr>
                <w:rFonts w:ascii="Arial" w:eastAsia="Times New Roman" w:hAnsi="Arial" w:cs="Arial"/>
                <w:b/>
                <w:bCs/>
                <w:color w:val="000000"/>
                <w:sz w:val="24"/>
                <w:szCs w:val="24"/>
                <w:lang w:eastAsia="es-MX"/>
              </w:rPr>
            </w:pPr>
          </w:p>
        </w:tc>
      </w:tr>
      <w:tr w:rsidR="00EF5456" w:rsidRPr="00962B40" w14:paraId="29D21849" w14:textId="77777777" w:rsidTr="0044362D">
        <w:trPr>
          <w:trHeight w:val="300"/>
        </w:trPr>
        <w:tc>
          <w:tcPr>
            <w:tcW w:w="3828" w:type="dxa"/>
            <w:tcBorders>
              <w:top w:val="nil"/>
              <w:left w:val="nil"/>
              <w:bottom w:val="nil"/>
              <w:right w:val="nil"/>
            </w:tcBorders>
            <w:shd w:val="clear" w:color="auto" w:fill="auto"/>
            <w:noWrap/>
            <w:vAlign w:val="bottom"/>
            <w:hideMark/>
          </w:tcPr>
          <w:p w14:paraId="2557315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1D0C562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7D5212EC"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50ACD222"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1106397F"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36D87A2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5179E6DB" w14:textId="77777777" w:rsidTr="0044362D">
        <w:trPr>
          <w:trHeight w:val="300"/>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FA6941"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FONDO</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14:paraId="50A4E06B"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1927" w:type="dxa"/>
            <w:tcBorders>
              <w:top w:val="single" w:sz="4" w:space="0" w:color="auto"/>
              <w:left w:val="nil"/>
              <w:bottom w:val="single" w:sz="4" w:space="0" w:color="auto"/>
              <w:right w:val="single" w:sz="4" w:space="0" w:color="auto"/>
            </w:tcBorders>
            <w:shd w:val="clear" w:color="auto" w:fill="auto"/>
            <w:noWrap/>
            <w:vAlign w:val="bottom"/>
            <w:hideMark/>
          </w:tcPr>
          <w:p w14:paraId="604241CF"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CÓDIGO</w:t>
            </w:r>
          </w:p>
        </w:tc>
        <w:tc>
          <w:tcPr>
            <w:tcW w:w="2713" w:type="dxa"/>
            <w:tcBorders>
              <w:top w:val="single" w:sz="4" w:space="0" w:color="auto"/>
              <w:left w:val="nil"/>
              <w:bottom w:val="single" w:sz="4" w:space="0" w:color="auto"/>
              <w:right w:val="single" w:sz="4" w:space="0" w:color="auto"/>
            </w:tcBorders>
            <w:shd w:val="clear" w:color="auto" w:fill="auto"/>
            <w:noWrap/>
            <w:vAlign w:val="bottom"/>
            <w:hideMark/>
          </w:tcPr>
          <w:p w14:paraId="68E39357"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163" w:type="dxa"/>
            <w:tcBorders>
              <w:top w:val="nil"/>
              <w:left w:val="nil"/>
              <w:bottom w:val="nil"/>
              <w:right w:val="nil"/>
            </w:tcBorders>
            <w:shd w:val="clear" w:color="auto" w:fill="auto"/>
            <w:noWrap/>
            <w:vAlign w:val="bottom"/>
            <w:hideMark/>
          </w:tcPr>
          <w:p w14:paraId="7D985515"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420" w:type="dxa"/>
            <w:tcBorders>
              <w:top w:val="nil"/>
              <w:left w:val="nil"/>
              <w:bottom w:val="nil"/>
              <w:right w:val="nil"/>
            </w:tcBorders>
            <w:shd w:val="clear" w:color="auto" w:fill="auto"/>
            <w:noWrap/>
            <w:vAlign w:val="bottom"/>
            <w:hideMark/>
          </w:tcPr>
          <w:p w14:paraId="5804F6B8"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3C058997" w14:textId="77777777" w:rsidTr="0044362D">
        <w:trPr>
          <w:trHeight w:val="300"/>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4C9A3C9E"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SECCIÓN</w:t>
            </w:r>
          </w:p>
        </w:tc>
        <w:tc>
          <w:tcPr>
            <w:tcW w:w="2126" w:type="dxa"/>
            <w:tcBorders>
              <w:top w:val="nil"/>
              <w:left w:val="nil"/>
              <w:bottom w:val="single" w:sz="4" w:space="0" w:color="auto"/>
              <w:right w:val="single" w:sz="4" w:space="0" w:color="auto"/>
            </w:tcBorders>
            <w:shd w:val="clear" w:color="auto" w:fill="auto"/>
            <w:noWrap/>
            <w:vAlign w:val="bottom"/>
            <w:hideMark/>
          </w:tcPr>
          <w:p w14:paraId="54146A2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1927" w:type="dxa"/>
            <w:tcBorders>
              <w:top w:val="nil"/>
              <w:left w:val="nil"/>
              <w:bottom w:val="single" w:sz="4" w:space="0" w:color="auto"/>
              <w:right w:val="single" w:sz="4" w:space="0" w:color="auto"/>
            </w:tcBorders>
            <w:shd w:val="clear" w:color="auto" w:fill="auto"/>
            <w:noWrap/>
            <w:vAlign w:val="bottom"/>
            <w:hideMark/>
          </w:tcPr>
          <w:p w14:paraId="2E39B542"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CÓDIGO</w:t>
            </w:r>
          </w:p>
        </w:tc>
        <w:tc>
          <w:tcPr>
            <w:tcW w:w="2713" w:type="dxa"/>
            <w:tcBorders>
              <w:top w:val="nil"/>
              <w:left w:val="nil"/>
              <w:bottom w:val="single" w:sz="4" w:space="0" w:color="auto"/>
              <w:right w:val="single" w:sz="4" w:space="0" w:color="auto"/>
            </w:tcBorders>
            <w:shd w:val="clear" w:color="auto" w:fill="auto"/>
            <w:noWrap/>
            <w:vAlign w:val="bottom"/>
            <w:hideMark/>
          </w:tcPr>
          <w:p w14:paraId="76EB834F"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163" w:type="dxa"/>
            <w:tcBorders>
              <w:top w:val="nil"/>
              <w:left w:val="nil"/>
              <w:bottom w:val="nil"/>
              <w:right w:val="nil"/>
            </w:tcBorders>
            <w:shd w:val="clear" w:color="auto" w:fill="auto"/>
            <w:noWrap/>
            <w:vAlign w:val="bottom"/>
            <w:hideMark/>
          </w:tcPr>
          <w:p w14:paraId="441961D7"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420" w:type="dxa"/>
            <w:tcBorders>
              <w:top w:val="nil"/>
              <w:left w:val="nil"/>
              <w:bottom w:val="nil"/>
              <w:right w:val="nil"/>
            </w:tcBorders>
            <w:shd w:val="clear" w:color="auto" w:fill="auto"/>
            <w:noWrap/>
            <w:vAlign w:val="bottom"/>
            <w:hideMark/>
          </w:tcPr>
          <w:p w14:paraId="1CCB3D9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1D022D75" w14:textId="77777777" w:rsidTr="0044362D">
        <w:trPr>
          <w:trHeight w:val="300"/>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3B7C3C40"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SERIE</w:t>
            </w:r>
          </w:p>
        </w:tc>
        <w:tc>
          <w:tcPr>
            <w:tcW w:w="2126" w:type="dxa"/>
            <w:tcBorders>
              <w:top w:val="nil"/>
              <w:left w:val="nil"/>
              <w:bottom w:val="single" w:sz="4" w:space="0" w:color="auto"/>
              <w:right w:val="single" w:sz="4" w:space="0" w:color="auto"/>
            </w:tcBorders>
            <w:shd w:val="clear" w:color="auto" w:fill="auto"/>
            <w:noWrap/>
            <w:vAlign w:val="bottom"/>
            <w:hideMark/>
          </w:tcPr>
          <w:p w14:paraId="28202749"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1927" w:type="dxa"/>
            <w:tcBorders>
              <w:top w:val="nil"/>
              <w:left w:val="nil"/>
              <w:bottom w:val="single" w:sz="4" w:space="0" w:color="auto"/>
              <w:right w:val="single" w:sz="4" w:space="0" w:color="auto"/>
            </w:tcBorders>
            <w:shd w:val="clear" w:color="auto" w:fill="auto"/>
            <w:noWrap/>
            <w:vAlign w:val="bottom"/>
            <w:hideMark/>
          </w:tcPr>
          <w:p w14:paraId="748FF2A9"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CÓDIGO</w:t>
            </w:r>
          </w:p>
        </w:tc>
        <w:tc>
          <w:tcPr>
            <w:tcW w:w="2713" w:type="dxa"/>
            <w:tcBorders>
              <w:top w:val="nil"/>
              <w:left w:val="nil"/>
              <w:bottom w:val="single" w:sz="4" w:space="0" w:color="auto"/>
              <w:right w:val="single" w:sz="4" w:space="0" w:color="auto"/>
            </w:tcBorders>
            <w:shd w:val="clear" w:color="auto" w:fill="auto"/>
            <w:noWrap/>
            <w:vAlign w:val="bottom"/>
            <w:hideMark/>
          </w:tcPr>
          <w:p w14:paraId="515D20C0"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163" w:type="dxa"/>
            <w:tcBorders>
              <w:top w:val="nil"/>
              <w:left w:val="nil"/>
              <w:bottom w:val="nil"/>
              <w:right w:val="nil"/>
            </w:tcBorders>
            <w:shd w:val="clear" w:color="auto" w:fill="auto"/>
            <w:noWrap/>
            <w:vAlign w:val="bottom"/>
            <w:hideMark/>
          </w:tcPr>
          <w:p w14:paraId="7CBE3A31"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420" w:type="dxa"/>
            <w:tcBorders>
              <w:top w:val="nil"/>
              <w:left w:val="nil"/>
              <w:bottom w:val="nil"/>
              <w:right w:val="nil"/>
            </w:tcBorders>
            <w:shd w:val="clear" w:color="auto" w:fill="auto"/>
            <w:noWrap/>
            <w:vAlign w:val="bottom"/>
            <w:hideMark/>
          </w:tcPr>
          <w:p w14:paraId="28CB5ED7"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1F70B865" w14:textId="77777777" w:rsidTr="0044362D">
        <w:trPr>
          <w:trHeight w:val="300"/>
        </w:trPr>
        <w:tc>
          <w:tcPr>
            <w:tcW w:w="3828" w:type="dxa"/>
            <w:tcBorders>
              <w:top w:val="nil"/>
              <w:left w:val="nil"/>
              <w:bottom w:val="nil"/>
              <w:right w:val="nil"/>
            </w:tcBorders>
            <w:shd w:val="clear" w:color="auto" w:fill="auto"/>
            <w:noWrap/>
            <w:vAlign w:val="bottom"/>
            <w:hideMark/>
          </w:tcPr>
          <w:p w14:paraId="7796A2B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68EC3B3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49A7870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3AF3717B"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28554B0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6B2C597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10B394B5" w14:textId="77777777" w:rsidTr="0044362D">
        <w:trPr>
          <w:trHeight w:val="300"/>
        </w:trPr>
        <w:tc>
          <w:tcPr>
            <w:tcW w:w="3828" w:type="dxa"/>
            <w:tcBorders>
              <w:top w:val="nil"/>
              <w:left w:val="nil"/>
              <w:bottom w:val="nil"/>
              <w:right w:val="nil"/>
            </w:tcBorders>
            <w:shd w:val="clear" w:color="auto" w:fill="auto"/>
            <w:noWrap/>
            <w:vAlign w:val="bottom"/>
            <w:hideMark/>
          </w:tcPr>
          <w:p w14:paraId="425EBAE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UNIDAD ADMINISTRATIVA:</w:t>
            </w:r>
          </w:p>
        </w:tc>
        <w:tc>
          <w:tcPr>
            <w:tcW w:w="2126" w:type="dxa"/>
            <w:tcBorders>
              <w:top w:val="nil"/>
              <w:left w:val="nil"/>
              <w:bottom w:val="nil"/>
              <w:right w:val="nil"/>
            </w:tcBorders>
            <w:shd w:val="clear" w:color="auto" w:fill="auto"/>
            <w:noWrap/>
            <w:vAlign w:val="bottom"/>
            <w:hideMark/>
          </w:tcPr>
          <w:p w14:paraId="4735234F"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927" w:type="dxa"/>
            <w:tcBorders>
              <w:top w:val="nil"/>
              <w:left w:val="nil"/>
              <w:bottom w:val="nil"/>
              <w:right w:val="nil"/>
            </w:tcBorders>
            <w:shd w:val="clear" w:color="auto" w:fill="auto"/>
            <w:noWrap/>
            <w:vAlign w:val="bottom"/>
            <w:hideMark/>
          </w:tcPr>
          <w:p w14:paraId="5C985D0C"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5C367CE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3162D18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370D34E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4CD1B07E"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545C90DC"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7E2E2F1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7FED5039" w14:textId="77777777" w:rsidTr="0044362D">
        <w:trPr>
          <w:trHeight w:val="300"/>
        </w:trPr>
        <w:tc>
          <w:tcPr>
            <w:tcW w:w="3828" w:type="dxa"/>
            <w:tcBorders>
              <w:top w:val="nil"/>
              <w:left w:val="nil"/>
              <w:bottom w:val="nil"/>
              <w:right w:val="nil"/>
            </w:tcBorders>
            <w:shd w:val="clear" w:color="auto" w:fill="auto"/>
            <w:noWrap/>
            <w:vAlign w:val="bottom"/>
            <w:hideMark/>
          </w:tcPr>
          <w:p w14:paraId="236CA68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1A3D008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3149139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5B80EFE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7C7F5FC7"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3D8A5BB7"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07F7B295" w14:textId="77777777" w:rsidTr="0044362D">
        <w:trPr>
          <w:trHeight w:val="300"/>
        </w:trPr>
        <w:tc>
          <w:tcPr>
            <w:tcW w:w="3828" w:type="dxa"/>
            <w:tcBorders>
              <w:top w:val="nil"/>
              <w:left w:val="nil"/>
              <w:bottom w:val="nil"/>
              <w:right w:val="nil"/>
            </w:tcBorders>
            <w:shd w:val="clear" w:color="auto" w:fill="auto"/>
            <w:noWrap/>
            <w:vAlign w:val="bottom"/>
            <w:hideMark/>
          </w:tcPr>
          <w:p w14:paraId="4E2B854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76A3F3D7"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0ACE682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2B7E937C"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31ECC46E"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6338754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30B8519E" w14:textId="77777777" w:rsidTr="0044362D">
        <w:trPr>
          <w:trHeight w:val="300"/>
        </w:trPr>
        <w:tc>
          <w:tcPr>
            <w:tcW w:w="3828" w:type="dxa"/>
            <w:tcBorders>
              <w:top w:val="nil"/>
              <w:left w:val="nil"/>
              <w:bottom w:val="nil"/>
              <w:right w:val="nil"/>
            </w:tcBorders>
            <w:shd w:val="clear" w:color="auto" w:fill="auto"/>
            <w:noWrap/>
            <w:vAlign w:val="bottom"/>
            <w:hideMark/>
          </w:tcPr>
          <w:p w14:paraId="448AC1C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DESCRIPCIÓN DE LA SERIE:</w:t>
            </w:r>
          </w:p>
        </w:tc>
        <w:tc>
          <w:tcPr>
            <w:tcW w:w="2126" w:type="dxa"/>
            <w:tcBorders>
              <w:top w:val="nil"/>
              <w:left w:val="nil"/>
              <w:bottom w:val="nil"/>
              <w:right w:val="nil"/>
            </w:tcBorders>
            <w:shd w:val="clear" w:color="auto" w:fill="auto"/>
            <w:noWrap/>
            <w:vAlign w:val="bottom"/>
            <w:hideMark/>
          </w:tcPr>
          <w:p w14:paraId="1A393D0C"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927" w:type="dxa"/>
            <w:tcBorders>
              <w:top w:val="nil"/>
              <w:left w:val="nil"/>
              <w:bottom w:val="nil"/>
              <w:right w:val="nil"/>
            </w:tcBorders>
            <w:shd w:val="clear" w:color="auto" w:fill="auto"/>
            <w:noWrap/>
            <w:vAlign w:val="bottom"/>
            <w:hideMark/>
          </w:tcPr>
          <w:p w14:paraId="20E7C6F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76C8776C"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039A62F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54D2A95E"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2049736B"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2A1FE567"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24B07371"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3E1BA855" w14:textId="77777777" w:rsidTr="0044362D">
        <w:trPr>
          <w:trHeight w:val="300"/>
        </w:trPr>
        <w:tc>
          <w:tcPr>
            <w:tcW w:w="3828" w:type="dxa"/>
            <w:tcBorders>
              <w:top w:val="nil"/>
              <w:left w:val="nil"/>
              <w:bottom w:val="nil"/>
              <w:right w:val="nil"/>
            </w:tcBorders>
            <w:shd w:val="clear" w:color="auto" w:fill="auto"/>
            <w:noWrap/>
            <w:vAlign w:val="bottom"/>
            <w:hideMark/>
          </w:tcPr>
          <w:p w14:paraId="3CDDA0A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1D68AC7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53AC1E0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0D07D3A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004E4AA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56921AD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6515F672" w14:textId="77777777" w:rsidTr="0044362D">
        <w:trPr>
          <w:trHeight w:val="300"/>
        </w:trPr>
        <w:tc>
          <w:tcPr>
            <w:tcW w:w="3828" w:type="dxa"/>
            <w:tcBorders>
              <w:top w:val="nil"/>
              <w:left w:val="nil"/>
              <w:bottom w:val="nil"/>
              <w:right w:val="nil"/>
            </w:tcBorders>
            <w:shd w:val="clear" w:color="auto" w:fill="auto"/>
            <w:noWrap/>
            <w:vAlign w:val="bottom"/>
            <w:hideMark/>
          </w:tcPr>
          <w:p w14:paraId="46159607"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4529598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5E5C0806"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0BACBDAD"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7CF5541C"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6AA8B43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36FFC882" w14:textId="77777777" w:rsidTr="0044362D">
        <w:trPr>
          <w:trHeight w:val="300"/>
        </w:trPr>
        <w:tc>
          <w:tcPr>
            <w:tcW w:w="3828" w:type="dxa"/>
            <w:tcBorders>
              <w:top w:val="nil"/>
              <w:left w:val="nil"/>
              <w:bottom w:val="nil"/>
              <w:right w:val="nil"/>
            </w:tcBorders>
            <w:shd w:val="clear" w:color="auto" w:fill="auto"/>
            <w:noWrap/>
            <w:vAlign w:val="bottom"/>
            <w:hideMark/>
          </w:tcPr>
          <w:p w14:paraId="169C5F2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07FB896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57D20DC7"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3067665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09CD98F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2F71ACD2"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69067709" w14:textId="77777777" w:rsidTr="0044362D">
        <w:trPr>
          <w:trHeight w:val="600"/>
        </w:trPr>
        <w:tc>
          <w:tcPr>
            <w:tcW w:w="382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DBC035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FECHAS EXTREMAS DE LA SERIE</w:t>
            </w:r>
          </w:p>
        </w:tc>
        <w:tc>
          <w:tcPr>
            <w:tcW w:w="4053" w:type="dxa"/>
            <w:gridSpan w:val="2"/>
            <w:tcBorders>
              <w:top w:val="single" w:sz="4" w:space="0" w:color="auto"/>
              <w:left w:val="nil"/>
              <w:bottom w:val="single" w:sz="4" w:space="0" w:color="auto"/>
              <w:right w:val="single" w:sz="4" w:space="0" w:color="auto"/>
            </w:tcBorders>
            <w:shd w:val="clear" w:color="auto" w:fill="auto"/>
            <w:noWrap/>
            <w:vAlign w:val="bottom"/>
            <w:hideMark/>
          </w:tcPr>
          <w:p w14:paraId="00D9BBF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AÑO DE INICIO </w:t>
            </w:r>
          </w:p>
        </w:tc>
        <w:tc>
          <w:tcPr>
            <w:tcW w:w="2876" w:type="dxa"/>
            <w:gridSpan w:val="2"/>
            <w:tcBorders>
              <w:top w:val="single" w:sz="4" w:space="0" w:color="auto"/>
              <w:left w:val="nil"/>
              <w:bottom w:val="single" w:sz="4" w:space="0" w:color="auto"/>
              <w:right w:val="single" w:sz="4" w:space="0" w:color="auto"/>
            </w:tcBorders>
            <w:shd w:val="clear" w:color="auto" w:fill="auto"/>
            <w:noWrap/>
            <w:vAlign w:val="bottom"/>
            <w:hideMark/>
          </w:tcPr>
          <w:p w14:paraId="3C0D8B0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AÑO DE CIERRE</w:t>
            </w:r>
          </w:p>
        </w:tc>
        <w:tc>
          <w:tcPr>
            <w:tcW w:w="1420" w:type="dxa"/>
            <w:tcBorders>
              <w:top w:val="nil"/>
              <w:left w:val="nil"/>
              <w:bottom w:val="nil"/>
              <w:right w:val="nil"/>
            </w:tcBorders>
            <w:shd w:val="clear" w:color="auto" w:fill="auto"/>
            <w:noWrap/>
            <w:vAlign w:val="bottom"/>
            <w:hideMark/>
          </w:tcPr>
          <w:p w14:paraId="6E9BC5F7"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4081A1D8" w14:textId="77777777" w:rsidTr="0044362D">
        <w:trPr>
          <w:trHeight w:val="300"/>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38117A19"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TRADICIÓN DOCUMENTAL</w:t>
            </w:r>
          </w:p>
        </w:tc>
        <w:tc>
          <w:tcPr>
            <w:tcW w:w="2126" w:type="dxa"/>
            <w:tcBorders>
              <w:top w:val="nil"/>
              <w:left w:val="nil"/>
              <w:bottom w:val="single" w:sz="4" w:space="0" w:color="auto"/>
              <w:right w:val="single" w:sz="4" w:space="0" w:color="auto"/>
            </w:tcBorders>
            <w:shd w:val="clear" w:color="auto" w:fill="auto"/>
            <w:noWrap/>
            <w:vAlign w:val="bottom"/>
            <w:hideMark/>
          </w:tcPr>
          <w:p w14:paraId="1185E52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ORIGINAL</w:t>
            </w:r>
          </w:p>
        </w:tc>
        <w:tc>
          <w:tcPr>
            <w:tcW w:w="1927" w:type="dxa"/>
            <w:tcBorders>
              <w:top w:val="nil"/>
              <w:left w:val="nil"/>
              <w:bottom w:val="single" w:sz="4" w:space="0" w:color="auto"/>
              <w:right w:val="single" w:sz="4" w:space="0" w:color="auto"/>
            </w:tcBorders>
            <w:shd w:val="clear" w:color="auto" w:fill="auto"/>
            <w:noWrap/>
            <w:vAlign w:val="bottom"/>
            <w:hideMark/>
          </w:tcPr>
          <w:p w14:paraId="58B4DB5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2713" w:type="dxa"/>
            <w:tcBorders>
              <w:top w:val="nil"/>
              <w:left w:val="nil"/>
              <w:bottom w:val="single" w:sz="4" w:space="0" w:color="auto"/>
              <w:right w:val="single" w:sz="4" w:space="0" w:color="auto"/>
            </w:tcBorders>
            <w:shd w:val="clear" w:color="auto" w:fill="auto"/>
            <w:noWrap/>
            <w:vAlign w:val="bottom"/>
            <w:hideMark/>
          </w:tcPr>
          <w:p w14:paraId="2D506297"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COPIA</w:t>
            </w:r>
          </w:p>
        </w:tc>
        <w:tc>
          <w:tcPr>
            <w:tcW w:w="163" w:type="dxa"/>
            <w:tcBorders>
              <w:top w:val="nil"/>
              <w:left w:val="nil"/>
              <w:bottom w:val="single" w:sz="4" w:space="0" w:color="auto"/>
              <w:right w:val="single" w:sz="4" w:space="0" w:color="auto"/>
            </w:tcBorders>
            <w:shd w:val="clear" w:color="auto" w:fill="auto"/>
            <w:noWrap/>
            <w:vAlign w:val="bottom"/>
            <w:hideMark/>
          </w:tcPr>
          <w:p w14:paraId="7FE3129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1420" w:type="dxa"/>
            <w:tcBorders>
              <w:top w:val="nil"/>
              <w:left w:val="nil"/>
              <w:bottom w:val="nil"/>
              <w:right w:val="nil"/>
            </w:tcBorders>
            <w:shd w:val="clear" w:color="auto" w:fill="auto"/>
            <w:noWrap/>
            <w:vAlign w:val="bottom"/>
            <w:hideMark/>
          </w:tcPr>
          <w:p w14:paraId="454D45F5"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29841C20" w14:textId="77777777" w:rsidTr="0044362D">
        <w:trPr>
          <w:trHeight w:val="300"/>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482AAD24"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SOPORTE DOCUMENTAL</w:t>
            </w:r>
          </w:p>
        </w:tc>
        <w:tc>
          <w:tcPr>
            <w:tcW w:w="2126" w:type="dxa"/>
            <w:tcBorders>
              <w:top w:val="nil"/>
              <w:left w:val="nil"/>
              <w:bottom w:val="single" w:sz="4" w:space="0" w:color="auto"/>
              <w:right w:val="single" w:sz="4" w:space="0" w:color="auto"/>
            </w:tcBorders>
            <w:shd w:val="clear" w:color="auto" w:fill="auto"/>
            <w:noWrap/>
            <w:vAlign w:val="bottom"/>
            <w:hideMark/>
          </w:tcPr>
          <w:p w14:paraId="2841177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FÍSICO</w:t>
            </w:r>
          </w:p>
        </w:tc>
        <w:tc>
          <w:tcPr>
            <w:tcW w:w="1927" w:type="dxa"/>
            <w:tcBorders>
              <w:top w:val="nil"/>
              <w:left w:val="nil"/>
              <w:bottom w:val="single" w:sz="4" w:space="0" w:color="auto"/>
              <w:right w:val="single" w:sz="4" w:space="0" w:color="auto"/>
            </w:tcBorders>
            <w:shd w:val="clear" w:color="auto" w:fill="auto"/>
            <w:noWrap/>
            <w:vAlign w:val="bottom"/>
            <w:hideMark/>
          </w:tcPr>
          <w:p w14:paraId="642E24D1"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2713" w:type="dxa"/>
            <w:tcBorders>
              <w:top w:val="nil"/>
              <w:left w:val="nil"/>
              <w:bottom w:val="single" w:sz="4" w:space="0" w:color="auto"/>
              <w:right w:val="single" w:sz="4" w:space="0" w:color="auto"/>
            </w:tcBorders>
            <w:shd w:val="clear" w:color="auto" w:fill="auto"/>
            <w:noWrap/>
            <w:vAlign w:val="bottom"/>
            <w:hideMark/>
          </w:tcPr>
          <w:p w14:paraId="5947580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ELECTRÓNICO</w:t>
            </w:r>
          </w:p>
        </w:tc>
        <w:tc>
          <w:tcPr>
            <w:tcW w:w="163" w:type="dxa"/>
            <w:tcBorders>
              <w:top w:val="nil"/>
              <w:left w:val="nil"/>
              <w:bottom w:val="single" w:sz="4" w:space="0" w:color="auto"/>
              <w:right w:val="single" w:sz="4" w:space="0" w:color="auto"/>
            </w:tcBorders>
            <w:shd w:val="clear" w:color="auto" w:fill="auto"/>
            <w:noWrap/>
            <w:vAlign w:val="bottom"/>
            <w:hideMark/>
          </w:tcPr>
          <w:p w14:paraId="210969F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w:t>
            </w:r>
          </w:p>
        </w:tc>
        <w:tc>
          <w:tcPr>
            <w:tcW w:w="1420" w:type="dxa"/>
            <w:tcBorders>
              <w:top w:val="nil"/>
              <w:left w:val="nil"/>
              <w:bottom w:val="nil"/>
              <w:right w:val="nil"/>
            </w:tcBorders>
            <w:shd w:val="clear" w:color="auto" w:fill="auto"/>
            <w:noWrap/>
            <w:vAlign w:val="bottom"/>
            <w:hideMark/>
          </w:tcPr>
          <w:p w14:paraId="0133565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17C0D6C0" w14:textId="77777777" w:rsidTr="0044362D">
        <w:trPr>
          <w:trHeight w:val="300"/>
        </w:trPr>
        <w:tc>
          <w:tcPr>
            <w:tcW w:w="3828" w:type="dxa"/>
            <w:tcBorders>
              <w:top w:val="nil"/>
              <w:left w:val="nil"/>
              <w:bottom w:val="nil"/>
              <w:right w:val="nil"/>
            </w:tcBorders>
            <w:shd w:val="clear" w:color="auto" w:fill="auto"/>
            <w:noWrap/>
            <w:vAlign w:val="bottom"/>
            <w:hideMark/>
          </w:tcPr>
          <w:p w14:paraId="4C37CD4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13CAA6A6"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6067F08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0E83CDDB"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717CF75D"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622A9C7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2EE7FC3C" w14:textId="77777777" w:rsidTr="0044362D">
        <w:trPr>
          <w:trHeight w:val="300"/>
        </w:trPr>
        <w:tc>
          <w:tcPr>
            <w:tcW w:w="5954" w:type="dxa"/>
            <w:gridSpan w:val="2"/>
            <w:tcBorders>
              <w:top w:val="nil"/>
              <w:left w:val="nil"/>
              <w:bottom w:val="nil"/>
              <w:right w:val="nil"/>
            </w:tcBorders>
            <w:shd w:val="clear" w:color="auto" w:fill="auto"/>
            <w:noWrap/>
            <w:vAlign w:val="bottom"/>
            <w:hideMark/>
          </w:tcPr>
          <w:p w14:paraId="5BFB3799"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VALORES DOCUMENTALES DE LA SERIE: </w:t>
            </w:r>
          </w:p>
        </w:tc>
        <w:tc>
          <w:tcPr>
            <w:tcW w:w="1927" w:type="dxa"/>
            <w:tcBorders>
              <w:top w:val="nil"/>
              <w:left w:val="nil"/>
              <w:bottom w:val="nil"/>
              <w:right w:val="nil"/>
            </w:tcBorders>
            <w:shd w:val="clear" w:color="auto" w:fill="auto"/>
            <w:noWrap/>
            <w:vAlign w:val="bottom"/>
            <w:hideMark/>
          </w:tcPr>
          <w:p w14:paraId="4F90DD1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2713" w:type="dxa"/>
            <w:tcBorders>
              <w:top w:val="nil"/>
              <w:left w:val="nil"/>
              <w:bottom w:val="nil"/>
              <w:right w:val="nil"/>
            </w:tcBorders>
            <w:shd w:val="clear" w:color="auto" w:fill="auto"/>
            <w:noWrap/>
            <w:vAlign w:val="bottom"/>
            <w:hideMark/>
          </w:tcPr>
          <w:p w14:paraId="037ECCDF"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328630BF"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6108EFE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709BECE3"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14C44DAF"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49E4FBC7"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0F1A3332"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28DBBA60"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1089BCBC"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3697CA8B"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7B2AAFCC"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2FA70C83"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1CF87407" w14:textId="77777777" w:rsidTr="0044362D">
        <w:trPr>
          <w:trHeight w:val="300"/>
        </w:trPr>
        <w:tc>
          <w:tcPr>
            <w:tcW w:w="3828" w:type="dxa"/>
            <w:tcBorders>
              <w:top w:val="nil"/>
              <w:left w:val="nil"/>
              <w:bottom w:val="nil"/>
              <w:right w:val="nil"/>
            </w:tcBorders>
            <w:shd w:val="clear" w:color="auto" w:fill="auto"/>
            <w:noWrap/>
            <w:vAlign w:val="bottom"/>
            <w:hideMark/>
          </w:tcPr>
          <w:p w14:paraId="7841FEE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16DBC30D"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07D67DF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4AAA9DE8"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0E78A3D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4531A7A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68A933A1" w14:textId="77777777" w:rsidTr="0044362D">
        <w:trPr>
          <w:trHeight w:val="300"/>
        </w:trPr>
        <w:tc>
          <w:tcPr>
            <w:tcW w:w="3828" w:type="dxa"/>
            <w:tcBorders>
              <w:top w:val="nil"/>
              <w:left w:val="nil"/>
              <w:bottom w:val="nil"/>
              <w:right w:val="nil"/>
            </w:tcBorders>
            <w:shd w:val="clear" w:color="auto" w:fill="auto"/>
            <w:noWrap/>
            <w:vAlign w:val="bottom"/>
            <w:hideMark/>
          </w:tcPr>
          <w:p w14:paraId="0287EE4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ADMINISTRATIVO </w:t>
            </w:r>
            <w:proofErr w:type="gramStart"/>
            <w:r w:rsidRPr="00962B40">
              <w:rPr>
                <w:rFonts w:ascii="Arial" w:eastAsia="Times New Roman" w:hAnsi="Arial" w:cs="Arial"/>
                <w:color w:val="000000"/>
                <w:sz w:val="24"/>
                <w:szCs w:val="24"/>
                <w:lang w:eastAsia="es-MX"/>
              </w:rPr>
              <w:t>(  )</w:t>
            </w:r>
            <w:proofErr w:type="gramEnd"/>
          </w:p>
        </w:tc>
        <w:tc>
          <w:tcPr>
            <w:tcW w:w="2126" w:type="dxa"/>
            <w:tcBorders>
              <w:top w:val="nil"/>
              <w:left w:val="nil"/>
              <w:bottom w:val="nil"/>
              <w:right w:val="nil"/>
            </w:tcBorders>
            <w:shd w:val="clear" w:color="auto" w:fill="auto"/>
            <w:noWrap/>
            <w:vAlign w:val="bottom"/>
            <w:hideMark/>
          </w:tcPr>
          <w:p w14:paraId="33CD33C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LEGAL </w:t>
            </w:r>
            <w:proofErr w:type="gramStart"/>
            <w:r w:rsidRPr="00962B40">
              <w:rPr>
                <w:rFonts w:ascii="Arial" w:eastAsia="Times New Roman" w:hAnsi="Arial" w:cs="Arial"/>
                <w:color w:val="000000"/>
                <w:sz w:val="24"/>
                <w:szCs w:val="24"/>
                <w:lang w:eastAsia="es-MX"/>
              </w:rPr>
              <w:t>(  )</w:t>
            </w:r>
            <w:proofErr w:type="gramEnd"/>
          </w:p>
        </w:tc>
        <w:tc>
          <w:tcPr>
            <w:tcW w:w="4803" w:type="dxa"/>
            <w:gridSpan w:val="3"/>
            <w:tcBorders>
              <w:top w:val="nil"/>
              <w:left w:val="nil"/>
              <w:bottom w:val="nil"/>
              <w:right w:val="nil"/>
            </w:tcBorders>
            <w:shd w:val="clear" w:color="auto" w:fill="auto"/>
            <w:noWrap/>
            <w:vAlign w:val="bottom"/>
            <w:hideMark/>
          </w:tcPr>
          <w:p w14:paraId="6247F0D2"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FISCAL </w:t>
            </w:r>
            <w:proofErr w:type="gramStart"/>
            <w:r w:rsidRPr="00962B40">
              <w:rPr>
                <w:rFonts w:ascii="Arial" w:eastAsia="Times New Roman" w:hAnsi="Arial" w:cs="Arial"/>
                <w:color w:val="000000"/>
                <w:sz w:val="24"/>
                <w:szCs w:val="24"/>
                <w:lang w:eastAsia="es-MX"/>
              </w:rPr>
              <w:t>(  )</w:t>
            </w:r>
            <w:proofErr w:type="gramEnd"/>
          </w:p>
        </w:tc>
        <w:tc>
          <w:tcPr>
            <w:tcW w:w="1420" w:type="dxa"/>
            <w:tcBorders>
              <w:top w:val="nil"/>
              <w:left w:val="nil"/>
              <w:bottom w:val="nil"/>
              <w:right w:val="nil"/>
            </w:tcBorders>
            <w:shd w:val="clear" w:color="auto" w:fill="auto"/>
            <w:noWrap/>
            <w:vAlign w:val="bottom"/>
            <w:hideMark/>
          </w:tcPr>
          <w:p w14:paraId="7CEE9A7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6356CF7F" w14:textId="77777777" w:rsidTr="0044362D">
        <w:trPr>
          <w:trHeight w:val="300"/>
        </w:trPr>
        <w:tc>
          <w:tcPr>
            <w:tcW w:w="3828" w:type="dxa"/>
            <w:tcBorders>
              <w:top w:val="nil"/>
              <w:left w:val="nil"/>
              <w:bottom w:val="nil"/>
              <w:right w:val="nil"/>
            </w:tcBorders>
            <w:shd w:val="clear" w:color="auto" w:fill="auto"/>
            <w:noWrap/>
            <w:vAlign w:val="bottom"/>
            <w:hideMark/>
          </w:tcPr>
          <w:p w14:paraId="3E2E845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1997400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5A7FA77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6E47EA5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57F6570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2075D41B"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5D1AC38D" w14:textId="77777777" w:rsidTr="0044362D">
        <w:trPr>
          <w:trHeight w:val="300"/>
        </w:trPr>
        <w:tc>
          <w:tcPr>
            <w:tcW w:w="5954" w:type="dxa"/>
            <w:gridSpan w:val="2"/>
            <w:tcBorders>
              <w:top w:val="nil"/>
              <w:left w:val="nil"/>
              <w:bottom w:val="nil"/>
              <w:right w:val="nil"/>
            </w:tcBorders>
            <w:shd w:val="clear" w:color="auto" w:fill="auto"/>
            <w:noWrap/>
            <w:vAlign w:val="bottom"/>
            <w:hideMark/>
          </w:tcPr>
          <w:p w14:paraId="1463241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lastRenderedPageBreak/>
              <w:t>PLAZOS DE CONSERVACIÓN DE LA SERIE:</w:t>
            </w:r>
          </w:p>
        </w:tc>
        <w:tc>
          <w:tcPr>
            <w:tcW w:w="1927" w:type="dxa"/>
            <w:tcBorders>
              <w:top w:val="nil"/>
              <w:left w:val="nil"/>
              <w:bottom w:val="nil"/>
              <w:right w:val="nil"/>
            </w:tcBorders>
            <w:shd w:val="clear" w:color="auto" w:fill="auto"/>
            <w:noWrap/>
            <w:vAlign w:val="bottom"/>
            <w:hideMark/>
          </w:tcPr>
          <w:p w14:paraId="3A6D325E"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2713" w:type="dxa"/>
            <w:tcBorders>
              <w:top w:val="nil"/>
              <w:left w:val="nil"/>
              <w:bottom w:val="nil"/>
              <w:right w:val="nil"/>
            </w:tcBorders>
            <w:shd w:val="clear" w:color="auto" w:fill="auto"/>
            <w:noWrap/>
            <w:vAlign w:val="bottom"/>
            <w:hideMark/>
          </w:tcPr>
          <w:p w14:paraId="0A32251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40C53D7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69D2F556"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0CC28F85" w14:textId="77777777" w:rsidTr="0044362D">
        <w:trPr>
          <w:trHeight w:val="300"/>
        </w:trPr>
        <w:tc>
          <w:tcPr>
            <w:tcW w:w="3828" w:type="dxa"/>
            <w:tcBorders>
              <w:top w:val="nil"/>
              <w:left w:val="nil"/>
              <w:bottom w:val="nil"/>
              <w:right w:val="nil"/>
            </w:tcBorders>
            <w:shd w:val="clear" w:color="auto" w:fill="auto"/>
            <w:noWrap/>
            <w:vAlign w:val="bottom"/>
            <w:hideMark/>
          </w:tcPr>
          <w:p w14:paraId="66CCD3DC"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5AE87E6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244538D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0EA15AC8"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5F246E9D"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13B4739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485AFB8C" w14:textId="77777777" w:rsidTr="0044362D">
        <w:trPr>
          <w:trHeight w:val="300"/>
        </w:trPr>
        <w:tc>
          <w:tcPr>
            <w:tcW w:w="5954" w:type="dxa"/>
            <w:gridSpan w:val="2"/>
            <w:tcBorders>
              <w:top w:val="nil"/>
              <w:left w:val="nil"/>
              <w:bottom w:val="nil"/>
              <w:right w:val="nil"/>
            </w:tcBorders>
            <w:shd w:val="clear" w:color="auto" w:fill="auto"/>
            <w:noWrap/>
            <w:vAlign w:val="bottom"/>
            <w:hideMark/>
          </w:tcPr>
          <w:p w14:paraId="1F088EE0"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ARCHIVO DE TRÁMITE _______ AÑOS</w:t>
            </w:r>
          </w:p>
        </w:tc>
        <w:tc>
          <w:tcPr>
            <w:tcW w:w="4803" w:type="dxa"/>
            <w:gridSpan w:val="3"/>
            <w:tcBorders>
              <w:top w:val="nil"/>
              <w:left w:val="nil"/>
              <w:bottom w:val="nil"/>
              <w:right w:val="nil"/>
            </w:tcBorders>
            <w:shd w:val="clear" w:color="auto" w:fill="auto"/>
            <w:noWrap/>
            <w:vAlign w:val="bottom"/>
            <w:hideMark/>
          </w:tcPr>
          <w:p w14:paraId="265DEBA3"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ARCHIVO DE CONCENTRACIÓN_____ AÑOS</w:t>
            </w:r>
          </w:p>
        </w:tc>
        <w:tc>
          <w:tcPr>
            <w:tcW w:w="1420" w:type="dxa"/>
            <w:tcBorders>
              <w:top w:val="nil"/>
              <w:left w:val="nil"/>
              <w:bottom w:val="nil"/>
              <w:right w:val="nil"/>
            </w:tcBorders>
            <w:shd w:val="clear" w:color="auto" w:fill="auto"/>
            <w:noWrap/>
            <w:vAlign w:val="bottom"/>
            <w:hideMark/>
          </w:tcPr>
          <w:p w14:paraId="7C2591E5"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14294BC6" w14:textId="77777777" w:rsidTr="0044362D">
        <w:trPr>
          <w:trHeight w:val="300"/>
        </w:trPr>
        <w:tc>
          <w:tcPr>
            <w:tcW w:w="3828" w:type="dxa"/>
            <w:tcBorders>
              <w:top w:val="nil"/>
              <w:left w:val="nil"/>
              <w:bottom w:val="nil"/>
              <w:right w:val="nil"/>
            </w:tcBorders>
            <w:shd w:val="clear" w:color="auto" w:fill="auto"/>
            <w:noWrap/>
            <w:vAlign w:val="bottom"/>
            <w:hideMark/>
          </w:tcPr>
          <w:p w14:paraId="6570FF5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3B01033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30E49DC2"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4D84FA56"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01848D7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5532AD2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3191B5D7" w14:textId="77777777" w:rsidTr="0044362D">
        <w:trPr>
          <w:trHeight w:val="300"/>
        </w:trPr>
        <w:tc>
          <w:tcPr>
            <w:tcW w:w="3828" w:type="dxa"/>
            <w:tcBorders>
              <w:top w:val="nil"/>
              <w:left w:val="nil"/>
              <w:bottom w:val="nil"/>
              <w:right w:val="nil"/>
            </w:tcBorders>
            <w:shd w:val="clear" w:color="auto" w:fill="auto"/>
            <w:noWrap/>
            <w:vAlign w:val="bottom"/>
            <w:hideMark/>
          </w:tcPr>
          <w:p w14:paraId="0F4C960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4053" w:type="dxa"/>
            <w:gridSpan w:val="2"/>
            <w:tcBorders>
              <w:top w:val="nil"/>
              <w:left w:val="nil"/>
              <w:bottom w:val="nil"/>
              <w:right w:val="nil"/>
            </w:tcBorders>
            <w:shd w:val="clear" w:color="auto" w:fill="auto"/>
            <w:noWrap/>
            <w:vAlign w:val="bottom"/>
            <w:hideMark/>
          </w:tcPr>
          <w:p w14:paraId="0823DBF1"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VIGENCIA TOTAL ________ AÑOS.</w:t>
            </w:r>
          </w:p>
        </w:tc>
        <w:tc>
          <w:tcPr>
            <w:tcW w:w="2713" w:type="dxa"/>
            <w:tcBorders>
              <w:top w:val="nil"/>
              <w:left w:val="nil"/>
              <w:bottom w:val="nil"/>
              <w:right w:val="nil"/>
            </w:tcBorders>
            <w:shd w:val="clear" w:color="auto" w:fill="auto"/>
            <w:noWrap/>
            <w:vAlign w:val="bottom"/>
            <w:hideMark/>
          </w:tcPr>
          <w:p w14:paraId="62B960C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63" w:type="dxa"/>
            <w:tcBorders>
              <w:top w:val="nil"/>
              <w:left w:val="nil"/>
              <w:bottom w:val="nil"/>
              <w:right w:val="nil"/>
            </w:tcBorders>
            <w:shd w:val="clear" w:color="auto" w:fill="auto"/>
            <w:noWrap/>
            <w:vAlign w:val="bottom"/>
            <w:hideMark/>
          </w:tcPr>
          <w:p w14:paraId="7CC27CEB"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4C3F4047"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290B79B2" w14:textId="77777777" w:rsidTr="0044362D">
        <w:trPr>
          <w:trHeight w:val="300"/>
        </w:trPr>
        <w:tc>
          <w:tcPr>
            <w:tcW w:w="3828" w:type="dxa"/>
            <w:tcBorders>
              <w:top w:val="nil"/>
              <w:left w:val="nil"/>
              <w:bottom w:val="nil"/>
              <w:right w:val="nil"/>
            </w:tcBorders>
            <w:shd w:val="clear" w:color="auto" w:fill="auto"/>
            <w:noWrap/>
            <w:vAlign w:val="bottom"/>
            <w:hideMark/>
          </w:tcPr>
          <w:p w14:paraId="3DF9CEF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3386067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37B1EAAD"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3F84CF9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651C4DB6"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09DE1D02"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4B0B0B56" w14:textId="77777777" w:rsidTr="0044362D">
        <w:trPr>
          <w:trHeight w:val="300"/>
        </w:trPr>
        <w:tc>
          <w:tcPr>
            <w:tcW w:w="12177" w:type="dxa"/>
            <w:gridSpan w:val="6"/>
            <w:tcBorders>
              <w:top w:val="nil"/>
              <w:left w:val="nil"/>
              <w:bottom w:val="nil"/>
              <w:right w:val="nil"/>
            </w:tcBorders>
            <w:shd w:val="clear" w:color="auto" w:fill="auto"/>
            <w:noWrap/>
            <w:vAlign w:val="bottom"/>
            <w:hideMark/>
          </w:tcPr>
          <w:p w14:paraId="38485C55"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¿CONTIENE VALOR SECUNDARIO LA SERIE DOCUMENTAL?</w:t>
            </w:r>
          </w:p>
        </w:tc>
      </w:tr>
      <w:tr w:rsidR="00EF5456" w:rsidRPr="00962B40" w14:paraId="6E79192B" w14:textId="77777777" w:rsidTr="0044362D">
        <w:trPr>
          <w:trHeight w:val="300"/>
        </w:trPr>
        <w:tc>
          <w:tcPr>
            <w:tcW w:w="3828" w:type="dxa"/>
            <w:tcBorders>
              <w:top w:val="nil"/>
              <w:left w:val="nil"/>
              <w:bottom w:val="nil"/>
              <w:right w:val="nil"/>
            </w:tcBorders>
            <w:shd w:val="clear" w:color="auto" w:fill="auto"/>
            <w:noWrap/>
            <w:vAlign w:val="bottom"/>
            <w:hideMark/>
          </w:tcPr>
          <w:p w14:paraId="01BEAFA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INFORMATIVO</w:t>
            </w:r>
          </w:p>
        </w:tc>
        <w:tc>
          <w:tcPr>
            <w:tcW w:w="2126" w:type="dxa"/>
            <w:tcBorders>
              <w:top w:val="nil"/>
              <w:left w:val="nil"/>
              <w:bottom w:val="nil"/>
              <w:right w:val="nil"/>
            </w:tcBorders>
            <w:shd w:val="clear" w:color="auto" w:fill="auto"/>
            <w:noWrap/>
            <w:vAlign w:val="bottom"/>
            <w:hideMark/>
          </w:tcPr>
          <w:p w14:paraId="0B6518C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EVIDENCIAL</w:t>
            </w:r>
          </w:p>
        </w:tc>
        <w:tc>
          <w:tcPr>
            <w:tcW w:w="1927" w:type="dxa"/>
            <w:tcBorders>
              <w:top w:val="nil"/>
              <w:left w:val="nil"/>
              <w:bottom w:val="nil"/>
              <w:right w:val="nil"/>
            </w:tcBorders>
            <w:shd w:val="clear" w:color="auto" w:fill="auto"/>
            <w:noWrap/>
            <w:vAlign w:val="bottom"/>
            <w:hideMark/>
          </w:tcPr>
          <w:p w14:paraId="40741084"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TESTIMONIAL</w:t>
            </w:r>
          </w:p>
        </w:tc>
        <w:tc>
          <w:tcPr>
            <w:tcW w:w="2713" w:type="dxa"/>
            <w:tcBorders>
              <w:top w:val="nil"/>
              <w:left w:val="nil"/>
              <w:bottom w:val="nil"/>
              <w:right w:val="nil"/>
            </w:tcBorders>
            <w:shd w:val="clear" w:color="auto" w:fill="auto"/>
            <w:noWrap/>
            <w:vAlign w:val="bottom"/>
            <w:hideMark/>
          </w:tcPr>
          <w:p w14:paraId="3FAA655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  SÍ</w:t>
            </w:r>
          </w:p>
        </w:tc>
        <w:tc>
          <w:tcPr>
            <w:tcW w:w="163" w:type="dxa"/>
            <w:tcBorders>
              <w:top w:val="nil"/>
              <w:left w:val="nil"/>
              <w:bottom w:val="nil"/>
              <w:right w:val="nil"/>
            </w:tcBorders>
            <w:shd w:val="clear" w:color="auto" w:fill="auto"/>
            <w:noWrap/>
            <w:vAlign w:val="bottom"/>
            <w:hideMark/>
          </w:tcPr>
          <w:p w14:paraId="06FEC3E1"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  NO</w:t>
            </w:r>
          </w:p>
        </w:tc>
        <w:tc>
          <w:tcPr>
            <w:tcW w:w="1420" w:type="dxa"/>
            <w:tcBorders>
              <w:top w:val="nil"/>
              <w:left w:val="nil"/>
              <w:bottom w:val="nil"/>
              <w:right w:val="nil"/>
            </w:tcBorders>
            <w:shd w:val="clear" w:color="auto" w:fill="auto"/>
            <w:noWrap/>
            <w:vAlign w:val="bottom"/>
            <w:hideMark/>
          </w:tcPr>
          <w:p w14:paraId="76AD393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4202DC7E" w14:textId="77777777" w:rsidTr="0044362D">
        <w:trPr>
          <w:trHeight w:val="300"/>
        </w:trPr>
        <w:tc>
          <w:tcPr>
            <w:tcW w:w="3828" w:type="dxa"/>
            <w:tcBorders>
              <w:top w:val="nil"/>
              <w:left w:val="nil"/>
              <w:bottom w:val="nil"/>
              <w:right w:val="nil"/>
            </w:tcBorders>
            <w:shd w:val="clear" w:color="auto" w:fill="auto"/>
            <w:noWrap/>
            <w:vAlign w:val="bottom"/>
            <w:hideMark/>
          </w:tcPr>
          <w:p w14:paraId="36C7825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1EDFA62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04F63DF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75B4537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21F21C06"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6029E35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48FBE329" w14:textId="77777777" w:rsidTr="0044362D">
        <w:trPr>
          <w:trHeight w:val="300"/>
        </w:trPr>
        <w:tc>
          <w:tcPr>
            <w:tcW w:w="382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D1927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DEPURACIÓN</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14:paraId="3CED682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  SÍ</w:t>
            </w:r>
          </w:p>
        </w:tc>
        <w:tc>
          <w:tcPr>
            <w:tcW w:w="1927" w:type="dxa"/>
            <w:tcBorders>
              <w:top w:val="single" w:sz="4" w:space="0" w:color="auto"/>
              <w:left w:val="nil"/>
              <w:bottom w:val="single" w:sz="4" w:space="0" w:color="auto"/>
              <w:right w:val="single" w:sz="4" w:space="0" w:color="auto"/>
            </w:tcBorders>
            <w:shd w:val="clear" w:color="auto" w:fill="auto"/>
            <w:noWrap/>
            <w:vAlign w:val="bottom"/>
            <w:hideMark/>
          </w:tcPr>
          <w:p w14:paraId="7AC26AF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  NO</w:t>
            </w:r>
          </w:p>
        </w:tc>
        <w:tc>
          <w:tcPr>
            <w:tcW w:w="2713" w:type="dxa"/>
            <w:tcBorders>
              <w:top w:val="nil"/>
              <w:left w:val="nil"/>
              <w:bottom w:val="nil"/>
              <w:right w:val="nil"/>
            </w:tcBorders>
            <w:shd w:val="clear" w:color="auto" w:fill="auto"/>
            <w:noWrap/>
            <w:vAlign w:val="bottom"/>
            <w:hideMark/>
          </w:tcPr>
          <w:p w14:paraId="0F8EE77E"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63" w:type="dxa"/>
            <w:tcBorders>
              <w:top w:val="nil"/>
              <w:left w:val="nil"/>
              <w:bottom w:val="nil"/>
              <w:right w:val="nil"/>
            </w:tcBorders>
            <w:shd w:val="clear" w:color="auto" w:fill="auto"/>
            <w:noWrap/>
            <w:vAlign w:val="bottom"/>
            <w:hideMark/>
          </w:tcPr>
          <w:p w14:paraId="78538B3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380F960B"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5DA8BF95" w14:textId="77777777" w:rsidTr="0044362D">
        <w:trPr>
          <w:trHeight w:val="300"/>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02467A75"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CONSERVACIÓN</w:t>
            </w:r>
          </w:p>
        </w:tc>
        <w:tc>
          <w:tcPr>
            <w:tcW w:w="2126" w:type="dxa"/>
            <w:tcBorders>
              <w:top w:val="nil"/>
              <w:left w:val="nil"/>
              <w:bottom w:val="single" w:sz="4" w:space="0" w:color="auto"/>
              <w:right w:val="single" w:sz="4" w:space="0" w:color="auto"/>
            </w:tcBorders>
            <w:shd w:val="clear" w:color="auto" w:fill="auto"/>
            <w:noWrap/>
            <w:vAlign w:val="bottom"/>
            <w:hideMark/>
          </w:tcPr>
          <w:p w14:paraId="64D496D2"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  SÍ</w:t>
            </w:r>
          </w:p>
        </w:tc>
        <w:tc>
          <w:tcPr>
            <w:tcW w:w="1927" w:type="dxa"/>
            <w:tcBorders>
              <w:top w:val="nil"/>
              <w:left w:val="nil"/>
              <w:bottom w:val="single" w:sz="4" w:space="0" w:color="auto"/>
              <w:right w:val="single" w:sz="4" w:space="0" w:color="auto"/>
            </w:tcBorders>
            <w:shd w:val="clear" w:color="auto" w:fill="auto"/>
            <w:noWrap/>
            <w:vAlign w:val="bottom"/>
            <w:hideMark/>
          </w:tcPr>
          <w:p w14:paraId="4AAAD899"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  NO</w:t>
            </w:r>
          </w:p>
        </w:tc>
        <w:tc>
          <w:tcPr>
            <w:tcW w:w="2713" w:type="dxa"/>
            <w:tcBorders>
              <w:top w:val="nil"/>
              <w:left w:val="nil"/>
              <w:bottom w:val="nil"/>
              <w:right w:val="nil"/>
            </w:tcBorders>
            <w:shd w:val="clear" w:color="auto" w:fill="auto"/>
            <w:noWrap/>
            <w:vAlign w:val="bottom"/>
            <w:hideMark/>
          </w:tcPr>
          <w:p w14:paraId="17443C0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63" w:type="dxa"/>
            <w:tcBorders>
              <w:top w:val="nil"/>
              <w:left w:val="nil"/>
              <w:bottom w:val="nil"/>
              <w:right w:val="nil"/>
            </w:tcBorders>
            <w:shd w:val="clear" w:color="auto" w:fill="auto"/>
            <w:noWrap/>
            <w:vAlign w:val="bottom"/>
            <w:hideMark/>
          </w:tcPr>
          <w:p w14:paraId="2FC089B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08707798"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27EE2CEF" w14:textId="77777777" w:rsidTr="0044362D">
        <w:trPr>
          <w:trHeight w:val="300"/>
        </w:trPr>
        <w:tc>
          <w:tcPr>
            <w:tcW w:w="3828" w:type="dxa"/>
            <w:tcBorders>
              <w:top w:val="nil"/>
              <w:left w:val="single" w:sz="4" w:space="0" w:color="auto"/>
              <w:bottom w:val="single" w:sz="4" w:space="0" w:color="auto"/>
              <w:right w:val="single" w:sz="4" w:space="0" w:color="auto"/>
            </w:tcBorders>
            <w:shd w:val="clear" w:color="auto" w:fill="auto"/>
            <w:noWrap/>
            <w:vAlign w:val="bottom"/>
            <w:hideMark/>
          </w:tcPr>
          <w:p w14:paraId="2DCAAE44"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PERMANENTE </w:t>
            </w:r>
          </w:p>
        </w:tc>
        <w:tc>
          <w:tcPr>
            <w:tcW w:w="2126" w:type="dxa"/>
            <w:tcBorders>
              <w:top w:val="nil"/>
              <w:left w:val="nil"/>
              <w:bottom w:val="single" w:sz="4" w:space="0" w:color="auto"/>
              <w:right w:val="single" w:sz="4" w:space="0" w:color="auto"/>
            </w:tcBorders>
            <w:shd w:val="clear" w:color="auto" w:fill="auto"/>
            <w:noWrap/>
            <w:vAlign w:val="bottom"/>
            <w:hideMark/>
          </w:tcPr>
          <w:p w14:paraId="538C3933"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  SÍ</w:t>
            </w:r>
          </w:p>
        </w:tc>
        <w:tc>
          <w:tcPr>
            <w:tcW w:w="1927" w:type="dxa"/>
            <w:tcBorders>
              <w:top w:val="nil"/>
              <w:left w:val="nil"/>
              <w:bottom w:val="single" w:sz="4" w:space="0" w:color="auto"/>
              <w:right w:val="single" w:sz="4" w:space="0" w:color="auto"/>
            </w:tcBorders>
            <w:shd w:val="clear" w:color="auto" w:fill="auto"/>
            <w:noWrap/>
            <w:vAlign w:val="bottom"/>
            <w:hideMark/>
          </w:tcPr>
          <w:p w14:paraId="457B32D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  NO</w:t>
            </w:r>
          </w:p>
        </w:tc>
        <w:tc>
          <w:tcPr>
            <w:tcW w:w="2713" w:type="dxa"/>
            <w:tcBorders>
              <w:top w:val="nil"/>
              <w:left w:val="nil"/>
              <w:bottom w:val="nil"/>
              <w:right w:val="nil"/>
            </w:tcBorders>
            <w:shd w:val="clear" w:color="auto" w:fill="auto"/>
            <w:noWrap/>
            <w:vAlign w:val="bottom"/>
            <w:hideMark/>
          </w:tcPr>
          <w:p w14:paraId="225A4FB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63" w:type="dxa"/>
            <w:tcBorders>
              <w:top w:val="nil"/>
              <w:left w:val="nil"/>
              <w:bottom w:val="nil"/>
              <w:right w:val="nil"/>
            </w:tcBorders>
            <w:shd w:val="clear" w:color="auto" w:fill="auto"/>
            <w:noWrap/>
            <w:vAlign w:val="bottom"/>
            <w:hideMark/>
          </w:tcPr>
          <w:p w14:paraId="7DB1627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191A7B0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6EE0E501" w14:textId="77777777" w:rsidTr="0044362D">
        <w:trPr>
          <w:trHeight w:val="300"/>
        </w:trPr>
        <w:tc>
          <w:tcPr>
            <w:tcW w:w="3828" w:type="dxa"/>
            <w:tcBorders>
              <w:top w:val="nil"/>
              <w:left w:val="nil"/>
              <w:bottom w:val="nil"/>
              <w:right w:val="nil"/>
            </w:tcBorders>
            <w:shd w:val="clear" w:color="auto" w:fill="auto"/>
            <w:noWrap/>
            <w:vAlign w:val="bottom"/>
            <w:hideMark/>
          </w:tcPr>
          <w:p w14:paraId="773E968D"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3722953C"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44C3FBEF"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2DA4D13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26FA4F0C"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6BB737B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4564D0C1" w14:textId="77777777" w:rsidTr="0044362D">
        <w:trPr>
          <w:trHeight w:val="300"/>
        </w:trPr>
        <w:tc>
          <w:tcPr>
            <w:tcW w:w="7881" w:type="dxa"/>
            <w:gridSpan w:val="3"/>
            <w:tcBorders>
              <w:top w:val="nil"/>
              <w:left w:val="nil"/>
              <w:bottom w:val="nil"/>
              <w:right w:val="nil"/>
            </w:tcBorders>
            <w:shd w:val="clear" w:color="auto" w:fill="auto"/>
            <w:noWrap/>
            <w:vAlign w:val="bottom"/>
            <w:hideMark/>
          </w:tcPr>
          <w:p w14:paraId="44BE57DE"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CONDICIONES DE ACCESO A LA INFORMACIÓN DE LA SERIE:</w:t>
            </w:r>
          </w:p>
        </w:tc>
        <w:tc>
          <w:tcPr>
            <w:tcW w:w="2713" w:type="dxa"/>
            <w:tcBorders>
              <w:top w:val="nil"/>
              <w:left w:val="nil"/>
              <w:bottom w:val="nil"/>
              <w:right w:val="nil"/>
            </w:tcBorders>
            <w:shd w:val="clear" w:color="auto" w:fill="auto"/>
            <w:noWrap/>
            <w:vAlign w:val="bottom"/>
            <w:hideMark/>
          </w:tcPr>
          <w:p w14:paraId="553DA6E7"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63" w:type="dxa"/>
            <w:tcBorders>
              <w:top w:val="nil"/>
              <w:left w:val="nil"/>
              <w:bottom w:val="nil"/>
              <w:right w:val="nil"/>
            </w:tcBorders>
            <w:shd w:val="clear" w:color="auto" w:fill="auto"/>
            <w:noWrap/>
            <w:vAlign w:val="bottom"/>
            <w:hideMark/>
          </w:tcPr>
          <w:p w14:paraId="3938E228"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5648E422"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6D82AC73" w14:textId="77777777" w:rsidTr="0044362D">
        <w:trPr>
          <w:trHeight w:val="300"/>
        </w:trPr>
        <w:tc>
          <w:tcPr>
            <w:tcW w:w="3828" w:type="dxa"/>
            <w:tcBorders>
              <w:top w:val="nil"/>
              <w:left w:val="nil"/>
              <w:bottom w:val="nil"/>
              <w:right w:val="nil"/>
            </w:tcBorders>
            <w:shd w:val="clear" w:color="auto" w:fill="auto"/>
            <w:noWrap/>
            <w:vAlign w:val="bottom"/>
            <w:hideMark/>
          </w:tcPr>
          <w:p w14:paraId="47A9653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PÚBLICO </w:t>
            </w: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w:t>
            </w:r>
          </w:p>
        </w:tc>
        <w:tc>
          <w:tcPr>
            <w:tcW w:w="2126" w:type="dxa"/>
            <w:tcBorders>
              <w:top w:val="nil"/>
              <w:left w:val="nil"/>
              <w:bottom w:val="nil"/>
              <w:right w:val="nil"/>
            </w:tcBorders>
            <w:shd w:val="clear" w:color="auto" w:fill="auto"/>
            <w:noWrap/>
            <w:vAlign w:val="bottom"/>
            <w:hideMark/>
          </w:tcPr>
          <w:p w14:paraId="489DA8EE"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RESERVADO </w:t>
            </w: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w:t>
            </w:r>
          </w:p>
        </w:tc>
        <w:tc>
          <w:tcPr>
            <w:tcW w:w="1927" w:type="dxa"/>
            <w:tcBorders>
              <w:top w:val="nil"/>
              <w:left w:val="nil"/>
              <w:bottom w:val="nil"/>
              <w:right w:val="nil"/>
            </w:tcBorders>
            <w:shd w:val="clear" w:color="auto" w:fill="auto"/>
            <w:noWrap/>
            <w:vAlign w:val="bottom"/>
            <w:hideMark/>
          </w:tcPr>
          <w:p w14:paraId="63668F25"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CONFIDENCIAL </w:t>
            </w:r>
            <w:proofErr w:type="gramStart"/>
            <w:r w:rsidRPr="00962B40">
              <w:rPr>
                <w:rFonts w:ascii="Arial" w:eastAsia="Times New Roman" w:hAnsi="Arial" w:cs="Arial"/>
                <w:color w:val="000000"/>
                <w:sz w:val="24"/>
                <w:szCs w:val="24"/>
                <w:lang w:eastAsia="es-MX"/>
              </w:rPr>
              <w:t xml:space="preserve">(  </w:t>
            </w:r>
            <w:proofErr w:type="gramEnd"/>
            <w:r w:rsidRPr="00962B40">
              <w:rPr>
                <w:rFonts w:ascii="Arial" w:eastAsia="Times New Roman" w:hAnsi="Arial" w:cs="Arial"/>
                <w:color w:val="000000"/>
                <w:sz w:val="24"/>
                <w:szCs w:val="24"/>
                <w:lang w:eastAsia="es-MX"/>
              </w:rPr>
              <w:t xml:space="preserve"> )</w:t>
            </w:r>
          </w:p>
        </w:tc>
        <w:tc>
          <w:tcPr>
            <w:tcW w:w="2713" w:type="dxa"/>
            <w:tcBorders>
              <w:top w:val="nil"/>
              <w:left w:val="nil"/>
              <w:bottom w:val="nil"/>
              <w:right w:val="nil"/>
            </w:tcBorders>
            <w:shd w:val="clear" w:color="auto" w:fill="auto"/>
            <w:noWrap/>
            <w:vAlign w:val="bottom"/>
            <w:hideMark/>
          </w:tcPr>
          <w:p w14:paraId="708E72B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63" w:type="dxa"/>
            <w:tcBorders>
              <w:top w:val="nil"/>
              <w:left w:val="nil"/>
              <w:bottom w:val="nil"/>
              <w:right w:val="nil"/>
            </w:tcBorders>
            <w:shd w:val="clear" w:color="auto" w:fill="auto"/>
            <w:noWrap/>
            <w:vAlign w:val="bottom"/>
            <w:hideMark/>
          </w:tcPr>
          <w:p w14:paraId="23D4462E"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219508E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7622BC3D" w14:textId="77777777" w:rsidTr="0044362D">
        <w:trPr>
          <w:trHeight w:val="300"/>
        </w:trPr>
        <w:tc>
          <w:tcPr>
            <w:tcW w:w="3828" w:type="dxa"/>
            <w:tcBorders>
              <w:top w:val="nil"/>
              <w:left w:val="nil"/>
              <w:bottom w:val="nil"/>
              <w:right w:val="nil"/>
            </w:tcBorders>
            <w:shd w:val="clear" w:color="auto" w:fill="auto"/>
            <w:noWrap/>
            <w:vAlign w:val="bottom"/>
            <w:hideMark/>
          </w:tcPr>
          <w:p w14:paraId="491EBCA0"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3B3721E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4D1CD50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6625C1F6"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518EF8B2"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74E7A7F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616AA8FC" w14:textId="77777777" w:rsidTr="0044362D">
        <w:trPr>
          <w:trHeight w:val="300"/>
        </w:trPr>
        <w:tc>
          <w:tcPr>
            <w:tcW w:w="3828" w:type="dxa"/>
            <w:tcBorders>
              <w:top w:val="nil"/>
              <w:left w:val="nil"/>
              <w:bottom w:val="nil"/>
              <w:right w:val="nil"/>
            </w:tcBorders>
            <w:shd w:val="clear" w:color="auto" w:fill="auto"/>
            <w:noWrap/>
            <w:vAlign w:val="bottom"/>
            <w:hideMark/>
          </w:tcPr>
          <w:p w14:paraId="2D9C5B62"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FUNDAMENTO LEGAL:</w:t>
            </w:r>
          </w:p>
        </w:tc>
        <w:tc>
          <w:tcPr>
            <w:tcW w:w="2126" w:type="dxa"/>
            <w:tcBorders>
              <w:top w:val="nil"/>
              <w:left w:val="nil"/>
              <w:bottom w:val="nil"/>
              <w:right w:val="nil"/>
            </w:tcBorders>
            <w:shd w:val="clear" w:color="auto" w:fill="auto"/>
            <w:noWrap/>
            <w:vAlign w:val="bottom"/>
            <w:hideMark/>
          </w:tcPr>
          <w:p w14:paraId="626A95BE"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927" w:type="dxa"/>
            <w:tcBorders>
              <w:top w:val="nil"/>
              <w:left w:val="nil"/>
              <w:bottom w:val="nil"/>
              <w:right w:val="nil"/>
            </w:tcBorders>
            <w:shd w:val="clear" w:color="auto" w:fill="auto"/>
            <w:noWrap/>
            <w:vAlign w:val="bottom"/>
            <w:hideMark/>
          </w:tcPr>
          <w:p w14:paraId="2DFF7D61"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3D79C688"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03C23683"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4CB1F0AB"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04ECAAC6"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53E1B5B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15053C72"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6E15BF42"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06601ABE"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2FEE8FF7"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4E08DF7C"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5357409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55558CD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502C7A31"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4572678C"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50FB34FC"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1DF30C17" w14:textId="77777777" w:rsidTr="0044362D">
        <w:trPr>
          <w:trHeight w:val="300"/>
        </w:trPr>
        <w:tc>
          <w:tcPr>
            <w:tcW w:w="5954" w:type="dxa"/>
            <w:gridSpan w:val="2"/>
            <w:tcBorders>
              <w:top w:val="nil"/>
              <w:left w:val="nil"/>
              <w:bottom w:val="nil"/>
              <w:right w:val="nil"/>
            </w:tcBorders>
            <w:shd w:val="clear" w:color="auto" w:fill="auto"/>
            <w:noWrap/>
            <w:vAlign w:val="bottom"/>
            <w:hideMark/>
          </w:tcPr>
          <w:p w14:paraId="5558910D"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UBICACIÓN FÍSICA DE LA SERIE:</w:t>
            </w:r>
          </w:p>
        </w:tc>
        <w:tc>
          <w:tcPr>
            <w:tcW w:w="1927" w:type="dxa"/>
            <w:tcBorders>
              <w:top w:val="nil"/>
              <w:left w:val="nil"/>
              <w:bottom w:val="nil"/>
              <w:right w:val="nil"/>
            </w:tcBorders>
            <w:shd w:val="clear" w:color="auto" w:fill="auto"/>
            <w:noWrap/>
            <w:vAlign w:val="bottom"/>
            <w:hideMark/>
          </w:tcPr>
          <w:p w14:paraId="41C1851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2713" w:type="dxa"/>
            <w:tcBorders>
              <w:top w:val="nil"/>
              <w:left w:val="nil"/>
              <w:bottom w:val="nil"/>
              <w:right w:val="nil"/>
            </w:tcBorders>
            <w:shd w:val="clear" w:color="auto" w:fill="auto"/>
            <w:noWrap/>
            <w:vAlign w:val="bottom"/>
            <w:hideMark/>
          </w:tcPr>
          <w:p w14:paraId="381C0712"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2648021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33855AA4"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72C09C60"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10237EEA"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3CC87F1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57620DC9" w14:textId="77777777" w:rsidTr="0044362D">
        <w:trPr>
          <w:trHeight w:val="300"/>
        </w:trPr>
        <w:tc>
          <w:tcPr>
            <w:tcW w:w="3828" w:type="dxa"/>
            <w:tcBorders>
              <w:top w:val="nil"/>
              <w:left w:val="nil"/>
              <w:bottom w:val="nil"/>
              <w:right w:val="nil"/>
            </w:tcBorders>
            <w:shd w:val="clear" w:color="auto" w:fill="auto"/>
            <w:noWrap/>
            <w:vAlign w:val="bottom"/>
            <w:hideMark/>
          </w:tcPr>
          <w:p w14:paraId="623BF4DA"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126" w:type="dxa"/>
            <w:tcBorders>
              <w:top w:val="nil"/>
              <w:left w:val="nil"/>
              <w:bottom w:val="nil"/>
              <w:right w:val="nil"/>
            </w:tcBorders>
            <w:shd w:val="clear" w:color="auto" w:fill="auto"/>
            <w:noWrap/>
            <w:vAlign w:val="bottom"/>
            <w:hideMark/>
          </w:tcPr>
          <w:p w14:paraId="312D3147"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927" w:type="dxa"/>
            <w:tcBorders>
              <w:top w:val="nil"/>
              <w:left w:val="nil"/>
              <w:bottom w:val="nil"/>
              <w:right w:val="nil"/>
            </w:tcBorders>
            <w:shd w:val="clear" w:color="auto" w:fill="auto"/>
            <w:noWrap/>
            <w:vAlign w:val="bottom"/>
            <w:hideMark/>
          </w:tcPr>
          <w:p w14:paraId="2DC841B8"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2713" w:type="dxa"/>
            <w:tcBorders>
              <w:top w:val="nil"/>
              <w:left w:val="nil"/>
              <w:bottom w:val="nil"/>
              <w:right w:val="nil"/>
            </w:tcBorders>
            <w:shd w:val="clear" w:color="auto" w:fill="auto"/>
            <w:noWrap/>
            <w:vAlign w:val="bottom"/>
            <w:hideMark/>
          </w:tcPr>
          <w:p w14:paraId="768DE9E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63" w:type="dxa"/>
            <w:tcBorders>
              <w:top w:val="nil"/>
              <w:left w:val="nil"/>
              <w:bottom w:val="nil"/>
              <w:right w:val="nil"/>
            </w:tcBorders>
            <w:shd w:val="clear" w:color="auto" w:fill="auto"/>
            <w:noWrap/>
            <w:vAlign w:val="bottom"/>
            <w:hideMark/>
          </w:tcPr>
          <w:p w14:paraId="3D53871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4871F8C9"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00AE6984" w14:textId="77777777" w:rsidTr="0044362D">
        <w:trPr>
          <w:trHeight w:val="300"/>
        </w:trPr>
        <w:tc>
          <w:tcPr>
            <w:tcW w:w="7881" w:type="dxa"/>
            <w:gridSpan w:val="3"/>
            <w:tcBorders>
              <w:top w:val="nil"/>
              <w:left w:val="nil"/>
              <w:bottom w:val="nil"/>
              <w:right w:val="nil"/>
            </w:tcBorders>
            <w:shd w:val="clear" w:color="auto" w:fill="auto"/>
            <w:noWrap/>
            <w:vAlign w:val="bottom"/>
            <w:hideMark/>
          </w:tcPr>
          <w:p w14:paraId="67B7BEE5"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 xml:space="preserve">NOMBRE Y CARGO DEL RESPONSABLE DEL ÁREA PRODUCTORA: </w:t>
            </w:r>
          </w:p>
        </w:tc>
        <w:tc>
          <w:tcPr>
            <w:tcW w:w="2713" w:type="dxa"/>
            <w:tcBorders>
              <w:top w:val="nil"/>
              <w:left w:val="nil"/>
              <w:bottom w:val="nil"/>
              <w:right w:val="nil"/>
            </w:tcBorders>
            <w:shd w:val="clear" w:color="auto" w:fill="auto"/>
            <w:noWrap/>
            <w:vAlign w:val="bottom"/>
            <w:hideMark/>
          </w:tcPr>
          <w:p w14:paraId="0F234018"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63" w:type="dxa"/>
            <w:tcBorders>
              <w:top w:val="nil"/>
              <w:left w:val="nil"/>
              <w:bottom w:val="nil"/>
              <w:right w:val="nil"/>
            </w:tcBorders>
            <w:shd w:val="clear" w:color="auto" w:fill="auto"/>
            <w:noWrap/>
            <w:vAlign w:val="bottom"/>
            <w:hideMark/>
          </w:tcPr>
          <w:p w14:paraId="565E9795"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c>
          <w:tcPr>
            <w:tcW w:w="1420" w:type="dxa"/>
            <w:tcBorders>
              <w:top w:val="nil"/>
              <w:left w:val="nil"/>
              <w:bottom w:val="nil"/>
              <w:right w:val="nil"/>
            </w:tcBorders>
            <w:shd w:val="clear" w:color="auto" w:fill="auto"/>
            <w:noWrap/>
            <w:vAlign w:val="bottom"/>
            <w:hideMark/>
          </w:tcPr>
          <w:p w14:paraId="05EA182F"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3A8C3C8A"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3E12A76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6CACC19B"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r w:rsidR="00EF5456" w:rsidRPr="00962B40" w14:paraId="0F1AE904" w14:textId="77777777" w:rsidTr="0044362D">
        <w:trPr>
          <w:trHeight w:val="300"/>
        </w:trPr>
        <w:tc>
          <w:tcPr>
            <w:tcW w:w="10594" w:type="dxa"/>
            <w:gridSpan w:val="4"/>
            <w:tcBorders>
              <w:top w:val="nil"/>
              <w:left w:val="nil"/>
              <w:bottom w:val="nil"/>
              <w:right w:val="nil"/>
            </w:tcBorders>
            <w:shd w:val="clear" w:color="auto" w:fill="auto"/>
            <w:noWrap/>
            <w:vAlign w:val="bottom"/>
            <w:hideMark/>
          </w:tcPr>
          <w:p w14:paraId="30FB3CE5"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lastRenderedPageBreak/>
              <w:t>NOMBRE Y CARGO DEL RESPONSABLE DEL ARCHIVO DE TRÁMITE:</w:t>
            </w:r>
          </w:p>
        </w:tc>
        <w:tc>
          <w:tcPr>
            <w:tcW w:w="163" w:type="dxa"/>
            <w:tcBorders>
              <w:top w:val="nil"/>
              <w:left w:val="nil"/>
              <w:bottom w:val="nil"/>
              <w:right w:val="nil"/>
            </w:tcBorders>
            <w:shd w:val="clear" w:color="auto" w:fill="auto"/>
            <w:noWrap/>
            <w:vAlign w:val="bottom"/>
            <w:hideMark/>
          </w:tcPr>
          <w:p w14:paraId="315BF0F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c>
          <w:tcPr>
            <w:tcW w:w="1420" w:type="dxa"/>
            <w:tcBorders>
              <w:top w:val="nil"/>
              <w:left w:val="nil"/>
              <w:bottom w:val="nil"/>
              <w:right w:val="nil"/>
            </w:tcBorders>
            <w:shd w:val="clear" w:color="auto" w:fill="auto"/>
            <w:noWrap/>
            <w:vAlign w:val="bottom"/>
            <w:hideMark/>
          </w:tcPr>
          <w:p w14:paraId="2F37EA0E" w14:textId="77777777" w:rsidR="00EF5456" w:rsidRPr="00962B40" w:rsidRDefault="00EF5456" w:rsidP="0044362D">
            <w:pPr>
              <w:spacing w:after="0" w:line="240" w:lineRule="auto"/>
              <w:jc w:val="both"/>
              <w:rPr>
                <w:rFonts w:ascii="Arial" w:eastAsia="Times New Roman" w:hAnsi="Arial" w:cs="Arial"/>
                <w:sz w:val="24"/>
                <w:szCs w:val="24"/>
                <w:lang w:eastAsia="es-MX"/>
              </w:rPr>
            </w:pPr>
          </w:p>
        </w:tc>
      </w:tr>
      <w:tr w:rsidR="00EF5456" w:rsidRPr="00962B40" w14:paraId="1FFE5BFE" w14:textId="77777777" w:rsidTr="0044362D">
        <w:trPr>
          <w:trHeight w:val="300"/>
        </w:trPr>
        <w:tc>
          <w:tcPr>
            <w:tcW w:w="10757" w:type="dxa"/>
            <w:gridSpan w:val="5"/>
            <w:tcBorders>
              <w:top w:val="nil"/>
              <w:left w:val="nil"/>
              <w:bottom w:val="nil"/>
              <w:right w:val="nil"/>
            </w:tcBorders>
            <w:shd w:val="clear" w:color="auto" w:fill="auto"/>
            <w:noWrap/>
            <w:vAlign w:val="bottom"/>
            <w:hideMark/>
          </w:tcPr>
          <w:p w14:paraId="1669EE5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r w:rsidRPr="00962B40">
              <w:rPr>
                <w:rFonts w:ascii="Arial" w:eastAsia="Times New Roman" w:hAnsi="Arial" w:cs="Arial"/>
                <w:color w:val="000000"/>
                <w:sz w:val="24"/>
                <w:szCs w:val="24"/>
                <w:lang w:eastAsia="es-MX"/>
              </w:rPr>
              <w:t>____________________________________________________________________</w:t>
            </w:r>
          </w:p>
        </w:tc>
        <w:tc>
          <w:tcPr>
            <w:tcW w:w="1420" w:type="dxa"/>
            <w:tcBorders>
              <w:top w:val="nil"/>
              <w:left w:val="nil"/>
              <w:bottom w:val="nil"/>
              <w:right w:val="nil"/>
            </w:tcBorders>
            <w:shd w:val="clear" w:color="auto" w:fill="auto"/>
            <w:noWrap/>
            <w:vAlign w:val="bottom"/>
            <w:hideMark/>
          </w:tcPr>
          <w:p w14:paraId="78E90F56" w14:textId="77777777" w:rsidR="00EF5456" w:rsidRPr="00962B40" w:rsidRDefault="00EF5456" w:rsidP="0044362D">
            <w:pPr>
              <w:spacing w:after="0" w:line="240" w:lineRule="auto"/>
              <w:jc w:val="both"/>
              <w:rPr>
                <w:rFonts w:ascii="Arial" w:eastAsia="Times New Roman" w:hAnsi="Arial" w:cs="Arial"/>
                <w:color w:val="000000"/>
                <w:sz w:val="24"/>
                <w:szCs w:val="24"/>
                <w:lang w:eastAsia="es-MX"/>
              </w:rPr>
            </w:pPr>
          </w:p>
        </w:tc>
      </w:tr>
    </w:tbl>
    <w:p w14:paraId="7C1BDB96" w14:textId="77777777" w:rsidR="00EF5456" w:rsidRPr="00962B40" w:rsidRDefault="00EF5456" w:rsidP="00EF5456">
      <w:pPr>
        <w:ind w:left="360"/>
        <w:contextualSpacing/>
        <w:jc w:val="both"/>
        <w:rPr>
          <w:rFonts w:ascii="Arial" w:eastAsia="Times New Roman" w:hAnsi="Arial" w:cs="Arial"/>
          <w:sz w:val="24"/>
          <w:szCs w:val="24"/>
        </w:rPr>
      </w:pPr>
    </w:p>
    <w:p w14:paraId="53C41229" w14:textId="77777777" w:rsidR="00EF5456" w:rsidRPr="00962B40" w:rsidRDefault="00EF5456" w:rsidP="00EF5456">
      <w:pPr>
        <w:spacing w:after="0" w:line="240" w:lineRule="auto"/>
        <w:contextualSpacing/>
        <w:rPr>
          <w:rFonts w:ascii="Arial" w:eastAsiaTheme="majorEastAsia" w:hAnsi="Arial" w:cs="Arial"/>
          <w:b/>
          <w:color w:val="806000" w:themeColor="accent4" w:themeShade="80"/>
          <w:sz w:val="24"/>
          <w:szCs w:val="24"/>
        </w:rPr>
      </w:pPr>
      <w:r w:rsidRPr="00962B40">
        <w:rPr>
          <w:rFonts w:ascii="Arial" w:eastAsiaTheme="majorEastAsia" w:hAnsi="Arial" w:cs="Arial"/>
          <w:b/>
          <w:color w:val="806000" w:themeColor="accent4" w:themeShade="80"/>
          <w:sz w:val="24"/>
          <w:szCs w:val="24"/>
        </w:rPr>
        <w:t>VIII. Recursos.</w:t>
      </w:r>
    </w:p>
    <w:p w14:paraId="23F994B9" w14:textId="77777777" w:rsidR="00EF5456" w:rsidRPr="00962B40" w:rsidRDefault="00EF5456" w:rsidP="00EF5456">
      <w:pPr>
        <w:rPr>
          <w:color w:val="806000" w:themeColor="accent4" w:themeShade="80"/>
        </w:rPr>
      </w:pPr>
    </w:p>
    <w:p w14:paraId="38CB5147" w14:textId="77777777" w:rsidR="00EF5456" w:rsidRPr="00962B40" w:rsidRDefault="00EF5456" w:rsidP="00EF5456">
      <w:pPr>
        <w:spacing w:after="0" w:line="240" w:lineRule="auto"/>
        <w:contextualSpacing/>
        <w:rPr>
          <w:rFonts w:ascii="Arial" w:eastAsiaTheme="majorEastAsia" w:hAnsi="Arial" w:cs="Arial"/>
          <w:b/>
          <w:color w:val="806000" w:themeColor="accent4" w:themeShade="80"/>
          <w:sz w:val="24"/>
          <w:szCs w:val="24"/>
        </w:rPr>
      </w:pPr>
      <w:r w:rsidRPr="00962B40">
        <w:rPr>
          <w:rFonts w:ascii="Arial" w:eastAsiaTheme="majorEastAsia" w:hAnsi="Arial" w:cs="Arial"/>
          <w:b/>
          <w:color w:val="806000" w:themeColor="accent4" w:themeShade="80"/>
          <w:sz w:val="24"/>
          <w:szCs w:val="24"/>
        </w:rPr>
        <w:t>VIII.I Recursos Humanos.</w:t>
      </w:r>
    </w:p>
    <w:p w14:paraId="6AF9E2FD" w14:textId="77777777" w:rsidR="00EF5456" w:rsidRPr="00962B40" w:rsidRDefault="00EF5456" w:rsidP="00EF5456">
      <w:pPr>
        <w:rPr>
          <w:color w:val="806000" w:themeColor="accent4" w:themeShade="80"/>
        </w:rPr>
      </w:pPr>
    </w:p>
    <w:p w14:paraId="0F85E7B8" w14:textId="77777777" w:rsidR="00EF5456" w:rsidRPr="00962B40" w:rsidRDefault="00EF5456" w:rsidP="00EF5456"/>
    <w:tbl>
      <w:tblPr>
        <w:tblStyle w:val="Tablaconcuadrcula"/>
        <w:tblW w:w="13178" w:type="dxa"/>
        <w:tblLook w:val="04A0" w:firstRow="1" w:lastRow="0" w:firstColumn="1" w:lastColumn="0" w:noHBand="0" w:noVBand="1"/>
      </w:tblPr>
      <w:tblGrid>
        <w:gridCol w:w="13178"/>
      </w:tblGrid>
      <w:tr w:rsidR="00EF5456" w:rsidRPr="00962B40" w14:paraId="577B6C15" w14:textId="77777777" w:rsidTr="0044362D">
        <w:tc>
          <w:tcPr>
            <w:tcW w:w="13178" w:type="dxa"/>
          </w:tcPr>
          <w:p w14:paraId="1F172F39"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 xml:space="preserve">PUESTO: </w:t>
            </w:r>
            <w:r w:rsidRPr="00962B40">
              <w:rPr>
                <w:rFonts w:ascii="Arial" w:hAnsi="Arial" w:cs="Arial"/>
                <w:b/>
                <w:sz w:val="24"/>
                <w:szCs w:val="24"/>
              </w:rPr>
              <w:t>COORDINADOR DE ARCHIVO</w:t>
            </w:r>
          </w:p>
        </w:tc>
      </w:tr>
      <w:tr w:rsidR="00EF5456" w:rsidRPr="00962B40" w14:paraId="18C926CE" w14:textId="77777777" w:rsidTr="0044362D">
        <w:tc>
          <w:tcPr>
            <w:tcW w:w="13178" w:type="dxa"/>
          </w:tcPr>
          <w:p w14:paraId="34EE3B52"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 xml:space="preserve">RESPONSABILIDAD: </w:t>
            </w:r>
          </w:p>
          <w:p w14:paraId="32667C87"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-ELABORAR INSTRUMENTOS DE CONSULTA Y CONTROL ARCHIVÍSTICO PREVISTOS EN LA LEY GENERAL Y DEMÁS NORMATIVA APLICABLE.</w:t>
            </w:r>
          </w:p>
          <w:p w14:paraId="20C40250"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-ELABORAR CRITERIOS ESPECÍFICOS Y RECOMENDACIONES EN MATERIA DE ORGANIZACIÓN Y CONSERVACIÓN DE ARCHIVOS, CUANDO LA ESPECIALIDAD DEL SUJETO OBLIGADO ASÍ LO REQUIERA.</w:t>
            </w:r>
          </w:p>
          <w:p w14:paraId="1A99848A"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-ELABORAR Y SOMETER A CONSIDERACIÓN DEL TITULAR DEL SUJETO OBLIGADO O A QUIEN ÉSTE DESIGNE, EL PROGRAMA ANUAL.</w:t>
            </w:r>
          </w:p>
          <w:p w14:paraId="0E7E74EF"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-COORDINAR, LOS PROCESOS DE VALORACIÓN Y DISPOSICIÓN DOCUMENTAL QUE REALICEN LAS ÁREAS OPERATIVAS.</w:t>
            </w:r>
          </w:p>
          <w:p w14:paraId="24589D4A"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-LLEVAR A CABO LAS CUATRO SESIONES CORRESPONDIENTES AL GRUPO INTERDISCIPLINARIO DE ARCHIVOS,</w:t>
            </w:r>
          </w:p>
          <w:p w14:paraId="7696D6A7"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-COORDINAR LAS ACTIVIDADES DESTINADAS A LA MODERNIZACIÓN Y AUTOMATIZACIÓN DE LOS PROCESOS ARCHIVÍSTICOS Y A LA GESTIÓN DE DOCUMENTOS ELECTRÓNICOS DE LAS ÁREAS OPERATIVAS.</w:t>
            </w:r>
          </w:p>
          <w:p w14:paraId="13B5BC68"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-BRINDAR ASESORÍA TÉCNICA PARA LA OPERACIÓN DE LOS ARCHIVOS.</w:t>
            </w:r>
          </w:p>
          <w:p w14:paraId="3E099F73"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-ELABORAR PROGRAMAS DE CAPACITACIÓN DE GESTIÓN DOCUMENTAL Y ADMINISTRACIÓN DE ARCHIVOS.</w:t>
            </w:r>
          </w:p>
          <w:p w14:paraId="1236C510"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-COORDINAR, CON LAS ÁREAS O UNIDADES ADMINISTRATIVAS, LAS POLÍTICAS DE ACCESO Y LA CONSERVACIÓN DE LOS ARCHIVOS.</w:t>
            </w:r>
          </w:p>
          <w:p w14:paraId="5A32B8D3"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-COORDINAR LA OPERACIÓN DE LOS ARCHIVOS DE TRÁMITE, CONCENTRACIÓN Y, EN SU CASO HISTÓRICO DE ACUERDO CON LA NORMATIVIDAD APLICABLE.</w:t>
            </w:r>
          </w:p>
          <w:p w14:paraId="66E95177"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lastRenderedPageBreak/>
              <w:t>-AUTORIZAR LA TRANSFERENCIA DE LOS ARCHIVOS CUANDO UN ÁREA O UNIDAD DEL SUJETO OBLIGADO SEA SOMETIDA A PROCESO DE FUSIÓN, ESCISIÓN, EXTINCIÓN, O CAMBIO DE ADSCRIPCIÓN; O CUALQUIER MODIFICACIÓN DE CONFORMIDAD CON LAS DISPOSICIONES LEGALES APLICABLES.</w:t>
            </w:r>
          </w:p>
          <w:p w14:paraId="1FE721C4"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-INTEGRAR Y ORGANIZAR LOS EXPEDIENTES QUE CADA ÁREA O UNIDAD PRODUZCA, USE Y RECIBA.</w:t>
            </w:r>
          </w:p>
          <w:p w14:paraId="01072663"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-ASEGURAR LA LOCALIZACIÓN Y CONSULTA DE LOS EXPEDIENTES MEDIANTE LA ELABORACIÓN DE LOS INVENTARIOS DOCUMENTALES.</w:t>
            </w:r>
          </w:p>
          <w:p w14:paraId="0A5850B3"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-RESGUARDAR LOS ARCHIVOS Y LA INFORMACIÓN QUE HAY SIDO CLASIFICADA DE ACUERDO CON LA NORMATIVA APLICABLE EN MATERIA DE TRANSPARENCIA Y ACCESO A LA INFORMACIÓN PÚBLICA, EN TANTO CONSERVE TAL CARÁCTER.</w:t>
            </w:r>
          </w:p>
          <w:p w14:paraId="791CA75C"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-REALIZAR LAS TRANSFERENCIAS PRIMARIAS AL ARCHIVO DE CONCENTRACIÓN.</w:t>
            </w:r>
          </w:p>
          <w:p w14:paraId="5B4D72F0"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-ASEGURAR Y DESCRIBIR LOS FONDOS BAJO SU RESGUARDO, ASÍ COMO LA CONSULTA DE LOS EXPEDIENTES.</w:t>
            </w:r>
          </w:p>
          <w:p w14:paraId="453F42D2"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-RECIBIR LÑAS TRANSFERENCIAS PRIMARIAS Y BRINDAR SERVICIOS DE PRÉSTAMO Y CONSULTA A LAS UNIDADES O ÁREAS ADMINISTRATIVAS O PRODUCTORAS DE LA DOCUMENTACIÓN QUE RESGUARDA.</w:t>
            </w:r>
          </w:p>
          <w:p w14:paraId="26F33FC4"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-CONSERVAR LOS EXPEDIENTES HASTA CUMPLIR SU VIGENCIA DOCUMENTAL DE ACUERDO CON LO ESTABLECIDO EN EL CATÁLOGO DE DISPOSICIÓN DOCUMENTAL.</w:t>
            </w:r>
          </w:p>
          <w:p w14:paraId="5CE214FF"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-PROMOVER LA BAJA DOCUMENTAL DE LOS EXPEDIENTES QUE INTEGRAN LAS SERIES DOCUMENTALES QUE HAYAN CUMPLIDO SU VIGENCIA DOCUMENTAL Y, EN SU CASO, PLAZOS DE CONSERVACIÓN Y QUE NO POSEAN VALORES HISTÓRICOS, CONFORME A LAS DISPOSICIONES APLICABLES.</w:t>
            </w:r>
          </w:p>
          <w:p w14:paraId="684C6FD3"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-IDENTIFICAR LOS EXPEDIENTES QUE INTEGRAN LAS SERIES DOCUMENTALES QUE HAYAN CUMPLIDO SU VIGENCIA DOCUMENTAL Y QUE CUENTEN CON VALORES HISTÓRICOS, Y QUE SERÁN TRANSFERIDOS A LOS ARCHIVOS HISTÓRICOS DE LOS SUJETOS OBLIGADOS, SEGÚN CORRESPONDA.</w:t>
            </w:r>
          </w:p>
          <w:p w14:paraId="576ACEC9"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-INTEGRAR A SUS RESPECTIVOS EXPEDIENTES, EL REGISTRO DE LOS PROCESOS DE DISPOSICIÓN DOCUMENTAL, INCLUYENDO DICTÁMENES, ACTAS E INVENTARIOS.</w:t>
            </w:r>
          </w:p>
          <w:p w14:paraId="378BECC1"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-PUBLICAR, AL FINAL DE CADA AÑO, LOS DICTÁMENES Y ACTAS DE BAJA DOCUMENTAL Y TRANSFERENCIA SECUNDARIA, EN LOS TÉRMINOS QUE ESTABLEZCAN LAS DISPOSICIONES EN LA MATERIA Y CONSERVARLOS EN EL ARCHIVO DE CONCENTRACIÓN POR UN PERIODO MÍNIMO DE SIETE AÑOS A PARTIR DE LA FECHA DE SU ELABORACIÓN.</w:t>
            </w:r>
          </w:p>
          <w:p w14:paraId="0E068BFF"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-REALIZAR LA TRANSFERENCIA SECUNDARIA DE LAS SERIES DOCUMENTALES QUE HAYAN CUMPLIDO SU VIGENCIA DOCUMENTAL Y POSEAN VALORES EVIDENCIALES, TESTIMONIALES E INFORMATIVOS AL ARCHIVO HISTÓRICO DEL SUJETO OBLIGADO, O ARCHIVO GENERAL DEL ESTADO SEGÚN CORRESPONDA.</w:t>
            </w:r>
          </w:p>
          <w:p w14:paraId="2C356DFC"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lastRenderedPageBreak/>
              <w:t>-LAS QUE ESTABLEZCAN EN EL RESPECTIVO ÁMBITO DE SUS COMPETENCIAS EL CONSEJO NACIONAL, EL CONSEJO ESTATAL DE ARCHIVOS Y LAS DISPOSICIONES APLICABLES EN LA MATERIA.</w:t>
            </w:r>
          </w:p>
        </w:tc>
      </w:tr>
    </w:tbl>
    <w:p w14:paraId="77E26089" w14:textId="61E23096" w:rsidR="00EF5456" w:rsidRDefault="00EF5456" w:rsidP="00EF5456">
      <w:pPr>
        <w:jc w:val="both"/>
        <w:rPr>
          <w:rFonts w:ascii="Arial" w:hAnsi="Arial" w:cs="Arial"/>
          <w:sz w:val="24"/>
          <w:szCs w:val="24"/>
        </w:rPr>
      </w:pPr>
    </w:p>
    <w:p w14:paraId="3D6EDAA9" w14:textId="60C75C03" w:rsidR="00F737A0" w:rsidRDefault="00F737A0" w:rsidP="00EF5456">
      <w:pPr>
        <w:jc w:val="both"/>
        <w:rPr>
          <w:rFonts w:ascii="Arial" w:hAnsi="Arial" w:cs="Arial"/>
          <w:sz w:val="24"/>
          <w:szCs w:val="24"/>
        </w:rPr>
      </w:pPr>
    </w:p>
    <w:p w14:paraId="5B21B807" w14:textId="77777777" w:rsidR="00F737A0" w:rsidRPr="00962B40" w:rsidRDefault="00F737A0" w:rsidP="00EF5456">
      <w:pPr>
        <w:jc w:val="both"/>
        <w:rPr>
          <w:rFonts w:ascii="Arial" w:hAnsi="Arial" w:cs="Arial"/>
          <w:sz w:val="24"/>
          <w:szCs w:val="24"/>
        </w:rPr>
      </w:pPr>
    </w:p>
    <w:tbl>
      <w:tblPr>
        <w:tblStyle w:val="Tablaconcuadrcula"/>
        <w:tblW w:w="13178" w:type="dxa"/>
        <w:tblLook w:val="04A0" w:firstRow="1" w:lastRow="0" w:firstColumn="1" w:lastColumn="0" w:noHBand="0" w:noVBand="1"/>
      </w:tblPr>
      <w:tblGrid>
        <w:gridCol w:w="4275"/>
        <w:gridCol w:w="3517"/>
        <w:gridCol w:w="5386"/>
      </w:tblGrid>
      <w:tr w:rsidR="00EF5456" w:rsidRPr="00962B40" w14:paraId="4E30796F" w14:textId="77777777" w:rsidTr="0044362D">
        <w:tc>
          <w:tcPr>
            <w:tcW w:w="13178" w:type="dxa"/>
            <w:gridSpan w:val="3"/>
          </w:tcPr>
          <w:p w14:paraId="429E4E59" w14:textId="77777777" w:rsidR="00EF5456" w:rsidRPr="00962B40" w:rsidRDefault="00EF5456" w:rsidP="0044362D">
            <w:pPr>
              <w:jc w:val="center"/>
              <w:rPr>
                <w:rFonts w:ascii="Arial" w:hAnsi="Arial" w:cs="Arial"/>
                <w:b/>
                <w:sz w:val="24"/>
                <w:szCs w:val="24"/>
              </w:rPr>
            </w:pPr>
            <w:r w:rsidRPr="00962B40">
              <w:rPr>
                <w:rFonts w:ascii="Arial" w:hAnsi="Arial" w:cs="Arial"/>
                <w:b/>
                <w:sz w:val="24"/>
                <w:szCs w:val="24"/>
              </w:rPr>
              <w:t>MUSEO DEL VIRREINATO</w:t>
            </w:r>
          </w:p>
        </w:tc>
      </w:tr>
      <w:tr w:rsidR="00EF5456" w:rsidRPr="00962B40" w14:paraId="490E1002" w14:textId="77777777" w:rsidTr="0044362D">
        <w:tc>
          <w:tcPr>
            <w:tcW w:w="13178" w:type="dxa"/>
            <w:gridSpan w:val="3"/>
          </w:tcPr>
          <w:p w14:paraId="34AF6DA5" w14:textId="77777777" w:rsidR="00EF5456" w:rsidRPr="00962B40" w:rsidRDefault="00EF5456" w:rsidP="0044362D">
            <w:pPr>
              <w:jc w:val="center"/>
              <w:rPr>
                <w:rFonts w:ascii="Arial" w:hAnsi="Arial" w:cs="Arial"/>
                <w:b/>
                <w:sz w:val="24"/>
                <w:szCs w:val="24"/>
              </w:rPr>
            </w:pPr>
            <w:r w:rsidRPr="00962B40">
              <w:rPr>
                <w:rFonts w:ascii="Arial" w:hAnsi="Arial" w:cs="Arial"/>
                <w:b/>
                <w:sz w:val="24"/>
                <w:szCs w:val="24"/>
              </w:rPr>
              <w:t>COORDINACIÓN DE ARCHIVOS</w:t>
            </w:r>
          </w:p>
        </w:tc>
      </w:tr>
      <w:tr w:rsidR="00EF5456" w:rsidRPr="00962B40" w14:paraId="109E87E5" w14:textId="77777777" w:rsidTr="0044362D">
        <w:tc>
          <w:tcPr>
            <w:tcW w:w="13178" w:type="dxa"/>
            <w:gridSpan w:val="3"/>
          </w:tcPr>
          <w:p w14:paraId="3B88F7FD"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RELACIÓN DE ENLACES DE ARCHIVO DEL MUSEO DEL VIRREINATO 2021</w:t>
            </w:r>
          </w:p>
        </w:tc>
      </w:tr>
      <w:tr w:rsidR="00EF5456" w:rsidRPr="00962B40" w14:paraId="575FAC77" w14:textId="77777777" w:rsidTr="0044362D">
        <w:tc>
          <w:tcPr>
            <w:tcW w:w="4275" w:type="dxa"/>
          </w:tcPr>
          <w:p w14:paraId="2CD00DA5" w14:textId="77777777" w:rsidR="00EF5456" w:rsidRPr="00962B40" w:rsidRDefault="00EF5456" w:rsidP="0044362D">
            <w:pPr>
              <w:jc w:val="both"/>
              <w:rPr>
                <w:rFonts w:ascii="Arial" w:hAnsi="Arial" w:cs="Arial"/>
                <w:b/>
                <w:sz w:val="24"/>
                <w:szCs w:val="24"/>
              </w:rPr>
            </w:pPr>
            <w:r w:rsidRPr="00962B40">
              <w:rPr>
                <w:rFonts w:ascii="Arial" w:hAnsi="Arial" w:cs="Arial"/>
                <w:b/>
                <w:sz w:val="24"/>
                <w:szCs w:val="24"/>
              </w:rPr>
              <w:t>NOMBRE</w:t>
            </w:r>
          </w:p>
        </w:tc>
        <w:tc>
          <w:tcPr>
            <w:tcW w:w="3517" w:type="dxa"/>
          </w:tcPr>
          <w:p w14:paraId="44A84849" w14:textId="77777777" w:rsidR="00EF5456" w:rsidRPr="00962B40" w:rsidRDefault="00EF5456" w:rsidP="0044362D">
            <w:pPr>
              <w:jc w:val="both"/>
              <w:rPr>
                <w:rFonts w:ascii="Arial" w:hAnsi="Arial" w:cs="Arial"/>
                <w:b/>
                <w:sz w:val="24"/>
                <w:szCs w:val="24"/>
              </w:rPr>
            </w:pPr>
            <w:r w:rsidRPr="00962B40">
              <w:rPr>
                <w:rFonts w:ascii="Arial" w:hAnsi="Arial" w:cs="Arial"/>
                <w:b/>
                <w:sz w:val="24"/>
                <w:szCs w:val="24"/>
              </w:rPr>
              <w:t>DIRECCIÓN/ÁREA</w:t>
            </w:r>
          </w:p>
        </w:tc>
        <w:tc>
          <w:tcPr>
            <w:tcW w:w="5386" w:type="dxa"/>
          </w:tcPr>
          <w:p w14:paraId="06E9EE17" w14:textId="77777777" w:rsidR="00EF5456" w:rsidRPr="00962B40" w:rsidRDefault="00EF5456" w:rsidP="0044362D">
            <w:pPr>
              <w:jc w:val="both"/>
              <w:rPr>
                <w:rFonts w:ascii="Arial" w:hAnsi="Arial" w:cs="Arial"/>
                <w:b/>
                <w:sz w:val="24"/>
                <w:szCs w:val="24"/>
              </w:rPr>
            </w:pPr>
            <w:r w:rsidRPr="00962B40">
              <w:rPr>
                <w:rFonts w:ascii="Arial" w:hAnsi="Arial" w:cs="Arial"/>
                <w:b/>
                <w:sz w:val="24"/>
                <w:szCs w:val="24"/>
              </w:rPr>
              <w:t>TELÉFONO</w:t>
            </w:r>
          </w:p>
        </w:tc>
      </w:tr>
      <w:tr w:rsidR="00EF5456" w:rsidRPr="00962B40" w14:paraId="09AFFE83" w14:textId="77777777" w:rsidTr="0044362D">
        <w:tc>
          <w:tcPr>
            <w:tcW w:w="4275" w:type="dxa"/>
          </w:tcPr>
          <w:p w14:paraId="0C682F58"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1.- Lic. Ma. Elizabeth Rodríguez Romero</w:t>
            </w:r>
          </w:p>
        </w:tc>
        <w:tc>
          <w:tcPr>
            <w:tcW w:w="3517" w:type="dxa"/>
          </w:tcPr>
          <w:p w14:paraId="13ECFBD8"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Directora General del Museo del Virreinato</w:t>
            </w:r>
          </w:p>
        </w:tc>
        <w:tc>
          <w:tcPr>
            <w:tcW w:w="5386" w:type="dxa"/>
          </w:tcPr>
          <w:p w14:paraId="05863BC7"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4448140994 EXT. 102</w:t>
            </w:r>
          </w:p>
        </w:tc>
      </w:tr>
      <w:tr w:rsidR="00EF5456" w:rsidRPr="00962B40" w14:paraId="2543C480" w14:textId="77777777" w:rsidTr="0044362D">
        <w:tc>
          <w:tcPr>
            <w:tcW w:w="4275" w:type="dxa"/>
          </w:tcPr>
          <w:p w14:paraId="3FC3AA6D"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 xml:space="preserve">2.- Lic. </w:t>
            </w:r>
            <w:proofErr w:type="spellStart"/>
            <w:r w:rsidRPr="00962B40">
              <w:rPr>
                <w:rFonts w:ascii="Arial" w:hAnsi="Arial" w:cs="Arial"/>
                <w:sz w:val="24"/>
                <w:szCs w:val="24"/>
              </w:rPr>
              <w:t>Ilce</w:t>
            </w:r>
            <w:proofErr w:type="spellEnd"/>
            <w:r w:rsidRPr="00962B40">
              <w:rPr>
                <w:rFonts w:ascii="Arial" w:hAnsi="Arial" w:cs="Arial"/>
                <w:sz w:val="24"/>
                <w:szCs w:val="24"/>
              </w:rPr>
              <w:t xml:space="preserve"> Florencia Ovalle Martínez </w:t>
            </w:r>
          </w:p>
        </w:tc>
        <w:tc>
          <w:tcPr>
            <w:tcW w:w="3517" w:type="dxa"/>
          </w:tcPr>
          <w:p w14:paraId="506DF256" w14:textId="01E5E41D" w:rsidR="00EF5456" w:rsidRPr="00962B40" w:rsidRDefault="00EF5456" w:rsidP="0044362D">
            <w:pPr>
              <w:jc w:val="both"/>
              <w:rPr>
                <w:rFonts w:ascii="Arial" w:hAnsi="Arial" w:cs="Arial"/>
                <w:sz w:val="24"/>
                <w:szCs w:val="24"/>
              </w:rPr>
            </w:pPr>
            <w:r w:rsidRPr="00962B40">
              <w:rPr>
                <w:rFonts w:ascii="Arial" w:hAnsi="Arial" w:cs="Arial"/>
                <w:sz w:val="24"/>
                <w:szCs w:val="24"/>
              </w:rPr>
              <w:t>Coordinadora de Archivo del Museo del Virreinato</w:t>
            </w:r>
            <w:r w:rsidR="008B08F5">
              <w:rPr>
                <w:rFonts w:ascii="Arial" w:hAnsi="Arial" w:cs="Arial"/>
                <w:sz w:val="24"/>
                <w:szCs w:val="24"/>
              </w:rPr>
              <w:t xml:space="preserve"> y Enlace de la Unidad para la Igualdad de Género</w:t>
            </w:r>
          </w:p>
        </w:tc>
        <w:tc>
          <w:tcPr>
            <w:tcW w:w="5386" w:type="dxa"/>
          </w:tcPr>
          <w:p w14:paraId="24F6A5CF"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4448140994 EXT.108</w:t>
            </w:r>
          </w:p>
        </w:tc>
      </w:tr>
      <w:tr w:rsidR="00EF5456" w:rsidRPr="00962B40" w14:paraId="4EE39E09" w14:textId="77777777" w:rsidTr="0044362D">
        <w:tc>
          <w:tcPr>
            <w:tcW w:w="4275" w:type="dxa"/>
          </w:tcPr>
          <w:p w14:paraId="33D63539"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3.- Ing. Ramón González Alonso</w:t>
            </w:r>
          </w:p>
        </w:tc>
        <w:tc>
          <w:tcPr>
            <w:tcW w:w="3517" w:type="dxa"/>
          </w:tcPr>
          <w:p w14:paraId="3BC49390"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Titular de la Unidad de Transparencia del Museo del Virreinato</w:t>
            </w:r>
          </w:p>
        </w:tc>
        <w:tc>
          <w:tcPr>
            <w:tcW w:w="5386" w:type="dxa"/>
          </w:tcPr>
          <w:p w14:paraId="7F5DDC91"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4448140994 EXT. 106</w:t>
            </w:r>
          </w:p>
        </w:tc>
      </w:tr>
      <w:tr w:rsidR="00EF5456" w:rsidRPr="00962B40" w14:paraId="7A1D1E1F" w14:textId="77777777" w:rsidTr="0044362D">
        <w:tc>
          <w:tcPr>
            <w:tcW w:w="4275" w:type="dxa"/>
          </w:tcPr>
          <w:p w14:paraId="0D32A6C0" w14:textId="36F0BAF1" w:rsidR="00EF5456" w:rsidRPr="00962B40" w:rsidRDefault="00EF5456" w:rsidP="0044362D">
            <w:pPr>
              <w:jc w:val="both"/>
              <w:rPr>
                <w:rFonts w:ascii="Arial" w:hAnsi="Arial" w:cs="Arial"/>
                <w:sz w:val="24"/>
                <w:szCs w:val="24"/>
              </w:rPr>
            </w:pPr>
            <w:r w:rsidRPr="00962B40">
              <w:rPr>
                <w:rFonts w:ascii="Arial" w:hAnsi="Arial" w:cs="Arial"/>
                <w:sz w:val="24"/>
                <w:szCs w:val="24"/>
              </w:rPr>
              <w:t xml:space="preserve">4.- </w:t>
            </w:r>
            <w:r w:rsidR="008B08F5">
              <w:rPr>
                <w:rFonts w:ascii="Arial" w:hAnsi="Arial" w:cs="Arial"/>
                <w:sz w:val="24"/>
                <w:szCs w:val="24"/>
              </w:rPr>
              <w:t>Ing. Marco Antonio García Méndez</w:t>
            </w:r>
          </w:p>
        </w:tc>
        <w:tc>
          <w:tcPr>
            <w:tcW w:w="3517" w:type="dxa"/>
          </w:tcPr>
          <w:p w14:paraId="6B33C14E"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Asistente de Dirección</w:t>
            </w:r>
          </w:p>
        </w:tc>
        <w:tc>
          <w:tcPr>
            <w:tcW w:w="5386" w:type="dxa"/>
          </w:tcPr>
          <w:p w14:paraId="3B8BB7F6"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4448140994 EXT.102</w:t>
            </w:r>
          </w:p>
        </w:tc>
      </w:tr>
      <w:tr w:rsidR="00EF5456" w:rsidRPr="00962B40" w14:paraId="56A8FBDB" w14:textId="77777777" w:rsidTr="0044362D">
        <w:tc>
          <w:tcPr>
            <w:tcW w:w="4275" w:type="dxa"/>
          </w:tcPr>
          <w:p w14:paraId="4A198F96" w14:textId="77777777" w:rsidR="00EF5456" w:rsidRPr="00962B40" w:rsidRDefault="00EF5456" w:rsidP="0044362D">
            <w:pPr>
              <w:jc w:val="both"/>
              <w:rPr>
                <w:rFonts w:ascii="Arial" w:hAnsi="Arial" w:cs="Arial"/>
                <w:sz w:val="24"/>
                <w:szCs w:val="24"/>
                <w:lang w:val="fr-FR"/>
              </w:rPr>
            </w:pPr>
            <w:r w:rsidRPr="00962B40">
              <w:rPr>
                <w:rFonts w:ascii="Arial" w:hAnsi="Arial" w:cs="Arial"/>
                <w:sz w:val="24"/>
                <w:szCs w:val="24"/>
                <w:lang w:val="fr-FR"/>
              </w:rPr>
              <w:t xml:space="preserve">5.- C. Dolores Aide Juarez </w:t>
            </w:r>
            <w:proofErr w:type="spellStart"/>
            <w:r w:rsidRPr="00962B40">
              <w:rPr>
                <w:rFonts w:ascii="Arial" w:hAnsi="Arial" w:cs="Arial"/>
                <w:sz w:val="24"/>
                <w:szCs w:val="24"/>
                <w:lang w:val="fr-FR"/>
              </w:rPr>
              <w:t>Zavala</w:t>
            </w:r>
            <w:proofErr w:type="spellEnd"/>
          </w:p>
        </w:tc>
        <w:tc>
          <w:tcPr>
            <w:tcW w:w="3517" w:type="dxa"/>
          </w:tcPr>
          <w:p w14:paraId="51A63EF0"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Auxiliar Administrativo</w:t>
            </w:r>
          </w:p>
        </w:tc>
        <w:tc>
          <w:tcPr>
            <w:tcW w:w="5386" w:type="dxa"/>
          </w:tcPr>
          <w:p w14:paraId="71C96808"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4448140994 EXT. 106</w:t>
            </w:r>
          </w:p>
        </w:tc>
      </w:tr>
      <w:tr w:rsidR="00EF5456" w:rsidRPr="00962B40" w14:paraId="568C64A2" w14:textId="77777777" w:rsidTr="0044362D">
        <w:tc>
          <w:tcPr>
            <w:tcW w:w="13178" w:type="dxa"/>
            <w:gridSpan w:val="3"/>
          </w:tcPr>
          <w:p w14:paraId="2BD2F1A0"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6.- Taquilla: 4448140994</w:t>
            </w:r>
          </w:p>
        </w:tc>
      </w:tr>
      <w:tr w:rsidR="00EF5456" w:rsidRPr="00962B40" w14:paraId="34664E73" w14:textId="77777777" w:rsidTr="0044362D">
        <w:tc>
          <w:tcPr>
            <w:tcW w:w="13178" w:type="dxa"/>
            <w:gridSpan w:val="3"/>
          </w:tcPr>
          <w:p w14:paraId="62FD8F10" w14:textId="77777777" w:rsidR="00EF5456" w:rsidRPr="00962B40" w:rsidRDefault="00EF5456" w:rsidP="0044362D">
            <w:pPr>
              <w:jc w:val="both"/>
              <w:rPr>
                <w:rFonts w:ascii="Arial" w:hAnsi="Arial" w:cs="Arial"/>
                <w:sz w:val="24"/>
                <w:szCs w:val="24"/>
              </w:rPr>
            </w:pPr>
          </w:p>
        </w:tc>
      </w:tr>
    </w:tbl>
    <w:p w14:paraId="53DC725C" w14:textId="379DD5AF" w:rsidR="00EF5456" w:rsidRDefault="00EF5456" w:rsidP="00EF5456">
      <w:pPr>
        <w:tabs>
          <w:tab w:val="left" w:pos="5071"/>
        </w:tabs>
        <w:jc w:val="both"/>
        <w:rPr>
          <w:rFonts w:ascii="Arial" w:hAnsi="Arial" w:cs="Arial"/>
          <w:b/>
          <w:bCs/>
          <w:sz w:val="28"/>
          <w:szCs w:val="28"/>
        </w:rPr>
      </w:pPr>
    </w:p>
    <w:p w14:paraId="3D1B7F0E" w14:textId="62E605D0" w:rsidR="00F737A0" w:rsidRDefault="00F737A0" w:rsidP="00EF5456">
      <w:pPr>
        <w:tabs>
          <w:tab w:val="left" w:pos="5071"/>
        </w:tabs>
        <w:jc w:val="both"/>
        <w:rPr>
          <w:rFonts w:ascii="Arial" w:hAnsi="Arial" w:cs="Arial"/>
          <w:b/>
          <w:bCs/>
          <w:sz w:val="28"/>
          <w:szCs w:val="28"/>
        </w:rPr>
      </w:pPr>
    </w:p>
    <w:p w14:paraId="2D79F293" w14:textId="3A5BCE77" w:rsidR="00F737A0" w:rsidRDefault="00F737A0" w:rsidP="00EF5456">
      <w:pPr>
        <w:tabs>
          <w:tab w:val="left" w:pos="5071"/>
        </w:tabs>
        <w:jc w:val="both"/>
        <w:rPr>
          <w:rFonts w:ascii="Arial" w:hAnsi="Arial" w:cs="Arial"/>
          <w:b/>
          <w:bCs/>
          <w:sz w:val="28"/>
          <w:szCs w:val="28"/>
        </w:rPr>
      </w:pPr>
    </w:p>
    <w:p w14:paraId="6F0C75A2" w14:textId="77777777" w:rsidR="00F737A0" w:rsidRPr="00962B40" w:rsidRDefault="00F737A0" w:rsidP="00EF5456">
      <w:pPr>
        <w:tabs>
          <w:tab w:val="left" w:pos="5071"/>
        </w:tabs>
        <w:jc w:val="both"/>
        <w:rPr>
          <w:rFonts w:ascii="Arial" w:hAnsi="Arial" w:cs="Arial"/>
          <w:b/>
          <w:bCs/>
          <w:sz w:val="28"/>
          <w:szCs w:val="28"/>
        </w:rPr>
      </w:pPr>
    </w:p>
    <w:p w14:paraId="4B1C126E" w14:textId="77777777" w:rsidR="00EF5456" w:rsidRPr="00962B40" w:rsidRDefault="00EF5456" w:rsidP="00EF5456">
      <w:pPr>
        <w:spacing w:after="0" w:line="240" w:lineRule="auto"/>
        <w:contextualSpacing/>
        <w:rPr>
          <w:rFonts w:ascii="Arial" w:eastAsiaTheme="majorEastAsia" w:hAnsi="Arial" w:cs="Arial"/>
          <w:b/>
          <w:color w:val="000000" w:themeColor="text1"/>
          <w:sz w:val="24"/>
          <w:szCs w:val="24"/>
        </w:rPr>
      </w:pPr>
    </w:p>
    <w:p w14:paraId="2AAC1C88" w14:textId="77777777" w:rsidR="00F737A0" w:rsidRDefault="00F737A0" w:rsidP="00EF5456">
      <w:pPr>
        <w:spacing w:after="0" w:line="240" w:lineRule="auto"/>
        <w:contextualSpacing/>
        <w:rPr>
          <w:rFonts w:ascii="Arial" w:eastAsiaTheme="majorEastAsia" w:hAnsi="Arial" w:cs="Arial"/>
          <w:b/>
          <w:color w:val="806000" w:themeColor="accent4" w:themeShade="80"/>
          <w:sz w:val="24"/>
          <w:szCs w:val="24"/>
        </w:rPr>
      </w:pPr>
    </w:p>
    <w:p w14:paraId="58E9E261" w14:textId="77777777" w:rsidR="00F737A0" w:rsidRDefault="00F737A0" w:rsidP="00EF5456">
      <w:pPr>
        <w:spacing w:after="0" w:line="240" w:lineRule="auto"/>
        <w:contextualSpacing/>
        <w:rPr>
          <w:rFonts w:ascii="Arial" w:eastAsiaTheme="majorEastAsia" w:hAnsi="Arial" w:cs="Arial"/>
          <w:b/>
          <w:color w:val="806000" w:themeColor="accent4" w:themeShade="80"/>
          <w:sz w:val="24"/>
          <w:szCs w:val="24"/>
        </w:rPr>
      </w:pPr>
    </w:p>
    <w:p w14:paraId="0EFBEC17" w14:textId="27CF5B2F" w:rsidR="00EF5456" w:rsidRPr="00962B40" w:rsidRDefault="00EF5456" w:rsidP="00EF5456">
      <w:pPr>
        <w:spacing w:after="0" w:line="240" w:lineRule="auto"/>
        <w:contextualSpacing/>
        <w:rPr>
          <w:rFonts w:ascii="Arial" w:eastAsiaTheme="majorEastAsia" w:hAnsi="Arial" w:cs="Arial"/>
          <w:b/>
          <w:color w:val="806000" w:themeColor="accent4" w:themeShade="80"/>
          <w:sz w:val="24"/>
          <w:szCs w:val="24"/>
        </w:rPr>
      </w:pPr>
      <w:r w:rsidRPr="00962B40">
        <w:rPr>
          <w:rFonts w:ascii="Arial" w:eastAsiaTheme="majorEastAsia" w:hAnsi="Arial" w:cs="Arial"/>
          <w:b/>
          <w:color w:val="806000" w:themeColor="accent4" w:themeShade="80"/>
          <w:sz w:val="24"/>
          <w:szCs w:val="24"/>
        </w:rPr>
        <w:t>VIII.II.- Recursos Materiales.</w:t>
      </w:r>
    </w:p>
    <w:p w14:paraId="719CF7EF" w14:textId="77777777" w:rsidR="00EF5456" w:rsidRPr="00962B40" w:rsidRDefault="00EF5456" w:rsidP="00EF5456">
      <w:pPr>
        <w:rPr>
          <w:color w:val="806000" w:themeColor="accent4" w:themeShade="80"/>
        </w:rPr>
      </w:pPr>
    </w:p>
    <w:p w14:paraId="2DE073E7" w14:textId="77777777" w:rsidR="00EF5456" w:rsidRPr="00962B40" w:rsidRDefault="00EF5456" w:rsidP="00EF5456">
      <w:pPr>
        <w:jc w:val="both"/>
        <w:rPr>
          <w:rFonts w:ascii="Arial" w:hAnsi="Arial" w:cs="Arial"/>
          <w:sz w:val="24"/>
          <w:szCs w:val="24"/>
        </w:rPr>
      </w:pPr>
      <w:r w:rsidRPr="00962B40">
        <w:rPr>
          <w:rFonts w:ascii="Arial" w:hAnsi="Arial" w:cs="Arial"/>
          <w:sz w:val="24"/>
          <w:szCs w:val="24"/>
        </w:rPr>
        <w:t>Respecto a los recursos materiales, estos se suministran conforme se presentan las necesidades del quehacer archivístico en la Coordinación de Archivos y las diversas áreas administrativas que integran el Museo del Virreinato.</w:t>
      </w:r>
    </w:p>
    <w:tbl>
      <w:tblPr>
        <w:tblStyle w:val="Tablaconcuadrcula"/>
        <w:tblW w:w="0" w:type="auto"/>
        <w:tblLook w:val="04A0" w:firstRow="1" w:lastRow="0" w:firstColumn="1" w:lastColumn="0" w:noHBand="0" w:noVBand="1"/>
      </w:tblPr>
      <w:tblGrid>
        <w:gridCol w:w="8828"/>
      </w:tblGrid>
      <w:tr w:rsidR="00EF5456" w:rsidRPr="00962B40" w14:paraId="0A2E5873" w14:textId="77777777" w:rsidTr="0044362D">
        <w:tc>
          <w:tcPr>
            <w:tcW w:w="8828" w:type="dxa"/>
          </w:tcPr>
          <w:p w14:paraId="16CB23EF"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Equipos de Cómputo</w:t>
            </w:r>
          </w:p>
        </w:tc>
      </w:tr>
      <w:tr w:rsidR="00EF5456" w:rsidRPr="00962B40" w14:paraId="465ADCCC" w14:textId="77777777" w:rsidTr="0044362D">
        <w:tc>
          <w:tcPr>
            <w:tcW w:w="8828" w:type="dxa"/>
          </w:tcPr>
          <w:p w14:paraId="2F03F857"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Impresora</w:t>
            </w:r>
          </w:p>
        </w:tc>
      </w:tr>
      <w:tr w:rsidR="00EF5456" w:rsidRPr="00962B40" w14:paraId="6475F619" w14:textId="77777777" w:rsidTr="0044362D">
        <w:tc>
          <w:tcPr>
            <w:tcW w:w="8828" w:type="dxa"/>
          </w:tcPr>
          <w:p w14:paraId="26D56AFB"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Estantería</w:t>
            </w:r>
          </w:p>
        </w:tc>
      </w:tr>
      <w:tr w:rsidR="00EF5456" w:rsidRPr="00962B40" w14:paraId="6C0E5ED9" w14:textId="77777777" w:rsidTr="0044362D">
        <w:tc>
          <w:tcPr>
            <w:tcW w:w="8828" w:type="dxa"/>
          </w:tcPr>
          <w:p w14:paraId="1C6F11E6"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Material de Papelería: Hojas Bond, lápices, folders, quita grapas.</w:t>
            </w:r>
          </w:p>
        </w:tc>
      </w:tr>
      <w:tr w:rsidR="00EF5456" w:rsidRPr="00962B40" w14:paraId="4D153748" w14:textId="77777777" w:rsidTr="0044362D">
        <w:tc>
          <w:tcPr>
            <w:tcW w:w="8828" w:type="dxa"/>
          </w:tcPr>
          <w:p w14:paraId="7E5990CE"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Material para cosido: Perforadora, Agujas, Hilo, Tijeras.</w:t>
            </w:r>
          </w:p>
        </w:tc>
      </w:tr>
      <w:tr w:rsidR="00EF5456" w:rsidRPr="00962B40" w14:paraId="2BEB3D92" w14:textId="77777777" w:rsidTr="0044362D">
        <w:tc>
          <w:tcPr>
            <w:tcW w:w="8828" w:type="dxa"/>
          </w:tcPr>
          <w:p w14:paraId="41F69627"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Detectores de Humo</w:t>
            </w:r>
          </w:p>
        </w:tc>
      </w:tr>
      <w:tr w:rsidR="00EF5456" w:rsidRPr="00962B40" w14:paraId="473596A7" w14:textId="77777777" w:rsidTr="0044362D">
        <w:tc>
          <w:tcPr>
            <w:tcW w:w="8828" w:type="dxa"/>
          </w:tcPr>
          <w:p w14:paraId="7AA5D6FD"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Cubrebocas</w:t>
            </w:r>
          </w:p>
        </w:tc>
      </w:tr>
      <w:tr w:rsidR="00EF5456" w:rsidRPr="00962B40" w14:paraId="7CA553DB" w14:textId="77777777" w:rsidTr="0044362D">
        <w:tc>
          <w:tcPr>
            <w:tcW w:w="8828" w:type="dxa"/>
          </w:tcPr>
          <w:p w14:paraId="6DE1707D"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Guantes de Nitrilo</w:t>
            </w:r>
          </w:p>
        </w:tc>
      </w:tr>
      <w:tr w:rsidR="00EF5456" w:rsidRPr="00962B40" w14:paraId="2220949F" w14:textId="77777777" w:rsidTr="0044362D">
        <w:tc>
          <w:tcPr>
            <w:tcW w:w="8828" w:type="dxa"/>
          </w:tcPr>
          <w:p w14:paraId="6D8F00DA"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Termohigrómetros</w:t>
            </w:r>
          </w:p>
        </w:tc>
      </w:tr>
      <w:tr w:rsidR="00EF5456" w:rsidRPr="00962B40" w14:paraId="2B848F12" w14:textId="77777777" w:rsidTr="0044362D">
        <w:tc>
          <w:tcPr>
            <w:tcW w:w="8828" w:type="dxa"/>
          </w:tcPr>
          <w:p w14:paraId="56F2611E"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Fajas</w:t>
            </w:r>
          </w:p>
        </w:tc>
      </w:tr>
      <w:tr w:rsidR="00EF5456" w:rsidRPr="00962B40" w14:paraId="7602D6FF" w14:textId="77777777" w:rsidTr="0044362D">
        <w:tc>
          <w:tcPr>
            <w:tcW w:w="8828" w:type="dxa"/>
          </w:tcPr>
          <w:p w14:paraId="177170D8" w14:textId="77777777" w:rsidR="00EF5456" w:rsidRPr="00962B40" w:rsidRDefault="00EF5456" w:rsidP="0044362D">
            <w:pPr>
              <w:jc w:val="both"/>
              <w:rPr>
                <w:rFonts w:ascii="Arial" w:hAnsi="Arial" w:cs="Arial"/>
                <w:sz w:val="24"/>
                <w:szCs w:val="24"/>
              </w:rPr>
            </w:pPr>
            <w:r w:rsidRPr="00962B40">
              <w:rPr>
                <w:rFonts w:ascii="Arial" w:hAnsi="Arial" w:cs="Arial"/>
                <w:sz w:val="24"/>
                <w:szCs w:val="24"/>
              </w:rPr>
              <w:t>Señalética</w:t>
            </w:r>
          </w:p>
        </w:tc>
      </w:tr>
      <w:tr w:rsidR="008B08F5" w:rsidRPr="00962B40" w14:paraId="66A724D5" w14:textId="77777777" w:rsidTr="0044362D">
        <w:tc>
          <w:tcPr>
            <w:tcW w:w="8828" w:type="dxa"/>
          </w:tcPr>
          <w:p w14:paraId="490BD996" w14:textId="7BAA944A" w:rsidR="008B08F5" w:rsidRPr="00962B40" w:rsidRDefault="008B08F5" w:rsidP="0044362D">
            <w:pPr>
              <w:jc w:val="both"/>
              <w:rPr>
                <w:rFonts w:ascii="Arial" w:hAnsi="Arial" w:cs="Arial"/>
                <w:sz w:val="24"/>
                <w:szCs w:val="24"/>
              </w:rPr>
            </w:pPr>
            <w:proofErr w:type="spellStart"/>
            <w:r>
              <w:rPr>
                <w:rFonts w:ascii="Arial" w:hAnsi="Arial" w:cs="Arial"/>
                <w:sz w:val="24"/>
                <w:szCs w:val="24"/>
              </w:rPr>
              <w:t>Escaner</w:t>
            </w:r>
            <w:proofErr w:type="spellEnd"/>
            <w:r>
              <w:rPr>
                <w:rFonts w:ascii="Arial" w:hAnsi="Arial" w:cs="Arial"/>
                <w:sz w:val="24"/>
                <w:szCs w:val="24"/>
              </w:rPr>
              <w:t xml:space="preserve"> HP, (adquirido</w:t>
            </w:r>
          </w:p>
        </w:tc>
      </w:tr>
    </w:tbl>
    <w:p w14:paraId="65FEEE3E" w14:textId="77777777" w:rsidR="00EF5456" w:rsidRPr="00962B40" w:rsidRDefault="00EF5456" w:rsidP="00EF5456">
      <w:pPr>
        <w:jc w:val="both"/>
        <w:rPr>
          <w:rFonts w:ascii="Arial" w:hAnsi="Arial" w:cs="Arial"/>
          <w:sz w:val="24"/>
          <w:szCs w:val="24"/>
        </w:rPr>
      </w:pPr>
    </w:p>
    <w:p w14:paraId="0006B93D" w14:textId="1F9E87F2" w:rsidR="00EF5456" w:rsidRDefault="00EF5456" w:rsidP="00EF5456">
      <w:pPr>
        <w:tabs>
          <w:tab w:val="left" w:pos="5071"/>
        </w:tabs>
        <w:jc w:val="both"/>
        <w:rPr>
          <w:rFonts w:ascii="Arial" w:hAnsi="Arial" w:cs="Arial"/>
          <w:b/>
          <w:bCs/>
          <w:sz w:val="24"/>
          <w:szCs w:val="24"/>
        </w:rPr>
      </w:pPr>
    </w:p>
    <w:p w14:paraId="1FD20730" w14:textId="576A7FB9" w:rsidR="00F737A0" w:rsidRDefault="00F737A0" w:rsidP="00EF5456">
      <w:pPr>
        <w:tabs>
          <w:tab w:val="left" w:pos="5071"/>
        </w:tabs>
        <w:jc w:val="both"/>
        <w:rPr>
          <w:rFonts w:ascii="Arial" w:hAnsi="Arial" w:cs="Arial"/>
          <w:b/>
          <w:bCs/>
          <w:sz w:val="24"/>
          <w:szCs w:val="24"/>
        </w:rPr>
      </w:pPr>
    </w:p>
    <w:p w14:paraId="2BB2BA65" w14:textId="02A57489" w:rsidR="00F737A0" w:rsidRDefault="00F737A0" w:rsidP="00EF5456">
      <w:pPr>
        <w:tabs>
          <w:tab w:val="left" w:pos="5071"/>
        </w:tabs>
        <w:jc w:val="both"/>
        <w:rPr>
          <w:rFonts w:ascii="Arial" w:hAnsi="Arial" w:cs="Arial"/>
          <w:b/>
          <w:bCs/>
          <w:sz w:val="24"/>
          <w:szCs w:val="24"/>
        </w:rPr>
      </w:pPr>
    </w:p>
    <w:p w14:paraId="207455F5" w14:textId="2A125599" w:rsidR="00F737A0" w:rsidRDefault="00F737A0" w:rsidP="00EF5456">
      <w:pPr>
        <w:tabs>
          <w:tab w:val="left" w:pos="5071"/>
        </w:tabs>
        <w:jc w:val="both"/>
        <w:rPr>
          <w:rFonts w:ascii="Arial" w:hAnsi="Arial" w:cs="Arial"/>
          <w:b/>
          <w:bCs/>
          <w:sz w:val="24"/>
          <w:szCs w:val="24"/>
        </w:rPr>
      </w:pPr>
    </w:p>
    <w:p w14:paraId="1C6AA4E7" w14:textId="4244EEFC" w:rsidR="00F737A0" w:rsidRDefault="00F737A0" w:rsidP="00EF5456">
      <w:pPr>
        <w:tabs>
          <w:tab w:val="left" w:pos="5071"/>
        </w:tabs>
        <w:jc w:val="both"/>
        <w:rPr>
          <w:rFonts w:ascii="Arial" w:hAnsi="Arial" w:cs="Arial"/>
          <w:b/>
          <w:bCs/>
          <w:sz w:val="24"/>
          <w:szCs w:val="24"/>
        </w:rPr>
      </w:pPr>
    </w:p>
    <w:p w14:paraId="699114CF" w14:textId="77777777" w:rsidR="00F737A0" w:rsidRPr="00962B40" w:rsidRDefault="00F737A0" w:rsidP="00EF5456">
      <w:pPr>
        <w:tabs>
          <w:tab w:val="left" w:pos="5071"/>
        </w:tabs>
        <w:jc w:val="both"/>
        <w:rPr>
          <w:rFonts w:ascii="Arial" w:hAnsi="Arial" w:cs="Arial"/>
          <w:b/>
          <w:bCs/>
          <w:sz w:val="24"/>
          <w:szCs w:val="24"/>
        </w:rPr>
      </w:pPr>
    </w:p>
    <w:p w14:paraId="1CFCFE2D" w14:textId="77777777" w:rsidR="00EF5456" w:rsidRPr="00962B40" w:rsidRDefault="00EF5456" w:rsidP="00EF5456">
      <w:pPr>
        <w:tabs>
          <w:tab w:val="left" w:pos="5071"/>
        </w:tabs>
        <w:jc w:val="both"/>
        <w:rPr>
          <w:rFonts w:ascii="Arial" w:hAnsi="Arial" w:cs="Arial"/>
          <w:b/>
          <w:bCs/>
          <w:color w:val="806000" w:themeColor="accent4" w:themeShade="80"/>
          <w:sz w:val="24"/>
          <w:szCs w:val="24"/>
        </w:rPr>
      </w:pPr>
      <w:r w:rsidRPr="00962B40">
        <w:rPr>
          <w:rFonts w:ascii="Arial" w:hAnsi="Arial" w:cs="Arial"/>
          <w:b/>
          <w:bCs/>
          <w:color w:val="806000" w:themeColor="accent4" w:themeShade="80"/>
          <w:sz w:val="24"/>
          <w:szCs w:val="24"/>
        </w:rPr>
        <w:lastRenderedPageBreak/>
        <w:t>IX. Cronograma de Actividades.</w:t>
      </w:r>
    </w:p>
    <w:p w14:paraId="30AFD3D9" w14:textId="77777777" w:rsidR="00EF5456" w:rsidRPr="00962B40" w:rsidRDefault="00EF5456" w:rsidP="00EF5456">
      <w:pPr>
        <w:tabs>
          <w:tab w:val="left" w:pos="5071"/>
        </w:tabs>
        <w:jc w:val="both"/>
        <w:rPr>
          <w:rFonts w:ascii="Arial" w:hAnsi="Arial" w:cs="Arial"/>
          <w:b/>
          <w:bCs/>
          <w:sz w:val="24"/>
          <w:szCs w:val="24"/>
        </w:rPr>
      </w:pPr>
      <w:r w:rsidRPr="00962B40">
        <w:rPr>
          <w:noProof/>
        </w:rPr>
        <w:drawing>
          <wp:inline distT="0" distB="0" distL="0" distR="0" wp14:anchorId="162BD6F9" wp14:editId="600FD55F">
            <wp:extent cx="7246044" cy="5008759"/>
            <wp:effectExtent l="0" t="0" r="0" b="1905"/>
            <wp:docPr id="66797259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251137" cy="5012279"/>
                    </a:xfrm>
                    <a:prstGeom prst="rect">
                      <a:avLst/>
                    </a:prstGeom>
                    <a:noFill/>
                    <a:ln>
                      <a:noFill/>
                    </a:ln>
                  </pic:spPr>
                </pic:pic>
              </a:graphicData>
            </a:graphic>
          </wp:inline>
        </w:drawing>
      </w:r>
    </w:p>
    <w:p w14:paraId="645F0897" w14:textId="77777777" w:rsidR="00EF5456" w:rsidRPr="00962B40" w:rsidRDefault="00EF5456" w:rsidP="00EF5456">
      <w:pPr>
        <w:tabs>
          <w:tab w:val="left" w:pos="5071"/>
        </w:tabs>
        <w:jc w:val="both"/>
        <w:rPr>
          <w:rFonts w:ascii="Arial" w:hAnsi="Arial" w:cs="Arial"/>
          <w:b/>
          <w:bCs/>
          <w:sz w:val="24"/>
          <w:szCs w:val="24"/>
        </w:rPr>
      </w:pPr>
      <w:r w:rsidRPr="00962B40">
        <w:rPr>
          <w:rFonts w:ascii="Arial" w:hAnsi="Arial" w:cs="Arial"/>
          <w:b/>
          <w:bCs/>
          <w:noProof/>
          <w:sz w:val="24"/>
          <w:szCs w:val="24"/>
        </w:rPr>
        <w:lastRenderedPageBreak/>
        <w:drawing>
          <wp:inline distT="0" distB="0" distL="0" distR="0" wp14:anchorId="59DA6C9D" wp14:editId="6215681D">
            <wp:extent cx="2213002" cy="969717"/>
            <wp:effectExtent l="0" t="0" r="0" b="1905"/>
            <wp:docPr id="1541983028" name="Imagen 1" descr="Texto,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983028" name="Imagen 1" descr="Texto, Tabla&#10;&#10;Descripción generada automáticamente"/>
                    <pic:cNvPicPr/>
                  </pic:nvPicPr>
                  <pic:blipFill>
                    <a:blip r:embed="rId14"/>
                    <a:stretch>
                      <a:fillRect/>
                    </a:stretch>
                  </pic:blipFill>
                  <pic:spPr>
                    <a:xfrm>
                      <a:off x="0" y="0"/>
                      <a:ext cx="2233344" cy="978631"/>
                    </a:xfrm>
                    <a:prstGeom prst="rect">
                      <a:avLst/>
                    </a:prstGeom>
                  </pic:spPr>
                </pic:pic>
              </a:graphicData>
            </a:graphic>
          </wp:inline>
        </w:drawing>
      </w:r>
    </w:p>
    <w:p w14:paraId="2CD9841D" w14:textId="77777777" w:rsidR="00EF5456" w:rsidRPr="00962B40" w:rsidRDefault="00EF5456" w:rsidP="00EF5456">
      <w:pPr>
        <w:tabs>
          <w:tab w:val="left" w:pos="5071"/>
        </w:tabs>
        <w:jc w:val="both"/>
        <w:rPr>
          <w:rFonts w:ascii="Arial" w:hAnsi="Arial" w:cs="Arial"/>
          <w:b/>
          <w:bCs/>
          <w:sz w:val="24"/>
          <w:szCs w:val="24"/>
        </w:rPr>
      </w:pPr>
    </w:p>
    <w:p w14:paraId="45DAEFDE" w14:textId="028276C0" w:rsidR="00EF5456" w:rsidRPr="00F737A0" w:rsidRDefault="00EF5456" w:rsidP="00F737A0">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b/>
          <w:color w:val="806000" w:themeColor="accent4" w:themeShade="80"/>
          <w:sz w:val="24"/>
          <w:szCs w:val="24"/>
        </w:rPr>
        <w:t>X.- Costos</w:t>
      </w:r>
    </w:p>
    <w:p w14:paraId="1FFAB698" w14:textId="5A798224"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Los recursos financieros que se erogan para cumplir con la correcta gestión de los archivos están considerados en el presupuesto de Egresos del Museo del Virreinato. Para el ´presente año 2024, se contemplarán los Decretos de Austeridad Federal y Estatal, para racionalizar y optimizar el ejercicio de estos.</w:t>
      </w:r>
    </w:p>
    <w:p w14:paraId="703B9C23" w14:textId="621244CB" w:rsidR="00EF5456" w:rsidRDefault="00EF5456" w:rsidP="00EF5456">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b/>
          <w:color w:val="806000" w:themeColor="accent4" w:themeShade="80"/>
          <w:sz w:val="24"/>
          <w:szCs w:val="24"/>
        </w:rPr>
        <w:t>XI.- Coordinación y Comunicación</w:t>
      </w:r>
    </w:p>
    <w:p w14:paraId="2BCFE19B"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La Coordinación y Comunicación para llevar a cabo las tareas y quehacer archivístico, será a través de reuniones de trabajo, asesoría, supervisión, envío de información por correo electrónico con los diferentes Enlaces de las Unidades Administrativas o de Trámite, con el Archivo de Concentración, para poder dar cumplimiento a sus requerimientos.</w:t>
      </w:r>
    </w:p>
    <w:p w14:paraId="0B9248FF" w14:textId="77777777" w:rsidR="00EF5456" w:rsidRPr="00962B40" w:rsidRDefault="00EF5456" w:rsidP="00EF5456">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b/>
          <w:color w:val="806000" w:themeColor="accent4" w:themeShade="80"/>
          <w:sz w:val="24"/>
          <w:szCs w:val="24"/>
        </w:rPr>
        <w:t>XII.- Administración del Programa Anual de Desarrollo Archivístico.</w:t>
      </w:r>
    </w:p>
    <w:p w14:paraId="57EA18BB"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Elaborar y presentar el Programa Anual de Desarrollo Archivístico (PADA) para su aprobación y posterior publicación el portal de internet de la institución, en cumplimiento a las normativas vigentes.</w:t>
      </w:r>
    </w:p>
    <w:p w14:paraId="4AC3B478"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El impacto o beneficios que se esperan alcanzar en el plazo de un año, plasmados en el presente PADA, se darán a través de la participación conjunta entre el Grupo Interdisciplinario, Área Coordinadora de Archivos, titulares de las Unidades Administrativas, los responsables de los Archivos de Trámite en cada Unidad Administrativa serán el enlace directo con el Área Coordinadora de Archivos.</w:t>
      </w:r>
    </w:p>
    <w:p w14:paraId="50EF4712"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Correcta formalización y operación del Grupo Interdisciplinario, que a través de las sesiones o reuniones de trabajo se llevarán acuerdo los acuerdos y compromisos establecidos.</w:t>
      </w:r>
    </w:p>
    <w:p w14:paraId="06865176" w14:textId="77777777" w:rsidR="00EF5456" w:rsidRPr="00962B40" w:rsidRDefault="00EF5456" w:rsidP="00EF5456">
      <w:pPr>
        <w:jc w:val="both"/>
        <w:rPr>
          <w:rFonts w:ascii="Arial" w:eastAsia="Times New Roman" w:hAnsi="Arial" w:cs="Arial"/>
          <w:sz w:val="24"/>
          <w:szCs w:val="24"/>
        </w:rPr>
      </w:pPr>
    </w:p>
    <w:p w14:paraId="6328ED99" w14:textId="77777777" w:rsidR="00F737A0" w:rsidRDefault="00F737A0" w:rsidP="00F737A0">
      <w:pPr>
        <w:spacing w:after="0" w:line="240" w:lineRule="auto"/>
        <w:contextualSpacing/>
        <w:rPr>
          <w:rFonts w:ascii="Arial" w:eastAsia="Times New Roman" w:hAnsi="Arial" w:cs="Arial"/>
          <w:b/>
          <w:color w:val="806000" w:themeColor="accent4" w:themeShade="80"/>
          <w:sz w:val="24"/>
          <w:szCs w:val="24"/>
        </w:rPr>
      </w:pPr>
    </w:p>
    <w:p w14:paraId="668DA273" w14:textId="629E04BF" w:rsidR="00F737A0" w:rsidRDefault="00EF5456" w:rsidP="00F737A0">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b/>
          <w:color w:val="806000" w:themeColor="accent4" w:themeShade="80"/>
          <w:sz w:val="24"/>
          <w:szCs w:val="24"/>
        </w:rPr>
        <w:lastRenderedPageBreak/>
        <w:t>XIII. Reporte de Avances.</w:t>
      </w:r>
    </w:p>
    <w:p w14:paraId="7776F879" w14:textId="0999A64E" w:rsidR="00EF5456" w:rsidRPr="00F737A0" w:rsidRDefault="00EF5456" w:rsidP="00F737A0">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sz w:val="24"/>
          <w:szCs w:val="24"/>
        </w:rPr>
        <w:t>Se elaborará un informe anual sobre el nivel de cumplimiento, actividades realizadas, resultados, problemáticas presentadas y acciones a seguir.</w:t>
      </w:r>
    </w:p>
    <w:p w14:paraId="2FC0B2DE" w14:textId="77777777" w:rsidR="00F737A0" w:rsidRDefault="00F737A0" w:rsidP="00EF5456">
      <w:pPr>
        <w:spacing w:after="0" w:line="240" w:lineRule="auto"/>
        <w:contextualSpacing/>
        <w:rPr>
          <w:rFonts w:ascii="Arial" w:eastAsia="Times New Roman" w:hAnsi="Arial" w:cs="Arial"/>
          <w:sz w:val="24"/>
          <w:szCs w:val="24"/>
        </w:rPr>
      </w:pPr>
    </w:p>
    <w:p w14:paraId="3D457032" w14:textId="342FFB19" w:rsidR="00EF5456" w:rsidRPr="00962B40" w:rsidRDefault="00EF5456" w:rsidP="00EF5456">
      <w:pPr>
        <w:spacing w:after="0" w:line="240" w:lineRule="auto"/>
        <w:contextualSpacing/>
        <w:rPr>
          <w:rFonts w:ascii="Arial" w:eastAsia="Times New Roman" w:hAnsi="Arial" w:cs="Arial"/>
          <w:b/>
          <w:color w:val="806000" w:themeColor="accent4" w:themeShade="80"/>
          <w:sz w:val="24"/>
          <w:szCs w:val="24"/>
        </w:rPr>
      </w:pPr>
      <w:r w:rsidRPr="00962B40">
        <w:rPr>
          <w:rFonts w:ascii="Arial" w:eastAsia="Times New Roman" w:hAnsi="Arial" w:cs="Arial"/>
          <w:b/>
          <w:color w:val="806000" w:themeColor="accent4" w:themeShade="80"/>
          <w:sz w:val="24"/>
          <w:szCs w:val="24"/>
        </w:rPr>
        <w:t>IXV. Control de Cambios.</w:t>
      </w:r>
    </w:p>
    <w:p w14:paraId="6795EA70" w14:textId="77777777" w:rsidR="00EF5456" w:rsidRPr="00962B40" w:rsidRDefault="00EF5456" w:rsidP="00EF5456">
      <w:pPr>
        <w:jc w:val="both"/>
        <w:rPr>
          <w:rFonts w:ascii="Arial" w:eastAsia="Times New Roman" w:hAnsi="Arial" w:cs="Arial"/>
          <w:sz w:val="24"/>
          <w:szCs w:val="24"/>
        </w:rPr>
      </w:pPr>
      <w:r w:rsidRPr="00962B40">
        <w:rPr>
          <w:rFonts w:ascii="Arial" w:eastAsia="Times New Roman" w:hAnsi="Arial" w:cs="Arial"/>
          <w:sz w:val="24"/>
          <w:szCs w:val="24"/>
        </w:rPr>
        <w:t>En caso necesario el presente instrumento podrá modificarse con la intervención del Grupo Interdisciplinario, adecuando así los tiempos y/o recursos necesarios durante la ejecución de las actividades.</w:t>
      </w:r>
    </w:p>
    <w:p w14:paraId="19E17A3C" w14:textId="77777777" w:rsidR="00F737A0" w:rsidRDefault="00EF5456" w:rsidP="00F737A0">
      <w:pPr>
        <w:spacing w:after="0"/>
        <w:jc w:val="both"/>
        <w:rPr>
          <w:rFonts w:ascii="Arial" w:eastAsia="Times New Roman" w:hAnsi="Arial" w:cs="Arial"/>
          <w:color w:val="806000" w:themeColor="accent4" w:themeShade="80"/>
          <w:sz w:val="24"/>
          <w:szCs w:val="24"/>
        </w:rPr>
      </w:pPr>
      <w:r w:rsidRPr="00962B40">
        <w:rPr>
          <w:rFonts w:ascii="Arial" w:eastAsia="Times New Roman" w:hAnsi="Arial" w:cs="Arial"/>
          <w:b/>
          <w:color w:val="806000" w:themeColor="accent4" w:themeShade="80"/>
          <w:sz w:val="24"/>
          <w:szCs w:val="24"/>
        </w:rPr>
        <w:t xml:space="preserve">XV. Planificar Gestión de Riesgos. </w:t>
      </w:r>
    </w:p>
    <w:p w14:paraId="73AF7D7B" w14:textId="619485E5" w:rsidR="00EF5456" w:rsidRPr="00F737A0" w:rsidRDefault="00EF5456" w:rsidP="00F737A0">
      <w:pPr>
        <w:spacing w:after="0"/>
        <w:jc w:val="both"/>
        <w:rPr>
          <w:rFonts w:ascii="Arial" w:eastAsia="Times New Roman" w:hAnsi="Arial" w:cs="Arial"/>
          <w:color w:val="806000" w:themeColor="accent4" w:themeShade="80"/>
          <w:sz w:val="24"/>
          <w:szCs w:val="24"/>
        </w:rPr>
      </w:pPr>
      <w:r w:rsidRPr="00962B40">
        <w:rPr>
          <w:rFonts w:ascii="Arial" w:eastAsia="Times New Roman" w:hAnsi="Arial" w:cs="Arial"/>
          <w:sz w:val="24"/>
          <w:szCs w:val="24"/>
        </w:rPr>
        <w:t>Se trata de identificar, evaluar, jerarquizar, controlar y dar seguimiento a los eventos y amenazas que obstaculicen o impidan el cumplimiento de los objetivos y metas.</w:t>
      </w:r>
    </w:p>
    <w:p w14:paraId="2E6DBD36" w14:textId="77777777" w:rsidR="00EF5456" w:rsidRPr="00962B40" w:rsidRDefault="00EF5456" w:rsidP="00EF5456">
      <w:pPr>
        <w:jc w:val="both"/>
        <w:rPr>
          <w:rFonts w:ascii="Arial" w:eastAsia="Times New Roman" w:hAnsi="Arial" w:cs="Arial"/>
          <w:sz w:val="24"/>
          <w:szCs w:val="24"/>
        </w:rPr>
      </w:pPr>
    </w:p>
    <w:tbl>
      <w:tblPr>
        <w:tblStyle w:val="Tablaconcuadrcula"/>
        <w:tblW w:w="0" w:type="auto"/>
        <w:tblLook w:val="04A0" w:firstRow="1" w:lastRow="0" w:firstColumn="1" w:lastColumn="0" w:noHBand="0" w:noVBand="1"/>
      </w:tblPr>
      <w:tblGrid>
        <w:gridCol w:w="3964"/>
        <w:gridCol w:w="3686"/>
        <w:gridCol w:w="4678"/>
      </w:tblGrid>
      <w:tr w:rsidR="00EF5456" w:rsidRPr="00962B40" w14:paraId="3B5EB4DD" w14:textId="77777777" w:rsidTr="0044362D">
        <w:tc>
          <w:tcPr>
            <w:tcW w:w="3964" w:type="dxa"/>
          </w:tcPr>
          <w:p w14:paraId="43009F40" w14:textId="77777777" w:rsidR="00EF5456" w:rsidRPr="00962B40" w:rsidRDefault="00EF5456" w:rsidP="0044362D">
            <w:pPr>
              <w:jc w:val="both"/>
              <w:rPr>
                <w:rFonts w:ascii="Arial" w:eastAsia="Times New Roman" w:hAnsi="Arial" w:cs="Arial"/>
                <w:b/>
                <w:sz w:val="24"/>
                <w:szCs w:val="24"/>
              </w:rPr>
            </w:pPr>
            <w:r w:rsidRPr="00962B40">
              <w:rPr>
                <w:rFonts w:ascii="Arial" w:eastAsia="Times New Roman" w:hAnsi="Arial" w:cs="Arial"/>
                <w:b/>
                <w:sz w:val="24"/>
                <w:szCs w:val="24"/>
              </w:rPr>
              <w:t>RIESGO</w:t>
            </w:r>
          </w:p>
        </w:tc>
        <w:tc>
          <w:tcPr>
            <w:tcW w:w="3686" w:type="dxa"/>
          </w:tcPr>
          <w:p w14:paraId="09EA43E7" w14:textId="77777777" w:rsidR="00EF5456" w:rsidRPr="00962B40" w:rsidRDefault="00EF5456" w:rsidP="0044362D">
            <w:pPr>
              <w:jc w:val="both"/>
              <w:rPr>
                <w:rFonts w:ascii="Arial" w:eastAsia="Times New Roman" w:hAnsi="Arial" w:cs="Arial"/>
                <w:b/>
                <w:sz w:val="24"/>
                <w:szCs w:val="24"/>
              </w:rPr>
            </w:pPr>
            <w:r w:rsidRPr="00962B40">
              <w:rPr>
                <w:rFonts w:ascii="Arial" w:eastAsia="Times New Roman" w:hAnsi="Arial" w:cs="Arial"/>
                <w:b/>
                <w:sz w:val="24"/>
                <w:szCs w:val="24"/>
              </w:rPr>
              <w:t>POSIBLES FACTORES DE RIESGO</w:t>
            </w:r>
          </w:p>
        </w:tc>
        <w:tc>
          <w:tcPr>
            <w:tcW w:w="4678" w:type="dxa"/>
          </w:tcPr>
          <w:p w14:paraId="7B3BACBC" w14:textId="77777777" w:rsidR="00EF5456" w:rsidRPr="00962B40" w:rsidRDefault="00EF5456" w:rsidP="0044362D">
            <w:pPr>
              <w:jc w:val="both"/>
              <w:rPr>
                <w:rFonts w:ascii="Arial" w:eastAsia="Times New Roman" w:hAnsi="Arial" w:cs="Arial"/>
                <w:b/>
                <w:sz w:val="24"/>
                <w:szCs w:val="24"/>
              </w:rPr>
            </w:pPr>
            <w:r w:rsidRPr="00962B40">
              <w:rPr>
                <w:rFonts w:ascii="Arial" w:eastAsia="Times New Roman" w:hAnsi="Arial" w:cs="Arial"/>
                <w:b/>
                <w:sz w:val="24"/>
                <w:szCs w:val="24"/>
              </w:rPr>
              <w:t>ESTRATEGIAS PARA SU CONTROL</w:t>
            </w:r>
          </w:p>
        </w:tc>
      </w:tr>
      <w:tr w:rsidR="00EF5456" w:rsidRPr="00962B40" w14:paraId="44122F15" w14:textId="77777777" w:rsidTr="0044362D">
        <w:tc>
          <w:tcPr>
            <w:tcW w:w="3964" w:type="dxa"/>
          </w:tcPr>
          <w:p w14:paraId="3B4D52D5"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t>No tener actualizados los instrumentos de Control y Consulta Archivísticos como lo son el Cuadro General de Clasificación Archivística, Catálogo de Disposición Documental, Inventarios, Guías Simples.</w:t>
            </w:r>
          </w:p>
        </w:tc>
        <w:tc>
          <w:tcPr>
            <w:tcW w:w="3686" w:type="dxa"/>
          </w:tcPr>
          <w:p w14:paraId="206F9956"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t>Las Unidades Administrativas siguen aplicando las series documentales comunes y no sustantivas propias de sus funciones y atribuciones y esto dificulta la recuperación de la información.</w:t>
            </w:r>
          </w:p>
        </w:tc>
        <w:tc>
          <w:tcPr>
            <w:tcW w:w="4678" w:type="dxa"/>
          </w:tcPr>
          <w:p w14:paraId="745A378E"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t>Elaborar y presentar ante CEGAIP-SEDA las actualizaciones correspondientes para la aprobación de las modificaciones.</w:t>
            </w:r>
          </w:p>
        </w:tc>
      </w:tr>
      <w:tr w:rsidR="00EF5456" w:rsidRPr="00962B40" w14:paraId="6B1ED990" w14:textId="77777777" w:rsidTr="0044362D">
        <w:tc>
          <w:tcPr>
            <w:tcW w:w="3964" w:type="dxa"/>
          </w:tcPr>
          <w:p w14:paraId="08A51312"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t>Falta de capacitaciones impartidas por las instancias correspondientes en materia de Archivos.</w:t>
            </w:r>
          </w:p>
        </w:tc>
        <w:tc>
          <w:tcPr>
            <w:tcW w:w="3686" w:type="dxa"/>
          </w:tcPr>
          <w:p w14:paraId="3FD9563B"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t>Que las unidades Administrativas no cuenten con los conocimientos y habilidades adecuados para desarrollar sus funciones y atribuciones de acuerdo a la normatividad aplicable.</w:t>
            </w:r>
          </w:p>
        </w:tc>
        <w:tc>
          <w:tcPr>
            <w:tcW w:w="4678" w:type="dxa"/>
          </w:tcPr>
          <w:p w14:paraId="0FCDF439"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t>Solicitar los cursos a distancia impartidos por INAI-CEGAIP, proporcionando correos electrónicos de las diferentes áreas administrativas para que todos estén enterados y asistan conjuntamente a dichas reuniones</w:t>
            </w:r>
          </w:p>
        </w:tc>
      </w:tr>
      <w:tr w:rsidR="00EF5456" w:rsidRPr="00962B40" w14:paraId="5F5C207A" w14:textId="77777777" w:rsidTr="0044362D">
        <w:tc>
          <w:tcPr>
            <w:tcW w:w="3964" w:type="dxa"/>
          </w:tcPr>
          <w:p w14:paraId="198D659F"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t xml:space="preserve">Desconocimiento de los titulares de las áreas administrativas de la importancia que tiene el quehacer </w:t>
            </w:r>
            <w:r w:rsidRPr="00962B40">
              <w:rPr>
                <w:rFonts w:ascii="Arial" w:eastAsia="Times New Roman" w:hAnsi="Arial" w:cs="Arial"/>
                <w:sz w:val="24"/>
                <w:szCs w:val="24"/>
              </w:rPr>
              <w:lastRenderedPageBreak/>
              <w:t>archivístico en las Instituciones, todo esto sustentado en las Leyes y Normatividad Vigente.</w:t>
            </w:r>
          </w:p>
        </w:tc>
        <w:tc>
          <w:tcPr>
            <w:tcW w:w="3686" w:type="dxa"/>
          </w:tcPr>
          <w:p w14:paraId="6080456C"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lastRenderedPageBreak/>
              <w:t>Sanciones administrativas.</w:t>
            </w:r>
          </w:p>
          <w:p w14:paraId="33F43712"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lastRenderedPageBreak/>
              <w:t>Dinero que se puede administrar de mejor manera para la correcta función del Archivo.</w:t>
            </w:r>
          </w:p>
        </w:tc>
        <w:tc>
          <w:tcPr>
            <w:tcW w:w="4678" w:type="dxa"/>
          </w:tcPr>
          <w:p w14:paraId="3AF18A87" w14:textId="77777777" w:rsidR="00EF5456" w:rsidRPr="00962B40" w:rsidRDefault="00EF5456" w:rsidP="0044362D">
            <w:pPr>
              <w:jc w:val="both"/>
              <w:rPr>
                <w:rFonts w:ascii="Arial" w:eastAsia="Times New Roman" w:hAnsi="Arial" w:cs="Arial"/>
                <w:sz w:val="24"/>
                <w:szCs w:val="24"/>
              </w:rPr>
            </w:pPr>
            <w:r w:rsidRPr="00962B40">
              <w:rPr>
                <w:rFonts w:ascii="Arial" w:eastAsia="Times New Roman" w:hAnsi="Arial" w:cs="Arial"/>
                <w:sz w:val="24"/>
                <w:szCs w:val="24"/>
              </w:rPr>
              <w:lastRenderedPageBreak/>
              <w:t>Actualización constante en cuanto a la normatividad vigente.</w:t>
            </w:r>
          </w:p>
        </w:tc>
      </w:tr>
    </w:tbl>
    <w:p w14:paraId="6C56D471" w14:textId="77777777" w:rsidR="00EF5456" w:rsidRPr="00962B40" w:rsidRDefault="00EF5456" w:rsidP="00EF5456">
      <w:pPr>
        <w:rPr>
          <w:rFonts w:ascii="Arial" w:eastAsia="Times New Roman" w:hAnsi="Arial" w:cs="Arial"/>
          <w:sz w:val="24"/>
          <w:szCs w:val="24"/>
        </w:rPr>
      </w:pPr>
    </w:p>
    <w:p w14:paraId="5A20D102" w14:textId="77777777" w:rsidR="00EF5456" w:rsidRPr="00962B40" w:rsidRDefault="00EF5456" w:rsidP="00EF5456">
      <w:pPr>
        <w:jc w:val="center"/>
        <w:rPr>
          <w:rFonts w:ascii="Arial" w:eastAsia="Times New Roman" w:hAnsi="Arial" w:cs="Arial"/>
          <w:sz w:val="24"/>
          <w:szCs w:val="24"/>
        </w:rPr>
      </w:pPr>
      <w:r w:rsidRPr="00962B40">
        <w:rPr>
          <w:rFonts w:ascii="Arial" w:eastAsia="Times New Roman" w:hAnsi="Arial" w:cs="Arial"/>
          <w:sz w:val="24"/>
          <w:szCs w:val="24"/>
        </w:rPr>
        <w:t>Formuló</w:t>
      </w:r>
    </w:p>
    <w:p w14:paraId="37FF318A" w14:textId="77777777" w:rsidR="00EF5456" w:rsidRPr="00962B40" w:rsidRDefault="00EF5456" w:rsidP="00EF5456">
      <w:pPr>
        <w:spacing w:after="0" w:line="240" w:lineRule="auto"/>
        <w:jc w:val="center"/>
        <w:rPr>
          <w:rFonts w:ascii="Arial" w:eastAsia="Times New Roman" w:hAnsi="Arial" w:cs="Arial"/>
          <w:b/>
          <w:sz w:val="24"/>
          <w:szCs w:val="24"/>
        </w:rPr>
      </w:pPr>
      <w:r w:rsidRPr="00962B40">
        <w:rPr>
          <w:rFonts w:ascii="Arial" w:eastAsia="Times New Roman" w:hAnsi="Arial" w:cs="Arial"/>
          <w:b/>
          <w:sz w:val="24"/>
          <w:szCs w:val="24"/>
        </w:rPr>
        <w:t xml:space="preserve">Lic. </w:t>
      </w:r>
      <w:proofErr w:type="spellStart"/>
      <w:r w:rsidRPr="00962B40">
        <w:rPr>
          <w:rFonts w:ascii="Arial" w:eastAsia="Times New Roman" w:hAnsi="Arial" w:cs="Arial"/>
          <w:b/>
          <w:sz w:val="24"/>
          <w:szCs w:val="24"/>
        </w:rPr>
        <w:t>Ilce</w:t>
      </w:r>
      <w:proofErr w:type="spellEnd"/>
      <w:r w:rsidRPr="00962B40">
        <w:rPr>
          <w:rFonts w:ascii="Arial" w:eastAsia="Times New Roman" w:hAnsi="Arial" w:cs="Arial"/>
          <w:b/>
          <w:sz w:val="24"/>
          <w:szCs w:val="24"/>
        </w:rPr>
        <w:t xml:space="preserve"> Florencia Ovalle Martínez</w:t>
      </w:r>
    </w:p>
    <w:p w14:paraId="541C3F9E" w14:textId="77777777" w:rsidR="00EF5456" w:rsidRPr="00962B40" w:rsidRDefault="00EF5456" w:rsidP="00EF5456">
      <w:pPr>
        <w:spacing w:after="0" w:line="240" w:lineRule="auto"/>
        <w:jc w:val="center"/>
        <w:rPr>
          <w:rFonts w:ascii="Arial" w:eastAsia="Times New Roman" w:hAnsi="Arial" w:cs="Arial"/>
          <w:sz w:val="24"/>
          <w:szCs w:val="24"/>
        </w:rPr>
      </w:pPr>
      <w:r w:rsidRPr="00962B40">
        <w:rPr>
          <w:rFonts w:ascii="Arial" w:eastAsia="Times New Roman" w:hAnsi="Arial" w:cs="Arial"/>
          <w:sz w:val="24"/>
          <w:szCs w:val="24"/>
        </w:rPr>
        <w:t>Coordinadora de Archivo del Museo del Virreinato</w:t>
      </w:r>
    </w:p>
    <w:p w14:paraId="5AC16AFC" w14:textId="77777777" w:rsidR="00EF5456" w:rsidRPr="00962B40" w:rsidRDefault="00EF5456" w:rsidP="00EF5456">
      <w:pPr>
        <w:spacing w:after="0" w:line="240" w:lineRule="auto"/>
        <w:jc w:val="center"/>
        <w:rPr>
          <w:rFonts w:ascii="Arial" w:eastAsia="Times New Roman" w:hAnsi="Arial" w:cs="Arial"/>
          <w:sz w:val="24"/>
          <w:szCs w:val="24"/>
        </w:rPr>
      </w:pPr>
    </w:p>
    <w:p w14:paraId="4932368A" w14:textId="77777777" w:rsidR="00EF5456" w:rsidRPr="00962B40" w:rsidRDefault="00EF5456" w:rsidP="00EF5456">
      <w:pPr>
        <w:spacing w:after="0" w:line="240" w:lineRule="auto"/>
        <w:jc w:val="center"/>
        <w:rPr>
          <w:rFonts w:ascii="Arial" w:eastAsia="Times New Roman" w:hAnsi="Arial" w:cs="Arial"/>
          <w:sz w:val="24"/>
          <w:szCs w:val="24"/>
        </w:rPr>
      </w:pPr>
      <w:r w:rsidRPr="00962B40">
        <w:rPr>
          <w:rFonts w:ascii="Arial" w:eastAsia="Times New Roman" w:hAnsi="Arial" w:cs="Arial"/>
          <w:sz w:val="24"/>
          <w:szCs w:val="24"/>
        </w:rPr>
        <w:t>__________________</w:t>
      </w:r>
    </w:p>
    <w:p w14:paraId="266322AD" w14:textId="77777777" w:rsidR="00EF5456" w:rsidRPr="00962B40" w:rsidRDefault="00EF5456" w:rsidP="00EF5456">
      <w:pPr>
        <w:jc w:val="center"/>
        <w:rPr>
          <w:rFonts w:ascii="Arial" w:eastAsia="Times New Roman" w:hAnsi="Arial" w:cs="Arial"/>
          <w:sz w:val="24"/>
          <w:szCs w:val="24"/>
        </w:rPr>
      </w:pPr>
    </w:p>
    <w:p w14:paraId="443618D2" w14:textId="77777777" w:rsidR="00EF5456" w:rsidRPr="00962B40" w:rsidRDefault="00EF5456" w:rsidP="00EF5456">
      <w:pPr>
        <w:jc w:val="center"/>
        <w:rPr>
          <w:rFonts w:ascii="Arial" w:eastAsia="Times New Roman" w:hAnsi="Arial" w:cs="Arial"/>
          <w:sz w:val="24"/>
          <w:szCs w:val="24"/>
        </w:rPr>
      </w:pPr>
      <w:r w:rsidRPr="00962B40">
        <w:rPr>
          <w:rFonts w:ascii="Arial" w:eastAsia="Times New Roman" w:hAnsi="Arial" w:cs="Arial"/>
          <w:sz w:val="24"/>
          <w:szCs w:val="24"/>
        </w:rPr>
        <w:t>Revisó</w:t>
      </w:r>
    </w:p>
    <w:p w14:paraId="6A62FF30" w14:textId="77777777" w:rsidR="00EF5456" w:rsidRPr="00962B40" w:rsidRDefault="00EF5456" w:rsidP="00EF5456">
      <w:pPr>
        <w:spacing w:after="0"/>
        <w:jc w:val="center"/>
        <w:rPr>
          <w:rFonts w:ascii="Arial" w:eastAsia="Times New Roman" w:hAnsi="Arial" w:cs="Arial"/>
          <w:b/>
          <w:sz w:val="24"/>
          <w:szCs w:val="24"/>
        </w:rPr>
      </w:pPr>
      <w:r w:rsidRPr="00962B40">
        <w:rPr>
          <w:rFonts w:ascii="Arial" w:eastAsia="Times New Roman" w:hAnsi="Arial" w:cs="Arial"/>
          <w:b/>
          <w:sz w:val="24"/>
          <w:szCs w:val="24"/>
        </w:rPr>
        <w:t>Ing. Ramón González Alonso</w:t>
      </w:r>
    </w:p>
    <w:p w14:paraId="72E4B88A" w14:textId="77777777" w:rsidR="00EF5456" w:rsidRPr="00962B40" w:rsidRDefault="00EF5456" w:rsidP="00EF5456">
      <w:pPr>
        <w:spacing w:after="0"/>
        <w:jc w:val="center"/>
        <w:rPr>
          <w:rFonts w:ascii="Arial" w:eastAsia="Times New Roman" w:hAnsi="Arial" w:cs="Arial"/>
          <w:sz w:val="24"/>
          <w:szCs w:val="24"/>
        </w:rPr>
      </w:pPr>
      <w:r w:rsidRPr="00962B40">
        <w:rPr>
          <w:rFonts w:ascii="Arial" w:eastAsia="Times New Roman" w:hAnsi="Arial" w:cs="Arial"/>
          <w:sz w:val="24"/>
          <w:szCs w:val="24"/>
        </w:rPr>
        <w:t>Titular de la Unidad de Transparencia del Museo del Virreinato</w:t>
      </w:r>
    </w:p>
    <w:p w14:paraId="4B8879BF" w14:textId="77777777" w:rsidR="00EF5456" w:rsidRPr="00962B40" w:rsidRDefault="00EF5456" w:rsidP="00EF5456">
      <w:pPr>
        <w:rPr>
          <w:rFonts w:ascii="Arial" w:eastAsia="Times New Roman" w:hAnsi="Arial" w:cs="Arial"/>
          <w:sz w:val="24"/>
          <w:szCs w:val="24"/>
        </w:rPr>
      </w:pPr>
    </w:p>
    <w:p w14:paraId="4DB378B7" w14:textId="77777777" w:rsidR="00EF5456" w:rsidRPr="00962B40" w:rsidRDefault="00EF5456" w:rsidP="00EF5456">
      <w:pPr>
        <w:jc w:val="center"/>
        <w:rPr>
          <w:rFonts w:ascii="Arial" w:eastAsia="Times New Roman" w:hAnsi="Arial" w:cs="Arial"/>
          <w:sz w:val="24"/>
          <w:szCs w:val="24"/>
        </w:rPr>
      </w:pPr>
      <w:r w:rsidRPr="00962B40">
        <w:rPr>
          <w:rFonts w:ascii="Arial" w:eastAsia="Times New Roman" w:hAnsi="Arial" w:cs="Arial"/>
          <w:sz w:val="24"/>
          <w:szCs w:val="24"/>
        </w:rPr>
        <w:t>____________________</w:t>
      </w:r>
    </w:p>
    <w:p w14:paraId="792AE6A2" w14:textId="77777777" w:rsidR="00EF5456" w:rsidRPr="00962B40" w:rsidRDefault="00EF5456" w:rsidP="00EF5456">
      <w:pPr>
        <w:jc w:val="center"/>
        <w:rPr>
          <w:rFonts w:ascii="Arial" w:eastAsia="Times New Roman" w:hAnsi="Arial" w:cs="Arial"/>
          <w:sz w:val="24"/>
          <w:szCs w:val="24"/>
        </w:rPr>
      </w:pPr>
      <w:r w:rsidRPr="00962B40">
        <w:rPr>
          <w:rFonts w:ascii="Arial" w:eastAsia="Times New Roman" w:hAnsi="Arial" w:cs="Arial"/>
          <w:sz w:val="24"/>
          <w:szCs w:val="24"/>
        </w:rPr>
        <w:t>Autorizó</w:t>
      </w:r>
    </w:p>
    <w:p w14:paraId="7DDED31A" w14:textId="77777777" w:rsidR="00EF5456" w:rsidRPr="00962B40" w:rsidRDefault="00EF5456" w:rsidP="00EF5456">
      <w:pPr>
        <w:spacing w:after="0"/>
        <w:jc w:val="center"/>
        <w:rPr>
          <w:rFonts w:ascii="Arial" w:eastAsia="Times New Roman" w:hAnsi="Arial" w:cs="Arial"/>
          <w:b/>
          <w:sz w:val="24"/>
          <w:szCs w:val="24"/>
        </w:rPr>
      </w:pPr>
      <w:r w:rsidRPr="00962B40">
        <w:rPr>
          <w:rFonts w:ascii="Arial" w:eastAsia="Times New Roman" w:hAnsi="Arial" w:cs="Arial"/>
          <w:b/>
          <w:sz w:val="24"/>
          <w:szCs w:val="24"/>
        </w:rPr>
        <w:t>Lic. Ma. Elizabeth Rodríguez Romero</w:t>
      </w:r>
    </w:p>
    <w:p w14:paraId="68558F31" w14:textId="77777777" w:rsidR="00EF5456" w:rsidRPr="00962B40" w:rsidRDefault="00EF5456" w:rsidP="00EF5456">
      <w:pPr>
        <w:spacing w:after="0"/>
        <w:jc w:val="center"/>
        <w:rPr>
          <w:rFonts w:ascii="Arial" w:eastAsia="Times New Roman" w:hAnsi="Arial" w:cs="Arial"/>
          <w:sz w:val="24"/>
          <w:szCs w:val="24"/>
        </w:rPr>
      </w:pPr>
      <w:r w:rsidRPr="00962B40">
        <w:rPr>
          <w:rFonts w:ascii="Arial" w:eastAsia="Times New Roman" w:hAnsi="Arial" w:cs="Arial"/>
          <w:sz w:val="24"/>
          <w:szCs w:val="24"/>
        </w:rPr>
        <w:t>Directora General del Museo del Virreinato</w:t>
      </w:r>
    </w:p>
    <w:p w14:paraId="356349A8" w14:textId="77777777" w:rsidR="00EF5456" w:rsidRPr="00962B40" w:rsidRDefault="00EF5456" w:rsidP="00EF5456">
      <w:pPr>
        <w:spacing w:after="0"/>
        <w:jc w:val="center"/>
        <w:rPr>
          <w:rFonts w:ascii="Arial" w:eastAsia="Times New Roman" w:hAnsi="Arial" w:cs="Arial"/>
          <w:sz w:val="24"/>
          <w:szCs w:val="24"/>
        </w:rPr>
      </w:pPr>
    </w:p>
    <w:p w14:paraId="3D0D795D" w14:textId="77777777" w:rsidR="00EF5456" w:rsidRPr="00962B40" w:rsidRDefault="00EF5456" w:rsidP="00EF5456">
      <w:pPr>
        <w:spacing w:after="0"/>
        <w:jc w:val="center"/>
        <w:rPr>
          <w:rFonts w:ascii="Arial" w:eastAsia="Times New Roman" w:hAnsi="Arial" w:cs="Arial"/>
          <w:sz w:val="24"/>
          <w:szCs w:val="24"/>
        </w:rPr>
      </w:pPr>
    </w:p>
    <w:p w14:paraId="48F5BBA0" w14:textId="77777777" w:rsidR="00EF5456" w:rsidRPr="00962B40" w:rsidRDefault="00EF5456" w:rsidP="00EF5456">
      <w:pPr>
        <w:spacing w:after="0"/>
        <w:jc w:val="center"/>
        <w:rPr>
          <w:rFonts w:ascii="Arial" w:eastAsia="Times New Roman" w:hAnsi="Arial" w:cs="Arial"/>
          <w:sz w:val="24"/>
          <w:szCs w:val="24"/>
        </w:rPr>
      </w:pPr>
      <w:r w:rsidRPr="00962B40">
        <w:rPr>
          <w:rFonts w:ascii="Arial" w:eastAsia="Times New Roman" w:hAnsi="Arial" w:cs="Arial"/>
          <w:sz w:val="24"/>
          <w:szCs w:val="24"/>
        </w:rPr>
        <w:t>___________________</w:t>
      </w:r>
    </w:p>
    <w:p w14:paraId="7CC9C322" w14:textId="77777777" w:rsidR="00EF5456" w:rsidRDefault="00EF5456"/>
    <w:sectPr w:rsidR="00EF5456" w:rsidSect="00EF5456">
      <w:headerReference w:type="defaul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03A1B" w14:textId="77777777" w:rsidR="00FE1499" w:rsidRDefault="00FE1499" w:rsidP="00F72BBB">
      <w:pPr>
        <w:spacing w:after="0" w:line="240" w:lineRule="auto"/>
      </w:pPr>
      <w:r>
        <w:separator/>
      </w:r>
    </w:p>
  </w:endnote>
  <w:endnote w:type="continuationSeparator" w:id="0">
    <w:p w14:paraId="0E68B584" w14:textId="77777777" w:rsidR="00FE1499" w:rsidRDefault="00FE1499" w:rsidP="00F72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383C46" w14:textId="77777777" w:rsidR="00FE1499" w:rsidRDefault="00FE1499" w:rsidP="00F72BBB">
      <w:pPr>
        <w:spacing w:after="0" w:line="240" w:lineRule="auto"/>
      </w:pPr>
      <w:r>
        <w:separator/>
      </w:r>
    </w:p>
  </w:footnote>
  <w:footnote w:type="continuationSeparator" w:id="0">
    <w:p w14:paraId="67D172FD" w14:textId="77777777" w:rsidR="00FE1499" w:rsidRDefault="00FE1499" w:rsidP="00F72B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7193B" w14:textId="746C212C" w:rsidR="00F72BBB" w:rsidRDefault="00F72BBB">
    <w:pPr>
      <w:pStyle w:val="Encabezado"/>
    </w:pPr>
    <w:r w:rsidRPr="00653CB5">
      <w:rPr>
        <w:rFonts w:ascii="Calibri" w:eastAsia="Times New Roman" w:hAnsi="Calibri" w:cs="Calibri"/>
        <w:noProof/>
        <w:color w:val="000000"/>
        <w:lang w:eastAsia="es-MX"/>
      </w:rPr>
      <w:drawing>
        <wp:anchor distT="0" distB="0" distL="114300" distR="114300" simplePos="0" relativeHeight="251661312" behindDoc="0" locked="0" layoutInCell="1" allowOverlap="1" wp14:anchorId="3C5FBAD9" wp14:editId="63455A94">
          <wp:simplePos x="0" y="0"/>
          <wp:positionH relativeFrom="column">
            <wp:posOffset>5592445</wp:posOffset>
          </wp:positionH>
          <wp:positionV relativeFrom="paragraph">
            <wp:posOffset>-304800</wp:posOffset>
          </wp:positionV>
          <wp:extent cx="2606040" cy="853440"/>
          <wp:effectExtent l="0" t="0" r="3810" b="3810"/>
          <wp:wrapNone/>
          <wp:docPr id="4" name="Imagen 4">
            <a:extLst xmlns:a="http://schemas.openxmlformats.org/drawingml/2006/main">
              <a:ext uri="{FF2B5EF4-FFF2-40B4-BE49-F238E27FC236}">
                <a16:creationId xmlns:a16="http://schemas.microsoft.com/office/drawing/2014/main" id="{95271F5C-2A99-4339-A954-1AD77038F2BC}"/>
              </a:ext>
            </a:extLst>
          </wp:docPr>
          <wp:cNvGraphicFramePr/>
          <a:graphic xmlns:a="http://schemas.openxmlformats.org/drawingml/2006/main">
            <a:graphicData uri="http://schemas.openxmlformats.org/drawingml/2006/picture">
              <pic:pic xmlns:pic="http://schemas.openxmlformats.org/drawingml/2006/picture">
                <pic:nvPicPr>
                  <pic:cNvPr id="4" name="Imagen 3">
                    <a:extLst>
                      <a:ext uri="{FF2B5EF4-FFF2-40B4-BE49-F238E27FC236}">
                        <a16:creationId xmlns:a16="http://schemas.microsoft.com/office/drawing/2014/main" id="{95271F5C-2A99-4339-A954-1AD77038F2BC}"/>
                      </a:ext>
                    </a:extLst>
                  </pic:cNvPr>
                  <pic:cNvPicPr>
                    <a:picLocks noChangeAspect="1"/>
                  </pic:cNvPicPr>
                </pic:nvPicPr>
                <pic:blipFill>
                  <a:blip r:embed="rId1"/>
                  <a:stretch>
                    <a:fillRect/>
                  </a:stretch>
                </pic:blipFill>
                <pic:spPr>
                  <a:xfrm>
                    <a:off x="0" y="0"/>
                    <a:ext cx="2606040" cy="853440"/>
                  </a:xfrm>
                  <a:prstGeom prst="rect">
                    <a:avLst/>
                  </a:prstGeom>
                </pic:spPr>
              </pic:pic>
            </a:graphicData>
          </a:graphic>
          <wp14:sizeRelH relativeFrom="page">
            <wp14:pctWidth>0</wp14:pctWidth>
          </wp14:sizeRelH>
          <wp14:sizeRelV relativeFrom="page">
            <wp14:pctHeight>0</wp14:pctHeight>
          </wp14:sizeRelV>
        </wp:anchor>
      </w:drawing>
    </w:r>
    <w:r w:rsidRPr="00653CB5">
      <w:rPr>
        <w:rFonts w:ascii="Calibri" w:eastAsia="Times New Roman" w:hAnsi="Calibri" w:cs="Calibri"/>
        <w:noProof/>
        <w:color w:val="000000"/>
        <w:lang w:eastAsia="es-MX"/>
      </w:rPr>
      <w:drawing>
        <wp:anchor distT="0" distB="0" distL="114300" distR="114300" simplePos="0" relativeHeight="251659264" behindDoc="0" locked="0" layoutInCell="1" allowOverlap="1" wp14:anchorId="753C965D" wp14:editId="1B00F2B3">
          <wp:simplePos x="0" y="0"/>
          <wp:positionH relativeFrom="margin">
            <wp:posOffset>-635</wp:posOffset>
          </wp:positionH>
          <wp:positionV relativeFrom="paragraph">
            <wp:posOffset>-365760</wp:posOffset>
          </wp:positionV>
          <wp:extent cx="3147060" cy="868680"/>
          <wp:effectExtent l="0" t="0" r="0" b="7620"/>
          <wp:wrapNone/>
          <wp:docPr id="3" name="Imagen 3" descr="San luis Potosí">
            <a:extLst xmlns:a="http://schemas.openxmlformats.org/drawingml/2006/main">
              <a:ext uri="{FF2B5EF4-FFF2-40B4-BE49-F238E27FC236}">
                <a16:creationId xmlns:a16="http://schemas.microsoft.com/office/drawing/2014/main" id="{834F91E2-87D2-4680-8E1B-25E632FEC8E4}"/>
              </a:ext>
            </a:extLst>
          </wp:docPr>
          <wp:cNvGraphicFramePr/>
          <a:graphic xmlns:a="http://schemas.openxmlformats.org/drawingml/2006/main">
            <a:graphicData uri="http://schemas.openxmlformats.org/drawingml/2006/picture">
              <pic:pic xmlns:pic="http://schemas.openxmlformats.org/drawingml/2006/picture">
                <pic:nvPicPr>
                  <pic:cNvPr id="2" name="Imagen 1" descr="San luis Potosí">
                    <a:extLst>
                      <a:ext uri="{FF2B5EF4-FFF2-40B4-BE49-F238E27FC236}">
                        <a16:creationId xmlns:a16="http://schemas.microsoft.com/office/drawing/2014/main" id="{834F91E2-87D2-4680-8E1B-25E632FEC8E4}"/>
                      </a:ext>
                    </a:extLst>
                  </pic:cNvPr>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3147060" cy="8686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395F57"/>
    <w:multiLevelType w:val="hybridMultilevel"/>
    <w:tmpl w:val="ABE0260E"/>
    <w:lvl w:ilvl="0" w:tplc="C5FC05CC">
      <w:start w:val="7"/>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90B212B"/>
    <w:multiLevelType w:val="multilevel"/>
    <w:tmpl w:val="7074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FD1613"/>
    <w:multiLevelType w:val="multilevel"/>
    <w:tmpl w:val="FB160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E02B8E"/>
    <w:multiLevelType w:val="multilevel"/>
    <w:tmpl w:val="368AA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0F7C6D"/>
    <w:multiLevelType w:val="multilevel"/>
    <w:tmpl w:val="8F4CF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532B4D"/>
    <w:multiLevelType w:val="hybridMultilevel"/>
    <w:tmpl w:val="8326BB64"/>
    <w:lvl w:ilvl="0" w:tplc="547473C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704D078E"/>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70826816"/>
    <w:multiLevelType w:val="hybridMultilevel"/>
    <w:tmpl w:val="B60C9E2C"/>
    <w:lvl w:ilvl="0" w:tplc="080A000B">
      <w:start w:val="1"/>
      <w:numFmt w:val="bullet"/>
      <w:lvlText w:val=""/>
      <w:lvlJc w:val="left"/>
      <w:pPr>
        <w:ind w:left="785" w:hanging="360"/>
      </w:pPr>
      <w:rPr>
        <w:rFonts w:ascii="Wingdings" w:hAnsi="Wingdings"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8" w15:restartNumberingAfterBreak="0">
    <w:nsid w:val="7143659A"/>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7"/>
  </w:num>
  <w:num w:numId="2">
    <w:abstractNumId w:val="5"/>
  </w:num>
  <w:num w:numId="3">
    <w:abstractNumId w:val="6"/>
  </w:num>
  <w:num w:numId="4">
    <w:abstractNumId w:val="0"/>
  </w:num>
  <w:num w:numId="5">
    <w:abstractNumId w:val="3"/>
  </w:num>
  <w:num w:numId="6">
    <w:abstractNumId w:val="8"/>
  </w:num>
  <w:num w:numId="7">
    <w:abstractNumId w:val="1"/>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456"/>
    <w:rsid w:val="0000719D"/>
    <w:rsid w:val="000948E4"/>
    <w:rsid w:val="000B51D2"/>
    <w:rsid w:val="000E0509"/>
    <w:rsid w:val="00112B45"/>
    <w:rsid w:val="002F7C47"/>
    <w:rsid w:val="00305917"/>
    <w:rsid w:val="003612C4"/>
    <w:rsid w:val="00437A40"/>
    <w:rsid w:val="00501C26"/>
    <w:rsid w:val="005D4CB8"/>
    <w:rsid w:val="005E172E"/>
    <w:rsid w:val="00617248"/>
    <w:rsid w:val="00637674"/>
    <w:rsid w:val="00687EE6"/>
    <w:rsid w:val="00735D0C"/>
    <w:rsid w:val="00770378"/>
    <w:rsid w:val="00773459"/>
    <w:rsid w:val="008165AD"/>
    <w:rsid w:val="00883715"/>
    <w:rsid w:val="008A0839"/>
    <w:rsid w:val="008B08F5"/>
    <w:rsid w:val="008F62DF"/>
    <w:rsid w:val="00912FFB"/>
    <w:rsid w:val="009642F2"/>
    <w:rsid w:val="00964453"/>
    <w:rsid w:val="00991FEB"/>
    <w:rsid w:val="009E0450"/>
    <w:rsid w:val="00A57C65"/>
    <w:rsid w:val="00AD4B94"/>
    <w:rsid w:val="00B73D53"/>
    <w:rsid w:val="00BC58BD"/>
    <w:rsid w:val="00C23274"/>
    <w:rsid w:val="00CC592D"/>
    <w:rsid w:val="00CD2FC1"/>
    <w:rsid w:val="00D0347D"/>
    <w:rsid w:val="00DF2913"/>
    <w:rsid w:val="00E26C34"/>
    <w:rsid w:val="00E86649"/>
    <w:rsid w:val="00EA2705"/>
    <w:rsid w:val="00EF5456"/>
    <w:rsid w:val="00F0312A"/>
    <w:rsid w:val="00F25D37"/>
    <w:rsid w:val="00F72BBB"/>
    <w:rsid w:val="00F737A0"/>
    <w:rsid w:val="00FE14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8D25C"/>
  <w15:chartTrackingRefBased/>
  <w15:docId w15:val="{A993F16D-C94A-41EE-8036-791C48520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45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F545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F72BB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72BBB"/>
  </w:style>
  <w:style w:type="paragraph" w:styleId="Piedepgina">
    <w:name w:val="footer"/>
    <w:basedOn w:val="Normal"/>
    <w:link w:val="PiedepginaCar"/>
    <w:uiPriority w:val="99"/>
    <w:unhideWhenUsed/>
    <w:rsid w:val="00F72BB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72BBB"/>
  </w:style>
  <w:style w:type="paragraph" w:styleId="Prrafodelista">
    <w:name w:val="List Paragraph"/>
    <w:basedOn w:val="Normal"/>
    <w:uiPriority w:val="34"/>
    <w:qFormat/>
    <w:rsid w:val="00991FEB"/>
    <w:pPr>
      <w:ind w:left="720"/>
      <w:contextualSpacing/>
    </w:pPr>
  </w:style>
  <w:style w:type="character" w:styleId="Textoennegrita">
    <w:name w:val="Strong"/>
    <w:basedOn w:val="Fuentedeprrafopredeter"/>
    <w:uiPriority w:val="22"/>
    <w:qFormat/>
    <w:rsid w:val="00991FEB"/>
    <w:rPr>
      <w:b/>
      <w:bCs/>
    </w:rPr>
  </w:style>
  <w:style w:type="character" w:styleId="Hipervnculo">
    <w:name w:val="Hyperlink"/>
    <w:basedOn w:val="Fuentedeprrafopredeter"/>
    <w:uiPriority w:val="99"/>
    <w:semiHidden/>
    <w:unhideWhenUsed/>
    <w:rsid w:val="00991FEB"/>
    <w:rPr>
      <w:color w:val="0000FF"/>
      <w:u w:val="single"/>
    </w:rPr>
  </w:style>
  <w:style w:type="character" w:customStyle="1" w:styleId="t286pc">
    <w:name w:val="t286pc"/>
    <w:basedOn w:val="Fuentedeprrafopredeter"/>
    <w:rsid w:val="00991F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095501">
      <w:bodyDiv w:val="1"/>
      <w:marLeft w:val="0"/>
      <w:marRight w:val="0"/>
      <w:marTop w:val="0"/>
      <w:marBottom w:val="0"/>
      <w:divBdr>
        <w:top w:val="none" w:sz="0" w:space="0" w:color="auto"/>
        <w:left w:val="none" w:sz="0" w:space="0" w:color="auto"/>
        <w:bottom w:val="none" w:sz="0" w:space="0" w:color="auto"/>
        <w:right w:val="none" w:sz="0" w:space="0" w:color="auto"/>
      </w:divBdr>
    </w:div>
    <w:div w:id="201406001">
      <w:bodyDiv w:val="1"/>
      <w:marLeft w:val="0"/>
      <w:marRight w:val="0"/>
      <w:marTop w:val="0"/>
      <w:marBottom w:val="0"/>
      <w:divBdr>
        <w:top w:val="none" w:sz="0" w:space="0" w:color="auto"/>
        <w:left w:val="none" w:sz="0" w:space="0" w:color="auto"/>
        <w:bottom w:val="none" w:sz="0" w:space="0" w:color="auto"/>
        <w:right w:val="none" w:sz="0" w:space="0" w:color="auto"/>
      </w:divBdr>
    </w:div>
    <w:div w:id="891383510">
      <w:bodyDiv w:val="1"/>
      <w:marLeft w:val="0"/>
      <w:marRight w:val="0"/>
      <w:marTop w:val="0"/>
      <w:marBottom w:val="0"/>
      <w:divBdr>
        <w:top w:val="none" w:sz="0" w:space="0" w:color="auto"/>
        <w:left w:val="none" w:sz="0" w:space="0" w:color="auto"/>
        <w:bottom w:val="none" w:sz="0" w:space="0" w:color="auto"/>
        <w:right w:val="none" w:sz="0" w:space="0" w:color="auto"/>
      </w:divBdr>
    </w:div>
    <w:div w:id="1122067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Consejo+Nacional+de+Archivos&amp;oq=CU%C3%81L+ES+LA+NORMATIVA+Y+LEGISLACI%C3%93N+EN+MATERIA+DE+ARCHIVOS+ACTUAL+EN+M%C3%89XICO+Y%2C+EN+SAN+LUIS+POTOS%C3%8D%3F&amp;gs_lcrp=EgZjaHJvbWUyBggAEEUYOdIBCjMyMDE4ajBqMTWoAgiwAgHxBa0lZWHsP_JV8QWtJWVh7D_yVQ&amp;sourceid=chrome&amp;ie=UTF-8&amp;mstk=AUtExfBX5BncMEdVRn6257Og7tIw9Nglys1JCytXj5_vOyzvmQzp-0FUccafRltJHCZtLTDzZvUT68igu73WsnLxCcVsybYb0Qr6CLKW8dfOmLi1gjjRRSwfVfjKw0sXC-AkBGU&amp;csui=3&amp;ved=2ahUKEwiw25q43r2SAxWgEUQIHZw8D74QgK4QegQIAxAE" TargetMode="External"/><Relationship Id="rId13"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https://www.google.com/search?q=Ley+General+de+Archivos&amp;oq=CU%C3%81L+ES+LA+NORMATIVA+Y+LEGISLACI%C3%93N+EN+MATERIA+DE+ARCHIVOS+ACTUAL+EN+M%C3%89XICO+Y%2C+EN+SAN+LUIS+POTOS%C3%8D%3F&amp;gs_lcrp=EgZjaHJvbWUyBggAEEUYOdIBCjMyMDE4ajBqMTWoAgiwAgHxBa0lZWHsP_JV8QWtJWVh7D_yVQ&amp;sourceid=chrome&amp;ie=UTF-8&amp;mstk=AUtExfBX5BncMEdVRn6257Og7tIw9Nglys1JCytXj5_vOyzvmQzp-0FUccafRltJHCZtLTDzZvUT68igu73WsnLxCcVsybYb0Qr6CLKW8dfOmLi1gjjRRSwfVfjKw0sXC-AkBGU&amp;csui=3&amp;ved=2ahUKEwiw25q43r2SAxWgEUQIHZw8D74QgK4QegQIAxAB" TargetMode="External"/><Relationship Id="rId12" Type="http://schemas.openxmlformats.org/officeDocument/2006/relationships/hyperlink" Target="https://www.google.com/search?q=Sistema+Estatal+de+Documentaci%C3%B3n+y+Archivos+%28SEDA%29&amp;oq=CU%C3%81L+ES+LA+NORMATIVA+Y+LEGISLACI%C3%93N+EN+MATERIA+DE+ARCHIVOS+ACTUAL+EN+M%C3%89XICO+Y%2C+EN+SAN+LUIS+POTOS%C3%8D%3F&amp;gs_lcrp=EgZjaHJvbWUyBggAEEUYOdIBCjMyMDE4ajBqMTWoAgiwAgHxBa0lZWHsP_JV8QWtJWVh7D_yVQ&amp;sourceid=chrome&amp;ie=UTF-8&amp;mstk=AUtExfBX5BncMEdVRn6257Og7tIw9Nglys1JCytXj5_vOyzvmQzp-0FUccafRltJHCZtLTDzZvUT68igu73WsnLxCcVsybYb0Qr6CLKW8dfOmLi1gjjRRSwfVfjKw0sXC-AkBGU&amp;csui=3&amp;ved=2ahUKEwiw25q43r2SAxWgEUQIHZw8D74QgK4QegQIBRA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search?q=Sistema+Estatal+de+Archivos&amp;oq=CU%C3%81L+ES+LA+NORMATIVA+Y+LEGISLACI%C3%93N+EN+MATERIA+DE+ARCHIVOS+ACTUAL+EN+M%C3%89XICO+Y%2C+EN+SAN+LUIS+POTOS%C3%8D%3F&amp;gs_lcrp=EgZjaHJvbWUyBggAEEUYOdIBCjMyMDE4ajBqMTWoAgiwAgHxBa0lZWHsP_JV8QWtJWVh7D_yVQ&amp;sourceid=chrome&amp;ie=UTF-8&amp;mstk=AUtExfBX5BncMEdVRn6257Og7tIw9Nglys1JCytXj5_vOyzvmQzp-0FUccafRltJHCZtLTDzZvUT68igu73WsnLxCcVsybYb0Qr6CLKW8dfOmLi1gjjRRSwfVfjKw0sXC-AkBGU&amp;csui=3&amp;ved=2ahUKEwiw25q43r2SAxWgEUQIHZw8D74QgK4QegQIBRAD"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google.com/search?q=Archivo+General+del+Estado&amp;oq=CU%C3%81L+ES+LA+NORMATIVA+Y+LEGISLACI%C3%93N+EN+MATERIA+DE+ARCHIVOS+ACTUAL+EN+M%C3%89XICO+Y%2C+EN+SAN+LUIS+POTOS%C3%8D%3F&amp;gs_lcrp=EgZjaHJvbWUyBggAEEUYOdIBCjMyMDE4ajBqMTWoAgiwAgHxBa0lZWHsP_JV8QWtJWVh7D_yVQ&amp;sourceid=chrome&amp;ie=UTF-8&amp;mstk=AUtExfBX5BncMEdVRn6257Og7tIw9Nglys1JCytXj5_vOyzvmQzp-0FUccafRltJHCZtLTDzZvUT68igu73WsnLxCcVsybYb0Qr6CLKW8dfOmLi1gjjRRSwfVfjKw0sXC-AkBGU&amp;csui=3&amp;ved=2ahUKEwiw25q43r2SAxWgEUQIHZw8D74QgK4QegQIBRAC" TargetMode="External"/><Relationship Id="rId4" Type="http://schemas.openxmlformats.org/officeDocument/2006/relationships/webSettings" Target="webSettings.xml"/><Relationship Id="rId9" Type="http://schemas.openxmlformats.org/officeDocument/2006/relationships/hyperlink" Target="https://www.google.com/search?q=Ley+de+Archivos+para+el+Estado+de+San+Luis+Potos%C3%AD&amp;oq=CU%C3%81L+ES+LA+NORMATIVA+Y+LEGISLACI%C3%93N+EN+MATERIA+DE+ARCHIVOS+ACTUAL+EN+M%C3%89XICO+Y%2C+EN+SAN+LUIS+POTOS%C3%8D%3F&amp;gs_lcrp=EgZjaHJvbWUyBggAEEUYOdIBCjMyMDE4ajBqMTWoAgiwAgHxBa0lZWHsP_JV8QWtJWVh7D_yVQ&amp;sourceid=chrome&amp;ie=UTF-8&amp;mstk=AUtExfBX5BncMEdVRn6257Og7tIw9Nglys1JCytXj5_vOyzvmQzp-0FUccafRltJHCZtLTDzZvUT68igu73WsnLxCcVsybYb0Qr6CLKW8dfOmLi1gjjRRSwfVfjKw0sXC-AkBGU&amp;csui=3&amp;ved=2ahUKEwiw25q43r2SAxWgEUQIHZw8D74QgK4QegQIBRAB"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16</Pages>
  <Words>3619</Words>
  <Characters>19908</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Museo2</dc:creator>
  <cp:keywords/>
  <dc:description/>
  <cp:lastModifiedBy>Museo2</cp:lastModifiedBy>
  <cp:revision>6</cp:revision>
  <dcterms:created xsi:type="dcterms:W3CDTF">2026-02-05T16:49:00Z</dcterms:created>
  <dcterms:modified xsi:type="dcterms:W3CDTF">2026-02-05T17:05:00Z</dcterms:modified>
</cp:coreProperties>
</file>