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43A03B60"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F14E4A">
        <w:rPr>
          <w:rFonts w:ascii="AvantGarde Bk BT" w:hAnsi="AvantGarde Bk BT" w:cs="Arial"/>
          <w:b/>
          <w:color w:val="000000" w:themeColor="text1"/>
          <w:sz w:val="24"/>
          <w:szCs w:val="24"/>
        </w:rPr>
        <w:t>2</w:t>
      </w:r>
      <w:r w:rsidR="00C003AC">
        <w:rPr>
          <w:rFonts w:ascii="AvantGarde Bk BT" w:hAnsi="AvantGarde Bk BT" w:cs="Arial"/>
          <w:b/>
          <w:color w:val="000000" w:themeColor="text1"/>
          <w:sz w:val="24"/>
          <w:szCs w:val="24"/>
        </w:rPr>
        <w:t>99</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28B499A0" w:rsidR="0004274F" w:rsidRPr="007C5605" w:rsidRDefault="0004274F" w:rsidP="00917AFC">
      <w:pPr>
        <w:pStyle w:val="corte4fondo"/>
        <w:tabs>
          <w:tab w:val="left" w:pos="567"/>
        </w:tabs>
        <w:spacing w:line="240" w:lineRule="auto"/>
        <w:ind w:firstLine="0"/>
        <w:rPr>
          <w:rFonts w:ascii="AvantGarde Bk BT" w:hAnsi="AvantGarde Bk BT" w:cs="Arial"/>
          <w:color w:val="000000" w:themeColor="text1"/>
          <w:sz w:val="24"/>
          <w:szCs w:val="24"/>
        </w:rPr>
      </w:pPr>
      <w:bookmarkStart w:id="0" w:name="_GoBack"/>
      <w:bookmarkEnd w:id="0"/>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7CA4AE0F" w:rsidR="0004274F" w:rsidRPr="007C5605" w:rsidRDefault="00C003AC"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1" w:name="_Hlk524525610"/>
      <w:r>
        <w:rPr>
          <w:rFonts w:ascii="AvantGarde Bk BT" w:hAnsi="AvantGarde Bk BT" w:cs="Arial"/>
          <w:b/>
          <w:color w:val="000000" w:themeColor="text1"/>
          <w:sz w:val="24"/>
          <w:szCs w:val="24"/>
        </w:rPr>
        <w:t>MUNICIPIO DE SAN LUIS POTOSÍ</w:t>
      </w:r>
    </w:p>
    <w:bookmarkEnd w:id="1"/>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501A8C2B"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917AFC">
        <w:rPr>
          <w:rFonts w:ascii="AvantGarde Bk BT" w:hAnsi="AvantGarde Bk BT" w:cs="Arial"/>
          <w:color w:val="000000" w:themeColor="text1"/>
          <w:sz w:val="24"/>
          <w:szCs w:val="24"/>
        </w:rPr>
        <w:t>siete de julio</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34CED385"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C003AC">
        <w:rPr>
          <w:rFonts w:ascii="AvantGarde Bk BT" w:hAnsi="AvantGarde Bk BT" w:cs="Arial"/>
          <w:color w:val="000000" w:themeColor="text1"/>
          <w:sz w:val="24"/>
          <w:szCs w:val="24"/>
        </w:rPr>
        <w:t>ocho de mayo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2C2039">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C003AC">
        <w:rPr>
          <w:rFonts w:ascii="AvantGarde Bk BT" w:hAnsi="AvantGarde Bk BT" w:cs="Arial"/>
          <w:b/>
          <w:color w:val="000000" w:themeColor="text1"/>
          <w:sz w:val="24"/>
          <w:szCs w:val="24"/>
        </w:rPr>
        <w:t>MUNICIPIO DE SAN LUIS POTOSÍ</w:t>
      </w:r>
      <w:r w:rsidR="004F5FB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4F5FBC">
        <w:rPr>
          <w:rFonts w:ascii="AvantGarde Bk BT" w:hAnsi="AvantGarde Bk BT" w:cs="Arial"/>
          <w:color w:val="000000" w:themeColor="text1"/>
          <w:sz w:val="24"/>
          <w:szCs w:val="24"/>
        </w:rPr>
        <w:t>240</w:t>
      </w:r>
      <w:r w:rsidR="00A00F41" w:rsidRPr="00A00F41">
        <w:rPr>
          <w:rFonts w:ascii="AvantGarde Bk BT" w:hAnsi="AvantGarde Bk BT" w:cs="Arial"/>
          <w:color w:val="000000" w:themeColor="text1"/>
          <w:sz w:val="24"/>
          <w:szCs w:val="24"/>
        </w:rPr>
        <w:t>4</w:t>
      </w:r>
      <w:r w:rsidR="00C003AC">
        <w:rPr>
          <w:rFonts w:ascii="AvantGarde Bk BT" w:hAnsi="AvantGarde Bk BT" w:cs="Arial"/>
          <w:color w:val="000000" w:themeColor="text1"/>
          <w:sz w:val="24"/>
          <w:szCs w:val="24"/>
        </w:rPr>
        <w:t>744</w:t>
      </w:r>
      <w:r w:rsidR="004D6912">
        <w:rPr>
          <w:rFonts w:ascii="AvantGarde Bk BT" w:hAnsi="AvantGarde Bk BT" w:cs="Arial"/>
          <w:color w:val="000000" w:themeColor="text1"/>
          <w:sz w:val="24"/>
          <w:szCs w:val="24"/>
        </w:rPr>
        <w:t>26000</w:t>
      </w:r>
      <w:r w:rsidR="00C003AC">
        <w:rPr>
          <w:rFonts w:ascii="AvantGarde Bk BT" w:hAnsi="AvantGarde Bk BT" w:cs="Arial"/>
          <w:color w:val="000000" w:themeColor="text1"/>
          <w:sz w:val="24"/>
          <w:szCs w:val="24"/>
        </w:rPr>
        <w:t>228</w:t>
      </w:r>
      <w:r w:rsidR="004D691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(Visible de foja </w:t>
      </w:r>
      <w:r w:rsidR="004D6912">
        <w:rPr>
          <w:rFonts w:ascii="AvantGarde Bk BT" w:hAnsi="AvantGarde Bk BT" w:cs="Arial"/>
          <w:color w:val="000000" w:themeColor="text1"/>
          <w:sz w:val="24"/>
          <w:szCs w:val="24"/>
        </w:rPr>
        <w:t>05</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12EF4993" w14:textId="411F9129" w:rsidR="00C003AC" w:rsidRPr="00C003AC" w:rsidRDefault="004E2C5A" w:rsidP="00C003A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C003AC">
        <w:rPr>
          <w:rFonts w:ascii="AvantGarde Bk BT" w:hAnsi="AvantGarde Bk BT" w:cs="Arial"/>
          <w:b/>
          <w:color w:val="000000" w:themeColor="text1"/>
          <w:sz w:val="24"/>
          <w:szCs w:val="24"/>
        </w:rPr>
        <w:t xml:space="preserve">Ampliación del plazo de respuesta. </w:t>
      </w:r>
      <w:r w:rsidR="00C003AC">
        <w:rPr>
          <w:rFonts w:ascii="AvantGarde Bk BT" w:hAnsi="AvantGarde Bk BT" w:cs="Arial"/>
          <w:color w:val="000000" w:themeColor="text1"/>
          <w:sz w:val="24"/>
          <w:szCs w:val="24"/>
        </w:rPr>
        <w:t xml:space="preserve">El veintiuno de mayo de dos mil veintiséis el </w:t>
      </w:r>
      <w:r w:rsidR="00C003AC">
        <w:rPr>
          <w:rFonts w:ascii="AvantGarde Bk BT" w:hAnsi="AvantGarde Bk BT" w:cs="Arial"/>
          <w:b/>
          <w:color w:val="000000" w:themeColor="text1"/>
          <w:sz w:val="24"/>
          <w:szCs w:val="24"/>
        </w:rPr>
        <w:t xml:space="preserve">MUNICIPIO DE SAN LUIS POTOSÍ </w:t>
      </w:r>
      <w:r w:rsidR="00C003AC">
        <w:rPr>
          <w:rFonts w:ascii="AvantGarde Bk BT" w:hAnsi="AvantGarde Bk BT" w:cs="Arial"/>
          <w:color w:val="000000" w:themeColor="text1"/>
          <w:sz w:val="24"/>
          <w:szCs w:val="24"/>
        </w:rPr>
        <w:t>notificó a la persona solicitante la prórroga para responder la solicitud de información.</w:t>
      </w:r>
    </w:p>
    <w:p w14:paraId="737818C9" w14:textId="050390A4" w:rsidR="002C2039" w:rsidRPr="002C203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4F5FBC">
        <w:rPr>
          <w:rFonts w:ascii="AvantGarde Bk BT" w:hAnsi="AvantGarde Bk BT" w:cs="Arial"/>
          <w:b/>
          <w:color w:val="000000" w:themeColor="text1"/>
          <w:sz w:val="24"/>
          <w:szCs w:val="24"/>
        </w:rPr>
        <w:t>Respuesta de la solicitud de información</w:t>
      </w:r>
      <w:r w:rsidR="004F5FBC" w:rsidRPr="003E53AD">
        <w:rPr>
          <w:rFonts w:ascii="AvantGarde Bk BT" w:hAnsi="AvantGarde Bk BT" w:cs="Arial"/>
          <w:b/>
          <w:color w:val="000000" w:themeColor="text1"/>
          <w:sz w:val="24"/>
          <w:szCs w:val="24"/>
        </w:rPr>
        <w:t xml:space="preserve">. </w:t>
      </w:r>
      <w:r w:rsidR="004F5FBC">
        <w:rPr>
          <w:rFonts w:ascii="AvantGarde Bk BT" w:hAnsi="AvantGarde Bk BT" w:cs="Arial"/>
          <w:color w:val="000000" w:themeColor="text1"/>
          <w:sz w:val="24"/>
          <w:szCs w:val="24"/>
        </w:rPr>
        <w:t>El</w:t>
      </w:r>
      <w:r w:rsidR="004F5FBC" w:rsidRPr="003E53AD">
        <w:rPr>
          <w:rFonts w:ascii="AvantGarde Bk BT" w:hAnsi="AvantGarde Bk BT" w:cs="Arial"/>
          <w:color w:val="000000" w:themeColor="text1"/>
          <w:sz w:val="24"/>
          <w:szCs w:val="24"/>
        </w:rPr>
        <w:t xml:space="preserve"> </w:t>
      </w:r>
      <w:r>
        <w:rPr>
          <w:rFonts w:ascii="AvantGarde Bk BT" w:hAnsi="AvantGarde Bk BT" w:cs="Arial"/>
          <w:b/>
          <w:color w:val="000000" w:themeColor="text1"/>
          <w:sz w:val="24"/>
          <w:szCs w:val="24"/>
        </w:rPr>
        <w:t>MUNICIPIO DE SAN LUIS POTOSÍ</w:t>
      </w:r>
      <w:r w:rsidR="004F5FBC">
        <w:rPr>
          <w:rFonts w:ascii="AvantGarde Bk BT" w:hAnsi="AvantGarde Bk BT" w:cs="Arial"/>
          <w:color w:val="000000" w:themeColor="text1"/>
          <w:sz w:val="24"/>
          <w:szCs w:val="24"/>
        </w:rPr>
        <w:t xml:space="preserve"> respondió</w:t>
      </w:r>
      <w:r w:rsidR="004F5FBC" w:rsidRPr="00F56862">
        <w:rPr>
          <w:rFonts w:ascii="AvantGarde Bk BT" w:hAnsi="AvantGarde Bk BT" w:cs="Arial"/>
          <w:color w:val="000000" w:themeColor="text1"/>
          <w:sz w:val="24"/>
          <w:szCs w:val="24"/>
        </w:rPr>
        <w:t xml:space="preserve"> la solicitud de información el </w:t>
      </w:r>
      <w:r>
        <w:rPr>
          <w:rFonts w:ascii="AvantGarde Bk BT" w:hAnsi="AvantGarde Bk BT" w:cs="Arial"/>
          <w:color w:val="000000" w:themeColor="text1"/>
          <w:sz w:val="24"/>
          <w:szCs w:val="24"/>
        </w:rPr>
        <w:t>cinco de junio</w:t>
      </w:r>
      <w:r w:rsidR="004F5FBC">
        <w:rPr>
          <w:rFonts w:ascii="AvantGarde Bk BT" w:hAnsi="AvantGarde Bk BT" w:cs="Arial"/>
          <w:color w:val="000000" w:themeColor="text1"/>
          <w:sz w:val="24"/>
          <w:szCs w:val="24"/>
        </w:rPr>
        <w:t xml:space="preserve"> de dos mi</w:t>
      </w:r>
      <w:r>
        <w:rPr>
          <w:rFonts w:ascii="AvantGarde Bk BT" w:hAnsi="AvantGarde Bk BT" w:cs="Arial"/>
          <w:color w:val="000000" w:themeColor="text1"/>
          <w:sz w:val="24"/>
          <w:szCs w:val="24"/>
        </w:rPr>
        <w:t>l veintiséis. (Visible a foja 03</w:t>
      </w:r>
      <w:r w:rsidR="004F5FBC">
        <w:rPr>
          <w:rFonts w:ascii="AvantGarde Bk BT" w:hAnsi="AvantGarde Bk BT" w:cs="Arial"/>
          <w:color w:val="000000" w:themeColor="text1"/>
          <w:sz w:val="24"/>
          <w:szCs w:val="24"/>
        </w:rPr>
        <w:t xml:space="preserve"> </w:t>
      </w:r>
      <w:r w:rsidR="004F5FBC" w:rsidRPr="00F56862">
        <w:rPr>
          <w:rFonts w:ascii="AvantGarde Bk BT" w:hAnsi="AvantGarde Bk BT" w:cs="Arial"/>
          <w:color w:val="000000" w:themeColor="text1"/>
          <w:sz w:val="24"/>
          <w:szCs w:val="24"/>
        </w:rPr>
        <w:t>de autos.)</w:t>
      </w:r>
    </w:p>
    <w:p w14:paraId="743928FA" w14:textId="6F84C6F1" w:rsidR="000C5159" w:rsidRPr="000C515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4F5FBC" w:rsidRPr="007C5605">
        <w:rPr>
          <w:rFonts w:ascii="AvantGarde Bk BT" w:hAnsi="AvantGarde Bk BT" w:cs="Arial"/>
          <w:b/>
          <w:color w:val="000000" w:themeColor="text1"/>
          <w:sz w:val="24"/>
          <w:szCs w:val="24"/>
        </w:rPr>
        <w:t>Interposición del recurso.</w:t>
      </w:r>
      <w:r w:rsidR="004F5FBC" w:rsidRPr="007C5605">
        <w:rPr>
          <w:rFonts w:ascii="AvantGarde Bk BT" w:hAnsi="AvantGarde Bk BT" w:cs="Arial"/>
          <w:color w:val="000000" w:themeColor="text1"/>
          <w:sz w:val="24"/>
          <w:szCs w:val="24"/>
        </w:rPr>
        <w:t xml:space="preserve"> El </w:t>
      </w:r>
      <w:r w:rsidR="004D6912">
        <w:rPr>
          <w:rFonts w:ascii="AvantGarde Bk BT" w:hAnsi="AvantGarde Bk BT" w:cs="Arial"/>
          <w:color w:val="000000" w:themeColor="text1"/>
          <w:sz w:val="24"/>
          <w:szCs w:val="24"/>
        </w:rPr>
        <w:t xml:space="preserve">ocho de </w:t>
      </w:r>
      <w:r>
        <w:rPr>
          <w:rFonts w:ascii="AvantGarde Bk BT" w:hAnsi="AvantGarde Bk BT" w:cs="Arial"/>
          <w:color w:val="000000" w:themeColor="text1"/>
          <w:sz w:val="24"/>
          <w:szCs w:val="24"/>
        </w:rPr>
        <w:t>junio</w:t>
      </w:r>
      <w:r w:rsidR="004F5FBC">
        <w:rPr>
          <w:rFonts w:ascii="AvantGarde Bk BT" w:hAnsi="AvantGarde Bk BT" w:cs="Arial"/>
          <w:color w:val="000000" w:themeColor="text1"/>
          <w:sz w:val="24"/>
          <w:szCs w:val="24"/>
        </w:rPr>
        <w:t xml:space="preserve"> de dos mil veintiséis</w:t>
      </w:r>
      <w:r w:rsidR="004F5FBC" w:rsidRPr="007C5605">
        <w:rPr>
          <w:rFonts w:ascii="AvantGarde Bk BT" w:hAnsi="AvantGarde Bk BT" w:cs="Arial"/>
          <w:color w:val="000000" w:themeColor="text1"/>
          <w:sz w:val="24"/>
          <w:szCs w:val="24"/>
        </w:rPr>
        <w:t xml:space="preserve"> </w:t>
      </w:r>
      <w:r w:rsidR="004F5FBC">
        <w:rPr>
          <w:rFonts w:ascii="AvantGarde Bk BT" w:hAnsi="AvantGarde Bk BT" w:cs="Arial"/>
          <w:color w:val="000000" w:themeColor="text1"/>
          <w:sz w:val="24"/>
          <w:szCs w:val="24"/>
        </w:rPr>
        <w:t xml:space="preserve">la persona solicitante </w:t>
      </w:r>
      <w:r w:rsidR="004F5FBC" w:rsidRPr="007C5605">
        <w:rPr>
          <w:rFonts w:ascii="AvantGarde Bk BT" w:hAnsi="AvantGarde Bk BT" w:cs="Arial"/>
          <w:color w:val="000000" w:themeColor="text1"/>
          <w:sz w:val="24"/>
          <w:szCs w:val="24"/>
        </w:rPr>
        <w:t xml:space="preserve">de la información interpuso el recurso de revisión en contra de la </w:t>
      </w:r>
      <w:r w:rsidR="004F5FBC">
        <w:rPr>
          <w:rFonts w:ascii="AvantGarde Bk BT" w:hAnsi="AvantGarde Bk BT" w:cs="Arial"/>
          <w:color w:val="000000" w:themeColor="text1"/>
          <w:sz w:val="24"/>
          <w:szCs w:val="24"/>
        </w:rPr>
        <w:t>respuesta</w:t>
      </w:r>
      <w:r w:rsidR="004D6912">
        <w:rPr>
          <w:rFonts w:ascii="AvantGarde Bk BT" w:hAnsi="AvantGarde Bk BT" w:cs="Arial"/>
          <w:color w:val="000000" w:themeColor="text1"/>
          <w:sz w:val="24"/>
          <w:szCs w:val="24"/>
        </w:rPr>
        <w:t>, mismo que tuvo como fec</w:t>
      </w:r>
      <w:r>
        <w:rPr>
          <w:rFonts w:ascii="AvantGarde Bk BT" w:hAnsi="AvantGarde Bk BT" w:cs="Arial"/>
          <w:color w:val="000000" w:themeColor="text1"/>
          <w:sz w:val="24"/>
          <w:szCs w:val="24"/>
        </w:rPr>
        <w:t xml:space="preserve">ha oficial de recepción el </w:t>
      </w:r>
      <w:r w:rsidR="004D6912">
        <w:rPr>
          <w:rFonts w:ascii="AvantGarde Bk BT" w:hAnsi="AvantGarde Bk BT" w:cs="Arial"/>
          <w:color w:val="000000" w:themeColor="text1"/>
          <w:sz w:val="24"/>
          <w:szCs w:val="24"/>
        </w:rPr>
        <w:t xml:space="preserve">nueve de </w:t>
      </w:r>
      <w:r>
        <w:rPr>
          <w:rFonts w:ascii="AvantGarde Bk BT" w:hAnsi="AvantGarde Bk BT" w:cs="Arial"/>
          <w:color w:val="000000" w:themeColor="text1"/>
          <w:sz w:val="24"/>
          <w:szCs w:val="24"/>
        </w:rPr>
        <w:t>junio</w:t>
      </w:r>
      <w:r w:rsidR="004D6912">
        <w:rPr>
          <w:rFonts w:ascii="AvantGarde Bk BT" w:hAnsi="AvantGarde Bk BT" w:cs="Arial"/>
          <w:color w:val="000000" w:themeColor="text1"/>
          <w:sz w:val="24"/>
          <w:szCs w:val="24"/>
        </w:rPr>
        <w:t xml:space="preserve"> de dos mil veintiséis</w:t>
      </w:r>
      <w:r w:rsidR="004F5FBC">
        <w:rPr>
          <w:rFonts w:ascii="AvantGarde Bk BT" w:hAnsi="AvantGarde Bk BT" w:cs="Arial"/>
          <w:color w:val="000000" w:themeColor="text1"/>
          <w:sz w:val="24"/>
          <w:szCs w:val="24"/>
        </w:rPr>
        <w:t>. (visible de foja 01 de autos.)</w:t>
      </w:r>
    </w:p>
    <w:p w14:paraId="75C77F87" w14:textId="621D699C" w:rsidR="00476D4C" w:rsidRPr="00476D4C" w:rsidRDefault="00C003AC" w:rsidP="00476D4C">
      <w:pPr>
        <w:pStyle w:val="corte4fondo"/>
        <w:spacing w:after="240"/>
        <w:ind w:left="142"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lastRenderedPageBreak/>
        <w:t>QUINTO.</w:t>
      </w:r>
      <w:r w:rsidRPr="006B4C8C">
        <w:rPr>
          <w:rFonts w:ascii="AvantGarde Bk BT" w:hAnsi="AvantGarde Bk BT" w:cs="Arial"/>
          <w:color w:val="000000" w:themeColor="text1"/>
          <w:sz w:val="24"/>
          <w:szCs w:val="24"/>
        </w:rPr>
        <w:t xml:space="preserve"> </w:t>
      </w:r>
      <w:r w:rsidR="009138EC"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9138EC" w:rsidRPr="007C5605">
        <w:rPr>
          <w:rFonts w:ascii="AvantGarde Bk BT" w:hAnsi="AvantGarde Bk BT" w:cs="Arial"/>
          <w:color w:val="000000" w:themeColor="text1"/>
          <w:sz w:val="24"/>
          <w:szCs w:val="24"/>
        </w:rPr>
        <w:t xml:space="preserve"> Mediante auto del </w:t>
      </w:r>
      <w:r w:rsidR="004D6912">
        <w:rPr>
          <w:rFonts w:ascii="AvantGarde Bk BT" w:hAnsi="AvantGarde Bk BT" w:cs="Arial"/>
          <w:color w:val="000000" w:themeColor="text1"/>
          <w:sz w:val="24"/>
          <w:szCs w:val="24"/>
        </w:rPr>
        <w:t>die</w:t>
      </w:r>
      <w:r>
        <w:rPr>
          <w:rFonts w:ascii="AvantGarde Bk BT" w:hAnsi="AvantGarde Bk BT" w:cs="Arial"/>
          <w:color w:val="000000" w:themeColor="text1"/>
          <w:sz w:val="24"/>
          <w:szCs w:val="24"/>
        </w:rPr>
        <w:t>z</w:t>
      </w:r>
      <w:r w:rsidR="004D6912">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junio</w:t>
      </w:r>
      <w:r w:rsidR="009138EC">
        <w:rPr>
          <w:rFonts w:ascii="AvantGarde Bk BT" w:hAnsi="AvantGarde Bk BT" w:cs="Arial"/>
          <w:color w:val="000000" w:themeColor="text1"/>
          <w:sz w:val="24"/>
          <w:szCs w:val="24"/>
        </w:rPr>
        <w:t xml:space="preserve"> de dos mil veintiséis</w:t>
      </w:r>
      <w:r w:rsidR="009138EC" w:rsidRPr="007C5605">
        <w:rPr>
          <w:rFonts w:ascii="AvantGarde Bk BT" w:hAnsi="AvantGarde Bk BT" w:cs="Arial"/>
          <w:color w:val="000000" w:themeColor="text1"/>
          <w:sz w:val="24"/>
          <w:szCs w:val="24"/>
        </w:rPr>
        <w:t xml:space="preserve"> la presidencia de esta Comisión de Transparencia</w:t>
      </w:r>
      <w:r w:rsidR="009138EC">
        <w:rPr>
          <w:rFonts w:ascii="AvantGarde Bk BT" w:hAnsi="AvantGarde Bk BT" w:cs="Arial"/>
          <w:color w:val="000000" w:themeColor="text1"/>
          <w:sz w:val="24"/>
          <w:szCs w:val="24"/>
        </w:rPr>
        <w:t>, por conducto de la Secretaría de Pleno,</w:t>
      </w:r>
      <w:r w:rsidR="009138EC" w:rsidRPr="007C5605">
        <w:rPr>
          <w:rFonts w:ascii="AvantGarde Bk BT" w:hAnsi="AvantGarde Bk BT" w:cs="Arial"/>
          <w:color w:val="000000" w:themeColor="text1"/>
          <w:sz w:val="24"/>
          <w:szCs w:val="24"/>
        </w:rPr>
        <w:t xml:space="preserve"> tuvo por recibido el recurso de revisión, que por razón de turno, tocó conocer a la ponencia del </w:t>
      </w:r>
      <w:r w:rsidR="009138EC">
        <w:rPr>
          <w:rFonts w:ascii="AvantGarde Bk BT" w:hAnsi="AvantGarde Bk BT" w:cs="Arial"/>
          <w:color w:val="000000" w:themeColor="text1"/>
          <w:sz w:val="24"/>
          <w:szCs w:val="24"/>
        </w:rPr>
        <w:t>Comisionado Licenciado José Gerardo Navarro Alviso</w:t>
      </w:r>
      <w:r w:rsidR="009138EC"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572E244A" w14:textId="4F2B4A77" w:rsidR="009138EC" w:rsidRPr="007C5605" w:rsidRDefault="00C003AC" w:rsidP="009138EC">
      <w:pPr>
        <w:pStyle w:val="corte4fondo"/>
        <w:tabs>
          <w:tab w:val="left" w:pos="567"/>
        </w:tabs>
        <w:ind w:left="113" w:firstLine="680"/>
        <w:rPr>
          <w:rFonts w:ascii="AvantGarde Bk BT" w:hAnsi="AvantGarde Bk BT" w:cs="Arial"/>
          <w:color w:val="000000" w:themeColor="text1"/>
          <w:sz w:val="24"/>
          <w:szCs w:val="24"/>
        </w:rPr>
      </w:pPr>
      <w:r w:rsidRPr="00BC312E">
        <w:rPr>
          <w:rFonts w:ascii="AvantGarde Bk BT" w:hAnsi="AvantGarde Bk BT" w:cs="Arial"/>
          <w:b/>
          <w:color w:val="000000" w:themeColor="text1"/>
          <w:sz w:val="24"/>
          <w:szCs w:val="24"/>
        </w:rPr>
        <w:t xml:space="preserve">SEXTO. </w:t>
      </w:r>
      <w:r w:rsidR="009138EC" w:rsidRPr="003D5C15">
        <w:rPr>
          <w:rFonts w:ascii="AvantGarde Bk BT" w:hAnsi="AvantGarde Bk BT" w:cs="Arial"/>
          <w:b/>
          <w:color w:val="000000" w:themeColor="text1"/>
          <w:sz w:val="24"/>
          <w:szCs w:val="24"/>
        </w:rPr>
        <w:t>Auto de admisión</w:t>
      </w:r>
      <w:r w:rsidR="009138EC">
        <w:rPr>
          <w:rFonts w:ascii="AvantGarde Bk BT" w:hAnsi="AvantGarde Bk BT" w:cs="Arial"/>
          <w:color w:val="000000" w:themeColor="text1"/>
          <w:sz w:val="24"/>
          <w:szCs w:val="24"/>
        </w:rPr>
        <w:t xml:space="preserve">. Por proveído de </w:t>
      </w:r>
      <w:r>
        <w:rPr>
          <w:rFonts w:ascii="AvantGarde Bk BT" w:hAnsi="AvantGarde Bk BT" w:cs="Arial"/>
          <w:color w:val="000000" w:themeColor="text1"/>
          <w:sz w:val="24"/>
          <w:szCs w:val="24"/>
        </w:rPr>
        <w:t>doce d ejunio</w:t>
      </w:r>
      <w:r w:rsidR="009138EC">
        <w:rPr>
          <w:rFonts w:ascii="AvantGarde Bk BT" w:hAnsi="AvantGarde Bk BT" w:cs="Arial"/>
          <w:color w:val="000000" w:themeColor="text1"/>
          <w:sz w:val="24"/>
          <w:szCs w:val="24"/>
        </w:rPr>
        <w:t xml:space="preserve"> de dos mil veintiséis, esta Comisión</w:t>
      </w:r>
      <w:r w:rsidR="009138EC" w:rsidRPr="007C5605">
        <w:rPr>
          <w:rFonts w:ascii="AvantGarde Bk BT" w:hAnsi="AvantGarde Bk BT" w:cs="Arial"/>
          <w:color w:val="000000" w:themeColor="text1"/>
          <w:sz w:val="24"/>
          <w:szCs w:val="24"/>
        </w:rPr>
        <w:t>:</w:t>
      </w:r>
    </w:p>
    <w:p w14:paraId="20331F06"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6439F17C" w14:textId="1D8D23E1" w:rsidR="009138EC" w:rsidRPr="00D85914"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4D6912">
        <w:rPr>
          <w:rFonts w:ascii="AvantGarde Bk BT" w:hAnsi="AvantGarde Bk BT" w:cs="Arial"/>
          <w:b/>
          <w:color w:val="000000" w:themeColor="text1"/>
          <w:sz w:val="24"/>
          <w:szCs w:val="24"/>
        </w:rPr>
        <w:t>2</w:t>
      </w:r>
      <w:r w:rsidR="00C003AC">
        <w:rPr>
          <w:rFonts w:ascii="AvantGarde Bk BT" w:hAnsi="AvantGarde Bk BT" w:cs="Arial"/>
          <w:b/>
          <w:color w:val="000000" w:themeColor="text1"/>
          <w:sz w:val="24"/>
          <w:szCs w:val="24"/>
        </w:rPr>
        <w:t>99</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DF206C1"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68F9D262" w14:textId="4C653035"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00C003AC" w:rsidRPr="00AF12A6">
        <w:rPr>
          <w:rFonts w:ascii="AvantGarde Bk BT" w:hAnsi="AvantGarde Bk BT" w:cs="Arial"/>
          <w:b/>
          <w:color w:val="000000" w:themeColor="text1"/>
          <w:sz w:val="24"/>
          <w:szCs w:val="24"/>
        </w:rPr>
        <w:t>la</w:t>
      </w:r>
      <w:r w:rsidR="00C003AC">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IV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5308E340" w14:textId="6BEC0F85" w:rsidR="009138EC" w:rsidRPr="00D6546A"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l </w:t>
      </w:r>
      <w:r w:rsidR="00C003AC">
        <w:rPr>
          <w:rFonts w:ascii="AvantGarde Bk BT" w:hAnsi="AvantGarde Bk BT" w:cs="Arial"/>
          <w:b/>
          <w:color w:val="000000" w:themeColor="text1"/>
          <w:sz w:val="24"/>
          <w:szCs w:val="24"/>
        </w:rPr>
        <w:t>MUNICIPIO DE SAN LUIS POTOSÍ</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1702EC70"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66354486"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2492BF98"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w:t>
      </w:r>
      <w:r>
        <w:rPr>
          <w:rFonts w:ascii="AvantGarde Bk BT" w:hAnsi="AvantGarde Bk BT" w:cs="Arial"/>
          <w:color w:val="000000" w:themeColor="text1"/>
          <w:sz w:val="24"/>
          <w:szCs w:val="24"/>
        </w:rPr>
        <w:lastRenderedPageBreak/>
        <w:t>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2CCCE7D0"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6E0B267D" w14:textId="2983DF9D" w:rsidR="00CB72BB" w:rsidRPr="002739AB" w:rsidRDefault="009138EC" w:rsidP="002739AB">
      <w:pPr>
        <w:pStyle w:val="corte4fondo"/>
        <w:numPr>
          <w:ilvl w:val="0"/>
          <w:numId w:val="44"/>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41A946FA" w14:textId="12298774" w:rsidR="002739AB" w:rsidRPr="00D63D8E" w:rsidRDefault="00C003AC" w:rsidP="002739AB">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SÉPTIMO. </w:t>
      </w:r>
      <w:r w:rsidR="002739AB">
        <w:rPr>
          <w:rFonts w:ascii="AvantGarde Bk BT" w:hAnsi="AvantGarde Bk BT" w:cs="Arial"/>
          <w:b/>
          <w:color w:val="000000" w:themeColor="text1"/>
          <w:sz w:val="24"/>
          <w:szCs w:val="24"/>
        </w:rPr>
        <w:t>Recepción d</w:t>
      </w:r>
      <w:r w:rsidR="004D6912">
        <w:rPr>
          <w:rFonts w:ascii="AvantGarde Bk BT" w:hAnsi="AvantGarde Bk BT" w:cs="Arial"/>
          <w:b/>
          <w:color w:val="000000" w:themeColor="text1"/>
          <w:sz w:val="24"/>
          <w:szCs w:val="24"/>
        </w:rPr>
        <w:t xml:space="preserve">el informe del sujeto obligado </w:t>
      </w:r>
      <w:r w:rsidR="002739AB">
        <w:rPr>
          <w:rFonts w:ascii="AvantGarde Bk BT" w:hAnsi="AvantGarde Bk BT" w:cs="Arial"/>
          <w:b/>
          <w:color w:val="000000" w:themeColor="text1"/>
          <w:sz w:val="24"/>
          <w:szCs w:val="24"/>
        </w:rPr>
        <w:t>y c</w:t>
      </w:r>
      <w:r w:rsidR="002739AB" w:rsidRPr="00DC67E0">
        <w:rPr>
          <w:rFonts w:ascii="AvantGarde Bk BT" w:hAnsi="AvantGarde Bk BT" w:cs="Arial"/>
          <w:b/>
          <w:color w:val="000000" w:themeColor="text1"/>
          <w:sz w:val="24"/>
          <w:szCs w:val="24"/>
        </w:rPr>
        <w:t>ierre de instrucción.</w:t>
      </w:r>
      <w:r w:rsidR="002739AB" w:rsidRPr="00DC67E0">
        <w:rPr>
          <w:rFonts w:ascii="AvantGarde Bk BT" w:hAnsi="AvantGarde Bk BT" w:cs="Arial"/>
          <w:color w:val="000000" w:themeColor="text1"/>
          <w:sz w:val="24"/>
          <w:szCs w:val="24"/>
        </w:rPr>
        <w:t xml:space="preserve"> </w:t>
      </w:r>
      <w:r w:rsidR="002739AB" w:rsidRPr="00D63D8E">
        <w:rPr>
          <w:rFonts w:ascii="AvantGarde Bk BT" w:hAnsi="AvantGarde Bk BT" w:cs="Arial"/>
          <w:color w:val="000000" w:themeColor="text1"/>
          <w:sz w:val="24"/>
          <w:szCs w:val="24"/>
        </w:rPr>
        <w:t xml:space="preserve">Mediante el auto del </w:t>
      </w:r>
      <w:r>
        <w:rPr>
          <w:rFonts w:ascii="AvantGarde Bk BT" w:hAnsi="AvantGarde Bk BT" w:cs="Arial"/>
          <w:color w:val="000000" w:themeColor="text1"/>
          <w:sz w:val="24"/>
          <w:szCs w:val="24"/>
        </w:rPr>
        <w:t>veintiséis</w:t>
      </w:r>
      <w:r w:rsidR="008E5588">
        <w:rPr>
          <w:rFonts w:ascii="AvantGarde Bk BT" w:hAnsi="AvantGarde Bk BT" w:cs="Arial"/>
          <w:color w:val="000000" w:themeColor="text1"/>
          <w:sz w:val="24"/>
          <w:szCs w:val="24"/>
        </w:rPr>
        <w:t xml:space="preserve"> de junio</w:t>
      </w:r>
      <w:r w:rsidR="002739AB">
        <w:rPr>
          <w:rFonts w:ascii="AvantGarde Bk BT" w:hAnsi="AvantGarde Bk BT" w:cs="Arial"/>
          <w:color w:val="000000" w:themeColor="text1"/>
          <w:sz w:val="24"/>
          <w:szCs w:val="24"/>
        </w:rPr>
        <w:t xml:space="preserve"> de dos mil veintiséis</w:t>
      </w:r>
      <w:r w:rsidR="002739AB" w:rsidRPr="00D63D8E">
        <w:rPr>
          <w:rFonts w:ascii="AvantGarde Bk BT" w:hAnsi="AvantGarde Bk BT" w:cs="Arial"/>
          <w:color w:val="000000" w:themeColor="text1"/>
          <w:sz w:val="24"/>
          <w:szCs w:val="24"/>
        </w:rPr>
        <w:t>, esta Comisión:</w:t>
      </w:r>
    </w:p>
    <w:p w14:paraId="1614B6F2" w14:textId="64542575" w:rsidR="002739AB" w:rsidRPr="00D63D8E" w:rsidRDefault="008E5588" w:rsidP="002739AB">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Agregó a los autos un oficio </w:t>
      </w:r>
      <w:r w:rsidR="006A640B">
        <w:rPr>
          <w:rFonts w:ascii="AvantGarde Bk BT" w:hAnsi="AvantGarde Bk BT" w:cs="Arial"/>
          <w:color w:val="000000" w:themeColor="text1"/>
          <w:sz w:val="24"/>
          <w:szCs w:val="24"/>
        </w:rPr>
        <w:t>UT 0572/2026</w:t>
      </w:r>
      <w:r w:rsidR="002739AB" w:rsidRPr="002739AB">
        <w:rPr>
          <w:rFonts w:ascii="AvantGarde Bk BT" w:hAnsi="AvantGarde Bk BT" w:cs="Arial"/>
          <w:color w:val="000000" w:themeColor="text1"/>
          <w:sz w:val="24"/>
          <w:szCs w:val="24"/>
        </w:rPr>
        <w:t xml:space="preserve">, signado por </w:t>
      </w:r>
      <w:r w:rsidR="006A640B">
        <w:rPr>
          <w:rFonts w:ascii="AvantGarde Bk BT" w:hAnsi="AvantGarde Bk BT" w:cs="Arial"/>
          <w:color w:val="000000" w:themeColor="text1"/>
          <w:sz w:val="24"/>
          <w:szCs w:val="24"/>
        </w:rPr>
        <w:t>Carlos Eduardo Medina Guerrero</w:t>
      </w:r>
      <w:r w:rsidR="002739AB" w:rsidRPr="002739AB">
        <w:rPr>
          <w:rFonts w:ascii="AvantGarde Bk BT" w:hAnsi="AvantGarde Bk BT" w:cs="Arial"/>
          <w:color w:val="000000" w:themeColor="text1"/>
          <w:sz w:val="24"/>
          <w:szCs w:val="24"/>
        </w:rPr>
        <w:t xml:space="preserve">, Titular de la Unidad de Transparencia del </w:t>
      </w:r>
      <w:r w:rsidR="006A640B">
        <w:rPr>
          <w:rFonts w:ascii="AvantGarde Bk BT" w:hAnsi="AvantGarde Bk BT" w:cs="Arial"/>
          <w:color w:val="000000" w:themeColor="text1"/>
          <w:sz w:val="24"/>
          <w:szCs w:val="24"/>
        </w:rPr>
        <w:t>Municipio de San Luis Potosí</w:t>
      </w:r>
      <w:r>
        <w:rPr>
          <w:rFonts w:ascii="AvantGarde Bk BT" w:hAnsi="AvantGarde Bk BT" w:cs="Arial"/>
          <w:color w:val="000000" w:themeColor="text1"/>
          <w:sz w:val="24"/>
          <w:szCs w:val="24"/>
        </w:rPr>
        <w:t>, recibido</w:t>
      </w:r>
      <w:r w:rsidR="002739AB">
        <w:rPr>
          <w:rFonts w:ascii="AvantGarde Bk BT" w:hAnsi="AvantGarde Bk BT" w:cs="Arial"/>
          <w:color w:val="000000" w:themeColor="text1"/>
          <w:sz w:val="24"/>
          <w:szCs w:val="24"/>
        </w:rPr>
        <w:t xml:space="preserve"> en la Oficialía de Partes de esta Comisión el </w:t>
      </w:r>
      <w:r w:rsidR="006A640B">
        <w:rPr>
          <w:rFonts w:ascii="AvantGarde Bk BT" w:hAnsi="AvantGarde Bk BT" w:cs="Arial"/>
          <w:color w:val="000000" w:themeColor="text1"/>
          <w:sz w:val="24"/>
          <w:szCs w:val="24"/>
        </w:rPr>
        <w:t>veinticuatro de junio</w:t>
      </w:r>
      <w:r w:rsidR="002739A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dos mil veintiséis</w:t>
      </w:r>
      <w:r w:rsidR="002739AB" w:rsidRPr="00D63D8E">
        <w:rPr>
          <w:rFonts w:ascii="AvantGarde Bk BT" w:hAnsi="AvantGarde Bk BT" w:cs="Arial"/>
          <w:color w:val="000000" w:themeColor="text1"/>
          <w:sz w:val="24"/>
          <w:szCs w:val="24"/>
        </w:rPr>
        <w:t>.</w:t>
      </w:r>
    </w:p>
    <w:p w14:paraId="33BB1863" w14:textId="77777777" w:rsidR="002739AB" w:rsidRPr="00D63D8E" w:rsidRDefault="002739AB" w:rsidP="002739AB">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2BA369D4" w14:textId="260610FF" w:rsidR="002739AB" w:rsidRDefault="002739AB" w:rsidP="002739AB">
      <w:pPr>
        <w:pStyle w:val="corte4fondo"/>
        <w:numPr>
          <w:ilvl w:val="0"/>
          <w:numId w:val="44"/>
        </w:numPr>
        <w:rPr>
          <w:rFonts w:ascii="AvantGarde Bk BT" w:hAnsi="AvantGarde Bk BT" w:cs="Arial"/>
          <w:color w:val="000000" w:themeColor="text1"/>
          <w:sz w:val="24"/>
          <w:szCs w:val="24"/>
        </w:rPr>
      </w:pPr>
      <w:r w:rsidRPr="00D63D8E">
        <w:rPr>
          <w:rFonts w:ascii="AvantGarde Bk BT" w:hAnsi="AvantGarde Bk BT" w:cs="Arial"/>
          <w:color w:val="000000" w:themeColor="text1"/>
          <w:sz w:val="24"/>
          <w:szCs w:val="24"/>
        </w:rPr>
        <w:t>En cuanto al peticionario, feneció el plazo para que presentara pruebas y manifestara lo que a su derecho conviniera.</w:t>
      </w:r>
    </w:p>
    <w:p w14:paraId="371FB804" w14:textId="77777777" w:rsidR="002739AB" w:rsidRPr="00D63D8E" w:rsidRDefault="002739AB" w:rsidP="002739AB">
      <w:pPr>
        <w:pStyle w:val="corte4fondo"/>
        <w:numPr>
          <w:ilvl w:val="0"/>
          <w:numId w:val="44"/>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w:t>
      </w:r>
      <w:r w:rsidRPr="00D63D8E">
        <w:rPr>
          <w:rFonts w:ascii="AvantGarde Bk BT" w:hAnsi="AvantGarde Bk BT" w:cs="Arial"/>
          <w:color w:val="000000" w:themeColor="text1"/>
          <w:sz w:val="24"/>
          <w:szCs w:val="24"/>
        </w:rPr>
        <w:t xml:space="preserve">decretó el cierre del periodo de instrucción con fundamento en lo previsto por el artículo 174, fracciones V y VII de la Ley de la materia y procedió a elaborar el proyecto de resolución.  </w:t>
      </w:r>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04F0EFC5"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7C74491C" w14:textId="67F44F66"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8A6931">
        <w:rPr>
          <w:rFonts w:ascii="AvantGarde Bk BT" w:hAnsi="AvantGarde Bk BT" w:cs="Arial"/>
          <w:color w:val="000000" w:themeColor="text1"/>
          <w:sz w:val="24"/>
          <w:szCs w:val="24"/>
        </w:rPr>
        <w:t>•</w:t>
      </w:r>
      <w:r w:rsidR="0007170B" w:rsidRPr="008A6931">
        <w:rPr>
          <w:rFonts w:ascii="AvantGarde Bk BT" w:hAnsi="AvantGarde Bk BT" w:cs="Arial"/>
          <w:color w:val="000000" w:themeColor="text1"/>
          <w:sz w:val="24"/>
          <w:szCs w:val="24"/>
        </w:rPr>
        <w:t xml:space="preserve"> </w:t>
      </w:r>
      <w:r w:rsidR="006A640B" w:rsidRPr="008A6931">
        <w:rPr>
          <w:rFonts w:ascii="AvantGarde Bk BT" w:hAnsi="AvantGarde Bk BT" w:cs="Arial"/>
          <w:color w:val="000000" w:themeColor="text1"/>
          <w:sz w:val="24"/>
          <w:szCs w:val="24"/>
        </w:rPr>
        <w:t xml:space="preserve">El </w:t>
      </w:r>
      <w:r w:rsidR="006A640B">
        <w:rPr>
          <w:rFonts w:ascii="AvantGarde Bk BT" w:hAnsi="AvantGarde Bk BT" w:cs="Arial"/>
          <w:color w:val="000000" w:themeColor="text1"/>
          <w:sz w:val="24"/>
          <w:szCs w:val="24"/>
        </w:rPr>
        <w:t>cinco de junio</w:t>
      </w:r>
      <w:r w:rsidR="00782DDF">
        <w:rPr>
          <w:rFonts w:ascii="AvantGarde Bk BT" w:hAnsi="AvantGarde Bk BT" w:cs="Arial"/>
          <w:color w:val="000000" w:themeColor="text1"/>
          <w:sz w:val="24"/>
          <w:szCs w:val="24"/>
        </w:rPr>
        <w:t xml:space="preserve"> de dos mil veintiséis</w:t>
      </w:r>
      <w:r w:rsidRPr="008A6931">
        <w:rPr>
          <w:rFonts w:ascii="AvantGarde Bk BT" w:hAnsi="AvantGarde Bk BT" w:cs="Arial"/>
          <w:color w:val="000000" w:themeColor="text1"/>
          <w:sz w:val="24"/>
          <w:szCs w:val="24"/>
        </w:rPr>
        <w:t xml:space="preserve">, el peticionario </w:t>
      </w:r>
      <w:r w:rsidR="008A6931">
        <w:rPr>
          <w:rFonts w:ascii="AvantGarde Bk BT" w:hAnsi="AvantGarde Bk BT" w:cs="Arial"/>
          <w:color w:val="000000" w:themeColor="text1"/>
          <w:sz w:val="24"/>
          <w:szCs w:val="24"/>
        </w:rPr>
        <w:t>recibió respuesta por parte</w:t>
      </w:r>
      <w:r w:rsidRPr="008A6931">
        <w:rPr>
          <w:rFonts w:ascii="AvantGarde Bk BT" w:hAnsi="AvantGarde Bk BT" w:cs="Arial"/>
          <w:color w:val="000000" w:themeColor="text1"/>
          <w:sz w:val="24"/>
          <w:szCs w:val="24"/>
        </w:rPr>
        <w:t xml:space="preserve"> </w:t>
      </w:r>
      <w:r w:rsidR="008A6931">
        <w:rPr>
          <w:rFonts w:ascii="AvantGarde Bk BT" w:hAnsi="AvantGarde Bk BT" w:cs="Arial"/>
          <w:color w:val="000000" w:themeColor="text1"/>
          <w:sz w:val="24"/>
          <w:szCs w:val="24"/>
        </w:rPr>
        <w:t>d</w:t>
      </w:r>
      <w:r w:rsidRPr="008A6931">
        <w:rPr>
          <w:rFonts w:ascii="AvantGarde Bk BT" w:hAnsi="AvantGarde Bk BT" w:cs="Arial"/>
          <w:color w:val="000000" w:themeColor="text1"/>
          <w:sz w:val="24"/>
          <w:szCs w:val="24"/>
        </w:rPr>
        <w:t>el sujeto obligado.</w:t>
      </w:r>
    </w:p>
    <w:p w14:paraId="3C91E9D9" w14:textId="099662CB"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sidR="008A6931">
        <w:rPr>
          <w:rFonts w:ascii="AvantGarde Bk BT" w:hAnsi="AvantGarde Bk BT" w:cs="Arial"/>
          <w:color w:val="000000" w:themeColor="text1"/>
          <w:sz w:val="24"/>
          <w:szCs w:val="24"/>
        </w:rPr>
        <w:t>Por lo tanto</w:t>
      </w:r>
      <w:r>
        <w:rPr>
          <w:rFonts w:ascii="AvantGarde Bk BT" w:hAnsi="AvantGarde Bk BT" w:cs="Arial"/>
          <w:color w:val="000000" w:themeColor="text1"/>
          <w:sz w:val="24"/>
          <w:szCs w:val="24"/>
        </w:rPr>
        <w:t xml:space="preserve">, </w:t>
      </w:r>
      <w:r w:rsidR="008A6931" w:rsidRPr="008A6931">
        <w:rPr>
          <w:rFonts w:ascii="AvantGarde Bk BT" w:hAnsi="AvantGarde Bk BT" w:cs="Arial"/>
          <w:color w:val="000000" w:themeColor="text1"/>
          <w:sz w:val="24"/>
          <w:szCs w:val="24"/>
        </w:rPr>
        <w:t>el plazo de los quince días hábiles para interponer el recurso de revisión transcurrió</w:t>
      </w:r>
      <w:r>
        <w:rPr>
          <w:rFonts w:ascii="AvantGarde Bk BT" w:hAnsi="AvantGarde Bk BT" w:cs="Arial"/>
          <w:color w:val="000000" w:themeColor="text1"/>
          <w:sz w:val="24"/>
          <w:szCs w:val="24"/>
        </w:rPr>
        <w:t xml:space="preserve"> del </w:t>
      </w:r>
      <w:r w:rsidR="006A640B">
        <w:rPr>
          <w:rFonts w:ascii="AvantGarde Bk BT" w:hAnsi="AvantGarde Bk BT" w:cs="Arial"/>
          <w:color w:val="000000" w:themeColor="text1"/>
          <w:sz w:val="24"/>
          <w:szCs w:val="24"/>
        </w:rPr>
        <w:t xml:space="preserve">ocho al veintiséis de junio </w:t>
      </w:r>
      <w:r w:rsidR="002E4587">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sin tomar en cuenta </w:t>
      </w:r>
      <w:r w:rsidR="006A640B">
        <w:rPr>
          <w:rFonts w:ascii="AvantGarde Bk BT" w:hAnsi="AvantGarde Bk BT" w:cs="Arial"/>
          <w:color w:val="000000" w:themeColor="text1"/>
          <w:sz w:val="24"/>
          <w:szCs w:val="24"/>
        </w:rPr>
        <w:t>seis, siete, trece, catorce, veinte y veintiuno de junio</w:t>
      </w:r>
      <w:r w:rsidR="002E4587">
        <w:rPr>
          <w:rFonts w:ascii="AvantGarde Bk BT" w:hAnsi="AvantGarde Bk BT" w:cs="Arial"/>
          <w:color w:val="000000" w:themeColor="text1"/>
          <w:sz w:val="24"/>
          <w:szCs w:val="24"/>
        </w:rPr>
        <w:t xml:space="preserve"> de dos mil veintiséis, </w:t>
      </w:r>
      <w:r w:rsidR="002239D8">
        <w:rPr>
          <w:rFonts w:ascii="AvantGarde Bk BT" w:hAnsi="AvantGarde Bk BT" w:cs="Arial"/>
          <w:color w:val="000000" w:themeColor="text1"/>
          <w:sz w:val="24"/>
          <w:szCs w:val="24"/>
        </w:rPr>
        <w:t>por ser inhábiles</w:t>
      </w:r>
      <w:r>
        <w:rPr>
          <w:rFonts w:ascii="AvantGarde Bk BT" w:hAnsi="AvantGarde Bk BT" w:cs="Arial"/>
          <w:color w:val="000000" w:themeColor="text1"/>
          <w:sz w:val="24"/>
          <w:szCs w:val="24"/>
        </w:rPr>
        <w:t>.</w:t>
      </w:r>
    </w:p>
    <w:p w14:paraId="52530DF1" w14:textId="1286B839"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6A640B">
        <w:rPr>
          <w:rFonts w:ascii="AvantGarde Bk BT" w:hAnsi="AvantGarde Bk BT" w:cs="Arial"/>
          <w:color w:val="000000" w:themeColor="text1"/>
          <w:sz w:val="24"/>
          <w:szCs w:val="24"/>
        </w:rPr>
        <w:t>ocho de junio</w:t>
      </w:r>
      <w:r w:rsidR="00782DDF">
        <w:rPr>
          <w:rFonts w:ascii="AvantGarde Bk BT" w:hAnsi="AvantGarde Bk BT" w:cs="Arial"/>
          <w:color w:val="000000" w:themeColor="text1"/>
          <w:sz w:val="24"/>
          <w:szCs w:val="24"/>
        </w:rPr>
        <w:t xml:space="preserve"> de dos mil veintiséis</w:t>
      </w:r>
      <w:r w:rsidR="002239D8">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l</w:t>
      </w:r>
      <w:r w:rsidR="002239D8">
        <w:rPr>
          <w:rFonts w:ascii="AvantGarde Bk BT" w:hAnsi="AvantGarde Bk BT" w:cs="Arial"/>
          <w:color w:val="000000" w:themeColor="text1"/>
          <w:sz w:val="24"/>
          <w:szCs w:val="24"/>
        </w:rPr>
        <w:t>a parte</w:t>
      </w:r>
      <w:r w:rsidRPr="00EA2555">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w:t>
      </w:r>
      <w:r w:rsidRPr="007F0BFC">
        <w:rPr>
          <w:rFonts w:ascii="AvantGarde Bk BT" w:hAnsi="AvantGarde Bk BT" w:cs="Arial"/>
          <w:color w:val="000000" w:themeColor="text1"/>
          <w:sz w:val="24"/>
          <w:szCs w:val="24"/>
        </w:rPr>
        <w:lastRenderedPageBreak/>
        <w:t>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4E2E98F1" w14:textId="0E371A6F" w:rsidR="00714CB5" w:rsidRPr="00714CB5" w:rsidRDefault="00AE0DBD" w:rsidP="00714CB5">
      <w:pPr>
        <w:pStyle w:val="corte4fondo"/>
        <w:tabs>
          <w:tab w:val="left" w:pos="567"/>
        </w:tabs>
        <w:rPr>
          <w:rFonts w:ascii="AvantGarde Bk BT" w:hAnsi="AvantGarde Bk BT" w:cs="Arial"/>
          <w:color w:val="000000"/>
          <w:sz w:val="24"/>
          <w:szCs w:val="24"/>
        </w:rPr>
      </w:pPr>
      <w:r w:rsidRPr="007C5605">
        <w:rPr>
          <w:rFonts w:ascii="AvantGarde Bk BT" w:hAnsi="AvantGarde Bk BT" w:cs="Arial"/>
          <w:b/>
          <w:color w:val="000000" w:themeColor="text1"/>
          <w:sz w:val="24"/>
          <w:szCs w:val="24"/>
        </w:rPr>
        <w:lastRenderedPageBreak/>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F05B70">
        <w:rPr>
          <w:rFonts w:ascii="AvantGarde Bk BT" w:hAnsi="AvantGarde Bk BT" w:cs="Arial"/>
          <w:b/>
          <w:color w:val="000000" w:themeColor="text1"/>
          <w:sz w:val="24"/>
          <w:szCs w:val="24"/>
        </w:rPr>
        <w:t>Sobreseimiento</w:t>
      </w:r>
      <w:r w:rsidR="00E215D2" w:rsidRPr="0065124E">
        <w:rPr>
          <w:rFonts w:ascii="AvantGarde Bk BT" w:hAnsi="AvantGarde Bk BT" w:cs="Arial"/>
          <w:b/>
          <w:color w:val="000000" w:themeColor="text1"/>
          <w:sz w:val="24"/>
          <w:szCs w:val="24"/>
        </w:rPr>
        <w:t>.</w:t>
      </w:r>
      <w:r w:rsidR="00E215D2" w:rsidRPr="0065124E">
        <w:rPr>
          <w:rFonts w:ascii="AvantGarde Bk BT" w:hAnsi="AvantGarde Bk BT" w:cs="Arial"/>
          <w:color w:val="000000" w:themeColor="text1"/>
          <w:sz w:val="24"/>
          <w:szCs w:val="24"/>
        </w:rPr>
        <w:t xml:space="preserve">  </w:t>
      </w:r>
      <w:r w:rsidR="00714CB5" w:rsidRPr="00714CB5">
        <w:rPr>
          <w:rFonts w:ascii="AvantGarde Bk BT" w:hAnsi="AvantGarde Bk BT" w:cs="Arial"/>
          <w:color w:val="000000"/>
          <w:sz w:val="24"/>
          <w:szCs w:val="24"/>
        </w:rPr>
        <w:t>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14:paraId="6CAE2978"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color w:val="000000"/>
          <w:sz w:val="24"/>
          <w:szCs w:val="24"/>
        </w:rPr>
        <w:t>“</w:t>
      </w:r>
      <w:r w:rsidRPr="00714CB5">
        <w:rPr>
          <w:rFonts w:ascii="AvantGarde Bk BT" w:eastAsia="Times New Roman" w:hAnsi="AvantGarde Bk BT" w:cs="Arial"/>
          <w:b/>
          <w:i/>
          <w:color w:val="000000"/>
        </w:rPr>
        <w:t xml:space="preserve">ARTÍCULO 180. </w:t>
      </w:r>
      <w:r w:rsidRPr="00714CB5">
        <w:rPr>
          <w:rFonts w:ascii="AvantGarde Bk BT" w:eastAsia="Times New Roman" w:hAnsi="AvantGarde Bk BT" w:cs="Arial"/>
          <w:i/>
          <w:color w:val="000000"/>
        </w:rPr>
        <w:t>El recurso será sobreseído, en todo o en parte, cuando, una vez admitido, se actualicen alguno de los siguientes supuestos:</w:t>
      </w:r>
    </w:p>
    <w:p w14:paraId="7079CB37"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 El recurrente se desista;</w:t>
      </w:r>
    </w:p>
    <w:p w14:paraId="0B75E91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 El recurrente fallezca;</w:t>
      </w:r>
    </w:p>
    <w:p w14:paraId="457C687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III. El sujeto obligado responsable del acto lo modifique o revoque de tal manera que el recurso de revisión quede sin materia, o</w:t>
      </w:r>
    </w:p>
    <w:p w14:paraId="50C10EF3" w14:textId="77777777" w:rsidR="00714CB5" w:rsidRPr="00714CB5" w:rsidRDefault="00714CB5" w:rsidP="00714CB5">
      <w:pPr>
        <w:tabs>
          <w:tab w:val="left" w:pos="567"/>
        </w:tabs>
        <w:spacing w:after="240" w:line="240" w:lineRule="auto"/>
        <w:ind w:left="680" w:right="680"/>
        <w:jc w:val="both"/>
        <w:rPr>
          <w:rFonts w:ascii="AvantGarde Bk BT" w:eastAsia="Times New Roman" w:hAnsi="AvantGarde Bk BT" w:cs="Arial"/>
          <w:b/>
          <w:color w:val="000000"/>
          <w:sz w:val="24"/>
          <w:szCs w:val="24"/>
        </w:rPr>
      </w:pPr>
      <w:r w:rsidRPr="00714CB5">
        <w:rPr>
          <w:rFonts w:ascii="AvantGarde Bk BT" w:eastAsia="Times New Roman" w:hAnsi="AvantGarde Bk BT" w:cs="Arial"/>
          <w:i/>
          <w:color w:val="000000"/>
        </w:rPr>
        <w:t>IV. Admitido el recurso de revisión, aparezca alguna causal de improcedencia en los términos del presente Capítulo.</w:t>
      </w:r>
      <w:r w:rsidRPr="00714CB5">
        <w:rPr>
          <w:rFonts w:ascii="AvantGarde Bk BT" w:eastAsia="Times New Roman" w:hAnsi="AvantGarde Bk BT" w:cs="Arial"/>
          <w:color w:val="000000"/>
          <w:sz w:val="24"/>
          <w:szCs w:val="24"/>
        </w:rPr>
        <w:t>”</w:t>
      </w:r>
    </w:p>
    <w:p w14:paraId="19675912" w14:textId="77777777" w:rsidR="00714CB5" w:rsidRPr="00714CB5" w:rsidRDefault="00714CB5" w:rsidP="00714CB5">
      <w:pPr>
        <w:tabs>
          <w:tab w:val="left" w:pos="567"/>
        </w:tabs>
        <w:spacing w:after="240" w:line="360" w:lineRule="auto"/>
        <w:ind w:firstLine="709"/>
        <w:jc w:val="both"/>
        <w:rPr>
          <w:rFonts w:ascii="AvantGarde Bk BT" w:eastAsia="Times New Roman" w:hAnsi="AvantGarde Bk BT" w:cs="Arial"/>
          <w:color w:val="000000"/>
          <w:sz w:val="24"/>
          <w:szCs w:val="24"/>
        </w:rPr>
      </w:pPr>
      <w:r w:rsidRPr="00714CB5">
        <w:rPr>
          <w:rFonts w:ascii="AvantGarde Bk BT" w:eastAsia="Times New Roman" w:hAnsi="AvantGarde Bk BT" w:cs="Arial"/>
          <w:color w:val="000000"/>
          <w:sz w:val="24"/>
          <w:szCs w:val="24"/>
        </w:rPr>
        <w:t>Del análisis realizado por esta Comisión, se advierte que se actualiza la causal prevista en la fracción III, esto es, que el sujeto obligado responsable del acto impugnado modifique éste, de manera tal que el recurso de revisión se quede sin materia.</w:t>
      </w:r>
    </w:p>
    <w:p w14:paraId="5D8C20AE" w14:textId="48D26AAF" w:rsidR="000D589A" w:rsidRDefault="002239D8" w:rsidP="00714CB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714CB5">
        <w:rPr>
          <w:rFonts w:ascii="AvantGarde Bk BT" w:hAnsi="AvantGarde Bk BT" w:cs="Arial"/>
          <w:color w:val="000000" w:themeColor="text1"/>
          <w:sz w:val="24"/>
          <w:szCs w:val="24"/>
        </w:rPr>
        <w:t xml:space="preserve">esta tesitura, las constancias que integran los autos demuestran que en </w:t>
      </w:r>
      <w:r>
        <w:rPr>
          <w:rFonts w:ascii="AvantGarde Bk BT" w:hAnsi="AvantGarde Bk BT" w:cs="Arial"/>
          <w:color w:val="000000" w:themeColor="text1"/>
          <w:sz w:val="24"/>
          <w:szCs w:val="24"/>
        </w:rPr>
        <w:t xml:space="preserve">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196B0C" w:rsidRPr="00196B0C">
        <w:rPr>
          <w:rFonts w:ascii="AvantGarde Bk BT" w:hAnsi="AvantGarde Bk BT" w:cs="Arial"/>
          <w:color w:val="000000" w:themeColor="text1"/>
          <w:sz w:val="24"/>
          <w:szCs w:val="24"/>
        </w:rPr>
        <w:t>240474426000228</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6B4A4DC6" w14:textId="6D9E89AB" w:rsidR="00FC2715" w:rsidRPr="008D4CCC" w:rsidRDefault="00FC2715" w:rsidP="00547C58">
      <w:pPr>
        <w:tabs>
          <w:tab w:val="left" w:pos="567"/>
        </w:tabs>
        <w:spacing w:line="240" w:lineRule="auto"/>
        <w:ind w:left="680" w:right="680"/>
        <w:jc w:val="both"/>
        <w:rPr>
          <w:rFonts w:ascii="AvantGarde Bk BT" w:eastAsia="Times New Roman" w:hAnsi="AvantGarde Bk BT" w:cs="Arial"/>
          <w:i/>
          <w:color w:val="000000" w:themeColor="text1"/>
          <w:sz w:val="24"/>
          <w:szCs w:val="24"/>
        </w:rPr>
      </w:pPr>
      <w:r w:rsidRPr="007D707E">
        <w:rPr>
          <w:rFonts w:ascii="AvantGarde Bk BT" w:eastAsia="Times New Roman" w:hAnsi="AvantGarde Bk BT" w:cs="Arial"/>
          <w:color w:val="000000" w:themeColor="text1"/>
          <w:sz w:val="24"/>
          <w:szCs w:val="24"/>
        </w:rPr>
        <w:t>“</w:t>
      </w:r>
      <w:r w:rsidRPr="00672060">
        <w:rPr>
          <w:rFonts w:ascii="Tahoma" w:eastAsia="Times New Roman" w:hAnsi="Tahoma" w:cs="Tahoma"/>
          <w:i/>
          <w:color w:val="000000" w:themeColor="text1"/>
          <w:szCs w:val="24"/>
        </w:rPr>
        <w:t>﻿﻿﻿</w:t>
      </w:r>
      <w:r w:rsidR="006A640B" w:rsidRPr="006A640B">
        <w:rPr>
          <w:rFonts w:ascii="AvantGarde Bk BT" w:eastAsia="Times New Roman" w:hAnsi="AvantGarde Bk BT" w:cs="Arial"/>
          <w:i/>
          <w:color w:val="000000" w:themeColor="text1"/>
          <w:szCs w:val="24"/>
        </w:rPr>
        <w:t xml:space="preserve">1.-si Raul Jair Chavez Aranda trabaja actualmente en el ayuntamiento de San Luis Potosí 2,.Si Raúl Jair Chávez ARANDA ya no labora para el h. Ayuntamiento de san Luis Potosí, cual fue el motivo de su baja y con que evidencia documental se cuenta 3.-Si Raúl Jair Chávez ARANDA laboró o prestó sus servicios profesionales para el h. Ayuntamiento de San Luis Potosí el día 13 de junio del 2025 4.-Si Raúl Jair Chávez ARANDA prestó sus servicios profesionales o laboró para el h. Ayuntamiento de San Luis Potosí el lunes 16 de junio del 2025, si es así en que horario y que actividades desarrollo. 5.-Si Raúl Jair Chávez ARANDA prestó sus servicios profesionales o laboró para el h. Ayuntamiento de San Luis Potosí el lunes 17 de junio del 2025, si es así en que horario y que actividades desarrollo. 6.-Si Raúl Jair Chávez ARANDA prestó sus servicios profesionales o laboró para el h. Ayuntamiento de San Luis Potosí el lunes 18 de junio del 2025, si es así en que horario y que actividades desarrollo. 7.-Si Raúl Jair Chávez ARANDA prestó sus servicios profesionales o laboró para el h. Ayuntamiento de San Luis Potosí el lunes 19 de junio del 2025, si es así en que horario y que actividades desarrollo. 8.-Si Raúl Jair Chávez ARANDA prestó sus servicios profesionales o laboró para el h. Ayuntamiento de San Luis Potosí el lunes 20 de junio del 2025, si es así en que horario y que actividades desarrollo. 9.-Si la 2o síndico municipal MA DEL ROSARIO VITA HERVERT laboró El 19 de junio del 2025, si es así que reuniones sostuvo, con quienes y Que actividades desarrollo 10.-Desarrollar una agenda pormenorizada con horarios y actividades de ese día 11.-Proporcionar copia legible y a través de </w:t>
      </w:r>
      <w:r w:rsidR="006A640B" w:rsidRPr="006A640B">
        <w:rPr>
          <w:rFonts w:ascii="AvantGarde Bk BT" w:eastAsia="Times New Roman" w:hAnsi="AvantGarde Bk BT" w:cs="Arial"/>
          <w:i/>
          <w:color w:val="000000" w:themeColor="text1"/>
          <w:szCs w:val="24"/>
        </w:rPr>
        <w:lastRenderedPageBreak/>
        <w:t>la plataforma de transparencia de las entradas y salidas realizadas por Raúl Jair Chávez Aranda para el h. Ayuntamiento de San Luis Potosí, de los días 13, 16,17,18,19, 20, de junio del 2025. 12.-Proporcionar copia legible y a través de la plataforma de transparencia de las entradas y salidas realizadas por Juan Daniel Martínez Robledo para el h. Ayuntamiento de San Luis Potosí, de los días 13, 16,17,18,19, 20, de junio del 2025</w:t>
      </w:r>
      <w:r w:rsidR="00547C58" w:rsidRPr="00547C58">
        <w:rPr>
          <w:rFonts w:ascii="AvantGarde Bk BT" w:eastAsia="Times New Roman" w:hAnsi="AvantGarde Bk BT" w:cs="Arial"/>
          <w:i/>
          <w:color w:val="000000" w:themeColor="text1"/>
          <w:szCs w:val="24"/>
        </w:rPr>
        <w:t>.</w:t>
      </w:r>
      <w:r w:rsidRPr="007D707E">
        <w:rPr>
          <w:rFonts w:ascii="AvantGarde Bk BT" w:eastAsia="Times New Roman" w:hAnsi="AvantGarde Bk BT" w:cs="Arial"/>
          <w:color w:val="000000" w:themeColor="text1"/>
          <w:sz w:val="24"/>
          <w:szCs w:val="24"/>
        </w:rPr>
        <w:t>” SIC.</w:t>
      </w:r>
      <w:r>
        <w:rPr>
          <w:rFonts w:ascii="AvantGarde Bk BT" w:eastAsia="Times New Roman" w:hAnsi="AvantGarde Bk BT" w:cs="Arial"/>
          <w:i/>
          <w:color w:val="000000" w:themeColor="text1"/>
          <w:sz w:val="24"/>
          <w:szCs w:val="24"/>
        </w:rPr>
        <w:t xml:space="preserve"> </w:t>
      </w:r>
      <w:r w:rsidR="006A640B">
        <w:rPr>
          <w:rFonts w:ascii="AvantGarde Bk BT" w:eastAsia="Times New Roman" w:hAnsi="AvantGarde Bk BT" w:cs="Arial"/>
          <w:color w:val="000000" w:themeColor="text1"/>
          <w:sz w:val="24"/>
          <w:szCs w:val="24"/>
        </w:rPr>
        <w:t>(Visible a foja 06</w:t>
      </w:r>
      <w:r w:rsidRPr="007C0FB6">
        <w:rPr>
          <w:rFonts w:ascii="AvantGarde Bk BT" w:eastAsia="Times New Roman" w:hAnsi="AvantGarde Bk BT" w:cs="Arial"/>
          <w:color w:val="000000" w:themeColor="text1"/>
          <w:sz w:val="24"/>
          <w:szCs w:val="24"/>
        </w:rPr>
        <w:t xml:space="preserve"> de autos).</w:t>
      </w:r>
    </w:p>
    <w:p w14:paraId="3599C0B5" w14:textId="21AAEA6E" w:rsidR="00FC2715" w:rsidRDefault="00892191" w:rsidP="00C31BFB">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c</w:t>
      </w:r>
      <w:r w:rsidR="00FC2715">
        <w:rPr>
          <w:rFonts w:ascii="AvantGarde Bk BT" w:hAnsi="AvantGarde Bk BT" w:cs="Arial"/>
          <w:color w:val="000000" w:themeColor="text1"/>
          <w:sz w:val="24"/>
          <w:szCs w:val="24"/>
        </w:rPr>
        <w:t xml:space="preserve">onsta en autos que </w:t>
      </w:r>
      <w:r w:rsidR="00FC2715" w:rsidRPr="00FC2715">
        <w:rPr>
          <w:rFonts w:ascii="AvantGarde Bk BT" w:hAnsi="AvantGarde Bk BT" w:cs="Arial"/>
          <w:color w:val="000000" w:themeColor="text1"/>
          <w:sz w:val="24"/>
          <w:szCs w:val="24"/>
        </w:rPr>
        <w:t xml:space="preserve">el sujeto obligado documentó su respuesta el </w:t>
      </w:r>
      <w:r w:rsidR="00196B0C">
        <w:rPr>
          <w:rFonts w:ascii="AvantGarde Bk BT" w:hAnsi="AvantGarde Bk BT" w:cs="Arial"/>
          <w:color w:val="000000" w:themeColor="text1"/>
          <w:sz w:val="24"/>
          <w:szCs w:val="24"/>
        </w:rPr>
        <w:t>cinco de junio</w:t>
      </w:r>
      <w:r w:rsidR="00FC2715" w:rsidRPr="00FC2715">
        <w:rPr>
          <w:rFonts w:ascii="AvantGarde Bk BT" w:hAnsi="AvantGarde Bk BT" w:cs="Arial"/>
          <w:color w:val="000000" w:themeColor="text1"/>
          <w:sz w:val="24"/>
          <w:szCs w:val="24"/>
        </w:rPr>
        <w:t xml:space="preserve"> de dos mil veintiséis a través de la Plataforma Nacional de Transparencia, misma que obra </w:t>
      </w:r>
      <w:r w:rsidR="00196B0C">
        <w:rPr>
          <w:rFonts w:ascii="AvantGarde Bk BT" w:hAnsi="AvantGarde Bk BT" w:cs="Arial"/>
          <w:color w:val="000000" w:themeColor="text1"/>
          <w:sz w:val="24"/>
          <w:szCs w:val="24"/>
        </w:rPr>
        <w:t>a foja 03 de autos y que se tiene por reproducido como si a la letra se insertase</w:t>
      </w:r>
      <w:r w:rsidR="00FC2715" w:rsidRPr="00FC2715">
        <w:rPr>
          <w:rFonts w:ascii="AvantGarde Bk BT" w:hAnsi="AvantGarde Bk BT" w:cs="Arial"/>
          <w:color w:val="000000" w:themeColor="text1"/>
          <w:sz w:val="24"/>
          <w:szCs w:val="24"/>
        </w:rPr>
        <w:t>.</w:t>
      </w:r>
    </w:p>
    <w:p w14:paraId="22ADD575" w14:textId="77777777" w:rsidR="00FC2715" w:rsidRDefault="00FC2715" w:rsidP="00FC2715">
      <w:pPr>
        <w:pStyle w:val="corte4fondo"/>
        <w:tabs>
          <w:tab w:val="left" w:pos="567"/>
        </w:tabs>
        <w:rPr>
          <w:rFonts w:ascii="AvantGarde Bk BT" w:hAnsi="AvantGarde Bk BT" w:cs="Arial"/>
          <w:sz w:val="24"/>
          <w:szCs w:val="24"/>
        </w:rPr>
      </w:pPr>
      <w:r>
        <w:rPr>
          <w:rFonts w:ascii="AvantGarde Bk BT" w:hAnsi="AvantGarde Bk BT" w:cs="Arial"/>
          <w:sz w:val="24"/>
          <w:szCs w:val="24"/>
        </w:rPr>
        <w:t>Inconforme con la respuesta la persona solicitante interpuso el presente recurso de revisión y señaló como agravio lo siguiente:</w:t>
      </w:r>
    </w:p>
    <w:p w14:paraId="01E2B423" w14:textId="10408022" w:rsidR="00FC2715" w:rsidRPr="00B10255" w:rsidRDefault="00FC2715" w:rsidP="00196B0C">
      <w:pPr>
        <w:pStyle w:val="corte4fondo"/>
        <w:tabs>
          <w:tab w:val="left" w:pos="567"/>
        </w:tabs>
        <w:spacing w:after="240" w:line="240" w:lineRule="auto"/>
        <w:ind w:left="680" w:right="680" w:firstLine="0"/>
        <w:rPr>
          <w:rFonts w:ascii="AvantGarde Bk BT" w:hAnsi="AvantGarde Bk BT" w:cs="Arial"/>
          <w:i/>
          <w:sz w:val="22"/>
          <w:szCs w:val="22"/>
        </w:rPr>
      </w:pPr>
      <w:r>
        <w:rPr>
          <w:rFonts w:ascii="AvantGarde Bk BT" w:hAnsi="AvantGarde Bk BT" w:cs="Arial"/>
          <w:sz w:val="24"/>
          <w:szCs w:val="24"/>
        </w:rPr>
        <w:t>“</w:t>
      </w:r>
      <w:r w:rsidR="00196B0C">
        <w:rPr>
          <w:rFonts w:ascii="AvantGarde Bk BT" w:hAnsi="AvantGarde Bk BT" w:cs="Arial"/>
          <w:i/>
          <w:sz w:val="22"/>
          <w:szCs w:val="22"/>
          <w:lang w:val="es-ES"/>
        </w:rPr>
        <w:t>Se solicita que se brinde la información completa, debido a que únicamente se brindó la información de forma parcial, solicitando se contesten las preguntas 9 y 10 de la solicitud de informacion</w:t>
      </w:r>
      <w:r>
        <w:rPr>
          <w:rFonts w:ascii="AvantGarde Bk BT" w:hAnsi="AvantGarde Bk BT" w:cs="Arial"/>
          <w:i/>
          <w:sz w:val="22"/>
        </w:rPr>
        <w:t>.</w:t>
      </w:r>
      <w:r>
        <w:rPr>
          <w:rFonts w:ascii="AvantGarde Bk BT" w:hAnsi="AvantGarde Bk BT" w:cs="Arial"/>
          <w:sz w:val="24"/>
          <w:szCs w:val="24"/>
        </w:rPr>
        <w:t>” SIC. (Visible a foja 01 de autos).</w:t>
      </w:r>
      <w:r w:rsidR="00D327C4">
        <w:rPr>
          <w:rFonts w:ascii="AvantGarde Bk BT" w:hAnsi="AvantGarde Bk BT" w:cs="Arial"/>
          <w:sz w:val="24"/>
          <w:szCs w:val="24"/>
        </w:rPr>
        <w:t xml:space="preserve"> </w:t>
      </w:r>
    </w:p>
    <w:p w14:paraId="7BEA1723" w14:textId="426B3178" w:rsidR="00050F84" w:rsidRDefault="00FC2715" w:rsidP="00D327C4">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lo anterior se desprende que la persona recurrente medularmente se inconformó por </w:t>
      </w:r>
      <w:r w:rsidR="00D327C4">
        <w:rPr>
          <w:rFonts w:ascii="AvantGarde Bk BT" w:hAnsi="AvantGarde Bk BT" w:cs="Arial"/>
          <w:color w:val="000000" w:themeColor="text1"/>
          <w:sz w:val="24"/>
          <w:szCs w:val="24"/>
        </w:rPr>
        <w:t xml:space="preserve">la entrega de información </w:t>
      </w:r>
      <w:r w:rsidR="00196B0C">
        <w:rPr>
          <w:rFonts w:ascii="AvantGarde Bk BT" w:hAnsi="AvantGarde Bk BT" w:cs="Arial"/>
          <w:color w:val="000000" w:themeColor="text1"/>
          <w:sz w:val="24"/>
          <w:szCs w:val="24"/>
        </w:rPr>
        <w:t>incompleta, derivado de la omisión del sujeto obligado de pronunciarse respecto de los puntos nueve y diez de la solicitud de información.</w:t>
      </w:r>
      <w:r w:rsidR="00D54D20">
        <w:rPr>
          <w:rFonts w:ascii="AvantGarde Bk BT" w:hAnsi="AvantGarde Bk BT" w:cs="Arial"/>
          <w:color w:val="000000" w:themeColor="text1"/>
          <w:sz w:val="24"/>
          <w:szCs w:val="24"/>
        </w:rPr>
        <w:t xml:space="preserve"> </w:t>
      </w:r>
    </w:p>
    <w:p w14:paraId="4442BC4B" w14:textId="77777777" w:rsidR="00D327C4" w:rsidRDefault="00D327C4" w:rsidP="00D327C4">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4F3E6D5A" w14:textId="77777777" w:rsidR="00D327C4" w:rsidRDefault="00D327C4" w:rsidP="00D327C4">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01/20 .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28F5E2F3" w14:textId="010412A8"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criterio </w:t>
      </w:r>
      <w:r w:rsidR="00D54D20">
        <w:rPr>
          <w:rFonts w:ascii="AvantGarde Bk BT" w:hAnsi="AvantGarde Bk BT" w:cs="Arial"/>
          <w:color w:val="000000" w:themeColor="text1"/>
          <w:sz w:val="24"/>
          <w:szCs w:val="24"/>
        </w:rPr>
        <w:t>previamente</w:t>
      </w:r>
      <w:r>
        <w:rPr>
          <w:rFonts w:ascii="AvantGarde Bk BT" w:hAnsi="AvantGarde Bk BT" w:cs="Arial"/>
          <w:color w:val="000000" w:themeColor="text1"/>
          <w:sz w:val="24"/>
          <w:szCs w:val="24"/>
        </w:rPr>
        <w:t xml:space="preserve">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7C10422A" w14:textId="77777777"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w:t>
      </w:r>
      <w:r>
        <w:rPr>
          <w:rFonts w:ascii="AvantGarde Bk BT" w:hAnsi="AvantGarde Bk BT" w:cs="Arial"/>
          <w:color w:val="000000" w:themeColor="text1"/>
          <w:sz w:val="24"/>
          <w:szCs w:val="24"/>
        </w:rPr>
        <w:lastRenderedPageBreak/>
        <w:t xml:space="preserve">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0AAB3D89" w14:textId="596C5D21" w:rsidR="000468A0" w:rsidRPr="007A5577" w:rsidRDefault="00AB2011" w:rsidP="00DA312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w:t>
      </w:r>
      <w:r w:rsidR="0037401E">
        <w:rPr>
          <w:rFonts w:ascii="AvantGarde Bk BT" w:hAnsi="AvantGarde Bk BT" w:cs="Arial"/>
          <w:color w:val="000000" w:themeColor="text1"/>
          <w:sz w:val="24"/>
          <w:szCs w:val="24"/>
        </w:rPr>
        <w:t xml:space="preserve"> </w:t>
      </w:r>
      <w:r w:rsidR="00D54D20">
        <w:rPr>
          <w:rFonts w:ascii="AvantGarde Bk BT" w:hAnsi="AvantGarde Bk BT" w:cs="Arial"/>
          <w:color w:val="000000" w:themeColor="text1"/>
          <w:sz w:val="24"/>
          <w:szCs w:val="24"/>
        </w:rPr>
        <w:t xml:space="preserve">dicho lo anterior  es necesario precisar que </w:t>
      </w:r>
      <w:r w:rsidR="00DA312C">
        <w:rPr>
          <w:rFonts w:ascii="AvantGarde Bk BT" w:hAnsi="AvantGarde Bk BT" w:cs="Arial"/>
          <w:color w:val="000000" w:themeColor="text1"/>
          <w:sz w:val="24"/>
          <w:szCs w:val="24"/>
        </w:rPr>
        <w:t xml:space="preserve">la </w:t>
      </w:r>
      <w:r w:rsidRPr="00327C7F">
        <w:rPr>
          <w:rFonts w:ascii="AvantGarde Bk BT" w:hAnsi="AvantGarde Bk BT" w:cs="Arial"/>
          <w:sz w:val="24"/>
          <w:szCs w:val="24"/>
        </w:rPr>
        <w:t>Ley de Transparencia</w:t>
      </w:r>
      <w:r>
        <w:rPr>
          <w:rFonts w:ascii="AvantGarde Bk BT" w:hAnsi="AvantGarde Bk BT" w:cs="Arial"/>
          <w:sz w:val="24"/>
          <w:szCs w:val="24"/>
        </w:rPr>
        <w:t xml:space="preserve"> local</w:t>
      </w:r>
      <w:r w:rsidR="00DA312C">
        <w:rPr>
          <w:rFonts w:ascii="AvantGarde Bk BT" w:hAnsi="AvantGarde Bk BT" w:cs="Arial"/>
          <w:color w:val="000000" w:themeColor="text1"/>
          <w:sz w:val="24"/>
          <w:szCs w:val="24"/>
        </w:rPr>
        <w:t xml:space="preserve"> prescribe que </w:t>
      </w:r>
      <w:r w:rsidR="000468A0" w:rsidRPr="00DA312C">
        <w:rPr>
          <w:rFonts w:ascii="AvantGarde Bk BT" w:hAnsi="AvantGarde Bk BT" w:cs="Arial"/>
          <w:b/>
          <w:sz w:val="24"/>
          <w:szCs w:val="24"/>
          <w:u w:val="single"/>
        </w:rPr>
        <w:t>los sujetos obligados se encuentran constreñidos a proporcionar la información que se encuentra en su posesión</w:t>
      </w:r>
      <w:r w:rsidR="000468A0" w:rsidRPr="00DA312C">
        <w:rPr>
          <w:rFonts w:ascii="AvantGarde Bk BT" w:hAnsi="AvantGarde Bk BT" w:cs="Arial"/>
          <w:sz w:val="24"/>
          <w:szCs w:val="24"/>
        </w:rPr>
        <w:t>, lo anterior para efecto de permitir que el derecho de acceso a la información se encuentre satisfecho</w:t>
      </w:r>
      <w:r w:rsidR="000468A0" w:rsidRPr="00327C7F">
        <w:rPr>
          <w:rFonts w:ascii="AvantGarde Bk BT" w:hAnsi="AvantGarde Bk BT" w:cs="Arial"/>
          <w:sz w:val="24"/>
          <w:szCs w:val="24"/>
        </w:rPr>
        <w:t>.</w:t>
      </w:r>
      <w:r w:rsidR="000468A0" w:rsidRPr="00327C7F">
        <w:rPr>
          <w:rFonts w:ascii="AvantGarde Bk BT" w:hAnsi="AvantGarde Bk BT" w:cs="Arial"/>
          <w:sz w:val="24"/>
          <w:szCs w:val="24"/>
          <w:vertAlign w:val="superscript"/>
        </w:rPr>
        <w:footnoteReference w:id="1"/>
      </w:r>
    </w:p>
    <w:p w14:paraId="66647314" w14:textId="36A6E202" w:rsidR="000468A0" w:rsidRDefault="000468A0" w:rsidP="000468A0">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w:t>
      </w:r>
      <w:r w:rsidR="00AB2011">
        <w:rPr>
          <w:rFonts w:ascii="AvantGarde Bk BT" w:hAnsi="AvantGarde Bk BT" w:cs="Arial"/>
          <w:sz w:val="24"/>
          <w:szCs w:val="24"/>
        </w:rPr>
        <w:t xml:space="preserve">la ley en comento prevé que </w:t>
      </w:r>
      <w:r w:rsidRPr="00F337EC">
        <w:rPr>
          <w:rFonts w:ascii="AvantGarde Bk BT" w:hAnsi="AvantGarde Bk BT" w:cs="Arial"/>
          <w:sz w:val="24"/>
          <w:szCs w:val="24"/>
        </w:rPr>
        <w:t>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2"/>
      </w:r>
    </w:p>
    <w:p w14:paraId="369FBCF4" w14:textId="77777777"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2920ABB1"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656770FA" w14:textId="77777777" w:rsidR="000468A0"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lastRenderedPageBreak/>
        <w:t>“</w:t>
      </w:r>
      <w:r w:rsidRPr="00847F87">
        <w:rPr>
          <w:rFonts w:ascii="AvantGarde Bk BT" w:hAnsi="AvantGarde Bk BT" w:cs="Arial"/>
          <w:b/>
          <w:i/>
          <w:sz w:val="22"/>
          <w:szCs w:val="24"/>
        </w:rPr>
        <w:t>Criterio 02/17. Congruencia y exhaustividad.-</w:t>
      </w:r>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4C661231" w14:textId="603564C5"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 xml:space="preserve">estos deben de entregar la expresión documental que contenga la información solicitada y evitar proporcionar una respuesta elaborada </w:t>
      </w:r>
      <w:r w:rsidR="00D65E44" w:rsidRPr="007A5577">
        <w:rPr>
          <w:rFonts w:ascii="AvantGarde Bk BT" w:hAnsi="AvantGarde Bk BT" w:cs="Arial"/>
          <w:b/>
          <w:sz w:val="24"/>
          <w:szCs w:val="24"/>
          <w:u w:val="single"/>
        </w:rPr>
        <w:t xml:space="preserve">acorde </w:t>
      </w:r>
      <w:r w:rsidRPr="007A5577">
        <w:rPr>
          <w:rFonts w:ascii="AvantGarde Bk BT" w:hAnsi="AvantGarde Bk BT" w:cs="Arial"/>
          <w:b/>
          <w:sz w:val="24"/>
          <w:szCs w:val="24"/>
          <w:u w:val="single"/>
        </w:rPr>
        <w:t>a los requerimientos del peticionario</w:t>
      </w:r>
      <w:r>
        <w:rPr>
          <w:rFonts w:ascii="AvantGarde Bk BT" w:hAnsi="AvantGarde Bk BT" w:cs="Arial"/>
          <w:sz w:val="24"/>
          <w:szCs w:val="24"/>
        </w:rPr>
        <w:t>.</w:t>
      </w:r>
    </w:p>
    <w:p w14:paraId="02D4C6CF"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37DBA0FB" w14:textId="77777777" w:rsidR="000468A0" w:rsidRPr="00204353"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51BA7E4A" w14:textId="4AFDC975" w:rsidR="000468A0" w:rsidRPr="00D14D6C" w:rsidRDefault="000468A0" w:rsidP="00D14D6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Criterio 16/17. Expresión documental.-</w:t>
      </w:r>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10FBA551" w14:textId="21950C7B" w:rsidR="00196B0C" w:rsidRDefault="00196B0C"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Establecido lo anterior, resulta oportuno precisar que de acuerdo con las constancias que integran los autos se desprende que, tal como lo señaló la persona recurrente al interponer el presente medio de impugnación, el sujeto obligado fue omiso en responder los puntos nueve y diez de la solicitud de información, relativos a </w:t>
      </w:r>
      <w:r w:rsidR="006A16AC" w:rsidRPr="006A16AC">
        <w:rPr>
          <w:rFonts w:ascii="AvantGarde Bk BT" w:hAnsi="AvantGarde Bk BT" w:cs="Arial"/>
          <w:color w:val="000000" w:themeColor="text1"/>
          <w:sz w:val="24"/>
          <w:szCs w:val="24"/>
        </w:rPr>
        <w:t>si la Segunda</w:t>
      </w:r>
      <w:r w:rsidRPr="006A16AC">
        <w:rPr>
          <w:rFonts w:ascii="AvantGarde Bk BT" w:hAnsi="AvantGarde Bk BT" w:cs="Arial"/>
          <w:color w:val="000000" w:themeColor="text1"/>
          <w:sz w:val="24"/>
          <w:szCs w:val="24"/>
        </w:rPr>
        <w:t xml:space="preserve"> </w:t>
      </w:r>
      <w:r w:rsidR="006A16AC" w:rsidRPr="006A16AC">
        <w:rPr>
          <w:rFonts w:ascii="AvantGarde Bk BT" w:hAnsi="AvantGarde Bk BT" w:cs="Arial"/>
          <w:color w:val="000000" w:themeColor="text1"/>
          <w:sz w:val="24"/>
          <w:szCs w:val="24"/>
        </w:rPr>
        <w:t>Síndico M</w:t>
      </w:r>
      <w:r w:rsidRPr="006A16AC">
        <w:rPr>
          <w:rFonts w:ascii="AvantGarde Bk BT" w:hAnsi="AvantGarde Bk BT" w:cs="Arial"/>
          <w:color w:val="000000" w:themeColor="text1"/>
          <w:sz w:val="24"/>
          <w:szCs w:val="24"/>
        </w:rPr>
        <w:t xml:space="preserve">unicipal </w:t>
      </w:r>
      <w:r w:rsidR="006A16AC" w:rsidRPr="006A16AC">
        <w:rPr>
          <w:rFonts w:ascii="AvantGarde Bk BT" w:hAnsi="AvantGarde Bk BT" w:cs="Arial"/>
          <w:i/>
          <w:color w:val="000000" w:themeColor="text1"/>
          <w:sz w:val="24"/>
          <w:szCs w:val="24"/>
        </w:rPr>
        <w:t>Ma del Rosario Vita Hervert</w:t>
      </w:r>
      <w:r w:rsidR="006A16AC" w:rsidRPr="006A16AC">
        <w:rPr>
          <w:rFonts w:ascii="AvantGarde Bk BT" w:hAnsi="AvantGarde Bk BT" w:cs="Arial"/>
          <w:color w:val="000000" w:themeColor="text1"/>
          <w:sz w:val="24"/>
          <w:szCs w:val="24"/>
        </w:rPr>
        <w:t xml:space="preserve"> </w:t>
      </w:r>
      <w:r w:rsidR="006A16AC">
        <w:rPr>
          <w:rFonts w:ascii="AvantGarde Bk BT" w:hAnsi="AvantGarde Bk BT" w:cs="Arial"/>
          <w:color w:val="000000" w:themeColor="text1"/>
          <w:sz w:val="24"/>
          <w:szCs w:val="24"/>
        </w:rPr>
        <w:t xml:space="preserve">(sic) </w:t>
      </w:r>
      <w:r w:rsidR="006A16AC" w:rsidRPr="006A16AC">
        <w:rPr>
          <w:rFonts w:ascii="AvantGarde Bk BT" w:hAnsi="AvantGarde Bk BT" w:cs="Arial"/>
          <w:color w:val="000000" w:themeColor="text1"/>
          <w:sz w:val="24"/>
          <w:szCs w:val="24"/>
        </w:rPr>
        <w:t>laboró el diecinueve</w:t>
      </w:r>
      <w:r w:rsidRPr="006A16AC">
        <w:rPr>
          <w:rFonts w:ascii="AvantGarde Bk BT" w:hAnsi="AvantGarde Bk BT" w:cs="Arial"/>
          <w:color w:val="000000" w:themeColor="text1"/>
          <w:sz w:val="24"/>
          <w:szCs w:val="24"/>
        </w:rPr>
        <w:t xml:space="preserve"> de junio del </w:t>
      </w:r>
      <w:r w:rsidR="006A16AC" w:rsidRPr="006A16AC">
        <w:rPr>
          <w:rFonts w:ascii="AvantGarde Bk BT" w:hAnsi="AvantGarde Bk BT" w:cs="Arial"/>
          <w:color w:val="000000" w:themeColor="text1"/>
          <w:sz w:val="24"/>
          <w:szCs w:val="24"/>
        </w:rPr>
        <w:t>dos mil veinticinco</w:t>
      </w:r>
      <w:r w:rsidRPr="006A16AC">
        <w:rPr>
          <w:rFonts w:ascii="AvantGarde Bk BT" w:hAnsi="AvantGarde Bk BT" w:cs="Arial"/>
          <w:color w:val="000000" w:themeColor="text1"/>
          <w:sz w:val="24"/>
          <w:szCs w:val="24"/>
        </w:rPr>
        <w:t xml:space="preserve">, </w:t>
      </w:r>
      <w:r w:rsidR="006A16AC" w:rsidRPr="006A16AC">
        <w:rPr>
          <w:rFonts w:ascii="AvantGarde Bk BT" w:hAnsi="AvantGarde Bk BT" w:cs="Arial"/>
          <w:color w:val="000000" w:themeColor="text1"/>
          <w:sz w:val="24"/>
          <w:szCs w:val="24"/>
        </w:rPr>
        <w:t>las</w:t>
      </w:r>
      <w:r w:rsidRPr="006A16AC">
        <w:rPr>
          <w:rFonts w:ascii="AvantGarde Bk BT" w:hAnsi="AvantGarde Bk BT" w:cs="Arial"/>
          <w:color w:val="000000" w:themeColor="text1"/>
          <w:sz w:val="24"/>
          <w:szCs w:val="24"/>
        </w:rPr>
        <w:t xml:space="preserve"> reuniones sostuvo, con quienes y </w:t>
      </w:r>
      <w:r w:rsidR="006A16AC" w:rsidRPr="006A16AC">
        <w:rPr>
          <w:rFonts w:ascii="AvantGarde Bk BT" w:hAnsi="AvantGarde Bk BT" w:cs="Arial"/>
          <w:color w:val="000000" w:themeColor="text1"/>
          <w:sz w:val="24"/>
          <w:szCs w:val="24"/>
        </w:rPr>
        <w:t>las</w:t>
      </w:r>
      <w:r w:rsidRPr="006A16AC">
        <w:rPr>
          <w:rFonts w:ascii="AvantGarde Bk BT" w:hAnsi="AvantGarde Bk BT" w:cs="Arial"/>
          <w:color w:val="000000" w:themeColor="text1"/>
          <w:sz w:val="24"/>
          <w:szCs w:val="24"/>
        </w:rPr>
        <w:t xml:space="preserve"> actividades </w:t>
      </w:r>
      <w:r w:rsidR="006A16AC" w:rsidRPr="006A16AC">
        <w:rPr>
          <w:rFonts w:ascii="AvantGarde Bk BT" w:hAnsi="AvantGarde Bk BT" w:cs="Arial"/>
          <w:color w:val="000000" w:themeColor="text1"/>
          <w:sz w:val="24"/>
          <w:szCs w:val="24"/>
        </w:rPr>
        <w:t>que realizó, así como l</w:t>
      </w:r>
      <w:r w:rsidRPr="006A16AC">
        <w:rPr>
          <w:rFonts w:ascii="AvantGarde Bk BT" w:hAnsi="AvantGarde Bk BT" w:cs="Arial"/>
          <w:color w:val="000000" w:themeColor="text1"/>
          <w:sz w:val="24"/>
          <w:szCs w:val="24"/>
        </w:rPr>
        <w:t>a agenda pormenorizada con horarios y actividades de ese día</w:t>
      </w:r>
      <w:r w:rsidR="006A16AC" w:rsidRPr="006A16AC">
        <w:rPr>
          <w:rFonts w:ascii="AvantGarde Bk BT" w:hAnsi="AvantGarde Bk BT" w:cs="Arial"/>
          <w:color w:val="000000" w:themeColor="text1"/>
          <w:sz w:val="24"/>
          <w:szCs w:val="24"/>
        </w:rPr>
        <w:t>.</w:t>
      </w:r>
    </w:p>
    <w:p w14:paraId="22DFC2AC" w14:textId="685879E5" w:rsidR="006A16AC" w:rsidRDefault="0049541E"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w:t>
      </w:r>
      <w:r w:rsidR="006A16AC">
        <w:rPr>
          <w:rFonts w:ascii="AvantGarde Bk BT" w:hAnsi="AvantGarde Bk BT" w:cs="Arial"/>
          <w:color w:val="000000" w:themeColor="text1"/>
          <w:sz w:val="24"/>
          <w:szCs w:val="24"/>
        </w:rPr>
        <w:t xml:space="preserve">, en el informe que rindió el sujeto obligado durante el periodo de instrucción del recurso de revisión en que se actúa, hizo de conocimiento de esta Comisión que modificó el acto impugnado el emitir una nueva respuesta que fue notificada a la persona recurrente </w:t>
      </w:r>
      <w:r w:rsidR="00665926">
        <w:rPr>
          <w:rFonts w:ascii="AvantGarde Bk BT" w:hAnsi="AvantGarde Bk BT" w:cs="Arial"/>
          <w:color w:val="000000" w:themeColor="text1"/>
          <w:sz w:val="24"/>
          <w:szCs w:val="24"/>
        </w:rPr>
        <w:t xml:space="preserve">el veintidós de junio de dos mil veintiséis </w:t>
      </w:r>
      <w:r w:rsidR="006A16AC">
        <w:rPr>
          <w:rFonts w:ascii="AvantGarde Bk BT" w:hAnsi="AvantGarde Bk BT" w:cs="Arial"/>
          <w:color w:val="000000" w:themeColor="text1"/>
          <w:sz w:val="24"/>
          <w:szCs w:val="24"/>
        </w:rPr>
        <w:t>a través de la cuenta de correo electrónico que designó para efecto de oír y recibir notificaciones (visible de foja 45 a 72 de autos).</w:t>
      </w:r>
    </w:p>
    <w:p w14:paraId="43522FC9" w14:textId="20346A46" w:rsidR="006A16AC" w:rsidRDefault="006A16AC" w:rsidP="004D7235">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el sujeto obligado se pronunció respecto de los puntos nueve y diez de la solicitud de información en los siguientes términos:</w:t>
      </w:r>
    </w:p>
    <w:p w14:paraId="36A6BA94" w14:textId="77777777" w:rsidR="003559D5" w:rsidRPr="004D7235" w:rsidRDefault="006A16AC" w:rsidP="004D7235">
      <w:pPr>
        <w:spacing w:after="0" w:line="240" w:lineRule="auto"/>
        <w:ind w:left="680" w:right="680"/>
        <w:jc w:val="both"/>
        <w:rPr>
          <w:rFonts w:ascii="AvantGarde Bk BT" w:hAnsi="AvantGarde Bk BT" w:cs="Arial"/>
          <w:color w:val="000000" w:themeColor="text1"/>
          <w:szCs w:val="24"/>
        </w:rPr>
      </w:pPr>
      <w:r>
        <w:rPr>
          <w:rFonts w:ascii="AvantGarde Bk BT" w:hAnsi="AvantGarde Bk BT" w:cs="Arial"/>
          <w:color w:val="000000" w:themeColor="text1"/>
          <w:sz w:val="24"/>
          <w:szCs w:val="24"/>
        </w:rPr>
        <w:t>“</w:t>
      </w:r>
      <w:r w:rsidR="003559D5" w:rsidRPr="004D7235">
        <w:rPr>
          <w:rFonts w:ascii="AvantGarde Bk BT" w:hAnsi="AvantGarde Bk BT" w:cs="Arial"/>
          <w:i/>
          <w:color w:val="000000" w:themeColor="text1"/>
          <w:szCs w:val="24"/>
        </w:rPr>
        <w:t>[…]</w:t>
      </w:r>
    </w:p>
    <w:p w14:paraId="3B19DACE" w14:textId="16B4320E" w:rsidR="003559D5" w:rsidRPr="004D7235" w:rsidRDefault="003559D5" w:rsidP="004D7235">
      <w:pPr>
        <w:spacing w:after="0" w:line="240" w:lineRule="auto"/>
        <w:ind w:left="680" w:right="680"/>
        <w:jc w:val="both"/>
        <w:rPr>
          <w:rFonts w:ascii="AvantGarde Bk BT" w:hAnsi="AvantGarde Bk BT" w:cs="Arial"/>
          <w:i/>
          <w:color w:val="000000" w:themeColor="text1"/>
          <w:szCs w:val="24"/>
          <w:lang w:val="es-ES"/>
        </w:rPr>
      </w:pPr>
      <w:r w:rsidRPr="004D7235">
        <w:rPr>
          <w:rFonts w:ascii="AvantGarde Bk BT" w:hAnsi="AvantGarde Bk BT" w:cs="Arial"/>
          <w:i/>
          <w:color w:val="000000" w:themeColor="text1"/>
          <w:szCs w:val="24"/>
          <w:lang w:val="es-ES"/>
        </w:rPr>
        <w:t>Por lo que respecta a los numerales 9 y 10 de su petición, que son el núcleo central de los agravios manifestados, los cuales a la letra versan: "(sic) 9.-Si la 2o síndico municipal MA DEL ROSARIO VITA HERVERT laboró El 19 de junio del 2025, si es así que reuniones sostuvo, con quienes y Que actividades desarrollo.</w:t>
      </w:r>
    </w:p>
    <w:p w14:paraId="1B34D969" w14:textId="467E1599"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 xml:space="preserve">10.-Desarrollar una agenda pormenorizada con horarios y actividades de ese día", es necesario establecer que </w:t>
      </w:r>
      <w:r w:rsidRPr="004D7235">
        <w:rPr>
          <w:rFonts w:ascii="AvantGarde Bk BT" w:hAnsi="AvantGarde Bk BT" w:cs="Arial"/>
          <w:i/>
          <w:color w:val="000000" w:themeColor="text1"/>
          <w:szCs w:val="24"/>
          <w:u w:val="single"/>
        </w:rPr>
        <w:t>de la normativa aplicable no se desprende la obligación de documentar las actividades de otros servidores públicos a modo de agenda, más allá de la del titular del sujeto obligado, que para el caso es el presidente municipal, y por tanto existe una imposibilidad jurídico-material para generar la expresión documental solicitada,</w:t>
      </w:r>
      <w:r w:rsidRPr="004D7235">
        <w:rPr>
          <w:rFonts w:ascii="AvantGarde Bk BT" w:hAnsi="AvantGarde Bk BT" w:cs="Arial"/>
          <w:i/>
          <w:color w:val="000000" w:themeColor="text1"/>
          <w:szCs w:val="24"/>
        </w:rPr>
        <w:t xml:space="preserve"> concluyendo que la misma no obra en archivos de ninguna de las áreas que integran la estructura municipal.</w:t>
      </w:r>
    </w:p>
    <w:p w14:paraId="558547B1" w14:textId="0B0D2A00"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Para un mejor proveer se trae a cuenta el texto de la fracción XII del artículo 84 de la Ley de Transparencia y Acceso a la Información Pública del Estado de San Luis Potosí, que es el único ordenamiento aplicable a este sujeto obligado que demanda la generación de una bitácora de actividades, pero solo para el titular del sujeto obligado:</w:t>
      </w:r>
    </w:p>
    <w:p w14:paraId="751C3421" w14:textId="77777777"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ARTICULO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14:paraId="5608C63B" w14:textId="77777777"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w:t>
      </w:r>
    </w:p>
    <w:p w14:paraId="29A9A32C" w14:textId="77777777"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XII. La agenda de actividades de los titulares de las dependencias públicas, reuniones públicas de los diversos consejos, gabinetes, cabildos, sesiones plenarias y sesiones de trabajo a las que convoquen;</w:t>
      </w:r>
    </w:p>
    <w:p w14:paraId="6020CB26" w14:textId="69B23ED6"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lastRenderedPageBreak/>
        <w:t>De una interpretación literal y teleológica de la norma, el deber legal de generar y actualizar una bitácora o agenda pormenorizada de actividades diarias vinculadas a un servidor público está constreñido exclusivamente al Titular del Sujeto Obligado, calidad jurídica que recae de manera unívoca en la figura del Presidente Municipal, de conformidad con la Ley Orgánica del Municipio Libre del Estado de San Luis Potosí.</w:t>
      </w:r>
    </w:p>
    <w:p w14:paraId="651E5296" w14:textId="64A440D1"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 xml:space="preserve">Por ende, la Segunda Sindicatura no detenta la calidad de Titular del Sujeto Obligado, careciendo de la competencia, obligación de tramitación u atribución legal para generar agendas ejecutivas pormenorizadas con el desglose cronológico de reuniones o bitácoras específicas de atención. En consecuencia, </w:t>
      </w:r>
      <w:r w:rsidRPr="004D7235">
        <w:rPr>
          <w:rFonts w:ascii="AvantGarde Bk BT" w:hAnsi="AvantGarde Bk BT" w:cs="Arial"/>
          <w:i/>
          <w:color w:val="000000" w:themeColor="text1"/>
          <w:szCs w:val="24"/>
          <w:u w:val="single"/>
        </w:rPr>
        <w:t>esta Unidad de Transparencia ratifica la inexistencia material y técnica de dichos documentos en el entramado archivístico municipal, al no existir la obligación legal de documentar tales actos, quedando colmados los extremos de motivación demandados en los procedimientos de acceso</w:t>
      </w:r>
      <w:r w:rsidRPr="004D7235">
        <w:rPr>
          <w:rFonts w:ascii="AvantGarde Bk BT" w:hAnsi="AvantGarde Bk BT" w:cs="Arial"/>
          <w:i/>
          <w:color w:val="000000" w:themeColor="text1"/>
          <w:szCs w:val="24"/>
        </w:rPr>
        <w:t>.</w:t>
      </w:r>
    </w:p>
    <w:p w14:paraId="57531FE7" w14:textId="77777777"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Visto lo anterior, se da cuenta a la persona solicitante que esta Unidad de Transparencia cuenta con los elementos técnicos necesarios para allegar a este a la expresión documental ofrecida, garantizando así la plena accesibilidad a la información solicitada, estimándose que se agotaron los extremos de la petición que dando así subsanando cualquier vicisitud que la respuesta de fecha 05 de junio de 2026 pudiera contener, al aportar mayores elementos que garantizan el correcto actuar de esta Municipalidad.</w:t>
      </w:r>
    </w:p>
    <w:p w14:paraId="2AFBD1D6" w14:textId="065FCE56" w:rsidR="003559D5" w:rsidRPr="004D7235" w:rsidRDefault="003559D5" w:rsidP="004D7235">
      <w:pPr>
        <w:spacing w:after="0" w:line="240" w:lineRule="auto"/>
        <w:ind w:left="680" w:right="680"/>
        <w:jc w:val="both"/>
        <w:rPr>
          <w:rFonts w:ascii="AvantGarde Bk BT" w:hAnsi="AvantGarde Bk BT" w:cs="Arial"/>
          <w:i/>
          <w:color w:val="000000" w:themeColor="text1"/>
          <w:szCs w:val="24"/>
        </w:rPr>
      </w:pPr>
      <w:r w:rsidRPr="004D7235">
        <w:rPr>
          <w:rFonts w:ascii="AvantGarde Bk BT" w:hAnsi="AvantGarde Bk BT" w:cs="Arial"/>
          <w:i/>
          <w:color w:val="000000" w:themeColor="text1"/>
          <w:szCs w:val="24"/>
        </w:rPr>
        <w:t>Por todo lo expuesto se da respuesta en los términos del artículo 59, 60, 61, 151, y 153 de la Ley de Transparencia de</w:t>
      </w:r>
      <w:r w:rsidR="004D7235" w:rsidRPr="004D7235">
        <w:rPr>
          <w:rFonts w:ascii="AvantGarde Bk BT" w:hAnsi="AvantGarde Bk BT" w:cs="Arial"/>
          <w:i/>
          <w:color w:val="000000" w:themeColor="text1"/>
          <w:szCs w:val="24"/>
        </w:rPr>
        <w:t>l Estado, agréguese las constanci</w:t>
      </w:r>
      <w:r w:rsidRPr="004D7235">
        <w:rPr>
          <w:rFonts w:ascii="AvantGarde Bk BT" w:hAnsi="AvantGarde Bk BT" w:cs="Arial"/>
          <w:i/>
          <w:color w:val="000000" w:themeColor="text1"/>
          <w:szCs w:val="24"/>
        </w:rPr>
        <w:t>as al expediente en trámite citado al rubro. Notifíquese.</w:t>
      </w:r>
    </w:p>
    <w:p w14:paraId="15DDD0E1" w14:textId="69CACF59" w:rsidR="006A16AC" w:rsidRDefault="003559D5" w:rsidP="004D7235">
      <w:pPr>
        <w:spacing w:line="36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6A16AC">
        <w:rPr>
          <w:rFonts w:ascii="AvantGarde Bk BT" w:hAnsi="AvantGarde Bk BT" w:cs="Arial"/>
          <w:color w:val="000000" w:themeColor="text1"/>
          <w:sz w:val="24"/>
          <w:szCs w:val="24"/>
        </w:rPr>
        <w:t>”</w:t>
      </w:r>
      <w:r w:rsidR="004D7235">
        <w:rPr>
          <w:rFonts w:ascii="AvantGarde Bk BT" w:hAnsi="AvantGarde Bk BT" w:cs="Arial"/>
          <w:color w:val="000000" w:themeColor="text1"/>
          <w:sz w:val="24"/>
          <w:szCs w:val="24"/>
        </w:rPr>
        <w:t xml:space="preserve"> Énfasis añadido. </w:t>
      </w:r>
    </w:p>
    <w:p w14:paraId="35E99F22" w14:textId="6182A653" w:rsidR="006A16AC" w:rsidRDefault="004D7235"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la transcripción que antecede se desprende que el sujeto obligado </w:t>
      </w:r>
      <w:r w:rsidR="00C77462">
        <w:rPr>
          <w:rFonts w:ascii="AvantGarde Bk BT" w:hAnsi="AvantGarde Bk BT" w:cs="Arial"/>
          <w:color w:val="000000" w:themeColor="text1"/>
          <w:sz w:val="24"/>
          <w:szCs w:val="24"/>
        </w:rPr>
        <w:t xml:space="preserve">informó a la persona recurrente de la imposibilidad jurídica y material de proporcionar la información requerida, pues la obligación de generar la agenda pormenorizada </w:t>
      </w:r>
      <w:r w:rsidR="00C77462" w:rsidRPr="00C77462">
        <w:rPr>
          <w:rFonts w:ascii="AvantGarde Bk BT" w:hAnsi="AvantGarde Bk BT" w:cs="Arial"/>
          <w:color w:val="000000" w:themeColor="text1"/>
          <w:sz w:val="24"/>
          <w:szCs w:val="24"/>
        </w:rPr>
        <w:t>con horarios y actividades</w:t>
      </w:r>
      <w:r w:rsidR="00C77462">
        <w:rPr>
          <w:rFonts w:ascii="AvantGarde Bk BT" w:hAnsi="AvantGarde Bk BT" w:cs="Arial"/>
          <w:color w:val="000000" w:themeColor="text1"/>
          <w:sz w:val="24"/>
          <w:szCs w:val="24"/>
        </w:rPr>
        <w:t xml:space="preserve"> realizadas deriva del artículo 84 fracción XII de la Ley de Transparencia local y únicamente corresponde a las actividades del titular del sujeto obligado, que en este caso resulta ser el Presidente Municipal; de ahí que la agenda de actividades de la Segunda Síndico Municipal </w:t>
      </w:r>
      <w:r w:rsidR="000550DB">
        <w:rPr>
          <w:rFonts w:ascii="AvantGarde Bk BT" w:hAnsi="AvantGarde Bk BT" w:cs="Arial"/>
          <w:color w:val="000000" w:themeColor="text1"/>
          <w:sz w:val="24"/>
          <w:szCs w:val="24"/>
        </w:rPr>
        <w:t xml:space="preserve"> no haya sido generado y</w:t>
      </w:r>
      <w:r w:rsidR="00C77462">
        <w:rPr>
          <w:rFonts w:ascii="AvantGarde Bk BT" w:hAnsi="AvantGarde Bk BT" w:cs="Arial"/>
          <w:color w:val="000000" w:themeColor="text1"/>
          <w:sz w:val="24"/>
          <w:szCs w:val="24"/>
        </w:rPr>
        <w:t xml:space="preserve"> no </w:t>
      </w:r>
      <w:r w:rsidR="000550DB">
        <w:rPr>
          <w:rFonts w:ascii="AvantGarde Bk BT" w:hAnsi="AvantGarde Bk BT" w:cs="Arial"/>
          <w:color w:val="000000" w:themeColor="text1"/>
          <w:sz w:val="24"/>
          <w:szCs w:val="24"/>
        </w:rPr>
        <w:t>se encuentre</w:t>
      </w:r>
      <w:r w:rsidR="00C77462">
        <w:rPr>
          <w:rFonts w:ascii="AvantGarde Bk BT" w:hAnsi="AvantGarde Bk BT" w:cs="Arial"/>
          <w:color w:val="000000" w:themeColor="text1"/>
          <w:sz w:val="24"/>
          <w:szCs w:val="24"/>
        </w:rPr>
        <w:t xml:space="preserve"> en los archivos de la autoridad municipal.</w:t>
      </w:r>
    </w:p>
    <w:p w14:paraId="119E5386" w14:textId="5DE89FD1" w:rsidR="00C77462" w:rsidRDefault="00C77462"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tenor, resulta oportuno precisar que la Ley de la materia prescribe que en caso de que la información requerida no se encuentre en los archivos del sujeto obligado, este deberá declarar la inexistencia de la información a través de un acta expedida por el Comité de Transparencia.</w:t>
      </w:r>
      <w:r w:rsidR="00DA2877">
        <w:rPr>
          <w:rStyle w:val="Refdenotaalpie"/>
          <w:rFonts w:ascii="AvantGarde Bk BT" w:hAnsi="AvantGarde Bk BT" w:cs="Arial"/>
          <w:color w:val="000000" w:themeColor="text1"/>
          <w:sz w:val="24"/>
          <w:szCs w:val="24"/>
        </w:rPr>
        <w:footnoteReference w:id="3"/>
      </w:r>
    </w:p>
    <w:p w14:paraId="7D4BD3B0" w14:textId="2543D11E" w:rsidR="00C77462" w:rsidRDefault="00C77462"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No obstante, </w:t>
      </w:r>
      <w:r w:rsidR="000550DB">
        <w:rPr>
          <w:rFonts w:ascii="AvantGarde Bk BT" w:hAnsi="AvantGarde Bk BT" w:cs="Arial"/>
          <w:color w:val="000000" w:themeColor="text1"/>
          <w:sz w:val="24"/>
          <w:szCs w:val="24"/>
        </w:rPr>
        <w:t xml:space="preserve">esta Comisión considera que </w:t>
      </w:r>
      <w:r>
        <w:rPr>
          <w:rFonts w:ascii="AvantGarde Bk BT" w:hAnsi="AvantGarde Bk BT" w:cs="Arial"/>
          <w:color w:val="000000" w:themeColor="text1"/>
          <w:sz w:val="24"/>
          <w:szCs w:val="24"/>
        </w:rPr>
        <w:t xml:space="preserve">en el caso concreto no </w:t>
      </w:r>
      <w:r w:rsidR="000550DB">
        <w:rPr>
          <w:rFonts w:ascii="AvantGarde Bk BT" w:hAnsi="AvantGarde Bk BT" w:cs="Arial"/>
          <w:color w:val="000000" w:themeColor="text1"/>
          <w:sz w:val="24"/>
          <w:szCs w:val="24"/>
        </w:rPr>
        <w:t xml:space="preserve">es necesario declarar la inexistencia de la información pues, tal como lo precisó el sujeto obligado, no existe la obligación normativa de generar la expresión documental requerida y tampoco existe </w:t>
      </w:r>
      <w:r w:rsidR="00DA2877">
        <w:rPr>
          <w:rFonts w:ascii="AvantGarde Bk BT" w:hAnsi="AvantGarde Bk BT" w:cs="Arial"/>
          <w:color w:val="000000" w:themeColor="text1"/>
          <w:sz w:val="24"/>
          <w:szCs w:val="24"/>
        </w:rPr>
        <w:t>dentro del recurso de revisión en que se actúa constancia alguna que permita suponer que fue generado.</w:t>
      </w:r>
    </w:p>
    <w:p w14:paraId="55946680" w14:textId="105A8901" w:rsidR="0049541E" w:rsidRPr="0049541E" w:rsidRDefault="0049541E" w:rsidP="0049541E">
      <w:pPr>
        <w:spacing w:after="0" w:line="360" w:lineRule="auto"/>
        <w:ind w:firstLine="709"/>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Sirve de apoyo a lo anterior el </w:t>
      </w:r>
      <w:r w:rsidRPr="0049541E">
        <w:rPr>
          <w:rFonts w:ascii="AvantGarde Bk BT" w:hAnsi="AvantGarde Bk BT" w:cs="Arial"/>
          <w:color w:val="000000" w:themeColor="text1"/>
          <w:sz w:val="24"/>
          <w:szCs w:val="24"/>
        </w:rPr>
        <w:t>criterio SO/007/2017</w:t>
      </w:r>
      <w:r>
        <w:rPr>
          <w:rFonts w:ascii="AvantGarde Bk BT" w:hAnsi="AvantGarde Bk BT" w:cs="Arial"/>
          <w:color w:val="000000" w:themeColor="text1"/>
          <w:sz w:val="24"/>
          <w:szCs w:val="24"/>
        </w:rPr>
        <w:t xml:space="preserve"> </w:t>
      </w:r>
      <w:r w:rsidRPr="0049541E">
        <w:rPr>
          <w:rFonts w:ascii="AvantGarde Bk BT" w:hAnsi="AvantGarde Bk BT" w:cs="Arial"/>
          <w:color w:val="000000" w:themeColor="text1"/>
          <w:sz w:val="24"/>
          <w:szCs w:val="24"/>
        </w:rPr>
        <w:t>emitido por el Instituto Nacional de Transparencia, Información y Protección de Datos:</w:t>
      </w:r>
    </w:p>
    <w:p w14:paraId="35BA284B" w14:textId="112ECD1D" w:rsidR="0049541E" w:rsidRDefault="0049541E" w:rsidP="0049541E">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49541E">
        <w:rPr>
          <w:rFonts w:ascii="AvantGarde Bk BT" w:hAnsi="AvantGarde Bk BT" w:cs="Arial"/>
          <w:b/>
          <w:i/>
          <w:color w:val="000000" w:themeColor="text1"/>
          <w:szCs w:val="24"/>
        </w:rPr>
        <w:t>Criterio SO/007/2017.</w:t>
      </w:r>
      <w:r w:rsidRPr="0049541E">
        <w:rPr>
          <w:rFonts w:ascii="AvantGarde Bk BT" w:hAnsi="AvantGarde Bk BT" w:cs="Arial"/>
          <w:i/>
          <w:color w:val="000000" w:themeColor="text1"/>
          <w:szCs w:val="24"/>
        </w:rPr>
        <w:t xml:space="preserve"> </w:t>
      </w:r>
      <w:r w:rsidRPr="0049541E">
        <w:rPr>
          <w:rFonts w:ascii="AvantGarde Bk BT" w:hAnsi="AvantGarde Bk BT" w:cs="Arial"/>
          <w:b/>
          <w:i/>
          <w:color w:val="000000" w:themeColor="text1"/>
          <w:szCs w:val="24"/>
        </w:rPr>
        <w:t xml:space="preserve">Casos en los que no es necesario que el Comité de Transparencia confirme formalmente la inexistencia de la información. </w:t>
      </w:r>
      <w:r w:rsidRPr="0049541E">
        <w:rPr>
          <w:rFonts w:ascii="AvantGarde Bk BT" w:hAnsi="AvantGarde Bk BT" w:cs="Arial"/>
          <w:i/>
          <w:color w:val="000000" w:themeColor="text1"/>
          <w:szCs w:val="24"/>
        </w:rPr>
        <w:t>La Ley General de Transparencia y Acceso a la Información Pública y la Ley Federal de Transparencia y Acceso a la Información Pública establecen el procedimiento que deben seguir los sujetos obligados cuando la información solicitada no se encuentre en sus archivos; el cual implica, entre otras cosas, que el Comité de Transparencia confirme la inexistencia manifestada por las áreas competentes que hubiesen realizado la búsqueda de la información. No obstante lo anterior, en aquellos casos en que no se advierta obligación alguna de los sujetos obligados para contar con la información, derivado del análisis a la normativa aplicable a la materia de la solicitud; y además no se tengan elementos de convicción que permitan suponer que ésta debe obrar en sus archivos, no será necesario que el Comité de Transparencia emita una resolución que confirme la inexistencia de la información.</w:t>
      </w:r>
      <w:r>
        <w:rPr>
          <w:rFonts w:ascii="AvantGarde Bk BT" w:hAnsi="AvantGarde Bk BT" w:cs="Arial"/>
          <w:color w:val="000000" w:themeColor="text1"/>
          <w:sz w:val="24"/>
          <w:szCs w:val="24"/>
        </w:rPr>
        <w:t>”</w:t>
      </w:r>
    </w:p>
    <w:p w14:paraId="434FD60F" w14:textId="2DFAC45E" w:rsidR="0049541E" w:rsidRDefault="00096FAB" w:rsidP="005864D9">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Así, dentro del margen de las consideraciones que anteceden se puede colegir válidamente que </w:t>
      </w:r>
      <w:r w:rsidRPr="00096FAB">
        <w:rPr>
          <w:rFonts w:ascii="AvantGarde Bk BT" w:hAnsi="AvantGarde Bk BT" w:cs="Arial"/>
          <w:b/>
          <w:color w:val="000000" w:themeColor="text1"/>
          <w:sz w:val="24"/>
          <w:szCs w:val="24"/>
        </w:rPr>
        <w:t xml:space="preserve">la nueva respuesta es correcta en cuanto a que </w:t>
      </w:r>
      <w:r>
        <w:rPr>
          <w:rFonts w:ascii="AvantGarde Bk BT" w:hAnsi="AvantGarde Bk BT" w:cs="Arial"/>
          <w:b/>
          <w:color w:val="000000" w:themeColor="text1"/>
          <w:sz w:val="24"/>
          <w:szCs w:val="24"/>
        </w:rPr>
        <w:t xml:space="preserve">el sujeto obligado </w:t>
      </w:r>
      <w:r w:rsidRPr="00096FAB">
        <w:rPr>
          <w:rFonts w:ascii="AvantGarde Bk BT" w:hAnsi="AvantGarde Bk BT" w:cs="Arial"/>
          <w:b/>
          <w:color w:val="000000" w:themeColor="text1"/>
          <w:sz w:val="24"/>
          <w:szCs w:val="24"/>
        </w:rPr>
        <w:t>subsanó las deficiencias de la respuesta primigenia, pues</w:t>
      </w:r>
      <w:r>
        <w:rPr>
          <w:rFonts w:ascii="AvantGarde Bk BT" w:hAnsi="AvantGarde Bk BT" w:cs="Arial"/>
          <w:b/>
          <w:color w:val="000000" w:themeColor="text1"/>
          <w:sz w:val="24"/>
          <w:szCs w:val="24"/>
        </w:rPr>
        <w:t xml:space="preserve"> emitió una respuesta respecto de los puntos de la solicitud omitidos en la respuesta primigenia.</w:t>
      </w:r>
    </w:p>
    <w:p w14:paraId="15B58CEE" w14:textId="3414D786"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Por ello, se puede colegir válidamente que </w:t>
      </w:r>
      <w:r w:rsidRPr="00096FAB">
        <w:rPr>
          <w:rFonts w:ascii="AvantGarde Bk BT" w:hAnsi="AvantGarde Bk BT" w:cs="Arial"/>
          <w:b/>
          <w:color w:val="000000" w:themeColor="text1"/>
          <w:sz w:val="24"/>
          <w:szCs w:val="24"/>
          <w:u w:val="single"/>
        </w:rPr>
        <w:t xml:space="preserve">el sujeto obligado subsanó las deficiencias que motivaron la interposición del recurso de revisión, pues emitió una nueva respuesta que fue notificada a la persona recurrente a través de la cuenta de correo electrónico que señaló para tal efecto </w:t>
      </w:r>
      <w:r>
        <w:rPr>
          <w:rFonts w:ascii="AvantGarde Bk BT" w:hAnsi="AvantGarde Bk BT" w:cs="Arial"/>
          <w:color w:val="000000" w:themeColor="text1"/>
          <w:sz w:val="24"/>
          <w:szCs w:val="24"/>
        </w:rPr>
        <w:t xml:space="preserve">(visible de fojas </w:t>
      </w:r>
      <w:r w:rsidRPr="00096FAB">
        <w:rPr>
          <w:rFonts w:ascii="AvantGarde Bk BT" w:hAnsi="AvantGarde Bk BT" w:cs="Arial"/>
          <w:color w:val="000000" w:themeColor="text1"/>
          <w:sz w:val="24"/>
          <w:szCs w:val="24"/>
        </w:rPr>
        <w:t>6</w:t>
      </w:r>
      <w:r>
        <w:rPr>
          <w:rFonts w:ascii="AvantGarde Bk BT" w:hAnsi="AvantGarde Bk BT" w:cs="Arial"/>
          <w:color w:val="000000" w:themeColor="text1"/>
          <w:sz w:val="24"/>
          <w:szCs w:val="24"/>
        </w:rPr>
        <w:t>0 a 72</w:t>
      </w:r>
      <w:r w:rsidRPr="00096FAB">
        <w:rPr>
          <w:rFonts w:ascii="AvantGarde Bk BT" w:hAnsi="AvantGarde Bk BT" w:cs="Arial"/>
          <w:color w:val="000000" w:themeColor="text1"/>
          <w:sz w:val="24"/>
          <w:szCs w:val="24"/>
        </w:rPr>
        <w:t xml:space="preserve"> de autos); motivo por el cual </w:t>
      </w:r>
      <w:r w:rsidRPr="00096FAB">
        <w:rPr>
          <w:rFonts w:ascii="AvantGarde Bk BT" w:hAnsi="AvantGarde Bk BT" w:cs="Arial"/>
          <w:b/>
          <w:color w:val="000000" w:themeColor="text1"/>
          <w:sz w:val="24"/>
          <w:szCs w:val="24"/>
          <w:u w:val="single"/>
        </w:rPr>
        <w:t>esta Comisión advierte que los agravios vertidos por la persona recurrente quedaron superados por la nueva respuesta</w:t>
      </w:r>
      <w:r w:rsidRPr="00096FAB">
        <w:rPr>
          <w:rFonts w:ascii="AvantGarde Bk BT" w:hAnsi="AvantGarde Bk BT" w:cs="Arial"/>
          <w:color w:val="000000" w:themeColor="text1"/>
          <w:sz w:val="24"/>
          <w:szCs w:val="24"/>
        </w:rPr>
        <w:t xml:space="preserve">. </w:t>
      </w:r>
    </w:p>
    <w:p w14:paraId="5E0ED5E8" w14:textId="1F08787C"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lastRenderedPageBreak/>
        <w:t>En este contexto, debe tomarse en consideración</w:t>
      </w:r>
      <w:r w:rsidR="00714CB5">
        <w:rPr>
          <w:rFonts w:ascii="AvantGarde Bk BT" w:hAnsi="AvantGarde Bk BT" w:cs="Arial"/>
          <w:color w:val="000000" w:themeColor="text1"/>
          <w:sz w:val="24"/>
          <w:szCs w:val="24"/>
        </w:rPr>
        <w:t xml:space="preserve"> el ya citado a</w:t>
      </w:r>
      <w:r w:rsidRPr="00096FAB">
        <w:rPr>
          <w:rFonts w:ascii="AvantGarde Bk BT" w:hAnsi="AvantGarde Bk BT" w:cs="Arial"/>
          <w:color w:val="000000" w:themeColor="text1"/>
          <w:sz w:val="24"/>
          <w:szCs w:val="24"/>
        </w:rPr>
        <w:t>rtículo 180, fracción III, de la Ley de Transparencia local</w:t>
      </w:r>
      <w:r w:rsidRPr="00096FAB">
        <w:rPr>
          <w:rFonts w:ascii="AvantGarde Bk BT" w:hAnsi="AvantGarde Bk BT" w:cs="Arial"/>
          <w:color w:val="000000" w:themeColor="text1"/>
          <w:sz w:val="24"/>
          <w:szCs w:val="24"/>
          <w:vertAlign w:val="superscript"/>
        </w:rPr>
        <w:footnoteReference w:id="4"/>
      </w:r>
      <w:r w:rsidRPr="00096FAB">
        <w:rPr>
          <w:rFonts w:ascii="AvantGarde Bk BT" w:hAnsi="AvantGarde Bk BT" w:cs="Arial"/>
          <w:color w:val="000000" w:themeColor="text1"/>
          <w:sz w:val="24"/>
          <w:szCs w:val="24"/>
        </w:rPr>
        <w:t>, mismo que prescribe que el recurso de revisión podrá ser sobreseído, todo o en parte, cuando el sujeto obligado responsable del acto impugnado lo modifique de manera que el recurso quede sin materia.</w:t>
      </w:r>
    </w:p>
    <w:p w14:paraId="07E728B5" w14:textId="05A664C1" w:rsidR="00096FAB" w:rsidRDefault="00096FAB" w:rsidP="00714CB5">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De este modo, </w:t>
      </w:r>
      <w:r w:rsidRPr="00096FAB">
        <w:rPr>
          <w:rFonts w:ascii="AvantGarde Bk BT" w:hAnsi="AvantGarde Bk BT" w:cs="Arial"/>
          <w:b/>
          <w:color w:val="000000" w:themeColor="text1"/>
          <w:sz w:val="24"/>
          <w:szCs w:val="24"/>
          <w:u w:val="single"/>
        </w:rPr>
        <w:t>si el sujeto obligado subsanó las deficiencias de la respuesta primigenia, relativas a la entrega de información incompleta</w:t>
      </w:r>
      <w:r>
        <w:rPr>
          <w:rFonts w:ascii="AvantGarde Bk BT" w:hAnsi="AvantGarde Bk BT" w:cs="Arial"/>
          <w:b/>
          <w:color w:val="000000" w:themeColor="text1"/>
          <w:sz w:val="24"/>
          <w:szCs w:val="24"/>
          <w:u w:val="single"/>
        </w:rPr>
        <w:t>, al emitir una nueva respuesta</w:t>
      </w:r>
      <w:r w:rsidRPr="00096FAB">
        <w:rPr>
          <w:rFonts w:ascii="AvantGarde Bk BT" w:hAnsi="AvantGarde Bk BT" w:cs="Arial"/>
          <w:b/>
          <w:color w:val="000000" w:themeColor="text1"/>
          <w:sz w:val="24"/>
          <w:szCs w:val="24"/>
        </w:rPr>
        <w:t xml:space="preserve">, </w:t>
      </w:r>
      <w:r w:rsidRPr="00096FAB">
        <w:rPr>
          <w:rFonts w:ascii="AvantGarde Bk BT" w:hAnsi="AvantGarde Bk BT" w:cs="Arial"/>
          <w:color w:val="000000" w:themeColor="text1"/>
          <w:sz w:val="24"/>
          <w:szCs w:val="24"/>
        </w:rPr>
        <w:t xml:space="preserve">entonces, </w:t>
      </w:r>
      <w:r w:rsidRPr="00096FAB">
        <w:rPr>
          <w:rFonts w:ascii="AvantGarde Bk BT" w:hAnsi="AvantGarde Bk BT" w:cs="Arial"/>
          <w:b/>
          <w:color w:val="000000" w:themeColor="text1"/>
          <w:sz w:val="24"/>
          <w:szCs w:val="24"/>
        </w:rPr>
        <w:t xml:space="preserve">los agravios vertidos por la persona ahora recurrente quedaron superado por lo que </w:t>
      </w:r>
      <w:r w:rsidRPr="00096FAB">
        <w:rPr>
          <w:rFonts w:ascii="AvantGarde Bk BT" w:hAnsi="AvantGarde Bk BT" w:cs="Arial"/>
          <w:b/>
          <w:color w:val="000000" w:themeColor="text1"/>
          <w:sz w:val="24"/>
          <w:szCs w:val="24"/>
          <w:u w:val="single"/>
        </w:rPr>
        <w:t>el presente recurso de revisión debe dejarse sin materia</w:t>
      </w:r>
      <w:r w:rsidRPr="00096FAB">
        <w:rPr>
          <w:rFonts w:ascii="AvantGarde Bk BT" w:hAnsi="AvantGarde Bk BT" w:cs="Arial"/>
          <w:color w:val="000000" w:themeColor="text1"/>
          <w:sz w:val="24"/>
          <w:szCs w:val="24"/>
        </w:rPr>
        <w:t>.</w:t>
      </w:r>
    </w:p>
    <w:p w14:paraId="7ED18A7A" w14:textId="3287C19E"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w:t>
      </w:r>
    </w:p>
    <w:p w14:paraId="47BA56F7" w14:textId="5EB19E45"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w:t>
      </w:r>
      <w:r w:rsidR="00096FAB" w:rsidRPr="00096FAB">
        <w:rPr>
          <w:rFonts w:ascii="AvantGarde Bk BT" w:hAnsi="AvantGarde Bk BT" w:cs="Arial"/>
          <w:color w:val="000000" w:themeColor="text1"/>
          <w:sz w:val="24"/>
          <w:szCs w:val="24"/>
        </w:rPr>
        <w:t xml:space="preserve">artículo 180, fracción III de la Ley de Transparencia y Acceso a la Información Pública del Estado se </w:t>
      </w:r>
      <w:r w:rsidR="00096FAB" w:rsidRPr="00096FAB">
        <w:rPr>
          <w:rFonts w:ascii="AvantGarde Bk BT" w:hAnsi="AvantGarde Bk BT" w:cs="Arial"/>
          <w:b/>
          <w:color w:val="000000" w:themeColor="text1"/>
          <w:sz w:val="24"/>
          <w:szCs w:val="24"/>
        </w:rPr>
        <w:t>SOBRESEE</w:t>
      </w:r>
      <w:r w:rsidR="00096FAB" w:rsidRPr="00096FAB">
        <w:rPr>
          <w:rFonts w:ascii="AvantGarde Bk BT" w:hAnsi="AvantGarde Bk BT" w:cs="Arial"/>
          <w:color w:val="000000" w:themeColor="text1"/>
          <w:sz w:val="24"/>
          <w:szCs w:val="24"/>
        </w:rPr>
        <w:t xml:space="preserve"> el presente recurso de revisión en los términos ya precisados en el párrafo inmediato anterior</w:t>
      </w:r>
      <w:r w:rsidR="00096FAB">
        <w:rPr>
          <w:rFonts w:ascii="AvantGarde Bk BT" w:hAnsi="AvantGarde Bk BT" w:cs="Arial"/>
          <w:color w:val="000000" w:themeColor="text1"/>
          <w:sz w:val="24"/>
          <w:szCs w:val="24"/>
        </w:rPr>
        <w:t>.</w:t>
      </w:r>
      <w:r w:rsidRPr="00FB1B04">
        <w:rPr>
          <w:rFonts w:ascii="AvantGarde Bk BT" w:hAnsi="AvantGarde Bk BT" w:cs="Arial"/>
          <w:color w:val="000000" w:themeColor="text1"/>
          <w:sz w:val="24"/>
          <w:szCs w:val="24"/>
        </w:rPr>
        <w:t xml:space="preserve"> </w:t>
      </w:r>
    </w:p>
    <w:p w14:paraId="03CA0EA5" w14:textId="4D8CD1E7" w:rsidR="00BB16E6" w:rsidRPr="005B109B" w:rsidRDefault="00BB16E6" w:rsidP="00BB16E6">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032EAEF5" w14:textId="5A265AB1" w:rsidR="00BB16E6" w:rsidRPr="00BB16E6" w:rsidRDefault="00BB16E6" w:rsidP="00BB16E6">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55DED2EB" w14:textId="7668B014" w:rsidR="00096FAB" w:rsidRPr="00684218" w:rsidRDefault="00BB16E6" w:rsidP="00096FAB">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5.3. </w:t>
      </w:r>
      <w:r w:rsidR="00096FAB" w:rsidRPr="008E469A">
        <w:rPr>
          <w:rFonts w:ascii="AvantGarde Bk BT" w:hAnsi="AvantGarde Bk BT" w:cs="Arial"/>
          <w:b/>
          <w:color w:val="000000" w:themeColor="text1"/>
          <w:sz w:val="24"/>
          <w:szCs w:val="24"/>
        </w:rPr>
        <w:t>Medio de impugnación.</w:t>
      </w:r>
    </w:p>
    <w:p w14:paraId="604E7103" w14:textId="77777777" w:rsidR="00096FAB" w:rsidRPr="003358EE" w:rsidRDefault="00096FAB" w:rsidP="00096FAB">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50630115"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w:t>
      </w:r>
      <w:r w:rsidR="004C7D44" w:rsidRPr="004C7D44">
        <w:rPr>
          <w:rFonts w:ascii="AvantGarde Bk BT" w:hAnsi="AvantGarde Bk BT" w:cs="Arial"/>
          <w:color w:val="000000" w:themeColor="text1"/>
          <w:sz w:val="24"/>
          <w:szCs w:val="24"/>
        </w:rPr>
        <w:t xml:space="preserve">artículo 180, fracción III de la Ley de Transparencia y Acceso a la Información Pública del Estado se </w:t>
      </w:r>
      <w:r w:rsidR="004C7D44" w:rsidRPr="004C7D44">
        <w:rPr>
          <w:rFonts w:ascii="AvantGarde Bk BT" w:hAnsi="AvantGarde Bk BT" w:cs="Arial"/>
          <w:b/>
          <w:color w:val="000000" w:themeColor="text1"/>
          <w:sz w:val="24"/>
          <w:szCs w:val="24"/>
        </w:rPr>
        <w:t>SOBRESEE</w:t>
      </w:r>
      <w:r w:rsidR="004C7D44" w:rsidRPr="004C7D44">
        <w:rPr>
          <w:rFonts w:ascii="AvantGarde Bk BT" w:hAnsi="AvantGarde Bk BT" w:cs="Arial"/>
          <w:color w:val="000000" w:themeColor="text1"/>
          <w:sz w:val="24"/>
          <w:szCs w:val="24"/>
        </w:rPr>
        <w:t xml:space="preserve"> el presente recurso de revisión</w:t>
      </w:r>
      <w:r w:rsidRPr="004C7D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1DFD1376" w14:textId="67B6501C" w:rsidR="00531A80" w:rsidRDefault="009A0D4F" w:rsidP="00C131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596853" w:rsidRPr="00F90E70">
        <w:rPr>
          <w:rFonts w:ascii="AvantGarde Bk BT" w:hAnsi="AvantGarde Bk BT"/>
          <w:sz w:val="24"/>
          <w:szCs w:val="24"/>
        </w:rPr>
        <w:t xml:space="preserve">Sesión </w:t>
      </w:r>
      <w:r w:rsidR="00714CB5">
        <w:rPr>
          <w:rFonts w:ascii="AvantGarde Bk BT" w:hAnsi="AvantGarde Bk BT"/>
          <w:sz w:val="24"/>
          <w:szCs w:val="24"/>
        </w:rPr>
        <w:t>O</w:t>
      </w:r>
      <w:r w:rsidRPr="00F90E70">
        <w:rPr>
          <w:rFonts w:ascii="AvantGarde Bk BT" w:hAnsi="AvantGarde Bk BT"/>
          <w:sz w:val="24"/>
          <w:szCs w:val="24"/>
        </w:rPr>
        <w:t xml:space="preserve">rdinaria del </w:t>
      </w:r>
      <w:r w:rsidR="00714CB5">
        <w:rPr>
          <w:rFonts w:ascii="AvantGarde Bk BT" w:hAnsi="AvantGarde Bk BT"/>
          <w:sz w:val="24"/>
          <w:szCs w:val="24"/>
        </w:rPr>
        <w:t>siete de julio</w:t>
      </w:r>
      <w:r w:rsidR="00531A80" w:rsidRPr="00F90E70">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608B8849" w14:textId="77777777" w:rsidR="004C7D44" w:rsidRPr="006809EF" w:rsidRDefault="004C7D44" w:rsidP="00C1314F">
      <w:pPr>
        <w:pStyle w:val="corte4fondo"/>
        <w:tabs>
          <w:tab w:val="left" w:pos="567"/>
        </w:tabs>
        <w:spacing w:after="240"/>
        <w:rPr>
          <w:rFonts w:ascii="AvantGarde Bk BT" w:hAnsi="AvantGarde Bk BT" w:cs="Arial"/>
          <w:color w:val="000000" w:themeColor="text1"/>
          <w:sz w:val="24"/>
          <w:szCs w:val="24"/>
        </w:rPr>
      </w:pP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0B73C4AA"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F90E70">
        <w:rPr>
          <w:rFonts w:ascii="AvantGarde Bk BT" w:hAnsi="AvantGarde Bk BT" w:cs="Arial"/>
          <w:color w:val="000000" w:themeColor="text1"/>
          <w:sz w:val="14"/>
          <w:szCs w:val="14"/>
        </w:rPr>
        <w:t xml:space="preserve">sesión ordinaria de </w:t>
      </w:r>
      <w:r w:rsidR="00714CB5">
        <w:rPr>
          <w:rFonts w:ascii="AvantGarde Bk BT" w:hAnsi="AvantGarde Bk BT" w:cs="Arial"/>
          <w:color w:val="000000" w:themeColor="text1"/>
          <w:sz w:val="14"/>
          <w:szCs w:val="14"/>
        </w:rPr>
        <w:t>siete de julio</w:t>
      </w:r>
      <w:r w:rsidR="00531A80" w:rsidRPr="00F90E70">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4C7D44">
        <w:rPr>
          <w:rFonts w:ascii="AvantGarde Bk BT" w:hAnsi="AvantGarde Bk BT" w:cs="Arial"/>
          <w:color w:val="000000" w:themeColor="text1"/>
          <w:sz w:val="14"/>
          <w:szCs w:val="14"/>
        </w:rPr>
        <w:t>299</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387B0" w14:textId="77777777" w:rsidR="00DF5DA2" w:rsidRDefault="00DF5DA2" w:rsidP="003864ED">
      <w:pPr>
        <w:spacing w:after="0" w:line="240" w:lineRule="auto"/>
      </w:pPr>
      <w:r>
        <w:separator/>
      </w:r>
    </w:p>
  </w:endnote>
  <w:endnote w:type="continuationSeparator" w:id="0">
    <w:p w14:paraId="47431CE1" w14:textId="77777777" w:rsidR="00DF5DA2" w:rsidRDefault="00DF5DA2"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3693C" w14:textId="77777777" w:rsidR="00DF5DA2" w:rsidRDefault="00DF5DA2" w:rsidP="003864ED">
      <w:pPr>
        <w:spacing w:after="0" w:line="240" w:lineRule="auto"/>
      </w:pPr>
      <w:r>
        <w:separator/>
      </w:r>
    </w:p>
  </w:footnote>
  <w:footnote w:type="continuationSeparator" w:id="0">
    <w:p w14:paraId="466BF359" w14:textId="77777777" w:rsidR="00DF5DA2" w:rsidRDefault="00DF5DA2" w:rsidP="003864ED">
      <w:pPr>
        <w:spacing w:after="0" w:line="240" w:lineRule="auto"/>
      </w:pPr>
      <w:r>
        <w:continuationSeparator/>
      </w:r>
    </w:p>
  </w:footnote>
  <w:footnote w:id="1">
    <w:p w14:paraId="5A83CB04" w14:textId="77777777" w:rsidR="005142BE" w:rsidRPr="0004149D" w:rsidRDefault="005142BE" w:rsidP="000468A0">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04149D">
        <w:rPr>
          <w:b/>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0D104DDF" w14:textId="77777777" w:rsidR="005142BE" w:rsidRPr="0004149D" w:rsidRDefault="005142BE" w:rsidP="000468A0">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2">
    <w:p w14:paraId="45880953" w14:textId="77777777" w:rsidR="005142BE" w:rsidRPr="0004149D" w:rsidRDefault="005142BE" w:rsidP="000468A0">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18.</w:t>
      </w:r>
      <w:r w:rsidRPr="0004149D">
        <w:rPr>
          <w:sz w:val="18"/>
          <w:szCs w:val="18"/>
        </w:rPr>
        <w:t xml:space="preserve"> Los sujetos obligados deberán documentar todo acto que derive del ejercicio de sus facultades, competencias o funciones.</w:t>
      </w:r>
    </w:p>
    <w:p w14:paraId="0EDAA087" w14:textId="77777777" w:rsidR="005142BE" w:rsidRPr="0004149D" w:rsidRDefault="005142BE" w:rsidP="000468A0">
      <w:pPr>
        <w:pStyle w:val="Textonotapie"/>
        <w:jc w:val="both"/>
        <w:rPr>
          <w:sz w:val="18"/>
          <w:szCs w:val="18"/>
        </w:rPr>
      </w:pPr>
      <w:r w:rsidRPr="0004149D">
        <w:rPr>
          <w:b/>
          <w:sz w:val="18"/>
          <w:szCs w:val="18"/>
        </w:rPr>
        <w:t>ARTÍCULO 59.</w:t>
      </w:r>
      <w:r w:rsidRPr="0004149D">
        <w:rPr>
          <w:sz w:val="18"/>
          <w:szCs w:val="18"/>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744D19AE" w14:textId="77777777" w:rsidR="005142BE" w:rsidRPr="0004149D" w:rsidRDefault="005142BE" w:rsidP="000468A0">
      <w:pPr>
        <w:pStyle w:val="Textonotapie"/>
        <w:jc w:val="both"/>
        <w:rPr>
          <w:sz w:val="18"/>
          <w:szCs w:val="18"/>
        </w:rPr>
      </w:pPr>
      <w:r w:rsidRPr="0004149D">
        <w:rPr>
          <w:b/>
          <w:sz w:val="18"/>
          <w:szCs w:val="18"/>
        </w:rPr>
        <w:t>ARTÍCULO 60.</w:t>
      </w:r>
      <w:r w:rsidRPr="0004149D">
        <w:rPr>
          <w:sz w:val="18"/>
          <w:szCs w:val="18"/>
        </w:rPr>
        <w:t xml:space="preserve"> En la formulación, producción, procesamiento, administración, archivo y resguardo de la información, debe atenderse al principio de la máxima publicidad, con el objeto de facilitar el acceso de cualquier persona a su conocimiento. </w:t>
      </w:r>
    </w:p>
    <w:p w14:paraId="4CDF22B8" w14:textId="77777777" w:rsidR="005142BE" w:rsidRPr="0004149D" w:rsidRDefault="005142BE" w:rsidP="000468A0">
      <w:pPr>
        <w:pStyle w:val="Textonotapie"/>
        <w:jc w:val="both"/>
        <w:rPr>
          <w:sz w:val="18"/>
          <w:szCs w:val="18"/>
        </w:rPr>
      </w:pPr>
      <w:r w:rsidRPr="0004149D">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2743C616" w14:textId="77777777" w:rsidR="005142BE" w:rsidRPr="0004149D" w:rsidRDefault="005142BE" w:rsidP="000468A0">
      <w:pPr>
        <w:pStyle w:val="Textonotapie"/>
        <w:jc w:val="both"/>
        <w:rPr>
          <w:sz w:val="18"/>
          <w:szCs w:val="18"/>
        </w:rPr>
      </w:pPr>
      <w:r w:rsidRPr="0004149D">
        <w:rPr>
          <w:b/>
          <w:sz w:val="18"/>
          <w:szCs w:val="18"/>
        </w:rPr>
        <w:t>ARTÍCULO 61.</w:t>
      </w:r>
      <w:r w:rsidRPr="0004149D">
        <w:rPr>
          <w:sz w:val="18"/>
          <w:szCs w:val="18"/>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6E12FA47" w14:textId="77777777" w:rsidR="005142BE" w:rsidRPr="0004149D" w:rsidRDefault="005142BE" w:rsidP="000468A0">
      <w:pPr>
        <w:pStyle w:val="Textonotapie"/>
        <w:jc w:val="both"/>
        <w:rPr>
          <w:sz w:val="18"/>
          <w:szCs w:val="18"/>
        </w:rPr>
      </w:pPr>
      <w:r w:rsidRPr="0004149D">
        <w:rPr>
          <w:sz w:val="18"/>
          <w:szCs w:val="18"/>
        </w:rPr>
        <w:t>La obligación de los sujetos obligados de proporcionar información no comprende el procesamiento de la misma, ni el presentarla conforme al interés del solicitante.</w:t>
      </w:r>
    </w:p>
    <w:p w14:paraId="69187026" w14:textId="77777777" w:rsidR="005142BE" w:rsidRPr="0004149D" w:rsidRDefault="005142BE" w:rsidP="000468A0">
      <w:pPr>
        <w:pStyle w:val="Textonotapie"/>
        <w:jc w:val="both"/>
        <w:rPr>
          <w:sz w:val="18"/>
          <w:szCs w:val="18"/>
        </w:rPr>
      </w:pPr>
      <w:r w:rsidRPr="0004149D">
        <w:rPr>
          <w:b/>
          <w:sz w:val="18"/>
          <w:szCs w:val="18"/>
        </w:rPr>
        <w:t>ARTÍCULO 152</w:t>
      </w:r>
      <w:r w:rsidRPr="0004149D">
        <w:rPr>
          <w:sz w:val="18"/>
          <w:szCs w:val="18"/>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3">
    <w:p w14:paraId="6D1B7C82" w14:textId="60FB886A" w:rsidR="00DA2877" w:rsidRPr="00DA2877" w:rsidRDefault="00DA2877" w:rsidP="00DA2877">
      <w:pPr>
        <w:pStyle w:val="Textonotapie"/>
        <w:jc w:val="both"/>
        <w:rPr>
          <w:sz w:val="18"/>
        </w:rPr>
      </w:pPr>
      <w:r w:rsidRPr="00DA2877">
        <w:rPr>
          <w:rStyle w:val="Refdenotaalpie"/>
          <w:sz w:val="18"/>
        </w:rPr>
        <w:footnoteRef/>
      </w:r>
      <w:r w:rsidRPr="00DA2877">
        <w:rPr>
          <w:sz w:val="18"/>
        </w:rPr>
        <w:t xml:space="preserve"> </w:t>
      </w:r>
      <w:r w:rsidRPr="00DA2877">
        <w:rPr>
          <w:b/>
          <w:sz w:val="18"/>
        </w:rPr>
        <w:t>ARTÍCULO 160.</w:t>
      </w:r>
      <w:r w:rsidRPr="00DA2877">
        <w:rPr>
          <w:sz w:val="18"/>
        </w:rPr>
        <w:t xml:space="preserve">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 procedimiento de responsabilidad administrativa que corresponda. </w:t>
      </w:r>
    </w:p>
    <w:p w14:paraId="4047EEC4" w14:textId="63B9E1E2" w:rsidR="00DA2877" w:rsidRDefault="00DA2877" w:rsidP="00DA2877">
      <w:pPr>
        <w:pStyle w:val="Textonotapie"/>
        <w:jc w:val="both"/>
      </w:pPr>
      <w:r w:rsidRPr="00DA2877">
        <w:rPr>
          <w:b/>
          <w:sz w:val="18"/>
        </w:rPr>
        <w:t>ARTÍCULO 161.</w:t>
      </w:r>
      <w:r w:rsidRPr="00DA2877">
        <w:rPr>
          <w:sz w:val="18"/>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footnote>
  <w:footnote w:id="4">
    <w:p w14:paraId="47A6582E" w14:textId="77777777" w:rsidR="00096FAB" w:rsidRDefault="00096FAB" w:rsidP="00096FAB">
      <w:pPr>
        <w:pStyle w:val="Textonotapie"/>
        <w:rPr>
          <w:sz w:val="18"/>
          <w:szCs w:val="18"/>
        </w:rPr>
      </w:pPr>
      <w:r>
        <w:rPr>
          <w:rStyle w:val="Refdenotaalpie"/>
        </w:rPr>
        <w:footnoteRef/>
      </w:r>
      <w:r>
        <w:t xml:space="preserve"> </w:t>
      </w:r>
      <w:r>
        <w:rPr>
          <w:b/>
          <w:sz w:val="18"/>
          <w:szCs w:val="18"/>
        </w:rPr>
        <w:t>ARTÍCULO 180.</w:t>
      </w:r>
      <w:r>
        <w:rPr>
          <w:sz w:val="18"/>
          <w:szCs w:val="18"/>
        </w:rPr>
        <w:t xml:space="preserve"> El recurso será sobreseído, en todo o en parte, cuando, una vez admitido, se actualicen alguno de los siguientes supuestos:</w:t>
      </w:r>
    </w:p>
    <w:p w14:paraId="5391B4C0" w14:textId="77777777" w:rsidR="00096FAB" w:rsidRDefault="00096FAB" w:rsidP="00096FAB">
      <w:pPr>
        <w:pStyle w:val="Textonotapie"/>
        <w:rPr>
          <w:sz w:val="18"/>
          <w:szCs w:val="18"/>
        </w:rPr>
      </w:pPr>
      <w:r>
        <w:rPr>
          <w:sz w:val="18"/>
          <w:szCs w:val="18"/>
        </w:rPr>
        <w:t>[…]</w:t>
      </w:r>
    </w:p>
    <w:p w14:paraId="17D01400" w14:textId="77777777" w:rsidR="00096FAB" w:rsidRDefault="00096FAB" w:rsidP="00096FAB">
      <w:pPr>
        <w:pStyle w:val="Textonotapie"/>
        <w:rPr>
          <w:sz w:val="18"/>
          <w:szCs w:val="18"/>
        </w:rPr>
      </w:pPr>
      <w:r>
        <w:rPr>
          <w:b/>
          <w:sz w:val="18"/>
          <w:szCs w:val="18"/>
        </w:rPr>
        <w:t>III.</w:t>
      </w:r>
      <w:r>
        <w:rPr>
          <w:sz w:val="18"/>
          <w:szCs w:val="18"/>
        </w:rPr>
        <w:t xml:space="preserve"> El sujeto obligado responsable del acto lo modifique o revoque de tal manera que el recurso de revisión quede sin materia, o</w:t>
      </w:r>
    </w:p>
    <w:p w14:paraId="249C0D35" w14:textId="77777777" w:rsidR="00096FAB" w:rsidRDefault="00096FAB" w:rsidP="00096FAB">
      <w:pPr>
        <w:pStyle w:val="Textonotapie"/>
        <w:rPr>
          <w:sz w:val="18"/>
          <w:szCs w:val="18"/>
        </w:rPr>
      </w:pPr>
      <w:r>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03D579D8" w:rsidR="005142BE" w:rsidRDefault="005142BE">
        <w:pPr>
          <w:pStyle w:val="Encabezado"/>
          <w:jc w:val="center"/>
        </w:pPr>
        <w:r>
          <w:fldChar w:fldCharType="begin"/>
        </w:r>
        <w:r>
          <w:instrText>PAGE   \* MERGEFORMAT</w:instrText>
        </w:r>
        <w:r>
          <w:fldChar w:fldCharType="separate"/>
        </w:r>
        <w:r w:rsidR="00917AFC" w:rsidRPr="00917AFC">
          <w:rPr>
            <w:noProof/>
            <w:lang w:val="es-ES"/>
          </w:rPr>
          <w:t>14</w:t>
        </w:r>
        <w:r>
          <w:fldChar w:fldCharType="end"/>
        </w:r>
      </w:p>
    </w:sdtContent>
  </w:sdt>
  <w:p w14:paraId="3407CE7F" w14:textId="074FE6B1" w:rsidR="005142BE" w:rsidRDefault="00183EF3" w:rsidP="00403C89">
    <w:pPr>
      <w:pStyle w:val="Encabezado"/>
      <w:jc w:val="right"/>
    </w:pPr>
    <w:r>
      <w:t xml:space="preserve">RECURSO DE REVISIÓN </w:t>
    </w:r>
    <w:r w:rsidR="00F14E4A">
      <w:t>2</w:t>
    </w:r>
    <w:r w:rsidR="00C003AC">
      <w:t>99</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08A388FE"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917AFC" w:rsidRPr="00917AFC">
          <w:rPr>
            <w:noProof/>
            <w:lang w:val="es-ES"/>
          </w:rPr>
          <w:t>13</w:t>
        </w:r>
        <w:r>
          <w:fldChar w:fldCharType="end"/>
        </w:r>
        <w:r>
          <w:t xml:space="preserve">                                  </w:t>
        </w:r>
      </w:p>
      <w:p w14:paraId="4B8CFE5F" w14:textId="77777777" w:rsidR="005142BE" w:rsidRDefault="005142BE" w:rsidP="00125FB7">
        <w:pPr>
          <w:pStyle w:val="Encabezado"/>
          <w:jc w:val="right"/>
        </w:pPr>
      </w:p>
      <w:p w14:paraId="33FF87E3" w14:textId="7C5B6068" w:rsidR="005142BE" w:rsidRDefault="00385540" w:rsidP="00403C89">
        <w:pPr>
          <w:pStyle w:val="Encabezado"/>
          <w:jc w:val="right"/>
        </w:pPr>
        <w:r>
          <w:t xml:space="preserve">RECURSO DE REVISIÓN </w:t>
        </w:r>
        <w:r w:rsidR="00F14E4A">
          <w:t>2</w:t>
        </w:r>
        <w:r w:rsidR="00C003AC">
          <w:t>99</w:t>
        </w:r>
        <w:r w:rsidR="00A00F41">
          <w:t>/2026</w:t>
        </w:r>
        <w:r w:rsidR="00710E8F">
          <w:t>-1</w:t>
        </w:r>
      </w:p>
      <w:p w14:paraId="1F581E29" w14:textId="484A7B4B" w:rsidR="005142BE" w:rsidRDefault="00DF5DA2"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856"/>
    <w:multiLevelType w:val="hybridMultilevel"/>
    <w:tmpl w:val="1356158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4534AA"/>
    <w:multiLevelType w:val="hybridMultilevel"/>
    <w:tmpl w:val="5A72580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3EB71E6"/>
    <w:multiLevelType w:val="hybridMultilevel"/>
    <w:tmpl w:val="909C2384"/>
    <w:lvl w:ilvl="0" w:tplc="14020AD8">
      <w:start w:val="1"/>
      <w:numFmt w:val="upperRoman"/>
      <w:lvlText w:val="%1."/>
      <w:lvlJc w:val="left"/>
      <w:pPr>
        <w:ind w:left="2109" w:hanging="720"/>
      </w:pPr>
      <w:rPr>
        <w:rFonts w:hint="default"/>
      </w:rPr>
    </w:lvl>
    <w:lvl w:ilvl="1" w:tplc="080A0019">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4"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5A3E6E"/>
    <w:multiLevelType w:val="hybridMultilevel"/>
    <w:tmpl w:val="7AC68CE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3"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5" w15:restartNumberingAfterBreak="0">
    <w:nsid w:val="31FC4618"/>
    <w:multiLevelType w:val="hybridMultilevel"/>
    <w:tmpl w:val="74740F92"/>
    <w:lvl w:ilvl="0" w:tplc="14020AD8">
      <w:start w:val="1"/>
      <w:numFmt w:val="upperRoman"/>
      <w:lvlText w:val="%1."/>
      <w:lvlJc w:val="left"/>
      <w:pPr>
        <w:ind w:left="2109" w:hanging="720"/>
      </w:pPr>
      <w:rPr>
        <w:rFonts w:hint="default"/>
      </w:rPr>
    </w:lvl>
    <w:lvl w:ilvl="1" w:tplc="080A000F">
      <w:start w:val="1"/>
      <w:numFmt w:val="decimal"/>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6"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8"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9D404F5"/>
    <w:multiLevelType w:val="hybridMultilevel"/>
    <w:tmpl w:val="14DCC206"/>
    <w:lvl w:ilvl="0" w:tplc="222C4C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4" w15:restartNumberingAfterBreak="0">
    <w:nsid w:val="53E12F1E"/>
    <w:multiLevelType w:val="hybridMultilevel"/>
    <w:tmpl w:val="95D80A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8C84BEE"/>
    <w:multiLevelType w:val="hybridMultilevel"/>
    <w:tmpl w:val="63E2698E"/>
    <w:lvl w:ilvl="0" w:tplc="080A0001">
      <w:start w:val="1"/>
      <w:numFmt w:val="bullet"/>
      <w:lvlText w:val=""/>
      <w:lvlJc w:val="left"/>
      <w:pPr>
        <w:ind w:left="2109" w:hanging="360"/>
      </w:pPr>
      <w:rPr>
        <w:rFonts w:ascii="Symbol" w:hAnsi="Symbol" w:hint="default"/>
      </w:rPr>
    </w:lvl>
    <w:lvl w:ilvl="1" w:tplc="080A0003" w:tentative="1">
      <w:start w:val="1"/>
      <w:numFmt w:val="bullet"/>
      <w:lvlText w:val="o"/>
      <w:lvlJc w:val="left"/>
      <w:pPr>
        <w:ind w:left="2829" w:hanging="360"/>
      </w:pPr>
      <w:rPr>
        <w:rFonts w:ascii="Courier New" w:hAnsi="Courier New" w:cs="Courier New" w:hint="default"/>
      </w:rPr>
    </w:lvl>
    <w:lvl w:ilvl="2" w:tplc="080A0005" w:tentative="1">
      <w:start w:val="1"/>
      <w:numFmt w:val="bullet"/>
      <w:lvlText w:val=""/>
      <w:lvlJc w:val="left"/>
      <w:pPr>
        <w:ind w:left="3549" w:hanging="360"/>
      </w:pPr>
      <w:rPr>
        <w:rFonts w:ascii="Wingdings" w:hAnsi="Wingdings" w:hint="default"/>
      </w:rPr>
    </w:lvl>
    <w:lvl w:ilvl="3" w:tplc="080A0001" w:tentative="1">
      <w:start w:val="1"/>
      <w:numFmt w:val="bullet"/>
      <w:lvlText w:val=""/>
      <w:lvlJc w:val="left"/>
      <w:pPr>
        <w:ind w:left="4269" w:hanging="360"/>
      </w:pPr>
      <w:rPr>
        <w:rFonts w:ascii="Symbol" w:hAnsi="Symbol" w:hint="default"/>
      </w:rPr>
    </w:lvl>
    <w:lvl w:ilvl="4" w:tplc="080A0003" w:tentative="1">
      <w:start w:val="1"/>
      <w:numFmt w:val="bullet"/>
      <w:lvlText w:val="o"/>
      <w:lvlJc w:val="left"/>
      <w:pPr>
        <w:ind w:left="4989" w:hanging="360"/>
      </w:pPr>
      <w:rPr>
        <w:rFonts w:ascii="Courier New" w:hAnsi="Courier New" w:cs="Courier New" w:hint="default"/>
      </w:rPr>
    </w:lvl>
    <w:lvl w:ilvl="5" w:tplc="080A0005" w:tentative="1">
      <w:start w:val="1"/>
      <w:numFmt w:val="bullet"/>
      <w:lvlText w:val=""/>
      <w:lvlJc w:val="left"/>
      <w:pPr>
        <w:ind w:left="5709" w:hanging="360"/>
      </w:pPr>
      <w:rPr>
        <w:rFonts w:ascii="Wingdings" w:hAnsi="Wingdings" w:hint="default"/>
      </w:rPr>
    </w:lvl>
    <w:lvl w:ilvl="6" w:tplc="080A0001" w:tentative="1">
      <w:start w:val="1"/>
      <w:numFmt w:val="bullet"/>
      <w:lvlText w:val=""/>
      <w:lvlJc w:val="left"/>
      <w:pPr>
        <w:ind w:left="6429" w:hanging="360"/>
      </w:pPr>
      <w:rPr>
        <w:rFonts w:ascii="Symbol" w:hAnsi="Symbol" w:hint="default"/>
      </w:rPr>
    </w:lvl>
    <w:lvl w:ilvl="7" w:tplc="080A0003" w:tentative="1">
      <w:start w:val="1"/>
      <w:numFmt w:val="bullet"/>
      <w:lvlText w:val="o"/>
      <w:lvlJc w:val="left"/>
      <w:pPr>
        <w:ind w:left="7149" w:hanging="360"/>
      </w:pPr>
      <w:rPr>
        <w:rFonts w:ascii="Courier New" w:hAnsi="Courier New" w:cs="Courier New" w:hint="default"/>
      </w:rPr>
    </w:lvl>
    <w:lvl w:ilvl="8" w:tplc="080A0005" w:tentative="1">
      <w:start w:val="1"/>
      <w:numFmt w:val="bullet"/>
      <w:lvlText w:val=""/>
      <w:lvlJc w:val="left"/>
      <w:pPr>
        <w:ind w:left="7869" w:hanging="360"/>
      </w:pPr>
      <w:rPr>
        <w:rFonts w:ascii="Wingdings" w:hAnsi="Wingdings" w:hint="default"/>
      </w:rPr>
    </w:lvl>
  </w:abstractNum>
  <w:abstractNum w:abstractNumId="27"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9"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2" w15:restartNumberingAfterBreak="0">
    <w:nsid w:val="5E6065B7"/>
    <w:multiLevelType w:val="hybridMultilevel"/>
    <w:tmpl w:val="3D9864D0"/>
    <w:lvl w:ilvl="0" w:tplc="14020AD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5F7B4755"/>
    <w:multiLevelType w:val="hybridMultilevel"/>
    <w:tmpl w:val="3F24CAB2"/>
    <w:lvl w:ilvl="0" w:tplc="140C92B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4"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C4582A"/>
    <w:multiLevelType w:val="hybridMultilevel"/>
    <w:tmpl w:val="FFD65B3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5B22DF8"/>
    <w:multiLevelType w:val="hybridMultilevel"/>
    <w:tmpl w:val="94C49C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96C2F7C0"/>
    <w:lvl w:ilvl="0" w:tplc="080A0001">
      <w:start w:val="1"/>
      <w:numFmt w:val="bullet"/>
      <w:lvlText w:val=""/>
      <w:lvlJc w:val="left"/>
      <w:pPr>
        <w:ind w:left="1400" w:hanging="360"/>
      </w:pPr>
      <w:rPr>
        <w:rFonts w:ascii="Symbol" w:hAnsi="Symbol" w:hint="default"/>
      </w:rPr>
    </w:lvl>
    <w:lvl w:ilvl="1" w:tplc="26DE5670">
      <w:start w:val="7"/>
      <w:numFmt w:val="bullet"/>
      <w:lvlText w:val="-"/>
      <w:lvlJc w:val="left"/>
      <w:pPr>
        <w:ind w:left="2120" w:hanging="360"/>
      </w:pPr>
      <w:rPr>
        <w:rFonts w:ascii="AvantGarde Bk BT" w:eastAsia="Times New Roman" w:hAnsi="AvantGarde Bk BT" w:cs="Arial"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DDF464F"/>
    <w:multiLevelType w:val="multilevel"/>
    <w:tmpl w:val="FD00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AD9CD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4"/>
  </w:num>
  <w:num w:numId="2">
    <w:abstractNumId w:val="1"/>
  </w:num>
  <w:num w:numId="3">
    <w:abstractNumId w:val="2"/>
  </w:num>
  <w:num w:numId="4">
    <w:abstractNumId w:val="5"/>
  </w:num>
  <w:num w:numId="5">
    <w:abstractNumId w:val="46"/>
  </w:num>
  <w:num w:numId="6">
    <w:abstractNumId w:val="19"/>
  </w:num>
  <w:num w:numId="7">
    <w:abstractNumId w:val="27"/>
  </w:num>
  <w:num w:numId="8">
    <w:abstractNumId w:val="37"/>
  </w:num>
  <w:num w:numId="9">
    <w:abstractNumId w:val="7"/>
  </w:num>
  <w:num w:numId="10">
    <w:abstractNumId w:val="43"/>
  </w:num>
  <w:num w:numId="11">
    <w:abstractNumId w:val="11"/>
  </w:num>
  <w:num w:numId="12">
    <w:abstractNumId w:val="39"/>
  </w:num>
  <w:num w:numId="13">
    <w:abstractNumId w:val="23"/>
  </w:num>
  <w:num w:numId="14">
    <w:abstractNumId w:val="13"/>
  </w:num>
  <w:num w:numId="15">
    <w:abstractNumId w:val="42"/>
  </w:num>
  <w:num w:numId="16">
    <w:abstractNumId w:val="8"/>
  </w:num>
  <w:num w:numId="17">
    <w:abstractNumId w:val="4"/>
  </w:num>
  <w:num w:numId="18">
    <w:abstractNumId w:val="17"/>
  </w:num>
  <w:num w:numId="19">
    <w:abstractNumId w:val="2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0"/>
  </w:num>
  <w:num w:numId="23">
    <w:abstractNumId w:val="41"/>
  </w:num>
  <w:num w:numId="24">
    <w:abstractNumId w:val="47"/>
  </w:num>
  <w:num w:numId="25">
    <w:abstractNumId w:val="20"/>
  </w:num>
  <w:num w:numId="26">
    <w:abstractNumId w:val="44"/>
  </w:num>
  <w:num w:numId="27">
    <w:abstractNumId w:val="10"/>
  </w:num>
  <w:num w:numId="28">
    <w:abstractNumId w:val="45"/>
  </w:num>
  <w:num w:numId="29">
    <w:abstractNumId w:val="40"/>
  </w:num>
  <w:num w:numId="30">
    <w:abstractNumId w:val="25"/>
  </w:num>
  <w:num w:numId="31">
    <w:abstractNumId w:val="34"/>
  </w:num>
  <w:num w:numId="32">
    <w:abstractNumId w:val="9"/>
  </w:num>
  <w:num w:numId="33">
    <w:abstractNumId w:val="16"/>
  </w:num>
  <w:num w:numId="34">
    <w:abstractNumId w:val="24"/>
  </w:num>
  <w:num w:numId="35">
    <w:abstractNumId w:val="6"/>
  </w:num>
  <w:num w:numId="36">
    <w:abstractNumId w:val="28"/>
  </w:num>
  <w:num w:numId="37">
    <w:abstractNumId w:val="18"/>
  </w:num>
  <w:num w:numId="38">
    <w:abstractNumId w:val="22"/>
  </w:num>
  <w:num w:numId="39">
    <w:abstractNumId w:val="0"/>
  </w:num>
  <w:num w:numId="40">
    <w:abstractNumId w:val="32"/>
  </w:num>
  <w:num w:numId="41">
    <w:abstractNumId w:val="3"/>
  </w:num>
  <w:num w:numId="42">
    <w:abstractNumId w:val="15"/>
  </w:num>
  <w:num w:numId="43">
    <w:abstractNumId w:val="12"/>
  </w:num>
  <w:num w:numId="44">
    <w:abstractNumId w:val="31"/>
  </w:num>
  <w:num w:numId="45">
    <w:abstractNumId w:val="26"/>
  </w:num>
  <w:num w:numId="46">
    <w:abstractNumId w:val="35"/>
  </w:num>
  <w:num w:numId="47">
    <w:abstractNumId w:val="33"/>
  </w:num>
  <w:num w:numId="48">
    <w:abstractNumId w:val="36"/>
  </w:num>
  <w:num w:numId="49">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68A0"/>
    <w:rsid w:val="000475EF"/>
    <w:rsid w:val="000476BE"/>
    <w:rsid w:val="00050F84"/>
    <w:rsid w:val="000515EE"/>
    <w:rsid w:val="000524E8"/>
    <w:rsid w:val="00052535"/>
    <w:rsid w:val="000528D0"/>
    <w:rsid w:val="00052D0C"/>
    <w:rsid w:val="00054051"/>
    <w:rsid w:val="000542D9"/>
    <w:rsid w:val="00054510"/>
    <w:rsid w:val="000550DB"/>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6FAB"/>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106"/>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6B0C"/>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59D5"/>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1073"/>
    <w:rsid w:val="003D1446"/>
    <w:rsid w:val="003D18F8"/>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41E"/>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D44"/>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35"/>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C69"/>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853"/>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5C90"/>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22F8"/>
    <w:rsid w:val="005D27E3"/>
    <w:rsid w:val="005D2C05"/>
    <w:rsid w:val="005D2D89"/>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92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AC"/>
    <w:rsid w:val="006A16E9"/>
    <w:rsid w:val="006A1845"/>
    <w:rsid w:val="006A1ADE"/>
    <w:rsid w:val="006A21FB"/>
    <w:rsid w:val="006A252C"/>
    <w:rsid w:val="006A27B9"/>
    <w:rsid w:val="006A2C54"/>
    <w:rsid w:val="006A3029"/>
    <w:rsid w:val="006A37C1"/>
    <w:rsid w:val="006A3B12"/>
    <w:rsid w:val="006A48EA"/>
    <w:rsid w:val="006A4954"/>
    <w:rsid w:val="006A5158"/>
    <w:rsid w:val="006A640B"/>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3AAC"/>
    <w:rsid w:val="00703C92"/>
    <w:rsid w:val="0070541D"/>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CB5"/>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15C"/>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71C0"/>
    <w:rsid w:val="00917AFC"/>
    <w:rsid w:val="0092045D"/>
    <w:rsid w:val="009212D1"/>
    <w:rsid w:val="009214BC"/>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0F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369"/>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08E2"/>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4129"/>
    <w:rsid w:val="00BA4F3B"/>
    <w:rsid w:val="00BA5238"/>
    <w:rsid w:val="00BA7070"/>
    <w:rsid w:val="00BA77B6"/>
    <w:rsid w:val="00BB066B"/>
    <w:rsid w:val="00BB09D4"/>
    <w:rsid w:val="00BB0DF8"/>
    <w:rsid w:val="00BB0FC9"/>
    <w:rsid w:val="00BB16E6"/>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3AC"/>
    <w:rsid w:val="00C006CD"/>
    <w:rsid w:val="00C00CB3"/>
    <w:rsid w:val="00C01371"/>
    <w:rsid w:val="00C01F55"/>
    <w:rsid w:val="00C023EC"/>
    <w:rsid w:val="00C02EF8"/>
    <w:rsid w:val="00C02FFD"/>
    <w:rsid w:val="00C03B6B"/>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462"/>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7C4"/>
    <w:rsid w:val="00D32BDF"/>
    <w:rsid w:val="00D32D81"/>
    <w:rsid w:val="00D33466"/>
    <w:rsid w:val="00D33584"/>
    <w:rsid w:val="00D33617"/>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2877"/>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DA2"/>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5AC3"/>
    <w:rsid w:val="00E36277"/>
    <w:rsid w:val="00E36DCC"/>
    <w:rsid w:val="00E376C1"/>
    <w:rsid w:val="00E376F4"/>
    <w:rsid w:val="00E40E02"/>
    <w:rsid w:val="00E417D9"/>
    <w:rsid w:val="00E41A5D"/>
    <w:rsid w:val="00E41F96"/>
    <w:rsid w:val="00E4495F"/>
    <w:rsid w:val="00E455A8"/>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B70"/>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0E70"/>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2280880">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958417941">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877742144">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26443132">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C5EE74-98C2-4FE3-9BD7-370FBFE9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14</Pages>
  <Words>4711</Words>
  <Characters>25913</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7</cp:revision>
  <cp:lastPrinted>2025-11-05T14:45:00Z</cp:lastPrinted>
  <dcterms:created xsi:type="dcterms:W3CDTF">2026-06-26T20:45:00Z</dcterms:created>
  <dcterms:modified xsi:type="dcterms:W3CDTF">2026-07-01T20:26:00Z</dcterms:modified>
</cp:coreProperties>
</file>