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3C40B" w14:textId="752CFD69" w:rsidR="00403C89" w:rsidRDefault="0026483E" w:rsidP="00403C89">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B66C52">
        <w:rPr>
          <w:rFonts w:ascii="AvantGarde Bk BT" w:hAnsi="AvantGarde Bk BT" w:cs="Arial"/>
          <w:b/>
          <w:color w:val="000000" w:themeColor="text1"/>
          <w:sz w:val="24"/>
          <w:szCs w:val="24"/>
        </w:rPr>
        <w:t>0</w:t>
      </w:r>
      <w:r w:rsidR="00C20BA5">
        <w:rPr>
          <w:rFonts w:ascii="AvantGarde Bk BT" w:hAnsi="AvantGarde Bk BT" w:cs="Arial"/>
          <w:b/>
          <w:color w:val="000000" w:themeColor="text1"/>
          <w:sz w:val="24"/>
          <w:szCs w:val="24"/>
        </w:rPr>
        <w:t>3</w:t>
      </w:r>
      <w:r w:rsidR="00B66C52">
        <w:rPr>
          <w:rFonts w:ascii="AvantGarde Bk BT" w:hAnsi="AvantGarde Bk BT" w:cs="Arial"/>
          <w:b/>
          <w:color w:val="000000" w:themeColor="text1"/>
          <w:sz w:val="24"/>
          <w:szCs w:val="24"/>
        </w:rPr>
        <w:t>7</w:t>
      </w:r>
      <w:r w:rsidR="00126008">
        <w:rPr>
          <w:rFonts w:ascii="AvantGarde Bk BT" w:hAnsi="AvantGarde Bk BT" w:cs="Arial"/>
          <w:b/>
          <w:color w:val="000000" w:themeColor="text1"/>
          <w:sz w:val="24"/>
          <w:szCs w:val="24"/>
        </w:rPr>
        <w:t>/</w:t>
      </w:r>
      <w:r w:rsidR="00A00F41">
        <w:rPr>
          <w:rFonts w:ascii="AvantGarde Bk BT" w:hAnsi="AvantGarde Bk BT" w:cs="Arial"/>
          <w:b/>
          <w:color w:val="000000" w:themeColor="text1"/>
          <w:sz w:val="24"/>
          <w:szCs w:val="24"/>
        </w:rPr>
        <w:t>2026</w:t>
      </w:r>
      <w:r w:rsidR="00A2443F" w:rsidRPr="007C5605">
        <w:rPr>
          <w:rFonts w:ascii="AvantGarde Bk BT" w:hAnsi="AvantGarde Bk BT" w:cs="Arial"/>
          <w:b/>
          <w:color w:val="000000" w:themeColor="text1"/>
          <w:sz w:val="24"/>
          <w:szCs w:val="24"/>
        </w:rPr>
        <w:t>-1</w:t>
      </w:r>
      <w:r w:rsidR="00B66C52">
        <w:rPr>
          <w:rFonts w:ascii="AvantGarde Bk BT" w:hAnsi="AvantGarde Bk BT" w:cs="Arial"/>
          <w:b/>
          <w:color w:val="000000" w:themeColor="text1"/>
          <w:sz w:val="24"/>
          <w:szCs w:val="24"/>
        </w:rPr>
        <w:t xml:space="preserve"> OP</w:t>
      </w:r>
    </w:p>
    <w:p w14:paraId="0D27F4C8" w14:textId="042D8794" w:rsidR="009378B9" w:rsidRDefault="009378B9"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14:paraId="1B632F94" w14:textId="77777777"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47250972"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253F4310" w14:textId="3D5C15DE" w:rsidR="004363BE" w:rsidRPr="00F078A9" w:rsidRDefault="004363BE" w:rsidP="004363BE">
      <w:pPr>
        <w:pStyle w:val="corte4fondo"/>
        <w:tabs>
          <w:tab w:val="left" w:pos="567"/>
        </w:tabs>
        <w:spacing w:line="240" w:lineRule="auto"/>
        <w:jc w:val="right"/>
        <w:rPr>
          <w:rFonts w:ascii="AvantGarde Bk BT" w:hAnsi="AvantGarde Bk BT" w:cs="Arial"/>
          <w:b/>
          <w:color w:val="000000" w:themeColor="text1"/>
          <w:sz w:val="18"/>
          <w:szCs w:val="24"/>
        </w:rPr>
      </w:pPr>
      <w:r>
        <w:rPr>
          <w:rFonts w:ascii="AvantGarde Bk BT" w:hAnsi="AvantGarde Bk BT" w:cs="Arial"/>
          <w:b/>
          <w:color w:val="000000" w:themeColor="text1"/>
          <w:sz w:val="24"/>
          <w:szCs w:val="24"/>
        </w:rPr>
        <w:t xml:space="preserve">LICENCIADO </w:t>
      </w:r>
      <w:r w:rsidR="00F078A9" w:rsidRPr="00F078A9">
        <w:rPr>
          <w:rFonts w:ascii="AvantGarde Bk BT" w:hAnsi="AvantGarde Bk BT" w:cs="Arial"/>
          <w:b/>
          <w:color w:val="000000" w:themeColor="text1"/>
          <w:sz w:val="24"/>
        </w:rPr>
        <w:t>JOSÉ GERARDO NAVARRO ALVISO</w:t>
      </w:r>
    </w:p>
    <w:p w14:paraId="53FC62CC" w14:textId="362B6EC6" w:rsidR="00B06540" w:rsidRPr="007C5605" w:rsidRDefault="00B06540" w:rsidP="004363BE">
      <w:pPr>
        <w:pStyle w:val="corte4fondo"/>
        <w:tabs>
          <w:tab w:val="left" w:pos="567"/>
        </w:tabs>
        <w:spacing w:line="240" w:lineRule="auto"/>
        <w:ind w:firstLine="0"/>
        <w:rPr>
          <w:rFonts w:ascii="AvantGarde Bk BT" w:hAnsi="AvantGarde Bk BT" w:cs="Arial"/>
          <w:b/>
          <w:color w:val="000000" w:themeColor="text1"/>
          <w:sz w:val="24"/>
          <w:szCs w:val="24"/>
        </w:rPr>
      </w:pPr>
    </w:p>
    <w:p w14:paraId="14670859"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4FB808CF" w14:textId="187F0FF9"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p>
    <w:p w14:paraId="6236DC2B"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DA937D5" w14:textId="77777777"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14:paraId="0FCFDAE5" w14:textId="7AB7DD2B" w:rsidR="0004274F" w:rsidRPr="007C5605" w:rsidRDefault="00581889"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 xml:space="preserve">SECRETARÍA DE </w:t>
      </w:r>
      <w:r w:rsidR="00B66C52">
        <w:rPr>
          <w:rFonts w:ascii="AvantGarde Bk BT" w:hAnsi="AvantGarde Bk BT" w:cs="Arial"/>
          <w:b/>
          <w:color w:val="000000" w:themeColor="text1"/>
          <w:sz w:val="24"/>
          <w:szCs w:val="24"/>
        </w:rPr>
        <w:t>EDUCACIÓN DE GOBIERNO DEL ESTADO</w:t>
      </w:r>
    </w:p>
    <w:bookmarkEnd w:id="0"/>
    <w:p w14:paraId="340D480D"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7C91F1C9"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3D3E940F" w14:textId="0060556B" w:rsidR="0004274F" w:rsidRPr="007C5605" w:rsidRDefault="00CA0F2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S</w:t>
      </w:r>
      <w:r w:rsidR="00926B84">
        <w:rPr>
          <w:rFonts w:ascii="AvantGarde Bk BT" w:hAnsi="AvantGarde Bk BT" w:cs="Arial"/>
          <w:color w:val="000000" w:themeColor="text1"/>
          <w:sz w:val="24"/>
          <w:szCs w:val="24"/>
        </w:rPr>
        <w:t>an Luis Potosí, San Luis Potosí.</w:t>
      </w:r>
      <w:r w:rsidR="0004274F" w:rsidRPr="007C5605">
        <w:rPr>
          <w:rFonts w:ascii="AvantGarde Bk BT" w:hAnsi="AvantGarde Bk BT" w:cs="Arial"/>
          <w:color w:val="000000" w:themeColor="text1"/>
          <w:sz w:val="24"/>
          <w:szCs w:val="24"/>
        </w:rPr>
        <w:t xml:space="preserve"> Acuerdo del Pleno de la Comisión Estatal de Garantía de Acceso a la Información Pública, </w:t>
      </w:r>
      <w:r w:rsidR="00FB36BB">
        <w:rPr>
          <w:rFonts w:ascii="AvantGarde Bk BT" w:hAnsi="AvantGarde Bk BT" w:cs="Arial"/>
          <w:color w:val="000000" w:themeColor="text1"/>
          <w:sz w:val="24"/>
          <w:szCs w:val="24"/>
        </w:rPr>
        <w:t>correspondiente a la sesión del</w:t>
      </w:r>
      <w:r w:rsidR="00943B03">
        <w:rPr>
          <w:rFonts w:ascii="AvantGarde Bk BT" w:hAnsi="AvantGarde Bk BT" w:cs="Arial"/>
          <w:color w:val="000000" w:themeColor="text1"/>
          <w:sz w:val="24"/>
          <w:szCs w:val="24"/>
        </w:rPr>
        <w:t xml:space="preserve"> </w:t>
      </w:r>
      <w:r w:rsidR="0089447A">
        <w:rPr>
          <w:rFonts w:ascii="AvantGarde Bk BT" w:hAnsi="AvantGarde Bk BT" w:cs="Arial"/>
          <w:color w:val="000000" w:themeColor="text1"/>
          <w:sz w:val="24"/>
          <w:szCs w:val="24"/>
        </w:rPr>
        <w:t xml:space="preserve">veintisiete de agosto </w:t>
      </w:r>
      <w:r w:rsidR="00A00F41">
        <w:rPr>
          <w:rFonts w:ascii="AvantGarde Bk BT" w:hAnsi="AvantGarde Bk BT" w:cs="Arial"/>
          <w:color w:val="000000" w:themeColor="text1"/>
          <w:sz w:val="24"/>
          <w:szCs w:val="24"/>
        </w:rPr>
        <w:t>de dos mil veintiséis</w:t>
      </w:r>
      <w:r w:rsidR="0004274F" w:rsidRPr="007C5605">
        <w:rPr>
          <w:rFonts w:ascii="AvantGarde Bk BT" w:hAnsi="AvantGarde Bk BT" w:cs="Arial"/>
          <w:color w:val="000000" w:themeColor="text1"/>
          <w:sz w:val="24"/>
          <w:szCs w:val="24"/>
        </w:rPr>
        <w:t xml:space="preserve">. </w:t>
      </w:r>
    </w:p>
    <w:p w14:paraId="5FEA317F" w14:textId="20AEA4E8" w:rsidR="0004274F" w:rsidRPr="007C5605" w:rsidRDefault="0026483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7839FBF6" w14:textId="2BF55B4F" w:rsidR="0004274F" w:rsidRPr="00A31B2D" w:rsidRDefault="0004274F" w:rsidP="00A31B2D">
      <w:pPr>
        <w:pStyle w:val="corte4fondo"/>
        <w:tabs>
          <w:tab w:val="left" w:pos="567"/>
        </w:tabs>
        <w:spacing w:after="240"/>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6314FE36" w14:textId="4501FBDF" w:rsidR="004E2C5A" w:rsidRPr="00A31B2D" w:rsidRDefault="004E2C5A" w:rsidP="004E2C5A">
      <w:pPr>
        <w:pStyle w:val="corte4fondo"/>
        <w:tabs>
          <w:tab w:val="left" w:pos="567"/>
        </w:tabs>
        <w:spacing w:after="240"/>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CB72BB">
        <w:rPr>
          <w:rFonts w:ascii="AvantGarde Bk BT" w:hAnsi="AvantGarde Bk BT" w:cs="Arial"/>
          <w:color w:val="000000" w:themeColor="text1"/>
          <w:sz w:val="24"/>
          <w:szCs w:val="24"/>
        </w:rPr>
        <w:t xml:space="preserve">El </w:t>
      </w:r>
      <w:r w:rsidR="00FD3779">
        <w:rPr>
          <w:rFonts w:ascii="AvantGarde Bk BT" w:hAnsi="AvantGarde Bk BT" w:cs="Arial"/>
          <w:color w:val="000000" w:themeColor="text1"/>
          <w:sz w:val="24"/>
          <w:szCs w:val="24"/>
        </w:rPr>
        <w:t>veintiocho</w:t>
      </w:r>
      <w:r w:rsidR="0095504E">
        <w:rPr>
          <w:rFonts w:ascii="AvantGarde Bk BT" w:hAnsi="AvantGarde Bk BT" w:cs="Arial"/>
          <w:color w:val="000000" w:themeColor="text1"/>
          <w:sz w:val="24"/>
          <w:szCs w:val="24"/>
        </w:rPr>
        <w:t xml:space="preserve"> de mayo</w:t>
      </w:r>
      <w:r w:rsidR="00710E8F">
        <w:rPr>
          <w:rFonts w:ascii="AvantGarde Bk BT" w:hAnsi="AvantGarde Bk BT" w:cs="Arial"/>
          <w:color w:val="000000" w:themeColor="text1"/>
          <w:sz w:val="24"/>
          <w:szCs w:val="24"/>
        </w:rPr>
        <w:t xml:space="preserve"> de dos mil </w:t>
      </w:r>
      <w:r w:rsidR="002C2039">
        <w:rPr>
          <w:rFonts w:ascii="AvantGarde Bk BT" w:hAnsi="AvantGarde Bk BT" w:cs="Arial"/>
          <w:color w:val="000000" w:themeColor="text1"/>
          <w:sz w:val="24"/>
          <w:szCs w:val="24"/>
        </w:rPr>
        <w:t>veintiséis</w:t>
      </w:r>
      <w:r w:rsidR="00EE5D0F">
        <w:rPr>
          <w:rFonts w:ascii="AvantGarde Bk BT" w:hAnsi="AvantGarde Bk BT" w:cs="Arial"/>
          <w:color w:val="000000" w:themeColor="text1"/>
          <w:sz w:val="24"/>
          <w:szCs w:val="24"/>
        </w:rPr>
        <w:t xml:space="preserve"> </w:t>
      </w:r>
      <w:r w:rsidR="00CB72BB">
        <w:rPr>
          <w:rFonts w:ascii="AvantGarde Bk BT" w:hAnsi="AvantGarde Bk BT" w:cs="Arial"/>
          <w:color w:val="000000" w:themeColor="text1"/>
          <w:sz w:val="24"/>
          <w:szCs w:val="24"/>
        </w:rPr>
        <w:t>l</w:t>
      </w:r>
      <w:r w:rsidR="00581889">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sidR="00FD3779">
        <w:rPr>
          <w:rFonts w:ascii="AvantGarde Bk BT" w:hAnsi="AvantGarde Bk BT" w:cs="Arial"/>
          <w:b/>
          <w:color w:val="000000" w:themeColor="text1"/>
          <w:sz w:val="24"/>
          <w:szCs w:val="24"/>
        </w:rPr>
        <w:t>SECRETARÍA DE EDUCACIÓN DE GOBIERNO DEL ESTADO</w:t>
      </w:r>
      <w:r w:rsidR="00FD3779">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recibió una solicitud de información</w:t>
      </w:r>
      <w:r w:rsidR="000C5159">
        <w:rPr>
          <w:rFonts w:ascii="AvantGarde Bk BT" w:hAnsi="AvantGarde Bk BT" w:cs="Arial"/>
          <w:color w:val="000000" w:themeColor="text1"/>
          <w:sz w:val="24"/>
          <w:szCs w:val="24"/>
        </w:rPr>
        <w:t xml:space="preserve"> </w:t>
      </w:r>
      <w:r w:rsidR="00FD3779">
        <w:rPr>
          <w:rFonts w:ascii="AvantGarde Bk BT" w:hAnsi="AvantGarde Bk BT" w:cs="Arial"/>
          <w:color w:val="000000" w:themeColor="text1"/>
          <w:sz w:val="24"/>
          <w:szCs w:val="24"/>
        </w:rPr>
        <w:t>en la Unidad de Transparencia</w:t>
      </w:r>
      <w:r w:rsidR="00710E8F">
        <w:rPr>
          <w:rFonts w:ascii="AvantGarde Bk BT" w:hAnsi="AvantGarde Bk BT" w:cs="Arial"/>
          <w:color w:val="000000" w:themeColor="text1"/>
          <w:sz w:val="24"/>
          <w:szCs w:val="24"/>
        </w:rPr>
        <w:t xml:space="preserve"> y quedó registrada con el número de folio </w:t>
      </w:r>
      <w:r w:rsidR="00FD3779">
        <w:rPr>
          <w:rFonts w:ascii="AvantGarde Bk BT" w:hAnsi="AvantGarde Bk BT" w:cs="Arial"/>
          <w:color w:val="000000" w:themeColor="text1"/>
          <w:sz w:val="24"/>
          <w:szCs w:val="24"/>
        </w:rPr>
        <w:t>317/0167/2026</w:t>
      </w:r>
      <w:r w:rsidR="004D6912">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(Visible de foja </w:t>
      </w:r>
      <w:r w:rsidR="00FD3779">
        <w:rPr>
          <w:rFonts w:ascii="AvantGarde Bk BT" w:hAnsi="AvantGarde Bk BT" w:cs="Arial"/>
          <w:color w:val="000000" w:themeColor="text1"/>
          <w:sz w:val="24"/>
          <w:szCs w:val="24"/>
        </w:rPr>
        <w:t>3</w:t>
      </w:r>
      <w:r w:rsidR="00581889">
        <w:rPr>
          <w:rFonts w:ascii="AvantGarde Bk BT" w:hAnsi="AvantGarde Bk BT" w:cs="Arial"/>
          <w:color w:val="000000" w:themeColor="text1"/>
          <w:sz w:val="24"/>
          <w:szCs w:val="24"/>
        </w:rPr>
        <w:t>7</w:t>
      </w:r>
      <w:r>
        <w:rPr>
          <w:rFonts w:ascii="AvantGarde Bk BT" w:hAnsi="AvantGarde Bk BT" w:cs="Arial"/>
          <w:color w:val="000000" w:themeColor="text1"/>
          <w:sz w:val="24"/>
          <w:szCs w:val="24"/>
        </w:rPr>
        <w:t xml:space="preserve"> de autos).</w:t>
      </w:r>
      <w:r w:rsidRPr="000B3669">
        <w:rPr>
          <w:rFonts w:ascii="AvantGarde Bk BT" w:hAnsi="AvantGarde Bk BT" w:cs="Arial"/>
          <w:color w:val="000000" w:themeColor="text1"/>
          <w:sz w:val="24"/>
          <w:szCs w:val="24"/>
        </w:rPr>
        <w:t xml:space="preserve">  </w:t>
      </w:r>
    </w:p>
    <w:p w14:paraId="33BB1F4D" w14:textId="7E0A70EF" w:rsidR="00581889" w:rsidRDefault="004E2C5A" w:rsidP="00476D4C">
      <w:pPr>
        <w:pStyle w:val="corte4fondo"/>
        <w:spacing w:after="240"/>
        <w:ind w:left="142" w:firstLine="680"/>
        <w:rPr>
          <w:rFonts w:ascii="AvantGarde Bk BT" w:hAnsi="AvantGarde Bk BT" w:cs="Arial"/>
          <w:color w:val="000000" w:themeColor="text1"/>
          <w:sz w:val="24"/>
          <w:szCs w:val="24"/>
        </w:rPr>
      </w:pPr>
      <w:r w:rsidRPr="003E53AD">
        <w:rPr>
          <w:rFonts w:ascii="AvantGarde Bk BT" w:hAnsi="AvantGarde Bk BT" w:cs="Arial"/>
          <w:b/>
          <w:color w:val="000000" w:themeColor="text1"/>
          <w:sz w:val="24"/>
          <w:szCs w:val="24"/>
        </w:rPr>
        <w:t xml:space="preserve">SEGUNDO. </w:t>
      </w:r>
      <w:r w:rsidR="00FD3779">
        <w:rPr>
          <w:rFonts w:ascii="AvantGarde Bk BT" w:hAnsi="AvantGarde Bk BT" w:cs="Arial"/>
          <w:b/>
          <w:color w:val="000000" w:themeColor="text1"/>
          <w:sz w:val="24"/>
          <w:szCs w:val="24"/>
        </w:rPr>
        <w:t xml:space="preserve">Respuesta a la solicitud de información. </w:t>
      </w:r>
      <w:r w:rsidR="00FD3779">
        <w:rPr>
          <w:rFonts w:ascii="AvantGarde Bk BT" w:hAnsi="AvantGarde Bk BT" w:cs="Arial"/>
          <w:color w:val="000000" w:themeColor="text1"/>
          <w:sz w:val="24"/>
          <w:szCs w:val="24"/>
        </w:rPr>
        <w:t xml:space="preserve">El nueve de junio de dos mil veintiséis la </w:t>
      </w:r>
      <w:r w:rsidR="00FD3779">
        <w:rPr>
          <w:rFonts w:ascii="AvantGarde Bk BT" w:hAnsi="AvantGarde Bk BT" w:cs="Arial"/>
          <w:b/>
          <w:color w:val="000000" w:themeColor="text1"/>
          <w:sz w:val="24"/>
          <w:szCs w:val="24"/>
        </w:rPr>
        <w:t>SECRETARÍA DE EDUCACIÓN DE GOBIERNO DEL ESTADO</w:t>
      </w:r>
      <w:r w:rsidR="00FD3779">
        <w:rPr>
          <w:rFonts w:ascii="AvantGarde Bk BT" w:hAnsi="AvantGarde Bk BT" w:cs="Arial"/>
          <w:color w:val="000000" w:themeColor="text1"/>
          <w:sz w:val="24"/>
          <w:szCs w:val="24"/>
        </w:rPr>
        <w:t xml:space="preserve"> respondió la solicitud de acceso a la información.</w:t>
      </w:r>
    </w:p>
    <w:p w14:paraId="040714BB" w14:textId="542C87BB" w:rsidR="00581889" w:rsidRPr="00581889" w:rsidRDefault="00581889" w:rsidP="00581889">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w:t>
      </w:r>
      <w:r>
        <w:rPr>
          <w:rFonts w:ascii="AvantGarde Bk BT" w:hAnsi="AvantGarde Bk BT" w:cs="Arial"/>
          <w:b/>
          <w:color w:val="000000" w:themeColor="text1"/>
          <w:sz w:val="24"/>
          <w:szCs w:val="24"/>
        </w:rPr>
        <w:t xml:space="preserve"> </w:t>
      </w:r>
      <w:r w:rsidR="00FD3779" w:rsidRPr="007C5605">
        <w:rPr>
          <w:rFonts w:ascii="AvantGarde Bk BT" w:hAnsi="AvantGarde Bk BT" w:cs="Arial"/>
          <w:b/>
          <w:color w:val="000000" w:themeColor="text1"/>
          <w:sz w:val="24"/>
          <w:szCs w:val="24"/>
        </w:rPr>
        <w:t>Interposición del recurso.</w:t>
      </w:r>
      <w:r w:rsidR="00FD3779" w:rsidRPr="007C5605">
        <w:rPr>
          <w:rFonts w:ascii="AvantGarde Bk BT" w:hAnsi="AvantGarde Bk BT" w:cs="Arial"/>
          <w:color w:val="000000" w:themeColor="text1"/>
          <w:sz w:val="24"/>
          <w:szCs w:val="24"/>
        </w:rPr>
        <w:t xml:space="preserve"> El </w:t>
      </w:r>
      <w:r w:rsidR="00FD3779">
        <w:rPr>
          <w:rFonts w:ascii="AvantGarde Bk BT" w:hAnsi="AvantGarde Bk BT" w:cs="Arial"/>
          <w:color w:val="000000" w:themeColor="text1"/>
          <w:sz w:val="24"/>
          <w:szCs w:val="24"/>
        </w:rPr>
        <w:t>veinticuatro de junio de dos mil veintiséis</w:t>
      </w:r>
      <w:r w:rsidR="00FD3779" w:rsidRPr="007C5605">
        <w:rPr>
          <w:rFonts w:ascii="AvantGarde Bk BT" w:hAnsi="AvantGarde Bk BT" w:cs="Arial"/>
          <w:color w:val="000000" w:themeColor="text1"/>
          <w:sz w:val="24"/>
          <w:szCs w:val="24"/>
        </w:rPr>
        <w:t xml:space="preserve"> </w:t>
      </w:r>
      <w:r w:rsidR="00FD3779">
        <w:rPr>
          <w:rFonts w:ascii="AvantGarde Bk BT" w:hAnsi="AvantGarde Bk BT" w:cs="Arial"/>
          <w:color w:val="000000" w:themeColor="text1"/>
          <w:sz w:val="24"/>
          <w:szCs w:val="24"/>
        </w:rPr>
        <w:t xml:space="preserve">la persona solicitante </w:t>
      </w:r>
      <w:r w:rsidR="00FD3779" w:rsidRPr="007C5605">
        <w:rPr>
          <w:rFonts w:ascii="AvantGarde Bk BT" w:hAnsi="AvantGarde Bk BT" w:cs="Arial"/>
          <w:color w:val="000000" w:themeColor="text1"/>
          <w:sz w:val="24"/>
          <w:szCs w:val="24"/>
        </w:rPr>
        <w:t xml:space="preserve">de la información interpuso el recurso de revisión en contra de la </w:t>
      </w:r>
      <w:r w:rsidR="00FD3779">
        <w:rPr>
          <w:rFonts w:ascii="AvantGarde Bk BT" w:hAnsi="AvantGarde Bk BT" w:cs="Arial"/>
          <w:color w:val="000000" w:themeColor="text1"/>
          <w:sz w:val="24"/>
          <w:szCs w:val="24"/>
        </w:rPr>
        <w:t>respuesta. (visible de foja 01 de autos.)</w:t>
      </w:r>
    </w:p>
    <w:p w14:paraId="737818C9" w14:textId="76192C93" w:rsidR="002C2039" w:rsidRPr="00FD3779" w:rsidRDefault="00581889" w:rsidP="00476D4C">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CUARTO. </w:t>
      </w:r>
      <w:r w:rsidR="00FD3779"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FD3779" w:rsidRPr="007C5605">
        <w:rPr>
          <w:rFonts w:ascii="AvantGarde Bk BT" w:hAnsi="AvantGarde Bk BT" w:cs="Arial"/>
          <w:color w:val="000000" w:themeColor="text1"/>
          <w:sz w:val="24"/>
          <w:szCs w:val="24"/>
        </w:rPr>
        <w:t xml:space="preserve"> Mediante auto del </w:t>
      </w:r>
      <w:r w:rsidR="00FD3779">
        <w:rPr>
          <w:rFonts w:ascii="AvantGarde Bk BT" w:hAnsi="AvantGarde Bk BT" w:cs="Arial"/>
          <w:color w:val="000000" w:themeColor="text1"/>
          <w:sz w:val="24"/>
          <w:szCs w:val="24"/>
        </w:rPr>
        <w:t>veinticuatro de junio de dos mil veintiséis</w:t>
      </w:r>
      <w:r w:rsidR="00FD3779" w:rsidRPr="007C5605">
        <w:rPr>
          <w:rFonts w:ascii="AvantGarde Bk BT" w:hAnsi="AvantGarde Bk BT" w:cs="Arial"/>
          <w:color w:val="000000" w:themeColor="text1"/>
          <w:sz w:val="24"/>
          <w:szCs w:val="24"/>
        </w:rPr>
        <w:t xml:space="preserve"> la presidencia de esta Comisión de Transparencia</w:t>
      </w:r>
      <w:r w:rsidR="00FD3779">
        <w:rPr>
          <w:rFonts w:ascii="AvantGarde Bk BT" w:hAnsi="AvantGarde Bk BT" w:cs="Arial"/>
          <w:color w:val="000000" w:themeColor="text1"/>
          <w:sz w:val="24"/>
          <w:szCs w:val="24"/>
        </w:rPr>
        <w:t>, por conducto de la Secretaría de Pleno,</w:t>
      </w:r>
      <w:r w:rsidR="00FD3779" w:rsidRPr="007C5605">
        <w:rPr>
          <w:rFonts w:ascii="AvantGarde Bk BT" w:hAnsi="AvantGarde Bk BT" w:cs="Arial"/>
          <w:color w:val="000000" w:themeColor="text1"/>
          <w:sz w:val="24"/>
          <w:szCs w:val="24"/>
        </w:rPr>
        <w:t xml:space="preserve"> tuvo por recibido el recurso de revisión, </w:t>
      </w:r>
      <w:proofErr w:type="gramStart"/>
      <w:r w:rsidR="00FD3779" w:rsidRPr="007C5605">
        <w:rPr>
          <w:rFonts w:ascii="AvantGarde Bk BT" w:hAnsi="AvantGarde Bk BT" w:cs="Arial"/>
          <w:color w:val="000000" w:themeColor="text1"/>
          <w:sz w:val="24"/>
          <w:szCs w:val="24"/>
        </w:rPr>
        <w:t>que</w:t>
      </w:r>
      <w:proofErr w:type="gramEnd"/>
      <w:r w:rsidR="00FD3779" w:rsidRPr="007C5605">
        <w:rPr>
          <w:rFonts w:ascii="AvantGarde Bk BT" w:hAnsi="AvantGarde Bk BT" w:cs="Arial"/>
          <w:color w:val="000000" w:themeColor="text1"/>
          <w:sz w:val="24"/>
          <w:szCs w:val="24"/>
        </w:rPr>
        <w:t xml:space="preserve"> por razón de turno, tocó conocer a la ponencia del </w:t>
      </w:r>
      <w:r w:rsidR="00FD3779">
        <w:rPr>
          <w:rFonts w:ascii="AvantGarde Bk BT" w:hAnsi="AvantGarde Bk BT" w:cs="Arial"/>
          <w:color w:val="000000" w:themeColor="text1"/>
          <w:sz w:val="24"/>
          <w:szCs w:val="24"/>
        </w:rPr>
        <w:t xml:space="preserve">Comisionado Licenciado José Gerardo Navarro </w:t>
      </w:r>
      <w:proofErr w:type="spellStart"/>
      <w:r w:rsidR="00FD3779">
        <w:rPr>
          <w:rFonts w:ascii="AvantGarde Bk BT" w:hAnsi="AvantGarde Bk BT" w:cs="Arial"/>
          <w:color w:val="000000" w:themeColor="text1"/>
          <w:sz w:val="24"/>
          <w:szCs w:val="24"/>
        </w:rPr>
        <w:lastRenderedPageBreak/>
        <w:t>Alviso</w:t>
      </w:r>
      <w:proofErr w:type="spellEnd"/>
      <w:r w:rsidR="00FD3779" w:rsidRPr="007C5605">
        <w:rPr>
          <w:rFonts w:ascii="AvantGarde Bk BT" w:hAnsi="AvantGarde Bk BT" w:cs="Arial"/>
          <w:color w:val="000000" w:themeColor="text1"/>
          <w:sz w:val="24"/>
          <w:szCs w:val="24"/>
        </w:rPr>
        <w:t xml:space="preserve"> para que procediera, previo su análisis, a su admisión o </w:t>
      </w:r>
      <w:proofErr w:type="spellStart"/>
      <w:r w:rsidR="00FD3779" w:rsidRPr="007C5605">
        <w:rPr>
          <w:rFonts w:ascii="AvantGarde Bk BT" w:hAnsi="AvantGarde Bk BT" w:cs="Arial"/>
          <w:color w:val="000000" w:themeColor="text1"/>
          <w:sz w:val="24"/>
          <w:szCs w:val="24"/>
        </w:rPr>
        <w:t>desechamiento</w:t>
      </w:r>
      <w:proofErr w:type="spellEnd"/>
      <w:r w:rsidR="00FD3779" w:rsidRPr="007C5605">
        <w:rPr>
          <w:rFonts w:ascii="AvantGarde Bk BT" w:hAnsi="AvantGarde Bk BT" w:cs="Arial"/>
          <w:color w:val="000000" w:themeColor="text1"/>
          <w:sz w:val="24"/>
          <w:szCs w:val="24"/>
        </w:rPr>
        <w:t xml:space="preserve"> según fuera el caso.</w:t>
      </w:r>
    </w:p>
    <w:p w14:paraId="743928FA" w14:textId="6CD4A2C0" w:rsidR="000C5159" w:rsidRPr="00FD3779" w:rsidRDefault="00581889" w:rsidP="00FD3779">
      <w:pPr>
        <w:pStyle w:val="corte4fondo"/>
        <w:spacing w:after="240"/>
        <w:ind w:left="142" w:firstLine="680"/>
        <w:rPr>
          <w:rFonts w:ascii="AvantGarde Bk BT" w:hAnsi="AvantGarde Bk BT" w:cs="Arial"/>
          <w:color w:val="000000" w:themeColor="text1"/>
          <w:sz w:val="24"/>
          <w:szCs w:val="24"/>
        </w:rPr>
      </w:pPr>
      <w:r w:rsidRPr="006B4C8C">
        <w:rPr>
          <w:rFonts w:ascii="AvantGarde Bk BT" w:hAnsi="AvantGarde Bk BT" w:cs="Arial"/>
          <w:b/>
          <w:color w:val="000000" w:themeColor="text1"/>
          <w:sz w:val="24"/>
          <w:szCs w:val="24"/>
        </w:rPr>
        <w:t>QUINTO.</w:t>
      </w:r>
      <w:r w:rsidRPr="006B4C8C">
        <w:rPr>
          <w:rFonts w:ascii="AvantGarde Bk BT" w:hAnsi="AvantGarde Bk BT" w:cs="Arial"/>
          <w:color w:val="000000" w:themeColor="text1"/>
          <w:sz w:val="24"/>
          <w:szCs w:val="24"/>
        </w:rPr>
        <w:t xml:space="preserve"> </w:t>
      </w:r>
      <w:r w:rsidR="00FD3779">
        <w:rPr>
          <w:rFonts w:ascii="AvantGarde Bk BT" w:hAnsi="AvantGarde Bk BT" w:cs="Arial"/>
          <w:b/>
          <w:color w:val="000000" w:themeColor="text1"/>
          <w:sz w:val="24"/>
          <w:szCs w:val="24"/>
        </w:rPr>
        <w:t xml:space="preserve">Prevención a la persona recurrente. </w:t>
      </w:r>
      <w:r w:rsidR="00FD3779">
        <w:rPr>
          <w:rFonts w:ascii="AvantGarde Bk BT" w:hAnsi="AvantGarde Bk BT" w:cs="Arial"/>
          <w:color w:val="000000" w:themeColor="text1"/>
          <w:sz w:val="24"/>
          <w:szCs w:val="24"/>
        </w:rPr>
        <w:t>El</w:t>
      </w:r>
      <w:r w:rsidR="00FD3779" w:rsidRPr="00FD3779">
        <w:rPr>
          <w:rFonts w:ascii="AvantGarde Bk BT" w:hAnsi="AvantGarde Bk BT" w:cs="Arial"/>
          <w:b/>
          <w:color w:val="000000" w:themeColor="text1"/>
          <w:sz w:val="24"/>
          <w:szCs w:val="24"/>
        </w:rPr>
        <w:t xml:space="preserve"> </w:t>
      </w:r>
      <w:r w:rsidR="00FD3779" w:rsidRPr="00FD3779">
        <w:rPr>
          <w:rFonts w:ascii="AvantGarde Bk BT" w:hAnsi="AvantGarde Bk BT" w:cs="Arial"/>
          <w:color w:val="000000" w:themeColor="text1"/>
          <w:sz w:val="24"/>
          <w:szCs w:val="24"/>
        </w:rPr>
        <w:t>Veinticinco de junio de dos mil veintiséis</w:t>
      </w:r>
      <w:r w:rsidR="00FD3779">
        <w:rPr>
          <w:rFonts w:ascii="AvantGarde Bk BT" w:hAnsi="AvantGarde Bk BT" w:cs="Arial"/>
          <w:color w:val="000000" w:themeColor="text1"/>
          <w:sz w:val="24"/>
          <w:szCs w:val="24"/>
        </w:rPr>
        <w:t xml:space="preserve"> esta Comisión, con fundamento en el artículo 168 fracción III y 169 de la Ley de Transparencia y Acceso a la Información Pública del Estado</w:t>
      </w:r>
      <w:r w:rsidR="002049CF">
        <w:rPr>
          <w:rFonts w:ascii="AvantGarde Bk BT" w:hAnsi="AvantGarde Bk BT" w:cs="Arial"/>
          <w:color w:val="000000" w:themeColor="text1"/>
          <w:sz w:val="24"/>
          <w:szCs w:val="24"/>
        </w:rPr>
        <w:t>,</w:t>
      </w:r>
      <w:r w:rsidR="00FD3779">
        <w:rPr>
          <w:rFonts w:ascii="AvantGarde Bk BT" w:hAnsi="AvantGarde Bk BT" w:cs="Arial"/>
          <w:color w:val="000000" w:themeColor="text1"/>
          <w:sz w:val="24"/>
          <w:szCs w:val="24"/>
        </w:rPr>
        <w:t xml:space="preserve"> previno a la persona recurrente para efecto de que</w:t>
      </w:r>
      <w:r w:rsidR="002049CF">
        <w:rPr>
          <w:rFonts w:ascii="AvantGarde Bk BT" w:hAnsi="AvantGarde Bk BT" w:cs="Arial"/>
          <w:color w:val="000000" w:themeColor="text1"/>
          <w:sz w:val="24"/>
          <w:szCs w:val="24"/>
        </w:rPr>
        <w:t>,</w:t>
      </w:r>
      <w:r w:rsidR="00FD3779">
        <w:rPr>
          <w:rFonts w:ascii="AvantGarde Bk BT" w:hAnsi="AvantGarde Bk BT" w:cs="Arial"/>
          <w:color w:val="000000" w:themeColor="text1"/>
          <w:sz w:val="24"/>
          <w:szCs w:val="24"/>
        </w:rPr>
        <w:t xml:space="preserve"> </w:t>
      </w:r>
      <w:r w:rsidR="002049CF">
        <w:rPr>
          <w:rFonts w:ascii="AvantGarde Bk BT" w:hAnsi="AvantGarde Bk BT" w:cs="Arial"/>
          <w:color w:val="000000" w:themeColor="text1"/>
          <w:sz w:val="24"/>
          <w:szCs w:val="24"/>
        </w:rPr>
        <w:t xml:space="preserve">dentro del plazo de cinco días constados a partir del día siguiente en que se practique la respectiva notificación, </w:t>
      </w:r>
      <w:r w:rsidR="00FD3779">
        <w:rPr>
          <w:rFonts w:ascii="AvantGarde Bk BT" w:hAnsi="AvantGarde Bk BT" w:cs="Arial"/>
          <w:color w:val="000000" w:themeColor="text1"/>
          <w:sz w:val="24"/>
          <w:szCs w:val="24"/>
        </w:rPr>
        <w:t xml:space="preserve">acompañara copia de la solicitud de información, apercibido de </w:t>
      </w:r>
      <w:r w:rsidR="002049CF">
        <w:rPr>
          <w:rFonts w:ascii="AvantGarde Bk BT" w:hAnsi="AvantGarde Bk BT" w:cs="Arial"/>
          <w:color w:val="000000" w:themeColor="text1"/>
          <w:sz w:val="24"/>
          <w:szCs w:val="24"/>
        </w:rPr>
        <w:t>que,</w:t>
      </w:r>
      <w:r w:rsidR="00FD3779">
        <w:rPr>
          <w:rFonts w:ascii="AvantGarde Bk BT" w:hAnsi="AvantGarde Bk BT" w:cs="Arial"/>
          <w:color w:val="000000" w:themeColor="text1"/>
          <w:sz w:val="24"/>
          <w:szCs w:val="24"/>
        </w:rPr>
        <w:t xml:space="preserve"> de no hacerlo, el recurso de revisión sería desechado.</w:t>
      </w:r>
    </w:p>
    <w:p w14:paraId="4573DB5D" w14:textId="2A69DC6E" w:rsidR="0095504E" w:rsidRPr="007C5605" w:rsidRDefault="00581889" w:rsidP="0095504E">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SEXTO. </w:t>
      </w:r>
      <w:r w:rsidR="0095504E" w:rsidRPr="003D5C15">
        <w:rPr>
          <w:rFonts w:ascii="AvantGarde Bk BT" w:hAnsi="AvantGarde Bk BT" w:cs="Arial"/>
          <w:b/>
          <w:color w:val="000000" w:themeColor="text1"/>
          <w:sz w:val="24"/>
          <w:szCs w:val="24"/>
        </w:rPr>
        <w:t>Auto de admisión</w:t>
      </w:r>
      <w:r w:rsidR="0095504E">
        <w:rPr>
          <w:rFonts w:ascii="AvantGarde Bk BT" w:hAnsi="AvantGarde Bk BT" w:cs="Arial"/>
          <w:color w:val="000000" w:themeColor="text1"/>
          <w:sz w:val="24"/>
          <w:szCs w:val="24"/>
        </w:rPr>
        <w:t xml:space="preserve">. Por proveído de </w:t>
      </w:r>
      <w:r w:rsidR="008B3E07">
        <w:rPr>
          <w:rFonts w:ascii="AvantGarde Bk BT" w:hAnsi="AvantGarde Bk BT" w:cs="Arial"/>
          <w:color w:val="000000" w:themeColor="text1"/>
          <w:sz w:val="24"/>
          <w:szCs w:val="24"/>
        </w:rPr>
        <w:t>treinta</w:t>
      </w:r>
      <w:r w:rsidR="0095504E">
        <w:rPr>
          <w:rFonts w:ascii="AvantGarde Bk BT" w:hAnsi="AvantGarde Bk BT" w:cs="Arial"/>
          <w:color w:val="000000" w:themeColor="text1"/>
          <w:sz w:val="24"/>
          <w:szCs w:val="24"/>
        </w:rPr>
        <w:t xml:space="preserve"> de junio de dos mil veintiséis, esta Comisión</w:t>
      </w:r>
      <w:r w:rsidR="0095504E" w:rsidRPr="007C5605">
        <w:rPr>
          <w:rFonts w:ascii="AvantGarde Bk BT" w:hAnsi="AvantGarde Bk BT" w:cs="Arial"/>
          <w:color w:val="000000" w:themeColor="text1"/>
          <w:sz w:val="24"/>
          <w:szCs w:val="24"/>
        </w:rPr>
        <w:t>:</w:t>
      </w:r>
    </w:p>
    <w:p w14:paraId="08B359AD" w14:textId="77777777" w:rsidR="0095504E"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 declaró competente para dictar el acuerdo de admisión en términos del artículo 27 de la Ley de Transparencia y Acceso a la Información Pública del Estado, así como en los numerales 8, fracción II y 30 fracciones XII y XIII del Reglamento Interior de esta Comisión.</w:t>
      </w:r>
    </w:p>
    <w:p w14:paraId="638401FC" w14:textId="2A45246C" w:rsidR="0095504E" w:rsidRPr="00D85914"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sidRPr="00D85914">
        <w:rPr>
          <w:rFonts w:ascii="AvantGarde Bk BT" w:hAnsi="AvantGarde Bk BT" w:cs="Arial"/>
          <w:color w:val="000000" w:themeColor="text1"/>
          <w:sz w:val="24"/>
          <w:szCs w:val="24"/>
        </w:rPr>
        <w:t xml:space="preserve">Instruyó la integración del expediente respectivo bajo el número </w:t>
      </w:r>
      <w:r w:rsidR="008B3E07">
        <w:rPr>
          <w:rFonts w:ascii="AvantGarde Bk BT" w:hAnsi="AvantGarde Bk BT" w:cs="Arial"/>
          <w:b/>
          <w:color w:val="000000" w:themeColor="text1"/>
          <w:sz w:val="24"/>
          <w:szCs w:val="24"/>
        </w:rPr>
        <w:t>RR-0</w:t>
      </w:r>
      <w:r w:rsidR="00581889">
        <w:rPr>
          <w:rFonts w:ascii="AvantGarde Bk BT" w:hAnsi="AvantGarde Bk BT" w:cs="Arial"/>
          <w:b/>
          <w:color w:val="000000" w:themeColor="text1"/>
          <w:sz w:val="24"/>
          <w:szCs w:val="24"/>
        </w:rPr>
        <w:t>3</w:t>
      </w:r>
      <w:r w:rsidR="008B3E07">
        <w:rPr>
          <w:rFonts w:ascii="AvantGarde Bk BT" w:hAnsi="AvantGarde Bk BT" w:cs="Arial"/>
          <w:b/>
          <w:color w:val="000000" w:themeColor="text1"/>
          <w:sz w:val="24"/>
          <w:szCs w:val="24"/>
        </w:rPr>
        <w:t>7</w:t>
      </w:r>
      <w:r>
        <w:rPr>
          <w:rFonts w:ascii="AvantGarde Bk BT" w:hAnsi="AvantGarde Bk BT" w:cs="Arial"/>
          <w:b/>
          <w:color w:val="000000" w:themeColor="text1"/>
          <w:sz w:val="24"/>
          <w:szCs w:val="24"/>
        </w:rPr>
        <w:t>/2026</w:t>
      </w:r>
      <w:r w:rsidRPr="00D85914">
        <w:rPr>
          <w:rFonts w:ascii="AvantGarde Bk BT" w:hAnsi="AvantGarde Bk BT" w:cs="Arial"/>
          <w:b/>
          <w:color w:val="000000" w:themeColor="text1"/>
          <w:sz w:val="24"/>
          <w:szCs w:val="24"/>
        </w:rPr>
        <w:t>-1</w:t>
      </w:r>
      <w:r w:rsidR="008B3E07">
        <w:rPr>
          <w:rFonts w:ascii="AvantGarde Bk BT" w:hAnsi="AvantGarde Bk BT" w:cs="Arial"/>
          <w:b/>
          <w:color w:val="000000" w:themeColor="text1"/>
          <w:sz w:val="24"/>
          <w:szCs w:val="24"/>
        </w:rPr>
        <w:t>OP</w:t>
      </w:r>
      <w:r w:rsidRPr="00D85914">
        <w:rPr>
          <w:rFonts w:ascii="AvantGarde Bk BT" w:hAnsi="AvantGarde Bk BT" w:cs="Arial"/>
          <w:b/>
          <w:color w:val="000000" w:themeColor="text1"/>
          <w:sz w:val="24"/>
          <w:szCs w:val="24"/>
        </w:rPr>
        <w:t xml:space="preserve"> </w:t>
      </w:r>
      <w:r w:rsidRPr="00D85914">
        <w:rPr>
          <w:rFonts w:ascii="AvantGarde Bk BT" w:hAnsi="AvantGarde Bk BT" w:cs="Arial"/>
          <w:color w:val="000000" w:themeColor="text1"/>
          <w:sz w:val="24"/>
          <w:szCs w:val="24"/>
        </w:rPr>
        <w:t>con las constancias turnadas por la Secretaría de Pleno.</w:t>
      </w:r>
    </w:p>
    <w:p w14:paraId="5A4D0CF8" w14:textId="77777777" w:rsidR="0095504E"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Conforme al artículo 174, fracción I de la Ley de la materia analizó las constancias remitidas y advirtió que el medio de impugnación fue presentado en tiempo y forma y cumplió con los requisitos previstos en los artículos 166 y 168 de la Ley en comento.</w:t>
      </w:r>
    </w:p>
    <w:p w14:paraId="58F75990" w14:textId="0604D45F" w:rsidR="0095504E"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sidRPr="006932D1">
        <w:rPr>
          <w:rFonts w:ascii="AvantGarde Bk BT" w:hAnsi="AvantGarde Bk BT" w:cs="Arial"/>
          <w:color w:val="000000" w:themeColor="text1"/>
          <w:sz w:val="24"/>
          <w:szCs w:val="24"/>
        </w:rPr>
        <w:t xml:space="preserve">Admitió </w:t>
      </w:r>
      <w:r>
        <w:rPr>
          <w:rFonts w:ascii="AvantGarde Bk BT" w:hAnsi="AvantGarde Bk BT" w:cs="Arial"/>
          <w:color w:val="000000" w:themeColor="text1"/>
          <w:sz w:val="24"/>
          <w:szCs w:val="24"/>
        </w:rPr>
        <w:t>parcialmente a trámite</w:t>
      </w:r>
      <w:r w:rsidRPr="006932D1">
        <w:rPr>
          <w:rFonts w:ascii="AvantGarde Bk BT" w:hAnsi="AvantGarde Bk BT" w:cs="Arial"/>
          <w:color w:val="000000" w:themeColor="text1"/>
          <w:sz w:val="24"/>
          <w:szCs w:val="24"/>
        </w:rPr>
        <w:t xml:space="preserve"> el medio de impugnación en atención a la</w:t>
      </w:r>
      <w:r>
        <w:rPr>
          <w:rFonts w:ascii="AvantGarde Bk BT" w:hAnsi="AvantGarde Bk BT" w:cs="Arial"/>
          <w:color w:val="000000" w:themeColor="text1"/>
          <w:sz w:val="24"/>
          <w:szCs w:val="24"/>
        </w:rPr>
        <w:t>s</w:t>
      </w:r>
      <w:r w:rsidRPr="006932D1">
        <w:rPr>
          <w:rFonts w:ascii="AvantGarde Bk BT" w:hAnsi="AvantGarde Bk BT" w:cs="Arial"/>
          <w:color w:val="000000" w:themeColor="text1"/>
          <w:sz w:val="24"/>
          <w:szCs w:val="24"/>
        </w:rPr>
        <w:t xml:space="preserve"> hipóte</w:t>
      </w:r>
      <w:r>
        <w:rPr>
          <w:rFonts w:ascii="AvantGarde Bk BT" w:hAnsi="AvantGarde Bk BT" w:cs="Arial"/>
          <w:color w:val="000000" w:themeColor="text1"/>
          <w:sz w:val="24"/>
          <w:szCs w:val="24"/>
        </w:rPr>
        <w:t xml:space="preserve">sis establecidas en </w:t>
      </w:r>
      <w:r w:rsidRPr="00AF12A6">
        <w:rPr>
          <w:rFonts w:ascii="AvantGarde Bk BT" w:hAnsi="AvantGarde Bk BT" w:cs="Arial"/>
          <w:b/>
          <w:color w:val="000000" w:themeColor="text1"/>
          <w:sz w:val="24"/>
          <w:szCs w:val="24"/>
        </w:rPr>
        <w:t>la</w:t>
      </w:r>
      <w:r>
        <w:rPr>
          <w:rFonts w:ascii="AvantGarde Bk BT" w:hAnsi="AvantGarde Bk BT" w:cs="Arial"/>
          <w:b/>
          <w:color w:val="000000" w:themeColor="text1"/>
          <w:sz w:val="24"/>
          <w:szCs w:val="24"/>
        </w:rPr>
        <w:t xml:space="preserve"> fracción</w:t>
      </w:r>
      <w:r w:rsidRPr="00AF12A6">
        <w:rPr>
          <w:rFonts w:ascii="AvantGarde Bk BT" w:hAnsi="AvantGarde Bk BT" w:cs="Arial"/>
          <w:b/>
          <w:color w:val="000000" w:themeColor="text1"/>
          <w:sz w:val="24"/>
          <w:szCs w:val="24"/>
        </w:rPr>
        <w:t xml:space="preserve"> </w:t>
      </w:r>
      <w:r w:rsidR="00581889">
        <w:rPr>
          <w:rFonts w:ascii="AvantGarde Bk BT" w:hAnsi="AvantGarde Bk BT" w:cs="Arial"/>
          <w:b/>
          <w:color w:val="000000" w:themeColor="text1"/>
          <w:sz w:val="24"/>
          <w:szCs w:val="24"/>
        </w:rPr>
        <w:t>I</w:t>
      </w:r>
      <w:r>
        <w:rPr>
          <w:rFonts w:ascii="AvantGarde Bk BT" w:hAnsi="AvantGarde Bk BT" w:cs="Arial"/>
          <w:b/>
          <w:color w:val="000000" w:themeColor="text1"/>
          <w:sz w:val="24"/>
          <w:szCs w:val="24"/>
        </w:rPr>
        <w:t xml:space="preserve"> </w:t>
      </w:r>
      <w:r w:rsidRPr="00AF12A6">
        <w:rPr>
          <w:rFonts w:ascii="AvantGarde Bk BT" w:hAnsi="AvantGarde Bk BT" w:cs="Arial"/>
          <w:b/>
          <w:color w:val="000000" w:themeColor="text1"/>
          <w:sz w:val="24"/>
          <w:szCs w:val="24"/>
        </w:rPr>
        <w:t>del artículo 167 de la Ley de la materia</w:t>
      </w:r>
      <w:r w:rsidRPr="006932D1">
        <w:rPr>
          <w:rFonts w:ascii="AvantGarde Bk BT" w:hAnsi="AvantGarde Bk BT" w:cs="Arial"/>
          <w:color w:val="000000" w:themeColor="text1"/>
          <w:sz w:val="24"/>
          <w:szCs w:val="24"/>
        </w:rPr>
        <w:t>.</w:t>
      </w:r>
    </w:p>
    <w:p w14:paraId="2433D07E" w14:textId="5F7137B6" w:rsidR="0095504E" w:rsidRPr="00D6546A"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como sujeto</w:t>
      </w:r>
      <w:r w:rsidRPr="006932D1">
        <w:rPr>
          <w:rFonts w:ascii="AvantGarde Bk BT" w:hAnsi="AvantGarde Bk BT" w:cs="Arial"/>
          <w:color w:val="000000" w:themeColor="text1"/>
          <w:sz w:val="24"/>
          <w:szCs w:val="24"/>
        </w:rPr>
        <w:t xml:space="preserve"> obligado a</w:t>
      </w:r>
      <w:r w:rsidR="00581889">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l</w:t>
      </w:r>
      <w:r w:rsidR="00581889">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sidR="008B3E07">
        <w:rPr>
          <w:rFonts w:ascii="AvantGarde Bk BT" w:hAnsi="AvantGarde Bk BT" w:cs="Arial"/>
          <w:b/>
          <w:color w:val="000000" w:themeColor="text1"/>
          <w:sz w:val="24"/>
          <w:szCs w:val="24"/>
        </w:rPr>
        <w:t>SECRETARÍA DE EDUCACIÓN DE GOBIERNO DEL ESTADO</w:t>
      </w:r>
      <w:r w:rsidRPr="006932D1">
        <w:rPr>
          <w:rFonts w:ascii="AvantGarde Bk BT" w:hAnsi="AvantGarde Bk BT" w:cs="Arial"/>
          <w:b/>
          <w:color w:val="000000" w:themeColor="text1"/>
          <w:sz w:val="24"/>
          <w:szCs w:val="24"/>
        </w:rPr>
        <w:t>, por conducto de su TITULAR y</w:t>
      </w:r>
      <w:r w:rsidRPr="006932D1">
        <w:rPr>
          <w:rFonts w:ascii="AvantGarde Bk BT" w:hAnsi="AvantGarde Bk BT" w:cs="Arial"/>
          <w:color w:val="000000" w:themeColor="text1"/>
          <w:sz w:val="24"/>
          <w:szCs w:val="24"/>
        </w:rPr>
        <w:t xml:space="preserve"> </w:t>
      </w:r>
      <w:r w:rsidRPr="006932D1">
        <w:rPr>
          <w:rFonts w:ascii="AvantGarde Bk BT" w:hAnsi="AvantGarde Bk BT" w:cs="Arial"/>
          <w:b/>
          <w:color w:val="000000" w:themeColor="text1"/>
          <w:sz w:val="24"/>
          <w:szCs w:val="24"/>
        </w:rPr>
        <w:t xml:space="preserve">del TITULAR DE LA UNIDAD DE TRANSPARENCIA. </w:t>
      </w:r>
    </w:p>
    <w:p w14:paraId="72D229D1" w14:textId="77777777" w:rsidR="0095504E"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w:t>
      </w:r>
      <w:r w:rsidRPr="00D6546A">
        <w:rPr>
          <w:rFonts w:ascii="AvantGarde Bk BT" w:hAnsi="AvantGarde Bk BT" w:cs="Arial"/>
          <w:color w:val="000000" w:themeColor="text1"/>
          <w:sz w:val="24"/>
          <w:szCs w:val="24"/>
        </w:rPr>
        <w:t xml:space="preserve">uso a disposición de las partes el expediente </w:t>
      </w:r>
      <w:r>
        <w:rPr>
          <w:rFonts w:ascii="AvantGarde Bk BT" w:hAnsi="AvantGarde Bk BT" w:cs="Arial"/>
          <w:color w:val="000000" w:themeColor="text1"/>
          <w:sz w:val="24"/>
          <w:szCs w:val="24"/>
        </w:rPr>
        <w:t>para que en un plazo máximo de</w:t>
      </w:r>
      <w:r w:rsidRPr="00D6546A">
        <w:rPr>
          <w:rFonts w:ascii="AvantGarde Bk BT" w:hAnsi="AvantGarde Bk BT" w:cs="Arial"/>
          <w:color w:val="000000" w:themeColor="text1"/>
          <w:sz w:val="24"/>
          <w:szCs w:val="24"/>
        </w:rPr>
        <w:t xml:space="preserve"> siete días manifestaran lo que a su derecho conviniera –ofrecer pruebas, alegar y para que rindiera un informe acerca de la información solicitada</w:t>
      </w:r>
      <w:r>
        <w:rPr>
          <w:rFonts w:ascii="AvantGarde Bk BT" w:hAnsi="AvantGarde Bk BT" w:cs="Arial"/>
          <w:color w:val="000000" w:themeColor="text1"/>
          <w:sz w:val="24"/>
          <w:szCs w:val="24"/>
        </w:rPr>
        <w:t>.</w:t>
      </w:r>
      <w:r w:rsidRPr="00D6546A">
        <w:rPr>
          <w:rFonts w:ascii="AvantGarde Bk BT" w:hAnsi="AvantGarde Bk BT" w:cs="Arial"/>
          <w:color w:val="000000" w:themeColor="text1"/>
          <w:sz w:val="24"/>
          <w:szCs w:val="24"/>
        </w:rPr>
        <w:t xml:space="preserve"> </w:t>
      </w:r>
    </w:p>
    <w:p w14:paraId="039B3209" w14:textId="77777777" w:rsidR="0095504E"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Señaló la forma y medio en que se realizarán las notificaciones correspondientes a las determinaciones que emitan dentro del medio de impugnación en que se actúa.</w:t>
      </w:r>
    </w:p>
    <w:p w14:paraId="73DB4787" w14:textId="77777777" w:rsidR="0095504E"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 fundamento en el artículo 220 del Código Procesal Administrativo, de aplicación supletoria a la Ley de Transparencia local, precisó al servidor público que para comparecer en representación del sujeto obligado, ya sea al señalar la disposición jurídica que lo faculte para tal efecto o mediante el acuerdo delegatorio que lo habilite para ello y a</w:t>
      </w:r>
      <w:r w:rsidRPr="001A743D">
        <w:rPr>
          <w:rFonts w:ascii="AvantGarde Bk BT" w:hAnsi="AvantGarde Bk BT" w:cs="Arial"/>
          <w:color w:val="000000" w:themeColor="text1"/>
          <w:sz w:val="24"/>
          <w:szCs w:val="24"/>
        </w:rPr>
        <w:t>percibió que en caso de</w:t>
      </w:r>
      <w:r>
        <w:rPr>
          <w:rFonts w:ascii="AvantGarde Bk BT" w:hAnsi="AvantGarde Bk BT" w:cs="Arial"/>
          <w:color w:val="000000" w:themeColor="text1"/>
          <w:sz w:val="24"/>
          <w:szCs w:val="24"/>
        </w:rPr>
        <w:t xml:space="preserve"> no demostrar dicha calidad, sus manifestaciones no serán tomadas en consideración al momento de resolver el recurso de revisión.</w:t>
      </w:r>
    </w:p>
    <w:p w14:paraId="3E53F217" w14:textId="77777777" w:rsidR="0095504E" w:rsidRDefault="0095504E" w:rsidP="0095504E">
      <w:pPr>
        <w:pStyle w:val="corte4fondo"/>
        <w:numPr>
          <w:ilvl w:val="0"/>
          <w:numId w:val="44"/>
        </w:numPr>
        <w:tabs>
          <w:tab w:val="left" w:pos="567"/>
          <w:tab w:val="left" w:pos="851"/>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Hizo de conocimiento del recurrente el derecho que le asiste para oponerse a la publicación de sus datos personales, en términos del artículo 67 de la Ley de Protección de Datos Personales en Posesión de Sujetos Obligados.</w:t>
      </w:r>
    </w:p>
    <w:p w14:paraId="75C77F87" w14:textId="1D1FBD5A" w:rsidR="00476D4C" w:rsidRPr="0095504E" w:rsidRDefault="0095504E" w:rsidP="0095504E">
      <w:pPr>
        <w:pStyle w:val="corte4fondo"/>
        <w:numPr>
          <w:ilvl w:val="0"/>
          <w:numId w:val="44"/>
        </w:numPr>
        <w:tabs>
          <w:tab w:val="left" w:pos="567"/>
          <w:tab w:val="left" w:pos="851"/>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Instruyó que se notifique personalmente a las partes</w:t>
      </w:r>
      <w:r w:rsidRPr="001A743D">
        <w:rPr>
          <w:rFonts w:ascii="AvantGarde Bk BT" w:hAnsi="AvantGarde Bk BT" w:cs="Arial"/>
          <w:color w:val="000000" w:themeColor="text1"/>
          <w:sz w:val="24"/>
          <w:szCs w:val="24"/>
        </w:rPr>
        <w:t>.</w:t>
      </w:r>
    </w:p>
    <w:p w14:paraId="622CA05F" w14:textId="4CD4751C" w:rsidR="0095504E" w:rsidRPr="00D63D8E" w:rsidRDefault="00581889" w:rsidP="0095504E">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SÉPTIMO. </w:t>
      </w:r>
      <w:r w:rsidR="008B3E07">
        <w:rPr>
          <w:rFonts w:ascii="AvantGarde Bk BT" w:hAnsi="AvantGarde Bk BT" w:cs="Arial"/>
          <w:b/>
          <w:color w:val="000000" w:themeColor="text1"/>
          <w:sz w:val="24"/>
          <w:szCs w:val="24"/>
        </w:rPr>
        <w:t>Recepción del informe del sujeto obligado y c</w:t>
      </w:r>
      <w:r w:rsidR="0095504E" w:rsidRPr="00DC67E0">
        <w:rPr>
          <w:rFonts w:ascii="AvantGarde Bk BT" w:hAnsi="AvantGarde Bk BT" w:cs="Arial"/>
          <w:b/>
          <w:color w:val="000000" w:themeColor="text1"/>
          <w:sz w:val="24"/>
          <w:szCs w:val="24"/>
        </w:rPr>
        <w:t>ierre de instrucción.</w:t>
      </w:r>
      <w:r w:rsidR="0095504E" w:rsidRPr="00DC67E0">
        <w:rPr>
          <w:rFonts w:ascii="AvantGarde Bk BT" w:hAnsi="AvantGarde Bk BT" w:cs="Arial"/>
          <w:color w:val="000000" w:themeColor="text1"/>
          <w:sz w:val="24"/>
          <w:szCs w:val="24"/>
        </w:rPr>
        <w:t xml:space="preserve"> </w:t>
      </w:r>
      <w:r w:rsidR="0095504E" w:rsidRPr="00D63D8E">
        <w:rPr>
          <w:rFonts w:ascii="AvantGarde Bk BT" w:hAnsi="AvantGarde Bk BT" w:cs="Arial"/>
          <w:color w:val="000000" w:themeColor="text1"/>
          <w:sz w:val="24"/>
          <w:szCs w:val="24"/>
        </w:rPr>
        <w:t xml:space="preserve">Mediante el auto del </w:t>
      </w:r>
      <w:r w:rsidR="008B3E07">
        <w:rPr>
          <w:rFonts w:ascii="AvantGarde Bk BT" w:hAnsi="AvantGarde Bk BT" w:cs="Arial"/>
          <w:color w:val="000000" w:themeColor="text1"/>
          <w:sz w:val="24"/>
          <w:szCs w:val="24"/>
        </w:rPr>
        <w:t>catorce</w:t>
      </w:r>
      <w:r>
        <w:rPr>
          <w:rFonts w:ascii="AvantGarde Bk BT" w:hAnsi="AvantGarde Bk BT" w:cs="Arial"/>
          <w:color w:val="000000" w:themeColor="text1"/>
          <w:sz w:val="24"/>
          <w:szCs w:val="24"/>
        </w:rPr>
        <w:t xml:space="preserve"> de jul</w:t>
      </w:r>
      <w:r w:rsidR="0095504E">
        <w:rPr>
          <w:rFonts w:ascii="AvantGarde Bk BT" w:hAnsi="AvantGarde Bk BT" w:cs="Arial"/>
          <w:color w:val="000000" w:themeColor="text1"/>
          <w:sz w:val="24"/>
          <w:szCs w:val="24"/>
        </w:rPr>
        <w:t>io de dos mil veintiséis</w:t>
      </w:r>
      <w:r w:rsidR="0095504E" w:rsidRPr="00D63D8E">
        <w:rPr>
          <w:rFonts w:ascii="AvantGarde Bk BT" w:hAnsi="AvantGarde Bk BT" w:cs="Arial"/>
          <w:color w:val="000000" w:themeColor="text1"/>
          <w:sz w:val="24"/>
          <w:szCs w:val="24"/>
        </w:rPr>
        <w:t>, esta Comisión:</w:t>
      </w:r>
    </w:p>
    <w:p w14:paraId="7E06C0DD" w14:textId="6FB24E3E" w:rsidR="008B3E07" w:rsidRPr="00D63D8E" w:rsidRDefault="008B3E07" w:rsidP="008B3E07">
      <w:pPr>
        <w:pStyle w:val="corte4fondo"/>
        <w:numPr>
          <w:ilvl w:val="0"/>
          <w:numId w:val="1"/>
        </w:numPr>
        <w:rPr>
          <w:rFonts w:ascii="AvantGarde Bk BT" w:hAnsi="AvantGarde Bk BT" w:cs="Arial"/>
          <w:color w:val="000000" w:themeColor="text1"/>
          <w:sz w:val="24"/>
          <w:szCs w:val="24"/>
        </w:rPr>
      </w:pPr>
      <w:r>
        <w:rPr>
          <w:rFonts w:ascii="AvantGarde Bk BT" w:hAnsi="AvantGarde Bk BT" w:cs="Arial"/>
          <w:color w:val="000000" w:themeColor="text1"/>
          <w:sz w:val="24"/>
          <w:szCs w:val="24"/>
        </w:rPr>
        <w:t>Agregó a los autos el oficio UT-876/2026</w:t>
      </w:r>
      <w:r w:rsidRPr="002739AB">
        <w:rPr>
          <w:rFonts w:ascii="AvantGarde Bk BT" w:hAnsi="AvantGarde Bk BT" w:cs="Arial"/>
          <w:color w:val="000000" w:themeColor="text1"/>
          <w:sz w:val="24"/>
          <w:szCs w:val="24"/>
        </w:rPr>
        <w:t xml:space="preserve">, signado por </w:t>
      </w:r>
      <w:r>
        <w:rPr>
          <w:rFonts w:ascii="AvantGarde Bk BT" w:hAnsi="AvantGarde Bk BT" w:cs="Arial"/>
          <w:color w:val="000000" w:themeColor="text1"/>
          <w:sz w:val="24"/>
          <w:szCs w:val="24"/>
        </w:rPr>
        <w:t>Julio Alberto Viera Solís</w:t>
      </w:r>
      <w:r w:rsidRPr="002739AB">
        <w:rPr>
          <w:rFonts w:ascii="AvantGarde Bk BT" w:hAnsi="AvantGarde Bk BT" w:cs="Arial"/>
          <w:color w:val="000000" w:themeColor="text1"/>
          <w:sz w:val="24"/>
          <w:szCs w:val="24"/>
        </w:rPr>
        <w:t>, Titular de la Unidad de Transparencia de</w:t>
      </w:r>
      <w:r>
        <w:rPr>
          <w:rFonts w:ascii="AvantGarde Bk BT" w:hAnsi="AvantGarde Bk BT" w:cs="Arial"/>
          <w:color w:val="000000" w:themeColor="text1"/>
          <w:sz w:val="24"/>
          <w:szCs w:val="24"/>
        </w:rPr>
        <w:t xml:space="preserve"> </w:t>
      </w:r>
      <w:r w:rsidRPr="002739AB">
        <w:rPr>
          <w:rFonts w:ascii="AvantGarde Bk BT" w:hAnsi="AvantGarde Bk BT" w:cs="Arial"/>
          <w:color w:val="000000" w:themeColor="text1"/>
          <w:sz w:val="24"/>
          <w:szCs w:val="24"/>
        </w:rPr>
        <w:t>l</w:t>
      </w:r>
      <w:r>
        <w:rPr>
          <w:rFonts w:ascii="AvantGarde Bk BT" w:hAnsi="AvantGarde Bk BT" w:cs="Arial"/>
          <w:color w:val="000000" w:themeColor="text1"/>
          <w:sz w:val="24"/>
          <w:szCs w:val="24"/>
        </w:rPr>
        <w:t>a</w:t>
      </w:r>
      <w:r w:rsidRPr="002739AB">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Secretaría de Educación de Gobierno del Estado, recibido en la Oficialía de Partes de esta Comisión el trece de julio de dos mil veintiséis</w:t>
      </w:r>
      <w:r w:rsidRPr="00D63D8E">
        <w:rPr>
          <w:rFonts w:ascii="AvantGarde Bk BT" w:hAnsi="AvantGarde Bk BT" w:cs="Arial"/>
          <w:color w:val="000000" w:themeColor="text1"/>
          <w:sz w:val="24"/>
          <w:szCs w:val="24"/>
        </w:rPr>
        <w:t>.</w:t>
      </w:r>
    </w:p>
    <w:p w14:paraId="6421C8E8" w14:textId="77777777" w:rsidR="008B3E07" w:rsidRPr="00D63D8E" w:rsidRDefault="008B3E07" w:rsidP="008B3E07">
      <w:pPr>
        <w:pStyle w:val="corte4fondo"/>
        <w:numPr>
          <w:ilvl w:val="0"/>
          <w:numId w:val="1"/>
        </w:numPr>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por rendido</w:t>
      </w:r>
      <w:r w:rsidRPr="00D63D8E">
        <w:rPr>
          <w:rFonts w:ascii="AvantGarde Bk BT" w:hAnsi="AvantGarde Bk BT" w:cs="Arial"/>
          <w:color w:val="000000" w:themeColor="text1"/>
          <w:sz w:val="24"/>
          <w:szCs w:val="24"/>
        </w:rPr>
        <w:t xml:space="preserve"> el informe del sujeto obligado, así como</w:t>
      </w:r>
      <w:r>
        <w:rPr>
          <w:rFonts w:ascii="AvantGarde Bk BT" w:hAnsi="AvantGarde Bk BT" w:cs="Arial"/>
          <w:color w:val="000000" w:themeColor="text1"/>
          <w:sz w:val="24"/>
          <w:szCs w:val="24"/>
        </w:rPr>
        <w:t xml:space="preserve"> ofrecidas</w:t>
      </w:r>
      <w:r w:rsidRPr="00D63D8E">
        <w:rPr>
          <w:rFonts w:ascii="AvantGarde Bk BT" w:hAnsi="AvantGarde Bk BT" w:cs="Arial"/>
          <w:color w:val="000000" w:themeColor="text1"/>
          <w:sz w:val="24"/>
          <w:szCs w:val="24"/>
        </w:rPr>
        <w:t xml:space="preserve"> las pruebas de su intención.</w:t>
      </w:r>
    </w:p>
    <w:p w14:paraId="2F2EC3B9" w14:textId="77777777" w:rsidR="003604D4" w:rsidRDefault="003604D4" w:rsidP="003604D4">
      <w:pPr>
        <w:pStyle w:val="corte4fondo"/>
        <w:numPr>
          <w:ilvl w:val="0"/>
          <w:numId w:val="1"/>
        </w:numPr>
        <w:tabs>
          <w:tab w:val="left" w:pos="567"/>
        </w:tabs>
        <w:rPr>
          <w:rFonts w:ascii="AvantGarde Bk BT" w:hAnsi="AvantGarde Bk BT" w:cs="Arial"/>
          <w:sz w:val="24"/>
          <w:szCs w:val="24"/>
        </w:rPr>
      </w:pPr>
      <w:r>
        <w:rPr>
          <w:rFonts w:ascii="AvantGarde Bk BT" w:hAnsi="AvantGarde Bk BT" w:cs="Arial"/>
          <w:sz w:val="24"/>
          <w:szCs w:val="24"/>
        </w:rPr>
        <w:t>En cuanto al peticionario, feneció el plazo para que presentara pruebas y manifestara lo que a su derecho conviniera.</w:t>
      </w:r>
    </w:p>
    <w:p w14:paraId="3017561E" w14:textId="357A24DA" w:rsidR="003604D4" w:rsidRDefault="003604D4" w:rsidP="003604D4">
      <w:pPr>
        <w:pStyle w:val="corte4fondo"/>
        <w:numPr>
          <w:ilvl w:val="0"/>
          <w:numId w:val="1"/>
        </w:numPr>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Finalmente, decretó el cierre del periodo de instrucción con fundamento en lo previsto por el artículo 174, fracciones V y VII de la Ley de la materia y procedió a elaborar el proyecto de resolución.</w:t>
      </w:r>
      <w:r w:rsidRPr="00EF68D1">
        <w:rPr>
          <w:rFonts w:ascii="AvantGarde Bk BT" w:hAnsi="AvantGarde Bk BT" w:cs="Arial"/>
          <w:color w:val="000000" w:themeColor="text1"/>
          <w:sz w:val="24"/>
          <w:szCs w:val="24"/>
        </w:rPr>
        <w:t xml:space="preserve"> </w:t>
      </w:r>
    </w:p>
    <w:p w14:paraId="0C72F3DF" w14:textId="19D4294A" w:rsidR="00E215D2" w:rsidRDefault="00CC35B6" w:rsidP="00CF0D4F">
      <w:pPr>
        <w:pStyle w:val="corte4fondo"/>
        <w:tabs>
          <w:tab w:val="left" w:pos="567"/>
        </w:tabs>
        <w:spacing w:after="24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101BC96A" w14:textId="77777777" w:rsidR="00AE0DBD" w:rsidRPr="007C5605" w:rsidRDefault="00AE0DBD" w:rsidP="00AE0DBD">
      <w:pPr>
        <w:pStyle w:val="corte4fondo"/>
        <w:tabs>
          <w:tab w:val="left" w:pos="567"/>
        </w:tabs>
        <w:spacing w:after="240"/>
        <w:rPr>
          <w:rFonts w:ascii="AvantGarde Bk BT" w:hAnsi="AvantGarde Bk BT" w:cs="Arial"/>
          <w:color w:val="000000" w:themeColor="text1"/>
          <w:sz w:val="24"/>
          <w:szCs w:val="24"/>
        </w:rPr>
      </w:pPr>
      <w:r w:rsidRPr="00756C5F">
        <w:rPr>
          <w:rFonts w:ascii="AvantGarde Bk BT" w:hAnsi="AvantGarde Bk BT" w:cs="Arial"/>
          <w:b/>
          <w:color w:val="000000" w:themeColor="text1"/>
          <w:sz w:val="24"/>
          <w:szCs w:val="24"/>
        </w:rPr>
        <w:t>PRIMERO. Competencia.</w:t>
      </w:r>
      <w:r w:rsidRPr="00756C5F">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w:t>
      </w:r>
      <w:r w:rsidRPr="00756C5F">
        <w:rPr>
          <w:rFonts w:ascii="AvantGarde Bk BT" w:hAnsi="AvantGarde Bk BT" w:cs="Arial"/>
          <w:color w:val="000000" w:themeColor="text1"/>
          <w:sz w:val="24"/>
          <w:szCs w:val="24"/>
        </w:rPr>
        <w:lastRenderedPageBreak/>
        <w:t>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w:t>
      </w:r>
      <w:r w:rsidRPr="007C5605">
        <w:rPr>
          <w:rFonts w:ascii="AvantGarde Bk BT" w:hAnsi="AvantGarde Bk BT" w:cs="Arial"/>
          <w:color w:val="000000" w:themeColor="text1"/>
          <w:sz w:val="24"/>
          <w:szCs w:val="24"/>
        </w:rPr>
        <w:t xml:space="preserve"> </w:t>
      </w:r>
    </w:p>
    <w:p w14:paraId="150A9717" w14:textId="10B60EA6" w:rsidR="00AE0DBD" w:rsidRPr="00001770" w:rsidRDefault="00AE0DBD" w:rsidP="00AE0DBD">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2B7639" w:rsidRPr="007C5605">
        <w:rPr>
          <w:rFonts w:ascii="AvantGarde Bk BT" w:hAnsi="AvantGarde Bk BT" w:cs="Arial"/>
          <w:b/>
          <w:color w:val="000000" w:themeColor="text1"/>
          <w:sz w:val="24"/>
          <w:szCs w:val="24"/>
        </w:rPr>
        <w:t>Legitimación.</w:t>
      </w:r>
      <w:r w:rsidR="002B7639" w:rsidRPr="007C5605">
        <w:rPr>
          <w:rFonts w:ascii="AvantGarde Bk BT" w:hAnsi="AvantGarde Bk BT" w:cs="Arial"/>
          <w:color w:val="000000" w:themeColor="text1"/>
          <w:sz w:val="24"/>
          <w:szCs w:val="24"/>
        </w:rPr>
        <w:t xml:space="preserve"> </w:t>
      </w:r>
      <w:r w:rsidR="002239D8">
        <w:rPr>
          <w:rFonts w:ascii="AvantGarde Bk BT" w:hAnsi="AvantGarde Bk BT" w:cs="Arial"/>
          <w:color w:val="000000" w:themeColor="text1"/>
          <w:sz w:val="24"/>
          <w:szCs w:val="24"/>
        </w:rPr>
        <w:t>La persona</w:t>
      </w:r>
      <w:r w:rsidR="002B7639" w:rsidRPr="007C5605">
        <w:rPr>
          <w:rFonts w:ascii="AvantGarde Bk BT" w:hAnsi="AvantGarde Bk BT" w:cs="Arial"/>
          <w:color w:val="000000" w:themeColor="text1"/>
          <w:sz w:val="24"/>
          <w:szCs w:val="24"/>
        </w:rPr>
        <w:t xml:space="preserve"> re</w:t>
      </w:r>
      <w:r w:rsidR="002B7639">
        <w:rPr>
          <w:rFonts w:ascii="AvantGarde Bk BT" w:hAnsi="AvantGarde Bk BT" w:cs="Arial"/>
          <w:color w:val="000000" w:themeColor="text1"/>
          <w:sz w:val="24"/>
          <w:szCs w:val="24"/>
        </w:rPr>
        <w:t>currente se encuentra legitimado</w:t>
      </w:r>
      <w:r w:rsidR="002B7639" w:rsidRPr="007C5605">
        <w:rPr>
          <w:rFonts w:ascii="AvantGarde Bk BT" w:hAnsi="AvantGarde Bk BT" w:cs="Arial"/>
          <w:color w:val="000000" w:themeColor="text1"/>
          <w:sz w:val="24"/>
          <w:szCs w:val="24"/>
        </w:rPr>
        <w:t xml:space="preserve"> para interponer el recurso de revisión, ya que fue </w:t>
      </w:r>
      <w:r w:rsidR="002B7639">
        <w:rPr>
          <w:rFonts w:ascii="AvantGarde Bk BT" w:hAnsi="AvantGarde Bk BT" w:cs="Arial"/>
          <w:color w:val="000000" w:themeColor="text1"/>
          <w:sz w:val="24"/>
          <w:szCs w:val="24"/>
        </w:rPr>
        <w:t>éste</w:t>
      </w:r>
      <w:r w:rsidR="002B7639" w:rsidRPr="007C5605">
        <w:rPr>
          <w:rFonts w:ascii="AvantGarde Bk BT" w:hAnsi="AvantGarde Bk BT" w:cs="Arial"/>
          <w:color w:val="000000" w:themeColor="text1"/>
          <w:sz w:val="24"/>
          <w:szCs w:val="24"/>
        </w:rPr>
        <w:t xml:space="preserve"> quien presentó la solicitud de acceso a la información pública y </w:t>
      </w:r>
      <w:r w:rsidR="002B7639">
        <w:rPr>
          <w:rFonts w:ascii="AvantGarde Bk BT" w:hAnsi="AvantGarde Bk BT" w:cs="Arial"/>
          <w:color w:val="000000" w:themeColor="text1"/>
          <w:sz w:val="24"/>
          <w:szCs w:val="24"/>
        </w:rPr>
        <w:t>es precisamente</w:t>
      </w:r>
      <w:r w:rsidR="002B7639" w:rsidRPr="007C5605">
        <w:rPr>
          <w:rFonts w:ascii="AvantGarde Bk BT" w:hAnsi="AvantGarde Bk BT" w:cs="Arial"/>
          <w:color w:val="000000" w:themeColor="text1"/>
          <w:sz w:val="24"/>
          <w:szCs w:val="24"/>
        </w:rPr>
        <w:t xml:space="preserve"> a quien le pudiera deparar perjuicio la respuesta.</w:t>
      </w:r>
    </w:p>
    <w:p w14:paraId="3B47FC7E" w14:textId="77777777" w:rsidR="0095504E" w:rsidRPr="00EA2555" w:rsidRDefault="00AE0DBD" w:rsidP="0095504E">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xml:space="preserve">. </w:t>
      </w:r>
      <w:r w:rsidR="0095504E" w:rsidRPr="002F37D4">
        <w:rPr>
          <w:rFonts w:ascii="AvantGarde Bk BT" w:hAnsi="AvantGarde Bk BT" w:cs="Arial"/>
          <w:b/>
          <w:color w:val="000000" w:themeColor="text1"/>
          <w:sz w:val="24"/>
          <w:szCs w:val="24"/>
        </w:rPr>
        <w:t>Oportunidad del recurso.</w:t>
      </w:r>
      <w:r w:rsidR="0095504E" w:rsidRPr="002F37D4">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14:paraId="53AE503A" w14:textId="24752F15" w:rsidR="0095504E" w:rsidRDefault="0095504E" w:rsidP="0095504E">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El </w:t>
      </w:r>
      <w:r w:rsidR="008B3E07">
        <w:rPr>
          <w:rFonts w:ascii="AvantGarde Bk BT" w:hAnsi="AvantGarde Bk BT" w:cs="Arial"/>
          <w:color w:val="000000" w:themeColor="text1"/>
          <w:sz w:val="24"/>
          <w:szCs w:val="24"/>
        </w:rPr>
        <w:t>nueve</w:t>
      </w:r>
      <w:r w:rsidR="006C2809">
        <w:rPr>
          <w:rFonts w:ascii="AvantGarde Bk BT" w:hAnsi="AvantGarde Bk BT" w:cs="Arial"/>
          <w:color w:val="000000" w:themeColor="text1"/>
          <w:sz w:val="24"/>
          <w:szCs w:val="24"/>
        </w:rPr>
        <w:t xml:space="preserve"> de junio</w:t>
      </w:r>
      <w:r>
        <w:rPr>
          <w:rFonts w:ascii="AvantGarde Bk BT" w:hAnsi="AvantGarde Bk BT" w:cs="Arial"/>
          <w:color w:val="000000" w:themeColor="text1"/>
          <w:sz w:val="24"/>
          <w:szCs w:val="24"/>
        </w:rPr>
        <w:t xml:space="preserve"> de dos mil veintiséis, el peticionario </w:t>
      </w:r>
      <w:r w:rsidR="006C2809">
        <w:rPr>
          <w:rFonts w:ascii="AvantGarde Bk BT" w:hAnsi="AvantGarde Bk BT" w:cs="Arial"/>
          <w:color w:val="000000" w:themeColor="text1"/>
          <w:sz w:val="24"/>
          <w:szCs w:val="24"/>
        </w:rPr>
        <w:t>recibió la respuesta d</w:t>
      </w:r>
      <w:r>
        <w:rPr>
          <w:rFonts w:ascii="AvantGarde Bk BT" w:hAnsi="AvantGarde Bk BT" w:cs="Arial"/>
          <w:color w:val="000000" w:themeColor="text1"/>
          <w:sz w:val="24"/>
          <w:szCs w:val="24"/>
        </w:rPr>
        <w:t>el sujeto obligado.</w:t>
      </w:r>
    </w:p>
    <w:p w14:paraId="6148B4D5" w14:textId="2FBE242F" w:rsidR="0095504E" w:rsidRDefault="0095504E" w:rsidP="0095504E">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Por ello, </w:t>
      </w:r>
      <w:r w:rsidR="006C2809" w:rsidRPr="00726D64">
        <w:rPr>
          <w:rFonts w:ascii="AvantGarde Bk BT" w:hAnsi="AvantGarde Bk BT" w:cs="Arial"/>
          <w:color w:val="000000" w:themeColor="text1"/>
          <w:sz w:val="24"/>
          <w:szCs w:val="24"/>
        </w:rPr>
        <w:t xml:space="preserve">el plazo de los quince días hábiles para interponer el recurso de revisión transcurrió </w:t>
      </w:r>
      <w:r w:rsidR="006C2809">
        <w:rPr>
          <w:rFonts w:ascii="AvantGarde Bk BT" w:hAnsi="AvantGarde Bk BT" w:cs="Arial"/>
          <w:color w:val="000000" w:themeColor="text1"/>
          <w:sz w:val="24"/>
          <w:szCs w:val="24"/>
        </w:rPr>
        <w:t>del</w:t>
      </w:r>
      <w:r>
        <w:rPr>
          <w:rFonts w:ascii="AvantGarde Bk BT" w:hAnsi="AvantGarde Bk BT" w:cs="Arial"/>
          <w:color w:val="000000" w:themeColor="text1"/>
          <w:sz w:val="24"/>
          <w:szCs w:val="24"/>
        </w:rPr>
        <w:t xml:space="preserve"> </w:t>
      </w:r>
      <w:r w:rsidR="008B3E07">
        <w:rPr>
          <w:rFonts w:ascii="AvantGarde Bk BT" w:hAnsi="AvantGarde Bk BT" w:cs="Arial"/>
          <w:color w:val="000000" w:themeColor="text1"/>
          <w:sz w:val="24"/>
          <w:szCs w:val="24"/>
        </w:rPr>
        <w:t>diez al treinta</w:t>
      </w:r>
      <w:r w:rsidR="006C2809">
        <w:rPr>
          <w:rFonts w:ascii="AvantGarde Bk BT" w:hAnsi="AvantGarde Bk BT" w:cs="Arial"/>
          <w:color w:val="000000" w:themeColor="text1"/>
          <w:sz w:val="24"/>
          <w:szCs w:val="24"/>
        </w:rPr>
        <w:t xml:space="preserve"> de junio </w:t>
      </w:r>
      <w:r>
        <w:rPr>
          <w:rFonts w:ascii="AvantGarde Bk BT" w:hAnsi="AvantGarde Bk BT" w:cs="Arial"/>
          <w:color w:val="000000" w:themeColor="text1"/>
          <w:sz w:val="24"/>
          <w:szCs w:val="24"/>
        </w:rPr>
        <w:t xml:space="preserve">de dos mil veintiséis, sin tomar en cuenta el </w:t>
      </w:r>
      <w:r w:rsidR="008B3E07">
        <w:rPr>
          <w:rFonts w:ascii="AvantGarde Bk BT" w:hAnsi="AvantGarde Bk BT" w:cs="Arial"/>
          <w:color w:val="000000" w:themeColor="text1"/>
          <w:sz w:val="24"/>
          <w:szCs w:val="24"/>
        </w:rPr>
        <w:t xml:space="preserve">trece, catorce, </w:t>
      </w:r>
      <w:r w:rsidR="006C2809">
        <w:rPr>
          <w:rFonts w:ascii="AvantGarde Bk BT" w:hAnsi="AvantGarde Bk BT" w:cs="Arial"/>
          <w:color w:val="000000" w:themeColor="text1"/>
          <w:sz w:val="24"/>
          <w:szCs w:val="24"/>
        </w:rPr>
        <w:t>veinte, veintiuno, veintisiete y veintiocho de junio de dos mil veintiséis</w:t>
      </w:r>
      <w:r>
        <w:rPr>
          <w:rFonts w:ascii="AvantGarde Bk BT" w:hAnsi="AvantGarde Bk BT" w:cs="Arial"/>
          <w:color w:val="000000" w:themeColor="text1"/>
          <w:sz w:val="24"/>
          <w:szCs w:val="24"/>
        </w:rPr>
        <w:t>, por ser inhábiles</w:t>
      </w:r>
      <w:r w:rsidR="006C2809">
        <w:rPr>
          <w:rFonts w:ascii="AvantGarde Bk BT" w:hAnsi="AvantGarde Bk BT" w:cs="Arial"/>
          <w:color w:val="000000" w:themeColor="text1"/>
          <w:sz w:val="24"/>
          <w:szCs w:val="24"/>
        </w:rPr>
        <w:t>.</w:t>
      </w:r>
    </w:p>
    <w:p w14:paraId="04CDB050" w14:textId="0321A3AD" w:rsidR="0095504E" w:rsidRPr="007C5605" w:rsidRDefault="0095504E" w:rsidP="0095504E">
      <w:pPr>
        <w:pStyle w:val="corte4fondo"/>
        <w:tabs>
          <w:tab w:val="left" w:pos="567"/>
        </w:tabs>
        <w:spacing w:after="240"/>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6A2C2F">
        <w:rPr>
          <w:rFonts w:ascii="AvantGarde Bk BT" w:hAnsi="AvantGarde Bk BT" w:cs="Arial"/>
          <w:color w:val="000000" w:themeColor="text1"/>
          <w:sz w:val="24"/>
          <w:szCs w:val="24"/>
        </w:rPr>
        <w:t>veinticuatro</w:t>
      </w:r>
      <w:r w:rsidR="000C7A1C">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de junio de dos mil veintiséis</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14:paraId="5F1B18A0" w14:textId="43FC25EE" w:rsidR="002B7639" w:rsidRPr="00627F78" w:rsidRDefault="00AE0DBD" w:rsidP="0095504E">
      <w:pPr>
        <w:pStyle w:val="corte4fondo"/>
        <w:tabs>
          <w:tab w:val="left" w:pos="567"/>
        </w:tabs>
        <w:rPr>
          <w:rFonts w:ascii="AvantGarde Bk BT" w:hAnsi="AvantGarde Bk BT" w:cs="Arial"/>
          <w:color w:val="000000" w:themeColor="text1"/>
          <w:sz w:val="24"/>
          <w:szCs w:val="24"/>
        </w:rPr>
      </w:pPr>
      <w:r w:rsidRPr="002F37D4">
        <w:rPr>
          <w:rFonts w:ascii="AvantGarde Bk BT" w:hAnsi="AvantGarde Bk BT" w:cs="Arial"/>
          <w:b/>
          <w:color w:val="000000" w:themeColor="text1"/>
          <w:sz w:val="24"/>
          <w:szCs w:val="24"/>
        </w:rPr>
        <w:t xml:space="preserve">CUARTO. </w:t>
      </w:r>
      <w:r w:rsidR="002B7639" w:rsidRPr="007C5605">
        <w:rPr>
          <w:rFonts w:ascii="AvantGarde Bk BT" w:hAnsi="AvantGarde Bk BT" w:cs="Arial"/>
          <w:b/>
          <w:color w:val="000000" w:themeColor="text1"/>
          <w:sz w:val="24"/>
          <w:szCs w:val="24"/>
        </w:rPr>
        <w:t>Causales de improcedencia.</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 xml:space="preserve">Las causales de improcedencia </w:t>
      </w:r>
      <w:r w:rsidR="002B7639" w:rsidRPr="00627F78">
        <w:rPr>
          <w:rFonts w:ascii="AvantGarde Bk BT" w:hAnsi="AvantGarde Bk BT" w:cs="Arial"/>
          <w:color w:val="000000" w:themeColor="text1"/>
          <w:sz w:val="24"/>
          <w:szCs w:val="24"/>
        </w:rPr>
        <w:t>previstas en el artículo 179 de la Ley de Transparencia son de estudio oficioso y</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preferente a cualquier otra cuestión planteada, atento a lo establecido por la</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Jurisprudencia que por analogía resulta aplicable y, que a la letra señala:</w:t>
      </w:r>
    </w:p>
    <w:p w14:paraId="2D8C89F1"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w:t>
      </w:r>
      <w:r w:rsidRPr="00845146">
        <w:rPr>
          <w:rFonts w:ascii="AvantGarde Bk BT" w:hAnsi="AvantGarde Bk BT" w:cs="Arial"/>
          <w:i/>
          <w:color w:val="000000" w:themeColor="text1"/>
          <w:sz w:val="22"/>
          <w:szCs w:val="24"/>
        </w:rPr>
        <w:t>IMPROCEDENCIA. Sea que las partes la aleguen o no, debe examinarse previamente la procedencia del juicio de amparo, por ser esa cuestión de orden público en el juicio de garantías</w:t>
      </w:r>
      <w:r w:rsidRPr="007F0BFC">
        <w:rPr>
          <w:rFonts w:ascii="AvantGarde Bk BT" w:hAnsi="AvantGarde Bk BT" w:cs="Arial"/>
          <w:color w:val="000000" w:themeColor="text1"/>
          <w:sz w:val="24"/>
          <w:szCs w:val="24"/>
        </w:rPr>
        <w:t>.”</w:t>
      </w:r>
    </w:p>
    <w:p w14:paraId="0394B7E6"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 xml:space="preserve">Es por lo anterior que, es dable señalar que la figura jurídica de la improcedencia se traduce en la posibilidad o facultad que tiene este Órgano Garante para desechar </w:t>
      </w:r>
      <w:r w:rsidRPr="007F0BFC">
        <w:rPr>
          <w:rFonts w:ascii="AvantGarde Bk BT" w:hAnsi="AvantGarde Bk BT" w:cs="Arial"/>
          <w:color w:val="000000" w:themeColor="text1"/>
          <w:sz w:val="24"/>
          <w:szCs w:val="24"/>
        </w:rPr>
        <w:lastRenderedPageBreak/>
        <w:t>el Recurso de Revisión en el que se actúa, es decir, no dar trámite al procedimiento previsto en el artículo 174 de la Ley de Transparencia y Acceso a la Información Pública del Estado o bien, una vez admitido se actualice alguna de las hipótesis previstas en el numeral 179 de la citada normatividad y en consecuencia este Organismo Autónomo no entre al estudio de fondo de las posiciones planteadas por las partes.</w:t>
      </w:r>
    </w:p>
    <w:p w14:paraId="7B5FA1C2" w14:textId="77777777" w:rsidR="002B7639" w:rsidRPr="007F0BFC" w:rsidRDefault="002B7639" w:rsidP="002B7639">
      <w:pPr>
        <w:pStyle w:val="corte4fondo"/>
        <w:tabs>
          <w:tab w:val="left" w:pos="567"/>
        </w:tabs>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Con relación a las causales de improcedencia, el artículo 179 de la Ley de Transparencia y Acceso a la Información Pública del Estado, indica las siguientes:</w:t>
      </w:r>
    </w:p>
    <w:p w14:paraId="1ECD79F4"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color w:val="000000" w:themeColor="text1"/>
          <w:sz w:val="24"/>
          <w:szCs w:val="24"/>
        </w:rPr>
        <w:t>“</w:t>
      </w:r>
      <w:r w:rsidRPr="007F0BFC">
        <w:rPr>
          <w:rFonts w:ascii="AvantGarde Bk BT" w:hAnsi="AvantGarde Bk BT" w:cs="Arial"/>
          <w:i/>
          <w:color w:val="000000" w:themeColor="text1"/>
          <w:sz w:val="22"/>
          <w:szCs w:val="24"/>
        </w:rPr>
        <w:t>ARTÍCULO 179. El recurso será desechado por improcedente cuando:</w:t>
      </w:r>
    </w:p>
    <w:p w14:paraId="4BCC3D7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 Sea extemporáneo por haber transcurrido el plazo establecido en el artículo 166 de la presente Ley;</w:t>
      </w:r>
    </w:p>
    <w:p w14:paraId="755EBE11"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 Se esté tramitando ante el Poder Judicial algún recurso o medio de defensa interpuesto por el recurrente;</w:t>
      </w:r>
    </w:p>
    <w:p w14:paraId="4EAE891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III. Se esté tramitando ante la CEGAIP algún recurso de revisión por el mismo quejoso en los mismos términos;</w:t>
      </w:r>
    </w:p>
    <w:p w14:paraId="18CDF50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IV. No actualice alguno de los supuestos previstos en el artículo 167 de la presente Ley;</w:t>
      </w:r>
    </w:p>
    <w:p w14:paraId="303DAD77"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 No se haya desahogado la prevención en los términos establecidos en el artículo 168 de la presente Ley;</w:t>
      </w:r>
    </w:p>
    <w:p w14:paraId="4934703E"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 Se impugne la veracidad de la información proporcionada;</w:t>
      </w:r>
    </w:p>
    <w:p w14:paraId="7BC2D555"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VII. Se trate de una consulta, o</w:t>
      </w:r>
    </w:p>
    <w:p w14:paraId="7C7F23C6"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i/>
          <w:color w:val="000000" w:themeColor="text1"/>
          <w:sz w:val="22"/>
          <w:szCs w:val="24"/>
        </w:rPr>
        <w:t>VIII. El recurrente amplíe su solicitud en el recurso de revisión, únicamente respecto de los nuevos contenidos</w:t>
      </w:r>
      <w:r w:rsidRPr="007F0BFC">
        <w:rPr>
          <w:rFonts w:ascii="AvantGarde Bk BT" w:hAnsi="AvantGarde Bk BT" w:cs="Arial"/>
          <w:i/>
          <w:color w:val="000000" w:themeColor="text1"/>
          <w:sz w:val="20"/>
          <w:szCs w:val="24"/>
        </w:rPr>
        <w:t>.</w:t>
      </w:r>
      <w:r w:rsidRPr="007F0BFC">
        <w:rPr>
          <w:rFonts w:ascii="AvantGarde Bk BT" w:hAnsi="AvantGarde Bk BT" w:cs="Arial"/>
          <w:color w:val="000000" w:themeColor="text1"/>
          <w:sz w:val="24"/>
          <w:szCs w:val="24"/>
        </w:rPr>
        <w:t>”</w:t>
      </w:r>
    </w:p>
    <w:p w14:paraId="348C538C"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Del análisis realizado por esta Comisión, se advierte que no se actualiza alguna de las causales de improcedencia previstas en las fracciones I, II, III, IV, V, VI, VII y VIII del artículo 179 de la Ley de Transparencia y Acceso a la Información Pública del Estado de San Luis Potosí, toda vez que el recurso de revisión no es extemporáneo por haberse interpuesto dentro del plazo establecido en el artículo 166 de la citada normatividad; tampoco se tiene conocimiento de que se esté tramitando ante el Poder Judicial algún recurso o medio de defensa interpuesto por el inconforme; tampoco se tiene conocimiento de que se esté tramitando ante éste Órgano Garante recurso de revisión interpuesto por el recurrente en los mismo términos.</w:t>
      </w:r>
    </w:p>
    <w:p w14:paraId="5F44BE68" w14:textId="499E58B2" w:rsidR="00FC2715" w:rsidRPr="00B13278" w:rsidRDefault="002B7639" w:rsidP="00B13278">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 xml:space="preserve">Asimismo, de una revisión efectuada a las constancias que obran en autos, no se evidencia que se haya efectuado requerimiento alguno al peticionario en términos del artículo 168 de la Ley de Transparencia Local; además, de la lectura de los motivos de inconformidad, no se desprende que la pretensión del recurrente esté </w:t>
      </w:r>
      <w:r w:rsidRPr="007F0BFC">
        <w:rPr>
          <w:rFonts w:ascii="AvantGarde Bk BT" w:hAnsi="AvantGarde Bk BT" w:cs="Arial"/>
          <w:color w:val="000000" w:themeColor="text1"/>
          <w:sz w:val="24"/>
          <w:szCs w:val="24"/>
        </w:rPr>
        <w:lastRenderedPageBreak/>
        <w:t>encaminada a impugnar la veracidad de la información proporcionada, o bien, se trate de una consulta ejerciendo el derecho de petición, ni tampoco amplía el contenido de su solicitud de información.</w:t>
      </w:r>
    </w:p>
    <w:p w14:paraId="79A00A4D" w14:textId="2DFD08BB" w:rsidR="008540CA" w:rsidRDefault="00AE0DBD" w:rsidP="009E2819">
      <w:pPr>
        <w:pStyle w:val="corte4fondo"/>
        <w:tabs>
          <w:tab w:val="left" w:pos="567"/>
        </w:tabs>
        <w:spacing w:after="240"/>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E46F18">
        <w:rPr>
          <w:rFonts w:ascii="AvantGarde Bk BT" w:hAnsi="AvantGarde Bk BT" w:cs="Arial"/>
          <w:b/>
          <w:color w:val="000000" w:themeColor="text1"/>
          <w:sz w:val="24"/>
          <w:szCs w:val="24"/>
        </w:rPr>
        <w:t>QUINTO</w:t>
      </w:r>
      <w:r w:rsidR="00E46F18" w:rsidRPr="007C5605">
        <w:rPr>
          <w:rFonts w:ascii="AvantGarde Bk BT" w:hAnsi="AvantGarde Bk BT" w:cs="Arial"/>
          <w:b/>
          <w:color w:val="000000" w:themeColor="text1"/>
          <w:sz w:val="24"/>
          <w:szCs w:val="24"/>
        </w:rPr>
        <w:t xml:space="preserve">. </w:t>
      </w:r>
      <w:r w:rsidR="00E215D2" w:rsidRPr="0065124E">
        <w:rPr>
          <w:rFonts w:ascii="AvantGarde Bk BT" w:hAnsi="AvantGarde Bk BT" w:cs="Arial"/>
          <w:b/>
          <w:color w:val="000000" w:themeColor="text1"/>
          <w:sz w:val="24"/>
          <w:szCs w:val="24"/>
        </w:rPr>
        <w:t>Estudio de fondo.</w:t>
      </w:r>
      <w:r w:rsidR="00E215D2" w:rsidRPr="0065124E">
        <w:rPr>
          <w:rFonts w:ascii="AvantGarde Bk BT" w:hAnsi="AvantGarde Bk BT" w:cs="Arial"/>
          <w:color w:val="000000" w:themeColor="text1"/>
          <w:sz w:val="24"/>
          <w:szCs w:val="24"/>
        </w:rPr>
        <w:t xml:space="preserve">  </w:t>
      </w:r>
      <w:r w:rsidR="009E2819">
        <w:rPr>
          <w:rFonts w:ascii="AvantGarde Bk BT" w:hAnsi="AvantGarde Bk BT" w:cs="Arial"/>
          <w:color w:val="000000" w:themeColor="text1"/>
          <w:sz w:val="24"/>
          <w:szCs w:val="24"/>
        </w:rPr>
        <w:t>Al no existir causal de improcedencia e</w:t>
      </w:r>
      <w:r w:rsidR="00E215D2" w:rsidRPr="0065124E">
        <w:rPr>
          <w:rFonts w:ascii="AvantGarde Bk BT" w:hAnsi="AvantGarde Bk BT" w:cs="Arial"/>
          <w:color w:val="000000" w:themeColor="text1"/>
          <w:sz w:val="24"/>
          <w:szCs w:val="24"/>
        </w:rPr>
        <w:t>sta Comisión Estatal de Garantía de Acceso a la Información Pública entra al estudio de fondo del presente asunto de conformidad con lo siguiente:</w:t>
      </w:r>
    </w:p>
    <w:p w14:paraId="5D8C20AE" w14:textId="701B332C" w:rsidR="000D589A" w:rsidRDefault="002239D8" w:rsidP="00D03A49">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el caso que nos ocupa, </w:t>
      </w:r>
      <w:r w:rsidRPr="00B13278">
        <w:rPr>
          <w:rFonts w:ascii="AvantGarde Bk BT" w:hAnsi="AvantGarde Bk BT" w:cs="Arial"/>
          <w:color w:val="000000" w:themeColor="text1"/>
          <w:sz w:val="24"/>
          <w:szCs w:val="24"/>
        </w:rPr>
        <w:t>la persona</w:t>
      </w:r>
      <w:r w:rsidR="002947D7" w:rsidRPr="00B13278">
        <w:rPr>
          <w:rFonts w:ascii="AvantGarde Bk BT" w:hAnsi="AvantGarde Bk BT" w:cs="Arial"/>
          <w:color w:val="000000" w:themeColor="text1"/>
          <w:sz w:val="24"/>
          <w:szCs w:val="24"/>
        </w:rPr>
        <w:t xml:space="preserve"> hoy recurrente </w:t>
      </w:r>
      <w:r w:rsidR="00CC2CB7">
        <w:rPr>
          <w:rFonts w:ascii="AvantGarde Bk BT" w:hAnsi="AvantGarde Bk BT" w:cs="Arial"/>
          <w:color w:val="000000" w:themeColor="text1"/>
          <w:sz w:val="24"/>
          <w:szCs w:val="24"/>
        </w:rPr>
        <w:t>presentó</w:t>
      </w:r>
      <w:r w:rsidR="002947D7" w:rsidRPr="00B13278">
        <w:rPr>
          <w:rFonts w:ascii="AvantGarde Bk BT" w:hAnsi="AvantGarde Bk BT" w:cs="Arial"/>
          <w:color w:val="000000" w:themeColor="text1"/>
          <w:sz w:val="24"/>
          <w:szCs w:val="24"/>
        </w:rPr>
        <w:t xml:space="preserve"> su solicitud de información </w:t>
      </w:r>
      <w:r w:rsidR="00130BAE" w:rsidRPr="00B13278">
        <w:rPr>
          <w:rFonts w:ascii="AvantGarde Bk BT" w:hAnsi="AvantGarde Bk BT" w:cs="Arial"/>
          <w:color w:val="000000" w:themeColor="text1"/>
          <w:sz w:val="24"/>
          <w:szCs w:val="24"/>
        </w:rPr>
        <w:t xml:space="preserve">a través de </w:t>
      </w:r>
      <w:r w:rsidRPr="00B13278">
        <w:rPr>
          <w:rFonts w:ascii="AvantGarde Bk BT" w:hAnsi="AvantGarde Bk BT" w:cs="Arial"/>
          <w:color w:val="000000" w:themeColor="text1"/>
          <w:sz w:val="24"/>
          <w:szCs w:val="24"/>
        </w:rPr>
        <w:t xml:space="preserve">la </w:t>
      </w:r>
      <w:r w:rsidR="00CC2CB7">
        <w:rPr>
          <w:rFonts w:ascii="AvantGarde Bk BT" w:hAnsi="AvantGarde Bk BT" w:cs="Arial"/>
          <w:color w:val="000000" w:themeColor="text1"/>
          <w:sz w:val="24"/>
          <w:szCs w:val="24"/>
        </w:rPr>
        <w:t>Unidad</w:t>
      </w:r>
      <w:r w:rsidRPr="00B13278">
        <w:rPr>
          <w:rFonts w:ascii="AvantGarde Bk BT" w:hAnsi="AvantGarde Bk BT" w:cs="Arial"/>
          <w:color w:val="000000" w:themeColor="text1"/>
          <w:sz w:val="24"/>
          <w:szCs w:val="24"/>
        </w:rPr>
        <w:t xml:space="preserve"> de Transparencia</w:t>
      </w:r>
      <w:r w:rsidR="00130BAE" w:rsidRPr="00B13278">
        <w:rPr>
          <w:rFonts w:ascii="AvantGarde Bk BT" w:hAnsi="AvantGarde Bk BT" w:cs="Arial"/>
          <w:color w:val="000000" w:themeColor="text1"/>
          <w:sz w:val="24"/>
          <w:szCs w:val="24"/>
        </w:rPr>
        <w:t xml:space="preserve"> y quedó registrada con número de folio </w:t>
      </w:r>
      <w:r w:rsidR="00CC2CB7" w:rsidRPr="00CC2CB7">
        <w:rPr>
          <w:rFonts w:ascii="AvantGarde Bk BT" w:hAnsi="AvantGarde Bk BT" w:cs="Arial"/>
          <w:color w:val="000000" w:themeColor="text1"/>
          <w:sz w:val="24"/>
          <w:szCs w:val="24"/>
        </w:rPr>
        <w:t>317/0167/2026</w:t>
      </w:r>
      <w:r w:rsidR="00EC2ED6" w:rsidRPr="00B13278">
        <w:rPr>
          <w:rFonts w:ascii="AvantGarde Bk BT" w:hAnsi="AvantGarde Bk BT" w:cs="Arial"/>
          <w:color w:val="000000" w:themeColor="text1"/>
          <w:sz w:val="24"/>
          <w:szCs w:val="24"/>
        </w:rPr>
        <w:t xml:space="preserve">, </w:t>
      </w:r>
      <w:r w:rsidR="00777275" w:rsidRPr="00B13278">
        <w:rPr>
          <w:rFonts w:ascii="AvantGarde Bk BT" w:hAnsi="AvantGarde Bk BT" w:cs="Arial"/>
          <w:color w:val="000000" w:themeColor="text1"/>
          <w:sz w:val="24"/>
          <w:szCs w:val="24"/>
        </w:rPr>
        <w:t xml:space="preserve">mediante </w:t>
      </w:r>
      <w:r w:rsidR="00E06F25" w:rsidRPr="00B13278">
        <w:rPr>
          <w:rFonts w:ascii="AvantGarde Bk BT" w:hAnsi="AvantGarde Bk BT" w:cs="Arial"/>
          <w:color w:val="000000" w:themeColor="text1"/>
          <w:sz w:val="24"/>
          <w:szCs w:val="24"/>
        </w:rPr>
        <w:t>l</w:t>
      </w:r>
      <w:r w:rsidR="00777275" w:rsidRPr="00B13278">
        <w:rPr>
          <w:rFonts w:ascii="AvantGarde Bk BT" w:hAnsi="AvantGarde Bk BT" w:cs="Arial"/>
          <w:color w:val="000000" w:themeColor="text1"/>
          <w:sz w:val="24"/>
          <w:szCs w:val="24"/>
        </w:rPr>
        <w:t>a</w:t>
      </w:r>
      <w:r w:rsidR="002947D7" w:rsidRPr="00B13278">
        <w:rPr>
          <w:rFonts w:ascii="AvantGarde Bk BT" w:hAnsi="AvantGarde Bk BT" w:cs="Arial"/>
          <w:color w:val="000000" w:themeColor="text1"/>
          <w:sz w:val="24"/>
          <w:szCs w:val="24"/>
        </w:rPr>
        <w:t xml:space="preserve"> cual solicitó</w:t>
      </w:r>
      <w:r w:rsidR="00657AAF" w:rsidRPr="00B13278">
        <w:rPr>
          <w:rFonts w:ascii="AvantGarde Bk BT" w:hAnsi="AvantGarde Bk BT" w:cs="Arial"/>
          <w:color w:val="000000" w:themeColor="text1"/>
          <w:sz w:val="24"/>
          <w:szCs w:val="24"/>
        </w:rPr>
        <w:t xml:space="preserve"> </w:t>
      </w:r>
      <w:r w:rsidR="00777275" w:rsidRPr="00B13278">
        <w:rPr>
          <w:rFonts w:ascii="AvantGarde Bk BT" w:hAnsi="AvantGarde Bk BT" w:cs="Arial"/>
          <w:color w:val="000000" w:themeColor="text1"/>
          <w:sz w:val="24"/>
          <w:szCs w:val="24"/>
        </w:rPr>
        <w:t>lo siguiente</w:t>
      </w:r>
      <w:r w:rsidR="002947D7" w:rsidRPr="00B13278">
        <w:rPr>
          <w:rFonts w:ascii="AvantGarde Bk BT" w:hAnsi="AvantGarde Bk BT" w:cs="Arial"/>
          <w:color w:val="000000" w:themeColor="text1"/>
          <w:sz w:val="24"/>
          <w:szCs w:val="24"/>
        </w:rPr>
        <w:t>:</w:t>
      </w:r>
    </w:p>
    <w:p w14:paraId="3122899D" w14:textId="77777777" w:rsidR="00480D8D" w:rsidRPr="00480D8D" w:rsidRDefault="00FC2715" w:rsidP="00480D8D">
      <w:pPr>
        <w:tabs>
          <w:tab w:val="left" w:pos="567"/>
        </w:tabs>
        <w:spacing w:after="0"/>
        <w:ind w:left="680" w:right="680"/>
        <w:jc w:val="both"/>
        <w:rPr>
          <w:rFonts w:ascii="AvantGarde Bk BT" w:hAnsi="AvantGarde Bk BT" w:cs="Arial"/>
          <w:i/>
          <w:color w:val="000000" w:themeColor="text1"/>
          <w:lang w:val="es-ES"/>
        </w:rPr>
      </w:pPr>
      <w:r w:rsidRPr="007D707E">
        <w:rPr>
          <w:rFonts w:ascii="AvantGarde Bk BT" w:eastAsia="Times New Roman" w:hAnsi="AvantGarde Bk BT" w:cs="Arial"/>
          <w:color w:val="000000" w:themeColor="text1"/>
          <w:sz w:val="24"/>
          <w:szCs w:val="24"/>
        </w:rPr>
        <w:t>“</w:t>
      </w:r>
      <w:r w:rsidRPr="00672060">
        <w:rPr>
          <w:rFonts w:ascii="Tahoma" w:eastAsia="Times New Roman" w:hAnsi="Tahoma" w:cs="Tahoma"/>
          <w:i/>
          <w:color w:val="000000" w:themeColor="text1"/>
          <w:szCs w:val="24"/>
        </w:rPr>
        <w:t>﻿﻿﻿</w:t>
      </w:r>
      <w:r w:rsidR="00480D8D" w:rsidRPr="00480D8D">
        <w:rPr>
          <w:rFonts w:ascii="AvantGarde Bk BT" w:hAnsi="AvantGarde Bk BT" w:cs="Arial"/>
          <w:i/>
          <w:color w:val="000000" w:themeColor="text1"/>
          <w:lang w:val="es-ES"/>
        </w:rPr>
        <w:t>UNIDAD DE ACCESO A LA INFORMACIÓN PÚBLICA</w:t>
      </w:r>
    </w:p>
    <w:p w14:paraId="15062A5F" w14:textId="77777777" w:rsidR="00480D8D" w:rsidRPr="00480D8D" w:rsidRDefault="00480D8D" w:rsidP="00480D8D">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480D8D">
        <w:rPr>
          <w:rFonts w:ascii="AvantGarde Bk BT" w:eastAsia="Times New Roman" w:hAnsi="AvantGarde Bk BT" w:cs="Arial"/>
          <w:i/>
          <w:color w:val="000000" w:themeColor="text1"/>
          <w:szCs w:val="24"/>
        </w:rPr>
        <w:t>PRESENTE,</w:t>
      </w:r>
    </w:p>
    <w:p w14:paraId="28944C4A" w14:textId="77753143" w:rsidR="00480D8D" w:rsidRPr="00480D8D" w:rsidRDefault="00480D8D" w:rsidP="00480D8D">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480D8D">
        <w:rPr>
          <w:rFonts w:ascii="AvantGarde Bk BT" w:eastAsia="Times New Roman" w:hAnsi="AvantGarde Bk BT" w:cs="Arial"/>
          <w:i/>
          <w:color w:val="000000" w:themeColor="text1"/>
          <w:szCs w:val="24"/>
        </w:rPr>
        <w:t xml:space="preserve">El suscrito, </w:t>
      </w:r>
      <w:r>
        <w:rPr>
          <w:rFonts w:ascii="AvantGarde Bk BT" w:eastAsia="Times New Roman" w:hAnsi="AvantGarde Bk BT" w:cs="Arial"/>
          <w:i/>
          <w:color w:val="000000" w:themeColor="text1"/>
          <w:szCs w:val="24"/>
        </w:rPr>
        <w:t>[…]</w:t>
      </w:r>
      <w:r w:rsidRPr="00480D8D">
        <w:rPr>
          <w:rFonts w:ascii="AvantGarde Bk BT" w:eastAsia="Times New Roman" w:hAnsi="AvantGarde Bk BT" w:cs="Arial"/>
          <w:i/>
          <w:color w:val="000000" w:themeColor="text1"/>
          <w:szCs w:val="24"/>
        </w:rPr>
        <w:t>; ante usted, con el debido respeto, comparezco y expongo:</w:t>
      </w:r>
    </w:p>
    <w:p w14:paraId="5C3F7B30" w14:textId="77777777" w:rsidR="00480D8D" w:rsidRPr="00480D8D" w:rsidRDefault="00480D8D" w:rsidP="00480D8D">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480D8D">
        <w:rPr>
          <w:rFonts w:ascii="AvantGarde Bk BT" w:eastAsia="Times New Roman" w:hAnsi="AvantGarde Bk BT" w:cs="Arial"/>
          <w:i/>
          <w:color w:val="000000" w:themeColor="text1"/>
          <w:szCs w:val="24"/>
        </w:rPr>
        <w:t>Que solicito a esta unidad de acceso a la información pública, se sirva solicitar al Licenciado Julio Cesar Medina Saavedra, en su calidad de Director de Educación Básica de la Secretaría de Educación del Gobierno del Estado de San Luis Potosí, se sirva a señalar y especificar en relación a su oficio número DEB-1037/2026 de fecha 20 de mayo del 2026, que gira al maestro José Luis Briones Briseño.</w:t>
      </w:r>
    </w:p>
    <w:p w14:paraId="7D48D4B6" w14:textId="46CA9966" w:rsidR="00480D8D" w:rsidRPr="00480D8D" w:rsidRDefault="00480D8D" w:rsidP="00480D8D">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480D8D">
        <w:rPr>
          <w:rFonts w:ascii="AvantGarde Bk BT" w:eastAsia="Times New Roman" w:hAnsi="AvantGarde Bk BT" w:cs="Arial"/>
          <w:i/>
          <w:color w:val="000000" w:themeColor="text1"/>
          <w:szCs w:val="24"/>
        </w:rPr>
        <w:t>En relación, a lo que señala "EN ESTRICTO CUMPLIMIENTO AL TERCER PUNTO CONCILIATORIO DE LA MENCIONADA PROPUESTA". Su dirección de Educación Básica solicita en el ámbito de sus atribuciones para que se diseñe, imparta y evalúen cursos de capacitación dirigidos a todo el personal adscrito, a la zona escolar 127 de primarias. Solicito al Director de Educación Básica, informe si existe dicha propuesta y se otorgar copia de la misma. Asimismo, en caso de que considere que existen datos protegidos, elabore versión</w:t>
      </w:r>
      <w:r>
        <w:rPr>
          <w:rFonts w:ascii="AvantGarde Bk BT" w:eastAsia="Times New Roman" w:hAnsi="AvantGarde Bk BT" w:cs="Arial"/>
          <w:i/>
          <w:color w:val="000000" w:themeColor="text1"/>
          <w:szCs w:val="24"/>
        </w:rPr>
        <w:t xml:space="preserve"> </w:t>
      </w:r>
      <w:r w:rsidRPr="00480D8D">
        <w:rPr>
          <w:rFonts w:ascii="AvantGarde Bk BT" w:eastAsia="Times New Roman" w:hAnsi="AvantGarde Bk BT" w:cs="Arial"/>
          <w:i/>
          <w:color w:val="000000" w:themeColor="text1"/>
          <w:szCs w:val="24"/>
        </w:rPr>
        <w:t>publica y se me brinde la misma.</w:t>
      </w:r>
    </w:p>
    <w:p w14:paraId="3E6FC48A" w14:textId="4CF62438" w:rsidR="00480D8D" w:rsidRPr="00480D8D" w:rsidRDefault="00480D8D" w:rsidP="00480D8D">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480D8D">
        <w:rPr>
          <w:rFonts w:ascii="AvantGarde Bk BT" w:eastAsia="Times New Roman" w:hAnsi="AvantGarde Bk BT" w:cs="Arial"/>
          <w:i/>
          <w:color w:val="000000" w:themeColor="text1"/>
          <w:szCs w:val="24"/>
        </w:rPr>
        <w:t>Agradezco de antemano, con fundamento en el artículo 8 y Leyes reglamentarias de</w:t>
      </w:r>
      <w:r>
        <w:rPr>
          <w:rFonts w:ascii="AvantGarde Bk BT" w:eastAsia="Times New Roman" w:hAnsi="AvantGarde Bk BT" w:cs="Arial"/>
          <w:i/>
          <w:color w:val="000000" w:themeColor="text1"/>
          <w:szCs w:val="24"/>
        </w:rPr>
        <w:t xml:space="preserve"> </w:t>
      </w:r>
      <w:r w:rsidRPr="00480D8D">
        <w:rPr>
          <w:rFonts w:ascii="AvantGarde Bk BT" w:eastAsia="Times New Roman" w:hAnsi="AvantGarde Bk BT" w:cs="Arial"/>
          <w:i/>
          <w:color w:val="000000" w:themeColor="text1"/>
          <w:szCs w:val="24"/>
        </w:rPr>
        <w:t xml:space="preserve">la Información </w:t>
      </w:r>
      <w:proofErr w:type="spellStart"/>
      <w:r w:rsidRPr="00480D8D">
        <w:rPr>
          <w:rFonts w:ascii="AvantGarde Bk BT" w:eastAsia="Times New Roman" w:hAnsi="AvantGarde Bk BT" w:cs="Arial"/>
          <w:i/>
          <w:color w:val="000000" w:themeColor="text1"/>
          <w:szCs w:val="24"/>
        </w:rPr>
        <w:t>Publica</w:t>
      </w:r>
      <w:proofErr w:type="spellEnd"/>
      <w:r w:rsidRPr="00480D8D">
        <w:rPr>
          <w:rFonts w:ascii="AvantGarde Bk BT" w:eastAsia="Times New Roman" w:hAnsi="AvantGarde Bk BT" w:cs="Arial"/>
          <w:i/>
          <w:color w:val="000000" w:themeColor="text1"/>
          <w:szCs w:val="24"/>
        </w:rPr>
        <w:t>, solicito:</w:t>
      </w:r>
    </w:p>
    <w:p w14:paraId="60D3AFFB" w14:textId="317581A6" w:rsidR="00480D8D" w:rsidRPr="00480D8D" w:rsidRDefault="00480D8D" w:rsidP="00480D8D">
      <w:pPr>
        <w:tabs>
          <w:tab w:val="left" w:pos="567"/>
        </w:tabs>
        <w:spacing w:after="0" w:line="240" w:lineRule="auto"/>
        <w:ind w:left="680" w:right="680"/>
        <w:jc w:val="both"/>
        <w:rPr>
          <w:rFonts w:ascii="AvantGarde Bk BT" w:eastAsia="Times New Roman" w:hAnsi="AvantGarde Bk BT" w:cs="Arial"/>
          <w:i/>
          <w:color w:val="000000" w:themeColor="text1"/>
          <w:szCs w:val="24"/>
        </w:rPr>
      </w:pPr>
      <w:r>
        <w:rPr>
          <w:rFonts w:ascii="AvantGarde Bk BT" w:eastAsia="Times New Roman" w:hAnsi="AvantGarde Bk BT" w:cs="Arial"/>
          <w:i/>
          <w:color w:val="000000" w:themeColor="text1"/>
          <w:szCs w:val="24"/>
        </w:rPr>
        <w:t>Ú</w:t>
      </w:r>
      <w:r w:rsidRPr="00480D8D">
        <w:rPr>
          <w:rFonts w:ascii="AvantGarde Bk BT" w:eastAsia="Times New Roman" w:hAnsi="AvantGarde Bk BT" w:cs="Arial"/>
          <w:i/>
          <w:color w:val="000000" w:themeColor="text1"/>
          <w:szCs w:val="24"/>
        </w:rPr>
        <w:t xml:space="preserve">NICO. - Me tenga por presentando esta solicitud de información, se requiera al ente </w:t>
      </w:r>
      <w:proofErr w:type="spellStart"/>
      <w:r w:rsidRPr="00480D8D">
        <w:rPr>
          <w:rFonts w:ascii="AvantGarde Bk BT" w:eastAsia="Times New Roman" w:hAnsi="AvantGarde Bk BT" w:cs="Arial"/>
          <w:i/>
          <w:color w:val="000000" w:themeColor="text1"/>
          <w:szCs w:val="24"/>
        </w:rPr>
        <w:t>publico</w:t>
      </w:r>
      <w:proofErr w:type="spellEnd"/>
      <w:r w:rsidRPr="00480D8D">
        <w:rPr>
          <w:rFonts w:ascii="AvantGarde Bk BT" w:eastAsia="Times New Roman" w:hAnsi="AvantGarde Bk BT" w:cs="Arial"/>
          <w:i/>
          <w:color w:val="000000" w:themeColor="text1"/>
          <w:szCs w:val="24"/>
        </w:rPr>
        <w:t xml:space="preserve"> por la misma, autorizo al C. LIC. FERNANDO EMILIANO AZUARA GONZALEZ, para que reciba la respuesta.</w:t>
      </w:r>
    </w:p>
    <w:p w14:paraId="341325D2" w14:textId="77777777" w:rsidR="00480D8D" w:rsidRPr="00480D8D" w:rsidRDefault="00480D8D" w:rsidP="00480D8D">
      <w:pPr>
        <w:tabs>
          <w:tab w:val="left" w:pos="567"/>
        </w:tabs>
        <w:spacing w:after="0" w:line="240" w:lineRule="auto"/>
        <w:ind w:left="680" w:right="680"/>
        <w:jc w:val="both"/>
        <w:rPr>
          <w:rFonts w:ascii="AvantGarde Bk BT" w:eastAsia="Times New Roman" w:hAnsi="AvantGarde Bk BT" w:cs="Arial"/>
          <w:i/>
          <w:color w:val="000000" w:themeColor="text1"/>
          <w:szCs w:val="24"/>
        </w:rPr>
      </w:pPr>
      <w:r w:rsidRPr="00480D8D">
        <w:rPr>
          <w:rFonts w:ascii="AvantGarde Bk BT" w:eastAsia="Times New Roman" w:hAnsi="AvantGarde Bk BT" w:cs="Arial"/>
          <w:i/>
          <w:color w:val="000000" w:themeColor="text1"/>
          <w:szCs w:val="24"/>
        </w:rPr>
        <w:t>Quedo de Usted,</w:t>
      </w:r>
    </w:p>
    <w:p w14:paraId="6B4A4DC6" w14:textId="1EA81D23" w:rsidR="00FC2715" w:rsidRPr="00480D8D" w:rsidRDefault="00480D8D" w:rsidP="00480D8D">
      <w:pPr>
        <w:tabs>
          <w:tab w:val="left" w:pos="567"/>
        </w:tabs>
        <w:spacing w:line="240" w:lineRule="auto"/>
        <w:ind w:left="680" w:right="680"/>
        <w:jc w:val="both"/>
        <w:rPr>
          <w:rFonts w:ascii="AvantGarde Bk BT" w:eastAsia="Times New Roman" w:hAnsi="AvantGarde Bk BT" w:cs="Arial"/>
          <w:i/>
          <w:color w:val="000000" w:themeColor="text1"/>
          <w:szCs w:val="24"/>
        </w:rPr>
      </w:pPr>
      <w:r>
        <w:rPr>
          <w:rFonts w:ascii="AvantGarde Bk BT" w:eastAsia="Times New Roman" w:hAnsi="AvantGarde Bk BT" w:cs="Arial"/>
          <w:i/>
          <w:color w:val="000000" w:themeColor="text1"/>
          <w:szCs w:val="24"/>
        </w:rPr>
        <w:t>ABOGADO JUAN MANUEL VARA LUGO</w:t>
      </w:r>
      <w:r w:rsidR="00547C58" w:rsidRPr="00547C58">
        <w:rPr>
          <w:rFonts w:ascii="AvantGarde Bk BT" w:eastAsia="Times New Roman" w:hAnsi="AvantGarde Bk BT" w:cs="Arial"/>
          <w:i/>
          <w:color w:val="000000" w:themeColor="text1"/>
          <w:szCs w:val="24"/>
        </w:rPr>
        <w:t>.</w:t>
      </w:r>
      <w:r w:rsidR="00FC2715" w:rsidRPr="007D707E">
        <w:rPr>
          <w:rFonts w:ascii="AvantGarde Bk BT" w:eastAsia="Times New Roman" w:hAnsi="AvantGarde Bk BT" w:cs="Arial"/>
          <w:color w:val="000000" w:themeColor="text1"/>
          <w:sz w:val="24"/>
          <w:szCs w:val="24"/>
        </w:rPr>
        <w:t>” SIC.</w:t>
      </w:r>
      <w:r w:rsidR="00FC2715">
        <w:rPr>
          <w:rFonts w:ascii="AvantGarde Bk BT" w:eastAsia="Times New Roman" w:hAnsi="AvantGarde Bk BT" w:cs="Arial"/>
          <w:i/>
          <w:color w:val="000000" w:themeColor="text1"/>
          <w:sz w:val="24"/>
          <w:szCs w:val="24"/>
        </w:rPr>
        <w:t xml:space="preserve"> </w:t>
      </w:r>
      <w:r>
        <w:rPr>
          <w:rFonts w:ascii="AvantGarde Bk BT" w:eastAsia="Times New Roman" w:hAnsi="AvantGarde Bk BT" w:cs="Arial"/>
          <w:color w:val="000000" w:themeColor="text1"/>
          <w:sz w:val="24"/>
          <w:szCs w:val="24"/>
        </w:rPr>
        <w:t>(Visible a foja 3</w:t>
      </w:r>
      <w:r w:rsidR="00857C56">
        <w:rPr>
          <w:rFonts w:ascii="AvantGarde Bk BT" w:eastAsia="Times New Roman" w:hAnsi="AvantGarde Bk BT" w:cs="Arial"/>
          <w:color w:val="000000" w:themeColor="text1"/>
          <w:sz w:val="24"/>
          <w:szCs w:val="24"/>
        </w:rPr>
        <w:t>7</w:t>
      </w:r>
      <w:r w:rsidR="00FC2715" w:rsidRPr="007C0FB6">
        <w:rPr>
          <w:rFonts w:ascii="AvantGarde Bk BT" w:eastAsia="Times New Roman" w:hAnsi="AvantGarde Bk BT" w:cs="Arial"/>
          <w:color w:val="000000" w:themeColor="text1"/>
          <w:sz w:val="24"/>
          <w:szCs w:val="24"/>
        </w:rPr>
        <w:t xml:space="preserve"> de autos).</w:t>
      </w:r>
    </w:p>
    <w:p w14:paraId="10167955" w14:textId="77777777" w:rsidR="00857C56" w:rsidRDefault="00857C56" w:rsidP="00857C56">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Por otro lado, consta en autos que el sujeto obligado, por conducto de la Unidad de Transparencia, respondió la solicitud de información en los siguientes términos:</w:t>
      </w:r>
    </w:p>
    <w:p w14:paraId="66DEA54D" w14:textId="66F01EBA" w:rsidR="00B01A0F" w:rsidRPr="00B01A0F" w:rsidRDefault="00857C56" w:rsidP="00B01A0F">
      <w:pPr>
        <w:pStyle w:val="corte4fondo"/>
        <w:tabs>
          <w:tab w:val="left" w:pos="567"/>
        </w:tabs>
        <w:spacing w:line="240" w:lineRule="auto"/>
        <w:ind w:left="680" w:right="680" w:firstLine="0"/>
        <w:rPr>
          <w:rFonts w:ascii="AvantGarde Bk BT" w:hAnsi="AvantGarde Bk BT" w:cs="Arial"/>
          <w:i/>
          <w:color w:val="000000" w:themeColor="text1"/>
          <w:sz w:val="22"/>
          <w:szCs w:val="24"/>
        </w:rPr>
      </w:pPr>
      <w:r>
        <w:rPr>
          <w:rFonts w:ascii="AvantGarde Bk BT" w:hAnsi="AvantGarde Bk BT" w:cs="Arial"/>
          <w:color w:val="000000" w:themeColor="text1"/>
          <w:sz w:val="24"/>
          <w:szCs w:val="24"/>
        </w:rPr>
        <w:t>“</w:t>
      </w:r>
      <w:r w:rsidR="00B01A0F">
        <w:rPr>
          <w:rFonts w:ascii="AvantGarde Bk BT" w:hAnsi="AvantGarde Bk BT" w:cs="Arial"/>
          <w:i/>
          <w:color w:val="000000" w:themeColor="text1"/>
          <w:sz w:val="22"/>
          <w:szCs w:val="24"/>
        </w:rPr>
        <w:t>C. Solicitante</w:t>
      </w:r>
    </w:p>
    <w:p w14:paraId="53FE0E4E" w14:textId="4C047871" w:rsidR="00B01A0F" w:rsidRPr="00B01A0F" w:rsidRDefault="00B01A0F" w:rsidP="00B01A0F">
      <w:pPr>
        <w:pStyle w:val="corte4fondo"/>
        <w:tabs>
          <w:tab w:val="left" w:pos="567"/>
        </w:tabs>
        <w:spacing w:line="240" w:lineRule="auto"/>
        <w:ind w:left="680" w:right="680" w:firstLine="0"/>
        <w:rPr>
          <w:rFonts w:ascii="AvantGarde Bk BT" w:hAnsi="AvantGarde Bk BT" w:cs="Arial"/>
          <w:i/>
          <w:color w:val="000000" w:themeColor="text1"/>
          <w:sz w:val="22"/>
          <w:szCs w:val="24"/>
        </w:rPr>
      </w:pPr>
      <w:r>
        <w:rPr>
          <w:rFonts w:ascii="AvantGarde Bk BT" w:hAnsi="AvantGarde Bk BT" w:cs="Arial"/>
          <w:i/>
          <w:color w:val="000000" w:themeColor="text1"/>
          <w:sz w:val="22"/>
          <w:szCs w:val="24"/>
        </w:rPr>
        <w:t>PRESENTE. -</w:t>
      </w:r>
    </w:p>
    <w:p w14:paraId="0F5C4C96" w14:textId="077D8EF9" w:rsidR="00B01A0F" w:rsidRPr="00B01A0F" w:rsidRDefault="00B01A0F" w:rsidP="00B01A0F">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B01A0F">
        <w:rPr>
          <w:rFonts w:ascii="AvantGarde Bk BT" w:hAnsi="AvantGarde Bk BT" w:cs="Arial"/>
          <w:i/>
          <w:color w:val="000000" w:themeColor="text1"/>
          <w:sz w:val="22"/>
          <w:szCs w:val="24"/>
        </w:rPr>
        <w:t>Por medio del presente y en atención a su solicitud de información presentada el día 28 veintiocho de mayo del año en curso, a la que le fue otorgado el número de expediente al rubro señalado, y en la que solicita diversa i</w:t>
      </w:r>
      <w:r>
        <w:rPr>
          <w:rFonts w:ascii="AvantGarde Bk BT" w:hAnsi="AvantGarde Bk BT" w:cs="Arial"/>
          <w:i/>
          <w:color w:val="000000" w:themeColor="text1"/>
          <w:sz w:val="22"/>
          <w:szCs w:val="24"/>
        </w:rPr>
        <w:t>nformación al respecto informo:</w:t>
      </w:r>
    </w:p>
    <w:p w14:paraId="1A6B5C0A" w14:textId="5EDC753C" w:rsidR="00B01A0F" w:rsidRPr="00B01A0F" w:rsidRDefault="00B01A0F" w:rsidP="00B01A0F">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B01A0F">
        <w:rPr>
          <w:rFonts w:ascii="AvantGarde Bk BT" w:hAnsi="AvantGarde Bk BT" w:cs="Arial"/>
          <w:i/>
          <w:color w:val="000000" w:themeColor="text1"/>
          <w:sz w:val="22"/>
          <w:szCs w:val="24"/>
        </w:rPr>
        <w:lastRenderedPageBreak/>
        <w:t xml:space="preserve">Por medio del presente, me permito comunicarle a usted que en fecha 08 ocho de junio del 2026 dos mil veintiséis, se llevó a cabo la 15ª décimo quinta extraordinaria del Comité de Transparencia de esta Secretaría de Educación de Gobierno del Estado, a través del cual se determinó RESERVAR la información correspondiente al expediente 1VQU-0249/2025 substanciado ante la Comisión Estatal de Derechos Humanos, y solicitada por el Mtro. Luis Francisco Contreras </w:t>
      </w:r>
      <w:proofErr w:type="spellStart"/>
      <w:r w:rsidRPr="00B01A0F">
        <w:rPr>
          <w:rFonts w:ascii="AvantGarde Bk BT" w:hAnsi="AvantGarde Bk BT" w:cs="Arial"/>
          <w:i/>
          <w:color w:val="000000" w:themeColor="text1"/>
          <w:sz w:val="22"/>
          <w:szCs w:val="24"/>
        </w:rPr>
        <w:t>Turrubiartes</w:t>
      </w:r>
      <w:proofErr w:type="spellEnd"/>
      <w:r w:rsidRPr="00B01A0F">
        <w:rPr>
          <w:rFonts w:ascii="AvantGarde Bk BT" w:hAnsi="AvantGarde Bk BT" w:cs="Arial"/>
          <w:i/>
          <w:color w:val="000000" w:themeColor="text1"/>
          <w:sz w:val="22"/>
          <w:szCs w:val="24"/>
        </w:rPr>
        <w:t xml:space="preserve">, Titular de la Unidad de Asuntos Jurídicos y Derechos Humanos de esta Secretaría de Educación de Gobierno del Estado; de conformidad con el artículo 154 párrafo segundo de la Ley de Transparencia y Acceso a la </w:t>
      </w:r>
      <w:r>
        <w:rPr>
          <w:rFonts w:ascii="AvantGarde Bk BT" w:hAnsi="AvantGarde Bk BT" w:cs="Arial"/>
          <w:i/>
          <w:color w:val="000000" w:themeColor="text1"/>
          <w:sz w:val="22"/>
          <w:szCs w:val="24"/>
        </w:rPr>
        <w:t>Información Pública del Estado.</w:t>
      </w:r>
    </w:p>
    <w:p w14:paraId="54754907" w14:textId="425CEA9D" w:rsidR="00B01A0F" w:rsidRPr="00B01A0F" w:rsidRDefault="00B01A0F" w:rsidP="00B01A0F">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B01A0F">
        <w:rPr>
          <w:rFonts w:ascii="AvantGarde Bk BT" w:hAnsi="AvantGarde Bk BT" w:cs="Arial"/>
          <w:i/>
          <w:color w:val="000000" w:themeColor="text1"/>
          <w:sz w:val="22"/>
          <w:szCs w:val="24"/>
        </w:rPr>
        <w:t>Se adjunta a la presente un tanto en original del Acuerdo de Reserva número 18/</w:t>
      </w:r>
      <w:r>
        <w:rPr>
          <w:rFonts w:ascii="AvantGarde Bk BT" w:hAnsi="AvantGarde Bk BT" w:cs="Arial"/>
          <w:i/>
          <w:color w:val="000000" w:themeColor="text1"/>
          <w:sz w:val="22"/>
          <w:szCs w:val="24"/>
        </w:rPr>
        <w:t xml:space="preserve">2026, así como del Acta emitida </w:t>
      </w:r>
      <w:r w:rsidRPr="00B01A0F">
        <w:rPr>
          <w:rFonts w:ascii="AvantGarde Bk BT" w:hAnsi="AvantGarde Bk BT" w:cs="Arial"/>
          <w:i/>
          <w:color w:val="000000" w:themeColor="text1"/>
          <w:sz w:val="22"/>
          <w:szCs w:val="24"/>
        </w:rPr>
        <w:t>por el Comité de Transparencia, en fecha 08 de jun</w:t>
      </w:r>
      <w:r>
        <w:rPr>
          <w:rFonts w:ascii="AvantGarde Bk BT" w:hAnsi="AvantGarde Bk BT" w:cs="Arial"/>
          <w:i/>
          <w:color w:val="000000" w:themeColor="text1"/>
          <w:sz w:val="22"/>
          <w:szCs w:val="24"/>
        </w:rPr>
        <w:t>io del 2026 dos mil veintiséis.</w:t>
      </w:r>
    </w:p>
    <w:p w14:paraId="5D97DCA7" w14:textId="2668EB4D" w:rsidR="00B01A0F" w:rsidRPr="00B01A0F" w:rsidRDefault="00B01A0F" w:rsidP="00B01A0F">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B01A0F">
        <w:rPr>
          <w:rFonts w:ascii="AvantGarde Bk BT" w:hAnsi="AvantGarde Bk BT" w:cs="Arial"/>
          <w:i/>
          <w:color w:val="000000" w:themeColor="text1"/>
          <w:sz w:val="22"/>
          <w:szCs w:val="24"/>
        </w:rPr>
        <w:t xml:space="preserve">Sin más </w:t>
      </w:r>
      <w:r>
        <w:rPr>
          <w:rFonts w:ascii="AvantGarde Bk BT" w:hAnsi="AvantGarde Bk BT" w:cs="Arial"/>
          <w:i/>
          <w:color w:val="000000" w:themeColor="text1"/>
          <w:sz w:val="22"/>
          <w:szCs w:val="24"/>
        </w:rPr>
        <w:t>por el momento, quedo de usted.</w:t>
      </w:r>
    </w:p>
    <w:p w14:paraId="54ADAA31" w14:textId="693D9B4B" w:rsidR="00B01A0F" w:rsidRPr="00B01A0F" w:rsidRDefault="00B01A0F" w:rsidP="00B01A0F">
      <w:pPr>
        <w:pStyle w:val="corte4fondo"/>
        <w:tabs>
          <w:tab w:val="left" w:pos="567"/>
        </w:tabs>
        <w:spacing w:line="240" w:lineRule="auto"/>
        <w:ind w:left="680" w:right="680" w:firstLine="0"/>
        <w:rPr>
          <w:rFonts w:ascii="AvantGarde Bk BT" w:hAnsi="AvantGarde Bk BT" w:cs="Arial"/>
          <w:i/>
          <w:color w:val="000000" w:themeColor="text1"/>
          <w:sz w:val="22"/>
          <w:szCs w:val="24"/>
        </w:rPr>
      </w:pPr>
      <w:r>
        <w:rPr>
          <w:rFonts w:ascii="AvantGarde Bk BT" w:hAnsi="AvantGarde Bk BT" w:cs="Arial"/>
          <w:i/>
          <w:color w:val="000000" w:themeColor="text1"/>
          <w:sz w:val="22"/>
          <w:szCs w:val="24"/>
        </w:rPr>
        <w:t>ATENTAMENTE</w:t>
      </w:r>
    </w:p>
    <w:p w14:paraId="79F9A81C" w14:textId="597EAD4D" w:rsidR="00B01A0F" w:rsidRPr="00B01A0F" w:rsidRDefault="00B01A0F" w:rsidP="00B01A0F">
      <w:pPr>
        <w:pStyle w:val="corte4fondo"/>
        <w:tabs>
          <w:tab w:val="left" w:pos="567"/>
        </w:tabs>
        <w:spacing w:line="240" w:lineRule="auto"/>
        <w:ind w:left="680" w:right="680" w:firstLine="0"/>
        <w:rPr>
          <w:rFonts w:ascii="AvantGarde Bk BT" w:hAnsi="AvantGarde Bk BT" w:cs="Arial"/>
          <w:i/>
          <w:color w:val="000000" w:themeColor="text1"/>
          <w:sz w:val="22"/>
          <w:szCs w:val="24"/>
        </w:rPr>
      </w:pPr>
      <w:r>
        <w:rPr>
          <w:rFonts w:ascii="AvantGarde Bk BT" w:hAnsi="AvantGarde Bk BT" w:cs="Arial"/>
          <w:i/>
          <w:color w:val="000000" w:themeColor="text1"/>
          <w:sz w:val="22"/>
          <w:szCs w:val="24"/>
        </w:rPr>
        <w:t>LIC. JULIO ALBERTO VIERA SOLIS</w:t>
      </w:r>
    </w:p>
    <w:p w14:paraId="08910210" w14:textId="5ADAAB52" w:rsidR="00857C56" w:rsidRPr="00B01A0F" w:rsidRDefault="00B01A0F" w:rsidP="00B01A0F">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B01A0F">
        <w:rPr>
          <w:rFonts w:ascii="AvantGarde Bk BT" w:hAnsi="AvantGarde Bk BT" w:cs="Arial"/>
          <w:i/>
          <w:color w:val="000000" w:themeColor="text1"/>
          <w:sz w:val="22"/>
          <w:szCs w:val="24"/>
        </w:rPr>
        <w:t xml:space="preserve">ENCARGADO DE DESPACHO DE </w:t>
      </w:r>
      <w:r>
        <w:rPr>
          <w:rFonts w:ascii="AvantGarde Bk BT" w:hAnsi="AvantGarde Bk BT" w:cs="Arial"/>
          <w:i/>
          <w:color w:val="000000" w:themeColor="text1"/>
          <w:sz w:val="22"/>
          <w:szCs w:val="24"/>
        </w:rPr>
        <w:t>LA UNIDAD DE TRANSPARENCIA</w:t>
      </w:r>
      <w:r w:rsidR="00857C56" w:rsidRPr="00487E4E">
        <w:rPr>
          <w:rFonts w:ascii="AvantGarde Bk BT" w:hAnsi="AvantGarde Bk BT" w:cs="Arial"/>
          <w:color w:val="000000" w:themeColor="text1"/>
          <w:sz w:val="22"/>
          <w:szCs w:val="24"/>
        </w:rPr>
        <w:t>.</w:t>
      </w:r>
      <w:r w:rsidR="00857C56">
        <w:rPr>
          <w:rFonts w:ascii="AvantGarde Bk BT" w:hAnsi="AvantGarde Bk BT" w:cs="Arial"/>
          <w:color w:val="000000" w:themeColor="text1"/>
          <w:sz w:val="24"/>
          <w:szCs w:val="24"/>
        </w:rPr>
        <w:t>”</w:t>
      </w:r>
    </w:p>
    <w:p w14:paraId="3E08DFCD" w14:textId="77777777" w:rsidR="00857C56" w:rsidRDefault="00857C56" w:rsidP="00857C56">
      <w:pPr>
        <w:spacing w:before="240" w:line="360" w:lineRule="auto"/>
        <w:ind w:firstLine="709"/>
        <w:jc w:val="both"/>
        <w:rPr>
          <w:rFonts w:ascii="AvantGarde Bk BT" w:hAnsi="AvantGarde Bk BT" w:cs="Arial"/>
          <w:color w:val="000000" w:themeColor="text1"/>
          <w:sz w:val="24"/>
          <w:szCs w:val="24"/>
        </w:rPr>
      </w:pPr>
      <w:r w:rsidRPr="00132E47">
        <w:rPr>
          <w:rFonts w:ascii="AvantGarde Bk BT" w:hAnsi="AvantGarde Bk BT" w:cs="Arial"/>
          <w:color w:val="000000" w:themeColor="text1"/>
          <w:sz w:val="24"/>
          <w:szCs w:val="24"/>
        </w:rPr>
        <w:t xml:space="preserve">Ahora bien, resulta oportuno precisar que no es necesario que esta Comisión transcriba los agravios vertidos por </w:t>
      </w:r>
      <w:r>
        <w:rPr>
          <w:rFonts w:ascii="AvantGarde Bk BT" w:hAnsi="AvantGarde Bk BT" w:cs="Arial"/>
          <w:color w:val="000000" w:themeColor="text1"/>
          <w:sz w:val="24"/>
          <w:szCs w:val="24"/>
        </w:rPr>
        <w:t>la parte</w:t>
      </w:r>
      <w:r w:rsidRPr="00132E47">
        <w:rPr>
          <w:rFonts w:ascii="AvantGarde Bk BT" w:hAnsi="AvantGarde Bk BT" w:cs="Arial"/>
          <w:color w:val="000000" w:themeColor="text1"/>
          <w:sz w:val="24"/>
          <w:szCs w:val="24"/>
        </w:rPr>
        <w:t xml:space="preserve"> recurrente para efecto de cumplir con los principios de congruencia y exhaustividad en la resolución, toda vez que dichos principios pueden ser satisfechos al establecer los puntos controvertidos dentro del recurso de revisión.</w:t>
      </w:r>
    </w:p>
    <w:p w14:paraId="757E99F4" w14:textId="77777777" w:rsidR="00857C56" w:rsidRDefault="00857C56" w:rsidP="00857C56">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Lo anterior, con fundamento en la siguiente jurisprudencia aplicable por analogía de razón:</w:t>
      </w:r>
    </w:p>
    <w:p w14:paraId="14E527B8" w14:textId="77777777" w:rsidR="00857C56" w:rsidRDefault="00857C56" w:rsidP="00857C56">
      <w:pPr>
        <w:spacing w:line="240" w:lineRule="auto"/>
        <w:ind w:left="680" w:right="680"/>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847F87">
        <w:rPr>
          <w:rFonts w:ascii="AvantGarde Bk BT" w:hAnsi="AvantGarde Bk BT" w:cs="Arial"/>
          <w:b/>
          <w:i/>
          <w:color w:val="000000" w:themeColor="text1"/>
          <w:szCs w:val="24"/>
        </w:rPr>
        <w:t>CONCEPTOS DE VIOLACIÓN O AGRAVIOS. PARA CUMPLIR CON LOS PRINCIPIOS DE CONGRUENCIA Y EXHAUSTIVIDAD EN LAS SENTENCIAS DE AMPARO ES INNECESARIA SU TRANSCRIPCIÓN.-</w:t>
      </w:r>
      <w:r w:rsidRPr="00847F87">
        <w:rPr>
          <w:rFonts w:ascii="AvantGarde Bk BT" w:hAnsi="AvantGarde Bk BT" w:cs="Arial"/>
          <w:i/>
          <w:color w:val="000000" w:themeColor="text1"/>
          <w:szCs w:val="24"/>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847F87">
        <w:rPr>
          <w:rFonts w:ascii="AvantGarde Bk BT" w:hAnsi="AvantGarde Bk BT" w:cs="Arial"/>
          <w:i/>
          <w:color w:val="000000" w:themeColor="text1"/>
          <w:szCs w:val="24"/>
        </w:rPr>
        <w:t>litis</w:t>
      </w:r>
      <w:proofErr w:type="spellEnd"/>
      <w:r w:rsidRPr="00847F87">
        <w:rPr>
          <w:rFonts w:ascii="AvantGarde Bk BT" w:hAnsi="AvantGarde Bk BT" w:cs="Arial"/>
          <w:i/>
          <w:color w:val="000000" w:themeColor="text1"/>
          <w:szCs w:val="24"/>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9D5529">
        <w:rPr>
          <w:rFonts w:ascii="AvantGarde Bk BT" w:hAnsi="AvantGarde Bk BT" w:cs="Arial"/>
          <w:i/>
          <w:color w:val="000000" w:themeColor="text1"/>
          <w:sz w:val="20"/>
          <w:szCs w:val="24"/>
        </w:rPr>
        <w:t>.</w:t>
      </w:r>
      <w:r w:rsidRPr="009D5529">
        <w:rPr>
          <w:rFonts w:ascii="AvantGarde Bk BT" w:hAnsi="AvantGarde Bk BT" w:cs="Arial"/>
          <w:color w:val="000000" w:themeColor="text1"/>
          <w:sz w:val="24"/>
          <w:szCs w:val="24"/>
        </w:rPr>
        <w:t>”</w:t>
      </w:r>
      <w:r>
        <w:rPr>
          <w:rStyle w:val="Refdenotaalpie"/>
          <w:rFonts w:ascii="AvantGarde Bk BT" w:hAnsi="AvantGarde Bk BT" w:cs="Arial"/>
          <w:color w:val="000000" w:themeColor="text1"/>
          <w:sz w:val="24"/>
          <w:szCs w:val="24"/>
        </w:rPr>
        <w:footnoteReference w:id="1"/>
      </w:r>
    </w:p>
    <w:p w14:paraId="36317DE9" w14:textId="0AD0FDF2" w:rsidR="00857C56" w:rsidRPr="00F5588F" w:rsidRDefault="00857C56" w:rsidP="00857C56">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En é</w:t>
      </w:r>
      <w:r w:rsidRPr="00701A15">
        <w:rPr>
          <w:rFonts w:ascii="AvantGarde Bk BT" w:hAnsi="AvantGarde Bk BT" w:cs="Arial"/>
          <w:color w:val="000000" w:themeColor="text1"/>
          <w:sz w:val="24"/>
          <w:szCs w:val="24"/>
        </w:rPr>
        <w:t>ste contexto, el solicitante de la información interpuso este recurso de revisión contra dicha respuesta y</w:t>
      </w:r>
      <w:r>
        <w:rPr>
          <w:rFonts w:ascii="AvantGarde Bk BT" w:hAnsi="AvantGarde Bk BT" w:cs="Arial"/>
          <w:color w:val="000000" w:themeColor="text1"/>
          <w:sz w:val="24"/>
          <w:szCs w:val="24"/>
        </w:rPr>
        <w:t xml:space="preserve"> </w:t>
      </w:r>
      <w:r w:rsidRPr="00B01A0F">
        <w:rPr>
          <w:rFonts w:ascii="AvantGarde Bk BT" w:hAnsi="AvantGarde Bk BT" w:cs="Arial"/>
          <w:b/>
          <w:color w:val="000000" w:themeColor="text1"/>
          <w:sz w:val="24"/>
          <w:szCs w:val="24"/>
        </w:rPr>
        <w:t>señaló como motivos de disenso</w:t>
      </w:r>
      <w:r w:rsidR="00E34DDC" w:rsidRPr="00B01A0F">
        <w:rPr>
          <w:rFonts w:ascii="AvantGarde Bk BT" w:hAnsi="AvantGarde Bk BT" w:cs="Arial"/>
          <w:b/>
          <w:color w:val="000000" w:themeColor="text1"/>
          <w:sz w:val="24"/>
          <w:szCs w:val="24"/>
        </w:rPr>
        <w:t xml:space="preserve"> </w:t>
      </w:r>
      <w:r w:rsidRPr="00B01A0F">
        <w:rPr>
          <w:rFonts w:ascii="AvantGarde Bk BT" w:hAnsi="AvantGarde Bk BT" w:cs="Arial"/>
          <w:b/>
          <w:color w:val="000000" w:themeColor="text1"/>
          <w:sz w:val="24"/>
          <w:szCs w:val="24"/>
        </w:rPr>
        <w:t xml:space="preserve">la </w:t>
      </w:r>
      <w:r w:rsidR="00B01A0F" w:rsidRPr="00B01A0F">
        <w:rPr>
          <w:rFonts w:ascii="AvantGarde Bk BT" w:hAnsi="AvantGarde Bk BT" w:cs="Arial"/>
          <w:b/>
          <w:color w:val="000000" w:themeColor="text1"/>
          <w:sz w:val="24"/>
          <w:szCs w:val="24"/>
        </w:rPr>
        <w:t>clasificación de la información, pues dicha determinación resulta desproporcionada y violatoria del principio de máxima publicidad</w:t>
      </w:r>
      <w:r w:rsidRPr="00CE7D4B">
        <w:rPr>
          <w:rFonts w:ascii="AvantGarde Bk BT" w:hAnsi="AvantGarde Bk BT" w:cs="Arial"/>
          <w:color w:val="000000" w:themeColor="text1"/>
          <w:sz w:val="24"/>
          <w:szCs w:val="24"/>
        </w:rPr>
        <w:t>.</w:t>
      </w:r>
    </w:p>
    <w:p w14:paraId="23B812BC" w14:textId="77777777" w:rsidR="00857C56" w:rsidRDefault="00857C56" w:rsidP="00857C56">
      <w:pPr>
        <w:spacing w:after="0"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Dicho lo anterior, resulta oportuno citar el Criterio 01/20 emitido por el Pleno del Instituto Nacional de Transparencia, Acceso a la Información y Protección de Datos Personales, mismo que a continuación se transcribe:</w:t>
      </w:r>
    </w:p>
    <w:p w14:paraId="67B38DE3" w14:textId="77777777" w:rsidR="00857C56" w:rsidRDefault="00857C56" w:rsidP="00857C56">
      <w:pPr>
        <w:spacing w:line="240" w:lineRule="auto"/>
        <w:ind w:left="680" w:right="624"/>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847F87">
        <w:rPr>
          <w:rFonts w:ascii="AvantGarde Bk BT" w:hAnsi="AvantGarde Bk BT" w:cs="Arial"/>
          <w:b/>
          <w:i/>
          <w:color w:val="000000" w:themeColor="text1"/>
          <w:szCs w:val="24"/>
        </w:rPr>
        <w:t>Criterio 01/</w:t>
      </w:r>
      <w:proofErr w:type="gramStart"/>
      <w:r w:rsidRPr="00847F87">
        <w:rPr>
          <w:rFonts w:ascii="AvantGarde Bk BT" w:hAnsi="AvantGarde Bk BT" w:cs="Arial"/>
          <w:b/>
          <w:i/>
          <w:color w:val="000000" w:themeColor="text1"/>
          <w:szCs w:val="24"/>
        </w:rPr>
        <w:t>20 .</w:t>
      </w:r>
      <w:proofErr w:type="gramEnd"/>
      <w:r w:rsidRPr="00847F87">
        <w:rPr>
          <w:rFonts w:ascii="AvantGarde Bk BT" w:hAnsi="AvantGarde Bk BT" w:cs="Arial"/>
          <w:b/>
          <w:i/>
          <w:color w:val="000000" w:themeColor="text1"/>
          <w:szCs w:val="24"/>
        </w:rPr>
        <w:t xml:space="preserve"> Actos consentidos tácitamente. Improcedencia de su análisis.</w:t>
      </w:r>
      <w:r w:rsidRPr="00847F87">
        <w:rPr>
          <w:rFonts w:ascii="AvantGarde Bk BT" w:hAnsi="AvantGarde Bk BT" w:cs="Arial"/>
          <w:i/>
          <w:color w:val="000000" w:themeColor="text1"/>
          <w:szCs w:val="24"/>
        </w:rPr>
        <w:t xml:space="preserve"> Si en su recurso de revisión, la persona recurrente no expresó inconformidad alguna con ciertas partes de la respuesta otorgada, se entienden tácitamente consentidas, por ende, no deben formar parte del estudio de fondo de la resolución que emite el Instituto</w:t>
      </w:r>
      <w:r>
        <w:rPr>
          <w:rFonts w:ascii="AvantGarde Bk BT" w:hAnsi="AvantGarde Bk BT" w:cs="Arial"/>
          <w:i/>
          <w:color w:val="000000" w:themeColor="text1"/>
          <w:sz w:val="20"/>
          <w:szCs w:val="24"/>
        </w:rPr>
        <w:t>.</w:t>
      </w:r>
      <w:r>
        <w:rPr>
          <w:rFonts w:ascii="AvantGarde Bk BT" w:hAnsi="AvantGarde Bk BT" w:cs="Arial"/>
          <w:color w:val="000000" w:themeColor="text1"/>
          <w:sz w:val="24"/>
          <w:szCs w:val="24"/>
        </w:rPr>
        <w:t>”</w:t>
      </w:r>
    </w:p>
    <w:p w14:paraId="6E572444" w14:textId="77777777" w:rsidR="00857C56" w:rsidRDefault="00857C56" w:rsidP="00857C56">
      <w:pPr>
        <w:spacing w:line="360" w:lineRule="auto"/>
        <w:ind w:firstLine="851"/>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Del criterio antes anotado, se aprecia que, cuando en un recurso de revisión la parte recurrente no expresa inconformidad alguna con determinados aspectos de la respuesta emitida por el sujeto obligado, se entiende como tácitamente consentidas y, por ende, no forman parte del estudio de fondo de la resolución que al efecto se emita en el recurso de revisión respectivo.</w:t>
      </w:r>
    </w:p>
    <w:p w14:paraId="201726A3" w14:textId="77777777" w:rsidR="00857C56" w:rsidRDefault="00857C56" w:rsidP="00857C56">
      <w:pPr>
        <w:spacing w:line="360" w:lineRule="auto"/>
        <w:ind w:firstLine="851"/>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ese tenor, esta Comisión de Transparencia no hará pronunciamiento alguno respecto de aquellos aspectos de la respuesta emitida por el sujeto obligado que no hayan sido combatidos por la persona recurrente es su escrito de agravios, pues dichos aspectos no forman parte de los motivos de inconformidad y, por ende, dicha información </w:t>
      </w:r>
      <w:r>
        <w:rPr>
          <w:rFonts w:ascii="AvantGarde Bk BT" w:hAnsi="AvantGarde Bk BT" w:cs="Arial"/>
          <w:b/>
          <w:color w:val="000000" w:themeColor="text1"/>
          <w:sz w:val="24"/>
          <w:szCs w:val="24"/>
        </w:rPr>
        <w:t>queda firme</w:t>
      </w:r>
      <w:r>
        <w:rPr>
          <w:rFonts w:ascii="AvantGarde Bk BT" w:hAnsi="AvantGarde Bk BT" w:cs="Arial"/>
          <w:color w:val="000000" w:themeColor="text1"/>
          <w:sz w:val="24"/>
          <w:szCs w:val="24"/>
        </w:rPr>
        <w:t>.</w:t>
      </w:r>
    </w:p>
    <w:p w14:paraId="7B5BA8F6" w14:textId="77777777" w:rsidR="00E34DDC" w:rsidRDefault="00E34DDC" w:rsidP="00E34DDC">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Establecido lo anterior, es necesario puntualizar que la Ley de Transparencia local prescribe la Unidad de Transparencia deberá turnar la solicitud de información a todas aquellas áreas que cuenten con atribuciones para generar, archivar y/o resguardar la información solicitada.</w:t>
      </w:r>
      <w:r>
        <w:rPr>
          <w:rStyle w:val="Refdenotaalpie"/>
          <w:rFonts w:ascii="AvantGarde Bk BT" w:hAnsi="AvantGarde Bk BT" w:cs="Arial"/>
          <w:color w:val="000000" w:themeColor="text1"/>
          <w:sz w:val="24"/>
          <w:szCs w:val="24"/>
        </w:rPr>
        <w:footnoteReference w:id="2"/>
      </w:r>
    </w:p>
    <w:p w14:paraId="066DDEE8" w14:textId="77777777" w:rsidR="00E34DDC" w:rsidRPr="007A5577" w:rsidRDefault="00E34DDC" w:rsidP="00E34DDC">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Del mismo modo, la ley en comento prevé que </w:t>
      </w:r>
      <w:r w:rsidRPr="00DA312C">
        <w:rPr>
          <w:rFonts w:ascii="AvantGarde Bk BT" w:hAnsi="AvantGarde Bk BT" w:cs="Arial"/>
          <w:b/>
          <w:sz w:val="24"/>
          <w:szCs w:val="24"/>
          <w:u w:val="single"/>
        </w:rPr>
        <w:t xml:space="preserve">los sujetos obligados se encuentran constreñidos a proporcionar la información que se encuentra en su </w:t>
      </w:r>
      <w:r w:rsidRPr="00DA312C">
        <w:rPr>
          <w:rFonts w:ascii="AvantGarde Bk BT" w:hAnsi="AvantGarde Bk BT" w:cs="Arial"/>
          <w:b/>
          <w:sz w:val="24"/>
          <w:szCs w:val="24"/>
          <w:u w:val="single"/>
        </w:rPr>
        <w:lastRenderedPageBreak/>
        <w:t>posesión</w:t>
      </w:r>
      <w:r w:rsidRPr="00DA312C">
        <w:rPr>
          <w:rFonts w:ascii="AvantGarde Bk BT" w:hAnsi="AvantGarde Bk BT" w:cs="Arial"/>
          <w:sz w:val="24"/>
          <w:szCs w:val="24"/>
        </w:rPr>
        <w:t>, lo anterior para efecto de permitir que el derecho de acceso a la información se encuentre satisfecho</w:t>
      </w:r>
      <w:r w:rsidRPr="00327C7F">
        <w:rPr>
          <w:rFonts w:ascii="AvantGarde Bk BT" w:hAnsi="AvantGarde Bk BT" w:cs="Arial"/>
          <w:sz w:val="24"/>
          <w:szCs w:val="24"/>
        </w:rPr>
        <w:t>.</w:t>
      </w:r>
      <w:r w:rsidRPr="00327C7F">
        <w:rPr>
          <w:rFonts w:ascii="AvantGarde Bk BT" w:hAnsi="AvantGarde Bk BT" w:cs="Arial"/>
          <w:sz w:val="24"/>
          <w:szCs w:val="24"/>
          <w:vertAlign w:val="superscript"/>
        </w:rPr>
        <w:footnoteReference w:id="3"/>
      </w:r>
    </w:p>
    <w:p w14:paraId="400D0F5F" w14:textId="77777777" w:rsidR="00E34DDC" w:rsidRDefault="00E34DDC" w:rsidP="00E34DDC">
      <w:pPr>
        <w:pStyle w:val="corte4fondo"/>
        <w:tabs>
          <w:tab w:val="left" w:pos="567"/>
        </w:tabs>
        <w:spacing w:after="240"/>
        <w:rPr>
          <w:rFonts w:ascii="AvantGarde Bk BT" w:hAnsi="AvantGarde Bk BT" w:cs="Arial"/>
          <w:sz w:val="24"/>
          <w:szCs w:val="24"/>
          <w:vertAlign w:val="superscript"/>
        </w:rPr>
      </w:pPr>
      <w:r>
        <w:rPr>
          <w:rFonts w:ascii="AvantGarde Bk BT" w:hAnsi="AvantGarde Bk BT" w:cs="Arial"/>
          <w:sz w:val="24"/>
          <w:szCs w:val="24"/>
        </w:rPr>
        <w:t>Asimismo,</w:t>
      </w:r>
      <w:r w:rsidRPr="00F337EC">
        <w:rPr>
          <w:rFonts w:ascii="AvantGarde Bk BT" w:hAnsi="AvantGarde Bk BT" w:cs="Arial"/>
          <w:sz w:val="24"/>
          <w:szCs w:val="24"/>
        </w:rPr>
        <w:t xml:space="preserve"> los funcionarios públicos están obligados a documentar todo acto que devenga de sus funciones y/o atribuciones y, por ende,</w:t>
      </w:r>
      <w:r>
        <w:rPr>
          <w:rFonts w:ascii="AvantGarde Bk BT" w:hAnsi="AvantGarde Bk BT" w:cs="Arial"/>
          <w:sz w:val="24"/>
          <w:szCs w:val="24"/>
        </w:rPr>
        <w:t xml:space="preserve"> </w:t>
      </w:r>
      <w:r w:rsidRPr="00D65E44">
        <w:rPr>
          <w:rFonts w:ascii="AvantGarde Bk BT" w:hAnsi="AvantGarde Bk BT" w:cs="Arial"/>
          <w:b/>
          <w:sz w:val="24"/>
          <w:szCs w:val="24"/>
          <w:u w:val="single"/>
        </w:rPr>
        <w:t>la información solicitada debe ser entregada a al peticionario en la forma en que ésta fue generada</w:t>
      </w:r>
      <w:r w:rsidRPr="00F337EC">
        <w:rPr>
          <w:rFonts w:ascii="AvantGarde Bk BT" w:hAnsi="AvantGarde Bk BT" w:cs="Arial"/>
          <w:sz w:val="24"/>
          <w:szCs w:val="24"/>
        </w:rPr>
        <w:t>.</w:t>
      </w:r>
      <w:r w:rsidRPr="00F337EC">
        <w:rPr>
          <w:rFonts w:ascii="AvantGarde Bk BT" w:hAnsi="AvantGarde Bk BT" w:cs="Arial"/>
          <w:sz w:val="24"/>
          <w:szCs w:val="24"/>
          <w:vertAlign w:val="superscript"/>
        </w:rPr>
        <w:t xml:space="preserve"> </w:t>
      </w:r>
      <w:r w:rsidRPr="00F337EC">
        <w:rPr>
          <w:rFonts w:ascii="AvantGarde Bk BT" w:hAnsi="AvantGarde Bk BT" w:cs="Arial"/>
          <w:sz w:val="24"/>
          <w:szCs w:val="24"/>
          <w:vertAlign w:val="superscript"/>
        </w:rPr>
        <w:footnoteReference w:id="4"/>
      </w:r>
    </w:p>
    <w:p w14:paraId="501385FA" w14:textId="77777777" w:rsidR="00E34DDC" w:rsidRDefault="00E34DDC" w:rsidP="00E34DDC">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 xml:space="preserve">Derivado de lo anterior, resulta claro que los sujetos obligados se encuentran sujetos al principio de exhaustividad y congruencia, es decir, los sujetos obligados deben atender </w:t>
      </w:r>
      <w:r w:rsidRPr="003B38E1">
        <w:rPr>
          <w:rFonts w:ascii="AvantGarde Bk BT" w:hAnsi="AvantGarde Bk BT" w:cs="Arial"/>
          <w:sz w:val="24"/>
          <w:szCs w:val="24"/>
        </w:rPr>
        <w:t>expresamente a cada uno de los puntos solicitados</w:t>
      </w:r>
      <w:r>
        <w:rPr>
          <w:rFonts w:ascii="AvantGarde Bk BT" w:hAnsi="AvantGarde Bk BT" w:cs="Arial"/>
          <w:sz w:val="24"/>
          <w:szCs w:val="24"/>
        </w:rPr>
        <w:t xml:space="preserve"> y debe existir </w:t>
      </w:r>
      <w:r w:rsidRPr="003B38E1">
        <w:rPr>
          <w:rFonts w:ascii="AvantGarde Bk BT" w:hAnsi="AvantGarde Bk BT" w:cs="Arial"/>
          <w:sz w:val="24"/>
          <w:szCs w:val="24"/>
        </w:rPr>
        <w:t>concordancia entre el requerimiento formulado por el particular y la respuesta proporcionada</w:t>
      </w:r>
      <w:r>
        <w:rPr>
          <w:rFonts w:ascii="AvantGarde Bk BT" w:hAnsi="AvantGarde Bk BT" w:cs="Arial"/>
          <w:sz w:val="24"/>
          <w:szCs w:val="24"/>
        </w:rPr>
        <w:t>.</w:t>
      </w:r>
    </w:p>
    <w:p w14:paraId="1807B931" w14:textId="77777777" w:rsidR="00E34DDC" w:rsidRDefault="00E34DDC" w:rsidP="00E34DDC">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Sirve de apoyo el siguiente criterio emitido por el Instituto Nacional de Transparencia, Información y Protección de Datos:</w:t>
      </w:r>
    </w:p>
    <w:p w14:paraId="7B583974" w14:textId="77777777" w:rsidR="00E34DDC" w:rsidRDefault="00E34DDC" w:rsidP="00E34DDC">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t>“</w:t>
      </w:r>
      <w:r w:rsidRPr="00847F87">
        <w:rPr>
          <w:rFonts w:ascii="AvantGarde Bk BT" w:hAnsi="AvantGarde Bk BT" w:cs="Arial"/>
          <w:b/>
          <w:i/>
          <w:sz w:val="22"/>
          <w:szCs w:val="24"/>
        </w:rPr>
        <w:t xml:space="preserve">Criterio 02/17. Congruencia y </w:t>
      </w:r>
      <w:proofErr w:type="gramStart"/>
      <w:r w:rsidRPr="00847F87">
        <w:rPr>
          <w:rFonts w:ascii="AvantGarde Bk BT" w:hAnsi="AvantGarde Bk BT" w:cs="Arial"/>
          <w:b/>
          <w:i/>
          <w:sz w:val="22"/>
          <w:szCs w:val="24"/>
        </w:rPr>
        <w:t>exhaustividad.-</w:t>
      </w:r>
      <w:proofErr w:type="gramEnd"/>
      <w:r w:rsidRPr="00847F87">
        <w:rPr>
          <w:rFonts w:ascii="AvantGarde Bk BT" w:hAnsi="AvantGarde Bk BT" w:cs="Arial"/>
          <w:i/>
          <w:sz w:val="22"/>
          <w:szCs w:val="24"/>
        </w:rPr>
        <w:t xml:space="preserve"> Sus alcances para garantizar el derecho de acceso a la información. De conformidad con el artículo 3 de la Ley Federal de Procedimiento Administrativo, de aplicación supletoria a la Ley Federal de Transparencia y Acceso a la Información Pública, en términos de su artículo 7; todo acto administrativo debe cumplir con los principios de congruencia y exhaustividad. </w:t>
      </w:r>
      <w:r w:rsidRPr="00847F87">
        <w:rPr>
          <w:rFonts w:ascii="AvantGarde Bk BT" w:hAnsi="AvantGarde Bk BT" w:cs="Arial"/>
          <w:i/>
          <w:sz w:val="22"/>
          <w:szCs w:val="24"/>
          <w:u w:val="single"/>
        </w:rPr>
        <w:t>Para el efectivo ejercicio del derecho de acceso a la información, la congruencia implica que exista concordancia entre el requerimiento formulado por el particular y la respuesta proporcionada por el sujeto obligado; mientras que la exhaustividad significa que dicha respuesta se refiera expresamente a cada uno de los puntos solicitados.</w:t>
      </w:r>
      <w:r w:rsidRPr="00847F87">
        <w:rPr>
          <w:rFonts w:ascii="AvantGarde Bk BT" w:hAnsi="AvantGarde Bk BT" w:cs="Arial"/>
          <w:i/>
          <w:sz w:val="22"/>
          <w:szCs w:val="24"/>
        </w:rPr>
        <w:t xml:space="preserve"> Por lo anterior, los </w:t>
      </w:r>
      <w:r w:rsidRPr="00847F87">
        <w:rPr>
          <w:rFonts w:ascii="AvantGarde Bk BT" w:hAnsi="AvantGarde Bk BT" w:cs="Arial"/>
          <w:i/>
          <w:sz w:val="22"/>
          <w:szCs w:val="24"/>
        </w:rPr>
        <w:lastRenderedPageBreak/>
        <w:t>sujetos obligados cumplirán con los principios de congruencia y exhaustividad, cuando las respuestas que emitan guarden una relación lógica con lo solicitado y atiendan de manera puntual y expresa, cada uno de los contenidos de información</w:t>
      </w:r>
      <w:r w:rsidRPr="005774AE">
        <w:rPr>
          <w:rFonts w:ascii="AvantGarde Bk BT" w:hAnsi="AvantGarde Bk BT" w:cs="Arial"/>
          <w:i/>
          <w:sz w:val="20"/>
          <w:szCs w:val="24"/>
        </w:rPr>
        <w:t>.</w:t>
      </w:r>
      <w:r>
        <w:rPr>
          <w:rFonts w:ascii="AvantGarde Bk BT" w:hAnsi="AvantGarde Bk BT" w:cs="Arial"/>
          <w:sz w:val="24"/>
          <w:szCs w:val="24"/>
        </w:rPr>
        <w:t>” (Énfasis añadido.)</w:t>
      </w:r>
    </w:p>
    <w:p w14:paraId="02A1213D" w14:textId="77777777" w:rsidR="00E34DDC" w:rsidRDefault="00E34DDC" w:rsidP="00E34DDC">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 xml:space="preserve">Bajo esta línea argumentativa, es necesario reiterar que los sujetos obligados deben realizar la búsqueda de la información solicitada dentro del cúmulo de documentos que, conforme a sus atribuciones y/o facultades, se encuentren constreñidos a generar, poseer y/o archivar, de modo tal que al recibir una solicitud de información, </w:t>
      </w:r>
      <w:r w:rsidRPr="007A5577">
        <w:rPr>
          <w:rFonts w:ascii="AvantGarde Bk BT" w:hAnsi="AvantGarde Bk BT" w:cs="Arial"/>
          <w:b/>
          <w:sz w:val="24"/>
          <w:szCs w:val="24"/>
          <w:u w:val="single"/>
        </w:rPr>
        <w:t>estos deben de entregar la expresión documental que contenga la información solicitada y evitar proporcionar una respuesta elaborada acorde a los requerimientos del peticionario</w:t>
      </w:r>
      <w:r>
        <w:rPr>
          <w:rFonts w:ascii="AvantGarde Bk BT" w:hAnsi="AvantGarde Bk BT" w:cs="Arial"/>
          <w:sz w:val="24"/>
          <w:szCs w:val="24"/>
        </w:rPr>
        <w:t>.</w:t>
      </w:r>
    </w:p>
    <w:p w14:paraId="7A84CBA4" w14:textId="77777777" w:rsidR="00E34DDC" w:rsidRDefault="00E34DDC" w:rsidP="00E34DDC">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t>Sirven de apoyo los siguientes criterios emitidos por el Instituto Nacional de Transparencia, Acceso a la Información y Protección de Datos Personales:</w:t>
      </w:r>
    </w:p>
    <w:p w14:paraId="53855268" w14:textId="77777777" w:rsidR="00E34DDC" w:rsidRPr="00204353" w:rsidRDefault="00E34DDC" w:rsidP="00E34DDC">
      <w:pPr>
        <w:pStyle w:val="corte4fondo"/>
        <w:tabs>
          <w:tab w:val="left" w:pos="567"/>
        </w:tabs>
        <w:spacing w:after="240" w:line="240" w:lineRule="auto"/>
        <w:ind w:left="680" w:right="680" w:firstLine="0"/>
        <w:rPr>
          <w:rFonts w:ascii="AvantGarde Bk BT" w:hAnsi="AvantGarde Bk BT" w:cs="Arial"/>
          <w:sz w:val="24"/>
          <w:szCs w:val="24"/>
        </w:rPr>
      </w:pPr>
      <w:r>
        <w:rPr>
          <w:rFonts w:ascii="AvantGarde Bk BT" w:hAnsi="AvantGarde Bk BT" w:cs="Arial"/>
          <w:sz w:val="24"/>
          <w:szCs w:val="24"/>
        </w:rPr>
        <w:t>“</w:t>
      </w:r>
      <w:r w:rsidRPr="00847F87">
        <w:rPr>
          <w:rFonts w:ascii="AvantGarde Bk BT" w:hAnsi="AvantGarde Bk BT" w:cs="Arial"/>
          <w:b/>
          <w:i/>
          <w:sz w:val="22"/>
          <w:szCs w:val="24"/>
        </w:rPr>
        <w:t xml:space="preserve">Criterio 03/17.- No existe obligación de elaborar documentos ad hoc para atender las solicitudes de acceso a la información. </w:t>
      </w:r>
      <w:r w:rsidRPr="00847F87">
        <w:rPr>
          <w:rFonts w:ascii="AvantGarde Bk BT" w:hAnsi="AvantGarde Bk BT" w:cs="Arial"/>
          <w:i/>
          <w:sz w:val="22"/>
          <w:szCs w:val="24"/>
        </w:rPr>
        <w:t xml:space="preserve">Los artículos 129 de la Ley General de Transparencia y Acceso a la Información Pública y 130, párrafo cuarto, de la Ley Federal de Transparencia y Acceso a la Información Pública, señalan que </w:t>
      </w:r>
      <w:r w:rsidRPr="00847F87">
        <w:rPr>
          <w:rFonts w:ascii="AvantGarde Bk BT" w:hAnsi="AvantGarde Bk BT" w:cs="Arial"/>
          <w:i/>
          <w:sz w:val="22"/>
          <w:szCs w:val="24"/>
          <w:u w:val="single"/>
        </w:rPr>
        <w:t>los sujetos obligados deberán otorgar acceso a los documentos que se encuentren en sus archivos o que estén obligados a documentar, de acuerdo con sus facultades, competencias o funciones, conforme a las características físicas de la información o del lugar donde se encuentre</w:t>
      </w:r>
      <w:r w:rsidRPr="00847F87">
        <w:rPr>
          <w:rFonts w:ascii="AvantGarde Bk BT" w:hAnsi="AvantGarde Bk BT" w:cs="Arial"/>
          <w:i/>
          <w:sz w:val="22"/>
          <w:szCs w:val="24"/>
        </w:rPr>
        <w:t>.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r w:rsidRPr="00B96B2A">
        <w:rPr>
          <w:rFonts w:ascii="AvantGarde Bk BT" w:hAnsi="AvantGarde Bk BT" w:cs="Arial"/>
          <w:i/>
          <w:sz w:val="20"/>
          <w:szCs w:val="24"/>
        </w:rPr>
        <w:t>.</w:t>
      </w:r>
      <w:r>
        <w:rPr>
          <w:rFonts w:ascii="AvantGarde Bk BT" w:hAnsi="AvantGarde Bk BT" w:cs="Arial"/>
          <w:sz w:val="24"/>
          <w:szCs w:val="24"/>
        </w:rPr>
        <w:t>” (Énfasis añadido.)</w:t>
      </w:r>
    </w:p>
    <w:p w14:paraId="3CB74C0E" w14:textId="77777777" w:rsidR="00E34DDC" w:rsidRPr="00D14D6C" w:rsidRDefault="00E34DDC" w:rsidP="00E34DDC">
      <w:pPr>
        <w:pStyle w:val="corte4fondo"/>
        <w:spacing w:after="240" w:line="240" w:lineRule="auto"/>
        <w:ind w:left="680" w:right="680" w:firstLine="0"/>
        <w:rPr>
          <w:rFonts w:ascii="AvantGarde Bk BT" w:hAnsi="AvantGarde Bk BT" w:cs="Arial"/>
          <w:sz w:val="22"/>
          <w:szCs w:val="24"/>
        </w:rPr>
      </w:pPr>
      <w:r>
        <w:rPr>
          <w:rFonts w:ascii="AvantGarde Bk BT" w:hAnsi="AvantGarde Bk BT" w:cs="Arial"/>
          <w:sz w:val="24"/>
          <w:szCs w:val="24"/>
        </w:rPr>
        <w:t xml:space="preserve"> “</w:t>
      </w:r>
      <w:r w:rsidRPr="00847F87">
        <w:rPr>
          <w:rFonts w:ascii="AvantGarde Bk BT" w:hAnsi="AvantGarde Bk BT" w:cs="Arial"/>
          <w:b/>
          <w:i/>
          <w:sz w:val="22"/>
          <w:szCs w:val="24"/>
        </w:rPr>
        <w:t xml:space="preserve">Criterio 16/17. Expresión </w:t>
      </w:r>
      <w:proofErr w:type="gramStart"/>
      <w:r w:rsidRPr="00847F87">
        <w:rPr>
          <w:rFonts w:ascii="AvantGarde Bk BT" w:hAnsi="AvantGarde Bk BT" w:cs="Arial"/>
          <w:b/>
          <w:i/>
          <w:sz w:val="22"/>
          <w:szCs w:val="24"/>
        </w:rPr>
        <w:t>documental.-</w:t>
      </w:r>
      <w:proofErr w:type="gramEnd"/>
      <w:r w:rsidRPr="00847F87">
        <w:rPr>
          <w:rFonts w:ascii="AvantGarde Bk BT" w:hAnsi="AvantGarde Bk BT" w:cs="Arial"/>
          <w:i/>
          <w:sz w:val="22"/>
          <w:szCs w:val="24"/>
        </w:rPr>
        <w:t xml:space="preserve"> Cuando los particulares presenten solicitudes de acceso a la información sin identificar de forma precisa la documentación que pudiera contener la información de su interés, o bien, la solicitud constituya una consulta, pero la respuesta pudiera obrar en algún documento en poder de los sujetos obligados, éstos deben dar a dichas solicitudes una interpretación que les otorgue una expresión documental</w:t>
      </w:r>
      <w:r w:rsidRPr="00F90B0A">
        <w:rPr>
          <w:rFonts w:ascii="AvantGarde Bk BT" w:hAnsi="AvantGarde Bk BT" w:cs="Arial"/>
          <w:i/>
          <w:sz w:val="22"/>
          <w:szCs w:val="24"/>
        </w:rPr>
        <w:t>.</w:t>
      </w:r>
      <w:r w:rsidRPr="00F90B0A">
        <w:rPr>
          <w:rFonts w:ascii="AvantGarde Bk BT" w:hAnsi="AvantGarde Bk BT" w:cs="Arial"/>
          <w:sz w:val="22"/>
          <w:szCs w:val="24"/>
        </w:rPr>
        <w:t>”</w:t>
      </w:r>
    </w:p>
    <w:p w14:paraId="39A64CC5" w14:textId="1A66ED48" w:rsidR="009E7FB6" w:rsidRPr="009E7FB6" w:rsidRDefault="00893082" w:rsidP="009E7FB6">
      <w:pPr>
        <w:pStyle w:val="corte4fondo"/>
        <w:spacing w:after="240"/>
        <w:rPr>
          <w:rFonts w:ascii="AvantGarde Bk BT" w:hAnsi="AvantGarde Bk BT" w:cs="Arial"/>
          <w:i/>
          <w:color w:val="000000" w:themeColor="text1"/>
          <w:sz w:val="24"/>
          <w:szCs w:val="24"/>
        </w:rPr>
      </w:pPr>
      <w:r>
        <w:rPr>
          <w:rFonts w:ascii="AvantGarde Bk BT" w:hAnsi="AvantGarde Bk BT" w:cs="Arial"/>
          <w:color w:val="000000" w:themeColor="text1"/>
          <w:sz w:val="24"/>
          <w:szCs w:val="24"/>
        </w:rPr>
        <w:t xml:space="preserve">Pues bien, de acuerdo con la solicitud de información la persona ahora recurrente </w:t>
      </w:r>
      <w:r w:rsidR="00856163">
        <w:rPr>
          <w:rFonts w:ascii="AvantGarde Bk BT" w:hAnsi="AvantGarde Bk BT" w:cs="Arial"/>
          <w:color w:val="000000" w:themeColor="text1"/>
          <w:sz w:val="24"/>
          <w:szCs w:val="24"/>
        </w:rPr>
        <w:t>requirió copia de</w:t>
      </w:r>
      <w:r>
        <w:rPr>
          <w:rFonts w:ascii="AvantGarde Bk BT" w:hAnsi="AvantGarde Bk BT" w:cs="Arial"/>
          <w:color w:val="000000" w:themeColor="text1"/>
          <w:sz w:val="24"/>
          <w:szCs w:val="24"/>
        </w:rPr>
        <w:t xml:space="preserve"> </w:t>
      </w:r>
      <w:r w:rsidR="009E7FB6">
        <w:rPr>
          <w:rFonts w:ascii="AvantGarde Bk BT" w:hAnsi="AvantGarde Bk BT" w:cs="Arial"/>
          <w:color w:val="000000" w:themeColor="text1"/>
          <w:sz w:val="24"/>
          <w:szCs w:val="24"/>
        </w:rPr>
        <w:t xml:space="preserve">la propuesta conciliatoria a la que hace referencia el oficio </w:t>
      </w:r>
      <w:r w:rsidR="009E7FB6" w:rsidRPr="009E7FB6">
        <w:rPr>
          <w:rFonts w:ascii="AvantGarde Bk BT" w:hAnsi="AvantGarde Bk BT" w:cs="Arial"/>
          <w:color w:val="000000" w:themeColor="text1"/>
          <w:sz w:val="24"/>
          <w:szCs w:val="24"/>
        </w:rPr>
        <w:t xml:space="preserve">DEB-1037/2026 de </w:t>
      </w:r>
      <w:r w:rsidR="009E7FB6">
        <w:rPr>
          <w:rFonts w:ascii="AvantGarde Bk BT" w:hAnsi="AvantGarde Bk BT" w:cs="Arial"/>
          <w:color w:val="000000" w:themeColor="text1"/>
          <w:sz w:val="24"/>
          <w:szCs w:val="24"/>
        </w:rPr>
        <w:t>veinte</w:t>
      </w:r>
      <w:r w:rsidR="009E7FB6" w:rsidRPr="009E7FB6">
        <w:rPr>
          <w:rFonts w:ascii="AvantGarde Bk BT" w:hAnsi="AvantGarde Bk BT" w:cs="Arial"/>
          <w:color w:val="000000" w:themeColor="text1"/>
          <w:sz w:val="24"/>
          <w:szCs w:val="24"/>
        </w:rPr>
        <w:t xml:space="preserve"> de mayo del </w:t>
      </w:r>
      <w:r w:rsidR="009E7FB6">
        <w:rPr>
          <w:rFonts w:ascii="AvantGarde Bk BT" w:hAnsi="AvantGarde Bk BT" w:cs="Arial"/>
          <w:color w:val="000000" w:themeColor="text1"/>
          <w:sz w:val="24"/>
          <w:szCs w:val="24"/>
        </w:rPr>
        <w:t xml:space="preserve">dos mil veintiséis; sin embargo, el sujeto obligado informó a la persona solicitante que </w:t>
      </w:r>
      <w:r w:rsidR="00856163">
        <w:rPr>
          <w:rFonts w:ascii="AvantGarde Bk BT" w:hAnsi="AvantGarde Bk BT" w:cs="Arial"/>
          <w:color w:val="000000" w:themeColor="text1"/>
          <w:sz w:val="24"/>
          <w:szCs w:val="24"/>
        </w:rPr>
        <w:t>el</w:t>
      </w:r>
      <w:r w:rsidR="009E7FB6">
        <w:rPr>
          <w:rFonts w:ascii="AvantGarde Bk BT" w:hAnsi="AvantGarde Bk BT" w:cs="Arial"/>
          <w:color w:val="000000" w:themeColor="text1"/>
          <w:sz w:val="24"/>
          <w:szCs w:val="24"/>
        </w:rPr>
        <w:t xml:space="preserve"> documento</w:t>
      </w:r>
      <w:r w:rsidR="00856163">
        <w:rPr>
          <w:rFonts w:ascii="AvantGarde Bk BT" w:hAnsi="AvantGarde Bk BT" w:cs="Arial"/>
          <w:color w:val="000000" w:themeColor="text1"/>
          <w:sz w:val="24"/>
          <w:szCs w:val="24"/>
        </w:rPr>
        <w:t xml:space="preserve"> identificado como Propuesta de conciliación 01/2026</w:t>
      </w:r>
      <w:r w:rsidR="009E7FB6">
        <w:rPr>
          <w:rFonts w:ascii="AvantGarde Bk BT" w:hAnsi="AvantGarde Bk BT" w:cs="Arial"/>
          <w:color w:val="000000" w:themeColor="text1"/>
          <w:sz w:val="24"/>
          <w:szCs w:val="24"/>
        </w:rPr>
        <w:t xml:space="preserve"> forma parte del expediente </w:t>
      </w:r>
      <w:r w:rsidR="00856163">
        <w:rPr>
          <w:rFonts w:ascii="AvantGarde Bk BT" w:hAnsi="AvantGarde Bk BT" w:cs="Arial"/>
          <w:color w:val="000000" w:themeColor="text1"/>
          <w:sz w:val="24"/>
          <w:szCs w:val="24"/>
        </w:rPr>
        <w:t xml:space="preserve">1VQU-0249/2025 que se substancia ante la Comisión Estatal de Derechos Humanos, mismo que no ha causado estado y por ende, fue reservado con el acuerdo de reserva 18/2026 y </w:t>
      </w:r>
      <w:r w:rsidR="00856163">
        <w:rPr>
          <w:rFonts w:ascii="AvantGarde Bk BT" w:hAnsi="AvantGarde Bk BT" w:cs="Arial"/>
          <w:color w:val="000000" w:themeColor="text1"/>
          <w:sz w:val="24"/>
          <w:szCs w:val="24"/>
        </w:rPr>
        <w:lastRenderedPageBreak/>
        <w:t>aprobado por el Comité del Transparencia mediante acta del ocho de junio de dos mil veintiséis.</w:t>
      </w:r>
    </w:p>
    <w:p w14:paraId="45346A33" w14:textId="77777777" w:rsidR="008B1D0E" w:rsidRPr="008B1D0E" w:rsidRDefault="008B1D0E" w:rsidP="008B1D0E">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Respecto de este tópico, es necesario recordar </w:t>
      </w:r>
      <w:proofErr w:type="gramStart"/>
      <w:r>
        <w:rPr>
          <w:rFonts w:ascii="AvantGarde Bk BT" w:hAnsi="AvantGarde Bk BT" w:cs="Arial"/>
          <w:color w:val="000000" w:themeColor="text1"/>
          <w:sz w:val="24"/>
          <w:szCs w:val="24"/>
        </w:rPr>
        <w:t>que</w:t>
      </w:r>
      <w:proofErr w:type="gramEnd"/>
      <w:r>
        <w:rPr>
          <w:rFonts w:ascii="AvantGarde Bk BT" w:hAnsi="AvantGarde Bk BT" w:cs="Arial"/>
          <w:color w:val="000000" w:themeColor="text1"/>
          <w:sz w:val="24"/>
          <w:szCs w:val="24"/>
        </w:rPr>
        <w:t xml:space="preserve"> si bien </w:t>
      </w:r>
      <w:r w:rsidRPr="008B1D0E">
        <w:rPr>
          <w:rFonts w:ascii="AvantGarde Bk BT" w:hAnsi="AvantGarde Bk BT" w:cs="Arial"/>
          <w:color w:val="000000" w:themeColor="text1"/>
          <w:sz w:val="24"/>
          <w:szCs w:val="24"/>
        </w:rPr>
        <w:t xml:space="preserve">toda la información en posesión de los sujetos obligados es pública, sin embargo, conforme a la Ley de Transparencia y Acceso a la Información Pública del Estado, existen dos casos de excepción al derecho de acceso a la información, es decir, la información clasificada como reservada y la información clasificada como confidencial.  </w:t>
      </w:r>
    </w:p>
    <w:p w14:paraId="06DAFAAD" w14:textId="77777777" w:rsidR="008B1D0E" w:rsidRPr="008B1D0E" w:rsidRDefault="008B1D0E" w:rsidP="00D03A49">
      <w:pPr>
        <w:pStyle w:val="corte4fondo"/>
        <w:tabs>
          <w:tab w:val="left" w:pos="567"/>
        </w:tabs>
        <w:rPr>
          <w:rFonts w:ascii="AvantGarde Bk BT" w:hAnsi="AvantGarde Bk BT" w:cs="Arial"/>
          <w:color w:val="000000" w:themeColor="text1"/>
          <w:sz w:val="24"/>
          <w:szCs w:val="24"/>
        </w:rPr>
      </w:pPr>
      <w:r w:rsidRPr="008B1D0E">
        <w:rPr>
          <w:rFonts w:ascii="AvantGarde Bk BT" w:hAnsi="AvantGarde Bk BT" w:cs="Arial"/>
          <w:color w:val="000000" w:themeColor="text1"/>
          <w:sz w:val="24"/>
          <w:szCs w:val="24"/>
        </w:rPr>
        <w:t xml:space="preserve">Así, la información clasificada como reservada es aquélla que, conforme a los procedimientos previstos en la Ley de Transparencia, determine el titular del área generadora o poseedora de la información con aprobación del Comité de Transparencia de cada sujeto obligado, mediante el acuerdo correspondiente cuando la publicación de dicha información actualice alguna de las causales previstas en el artículo 129 de la ley en comento, mismas que se transcriben a continuación: </w:t>
      </w:r>
    </w:p>
    <w:p w14:paraId="19CF71A7" w14:textId="77777777" w:rsidR="008B1D0E" w:rsidRPr="008B1D0E" w:rsidRDefault="008B1D0E" w:rsidP="008B1D0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B1D0E">
        <w:rPr>
          <w:rFonts w:ascii="AvantGarde Bk BT" w:hAnsi="AvantGarde Bk BT" w:cs="Arial"/>
          <w:color w:val="000000" w:themeColor="text1"/>
          <w:sz w:val="24"/>
          <w:szCs w:val="24"/>
        </w:rPr>
        <w:t>“</w:t>
      </w:r>
      <w:r w:rsidRPr="008B1D0E">
        <w:rPr>
          <w:rFonts w:ascii="AvantGarde Bk BT" w:hAnsi="AvantGarde Bk BT" w:cs="Arial"/>
          <w:i/>
          <w:color w:val="000000" w:themeColor="text1"/>
          <w:sz w:val="22"/>
          <w:szCs w:val="24"/>
        </w:rPr>
        <w:t xml:space="preserve">I. Comprometa la seguridad pública y cuente con un propósito genuino y un efecto demostrable; </w:t>
      </w:r>
    </w:p>
    <w:p w14:paraId="4647CCFD" w14:textId="77777777" w:rsidR="008B1D0E" w:rsidRPr="008B1D0E" w:rsidRDefault="008B1D0E" w:rsidP="008B1D0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B1D0E">
        <w:rPr>
          <w:rFonts w:ascii="AvantGarde Bk BT" w:hAnsi="AvantGarde Bk BT" w:cs="Arial"/>
          <w:i/>
          <w:color w:val="000000" w:themeColor="text1"/>
          <w:sz w:val="22"/>
          <w:szCs w:val="24"/>
        </w:rPr>
        <w:t xml:space="preserve">II. Pueda menoscabar la conducción de las negociaciones y relaciones internacionales; </w:t>
      </w:r>
    </w:p>
    <w:p w14:paraId="4B8FDE07" w14:textId="77777777" w:rsidR="008B1D0E" w:rsidRPr="008B1D0E" w:rsidRDefault="008B1D0E" w:rsidP="008B1D0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B1D0E">
        <w:rPr>
          <w:rFonts w:ascii="AvantGarde Bk BT" w:hAnsi="AvantGarde Bk BT" w:cs="Arial"/>
          <w:i/>
          <w:color w:val="000000" w:themeColor="text1"/>
          <w:sz w:val="22"/>
          <w:szCs w:val="24"/>
        </w:rPr>
        <w:t xml:space="preserve">III. Se entregue al Estado mexicano expresamente con ese carácter o el de confidencial por otro u otros sujetos de derecho internacional, excepto cuando se trate de violaciones graves de derechos humanos o delitos de lesa humanidad de conformidad con el derecho internacional; </w:t>
      </w:r>
    </w:p>
    <w:p w14:paraId="69457D65" w14:textId="77777777" w:rsidR="008B1D0E" w:rsidRPr="008B1D0E" w:rsidRDefault="008B1D0E" w:rsidP="008B1D0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B1D0E">
        <w:rPr>
          <w:rFonts w:ascii="AvantGarde Bk BT" w:hAnsi="AvantGarde Bk BT" w:cs="Arial"/>
          <w:i/>
          <w:color w:val="000000" w:themeColor="text1"/>
          <w:sz w:val="22"/>
          <w:szCs w:val="24"/>
        </w:rPr>
        <w:t xml:space="preserve">IV. Pueda poner en riesgo la vida, seguridad o salud de una persona física; </w:t>
      </w:r>
    </w:p>
    <w:p w14:paraId="29E87724" w14:textId="77777777" w:rsidR="008B1D0E" w:rsidRPr="008B1D0E" w:rsidRDefault="008B1D0E" w:rsidP="008B1D0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B1D0E">
        <w:rPr>
          <w:rFonts w:ascii="AvantGarde Bk BT" w:hAnsi="AvantGarde Bk BT" w:cs="Arial"/>
          <w:i/>
          <w:color w:val="000000" w:themeColor="text1"/>
          <w:sz w:val="22"/>
          <w:szCs w:val="24"/>
        </w:rPr>
        <w:t xml:space="preserve">V. Obstruya las actividades de verificación, inspección y auditoría relativas al cumplimiento de las leyes o afecte la recaudación de contribuciones; </w:t>
      </w:r>
    </w:p>
    <w:p w14:paraId="562F65AF" w14:textId="77777777" w:rsidR="008B1D0E" w:rsidRPr="008B1D0E" w:rsidRDefault="008B1D0E" w:rsidP="008B1D0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B1D0E">
        <w:rPr>
          <w:rFonts w:ascii="AvantGarde Bk BT" w:hAnsi="AvantGarde Bk BT" w:cs="Arial"/>
          <w:i/>
          <w:color w:val="000000" w:themeColor="text1"/>
          <w:sz w:val="22"/>
          <w:szCs w:val="24"/>
        </w:rPr>
        <w:t xml:space="preserve">VI. Obstruya la prevención o persecución de los delitos; </w:t>
      </w:r>
    </w:p>
    <w:p w14:paraId="735CE0F5" w14:textId="77777777" w:rsidR="008B1D0E" w:rsidRPr="008B1D0E" w:rsidRDefault="008B1D0E" w:rsidP="008B1D0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B1D0E">
        <w:rPr>
          <w:rFonts w:ascii="AvantGarde Bk BT" w:hAnsi="AvantGarde Bk BT" w:cs="Arial"/>
          <w:i/>
          <w:color w:val="000000" w:themeColor="text1"/>
          <w:sz w:val="22"/>
          <w:szCs w:val="24"/>
        </w:rPr>
        <w:t xml:space="preserve">VII. La que contenga las opiniones, recomendaciones o puntos de vista que formen parte del proceso deliberativo de los servidores públicos, hasta en tanto no sea adoptada la decisión definitiva, la cual deberá estar documentada; </w:t>
      </w:r>
    </w:p>
    <w:p w14:paraId="4D2F16E8" w14:textId="77777777" w:rsidR="008B1D0E" w:rsidRPr="008B1D0E" w:rsidRDefault="008B1D0E" w:rsidP="008B1D0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B1D0E">
        <w:rPr>
          <w:rFonts w:ascii="AvantGarde Bk BT" w:hAnsi="AvantGarde Bk BT" w:cs="Arial"/>
          <w:i/>
          <w:color w:val="000000" w:themeColor="text1"/>
          <w:sz w:val="22"/>
          <w:szCs w:val="24"/>
        </w:rPr>
        <w:t xml:space="preserve">VIII. Obstruya los procedimientos para fincar responsabilidad a los Servidores Públicos, en tanto no se haya dictado la resolución administrativa; </w:t>
      </w:r>
    </w:p>
    <w:p w14:paraId="228E9E85" w14:textId="77777777" w:rsidR="008B1D0E" w:rsidRPr="008B1D0E" w:rsidRDefault="008B1D0E" w:rsidP="008B1D0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B1D0E">
        <w:rPr>
          <w:rFonts w:ascii="AvantGarde Bk BT" w:hAnsi="AvantGarde Bk BT" w:cs="Arial"/>
          <w:i/>
          <w:color w:val="000000" w:themeColor="text1"/>
          <w:sz w:val="22"/>
          <w:szCs w:val="24"/>
        </w:rPr>
        <w:t xml:space="preserve">IX. Afecte los derechos del debido proceso; </w:t>
      </w:r>
    </w:p>
    <w:p w14:paraId="54641ECB" w14:textId="77777777" w:rsidR="008B1D0E" w:rsidRPr="008B1D0E" w:rsidRDefault="008B1D0E" w:rsidP="008B1D0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B1D0E">
        <w:rPr>
          <w:rFonts w:ascii="AvantGarde Bk BT" w:hAnsi="AvantGarde Bk BT" w:cs="Arial"/>
          <w:i/>
          <w:color w:val="000000" w:themeColor="text1"/>
          <w:sz w:val="22"/>
          <w:szCs w:val="24"/>
        </w:rPr>
        <w:t xml:space="preserve">X. Vulnere la conducción de los Expedientes judiciales o de los procedimientos administrativos seguidos en forma de juicio, en tanto no hayan causado estado; </w:t>
      </w:r>
    </w:p>
    <w:p w14:paraId="1FFE40B8" w14:textId="77777777" w:rsidR="008B1D0E" w:rsidRPr="008B1D0E" w:rsidRDefault="008B1D0E" w:rsidP="008B1D0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B1D0E">
        <w:rPr>
          <w:rFonts w:ascii="AvantGarde Bk BT" w:hAnsi="AvantGarde Bk BT" w:cs="Arial"/>
          <w:i/>
          <w:color w:val="000000" w:themeColor="text1"/>
          <w:sz w:val="22"/>
          <w:szCs w:val="24"/>
        </w:rPr>
        <w:t>XI. Se encuentre contenida dentro de las investigaciones de hechos que la ley señale como delitos y se tramiten ante el Ministerio Público, y</w:t>
      </w:r>
    </w:p>
    <w:p w14:paraId="780586B1" w14:textId="755CBBAE" w:rsidR="008B1D0E" w:rsidRPr="008B1D0E" w:rsidRDefault="008B1D0E" w:rsidP="008B1D0E">
      <w:pPr>
        <w:pStyle w:val="corte4fondo"/>
        <w:tabs>
          <w:tab w:val="left" w:pos="567"/>
        </w:tabs>
        <w:spacing w:after="240" w:line="240" w:lineRule="auto"/>
        <w:ind w:left="680" w:right="680" w:firstLine="0"/>
        <w:rPr>
          <w:rFonts w:ascii="AvantGarde Bk BT" w:hAnsi="AvantGarde Bk BT" w:cs="Arial"/>
          <w:i/>
          <w:color w:val="000000" w:themeColor="text1"/>
          <w:sz w:val="22"/>
          <w:szCs w:val="24"/>
        </w:rPr>
      </w:pPr>
      <w:r w:rsidRPr="008B1D0E">
        <w:rPr>
          <w:rFonts w:ascii="AvantGarde Bk BT" w:hAnsi="AvantGarde Bk BT" w:cs="Arial"/>
          <w:i/>
          <w:color w:val="000000" w:themeColor="text1"/>
          <w:sz w:val="22"/>
          <w:szCs w:val="24"/>
        </w:rPr>
        <w:t>XII. Las que por disposición expresa de una ley tengan tal carácter, siempre que sean acordes con las bases, principios y disposiciones establecidos en esta Ley y no la contravengan; así como las previst</w:t>
      </w:r>
      <w:r>
        <w:rPr>
          <w:rFonts w:ascii="AvantGarde Bk BT" w:hAnsi="AvantGarde Bk BT" w:cs="Arial"/>
          <w:i/>
          <w:color w:val="000000" w:themeColor="text1"/>
          <w:sz w:val="22"/>
          <w:szCs w:val="24"/>
        </w:rPr>
        <w:t>as en tratados internacionales.”</w:t>
      </w:r>
    </w:p>
    <w:p w14:paraId="070D28D1" w14:textId="77777777" w:rsidR="008B1D0E" w:rsidRPr="008B1D0E" w:rsidRDefault="008B1D0E" w:rsidP="008B1D0E">
      <w:pPr>
        <w:pStyle w:val="corte4fondo"/>
        <w:tabs>
          <w:tab w:val="left" w:pos="567"/>
        </w:tabs>
        <w:spacing w:after="240"/>
        <w:rPr>
          <w:rFonts w:ascii="AvantGarde Bk BT" w:hAnsi="AvantGarde Bk BT" w:cs="Arial"/>
          <w:color w:val="000000" w:themeColor="text1"/>
          <w:sz w:val="24"/>
          <w:szCs w:val="24"/>
        </w:rPr>
      </w:pPr>
      <w:r w:rsidRPr="008B1D0E">
        <w:rPr>
          <w:rFonts w:ascii="AvantGarde Bk BT" w:hAnsi="AvantGarde Bk BT" w:cs="Arial"/>
          <w:color w:val="000000" w:themeColor="text1"/>
          <w:sz w:val="24"/>
          <w:szCs w:val="24"/>
        </w:rPr>
        <w:lastRenderedPageBreak/>
        <w:t xml:space="preserve">De igual modo, es dable precisar que, en la clasificación de información, el sujeto obligado debe observar en todo momento lo establecido tanto en la Ley General de Transparencia y Acceso a la Información, como en la Ley de Transparencia y Acceso a la Información Pública del Estado y los Lineamientos Generales en Materia de Clasificación y Desclasificación de la Información, así como para la Elaboración de Versiones Públicas.  </w:t>
      </w:r>
    </w:p>
    <w:p w14:paraId="1EE39ECA" w14:textId="77777777" w:rsidR="008B1D0E" w:rsidRPr="008B1D0E" w:rsidRDefault="008B1D0E" w:rsidP="00D03A49">
      <w:pPr>
        <w:pStyle w:val="corte4fondo"/>
        <w:tabs>
          <w:tab w:val="left" w:pos="567"/>
        </w:tabs>
        <w:rPr>
          <w:rFonts w:ascii="AvantGarde Bk BT" w:hAnsi="AvantGarde Bk BT" w:cs="Arial"/>
          <w:color w:val="000000" w:themeColor="text1"/>
          <w:sz w:val="24"/>
          <w:szCs w:val="24"/>
        </w:rPr>
      </w:pPr>
      <w:r w:rsidRPr="008B1D0E">
        <w:rPr>
          <w:rFonts w:ascii="AvantGarde Bk BT" w:hAnsi="AvantGarde Bk BT" w:cs="Arial"/>
          <w:color w:val="000000" w:themeColor="text1"/>
          <w:sz w:val="24"/>
          <w:szCs w:val="24"/>
        </w:rPr>
        <w:t>En ese tenor, la Ley de Transparencia local prescribe que el acuerdo que clasifique la información como reservada deberá contener lo siguiente:</w:t>
      </w:r>
    </w:p>
    <w:p w14:paraId="1D4F5C17" w14:textId="77777777" w:rsidR="008B1D0E" w:rsidRPr="008B1D0E" w:rsidRDefault="008B1D0E" w:rsidP="008B1D0E">
      <w:pPr>
        <w:pStyle w:val="corte4fondo"/>
        <w:tabs>
          <w:tab w:val="left" w:pos="567"/>
        </w:tabs>
        <w:rPr>
          <w:rFonts w:ascii="AvantGarde Bk BT" w:hAnsi="AvantGarde Bk BT" w:cs="Arial"/>
          <w:color w:val="000000" w:themeColor="text1"/>
          <w:sz w:val="24"/>
          <w:szCs w:val="24"/>
        </w:rPr>
      </w:pPr>
      <w:r w:rsidRPr="008B1D0E">
        <w:rPr>
          <w:rFonts w:ascii="AvantGarde Bk BT" w:hAnsi="AvantGarde Bk BT" w:cs="Arial"/>
          <w:color w:val="000000" w:themeColor="text1"/>
          <w:sz w:val="24"/>
          <w:szCs w:val="24"/>
        </w:rPr>
        <w:t>•</w:t>
      </w:r>
      <w:r w:rsidRPr="008B1D0E">
        <w:rPr>
          <w:rFonts w:ascii="AvantGarde Bk BT" w:hAnsi="AvantGarde Bk BT" w:cs="Arial"/>
          <w:color w:val="000000" w:themeColor="text1"/>
          <w:sz w:val="24"/>
          <w:szCs w:val="24"/>
        </w:rPr>
        <w:tab/>
        <w:t xml:space="preserve">La fuente y el archivo donde se encuentra la información; </w:t>
      </w:r>
    </w:p>
    <w:p w14:paraId="088C9462" w14:textId="77777777" w:rsidR="008B1D0E" w:rsidRPr="008B1D0E" w:rsidRDefault="008B1D0E" w:rsidP="008B1D0E">
      <w:pPr>
        <w:pStyle w:val="corte4fondo"/>
        <w:tabs>
          <w:tab w:val="left" w:pos="567"/>
        </w:tabs>
        <w:rPr>
          <w:rFonts w:ascii="AvantGarde Bk BT" w:hAnsi="AvantGarde Bk BT" w:cs="Arial"/>
          <w:color w:val="000000" w:themeColor="text1"/>
          <w:sz w:val="24"/>
          <w:szCs w:val="24"/>
        </w:rPr>
      </w:pPr>
      <w:r w:rsidRPr="008B1D0E">
        <w:rPr>
          <w:rFonts w:ascii="AvantGarde Bk BT" w:hAnsi="AvantGarde Bk BT" w:cs="Arial"/>
          <w:color w:val="000000" w:themeColor="text1"/>
          <w:sz w:val="24"/>
          <w:szCs w:val="24"/>
        </w:rPr>
        <w:t>•</w:t>
      </w:r>
      <w:r w:rsidRPr="008B1D0E">
        <w:rPr>
          <w:rFonts w:ascii="AvantGarde Bk BT" w:hAnsi="AvantGarde Bk BT" w:cs="Arial"/>
          <w:color w:val="000000" w:themeColor="text1"/>
          <w:sz w:val="24"/>
          <w:szCs w:val="24"/>
        </w:rPr>
        <w:tab/>
        <w:t xml:space="preserve">La fundamentación y motivación del acuerdo; </w:t>
      </w:r>
    </w:p>
    <w:p w14:paraId="142525A8" w14:textId="77777777" w:rsidR="008B1D0E" w:rsidRPr="008B1D0E" w:rsidRDefault="008B1D0E" w:rsidP="008B1D0E">
      <w:pPr>
        <w:pStyle w:val="corte4fondo"/>
        <w:tabs>
          <w:tab w:val="left" w:pos="567"/>
        </w:tabs>
        <w:rPr>
          <w:rFonts w:ascii="AvantGarde Bk BT" w:hAnsi="AvantGarde Bk BT" w:cs="Arial"/>
          <w:color w:val="000000" w:themeColor="text1"/>
          <w:sz w:val="24"/>
          <w:szCs w:val="24"/>
        </w:rPr>
      </w:pPr>
      <w:r w:rsidRPr="008B1D0E">
        <w:rPr>
          <w:rFonts w:ascii="AvantGarde Bk BT" w:hAnsi="AvantGarde Bk BT" w:cs="Arial"/>
          <w:color w:val="000000" w:themeColor="text1"/>
          <w:sz w:val="24"/>
          <w:szCs w:val="24"/>
        </w:rPr>
        <w:t>•</w:t>
      </w:r>
      <w:r w:rsidRPr="008B1D0E">
        <w:rPr>
          <w:rFonts w:ascii="AvantGarde Bk BT" w:hAnsi="AvantGarde Bk BT" w:cs="Arial"/>
          <w:color w:val="000000" w:themeColor="text1"/>
          <w:sz w:val="24"/>
          <w:szCs w:val="24"/>
        </w:rPr>
        <w:tab/>
        <w:t xml:space="preserve">El documento, la parte o las partes de los mismos, que se reservan; </w:t>
      </w:r>
    </w:p>
    <w:p w14:paraId="70225E64" w14:textId="77777777" w:rsidR="008B1D0E" w:rsidRPr="008B1D0E" w:rsidRDefault="008B1D0E" w:rsidP="008B1D0E">
      <w:pPr>
        <w:pStyle w:val="corte4fondo"/>
        <w:tabs>
          <w:tab w:val="left" w:pos="567"/>
        </w:tabs>
        <w:rPr>
          <w:rFonts w:ascii="AvantGarde Bk BT" w:hAnsi="AvantGarde Bk BT" w:cs="Arial"/>
          <w:color w:val="000000" w:themeColor="text1"/>
          <w:sz w:val="24"/>
          <w:szCs w:val="24"/>
        </w:rPr>
      </w:pPr>
      <w:r w:rsidRPr="008B1D0E">
        <w:rPr>
          <w:rFonts w:ascii="AvantGarde Bk BT" w:hAnsi="AvantGarde Bk BT" w:cs="Arial"/>
          <w:color w:val="000000" w:themeColor="text1"/>
          <w:sz w:val="24"/>
          <w:szCs w:val="24"/>
        </w:rPr>
        <w:t>•</w:t>
      </w:r>
      <w:r w:rsidRPr="008B1D0E">
        <w:rPr>
          <w:rFonts w:ascii="AvantGarde Bk BT" w:hAnsi="AvantGarde Bk BT" w:cs="Arial"/>
          <w:color w:val="000000" w:themeColor="text1"/>
          <w:sz w:val="24"/>
          <w:szCs w:val="24"/>
        </w:rPr>
        <w:tab/>
        <w:t xml:space="preserve">El plazo por el que se reserva la información; </w:t>
      </w:r>
    </w:p>
    <w:p w14:paraId="718C23A7" w14:textId="77777777" w:rsidR="008B1D0E" w:rsidRPr="008B1D0E" w:rsidRDefault="008B1D0E" w:rsidP="008B1D0E">
      <w:pPr>
        <w:pStyle w:val="corte4fondo"/>
        <w:tabs>
          <w:tab w:val="left" w:pos="567"/>
        </w:tabs>
        <w:rPr>
          <w:rFonts w:ascii="AvantGarde Bk BT" w:hAnsi="AvantGarde Bk BT" w:cs="Arial"/>
          <w:color w:val="000000" w:themeColor="text1"/>
          <w:sz w:val="24"/>
          <w:szCs w:val="24"/>
        </w:rPr>
      </w:pPr>
      <w:r w:rsidRPr="008B1D0E">
        <w:rPr>
          <w:rFonts w:ascii="AvantGarde Bk BT" w:hAnsi="AvantGarde Bk BT" w:cs="Arial"/>
          <w:color w:val="000000" w:themeColor="text1"/>
          <w:sz w:val="24"/>
          <w:szCs w:val="24"/>
        </w:rPr>
        <w:t>•</w:t>
      </w:r>
      <w:r w:rsidRPr="008B1D0E">
        <w:rPr>
          <w:rFonts w:ascii="AvantGarde Bk BT" w:hAnsi="AvantGarde Bk BT" w:cs="Arial"/>
          <w:color w:val="000000" w:themeColor="text1"/>
          <w:sz w:val="24"/>
          <w:szCs w:val="24"/>
        </w:rPr>
        <w:tab/>
        <w:t>La designación de la autoridad responsable de su protección;</w:t>
      </w:r>
    </w:p>
    <w:p w14:paraId="2840AB4A" w14:textId="77777777" w:rsidR="008B1D0E" w:rsidRPr="008B1D0E" w:rsidRDefault="008B1D0E" w:rsidP="008B1D0E">
      <w:pPr>
        <w:pStyle w:val="corte4fondo"/>
        <w:tabs>
          <w:tab w:val="left" w:pos="567"/>
        </w:tabs>
        <w:rPr>
          <w:rFonts w:ascii="AvantGarde Bk BT" w:hAnsi="AvantGarde Bk BT" w:cs="Arial"/>
          <w:color w:val="000000" w:themeColor="text1"/>
          <w:sz w:val="24"/>
          <w:szCs w:val="24"/>
        </w:rPr>
      </w:pPr>
      <w:r w:rsidRPr="008B1D0E">
        <w:rPr>
          <w:rFonts w:ascii="AvantGarde Bk BT" w:hAnsi="AvantGarde Bk BT" w:cs="Arial"/>
          <w:color w:val="000000" w:themeColor="text1"/>
          <w:sz w:val="24"/>
          <w:szCs w:val="24"/>
        </w:rPr>
        <w:t>•</w:t>
      </w:r>
      <w:r w:rsidRPr="008B1D0E">
        <w:rPr>
          <w:rFonts w:ascii="AvantGarde Bk BT" w:hAnsi="AvantGarde Bk BT" w:cs="Arial"/>
          <w:color w:val="000000" w:themeColor="text1"/>
          <w:sz w:val="24"/>
          <w:szCs w:val="24"/>
        </w:rPr>
        <w:tab/>
        <w:t xml:space="preserve">Número de identificación del acuerdo de reserva; </w:t>
      </w:r>
    </w:p>
    <w:p w14:paraId="53F805D5" w14:textId="77777777" w:rsidR="008B1D0E" w:rsidRPr="008B1D0E" w:rsidRDefault="008B1D0E" w:rsidP="008B1D0E">
      <w:pPr>
        <w:pStyle w:val="corte4fondo"/>
        <w:tabs>
          <w:tab w:val="left" w:pos="567"/>
        </w:tabs>
        <w:rPr>
          <w:rFonts w:ascii="AvantGarde Bk BT" w:hAnsi="AvantGarde Bk BT" w:cs="Arial"/>
          <w:color w:val="000000" w:themeColor="text1"/>
          <w:sz w:val="24"/>
          <w:szCs w:val="24"/>
        </w:rPr>
      </w:pPr>
      <w:r w:rsidRPr="008B1D0E">
        <w:rPr>
          <w:rFonts w:ascii="AvantGarde Bk BT" w:hAnsi="AvantGarde Bk BT" w:cs="Arial"/>
          <w:color w:val="000000" w:themeColor="text1"/>
          <w:sz w:val="24"/>
          <w:szCs w:val="24"/>
        </w:rPr>
        <w:t>•</w:t>
      </w:r>
      <w:r w:rsidRPr="008B1D0E">
        <w:rPr>
          <w:rFonts w:ascii="AvantGarde Bk BT" w:hAnsi="AvantGarde Bk BT" w:cs="Arial"/>
          <w:color w:val="000000" w:themeColor="text1"/>
          <w:sz w:val="24"/>
          <w:szCs w:val="24"/>
        </w:rPr>
        <w:tab/>
        <w:t xml:space="preserve">La aplicación de la prueba del daño; </w:t>
      </w:r>
    </w:p>
    <w:p w14:paraId="6D048EF3" w14:textId="77777777" w:rsidR="008B1D0E" w:rsidRPr="008B1D0E" w:rsidRDefault="008B1D0E" w:rsidP="008B1D0E">
      <w:pPr>
        <w:pStyle w:val="corte4fondo"/>
        <w:tabs>
          <w:tab w:val="left" w:pos="567"/>
        </w:tabs>
        <w:rPr>
          <w:rFonts w:ascii="AvantGarde Bk BT" w:hAnsi="AvantGarde Bk BT" w:cs="Arial"/>
          <w:color w:val="000000" w:themeColor="text1"/>
          <w:sz w:val="24"/>
          <w:szCs w:val="24"/>
        </w:rPr>
      </w:pPr>
      <w:r w:rsidRPr="008B1D0E">
        <w:rPr>
          <w:rFonts w:ascii="AvantGarde Bk BT" w:hAnsi="AvantGarde Bk BT" w:cs="Arial"/>
          <w:color w:val="000000" w:themeColor="text1"/>
          <w:sz w:val="24"/>
          <w:szCs w:val="24"/>
        </w:rPr>
        <w:t>•</w:t>
      </w:r>
      <w:r w:rsidRPr="008B1D0E">
        <w:rPr>
          <w:rFonts w:ascii="AvantGarde Bk BT" w:hAnsi="AvantGarde Bk BT" w:cs="Arial"/>
          <w:color w:val="000000" w:themeColor="text1"/>
          <w:sz w:val="24"/>
          <w:szCs w:val="24"/>
        </w:rPr>
        <w:tab/>
        <w:t>Fecha del acuerdo de clasificación, y</w:t>
      </w:r>
    </w:p>
    <w:p w14:paraId="62ECE08F" w14:textId="77777777" w:rsidR="008B1D0E" w:rsidRPr="008B1D0E" w:rsidRDefault="008B1D0E" w:rsidP="008B1D0E">
      <w:pPr>
        <w:pStyle w:val="corte4fondo"/>
        <w:tabs>
          <w:tab w:val="left" w:pos="567"/>
        </w:tabs>
        <w:spacing w:after="240"/>
        <w:rPr>
          <w:rFonts w:ascii="AvantGarde Bk BT" w:hAnsi="AvantGarde Bk BT" w:cs="Arial"/>
          <w:color w:val="000000" w:themeColor="text1"/>
          <w:sz w:val="24"/>
          <w:szCs w:val="24"/>
        </w:rPr>
      </w:pPr>
      <w:r w:rsidRPr="008B1D0E">
        <w:rPr>
          <w:rFonts w:ascii="AvantGarde Bk BT" w:hAnsi="AvantGarde Bk BT" w:cs="Arial"/>
          <w:color w:val="000000" w:themeColor="text1"/>
          <w:sz w:val="24"/>
          <w:szCs w:val="24"/>
        </w:rPr>
        <w:t>•</w:t>
      </w:r>
      <w:r w:rsidRPr="008B1D0E">
        <w:rPr>
          <w:rFonts w:ascii="AvantGarde Bk BT" w:hAnsi="AvantGarde Bk BT" w:cs="Arial"/>
          <w:color w:val="000000" w:themeColor="text1"/>
          <w:sz w:val="24"/>
          <w:szCs w:val="24"/>
        </w:rPr>
        <w:tab/>
        <w:t xml:space="preserve">La rúbrica de los miembros del Comité.  </w:t>
      </w:r>
    </w:p>
    <w:p w14:paraId="346FB786" w14:textId="77777777" w:rsidR="008B1D0E" w:rsidRPr="008B1D0E" w:rsidRDefault="008B1D0E" w:rsidP="008B1D0E">
      <w:pPr>
        <w:pStyle w:val="corte4fondo"/>
        <w:tabs>
          <w:tab w:val="left" w:pos="567"/>
        </w:tabs>
        <w:spacing w:after="240"/>
        <w:rPr>
          <w:rFonts w:ascii="AvantGarde Bk BT" w:hAnsi="AvantGarde Bk BT" w:cs="Arial"/>
          <w:color w:val="000000" w:themeColor="text1"/>
          <w:sz w:val="24"/>
          <w:szCs w:val="24"/>
        </w:rPr>
      </w:pPr>
      <w:r w:rsidRPr="008B1D0E">
        <w:rPr>
          <w:rFonts w:ascii="AvantGarde Bk BT" w:hAnsi="AvantGarde Bk BT" w:cs="Arial"/>
          <w:color w:val="000000" w:themeColor="text1"/>
          <w:sz w:val="24"/>
          <w:szCs w:val="24"/>
        </w:rPr>
        <w:t xml:space="preserve">Por otro lado y en lo que atañe al fondo del acuerdo de reserva, la Ley de la materia prevé que la carga de la prueba para demostrar el menoscabo o afectación que se causaría en caso de divulgarse la información considerada como reservada, siempre será de los sujetos obligados, quienes a través de una prueba de daño, deberán realizar un análisis lógico-jurídico que justifique el daño real, demostrable e identificable de perjuicio significativo al interés público, mismo que supera el interés público general de conocer la información.  </w:t>
      </w:r>
    </w:p>
    <w:p w14:paraId="3CE066E6" w14:textId="77777777" w:rsidR="008B1D0E" w:rsidRPr="008B1D0E" w:rsidRDefault="008B1D0E" w:rsidP="008B1D0E">
      <w:pPr>
        <w:pStyle w:val="corte4fondo"/>
        <w:tabs>
          <w:tab w:val="left" w:pos="567"/>
        </w:tabs>
        <w:spacing w:after="240"/>
        <w:rPr>
          <w:rFonts w:ascii="AvantGarde Bk BT" w:hAnsi="AvantGarde Bk BT" w:cs="Arial"/>
          <w:color w:val="000000" w:themeColor="text1"/>
          <w:sz w:val="24"/>
          <w:szCs w:val="24"/>
        </w:rPr>
      </w:pPr>
      <w:r w:rsidRPr="008B1D0E">
        <w:rPr>
          <w:rFonts w:ascii="AvantGarde Bk BT" w:hAnsi="AvantGarde Bk BT" w:cs="Arial"/>
          <w:color w:val="000000" w:themeColor="text1"/>
          <w:sz w:val="24"/>
          <w:szCs w:val="24"/>
        </w:rPr>
        <w:t>Con relación a lo antes expuesto, los Lineamientos Generales en Materia de Clasificación y Desclasificación de la Información, así como para la Elaboración de Versiones Públicas prevén que la prueba de daño deberá contener diversos elementos, motivo por el cual resulta necesario citar el Lineamiento Trigésimo Tercero, mismo que a la letra dice:</w:t>
      </w:r>
    </w:p>
    <w:p w14:paraId="07D84985" w14:textId="77777777" w:rsidR="008B1D0E" w:rsidRPr="008B1D0E" w:rsidRDefault="008B1D0E" w:rsidP="00D03A4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B1D0E">
        <w:rPr>
          <w:rFonts w:ascii="AvantGarde Bk BT" w:hAnsi="AvantGarde Bk BT" w:cs="Arial"/>
          <w:color w:val="000000" w:themeColor="text1"/>
          <w:sz w:val="24"/>
          <w:szCs w:val="24"/>
        </w:rPr>
        <w:lastRenderedPageBreak/>
        <w:t>“</w:t>
      </w:r>
      <w:r w:rsidRPr="008B1D0E">
        <w:rPr>
          <w:rFonts w:ascii="AvantGarde Bk BT" w:hAnsi="AvantGarde Bk BT" w:cs="Arial"/>
          <w:i/>
          <w:color w:val="000000" w:themeColor="text1"/>
          <w:sz w:val="22"/>
          <w:szCs w:val="24"/>
        </w:rPr>
        <w:t xml:space="preserve">Trigésimo tercero. Para la aplicación de la prueba de daño a la que hace referencia el artículo 104 de la Ley General, los sujetos obligados atenderán lo siguiente: </w:t>
      </w:r>
    </w:p>
    <w:p w14:paraId="0F891D21" w14:textId="77777777" w:rsidR="008B1D0E" w:rsidRPr="008B1D0E" w:rsidRDefault="008B1D0E" w:rsidP="00D03A4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B1D0E">
        <w:rPr>
          <w:rFonts w:ascii="AvantGarde Bk BT" w:hAnsi="AvantGarde Bk BT" w:cs="Arial"/>
          <w:i/>
          <w:color w:val="000000" w:themeColor="text1"/>
          <w:sz w:val="22"/>
          <w:szCs w:val="24"/>
        </w:rPr>
        <w:t xml:space="preserve">I. Se deberá citar la fracción y, en su caso, la causal aplicable del artículo 113 de la Ley General, vinculándola con el Lineamiento específico del presente ordenamiento y, cuando corresponda, el supuesto normativo que expresamente le otorga el carácter de información reservada; </w:t>
      </w:r>
    </w:p>
    <w:p w14:paraId="1A2F3C1B" w14:textId="77777777" w:rsidR="008B1D0E" w:rsidRPr="008B1D0E" w:rsidRDefault="008B1D0E" w:rsidP="00D03A4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B1D0E">
        <w:rPr>
          <w:rFonts w:ascii="AvantGarde Bk BT" w:hAnsi="AvantGarde Bk BT" w:cs="Arial"/>
          <w:i/>
          <w:color w:val="000000" w:themeColor="text1"/>
          <w:sz w:val="22"/>
          <w:szCs w:val="24"/>
        </w:rPr>
        <w:t xml:space="preserve">II. Mediante la ponderación de los intereses en conflicto, los sujetos obligados deberán demostrar que la publicidad de la información solicitada generaría un riesgo de perjuicio </w:t>
      </w:r>
      <w:proofErr w:type="gramStart"/>
      <w:r w:rsidRPr="008B1D0E">
        <w:rPr>
          <w:rFonts w:ascii="AvantGarde Bk BT" w:hAnsi="AvantGarde Bk BT" w:cs="Arial"/>
          <w:i/>
          <w:color w:val="000000" w:themeColor="text1"/>
          <w:sz w:val="22"/>
          <w:szCs w:val="24"/>
        </w:rPr>
        <w:t>y</w:t>
      </w:r>
      <w:proofErr w:type="gramEnd"/>
      <w:r w:rsidRPr="008B1D0E">
        <w:rPr>
          <w:rFonts w:ascii="AvantGarde Bk BT" w:hAnsi="AvantGarde Bk BT" w:cs="Arial"/>
          <w:i/>
          <w:color w:val="000000" w:themeColor="text1"/>
          <w:sz w:val="22"/>
          <w:szCs w:val="24"/>
        </w:rPr>
        <w:t xml:space="preserve"> por lo tanto, tendrán que acreditar que este último rebasa el interés público protegido por la reserva; </w:t>
      </w:r>
    </w:p>
    <w:p w14:paraId="2121855E" w14:textId="77777777" w:rsidR="008B1D0E" w:rsidRPr="008B1D0E" w:rsidRDefault="008B1D0E" w:rsidP="00D03A4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B1D0E">
        <w:rPr>
          <w:rFonts w:ascii="AvantGarde Bk BT" w:hAnsi="AvantGarde Bk BT" w:cs="Arial"/>
          <w:i/>
          <w:color w:val="000000" w:themeColor="text1"/>
          <w:sz w:val="22"/>
          <w:szCs w:val="24"/>
        </w:rPr>
        <w:t xml:space="preserve">III. Se debe de acreditar el vínculo entre la difusión de la información y la afectación del interés jurídico tutelado de que se trate; </w:t>
      </w:r>
    </w:p>
    <w:p w14:paraId="1E062B69" w14:textId="77777777" w:rsidR="008B1D0E" w:rsidRPr="008B1D0E" w:rsidRDefault="008B1D0E" w:rsidP="00D03A4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B1D0E">
        <w:rPr>
          <w:rFonts w:ascii="AvantGarde Bk BT" w:hAnsi="AvantGarde Bk BT" w:cs="Arial"/>
          <w:i/>
          <w:color w:val="000000" w:themeColor="text1"/>
          <w:sz w:val="22"/>
          <w:szCs w:val="24"/>
        </w:rPr>
        <w:t xml:space="preserve">IV. Precisar las razones objetivas por las que la apertura de la información generaría una afectación, a través de los elementos de un riesgo real, demostrable e identificable; </w:t>
      </w:r>
    </w:p>
    <w:p w14:paraId="6DBC20D3" w14:textId="77777777" w:rsidR="008B1D0E" w:rsidRPr="008B1D0E" w:rsidRDefault="008B1D0E" w:rsidP="008B1D0E">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8B1D0E">
        <w:rPr>
          <w:rFonts w:ascii="AvantGarde Bk BT" w:hAnsi="AvantGarde Bk BT" w:cs="Arial"/>
          <w:i/>
          <w:color w:val="000000" w:themeColor="text1"/>
          <w:sz w:val="22"/>
          <w:szCs w:val="24"/>
        </w:rPr>
        <w:t xml:space="preserve">V. En la motivación de la clasificación, el sujeto obligado deberá acreditar las circunstancias de modo, tiempo y lugar del daño, y </w:t>
      </w:r>
    </w:p>
    <w:p w14:paraId="27C17B0D" w14:textId="65443C01" w:rsidR="00B01A0F" w:rsidRDefault="008B1D0E" w:rsidP="008B1D0E">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8B1D0E">
        <w:rPr>
          <w:rFonts w:ascii="AvantGarde Bk BT" w:hAnsi="AvantGarde Bk BT" w:cs="Arial"/>
          <w:i/>
          <w:color w:val="000000" w:themeColor="text1"/>
          <w:sz w:val="22"/>
          <w:szCs w:val="24"/>
        </w:rPr>
        <w:t>VI. Deberán elegir la opción de excepción al acceso a la información que menos lo restrinja, la cual será adecuada y proporcional para la protección del interés público, y deberá interferir lo menos posible en el ejercicio efectivo del derecho de acceso a la información</w:t>
      </w:r>
      <w:r w:rsidRPr="008B1D0E">
        <w:rPr>
          <w:rFonts w:ascii="AvantGarde Bk BT" w:hAnsi="AvantGarde Bk BT" w:cs="Arial"/>
          <w:color w:val="000000" w:themeColor="text1"/>
          <w:sz w:val="24"/>
          <w:szCs w:val="24"/>
        </w:rPr>
        <w:t>.”</w:t>
      </w:r>
    </w:p>
    <w:p w14:paraId="4497B950" w14:textId="272939A1" w:rsidR="00711E2C" w:rsidRDefault="00711E2C" w:rsidP="000C7A1C">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Establecido lo anterior, es necesario puntualizar que el sujeto obligado fundó la clasificación de la información en las fracciones VII y X del artículo 129 de la Ley de Transparencia local; es decir, porque la información requerida </w:t>
      </w:r>
      <w:r w:rsidRPr="00711E2C">
        <w:rPr>
          <w:rFonts w:ascii="AvantGarde Bk BT" w:hAnsi="AvantGarde Bk BT" w:cs="Arial"/>
          <w:color w:val="000000" w:themeColor="text1"/>
          <w:sz w:val="24"/>
          <w:szCs w:val="24"/>
        </w:rPr>
        <w:t>contiene opiniones, recomendaci</w:t>
      </w:r>
      <w:r>
        <w:rPr>
          <w:rFonts w:ascii="AvantGarde Bk BT" w:hAnsi="AvantGarde Bk BT" w:cs="Arial"/>
          <w:color w:val="000000" w:themeColor="text1"/>
          <w:sz w:val="24"/>
          <w:szCs w:val="24"/>
        </w:rPr>
        <w:t>ones o puntos de vista que forma</w:t>
      </w:r>
      <w:r w:rsidRPr="00711E2C">
        <w:rPr>
          <w:rFonts w:ascii="AvantGarde Bk BT" w:hAnsi="AvantGarde Bk BT" w:cs="Arial"/>
          <w:color w:val="000000" w:themeColor="text1"/>
          <w:sz w:val="24"/>
          <w:szCs w:val="24"/>
        </w:rPr>
        <w:t>n parte del proceso deliberativo de los servidores públicos</w:t>
      </w:r>
      <w:r>
        <w:rPr>
          <w:rFonts w:ascii="AvantGarde Bk BT" w:hAnsi="AvantGarde Bk BT" w:cs="Arial"/>
          <w:color w:val="000000" w:themeColor="text1"/>
          <w:sz w:val="24"/>
          <w:szCs w:val="24"/>
        </w:rPr>
        <w:t xml:space="preserve"> y</w:t>
      </w:r>
      <w:r w:rsidRPr="00711E2C">
        <w:rPr>
          <w:rFonts w:ascii="AvantGarde Bk BT" w:hAnsi="AvantGarde Bk BT" w:cs="Arial"/>
          <w:color w:val="000000" w:themeColor="text1"/>
          <w:sz w:val="24"/>
          <w:szCs w:val="24"/>
        </w:rPr>
        <w:t xml:space="preserve"> no se</w:t>
      </w:r>
      <w:r>
        <w:rPr>
          <w:rFonts w:ascii="AvantGarde Bk BT" w:hAnsi="AvantGarde Bk BT" w:cs="Arial"/>
          <w:color w:val="000000" w:themeColor="text1"/>
          <w:sz w:val="24"/>
          <w:szCs w:val="24"/>
        </w:rPr>
        <w:t xml:space="preserve"> h</w:t>
      </w:r>
      <w:r w:rsidRPr="00711E2C">
        <w:rPr>
          <w:rFonts w:ascii="AvantGarde Bk BT" w:hAnsi="AvantGarde Bk BT" w:cs="Arial"/>
          <w:color w:val="000000" w:themeColor="text1"/>
          <w:sz w:val="24"/>
          <w:szCs w:val="24"/>
        </w:rPr>
        <w:t>a adoptada la decisión definitiva</w:t>
      </w:r>
      <w:r>
        <w:rPr>
          <w:rFonts w:ascii="AvantGarde Bk BT" w:hAnsi="AvantGarde Bk BT" w:cs="Arial"/>
          <w:color w:val="000000" w:themeColor="text1"/>
          <w:sz w:val="24"/>
          <w:szCs w:val="24"/>
        </w:rPr>
        <w:t xml:space="preserve">; así como porque la divulgación de la información </w:t>
      </w:r>
      <w:r w:rsidRPr="00711E2C">
        <w:rPr>
          <w:rFonts w:ascii="AvantGarde Bk BT" w:hAnsi="AvantGarde Bk BT" w:cs="Arial"/>
          <w:color w:val="000000" w:themeColor="text1"/>
          <w:sz w:val="24"/>
          <w:szCs w:val="24"/>
        </w:rPr>
        <w:t>vulneraría la conducción de los procedimientos administrativos seguidos en forma de juicio, en tanto que éstos no han causado estado.</w:t>
      </w:r>
    </w:p>
    <w:p w14:paraId="7394A176" w14:textId="13627E59" w:rsidR="00043459" w:rsidRDefault="00233E5F" w:rsidP="009D4B1A">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este sentido, es dable precisar </w:t>
      </w:r>
      <w:proofErr w:type="gramStart"/>
      <w:r>
        <w:rPr>
          <w:rFonts w:ascii="AvantGarde Bk BT" w:hAnsi="AvantGarde Bk BT" w:cs="Arial"/>
          <w:color w:val="000000" w:themeColor="text1"/>
          <w:sz w:val="24"/>
          <w:szCs w:val="24"/>
        </w:rPr>
        <w:t>que</w:t>
      </w:r>
      <w:proofErr w:type="gramEnd"/>
      <w:r>
        <w:rPr>
          <w:rFonts w:ascii="AvantGarde Bk BT" w:hAnsi="AvantGarde Bk BT" w:cs="Arial"/>
          <w:color w:val="000000" w:themeColor="text1"/>
          <w:sz w:val="24"/>
          <w:szCs w:val="24"/>
        </w:rPr>
        <w:t xml:space="preserve"> en el caso concreto, el sujeto obligado al elaborar la prueba de daño debe acreditar los extremos de </w:t>
      </w:r>
      <w:r w:rsidRPr="008B1D0E">
        <w:rPr>
          <w:rFonts w:ascii="AvantGarde Bk BT" w:hAnsi="AvantGarde Bk BT" w:cs="Arial"/>
          <w:color w:val="000000" w:themeColor="text1"/>
          <w:sz w:val="24"/>
          <w:szCs w:val="24"/>
        </w:rPr>
        <w:t>los</w:t>
      </w:r>
      <w:r>
        <w:rPr>
          <w:rFonts w:ascii="AvantGarde Bk BT" w:hAnsi="AvantGarde Bk BT" w:cs="Arial"/>
          <w:color w:val="000000" w:themeColor="text1"/>
          <w:sz w:val="24"/>
          <w:szCs w:val="24"/>
        </w:rPr>
        <w:t xml:space="preserve"> lineamientos específicos que corresponden a las causales de reserva invocadas, mismos que a continuación se transcriben:</w:t>
      </w:r>
    </w:p>
    <w:p w14:paraId="4D0813C6" w14:textId="77777777" w:rsidR="00D81F1B" w:rsidRPr="00D81F1B" w:rsidRDefault="00D81F1B" w:rsidP="00D81F1B">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81F1B">
        <w:rPr>
          <w:rFonts w:ascii="AvantGarde Bk BT" w:hAnsi="AvantGarde Bk BT" w:cs="Arial"/>
          <w:i/>
          <w:color w:val="000000" w:themeColor="text1"/>
          <w:sz w:val="24"/>
          <w:szCs w:val="24"/>
        </w:rPr>
        <w:t>“</w:t>
      </w:r>
      <w:r w:rsidRPr="00D81F1B">
        <w:rPr>
          <w:rFonts w:ascii="AvantGarde Bk BT" w:hAnsi="AvantGarde Bk BT" w:cs="Arial"/>
          <w:b/>
          <w:bCs/>
          <w:i/>
          <w:color w:val="000000" w:themeColor="text1"/>
          <w:sz w:val="22"/>
          <w:szCs w:val="24"/>
        </w:rPr>
        <w:t>Vigésimo séptimo.</w:t>
      </w:r>
      <w:r w:rsidRPr="00D81F1B">
        <w:rPr>
          <w:rFonts w:ascii="AvantGarde Bk BT" w:hAnsi="AvantGarde Bk BT" w:cs="Arial"/>
          <w:i/>
          <w:color w:val="000000" w:themeColor="text1"/>
          <w:sz w:val="22"/>
          <w:szCs w:val="24"/>
        </w:rPr>
        <w:t> De conformidad con el artículo 113, fracción VIII de la Ley General, podrá considerarse como información reservada, aquella que contenga las opiniones, recomendaciones o puntos de vista que formen parte del proceso deliberativo de los servidores públicos, hasta en tanto no sea adoptada la decisión definitiva, la cual deberá estar documentada. Para tal efecto, el sujeto obligado deberá acreditar lo siguiente:</w:t>
      </w:r>
    </w:p>
    <w:p w14:paraId="49EB7443" w14:textId="77777777" w:rsidR="00D81F1B" w:rsidRPr="00D81F1B" w:rsidRDefault="00D81F1B" w:rsidP="00D81F1B">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81F1B">
        <w:rPr>
          <w:rFonts w:ascii="AvantGarde Bk BT" w:hAnsi="AvantGarde Bk BT" w:cs="Arial"/>
          <w:b/>
          <w:bCs/>
          <w:i/>
          <w:color w:val="000000" w:themeColor="text1"/>
          <w:sz w:val="22"/>
          <w:szCs w:val="24"/>
        </w:rPr>
        <w:t>I.</w:t>
      </w:r>
      <w:r w:rsidRPr="00D81F1B">
        <w:rPr>
          <w:rFonts w:ascii="AvantGarde Bk BT" w:hAnsi="AvantGarde Bk BT" w:cs="Arial"/>
          <w:i/>
          <w:color w:val="000000" w:themeColor="text1"/>
          <w:sz w:val="22"/>
          <w:szCs w:val="24"/>
        </w:rPr>
        <w:t>        La existencia de un proceso deliberativo en curso, precisando la fecha de inicio;</w:t>
      </w:r>
    </w:p>
    <w:p w14:paraId="68D8064E" w14:textId="77777777" w:rsidR="00D81F1B" w:rsidRPr="00D81F1B" w:rsidRDefault="00D81F1B" w:rsidP="00D81F1B">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81F1B">
        <w:rPr>
          <w:rFonts w:ascii="AvantGarde Bk BT" w:hAnsi="AvantGarde Bk BT" w:cs="Arial"/>
          <w:b/>
          <w:bCs/>
          <w:i/>
          <w:color w:val="000000" w:themeColor="text1"/>
          <w:sz w:val="22"/>
          <w:szCs w:val="24"/>
        </w:rPr>
        <w:lastRenderedPageBreak/>
        <w:t>II.</w:t>
      </w:r>
      <w:r w:rsidRPr="00D81F1B">
        <w:rPr>
          <w:rFonts w:ascii="AvantGarde Bk BT" w:hAnsi="AvantGarde Bk BT" w:cs="Arial"/>
          <w:i/>
          <w:color w:val="000000" w:themeColor="text1"/>
          <w:sz w:val="22"/>
          <w:szCs w:val="24"/>
        </w:rPr>
        <w:t>       Que la información consista en opiniones, recomendaciones o puntos de vista de los servidores públicos que participan en el proceso deliberativo;</w:t>
      </w:r>
    </w:p>
    <w:p w14:paraId="4276C19E" w14:textId="77777777" w:rsidR="00D81F1B" w:rsidRPr="00D81F1B" w:rsidRDefault="00D81F1B" w:rsidP="00D81F1B">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81F1B">
        <w:rPr>
          <w:rFonts w:ascii="AvantGarde Bk BT" w:hAnsi="AvantGarde Bk BT" w:cs="Arial"/>
          <w:b/>
          <w:bCs/>
          <w:i/>
          <w:color w:val="000000" w:themeColor="text1"/>
          <w:sz w:val="22"/>
          <w:szCs w:val="24"/>
        </w:rPr>
        <w:t>III.</w:t>
      </w:r>
      <w:r w:rsidRPr="00D81F1B">
        <w:rPr>
          <w:rFonts w:ascii="AvantGarde Bk BT" w:hAnsi="AvantGarde Bk BT" w:cs="Arial"/>
          <w:i/>
          <w:color w:val="000000" w:themeColor="text1"/>
          <w:sz w:val="22"/>
          <w:szCs w:val="24"/>
        </w:rPr>
        <w:t>      Que la información se encuentre relacionada, de manera directa, con el proceso deliberativo, y</w:t>
      </w:r>
    </w:p>
    <w:p w14:paraId="60EE97B9" w14:textId="77777777" w:rsidR="00D81F1B" w:rsidRPr="00D81F1B" w:rsidRDefault="00D81F1B" w:rsidP="00D81F1B">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81F1B">
        <w:rPr>
          <w:rFonts w:ascii="AvantGarde Bk BT" w:hAnsi="AvantGarde Bk BT" w:cs="Arial"/>
          <w:b/>
          <w:bCs/>
          <w:i/>
          <w:color w:val="000000" w:themeColor="text1"/>
          <w:sz w:val="22"/>
          <w:szCs w:val="24"/>
        </w:rPr>
        <w:t>IV.</w:t>
      </w:r>
      <w:r w:rsidRPr="00D81F1B">
        <w:rPr>
          <w:rFonts w:ascii="AvantGarde Bk BT" w:hAnsi="AvantGarde Bk BT" w:cs="Arial"/>
          <w:i/>
          <w:color w:val="000000" w:themeColor="text1"/>
          <w:sz w:val="22"/>
          <w:szCs w:val="24"/>
        </w:rPr>
        <w:t>      Que con su difusión se pueda llegar a interrumpir, menoscabar o inhibir el diseño, negociación, determinación o implementación de los asuntos sometidos a deliberación.</w:t>
      </w:r>
    </w:p>
    <w:p w14:paraId="3C3F7F6E" w14:textId="77777777" w:rsidR="00D81F1B" w:rsidRPr="00D81F1B" w:rsidRDefault="00D81F1B" w:rsidP="00D81F1B">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81F1B">
        <w:rPr>
          <w:rFonts w:ascii="AvantGarde Bk BT" w:hAnsi="AvantGarde Bk BT" w:cs="Arial"/>
          <w:i/>
          <w:color w:val="000000" w:themeColor="text1"/>
          <w:sz w:val="22"/>
          <w:szCs w:val="24"/>
        </w:rPr>
        <w:t>Cuando se trate de insumos informativos o de apoyo para el proceso deliberativo, únicamente podrá clasificarse aquella información que se encuentre directamente relacionada con la toma de decisiones y que con su difusión pueda llegar a interrumpir, menoscabar o inhibir el diseño, negociación o implementación de los asuntos sometidos a deliberación.</w:t>
      </w:r>
    </w:p>
    <w:p w14:paraId="6B087606" w14:textId="77777777" w:rsidR="00D81F1B" w:rsidRPr="00D81F1B" w:rsidRDefault="00D81F1B" w:rsidP="00D81F1B">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81F1B">
        <w:rPr>
          <w:rFonts w:ascii="AvantGarde Bk BT" w:hAnsi="AvantGarde Bk BT" w:cs="Arial"/>
          <w:i/>
          <w:color w:val="000000" w:themeColor="text1"/>
          <w:sz w:val="22"/>
          <w:szCs w:val="24"/>
        </w:rPr>
        <w:t>Se considera concluido el proceso deliberativo cuando se adopte de manera concluyente la última determinación, sea o no susceptible de ejecución; cuando el proceso haya quedado sin materia, o cuando por cualquier causa no sea posible continuar con su desarrollo.</w:t>
      </w:r>
    </w:p>
    <w:p w14:paraId="3EA4C6EE" w14:textId="77777777" w:rsidR="00D81F1B" w:rsidRPr="00D81F1B" w:rsidRDefault="00D81F1B" w:rsidP="00D81F1B">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0269F">
        <w:rPr>
          <w:rFonts w:ascii="AvantGarde Bk BT" w:hAnsi="AvantGarde Bk BT" w:cs="Arial"/>
          <w:b/>
          <w:i/>
          <w:color w:val="000000" w:themeColor="text1"/>
          <w:sz w:val="22"/>
          <w:szCs w:val="24"/>
          <w:u w:val="single"/>
        </w:rPr>
        <w:t>En el caso de que la solicitud de acceso se turne a un área distinta de la responsable de tomar la decisión definitiva y se desconozca si ésta ha sido adoptada, el área receptora deberá consultar a la responsable, a efecto de determinar si es procedente otorgar el acceso a la información solicitada</w:t>
      </w:r>
      <w:r w:rsidRPr="00D81F1B">
        <w:rPr>
          <w:rFonts w:ascii="AvantGarde Bk BT" w:hAnsi="AvantGarde Bk BT" w:cs="Arial"/>
          <w:i/>
          <w:color w:val="000000" w:themeColor="text1"/>
          <w:sz w:val="22"/>
          <w:szCs w:val="24"/>
        </w:rPr>
        <w:t>. En estos casos, no se interrumpirá el plazo para dar respuesta a la solicitud de información.</w:t>
      </w:r>
    </w:p>
    <w:p w14:paraId="19872522" w14:textId="7DD9F27D" w:rsidR="00233E5F" w:rsidRPr="00D0269F" w:rsidRDefault="00D81F1B" w:rsidP="00D81F1B">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D81F1B">
        <w:rPr>
          <w:rFonts w:ascii="AvantGarde Bk BT" w:hAnsi="AvantGarde Bk BT" w:cs="Arial"/>
          <w:i/>
          <w:color w:val="000000" w:themeColor="text1"/>
          <w:sz w:val="22"/>
          <w:szCs w:val="24"/>
        </w:rPr>
        <w:t>Tratándose de partidos políticos, se considerará reservada la información relativa a los procesos deliberativos de sus órganos internos; la correspondiente a sus estrategias políticas, así como los estudios, encuestas y análisis utilizados para el desarrollo e implementación de dichas estrategias.</w:t>
      </w:r>
      <w:r w:rsidRPr="00D81F1B">
        <w:rPr>
          <w:rFonts w:ascii="AvantGarde Bk BT" w:hAnsi="AvantGarde Bk BT" w:cs="Arial"/>
          <w:i/>
          <w:color w:val="000000" w:themeColor="text1"/>
          <w:sz w:val="24"/>
          <w:szCs w:val="24"/>
        </w:rPr>
        <w:t>”</w:t>
      </w:r>
      <w:r w:rsidR="00D0269F">
        <w:rPr>
          <w:rFonts w:ascii="AvantGarde Bk BT" w:hAnsi="AvantGarde Bk BT" w:cs="Arial"/>
          <w:i/>
          <w:color w:val="000000" w:themeColor="text1"/>
          <w:sz w:val="24"/>
          <w:szCs w:val="24"/>
        </w:rPr>
        <w:t xml:space="preserve"> </w:t>
      </w:r>
      <w:r w:rsidR="00D0269F">
        <w:rPr>
          <w:rFonts w:ascii="AvantGarde Bk BT" w:hAnsi="AvantGarde Bk BT" w:cs="Arial"/>
          <w:color w:val="000000" w:themeColor="text1"/>
          <w:sz w:val="24"/>
          <w:szCs w:val="24"/>
        </w:rPr>
        <w:t>Énfasis propio.</w:t>
      </w:r>
    </w:p>
    <w:p w14:paraId="45A208EB" w14:textId="77777777" w:rsidR="00D81F1B" w:rsidRPr="00D81F1B" w:rsidRDefault="00D81F1B" w:rsidP="00D81F1B">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81F1B">
        <w:rPr>
          <w:rFonts w:ascii="AvantGarde Bk BT" w:hAnsi="AvantGarde Bk BT" w:cs="Arial"/>
          <w:i/>
          <w:color w:val="000000" w:themeColor="text1"/>
          <w:sz w:val="24"/>
          <w:szCs w:val="24"/>
        </w:rPr>
        <w:t>“</w:t>
      </w:r>
      <w:r w:rsidRPr="00D81F1B">
        <w:rPr>
          <w:rFonts w:ascii="AvantGarde Bk BT" w:hAnsi="AvantGarde Bk BT" w:cs="Arial"/>
          <w:b/>
          <w:bCs/>
          <w:i/>
          <w:color w:val="000000" w:themeColor="text1"/>
          <w:sz w:val="22"/>
          <w:szCs w:val="24"/>
        </w:rPr>
        <w:t>Trigésimo.</w:t>
      </w:r>
      <w:r w:rsidRPr="00D81F1B">
        <w:rPr>
          <w:rFonts w:ascii="AvantGarde Bk BT" w:hAnsi="AvantGarde Bk BT" w:cs="Arial"/>
          <w:i/>
          <w:color w:val="000000" w:themeColor="text1"/>
          <w:sz w:val="22"/>
          <w:szCs w:val="24"/>
        </w:rPr>
        <w:t> De conformidad con el artículo 113, fracción XI de la Ley General, podrá considerarse como información reservada, aquella que vulnere la conducción de los expedientes judiciales o de los procedimientos administrativos seguidos en forma de juicio, siempre y cuando se acrediten los siguientes elementos:</w:t>
      </w:r>
    </w:p>
    <w:p w14:paraId="743CE713" w14:textId="77777777" w:rsidR="00D81F1B" w:rsidRPr="00D81F1B" w:rsidRDefault="00D81F1B" w:rsidP="00D81F1B">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81F1B">
        <w:rPr>
          <w:rFonts w:ascii="AvantGarde Bk BT" w:hAnsi="AvantGarde Bk BT" w:cs="Arial"/>
          <w:b/>
          <w:bCs/>
          <w:i/>
          <w:color w:val="000000" w:themeColor="text1"/>
          <w:sz w:val="22"/>
          <w:szCs w:val="24"/>
        </w:rPr>
        <w:t>I.</w:t>
      </w:r>
      <w:r w:rsidRPr="00D81F1B">
        <w:rPr>
          <w:rFonts w:ascii="AvantGarde Bk BT" w:hAnsi="AvantGarde Bk BT" w:cs="Arial"/>
          <w:i/>
          <w:color w:val="000000" w:themeColor="text1"/>
          <w:sz w:val="22"/>
          <w:szCs w:val="24"/>
        </w:rPr>
        <w:t>        La existencia de un juicio o procedimiento administrativo materialmente jurisdiccional, que se encuentre en trámite, y</w:t>
      </w:r>
    </w:p>
    <w:p w14:paraId="5F79BD96" w14:textId="77777777" w:rsidR="00D81F1B" w:rsidRPr="00D81F1B" w:rsidRDefault="00D81F1B" w:rsidP="00D81F1B">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81F1B">
        <w:rPr>
          <w:rFonts w:ascii="AvantGarde Bk BT" w:hAnsi="AvantGarde Bk BT" w:cs="Arial"/>
          <w:b/>
          <w:bCs/>
          <w:i/>
          <w:color w:val="000000" w:themeColor="text1"/>
          <w:sz w:val="22"/>
          <w:szCs w:val="24"/>
        </w:rPr>
        <w:t>II.</w:t>
      </w:r>
      <w:r w:rsidRPr="00D81F1B">
        <w:rPr>
          <w:rFonts w:ascii="AvantGarde Bk BT" w:hAnsi="AvantGarde Bk BT" w:cs="Arial"/>
          <w:i/>
          <w:color w:val="000000" w:themeColor="text1"/>
          <w:sz w:val="22"/>
          <w:szCs w:val="24"/>
        </w:rPr>
        <w:t>       Que la información solicitada se refiera a actuaciones, diligencias o constancias propias del procedimiento.</w:t>
      </w:r>
    </w:p>
    <w:p w14:paraId="5C6AFCBB" w14:textId="77777777" w:rsidR="00D81F1B" w:rsidRPr="00D81F1B" w:rsidRDefault="00D81F1B" w:rsidP="00D81F1B">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81F1B">
        <w:rPr>
          <w:rFonts w:ascii="AvantGarde Bk BT" w:hAnsi="AvantGarde Bk BT" w:cs="Arial"/>
          <w:i/>
          <w:color w:val="000000" w:themeColor="text1"/>
          <w:sz w:val="22"/>
          <w:szCs w:val="24"/>
        </w:rPr>
        <w:t>Para los efectos del primer párrafo de este numeral, se considera procedimiento seguido en forma de juicio a aquel formalmente administrativo, pero materialmente jurisdiccional; esto es, en el que concurran los siguientes elementos:</w:t>
      </w:r>
    </w:p>
    <w:p w14:paraId="0F6E7897" w14:textId="77777777" w:rsidR="00D81F1B" w:rsidRPr="00D81F1B" w:rsidRDefault="00D81F1B" w:rsidP="00D81F1B">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81F1B">
        <w:rPr>
          <w:rFonts w:ascii="AvantGarde Bk BT" w:hAnsi="AvantGarde Bk BT" w:cs="Arial"/>
          <w:b/>
          <w:bCs/>
          <w:i/>
          <w:color w:val="000000" w:themeColor="text1"/>
          <w:sz w:val="22"/>
          <w:szCs w:val="24"/>
        </w:rPr>
        <w:t>1.</w:t>
      </w:r>
      <w:r w:rsidRPr="00D81F1B">
        <w:rPr>
          <w:rFonts w:ascii="AvantGarde Bk BT" w:hAnsi="AvantGarde Bk BT" w:cs="Arial"/>
          <w:i/>
          <w:color w:val="000000" w:themeColor="text1"/>
          <w:sz w:val="22"/>
          <w:szCs w:val="24"/>
        </w:rPr>
        <w:t> Que se trate de un procedimiento en el que la autoridad dirima una controversia entre partes contendientes, así como los procedimientos en que la autoridad, frente al particular, prepare su resolución definitiva, aunque sólo sea un trámite para cumplir con la garantía de audiencia, y</w:t>
      </w:r>
    </w:p>
    <w:p w14:paraId="1C14E67D" w14:textId="77777777" w:rsidR="00D81F1B" w:rsidRPr="00D81F1B" w:rsidRDefault="00D81F1B" w:rsidP="00D81F1B">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D81F1B">
        <w:rPr>
          <w:rFonts w:ascii="AvantGarde Bk BT" w:hAnsi="AvantGarde Bk BT" w:cs="Arial"/>
          <w:b/>
          <w:bCs/>
          <w:i/>
          <w:color w:val="000000" w:themeColor="text1"/>
          <w:sz w:val="22"/>
          <w:szCs w:val="24"/>
        </w:rPr>
        <w:t>2.</w:t>
      </w:r>
      <w:r w:rsidRPr="00D81F1B">
        <w:rPr>
          <w:rFonts w:ascii="AvantGarde Bk BT" w:hAnsi="AvantGarde Bk BT" w:cs="Arial"/>
          <w:i/>
          <w:color w:val="000000" w:themeColor="text1"/>
          <w:sz w:val="22"/>
          <w:szCs w:val="24"/>
        </w:rPr>
        <w:t> Que se cumplan las formalidades esenciales del procedimiento.</w:t>
      </w:r>
    </w:p>
    <w:p w14:paraId="5D99BD7B" w14:textId="215B924E" w:rsidR="00D81F1B" w:rsidRPr="00D81F1B" w:rsidRDefault="00D81F1B" w:rsidP="00D81F1B">
      <w:pPr>
        <w:pStyle w:val="corte4fondo"/>
        <w:tabs>
          <w:tab w:val="left" w:pos="567"/>
        </w:tabs>
        <w:spacing w:after="240" w:line="240" w:lineRule="auto"/>
        <w:ind w:left="680" w:right="680" w:firstLine="0"/>
        <w:rPr>
          <w:rFonts w:ascii="AvantGarde Bk BT" w:hAnsi="AvantGarde Bk BT" w:cs="Arial"/>
          <w:i/>
          <w:color w:val="000000" w:themeColor="text1"/>
          <w:sz w:val="24"/>
          <w:szCs w:val="24"/>
        </w:rPr>
      </w:pPr>
      <w:r w:rsidRPr="00D81F1B">
        <w:rPr>
          <w:rFonts w:ascii="AvantGarde Bk BT" w:hAnsi="AvantGarde Bk BT" w:cs="Arial"/>
          <w:i/>
          <w:color w:val="000000" w:themeColor="text1"/>
          <w:sz w:val="22"/>
          <w:szCs w:val="24"/>
        </w:rPr>
        <w:t>No serán objeto de reserva las resoluciones interlocutorias o definitivas que se dicten dentro de los procedimientos o con las que se concluya el mismo. En estos casos deberá otorgarse acceso a la resolución en versión pública, testando la información clasificada</w:t>
      </w:r>
      <w:r w:rsidRPr="00D81F1B">
        <w:rPr>
          <w:rFonts w:ascii="AvantGarde Bk BT" w:hAnsi="AvantGarde Bk BT" w:cs="Arial"/>
          <w:i/>
          <w:color w:val="000000" w:themeColor="text1"/>
          <w:sz w:val="24"/>
          <w:szCs w:val="24"/>
        </w:rPr>
        <w:t>.”</w:t>
      </w:r>
    </w:p>
    <w:p w14:paraId="2E817A3E" w14:textId="3F6ACFA0" w:rsidR="00711E2C" w:rsidRDefault="004B788B" w:rsidP="00FE2AA7">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De este modo, en la </w:t>
      </w:r>
      <w:r w:rsidR="00D350BA">
        <w:rPr>
          <w:rFonts w:ascii="AvantGarde Bk BT" w:hAnsi="AvantGarde Bk BT" w:cs="Arial"/>
          <w:color w:val="000000" w:themeColor="text1"/>
          <w:sz w:val="24"/>
          <w:szCs w:val="24"/>
        </w:rPr>
        <w:t xml:space="preserve">solicitud de clasificación de la información, el Titular de la Unidad de Asuntos Jurídicos y Derechos Humanos señaló en el apartado de la </w:t>
      </w:r>
      <w:r>
        <w:rPr>
          <w:rFonts w:ascii="AvantGarde Bk BT" w:hAnsi="AvantGarde Bk BT" w:cs="Arial"/>
          <w:color w:val="000000" w:themeColor="text1"/>
          <w:sz w:val="24"/>
          <w:szCs w:val="24"/>
        </w:rPr>
        <w:t>prueba de daño lo siguiente:</w:t>
      </w:r>
    </w:p>
    <w:p w14:paraId="16418344" w14:textId="77777777" w:rsidR="00FE2AA7" w:rsidRPr="00FE2AA7" w:rsidRDefault="004B788B" w:rsidP="00FE2AA7">
      <w:pPr>
        <w:pStyle w:val="corte4fondo"/>
        <w:tabs>
          <w:tab w:val="left" w:pos="567"/>
        </w:tabs>
        <w:spacing w:line="240" w:lineRule="auto"/>
        <w:ind w:left="680" w:right="680" w:firstLine="0"/>
        <w:rPr>
          <w:rFonts w:ascii="AvantGarde Bk BT" w:hAnsi="AvantGarde Bk BT" w:cs="Arial"/>
          <w:i/>
          <w:color w:val="000000" w:themeColor="text1"/>
          <w:sz w:val="22"/>
          <w:szCs w:val="22"/>
          <w:lang w:val="es-ES"/>
        </w:rPr>
      </w:pPr>
      <w:r>
        <w:rPr>
          <w:rFonts w:ascii="AvantGarde Bk BT" w:hAnsi="AvantGarde Bk BT" w:cs="Arial"/>
          <w:color w:val="000000" w:themeColor="text1"/>
          <w:sz w:val="24"/>
          <w:szCs w:val="24"/>
        </w:rPr>
        <w:t>“</w:t>
      </w:r>
      <w:r w:rsidR="00FE2AA7" w:rsidRPr="00FE2AA7">
        <w:rPr>
          <w:rFonts w:ascii="AvantGarde Bk BT" w:hAnsi="AvantGarde Bk BT" w:cs="Arial"/>
          <w:i/>
          <w:color w:val="000000" w:themeColor="text1"/>
          <w:sz w:val="22"/>
          <w:szCs w:val="22"/>
          <w:lang w:val="es-ES"/>
        </w:rPr>
        <w:t>VII.- La aplicación de la prueba del daño: Se tiene en cuenta que, en el esquema de nuestro sistema constitucional, el derecho de acceso a la información encuentra cimiento a partir de lo dispuesto en el artículo 6°, apartado A de la Constitución Política de los Estados Unidos Mexicanos, por el cual todo acto de autoridad (todo acto de gobierno) es de interés general y, por ende, es susceptible de ser conocido por todos.</w:t>
      </w:r>
    </w:p>
    <w:p w14:paraId="6A558D50" w14:textId="77777777" w:rsidR="00FE2AA7" w:rsidRPr="00FE2AA7" w:rsidRDefault="00FE2AA7" w:rsidP="00FE2AA7">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FE2AA7">
        <w:rPr>
          <w:rFonts w:ascii="AvantGarde Bk BT" w:hAnsi="AvantGarde Bk BT" w:cs="Arial"/>
          <w:i/>
          <w:color w:val="000000" w:themeColor="text1"/>
          <w:sz w:val="22"/>
          <w:szCs w:val="22"/>
        </w:rPr>
        <w:t>Por esta razón, el derecho de acceso a la información no puede caracterizarse como de contenido absoluto, pues se obtiene que la información que tienen bajo su resguardo los sujetos obligados encuentra como excepción aquélla que sea temporalmente reservada o confidencial en los términos establecidos en la normativa que rige la materia.</w:t>
      </w:r>
    </w:p>
    <w:p w14:paraId="6F1B1D16" w14:textId="77777777" w:rsidR="00FE2AA7" w:rsidRPr="00FE2AA7" w:rsidRDefault="00FE2AA7" w:rsidP="00FE2AA7">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FE2AA7">
        <w:rPr>
          <w:rFonts w:ascii="AvantGarde Bk BT" w:hAnsi="AvantGarde Bk BT" w:cs="Arial"/>
          <w:i/>
          <w:color w:val="000000" w:themeColor="text1"/>
          <w:sz w:val="22"/>
          <w:szCs w:val="22"/>
        </w:rPr>
        <w:t>Luego entonces, en el desarrollo de ese extremo de excepcionalidad, el artículo 129 de Ley de Transparencia y Acceso a la Información Pública del Estado enlista los supuestos sobre los que cabe la reserva de la información, siendo que de manera específica, las fracciones VII y VIII del mencionado precepto, se alude a aquella que contenga las opiniones, recomendaciones o puntos de vista que formen parte del proceso deliberativo de los servidores públicos, hasta en tanto no sea adoptada la decisión definitiva, la cual deberá estar documentada, así como aquella información cuya publicación vulnere la conducción de los Expedientes judiciales o de los procedimientos administrativos seguidos en forma de juicio, en tanto no hayan causado estado.</w:t>
      </w:r>
    </w:p>
    <w:p w14:paraId="7E37CBD3" w14:textId="77777777" w:rsidR="00FE2AA7" w:rsidRPr="00FE2AA7" w:rsidRDefault="00FE2AA7" w:rsidP="00FE2AA7">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FE2AA7">
        <w:rPr>
          <w:rFonts w:ascii="AvantGarde Bk BT" w:hAnsi="AvantGarde Bk BT" w:cs="Arial"/>
          <w:i/>
          <w:color w:val="000000" w:themeColor="text1"/>
          <w:sz w:val="22"/>
          <w:szCs w:val="22"/>
        </w:rPr>
        <w:t>Por tanto, analizadas las circunstancias del caso que nos ocupa, los documentos solicitados versan sobre actuaciones inherentes a un procedimiento seguido en trámite, sujeto al seguimiento de etapas para su resolución, la cual será debidamente documentada, por lo que su publicidad podría menoscabar la decisión del área administrativa competente de emitir su resolución.</w:t>
      </w:r>
    </w:p>
    <w:p w14:paraId="3D936127" w14:textId="77777777" w:rsidR="00FE2AA7" w:rsidRPr="00FE2AA7" w:rsidRDefault="00FE2AA7" w:rsidP="00FE2AA7">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FE2AA7">
        <w:rPr>
          <w:rFonts w:ascii="AvantGarde Bk BT" w:hAnsi="AvantGarde Bk BT" w:cs="Arial"/>
          <w:i/>
          <w:color w:val="000000" w:themeColor="text1"/>
          <w:sz w:val="22"/>
          <w:szCs w:val="22"/>
        </w:rPr>
        <w:t>Así las cosas, la presente prueba de daño se apega a los requisitos establecidos en los artículos 103 y 104 de la Ley General de Transparencia y Acceso a la Información Pública, 117 y 118 de la Ley Estatal de la Materia, por lo que de acuerdo a lo señalado en el artículo 118 de la Ley de la materia, se procede a justificar lo siguiente:</w:t>
      </w:r>
    </w:p>
    <w:p w14:paraId="5A02E69D" w14:textId="77777777" w:rsidR="00FE2AA7" w:rsidRPr="00FE2AA7" w:rsidRDefault="00FE2AA7" w:rsidP="00FE2AA7">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FE2AA7">
        <w:rPr>
          <w:rFonts w:ascii="AvantGarde Bk BT" w:hAnsi="AvantGarde Bk BT" w:cs="Arial"/>
          <w:i/>
          <w:color w:val="000000" w:themeColor="text1"/>
          <w:sz w:val="22"/>
          <w:szCs w:val="22"/>
        </w:rPr>
        <w:t>I.- La divulgación de la información representa un riesgo real, demostrable e identificable de perjuicio significativo al interés público.</w:t>
      </w:r>
    </w:p>
    <w:p w14:paraId="3C55FFE2" w14:textId="77777777" w:rsidR="00FE2AA7" w:rsidRPr="00FE2AA7" w:rsidRDefault="00FE2AA7" w:rsidP="00FE2AA7">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FE2AA7">
        <w:rPr>
          <w:rFonts w:ascii="AvantGarde Bk BT" w:hAnsi="AvantGarde Bk BT" w:cs="Arial"/>
          <w:i/>
          <w:color w:val="000000" w:themeColor="text1"/>
          <w:sz w:val="22"/>
          <w:szCs w:val="22"/>
        </w:rPr>
        <w:t>Se considera que la divulgación de la información contenida en el documento solicitado, representa un riesgo verdadero y auténtico ya que entorpecería y vulneraría los procesos de investigación, así como la determinación del resultado.</w:t>
      </w:r>
    </w:p>
    <w:p w14:paraId="4A465BB1" w14:textId="77777777" w:rsidR="00FE2AA7" w:rsidRPr="00FE2AA7" w:rsidRDefault="00FE2AA7" w:rsidP="00FE2AA7">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FE2AA7">
        <w:rPr>
          <w:rFonts w:ascii="AvantGarde Bk BT" w:hAnsi="AvantGarde Bk BT" w:cs="Arial"/>
          <w:i/>
          <w:color w:val="000000" w:themeColor="text1"/>
          <w:sz w:val="22"/>
          <w:szCs w:val="22"/>
        </w:rPr>
        <w:t>II.- El riesgo de perjuicio que supondría la divulgación supera el interés público general de que se difunda.</w:t>
      </w:r>
    </w:p>
    <w:p w14:paraId="08385FEF" w14:textId="77777777" w:rsidR="00FE2AA7" w:rsidRPr="00FE2AA7" w:rsidRDefault="00FE2AA7" w:rsidP="00FE2AA7">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FE2AA7">
        <w:rPr>
          <w:rFonts w:ascii="AvantGarde Bk BT" w:hAnsi="AvantGarde Bk BT" w:cs="Arial"/>
          <w:i/>
          <w:color w:val="000000" w:themeColor="text1"/>
          <w:sz w:val="22"/>
          <w:szCs w:val="22"/>
        </w:rPr>
        <w:t>El riesgo de perjuicio que supondría la divulgación de la información que se reserva es la posible obstrucción y entorpecimiento de la investigación y resultado final.</w:t>
      </w:r>
    </w:p>
    <w:p w14:paraId="22376C56" w14:textId="6297669B" w:rsidR="00FE2AA7" w:rsidRPr="00FE2AA7" w:rsidRDefault="00FE2AA7" w:rsidP="00FE2AA7">
      <w:pPr>
        <w:pStyle w:val="corte4fondo"/>
        <w:tabs>
          <w:tab w:val="left" w:pos="567"/>
        </w:tabs>
        <w:spacing w:line="240" w:lineRule="auto"/>
        <w:ind w:left="680" w:right="680" w:firstLine="0"/>
        <w:rPr>
          <w:rFonts w:ascii="AvantGarde Bk BT" w:hAnsi="AvantGarde Bk BT" w:cs="Arial"/>
          <w:i/>
          <w:color w:val="000000" w:themeColor="text1"/>
          <w:sz w:val="22"/>
          <w:szCs w:val="22"/>
        </w:rPr>
      </w:pPr>
      <w:r w:rsidRPr="00FE2AA7">
        <w:rPr>
          <w:rFonts w:ascii="AvantGarde Bk BT" w:hAnsi="AvantGarde Bk BT" w:cs="Arial"/>
          <w:i/>
          <w:color w:val="000000" w:themeColor="text1"/>
          <w:sz w:val="22"/>
          <w:szCs w:val="22"/>
        </w:rPr>
        <w:t>III. La limitación se adecua al principio de proporcionalidad y representa el medio menos</w:t>
      </w:r>
      <w:r>
        <w:rPr>
          <w:rFonts w:ascii="AvantGarde Bk BT" w:hAnsi="AvantGarde Bk BT" w:cs="Arial"/>
          <w:i/>
          <w:color w:val="000000" w:themeColor="text1"/>
          <w:sz w:val="22"/>
          <w:szCs w:val="22"/>
        </w:rPr>
        <w:t xml:space="preserve"> </w:t>
      </w:r>
      <w:r w:rsidRPr="00FE2AA7">
        <w:rPr>
          <w:rFonts w:ascii="AvantGarde Bk BT" w:hAnsi="AvantGarde Bk BT" w:cs="Arial"/>
          <w:i/>
          <w:color w:val="000000" w:themeColor="text1"/>
          <w:sz w:val="22"/>
          <w:szCs w:val="22"/>
        </w:rPr>
        <w:t>restrictivo disponible para evitar el perjuicio.</w:t>
      </w:r>
    </w:p>
    <w:p w14:paraId="52A6276A" w14:textId="05F7BB9A" w:rsidR="004B788B" w:rsidRPr="00711E2C" w:rsidRDefault="00FE2AA7" w:rsidP="00FE2AA7">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FE2AA7">
        <w:rPr>
          <w:rFonts w:ascii="AvantGarde Bk BT" w:hAnsi="AvantGarde Bk BT" w:cs="Arial"/>
          <w:i/>
          <w:color w:val="000000" w:themeColor="text1"/>
          <w:sz w:val="22"/>
          <w:szCs w:val="22"/>
        </w:rPr>
        <w:t>Por lo que, la reserva de la información se adecua al principio de proporcionalidad al haber un equilibrio entre perjuicio y beneficio a favor del interés público, como se expuso con antelación, pues la finalidad es que se obtenga un correcto proceso de investigación.</w:t>
      </w:r>
      <w:r w:rsidR="004B788B">
        <w:rPr>
          <w:rFonts w:ascii="AvantGarde Bk BT" w:hAnsi="AvantGarde Bk BT" w:cs="Arial"/>
          <w:color w:val="000000" w:themeColor="text1"/>
          <w:sz w:val="24"/>
          <w:szCs w:val="24"/>
        </w:rPr>
        <w:t>”</w:t>
      </w:r>
    </w:p>
    <w:p w14:paraId="3055DFDD" w14:textId="4964C465" w:rsidR="00D350BA" w:rsidRDefault="00D350BA" w:rsidP="009D4B1A">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Asimismo, en el acta expedida por el Comité de Tr</w:t>
      </w:r>
      <w:r w:rsidR="009D4B1A">
        <w:rPr>
          <w:rFonts w:ascii="AvantGarde Bk BT" w:hAnsi="AvantGarde Bk BT" w:cs="Arial"/>
          <w:color w:val="000000" w:themeColor="text1"/>
          <w:sz w:val="24"/>
          <w:szCs w:val="24"/>
        </w:rPr>
        <w:t>ansparencia, fundó y motivó</w:t>
      </w:r>
      <w:r>
        <w:rPr>
          <w:rFonts w:ascii="AvantGarde Bk BT" w:hAnsi="AvantGarde Bk BT" w:cs="Arial"/>
          <w:color w:val="000000" w:themeColor="text1"/>
          <w:sz w:val="24"/>
          <w:szCs w:val="24"/>
        </w:rPr>
        <w:t xml:space="preserve"> la clasificación de la información en los siguientes términos:</w:t>
      </w:r>
    </w:p>
    <w:p w14:paraId="5A0B841C" w14:textId="51EA0BDA" w:rsidR="00D350BA" w:rsidRPr="009D4B1A" w:rsidRDefault="00D350BA" w:rsidP="009D4B1A">
      <w:pPr>
        <w:pStyle w:val="corte4fondo"/>
        <w:tabs>
          <w:tab w:val="left" w:pos="567"/>
        </w:tabs>
        <w:spacing w:line="240" w:lineRule="auto"/>
        <w:ind w:left="680" w:right="680" w:firstLine="0"/>
        <w:rPr>
          <w:rFonts w:ascii="AvantGarde Bk BT" w:hAnsi="AvantGarde Bk BT" w:cs="Arial"/>
          <w:i/>
          <w:color w:val="000000" w:themeColor="text1"/>
          <w:sz w:val="28"/>
          <w:lang w:val="es-ES"/>
        </w:rPr>
      </w:pPr>
      <w:r>
        <w:rPr>
          <w:rFonts w:ascii="AvantGarde Bk BT" w:hAnsi="AvantGarde Bk BT" w:cs="Arial"/>
          <w:color w:val="000000" w:themeColor="text1"/>
          <w:sz w:val="24"/>
          <w:szCs w:val="24"/>
        </w:rPr>
        <w:t>“</w:t>
      </w:r>
      <w:r w:rsidRPr="009D4B1A">
        <w:rPr>
          <w:rFonts w:ascii="AvantGarde Bk BT" w:hAnsi="AvantGarde Bk BT" w:cs="Arial"/>
          <w:i/>
          <w:color w:val="000000" w:themeColor="text1"/>
          <w:sz w:val="22"/>
          <w:lang w:val="es-ES"/>
        </w:rPr>
        <w:t xml:space="preserve">Fundamentación y motivación del acuerdo: La reserva se fundamenta en el artículo 112 fracciones XI, XIII y XVII de la Ley General a Transparencia y </w:t>
      </w:r>
      <w:r w:rsidR="00204E3C" w:rsidRPr="009D4B1A">
        <w:rPr>
          <w:rFonts w:ascii="AvantGarde Bk BT" w:hAnsi="AvantGarde Bk BT" w:cs="Arial"/>
          <w:i/>
          <w:color w:val="000000" w:themeColor="text1"/>
          <w:sz w:val="22"/>
          <w:lang w:val="es-ES"/>
        </w:rPr>
        <w:t>Acceso a la Información Pública,</w:t>
      </w:r>
      <w:r w:rsidRPr="009D4B1A">
        <w:rPr>
          <w:rFonts w:ascii="AvantGarde Bk BT" w:hAnsi="AvantGarde Bk BT" w:cs="Arial"/>
          <w:i/>
          <w:color w:val="000000" w:themeColor="text1"/>
          <w:sz w:val="22"/>
          <w:lang w:val="es-ES"/>
        </w:rPr>
        <w:t xml:space="preserve"> 129 fracciones VII y X de la Lev de Tra</w:t>
      </w:r>
      <w:r w:rsidR="00204E3C" w:rsidRPr="009D4B1A">
        <w:rPr>
          <w:rFonts w:ascii="AvantGarde Bk BT" w:hAnsi="AvantGarde Bk BT" w:cs="Arial"/>
          <w:i/>
          <w:color w:val="000000" w:themeColor="text1"/>
          <w:sz w:val="22"/>
          <w:lang w:val="es-ES"/>
        </w:rPr>
        <w:t>nsparencia vigente en el Estado,</w:t>
      </w:r>
      <w:r w:rsidRPr="009D4B1A">
        <w:rPr>
          <w:rFonts w:ascii="AvantGarde Bk BT" w:hAnsi="AvantGarde Bk BT" w:cs="Arial"/>
          <w:i/>
          <w:color w:val="000000" w:themeColor="text1"/>
          <w:sz w:val="22"/>
          <w:lang w:val="es-ES"/>
        </w:rPr>
        <w:t xml:space="preserve"> así como </w:t>
      </w:r>
      <w:r w:rsidR="00204E3C" w:rsidRPr="009D4B1A">
        <w:rPr>
          <w:rFonts w:ascii="AvantGarde Bk BT" w:hAnsi="AvantGarde Bk BT" w:cs="Arial"/>
          <w:i/>
          <w:color w:val="000000" w:themeColor="text1"/>
          <w:sz w:val="22"/>
          <w:lang w:val="es-ES"/>
        </w:rPr>
        <w:t>en</w:t>
      </w:r>
      <w:r w:rsidRPr="009D4B1A">
        <w:rPr>
          <w:rFonts w:ascii="AvantGarde Bk BT" w:hAnsi="AvantGarde Bk BT" w:cs="Arial"/>
          <w:i/>
          <w:color w:val="000000" w:themeColor="text1"/>
          <w:sz w:val="22"/>
          <w:lang w:val="es-ES"/>
        </w:rPr>
        <w:t xml:space="preserve"> el</w:t>
      </w:r>
      <w:r w:rsidR="00204E3C" w:rsidRPr="009D4B1A">
        <w:rPr>
          <w:rFonts w:ascii="AvantGarde Bk BT" w:hAnsi="AvantGarde Bk BT" w:cs="Arial"/>
          <w:i/>
          <w:color w:val="000000" w:themeColor="text1"/>
          <w:sz w:val="22"/>
          <w:lang w:val="es-ES"/>
        </w:rPr>
        <w:t xml:space="preserve"> artículo</w:t>
      </w:r>
      <w:r w:rsidRPr="009D4B1A">
        <w:rPr>
          <w:rFonts w:ascii="AvantGarde Bk BT" w:hAnsi="AvantGarde Bk BT" w:cs="Arial"/>
          <w:i/>
          <w:color w:val="000000" w:themeColor="text1"/>
          <w:sz w:val="22"/>
          <w:lang w:val="es-ES"/>
        </w:rPr>
        <w:t xml:space="preserve"> Vigésimo Séptimo y Vigésimo Noveno de los Lineamientos Generales en Materia de Clasificación y Desclasificación de la Información, así como para la Elaboración de versiones públicas emitidos por el entonces Sistema Nacional de Transparencia, Acceso a la Información Pública y Protección de Datos Personales, pues en dichos numerales se establecen los supuestos de reserva que se actualizan en la especie, mismos que a continuación se transcriben:</w:t>
      </w:r>
    </w:p>
    <w:p w14:paraId="06D80AF4" w14:textId="06EFD343" w:rsidR="00D350BA" w:rsidRPr="009D4B1A" w:rsidRDefault="00D350BA" w:rsidP="009D4B1A">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9D4B1A">
        <w:rPr>
          <w:rFonts w:ascii="AvantGarde Bk BT" w:hAnsi="AvantGarde Bk BT" w:cs="Arial"/>
          <w:i/>
          <w:color w:val="000000" w:themeColor="text1"/>
          <w:sz w:val="22"/>
          <w:szCs w:val="24"/>
        </w:rPr>
        <w:t>"...ARTÍCULO 129. Como información reservada podrá clasificarse aquella cuya publicación: (</w:t>
      </w:r>
      <w:r w:rsidR="00204E3C" w:rsidRPr="009D4B1A">
        <w:rPr>
          <w:rFonts w:ascii="AvantGarde Bk BT" w:hAnsi="AvantGarde Bk BT" w:cs="Arial"/>
          <w:i/>
          <w:color w:val="000000" w:themeColor="text1"/>
          <w:sz w:val="22"/>
          <w:szCs w:val="24"/>
        </w:rPr>
        <w:t>.</w:t>
      </w:r>
      <w:r w:rsidRPr="009D4B1A">
        <w:rPr>
          <w:rFonts w:ascii="AvantGarde Bk BT" w:hAnsi="AvantGarde Bk BT" w:cs="Arial"/>
          <w:i/>
          <w:color w:val="000000" w:themeColor="text1"/>
          <w:sz w:val="22"/>
          <w:szCs w:val="24"/>
        </w:rPr>
        <w:t>.)</w:t>
      </w:r>
    </w:p>
    <w:p w14:paraId="2928F1E2" w14:textId="77777777" w:rsidR="00D350BA" w:rsidRPr="009D4B1A" w:rsidRDefault="00D350BA" w:rsidP="009D4B1A">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9D4B1A">
        <w:rPr>
          <w:rFonts w:ascii="AvantGarde Bk BT" w:hAnsi="AvantGarde Bk BT" w:cs="Arial"/>
          <w:i/>
          <w:color w:val="000000" w:themeColor="text1"/>
          <w:sz w:val="22"/>
          <w:szCs w:val="24"/>
        </w:rPr>
        <w:t>VII. La que contenga las opiniones, recomendaciones o puntos de vista que formen parte del proceso deliberativo de los servidores públicos, hasta en tanto no sea adoptada la decisión definitiva, la cual deberá estar documentada</w:t>
      </w:r>
    </w:p>
    <w:p w14:paraId="22D42A45" w14:textId="77777777" w:rsidR="00D350BA" w:rsidRPr="009D4B1A" w:rsidRDefault="00D350BA" w:rsidP="009D4B1A">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9D4B1A">
        <w:rPr>
          <w:rFonts w:ascii="AvantGarde Bk BT" w:hAnsi="AvantGarde Bk BT" w:cs="Arial"/>
          <w:i/>
          <w:color w:val="000000" w:themeColor="text1"/>
          <w:sz w:val="22"/>
          <w:szCs w:val="24"/>
        </w:rPr>
        <w:t>X. Vulnere la conducción de los Expedientes judiciales o de los procedimientos administrativos seguidos en forma de juicio, en tanto no hayan causado estado".</w:t>
      </w:r>
    </w:p>
    <w:p w14:paraId="40665143" w14:textId="77777777" w:rsidR="00D350BA" w:rsidRPr="009D4B1A" w:rsidRDefault="00D350BA" w:rsidP="009D4B1A">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9D4B1A">
        <w:rPr>
          <w:rFonts w:ascii="AvantGarde Bk BT" w:hAnsi="AvantGarde Bk BT" w:cs="Arial"/>
          <w:i/>
          <w:color w:val="000000" w:themeColor="text1"/>
          <w:sz w:val="22"/>
          <w:szCs w:val="24"/>
        </w:rPr>
        <w:t>Por su parte, la Ley General de Transparencia y Acceso a la Información Pública, prevé lo siguiente:</w:t>
      </w:r>
    </w:p>
    <w:p w14:paraId="30485A06" w14:textId="77777777" w:rsidR="00D350BA" w:rsidRPr="009D4B1A" w:rsidRDefault="00D350BA" w:rsidP="009D4B1A">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9D4B1A">
        <w:rPr>
          <w:rFonts w:ascii="AvantGarde Bk BT" w:hAnsi="AvantGarde Bk BT" w:cs="Arial"/>
          <w:i/>
          <w:color w:val="000000" w:themeColor="text1"/>
          <w:sz w:val="22"/>
          <w:szCs w:val="24"/>
        </w:rPr>
        <w:t>"Artículo 112. Como información reservada podrá clasificarse aquella cuya publicación:</w:t>
      </w:r>
    </w:p>
    <w:p w14:paraId="62B2541F" w14:textId="77777777" w:rsidR="00D350BA" w:rsidRPr="009D4B1A" w:rsidRDefault="00D350BA" w:rsidP="009D4B1A">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9D4B1A">
        <w:rPr>
          <w:rFonts w:ascii="AvantGarde Bk BT" w:hAnsi="AvantGarde Bk BT" w:cs="Arial"/>
          <w:i/>
          <w:color w:val="000000" w:themeColor="text1"/>
          <w:sz w:val="22"/>
          <w:szCs w:val="24"/>
        </w:rPr>
        <w:t>"...VII. La que contenga las opiniones, recomendaciones o puntos de vista que formen parte del proceso deliberativo de las personas servidoras públicas, hasta en tanto no sea adoptada la decisión definitiva, la cual deberá estar documentada;</w:t>
      </w:r>
    </w:p>
    <w:p w14:paraId="5D19B96C" w14:textId="58C8C1C2" w:rsidR="00D350BA" w:rsidRPr="009D4B1A" w:rsidRDefault="00D350BA" w:rsidP="009D4B1A">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9D4B1A">
        <w:rPr>
          <w:rFonts w:ascii="AvantGarde Bk BT" w:hAnsi="AvantGarde Bk BT" w:cs="Arial"/>
          <w:i/>
          <w:color w:val="000000" w:themeColor="text1"/>
          <w:sz w:val="22"/>
          <w:szCs w:val="24"/>
        </w:rPr>
        <w:t>XI. Afecte o vulnere la conducción de los expedientes judiciales o de los procedimientos administrativos seguidos en forma de juicio, incluidos los de denuncias, inconformidades, responsabilidades administrativas y resarcitorias o afecte la administración de justicia o la seguridad de una persona denunciante, querellante o testigo, así como sus familias, en los términos de las disposiciones jurídicas aplicables en tanto no hayan causado estado".</w:t>
      </w:r>
    </w:p>
    <w:p w14:paraId="3EEB5CF2" w14:textId="4197E2F7" w:rsidR="00D350BA" w:rsidRPr="009D4B1A" w:rsidRDefault="00D350BA" w:rsidP="009D4B1A">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9D4B1A">
        <w:rPr>
          <w:rFonts w:ascii="AvantGarde Bk BT" w:hAnsi="AvantGarde Bk BT" w:cs="Arial"/>
          <w:i/>
          <w:color w:val="000000" w:themeColor="text1"/>
          <w:sz w:val="22"/>
          <w:szCs w:val="24"/>
        </w:rPr>
        <w:t xml:space="preserve">Por tanto se advierte que el supuesto establecido en la fracción VII se acredita, pues en primer término que del análisis de la información solicitada se desprende la existencia de un proceso deliberativo que a la fecha se encuentra en trámite, sujeto al procedimiento previsto en el capítulo VI de la Ley de la Comisión Estatal de Derechos Humanos, quien resolverá en definitiva a través </w:t>
      </w:r>
      <w:r w:rsidR="00204E3C" w:rsidRPr="009D4B1A">
        <w:rPr>
          <w:rFonts w:ascii="AvantGarde Bk BT" w:hAnsi="AvantGarde Bk BT" w:cs="Arial"/>
          <w:i/>
          <w:color w:val="000000" w:themeColor="text1"/>
          <w:sz w:val="22"/>
          <w:szCs w:val="24"/>
        </w:rPr>
        <w:t>de un documento, en este caso un</w:t>
      </w:r>
      <w:r w:rsidRPr="009D4B1A">
        <w:rPr>
          <w:rFonts w:ascii="AvantGarde Bk BT" w:hAnsi="AvantGarde Bk BT" w:cs="Arial"/>
          <w:i/>
          <w:color w:val="000000" w:themeColor="text1"/>
          <w:sz w:val="22"/>
          <w:szCs w:val="24"/>
        </w:rPr>
        <w:t xml:space="preserve">a recomendación, en tanto que conforme a la causal en mención, puede clasificarse como información reservada aquella que contenga las opiniones, recomendaciones o puntos de vista que formen parte del proceso deliberativo de los servidores públicos, hasta en tanto no sea adoptada la decisión definitiva la cual deberá estar documentada; dado que en el caso que nos ocupa, el expediente en cuestión contiene actuaciones de servidores públicos parte de un proceso deliberativo, el expediente en cuestión aún se encuentra sujeto a la emisión de una determinación que resolverá en definitiva, esto es, en el que la Comisión Estatal de Derechos Humanos, prepara la emisión de una conciliación o una recomendación, mismas que acorde al numeral 131 fracciones I y II de la Ley de la Estatal de Derechos Humanos, será la que concluya el expediente de queja; en consecuencia, con la reserva de la información sustentada por el área administrativa, se permite que las actuaciones de la </w:t>
      </w:r>
      <w:r w:rsidRPr="009D4B1A">
        <w:rPr>
          <w:rFonts w:ascii="AvantGarde Bk BT" w:hAnsi="AvantGarde Bk BT" w:cs="Arial"/>
          <w:i/>
          <w:color w:val="000000" w:themeColor="text1"/>
          <w:sz w:val="22"/>
          <w:szCs w:val="24"/>
        </w:rPr>
        <w:lastRenderedPageBreak/>
        <w:t>autoridad se realicen de manera adecuada al evitar injerencias externas que puedan afectar la emisión de la determinación correspondiente.</w:t>
      </w:r>
    </w:p>
    <w:p w14:paraId="03EDEAAF" w14:textId="5AED6A2E" w:rsidR="00204E3C" w:rsidRPr="009D4B1A" w:rsidRDefault="00D350BA" w:rsidP="009D4B1A">
      <w:pPr>
        <w:pStyle w:val="corte4fondo"/>
        <w:tabs>
          <w:tab w:val="left" w:pos="567"/>
        </w:tabs>
        <w:spacing w:line="240" w:lineRule="auto"/>
        <w:ind w:left="680" w:right="680" w:firstLine="0"/>
        <w:rPr>
          <w:rFonts w:ascii="AvantGarde Bk BT" w:hAnsi="AvantGarde Bk BT" w:cs="Arial"/>
          <w:i/>
          <w:color w:val="000000" w:themeColor="text1"/>
          <w:sz w:val="28"/>
          <w:lang w:val="es-ES"/>
        </w:rPr>
      </w:pPr>
      <w:r w:rsidRPr="009D4B1A">
        <w:rPr>
          <w:rFonts w:ascii="AvantGarde Bk BT" w:hAnsi="AvantGarde Bk BT" w:cs="Arial"/>
          <w:i/>
          <w:color w:val="000000" w:themeColor="text1"/>
          <w:sz w:val="22"/>
          <w:szCs w:val="24"/>
        </w:rPr>
        <w:t>En concordancia con lo anterior, es dable determinar que se actualiza la hipótesis contemplada en el artículo 129 fracción X, de la Ley de la Materia, ya que la información solicitada forma parte del Expediente número 1VQU-0249/2025, del cual emana la propuesta de conciliación 01/2026, teniendo así, que como se señaló en el párrafo que antecede, el</w:t>
      </w:r>
      <w:r w:rsidR="00204E3C" w:rsidRPr="009D4B1A">
        <w:rPr>
          <w:rFonts w:ascii="AvantGarde Bk BT" w:hAnsi="AvantGarde Bk BT" w:cs="Arial"/>
          <w:i/>
          <w:color w:val="000000" w:themeColor="text1"/>
          <w:sz w:val="22"/>
          <w:szCs w:val="24"/>
        </w:rPr>
        <w:t xml:space="preserve"> expediente </w:t>
      </w:r>
      <w:r w:rsidR="00204E3C" w:rsidRPr="009D4B1A">
        <w:rPr>
          <w:rFonts w:ascii="AvantGarde Bk BT" w:hAnsi="AvantGarde Bk BT" w:cs="Arial"/>
          <w:i/>
          <w:color w:val="000000" w:themeColor="text1"/>
          <w:sz w:val="22"/>
          <w:lang w:val="es-ES"/>
        </w:rPr>
        <w:t>de queja previsto por la Ley Estatal de Derechos Humanos, el procedimiento se sigue materialmente en forma de juicio, por ende, se actualizan los supuestos 1 y 2 de la disposición Trigésima de los Lineamientos Generales para la Clasificación y Desclasificación de la Información, así como para la Elaboración de Versiones Públicas, toda vez que: 1) El procedimiento es instaurado por la Comisión Estatal de Derechos Humanos, en el que constan las actuaciones de la Secretaría de Educación de Gobierno del Estado por conducto de la Unidad de Asuntos Jurídicos y Derechos Humanos, en el que se dirime una controversia entre partes, por lo que previo desahogo de la investigación correspondiente se prepara una resolución definitiva por parte de la autoridad competente, en este caso la Comisión Estatal de Derechos Humanos; y 2) Se encuentra sujeto a cumplirse con las formalidades esenciales del procedimiento determinado en la Ley Estatal de Derechos Humanos, para que finalmente recaiga en una resolución que concluirá el mismo, siendo ésta la conciliación o la recomendación en su caso.</w:t>
      </w:r>
    </w:p>
    <w:p w14:paraId="6AAC9C58" w14:textId="6EC7CA4A" w:rsidR="00D350BA" w:rsidRDefault="00204E3C" w:rsidP="009D4B1A">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9D4B1A">
        <w:rPr>
          <w:rFonts w:ascii="AvantGarde Bk BT" w:hAnsi="AvantGarde Bk BT" w:cs="Arial"/>
          <w:i/>
          <w:color w:val="000000" w:themeColor="text1"/>
          <w:sz w:val="22"/>
          <w:szCs w:val="24"/>
        </w:rPr>
        <w:t>Por tanto, se considera que al tratarse de un procedimiento administrativo, que se encuentra sujeto al cumplimiento de distintas etapas, la finalidad de la reserva, prevista en la propia Ley de la Materia, busca salvaguardar los procesos a cumplimentar para la emisión de resolución hasta su conclusión, lo cual resulta jurídicamente válido, pues con ello se evita que se divulguen detalles, datos o elementos</w:t>
      </w:r>
      <w:r w:rsidR="009D4B1A" w:rsidRPr="009D4B1A">
        <w:rPr>
          <w:rFonts w:ascii="AvantGarde Bk BT" w:hAnsi="AvantGarde Bk BT" w:cs="Arial"/>
          <w:i/>
          <w:color w:val="000000" w:themeColor="text1"/>
          <w:sz w:val="22"/>
          <w:szCs w:val="24"/>
        </w:rPr>
        <w:t xml:space="preserve"> </w:t>
      </w:r>
      <w:r w:rsidRPr="009D4B1A">
        <w:rPr>
          <w:rFonts w:ascii="AvantGarde Bk BT" w:hAnsi="AvantGarde Bk BT" w:cs="Arial"/>
          <w:i/>
          <w:color w:val="000000" w:themeColor="text1"/>
          <w:sz w:val="22"/>
          <w:szCs w:val="24"/>
        </w:rPr>
        <w:t xml:space="preserve">que pudieran poner en riesgo los procedimientos disciplinarios en curso o nuevas investigaciones, lo que podría llevar a la afectación en la emisión de la resolución por parte de la autoridad competente de emitir la determinación en definitiva dentro del procedimiento administrativo. Es decir, se busca conservar la independencia y objetividad de la autoridad </w:t>
      </w:r>
      <w:proofErr w:type="spellStart"/>
      <w:r w:rsidRPr="009D4B1A">
        <w:rPr>
          <w:rFonts w:ascii="AvantGarde Bk BT" w:hAnsi="AvantGarde Bk BT" w:cs="Arial"/>
          <w:i/>
          <w:color w:val="000000" w:themeColor="text1"/>
          <w:sz w:val="22"/>
          <w:szCs w:val="24"/>
        </w:rPr>
        <w:t>resolutora</w:t>
      </w:r>
      <w:proofErr w:type="spellEnd"/>
      <w:r w:rsidRPr="009D4B1A">
        <w:rPr>
          <w:rFonts w:ascii="AvantGarde Bk BT" w:hAnsi="AvantGarde Bk BT" w:cs="Arial"/>
          <w:i/>
          <w:color w:val="000000" w:themeColor="text1"/>
          <w:sz w:val="22"/>
          <w:szCs w:val="24"/>
        </w:rPr>
        <w:t>, en el entendido que revelar información de dichos procedimientos genera posibles riesgos, ya que otros receptores de la información construirían una postura favorable o desfavorable, lo que puede llevar a diversas formas de presión pública y privada en el ánimo de la autoridad al momento de emitir su resolución</w:t>
      </w:r>
      <w:r w:rsidRPr="00204E3C">
        <w:rPr>
          <w:rFonts w:ascii="AvantGarde Bk BT" w:hAnsi="AvantGarde Bk BT" w:cs="Arial"/>
          <w:color w:val="000000" w:themeColor="text1"/>
          <w:sz w:val="24"/>
          <w:szCs w:val="24"/>
        </w:rPr>
        <w:t>.</w:t>
      </w:r>
      <w:r w:rsidR="00D350BA">
        <w:rPr>
          <w:rFonts w:ascii="AvantGarde Bk BT" w:hAnsi="AvantGarde Bk BT" w:cs="Arial"/>
          <w:color w:val="000000" w:themeColor="text1"/>
          <w:sz w:val="24"/>
          <w:szCs w:val="24"/>
        </w:rPr>
        <w:t>”</w:t>
      </w:r>
    </w:p>
    <w:p w14:paraId="10A2F0EC" w14:textId="6977F4E6" w:rsidR="00985DC1" w:rsidRDefault="00E57D25" w:rsidP="00985DC1">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En este contexto</w:t>
      </w:r>
      <w:r w:rsidR="009D4B1A">
        <w:rPr>
          <w:rFonts w:ascii="AvantGarde Bk BT" w:hAnsi="AvantGarde Bk BT" w:cs="Arial"/>
          <w:color w:val="000000" w:themeColor="text1"/>
          <w:sz w:val="24"/>
          <w:szCs w:val="24"/>
        </w:rPr>
        <w:t>, el Pleno de esta Comisión considera que</w:t>
      </w:r>
      <w:r>
        <w:rPr>
          <w:rFonts w:ascii="AvantGarde Bk BT" w:hAnsi="AvantGarde Bk BT" w:cs="Arial"/>
          <w:color w:val="000000" w:themeColor="text1"/>
          <w:sz w:val="24"/>
          <w:szCs w:val="24"/>
        </w:rPr>
        <w:t>,</w:t>
      </w:r>
      <w:r w:rsidR="009D4B1A">
        <w:rPr>
          <w:rFonts w:ascii="AvantGarde Bk BT" w:hAnsi="AvantGarde Bk BT" w:cs="Arial"/>
          <w:color w:val="000000" w:themeColor="text1"/>
          <w:sz w:val="24"/>
          <w:szCs w:val="24"/>
        </w:rPr>
        <w:t xml:space="preserve"> </w:t>
      </w:r>
      <w:r w:rsidR="003B38F9">
        <w:rPr>
          <w:rFonts w:ascii="AvantGarde Bk BT" w:hAnsi="AvantGarde Bk BT" w:cs="Arial"/>
          <w:color w:val="000000" w:themeColor="text1"/>
          <w:sz w:val="24"/>
          <w:szCs w:val="24"/>
        </w:rPr>
        <w:t>en primer t</w:t>
      </w:r>
      <w:r>
        <w:rPr>
          <w:rFonts w:ascii="AvantGarde Bk BT" w:hAnsi="AvantGarde Bk BT" w:cs="Arial"/>
          <w:color w:val="000000" w:themeColor="text1"/>
          <w:sz w:val="24"/>
          <w:szCs w:val="24"/>
        </w:rPr>
        <w:t xml:space="preserve">érmino, </w:t>
      </w:r>
      <w:r w:rsidRPr="00D0269F">
        <w:rPr>
          <w:rFonts w:ascii="AvantGarde Bk BT" w:hAnsi="AvantGarde Bk BT" w:cs="Arial"/>
          <w:b/>
          <w:color w:val="000000" w:themeColor="text1"/>
          <w:sz w:val="24"/>
          <w:szCs w:val="24"/>
        </w:rPr>
        <w:t>la causal prevista en el artículo 129 fracción VII de la Ley de Transparencia local no se actualiza en el caso concreto</w:t>
      </w:r>
      <w:r>
        <w:rPr>
          <w:rFonts w:ascii="AvantGarde Bk BT" w:hAnsi="AvantGarde Bk BT" w:cs="Arial"/>
          <w:color w:val="000000" w:themeColor="text1"/>
          <w:sz w:val="24"/>
          <w:szCs w:val="24"/>
        </w:rPr>
        <w:t xml:space="preserve">, pues </w:t>
      </w:r>
      <w:r w:rsidR="00985DC1">
        <w:rPr>
          <w:rFonts w:ascii="AvantGarde Bk BT" w:hAnsi="AvantGarde Bk BT" w:cs="Arial"/>
          <w:color w:val="000000" w:themeColor="text1"/>
          <w:sz w:val="24"/>
          <w:szCs w:val="24"/>
        </w:rPr>
        <w:t>no se trata de un proceso deliberativo propio del sujeto obligado, sino de uno que debe resolver un sujeto obligado diverso; es decir, la entidad responsable de realizar dicha deliberación es la Comisión Estatal de Derechos Humanos, no así la Secretaría de Educación de Gobierno del Estado.</w:t>
      </w:r>
    </w:p>
    <w:p w14:paraId="7C87F354" w14:textId="6C46D147" w:rsidR="00985DC1" w:rsidRDefault="00985DC1" w:rsidP="00985DC1">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Sobre esta directriz, resulta oportuno puntualizar que </w:t>
      </w:r>
      <w:r w:rsidR="00E57D25">
        <w:rPr>
          <w:rFonts w:ascii="AvantGarde Bk BT" w:hAnsi="AvantGarde Bk BT" w:cs="Arial"/>
          <w:color w:val="000000" w:themeColor="text1"/>
          <w:sz w:val="24"/>
          <w:szCs w:val="24"/>
        </w:rPr>
        <w:t>el lineamiento específico (</w:t>
      </w:r>
      <w:r w:rsidR="00D0269F">
        <w:rPr>
          <w:rFonts w:ascii="AvantGarde Bk BT" w:hAnsi="AvantGarde Bk BT" w:cs="Arial"/>
          <w:color w:val="000000" w:themeColor="text1"/>
          <w:sz w:val="24"/>
          <w:szCs w:val="24"/>
        </w:rPr>
        <w:t xml:space="preserve">vigésimo séptimo) </w:t>
      </w:r>
      <w:r>
        <w:rPr>
          <w:rFonts w:ascii="AvantGarde Bk BT" w:hAnsi="AvantGarde Bk BT" w:cs="Arial"/>
          <w:color w:val="000000" w:themeColor="text1"/>
          <w:sz w:val="24"/>
          <w:szCs w:val="24"/>
        </w:rPr>
        <w:t xml:space="preserve">pretende proteger </w:t>
      </w:r>
      <w:r w:rsidRPr="00985DC1">
        <w:rPr>
          <w:rFonts w:ascii="AvantGarde Bk BT" w:hAnsi="AvantGarde Bk BT" w:cs="Arial"/>
          <w:color w:val="000000" w:themeColor="text1"/>
          <w:sz w:val="24"/>
          <w:szCs w:val="24"/>
        </w:rPr>
        <w:t xml:space="preserve">aquella información que se encuentre directamente relacionada con la toma de decisiones y que con su difusión pueda </w:t>
      </w:r>
      <w:r w:rsidRPr="00985DC1">
        <w:rPr>
          <w:rFonts w:ascii="AvantGarde Bk BT" w:hAnsi="AvantGarde Bk BT" w:cs="Arial"/>
          <w:color w:val="000000" w:themeColor="text1"/>
          <w:sz w:val="24"/>
          <w:szCs w:val="24"/>
        </w:rPr>
        <w:lastRenderedPageBreak/>
        <w:t>llegar a interrumpir, menoscabar o inhibir el diseño, negociación o implementación de los asuntos sometidos a deliberación del sujeto obligado</w:t>
      </w:r>
      <w:r>
        <w:rPr>
          <w:rFonts w:ascii="AvantGarde Bk BT" w:hAnsi="AvantGarde Bk BT" w:cs="Arial"/>
          <w:color w:val="000000" w:themeColor="text1"/>
          <w:sz w:val="24"/>
          <w:szCs w:val="24"/>
        </w:rPr>
        <w:t>.</w:t>
      </w:r>
    </w:p>
    <w:p w14:paraId="5232271A" w14:textId="77777777" w:rsidR="003801D1" w:rsidRDefault="00FF657D" w:rsidP="003801D1">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A mayor añadidura</w:t>
      </w:r>
      <w:r w:rsidR="00985DC1">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el aludido lineamiento prevé que en caso de que la solicitud de información haya sido turnada a un área diversa a la que sea responsable de realizar la deliberación, aquella deberá </w:t>
      </w:r>
      <w:r w:rsidR="00B07345">
        <w:rPr>
          <w:rFonts w:ascii="AvantGarde Bk BT" w:hAnsi="AvantGarde Bk BT" w:cs="Arial"/>
          <w:color w:val="000000" w:themeColor="text1"/>
          <w:sz w:val="24"/>
          <w:szCs w:val="24"/>
        </w:rPr>
        <w:t>consultar a é</w:t>
      </w:r>
      <w:r>
        <w:rPr>
          <w:rFonts w:ascii="AvantGarde Bk BT" w:hAnsi="AvantGarde Bk BT" w:cs="Arial"/>
          <w:color w:val="000000" w:themeColor="text1"/>
          <w:sz w:val="24"/>
          <w:szCs w:val="24"/>
        </w:rPr>
        <w:t xml:space="preserve">sta para efecto </w:t>
      </w:r>
      <w:r w:rsidR="00B07345">
        <w:rPr>
          <w:rFonts w:ascii="AvantGarde Bk BT" w:hAnsi="AvantGarde Bk BT" w:cs="Arial"/>
          <w:color w:val="000000" w:themeColor="text1"/>
          <w:sz w:val="24"/>
          <w:szCs w:val="24"/>
        </w:rPr>
        <w:t xml:space="preserve">de entregar o no la información. </w:t>
      </w:r>
    </w:p>
    <w:p w14:paraId="12F9BF4A" w14:textId="548A32C0" w:rsidR="003801D1" w:rsidRDefault="00B07345" w:rsidP="003801D1">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 este modo, resulta claro que </w:t>
      </w:r>
      <w:r w:rsidRPr="003801D1">
        <w:rPr>
          <w:rFonts w:ascii="AvantGarde Bk BT" w:hAnsi="AvantGarde Bk BT" w:cs="Arial"/>
          <w:b/>
          <w:color w:val="000000" w:themeColor="text1"/>
          <w:sz w:val="24"/>
          <w:szCs w:val="24"/>
          <w:u w:val="single"/>
        </w:rPr>
        <w:t xml:space="preserve">la causal de </w:t>
      </w:r>
      <w:r w:rsidR="003801D1" w:rsidRPr="003801D1">
        <w:rPr>
          <w:rFonts w:ascii="AvantGarde Bk BT" w:hAnsi="AvantGarde Bk BT" w:cs="Arial"/>
          <w:b/>
          <w:color w:val="000000" w:themeColor="text1"/>
          <w:sz w:val="24"/>
          <w:szCs w:val="24"/>
          <w:u w:val="single"/>
        </w:rPr>
        <w:t xml:space="preserve">reserva se limita a procesos deliberativos </w:t>
      </w:r>
      <w:r w:rsidRPr="003801D1">
        <w:rPr>
          <w:rFonts w:ascii="AvantGarde Bk BT" w:hAnsi="AvantGarde Bk BT" w:cs="Arial"/>
          <w:b/>
          <w:color w:val="000000" w:themeColor="text1"/>
          <w:sz w:val="24"/>
          <w:szCs w:val="24"/>
          <w:u w:val="single"/>
        </w:rPr>
        <w:t>propios</w:t>
      </w:r>
      <w:r w:rsidR="003801D1" w:rsidRPr="003801D1">
        <w:rPr>
          <w:rFonts w:ascii="AvantGarde Bk BT" w:hAnsi="AvantGarde Bk BT" w:cs="Arial"/>
          <w:b/>
          <w:color w:val="000000" w:themeColor="text1"/>
          <w:sz w:val="24"/>
          <w:szCs w:val="24"/>
        </w:rPr>
        <w:t>,</w:t>
      </w:r>
      <w:r w:rsidRPr="003801D1">
        <w:rPr>
          <w:rFonts w:ascii="AvantGarde Bk BT" w:hAnsi="AvantGarde Bk BT" w:cs="Arial"/>
          <w:b/>
          <w:color w:val="000000" w:themeColor="text1"/>
          <w:sz w:val="24"/>
          <w:szCs w:val="24"/>
        </w:rPr>
        <w:t xml:space="preserve"> pues el lineamiento es claro respecto de la comunicación </w:t>
      </w:r>
      <w:r w:rsidR="003801D1" w:rsidRPr="003801D1">
        <w:rPr>
          <w:rFonts w:ascii="AvantGarde Bk BT" w:hAnsi="AvantGarde Bk BT" w:cs="Arial"/>
          <w:b/>
          <w:color w:val="000000" w:themeColor="text1"/>
          <w:sz w:val="24"/>
          <w:szCs w:val="24"/>
        </w:rPr>
        <w:t>interna</w:t>
      </w:r>
      <w:r w:rsidRPr="003801D1">
        <w:rPr>
          <w:rFonts w:ascii="AvantGarde Bk BT" w:hAnsi="AvantGarde Bk BT" w:cs="Arial"/>
          <w:b/>
          <w:color w:val="000000" w:themeColor="text1"/>
          <w:sz w:val="24"/>
          <w:szCs w:val="24"/>
        </w:rPr>
        <w:t xml:space="preserve"> del sujeto obligado</w:t>
      </w:r>
      <w:r w:rsidR="003A0BCC" w:rsidRPr="003801D1">
        <w:rPr>
          <w:rFonts w:ascii="AvantGarde Bk BT" w:hAnsi="AvantGarde Bk BT" w:cs="Arial"/>
          <w:b/>
          <w:color w:val="000000" w:themeColor="text1"/>
          <w:sz w:val="24"/>
          <w:szCs w:val="24"/>
        </w:rPr>
        <w:t xml:space="preserve">, sin </w:t>
      </w:r>
      <w:r w:rsidR="00F61783" w:rsidRPr="003801D1">
        <w:rPr>
          <w:rFonts w:ascii="AvantGarde Bk BT" w:hAnsi="AvantGarde Bk BT" w:cs="Arial"/>
          <w:b/>
          <w:color w:val="000000" w:themeColor="text1"/>
          <w:sz w:val="24"/>
          <w:szCs w:val="24"/>
        </w:rPr>
        <w:t xml:space="preserve">que exista </w:t>
      </w:r>
      <w:r w:rsidR="003801D1" w:rsidRPr="003801D1">
        <w:rPr>
          <w:rFonts w:ascii="AvantGarde Bk BT" w:hAnsi="AvantGarde Bk BT" w:cs="Arial"/>
          <w:b/>
          <w:color w:val="000000" w:themeColor="text1"/>
          <w:sz w:val="24"/>
          <w:szCs w:val="24"/>
        </w:rPr>
        <w:t xml:space="preserve">pronunciamiento alguno sobre comunicación interinstitucional, de ahí que </w:t>
      </w:r>
      <w:r w:rsidR="003801D1" w:rsidRPr="003801D1">
        <w:rPr>
          <w:rFonts w:ascii="AvantGarde Bk BT" w:hAnsi="AvantGarde Bk BT" w:cs="Arial"/>
          <w:b/>
          <w:color w:val="000000" w:themeColor="text1"/>
          <w:sz w:val="24"/>
          <w:szCs w:val="24"/>
          <w:u w:val="single"/>
        </w:rPr>
        <w:t xml:space="preserve">resulte incompatible </w:t>
      </w:r>
      <w:r w:rsidR="00F61783" w:rsidRPr="003801D1">
        <w:rPr>
          <w:rFonts w:ascii="AvantGarde Bk BT" w:hAnsi="AvantGarde Bk BT" w:cs="Arial"/>
          <w:b/>
          <w:color w:val="000000" w:themeColor="text1"/>
          <w:sz w:val="24"/>
          <w:szCs w:val="24"/>
          <w:u w:val="single"/>
        </w:rPr>
        <w:t xml:space="preserve">hacer extensiva la causal </w:t>
      </w:r>
      <w:r w:rsidR="003801D1" w:rsidRPr="003801D1">
        <w:rPr>
          <w:rFonts w:ascii="AvantGarde Bk BT" w:hAnsi="AvantGarde Bk BT" w:cs="Arial"/>
          <w:b/>
          <w:color w:val="000000" w:themeColor="text1"/>
          <w:sz w:val="24"/>
          <w:szCs w:val="24"/>
          <w:u w:val="single"/>
        </w:rPr>
        <w:t xml:space="preserve">de reserva </w:t>
      </w:r>
      <w:r w:rsidR="00F61783" w:rsidRPr="003801D1">
        <w:rPr>
          <w:rFonts w:ascii="AvantGarde Bk BT" w:hAnsi="AvantGarde Bk BT" w:cs="Arial"/>
          <w:b/>
          <w:color w:val="000000" w:themeColor="text1"/>
          <w:sz w:val="24"/>
          <w:szCs w:val="24"/>
          <w:u w:val="single"/>
        </w:rPr>
        <w:t xml:space="preserve">a deliberaciones </w:t>
      </w:r>
      <w:r w:rsidR="003801D1" w:rsidRPr="003801D1">
        <w:rPr>
          <w:rFonts w:ascii="AvantGarde Bk BT" w:hAnsi="AvantGarde Bk BT" w:cs="Arial"/>
          <w:b/>
          <w:color w:val="000000" w:themeColor="text1"/>
          <w:sz w:val="24"/>
          <w:szCs w:val="24"/>
          <w:u w:val="single"/>
        </w:rPr>
        <w:t>desarrolladas por un sujeto obligado diverso, pues el principio de máxima publicidad exige que un claro régimen de excepción para la negativa de acceso a la información</w:t>
      </w:r>
      <w:r w:rsidR="003801D1">
        <w:rPr>
          <w:rFonts w:ascii="AvantGarde Bk BT" w:hAnsi="AvantGarde Bk BT" w:cs="Arial"/>
          <w:color w:val="000000" w:themeColor="text1"/>
          <w:sz w:val="24"/>
          <w:szCs w:val="24"/>
        </w:rPr>
        <w:t>.</w:t>
      </w:r>
    </w:p>
    <w:p w14:paraId="59B20364" w14:textId="3565A155" w:rsidR="00CD06A7" w:rsidRDefault="00E967BE" w:rsidP="00CD06A7">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en lo que concierne a la causal de reserva prevista en el artículo 129 fracción X de la Ley de Transparencia y Acceso a la Información Pública del Estado, relativa a </w:t>
      </w:r>
      <w:r w:rsidR="00CD06A7" w:rsidRPr="00CD06A7">
        <w:rPr>
          <w:rFonts w:ascii="AvantGarde Bk BT" w:hAnsi="AvantGarde Bk BT" w:cs="Arial"/>
          <w:color w:val="000000" w:themeColor="text1"/>
          <w:sz w:val="24"/>
          <w:szCs w:val="24"/>
        </w:rPr>
        <w:t>aquella que vulnere la conducción de los expedientes judiciales o de los procedimientos administrativos seguidos en forma de juicio</w:t>
      </w:r>
      <w:r w:rsidR="00F15AD8">
        <w:rPr>
          <w:rFonts w:ascii="AvantGarde Bk BT" w:hAnsi="AvantGarde Bk BT" w:cs="Arial"/>
          <w:color w:val="000000" w:themeColor="text1"/>
          <w:sz w:val="24"/>
          <w:szCs w:val="24"/>
        </w:rPr>
        <w:t xml:space="preserve">; </w:t>
      </w:r>
      <w:r w:rsidR="00CD06A7">
        <w:rPr>
          <w:rFonts w:ascii="AvantGarde Bk BT" w:hAnsi="AvantGarde Bk BT" w:cs="Arial"/>
          <w:color w:val="000000" w:themeColor="text1"/>
          <w:sz w:val="24"/>
          <w:szCs w:val="24"/>
        </w:rPr>
        <w:t>el lineamiento específico (trigésimo) exige al sujeto obligado que acredite 1) l</w:t>
      </w:r>
      <w:r w:rsidR="00CD06A7" w:rsidRPr="00CD06A7">
        <w:rPr>
          <w:rFonts w:ascii="AvantGarde Bk BT" w:hAnsi="AvantGarde Bk BT" w:cs="Arial"/>
          <w:color w:val="000000" w:themeColor="text1"/>
          <w:sz w:val="24"/>
          <w:szCs w:val="24"/>
        </w:rPr>
        <w:t>a existencia de un juicio o procedimiento administrativo materialmente jurisdiccional, que se encuentre en trámite, y</w:t>
      </w:r>
      <w:r w:rsidR="00CD06A7">
        <w:rPr>
          <w:rFonts w:ascii="AvantGarde Bk BT" w:hAnsi="AvantGarde Bk BT" w:cs="Arial"/>
          <w:color w:val="000000" w:themeColor="text1"/>
          <w:sz w:val="24"/>
          <w:szCs w:val="24"/>
        </w:rPr>
        <w:t xml:space="preserve"> 2) q</w:t>
      </w:r>
      <w:r w:rsidR="00CD06A7" w:rsidRPr="00CD06A7">
        <w:rPr>
          <w:rFonts w:ascii="AvantGarde Bk BT" w:hAnsi="AvantGarde Bk BT" w:cs="Arial"/>
          <w:color w:val="000000" w:themeColor="text1"/>
          <w:sz w:val="24"/>
          <w:szCs w:val="24"/>
        </w:rPr>
        <w:t>ue la información solicitada se refiera a actuaciones, diligencias o constancias propias del procedimiento.</w:t>
      </w:r>
      <w:r w:rsidR="00CD06A7">
        <w:rPr>
          <w:rFonts w:ascii="AvantGarde Bk BT" w:hAnsi="AvantGarde Bk BT" w:cs="Arial"/>
          <w:color w:val="000000" w:themeColor="text1"/>
          <w:sz w:val="24"/>
          <w:szCs w:val="24"/>
        </w:rPr>
        <w:t xml:space="preserve"> </w:t>
      </w:r>
    </w:p>
    <w:p w14:paraId="16E3F766" w14:textId="7965C45B" w:rsidR="00CD06A7" w:rsidRDefault="00F15AD8" w:rsidP="007617EE">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ese sentido, </w:t>
      </w:r>
      <w:r w:rsidR="007617EE">
        <w:rPr>
          <w:rFonts w:ascii="AvantGarde Bk BT" w:hAnsi="AvantGarde Bk BT" w:cs="Arial"/>
          <w:color w:val="000000" w:themeColor="text1"/>
          <w:sz w:val="24"/>
          <w:szCs w:val="24"/>
        </w:rPr>
        <w:t>de la lectura de la solicitud de clasificación como del acta expedida por el Comité de Transparencia del sujeto obligado se desprende que la propuesta</w:t>
      </w:r>
      <w:r w:rsidR="007617EE" w:rsidRPr="007617EE">
        <w:rPr>
          <w:rFonts w:ascii="AvantGarde Bk BT" w:hAnsi="AvantGarde Bk BT" w:cs="Arial"/>
          <w:i/>
          <w:color w:val="000000" w:themeColor="text1"/>
          <w:sz w:val="24"/>
          <w:szCs w:val="24"/>
        </w:rPr>
        <w:t xml:space="preserve"> </w:t>
      </w:r>
      <w:r w:rsidR="007617EE" w:rsidRPr="007617EE">
        <w:rPr>
          <w:rFonts w:ascii="AvantGarde Bk BT" w:hAnsi="AvantGarde Bk BT" w:cs="Arial"/>
          <w:color w:val="000000" w:themeColor="text1"/>
          <w:sz w:val="24"/>
          <w:szCs w:val="24"/>
        </w:rPr>
        <w:t xml:space="preserve">de conciliación 01/2026 </w:t>
      </w:r>
      <w:r w:rsidR="007617EE">
        <w:rPr>
          <w:rFonts w:ascii="AvantGarde Bk BT" w:hAnsi="AvantGarde Bk BT" w:cs="Arial"/>
          <w:color w:val="000000" w:themeColor="text1"/>
          <w:sz w:val="24"/>
          <w:szCs w:val="24"/>
        </w:rPr>
        <w:t>se encuentra dentro de la queja identificada con el número de e</w:t>
      </w:r>
      <w:r w:rsidR="007617EE" w:rsidRPr="007617EE">
        <w:rPr>
          <w:rFonts w:ascii="AvantGarde Bk BT" w:hAnsi="AvantGarde Bk BT" w:cs="Arial"/>
          <w:color w:val="000000" w:themeColor="text1"/>
          <w:sz w:val="24"/>
          <w:szCs w:val="24"/>
        </w:rPr>
        <w:t>xpediente 1VQU-0249/2025</w:t>
      </w:r>
      <w:r w:rsidR="007617EE">
        <w:rPr>
          <w:rFonts w:ascii="AvantGarde Bk BT" w:hAnsi="AvantGarde Bk BT" w:cs="Arial"/>
          <w:color w:val="000000" w:themeColor="text1"/>
          <w:sz w:val="24"/>
          <w:szCs w:val="24"/>
        </w:rPr>
        <w:t xml:space="preserve">, mismo que se tramita ante la Comisión Estatal de Derechos Humanos, en términos de los artículos </w:t>
      </w:r>
      <w:r w:rsidR="000E7B00">
        <w:rPr>
          <w:rFonts w:ascii="AvantGarde Bk BT" w:hAnsi="AvantGarde Bk BT" w:cs="Arial"/>
          <w:color w:val="000000" w:themeColor="text1"/>
          <w:sz w:val="24"/>
          <w:szCs w:val="24"/>
        </w:rPr>
        <w:t xml:space="preserve">120, 121, 122, 125, 126, 127 y </w:t>
      </w:r>
      <w:r w:rsidR="007617EE" w:rsidRPr="007617EE">
        <w:rPr>
          <w:rFonts w:ascii="AvantGarde Bk BT" w:hAnsi="AvantGarde Bk BT" w:cs="Arial"/>
          <w:color w:val="000000" w:themeColor="text1"/>
          <w:sz w:val="24"/>
          <w:szCs w:val="24"/>
        </w:rPr>
        <w:t>131 de la Ley de la</w:t>
      </w:r>
      <w:r w:rsidR="000E7B00">
        <w:rPr>
          <w:rFonts w:ascii="AvantGarde Bk BT" w:hAnsi="AvantGarde Bk BT" w:cs="Arial"/>
          <w:color w:val="000000" w:themeColor="text1"/>
          <w:sz w:val="24"/>
          <w:szCs w:val="24"/>
        </w:rPr>
        <w:t xml:space="preserve"> Comisión</w:t>
      </w:r>
      <w:r w:rsidR="007617EE" w:rsidRPr="007617EE">
        <w:rPr>
          <w:rFonts w:ascii="AvantGarde Bk BT" w:hAnsi="AvantGarde Bk BT" w:cs="Arial"/>
          <w:color w:val="000000" w:themeColor="text1"/>
          <w:sz w:val="24"/>
          <w:szCs w:val="24"/>
        </w:rPr>
        <w:t xml:space="preserve"> Estatal de Derechos Humanos</w:t>
      </w:r>
      <w:r w:rsidR="007617EE">
        <w:rPr>
          <w:rFonts w:ascii="AvantGarde Bk BT" w:hAnsi="AvantGarde Bk BT" w:cs="Arial"/>
          <w:color w:val="000000" w:themeColor="text1"/>
          <w:sz w:val="24"/>
          <w:szCs w:val="24"/>
        </w:rPr>
        <w:t>.</w:t>
      </w:r>
      <w:r w:rsidR="000E7B00">
        <w:rPr>
          <w:rStyle w:val="Refdenotaalpie"/>
          <w:rFonts w:ascii="AvantGarde Bk BT" w:hAnsi="AvantGarde Bk BT" w:cs="Arial"/>
          <w:color w:val="000000" w:themeColor="text1"/>
          <w:sz w:val="24"/>
          <w:szCs w:val="24"/>
        </w:rPr>
        <w:footnoteReference w:id="5"/>
      </w:r>
    </w:p>
    <w:p w14:paraId="1F898BC8" w14:textId="42776CDF" w:rsidR="00B851EA" w:rsidRDefault="00B851EA" w:rsidP="00B851EA">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Al respecto</w:t>
      </w:r>
      <w:r w:rsidR="005B5718">
        <w:rPr>
          <w:rFonts w:ascii="AvantGarde Bk BT" w:hAnsi="AvantGarde Bk BT" w:cs="Arial"/>
          <w:color w:val="000000" w:themeColor="text1"/>
          <w:sz w:val="24"/>
          <w:szCs w:val="24"/>
        </w:rPr>
        <w:t xml:space="preserve">, </w:t>
      </w:r>
      <w:r w:rsidR="008A01F8">
        <w:rPr>
          <w:rFonts w:ascii="AvantGarde Bk BT" w:hAnsi="AvantGarde Bk BT" w:cs="Arial"/>
          <w:color w:val="000000" w:themeColor="text1"/>
          <w:sz w:val="24"/>
          <w:szCs w:val="24"/>
        </w:rPr>
        <w:t>es necesario</w:t>
      </w:r>
      <w:r w:rsidR="005B5718">
        <w:rPr>
          <w:rFonts w:ascii="AvantGarde Bk BT" w:hAnsi="AvantGarde Bk BT" w:cs="Arial"/>
          <w:color w:val="000000" w:themeColor="text1"/>
          <w:sz w:val="24"/>
          <w:szCs w:val="24"/>
        </w:rPr>
        <w:t xml:space="preserve"> puntualizar que </w:t>
      </w:r>
      <w:r w:rsidR="005B5718" w:rsidRPr="00B851EA">
        <w:rPr>
          <w:rFonts w:ascii="AvantGarde Bk BT" w:hAnsi="AvantGarde Bk BT" w:cs="Arial"/>
          <w:b/>
          <w:color w:val="000000" w:themeColor="text1"/>
          <w:sz w:val="24"/>
          <w:szCs w:val="24"/>
        </w:rPr>
        <w:t>el procedimiento de queja ante la Comisión de Derechos Humanos no puede ser considerado como un procedimiento formalmente administrativo y materialmente jurisdiccional,</w:t>
      </w:r>
      <w:r w:rsidR="005B5718">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pues,</w:t>
      </w:r>
      <w:r w:rsidR="005B5718">
        <w:rPr>
          <w:rFonts w:ascii="AvantGarde Bk BT" w:hAnsi="AvantGarde Bk BT" w:cs="Arial"/>
          <w:color w:val="000000" w:themeColor="text1"/>
          <w:sz w:val="24"/>
          <w:szCs w:val="24"/>
        </w:rPr>
        <w:t xml:space="preserve"> </w:t>
      </w:r>
      <w:r w:rsidR="000A76AD">
        <w:rPr>
          <w:rFonts w:ascii="AvantGarde Bk BT" w:hAnsi="AvantGarde Bk BT" w:cs="Arial"/>
          <w:color w:val="000000" w:themeColor="text1"/>
          <w:sz w:val="24"/>
          <w:szCs w:val="24"/>
        </w:rPr>
        <w:t>éste</w:t>
      </w:r>
      <w:r>
        <w:rPr>
          <w:rFonts w:ascii="AvantGarde Bk BT" w:hAnsi="AvantGarde Bk BT" w:cs="Arial"/>
          <w:color w:val="000000" w:themeColor="text1"/>
          <w:sz w:val="24"/>
          <w:szCs w:val="24"/>
        </w:rPr>
        <w:t xml:space="preserve"> </w:t>
      </w:r>
      <w:r w:rsidRPr="00B851EA">
        <w:rPr>
          <w:rFonts w:ascii="AvantGarde Bk BT" w:hAnsi="AvantGarde Bk BT" w:cs="Arial"/>
          <w:b/>
          <w:color w:val="000000" w:themeColor="text1"/>
          <w:sz w:val="24"/>
          <w:szCs w:val="24"/>
        </w:rPr>
        <w:t xml:space="preserve">se trata de un mecanismo de investigación </w:t>
      </w:r>
      <w:r w:rsidRPr="008A01F8">
        <w:rPr>
          <w:rFonts w:ascii="AvantGarde Bk BT" w:hAnsi="AvantGarde Bk BT" w:cs="Arial"/>
          <w:b/>
          <w:color w:val="000000" w:themeColor="text1"/>
          <w:sz w:val="24"/>
          <w:szCs w:val="24"/>
          <w:u w:val="single"/>
        </w:rPr>
        <w:t>no jurisdiccional</w:t>
      </w:r>
      <w:r w:rsidRPr="00B851EA">
        <w:rPr>
          <w:rFonts w:ascii="AvantGarde Bk BT" w:hAnsi="AvantGarde Bk BT" w:cs="Arial"/>
          <w:b/>
          <w:color w:val="000000" w:themeColor="text1"/>
          <w:sz w:val="24"/>
          <w:szCs w:val="24"/>
        </w:rPr>
        <w:t xml:space="preserve"> enfocado en la defensa de los derechos humanos</w:t>
      </w:r>
      <w:r>
        <w:rPr>
          <w:rFonts w:ascii="AvantGarde Bk BT" w:hAnsi="AvantGarde Bk BT" w:cs="Arial"/>
          <w:color w:val="000000" w:themeColor="text1"/>
          <w:sz w:val="24"/>
          <w:szCs w:val="24"/>
        </w:rPr>
        <w:t xml:space="preserve"> y </w:t>
      </w:r>
      <w:r w:rsidR="005B5718">
        <w:rPr>
          <w:rFonts w:ascii="AvantGarde Bk BT" w:hAnsi="AvantGarde Bk BT" w:cs="Arial"/>
          <w:color w:val="000000" w:themeColor="text1"/>
          <w:sz w:val="24"/>
          <w:szCs w:val="24"/>
        </w:rPr>
        <w:t xml:space="preserve">aunque cuente con etapas definidas que pudieran asemejarse al procedimiento administrativo, lo cierto es que </w:t>
      </w:r>
      <w:r w:rsidR="005B5718" w:rsidRPr="00B851EA">
        <w:rPr>
          <w:rFonts w:ascii="AvantGarde Bk BT" w:hAnsi="AvantGarde Bk BT" w:cs="Arial"/>
          <w:b/>
          <w:color w:val="000000" w:themeColor="text1"/>
          <w:sz w:val="24"/>
          <w:szCs w:val="24"/>
        </w:rPr>
        <w:t>la Comisión Estatal de Derechos Humanos no tiene como finalidad dirimir una controversia entre part</w:t>
      </w:r>
      <w:r w:rsidRPr="00B851EA">
        <w:rPr>
          <w:rFonts w:ascii="AvantGarde Bk BT" w:hAnsi="AvantGarde Bk BT" w:cs="Arial"/>
          <w:b/>
          <w:color w:val="000000" w:themeColor="text1"/>
          <w:sz w:val="24"/>
          <w:szCs w:val="24"/>
        </w:rPr>
        <w:t>es</w:t>
      </w:r>
      <w:r>
        <w:rPr>
          <w:rFonts w:ascii="AvantGarde Bk BT" w:hAnsi="AvantGarde Bk BT" w:cs="Arial"/>
          <w:b/>
          <w:color w:val="000000" w:themeColor="text1"/>
          <w:sz w:val="24"/>
          <w:szCs w:val="24"/>
        </w:rPr>
        <w:t>, ni emitir una resolución vin</w:t>
      </w:r>
      <w:r w:rsidR="0026262D">
        <w:rPr>
          <w:rFonts w:ascii="AvantGarde Bk BT" w:hAnsi="AvantGarde Bk BT" w:cs="Arial"/>
          <w:b/>
          <w:color w:val="000000" w:themeColor="text1"/>
          <w:sz w:val="24"/>
          <w:szCs w:val="24"/>
        </w:rPr>
        <w:t>culatoria que afecte la esfera jurídica de los servidores públicos investigados</w:t>
      </w:r>
      <w:r>
        <w:rPr>
          <w:rFonts w:ascii="AvantGarde Bk BT" w:hAnsi="AvantGarde Bk BT" w:cs="Arial"/>
          <w:color w:val="000000" w:themeColor="text1"/>
          <w:sz w:val="24"/>
          <w:szCs w:val="24"/>
        </w:rPr>
        <w:t>.</w:t>
      </w:r>
    </w:p>
    <w:p w14:paraId="44185013" w14:textId="2E6E9F6D" w:rsidR="000A76AD" w:rsidRDefault="000A76AD" w:rsidP="00C20C47">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 mayor añadidura, la propia Ley de la Comisión Estatal de Derechos Humanos prevé la queja dentro del título denominado </w:t>
      </w:r>
      <w:r w:rsidR="00C20C47">
        <w:rPr>
          <w:rFonts w:ascii="AvantGarde Bk BT" w:hAnsi="AvantGarde Bk BT" w:cs="Arial"/>
          <w:color w:val="000000" w:themeColor="text1"/>
          <w:sz w:val="24"/>
          <w:szCs w:val="24"/>
        </w:rPr>
        <w:t>“</w:t>
      </w:r>
      <w:r w:rsidR="00C20C47" w:rsidRPr="00C20C47">
        <w:rPr>
          <w:rFonts w:ascii="AvantGarde Bk BT" w:hAnsi="AvantGarde Bk BT" w:cs="Arial"/>
          <w:i/>
          <w:color w:val="000000" w:themeColor="text1"/>
          <w:sz w:val="24"/>
          <w:szCs w:val="24"/>
        </w:rPr>
        <w:t>De las Victimas, y de los Procedimientos No Jurisdiccionales en Derechos Humanos</w:t>
      </w:r>
      <w:r w:rsidR="00C20C47">
        <w:rPr>
          <w:rFonts w:ascii="AvantGarde Bk BT" w:hAnsi="AvantGarde Bk BT" w:cs="Arial"/>
          <w:color w:val="000000" w:themeColor="text1"/>
          <w:sz w:val="24"/>
          <w:szCs w:val="24"/>
        </w:rPr>
        <w:t>” y prescribe que l</w:t>
      </w:r>
      <w:r w:rsidR="00C20C47" w:rsidRPr="00C20C47">
        <w:rPr>
          <w:rFonts w:ascii="AvantGarde Bk BT" w:hAnsi="AvantGarde Bk BT" w:cs="Arial"/>
          <w:color w:val="000000" w:themeColor="text1"/>
          <w:sz w:val="24"/>
          <w:szCs w:val="24"/>
        </w:rPr>
        <w:t xml:space="preserve">as recomendaciones de </w:t>
      </w:r>
      <w:r w:rsidR="00C20C47" w:rsidRPr="00C20C47">
        <w:rPr>
          <w:rFonts w:ascii="AvantGarde Bk BT" w:hAnsi="AvantGarde Bk BT" w:cs="Arial"/>
          <w:color w:val="000000" w:themeColor="text1"/>
          <w:sz w:val="24"/>
          <w:szCs w:val="24"/>
        </w:rPr>
        <w:lastRenderedPageBreak/>
        <w:t xml:space="preserve">la Comisión, así como </w:t>
      </w:r>
      <w:r w:rsidR="00C20C47" w:rsidRPr="00C20C47">
        <w:rPr>
          <w:rFonts w:ascii="AvantGarde Bk BT" w:hAnsi="AvantGarde Bk BT" w:cs="Arial"/>
          <w:b/>
          <w:color w:val="000000" w:themeColor="text1"/>
          <w:sz w:val="24"/>
          <w:szCs w:val="24"/>
          <w:u w:val="single"/>
        </w:rPr>
        <w:t>las conciliaciones que logre</w:t>
      </w:r>
      <w:r w:rsidR="00C20C47" w:rsidRPr="00C20C47">
        <w:rPr>
          <w:rFonts w:ascii="AvantGarde Bk BT" w:hAnsi="AvantGarde Bk BT" w:cs="Arial"/>
          <w:color w:val="000000" w:themeColor="text1"/>
          <w:sz w:val="24"/>
          <w:szCs w:val="24"/>
        </w:rPr>
        <w:t xml:space="preserve">, y las medidas precautorias que solicite, </w:t>
      </w:r>
      <w:r w:rsidR="00C20C47" w:rsidRPr="00C20C47">
        <w:rPr>
          <w:rFonts w:ascii="AvantGarde Bk BT" w:hAnsi="AvantGarde Bk BT" w:cs="Arial"/>
          <w:b/>
          <w:color w:val="000000" w:themeColor="text1"/>
          <w:sz w:val="24"/>
          <w:szCs w:val="24"/>
          <w:u w:val="single"/>
        </w:rPr>
        <w:t>serán públicas</w:t>
      </w:r>
      <w:r w:rsidR="00C20C47">
        <w:rPr>
          <w:rFonts w:ascii="AvantGarde Bk BT" w:hAnsi="AvantGarde Bk BT" w:cs="Arial"/>
          <w:color w:val="000000" w:themeColor="text1"/>
          <w:sz w:val="24"/>
          <w:szCs w:val="24"/>
        </w:rPr>
        <w:t>.</w:t>
      </w:r>
      <w:r w:rsidR="00C20C47">
        <w:rPr>
          <w:rStyle w:val="Refdenotaalpie"/>
          <w:rFonts w:ascii="AvantGarde Bk BT" w:hAnsi="AvantGarde Bk BT" w:cs="Arial"/>
          <w:color w:val="000000" w:themeColor="text1"/>
          <w:sz w:val="24"/>
          <w:szCs w:val="24"/>
        </w:rPr>
        <w:footnoteReference w:id="6"/>
      </w:r>
    </w:p>
    <w:p w14:paraId="27619CCA" w14:textId="50074814" w:rsidR="007617EE" w:rsidRDefault="00E37687" w:rsidP="003C1A9B">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 este modo, </w:t>
      </w:r>
      <w:r w:rsidRPr="000A76AD">
        <w:rPr>
          <w:rFonts w:ascii="AvantGarde Bk BT" w:hAnsi="AvantGarde Bk BT" w:cs="Arial"/>
          <w:b/>
          <w:color w:val="000000" w:themeColor="text1"/>
          <w:sz w:val="24"/>
          <w:szCs w:val="24"/>
        </w:rPr>
        <w:t xml:space="preserve">resulta claro que dicha causal </w:t>
      </w:r>
      <w:r w:rsidR="00B851EA" w:rsidRPr="000A76AD">
        <w:rPr>
          <w:rFonts w:ascii="AvantGarde Bk BT" w:hAnsi="AvantGarde Bk BT" w:cs="Arial"/>
          <w:b/>
          <w:color w:val="000000" w:themeColor="text1"/>
          <w:sz w:val="24"/>
          <w:szCs w:val="24"/>
        </w:rPr>
        <w:t>no</w:t>
      </w:r>
      <w:r w:rsidRPr="000A76AD">
        <w:rPr>
          <w:rFonts w:ascii="AvantGarde Bk BT" w:hAnsi="AvantGarde Bk BT" w:cs="Arial"/>
          <w:b/>
          <w:color w:val="000000" w:themeColor="text1"/>
          <w:sz w:val="24"/>
          <w:szCs w:val="24"/>
        </w:rPr>
        <w:t xml:space="preserve"> </w:t>
      </w:r>
      <w:r w:rsidR="008A01F8">
        <w:rPr>
          <w:rFonts w:ascii="AvantGarde Bk BT" w:hAnsi="AvantGarde Bk BT" w:cs="Arial"/>
          <w:b/>
          <w:color w:val="000000" w:themeColor="text1"/>
          <w:sz w:val="24"/>
          <w:szCs w:val="24"/>
        </w:rPr>
        <w:t xml:space="preserve">se </w:t>
      </w:r>
      <w:r w:rsidRPr="000A76AD">
        <w:rPr>
          <w:rFonts w:ascii="AvantGarde Bk BT" w:hAnsi="AvantGarde Bk BT" w:cs="Arial"/>
          <w:b/>
          <w:color w:val="000000" w:themeColor="text1"/>
          <w:sz w:val="24"/>
          <w:szCs w:val="24"/>
        </w:rPr>
        <w:t>encuent</w:t>
      </w:r>
      <w:r w:rsidR="003C1A9B" w:rsidRPr="000A76AD">
        <w:rPr>
          <w:rFonts w:ascii="AvantGarde Bk BT" w:hAnsi="AvantGarde Bk BT" w:cs="Arial"/>
          <w:b/>
          <w:color w:val="000000" w:themeColor="text1"/>
          <w:sz w:val="24"/>
          <w:szCs w:val="24"/>
        </w:rPr>
        <w:t xml:space="preserve">ra plenamente acreditada, pues </w:t>
      </w:r>
      <w:r w:rsidR="000A76AD" w:rsidRPr="000A76AD">
        <w:rPr>
          <w:rFonts w:ascii="AvantGarde Bk BT" w:hAnsi="AvantGarde Bk BT" w:cs="Arial"/>
          <w:b/>
          <w:color w:val="000000" w:themeColor="text1"/>
          <w:sz w:val="24"/>
          <w:szCs w:val="24"/>
        </w:rPr>
        <w:t xml:space="preserve">los extremos previstos por el lineamiento trigésimo no </w:t>
      </w:r>
      <w:r w:rsidR="008A01F8">
        <w:rPr>
          <w:rFonts w:ascii="AvantGarde Bk BT" w:hAnsi="AvantGarde Bk BT" w:cs="Arial"/>
          <w:b/>
          <w:color w:val="000000" w:themeColor="text1"/>
          <w:sz w:val="24"/>
          <w:szCs w:val="24"/>
        </w:rPr>
        <w:t>fueron</w:t>
      </w:r>
      <w:r w:rsidR="000A76AD" w:rsidRPr="000A76AD">
        <w:rPr>
          <w:rFonts w:ascii="AvantGarde Bk BT" w:hAnsi="AvantGarde Bk BT" w:cs="Arial"/>
          <w:b/>
          <w:color w:val="000000" w:themeColor="text1"/>
          <w:sz w:val="24"/>
          <w:szCs w:val="24"/>
        </w:rPr>
        <w:t xml:space="preserve"> colmados </w:t>
      </w:r>
      <w:r w:rsidR="008A01F8">
        <w:rPr>
          <w:rFonts w:ascii="AvantGarde Bk BT" w:hAnsi="AvantGarde Bk BT" w:cs="Arial"/>
          <w:b/>
          <w:color w:val="000000" w:themeColor="text1"/>
          <w:sz w:val="24"/>
          <w:szCs w:val="24"/>
        </w:rPr>
        <w:t xml:space="preserve">toda vez que </w:t>
      </w:r>
      <w:r w:rsidRPr="000A76AD">
        <w:rPr>
          <w:rFonts w:ascii="AvantGarde Bk BT" w:hAnsi="AvantGarde Bk BT" w:cs="Arial"/>
          <w:b/>
          <w:color w:val="000000" w:themeColor="text1"/>
          <w:sz w:val="24"/>
          <w:szCs w:val="24"/>
        </w:rPr>
        <w:t>l</w:t>
      </w:r>
      <w:r w:rsidR="003C1A9B" w:rsidRPr="000A76AD">
        <w:rPr>
          <w:rFonts w:ascii="AvantGarde Bk BT" w:hAnsi="AvantGarde Bk BT" w:cs="Arial"/>
          <w:b/>
          <w:color w:val="000000" w:themeColor="text1"/>
          <w:sz w:val="24"/>
          <w:szCs w:val="24"/>
        </w:rPr>
        <w:t>a</w:t>
      </w:r>
      <w:r w:rsidRPr="000A76AD">
        <w:rPr>
          <w:rFonts w:ascii="AvantGarde Bk BT" w:hAnsi="AvantGarde Bk BT" w:cs="Arial"/>
          <w:b/>
          <w:color w:val="000000" w:themeColor="text1"/>
          <w:sz w:val="24"/>
          <w:szCs w:val="24"/>
        </w:rPr>
        <w:t xml:space="preserve"> información requerida </w:t>
      </w:r>
      <w:r w:rsidR="00B851EA" w:rsidRPr="000A76AD">
        <w:rPr>
          <w:rFonts w:ascii="AvantGarde Bk BT" w:hAnsi="AvantGarde Bk BT" w:cs="Arial"/>
          <w:b/>
          <w:color w:val="000000" w:themeColor="text1"/>
          <w:sz w:val="24"/>
          <w:szCs w:val="24"/>
        </w:rPr>
        <w:t xml:space="preserve">no </w:t>
      </w:r>
      <w:r w:rsidR="008A01F8">
        <w:rPr>
          <w:rFonts w:ascii="AvantGarde Bk BT" w:hAnsi="AvantGarde Bk BT" w:cs="Arial"/>
          <w:b/>
          <w:color w:val="000000" w:themeColor="text1"/>
          <w:sz w:val="24"/>
          <w:szCs w:val="24"/>
        </w:rPr>
        <w:t>corresponde a aquella que obre dentro</w:t>
      </w:r>
      <w:r w:rsidR="00B851EA" w:rsidRPr="000A76AD">
        <w:rPr>
          <w:rFonts w:ascii="AvantGarde Bk BT" w:hAnsi="AvantGarde Bk BT" w:cs="Arial"/>
          <w:b/>
          <w:color w:val="000000" w:themeColor="text1"/>
          <w:sz w:val="24"/>
          <w:szCs w:val="24"/>
        </w:rPr>
        <w:t xml:space="preserve"> de algún procedimiento administrativo seguido en forma de juicio</w:t>
      </w:r>
      <w:r w:rsidR="00B851EA">
        <w:rPr>
          <w:rFonts w:ascii="AvantGarde Bk BT" w:hAnsi="AvantGarde Bk BT" w:cs="Arial"/>
          <w:color w:val="000000" w:themeColor="text1"/>
          <w:sz w:val="24"/>
          <w:szCs w:val="24"/>
        </w:rPr>
        <w:t>.</w:t>
      </w:r>
    </w:p>
    <w:p w14:paraId="515C1B78" w14:textId="34217775" w:rsidR="007617EE" w:rsidRDefault="00025FAE" w:rsidP="007617EE">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En síntesis</w:t>
      </w:r>
      <w:r w:rsidR="008964C7">
        <w:rPr>
          <w:rFonts w:ascii="AvantGarde Bk BT" w:hAnsi="AvantGarde Bk BT" w:cs="Arial"/>
          <w:color w:val="000000" w:themeColor="text1"/>
          <w:sz w:val="24"/>
          <w:szCs w:val="24"/>
        </w:rPr>
        <w:t>, es evidente que en el caso concreto el sujeto obligado no acreditó las causales</w:t>
      </w:r>
      <w:r>
        <w:rPr>
          <w:rFonts w:ascii="AvantGarde Bk BT" w:hAnsi="AvantGarde Bk BT" w:cs="Arial"/>
          <w:color w:val="000000" w:themeColor="text1"/>
          <w:sz w:val="24"/>
          <w:szCs w:val="24"/>
        </w:rPr>
        <w:t xml:space="preserve"> de reserva invocadas al no colmar los extremos que los Lineamientos Generales en Materia de Clasificación y Desclasificación de la Información exige para reservar la información.</w:t>
      </w:r>
    </w:p>
    <w:p w14:paraId="66B0D19A" w14:textId="77777777" w:rsidR="00025FAE" w:rsidRDefault="00025FAE" w:rsidP="007617EE">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No obstante lo anterior, la falta de acreditación de las causales de reserva no implican que el documento deba entregarse de manera íntegra, pues dada la naturaleza propia de la expresión documental requerida, ésta puede contener datos personales o información que considerada como confidencial; por lo que subsiste la obligación del sujeto obligado de salvaguardar dicha información en términos de la Ley de Transparencia local y la Ley de Protección de Datos Personales en Posesión de Sujetos Obligados. </w:t>
      </w:r>
    </w:p>
    <w:p w14:paraId="02F09421" w14:textId="335533CB" w:rsidR="00025FAE" w:rsidRPr="007617EE" w:rsidRDefault="00025FAE" w:rsidP="007617EE">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 ahí que </w:t>
      </w:r>
      <w:r w:rsidRPr="00F5663A">
        <w:rPr>
          <w:rFonts w:ascii="AvantGarde Bk BT" w:hAnsi="AvantGarde Bk BT" w:cs="Arial"/>
          <w:b/>
          <w:color w:val="000000" w:themeColor="text1"/>
          <w:sz w:val="24"/>
          <w:szCs w:val="24"/>
          <w:u w:val="single"/>
        </w:rPr>
        <w:t>lo correcto debió ser que el sujeto obligado proporcionara la versión pública de que la propuesta</w:t>
      </w:r>
      <w:r w:rsidRPr="00F5663A">
        <w:rPr>
          <w:rFonts w:ascii="AvantGarde Bk BT" w:hAnsi="AvantGarde Bk BT" w:cs="Arial"/>
          <w:b/>
          <w:i/>
          <w:color w:val="000000" w:themeColor="text1"/>
          <w:sz w:val="24"/>
          <w:szCs w:val="24"/>
          <w:u w:val="single"/>
        </w:rPr>
        <w:t xml:space="preserve"> </w:t>
      </w:r>
      <w:r w:rsidRPr="00F5663A">
        <w:rPr>
          <w:rFonts w:ascii="AvantGarde Bk BT" w:hAnsi="AvantGarde Bk BT" w:cs="Arial"/>
          <w:b/>
          <w:color w:val="000000" w:themeColor="text1"/>
          <w:sz w:val="24"/>
          <w:szCs w:val="24"/>
          <w:u w:val="single"/>
        </w:rPr>
        <w:t>de conciliación 01/2026 se encuentra dentro de la queja identificada con el número de expediente 1VQU-0249/2025</w:t>
      </w:r>
      <w:r>
        <w:rPr>
          <w:rFonts w:ascii="AvantGarde Bk BT" w:hAnsi="AvantGarde Bk BT" w:cs="Arial"/>
          <w:color w:val="000000" w:themeColor="text1"/>
          <w:sz w:val="24"/>
          <w:szCs w:val="24"/>
        </w:rPr>
        <w:t>.</w:t>
      </w:r>
    </w:p>
    <w:p w14:paraId="730B161E" w14:textId="37181C56" w:rsidR="00640089" w:rsidRDefault="00C01371" w:rsidP="00C141F9">
      <w:pPr>
        <w:spacing w:line="360" w:lineRule="auto"/>
        <w:ind w:firstLine="709"/>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Así, conforme a las consideraciones que anteceden </w:t>
      </w:r>
      <w:r w:rsidR="00C141F9">
        <w:rPr>
          <w:rFonts w:ascii="AvantGarde Bk BT" w:hAnsi="AvantGarde Bk BT" w:cs="Arial"/>
          <w:color w:val="000000" w:themeColor="text1"/>
          <w:sz w:val="24"/>
          <w:szCs w:val="24"/>
        </w:rPr>
        <w:t xml:space="preserve">el </w:t>
      </w:r>
      <w:r w:rsidR="00C141F9" w:rsidRPr="00880D55">
        <w:rPr>
          <w:rFonts w:ascii="AvantGarde Bk BT" w:hAnsi="AvantGarde Bk BT" w:cs="Arial"/>
          <w:b/>
          <w:color w:val="000000" w:themeColor="text1"/>
          <w:sz w:val="24"/>
          <w:szCs w:val="24"/>
        </w:rPr>
        <w:t xml:space="preserve">Pleno de esta Comisión </w:t>
      </w:r>
      <w:r w:rsidR="00C141F9">
        <w:rPr>
          <w:rFonts w:ascii="AvantGarde Bk BT" w:hAnsi="AvantGarde Bk BT" w:cs="Arial"/>
          <w:b/>
          <w:color w:val="000000" w:themeColor="text1"/>
          <w:sz w:val="24"/>
          <w:szCs w:val="24"/>
        </w:rPr>
        <w:t>considera que</w:t>
      </w:r>
      <w:r>
        <w:rPr>
          <w:rFonts w:ascii="AvantGarde Bk BT" w:hAnsi="AvantGarde Bk BT" w:cs="Arial"/>
          <w:color w:val="000000" w:themeColor="text1"/>
          <w:sz w:val="24"/>
          <w:szCs w:val="24"/>
        </w:rPr>
        <w:t xml:space="preserve"> </w:t>
      </w:r>
      <w:r w:rsidR="00F5663A" w:rsidRPr="00F07C35">
        <w:rPr>
          <w:rFonts w:ascii="AvantGarde Bk BT" w:hAnsi="AvantGarde Bk BT" w:cs="Arial"/>
          <w:b/>
          <w:color w:val="000000" w:themeColor="text1"/>
          <w:sz w:val="24"/>
          <w:szCs w:val="24"/>
        </w:rPr>
        <w:t>l</w:t>
      </w:r>
      <w:r w:rsidR="00F5663A">
        <w:rPr>
          <w:rFonts w:ascii="AvantGarde Bk BT" w:hAnsi="AvantGarde Bk BT" w:cs="Arial"/>
          <w:b/>
          <w:color w:val="000000" w:themeColor="text1"/>
          <w:sz w:val="24"/>
          <w:szCs w:val="24"/>
        </w:rPr>
        <w:t>os</w:t>
      </w:r>
      <w:r w:rsidR="00F5663A" w:rsidRPr="00C141F9">
        <w:rPr>
          <w:rFonts w:ascii="AvantGarde Bk BT" w:hAnsi="AvantGarde Bk BT" w:cs="Arial"/>
          <w:b/>
          <w:color w:val="000000" w:themeColor="text1"/>
          <w:sz w:val="24"/>
          <w:szCs w:val="24"/>
        </w:rPr>
        <w:t xml:space="preserve"> agravio</w:t>
      </w:r>
      <w:r w:rsidR="00F5663A">
        <w:rPr>
          <w:rFonts w:ascii="AvantGarde Bk BT" w:hAnsi="AvantGarde Bk BT" w:cs="Arial"/>
          <w:b/>
          <w:color w:val="000000" w:themeColor="text1"/>
          <w:sz w:val="24"/>
          <w:szCs w:val="24"/>
        </w:rPr>
        <w:t>s</w:t>
      </w:r>
      <w:r w:rsidR="00F5663A" w:rsidRPr="00C141F9">
        <w:rPr>
          <w:rFonts w:ascii="AvantGarde Bk BT" w:hAnsi="AvantGarde Bk BT" w:cs="Arial"/>
          <w:b/>
          <w:color w:val="000000" w:themeColor="text1"/>
          <w:sz w:val="24"/>
          <w:szCs w:val="24"/>
        </w:rPr>
        <w:t xml:space="preserve"> expresado</w:t>
      </w:r>
      <w:r w:rsidR="00F5663A">
        <w:rPr>
          <w:rFonts w:ascii="AvantGarde Bk BT" w:hAnsi="AvantGarde Bk BT" w:cs="Arial"/>
          <w:b/>
          <w:color w:val="000000" w:themeColor="text1"/>
          <w:sz w:val="24"/>
          <w:szCs w:val="24"/>
        </w:rPr>
        <w:t>s por la persona recurrente</w:t>
      </w:r>
      <w:r w:rsidR="00F5663A" w:rsidRPr="00C141F9">
        <w:rPr>
          <w:rFonts w:ascii="AvantGarde Bk BT" w:hAnsi="AvantGarde Bk BT" w:cs="Arial"/>
          <w:b/>
          <w:color w:val="000000" w:themeColor="text1"/>
          <w:sz w:val="24"/>
          <w:szCs w:val="24"/>
        </w:rPr>
        <w:t xml:space="preserve"> resultaron</w:t>
      </w:r>
      <w:r w:rsidR="00F07C35">
        <w:rPr>
          <w:rFonts w:ascii="AvantGarde Bk BT" w:hAnsi="AvantGarde Bk BT" w:cs="Arial"/>
          <w:b/>
          <w:color w:val="000000" w:themeColor="text1"/>
          <w:sz w:val="24"/>
          <w:szCs w:val="24"/>
        </w:rPr>
        <w:t xml:space="preserve"> fundado</w:t>
      </w:r>
      <w:r w:rsidR="00F5663A">
        <w:rPr>
          <w:rFonts w:ascii="AvantGarde Bk BT" w:hAnsi="AvantGarde Bk BT" w:cs="Arial"/>
          <w:b/>
          <w:color w:val="000000" w:themeColor="text1"/>
          <w:sz w:val="24"/>
          <w:szCs w:val="24"/>
        </w:rPr>
        <w:t>s</w:t>
      </w:r>
      <w:r w:rsidR="00C141F9">
        <w:rPr>
          <w:rFonts w:ascii="AvantGarde Bk BT" w:hAnsi="AvantGarde Bk BT" w:cs="Arial"/>
          <w:color w:val="000000" w:themeColor="text1"/>
          <w:sz w:val="24"/>
          <w:szCs w:val="24"/>
        </w:rPr>
        <w:t xml:space="preserve"> </w:t>
      </w:r>
      <w:r w:rsidR="00F07C35">
        <w:rPr>
          <w:rFonts w:ascii="AvantGarde Bk BT" w:hAnsi="AvantGarde Bk BT" w:cs="Arial"/>
          <w:b/>
          <w:color w:val="000000" w:themeColor="text1"/>
          <w:sz w:val="24"/>
          <w:szCs w:val="24"/>
        </w:rPr>
        <w:t>y suficiente</w:t>
      </w:r>
      <w:r w:rsidR="00F5663A">
        <w:rPr>
          <w:rFonts w:ascii="AvantGarde Bk BT" w:hAnsi="AvantGarde Bk BT" w:cs="Arial"/>
          <w:b/>
          <w:color w:val="000000" w:themeColor="text1"/>
          <w:sz w:val="24"/>
          <w:szCs w:val="24"/>
        </w:rPr>
        <w:t>s</w:t>
      </w:r>
      <w:r w:rsidR="00C141F9" w:rsidRPr="00C141F9">
        <w:rPr>
          <w:rFonts w:ascii="AvantGarde Bk BT" w:hAnsi="AvantGarde Bk BT" w:cs="Arial"/>
          <w:b/>
          <w:color w:val="000000" w:themeColor="text1"/>
          <w:sz w:val="24"/>
          <w:szCs w:val="24"/>
        </w:rPr>
        <w:t xml:space="preserve"> para </w:t>
      </w:r>
      <w:r w:rsidR="00F5663A">
        <w:rPr>
          <w:rFonts w:ascii="AvantGarde Bk BT" w:hAnsi="AvantGarde Bk BT" w:cs="Arial"/>
          <w:b/>
          <w:color w:val="000000" w:themeColor="text1"/>
          <w:sz w:val="24"/>
          <w:szCs w:val="24"/>
        </w:rPr>
        <w:t>revoc</w:t>
      </w:r>
      <w:r w:rsidR="00044FE4">
        <w:rPr>
          <w:rFonts w:ascii="AvantGarde Bk BT" w:hAnsi="AvantGarde Bk BT" w:cs="Arial"/>
          <w:b/>
          <w:color w:val="000000" w:themeColor="text1"/>
          <w:sz w:val="24"/>
          <w:szCs w:val="24"/>
        </w:rPr>
        <w:t>ar</w:t>
      </w:r>
      <w:r w:rsidR="00C141F9" w:rsidRPr="00C141F9">
        <w:rPr>
          <w:rFonts w:ascii="AvantGarde Bk BT" w:hAnsi="AvantGarde Bk BT" w:cs="Arial"/>
          <w:b/>
          <w:color w:val="000000" w:themeColor="text1"/>
          <w:sz w:val="24"/>
          <w:szCs w:val="24"/>
        </w:rPr>
        <w:t xml:space="preserve"> el acto impugnado.</w:t>
      </w:r>
    </w:p>
    <w:p w14:paraId="7ED18A7A" w14:textId="77777777" w:rsidR="009A0D4F" w:rsidRPr="00F87B25" w:rsidRDefault="009A0D4F" w:rsidP="009A0D4F">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5.1. Sentido y efectos de esta resolución.</w:t>
      </w:r>
    </w:p>
    <w:p w14:paraId="47BA56F7" w14:textId="2E77EDE4" w:rsidR="009A0D4F" w:rsidRDefault="009A0D4F" w:rsidP="009A0D4F">
      <w:pPr>
        <w:pStyle w:val="corte4fondo"/>
        <w:spacing w:after="240"/>
        <w:rPr>
          <w:rFonts w:ascii="AvantGarde Bk BT" w:hAnsi="AvantGarde Bk BT" w:cs="Arial"/>
          <w:color w:val="000000" w:themeColor="text1"/>
          <w:sz w:val="24"/>
          <w:szCs w:val="24"/>
        </w:rPr>
      </w:pPr>
      <w:r w:rsidRPr="00AB701B">
        <w:rPr>
          <w:rFonts w:ascii="AvantGarde Bk BT" w:hAnsi="AvantGarde Bk BT" w:cs="Arial"/>
          <w:color w:val="000000" w:themeColor="text1"/>
          <w:sz w:val="24"/>
          <w:szCs w:val="24"/>
        </w:rPr>
        <w:lastRenderedPageBreak/>
        <w:t>Por las</w:t>
      </w:r>
      <w:r>
        <w:rPr>
          <w:rFonts w:ascii="AvantGarde Bk BT" w:hAnsi="AvantGarde Bk BT" w:cs="Arial"/>
          <w:color w:val="000000" w:themeColor="text1"/>
          <w:sz w:val="24"/>
          <w:szCs w:val="24"/>
        </w:rPr>
        <w:t xml:space="preserve"> consideraciones expuestas, el Pleno de esta</w:t>
      </w:r>
      <w:r w:rsidRPr="00AB701B">
        <w:rPr>
          <w:rFonts w:ascii="AvantGarde Bk BT" w:hAnsi="AvantGarde Bk BT" w:cs="Arial"/>
          <w:color w:val="000000" w:themeColor="text1"/>
          <w:sz w:val="24"/>
          <w:szCs w:val="24"/>
        </w:rPr>
        <w:t xml:space="preserve"> Comisión Estatal de Garantía de Acceso a la Información Pública de conformidad con el artículo 175, fracción III de la Ley de Transparencia y Acceso a la Información Pública del Estado </w:t>
      </w:r>
      <w:r w:rsidR="00F5663A">
        <w:rPr>
          <w:rFonts w:ascii="AvantGarde Bk BT" w:hAnsi="AvantGarde Bk BT" w:cs="Arial"/>
          <w:b/>
          <w:bCs/>
          <w:color w:val="000000" w:themeColor="text1"/>
          <w:sz w:val="24"/>
          <w:szCs w:val="24"/>
        </w:rPr>
        <w:t>REVO</w:t>
      </w:r>
      <w:r w:rsidRPr="00AB701B">
        <w:rPr>
          <w:rFonts w:ascii="AvantGarde Bk BT" w:hAnsi="AvantGarde Bk BT" w:cs="Arial"/>
          <w:b/>
          <w:bCs/>
          <w:color w:val="000000" w:themeColor="text1"/>
          <w:sz w:val="24"/>
          <w:szCs w:val="24"/>
        </w:rPr>
        <w:t>CA</w:t>
      </w:r>
      <w:r w:rsidRPr="00AB701B">
        <w:rPr>
          <w:rFonts w:ascii="AvantGarde Bk BT" w:hAnsi="AvantGarde Bk BT" w:cs="Arial"/>
          <w:color w:val="000000" w:themeColor="text1"/>
          <w:sz w:val="24"/>
          <w:szCs w:val="24"/>
        </w:rPr>
        <w:t xml:space="preserve"> la respuesta proporcionada por el </w:t>
      </w:r>
      <w:r>
        <w:rPr>
          <w:rFonts w:ascii="AvantGarde Bk BT" w:hAnsi="AvantGarde Bk BT" w:cs="Arial"/>
          <w:color w:val="000000" w:themeColor="text1"/>
          <w:sz w:val="24"/>
          <w:szCs w:val="24"/>
        </w:rPr>
        <w:t>sujeto</w:t>
      </w:r>
      <w:r w:rsidRPr="00AB701B">
        <w:rPr>
          <w:rFonts w:ascii="AvantGarde Bk BT" w:hAnsi="AvantGarde Bk BT" w:cs="Arial"/>
          <w:color w:val="000000" w:themeColor="text1"/>
          <w:sz w:val="24"/>
          <w:szCs w:val="24"/>
        </w:rPr>
        <w:t xml:space="preserve"> obligado y lo conmina para que:</w:t>
      </w:r>
      <w:r w:rsidRPr="00FB1B04">
        <w:rPr>
          <w:rFonts w:ascii="AvantGarde Bk BT" w:hAnsi="AvantGarde Bk BT" w:cs="Arial"/>
          <w:color w:val="000000" w:themeColor="text1"/>
          <w:sz w:val="24"/>
          <w:szCs w:val="24"/>
        </w:rPr>
        <w:t xml:space="preserve"> </w:t>
      </w:r>
    </w:p>
    <w:p w14:paraId="0B786EFC" w14:textId="0B1BA336" w:rsidR="00F5663A" w:rsidRDefault="00531A80" w:rsidP="00AF196A">
      <w:pPr>
        <w:pStyle w:val="Prrafodelista"/>
        <w:numPr>
          <w:ilvl w:val="0"/>
          <w:numId w:val="46"/>
        </w:numPr>
        <w:spacing w:line="360" w:lineRule="auto"/>
        <w:ind w:left="1134" w:hanging="425"/>
        <w:jc w:val="both"/>
        <w:rPr>
          <w:rFonts w:ascii="AvantGarde Bk BT" w:hAnsi="AvantGarde Bk BT" w:cs="Arial"/>
          <w:color w:val="000000" w:themeColor="text1"/>
          <w:sz w:val="24"/>
          <w:szCs w:val="24"/>
        </w:rPr>
      </w:pPr>
      <w:r w:rsidRPr="007A1C74">
        <w:rPr>
          <w:rFonts w:ascii="AvantGarde Bk BT" w:hAnsi="AvantGarde Bk BT" w:cs="Arial"/>
          <w:bCs/>
          <w:color w:val="000000" w:themeColor="text1"/>
          <w:sz w:val="24"/>
          <w:szCs w:val="24"/>
        </w:rPr>
        <w:t>La Titular de la Unidad de Transparencia</w:t>
      </w:r>
      <w:r w:rsidR="009D329A" w:rsidRPr="007A1C74">
        <w:rPr>
          <w:rFonts w:ascii="AvantGarde Bk BT" w:hAnsi="AvantGarde Bk BT" w:cs="Arial"/>
          <w:bCs/>
          <w:color w:val="000000" w:themeColor="text1"/>
          <w:sz w:val="24"/>
          <w:szCs w:val="24"/>
        </w:rPr>
        <w:t xml:space="preserve"> </w:t>
      </w:r>
      <w:r w:rsidRPr="007A1C74">
        <w:rPr>
          <w:rFonts w:ascii="AvantGarde Bk BT" w:hAnsi="AvantGarde Bk BT" w:cs="Arial"/>
          <w:bCs/>
          <w:color w:val="000000" w:themeColor="text1"/>
          <w:sz w:val="24"/>
          <w:szCs w:val="24"/>
        </w:rPr>
        <w:t xml:space="preserve">turne </w:t>
      </w:r>
      <w:r w:rsidRPr="007A1C74">
        <w:rPr>
          <w:rFonts w:ascii="AvantGarde Bk BT" w:hAnsi="AvantGarde Bk BT" w:cs="Arial"/>
          <w:color w:val="000000" w:themeColor="text1"/>
          <w:sz w:val="24"/>
          <w:szCs w:val="24"/>
        </w:rPr>
        <w:t xml:space="preserve">la solicitud de información </w:t>
      </w:r>
      <w:r w:rsidR="00F5663A">
        <w:rPr>
          <w:rFonts w:ascii="AvantGarde Bk BT" w:hAnsi="AvantGarde Bk BT" w:cs="Arial"/>
          <w:color w:val="000000" w:themeColor="text1"/>
          <w:sz w:val="24"/>
          <w:szCs w:val="24"/>
        </w:rPr>
        <w:t>a la</w:t>
      </w:r>
      <w:r w:rsidR="00D03430" w:rsidRPr="007A1C74">
        <w:rPr>
          <w:rFonts w:ascii="AvantGarde Bk BT" w:hAnsi="AvantGarde Bk BT" w:cs="Arial"/>
          <w:color w:val="000000" w:themeColor="text1"/>
          <w:sz w:val="24"/>
          <w:szCs w:val="24"/>
        </w:rPr>
        <w:t xml:space="preserve"> </w:t>
      </w:r>
      <w:r w:rsidR="00F5663A" w:rsidRPr="00F5663A">
        <w:rPr>
          <w:rFonts w:ascii="AvantGarde Bk BT" w:hAnsi="AvantGarde Bk BT" w:cs="Arial"/>
          <w:color w:val="000000" w:themeColor="text1"/>
          <w:sz w:val="24"/>
          <w:szCs w:val="24"/>
        </w:rPr>
        <w:t xml:space="preserve">Unidad de Asuntos Jurídicos y Derechos Humanos de </w:t>
      </w:r>
      <w:r w:rsidR="00F5663A">
        <w:rPr>
          <w:rFonts w:ascii="AvantGarde Bk BT" w:hAnsi="AvantGarde Bk BT" w:cs="Arial"/>
          <w:color w:val="000000" w:themeColor="text1"/>
          <w:sz w:val="24"/>
          <w:szCs w:val="24"/>
        </w:rPr>
        <w:t>l</w:t>
      </w:r>
      <w:r w:rsidR="00F5663A" w:rsidRPr="00F5663A">
        <w:rPr>
          <w:rFonts w:ascii="AvantGarde Bk BT" w:hAnsi="AvantGarde Bk BT" w:cs="Arial"/>
          <w:color w:val="000000" w:themeColor="text1"/>
          <w:sz w:val="24"/>
          <w:szCs w:val="24"/>
        </w:rPr>
        <w:t>a Secretaría de Educación de Gobierno del Estado</w:t>
      </w:r>
      <w:r w:rsidR="00F5663A">
        <w:rPr>
          <w:rFonts w:ascii="AvantGarde Bk BT" w:hAnsi="AvantGarde Bk BT" w:cs="Arial"/>
          <w:color w:val="000000" w:themeColor="text1"/>
          <w:sz w:val="24"/>
          <w:szCs w:val="24"/>
        </w:rPr>
        <w:t xml:space="preserve"> a fin de que dicha área proporcione </w:t>
      </w:r>
      <w:r w:rsidR="00F5663A" w:rsidRPr="00F5663A">
        <w:rPr>
          <w:rFonts w:ascii="AvantGarde Bk BT" w:hAnsi="AvantGarde Bk BT" w:cs="Arial"/>
          <w:color w:val="000000" w:themeColor="text1"/>
          <w:sz w:val="24"/>
          <w:szCs w:val="24"/>
        </w:rPr>
        <w:t>la versión pública de que la propuesta</w:t>
      </w:r>
      <w:r w:rsidR="00F5663A" w:rsidRPr="00F5663A">
        <w:rPr>
          <w:rFonts w:ascii="AvantGarde Bk BT" w:hAnsi="AvantGarde Bk BT" w:cs="Arial"/>
          <w:i/>
          <w:color w:val="000000" w:themeColor="text1"/>
          <w:sz w:val="24"/>
          <w:szCs w:val="24"/>
        </w:rPr>
        <w:t xml:space="preserve"> </w:t>
      </w:r>
      <w:r w:rsidR="00F5663A" w:rsidRPr="00F5663A">
        <w:rPr>
          <w:rFonts w:ascii="AvantGarde Bk BT" w:hAnsi="AvantGarde Bk BT" w:cs="Arial"/>
          <w:color w:val="000000" w:themeColor="text1"/>
          <w:sz w:val="24"/>
          <w:szCs w:val="24"/>
        </w:rPr>
        <w:t xml:space="preserve">de conciliación 01/2026 </w:t>
      </w:r>
      <w:r w:rsidR="00F5663A">
        <w:rPr>
          <w:rFonts w:ascii="AvantGarde Bk BT" w:hAnsi="AvantGarde Bk BT" w:cs="Arial"/>
          <w:color w:val="000000" w:themeColor="text1"/>
          <w:sz w:val="24"/>
          <w:szCs w:val="24"/>
        </w:rPr>
        <w:t>correspondiente a</w:t>
      </w:r>
      <w:r w:rsidR="00F5663A" w:rsidRPr="00F5663A">
        <w:rPr>
          <w:rFonts w:ascii="AvantGarde Bk BT" w:hAnsi="AvantGarde Bk BT" w:cs="Arial"/>
          <w:color w:val="000000" w:themeColor="text1"/>
          <w:sz w:val="24"/>
          <w:szCs w:val="24"/>
        </w:rPr>
        <w:t xml:space="preserve"> la queja identificada con el número de expediente 1VQU-0249/2025</w:t>
      </w:r>
      <w:r w:rsidR="00F5663A">
        <w:rPr>
          <w:rFonts w:ascii="AvantGarde Bk BT" w:hAnsi="AvantGarde Bk BT" w:cs="Arial"/>
          <w:color w:val="000000" w:themeColor="text1"/>
          <w:sz w:val="24"/>
          <w:szCs w:val="24"/>
        </w:rPr>
        <w:t xml:space="preserve"> conforme al considerando quinto de esta resolución.</w:t>
      </w:r>
    </w:p>
    <w:p w14:paraId="3E50F9B4" w14:textId="13E133FA" w:rsidR="00F5663A" w:rsidRDefault="00F5663A" w:rsidP="00F5663A">
      <w:pPr>
        <w:pStyle w:val="Prrafodelista"/>
        <w:spacing w:line="360" w:lineRule="auto"/>
        <w:ind w:left="1134"/>
        <w:jc w:val="both"/>
        <w:rPr>
          <w:rFonts w:ascii="AvantGarde Bk BT" w:hAnsi="AvantGarde Bk BT" w:cs="Arial"/>
          <w:color w:val="000000" w:themeColor="text1"/>
          <w:sz w:val="24"/>
          <w:szCs w:val="24"/>
        </w:rPr>
      </w:pPr>
      <w:r>
        <w:rPr>
          <w:rFonts w:ascii="AvantGarde Bk BT" w:hAnsi="AvantGarde Bk BT" w:cs="Arial"/>
          <w:color w:val="000000" w:themeColor="text1"/>
          <w:sz w:val="24"/>
          <w:szCs w:val="24"/>
        </w:rPr>
        <w:t>Lo anterior en la inteligencia de que, previamente, deberá dejar insubsistente el acuerdo de reserva 18/2026 así como el acta expedida por el Comité de Transparencia de ocho de junio de dos mil veintiséis, mediante la cual confirmó la clasificación de la información como reservada.</w:t>
      </w:r>
    </w:p>
    <w:p w14:paraId="0A22C2BD" w14:textId="0D9BAEF3" w:rsidR="005C5DA1" w:rsidRPr="0067260C" w:rsidRDefault="007C62BF" w:rsidP="009A0D4F">
      <w:pPr>
        <w:pStyle w:val="corte4fondo"/>
        <w:tabs>
          <w:tab w:val="left" w:pos="567"/>
        </w:tabs>
        <w:spacing w:after="240"/>
        <w:ind w:left="680" w:firstLine="0"/>
        <w:rPr>
          <w:rFonts w:ascii="AvantGarde Bk BT" w:hAnsi="AvantGarde Bk BT" w:cs="Arial"/>
          <w:b/>
          <w:color w:val="000000" w:themeColor="text1"/>
          <w:sz w:val="24"/>
          <w:szCs w:val="24"/>
          <w:highlight w:val="yellow"/>
        </w:rPr>
      </w:pPr>
      <w:r>
        <w:rPr>
          <w:rFonts w:ascii="AvantGarde Bk BT" w:hAnsi="AvantGarde Bk BT" w:cs="Arial"/>
          <w:b/>
          <w:color w:val="000000" w:themeColor="text1"/>
          <w:sz w:val="24"/>
          <w:szCs w:val="24"/>
        </w:rPr>
        <w:t>5.2.</w:t>
      </w:r>
      <w:r w:rsidR="005C5DA1">
        <w:rPr>
          <w:rFonts w:ascii="AvantGarde Bk BT" w:hAnsi="AvantGarde Bk BT" w:cs="Arial"/>
          <w:b/>
          <w:color w:val="000000" w:themeColor="text1"/>
          <w:sz w:val="24"/>
          <w:szCs w:val="24"/>
        </w:rPr>
        <w:t xml:space="preserve"> </w:t>
      </w:r>
      <w:r w:rsidR="009A4012" w:rsidRPr="009A4012">
        <w:rPr>
          <w:rFonts w:ascii="AvantGarde Bk BT" w:hAnsi="AvantGarde Bk BT" w:cs="Arial"/>
          <w:b/>
          <w:color w:val="000000" w:themeColor="text1"/>
          <w:sz w:val="24"/>
          <w:szCs w:val="24"/>
        </w:rPr>
        <w:t>Modalidad de la información</w:t>
      </w:r>
      <w:r w:rsidR="005C5DA1" w:rsidRPr="009A4012">
        <w:rPr>
          <w:rFonts w:ascii="AvantGarde Bk BT" w:hAnsi="AvantGarde Bk BT" w:cs="Arial"/>
          <w:b/>
          <w:color w:val="000000" w:themeColor="text1"/>
          <w:sz w:val="24"/>
          <w:szCs w:val="24"/>
        </w:rPr>
        <w:t>.</w:t>
      </w:r>
    </w:p>
    <w:p w14:paraId="155C4D46" w14:textId="77777777" w:rsidR="009A4012" w:rsidRDefault="009A4012" w:rsidP="009A4012">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En virtud de que el recurrente realizó su solicitud de información a través de la Plataforma Nacional de Transparencia y, dada la imposibilidad entregar la información por ese mismo medio, el sujeto obligado deberá notificar la nueva respuesta a través de la dirección de correo electrónico que señaló el recurrente para efecto de oír y recibir notificaciones.</w:t>
      </w:r>
    </w:p>
    <w:p w14:paraId="18BE3D46" w14:textId="389C4756" w:rsidR="009A0D4F" w:rsidRDefault="007C62BF" w:rsidP="009A0D4F">
      <w:pPr>
        <w:pStyle w:val="corte4fondo"/>
        <w:tabs>
          <w:tab w:val="left" w:pos="567"/>
        </w:tabs>
        <w:spacing w:after="240"/>
        <w:ind w:left="680" w:firstLine="0"/>
        <w:rPr>
          <w:rFonts w:ascii="AvantGarde Bk BT" w:hAnsi="AvantGarde Bk BT" w:cs="Arial"/>
          <w:sz w:val="24"/>
          <w:szCs w:val="24"/>
        </w:rPr>
      </w:pPr>
      <w:r>
        <w:rPr>
          <w:rFonts w:ascii="AvantGarde Bk BT" w:hAnsi="AvantGarde Bk BT" w:cs="Arial"/>
          <w:b/>
          <w:color w:val="000000" w:themeColor="text1"/>
          <w:sz w:val="24"/>
          <w:szCs w:val="24"/>
        </w:rPr>
        <w:t>5.3</w:t>
      </w:r>
      <w:r w:rsidR="009A0D4F">
        <w:rPr>
          <w:rFonts w:ascii="AvantGarde Bk BT" w:hAnsi="AvantGarde Bk BT" w:cs="Arial"/>
          <w:b/>
          <w:color w:val="000000" w:themeColor="text1"/>
          <w:sz w:val="24"/>
          <w:szCs w:val="24"/>
        </w:rPr>
        <w:t xml:space="preserve">. </w:t>
      </w:r>
      <w:r w:rsidR="009A0D4F">
        <w:rPr>
          <w:rFonts w:ascii="AvantGarde Bk BT" w:hAnsi="AvantGarde Bk BT" w:cs="Arial"/>
          <w:b/>
          <w:sz w:val="24"/>
          <w:szCs w:val="24"/>
        </w:rPr>
        <w:t xml:space="preserve">Precisiones para el cumplimiento de la resolución. </w:t>
      </w:r>
    </w:p>
    <w:p w14:paraId="55415329" w14:textId="77777777" w:rsidR="009A0D4F" w:rsidRDefault="009A0D4F" w:rsidP="009A0D4F">
      <w:pPr>
        <w:pStyle w:val="corte4fondo"/>
        <w:tabs>
          <w:tab w:val="left" w:pos="567"/>
        </w:tabs>
        <w:rPr>
          <w:rFonts w:ascii="AvantGarde Bk BT" w:hAnsi="AvantGarde Bk BT" w:cs="Arial"/>
          <w:sz w:val="24"/>
          <w:szCs w:val="24"/>
          <w:u w:val="single"/>
        </w:rPr>
      </w:pPr>
      <w:r>
        <w:rPr>
          <w:rFonts w:ascii="AvantGarde Bk BT" w:hAnsi="AvantGarde Bk BT" w:cs="Arial"/>
          <w:sz w:val="24"/>
          <w:szCs w:val="24"/>
        </w:rPr>
        <w:t xml:space="preserve">Para efecto de cumplir con la presente resolución, el sujeto obligado deberá acompañar a su informe de cumplimiento las constancias con las que acredite haber dado cumplimiento a la resolución; es decir, </w:t>
      </w:r>
      <w:r w:rsidRPr="00850F65">
        <w:rPr>
          <w:rFonts w:ascii="AvantGarde Bk BT" w:hAnsi="AvantGarde Bk BT" w:cs="Arial"/>
          <w:sz w:val="24"/>
          <w:szCs w:val="24"/>
          <w:u w:val="single"/>
        </w:rPr>
        <w:t>deberá acompañar</w:t>
      </w:r>
      <w:r>
        <w:rPr>
          <w:rFonts w:ascii="AvantGarde Bk BT" w:hAnsi="AvantGarde Bk BT" w:cs="Arial"/>
          <w:sz w:val="24"/>
          <w:szCs w:val="24"/>
          <w:u w:val="single"/>
        </w:rPr>
        <w:t>:</w:t>
      </w:r>
      <w:r w:rsidRPr="00850F65">
        <w:rPr>
          <w:rFonts w:ascii="AvantGarde Bk BT" w:hAnsi="AvantGarde Bk BT" w:cs="Arial"/>
          <w:sz w:val="24"/>
          <w:szCs w:val="24"/>
          <w:u w:val="single"/>
        </w:rPr>
        <w:t xml:space="preserve"> </w:t>
      </w:r>
    </w:p>
    <w:p w14:paraId="46203698" w14:textId="77777777" w:rsidR="009A0D4F" w:rsidRPr="00F331D9" w:rsidRDefault="009A0D4F" w:rsidP="009A0D4F">
      <w:pPr>
        <w:pStyle w:val="corte4fondo"/>
        <w:numPr>
          <w:ilvl w:val="3"/>
          <w:numId w:val="4"/>
        </w:numPr>
        <w:tabs>
          <w:tab w:val="left" w:pos="567"/>
        </w:tabs>
        <w:ind w:left="680" w:firstLine="0"/>
        <w:rPr>
          <w:rFonts w:ascii="AvantGarde Bk BT" w:hAnsi="AvantGarde Bk BT" w:cs="Arial"/>
          <w:sz w:val="24"/>
          <w:szCs w:val="24"/>
        </w:rPr>
      </w:pPr>
      <w:r w:rsidRPr="00850F65">
        <w:rPr>
          <w:rFonts w:ascii="AvantGarde Bk BT" w:hAnsi="AvantGarde Bk BT" w:cs="Arial"/>
          <w:sz w:val="24"/>
          <w:szCs w:val="24"/>
          <w:u w:val="single"/>
        </w:rPr>
        <w:t>Todos aquellos documentos entregados al peticionario</w:t>
      </w:r>
      <w:r>
        <w:rPr>
          <w:rFonts w:ascii="AvantGarde Bk BT" w:hAnsi="AvantGarde Bk BT" w:cs="Arial"/>
          <w:sz w:val="24"/>
          <w:szCs w:val="24"/>
          <w:u w:val="single"/>
        </w:rPr>
        <w:t>.</w:t>
      </w:r>
      <w:r w:rsidRPr="00850F65">
        <w:rPr>
          <w:rFonts w:ascii="AvantGarde Bk BT" w:hAnsi="AvantGarde Bk BT" w:cs="Arial"/>
          <w:sz w:val="24"/>
          <w:szCs w:val="24"/>
          <w:u w:val="single"/>
        </w:rPr>
        <w:t xml:space="preserve"> </w:t>
      </w:r>
    </w:p>
    <w:p w14:paraId="5CDB31DE" w14:textId="77777777" w:rsidR="009A0D4F" w:rsidRPr="00BB5524" w:rsidRDefault="009A0D4F" w:rsidP="009A0D4F">
      <w:pPr>
        <w:pStyle w:val="corte4fondo"/>
        <w:numPr>
          <w:ilvl w:val="3"/>
          <w:numId w:val="4"/>
        </w:numPr>
        <w:tabs>
          <w:tab w:val="left" w:pos="567"/>
        </w:tabs>
        <w:spacing w:after="240"/>
        <w:ind w:left="680" w:firstLine="0"/>
        <w:rPr>
          <w:rFonts w:ascii="AvantGarde Bk BT" w:hAnsi="AvantGarde Bk BT" w:cs="Arial"/>
          <w:sz w:val="24"/>
          <w:szCs w:val="24"/>
        </w:rPr>
      </w:pPr>
      <w:r w:rsidRPr="00850F65">
        <w:rPr>
          <w:rFonts w:ascii="AvantGarde Bk BT" w:hAnsi="AvantGarde Bk BT" w:cs="Arial"/>
          <w:sz w:val="24"/>
          <w:szCs w:val="24"/>
          <w:u w:val="single"/>
        </w:rPr>
        <w:t>Las constancias que acrediten que la nueva respuesta fue notificada al recurrente</w:t>
      </w:r>
      <w:r>
        <w:rPr>
          <w:rFonts w:ascii="AvantGarde Bk BT" w:hAnsi="AvantGarde Bk BT" w:cs="Arial"/>
          <w:sz w:val="24"/>
          <w:szCs w:val="24"/>
        </w:rPr>
        <w:t>.</w:t>
      </w:r>
    </w:p>
    <w:p w14:paraId="60150AE1" w14:textId="258910C2" w:rsidR="009A0D4F" w:rsidRPr="00C12794" w:rsidRDefault="009A0D4F" w:rsidP="009A0D4F">
      <w:pPr>
        <w:spacing w:line="360" w:lineRule="auto"/>
        <w:ind w:firstLine="709"/>
        <w:jc w:val="both"/>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w:t>
      </w:r>
      <w:r w:rsidR="007C62BF">
        <w:rPr>
          <w:rFonts w:ascii="AvantGarde Bk BT" w:hAnsi="AvantGarde Bk BT" w:cs="Arial"/>
          <w:b/>
          <w:color w:val="000000" w:themeColor="text1"/>
          <w:sz w:val="24"/>
          <w:szCs w:val="24"/>
        </w:rPr>
        <w:t>.4</w:t>
      </w:r>
      <w:r w:rsidRPr="00BB5524">
        <w:rPr>
          <w:rFonts w:ascii="AvantGarde Bk BT" w:hAnsi="AvantGarde Bk BT" w:cs="Arial"/>
          <w:b/>
          <w:color w:val="000000" w:themeColor="text1"/>
          <w:sz w:val="24"/>
          <w:szCs w:val="24"/>
        </w:rPr>
        <w:t>. Plazo para el cumplimento de esta resolución e informe sobre el cumplimento a la misma.</w:t>
      </w:r>
      <w:r w:rsidRPr="00C12794">
        <w:rPr>
          <w:rFonts w:ascii="AvantGarde Bk BT" w:hAnsi="AvantGarde Bk BT" w:cs="Arial"/>
          <w:b/>
          <w:color w:val="000000" w:themeColor="text1"/>
          <w:sz w:val="24"/>
          <w:szCs w:val="24"/>
        </w:rPr>
        <w:t xml:space="preserve"> </w:t>
      </w:r>
    </w:p>
    <w:p w14:paraId="224F55E6" w14:textId="77777777" w:rsidR="009A0D4F" w:rsidRPr="00A51A39" w:rsidRDefault="009A0D4F" w:rsidP="009A0D4F">
      <w:pPr>
        <w:pStyle w:val="corte4fondo"/>
        <w:tabs>
          <w:tab w:val="left" w:pos="567"/>
        </w:tabs>
        <w:spacing w:after="240"/>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lastRenderedPageBreak/>
        <w:t>Con fundamento en el artículo 175 de la Ley de Transparencia y Acceso a la Información Pública</w:t>
      </w:r>
      <w:r>
        <w:rPr>
          <w:rFonts w:ascii="AvantGarde Bk BT" w:hAnsi="AvantGarde Bk BT" w:cs="Arial"/>
          <w:color w:val="000000" w:themeColor="text1"/>
          <w:sz w:val="24"/>
          <w:szCs w:val="24"/>
        </w:rPr>
        <w:t xml:space="preserve"> se concede un término de </w:t>
      </w:r>
      <w:r>
        <w:rPr>
          <w:rFonts w:ascii="AvantGarde Bk BT" w:hAnsi="AvantGarde Bk BT" w:cs="Arial"/>
          <w:color w:val="000000" w:themeColor="text1"/>
          <w:sz w:val="24"/>
          <w:szCs w:val="24"/>
          <w:u w:val="single"/>
        </w:rPr>
        <w:t>10 diez</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w:t>
      </w:r>
      <w:r>
        <w:rPr>
          <w:rFonts w:ascii="AvantGarde Bk BT" w:hAnsi="AvantGarde Bk BT" w:cs="Arial"/>
          <w:color w:val="000000" w:themeColor="text1"/>
          <w:sz w:val="24"/>
          <w:szCs w:val="24"/>
        </w:rPr>
        <w:t>, lo anterior en la inteligencia de que dicho plazo podrá ampliarse a solicitud del sujeto obligado en términos del artículo 183 de la Ley de la materia,</w:t>
      </w:r>
      <w:r w:rsidRPr="00831D47">
        <w:rPr>
          <w:rFonts w:ascii="AvantGarde Bk BT" w:hAnsi="AvantGarde Bk BT" w:cs="Arial"/>
          <w:color w:val="000000" w:themeColor="text1"/>
          <w:sz w:val="24"/>
          <w:szCs w:val="24"/>
        </w:rPr>
        <w:t xml:space="preserve">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14:paraId="589F0B34" w14:textId="24116B4C" w:rsidR="009A0D4F" w:rsidRPr="004C15C0" w:rsidRDefault="007C62BF" w:rsidP="009A0D4F">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5.5</w:t>
      </w:r>
      <w:r w:rsidR="009A0D4F" w:rsidRPr="00831D47">
        <w:rPr>
          <w:rFonts w:ascii="AvantGarde Bk BT" w:hAnsi="AvantGarde Bk BT" w:cs="Arial"/>
          <w:b/>
          <w:color w:val="000000" w:themeColor="text1"/>
          <w:sz w:val="24"/>
          <w:szCs w:val="24"/>
        </w:rPr>
        <w:t>. Medida de apremio en caso de incumplimiento a la resolución.</w:t>
      </w:r>
    </w:p>
    <w:p w14:paraId="687DC200" w14:textId="77777777" w:rsidR="009A0D4F" w:rsidRPr="00002DE6" w:rsidRDefault="009A0D4F" w:rsidP="009A0D4F">
      <w:pPr>
        <w:pStyle w:val="corte4fondo"/>
        <w:tabs>
          <w:tab w:val="left" w:pos="567"/>
        </w:tabs>
        <w:spacing w:after="240"/>
        <w:rPr>
          <w:rFonts w:ascii="AvantGarde Bk BT" w:hAnsi="AvantGarde Bk BT" w:cs="Arial"/>
          <w:color w:val="000000" w:themeColor="text1"/>
          <w:sz w:val="24"/>
          <w:szCs w:val="24"/>
        </w:rPr>
      </w:pPr>
      <w:r w:rsidRPr="00FE1468">
        <w:rPr>
          <w:rFonts w:ascii="AvantGarde Bk BT" w:hAnsi="AvantGarde Bk BT" w:cs="Arial"/>
          <w:color w:val="000000" w:themeColor="text1"/>
          <w:sz w:val="24"/>
          <w:szCs w:val="24"/>
        </w:rPr>
        <w:t xml:space="preserve">Esta Comisión Estatal de Garantía de Acceso a la Información Pública apercibe al ente obligado que, en caso de no acatar la presente resolución, se le impondrá </w:t>
      </w:r>
      <w:r>
        <w:rPr>
          <w:rFonts w:ascii="AvantGarde Bk BT" w:hAnsi="AvantGarde Bk BT" w:cs="Arial"/>
          <w:color w:val="000000" w:themeColor="text1"/>
          <w:sz w:val="24"/>
          <w:szCs w:val="24"/>
        </w:rPr>
        <w:t>una</w:t>
      </w:r>
      <w:r w:rsidRPr="00FE1468">
        <w:rPr>
          <w:rFonts w:ascii="AvantGarde Bk BT" w:hAnsi="AvantGarde Bk BT" w:cs="Arial"/>
          <w:color w:val="000000" w:themeColor="text1"/>
          <w:sz w:val="24"/>
          <w:szCs w:val="24"/>
        </w:rPr>
        <w:t xml:space="preserve"> medida de apremio conforme a lo establecido en el artículo 190, fracción I de la Ley de Transparencia, consistente en amonestación privada, lo anterior en virtud de que este órgano colegiado debe garantizar el debido cumplimiento al derecho humano de acceso a la información pública.</w:t>
      </w:r>
    </w:p>
    <w:p w14:paraId="3B885A5C" w14:textId="02592FF1" w:rsidR="009A0D4F" w:rsidRPr="00684218" w:rsidRDefault="009A0D4F" w:rsidP="009A0D4F">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w:t>
      </w:r>
      <w:r w:rsidRPr="00831D47">
        <w:rPr>
          <w:rFonts w:ascii="AvantGarde Bk BT" w:hAnsi="AvantGarde Bk BT" w:cs="Arial"/>
          <w:b/>
          <w:color w:val="000000" w:themeColor="text1"/>
          <w:sz w:val="24"/>
          <w:szCs w:val="24"/>
        </w:rPr>
        <w:t>.</w:t>
      </w:r>
      <w:r w:rsidR="007C62BF">
        <w:rPr>
          <w:rFonts w:ascii="AvantGarde Bk BT" w:hAnsi="AvantGarde Bk BT" w:cs="Arial"/>
          <w:b/>
          <w:color w:val="000000" w:themeColor="text1"/>
          <w:sz w:val="24"/>
          <w:szCs w:val="24"/>
        </w:rPr>
        <w:t>6</w:t>
      </w:r>
      <w:r w:rsidRPr="00831D47">
        <w:rPr>
          <w:rFonts w:ascii="AvantGarde Bk BT" w:hAnsi="AvantGarde Bk BT" w:cs="Arial"/>
          <w:b/>
          <w:color w:val="000000" w:themeColor="text1"/>
          <w:sz w:val="24"/>
          <w:szCs w:val="24"/>
        </w:rPr>
        <w:t xml:space="preserve">. </w:t>
      </w:r>
      <w:r w:rsidRPr="008E469A">
        <w:rPr>
          <w:rFonts w:ascii="AvantGarde Bk BT" w:hAnsi="AvantGarde Bk BT" w:cs="Arial"/>
          <w:b/>
          <w:color w:val="000000" w:themeColor="text1"/>
          <w:sz w:val="24"/>
          <w:szCs w:val="24"/>
        </w:rPr>
        <w:t>Medio de impugnación.</w:t>
      </w:r>
    </w:p>
    <w:p w14:paraId="78FF4586" w14:textId="77777777" w:rsidR="009A0D4F" w:rsidRPr="003358EE" w:rsidRDefault="009A0D4F" w:rsidP="00D25712">
      <w:pPr>
        <w:pStyle w:val="corte4fondo"/>
        <w:tabs>
          <w:tab w:val="left" w:pos="567"/>
        </w:tabs>
        <w:spacing w:after="240"/>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w:t>
      </w:r>
      <w:r w:rsidRPr="00DA6809">
        <w:rPr>
          <w:rFonts w:ascii="AvantGarde Bk BT" w:hAnsi="AvantGarde Bk BT" w:cs="Arial"/>
          <w:color w:val="000000" w:themeColor="text1"/>
          <w:sz w:val="24"/>
          <w:szCs w:val="24"/>
        </w:rPr>
        <w:t xml:space="preserve"> los artículos 161, 162, 163, 164 y 165 de la Ley General de Transparencia y Acceso a la Información Pública</w:t>
      </w:r>
      <w:r>
        <w:rPr>
          <w:rFonts w:ascii="AvantGarde Bk BT" w:hAnsi="AvantGarde Bk BT" w:cs="Arial"/>
          <w:color w:val="000000" w:themeColor="text1"/>
          <w:sz w:val="24"/>
          <w:szCs w:val="24"/>
        </w:rPr>
        <w:t xml:space="preserve"> </w:t>
      </w:r>
      <w:r w:rsidRPr="00DA6809">
        <w:rPr>
          <w:rFonts w:ascii="AvantGarde Bk BT" w:hAnsi="AvantGarde Bk BT" w:cs="Arial"/>
          <w:color w:val="000000" w:themeColor="text1"/>
          <w:sz w:val="24"/>
          <w:szCs w:val="24"/>
        </w:rPr>
        <w:t xml:space="preserve">se hace del conocimiento de la parte </w:t>
      </w:r>
      <w:r>
        <w:rPr>
          <w:rFonts w:ascii="AvantGarde Bk BT" w:hAnsi="AvantGarde Bk BT" w:cs="Arial"/>
          <w:color w:val="000000" w:themeColor="text1"/>
          <w:sz w:val="24"/>
          <w:szCs w:val="24"/>
        </w:rPr>
        <w:t>recurrente</w:t>
      </w:r>
      <w:r w:rsidRPr="00DA6809">
        <w:rPr>
          <w:rFonts w:ascii="AvantGarde Bk BT" w:hAnsi="AvantGarde Bk BT" w:cs="Arial"/>
          <w:color w:val="000000" w:themeColor="text1"/>
          <w:sz w:val="24"/>
          <w:szCs w:val="24"/>
        </w:rPr>
        <w:t xml:space="preserve"> que </w:t>
      </w:r>
      <w:r>
        <w:rPr>
          <w:rFonts w:ascii="AvantGarde Bk BT" w:hAnsi="AvantGarde Bk BT" w:cs="Arial"/>
          <w:color w:val="000000" w:themeColor="text1"/>
          <w:sz w:val="24"/>
          <w:szCs w:val="24"/>
        </w:rPr>
        <w:t>en contra de la presente resolución puede acudir</w:t>
      </w:r>
      <w:r w:rsidRPr="00DA6809">
        <w:rPr>
          <w:rFonts w:ascii="AvantGarde Bk BT" w:hAnsi="AvantGarde Bk BT" w:cs="Arial"/>
          <w:color w:val="000000" w:themeColor="text1"/>
          <w:sz w:val="24"/>
          <w:szCs w:val="24"/>
        </w:rPr>
        <w:t xml:space="preserve"> ante la Autoridad garante federal o ante los Tribunales especializados en materia de transparencia del Poder Judicial de la Federación.</w:t>
      </w:r>
    </w:p>
    <w:p w14:paraId="741B182B" w14:textId="77777777" w:rsidR="009A0D4F" w:rsidRPr="00E215D2" w:rsidRDefault="009A0D4F" w:rsidP="009A0D4F">
      <w:pPr>
        <w:pStyle w:val="corte4fondo"/>
        <w:tabs>
          <w:tab w:val="left" w:pos="567"/>
        </w:tabs>
        <w:spacing w:after="240"/>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14:paraId="4E7B1871" w14:textId="77777777" w:rsidR="009A0D4F" w:rsidRPr="007C5605" w:rsidRDefault="009A0D4F" w:rsidP="009A0D4F">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14:paraId="63657367" w14:textId="05693B1E" w:rsidR="009A0D4F" w:rsidRPr="007C5605" w:rsidRDefault="009A0D4F" w:rsidP="009A0D4F">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w:t>
      </w:r>
      <w:r w:rsidRPr="00CE1E98">
        <w:rPr>
          <w:rFonts w:ascii="AvantGarde Bk BT" w:hAnsi="AvantGarde Bk BT" w:cs="Arial"/>
          <w:color w:val="000000" w:themeColor="text1"/>
          <w:sz w:val="24"/>
          <w:szCs w:val="24"/>
        </w:rPr>
        <w:t xml:space="preserve">sta Comisión Estatal de Garantía de Acceso a la Información Pública de conformidad con el artículo 175, fracción III de la Ley de Transparencia y Acceso </w:t>
      </w:r>
      <w:r w:rsidRPr="00CE1E98">
        <w:rPr>
          <w:rFonts w:ascii="AvantGarde Bk BT" w:hAnsi="AvantGarde Bk BT" w:cs="Arial"/>
          <w:color w:val="000000" w:themeColor="text1"/>
          <w:sz w:val="24"/>
          <w:szCs w:val="24"/>
        </w:rPr>
        <w:lastRenderedPageBreak/>
        <w:t xml:space="preserve">a la Información Pública del Estado </w:t>
      </w:r>
      <w:r w:rsidR="005A796B">
        <w:rPr>
          <w:rFonts w:ascii="AvantGarde Bk BT" w:hAnsi="AvantGarde Bk BT" w:cs="Arial"/>
          <w:b/>
          <w:bCs/>
          <w:color w:val="000000" w:themeColor="text1"/>
          <w:sz w:val="24"/>
          <w:szCs w:val="24"/>
        </w:rPr>
        <w:t>REVO</w:t>
      </w:r>
      <w:r w:rsidR="00E35AC3">
        <w:rPr>
          <w:rFonts w:ascii="AvantGarde Bk BT" w:hAnsi="AvantGarde Bk BT" w:cs="Arial"/>
          <w:b/>
          <w:bCs/>
          <w:color w:val="000000" w:themeColor="text1"/>
          <w:sz w:val="24"/>
          <w:szCs w:val="24"/>
        </w:rPr>
        <w:t>C</w:t>
      </w:r>
      <w:r>
        <w:rPr>
          <w:rFonts w:ascii="AvantGarde Bk BT" w:hAnsi="AvantGarde Bk BT" w:cs="Arial"/>
          <w:b/>
          <w:bCs/>
          <w:color w:val="000000" w:themeColor="text1"/>
          <w:sz w:val="24"/>
          <w:szCs w:val="24"/>
        </w:rPr>
        <w:t>A</w:t>
      </w:r>
      <w:r w:rsidRPr="00CE1E98">
        <w:rPr>
          <w:rFonts w:ascii="AvantGarde Bk BT" w:hAnsi="AvantGarde Bk BT" w:cs="Arial"/>
          <w:color w:val="000000" w:themeColor="text1"/>
          <w:sz w:val="24"/>
          <w:szCs w:val="24"/>
        </w:rPr>
        <w:t xml:space="preserve"> la respuesta proporcionada por el </w:t>
      </w:r>
      <w:r>
        <w:rPr>
          <w:rFonts w:ascii="AvantGarde Bk BT" w:hAnsi="AvantGarde Bk BT" w:cs="Arial"/>
          <w:color w:val="000000" w:themeColor="text1"/>
          <w:sz w:val="24"/>
          <w:szCs w:val="24"/>
        </w:rPr>
        <w:t>sujeto</w:t>
      </w:r>
      <w:r w:rsidRPr="00CE1E98">
        <w:rPr>
          <w:rFonts w:ascii="AvantGarde Bk BT" w:hAnsi="AvantGarde Bk BT" w:cs="Arial"/>
          <w:color w:val="000000" w:themeColor="text1"/>
          <w:sz w:val="24"/>
          <w:szCs w:val="24"/>
        </w:rPr>
        <w:t xml:space="preserve"> obligado </w:t>
      </w:r>
      <w:r w:rsidRPr="007C5605">
        <w:rPr>
          <w:rFonts w:ascii="AvantGarde Bk BT" w:hAnsi="AvantGarde Bk BT" w:cs="Arial"/>
          <w:color w:val="000000" w:themeColor="text1"/>
          <w:sz w:val="24"/>
          <w:szCs w:val="24"/>
        </w:rPr>
        <w:t xml:space="preserve">por los fundamentos y las razones desarrolladas en el considerando </w:t>
      </w:r>
      <w:r>
        <w:rPr>
          <w:rFonts w:ascii="AvantGarde Bk BT" w:hAnsi="AvantGarde Bk BT" w:cs="Arial"/>
          <w:color w:val="000000" w:themeColor="text1"/>
          <w:sz w:val="24"/>
          <w:szCs w:val="24"/>
        </w:rPr>
        <w:t>quinto</w:t>
      </w:r>
      <w:r w:rsidRPr="007C5605">
        <w:rPr>
          <w:rFonts w:ascii="AvantGarde Bk BT" w:hAnsi="AvantGarde Bk BT" w:cs="Arial"/>
          <w:color w:val="000000" w:themeColor="text1"/>
          <w:sz w:val="24"/>
          <w:szCs w:val="24"/>
        </w:rPr>
        <w:t xml:space="preserve"> de la presente resolución.</w:t>
      </w:r>
    </w:p>
    <w:p w14:paraId="460913C7" w14:textId="77777777" w:rsidR="009A0D4F" w:rsidRPr="00B90A51" w:rsidRDefault="009A0D4F" w:rsidP="009A0D4F">
      <w:pPr>
        <w:pStyle w:val="corte4fondo"/>
        <w:tabs>
          <w:tab w:val="left" w:pos="567"/>
        </w:tabs>
        <w:spacing w:after="240"/>
        <w:rPr>
          <w:rFonts w:ascii="AvantGarde Bk BT" w:hAnsi="AvantGarde Bk BT" w:cs="Arial"/>
          <w:sz w:val="24"/>
          <w:szCs w:val="24"/>
        </w:rPr>
      </w:pPr>
      <w:r w:rsidRPr="006C3920">
        <w:rPr>
          <w:rFonts w:ascii="AvantGarde Bk BT" w:hAnsi="AvantGarde Bk BT" w:cs="Arial"/>
          <w:b/>
          <w:sz w:val="24"/>
          <w:szCs w:val="24"/>
        </w:rPr>
        <w:t>Notifíquese</w:t>
      </w:r>
      <w:r w:rsidRPr="006C3920">
        <w:rPr>
          <w:rFonts w:ascii="AvantGarde Bk BT" w:hAnsi="AvantGarde Bk BT" w:cs="Arial"/>
          <w:sz w:val="24"/>
          <w:szCs w:val="24"/>
        </w:rPr>
        <w:t xml:space="preserve">; por oficio a las </w:t>
      </w:r>
      <w:r>
        <w:rPr>
          <w:rFonts w:ascii="AvantGarde Bk BT" w:hAnsi="AvantGarde Bk BT" w:cs="Arial"/>
          <w:sz w:val="24"/>
          <w:szCs w:val="24"/>
        </w:rPr>
        <w:t xml:space="preserve">autoridades y </w:t>
      </w:r>
      <w:r w:rsidRPr="00276C4B">
        <w:rPr>
          <w:rFonts w:ascii="AvantGarde Bk BT" w:hAnsi="AvantGarde Bk BT" w:cs="Arial"/>
          <w:sz w:val="24"/>
          <w:szCs w:val="24"/>
        </w:rPr>
        <w:t>al recurrente por el medio que designó</w:t>
      </w:r>
      <w:r>
        <w:rPr>
          <w:rFonts w:ascii="AvantGarde Bk BT" w:hAnsi="AvantGarde Bk BT" w:cs="Arial"/>
          <w:sz w:val="24"/>
          <w:szCs w:val="24"/>
        </w:rPr>
        <w:t>.</w:t>
      </w:r>
    </w:p>
    <w:p w14:paraId="1DFD1376" w14:textId="1275425E" w:rsidR="00531A80" w:rsidRPr="006809EF" w:rsidRDefault="009A0D4F" w:rsidP="00C1314F">
      <w:pPr>
        <w:pStyle w:val="corte4fondo"/>
        <w:tabs>
          <w:tab w:val="left" w:pos="567"/>
        </w:tabs>
        <w:spacing w:after="240"/>
        <w:rPr>
          <w:rFonts w:ascii="AvantGarde Bk BT" w:hAnsi="AvantGarde Bk BT" w:cs="Arial"/>
          <w:color w:val="000000" w:themeColor="text1"/>
          <w:sz w:val="24"/>
          <w:szCs w:val="24"/>
        </w:rPr>
      </w:pPr>
      <w:r w:rsidRPr="00E0750B">
        <w:rPr>
          <w:rFonts w:ascii="AvantGarde Bk BT" w:hAnsi="AvantGarde Bk BT" w:cs="Arial"/>
          <w:sz w:val="24"/>
          <w:szCs w:val="24"/>
        </w:rPr>
        <w:t>Así l</w:t>
      </w:r>
      <w:r w:rsidRPr="00E0750B">
        <w:rPr>
          <w:rFonts w:ascii="AvantGarde Bk BT" w:hAnsi="AvantGarde Bk BT"/>
          <w:sz w:val="24"/>
          <w:szCs w:val="24"/>
        </w:rPr>
        <w:t xml:space="preserve">o resolvieron por </w:t>
      </w:r>
      <w:r>
        <w:rPr>
          <w:rFonts w:ascii="AvantGarde Bk BT" w:hAnsi="AvantGarde Bk BT"/>
          <w:sz w:val="24"/>
          <w:szCs w:val="24"/>
        </w:rPr>
        <w:t>mayoría</w:t>
      </w:r>
      <w:r w:rsidRPr="00E0750B">
        <w:rPr>
          <w:rFonts w:ascii="AvantGarde Bk BT" w:hAnsi="AvantGarde Bk BT"/>
          <w:sz w:val="24"/>
          <w:szCs w:val="24"/>
        </w:rPr>
        <w:t xml:space="preserve"> de votos en </w:t>
      </w:r>
      <w:r w:rsidR="0089447A" w:rsidRPr="0089447A">
        <w:rPr>
          <w:rFonts w:ascii="AvantGarde Bk BT" w:hAnsi="AvantGarde Bk BT"/>
          <w:sz w:val="24"/>
          <w:szCs w:val="24"/>
        </w:rPr>
        <w:t>Sesión Extrao</w:t>
      </w:r>
      <w:r w:rsidRPr="0089447A">
        <w:rPr>
          <w:rFonts w:ascii="AvantGarde Bk BT" w:hAnsi="AvantGarde Bk BT"/>
          <w:sz w:val="24"/>
          <w:szCs w:val="24"/>
        </w:rPr>
        <w:t xml:space="preserve">rdinaria del </w:t>
      </w:r>
      <w:r w:rsidR="0089447A">
        <w:rPr>
          <w:rFonts w:ascii="AvantGarde Bk BT" w:hAnsi="AvantGarde Bk BT" w:cs="Arial"/>
          <w:color w:val="000000" w:themeColor="text1"/>
          <w:sz w:val="24"/>
          <w:szCs w:val="24"/>
        </w:rPr>
        <w:t xml:space="preserve">veintisiete de agosto </w:t>
      </w:r>
      <w:r w:rsidR="00531A80" w:rsidRPr="00DD6E4B">
        <w:rPr>
          <w:rFonts w:ascii="AvantGarde Bk BT" w:hAnsi="AvantGarde Bk BT"/>
          <w:sz w:val="24"/>
          <w:szCs w:val="24"/>
        </w:rPr>
        <w:t>de dos mil veintiséis</w:t>
      </w:r>
      <w:r w:rsidRPr="00E0750B">
        <w:rPr>
          <w:rFonts w:ascii="AvantGarde Bk BT" w:hAnsi="AvantGarde Bk BT"/>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 xml:space="preserve">Licenciado </w:t>
      </w:r>
      <w:r w:rsidRPr="00D12DAB">
        <w:rPr>
          <w:rFonts w:ascii="AvantGarde Bk BT" w:hAnsi="AvantGarde Bk BT" w:cs="Arial"/>
          <w:b/>
          <w:color w:val="000000" w:themeColor="text1"/>
          <w:sz w:val="24"/>
          <w:szCs w:val="24"/>
        </w:rPr>
        <w:t xml:space="preserve">José Gerardo Navarro </w:t>
      </w:r>
      <w:proofErr w:type="spellStart"/>
      <w:r w:rsidRPr="00D12DAB">
        <w:rPr>
          <w:rFonts w:ascii="AvantGarde Bk BT" w:hAnsi="AvantGarde Bk BT" w:cs="Arial"/>
          <w:b/>
          <w:color w:val="000000" w:themeColor="text1"/>
          <w:sz w:val="24"/>
          <w:szCs w:val="24"/>
        </w:rPr>
        <w:t>Alviso</w:t>
      </w:r>
      <w:proofErr w:type="spellEnd"/>
      <w:r w:rsidRPr="00D12DAB">
        <w:rPr>
          <w:rFonts w:ascii="AvantGarde Bk BT" w:hAnsi="AvantGarde Bk BT" w:cs="Arial"/>
          <w:color w:val="000000" w:themeColor="text1"/>
          <w:sz w:val="24"/>
          <w:szCs w:val="24"/>
        </w:rPr>
        <w:t xml:space="preserve"> </w:t>
      </w:r>
      <w:r w:rsidRPr="004A0C7D">
        <w:rPr>
          <w:rFonts w:ascii="AvantGarde Bk BT" w:hAnsi="AvantGarde Bk BT" w:cs="Arial"/>
          <w:color w:val="000000" w:themeColor="text1"/>
          <w:sz w:val="24"/>
          <w:szCs w:val="24"/>
        </w:rPr>
        <w:t xml:space="preserve">y </w:t>
      </w:r>
      <w:r>
        <w:rPr>
          <w:rFonts w:ascii="AvantGarde Bk BT" w:hAnsi="AvantGarde Bk BT" w:cs="Arial"/>
          <w:color w:val="000000" w:themeColor="text1"/>
          <w:sz w:val="24"/>
          <w:szCs w:val="24"/>
        </w:rPr>
        <w:t>Maestra Ana Cristina García Nales</w:t>
      </w:r>
      <w:r w:rsidRPr="004A0C7D">
        <w:rPr>
          <w:rFonts w:ascii="AvantGarde Bk BT" w:hAnsi="AvantGarde Bk BT" w:cs="Arial"/>
          <w:color w:val="000000" w:themeColor="text1"/>
          <w:sz w:val="24"/>
          <w:szCs w:val="24"/>
        </w:rPr>
        <w:t>, </w:t>
      </w:r>
      <w:r w:rsidRPr="004A0C7D">
        <w:rPr>
          <w:rFonts w:ascii="AvantGarde Bk BT" w:hAnsi="AvantGarde Bk BT" w:cs="Arial"/>
          <w:b/>
          <w:bCs/>
          <w:color w:val="000000" w:themeColor="text1"/>
          <w:sz w:val="24"/>
          <w:szCs w:val="24"/>
        </w:rPr>
        <w:t>siendo ponente el primero de los nombrados</w:t>
      </w:r>
      <w:r w:rsidRPr="004A0C7D">
        <w:rPr>
          <w:rFonts w:ascii="AvantGarde Bk BT" w:hAnsi="AvantGarde Bk BT" w:cs="Arial"/>
          <w:color w:val="000000" w:themeColor="text1"/>
          <w:sz w:val="24"/>
          <w:szCs w:val="24"/>
        </w:rPr>
        <w:t xml:space="preserve">, </w:t>
      </w:r>
      <w:r>
        <w:rPr>
          <w:rFonts w:ascii="AvantGarde Bk BT" w:hAnsi="AvantGarde Bk BT"/>
          <w:color w:val="000000" w:themeColor="text1"/>
          <w:sz w:val="24"/>
          <w:szCs w:val="24"/>
        </w:rPr>
        <w:t>quienes firman con la Licenciada Rosa María Motilla García, Secretaria de Pleno que autoriza y da fe</w:t>
      </w:r>
      <w:r w:rsidRPr="004A0C7D">
        <w:rPr>
          <w:rFonts w:ascii="AvantGarde Bk BT" w:hAnsi="AvantGarde Bk BT" w:cs="Arial"/>
          <w:color w:val="000000" w:themeColor="text1"/>
          <w:sz w:val="24"/>
          <w:szCs w:val="24"/>
        </w:rPr>
        <w:t>.</w:t>
      </w:r>
    </w:p>
    <w:p w14:paraId="3DACC45D" w14:textId="77777777" w:rsidR="009171C0" w:rsidRPr="003358EE" w:rsidRDefault="009171C0" w:rsidP="009171C0">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COMISIONADO PRESIDENTE </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COMISIONADA</w:t>
      </w:r>
    </w:p>
    <w:p w14:paraId="27F6020C" w14:textId="77777777" w:rsidR="009171C0" w:rsidRPr="003358EE" w:rsidRDefault="009171C0" w:rsidP="009171C0">
      <w:pPr>
        <w:pStyle w:val="NormalWeb"/>
        <w:jc w:val="both"/>
        <w:rPr>
          <w:rFonts w:ascii="AvantGarde Bk BT" w:hAnsi="AvantGarde Bk BT" w:cs="Arial"/>
          <w:b/>
          <w:color w:val="000000" w:themeColor="text1"/>
          <w:lang w:val="es-MX"/>
        </w:rPr>
      </w:pPr>
    </w:p>
    <w:p w14:paraId="16D2370D" w14:textId="5E2624E5" w:rsidR="009171C0" w:rsidRPr="00FE6442" w:rsidRDefault="009171C0" w:rsidP="00C1314F">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LIC. </w:t>
      </w:r>
      <w:r w:rsidRPr="00834DC6">
        <w:rPr>
          <w:rFonts w:ascii="AvantGarde Bk BT" w:hAnsi="AvantGarde Bk BT" w:cs="Arial"/>
          <w:b/>
          <w:color w:val="000000" w:themeColor="text1"/>
          <w:lang w:val="es-MX"/>
        </w:rPr>
        <w:t>JOSÉ GERARDO NAVARRO ALVISO</w:t>
      </w:r>
      <w:r>
        <w:rPr>
          <w:rFonts w:ascii="AvantGarde Bk BT" w:hAnsi="AvantGarde Bk BT" w:cs="Arial"/>
          <w:b/>
          <w:color w:val="000000" w:themeColor="text1"/>
          <w:lang w:val="es-MX"/>
        </w:rPr>
        <w:t>.</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MTRA</w:t>
      </w:r>
      <w:r w:rsidRPr="003358EE">
        <w:rPr>
          <w:rFonts w:ascii="AvantGarde Bk BT" w:hAnsi="AvantGarde Bk BT" w:cs="Arial"/>
          <w:b/>
          <w:color w:val="000000" w:themeColor="text1"/>
          <w:lang w:val="es-MX"/>
        </w:rPr>
        <w:t xml:space="preserve">. </w:t>
      </w:r>
      <w:r>
        <w:rPr>
          <w:rFonts w:ascii="AvantGarde Bk BT" w:hAnsi="AvantGarde Bk BT" w:cs="Arial"/>
          <w:b/>
          <w:bCs/>
          <w:color w:val="000000" w:themeColor="text1"/>
          <w:lang w:val="es-MX"/>
        </w:rPr>
        <w:t>ANA CRISTINA GARCÍA NALES</w:t>
      </w:r>
      <w:r w:rsidRPr="003358EE">
        <w:rPr>
          <w:rFonts w:ascii="AvantGarde Bk BT" w:hAnsi="AvantGarde Bk BT" w:cs="Arial"/>
          <w:b/>
          <w:color w:val="000000" w:themeColor="text1"/>
          <w:lang w:val="es-MX"/>
        </w:rPr>
        <w:t>.</w:t>
      </w:r>
    </w:p>
    <w:p w14:paraId="1996ABB1" w14:textId="77777777" w:rsidR="009171C0" w:rsidRPr="003358EE" w:rsidRDefault="009171C0" w:rsidP="009171C0">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SECRETARIA DE PLENO</w:t>
      </w:r>
    </w:p>
    <w:p w14:paraId="44456118" w14:textId="77777777" w:rsidR="009171C0" w:rsidRPr="003358EE" w:rsidRDefault="009171C0" w:rsidP="009171C0">
      <w:pPr>
        <w:pStyle w:val="NormalWeb"/>
        <w:rPr>
          <w:rFonts w:ascii="AvantGarde Bk BT" w:hAnsi="AvantGarde Bk BT" w:cs="Arial"/>
          <w:b/>
          <w:color w:val="000000" w:themeColor="text1"/>
          <w:lang w:val="es-MX"/>
        </w:rPr>
      </w:pPr>
    </w:p>
    <w:p w14:paraId="34AAAD9C" w14:textId="77777777" w:rsidR="009171C0" w:rsidRPr="0045524D" w:rsidRDefault="009171C0" w:rsidP="009171C0">
      <w:pPr>
        <w:pStyle w:val="NormalWeb"/>
        <w:spacing w:line="600" w:lineRule="auto"/>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LIC. ROSA MARÍA MOTILLA GARCÍA.</w:t>
      </w:r>
    </w:p>
    <w:p w14:paraId="12D315FD" w14:textId="77777777" w:rsidR="009171C0" w:rsidRPr="001314EC" w:rsidRDefault="009171C0" w:rsidP="009171C0">
      <w:pPr>
        <w:pStyle w:val="corte4fondo"/>
        <w:tabs>
          <w:tab w:val="left" w:pos="567"/>
        </w:tabs>
        <w:spacing w:line="240" w:lineRule="auto"/>
        <w:ind w:firstLine="0"/>
        <w:rPr>
          <w:rFonts w:ascii="AvantGarde Bk BT" w:hAnsi="AvantGarde Bk BT" w:cs="Arial"/>
          <w:i/>
          <w:color w:val="000000" w:themeColor="text1"/>
          <w:sz w:val="18"/>
          <w:szCs w:val="14"/>
          <w:vertAlign w:val="superscript"/>
        </w:rPr>
      </w:pPr>
      <w:r w:rsidRPr="001314EC">
        <w:rPr>
          <w:rFonts w:ascii="AvantGarde Bk BT" w:hAnsi="AvantGarde Bk BT" w:cs="Arial"/>
          <w:i/>
          <w:color w:val="000000" w:themeColor="text1"/>
          <w:sz w:val="18"/>
          <w:szCs w:val="14"/>
          <w:vertAlign w:val="superscript"/>
        </w:rPr>
        <w:t>PRT</w:t>
      </w:r>
      <w:r>
        <w:rPr>
          <w:rFonts w:ascii="AvantGarde Bk BT" w:hAnsi="AvantGarde Bk BT" w:cs="Arial"/>
          <w:i/>
          <w:color w:val="000000" w:themeColor="text1"/>
          <w:sz w:val="18"/>
          <w:szCs w:val="14"/>
          <w:vertAlign w:val="superscript"/>
        </w:rPr>
        <w:t>.</w:t>
      </w:r>
    </w:p>
    <w:p w14:paraId="41A776EA" w14:textId="32971594" w:rsidR="005873DB" w:rsidRPr="004C15C0" w:rsidRDefault="009171C0" w:rsidP="00C1314F">
      <w:pPr>
        <w:pStyle w:val="corte4fondo"/>
        <w:tabs>
          <w:tab w:val="left" w:pos="567"/>
        </w:tabs>
        <w:spacing w:after="240" w:line="240" w:lineRule="auto"/>
        <w:ind w:firstLine="0"/>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corresponden a la resolución dictada por el Pleno de la Comisión Estatal de Garantía de Acceso a la Información Pública de San Luis Potosí en </w:t>
      </w:r>
      <w:r w:rsidRPr="00DD6E4B">
        <w:rPr>
          <w:rFonts w:ascii="AvantGarde Bk BT" w:hAnsi="AvantGarde Bk BT" w:cs="Arial"/>
          <w:color w:val="000000" w:themeColor="text1"/>
          <w:sz w:val="14"/>
          <w:szCs w:val="14"/>
        </w:rPr>
        <w:t xml:space="preserve">sesión </w:t>
      </w:r>
      <w:r w:rsidR="0089447A">
        <w:rPr>
          <w:rFonts w:ascii="AvantGarde Bk BT" w:hAnsi="AvantGarde Bk BT" w:cs="Arial"/>
          <w:color w:val="000000" w:themeColor="text1"/>
          <w:sz w:val="14"/>
          <w:szCs w:val="14"/>
        </w:rPr>
        <w:t>extra</w:t>
      </w:r>
      <w:r w:rsidRPr="0089447A">
        <w:rPr>
          <w:rFonts w:ascii="AvantGarde Bk BT" w:hAnsi="AvantGarde Bk BT" w:cs="Arial"/>
          <w:color w:val="000000" w:themeColor="text1"/>
          <w:sz w:val="14"/>
          <w:szCs w:val="14"/>
        </w:rPr>
        <w:t xml:space="preserve">ordinaria de </w:t>
      </w:r>
      <w:r w:rsidR="0089447A">
        <w:rPr>
          <w:rFonts w:ascii="AvantGarde Bk BT" w:hAnsi="AvantGarde Bk BT" w:cs="Arial"/>
          <w:color w:val="000000" w:themeColor="text1"/>
          <w:sz w:val="14"/>
          <w:szCs w:val="14"/>
        </w:rPr>
        <w:t xml:space="preserve">veintisiete </w:t>
      </w:r>
      <w:bookmarkStart w:id="1" w:name="_GoBack"/>
      <w:bookmarkEnd w:id="1"/>
      <w:r w:rsidR="007A1C74" w:rsidRPr="0089447A">
        <w:rPr>
          <w:rFonts w:ascii="AvantGarde Bk BT" w:hAnsi="AvantGarde Bk BT" w:cs="Arial"/>
          <w:color w:val="000000" w:themeColor="text1"/>
          <w:sz w:val="14"/>
          <w:szCs w:val="14"/>
        </w:rPr>
        <w:t>de agosto</w:t>
      </w:r>
      <w:r w:rsidR="00DD6E4B">
        <w:rPr>
          <w:rFonts w:ascii="AvantGarde Bk BT" w:hAnsi="AvantGarde Bk BT" w:cs="Arial"/>
          <w:color w:val="000000" w:themeColor="text1"/>
          <w:sz w:val="14"/>
          <w:szCs w:val="14"/>
        </w:rPr>
        <w:t xml:space="preserve"> de dos mil veintiséis</w:t>
      </w:r>
      <w:r>
        <w:rPr>
          <w:rFonts w:ascii="AvantGarde Bk BT" w:hAnsi="AvantGarde Bk BT" w:cs="Arial"/>
          <w:color w:val="000000" w:themeColor="text1"/>
          <w:sz w:val="14"/>
          <w:szCs w:val="14"/>
        </w:rPr>
        <w:t>, dentro de los autos del recurs</w:t>
      </w:r>
      <w:r w:rsidR="0004149D">
        <w:rPr>
          <w:rFonts w:ascii="AvantGarde Bk BT" w:hAnsi="AvantGarde Bk BT" w:cs="Arial"/>
          <w:color w:val="000000" w:themeColor="text1"/>
          <w:sz w:val="14"/>
          <w:szCs w:val="14"/>
        </w:rPr>
        <w:t>o de re</w:t>
      </w:r>
      <w:r w:rsidR="00D25712">
        <w:rPr>
          <w:rFonts w:ascii="AvantGarde Bk BT" w:hAnsi="AvantGarde Bk BT" w:cs="Arial"/>
          <w:color w:val="000000" w:themeColor="text1"/>
          <w:sz w:val="14"/>
          <w:szCs w:val="14"/>
        </w:rPr>
        <w:t>visión RR-</w:t>
      </w:r>
      <w:r w:rsidR="005A796B">
        <w:rPr>
          <w:rFonts w:ascii="AvantGarde Bk BT" w:hAnsi="AvantGarde Bk BT" w:cs="Arial"/>
          <w:color w:val="000000" w:themeColor="text1"/>
          <w:sz w:val="14"/>
          <w:szCs w:val="14"/>
        </w:rPr>
        <w:t>037</w:t>
      </w:r>
      <w:r w:rsidR="00531A80">
        <w:rPr>
          <w:rFonts w:ascii="AvantGarde Bk BT" w:hAnsi="AvantGarde Bk BT" w:cs="Arial"/>
          <w:color w:val="000000" w:themeColor="text1"/>
          <w:sz w:val="14"/>
          <w:szCs w:val="14"/>
        </w:rPr>
        <w:t>/2026</w:t>
      </w:r>
      <w:r>
        <w:rPr>
          <w:rFonts w:ascii="AvantGarde Bk BT" w:hAnsi="AvantGarde Bk BT" w:cs="Arial"/>
          <w:color w:val="000000" w:themeColor="text1"/>
          <w:sz w:val="14"/>
          <w:szCs w:val="14"/>
        </w:rPr>
        <w:t>-1</w:t>
      </w:r>
      <w:r w:rsidR="005A796B">
        <w:rPr>
          <w:rFonts w:ascii="AvantGarde Bk BT" w:hAnsi="AvantGarde Bk BT" w:cs="Arial"/>
          <w:color w:val="000000" w:themeColor="text1"/>
          <w:sz w:val="14"/>
          <w:szCs w:val="14"/>
        </w:rPr>
        <w:t>OP</w:t>
      </w:r>
      <w:r>
        <w:rPr>
          <w:rFonts w:ascii="AvantGarde Bk BT" w:hAnsi="AvantGarde Bk BT" w:cs="Arial"/>
          <w:color w:val="000000" w:themeColor="text1"/>
          <w:sz w:val="14"/>
          <w:szCs w:val="14"/>
        </w:rPr>
        <w:t>.)</w:t>
      </w:r>
    </w:p>
    <w:sectPr w:rsidR="005873DB" w:rsidRPr="004C15C0" w:rsidSect="00FE2D9F">
      <w:headerReference w:type="even" r:id="rId8"/>
      <w:headerReference w:type="default" r:id="rId9"/>
      <w:footerReference w:type="default" r:id="rId10"/>
      <w:pgSz w:w="12247" w:h="19335" w:code="4636"/>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41F7EE" w14:textId="77777777" w:rsidR="00FA42E9" w:rsidRDefault="00FA42E9" w:rsidP="003864ED">
      <w:pPr>
        <w:spacing w:after="0" w:line="240" w:lineRule="auto"/>
      </w:pPr>
      <w:r>
        <w:separator/>
      </w:r>
    </w:p>
  </w:endnote>
  <w:endnote w:type="continuationSeparator" w:id="0">
    <w:p w14:paraId="2DD29187" w14:textId="77777777" w:rsidR="00FA42E9" w:rsidRDefault="00FA42E9"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C7984" w14:textId="6C1A66EE" w:rsidR="005142BE" w:rsidRDefault="005142BE">
    <w:pPr>
      <w:pStyle w:val="Piedepgina"/>
    </w:pPr>
    <w:r>
      <w:rPr>
        <w:noProof/>
      </w:rPr>
      <w:drawing>
        <wp:anchor distT="0" distB="0" distL="114300" distR="114300" simplePos="0" relativeHeight="251661312" behindDoc="1" locked="0" layoutInCell="1" allowOverlap="1" wp14:anchorId="4BEBABC6" wp14:editId="3F3A3AFF">
          <wp:simplePos x="0" y="0"/>
          <wp:positionH relativeFrom="page">
            <wp:align>right</wp:align>
          </wp:positionH>
          <wp:positionV relativeFrom="paragraph">
            <wp:posOffset>-655320</wp:posOffset>
          </wp:positionV>
          <wp:extent cx="7821295" cy="1501140"/>
          <wp:effectExtent l="0" t="0" r="8255" b="381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9" t="87518" r="-99" b="288"/>
                  <a:stretch/>
                </pic:blipFill>
                <pic:spPr bwMode="auto">
                  <a:xfrm>
                    <a:off x="0" y="0"/>
                    <a:ext cx="7821295" cy="1501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4DCFFB" w14:textId="77777777" w:rsidR="00FA42E9" w:rsidRDefault="00FA42E9" w:rsidP="003864ED">
      <w:pPr>
        <w:spacing w:after="0" w:line="240" w:lineRule="auto"/>
      </w:pPr>
      <w:r>
        <w:separator/>
      </w:r>
    </w:p>
  </w:footnote>
  <w:footnote w:type="continuationSeparator" w:id="0">
    <w:p w14:paraId="59547AC6" w14:textId="77777777" w:rsidR="00FA42E9" w:rsidRDefault="00FA42E9" w:rsidP="003864ED">
      <w:pPr>
        <w:spacing w:after="0" w:line="240" w:lineRule="auto"/>
      </w:pPr>
      <w:r>
        <w:continuationSeparator/>
      </w:r>
    </w:p>
  </w:footnote>
  <w:footnote w:id="1">
    <w:p w14:paraId="3331FE47" w14:textId="77777777" w:rsidR="00857C56" w:rsidRPr="0004149D" w:rsidRDefault="00857C56" w:rsidP="00857C56">
      <w:pPr>
        <w:pStyle w:val="Textonotapie"/>
        <w:jc w:val="both"/>
        <w:rPr>
          <w:sz w:val="18"/>
          <w:szCs w:val="18"/>
        </w:rPr>
      </w:pPr>
      <w:r w:rsidRPr="0004149D">
        <w:rPr>
          <w:rStyle w:val="Refdenotaalpie"/>
          <w:sz w:val="18"/>
          <w:szCs w:val="18"/>
        </w:rPr>
        <w:footnoteRef/>
      </w:r>
      <w:r w:rsidRPr="0004149D">
        <w:rPr>
          <w:sz w:val="18"/>
          <w:szCs w:val="18"/>
        </w:rPr>
        <w:t xml:space="preserve"> Suprema Corte de Justicia de la Nación, Registro digital: 164618, Instancia: Segunda Sala, Novena Época, Materias(s): Común, Tesis: 2a./J. 58/2010, Fuente: Semanario Judicial de la Federación y su Gaceta. Tomo XXXI, </w:t>
      </w:r>
      <w:proofErr w:type="gramStart"/>
      <w:r w:rsidRPr="0004149D">
        <w:rPr>
          <w:sz w:val="18"/>
          <w:szCs w:val="18"/>
        </w:rPr>
        <w:t>Mayo</w:t>
      </w:r>
      <w:proofErr w:type="gramEnd"/>
      <w:r w:rsidRPr="0004149D">
        <w:rPr>
          <w:sz w:val="18"/>
          <w:szCs w:val="18"/>
        </w:rPr>
        <w:t xml:space="preserve"> de 2010, página 830, Tipo: Jurisprudencia.</w:t>
      </w:r>
    </w:p>
  </w:footnote>
  <w:footnote w:id="2">
    <w:p w14:paraId="5EED7A9E" w14:textId="77777777" w:rsidR="00E34DDC" w:rsidRPr="00330597" w:rsidRDefault="00E34DDC" w:rsidP="00E34DDC">
      <w:pPr>
        <w:pStyle w:val="Textonotapie"/>
        <w:jc w:val="both"/>
      </w:pPr>
      <w:r w:rsidRPr="00330597">
        <w:rPr>
          <w:sz w:val="18"/>
          <w:szCs w:val="18"/>
          <w:vertAlign w:val="superscript"/>
          <w:lang w:val="es-ES_tradnl"/>
        </w:rPr>
        <w:footnoteRef/>
      </w:r>
      <w:r w:rsidRPr="00330597">
        <w:rPr>
          <w:sz w:val="18"/>
          <w:szCs w:val="18"/>
          <w:lang w:val="es-ES_tradnl"/>
        </w:rPr>
        <w:t xml:space="preserve"> </w:t>
      </w:r>
      <w:r w:rsidRPr="00330597">
        <w:rPr>
          <w:b/>
          <w:sz w:val="18"/>
          <w:szCs w:val="18"/>
          <w:lang w:val="es-ES_tradnl"/>
        </w:rPr>
        <w:t>ARTÍCULO 153.</w:t>
      </w:r>
      <w:r w:rsidRPr="00330597">
        <w:rPr>
          <w:sz w:val="18"/>
          <w:szCs w:val="18"/>
          <w:lang w:val="es-ES_tradnl"/>
        </w:rPr>
        <w:t xml:space="preserve"> Las Unidades de Transparencia deberán garantizar que las solicitudes se turnen a todas las Áreas competentes que cuenten con la información o deban tenerla de acuerdo a sus facultades, competencias y funciones, con el objeto de que realicen una búsqueda exhaustiva y razonable de la información solicitada.</w:t>
      </w:r>
    </w:p>
  </w:footnote>
  <w:footnote w:id="3">
    <w:p w14:paraId="5785EED1" w14:textId="77777777" w:rsidR="00E34DDC" w:rsidRPr="0004149D" w:rsidRDefault="00E34DDC" w:rsidP="00E34DDC">
      <w:pPr>
        <w:pStyle w:val="Textonotapie"/>
        <w:jc w:val="both"/>
        <w:rPr>
          <w:sz w:val="18"/>
          <w:szCs w:val="18"/>
          <w:lang w:val="es-ES_tradnl"/>
        </w:rPr>
      </w:pPr>
      <w:r w:rsidRPr="0004149D">
        <w:rPr>
          <w:rStyle w:val="Refdenotaalpie"/>
          <w:sz w:val="18"/>
          <w:szCs w:val="18"/>
        </w:rPr>
        <w:footnoteRef/>
      </w:r>
      <w:r w:rsidRPr="0004149D">
        <w:rPr>
          <w:sz w:val="18"/>
          <w:szCs w:val="18"/>
        </w:rPr>
        <w:t xml:space="preserve"> </w:t>
      </w:r>
      <w:r w:rsidRPr="0004149D">
        <w:rPr>
          <w:b/>
          <w:bCs/>
          <w:sz w:val="18"/>
          <w:szCs w:val="18"/>
          <w:lang w:val="es-ES_tradnl"/>
        </w:rPr>
        <w:t>ARTÍCULO 61.</w:t>
      </w:r>
      <w:r w:rsidRPr="0004149D">
        <w:rPr>
          <w:bCs/>
          <w:sz w:val="18"/>
          <w:szCs w:val="18"/>
          <w:lang w:val="es-ES_tradnl"/>
        </w:rPr>
        <w:t xml:space="preserve"> </w:t>
      </w:r>
      <w:r w:rsidRPr="0004149D">
        <w:rPr>
          <w:sz w:val="18"/>
          <w:szCs w:val="18"/>
          <w:lang w:val="es-ES_tradnl"/>
        </w:rPr>
        <w:t xml:space="preserve">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w:t>
      </w:r>
    </w:p>
    <w:p w14:paraId="4827A596" w14:textId="77777777" w:rsidR="00E34DDC" w:rsidRPr="0004149D" w:rsidRDefault="00E34DDC" w:rsidP="00E34DDC">
      <w:pPr>
        <w:pStyle w:val="Textonotapie"/>
        <w:jc w:val="both"/>
        <w:rPr>
          <w:sz w:val="18"/>
          <w:szCs w:val="18"/>
          <w:lang w:val="es-ES_tradnl"/>
        </w:rPr>
      </w:pPr>
      <w:r w:rsidRPr="0004149D">
        <w:rPr>
          <w:sz w:val="18"/>
          <w:szCs w:val="18"/>
          <w:lang w:val="es-ES_tradnl"/>
        </w:rPr>
        <w:t xml:space="preserve">La obligación de los sujetos obligados de proporcionar información no comprende el procesamiento de la misma, ni el presentarla conforme al interés del solicitante. </w:t>
      </w:r>
    </w:p>
  </w:footnote>
  <w:footnote w:id="4">
    <w:p w14:paraId="34084748" w14:textId="77777777" w:rsidR="00E34DDC" w:rsidRPr="0004149D" w:rsidRDefault="00E34DDC" w:rsidP="00E34DDC">
      <w:pPr>
        <w:pStyle w:val="Textonotapie"/>
        <w:jc w:val="both"/>
        <w:rPr>
          <w:sz w:val="18"/>
          <w:szCs w:val="18"/>
        </w:rPr>
      </w:pPr>
      <w:r w:rsidRPr="0004149D">
        <w:rPr>
          <w:rStyle w:val="Refdenotaalpie"/>
          <w:sz w:val="18"/>
          <w:szCs w:val="18"/>
        </w:rPr>
        <w:footnoteRef/>
      </w:r>
      <w:r w:rsidRPr="0004149D">
        <w:rPr>
          <w:sz w:val="18"/>
          <w:szCs w:val="18"/>
        </w:rPr>
        <w:t xml:space="preserve"> </w:t>
      </w:r>
      <w:r w:rsidRPr="0004149D">
        <w:rPr>
          <w:b/>
          <w:sz w:val="18"/>
          <w:szCs w:val="18"/>
        </w:rPr>
        <w:t>ARTÍCULO 18.</w:t>
      </w:r>
      <w:r w:rsidRPr="0004149D">
        <w:rPr>
          <w:sz w:val="18"/>
          <w:szCs w:val="18"/>
        </w:rPr>
        <w:t xml:space="preserve"> Los sujetos obligados deberán documentar todo acto que derive del ejercicio de sus facultades, competencias o funciones.</w:t>
      </w:r>
    </w:p>
    <w:p w14:paraId="3CA35C30" w14:textId="77777777" w:rsidR="00E34DDC" w:rsidRPr="0004149D" w:rsidRDefault="00E34DDC" w:rsidP="00E34DDC">
      <w:pPr>
        <w:pStyle w:val="Textonotapie"/>
        <w:jc w:val="both"/>
        <w:rPr>
          <w:sz w:val="18"/>
          <w:szCs w:val="18"/>
        </w:rPr>
      </w:pPr>
      <w:r w:rsidRPr="0004149D">
        <w:rPr>
          <w:b/>
          <w:sz w:val="18"/>
          <w:szCs w:val="18"/>
        </w:rPr>
        <w:t>ARTÍCULO 59.</w:t>
      </w:r>
      <w:r w:rsidRPr="0004149D">
        <w:rPr>
          <w:sz w:val="18"/>
          <w:szCs w:val="18"/>
        </w:rPr>
        <w:t xml:space="preserve"> Los sujetos obligados deben proporcionar la información solicitada en la modalidad en que se encuentre. Cuando la información requerida se encuentre en dos o más tipos de formatos, el solicitante elegirá entre los formatos, para la entrega correspondiente. </w:t>
      </w:r>
    </w:p>
    <w:p w14:paraId="62147EC5" w14:textId="77777777" w:rsidR="00E34DDC" w:rsidRPr="0004149D" w:rsidRDefault="00E34DDC" w:rsidP="00E34DDC">
      <w:pPr>
        <w:pStyle w:val="Textonotapie"/>
        <w:jc w:val="both"/>
        <w:rPr>
          <w:sz w:val="18"/>
          <w:szCs w:val="18"/>
        </w:rPr>
      </w:pPr>
      <w:r w:rsidRPr="0004149D">
        <w:rPr>
          <w:b/>
          <w:sz w:val="18"/>
          <w:szCs w:val="18"/>
        </w:rPr>
        <w:t>ARTÍCULO 60.</w:t>
      </w:r>
      <w:r w:rsidRPr="0004149D">
        <w:rPr>
          <w:sz w:val="18"/>
          <w:szCs w:val="18"/>
        </w:rPr>
        <w:t xml:space="preserve"> En la formulación, producción, procesamiento, administración, archivo y resguardo de la información, debe atenderse al principio de la máxima publicidad, con el objeto de facilitar el acceso de cualquier persona a su conocimiento. </w:t>
      </w:r>
    </w:p>
    <w:p w14:paraId="47502388" w14:textId="77777777" w:rsidR="00E34DDC" w:rsidRPr="0004149D" w:rsidRDefault="00E34DDC" w:rsidP="00E34DDC">
      <w:pPr>
        <w:pStyle w:val="Textonotapie"/>
        <w:jc w:val="both"/>
        <w:rPr>
          <w:sz w:val="18"/>
          <w:szCs w:val="18"/>
        </w:rPr>
      </w:pPr>
      <w:r w:rsidRPr="0004149D">
        <w:rPr>
          <w:sz w:val="18"/>
          <w:szCs w:val="18"/>
        </w:rPr>
        <w:t xml:space="preserve">La obligación de entregarla no implica el procesamiento, ni la adecuación de la información al interés del solicitante, salvo la producción de versiones públicas del documento; El tratamiento de documentación histórica deberá hacerse en términos establecidos en el artículo 50 de esta Ley. </w:t>
      </w:r>
    </w:p>
    <w:p w14:paraId="686FFBAF" w14:textId="77777777" w:rsidR="00E34DDC" w:rsidRPr="0004149D" w:rsidRDefault="00E34DDC" w:rsidP="00E34DDC">
      <w:pPr>
        <w:pStyle w:val="Textonotapie"/>
        <w:jc w:val="both"/>
        <w:rPr>
          <w:sz w:val="18"/>
          <w:szCs w:val="18"/>
        </w:rPr>
      </w:pPr>
      <w:r w:rsidRPr="0004149D">
        <w:rPr>
          <w:b/>
          <w:sz w:val="18"/>
          <w:szCs w:val="18"/>
        </w:rPr>
        <w:t>ARTÍCULO 61.</w:t>
      </w:r>
      <w:r w:rsidRPr="0004149D">
        <w:rPr>
          <w:sz w:val="18"/>
          <w:szCs w:val="18"/>
        </w:rPr>
        <w:t xml:space="preserve"> 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 </w:t>
      </w:r>
    </w:p>
    <w:p w14:paraId="2B175C44" w14:textId="77777777" w:rsidR="00E34DDC" w:rsidRPr="0004149D" w:rsidRDefault="00E34DDC" w:rsidP="00E34DDC">
      <w:pPr>
        <w:pStyle w:val="Textonotapie"/>
        <w:jc w:val="both"/>
        <w:rPr>
          <w:sz w:val="18"/>
          <w:szCs w:val="18"/>
        </w:rPr>
      </w:pPr>
      <w:r w:rsidRPr="0004149D">
        <w:rPr>
          <w:sz w:val="18"/>
          <w:szCs w:val="18"/>
        </w:rPr>
        <w:t>La obligación de los sujetos obligados de proporcionar información no comprende el procesamiento de la misma, ni el presentarla conforme al interés del solicitante.</w:t>
      </w:r>
    </w:p>
    <w:p w14:paraId="3A3B6190" w14:textId="77777777" w:rsidR="00E34DDC" w:rsidRPr="0004149D" w:rsidRDefault="00E34DDC" w:rsidP="00E34DDC">
      <w:pPr>
        <w:pStyle w:val="Textonotapie"/>
        <w:jc w:val="both"/>
        <w:rPr>
          <w:sz w:val="18"/>
          <w:szCs w:val="18"/>
        </w:rPr>
      </w:pPr>
      <w:r w:rsidRPr="0004149D">
        <w:rPr>
          <w:b/>
          <w:sz w:val="18"/>
          <w:szCs w:val="18"/>
        </w:rPr>
        <w:t>ARTÍCULO 152</w:t>
      </w:r>
      <w:r w:rsidRPr="0004149D">
        <w:rPr>
          <w:sz w:val="18"/>
          <w:szCs w:val="18"/>
        </w:rPr>
        <w:t>.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footnote>
  <w:footnote w:id="5">
    <w:p w14:paraId="17CAD92A" w14:textId="77777777" w:rsidR="000E7B00" w:rsidRPr="00E37687" w:rsidRDefault="000E7B00" w:rsidP="000E7B00">
      <w:pPr>
        <w:pStyle w:val="Textonotapie"/>
        <w:jc w:val="both"/>
        <w:rPr>
          <w:sz w:val="18"/>
        </w:rPr>
      </w:pPr>
      <w:r w:rsidRPr="00E37687">
        <w:rPr>
          <w:rStyle w:val="Refdenotaalpie"/>
          <w:sz w:val="18"/>
        </w:rPr>
        <w:footnoteRef/>
      </w:r>
      <w:r w:rsidRPr="00E37687">
        <w:rPr>
          <w:sz w:val="18"/>
        </w:rPr>
        <w:t xml:space="preserve"> </w:t>
      </w:r>
      <w:r w:rsidRPr="00E37687">
        <w:rPr>
          <w:b/>
          <w:sz w:val="18"/>
        </w:rPr>
        <w:t>ARTICULO 120</w:t>
      </w:r>
      <w:r w:rsidRPr="00E37687">
        <w:rPr>
          <w:sz w:val="18"/>
        </w:rPr>
        <w:t xml:space="preserve">. El trámite de los expedientes de queja en la Comisión se sujetará estrictamente a lo mandado por el artículo 17 de esta Ley. </w:t>
      </w:r>
    </w:p>
    <w:p w14:paraId="413C71E8" w14:textId="77777777" w:rsidR="000E7B00" w:rsidRPr="00E37687" w:rsidRDefault="000E7B00" w:rsidP="000E7B00">
      <w:pPr>
        <w:pStyle w:val="Textonotapie"/>
        <w:jc w:val="both"/>
        <w:rPr>
          <w:sz w:val="18"/>
        </w:rPr>
      </w:pPr>
      <w:r w:rsidRPr="00E37687">
        <w:rPr>
          <w:b/>
          <w:sz w:val="18"/>
        </w:rPr>
        <w:t xml:space="preserve">ARTICULO 121. </w:t>
      </w:r>
      <w:r w:rsidRPr="00E37687">
        <w:rPr>
          <w:sz w:val="18"/>
        </w:rPr>
        <w:t xml:space="preserve">Una vez abierto un expediente de queja, sea a petición de parte o de oficio, se notificará inmediatamente de esta situación a las autoridades señaladas como responsables de la violación de Derechos Humanos, de modo que éstas informen pormenorizadamente en un plazo no mayor de diez días hábiles su versión de los hechos. </w:t>
      </w:r>
    </w:p>
    <w:p w14:paraId="175A7622" w14:textId="77777777" w:rsidR="000E7B00" w:rsidRPr="00E37687" w:rsidRDefault="000E7B00" w:rsidP="000E7B00">
      <w:pPr>
        <w:pStyle w:val="Textonotapie"/>
        <w:jc w:val="both"/>
        <w:rPr>
          <w:sz w:val="18"/>
        </w:rPr>
      </w:pPr>
      <w:r w:rsidRPr="00E37687">
        <w:rPr>
          <w:b/>
          <w:sz w:val="18"/>
        </w:rPr>
        <w:t>ARTICULO 122.</w:t>
      </w:r>
      <w:r w:rsidRPr="00E37687">
        <w:rPr>
          <w:sz w:val="18"/>
        </w:rPr>
        <w:t xml:space="preserve"> Las autoridades o las personas integrantes del servicio público señaladas como responsables, deberán responder a la Comisión enviando un informe sobre los actos, omisiones o resoluciones que se les atribuyan, mismo que deberá entregar en un plazo máximo de diez días hábiles, contado a partir del día siguiente de la recepción de la comunicación. Si a juicio de la Comisión se determina justificadamente estar en presencia de una situación o caso urgente, el plazo señalado podrá reducirse. </w:t>
      </w:r>
    </w:p>
    <w:p w14:paraId="504CC44D" w14:textId="77777777" w:rsidR="000E7B00" w:rsidRPr="00E37687" w:rsidRDefault="000E7B00" w:rsidP="000E7B00">
      <w:pPr>
        <w:pStyle w:val="Textonotapie"/>
        <w:jc w:val="both"/>
        <w:rPr>
          <w:sz w:val="18"/>
        </w:rPr>
      </w:pPr>
      <w:r w:rsidRPr="00E37687">
        <w:rPr>
          <w:b/>
          <w:sz w:val="18"/>
        </w:rPr>
        <w:t>ARTICULO 125</w:t>
      </w:r>
      <w:r w:rsidRPr="00E37687">
        <w:rPr>
          <w:sz w:val="18"/>
        </w:rPr>
        <w:t xml:space="preserve">. Cuando para la sustanciación de cualquier procedimiento se requiera una investigación, las personas titulares de las </w:t>
      </w:r>
      <w:proofErr w:type="spellStart"/>
      <w:r w:rsidRPr="00E37687">
        <w:rPr>
          <w:sz w:val="18"/>
        </w:rPr>
        <w:t>Visitadurías</w:t>
      </w:r>
      <w:proofErr w:type="spellEnd"/>
      <w:r w:rsidRPr="00E37687">
        <w:rPr>
          <w:sz w:val="18"/>
        </w:rPr>
        <w:t xml:space="preserve"> Generales, y de la Dirección de Canalización, Gestión y Quejas, de manera enunciativa, más no limitativa, y en aplicación del Principio Pro Persona, tendrán las atribuciones necesarias para: I. Solicitar conjunta o separadamente informes o </w:t>
      </w:r>
      <w:proofErr w:type="gramStart"/>
      <w:r w:rsidRPr="00E37687">
        <w:rPr>
          <w:sz w:val="18"/>
        </w:rPr>
        <w:t>documentación adicionales</w:t>
      </w:r>
      <w:proofErr w:type="gramEnd"/>
      <w:r w:rsidRPr="00E37687">
        <w:rPr>
          <w:sz w:val="18"/>
        </w:rPr>
        <w:t xml:space="preserve"> al primer informe solicitado; II. Revisar comparando archivos y expedientes, y solicitar a la autoridad la reproducción de lo que necesite de ambos documentos; III. Solicitar de cualquier otra autoridad o de particulares, informes, documentos u opiniones respecto del asunto investigado, o sobre los problemas que el asunto plantea en materia de Derechos Humanos; IV. Practicar visitas e inspecciones personalmente o por medio del personal profesional a su cargo, en cualquier sitio público, para lo cual bastará que el personal que realice la diligencia se identifique plenamente y señale el expediente de gestión o de queja, o la investigación especial dentro de la cual se lleva a cabo el acto. Esta disposición aplicará del mismo modo en sitios privados en los cuales se preste un servicio público, o se realicen actividades bajo supervisión de autoridad pública; V. Citar y realizar entrevistas con personas o instituciones que colaboren con la Comisión como peritos o testigos; VI. Citar y realizar entrevistas con cualquier autoridad en relación con la investigación, y VII. Trabajar proactivamente por conocer y documentar la realidad histórica de los hechos violatorios de Derechos Humanos y el contexto social que permitió la violación. </w:t>
      </w:r>
    </w:p>
    <w:p w14:paraId="78573ED4" w14:textId="77777777" w:rsidR="000E7B00" w:rsidRPr="00E37687" w:rsidRDefault="000E7B00" w:rsidP="000E7B00">
      <w:pPr>
        <w:pStyle w:val="Textonotapie"/>
        <w:jc w:val="both"/>
        <w:rPr>
          <w:sz w:val="18"/>
        </w:rPr>
      </w:pPr>
      <w:r w:rsidRPr="00E37687">
        <w:rPr>
          <w:b/>
          <w:sz w:val="18"/>
        </w:rPr>
        <w:t>ARTICULO 126.</w:t>
      </w:r>
      <w:r w:rsidRPr="00E37687">
        <w:rPr>
          <w:sz w:val="18"/>
        </w:rPr>
        <w:t xml:space="preserve"> La Comisión no podrá atenerse sólo a lo que la persona víctima, quejosa o denunciante ofrezca como probanza de su dicho, ni sólo a los elementos que le reporte la autoridad señalada como responsable, sino que deberá ordenar su investigación para allegarse por cualquier medio la mayor cantidad de elementos que pueda. </w:t>
      </w:r>
    </w:p>
    <w:p w14:paraId="502AC6B3" w14:textId="08595D7B" w:rsidR="000E7B00" w:rsidRPr="00E37687" w:rsidRDefault="000E7B00" w:rsidP="000E7B00">
      <w:pPr>
        <w:pStyle w:val="Textonotapie"/>
        <w:jc w:val="both"/>
        <w:rPr>
          <w:sz w:val="18"/>
        </w:rPr>
      </w:pPr>
      <w:r w:rsidRPr="00E37687">
        <w:rPr>
          <w:b/>
          <w:sz w:val="18"/>
        </w:rPr>
        <w:t>ARTICULO 127.</w:t>
      </w:r>
      <w:r w:rsidRPr="00E37687">
        <w:rPr>
          <w:sz w:val="18"/>
        </w:rPr>
        <w:t xml:space="preserve"> Los resultados de todos los trabajos de investigación que realice la Comisión, tanto en expedientes de gestión, expedientes de queja o cualquier otro, cumplimentados los requisitos establecidos por el Consejo para su perfeccionamiento, se considerarán indicios o pruebas de los hechos investigados. Los indicios y pruebas serán valoradas en su conjunto por la Comisión, de acuerdo con los principios generales de la lógica y siguiendo el método científico. La Comisión procurará que el principio de legalidad en la valoración de indicios y pruebas, no provoque formalismos excesivos que impidan el conocimiento de la verdad histórica y la protección más amplia de Derechos Humanos en el caso estudiado.</w:t>
      </w:r>
    </w:p>
    <w:p w14:paraId="6763E9CF" w14:textId="1F617A02" w:rsidR="000E7B00" w:rsidRPr="00E37687" w:rsidRDefault="00E37687" w:rsidP="000E7B00">
      <w:pPr>
        <w:pStyle w:val="Textonotapie"/>
        <w:jc w:val="both"/>
        <w:rPr>
          <w:sz w:val="18"/>
        </w:rPr>
      </w:pPr>
      <w:r w:rsidRPr="00E37687">
        <w:rPr>
          <w:b/>
          <w:sz w:val="18"/>
        </w:rPr>
        <w:t>A</w:t>
      </w:r>
      <w:r w:rsidR="000E7B00" w:rsidRPr="00E37687">
        <w:rPr>
          <w:b/>
          <w:sz w:val="18"/>
        </w:rPr>
        <w:t>RTICULO 131.</w:t>
      </w:r>
      <w:r w:rsidR="000E7B00" w:rsidRPr="00E37687">
        <w:rPr>
          <w:sz w:val="18"/>
        </w:rPr>
        <w:t xml:space="preserve"> Los expedientes de queja pueden concluirse del modo siguiente: I. Recomendación; II. Conciliación; III. Solución del asunto al cumplirse las medidas precautorias solicitadas a la autoridad responsable; IV. Documento de No-Responsabilidad de la autoridad señalada como responsable; V. Desistimiento de la persona víctima, quejosa o denunciante, cumpliendo los requisitos del artículo 115 de esta Ley, y VI. Desistimiento de la víctima, quejosa o peticionaria por amenaza de la autoridad responsable. En este caso, la Comisión llevará un registro pormenorizado de la incidencia de este tipo de amenazas y tomará las medidas pertinentes para enfrentar esta situación. En hechos calificados como violaciones graves a derechos humanos no procederá el desistimiento.</w:t>
      </w:r>
    </w:p>
  </w:footnote>
  <w:footnote w:id="6">
    <w:p w14:paraId="264BA8EF" w14:textId="09A1B649" w:rsidR="00C20C47" w:rsidRPr="00C20C47" w:rsidRDefault="00C20C47" w:rsidP="00C20C47">
      <w:pPr>
        <w:pStyle w:val="Textonotapie"/>
        <w:jc w:val="both"/>
        <w:rPr>
          <w:sz w:val="18"/>
        </w:rPr>
      </w:pPr>
      <w:r w:rsidRPr="00C20C47">
        <w:rPr>
          <w:rStyle w:val="Refdenotaalpie"/>
          <w:sz w:val="18"/>
        </w:rPr>
        <w:footnoteRef/>
      </w:r>
      <w:r w:rsidRPr="00C20C47">
        <w:rPr>
          <w:sz w:val="18"/>
        </w:rPr>
        <w:t xml:space="preserve"> </w:t>
      </w:r>
      <w:r w:rsidRPr="00C20C47">
        <w:rPr>
          <w:b/>
          <w:sz w:val="18"/>
        </w:rPr>
        <w:t>ARTICULO 140</w:t>
      </w:r>
      <w:r w:rsidRPr="00C20C47">
        <w:rPr>
          <w:sz w:val="18"/>
        </w:rPr>
        <w:t>. Las recomendaciones de la Comisión, así como las conciliaciones que logre, y las medidas precautorias que solicite, serán públicas y se consideran un ejercicio específico de su autonomía constitucional. Sin embargo, no tendrán por sí mismas carácter imperativo para la autoridad a la cual se dirija y, en consecuencia, no podrán anular, modificar o dejar sin efecto las resoluciones o actos contra los cuales se hubiese manifestado la persona víctima, quejosa o peticionaria.</w:t>
      </w:r>
    </w:p>
    <w:p w14:paraId="1BDAC91E" w14:textId="0AE4A747" w:rsidR="00C20C47" w:rsidRDefault="00C20C47" w:rsidP="00C20C47">
      <w:pPr>
        <w:pStyle w:val="Textonotapie"/>
        <w:jc w:val="both"/>
      </w:pPr>
      <w:r w:rsidRPr="00C20C47">
        <w:rPr>
          <w:sz w:val="18"/>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82106"/>
      <w:docPartObj>
        <w:docPartGallery w:val="Page Numbers (Top of Page)"/>
        <w:docPartUnique/>
      </w:docPartObj>
    </w:sdtPr>
    <w:sdtEndPr/>
    <w:sdtContent>
      <w:p w14:paraId="0B5004F8" w14:textId="77777777" w:rsidR="005142BE" w:rsidRDefault="005142BE">
        <w:pPr>
          <w:pStyle w:val="Encabezado"/>
          <w:jc w:val="center"/>
        </w:pPr>
      </w:p>
      <w:p w14:paraId="5AEDE41B" w14:textId="77777777" w:rsidR="005142BE" w:rsidRDefault="005142BE">
        <w:pPr>
          <w:pStyle w:val="Encabezado"/>
          <w:jc w:val="center"/>
        </w:pPr>
      </w:p>
      <w:p w14:paraId="4FAD023F" w14:textId="1562A995" w:rsidR="005142BE" w:rsidRDefault="005142BE">
        <w:pPr>
          <w:pStyle w:val="Encabezado"/>
          <w:jc w:val="center"/>
        </w:pPr>
        <w:r>
          <w:fldChar w:fldCharType="begin"/>
        </w:r>
        <w:r>
          <w:instrText>PAGE   \* MERGEFORMAT</w:instrText>
        </w:r>
        <w:r>
          <w:fldChar w:fldCharType="separate"/>
        </w:r>
        <w:r w:rsidR="0089447A" w:rsidRPr="0089447A">
          <w:rPr>
            <w:noProof/>
            <w:lang w:val="es-ES"/>
          </w:rPr>
          <w:t>20</w:t>
        </w:r>
        <w:r>
          <w:fldChar w:fldCharType="end"/>
        </w:r>
      </w:p>
    </w:sdtContent>
  </w:sdt>
  <w:p w14:paraId="3407CE7F" w14:textId="3B6D2068" w:rsidR="005142BE" w:rsidRDefault="00183EF3" w:rsidP="00403C89">
    <w:pPr>
      <w:pStyle w:val="Encabezado"/>
      <w:jc w:val="right"/>
    </w:pPr>
    <w:r>
      <w:t xml:space="preserve">RECURSO DE REVISIÓN </w:t>
    </w:r>
    <w:r w:rsidR="00B66C52">
      <w:t>0</w:t>
    </w:r>
    <w:r w:rsidR="00C20BA5">
      <w:t>3</w:t>
    </w:r>
    <w:r w:rsidR="00B66C52">
      <w:t>7</w:t>
    </w:r>
    <w:r w:rsidR="00A00F41">
      <w:t>/2026</w:t>
    </w:r>
    <w:r w:rsidR="00710E8F">
      <w:t>-1</w:t>
    </w:r>
    <w:r w:rsidR="00B66C52">
      <w:t xml:space="preserve"> OP</w:t>
    </w:r>
  </w:p>
  <w:p w14:paraId="30F5D71D" w14:textId="77777777" w:rsidR="005142BE" w:rsidRDefault="005142BE">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293170"/>
      <w:docPartObj>
        <w:docPartGallery w:val="Page Numbers (Top of Page)"/>
        <w:docPartUnique/>
      </w:docPartObj>
    </w:sdtPr>
    <w:sdtEndPr/>
    <w:sdtContent>
      <w:p w14:paraId="504FC57D" w14:textId="62CCE059" w:rsidR="005142BE" w:rsidRDefault="005142BE" w:rsidP="007E5F3A">
        <w:pPr>
          <w:pStyle w:val="Encabezado"/>
          <w:jc w:val="center"/>
        </w:pPr>
        <w:r w:rsidRPr="00C23AC9">
          <w:rPr>
            <w:noProof/>
          </w:rPr>
          <w:drawing>
            <wp:anchor distT="0" distB="0" distL="114300" distR="114300" simplePos="0" relativeHeight="251659264" behindDoc="1" locked="0" layoutInCell="1" allowOverlap="1" wp14:anchorId="442D1922" wp14:editId="3F954AFB">
              <wp:simplePos x="0" y="0"/>
              <wp:positionH relativeFrom="page">
                <wp:posOffset>8255</wp:posOffset>
              </wp:positionH>
              <wp:positionV relativeFrom="paragraph">
                <wp:posOffset>-489585</wp:posOffset>
              </wp:positionV>
              <wp:extent cx="7821295" cy="1668780"/>
              <wp:effectExtent l="0" t="0" r="825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86445"/>
                      <a:stretch/>
                    </pic:blipFill>
                    <pic:spPr bwMode="auto">
                      <a:xfrm>
                        <a:off x="0" y="0"/>
                        <a:ext cx="7821295" cy="1668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89447A" w:rsidRPr="0089447A">
          <w:rPr>
            <w:noProof/>
            <w:lang w:val="es-ES"/>
          </w:rPr>
          <w:t>21</w:t>
        </w:r>
        <w:r>
          <w:fldChar w:fldCharType="end"/>
        </w:r>
        <w:r>
          <w:t xml:space="preserve">                                  </w:t>
        </w:r>
      </w:p>
      <w:p w14:paraId="4B8CFE5F" w14:textId="77777777" w:rsidR="005142BE" w:rsidRDefault="005142BE" w:rsidP="00125FB7">
        <w:pPr>
          <w:pStyle w:val="Encabezado"/>
          <w:jc w:val="right"/>
        </w:pPr>
      </w:p>
      <w:p w14:paraId="33FF87E3" w14:textId="30DB5E74" w:rsidR="005142BE" w:rsidRDefault="00385540" w:rsidP="00403C89">
        <w:pPr>
          <w:pStyle w:val="Encabezado"/>
          <w:jc w:val="right"/>
        </w:pPr>
        <w:r>
          <w:t xml:space="preserve">RECURSO DE REVISIÓN </w:t>
        </w:r>
        <w:r w:rsidR="00B66C52">
          <w:t>037</w:t>
        </w:r>
        <w:r w:rsidR="00A00F41">
          <w:t>/2026</w:t>
        </w:r>
        <w:r w:rsidR="00710E8F">
          <w:t>-1</w:t>
        </w:r>
        <w:r w:rsidR="00B66C52">
          <w:t xml:space="preserve"> OP</w:t>
        </w:r>
      </w:p>
      <w:p w14:paraId="1F581E29" w14:textId="484A7B4B" w:rsidR="005142BE" w:rsidRDefault="00FA42E9" w:rsidP="00125FB7">
        <w:pPr>
          <w:pStyle w:val="Encabezado"/>
          <w:jc w:val="right"/>
        </w:pPr>
      </w:p>
    </w:sdtContent>
  </w:sdt>
  <w:p w14:paraId="1289C4E4" w14:textId="31ADB116" w:rsidR="005142BE" w:rsidRDefault="005142BE">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20856"/>
    <w:multiLevelType w:val="hybridMultilevel"/>
    <w:tmpl w:val="1356158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4534AA"/>
    <w:multiLevelType w:val="hybridMultilevel"/>
    <w:tmpl w:val="5A725800"/>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 w15:restartNumberingAfterBreak="0">
    <w:nsid w:val="0278555E"/>
    <w:multiLevelType w:val="hybridMultilevel"/>
    <w:tmpl w:val="77C64412"/>
    <w:lvl w:ilvl="0" w:tplc="080A0001">
      <w:start w:val="1"/>
      <w:numFmt w:val="bullet"/>
      <w:lvlText w:val=""/>
      <w:lvlJc w:val="left"/>
      <w:pPr>
        <w:ind w:left="1400" w:hanging="720"/>
      </w:pPr>
      <w:rPr>
        <w:rFonts w:ascii="Symbol" w:hAnsi="Symbol"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3" w15:restartNumberingAfterBreak="0">
    <w:nsid w:val="03EB71E6"/>
    <w:multiLevelType w:val="hybridMultilevel"/>
    <w:tmpl w:val="909C2384"/>
    <w:lvl w:ilvl="0" w:tplc="14020AD8">
      <w:start w:val="1"/>
      <w:numFmt w:val="upperRoman"/>
      <w:lvlText w:val="%1."/>
      <w:lvlJc w:val="left"/>
      <w:pPr>
        <w:ind w:left="2109" w:hanging="720"/>
      </w:pPr>
      <w:rPr>
        <w:rFonts w:hint="default"/>
      </w:rPr>
    </w:lvl>
    <w:lvl w:ilvl="1" w:tplc="080A0019">
      <w:start w:val="1"/>
      <w:numFmt w:val="lowerLetter"/>
      <w:lvlText w:val="%2."/>
      <w:lvlJc w:val="left"/>
      <w:pPr>
        <w:ind w:left="2120" w:hanging="360"/>
      </w:pPr>
    </w:lvl>
    <w:lvl w:ilvl="2" w:tplc="080A001B" w:tentative="1">
      <w:start w:val="1"/>
      <w:numFmt w:val="lowerRoman"/>
      <w:lvlText w:val="%3."/>
      <w:lvlJc w:val="right"/>
      <w:pPr>
        <w:ind w:left="2840" w:hanging="180"/>
      </w:pPr>
    </w:lvl>
    <w:lvl w:ilvl="3" w:tplc="080A000F" w:tentative="1">
      <w:start w:val="1"/>
      <w:numFmt w:val="decimal"/>
      <w:lvlText w:val="%4."/>
      <w:lvlJc w:val="left"/>
      <w:pPr>
        <w:ind w:left="3560" w:hanging="360"/>
      </w:pPr>
    </w:lvl>
    <w:lvl w:ilvl="4" w:tplc="080A0019" w:tentative="1">
      <w:start w:val="1"/>
      <w:numFmt w:val="lowerLetter"/>
      <w:lvlText w:val="%5."/>
      <w:lvlJc w:val="left"/>
      <w:pPr>
        <w:ind w:left="4280" w:hanging="360"/>
      </w:pPr>
    </w:lvl>
    <w:lvl w:ilvl="5" w:tplc="080A001B" w:tentative="1">
      <w:start w:val="1"/>
      <w:numFmt w:val="lowerRoman"/>
      <w:lvlText w:val="%6."/>
      <w:lvlJc w:val="right"/>
      <w:pPr>
        <w:ind w:left="5000" w:hanging="180"/>
      </w:pPr>
    </w:lvl>
    <w:lvl w:ilvl="6" w:tplc="080A000F" w:tentative="1">
      <w:start w:val="1"/>
      <w:numFmt w:val="decimal"/>
      <w:lvlText w:val="%7."/>
      <w:lvlJc w:val="left"/>
      <w:pPr>
        <w:ind w:left="5720" w:hanging="360"/>
      </w:pPr>
    </w:lvl>
    <w:lvl w:ilvl="7" w:tplc="080A0019" w:tentative="1">
      <w:start w:val="1"/>
      <w:numFmt w:val="lowerLetter"/>
      <w:lvlText w:val="%8."/>
      <w:lvlJc w:val="left"/>
      <w:pPr>
        <w:ind w:left="6440" w:hanging="360"/>
      </w:pPr>
    </w:lvl>
    <w:lvl w:ilvl="8" w:tplc="080A001B" w:tentative="1">
      <w:start w:val="1"/>
      <w:numFmt w:val="lowerRoman"/>
      <w:lvlText w:val="%9."/>
      <w:lvlJc w:val="right"/>
      <w:pPr>
        <w:ind w:left="7160" w:hanging="180"/>
      </w:pPr>
    </w:lvl>
  </w:abstractNum>
  <w:abstractNum w:abstractNumId="4" w15:restartNumberingAfterBreak="0">
    <w:nsid w:val="0815363C"/>
    <w:multiLevelType w:val="hybridMultilevel"/>
    <w:tmpl w:val="931C2AC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5" w15:restartNumberingAfterBreak="0">
    <w:nsid w:val="09DB41DF"/>
    <w:multiLevelType w:val="hybridMultilevel"/>
    <w:tmpl w:val="90A45FCC"/>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6" w15:restartNumberingAfterBreak="0">
    <w:nsid w:val="0C037708"/>
    <w:multiLevelType w:val="hybridMultilevel"/>
    <w:tmpl w:val="6AFCB15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0D941097"/>
    <w:multiLevelType w:val="hybridMultilevel"/>
    <w:tmpl w:val="5EB4AF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02E6462"/>
    <w:multiLevelType w:val="hybridMultilevel"/>
    <w:tmpl w:val="B2B6781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9" w15:restartNumberingAfterBreak="0">
    <w:nsid w:val="160627CA"/>
    <w:multiLevelType w:val="hybridMultilevel"/>
    <w:tmpl w:val="1FBAA032"/>
    <w:lvl w:ilvl="0" w:tplc="02802D82">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0" w15:restartNumberingAfterBreak="0">
    <w:nsid w:val="17DF747E"/>
    <w:multiLevelType w:val="hybridMultilevel"/>
    <w:tmpl w:val="AE0EBAC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233B56C5"/>
    <w:multiLevelType w:val="hybridMultilevel"/>
    <w:tmpl w:val="95AA212C"/>
    <w:lvl w:ilvl="0" w:tplc="D3341D68">
      <w:start w:val="1"/>
      <w:numFmt w:val="bullet"/>
      <w:lvlText w:val="-"/>
      <w:lvlJc w:val="left"/>
      <w:pPr>
        <w:ind w:left="720" w:hanging="360"/>
      </w:pPr>
      <w:rPr>
        <w:rFonts w:ascii="AvantGarde Bk BT" w:eastAsiaTheme="minorEastAsia"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45A3E6E"/>
    <w:multiLevelType w:val="hybridMultilevel"/>
    <w:tmpl w:val="7AC68CE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3" w15:restartNumberingAfterBreak="0">
    <w:nsid w:val="271C0404"/>
    <w:multiLevelType w:val="hybridMultilevel"/>
    <w:tmpl w:val="56822F54"/>
    <w:lvl w:ilvl="0" w:tplc="080A0017">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4"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5" w15:restartNumberingAfterBreak="0">
    <w:nsid w:val="31FC4618"/>
    <w:multiLevelType w:val="hybridMultilevel"/>
    <w:tmpl w:val="74740F92"/>
    <w:lvl w:ilvl="0" w:tplc="14020AD8">
      <w:start w:val="1"/>
      <w:numFmt w:val="upperRoman"/>
      <w:lvlText w:val="%1."/>
      <w:lvlJc w:val="left"/>
      <w:pPr>
        <w:ind w:left="2109" w:hanging="720"/>
      </w:pPr>
      <w:rPr>
        <w:rFonts w:hint="default"/>
      </w:rPr>
    </w:lvl>
    <w:lvl w:ilvl="1" w:tplc="080A000F">
      <w:start w:val="1"/>
      <w:numFmt w:val="decimal"/>
      <w:lvlText w:val="%2."/>
      <w:lvlJc w:val="left"/>
      <w:pPr>
        <w:ind w:left="2120" w:hanging="360"/>
      </w:pPr>
    </w:lvl>
    <w:lvl w:ilvl="2" w:tplc="080A001B" w:tentative="1">
      <w:start w:val="1"/>
      <w:numFmt w:val="lowerRoman"/>
      <w:lvlText w:val="%3."/>
      <w:lvlJc w:val="right"/>
      <w:pPr>
        <w:ind w:left="2840" w:hanging="180"/>
      </w:pPr>
    </w:lvl>
    <w:lvl w:ilvl="3" w:tplc="080A000F" w:tentative="1">
      <w:start w:val="1"/>
      <w:numFmt w:val="decimal"/>
      <w:lvlText w:val="%4."/>
      <w:lvlJc w:val="left"/>
      <w:pPr>
        <w:ind w:left="3560" w:hanging="360"/>
      </w:pPr>
    </w:lvl>
    <w:lvl w:ilvl="4" w:tplc="080A0019" w:tentative="1">
      <w:start w:val="1"/>
      <w:numFmt w:val="lowerLetter"/>
      <w:lvlText w:val="%5."/>
      <w:lvlJc w:val="left"/>
      <w:pPr>
        <w:ind w:left="4280" w:hanging="360"/>
      </w:pPr>
    </w:lvl>
    <w:lvl w:ilvl="5" w:tplc="080A001B" w:tentative="1">
      <w:start w:val="1"/>
      <w:numFmt w:val="lowerRoman"/>
      <w:lvlText w:val="%6."/>
      <w:lvlJc w:val="right"/>
      <w:pPr>
        <w:ind w:left="5000" w:hanging="180"/>
      </w:pPr>
    </w:lvl>
    <w:lvl w:ilvl="6" w:tplc="080A000F" w:tentative="1">
      <w:start w:val="1"/>
      <w:numFmt w:val="decimal"/>
      <w:lvlText w:val="%7."/>
      <w:lvlJc w:val="left"/>
      <w:pPr>
        <w:ind w:left="5720" w:hanging="360"/>
      </w:pPr>
    </w:lvl>
    <w:lvl w:ilvl="7" w:tplc="080A0019" w:tentative="1">
      <w:start w:val="1"/>
      <w:numFmt w:val="lowerLetter"/>
      <w:lvlText w:val="%8."/>
      <w:lvlJc w:val="left"/>
      <w:pPr>
        <w:ind w:left="6440" w:hanging="360"/>
      </w:pPr>
    </w:lvl>
    <w:lvl w:ilvl="8" w:tplc="080A001B" w:tentative="1">
      <w:start w:val="1"/>
      <w:numFmt w:val="lowerRoman"/>
      <w:lvlText w:val="%9."/>
      <w:lvlJc w:val="right"/>
      <w:pPr>
        <w:ind w:left="7160" w:hanging="180"/>
      </w:pPr>
    </w:lvl>
  </w:abstractNum>
  <w:abstractNum w:abstractNumId="16" w15:restartNumberingAfterBreak="0">
    <w:nsid w:val="324C544D"/>
    <w:multiLevelType w:val="hybridMultilevel"/>
    <w:tmpl w:val="1830503C"/>
    <w:lvl w:ilvl="0" w:tplc="AD529830">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7" w15:restartNumberingAfterBreak="0">
    <w:nsid w:val="389569B0"/>
    <w:multiLevelType w:val="hybridMultilevel"/>
    <w:tmpl w:val="039A9688"/>
    <w:lvl w:ilvl="0" w:tplc="335CB706">
      <w:start w:val="1"/>
      <w:numFmt w:val="upperRoman"/>
      <w:lvlText w:val="%1."/>
      <w:lvlJc w:val="left"/>
      <w:pPr>
        <w:ind w:left="756" w:hanging="720"/>
      </w:pPr>
      <w:rPr>
        <w:rFonts w:hint="default"/>
      </w:rPr>
    </w:lvl>
    <w:lvl w:ilvl="1" w:tplc="080A0019" w:tentative="1">
      <w:start w:val="1"/>
      <w:numFmt w:val="lowerLetter"/>
      <w:lvlText w:val="%2."/>
      <w:lvlJc w:val="left"/>
      <w:pPr>
        <w:ind w:left="1116" w:hanging="360"/>
      </w:pPr>
    </w:lvl>
    <w:lvl w:ilvl="2" w:tplc="080A001B" w:tentative="1">
      <w:start w:val="1"/>
      <w:numFmt w:val="lowerRoman"/>
      <w:lvlText w:val="%3."/>
      <w:lvlJc w:val="right"/>
      <w:pPr>
        <w:ind w:left="1836" w:hanging="180"/>
      </w:pPr>
    </w:lvl>
    <w:lvl w:ilvl="3" w:tplc="080A000F" w:tentative="1">
      <w:start w:val="1"/>
      <w:numFmt w:val="decimal"/>
      <w:lvlText w:val="%4."/>
      <w:lvlJc w:val="left"/>
      <w:pPr>
        <w:ind w:left="2556" w:hanging="360"/>
      </w:pPr>
    </w:lvl>
    <w:lvl w:ilvl="4" w:tplc="080A0019" w:tentative="1">
      <w:start w:val="1"/>
      <w:numFmt w:val="lowerLetter"/>
      <w:lvlText w:val="%5."/>
      <w:lvlJc w:val="left"/>
      <w:pPr>
        <w:ind w:left="3276" w:hanging="360"/>
      </w:pPr>
    </w:lvl>
    <w:lvl w:ilvl="5" w:tplc="080A001B" w:tentative="1">
      <w:start w:val="1"/>
      <w:numFmt w:val="lowerRoman"/>
      <w:lvlText w:val="%6."/>
      <w:lvlJc w:val="right"/>
      <w:pPr>
        <w:ind w:left="3996" w:hanging="180"/>
      </w:pPr>
    </w:lvl>
    <w:lvl w:ilvl="6" w:tplc="080A000F" w:tentative="1">
      <w:start w:val="1"/>
      <w:numFmt w:val="decimal"/>
      <w:lvlText w:val="%7."/>
      <w:lvlJc w:val="left"/>
      <w:pPr>
        <w:ind w:left="4716" w:hanging="360"/>
      </w:pPr>
    </w:lvl>
    <w:lvl w:ilvl="7" w:tplc="080A0019" w:tentative="1">
      <w:start w:val="1"/>
      <w:numFmt w:val="lowerLetter"/>
      <w:lvlText w:val="%8."/>
      <w:lvlJc w:val="left"/>
      <w:pPr>
        <w:ind w:left="5436" w:hanging="360"/>
      </w:pPr>
    </w:lvl>
    <w:lvl w:ilvl="8" w:tplc="080A001B" w:tentative="1">
      <w:start w:val="1"/>
      <w:numFmt w:val="lowerRoman"/>
      <w:lvlText w:val="%9."/>
      <w:lvlJc w:val="right"/>
      <w:pPr>
        <w:ind w:left="6156" w:hanging="180"/>
      </w:pPr>
    </w:lvl>
  </w:abstractNum>
  <w:abstractNum w:abstractNumId="18" w15:restartNumberingAfterBreak="0">
    <w:nsid w:val="38D167C3"/>
    <w:multiLevelType w:val="hybridMultilevel"/>
    <w:tmpl w:val="FB6E4E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9" w15:restartNumberingAfterBreak="0">
    <w:nsid w:val="3FDB0662"/>
    <w:multiLevelType w:val="hybridMultilevel"/>
    <w:tmpl w:val="35DA5546"/>
    <w:lvl w:ilvl="0" w:tplc="080A0011">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20" w15:restartNumberingAfterBreak="0">
    <w:nsid w:val="41DD764B"/>
    <w:multiLevelType w:val="hybridMultilevel"/>
    <w:tmpl w:val="A474733A"/>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1" w15:restartNumberingAfterBreak="0">
    <w:nsid w:val="434C7AE2"/>
    <w:multiLevelType w:val="hybridMultilevel"/>
    <w:tmpl w:val="006EE8F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2" w15:restartNumberingAfterBreak="0">
    <w:nsid w:val="49D404F5"/>
    <w:multiLevelType w:val="hybridMultilevel"/>
    <w:tmpl w:val="14DCC206"/>
    <w:lvl w:ilvl="0" w:tplc="222C4C7E">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3" w15:restartNumberingAfterBreak="0">
    <w:nsid w:val="524B4150"/>
    <w:multiLevelType w:val="hybridMultilevel"/>
    <w:tmpl w:val="78F2383C"/>
    <w:lvl w:ilvl="0" w:tplc="8B6C24E2">
      <w:start w:val="1"/>
      <w:numFmt w:val="lowerLetter"/>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24" w15:restartNumberingAfterBreak="0">
    <w:nsid w:val="53E12F1E"/>
    <w:multiLevelType w:val="hybridMultilevel"/>
    <w:tmpl w:val="95D80A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5" w15:restartNumberingAfterBreak="0">
    <w:nsid w:val="576F140B"/>
    <w:multiLevelType w:val="hybridMultilevel"/>
    <w:tmpl w:val="846CA954"/>
    <w:lvl w:ilvl="0" w:tplc="83D63CE4">
      <w:start w:val="1"/>
      <w:numFmt w:val="bullet"/>
      <w:lvlText w:val="-"/>
      <w:lvlJc w:val="left"/>
      <w:pPr>
        <w:ind w:left="720" w:hanging="360"/>
      </w:pPr>
      <w:rPr>
        <w:rFonts w:ascii="Tahoma" w:eastAsiaTheme="minorEastAsia" w:hAnsi="Tahoma" w:cs="Tahom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8C84BEE"/>
    <w:multiLevelType w:val="hybridMultilevel"/>
    <w:tmpl w:val="63E2698E"/>
    <w:lvl w:ilvl="0" w:tplc="080A0001">
      <w:start w:val="1"/>
      <w:numFmt w:val="bullet"/>
      <w:lvlText w:val=""/>
      <w:lvlJc w:val="left"/>
      <w:pPr>
        <w:ind w:left="2109" w:hanging="360"/>
      </w:pPr>
      <w:rPr>
        <w:rFonts w:ascii="Symbol" w:hAnsi="Symbol" w:hint="default"/>
      </w:rPr>
    </w:lvl>
    <w:lvl w:ilvl="1" w:tplc="080A0003" w:tentative="1">
      <w:start w:val="1"/>
      <w:numFmt w:val="bullet"/>
      <w:lvlText w:val="o"/>
      <w:lvlJc w:val="left"/>
      <w:pPr>
        <w:ind w:left="2829" w:hanging="360"/>
      </w:pPr>
      <w:rPr>
        <w:rFonts w:ascii="Courier New" w:hAnsi="Courier New" w:cs="Courier New" w:hint="default"/>
      </w:rPr>
    </w:lvl>
    <w:lvl w:ilvl="2" w:tplc="080A0005" w:tentative="1">
      <w:start w:val="1"/>
      <w:numFmt w:val="bullet"/>
      <w:lvlText w:val=""/>
      <w:lvlJc w:val="left"/>
      <w:pPr>
        <w:ind w:left="3549" w:hanging="360"/>
      </w:pPr>
      <w:rPr>
        <w:rFonts w:ascii="Wingdings" w:hAnsi="Wingdings" w:hint="default"/>
      </w:rPr>
    </w:lvl>
    <w:lvl w:ilvl="3" w:tplc="080A0001" w:tentative="1">
      <w:start w:val="1"/>
      <w:numFmt w:val="bullet"/>
      <w:lvlText w:val=""/>
      <w:lvlJc w:val="left"/>
      <w:pPr>
        <w:ind w:left="4269" w:hanging="360"/>
      </w:pPr>
      <w:rPr>
        <w:rFonts w:ascii="Symbol" w:hAnsi="Symbol" w:hint="default"/>
      </w:rPr>
    </w:lvl>
    <w:lvl w:ilvl="4" w:tplc="080A0003" w:tentative="1">
      <w:start w:val="1"/>
      <w:numFmt w:val="bullet"/>
      <w:lvlText w:val="o"/>
      <w:lvlJc w:val="left"/>
      <w:pPr>
        <w:ind w:left="4989" w:hanging="360"/>
      </w:pPr>
      <w:rPr>
        <w:rFonts w:ascii="Courier New" w:hAnsi="Courier New" w:cs="Courier New" w:hint="default"/>
      </w:rPr>
    </w:lvl>
    <w:lvl w:ilvl="5" w:tplc="080A0005" w:tentative="1">
      <w:start w:val="1"/>
      <w:numFmt w:val="bullet"/>
      <w:lvlText w:val=""/>
      <w:lvlJc w:val="left"/>
      <w:pPr>
        <w:ind w:left="5709" w:hanging="360"/>
      </w:pPr>
      <w:rPr>
        <w:rFonts w:ascii="Wingdings" w:hAnsi="Wingdings" w:hint="default"/>
      </w:rPr>
    </w:lvl>
    <w:lvl w:ilvl="6" w:tplc="080A0001" w:tentative="1">
      <w:start w:val="1"/>
      <w:numFmt w:val="bullet"/>
      <w:lvlText w:val=""/>
      <w:lvlJc w:val="left"/>
      <w:pPr>
        <w:ind w:left="6429" w:hanging="360"/>
      </w:pPr>
      <w:rPr>
        <w:rFonts w:ascii="Symbol" w:hAnsi="Symbol" w:hint="default"/>
      </w:rPr>
    </w:lvl>
    <w:lvl w:ilvl="7" w:tplc="080A0003" w:tentative="1">
      <w:start w:val="1"/>
      <w:numFmt w:val="bullet"/>
      <w:lvlText w:val="o"/>
      <w:lvlJc w:val="left"/>
      <w:pPr>
        <w:ind w:left="7149" w:hanging="360"/>
      </w:pPr>
      <w:rPr>
        <w:rFonts w:ascii="Courier New" w:hAnsi="Courier New" w:cs="Courier New" w:hint="default"/>
      </w:rPr>
    </w:lvl>
    <w:lvl w:ilvl="8" w:tplc="080A0005" w:tentative="1">
      <w:start w:val="1"/>
      <w:numFmt w:val="bullet"/>
      <w:lvlText w:val=""/>
      <w:lvlJc w:val="left"/>
      <w:pPr>
        <w:ind w:left="7869" w:hanging="360"/>
      </w:pPr>
      <w:rPr>
        <w:rFonts w:ascii="Wingdings" w:hAnsi="Wingdings" w:hint="default"/>
      </w:rPr>
    </w:lvl>
  </w:abstractNum>
  <w:abstractNum w:abstractNumId="27" w15:restartNumberingAfterBreak="0">
    <w:nsid w:val="5B040041"/>
    <w:multiLevelType w:val="hybridMultilevel"/>
    <w:tmpl w:val="64E2947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8" w15:restartNumberingAfterBreak="0">
    <w:nsid w:val="5B981FF1"/>
    <w:multiLevelType w:val="hybridMultilevel"/>
    <w:tmpl w:val="2DAA304E"/>
    <w:lvl w:ilvl="0" w:tplc="080A0001">
      <w:start w:val="1"/>
      <w:numFmt w:val="bullet"/>
      <w:lvlText w:val=""/>
      <w:lvlJc w:val="left"/>
      <w:pPr>
        <w:ind w:left="1069" w:hanging="360"/>
      </w:pPr>
      <w:rPr>
        <w:rFonts w:ascii="Symbol" w:hAnsi="Symbo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29" w15:restartNumberingAfterBreak="0">
    <w:nsid w:val="5C3D4B26"/>
    <w:multiLevelType w:val="hybridMultilevel"/>
    <w:tmpl w:val="8A708D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D8F03D9"/>
    <w:multiLevelType w:val="hybridMultilevel"/>
    <w:tmpl w:val="9670F1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E3B42D8"/>
    <w:multiLevelType w:val="hybridMultilevel"/>
    <w:tmpl w:val="1B0E57AE"/>
    <w:lvl w:ilvl="0" w:tplc="080A0001">
      <w:start w:val="1"/>
      <w:numFmt w:val="bullet"/>
      <w:lvlText w:val=""/>
      <w:lvlJc w:val="left"/>
      <w:pPr>
        <w:ind w:left="1211" w:hanging="360"/>
      </w:pPr>
      <w:rPr>
        <w:rFonts w:ascii="Symbol" w:hAnsi="Symbol" w:hint="default"/>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32" w15:restartNumberingAfterBreak="0">
    <w:nsid w:val="5E6065B7"/>
    <w:multiLevelType w:val="hybridMultilevel"/>
    <w:tmpl w:val="3D9864D0"/>
    <w:lvl w:ilvl="0" w:tplc="14020AD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3" w15:restartNumberingAfterBreak="0">
    <w:nsid w:val="5F7B4755"/>
    <w:multiLevelType w:val="hybridMultilevel"/>
    <w:tmpl w:val="3F24CAB2"/>
    <w:lvl w:ilvl="0" w:tplc="140C92B2">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34" w15:restartNumberingAfterBreak="0">
    <w:nsid w:val="603D5917"/>
    <w:multiLevelType w:val="hybridMultilevel"/>
    <w:tmpl w:val="180AAA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1C4582A"/>
    <w:multiLevelType w:val="hybridMultilevel"/>
    <w:tmpl w:val="FFD65B3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6" w15:restartNumberingAfterBreak="0">
    <w:nsid w:val="65B22DF8"/>
    <w:multiLevelType w:val="hybridMultilevel"/>
    <w:tmpl w:val="94C49C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7" w15:restartNumberingAfterBreak="0">
    <w:nsid w:val="6BD179AB"/>
    <w:multiLevelType w:val="hybridMultilevel"/>
    <w:tmpl w:val="96C2F7C0"/>
    <w:lvl w:ilvl="0" w:tplc="080A0001">
      <w:start w:val="1"/>
      <w:numFmt w:val="bullet"/>
      <w:lvlText w:val=""/>
      <w:lvlJc w:val="left"/>
      <w:pPr>
        <w:ind w:left="1400" w:hanging="360"/>
      </w:pPr>
      <w:rPr>
        <w:rFonts w:ascii="Symbol" w:hAnsi="Symbol" w:hint="default"/>
      </w:rPr>
    </w:lvl>
    <w:lvl w:ilvl="1" w:tplc="26DE5670">
      <w:start w:val="7"/>
      <w:numFmt w:val="bullet"/>
      <w:lvlText w:val="-"/>
      <w:lvlJc w:val="left"/>
      <w:pPr>
        <w:ind w:left="2120" w:hanging="360"/>
      </w:pPr>
      <w:rPr>
        <w:rFonts w:ascii="AvantGarde Bk BT" w:eastAsia="Times New Roman" w:hAnsi="AvantGarde Bk BT" w:cs="Arial"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8" w15:restartNumberingAfterBreak="0">
    <w:nsid w:val="6DDF464F"/>
    <w:multiLevelType w:val="multilevel"/>
    <w:tmpl w:val="FD007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FBB27C8"/>
    <w:multiLevelType w:val="hybridMultilevel"/>
    <w:tmpl w:val="398049D6"/>
    <w:lvl w:ilvl="0" w:tplc="77FEB7EA">
      <w:start w:val="1"/>
      <w:numFmt w:val="decimal"/>
      <w:lvlText w:val="%1."/>
      <w:lvlJc w:val="left"/>
      <w:pPr>
        <w:ind w:left="720" w:hanging="360"/>
      </w:pPr>
      <w:rPr>
        <w:rFonts w:ascii="Tahoma" w:hAnsi="Tahoma" w:cs="Tahoma"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9410352"/>
    <w:multiLevelType w:val="hybridMultilevel"/>
    <w:tmpl w:val="03AC52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A46158C"/>
    <w:multiLevelType w:val="hybridMultilevel"/>
    <w:tmpl w:val="AD9CD8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BB51AE0"/>
    <w:multiLevelType w:val="hybridMultilevel"/>
    <w:tmpl w:val="780ABD42"/>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3" w15:restartNumberingAfterBreak="0">
    <w:nsid w:val="7BDF7817"/>
    <w:multiLevelType w:val="multilevel"/>
    <w:tmpl w:val="BE66C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CF80E0C"/>
    <w:multiLevelType w:val="hybridMultilevel"/>
    <w:tmpl w:val="2682B9D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5" w15:restartNumberingAfterBreak="0">
    <w:nsid w:val="7D6B4B54"/>
    <w:multiLevelType w:val="hybridMultilevel"/>
    <w:tmpl w:val="4CB053F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6" w15:restartNumberingAfterBreak="0">
    <w:nsid w:val="7DE63447"/>
    <w:multiLevelType w:val="hybridMultilevel"/>
    <w:tmpl w:val="6B3AF85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7" w15:restartNumberingAfterBreak="0">
    <w:nsid w:val="7F8F5DBA"/>
    <w:multiLevelType w:val="hybridMultilevel"/>
    <w:tmpl w:val="1526AE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14"/>
  </w:num>
  <w:num w:numId="2">
    <w:abstractNumId w:val="1"/>
  </w:num>
  <w:num w:numId="3">
    <w:abstractNumId w:val="2"/>
  </w:num>
  <w:num w:numId="4">
    <w:abstractNumId w:val="5"/>
  </w:num>
  <w:num w:numId="5">
    <w:abstractNumId w:val="46"/>
  </w:num>
  <w:num w:numId="6">
    <w:abstractNumId w:val="19"/>
  </w:num>
  <w:num w:numId="7">
    <w:abstractNumId w:val="27"/>
  </w:num>
  <w:num w:numId="8">
    <w:abstractNumId w:val="37"/>
  </w:num>
  <w:num w:numId="9">
    <w:abstractNumId w:val="7"/>
  </w:num>
  <w:num w:numId="10">
    <w:abstractNumId w:val="43"/>
  </w:num>
  <w:num w:numId="11">
    <w:abstractNumId w:val="11"/>
  </w:num>
  <w:num w:numId="12">
    <w:abstractNumId w:val="39"/>
  </w:num>
  <w:num w:numId="13">
    <w:abstractNumId w:val="23"/>
  </w:num>
  <w:num w:numId="14">
    <w:abstractNumId w:val="13"/>
  </w:num>
  <w:num w:numId="15">
    <w:abstractNumId w:val="42"/>
  </w:num>
  <w:num w:numId="16">
    <w:abstractNumId w:val="8"/>
  </w:num>
  <w:num w:numId="17">
    <w:abstractNumId w:val="4"/>
  </w:num>
  <w:num w:numId="18">
    <w:abstractNumId w:val="17"/>
  </w:num>
  <w:num w:numId="19">
    <w:abstractNumId w:val="21"/>
  </w:num>
  <w:num w:numId="2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num>
  <w:num w:numId="22">
    <w:abstractNumId w:val="30"/>
  </w:num>
  <w:num w:numId="23">
    <w:abstractNumId w:val="41"/>
  </w:num>
  <w:num w:numId="24">
    <w:abstractNumId w:val="47"/>
  </w:num>
  <w:num w:numId="25">
    <w:abstractNumId w:val="20"/>
  </w:num>
  <w:num w:numId="26">
    <w:abstractNumId w:val="44"/>
  </w:num>
  <w:num w:numId="27">
    <w:abstractNumId w:val="10"/>
  </w:num>
  <w:num w:numId="28">
    <w:abstractNumId w:val="45"/>
  </w:num>
  <w:num w:numId="29">
    <w:abstractNumId w:val="40"/>
  </w:num>
  <w:num w:numId="30">
    <w:abstractNumId w:val="25"/>
  </w:num>
  <w:num w:numId="31">
    <w:abstractNumId w:val="34"/>
  </w:num>
  <w:num w:numId="32">
    <w:abstractNumId w:val="9"/>
  </w:num>
  <w:num w:numId="33">
    <w:abstractNumId w:val="16"/>
  </w:num>
  <w:num w:numId="34">
    <w:abstractNumId w:val="24"/>
  </w:num>
  <w:num w:numId="35">
    <w:abstractNumId w:val="6"/>
  </w:num>
  <w:num w:numId="36">
    <w:abstractNumId w:val="28"/>
  </w:num>
  <w:num w:numId="37">
    <w:abstractNumId w:val="18"/>
  </w:num>
  <w:num w:numId="38">
    <w:abstractNumId w:val="22"/>
  </w:num>
  <w:num w:numId="39">
    <w:abstractNumId w:val="0"/>
  </w:num>
  <w:num w:numId="40">
    <w:abstractNumId w:val="32"/>
  </w:num>
  <w:num w:numId="41">
    <w:abstractNumId w:val="3"/>
  </w:num>
  <w:num w:numId="42">
    <w:abstractNumId w:val="15"/>
  </w:num>
  <w:num w:numId="43">
    <w:abstractNumId w:val="12"/>
  </w:num>
  <w:num w:numId="44">
    <w:abstractNumId w:val="31"/>
  </w:num>
  <w:num w:numId="45">
    <w:abstractNumId w:val="26"/>
  </w:num>
  <w:num w:numId="46">
    <w:abstractNumId w:val="35"/>
  </w:num>
  <w:num w:numId="47">
    <w:abstractNumId w:val="33"/>
  </w:num>
  <w:num w:numId="48">
    <w:abstractNumId w:val="36"/>
  </w:num>
  <w:num w:numId="49">
    <w:abstractNumId w:val="3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0A51"/>
    <w:rsid w:val="0000104F"/>
    <w:rsid w:val="00001134"/>
    <w:rsid w:val="00001534"/>
    <w:rsid w:val="000016C0"/>
    <w:rsid w:val="00001770"/>
    <w:rsid w:val="00001CA0"/>
    <w:rsid w:val="00002547"/>
    <w:rsid w:val="00002898"/>
    <w:rsid w:val="00002CFF"/>
    <w:rsid w:val="00003183"/>
    <w:rsid w:val="0000362E"/>
    <w:rsid w:val="00003AB5"/>
    <w:rsid w:val="00003DC1"/>
    <w:rsid w:val="000048AE"/>
    <w:rsid w:val="0000495B"/>
    <w:rsid w:val="00004D3C"/>
    <w:rsid w:val="000066AD"/>
    <w:rsid w:val="00010A6E"/>
    <w:rsid w:val="00010DA2"/>
    <w:rsid w:val="00010FE8"/>
    <w:rsid w:val="00011D20"/>
    <w:rsid w:val="00011DA1"/>
    <w:rsid w:val="00011F00"/>
    <w:rsid w:val="000122D2"/>
    <w:rsid w:val="00012503"/>
    <w:rsid w:val="00012C7F"/>
    <w:rsid w:val="00012E2D"/>
    <w:rsid w:val="00012F23"/>
    <w:rsid w:val="00013409"/>
    <w:rsid w:val="00013758"/>
    <w:rsid w:val="000142A2"/>
    <w:rsid w:val="000149F3"/>
    <w:rsid w:val="00015009"/>
    <w:rsid w:val="00015A95"/>
    <w:rsid w:val="0001630E"/>
    <w:rsid w:val="000163C6"/>
    <w:rsid w:val="00016961"/>
    <w:rsid w:val="000171A9"/>
    <w:rsid w:val="00017BB1"/>
    <w:rsid w:val="00020321"/>
    <w:rsid w:val="000204DB"/>
    <w:rsid w:val="000204FD"/>
    <w:rsid w:val="00020754"/>
    <w:rsid w:val="0002158C"/>
    <w:rsid w:val="00021A0F"/>
    <w:rsid w:val="00022417"/>
    <w:rsid w:val="00022854"/>
    <w:rsid w:val="00023148"/>
    <w:rsid w:val="00023196"/>
    <w:rsid w:val="00023DDC"/>
    <w:rsid w:val="00025FAE"/>
    <w:rsid w:val="000264CE"/>
    <w:rsid w:val="00027437"/>
    <w:rsid w:val="000300B1"/>
    <w:rsid w:val="00030726"/>
    <w:rsid w:val="00031926"/>
    <w:rsid w:val="00031AAC"/>
    <w:rsid w:val="0003221B"/>
    <w:rsid w:val="000322F3"/>
    <w:rsid w:val="00032C5F"/>
    <w:rsid w:val="0003343A"/>
    <w:rsid w:val="0003354A"/>
    <w:rsid w:val="000338B4"/>
    <w:rsid w:val="0003400F"/>
    <w:rsid w:val="000343A1"/>
    <w:rsid w:val="0003507B"/>
    <w:rsid w:val="00035E3E"/>
    <w:rsid w:val="00036122"/>
    <w:rsid w:val="000362A8"/>
    <w:rsid w:val="00037BEF"/>
    <w:rsid w:val="0004040F"/>
    <w:rsid w:val="000413FE"/>
    <w:rsid w:val="0004149D"/>
    <w:rsid w:val="00041CB5"/>
    <w:rsid w:val="0004234A"/>
    <w:rsid w:val="0004274F"/>
    <w:rsid w:val="0004294E"/>
    <w:rsid w:val="00042BD6"/>
    <w:rsid w:val="00042C17"/>
    <w:rsid w:val="00042FAB"/>
    <w:rsid w:val="00043069"/>
    <w:rsid w:val="00043459"/>
    <w:rsid w:val="00043A51"/>
    <w:rsid w:val="00043BE1"/>
    <w:rsid w:val="00043F1D"/>
    <w:rsid w:val="000442C8"/>
    <w:rsid w:val="00044FE4"/>
    <w:rsid w:val="000450EB"/>
    <w:rsid w:val="00045779"/>
    <w:rsid w:val="0004680C"/>
    <w:rsid w:val="000468A0"/>
    <w:rsid w:val="000475EF"/>
    <w:rsid w:val="000476BE"/>
    <w:rsid w:val="00050F84"/>
    <w:rsid w:val="000515EE"/>
    <w:rsid w:val="000524E8"/>
    <w:rsid w:val="00052535"/>
    <w:rsid w:val="000528D0"/>
    <w:rsid w:val="00052D0C"/>
    <w:rsid w:val="00054051"/>
    <w:rsid w:val="000542D9"/>
    <w:rsid w:val="00054510"/>
    <w:rsid w:val="00055757"/>
    <w:rsid w:val="00055E69"/>
    <w:rsid w:val="00056111"/>
    <w:rsid w:val="0005688E"/>
    <w:rsid w:val="00056A72"/>
    <w:rsid w:val="000603D2"/>
    <w:rsid w:val="000615A6"/>
    <w:rsid w:val="00061DDD"/>
    <w:rsid w:val="00061E22"/>
    <w:rsid w:val="00061F3E"/>
    <w:rsid w:val="00061F54"/>
    <w:rsid w:val="00061FA0"/>
    <w:rsid w:val="00062A08"/>
    <w:rsid w:val="00063248"/>
    <w:rsid w:val="000641C8"/>
    <w:rsid w:val="00064A61"/>
    <w:rsid w:val="00065DE4"/>
    <w:rsid w:val="0006659D"/>
    <w:rsid w:val="0006668E"/>
    <w:rsid w:val="00066886"/>
    <w:rsid w:val="00067418"/>
    <w:rsid w:val="00067660"/>
    <w:rsid w:val="0007014F"/>
    <w:rsid w:val="0007132B"/>
    <w:rsid w:val="000713A9"/>
    <w:rsid w:val="0007170B"/>
    <w:rsid w:val="0007175D"/>
    <w:rsid w:val="00071C60"/>
    <w:rsid w:val="000724D7"/>
    <w:rsid w:val="000728F5"/>
    <w:rsid w:val="000729BE"/>
    <w:rsid w:val="00072F69"/>
    <w:rsid w:val="00073214"/>
    <w:rsid w:val="00073D92"/>
    <w:rsid w:val="00073FAD"/>
    <w:rsid w:val="00074801"/>
    <w:rsid w:val="00075773"/>
    <w:rsid w:val="0007588B"/>
    <w:rsid w:val="000763A9"/>
    <w:rsid w:val="000769EA"/>
    <w:rsid w:val="00076B14"/>
    <w:rsid w:val="00077696"/>
    <w:rsid w:val="000776A8"/>
    <w:rsid w:val="0008004E"/>
    <w:rsid w:val="00083F03"/>
    <w:rsid w:val="00085590"/>
    <w:rsid w:val="00085954"/>
    <w:rsid w:val="000868C7"/>
    <w:rsid w:val="000871FE"/>
    <w:rsid w:val="00087313"/>
    <w:rsid w:val="0008758B"/>
    <w:rsid w:val="00087AE8"/>
    <w:rsid w:val="000901C0"/>
    <w:rsid w:val="0009032E"/>
    <w:rsid w:val="00090678"/>
    <w:rsid w:val="00092A19"/>
    <w:rsid w:val="000932E8"/>
    <w:rsid w:val="000944FF"/>
    <w:rsid w:val="00095124"/>
    <w:rsid w:val="00095140"/>
    <w:rsid w:val="00096AE6"/>
    <w:rsid w:val="0009784A"/>
    <w:rsid w:val="00097ECC"/>
    <w:rsid w:val="000A069A"/>
    <w:rsid w:val="000A15C7"/>
    <w:rsid w:val="000A1695"/>
    <w:rsid w:val="000A4528"/>
    <w:rsid w:val="000A4CCE"/>
    <w:rsid w:val="000A5C54"/>
    <w:rsid w:val="000A65C3"/>
    <w:rsid w:val="000A66E6"/>
    <w:rsid w:val="000A6997"/>
    <w:rsid w:val="000A6E73"/>
    <w:rsid w:val="000A7695"/>
    <w:rsid w:val="000A76AD"/>
    <w:rsid w:val="000B0E1E"/>
    <w:rsid w:val="000B0FFC"/>
    <w:rsid w:val="000B118A"/>
    <w:rsid w:val="000B14D7"/>
    <w:rsid w:val="000B173E"/>
    <w:rsid w:val="000B2308"/>
    <w:rsid w:val="000B245A"/>
    <w:rsid w:val="000B2854"/>
    <w:rsid w:val="000B2A56"/>
    <w:rsid w:val="000B2ACA"/>
    <w:rsid w:val="000B3669"/>
    <w:rsid w:val="000B4722"/>
    <w:rsid w:val="000B5568"/>
    <w:rsid w:val="000B59A8"/>
    <w:rsid w:val="000B5B7E"/>
    <w:rsid w:val="000B65B2"/>
    <w:rsid w:val="000B6D86"/>
    <w:rsid w:val="000B7375"/>
    <w:rsid w:val="000B78ED"/>
    <w:rsid w:val="000B7E1F"/>
    <w:rsid w:val="000C0471"/>
    <w:rsid w:val="000C08B0"/>
    <w:rsid w:val="000C1FEA"/>
    <w:rsid w:val="000C2726"/>
    <w:rsid w:val="000C3AC2"/>
    <w:rsid w:val="000C44B4"/>
    <w:rsid w:val="000C4681"/>
    <w:rsid w:val="000C5159"/>
    <w:rsid w:val="000C5A0A"/>
    <w:rsid w:val="000C651F"/>
    <w:rsid w:val="000C7703"/>
    <w:rsid w:val="000C7763"/>
    <w:rsid w:val="000C7A1C"/>
    <w:rsid w:val="000D01A3"/>
    <w:rsid w:val="000D1A27"/>
    <w:rsid w:val="000D2B1F"/>
    <w:rsid w:val="000D2DDA"/>
    <w:rsid w:val="000D3CDB"/>
    <w:rsid w:val="000D4362"/>
    <w:rsid w:val="000D4606"/>
    <w:rsid w:val="000D4716"/>
    <w:rsid w:val="000D589A"/>
    <w:rsid w:val="000D5AE4"/>
    <w:rsid w:val="000D5F96"/>
    <w:rsid w:val="000D6CBC"/>
    <w:rsid w:val="000D7909"/>
    <w:rsid w:val="000D7B1B"/>
    <w:rsid w:val="000D7B5E"/>
    <w:rsid w:val="000E1B3A"/>
    <w:rsid w:val="000E1E2C"/>
    <w:rsid w:val="000E2026"/>
    <w:rsid w:val="000E2C79"/>
    <w:rsid w:val="000E3219"/>
    <w:rsid w:val="000E33A7"/>
    <w:rsid w:val="000E3441"/>
    <w:rsid w:val="000E3972"/>
    <w:rsid w:val="000E3E92"/>
    <w:rsid w:val="000E46E1"/>
    <w:rsid w:val="000E4CA0"/>
    <w:rsid w:val="000E5227"/>
    <w:rsid w:val="000E5430"/>
    <w:rsid w:val="000E59AA"/>
    <w:rsid w:val="000E6415"/>
    <w:rsid w:val="000E731D"/>
    <w:rsid w:val="000E748F"/>
    <w:rsid w:val="000E7B00"/>
    <w:rsid w:val="000E7F43"/>
    <w:rsid w:val="000F03A1"/>
    <w:rsid w:val="000F0FF2"/>
    <w:rsid w:val="000F133E"/>
    <w:rsid w:val="000F1794"/>
    <w:rsid w:val="000F2BD5"/>
    <w:rsid w:val="000F3E8A"/>
    <w:rsid w:val="000F4183"/>
    <w:rsid w:val="000F4347"/>
    <w:rsid w:val="000F4B35"/>
    <w:rsid w:val="000F5376"/>
    <w:rsid w:val="000F56CE"/>
    <w:rsid w:val="000F6106"/>
    <w:rsid w:val="000F6857"/>
    <w:rsid w:val="000F6A00"/>
    <w:rsid w:val="000F6B87"/>
    <w:rsid w:val="000F6E8F"/>
    <w:rsid w:val="000F712C"/>
    <w:rsid w:val="000F7644"/>
    <w:rsid w:val="00100D51"/>
    <w:rsid w:val="00100E65"/>
    <w:rsid w:val="00101D9B"/>
    <w:rsid w:val="00102274"/>
    <w:rsid w:val="00102353"/>
    <w:rsid w:val="0010246E"/>
    <w:rsid w:val="00102D16"/>
    <w:rsid w:val="00102E9E"/>
    <w:rsid w:val="0010335D"/>
    <w:rsid w:val="00103587"/>
    <w:rsid w:val="00104D94"/>
    <w:rsid w:val="0010582A"/>
    <w:rsid w:val="001066AF"/>
    <w:rsid w:val="00106B48"/>
    <w:rsid w:val="00106E39"/>
    <w:rsid w:val="00107681"/>
    <w:rsid w:val="0010790D"/>
    <w:rsid w:val="0011106A"/>
    <w:rsid w:val="00111B8C"/>
    <w:rsid w:val="001139E8"/>
    <w:rsid w:val="0011415A"/>
    <w:rsid w:val="0011417A"/>
    <w:rsid w:val="00114B4F"/>
    <w:rsid w:val="001151E7"/>
    <w:rsid w:val="00116CBC"/>
    <w:rsid w:val="00117EFC"/>
    <w:rsid w:val="00117F76"/>
    <w:rsid w:val="0012031D"/>
    <w:rsid w:val="001204E0"/>
    <w:rsid w:val="00121981"/>
    <w:rsid w:val="001221B0"/>
    <w:rsid w:val="001234AC"/>
    <w:rsid w:val="00123D7F"/>
    <w:rsid w:val="0012445D"/>
    <w:rsid w:val="001246B9"/>
    <w:rsid w:val="00125FB7"/>
    <w:rsid w:val="00125FEE"/>
    <w:rsid w:val="00126008"/>
    <w:rsid w:val="0012671C"/>
    <w:rsid w:val="0012675A"/>
    <w:rsid w:val="0013001C"/>
    <w:rsid w:val="00130259"/>
    <w:rsid w:val="00130BAE"/>
    <w:rsid w:val="00131410"/>
    <w:rsid w:val="00131414"/>
    <w:rsid w:val="00131457"/>
    <w:rsid w:val="001314EC"/>
    <w:rsid w:val="00131565"/>
    <w:rsid w:val="00131876"/>
    <w:rsid w:val="0013198C"/>
    <w:rsid w:val="00131A56"/>
    <w:rsid w:val="00132062"/>
    <w:rsid w:val="0013281C"/>
    <w:rsid w:val="00132B4A"/>
    <w:rsid w:val="00132E47"/>
    <w:rsid w:val="00133C46"/>
    <w:rsid w:val="00133F96"/>
    <w:rsid w:val="00135019"/>
    <w:rsid w:val="00136B1A"/>
    <w:rsid w:val="0013755E"/>
    <w:rsid w:val="00137A7B"/>
    <w:rsid w:val="00140CB2"/>
    <w:rsid w:val="00140D18"/>
    <w:rsid w:val="00141314"/>
    <w:rsid w:val="00141F55"/>
    <w:rsid w:val="00142E85"/>
    <w:rsid w:val="00143CF3"/>
    <w:rsid w:val="00143E86"/>
    <w:rsid w:val="001453D7"/>
    <w:rsid w:val="001458BC"/>
    <w:rsid w:val="001463BA"/>
    <w:rsid w:val="00146903"/>
    <w:rsid w:val="00146EA8"/>
    <w:rsid w:val="00147F36"/>
    <w:rsid w:val="00147FD1"/>
    <w:rsid w:val="0015001F"/>
    <w:rsid w:val="00150455"/>
    <w:rsid w:val="00150901"/>
    <w:rsid w:val="0015151A"/>
    <w:rsid w:val="001516BA"/>
    <w:rsid w:val="0015238A"/>
    <w:rsid w:val="00152F21"/>
    <w:rsid w:val="001533C3"/>
    <w:rsid w:val="001533D7"/>
    <w:rsid w:val="00154820"/>
    <w:rsid w:val="00154B3E"/>
    <w:rsid w:val="00155071"/>
    <w:rsid w:val="00155C27"/>
    <w:rsid w:val="0015675B"/>
    <w:rsid w:val="001604E7"/>
    <w:rsid w:val="00160B77"/>
    <w:rsid w:val="00160C23"/>
    <w:rsid w:val="00160D7A"/>
    <w:rsid w:val="001616E5"/>
    <w:rsid w:val="00161D63"/>
    <w:rsid w:val="00162546"/>
    <w:rsid w:val="00163096"/>
    <w:rsid w:val="00163F4A"/>
    <w:rsid w:val="0016473A"/>
    <w:rsid w:val="00164CA6"/>
    <w:rsid w:val="00164E6C"/>
    <w:rsid w:val="0016508B"/>
    <w:rsid w:val="0016537C"/>
    <w:rsid w:val="00165C52"/>
    <w:rsid w:val="00165DAD"/>
    <w:rsid w:val="001679DC"/>
    <w:rsid w:val="00170741"/>
    <w:rsid w:val="001708E1"/>
    <w:rsid w:val="00170AAE"/>
    <w:rsid w:val="00170C2D"/>
    <w:rsid w:val="001714F5"/>
    <w:rsid w:val="00171533"/>
    <w:rsid w:val="001726AB"/>
    <w:rsid w:val="001727B9"/>
    <w:rsid w:val="0017289F"/>
    <w:rsid w:val="0017290F"/>
    <w:rsid w:val="00173126"/>
    <w:rsid w:val="00173389"/>
    <w:rsid w:val="00174877"/>
    <w:rsid w:val="00174C1C"/>
    <w:rsid w:val="00174DCF"/>
    <w:rsid w:val="00176752"/>
    <w:rsid w:val="001767CF"/>
    <w:rsid w:val="00176ED0"/>
    <w:rsid w:val="0017743B"/>
    <w:rsid w:val="00177456"/>
    <w:rsid w:val="00177E33"/>
    <w:rsid w:val="00180298"/>
    <w:rsid w:val="001805AD"/>
    <w:rsid w:val="00180CCD"/>
    <w:rsid w:val="00181FF7"/>
    <w:rsid w:val="001834E9"/>
    <w:rsid w:val="001837C1"/>
    <w:rsid w:val="00183ABD"/>
    <w:rsid w:val="00183EF3"/>
    <w:rsid w:val="00184712"/>
    <w:rsid w:val="00184D50"/>
    <w:rsid w:val="00184F84"/>
    <w:rsid w:val="00185470"/>
    <w:rsid w:val="0018551E"/>
    <w:rsid w:val="0018577C"/>
    <w:rsid w:val="00185DFB"/>
    <w:rsid w:val="00187282"/>
    <w:rsid w:val="001872DB"/>
    <w:rsid w:val="00187515"/>
    <w:rsid w:val="00187946"/>
    <w:rsid w:val="00190F2A"/>
    <w:rsid w:val="00191421"/>
    <w:rsid w:val="0019182F"/>
    <w:rsid w:val="00192395"/>
    <w:rsid w:val="0019294C"/>
    <w:rsid w:val="00193878"/>
    <w:rsid w:val="00193B83"/>
    <w:rsid w:val="001947D3"/>
    <w:rsid w:val="00194D48"/>
    <w:rsid w:val="00194EF4"/>
    <w:rsid w:val="00195893"/>
    <w:rsid w:val="00195E81"/>
    <w:rsid w:val="00196474"/>
    <w:rsid w:val="00196579"/>
    <w:rsid w:val="00197157"/>
    <w:rsid w:val="00197212"/>
    <w:rsid w:val="00197CE0"/>
    <w:rsid w:val="00197E4C"/>
    <w:rsid w:val="001A0953"/>
    <w:rsid w:val="001A11F8"/>
    <w:rsid w:val="001A12A8"/>
    <w:rsid w:val="001A1B21"/>
    <w:rsid w:val="001A23EF"/>
    <w:rsid w:val="001A2A61"/>
    <w:rsid w:val="001A2FA3"/>
    <w:rsid w:val="001A3A03"/>
    <w:rsid w:val="001A473A"/>
    <w:rsid w:val="001A4C91"/>
    <w:rsid w:val="001A4D90"/>
    <w:rsid w:val="001A4E20"/>
    <w:rsid w:val="001A5D5A"/>
    <w:rsid w:val="001A63E1"/>
    <w:rsid w:val="001A6704"/>
    <w:rsid w:val="001A6A7D"/>
    <w:rsid w:val="001A6E95"/>
    <w:rsid w:val="001A71BC"/>
    <w:rsid w:val="001A78FD"/>
    <w:rsid w:val="001B19BD"/>
    <w:rsid w:val="001B217C"/>
    <w:rsid w:val="001B288C"/>
    <w:rsid w:val="001B2998"/>
    <w:rsid w:val="001B2D9C"/>
    <w:rsid w:val="001B3B40"/>
    <w:rsid w:val="001B4184"/>
    <w:rsid w:val="001B48A1"/>
    <w:rsid w:val="001B50BB"/>
    <w:rsid w:val="001B6A86"/>
    <w:rsid w:val="001B6BC4"/>
    <w:rsid w:val="001B72FA"/>
    <w:rsid w:val="001B751D"/>
    <w:rsid w:val="001B7749"/>
    <w:rsid w:val="001C0999"/>
    <w:rsid w:val="001C1767"/>
    <w:rsid w:val="001C1864"/>
    <w:rsid w:val="001C1CFD"/>
    <w:rsid w:val="001C209E"/>
    <w:rsid w:val="001C2C42"/>
    <w:rsid w:val="001C400C"/>
    <w:rsid w:val="001C4CBB"/>
    <w:rsid w:val="001C4F1E"/>
    <w:rsid w:val="001C5317"/>
    <w:rsid w:val="001C54AF"/>
    <w:rsid w:val="001C6387"/>
    <w:rsid w:val="001C6822"/>
    <w:rsid w:val="001C71CE"/>
    <w:rsid w:val="001C7B67"/>
    <w:rsid w:val="001C7C3C"/>
    <w:rsid w:val="001D02E9"/>
    <w:rsid w:val="001D060C"/>
    <w:rsid w:val="001D0ADB"/>
    <w:rsid w:val="001D1C12"/>
    <w:rsid w:val="001D2115"/>
    <w:rsid w:val="001D24D3"/>
    <w:rsid w:val="001D2B4B"/>
    <w:rsid w:val="001D2BE8"/>
    <w:rsid w:val="001D3081"/>
    <w:rsid w:val="001D3692"/>
    <w:rsid w:val="001D4709"/>
    <w:rsid w:val="001D4D02"/>
    <w:rsid w:val="001D4F72"/>
    <w:rsid w:val="001D53A7"/>
    <w:rsid w:val="001D53B2"/>
    <w:rsid w:val="001D5867"/>
    <w:rsid w:val="001D5A75"/>
    <w:rsid w:val="001D5BF5"/>
    <w:rsid w:val="001D6738"/>
    <w:rsid w:val="001D71DB"/>
    <w:rsid w:val="001D73E4"/>
    <w:rsid w:val="001D7482"/>
    <w:rsid w:val="001D7B80"/>
    <w:rsid w:val="001D7F74"/>
    <w:rsid w:val="001E0E77"/>
    <w:rsid w:val="001E0F5B"/>
    <w:rsid w:val="001E17C7"/>
    <w:rsid w:val="001E1F04"/>
    <w:rsid w:val="001E27F5"/>
    <w:rsid w:val="001E46F0"/>
    <w:rsid w:val="001E4A97"/>
    <w:rsid w:val="001E4B8D"/>
    <w:rsid w:val="001E57D9"/>
    <w:rsid w:val="001E5BCA"/>
    <w:rsid w:val="001E5D8A"/>
    <w:rsid w:val="001E6071"/>
    <w:rsid w:val="001E6629"/>
    <w:rsid w:val="001E7191"/>
    <w:rsid w:val="001E74D0"/>
    <w:rsid w:val="001E75A0"/>
    <w:rsid w:val="001E79BD"/>
    <w:rsid w:val="001F1467"/>
    <w:rsid w:val="001F433D"/>
    <w:rsid w:val="001F51BE"/>
    <w:rsid w:val="001F5274"/>
    <w:rsid w:val="001F5396"/>
    <w:rsid w:val="001F5ADD"/>
    <w:rsid w:val="001F64F1"/>
    <w:rsid w:val="001F6FCA"/>
    <w:rsid w:val="001F71BB"/>
    <w:rsid w:val="001F72AD"/>
    <w:rsid w:val="001F73CD"/>
    <w:rsid w:val="002004E9"/>
    <w:rsid w:val="00200609"/>
    <w:rsid w:val="002008A2"/>
    <w:rsid w:val="00201825"/>
    <w:rsid w:val="00201843"/>
    <w:rsid w:val="00201ACD"/>
    <w:rsid w:val="00202F95"/>
    <w:rsid w:val="002036B7"/>
    <w:rsid w:val="0020404A"/>
    <w:rsid w:val="0020417A"/>
    <w:rsid w:val="002043A8"/>
    <w:rsid w:val="002049CF"/>
    <w:rsid w:val="00204E3C"/>
    <w:rsid w:val="002054DA"/>
    <w:rsid w:val="0020592E"/>
    <w:rsid w:val="002068CA"/>
    <w:rsid w:val="00206F0E"/>
    <w:rsid w:val="00207377"/>
    <w:rsid w:val="0020792C"/>
    <w:rsid w:val="00207DA8"/>
    <w:rsid w:val="00211511"/>
    <w:rsid w:val="0021187D"/>
    <w:rsid w:val="00211C8A"/>
    <w:rsid w:val="0021241B"/>
    <w:rsid w:val="002128D2"/>
    <w:rsid w:val="0021356B"/>
    <w:rsid w:val="00213970"/>
    <w:rsid w:val="00213EDC"/>
    <w:rsid w:val="00214C51"/>
    <w:rsid w:val="00214D6D"/>
    <w:rsid w:val="0021539B"/>
    <w:rsid w:val="00215BD3"/>
    <w:rsid w:val="00216E89"/>
    <w:rsid w:val="00217203"/>
    <w:rsid w:val="00217961"/>
    <w:rsid w:val="00217EA4"/>
    <w:rsid w:val="0022009C"/>
    <w:rsid w:val="00220823"/>
    <w:rsid w:val="00220846"/>
    <w:rsid w:val="0022109A"/>
    <w:rsid w:val="00221BDB"/>
    <w:rsid w:val="00221CC5"/>
    <w:rsid w:val="00221D12"/>
    <w:rsid w:val="00221E56"/>
    <w:rsid w:val="002233C5"/>
    <w:rsid w:val="002235AA"/>
    <w:rsid w:val="002239D8"/>
    <w:rsid w:val="00223C34"/>
    <w:rsid w:val="00225B18"/>
    <w:rsid w:val="00225E11"/>
    <w:rsid w:val="00226C49"/>
    <w:rsid w:val="00227666"/>
    <w:rsid w:val="002306C3"/>
    <w:rsid w:val="00230AA8"/>
    <w:rsid w:val="00230D08"/>
    <w:rsid w:val="00230E33"/>
    <w:rsid w:val="00232108"/>
    <w:rsid w:val="00232477"/>
    <w:rsid w:val="00232575"/>
    <w:rsid w:val="00232A4F"/>
    <w:rsid w:val="00233938"/>
    <w:rsid w:val="00233E5F"/>
    <w:rsid w:val="00233ED1"/>
    <w:rsid w:val="00234478"/>
    <w:rsid w:val="00234ADD"/>
    <w:rsid w:val="00234CBE"/>
    <w:rsid w:val="002350B9"/>
    <w:rsid w:val="00235607"/>
    <w:rsid w:val="0023612D"/>
    <w:rsid w:val="00236736"/>
    <w:rsid w:val="002368D1"/>
    <w:rsid w:val="00237F84"/>
    <w:rsid w:val="00237FFD"/>
    <w:rsid w:val="0024038E"/>
    <w:rsid w:val="00241713"/>
    <w:rsid w:val="00241820"/>
    <w:rsid w:val="00243440"/>
    <w:rsid w:val="00243809"/>
    <w:rsid w:val="00243B84"/>
    <w:rsid w:val="0024465B"/>
    <w:rsid w:val="00245AD7"/>
    <w:rsid w:val="00245BF6"/>
    <w:rsid w:val="00245CDE"/>
    <w:rsid w:val="0024626C"/>
    <w:rsid w:val="00246821"/>
    <w:rsid w:val="00247507"/>
    <w:rsid w:val="00250873"/>
    <w:rsid w:val="00250A5F"/>
    <w:rsid w:val="00251305"/>
    <w:rsid w:val="0025151D"/>
    <w:rsid w:val="00251778"/>
    <w:rsid w:val="00252A65"/>
    <w:rsid w:val="00252B52"/>
    <w:rsid w:val="002535FB"/>
    <w:rsid w:val="00253C97"/>
    <w:rsid w:val="00254BB0"/>
    <w:rsid w:val="002559F8"/>
    <w:rsid w:val="00255C61"/>
    <w:rsid w:val="00255EEA"/>
    <w:rsid w:val="0025606D"/>
    <w:rsid w:val="00256C24"/>
    <w:rsid w:val="002570BC"/>
    <w:rsid w:val="002571E3"/>
    <w:rsid w:val="0025729E"/>
    <w:rsid w:val="00257627"/>
    <w:rsid w:val="00257A62"/>
    <w:rsid w:val="00257B27"/>
    <w:rsid w:val="00257F4C"/>
    <w:rsid w:val="00257F80"/>
    <w:rsid w:val="00260C69"/>
    <w:rsid w:val="00261466"/>
    <w:rsid w:val="002617A4"/>
    <w:rsid w:val="00261A99"/>
    <w:rsid w:val="00261B9C"/>
    <w:rsid w:val="00261C07"/>
    <w:rsid w:val="00261D77"/>
    <w:rsid w:val="002623DE"/>
    <w:rsid w:val="0026262D"/>
    <w:rsid w:val="002631A6"/>
    <w:rsid w:val="002647EA"/>
    <w:rsid w:val="00264817"/>
    <w:rsid w:val="0026483E"/>
    <w:rsid w:val="00264FAB"/>
    <w:rsid w:val="00265188"/>
    <w:rsid w:val="00265D2F"/>
    <w:rsid w:val="00265DA9"/>
    <w:rsid w:val="0026655E"/>
    <w:rsid w:val="00266F1C"/>
    <w:rsid w:val="00267185"/>
    <w:rsid w:val="0026753A"/>
    <w:rsid w:val="002679FB"/>
    <w:rsid w:val="002711B4"/>
    <w:rsid w:val="00271861"/>
    <w:rsid w:val="00271912"/>
    <w:rsid w:val="00271C6C"/>
    <w:rsid w:val="002724F9"/>
    <w:rsid w:val="00273646"/>
    <w:rsid w:val="002739AB"/>
    <w:rsid w:val="0027610D"/>
    <w:rsid w:val="002763CF"/>
    <w:rsid w:val="00280271"/>
    <w:rsid w:val="00281029"/>
    <w:rsid w:val="002818C9"/>
    <w:rsid w:val="00281FB3"/>
    <w:rsid w:val="002832E3"/>
    <w:rsid w:val="00285876"/>
    <w:rsid w:val="00285ED9"/>
    <w:rsid w:val="002860E5"/>
    <w:rsid w:val="00286139"/>
    <w:rsid w:val="0028655D"/>
    <w:rsid w:val="00286C5C"/>
    <w:rsid w:val="00286D54"/>
    <w:rsid w:val="00287225"/>
    <w:rsid w:val="002876C0"/>
    <w:rsid w:val="002902CE"/>
    <w:rsid w:val="00291AC6"/>
    <w:rsid w:val="00292188"/>
    <w:rsid w:val="0029260E"/>
    <w:rsid w:val="002928BA"/>
    <w:rsid w:val="002947D7"/>
    <w:rsid w:val="00295F01"/>
    <w:rsid w:val="00295FE1"/>
    <w:rsid w:val="00295FFD"/>
    <w:rsid w:val="002965D3"/>
    <w:rsid w:val="00297981"/>
    <w:rsid w:val="002A1696"/>
    <w:rsid w:val="002A1D94"/>
    <w:rsid w:val="002A244E"/>
    <w:rsid w:val="002A3213"/>
    <w:rsid w:val="002A36D9"/>
    <w:rsid w:val="002A39AB"/>
    <w:rsid w:val="002A430C"/>
    <w:rsid w:val="002A4D6F"/>
    <w:rsid w:val="002A5765"/>
    <w:rsid w:val="002A5AB0"/>
    <w:rsid w:val="002A615B"/>
    <w:rsid w:val="002A783A"/>
    <w:rsid w:val="002A7A8B"/>
    <w:rsid w:val="002B05CF"/>
    <w:rsid w:val="002B06B1"/>
    <w:rsid w:val="002B0B52"/>
    <w:rsid w:val="002B19B6"/>
    <w:rsid w:val="002B1AFE"/>
    <w:rsid w:val="002B236F"/>
    <w:rsid w:val="002B2521"/>
    <w:rsid w:val="002B28EF"/>
    <w:rsid w:val="002B2ACB"/>
    <w:rsid w:val="002B3671"/>
    <w:rsid w:val="002B39BC"/>
    <w:rsid w:val="002B39F6"/>
    <w:rsid w:val="002B48D1"/>
    <w:rsid w:val="002B4BF2"/>
    <w:rsid w:val="002B560C"/>
    <w:rsid w:val="002B5DC7"/>
    <w:rsid w:val="002B6956"/>
    <w:rsid w:val="002B6C8B"/>
    <w:rsid w:val="002B75F7"/>
    <w:rsid w:val="002B7639"/>
    <w:rsid w:val="002B78C5"/>
    <w:rsid w:val="002B7D79"/>
    <w:rsid w:val="002C122F"/>
    <w:rsid w:val="002C12F4"/>
    <w:rsid w:val="002C17BB"/>
    <w:rsid w:val="002C2039"/>
    <w:rsid w:val="002C2098"/>
    <w:rsid w:val="002C2184"/>
    <w:rsid w:val="002C2C27"/>
    <w:rsid w:val="002C2E8E"/>
    <w:rsid w:val="002C3369"/>
    <w:rsid w:val="002C3608"/>
    <w:rsid w:val="002C3807"/>
    <w:rsid w:val="002C41E5"/>
    <w:rsid w:val="002C4AE8"/>
    <w:rsid w:val="002C50B6"/>
    <w:rsid w:val="002C56A8"/>
    <w:rsid w:val="002C7F46"/>
    <w:rsid w:val="002C7FD6"/>
    <w:rsid w:val="002D02CD"/>
    <w:rsid w:val="002D098C"/>
    <w:rsid w:val="002D22E8"/>
    <w:rsid w:val="002D27A2"/>
    <w:rsid w:val="002D3A89"/>
    <w:rsid w:val="002D3D47"/>
    <w:rsid w:val="002D48EB"/>
    <w:rsid w:val="002D506F"/>
    <w:rsid w:val="002D5CF9"/>
    <w:rsid w:val="002D5F1C"/>
    <w:rsid w:val="002D63B1"/>
    <w:rsid w:val="002D68E3"/>
    <w:rsid w:val="002D7DD9"/>
    <w:rsid w:val="002E0222"/>
    <w:rsid w:val="002E08BD"/>
    <w:rsid w:val="002E0CE2"/>
    <w:rsid w:val="002E1369"/>
    <w:rsid w:val="002E17ED"/>
    <w:rsid w:val="002E1C06"/>
    <w:rsid w:val="002E2E7C"/>
    <w:rsid w:val="002E39ED"/>
    <w:rsid w:val="002E3E6F"/>
    <w:rsid w:val="002E415A"/>
    <w:rsid w:val="002E440B"/>
    <w:rsid w:val="002E4587"/>
    <w:rsid w:val="002E4982"/>
    <w:rsid w:val="002E56C9"/>
    <w:rsid w:val="002E5C34"/>
    <w:rsid w:val="002E5F5A"/>
    <w:rsid w:val="002E61EF"/>
    <w:rsid w:val="002E64CA"/>
    <w:rsid w:val="002E6D6B"/>
    <w:rsid w:val="002E7709"/>
    <w:rsid w:val="002E7959"/>
    <w:rsid w:val="002E7B1E"/>
    <w:rsid w:val="002F0788"/>
    <w:rsid w:val="002F1032"/>
    <w:rsid w:val="002F1FD5"/>
    <w:rsid w:val="002F2079"/>
    <w:rsid w:val="002F23E0"/>
    <w:rsid w:val="002F23E1"/>
    <w:rsid w:val="002F27B3"/>
    <w:rsid w:val="002F2B4D"/>
    <w:rsid w:val="002F37D4"/>
    <w:rsid w:val="002F3958"/>
    <w:rsid w:val="002F4C34"/>
    <w:rsid w:val="002F5173"/>
    <w:rsid w:val="002F63E3"/>
    <w:rsid w:val="002F6964"/>
    <w:rsid w:val="002F7A86"/>
    <w:rsid w:val="002F7D20"/>
    <w:rsid w:val="003003F9"/>
    <w:rsid w:val="00300DCC"/>
    <w:rsid w:val="0030121A"/>
    <w:rsid w:val="00301B95"/>
    <w:rsid w:val="003035AD"/>
    <w:rsid w:val="00303BDF"/>
    <w:rsid w:val="0030449F"/>
    <w:rsid w:val="00304BF5"/>
    <w:rsid w:val="00305125"/>
    <w:rsid w:val="003054C7"/>
    <w:rsid w:val="00307DF2"/>
    <w:rsid w:val="00307EFA"/>
    <w:rsid w:val="0031085F"/>
    <w:rsid w:val="00310B53"/>
    <w:rsid w:val="00311906"/>
    <w:rsid w:val="00312052"/>
    <w:rsid w:val="003128D9"/>
    <w:rsid w:val="00312C17"/>
    <w:rsid w:val="00314237"/>
    <w:rsid w:val="00314293"/>
    <w:rsid w:val="00314BC8"/>
    <w:rsid w:val="00315930"/>
    <w:rsid w:val="00315D8F"/>
    <w:rsid w:val="00316466"/>
    <w:rsid w:val="003166F4"/>
    <w:rsid w:val="00317018"/>
    <w:rsid w:val="00317125"/>
    <w:rsid w:val="003177C5"/>
    <w:rsid w:val="00317D10"/>
    <w:rsid w:val="00317F94"/>
    <w:rsid w:val="00320849"/>
    <w:rsid w:val="003208BE"/>
    <w:rsid w:val="003213E0"/>
    <w:rsid w:val="00321700"/>
    <w:rsid w:val="0032179E"/>
    <w:rsid w:val="00321928"/>
    <w:rsid w:val="00321CCA"/>
    <w:rsid w:val="0032230D"/>
    <w:rsid w:val="00322574"/>
    <w:rsid w:val="0032321A"/>
    <w:rsid w:val="003235E3"/>
    <w:rsid w:val="00324733"/>
    <w:rsid w:val="00324A01"/>
    <w:rsid w:val="00325332"/>
    <w:rsid w:val="00325459"/>
    <w:rsid w:val="00325CBB"/>
    <w:rsid w:val="003265E3"/>
    <w:rsid w:val="00326C14"/>
    <w:rsid w:val="00327403"/>
    <w:rsid w:val="00327536"/>
    <w:rsid w:val="003279DB"/>
    <w:rsid w:val="00327C7F"/>
    <w:rsid w:val="0033090A"/>
    <w:rsid w:val="00331AE5"/>
    <w:rsid w:val="003320D4"/>
    <w:rsid w:val="003321F5"/>
    <w:rsid w:val="0033220C"/>
    <w:rsid w:val="0033362C"/>
    <w:rsid w:val="00333CD5"/>
    <w:rsid w:val="00335567"/>
    <w:rsid w:val="003358EE"/>
    <w:rsid w:val="003360C1"/>
    <w:rsid w:val="003364B5"/>
    <w:rsid w:val="003366DC"/>
    <w:rsid w:val="0034089A"/>
    <w:rsid w:val="00341D49"/>
    <w:rsid w:val="00341E99"/>
    <w:rsid w:val="003422C6"/>
    <w:rsid w:val="00342582"/>
    <w:rsid w:val="00342ECA"/>
    <w:rsid w:val="00343B68"/>
    <w:rsid w:val="0034477F"/>
    <w:rsid w:val="00344A6F"/>
    <w:rsid w:val="00344D10"/>
    <w:rsid w:val="00345AAD"/>
    <w:rsid w:val="00347E4E"/>
    <w:rsid w:val="0035003F"/>
    <w:rsid w:val="00350884"/>
    <w:rsid w:val="00350C51"/>
    <w:rsid w:val="00350D5F"/>
    <w:rsid w:val="00350EEA"/>
    <w:rsid w:val="00351018"/>
    <w:rsid w:val="003512FB"/>
    <w:rsid w:val="00351B33"/>
    <w:rsid w:val="00352BE5"/>
    <w:rsid w:val="00353490"/>
    <w:rsid w:val="00353677"/>
    <w:rsid w:val="00353685"/>
    <w:rsid w:val="00353A50"/>
    <w:rsid w:val="00354539"/>
    <w:rsid w:val="00354E73"/>
    <w:rsid w:val="003555FB"/>
    <w:rsid w:val="003560AE"/>
    <w:rsid w:val="003560C6"/>
    <w:rsid w:val="0035655B"/>
    <w:rsid w:val="00356F09"/>
    <w:rsid w:val="00357EEE"/>
    <w:rsid w:val="003604D4"/>
    <w:rsid w:val="00360687"/>
    <w:rsid w:val="003606DA"/>
    <w:rsid w:val="003610A4"/>
    <w:rsid w:val="0036162B"/>
    <w:rsid w:val="00361782"/>
    <w:rsid w:val="00361DFB"/>
    <w:rsid w:val="003632DB"/>
    <w:rsid w:val="00363AE3"/>
    <w:rsid w:val="003641AB"/>
    <w:rsid w:val="003641DE"/>
    <w:rsid w:val="00365BBD"/>
    <w:rsid w:val="00365FF4"/>
    <w:rsid w:val="003667D6"/>
    <w:rsid w:val="00366C8D"/>
    <w:rsid w:val="003670C5"/>
    <w:rsid w:val="00370181"/>
    <w:rsid w:val="003715F5"/>
    <w:rsid w:val="003727A6"/>
    <w:rsid w:val="00372D34"/>
    <w:rsid w:val="0037361F"/>
    <w:rsid w:val="0037401E"/>
    <w:rsid w:val="0037429D"/>
    <w:rsid w:val="003742DC"/>
    <w:rsid w:val="003744BD"/>
    <w:rsid w:val="0037450E"/>
    <w:rsid w:val="00374987"/>
    <w:rsid w:val="00374A00"/>
    <w:rsid w:val="00374A81"/>
    <w:rsid w:val="00374B1A"/>
    <w:rsid w:val="00375757"/>
    <w:rsid w:val="00375770"/>
    <w:rsid w:val="003765DF"/>
    <w:rsid w:val="0037766C"/>
    <w:rsid w:val="00377A59"/>
    <w:rsid w:val="00377B32"/>
    <w:rsid w:val="003801D1"/>
    <w:rsid w:val="00380AFE"/>
    <w:rsid w:val="00380FCA"/>
    <w:rsid w:val="003813BD"/>
    <w:rsid w:val="003816EE"/>
    <w:rsid w:val="00383944"/>
    <w:rsid w:val="00383BB6"/>
    <w:rsid w:val="00383D2A"/>
    <w:rsid w:val="0038405A"/>
    <w:rsid w:val="003848C3"/>
    <w:rsid w:val="003854F9"/>
    <w:rsid w:val="00385540"/>
    <w:rsid w:val="003857F0"/>
    <w:rsid w:val="00385C09"/>
    <w:rsid w:val="003864ED"/>
    <w:rsid w:val="00386CDA"/>
    <w:rsid w:val="00386CDC"/>
    <w:rsid w:val="0038760F"/>
    <w:rsid w:val="003876CA"/>
    <w:rsid w:val="003877FA"/>
    <w:rsid w:val="0039001C"/>
    <w:rsid w:val="0039064B"/>
    <w:rsid w:val="003917B1"/>
    <w:rsid w:val="00391BCF"/>
    <w:rsid w:val="00391F31"/>
    <w:rsid w:val="00392D54"/>
    <w:rsid w:val="00392D97"/>
    <w:rsid w:val="00392F37"/>
    <w:rsid w:val="0039337A"/>
    <w:rsid w:val="00393522"/>
    <w:rsid w:val="00393697"/>
    <w:rsid w:val="00393856"/>
    <w:rsid w:val="00393C44"/>
    <w:rsid w:val="003940D1"/>
    <w:rsid w:val="003944DF"/>
    <w:rsid w:val="00396F07"/>
    <w:rsid w:val="003A01DE"/>
    <w:rsid w:val="003A03AA"/>
    <w:rsid w:val="003A07AF"/>
    <w:rsid w:val="003A0BCC"/>
    <w:rsid w:val="003A0EA0"/>
    <w:rsid w:val="003A171F"/>
    <w:rsid w:val="003A18FA"/>
    <w:rsid w:val="003A1C98"/>
    <w:rsid w:val="003A2315"/>
    <w:rsid w:val="003A294C"/>
    <w:rsid w:val="003A331B"/>
    <w:rsid w:val="003A3516"/>
    <w:rsid w:val="003A3F26"/>
    <w:rsid w:val="003A4A76"/>
    <w:rsid w:val="003A4B6B"/>
    <w:rsid w:val="003A4C4E"/>
    <w:rsid w:val="003A512E"/>
    <w:rsid w:val="003A5D8C"/>
    <w:rsid w:val="003A6A42"/>
    <w:rsid w:val="003A6C5C"/>
    <w:rsid w:val="003A7A25"/>
    <w:rsid w:val="003B049A"/>
    <w:rsid w:val="003B05A0"/>
    <w:rsid w:val="003B07AD"/>
    <w:rsid w:val="003B0C2F"/>
    <w:rsid w:val="003B1B43"/>
    <w:rsid w:val="003B1C5C"/>
    <w:rsid w:val="003B24FE"/>
    <w:rsid w:val="003B3106"/>
    <w:rsid w:val="003B322C"/>
    <w:rsid w:val="003B35EC"/>
    <w:rsid w:val="003B3852"/>
    <w:rsid w:val="003B38F9"/>
    <w:rsid w:val="003B3AC2"/>
    <w:rsid w:val="003B3F38"/>
    <w:rsid w:val="003B40AF"/>
    <w:rsid w:val="003B4329"/>
    <w:rsid w:val="003B44EB"/>
    <w:rsid w:val="003B4877"/>
    <w:rsid w:val="003B5622"/>
    <w:rsid w:val="003B5CA7"/>
    <w:rsid w:val="003B6C9B"/>
    <w:rsid w:val="003B6CF9"/>
    <w:rsid w:val="003B6EB3"/>
    <w:rsid w:val="003B7500"/>
    <w:rsid w:val="003B7C38"/>
    <w:rsid w:val="003B7C60"/>
    <w:rsid w:val="003C1A9B"/>
    <w:rsid w:val="003C1BA6"/>
    <w:rsid w:val="003C2226"/>
    <w:rsid w:val="003C258D"/>
    <w:rsid w:val="003C27B4"/>
    <w:rsid w:val="003C2A71"/>
    <w:rsid w:val="003C2A7C"/>
    <w:rsid w:val="003C2C66"/>
    <w:rsid w:val="003C2DB6"/>
    <w:rsid w:val="003C4758"/>
    <w:rsid w:val="003C4BA6"/>
    <w:rsid w:val="003C5198"/>
    <w:rsid w:val="003C5864"/>
    <w:rsid w:val="003C59C8"/>
    <w:rsid w:val="003C7459"/>
    <w:rsid w:val="003C7A42"/>
    <w:rsid w:val="003C7C98"/>
    <w:rsid w:val="003D054C"/>
    <w:rsid w:val="003D0B21"/>
    <w:rsid w:val="003D1073"/>
    <w:rsid w:val="003D1446"/>
    <w:rsid w:val="003D18F8"/>
    <w:rsid w:val="003D1EC1"/>
    <w:rsid w:val="003D257A"/>
    <w:rsid w:val="003D2911"/>
    <w:rsid w:val="003D3415"/>
    <w:rsid w:val="003D3FEA"/>
    <w:rsid w:val="003D4E97"/>
    <w:rsid w:val="003D5449"/>
    <w:rsid w:val="003D5A1A"/>
    <w:rsid w:val="003D5C15"/>
    <w:rsid w:val="003D6998"/>
    <w:rsid w:val="003D6ECF"/>
    <w:rsid w:val="003D7603"/>
    <w:rsid w:val="003D770B"/>
    <w:rsid w:val="003D7984"/>
    <w:rsid w:val="003E0A78"/>
    <w:rsid w:val="003E0B31"/>
    <w:rsid w:val="003E0B92"/>
    <w:rsid w:val="003E1283"/>
    <w:rsid w:val="003E15F7"/>
    <w:rsid w:val="003E1649"/>
    <w:rsid w:val="003E298C"/>
    <w:rsid w:val="003E3979"/>
    <w:rsid w:val="003E3F70"/>
    <w:rsid w:val="003E53AD"/>
    <w:rsid w:val="003E58F2"/>
    <w:rsid w:val="003E5DEE"/>
    <w:rsid w:val="003E5FD1"/>
    <w:rsid w:val="003E66E7"/>
    <w:rsid w:val="003F06E6"/>
    <w:rsid w:val="003F0E47"/>
    <w:rsid w:val="003F0FED"/>
    <w:rsid w:val="003F119C"/>
    <w:rsid w:val="003F155E"/>
    <w:rsid w:val="003F1ADE"/>
    <w:rsid w:val="003F1C43"/>
    <w:rsid w:val="003F213F"/>
    <w:rsid w:val="003F2AA9"/>
    <w:rsid w:val="003F2F40"/>
    <w:rsid w:val="003F35E3"/>
    <w:rsid w:val="003F39C1"/>
    <w:rsid w:val="003F3C1E"/>
    <w:rsid w:val="003F4095"/>
    <w:rsid w:val="003F4CB9"/>
    <w:rsid w:val="003F4DBF"/>
    <w:rsid w:val="003F504F"/>
    <w:rsid w:val="003F523D"/>
    <w:rsid w:val="003F60BF"/>
    <w:rsid w:val="003F6927"/>
    <w:rsid w:val="003F73A5"/>
    <w:rsid w:val="003F78A3"/>
    <w:rsid w:val="00400AAC"/>
    <w:rsid w:val="00400ABF"/>
    <w:rsid w:val="00401414"/>
    <w:rsid w:val="00401D46"/>
    <w:rsid w:val="00402370"/>
    <w:rsid w:val="00402426"/>
    <w:rsid w:val="0040294A"/>
    <w:rsid w:val="00402B2C"/>
    <w:rsid w:val="004035A4"/>
    <w:rsid w:val="00403BF0"/>
    <w:rsid w:val="00403C89"/>
    <w:rsid w:val="004040D3"/>
    <w:rsid w:val="004044FA"/>
    <w:rsid w:val="004045CD"/>
    <w:rsid w:val="0040497D"/>
    <w:rsid w:val="00404C55"/>
    <w:rsid w:val="00404D31"/>
    <w:rsid w:val="00404E89"/>
    <w:rsid w:val="00405B15"/>
    <w:rsid w:val="004063C9"/>
    <w:rsid w:val="00406B2A"/>
    <w:rsid w:val="00406C33"/>
    <w:rsid w:val="00406E0D"/>
    <w:rsid w:val="00407333"/>
    <w:rsid w:val="004079FE"/>
    <w:rsid w:val="0041035D"/>
    <w:rsid w:val="004103C2"/>
    <w:rsid w:val="004115E8"/>
    <w:rsid w:val="004115F8"/>
    <w:rsid w:val="00411A23"/>
    <w:rsid w:val="00411B7B"/>
    <w:rsid w:val="00412001"/>
    <w:rsid w:val="00412145"/>
    <w:rsid w:val="004135E1"/>
    <w:rsid w:val="00414244"/>
    <w:rsid w:val="00414690"/>
    <w:rsid w:val="00415213"/>
    <w:rsid w:val="0041566E"/>
    <w:rsid w:val="00415B26"/>
    <w:rsid w:val="00415BCD"/>
    <w:rsid w:val="00415C6E"/>
    <w:rsid w:val="0042004B"/>
    <w:rsid w:val="00420835"/>
    <w:rsid w:val="00420E25"/>
    <w:rsid w:val="00420FE9"/>
    <w:rsid w:val="00422CD1"/>
    <w:rsid w:val="004234A9"/>
    <w:rsid w:val="00423EFB"/>
    <w:rsid w:val="004241F0"/>
    <w:rsid w:val="004242FC"/>
    <w:rsid w:val="004244B9"/>
    <w:rsid w:val="00424E2E"/>
    <w:rsid w:val="00426280"/>
    <w:rsid w:val="004264BB"/>
    <w:rsid w:val="004271DB"/>
    <w:rsid w:val="0042723B"/>
    <w:rsid w:val="00427536"/>
    <w:rsid w:val="00427E66"/>
    <w:rsid w:val="0043015F"/>
    <w:rsid w:val="0043023C"/>
    <w:rsid w:val="00430DFD"/>
    <w:rsid w:val="00431755"/>
    <w:rsid w:val="00432085"/>
    <w:rsid w:val="0043237A"/>
    <w:rsid w:val="00432789"/>
    <w:rsid w:val="004327B3"/>
    <w:rsid w:val="00432E4E"/>
    <w:rsid w:val="00432EF7"/>
    <w:rsid w:val="00433E04"/>
    <w:rsid w:val="004340E4"/>
    <w:rsid w:val="00434824"/>
    <w:rsid w:val="00435DE5"/>
    <w:rsid w:val="00435EE5"/>
    <w:rsid w:val="00435FC0"/>
    <w:rsid w:val="004363B0"/>
    <w:rsid w:val="004363BE"/>
    <w:rsid w:val="00436DC9"/>
    <w:rsid w:val="0043776E"/>
    <w:rsid w:val="00437C00"/>
    <w:rsid w:val="004403E5"/>
    <w:rsid w:val="00440448"/>
    <w:rsid w:val="004407B8"/>
    <w:rsid w:val="00440FE4"/>
    <w:rsid w:val="00442C82"/>
    <w:rsid w:val="00443100"/>
    <w:rsid w:val="00443418"/>
    <w:rsid w:val="00443DED"/>
    <w:rsid w:val="0044529A"/>
    <w:rsid w:val="00445395"/>
    <w:rsid w:val="00445571"/>
    <w:rsid w:val="00445D2A"/>
    <w:rsid w:val="00446930"/>
    <w:rsid w:val="00446B03"/>
    <w:rsid w:val="00446DAC"/>
    <w:rsid w:val="00447122"/>
    <w:rsid w:val="004475C3"/>
    <w:rsid w:val="00447A80"/>
    <w:rsid w:val="00450040"/>
    <w:rsid w:val="00450244"/>
    <w:rsid w:val="00450BFD"/>
    <w:rsid w:val="00451541"/>
    <w:rsid w:val="004515BA"/>
    <w:rsid w:val="0045193A"/>
    <w:rsid w:val="00451CBA"/>
    <w:rsid w:val="00452A0E"/>
    <w:rsid w:val="0045394D"/>
    <w:rsid w:val="0045461C"/>
    <w:rsid w:val="0045467A"/>
    <w:rsid w:val="00454FA4"/>
    <w:rsid w:val="004558C8"/>
    <w:rsid w:val="0045635E"/>
    <w:rsid w:val="0045652E"/>
    <w:rsid w:val="00456856"/>
    <w:rsid w:val="00460DFB"/>
    <w:rsid w:val="00461B02"/>
    <w:rsid w:val="00462142"/>
    <w:rsid w:val="00462AFB"/>
    <w:rsid w:val="0046484E"/>
    <w:rsid w:val="0046569E"/>
    <w:rsid w:val="00466AFD"/>
    <w:rsid w:val="00470FF1"/>
    <w:rsid w:val="004719E9"/>
    <w:rsid w:val="00472090"/>
    <w:rsid w:val="004742C5"/>
    <w:rsid w:val="00474EE1"/>
    <w:rsid w:val="00475471"/>
    <w:rsid w:val="004763A8"/>
    <w:rsid w:val="00476D4C"/>
    <w:rsid w:val="00477104"/>
    <w:rsid w:val="004801F0"/>
    <w:rsid w:val="0048065E"/>
    <w:rsid w:val="00480745"/>
    <w:rsid w:val="00480C41"/>
    <w:rsid w:val="00480D8D"/>
    <w:rsid w:val="00480EBA"/>
    <w:rsid w:val="00480F0F"/>
    <w:rsid w:val="00481F16"/>
    <w:rsid w:val="00482B04"/>
    <w:rsid w:val="00483017"/>
    <w:rsid w:val="004834E3"/>
    <w:rsid w:val="004837F0"/>
    <w:rsid w:val="0048445E"/>
    <w:rsid w:val="00484B1D"/>
    <w:rsid w:val="00484B3D"/>
    <w:rsid w:val="00484B91"/>
    <w:rsid w:val="0048512F"/>
    <w:rsid w:val="00485784"/>
    <w:rsid w:val="00485ADC"/>
    <w:rsid w:val="004861E9"/>
    <w:rsid w:val="00487182"/>
    <w:rsid w:val="004873AC"/>
    <w:rsid w:val="004877CC"/>
    <w:rsid w:val="00487E4E"/>
    <w:rsid w:val="004905F4"/>
    <w:rsid w:val="004908C5"/>
    <w:rsid w:val="004908DD"/>
    <w:rsid w:val="00490AAA"/>
    <w:rsid w:val="00491EB9"/>
    <w:rsid w:val="00491F18"/>
    <w:rsid w:val="0049219E"/>
    <w:rsid w:val="00492289"/>
    <w:rsid w:val="004932F2"/>
    <w:rsid w:val="004939FA"/>
    <w:rsid w:val="00493B1A"/>
    <w:rsid w:val="00493BC4"/>
    <w:rsid w:val="00493BEE"/>
    <w:rsid w:val="00493DB3"/>
    <w:rsid w:val="00493E63"/>
    <w:rsid w:val="004946B6"/>
    <w:rsid w:val="00495583"/>
    <w:rsid w:val="0049563A"/>
    <w:rsid w:val="00495E5A"/>
    <w:rsid w:val="00496934"/>
    <w:rsid w:val="004970ED"/>
    <w:rsid w:val="00497237"/>
    <w:rsid w:val="00497B79"/>
    <w:rsid w:val="004A0892"/>
    <w:rsid w:val="004A1732"/>
    <w:rsid w:val="004A1B74"/>
    <w:rsid w:val="004A2171"/>
    <w:rsid w:val="004A22BD"/>
    <w:rsid w:val="004A2839"/>
    <w:rsid w:val="004A299A"/>
    <w:rsid w:val="004A2A0F"/>
    <w:rsid w:val="004A31B5"/>
    <w:rsid w:val="004A50D0"/>
    <w:rsid w:val="004A578D"/>
    <w:rsid w:val="004A5823"/>
    <w:rsid w:val="004A59FD"/>
    <w:rsid w:val="004A5EFC"/>
    <w:rsid w:val="004A7379"/>
    <w:rsid w:val="004A768D"/>
    <w:rsid w:val="004A7825"/>
    <w:rsid w:val="004A7F76"/>
    <w:rsid w:val="004B09F6"/>
    <w:rsid w:val="004B0F31"/>
    <w:rsid w:val="004B201D"/>
    <w:rsid w:val="004B2B4C"/>
    <w:rsid w:val="004B2EC0"/>
    <w:rsid w:val="004B353A"/>
    <w:rsid w:val="004B3580"/>
    <w:rsid w:val="004B3CC2"/>
    <w:rsid w:val="004B3E8F"/>
    <w:rsid w:val="004B4E23"/>
    <w:rsid w:val="004B4EB7"/>
    <w:rsid w:val="004B5055"/>
    <w:rsid w:val="004B5330"/>
    <w:rsid w:val="004B5810"/>
    <w:rsid w:val="004B5EC8"/>
    <w:rsid w:val="004B6E0B"/>
    <w:rsid w:val="004B709A"/>
    <w:rsid w:val="004B7117"/>
    <w:rsid w:val="004B71F3"/>
    <w:rsid w:val="004B788B"/>
    <w:rsid w:val="004B7C28"/>
    <w:rsid w:val="004B7F3C"/>
    <w:rsid w:val="004C0A71"/>
    <w:rsid w:val="004C15C0"/>
    <w:rsid w:val="004C1D7F"/>
    <w:rsid w:val="004C20A0"/>
    <w:rsid w:val="004C2223"/>
    <w:rsid w:val="004C332D"/>
    <w:rsid w:val="004C44AD"/>
    <w:rsid w:val="004C499F"/>
    <w:rsid w:val="004C4C87"/>
    <w:rsid w:val="004C51FD"/>
    <w:rsid w:val="004C56C0"/>
    <w:rsid w:val="004C5A9B"/>
    <w:rsid w:val="004C63AC"/>
    <w:rsid w:val="004C66B5"/>
    <w:rsid w:val="004C6BF8"/>
    <w:rsid w:val="004C76D7"/>
    <w:rsid w:val="004C7E39"/>
    <w:rsid w:val="004D080B"/>
    <w:rsid w:val="004D0878"/>
    <w:rsid w:val="004D1396"/>
    <w:rsid w:val="004D1715"/>
    <w:rsid w:val="004D1A2C"/>
    <w:rsid w:val="004D1ACC"/>
    <w:rsid w:val="004D2DD0"/>
    <w:rsid w:val="004D3245"/>
    <w:rsid w:val="004D3606"/>
    <w:rsid w:val="004D40AC"/>
    <w:rsid w:val="004D5555"/>
    <w:rsid w:val="004D5624"/>
    <w:rsid w:val="004D6281"/>
    <w:rsid w:val="004D6912"/>
    <w:rsid w:val="004D6B31"/>
    <w:rsid w:val="004D7266"/>
    <w:rsid w:val="004D72F6"/>
    <w:rsid w:val="004D7692"/>
    <w:rsid w:val="004E098F"/>
    <w:rsid w:val="004E0AAF"/>
    <w:rsid w:val="004E0BCC"/>
    <w:rsid w:val="004E13A6"/>
    <w:rsid w:val="004E1411"/>
    <w:rsid w:val="004E1781"/>
    <w:rsid w:val="004E2393"/>
    <w:rsid w:val="004E26DC"/>
    <w:rsid w:val="004E2C5A"/>
    <w:rsid w:val="004E317D"/>
    <w:rsid w:val="004E3DC4"/>
    <w:rsid w:val="004E4165"/>
    <w:rsid w:val="004E6CF0"/>
    <w:rsid w:val="004E73EE"/>
    <w:rsid w:val="004E7C39"/>
    <w:rsid w:val="004F002D"/>
    <w:rsid w:val="004F0840"/>
    <w:rsid w:val="004F097F"/>
    <w:rsid w:val="004F0E5E"/>
    <w:rsid w:val="004F108B"/>
    <w:rsid w:val="004F279A"/>
    <w:rsid w:val="004F2837"/>
    <w:rsid w:val="004F35CA"/>
    <w:rsid w:val="004F3B26"/>
    <w:rsid w:val="004F497E"/>
    <w:rsid w:val="004F524B"/>
    <w:rsid w:val="004F5FBC"/>
    <w:rsid w:val="004F6065"/>
    <w:rsid w:val="004F6314"/>
    <w:rsid w:val="004F6F21"/>
    <w:rsid w:val="004F7765"/>
    <w:rsid w:val="0050032E"/>
    <w:rsid w:val="00500EEC"/>
    <w:rsid w:val="005015C3"/>
    <w:rsid w:val="00501A84"/>
    <w:rsid w:val="00501BDE"/>
    <w:rsid w:val="00502B10"/>
    <w:rsid w:val="00502F67"/>
    <w:rsid w:val="00503888"/>
    <w:rsid w:val="005038E8"/>
    <w:rsid w:val="00504DB1"/>
    <w:rsid w:val="00505181"/>
    <w:rsid w:val="005052AF"/>
    <w:rsid w:val="00506847"/>
    <w:rsid w:val="0051051E"/>
    <w:rsid w:val="00510F43"/>
    <w:rsid w:val="00511894"/>
    <w:rsid w:val="00511F29"/>
    <w:rsid w:val="00512C3E"/>
    <w:rsid w:val="0051323B"/>
    <w:rsid w:val="005138A0"/>
    <w:rsid w:val="00513B0E"/>
    <w:rsid w:val="00513E31"/>
    <w:rsid w:val="00513FEA"/>
    <w:rsid w:val="005142BE"/>
    <w:rsid w:val="00515CA5"/>
    <w:rsid w:val="00515D9F"/>
    <w:rsid w:val="005160E3"/>
    <w:rsid w:val="00516646"/>
    <w:rsid w:val="005177C9"/>
    <w:rsid w:val="00517C80"/>
    <w:rsid w:val="005201ED"/>
    <w:rsid w:val="0052063B"/>
    <w:rsid w:val="005207EF"/>
    <w:rsid w:val="0052120D"/>
    <w:rsid w:val="00522A09"/>
    <w:rsid w:val="00523794"/>
    <w:rsid w:val="00523917"/>
    <w:rsid w:val="005256ED"/>
    <w:rsid w:val="005258C4"/>
    <w:rsid w:val="005258CD"/>
    <w:rsid w:val="00525D45"/>
    <w:rsid w:val="00526684"/>
    <w:rsid w:val="005300B1"/>
    <w:rsid w:val="005303A7"/>
    <w:rsid w:val="00531A71"/>
    <w:rsid w:val="00531A80"/>
    <w:rsid w:val="0053206D"/>
    <w:rsid w:val="005343EC"/>
    <w:rsid w:val="00534B0E"/>
    <w:rsid w:val="00536463"/>
    <w:rsid w:val="00536873"/>
    <w:rsid w:val="00536966"/>
    <w:rsid w:val="00537138"/>
    <w:rsid w:val="005373E0"/>
    <w:rsid w:val="00537993"/>
    <w:rsid w:val="00541344"/>
    <w:rsid w:val="00542BD8"/>
    <w:rsid w:val="00542FF3"/>
    <w:rsid w:val="00544825"/>
    <w:rsid w:val="00544C56"/>
    <w:rsid w:val="00545813"/>
    <w:rsid w:val="00545FD3"/>
    <w:rsid w:val="0054603A"/>
    <w:rsid w:val="005473AB"/>
    <w:rsid w:val="0054744E"/>
    <w:rsid w:val="0054763A"/>
    <w:rsid w:val="00547C58"/>
    <w:rsid w:val="005501D9"/>
    <w:rsid w:val="00551879"/>
    <w:rsid w:val="005519B5"/>
    <w:rsid w:val="005526C0"/>
    <w:rsid w:val="00553010"/>
    <w:rsid w:val="005535F1"/>
    <w:rsid w:val="00553BE4"/>
    <w:rsid w:val="005545CB"/>
    <w:rsid w:val="00554F9D"/>
    <w:rsid w:val="00555255"/>
    <w:rsid w:val="00555517"/>
    <w:rsid w:val="0055590A"/>
    <w:rsid w:val="00556765"/>
    <w:rsid w:val="00556C65"/>
    <w:rsid w:val="00556CE3"/>
    <w:rsid w:val="00556D92"/>
    <w:rsid w:val="00561A10"/>
    <w:rsid w:val="005624EA"/>
    <w:rsid w:val="00562569"/>
    <w:rsid w:val="00563CC9"/>
    <w:rsid w:val="0056434F"/>
    <w:rsid w:val="00564C8E"/>
    <w:rsid w:val="00566011"/>
    <w:rsid w:val="00566BE7"/>
    <w:rsid w:val="00566D0D"/>
    <w:rsid w:val="00567797"/>
    <w:rsid w:val="00567A71"/>
    <w:rsid w:val="005703C6"/>
    <w:rsid w:val="0057059D"/>
    <w:rsid w:val="005705DF"/>
    <w:rsid w:val="0057063B"/>
    <w:rsid w:val="00570D12"/>
    <w:rsid w:val="0057150C"/>
    <w:rsid w:val="00571DB4"/>
    <w:rsid w:val="005723C0"/>
    <w:rsid w:val="00572CA4"/>
    <w:rsid w:val="00573117"/>
    <w:rsid w:val="00574980"/>
    <w:rsid w:val="005752F9"/>
    <w:rsid w:val="00575DAA"/>
    <w:rsid w:val="00575F83"/>
    <w:rsid w:val="0057633C"/>
    <w:rsid w:val="00576600"/>
    <w:rsid w:val="0057678E"/>
    <w:rsid w:val="00577103"/>
    <w:rsid w:val="00577534"/>
    <w:rsid w:val="00581689"/>
    <w:rsid w:val="00581774"/>
    <w:rsid w:val="00581889"/>
    <w:rsid w:val="00581CB4"/>
    <w:rsid w:val="00582443"/>
    <w:rsid w:val="00582D6C"/>
    <w:rsid w:val="00583B73"/>
    <w:rsid w:val="00584CD5"/>
    <w:rsid w:val="005853C7"/>
    <w:rsid w:val="00585A56"/>
    <w:rsid w:val="00585DA1"/>
    <w:rsid w:val="0058623B"/>
    <w:rsid w:val="0058631D"/>
    <w:rsid w:val="005863AD"/>
    <w:rsid w:val="005864D9"/>
    <w:rsid w:val="00586DAE"/>
    <w:rsid w:val="005873DB"/>
    <w:rsid w:val="00591BAC"/>
    <w:rsid w:val="00591E89"/>
    <w:rsid w:val="0059316B"/>
    <w:rsid w:val="005933C1"/>
    <w:rsid w:val="00593C3E"/>
    <w:rsid w:val="00593E21"/>
    <w:rsid w:val="00594CEF"/>
    <w:rsid w:val="005957F6"/>
    <w:rsid w:val="00595D2F"/>
    <w:rsid w:val="00595D79"/>
    <w:rsid w:val="00596077"/>
    <w:rsid w:val="00596C1B"/>
    <w:rsid w:val="00596EFB"/>
    <w:rsid w:val="00596F3F"/>
    <w:rsid w:val="005A0068"/>
    <w:rsid w:val="005A01FF"/>
    <w:rsid w:val="005A1B85"/>
    <w:rsid w:val="005A1C01"/>
    <w:rsid w:val="005A2679"/>
    <w:rsid w:val="005A36E3"/>
    <w:rsid w:val="005A3729"/>
    <w:rsid w:val="005A3D47"/>
    <w:rsid w:val="005A4133"/>
    <w:rsid w:val="005A4298"/>
    <w:rsid w:val="005A42ED"/>
    <w:rsid w:val="005A4D8B"/>
    <w:rsid w:val="005A5AB1"/>
    <w:rsid w:val="005A5BB9"/>
    <w:rsid w:val="005A5C86"/>
    <w:rsid w:val="005A648D"/>
    <w:rsid w:val="005A71FA"/>
    <w:rsid w:val="005A766F"/>
    <w:rsid w:val="005A7780"/>
    <w:rsid w:val="005A77F7"/>
    <w:rsid w:val="005A796B"/>
    <w:rsid w:val="005B12F7"/>
    <w:rsid w:val="005B1A42"/>
    <w:rsid w:val="005B1C19"/>
    <w:rsid w:val="005B1F8F"/>
    <w:rsid w:val="005B28C6"/>
    <w:rsid w:val="005B3150"/>
    <w:rsid w:val="005B3166"/>
    <w:rsid w:val="005B31AE"/>
    <w:rsid w:val="005B3277"/>
    <w:rsid w:val="005B38F0"/>
    <w:rsid w:val="005B48AC"/>
    <w:rsid w:val="005B5417"/>
    <w:rsid w:val="005B545C"/>
    <w:rsid w:val="005B5718"/>
    <w:rsid w:val="005B596A"/>
    <w:rsid w:val="005B61D5"/>
    <w:rsid w:val="005B666F"/>
    <w:rsid w:val="005B73A1"/>
    <w:rsid w:val="005B747C"/>
    <w:rsid w:val="005B75CC"/>
    <w:rsid w:val="005C0399"/>
    <w:rsid w:val="005C26EC"/>
    <w:rsid w:val="005C39E5"/>
    <w:rsid w:val="005C3F95"/>
    <w:rsid w:val="005C467A"/>
    <w:rsid w:val="005C489D"/>
    <w:rsid w:val="005C4C3F"/>
    <w:rsid w:val="005C5DA1"/>
    <w:rsid w:val="005C6A71"/>
    <w:rsid w:val="005C6D39"/>
    <w:rsid w:val="005C6DFB"/>
    <w:rsid w:val="005C6E51"/>
    <w:rsid w:val="005C7D85"/>
    <w:rsid w:val="005D00F9"/>
    <w:rsid w:val="005D05E5"/>
    <w:rsid w:val="005D067A"/>
    <w:rsid w:val="005D0C14"/>
    <w:rsid w:val="005D0D7E"/>
    <w:rsid w:val="005D1642"/>
    <w:rsid w:val="005D1E2B"/>
    <w:rsid w:val="005D22F8"/>
    <w:rsid w:val="005D27E3"/>
    <w:rsid w:val="005D2C05"/>
    <w:rsid w:val="005D2D89"/>
    <w:rsid w:val="005D39DA"/>
    <w:rsid w:val="005D40B1"/>
    <w:rsid w:val="005D485C"/>
    <w:rsid w:val="005D49AC"/>
    <w:rsid w:val="005D4ACB"/>
    <w:rsid w:val="005D4DC1"/>
    <w:rsid w:val="005D4E6A"/>
    <w:rsid w:val="005D5093"/>
    <w:rsid w:val="005D50A5"/>
    <w:rsid w:val="005D5CBA"/>
    <w:rsid w:val="005D6548"/>
    <w:rsid w:val="005D675B"/>
    <w:rsid w:val="005D72C6"/>
    <w:rsid w:val="005D7C8E"/>
    <w:rsid w:val="005E0021"/>
    <w:rsid w:val="005E303B"/>
    <w:rsid w:val="005E360F"/>
    <w:rsid w:val="005E3C01"/>
    <w:rsid w:val="005E495A"/>
    <w:rsid w:val="005E5CE2"/>
    <w:rsid w:val="005E5FCC"/>
    <w:rsid w:val="005E6860"/>
    <w:rsid w:val="005E7342"/>
    <w:rsid w:val="005E7E91"/>
    <w:rsid w:val="005E7EFE"/>
    <w:rsid w:val="005F1483"/>
    <w:rsid w:val="005F1DB0"/>
    <w:rsid w:val="005F2C06"/>
    <w:rsid w:val="005F2C1B"/>
    <w:rsid w:val="005F2D3A"/>
    <w:rsid w:val="005F2FC7"/>
    <w:rsid w:val="005F32DD"/>
    <w:rsid w:val="005F35EB"/>
    <w:rsid w:val="005F469A"/>
    <w:rsid w:val="005F4811"/>
    <w:rsid w:val="005F49B3"/>
    <w:rsid w:val="005F4D44"/>
    <w:rsid w:val="005F55F0"/>
    <w:rsid w:val="005F696D"/>
    <w:rsid w:val="005F6FFB"/>
    <w:rsid w:val="005F7824"/>
    <w:rsid w:val="0060124B"/>
    <w:rsid w:val="00602198"/>
    <w:rsid w:val="006021EA"/>
    <w:rsid w:val="006033B5"/>
    <w:rsid w:val="00603B06"/>
    <w:rsid w:val="006047F1"/>
    <w:rsid w:val="00606219"/>
    <w:rsid w:val="006073DF"/>
    <w:rsid w:val="006101C7"/>
    <w:rsid w:val="00610DD8"/>
    <w:rsid w:val="0061115F"/>
    <w:rsid w:val="006118AE"/>
    <w:rsid w:val="006118B1"/>
    <w:rsid w:val="00611C58"/>
    <w:rsid w:val="0061244F"/>
    <w:rsid w:val="00612873"/>
    <w:rsid w:val="00612A85"/>
    <w:rsid w:val="0061430A"/>
    <w:rsid w:val="00614443"/>
    <w:rsid w:val="006148F4"/>
    <w:rsid w:val="0061495B"/>
    <w:rsid w:val="006159D1"/>
    <w:rsid w:val="00615B0E"/>
    <w:rsid w:val="006166F7"/>
    <w:rsid w:val="00616F4B"/>
    <w:rsid w:val="00617B18"/>
    <w:rsid w:val="0062031D"/>
    <w:rsid w:val="00620582"/>
    <w:rsid w:val="006209E4"/>
    <w:rsid w:val="00620CA5"/>
    <w:rsid w:val="00621103"/>
    <w:rsid w:val="00621433"/>
    <w:rsid w:val="0062168C"/>
    <w:rsid w:val="00621F30"/>
    <w:rsid w:val="00622D9B"/>
    <w:rsid w:val="00622E2A"/>
    <w:rsid w:val="0062536E"/>
    <w:rsid w:val="006254F5"/>
    <w:rsid w:val="00626491"/>
    <w:rsid w:val="00627B33"/>
    <w:rsid w:val="00630546"/>
    <w:rsid w:val="00630835"/>
    <w:rsid w:val="00631629"/>
    <w:rsid w:val="006334B5"/>
    <w:rsid w:val="00634179"/>
    <w:rsid w:val="00634281"/>
    <w:rsid w:val="00634A36"/>
    <w:rsid w:val="00636A24"/>
    <w:rsid w:val="00636A6A"/>
    <w:rsid w:val="00636B2E"/>
    <w:rsid w:val="00637967"/>
    <w:rsid w:val="00637AC5"/>
    <w:rsid w:val="00640089"/>
    <w:rsid w:val="006408AE"/>
    <w:rsid w:val="00640A87"/>
    <w:rsid w:val="006411E5"/>
    <w:rsid w:val="00641892"/>
    <w:rsid w:val="00641E08"/>
    <w:rsid w:val="00642375"/>
    <w:rsid w:val="00642B1E"/>
    <w:rsid w:val="006431D6"/>
    <w:rsid w:val="00643BB1"/>
    <w:rsid w:val="00644083"/>
    <w:rsid w:val="006446BA"/>
    <w:rsid w:val="006446C5"/>
    <w:rsid w:val="00644CFD"/>
    <w:rsid w:val="00644F4F"/>
    <w:rsid w:val="00644FFD"/>
    <w:rsid w:val="00645D3C"/>
    <w:rsid w:val="00645E8E"/>
    <w:rsid w:val="00646143"/>
    <w:rsid w:val="006468CF"/>
    <w:rsid w:val="006473C1"/>
    <w:rsid w:val="00647759"/>
    <w:rsid w:val="00647769"/>
    <w:rsid w:val="00650A93"/>
    <w:rsid w:val="0065124E"/>
    <w:rsid w:val="00651398"/>
    <w:rsid w:val="006521E2"/>
    <w:rsid w:val="006526FD"/>
    <w:rsid w:val="006533E0"/>
    <w:rsid w:val="00653626"/>
    <w:rsid w:val="0065388B"/>
    <w:rsid w:val="00653B91"/>
    <w:rsid w:val="0065410F"/>
    <w:rsid w:val="0065438D"/>
    <w:rsid w:val="00656156"/>
    <w:rsid w:val="00656612"/>
    <w:rsid w:val="0065674B"/>
    <w:rsid w:val="0065732B"/>
    <w:rsid w:val="00657A85"/>
    <w:rsid w:val="00657AAF"/>
    <w:rsid w:val="00660C6D"/>
    <w:rsid w:val="00660DD6"/>
    <w:rsid w:val="006612AA"/>
    <w:rsid w:val="006614B9"/>
    <w:rsid w:val="006616C7"/>
    <w:rsid w:val="006626DD"/>
    <w:rsid w:val="00663848"/>
    <w:rsid w:val="0066405E"/>
    <w:rsid w:val="00664380"/>
    <w:rsid w:val="00664830"/>
    <w:rsid w:val="00665586"/>
    <w:rsid w:val="00665C53"/>
    <w:rsid w:val="0066607C"/>
    <w:rsid w:val="00666BF8"/>
    <w:rsid w:val="00666E4B"/>
    <w:rsid w:val="00666E89"/>
    <w:rsid w:val="00667188"/>
    <w:rsid w:val="006709E9"/>
    <w:rsid w:val="00670F40"/>
    <w:rsid w:val="006725C0"/>
    <w:rsid w:val="0067260C"/>
    <w:rsid w:val="006726F1"/>
    <w:rsid w:val="00672F48"/>
    <w:rsid w:val="00673188"/>
    <w:rsid w:val="00673629"/>
    <w:rsid w:val="006738DD"/>
    <w:rsid w:val="00673D87"/>
    <w:rsid w:val="00674664"/>
    <w:rsid w:val="006747EE"/>
    <w:rsid w:val="00675001"/>
    <w:rsid w:val="0067597D"/>
    <w:rsid w:val="00676058"/>
    <w:rsid w:val="00676C7A"/>
    <w:rsid w:val="00676C9B"/>
    <w:rsid w:val="006779F7"/>
    <w:rsid w:val="00677BB6"/>
    <w:rsid w:val="00681899"/>
    <w:rsid w:val="00681982"/>
    <w:rsid w:val="00682943"/>
    <w:rsid w:val="00682E89"/>
    <w:rsid w:val="006839D9"/>
    <w:rsid w:val="00684218"/>
    <w:rsid w:val="0068462C"/>
    <w:rsid w:val="006846F7"/>
    <w:rsid w:val="00684E2C"/>
    <w:rsid w:val="00686BDB"/>
    <w:rsid w:val="00687830"/>
    <w:rsid w:val="00687B56"/>
    <w:rsid w:val="00687D28"/>
    <w:rsid w:val="00690065"/>
    <w:rsid w:val="006906F6"/>
    <w:rsid w:val="006914F4"/>
    <w:rsid w:val="006927F9"/>
    <w:rsid w:val="00692A39"/>
    <w:rsid w:val="0069542C"/>
    <w:rsid w:val="006957E1"/>
    <w:rsid w:val="00695C4F"/>
    <w:rsid w:val="0069606C"/>
    <w:rsid w:val="00696C0C"/>
    <w:rsid w:val="006974DE"/>
    <w:rsid w:val="00697507"/>
    <w:rsid w:val="006A085C"/>
    <w:rsid w:val="006A09D1"/>
    <w:rsid w:val="006A0CC8"/>
    <w:rsid w:val="006A16E9"/>
    <w:rsid w:val="006A1845"/>
    <w:rsid w:val="006A1ADE"/>
    <w:rsid w:val="006A21FB"/>
    <w:rsid w:val="006A252C"/>
    <w:rsid w:val="006A27B9"/>
    <w:rsid w:val="006A2C2F"/>
    <w:rsid w:val="006A2C54"/>
    <w:rsid w:val="006A3029"/>
    <w:rsid w:val="006A37C1"/>
    <w:rsid w:val="006A3B12"/>
    <w:rsid w:val="006A48EA"/>
    <w:rsid w:val="006A4954"/>
    <w:rsid w:val="006A5158"/>
    <w:rsid w:val="006A699D"/>
    <w:rsid w:val="006A6E03"/>
    <w:rsid w:val="006A7089"/>
    <w:rsid w:val="006B1074"/>
    <w:rsid w:val="006B1A20"/>
    <w:rsid w:val="006B233F"/>
    <w:rsid w:val="006B25C4"/>
    <w:rsid w:val="006B2688"/>
    <w:rsid w:val="006B30E2"/>
    <w:rsid w:val="006B34E7"/>
    <w:rsid w:val="006B4509"/>
    <w:rsid w:val="006B4C8C"/>
    <w:rsid w:val="006B518A"/>
    <w:rsid w:val="006B51E8"/>
    <w:rsid w:val="006B5647"/>
    <w:rsid w:val="006B564B"/>
    <w:rsid w:val="006B7996"/>
    <w:rsid w:val="006B7E1C"/>
    <w:rsid w:val="006C0024"/>
    <w:rsid w:val="006C02C3"/>
    <w:rsid w:val="006C140E"/>
    <w:rsid w:val="006C1939"/>
    <w:rsid w:val="006C2516"/>
    <w:rsid w:val="006C2809"/>
    <w:rsid w:val="006C297E"/>
    <w:rsid w:val="006C2A52"/>
    <w:rsid w:val="006C3045"/>
    <w:rsid w:val="006C38ED"/>
    <w:rsid w:val="006C3E35"/>
    <w:rsid w:val="006C41B6"/>
    <w:rsid w:val="006C4F26"/>
    <w:rsid w:val="006C6175"/>
    <w:rsid w:val="006C6524"/>
    <w:rsid w:val="006D0CA9"/>
    <w:rsid w:val="006D0FFC"/>
    <w:rsid w:val="006D17E1"/>
    <w:rsid w:val="006D1D44"/>
    <w:rsid w:val="006D2705"/>
    <w:rsid w:val="006D2E80"/>
    <w:rsid w:val="006D4342"/>
    <w:rsid w:val="006D4B36"/>
    <w:rsid w:val="006D4F9D"/>
    <w:rsid w:val="006D522D"/>
    <w:rsid w:val="006D5323"/>
    <w:rsid w:val="006D5DFC"/>
    <w:rsid w:val="006D5E15"/>
    <w:rsid w:val="006D617A"/>
    <w:rsid w:val="006D6A01"/>
    <w:rsid w:val="006D6E45"/>
    <w:rsid w:val="006D7705"/>
    <w:rsid w:val="006D7FCD"/>
    <w:rsid w:val="006E07DC"/>
    <w:rsid w:val="006E1AA6"/>
    <w:rsid w:val="006E1C53"/>
    <w:rsid w:val="006E1F84"/>
    <w:rsid w:val="006E1F8C"/>
    <w:rsid w:val="006E2546"/>
    <w:rsid w:val="006E391A"/>
    <w:rsid w:val="006E396C"/>
    <w:rsid w:val="006E3A19"/>
    <w:rsid w:val="006E3E3D"/>
    <w:rsid w:val="006E406F"/>
    <w:rsid w:val="006E40F1"/>
    <w:rsid w:val="006E4842"/>
    <w:rsid w:val="006E5839"/>
    <w:rsid w:val="006E7316"/>
    <w:rsid w:val="006E793F"/>
    <w:rsid w:val="006E7C51"/>
    <w:rsid w:val="006F06FB"/>
    <w:rsid w:val="006F090C"/>
    <w:rsid w:val="006F15C1"/>
    <w:rsid w:val="006F18D3"/>
    <w:rsid w:val="006F26B4"/>
    <w:rsid w:val="006F309E"/>
    <w:rsid w:val="006F35C8"/>
    <w:rsid w:val="006F3EAE"/>
    <w:rsid w:val="006F4F09"/>
    <w:rsid w:val="006F4F5A"/>
    <w:rsid w:val="006F4FF0"/>
    <w:rsid w:val="006F5037"/>
    <w:rsid w:val="006F5289"/>
    <w:rsid w:val="006F544B"/>
    <w:rsid w:val="006F5950"/>
    <w:rsid w:val="006F5B7D"/>
    <w:rsid w:val="006F5E9A"/>
    <w:rsid w:val="006F6C13"/>
    <w:rsid w:val="006F6EDD"/>
    <w:rsid w:val="006F714A"/>
    <w:rsid w:val="006F7D6A"/>
    <w:rsid w:val="006F7DAE"/>
    <w:rsid w:val="00700086"/>
    <w:rsid w:val="007007EB"/>
    <w:rsid w:val="00700AE8"/>
    <w:rsid w:val="00700B7B"/>
    <w:rsid w:val="0070153D"/>
    <w:rsid w:val="00701A15"/>
    <w:rsid w:val="00702108"/>
    <w:rsid w:val="00702B0C"/>
    <w:rsid w:val="00702FB1"/>
    <w:rsid w:val="0070304D"/>
    <w:rsid w:val="0070305B"/>
    <w:rsid w:val="00703A06"/>
    <w:rsid w:val="0070541D"/>
    <w:rsid w:val="00705C17"/>
    <w:rsid w:val="00705C1A"/>
    <w:rsid w:val="00706075"/>
    <w:rsid w:val="0070687A"/>
    <w:rsid w:val="007104B1"/>
    <w:rsid w:val="00710694"/>
    <w:rsid w:val="00710E8F"/>
    <w:rsid w:val="00711241"/>
    <w:rsid w:val="00711ABB"/>
    <w:rsid w:val="00711DE1"/>
    <w:rsid w:val="00711E2C"/>
    <w:rsid w:val="00712839"/>
    <w:rsid w:val="00712A21"/>
    <w:rsid w:val="00712C5E"/>
    <w:rsid w:val="00712FB4"/>
    <w:rsid w:val="00713445"/>
    <w:rsid w:val="00713B3B"/>
    <w:rsid w:val="00713E98"/>
    <w:rsid w:val="00713FDB"/>
    <w:rsid w:val="00714196"/>
    <w:rsid w:val="00714F15"/>
    <w:rsid w:val="00715CEA"/>
    <w:rsid w:val="00716824"/>
    <w:rsid w:val="00716CC0"/>
    <w:rsid w:val="0071712B"/>
    <w:rsid w:val="00717216"/>
    <w:rsid w:val="007173AA"/>
    <w:rsid w:val="00717599"/>
    <w:rsid w:val="00720626"/>
    <w:rsid w:val="00720C84"/>
    <w:rsid w:val="00721352"/>
    <w:rsid w:val="00721576"/>
    <w:rsid w:val="00721DD3"/>
    <w:rsid w:val="00721FB9"/>
    <w:rsid w:val="00722BBB"/>
    <w:rsid w:val="00723496"/>
    <w:rsid w:val="00723B08"/>
    <w:rsid w:val="00723CF2"/>
    <w:rsid w:val="007241E1"/>
    <w:rsid w:val="00724932"/>
    <w:rsid w:val="0072512D"/>
    <w:rsid w:val="007255B1"/>
    <w:rsid w:val="00725D51"/>
    <w:rsid w:val="00726332"/>
    <w:rsid w:val="0072682B"/>
    <w:rsid w:val="00726D64"/>
    <w:rsid w:val="00726FF9"/>
    <w:rsid w:val="00727354"/>
    <w:rsid w:val="00727965"/>
    <w:rsid w:val="00730140"/>
    <w:rsid w:val="0073157A"/>
    <w:rsid w:val="00731B85"/>
    <w:rsid w:val="00732646"/>
    <w:rsid w:val="007326CA"/>
    <w:rsid w:val="0073313D"/>
    <w:rsid w:val="0073360E"/>
    <w:rsid w:val="0073399C"/>
    <w:rsid w:val="00735D8C"/>
    <w:rsid w:val="00735EB7"/>
    <w:rsid w:val="00737D5D"/>
    <w:rsid w:val="00737E62"/>
    <w:rsid w:val="0074037F"/>
    <w:rsid w:val="007414F4"/>
    <w:rsid w:val="00741579"/>
    <w:rsid w:val="007422F8"/>
    <w:rsid w:val="007430FA"/>
    <w:rsid w:val="00744552"/>
    <w:rsid w:val="00744FF4"/>
    <w:rsid w:val="007450A8"/>
    <w:rsid w:val="0074538E"/>
    <w:rsid w:val="00745395"/>
    <w:rsid w:val="00745DC7"/>
    <w:rsid w:val="00745DF0"/>
    <w:rsid w:val="00745FFC"/>
    <w:rsid w:val="00747E8C"/>
    <w:rsid w:val="007501B1"/>
    <w:rsid w:val="007505D4"/>
    <w:rsid w:val="00750B67"/>
    <w:rsid w:val="00751034"/>
    <w:rsid w:val="0075203F"/>
    <w:rsid w:val="007526D4"/>
    <w:rsid w:val="00752729"/>
    <w:rsid w:val="00752E45"/>
    <w:rsid w:val="007533DB"/>
    <w:rsid w:val="0075350F"/>
    <w:rsid w:val="007538A3"/>
    <w:rsid w:val="007538FC"/>
    <w:rsid w:val="007540DC"/>
    <w:rsid w:val="0075424D"/>
    <w:rsid w:val="00754683"/>
    <w:rsid w:val="00755031"/>
    <w:rsid w:val="00755264"/>
    <w:rsid w:val="0075543E"/>
    <w:rsid w:val="00755652"/>
    <w:rsid w:val="00755A69"/>
    <w:rsid w:val="007562F1"/>
    <w:rsid w:val="00756C5F"/>
    <w:rsid w:val="00760A62"/>
    <w:rsid w:val="00761371"/>
    <w:rsid w:val="007617EE"/>
    <w:rsid w:val="00761B8E"/>
    <w:rsid w:val="007629FA"/>
    <w:rsid w:val="007633E8"/>
    <w:rsid w:val="00763639"/>
    <w:rsid w:val="00763A05"/>
    <w:rsid w:val="00764807"/>
    <w:rsid w:val="00764B00"/>
    <w:rsid w:val="00764E45"/>
    <w:rsid w:val="007651A1"/>
    <w:rsid w:val="00765DA2"/>
    <w:rsid w:val="0076602B"/>
    <w:rsid w:val="00766ADD"/>
    <w:rsid w:val="00766C98"/>
    <w:rsid w:val="00766F46"/>
    <w:rsid w:val="00767A1C"/>
    <w:rsid w:val="00770D71"/>
    <w:rsid w:val="00771282"/>
    <w:rsid w:val="007721A0"/>
    <w:rsid w:val="00772DF6"/>
    <w:rsid w:val="007731A9"/>
    <w:rsid w:val="00773D4C"/>
    <w:rsid w:val="00774B90"/>
    <w:rsid w:val="007753D8"/>
    <w:rsid w:val="0077543A"/>
    <w:rsid w:val="007756E6"/>
    <w:rsid w:val="00775F39"/>
    <w:rsid w:val="00777275"/>
    <w:rsid w:val="00777E95"/>
    <w:rsid w:val="00780564"/>
    <w:rsid w:val="007806DB"/>
    <w:rsid w:val="00781BF5"/>
    <w:rsid w:val="007822EA"/>
    <w:rsid w:val="00782429"/>
    <w:rsid w:val="00782DDF"/>
    <w:rsid w:val="007837FD"/>
    <w:rsid w:val="007842C0"/>
    <w:rsid w:val="007842E7"/>
    <w:rsid w:val="00784375"/>
    <w:rsid w:val="00784896"/>
    <w:rsid w:val="00784E21"/>
    <w:rsid w:val="00784EE3"/>
    <w:rsid w:val="007853BC"/>
    <w:rsid w:val="00785B24"/>
    <w:rsid w:val="00785C76"/>
    <w:rsid w:val="00785CE4"/>
    <w:rsid w:val="007862AF"/>
    <w:rsid w:val="0078634F"/>
    <w:rsid w:val="0078638B"/>
    <w:rsid w:val="00786E8B"/>
    <w:rsid w:val="00787218"/>
    <w:rsid w:val="00787443"/>
    <w:rsid w:val="007875E0"/>
    <w:rsid w:val="00787F52"/>
    <w:rsid w:val="007905D4"/>
    <w:rsid w:val="0079198C"/>
    <w:rsid w:val="00792A2B"/>
    <w:rsid w:val="00792BB9"/>
    <w:rsid w:val="00792DF5"/>
    <w:rsid w:val="00792E1F"/>
    <w:rsid w:val="00792E6B"/>
    <w:rsid w:val="00793620"/>
    <w:rsid w:val="0079390A"/>
    <w:rsid w:val="00793D14"/>
    <w:rsid w:val="0079454E"/>
    <w:rsid w:val="0079462B"/>
    <w:rsid w:val="00794CFD"/>
    <w:rsid w:val="00795BA3"/>
    <w:rsid w:val="00796021"/>
    <w:rsid w:val="00796426"/>
    <w:rsid w:val="00796453"/>
    <w:rsid w:val="0079697E"/>
    <w:rsid w:val="00796C78"/>
    <w:rsid w:val="007976A9"/>
    <w:rsid w:val="007976EE"/>
    <w:rsid w:val="007978E7"/>
    <w:rsid w:val="007A00EB"/>
    <w:rsid w:val="007A02CD"/>
    <w:rsid w:val="007A08D9"/>
    <w:rsid w:val="007A1424"/>
    <w:rsid w:val="007A1973"/>
    <w:rsid w:val="007A1B40"/>
    <w:rsid w:val="007A1C74"/>
    <w:rsid w:val="007A2A93"/>
    <w:rsid w:val="007A2D84"/>
    <w:rsid w:val="007A2EF8"/>
    <w:rsid w:val="007A301C"/>
    <w:rsid w:val="007A314E"/>
    <w:rsid w:val="007A3618"/>
    <w:rsid w:val="007A3CDE"/>
    <w:rsid w:val="007A3D26"/>
    <w:rsid w:val="007A4B4C"/>
    <w:rsid w:val="007A5061"/>
    <w:rsid w:val="007A51D1"/>
    <w:rsid w:val="007A51FB"/>
    <w:rsid w:val="007A53D4"/>
    <w:rsid w:val="007A5577"/>
    <w:rsid w:val="007A55B7"/>
    <w:rsid w:val="007A55CB"/>
    <w:rsid w:val="007A5DC2"/>
    <w:rsid w:val="007A5FB9"/>
    <w:rsid w:val="007A6355"/>
    <w:rsid w:val="007A67A6"/>
    <w:rsid w:val="007A6C05"/>
    <w:rsid w:val="007A716F"/>
    <w:rsid w:val="007A7600"/>
    <w:rsid w:val="007B0606"/>
    <w:rsid w:val="007B067E"/>
    <w:rsid w:val="007B10E7"/>
    <w:rsid w:val="007B10F7"/>
    <w:rsid w:val="007B11D4"/>
    <w:rsid w:val="007B1265"/>
    <w:rsid w:val="007B26BE"/>
    <w:rsid w:val="007B2A52"/>
    <w:rsid w:val="007B360D"/>
    <w:rsid w:val="007B3EC8"/>
    <w:rsid w:val="007B3F80"/>
    <w:rsid w:val="007B58D5"/>
    <w:rsid w:val="007B6F61"/>
    <w:rsid w:val="007B7C25"/>
    <w:rsid w:val="007C01F4"/>
    <w:rsid w:val="007C02B3"/>
    <w:rsid w:val="007C0BA5"/>
    <w:rsid w:val="007C0F82"/>
    <w:rsid w:val="007C1E05"/>
    <w:rsid w:val="007C1EBC"/>
    <w:rsid w:val="007C2689"/>
    <w:rsid w:val="007C2E69"/>
    <w:rsid w:val="007C2F6C"/>
    <w:rsid w:val="007C3058"/>
    <w:rsid w:val="007C31AD"/>
    <w:rsid w:val="007C36C7"/>
    <w:rsid w:val="007C3887"/>
    <w:rsid w:val="007C3B10"/>
    <w:rsid w:val="007C3C25"/>
    <w:rsid w:val="007C3FB1"/>
    <w:rsid w:val="007C4ADB"/>
    <w:rsid w:val="007C4B71"/>
    <w:rsid w:val="007C5063"/>
    <w:rsid w:val="007C53DB"/>
    <w:rsid w:val="007C5605"/>
    <w:rsid w:val="007C5F38"/>
    <w:rsid w:val="007C62BF"/>
    <w:rsid w:val="007C6874"/>
    <w:rsid w:val="007C713F"/>
    <w:rsid w:val="007C7475"/>
    <w:rsid w:val="007C7C7E"/>
    <w:rsid w:val="007C7E86"/>
    <w:rsid w:val="007D007B"/>
    <w:rsid w:val="007D01BF"/>
    <w:rsid w:val="007D20D0"/>
    <w:rsid w:val="007D30E4"/>
    <w:rsid w:val="007D3289"/>
    <w:rsid w:val="007D39E5"/>
    <w:rsid w:val="007D3D2A"/>
    <w:rsid w:val="007D4BD0"/>
    <w:rsid w:val="007D5E6D"/>
    <w:rsid w:val="007D5F41"/>
    <w:rsid w:val="007D5F51"/>
    <w:rsid w:val="007D62D3"/>
    <w:rsid w:val="007D697B"/>
    <w:rsid w:val="007E0567"/>
    <w:rsid w:val="007E1B21"/>
    <w:rsid w:val="007E1EFD"/>
    <w:rsid w:val="007E21B9"/>
    <w:rsid w:val="007E22F1"/>
    <w:rsid w:val="007E2875"/>
    <w:rsid w:val="007E2C87"/>
    <w:rsid w:val="007E3764"/>
    <w:rsid w:val="007E3BD4"/>
    <w:rsid w:val="007E3F1A"/>
    <w:rsid w:val="007E5688"/>
    <w:rsid w:val="007E5BEE"/>
    <w:rsid w:val="007E5F3A"/>
    <w:rsid w:val="007E6130"/>
    <w:rsid w:val="007E631E"/>
    <w:rsid w:val="007E65AE"/>
    <w:rsid w:val="007E7895"/>
    <w:rsid w:val="007E7981"/>
    <w:rsid w:val="007F0577"/>
    <w:rsid w:val="007F0BEC"/>
    <w:rsid w:val="007F0BFC"/>
    <w:rsid w:val="007F0CF9"/>
    <w:rsid w:val="007F1534"/>
    <w:rsid w:val="007F1A5A"/>
    <w:rsid w:val="007F2081"/>
    <w:rsid w:val="007F2AB0"/>
    <w:rsid w:val="007F2E17"/>
    <w:rsid w:val="007F489F"/>
    <w:rsid w:val="007F568D"/>
    <w:rsid w:val="007F58EF"/>
    <w:rsid w:val="007F72DB"/>
    <w:rsid w:val="007F7631"/>
    <w:rsid w:val="007F7971"/>
    <w:rsid w:val="0080025C"/>
    <w:rsid w:val="00801EB9"/>
    <w:rsid w:val="0080322D"/>
    <w:rsid w:val="00803489"/>
    <w:rsid w:val="00803BC8"/>
    <w:rsid w:val="0080452E"/>
    <w:rsid w:val="0080475F"/>
    <w:rsid w:val="00804D4A"/>
    <w:rsid w:val="00805FDE"/>
    <w:rsid w:val="00806191"/>
    <w:rsid w:val="0080705E"/>
    <w:rsid w:val="0080785E"/>
    <w:rsid w:val="00807E51"/>
    <w:rsid w:val="00807FFA"/>
    <w:rsid w:val="008102AB"/>
    <w:rsid w:val="008104DC"/>
    <w:rsid w:val="008108CF"/>
    <w:rsid w:val="008117CD"/>
    <w:rsid w:val="008131C7"/>
    <w:rsid w:val="00813348"/>
    <w:rsid w:val="008140C1"/>
    <w:rsid w:val="00814E80"/>
    <w:rsid w:val="00815030"/>
    <w:rsid w:val="00815081"/>
    <w:rsid w:val="008170E7"/>
    <w:rsid w:val="00817DD2"/>
    <w:rsid w:val="00820FD6"/>
    <w:rsid w:val="008210F4"/>
    <w:rsid w:val="008215D3"/>
    <w:rsid w:val="00822482"/>
    <w:rsid w:val="008231A0"/>
    <w:rsid w:val="008247E0"/>
    <w:rsid w:val="008250DA"/>
    <w:rsid w:val="00825ECA"/>
    <w:rsid w:val="0082669E"/>
    <w:rsid w:val="00826A3C"/>
    <w:rsid w:val="00827489"/>
    <w:rsid w:val="0082772D"/>
    <w:rsid w:val="008278EC"/>
    <w:rsid w:val="00827E5A"/>
    <w:rsid w:val="00827ED6"/>
    <w:rsid w:val="008308B7"/>
    <w:rsid w:val="0083110F"/>
    <w:rsid w:val="00831568"/>
    <w:rsid w:val="008318E0"/>
    <w:rsid w:val="00831D47"/>
    <w:rsid w:val="0083211B"/>
    <w:rsid w:val="00832826"/>
    <w:rsid w:val="00832AAB"/>
    <w:rsid w:val="00833AE5"/>
    <w:rsid w:val="00834A23"/>
    <w:rsid w:val="00834DC6"/>
    <w:rsid w:val="008359A5"/>
    <w:rsid w:val="00835F65"/>
    <w:rsid w:val="00836664"/>
    <w:rsid w:val="00836FB9"/>
    <w:rsid w:val="00840288"/>
    <w:rsid w:val="008403C2"/>
    <w:rsid w:val="0084086D"/>
    <w:rsid w:val="00841044"/>
    <w:rsid w:val="00841371"/>
    <w:rsid w:val="00841546"/>
    <w:rsid w:val="0084172B"/>
    <w:rsid w:val="008418AA"/>
    <w:rsid w:val="00841F4E"/>
    <w:rsid w:val="00841FBE"/>
    <w:rsid w:val="00842AFB"/>
    <w:rsid w:val="00843FA5"/>
    <w:rsid w:val="008442D8"/>
    <w:rsid w:val="0084484D"/>
    <w:rsid w:val="008449F4"/>
    <w:rsid w:val="00844A43"/>
    <w:rsid w:val="00845146"/>
    <w:rsid w:val="00845225"/>
    <w:rsid w:val="00845C98"/>
    <w:rsid w:val="00846809"/>
    <w:rsid w:val="0084702A"/>
    <w:rsid w:val="0084778B"/>
    <w:rsid w:val="00847BEF"/>
    <w:rsid w:val="00847E36"/>
    <w:rsid w:val="00847F87"/>
    <w:rsid w:val="00847FEA"/>
    <w:rsid w:val="00850A67"/>
    <w:rsid w:val="008511E6"/>
    <w:rsid w:val="00852404"/>
    <w:rsid w:val="0085255C"/>
    <w:rsid w:val="00852B70"/>
    <w:rsid w:val="00852BE7"/>
    <w:rsid w:val="00852DFE"/>
    <w:rsid w:val="00853244"/>
    <w:rsid w:val="0085384B"/>
    <w:rsid w:val="008540CA"/>
    <w:rsid w:val="00854176"/>
    <w:rsid w:val="008554F5"/>
    <w:rsid w:val="00855774"/>
    <w:rsid w:val="00855F88"/>
    <w:rsid w:val="00856163"/>
    <w:rsid w:val="00856E37"/>
    <w:rsid w:val="008572A9"/>
    <w:rsid w:val="00857C56"/>
    <w:rsid w:val="008609C7"/>
    <w:rsid w:val="00860D39"/>
    <w:rsid w:val="00860FA5"/>
    <w:rsid w:val="00860FA6"/>
    <w:rsid w:val="00861633"/>
    <w:rsid w:val="00861D26"/>
    <w:rsid w:val="00862904"/>
    <w:rsid w:val="00862BF2"/>
    <w:rsid w:val="00862DFC"/>
    <w:rsid w:val="00862F17"/>
    <w:rsid w:val="00863104"/>
    <w:rsid w:val="00864D33"/>
    <w:rsid w:val="0086514F"/>
    <w:rsid w:val="00865425"/>
    <w:rsid w:val="008659B2"/>
    <w:rsid w:val="00865AF0"/>
    <w:rsid w:val="00867062"/>
    <w:rsid w:val="0086766F"/>
    <w:rsid w:val="0087033C"/>
    <w:rsid w:val="00871C0D"/>
    <w:rsid w:val="00872473"/>
    <w:rsid w:val="00872705"/>
    <w:rsid w:val="00872B8D"/>
    <w:rsid w:val="0087324C"/>
    <w:rsid w:val="0087399A"/>
    <w:rsid w:val="008743C9"/>
    <w:rsid w:val="00875CCF"/>
    <w:rsid w:val="0087699A"/>
    <w:rsid w:val="00876B36"/>
    <w:rsid w:val="008772EC"/>
    <w:rsid w:val="00877878"/>
    <w:rsid w:val="008808B2"/>
    <w:rsid w:val="00880A89"/>
    <w:rsid w:val="00880ECC"/>
    <w:rsid w:val="00881352"/>
    <w:rsid w:val="0088176A"/>
    <w:rsid w:val="00882CAF"/>
    <w:rsid w:val="0088309D"/>
    <w:rsid w:val="008834C6"/>
    <w:rsid w:val="0088364D"/>
    <w:rsid w:val="00883B17"/>
    <w:rsid w:val="00883CA2"/>
    <w:rsid w:val="00883F18"/>
    <w:rsid w:val="00884979"/>
    <w:rsid w:val="00886222"/>
    <w:rsid w:val="00887782"/>
    <w:rsid w:val="00887FBC"/>
    <w:rsid w:val="0089027D"/>
    <w:rsid w:val="008903C4"/>
    <w:rsid w:val="008918EB"/>
    <w:rsid w:val="00892191"/>
    <w:rsid w:val="00893082"/>
    <w:rsid w:val="00893516"/>
    <w:rsid w:val="0089396A"/>
    <w:rsid w:val="00893AD1"/>
    <w:rsid w:val="0089447A"/>
    <w:rsid w:val="00894992"/>
    <w:rsid w:val="00894E12"/>
    <w:rsid w:val="0089569E"/>
    <w:rsid w:val="00896133"/>
    <w:rsid w:val="008964C7"/>
    <w:rsid w:val="0089695F"/>
    <w:rsid w:val="00897187"/>
    <w:rsid w:val="00897EEA"/>
    <w:rsid w:val="008A01F8"/>
    <w:rsid w:val="008A0231"/>
    <w:rsid w:val="008A0485"/>
    <w:rsid w:val="008A052A"/>
    <w:rsid w:val="008A0960"/>
    <w:rsid w:val="008A0C3C"/>
    <w:rsid w:val="008A0C99"/>
    <w:rsid w:val="008A0F7D"/>
    <w:rsid w:val="008A1715"/>
    <w:rsid w:val="008A1732"/>
    <w:rsid w:val="008A20DC"/>
    <w:rsid w:val="008A2950"/>
    <w:rsid w:val="008A2B8A"/>
    <w:rsid w:val="008A2D48"/>
    <w:rsid w:val="008A3271"/>
    <w:rsid w:val="008A33BD"/>
    <w:rsid w:val="008A38D0"/>
    <w:rsid w:val="008A3E34"/>
    <w:rsid w:val="008A42E0"/>
    <w:rsid w:val="008A50AF"/>
    <w:rsid w:val="008A5AC4"/>
    <w:rsid w:val="008A671B"/>
    <w:rsid w:val="008A6723"/>
    <w:rsid w:val="008A6931"/>
    <w:rsid w:val="008A7642"/>
    <w:rsid w:val="008A7F43"/>
    <w:rsid w:val="008A7FF4"/>
    <w:rsid w:val="008B008E"/>
    <w:rsid w:val="008B19C2"/>
    <w:rsid w:val="008B1D0E"/>
    <w:rsid w:val="008B2DF8"/>
    <w:rsid w:val="008B3601"/>
    <w:rsid w:val="008B3DEE"/>
    <w:rsid w:val="008B3E07"/>
    <w:rsid w:val="008B45F2"/>
    <w:rsid w:val="008B644F"/>
    <w:rsid w:val="008B6940"/>
    <w:rsid w:val="008B71E3"/>
    <w:rsid w:val="008B74F1"/>
    <w:rsid w:val="008B7848"/>
    <w:rsid w:val="008B7F5D"/>
    <w:rsid w:val="008C07DE"/>
    <w:rsid w:val="008C1351"/>
    <w:rsid w:val="008C14F6"/>
    <w:rsid w:val="008C19C4"/>
    <w:rsid w:val="008C23AA"/>
    <w:rsid w:val="008C41A8"/>
    <w:rsid w:val="008C4ED5"/>
    <w:rsid w:val="008C520F"/>
    <w:rsid w:val="008C5374"/>
    <w:rsid w:val="008C55EB"/>
    <w:rsid w:val="008C5858"/>
    <w:rsid w:val="008C5873"/>
    <w:rsid w:val="008C66AC"/>
    <w:rsid w:val="008C6821"/>
    <w:rsid w:val="008C6DEB"/>
    <w:rsid w:val="008C70F9"/>
    <w:rsid w:val="008C72FE"/>
    <w:rsid w:val="008C7542"/>
    <w:rsid w:val="008C7CF2"/>
    <w:rsid w:val="008C7FBF"/>
    <w:rsid w:val="008D001D"/>
    <w:rsid w:val="008D07DE"/>
    <w:rsid w:val="008D1AF5"/>
    <w:rsid w:val="008D1BA2"/>
    <w:rsid w:val="008D2D39"/>
    <w:rsid w:val="008D3730"/>
    <w:rsid w:val="008D4048"/>
    <w:rsid w:val="008D4AA5"/>
    <w:rsid w:val="008D52B2"/>
    <w:rsid w:val="008D5CA7"/>
    <w:rsid w:val="008D667F"/>
    <w:rsid w:val="008D6E96"/>
    <w:rsid w:val="008D7488"/>
    <w:rsid w:val="008D7986"/>
    <w:rsid w:val="008D7F20"/>
    <w:rsid w:val="008E010A"/>
    <w:rsid w:val="008E0719"/>
    <w:rsid w:val="008E162A"/>
    <w:rsid w:val="008E1CF4"/>
    <w:rsid w:val="008E26CE"/>
    <w:rsid w:val="008E2ADF"/>
    <w:rsid w:val="008E3A87"/>
    <w:rsid w:val="008E4159"/>
    <w:rsid w:val="008E5213"/>
    <w:rsid w:val="008E530F"/>
    <w:rsid w:val="008E541A"/>
    <w:rsid w:val="008E5588"/>
    <w:rsid w:val="008E57C5"/>
    <w:rsid w:val="008E628B"/>
    <w:rsid w:val="008E6732"/>
    <w:rsid w:val="008E71C0"/>
    <w:rsid w:val="008E7C9C"/>
    <w:rsid w:val="008F1E7E"/>
    <w:rsid w:val="008F2302"/>
    <w:rsid w:val="008F23D5"/>
    <w:rsid w:val="008F33AB"/>
    <w:rsid w:val="008F356C"/>
    <w:rsid w:val="008F44AD"/>
    <w:rsid w:val="008F4777"/>
    <w:rsid w:val="008F5721"/>
    <w:rsid w:val="008F5E00"/>
    <w:rsid w:val="008F65E9"/>
    <w:rsid w:val="008F6684"/>
    <w:rsid w:val="008F707F"/>
    <w:rsid w:val="00900C07"/>
    <w:rsid w:val="00901077"/>
    <w:rsid w:val="009015B0"/>
    <w:rsid w:val="00901B0C"/>
    <w:rsid w:val="00902038"/>
    <w:rsid w:val="00902D96"/>
    <w:rsid w:val="00902E89"/>
    <w:rsid w:val="0090408A"/>
    <w:rsid w:val="009046DF"/>
    <w:rsid w:val="00905344"/>
    <w:rsid w:val="009055BC"/>
    <w:rsid w:val="009058EB"/>
    <w:rsid w:val="00905AF3"/>
    <w:rsid w:val="00905B4A"/>
    <w:rsid w:val="00906244"/>
    <w:rsid w:val="00906E32"/>
    <w:rsid w:val="00907D72"/>
    <w:rsid w:val="0091068B"/>
    <w:rsid w:val="00912170"/>
    <w:rsid w:val="00912C54"/>
    <w:rsid w:val="00912EB3"/>
    <w:rsid w:val="009131AA"/>
    <w:rsid w:val="0091378D"/>
    <w:rsid w:val="009137B4"/>
    <w:rsid w:val="009138EC"/>
    <w:rsid w:val="00913B53"/>
    <w:rsid w:val="00914AB6"/>
    <w:rsid w:val="00914C0B"/>
    <w:rsid w:val="00914C94"/>
    <w:rsid w:val="009152F9"/>
    <w:rsid w:val="009163A9"/>
    <w:rsid w:val="009171C0"/>
    <w:rsid w:val="0092045D"/>
    <w:rsid w:val="009212D1"/>
    <w:rsid w:val="009214BC"/>
    <w:rsid w:val="00921AD0"/>
    <w:rsid w:val="009226B6"/>
    <w:rsid w:val="00922915"/>
    <w:rsid w:val="00922BEC"/>
    <w:rsid w:val="00923428"/>
    <w:rsid w:val="0092495A"/>
    <w:rsid w:val="00925206"/>
    <w:rsid w:val="00925220"/>
    <w:rsid w:val="00925B73"/>
    <w:rsid w:val="0092679D"/>
    <w:rsid w:val="009268ED"/>
    <w:rsid w:val="00926B27"/>
    <w:rsid w:val="00926B84"/>
    <w:rsid w:val="00926CE2"/>
    <w:rsid w:val="00927BD8"/>
    <w:rsid w:val="009316E1"/>
    <w:rsid w:val="0093241A"/>
    <w:rsid w:val="00932E22"/>
    <w:rsid w:val="00933308"/>
    <w:rsid w:val="009348C8"/>
    <w:rsid w:val="0093490C"/>
    <w:rsid w:val="0093526E"/>
    <w:rsid w:val="0093586B"/>
    <w:rsid w:val="009369EC"/>
    <w:rsid w:val="009372F8"/>
    <w:rsid w:val="009378B9"/>
    <w:rsid w:val="00940C09"/>
    <w:rsid w:val="00940CBE"/>
    <w:rsid w:val="00941E32"/>
    <w:rsid w:val="00941ECE"/>
    <w:rsid w:val="00942355"/>
    <w:rsid w:val="00942B1D"/>
    <w:rsid w:val="00942F6C"/>
    <w:rsid w:val="00943B03"/>
    <w:rsid w:val="00944559"/>
    <w:rsid w:val="0094490D"/>
    <w:rsid w:val="00944FFC"/>
    <w:rsid w:val="0094550D"/>
    <w:rsid w:val="0094591E"/>
    <w:rsid w:val="00945F0F"/>
    <w:rsid w:val="00946CC4"/>
    <w:rsid w:val="0094750B"/>
    <w:rsid w:val="00947AB0"/>
    <w:rsid w:val="00947CF3"/>
    <w:rsid w:val="009501F2"/>
    <w:rsid w:val="00950241"/>
    <w:rsid w:val="0095133F"/>
    <w:rsid w:val="009515A3"/>
    <w:rsid w:val="009515DE"/>
    <w:rsid w:val="00951A5A"/>
    <w:rsid w:val="00951B38"/>
    <w:rsid w:val="0095205B"/>
    <w:rsid w:val="00952532"/>
    <w:rsid w:val="00952650"/>
    <w:rsid w:val="00953D0B"/>
    <w:rsid w:val="0095504E"/>
    <w:rsid w:val="00955143"/>
    <w:rsid w:val="009560F2"/>
    <w:rsid w:val="00956935"/>
    <w:rsid w:val="0095750C"/>
    <w:rsid w:val="00960197"/>
    <w:rsid w:val="00960A10"/>
    <w:rsid w:val="00961C71"/>
    <w:rsid w:val="00961FB1"/>
    <w:rsid w:val="00962790"/>
    <w:rsid w:val="009629AE"/>
    <w:rsid w:val="00963782"/>
    <w:rsid w:val="00963AC6"/>
    <w:rsid w:val="009643F7"/>
    <w:rsid w:val="00964430"/>
    <w:rsid w:val="0096494E"/>
    <w:rsid w:val="009653B5"/>
    <w:rsid w:val="009656F1"/>
    <w:rsid w:val="009657C0"/>
    <w:rsid w:val="009662A7"/>
    <w:rsid w:val="00966300"/>
    <w:rsid w:val="00966802"/>
    <w:rsid w:val="00966E13"/>
    <w:rsid w:val="009670A7"/>
    <w:rsid w:val="00970059"/>
    <w:rsid w:val="009701FB"/>
    <w:rsid w:val="0097054B"/>
    <w:rsid w:val="00970FE1"/>
    <w:rsid w:val="009712BE"/>
    <w:rsid w:val="009724FC"/>
    <w:rsid w:val="0097265D"/>
    <w:rsid w:val="0097293F"/>
    <w:rsid w:val="00972ED6"/>
    <w:rsid w:val="00973664"/>
    <w:rsid w:val="0097484C"/>
    <w:rsid w:val="00974AA8"/>
    <w:rsid w:val="00975706"/>
    <w:rsid w:val="00976379"/>
    <w:rsid w:val="00976FB1"/>
    <w:rsid w:val="0097721B"/>
    <w:rsid w:val="0097782A"/>
    <w:rsid w:val="0098013D"/>
    <w:rsid w:val="00980BD2"/>
    <w:rsid w:val="00980C06"/>
    <w:rsid w:val="00981D1E"/>
    <w:rsid w:val="0098231B"/>
    <w:rsid w:val="00982C87"/>
    <w:rsid w:val="00983029"/>
    <w:rsid w:val="00983202"/>
    <w:rsid w:val="009833B8"/>
    <w:rsid w:val="009839A2"/>
    <w:rsid w:val="00983FC2"/>
    <w:rsid w:val="0098526E"/>
    <w:rsid w:val="00985BDF"/>
    <w:rsid w:val="00985DC1"/>
    <w:rsid w:val="00986F13"/>
    <w:rsid w:val="00986FBE"/>
    <w:rsid w:val="00987311"/>
    <w:rsid w:val="009875AB"/>
    <w:rsid w:val="00987935"/>
    <w:rsid w:val="00987C25"/>
    <w:rsid w:val="00987DA1"/>
    <w:rsid w:val="0099083D"/>
    <w:rsid w:val="00990933"/>
    <w:rsid w:val="00990ACA"/>
    <w:rsid w:val="00991D68"/>
    <w:rsid w:val="00992849"/>
    <w:rsid w:val="009930C5"/>
    <w:rsid w:val="009938F5"/>
    <w:rsid w:val="00994B32"/>
    <w:rsid w:val="00995170"/>
    <w:rsid w:val="009954F2"/>
    <w:rsid w:val="00995E2B"/>
    <w:rsid w:val="00996815"/>
    <w:rsid w:val="00996CCB"/>
    <w:rsid w:val="0099737A"/>
    <w:rsid w:val="009A04B7"/>
    <w:rsid w:val="009A0A57"/>
    <w:rsid w:val="009A0D4F"/>
    <w:rsid w:val="009A1120"/>
    <w:rsid w:val="009A162E"/>
    <w:rsid w:val="009A18E3"/>
    <w:rsid w:val="009A19E5"/>
    <w:rsid w:val="009A1B64"/>
    <w:rsid w:val="009A269D"/>
    <w:rsid w:val="009A279A"/>
    <w:rsid w:val="009A29CD"/>
    <w:rsid w:val="009A370A"/>
    <w:rsid w:val="009A4012"/>
    <w:rsid w:val="009A5437"/>
    <w:rsid w:val="009A5CB9"/>
    <w:rsid w:val="009A73A4"/>
    <w:rsid w:val="009A73BB"/>
    <w:rsid w:val="009A7B42"/>
    <w:rsid w:val="009A7C48"/>
    <w:rsid w:val="009A7E4D"/>
    <w:rsid w:val="009B012A"/>
    <w:rsid w:val="009B0644"/>
    <w:rsid w:val="009B1109"/>
    <w:rsid w:val="009B1ADD"/>
    <w:rsid w:val="009B1B1C"/>
    <w:rsid w:val="009B2AC2"/>
    <w:rsid w:val="009B2CA9"/>
    <w:rsid w:val="009B31F5"/>
    <w:rsid w:val="009B3385"/>
    <w:rsid w:val="009B3C40"/>
    <w:rsid w:val="009B4CA4"/>
    <w:rsid w:val="009B5388"/>
    <w:rsid w:val="009B546A"/>
    <w:rsid w:val="009B575A"/>
    <w:rsid w:val="009B5AEE"/>
    <w:rsid w:val="009B61A5"/>
    <w:rsid w:val="009B6DDE"/>
    <w:rsid w:val="009B6F47"/>
    <w:rsid w:val="009B7BE2"/>
    <w:rsid w:val="009C008E"/>
    <w:rsid w:val="009C0691"/>
    <w:rsid w:val="009C0907"/>
    <w:rsid w:val="009C0AD7"/>
    <w:rsid w:val="009C0E66"/>
    <w:rsid w:val="009C1BB5"/>
    <w:rsid w:val="009C1C3D"/>
    <w:rsid w:val="009C3618"/>
    <w:rsid w:val="009C3EB3"/>
    <w:rsid w:val="009C4374"/>
    <w:rsid w:val="009C4684"/>
    <w:rsid w:val="009D0348"/>
    <w:rsid w:val="009D162C"/>
    <w:rsid w:val="009D213E"/>
    <w:rsid w:val="009D284E"/>
    <w:rsid w:val="009D2AB5"/>
    <w:rsid w:val="009D2F04"/>
    <w:rsid w:val="009D329A"/>
    <w:rsid w:val="009D3529"/>
    <w:rsid w:val="009D402A"/>
    <w:rsid w:val="009D4606"/>
    <w:rsid w:val="009D4B1A"/>
    <w:rsid w:val="009D5529"/>
    <w:rsid w:val="009D572A"/>
    <w:rsid w:val="009D71D7"/>
    <w:rsid w:val="009D788E"/>
    <w:rsid w:val="009D7BCE"/>
    <w:rsid w:val="009E0092"/>
    <w:rsid w:val="009E081E"/>
    <w:rsid w:val="009E136B"/>
    <w:rsid w:val="009E165E"/>
    <w:rsid w:val="009E2819"/>
    <w:rsid w:val="009E34DA"/>
    <w:rsid w:val="009E375F"/>
    <w:rsid w:val="009E3D53"/>
    <w:rsid w:val="009E4194"/>
    <w:rsid w:val="009E4679"/>
    <w:rsid w:val="009E548F"/>
    <w:rsid w:val="009E5876"/>
    <w:rsid w:val="009E5BBD"/>
    <w:rsid w:val="009E61DF"/>
    <w:rsid w:val="009E6CC7"/>
    <w:rsid w:val="009E73B9"/>
    <w:rsid w:val="009E7FB6"/>
    <w:rsid w:val="009F0742"/>
    <w:rsid w:val="009F122E"/>
    <w:rsid w:val="009F1408"/>
    <w:rsid w:val="009F143C"/>
    <w:rsid w:val="009F1B70"/>
    <w:rsid w:val="009F22D9"/>
    <w:rsid w:val="009F239A"/>
    <w:rsid w:val="009F2C52"/>
    <w:rsid w:val="009F31D2"/>
    <w:rsid w:val="009F3FB4"/>
    <w:rsid w:val="009F569F"/>
    <w:rsid w:val="009F57FA"/>
    <w:rsid w:val="009F657D"/>
    <w:rsid w:val="009F673A"/>
    <w:rsid w:val="009F6DBC"/>
    <w:rsid w:val="009F767C"/>
    <w:rsid w:val="009F76D2"/>
    <w:rsid w:val="009F790D"/>
    <w:rsid w:val="009F7BBE"/>
    <w:rsid w:val="00A00230"/>
    <w:rsid w:val="00A00F41"/>
    <w:rsid w:val="00A0103D"/>
    <w:rsid w:val="00A01601"/>
    <w:rsid w:val="00A01D9C"/>
    <w:rsid w:val="00A020AA"/>
    <w:rsid w:val="00A02220"/>
    <w:rsid w:val="00A02226"/>
    <w:rsid w:val="00A0240E"/>
    <w:rsid w:val="00A02F9C"/>
    <w:rsid w:val="00A03FA8"/>
    <w:rsid w:val="00A0414D"/>
    <w:rsid w:val="00A043AE"/>
    <w:rsid w:val="00A045EC"/>
    <w:rsid w:val="00A04A3C"/>
    <w:rsid w:val="00A04DDA"/>
    <w:rsid w:val="00A05823"/>
    <w:rsid w:val="00A0591E"/>
    <w:rsid w:val="00A07B27"/>
    <w:rsid w:val="00A07B45"/>
    <w:rsid w:val="00A07C02"/>
    <w:rsid w:val="00A108B1"/>
    <w:rsid w:val="00A113A2"/>
    <w:rsid w:val="00A113F9"/>
    <w:rsid w:val="00A11972"/>
    <w:rsid w:val="00A123D4"/>
    <w:rsid w:val="00A124AA"/>
    <w:rsid w:val="00A12F31"/>
    <w:rsid w:val="00A13840"/>
    <w:rsid w:val="00A14344"/>
    <w:rsid w:val="00A153CC"/>
    <w:rsid w:val="00A153DB"/>
    <w:rsid w:val="00A15A17"/>
    <w:rsid w:val="00A16249"/>
    <w:rsid w:val="00A1688A"/>
    <w:rsid w:val="00A168FA"/>
    <w:rsid w:val="00A20761"/>
    <w:rsid w:val="00A20BE4"/>
    <w:rsid w:val="00A21034"/>
    <w:rsid w:val="00A22BD9"/>
    <w:rsid w:val="00A22FEA"/>
    <w:rsid w:val="00A232E3"/>
    <w:rsid w:val="00A23E64"/>
    <w:rsid w:val="00A2443F"/>
    <w:rsid w:val="00A245E3"/>
    <w:rsid w:val="00A24C73"/>
    <w:rsid w:val="00A24D8D"/>
    <w:rsid w:val="00A2554C"/>
    <w:rsid w:val="00A26591"/>
    <w:rsid w:val="00A265FA"/>
    <w:rsid w:val="00A3025C"/>
    <w:rsid w:val="00A30E4A"/>
    <w:rsid w:val="00A31B2D"/>
    <w:rsid w:val="00A337E5"/>
    <w:rsid w:val="00A33A5E"/>
    <w:rsid w:val="00A35AC9"/>
    <w:rsid w:val="00A361EF"/>
    <w:rsid w:val="00A3655A"/>
    <w:rsid w:val="00A369D3"/>
    <w:rsid w:val="00A36F9D"/>
    <w:rsid w:val="00A37173"/>
    <w:rsid w:val="00A3791B"/>
    <w:rsid w:val="00A37D14"/>
    <w:rsid w:val="00A40783"/>
    <w:rsid w:val="00A40ECF"/>
    <w:rsid w:val="00A410AA"/>
    <w:rsid w:val="00A416CD"/>
    <w:rsid w:val="00A42AEE"/>
    <w:rsid w:val="00A42E17"/>
    <w:rsid w:val="00A430A2"/>
    <w:rsid w:val="00A4457B"/>
    <w:rsid w:val="00A4471D"/>
    <w:rsid w:val="00A44CD7"/>
    <w:rsid w:val="00A457E5"/>
    <w:rsid w:val="00A45C19"/>
    <w:rsid w:val="00A462A1"/>
    <w:rsid w:val="00A46679"/>
    <w:rsid w:val="00A47E09"/>
    <w:rsid w:val="00A47F17"/>
    <w:rsid w:val="00A51A39"/>
    <w:rsid w:val="00A51F0B"/>
    <w:rsid w:val="00A51F9E"/>
    <w:rsid w:val="00A53953"/>
    <w:rsid w:val="00A53D13"/>
    <w:rsid w:val="00A53E5A"/>
    <w:rsid w:val="00A53FBD"/>
    <w:rsid w:val="00A54656"/>
    <w:rsid w:val="00A546D4"/>
    <w:rsid w:val="00A551F3"/>
    <w:rsid w:val="00A558E5"/>
    <w:rsid w:val="00A56171"/>
    <w:rsid w:val="00A605EA"/>
    <w:rsid w:val="00A60F7B"/>
    <w:rsid w:val="00A6118B"/>
    <w:rsid w:val="00A61539"/>
    <w:rsid w:val="00A62161"/>
    <w:rsid w:val="00A621E0"/>
    <w:rsid w:val="00A6265B"/>
    <w:rsid w:val="00A63099"/>
    <w:rsid w:val="00A63284"/>
    <w:rsid w:val="00A643AE"/>
    <w:rsid w:val="00A64DD7"/>
    <w:rsid w:val="00A66134"/>
    <w:rsid w:val="00A66405"/>
    <w:rsid w:val="00A70DB9"/>
    <w:rsid w:val="00A718A3"/>
    <w:rsid w:val="00A71F5B"/>
    <w:rsid w:val="00A721BA"/>
    <w:rsid w:val="00A7247F"/>
    <w:rsid w:val="00A725F0"/>
    <w:rsid w:val="00A72A44"/>
    <w:rsid w:val="00A72E76"/>
    <w:rsid w:val="00A734AB"/>
    <w:rsid w:val="00A73F45"/>
    <w:rsid w:val="00A753CC"/>
    <w:rsid w:val="00A755E2"/>
    <w:rsid w:val="00A7601B"/>
    <w:rsid w:val="00A76B0F"/>
    <w:rsid w:val="00A76C42"/>
    <w:rsid w:val="00A77100"/>
    <w:rsid w:val="00A7719F"/>
    <w:rsid w:val="00A80891"/>
    <w:rsid w:val="00A808A7"/>
    <w:rsid w:val="00A80934"/>
    <w:rsid w:val="00A81616"/>
    <w:rsid w:val="00A81AE1"/>
    <w:rsid w:val="00A822BE"/>
    <w:rsid w:val="00A82898"/>
    <w:rsid w:val="00A82E54"/>
    <w:rsid w:val="00A8311C"/>
    <w:rsid w:val="00A83BC1"/>
    <w:rsid w:val="00A841E5"/>
    <w:rsid w:val="00A8483F"/>
    <w:rsid w:val="00A84C3B"/>
    <w:rsid w:val="00A851E1"/>
    <w:rsid w:val="00A857F2"/>
    <w:rsid w:val="00A8585B"/>
    <w:rsid w:val="00A85ABF"/>
    <w:rsid w:val="00A85F22"/>
    <w:rsid w:val="00A86FA7"/>
    <w:rsid w:val="00A87882"/>
    <w:rsid w:val="00A909F9"/>
    <w:rsid w:val="00A90BAF"/>
    <w:rsid w:val="00A90D3B"/>
    <w:rsid w:val="00A91494"/>
    <w:rsid w:val="00A92D9A"/>
    <w:rsid w:val="00A95237"/>
    <w:rsid w:val="00AA0C94"/>
    <w:rsid w:val="00AA20BF"/>
    <w:rsid w:val="00AA24D5"/>
    <w:rsid w:val="00AA2B12"/>
    <w:rsid w:val="00AA305C"/>
    <w:rsid w:val="00AA32D3"/>
    <w:rsid w:val="00AA4406"/>
    <w:rsid w:val="00AA4E36"/>
    <w:rsid w:val="00AA4F4E"/>
    <w:rsid w:val="00AA5CCF"/>
    <w:rsid w:val="00AA71F6"/>
    <w:rsid w:val="00AA7625"/>
    <w:rsid w:val="00AA7BDA"/>
    <w:rsid w:val="00AB021D"/>
    <w:rsid w:val="00AB0778"/>
    <w:rsid w:val="00AB1AF9"/>
    <w:rsid w:val="00AB2011"/>
    <w:rsid w:val="00AB2B1C"/>
    <w:rsid w:val="00AB3EE2"/>
    <w:rsid w:val="00AB5F38"/>
    <w:rsid w:val="00AB5F3B"/>
    <w:rsid w:val="00AB678F"/>
    <w:rsid w:val="00AB701B"/>
    <w:rsid w:val="00AB7412"/>
    <w:rsid w:val="00AB7AB6"/>
    <w:rsid w:val="00AC0256"/>
    <w:rsid w:val="00AC04DA"/>
    <w:rsid w:val="00AC11D6"/>
    <w:rsid w:val="00AC1711"/>
    <w:rsid w:val="00AC1ADE"/>
    <w:rsid w:val="00AC1F22"/>
    <w:rsid w:val="00AC2F18"/>
    <w:rsid w:val="00AC315A"/>
    <w:rsid w:val="00AC316C"/>
    <w:rsid w:val="00AC4A9A"/>
    <w:rsid w:val="00AC4EE1"/>
    <w:rsid w:val="00AC58D3"/>
    <w:rsid w:val="00AC5959"/>
    <w:rsid w:val="00AC6447"/>
    <w:rsid w:val="00AC6C41"/>
    <w:rsid w:val="00AC6D89"/>
    <w:rsid w:val="00AC759D"/>
    <w:rsid w:val="00AC75C3"/>
    <w:rsid w:val="00AC79E2"/>
    <w:rsid w:val="00AC7C57"/>
    <w:rsid w:val="00AD1A07"/>
    <w:rsid w:val="00AD1C7D"/>
    <w:rsid w:val="00AD490A"/>
    <w:rsid w:val="00AD4FE0"/>
    <w:rsid w:val="00AD5172"/>
    <w:rsid w:val="00AD5E3A"/>
    <w:rsid w:val="00AD7CB5"/>
    <w:rsid w:val="00AD7CC3"/>
    <w:rsid w:val="00AE01EB"/>
    <w:rsid w:val="00AE07BD"/>
    <w:rsid w:val="00AE0946"/>
    <w:rsid w:val="00AE0DBD"/>
    <w:rsid w:val="00AE1702"/>
    <w:rsid w:val="00AE180A"/>
    <w:rsid w:val="00AE18F4"/>
    <w:rsid w:val="00AE25CB"/>
    <w:rsid w:val="00AE2B49"/>
    <w:rsid w:val="00AE2FD1"/>
    <w:rsid w:val="00AE3199"/>
    <w:rsid w:val="00AE3BFA"/>
    <w:rsid w:val="00AE3DCD"/>
    <w:rsid w:val="00AE3E3A"/>
    <w:rsid w:val="00AE3F3A"/>
    <w:rsid w:val="00AE41FF"/>
    <w:rsid w:val="00AE426B"/>
    <w:rsid w:val="00AE4414"/>
    <w:rsid w:val="00AE45D5"/>
    <w:rsid w:val="00AE48AF"/>
    <w:rsid w:val="00AE5ED1"/>
    <w:rsid w:val="00AE6671"/>
    <w:rsid w:val="00AE72A1"/>
    <w:rsid w:val="00AF0069"/>
    <w:rsid w:val="00AF05B2"/>
    <w:rsid w:val="00AF0821"/>
    <w:rsid w:val="00AF0870"/>
    <w:rsid w:val="00AF0BC5"/>
    <w:rsid w:val="00AF0C26"/>
    <w:rsid w:val="00AF1208"/>
    <w:rsid w:val="00AF12A6"/>
    <w:rsid w:val="00AF1733"/>
    <w:rsid w:val="00AF2AEA"/>
    <w:rsid w:val="00AF3497"/>
    <w:rsid w:val="00AF4670"/>
    <w:rsid w:val="00AF497E"/>
    <w:rsid w:val="00AF49BF"/>
    <w:rsid w:val="00AF591E"/>
    <w:rsid w:val="00AF5DAE"/>
    <w:rsid w:val="00AF5FF1"/>
    <w:rsid w:val="00AF724C"/>
    <w:rsid w:val="00AF7705"/>
    <w:rsid w:val="00AF7CBD"/>
    <w:rsid w:val="00AF7CDE"/>
    <w:rsid w:val="00B00056"/>
    <w:rsid w:val="00B00440"/>
    <w:rsid w:val="00B00C12"/>
    <w:rsid w:val="00B00EA0"/>
    <w:rsid w:val="00B015D9"/>
    <w:rsid w:val="00B017AE"/>
    <w:rsid w:val="00B01A0F"/>
    <w:rsid w:val="00B01D89"/>
    <w:rsid w:val="00B0216D"/>
    <w:rsid w:val="00B025D6"/>
    <w:rsid w:val="00B026C0"/>
    <w:rsid w:val="00B02F40"/>
    <w:rsid w:val="00B03979"/>
    <w:rsid w:val="00B0452C"/>
    <w:rsid w:val="00B04CFB"/>
    <w:rsid w:val="00B0577F"/>
    <w:rsid w:val="00B0633E"/>
    <w:rsid w:val="00B06540"/>
    <w:rsid w:val="00B067AE"/>
    <w:rsid w:val="00B07345"/>
    <w:rsid w:val="00B100F8"/>
    <w:rsid w:val="00B10168"/>
    <w:rsid w:val="00B10255"/>
    <w:rsid w:val="00B10B8A"/>
    <w:rsid w:val="00B10D6F"/>
    <w:rsid w:val="00B111B6"/>
    <w:rsid w:val="00B1126D"/>
    <w:rsid w:val="00B11D9E"/>
    <w:rsid w:val="00B12605"/>
    <w:rsid w:val="00B12CA0"/>
    <w:rsid w:val="00B13278"/>
    <w:rsid w:val="00B13357"/>
    <w:rsid w:val="00B13363"/>
    <w:rsid w:val="00B134FA"/>
    <w:rsid w:val="00B13648"/>
    <w:rsid w:val="00B160BD"/>
    <w:rsid w:val="00B163E5"/>
    <w:rsid w:val="00B164BF"/>
    <w:rsid w:val="00B169DB"/>
    <w:rsid w:val="00B16EAF"/>
    <w:rsid w:val="00B173C0"/>
    <w:rsid w:val="00B17F58"/>
    <w:rsid w:val="00B17F5B"/>
    <w:rsid w:val="00B205DC"/>
    <w:rsid w:val="00B205DD"/>
    <w:rsid w:val="00B20BBF"/>
    <w:rsid w:val="00B20D04"/>
    <w:rsid w:val="00B20D2E"/>
    <w:rsid w:val="00B2258F"/>
    <w:rsid w:val="00B22AF8"/>
    <w:rsid w:val="00B23A58"/>
    <w:rsid w:val="00B23F7C"/>
    <w:rsid w:val="00B248D6"/>
    <w:rsid w:val="00B25155"/>
    <w:rsid w:val="00B25A01"/>
    <w:rsid w:val="00B25CF6"/>
    <w:rsid w:val="00B25FD1"/>
    <w:rsid w:val="00B26992"/>
    <w:rsid w:val="00B26C24"/>
    <w:rsid w:val="00B2797F"/>
    <w:rsid w:val="00B27B4F"/>
    <w:rsid w:val="00B27D30"/>
    <w:rsid w:val="00B27E43"/>
    <w:rsid w:val="00B27F9E"/>
    <w:rsid w:val="00B307D0"/>
    <w:rsid w:val="00B31201"/>
    <w:rsid w:val="00B3191F"/>
    <w:rsid w:val="00B3242D"/>
    <w:rsid w:val="00B324B8"/>
    <w:rsid w:val="00B328FB"/>
    <w:rsid w:val="00B332DF"/>
    <w:rsid w:val="00B3336E"/>
    <w:rsid w:val="00B3370A"/>
    <w:rsid w:val="00B3376A"/>
    <w:rsid w:val="00B33A4A"/>
    <w:rsid w:val="00B33F11"/>
    <w:rsid w:val="00B33FD6"/>
    <w:rsid w:val="00B34B1F"/>
    <w:rsid w:val="00B353A5"/>
    <w:rsid w:val="00B358DB"/>
    <w:rsid w:val="00B35AFD"/>
    <w:rsid w:val="00B35C70"/>
    <w:rsid w:val="00B362BE"/>
    <w:rsid w:val="00B37048"/>
    <w:rsid w:val="00B37472"/>
    <w:rsid w:val="00B37639"/>
    <w:rsid w:val="00B37C1C"/>
    <w:rsid w:val="00B400A9"/>
    <w:rsid w:val="00B401E4"/>
    <w:rsid w:val="00B40D0B"/>
    <w:rsid w:val="00B42B0A"/>
    <w:rsid w:val="00B42C37"/>
    <w:rsid w:val="00B43B45"/>
    <w:rsid w:val="00B444F5"/>
    <w:rsid w:val="00B45BF9"/>
    <w:rsid w:val="00B45C8A"/>
    <w:rsid w:val="00B467E0"/>
    <w:rsid w:val="00B469F5"/>
    <w:rsid w:val="00B5058F"/>
    <w:rsid w:val="00B50689"/>
    <w:rsid w:val="00B506B1"/>
    <w:rsid w:val="00B51862"/>
    <w:rsid w:val="00B52313"/>
    <w:rsid w:val="00B52821"/>
    <w:rsid w:val="00B53641"/>
    <w:rsid w:val="00B536A0"/>
    <w:rsid w:val="00B53F91"/>
    <w:rsid w:val="00B5459E"/>
    <w:rsid w:val="00B54786"/>
    <w:rsid w:val="00B54C68"/>
    <w:rsid w:val="00B54E00"/>
    <w:rsid w:val="00B55DB1"/>
    <w:rsid w:val="00B56CBD"/>
    <w:rsid w:val="00B56E50"/>
    <w:rsid w:val="00B57313"/>
    <w:rsid w:val="00B57407"/>
    <w:rsid w:val="00B57546"/>
    <w:rsid w:val="00B60A42"/>
    <w:rsid w:val="00B6110A"/>
    <w:rsid w:val="00B61799"/>
    <w:rsid w:val="00B6236C"/>
    <w:rsid w:val="00B62C0C"/>
    <w:rsid w:val="00B63010"/>
    <w:rsid w:val="00B63E86"/>
    <w:rsid w:val="00B648BA"/>
    <w:rsid w:val="00B64B11"/>
    <w:rsid w:val="00B65992"/>
    <w:rsid w:val="00B66C52"/>
    <w:rsid w:val="00B67400"/>
    <w:rsid w:val="00B67654"/>
    <w:rsid w:val="00B67CF6"/>
    <w:rsid w:val="00B70066"/>
    <w:rsid w:val="00B71C5D"/>
    <w:rsid w:val="00B724E5"/>
    <w:rsid w:val="00B72D47"/>
    <w:rsid w:val="00B73756"/>
    <w:rsid w:val="00B739D4"/>
    <w:rsid w:val="00B73BF3"/>
    <w:rsid w:val="00B74885"/>
    <w:rsid w:val="00B74A23"/>
    <w:rsid w:val="00B75002"/>
    <w:rsid w:val="00B754E9"/>
    <w:rsid w:val="00B76108"/>
    <w:rsid w:val="00B7658F"/>
    <w:rsid w:val="00B7675C"/>
    <w:rsid w:val="00B76898"/>
    <w:rsid w:val="00B76DA1"/>
    <w:rsid w:val="00B77677"/>
    <w:rsid w:val="00B77B7B"/>
    <w:rsid w:val="00B77E1E"/>
    <w:rsid w:val="00B80478"/>
    <w:rsid w:val="00B80546"/>
    <w:rsid w:val="00B8071A"/>
    <w:rsid w:val="00B80AF5"/>
    <w:rsid w:val="00B81424"/>
    <w:rsid w:val="00B82B5C"/>
    <w:rsid w:val="00B8397B"/>
    <w:rsid w:val="00B839AD"/>
    <w:rsid w:val="00B83E9E"/>
    <w:rsid w:val="00B8434F"/>
    <w:rsid w:val="00B84CDE"/>
    <w:rsid w:val="00B851EA"/>
    <w:rsid w:val="00B86832"/>
    <w:rsid w:val="00B86F4A"/>
    <w:rsid w:val="00B87336"/>
    <w:rsid w:val="00B87807"/>
    <w:rsid w:val="00B879F4"/>
    <w:rsid w:val="00B87B88"/>
    <w:rsid w:val="00B90A51"/>
    <w:rsid w:val="00B90AC2"/>
    <w:rsid w:val="00B90DBA"/>
    <w:rsid w:val="00B912E8"/>
    <w:rsid w:val="00B9171B"/>
    <w:rsid w:val="00B91FCB"/>
    <w:rsid w:val="00B91FD1"/>
    <w:rsid w:val="00B9356B"/>
    <w:rsid w:val="00B93975"/>
    <w:rsid w:val="00B93D38"/>
    <w:rsid w:val="00B947CB"/>
    <w:rsid w:val="00B949C3"/>
    <w:rsid w:val="00B94FC1"/>
    <w:rsid w:val="00B94FEE"/>
    <w:rsid w:val="00B956D7"/>
    <w:rsid w:val="00B95707"/>
    <w:rsid w:val="00B95D42"/>
    <w:rsid w:val="00B95E24"/>
    <w:rsid w:val="00B96800"/>
    <w:rsid w:val="00B96870"/>
    <w:rsid w:val="00BA11FC"/>
    <w:rsid w:val="00BA12AC"/>
    <w:rsid w:val="00BA14AB"/>
    <w:rsid w:val="00BA200C"/>
    <w:rsid w:val="00BA35D9"/>
    <w:rsid w:val="00BA3D9A"/>
    <w:rsid w:val="00BA4129"/>
    <w:rsid w:val="00BA4F3B"/>
    <w:rsid w:val="00BA5238"/>
    <w:rsid w:val="00BA7070"/>
    <w:rsid w:val="00BA77B6"/>
    <w:rsid w:val="00BB066B"/>
    <w:rsid w:val="00BB09D4"/>
    <w:rsid w:val="00BB0DF8"/>
    <w:rsid w:val="00BB0FC9"/>
    <w:rsid w:val="00BB228B"/>
    <w:rsid w:val="00BB235C"/>
    <w:rsid w:val="00BB2D96"/>
    <w:rsid w:val="00BB409D"/>
    <w:rsid w:val="00BB4D05"/>
    <w:rsid w:val="00BB4D7C"/>
    <w:rsid w:val="00BB5524"/>
    <w:rsid w:val="00BB602A"/>
    <w:rsid w:val="00BB7439"/>
    <w:rsid w:val="00BB76F5"/>
    <w:rsid w:val="00BC04CD"/>
    <w:rsid w:val="00BC061C"/>
    <w:rsid w:val="00BC0F2B"/>
    <w:rsid w:val="00BC108C"/>
    <w:rsid w:val="00BC14E4"/>
    <w:rsid w:val="00BC17A4"/>
    <w:rsid w:val="00BC2684"/>
    <w:rsid w:val="00BC2D2A"/>
    <w:rsid w:val="00BC300E"/>
    <w:rsid w:val="00BC312E"/>
    <w:rsid w:val="00BC38FD"/>
    <w:rsid w:val="00BC3D5D"/>
    <w:rsid w:val="00BC3DC9"/>
    <w:rsid w:val="00BC468A"/>
    <w:rsid w:val="00BC487B"/>
    <w:rsid w:val="00BC4C9C"/>
    <w:rsid w:val="00BC503F"/>
    <w:rsid w:val="00BC53C3"/>
    <w:rsid w:val="00BC56F2"/>
    <w:rsid w:val="00BC5710"/>
    <w:rsid w:val="00BC669C"/>
    <w:rsid w:val="00BC66D3"/>
    <w:rsid w:val="00BC6AC9"/>
    <w:rsid w:val="00BC6E42"/>
    <w:rsid w:val="00BC72B6"/>
    <w:rsid w:val="00BC73F7"/>
    <w:rsid w:val="00BC7E1D"/>
    <w:rsid w:val="00BD03EC"/>
    <w:rsid w:val="00BD11BF"/>
    <w:rsid w:val="00BD1B05"/>
    <w:rsid w:val="00BD1E22"/>
    <w:rsid w:val="00BD3DB7"/>
    <w:rsid w:val="00BD428F"/>
    <w:rsid w:val="00BD43F3"/>
    <w:rsid w:val="00BD4495"/>
    <w:rsid w:val="00BD49B8"/>
    <w:rsid w:val="00BD4DB2"/>
    <w:rsid w:val="00BD4F69"/>
    <w:rsid w:val="00BD584E"/>
    <w:rsid w:val="00BD5C8E"/>
    <w:rsid w:val="00BD5CD8"/>
    <w:rsid w:val="00BD624D"/>
    <w:rsid w:val="00BD685F"/>
    <w:rsid w:val="00BD6867"/>
    <w:rsid w:val="00BD68DE"/>
    <w:rsid w:val="00BD76B0"/>
    <w:rsid w:val="00BE07E1"/>
    <w:rsid w:val="00BE1362"/>
    <w:rsid w:val="00BE147A"/>
    <w:rsid w:val="00BE2375"/>
    <w:rsid w:val="00BE2ABF"/>
    <w:rsid w:val="00BE3DA0"/>
    <w:rsid w:val="00BE4579"/>
    <w:rsid w:val="00BE486C"/>
    <w:rsid w:val="00BE491D"/>
    <w:rsid w:val="00BE4AED"/>
    <w:rsid w:val="00BE4E6C"/>
    <w:rsid w:val="00BE5881"/>
    <w:rsid w:val="00BE59A5"/>
    <w:rsid w:val="00BE5E2D"/>
    <w:rsid w:val="00BE69B7"/>
    <w:rsid w:val="00BE6B23"/>
    <w:rsid w:val="00BF058D"/>
    <w:rsid w:val="00BF05EE"/>
    <w:rsid w:val="00BF06D1"/>
    <w:rsid w:val="00BF1131"/>
    <w:rsid w:val="00BF1B7A"/>
    <w:rsid w:val="00BF2296"/>
    <w:rsid w:val="00BF2F77"/>
    <w:rsid w:val="00BF2FA3"/>
    <w:rsid w:val="00BF3EA2"/>
    <w:rsid w:val="00BF4287"/>
    <w:rsid w:val="00BF5F47"/>
    <w:rsid w:val="00BF6031"/>
    <w:rsid w:val="00BF64F0"/>
    <w:rsid w:val="00BF6AAA"/>
    <w:rsid w:val="00BF7B76"/>
    <w:rsid w:val="00C0025E"/>
    <w:rsid w:val="00C006CD"/>
    <w:rsid w:val="00C00CB3"/>
    <w:rsid w:val="00C01371"/>
    <w:rsid w:val="00C01F55"/>
    <w:rsid w:val="00C023EC"/>
    <w:rsid w:val="00C02EF8"/>
    <w:rsid w:val="00C02FFD"/>
    <w:rsid w:val="00C03B6B"/>
    <w:rsid w:val="00C0476C"/>
    <w:rsid w:val="00C04E61"/>
    <w:rsid w:val="00C05C4B"/>
    <w:rsid w:val="00C06890"/>
    <w:rsid w:val="00C06903"/>
    <w:rsid w:val="00C069CE"/>
    <w:rsid w:val="00C06BD4"/>
    <w:rsid w:val="00C06BE3"/>
    <w:rsid w:val="00C0707B"/>
    <w:rsid w:val="00C07217"/>
    <w:rsid w:val="00C07416"/>
    <w:rsid w:val="00C0761B"/>
    <w:rsid w:val="00C07F50"/>
    <w:rsid w:val="00C11128"/>
    <w:rsid w:val="00C12794"/>
    <w:rsid w:val="00C12921"/>
    <w:rsid w:val="00C12CF7"/>
    <w:rsid w:val="00C1314F"/>
    <w:rsid w:val="00C13868"/>
    <w:rsid w:val="00C139A6"/>
    <w:rsid w:val="00C141F9"/>
    <w:rsid w:val="00C147F4"/>
    <w:rsid w:val="00C15015"/>
    <w:rsid w:val="00C1512C"/>
    <w:rsid w:val="00C15DBB"/>
    <w:rsid w:val="00C166C1"/>
    <w:rsid w:val="00C16736"/>
    <w:rsid w:val="00C1698E"/>
    <w:rsid w:val="00C1708F"/>
    <w:rsid w:val="00C17D8B"/>
    <w:rsid w:val="00C17EAB"/>
    <w:rsid w:val="00C17F77"/>
    <w:rsid w:val="00C20A82"/>
    <w:rsid w:val="00C20BA5"/>
    <w:rsid w:val="00C20C2E"/>
    <w:rsid w:val="00C20C47"/>
    <w:rsid w:val="00C20C4D"/>
    <w:rsid w:val="00C21580"/>
    <w:rsid w:val="00C22162"/>
    <w:rsid w:val="00C22674"/>
    <w:rsid w:val="00C254FF"/>
    <w:rsid w:val="00C25993"/>
    <w:rsid w:val="00C262CC"/>
    <w:rsid w:val="00C271DF"/>
    <w:rsid w:val="00C271FA"/>
    <w:rsid w:val="00C278C5"/>
    <w:rsid w:val="00C278CA"/>
    <w:rsid w:val="00C30118"/>
    <w:rsid w:val="00C30EBB"/>
    <w:rsid w:val="00C310F9"/>
    <w:rsid w:val="00C31BFB"/>
    <w:rsid w:val="00C32F1C"/>
    <w:rsid w:val="00C33A62"/>
    <w:rsid w:val="00C34325"/>
    <w:rsid w:val="00C34486"/>
    <w:rsid w:val="00C34C24"/>
    <w:rsid w:val="00C350FE"/>
    <w:rsid w:val="00C354B1"/>
    <w:rsid w:val="00C35A9F"/>
    <w:rsid w:val="00C35AEC"/>
    <w:rsid w:val="00C36E14"/>
    <w:rsid w:val="00C374AD"/>
    <w:rsid w:val="00C37CF7"/>
    <w:rsid w:val="00C37F66"/>
    <w:rsid w:val="00C408D4"/>
    <w:rsid w:val="00C4139C"/>
    <w:rsid w:val="00C4163F"/>
    <w:rsid w:val="00C41DC2"/>
    <w:rsid w:val="00C41E97"/>
    <w:rsid w:val="00C42490"/>
    <w:rsid w:val="00C42EA3"/>
    <w:rsid w:val="00C42EF5"/>
    <w:rsid w:val="00C431A3"/>
    <w:rsid w:val="00C4320F"/>
    <w:rsid w:val="00C444CE"/>
    <w:rsid w:val="00C44D28"/>
    <w:rsid w:val="00C44EB9"/>
    <w:rsid w:val="00C45368"/>
    <w:rsid w:val="00C4570D"/>
    <w:rsid w:val="00C4677D"/>
    <w:rsid w:val="00C47D7A"/>
    <w:rsid w:val="00C500A0"/>
    <w:rsid w:val="00C5020F"/>
    <w:rsid w:val="00C50352"/>
    <w:rsid w:val="00C51585"/>
    <w:rsid w:val="00C51AAD"/>
    <w:rsid w:val="00C51CFC"/>
    <w:rsid w:val="00C520C6"/>
    <w:rsid w:val="00C523B3"/>
    <w:rsid w:val="00C52A30"/>
    <w:rsid w:val="00C52DB3"/>
    <w:rsid w:val="00C52EAF"/>
    <w:rsid w:val="00C53225"/>
    <w:rsid w:val="00C533B8"/>
    <w:rsid w:val="00C53744"/>
    <w:rsid w:val="00C53BBE"/>
    <w:rsid w:val="00C53ED0"/>
    <w:rsid w:val="00C550D6"/>
    <w:rsid w:val="00C55B39"/>
    <w:rsid w:val="00C55E52"/>
    <w:rsid w:val="00C5613F"/>
    <w:rsid w:val="00C56499"/>
    <w:rsid w:val="00C56685"/>
    <w:rsid w:val="00C56886"/>
    <w:rsid w:val="00C568CD"/>
    <w:rsid w:val="00C56DEF"/>
    <w:rsid w:val="00C56E66"/>
    <w:rsid w:val="00C56EA2"/>
    <w:rsid w:val="00C57701"/>
    <w:rsid w:val="00C57C11"/>
    <w:rsid w:val="00C60600"/>
    <w:rsid w:val="00C612E5"/>
    <w:rsid w:val="00C614A2"/>
    <w:rsid w:val="00C615D8"/>
    <w:rsid w:val="00C61D6D"/>
    <w:rsid w:val="00C6226D"/>
    <w:rsid w:val="00C646BE"/>
    <w:rsid w:val="00C64BA1"/>
    <w:rsid w:val="00C64E73"/>
    <w:rsid w:val="00C65EF3"/>
    <w:rsid w:val="00C6686D"/>
    <w:rsid w:val="00C67034"/>
    <w:rsid w:val="00C67069"/>
    <w:rsid w:val="00C670BC"/>
    <w:rsid w:val="00C67246"/>
    <w:rsid w:val="00C679D5"/>
    <w:rsid w:val="00C70480"/>
    <w:rsid w:val="00C704FA"/>
    <w:rsid w:val="00C71435"/>
    <w:rsid w:val="00C73E0D"/>
    <w:rsid w:val="00C7438A"/>
    <w:rsid w:val="00C745F7"/>
    <w:rsid w:val="00C74762"/>
    <w:rsid w:val="00C74C57"/>
    <w:rsid w:val="00C74E3E"/>
    <w:rsid w:val="00C7556F"/>
    <w:rsid w:val="00C7569A"/>
    <w:rsid w:val="00C7618E"/>
    <w:rsid w:val="00C764AC"/>
    <w:rsid w:val="00C771D0"/>
    <w:rsid w:val="00C77B0E"/>
    <w:rsid w:val="00C803B3"/>
    <w:rsid w:val="00C803D2"/>
    <w:rsid w:val="00C807A4"/>
    <w:rsid w:val="00C80D19"/>
    <w:rsid w:val="00C80E62"/>
    <w:rsid w:val="00C81E91"/>
    <w:rsid w:val="00C842E4"/>
    <w:rsid w:val="00C85D81"/>
    <w:rsid w:val="00C8633A"/>
    <w:rsid w:val="00C86DC0"/>
    <w:rsid w:val="00C87291"/>
    <w:rsid w:val="00C872E2"/>
    <w:rsid w:val="00C87388"/>
    <w:rsid w:val="00C87888"/>
    <w:rsid w:val="00C90548"/>
    <w:rsid w:val="00C90BF6"/>
    <w:rsid w:val="00C9117B"/>
    <w:rsid w:val="00C9163A"/>
    <w:rsid w:val="00C92FD4"/>
    <w:rsid w:val="00C95386"/>
    <w:rsid w:val="00C958FA"/>
    <w:rsid w:val="00C95DCE"/>
    <w:rsid w:val="00C95E93"/>
    <w:rsid w:val="00C962FB"/>
    <w:rsid w:val="00C964CB"/>
    <w:rsid w:val="00C96A22"/>
    <w:rsid w:val="00C96F13"/>
    <w:rsid w:val="00C978B2"/>
    <w:rsid w:val="00CA0D0B"/>
    <w:rsid w:val="00CA0E99"/>
    <w:rsid w:val="00CA0F2E"/>
    <w:rsid w:val="00CA1262"/>
    <w:rsid w:val="00CA1703"/>
    <w:rsid w:val="00CA176D"/>
    <w:rsid w:val="00CA2E96"/>
    <w:rsid w:val="00CA323E"/>
    <w:rsid w:val="00CA366F"/>
    <w:rsid w:val="00CA3B4A"/>
    <w:rsid w:val="00CA3D93"/>
    <w:rsid w:val="00CA432B"/>
    <w:rsid w:val="00CA51FC"/>
    <w:rsid w:val="00CA5561"/>
    <w:rsid w:val="00CA55D9"/>
    <w:rsid w:val="00CA589C"/>
    <w:rsid w:val="00CA58C4"/>
    <w:rsid w:val="00CA602C"/>
    <w:rsid w:val="00CA6256"/>
    <w:rsid w:val="00CA64AA"/>
    <w:rsid w:val="00CA749B"/>
    <w:rsid w:val="00CA795F"/>
    <w:rsid w:val="00CA7BA9"/>
    <w:rsid w:val="00CA7C1E"/>
    <w:rsid w:val="00CB029F"/>
    <w:rsid w:val="00CB042E"/>
    <w:rsid w:val="00CB0593"/>
    <w:rsid w:val="00CB05DA"/>
    <w:rsid w:val="00CB0626"/>
    <w:rsid w:val="00CB06F1"/>
    <w:rsid w:val="00CB177B"/>
    <w:rsid w:val="00CB3A55"/>
    <w:rsid w:val="00CB4246"/>
    <w:rsid w:val="00CB4B29"/>
    <w:rsid w:val="00CB5707"/>
    <w:rsid w:val="00CB59C5"/>
    <w:rsid w:val="00CB5EFE"/>
    <w:rsid w:val="00CB636A"/>
    <w:rsid w:val="00CB64F2"/>
    <w:rsid w:val="00CB6AEF"/>
    <w:rsid w:val="00CB6BCF"/>
    <w:rsid w:val="00CB72BB"/>
    <w:rsid w:val="00CB7E38"/>
    <w:rsid w:val="00CB7F10"/>
    <w:rsid w:val="00CC033A"/>
    <w:rsid w:val="00CC04C8"/>
    <w:rsid w:val="00CC06AF"/>
    <w:rsid w:val="00CC0E73"/>
    <w:rsid w:val="00CC1768"/>
    <w:rsid w:val="00CC1982"/>
    <w:rsid w:val="00CC1D84"/>
    <w:rsid w:val="00CC2293"/>
    <w:rsid w:val="00CC2CB7"/>
    <w:rsid w:val="00CC30CC"/>
    <w:rsid w:val="00CC3163"/>
    <w:rsid w:val="00CC3347"/>
    <w:rsid w:val="00CC35B6"/>
    <w:rsid w:val="00CC368B"/>
    <w:rsid w:val="00CC3752"/>
    <w:rsid w:val="00CC3DC2"/>
    <w:rsid w:val="00CC4466"/>
    <w:rsid w:val="00CC46B0"/>
    <w:rsid w:val="00CC474D"/>
    <w:rsid w:val="00CC4E80"/>
    <w:rsid w:val="00CC5573"/>
    <w:rsid w:val="00CC5F74"/>
    <w:rsid w:val="00CC618C"/>
    <w:rsid w:val="00CC6951"/>
    <w:rsid w:val="00CC6995"/>
    <w:rsid w:val="00CC6F7B"/>
    <w:rsid w:val="00CC7615"/>
    <w:rsid w:val="00CC780F"/>
    <w:rsid w:val="00CD06A7"/>
    <w:rsid w:val="00CD0A2E"/>
    <w:rsid w:val="00CD0B2D"/>
    <w:rsid w:val="00CD17DA"/>
    <w:rsid w:val="00CD1943"/>
    <w:rsid w:val="00CD26C5"/>
    <w:rsid w:val="00CD2722"/>
    <w:rsid w:val="00CD33DF"/>
    <w:rsid w:val="00CD37EE"/>
    <w:rsid w:val="00CD3864"/>
    <w:rsid w:val="00CD53EB"/>
    <w:rsid w:val="00CD54D8"/>
    <w:rsid w:val="00CD56B2"/>
    <w:rsid w:val="00CD570B"/>
    <w:rsid w:val="00CD61E4"/>
    <w:rsid w:val="00CD6603"/>
    <w:rsid w:val="00CD6FB7"/>
    <w:rsid w:val="00CE0B81"/>
    <w:rsid w:val="00CE0C42"/>
    <w:rsid w:val="00CE110C"/>
    <w:rsid w:val="00CE13EE"/>
    <w:rsid w:val="00CE1B43"/>
    <w:rsid w:val="00CE1E98"/>
    <w:rsid w:val="00CE2870"/>
    <w:rsid w:val="00CE2CC1"/>
    <w:rsid w:val="00CE2F90"/>
    <w:rsid w:val="00CE3790"/>
    <w:rsid w:val="00CE3F0D"/>
    <w:rsid w:val="00CE4083"/>
    <w:rsid w:val="00CE4542"/>
    <w:rsid w:val="00CE458C"/>
    <w:rsid w:val="00CE46A7"/>
    <w:rsid w:val="00CE56E5"/>
    <w:rsid w:val="00CE598C"/>
    <w:rsid w:val="00CE7334"/>
    <w:rsid w:val="00CE7468"/>
    <w:rsid w:val="00CE7658"/>
    <w:rsid w:val="00CE7D21"/>
    <w:rsid w:val="00CE7D4B"/>
    <w:rsid w:val="00CF0D4F"/>
    <w:rsid w:val="00CF0EA9"/>
    <w:rsid w:val="00CF1047"/>
    <w:rsid w:val="00CF1523"/>
    <w:rsid w:val="00CF1639"/>
    <w:rsid w:val="00CF1FB5"/>
    <w:rsid w:val="00CF27C8"/>
    <w:rsid w:val="00CF2B91"/>
    <w:rsid w:val="00CF3D0C"/>
    <w:rsid w:val="00CF457F"/>
    <w:rsid w:val="00CF474C"/>
    <w:rsid w:val="00CF557E"/>
    <w:rsid w:val="00CF5638"/>
    <w:rsid w:val="00CF7485"/>
    <w:rsid w:val="00CF776C"/>
    <w:rsid w:val="00D00017"/>
    <w:rsid w:val="00D00877"/>
    <w:rsid w:val="00D0124B"/>
    <w:rsid w:val="00D0124D"/>
    <w:rsid w:val="00D02671"/>
    <w:rsid w:val="00D0269F"/>
    <w:rsid w:val="00D027ED"/>
    <w:rsid w:val="00D0288D"/>
    <w:rsid w:val="00D03430"/>
    <w:rsid w:val="00D03A49"/>
    <w:rsid w:val="00D03AA7"/>
    <w:rsid w:val="00D03EF1"/>
    <w:rsid w:val="00D041A5"/>
    <w:rsid w:val="00D045C2"/>
    <w:rsid w:val="00D05362"/>
    <w:rsid w:val="00D05639"/>
    <w:rsid w:val="00D058C0"/>
    <w:rsid w:val="00D05D94"/>
    <w:rsid w:val="00D05EB7"/>
    <w:rsid w:val="00D06F1B"/>
    <w:rsid w:val="00D0725B"/>
    <w:rsid w:val="00D0740D"/>
    <w:rsid w:val="00D07951"/>
    <w:rsid w:val="00D07ABE"/>
    <w:rsid w:val="00D10A98"/>
    <w:rsid w:val="00D11536"/>
    <w:rsid w:val="00D11D06"/>
    <w:rsid w:val="00D123E8"/>
    <w:rsid w:val="00D127ED"/>
    <w:rsid w:val="00D12DAB"/>
    <w:rsid w:val="00D13A12"/>
    <w:rsid w:val="00D13F05"/>
    <w:rsid w:val="00D13F74"/>
    <w:rsid w:val="00D1450E"/>
    <w:rsid w:val="00D14995"/>
    <w:rsid w:val="00D14CDD"/>
    <w:rsid w:val="00D14D6C"/>
    <w:rsid w:val="00D150D6"/>
    <w:rsid w:val="00D1581D"/>
    <w:rsid w:val="00D1586D"/>
    <w:rsid w:val="00D16929"/>
    <w:rsid w:val="00D16BDB"/>
    <w:rsid w:val="00D17331"/>
    <w:rsid w:val="00D17806"/>
    <w:rsid w:val="00D17BB7"/>
    <w:rsid w:val="00D20E64"/>
    <w:rsid w:val="00D21576"/>
    <w:rsid w:val="00D2175A"/>
    <w:rsid w:val="00D22D10"/>
    <w:rsid w:val="00D230E7"/>
    <w:rsid w:val="00D2320E"/>
    <w:rsid w:val="00D23668"/>
    <w:rsid w:val="00D24564"/>
    <w:rsid w:val="00D247F7"/>
    <w:rsid w:val="00D24D2D"/>
    <w:rsid w:val="00D24FBB"/>
    <w:rsid w:val="00D2532D"/>
    <w:rsid w:val="00D25712"/>
    <w:rsid w:val="00D263D3"/>
    <w:rsid w:val="00D265C2"/>
    <w:rsid w:val="00D26EB0"/>
    <w:rsid w:val="00D26F17"/>
    <w:rsid w:val="00D26F1C"/>
    <w:rsid w:val="00D27FED"/>
    <w:rsid w:val="00D30187"/>
    <w:rsid w:val="00D30D15"/>
    <w:rsid w:val="00D316A6"/>
    <w:rsid w:val="00D31755"/>
    <w:rsid w:val="00D32523"/>
    <w:rsid w:val="00D326F9"/>
    <w:rsid w:val="00D327C4"/>
    <w:rsid w:val="00D32BDF"/>
    <w:rsid w:val="00D32D81"/>
    <w:rsid w:val="00D33466"/>
    <w:rsid w:val="00D33584"/>
    <w:rsid w:val="00D33617"/>
    <w:rsid w:val="00D33950"/>
    <w:rsid w:val="00D348D1"/>
    <w:rsid w:val="00D34D73"/>
    <w:rsid w:val="00D34F67"/>
    <w:rsid w:val="00D350BA"/>
    <w:rsid w:val="00D35487"/>
    <w:rsid w:val="00D3558A"/>
    <w:rsid w:val="00D3658E"/>
    <w:rsid w:val="00D40BB7"/>
    <w:rsid w:val="00D413D6"/>
    <w:rsid w:val="00D42211"/>
    <w:rsid w:val="00D4233F"/>
    <w:rsid w:val="00D429EB"/>
    <w:rsid w:val="00D42AE6"/>
    <w:rsid w:val="00D4439B"/>
    <w:rsid w:val="00D4467E"/>
    <w:rsid w:val="00D4519E"/>
    <w:rsid w:val="00D4607E"/>
    <w:rsid w:val="00D46164"/>
    <w:rsid w:val="00D47B22"/>
    <w:rsid w:val="00D5184A"/>
    <w:rsid w:val="00D51867"/>
    <w:rsid w:val="00D52533"/>
    <w:rsid w:val="00D531CC"/>
    <w:rsid w:val="00D53500"/>
    <w:rsid w:val="00D5397B"/>
    <w:rsid w:val="00D5399F"/>
    <w:rsid w:val="00D5489C"/>
    <w:rsid w:val="00D54D20"/>
    <w:rsid w:val="00D5587F"/>
    <w:rsid w:val="00D563C3"/>
    <w:rsid w:val="00D56E2D"/>
    <w:rsid w:val="00D60D20"/>
    <w:rsid w:val="00D60E55"/>
    <w:rsid w:val="00D61733"/>
    <w:rsid w:val="00D618B9"/>
    <w:rsid w:val="00D6264D"/>
    <w:rsid w:val="00D63009"/>
    <w:rsid w:val="00D63311"/>
    <w:rsid w:val="00D639D0"/>
    <w:rsid w:val="00D644D6"/>
    <w:rsid w:val="00D65E44"/>
    <w:rsid w:val="00D6605A"/>
    <w:rsid w:val="00D66586"/>
    <w:rsid w:val="00D668E8"/>
    <w:rsid w:val="00D6699C"/>
    <w:rsid w:val="00D67102"/>
    <w:rsid w:val="00D67BBF"/>
    <w:rsid w:val="00D67BD3"/>
    <w:rsid w:val="00D67E3C"/>
    <w:rsid w:val="00D70733"/>
    <w:rsid w:val="00D707CC"/>
    <w:rsid w:val="00D725A8"/>
    <w:rsid w:val="00D72637"/>
    <w:rsid w:val="00D72A74"/>
    <w:rsid w:val="00D731BE"/>
    <w:rsid w:val="00D733ED"/>
    <w:rsid w:val="00D7372F"/>
    <w:rsid w:val="00D73C2B"/>
    <w:rsid w:val="00D73CCA"/>
    <w:rsid w:val="00D74B3B"/>
    <w:rsid w:val="00D771CA"/>
    <w:rsid w:val="00D7784E"/>
    <w:rsid w:val="00D801A2"/>
    <w:rsid w:val="00D80C6D"/>
    <w:rsid w:val="00D80F6D"/>
    <w:rsid w:val="00D81085"/>
    <w:rsid w:val="00D81B3C"/>
    <w:rsid w:val="00D81F1B"/>
    <w:rsid w:val="00D829D5"/>
    <w:rsid w:val="00D82AF2"/>
    <w:rsid w:val="00D82C88"/>
    <w:rsid w:val="00D82E38"/>
    <w:rsid w:val="00D83324"/>
    <w:rsid w:val="00D833F9"/>
    <w:rsid w:val="00D837C5"/>
    <w:rsid w:val="00D84188"/>
    <w:rsid w:val="00D84978"/>
    <w:rsid w:val="00D84A7A"/>
    <w:rsid w:val="00D8550F"/>
    <w:rsid w:val="00D85914"/>
    <w:rsid w:val="00D8596F"/>
    <w:rsid w:val="00D85DFF"/>
    <w:rsid w:val="00D85E01"/>
    <w:rsid w:val="00D85FEE"/>
    <w:rsid w:val="00D866CB"/>
    <w:rsid w:val="00D868A3"/>
    <w:rsid w:val="00D86A51"/>
    <w:rsid w:val="00D86CE8"/>
    <w:rsid w:val="00D9004A"/>
    <w:rsid w:val="00D9027D"/>
    <w:rsid w:val="00D902F5"/>
    <w:rsid w:val="00D90419"/>
    <w:rsid w:val="00D90988"/>
    <w:rsid w:val="00D9099F"/>
    <w:rsid w:val="00D909F7"/>
    <w:rsid w:val="00D90C7E"/>
    <w:rsid w:val="00D90E97"/>
    <w:rsid w:val="00D91340"/>
    <w:rsid w:val="00D91812"/>
    <w:rsid w:val="00D91870"/>
    <w:rsid w:val="00D927AA"/>
    <w:rsid w:val="00D930ED"/>
    <w:rsid w:val="00D9322D"/>
    <w:rsid w:val="00D938A7"/>
    <w:rsid w:val="00D939F6"/>
    <w:rsid w:val="00D94478"/>
    <w:rsid w:val="00D9518B"/>
    <w:rsid w:val="00D962FB"/>
    <w:rsid w:val="00D97199"/>
    <w:rsid w:val="00D975F8"/>
    <w:rsid w:val="00D97C50"/>
    <w:rsid w:val="00DA0596"/>
    <w:rsid w:val="00DA100E"/>
    <w:rsid w:val="00DA1742"/>
    <w:rsid w:val="00DA1E46"/>
    <w:rsid w:val="00DA312C"/>
    <w:rsid w:val="00DA405C"/>
    <w:rsid w:val="00DA413B"/>
    <w:rsid w:val="00DA5276"/>
    <w:rsid w:val="00DA54F6"/>
    <w:rsid w:val="00DA5C57"/>
    <w:rsid w:val="00DA6F2F"/>
    <w:rsid w:val="00DA6F8D"/>
    <w:rsid w:val="00DA7E59"/>
    <w:rsid w:val="00DA7FED"/>
    <w:rsid w:val="00DB058B"/>
    <w:rsid w:val="00DB0D57"/>
    <w:rsid w:val="00DB1274"/>
    <w:rsid w:val="00DB32BE"/>
    <w:rsid w:val="00DB3CFA"/>
    <w:rsid w:val="00DB4203"/>
    <w:rsid w:val="00DB427F"/>
    <w:rsid w:val="00DB42F3"/>
    <w:rsid w:val="00DB441A"/>
    <w:rsid w:val="00DB5870"/>
    <w:rsid w:val="00DB5D63"/>
    <w:rsid w:val="00DB62A6"/>
    <w:rsid w:val="00DB6614"/>
    <w:rsid w:val="00DB6F12"/>
    <w:rsid w:val="00DB7125"/>
    <w:rsid w:val="00DB76CA"/>
    <w:rsid w:val="00DC06E2"/>
    <w:rsid w:val="00DC0AF0"/>
    <w:rsid w:val="00DC1704"/>
    <w:rsid w:val="00DC1AB3"/>
    <w:rsid w:val="00DC212D"/>
    <w:rsid w:val="00DC2700"/>
    <w:rsid w:val="00DC2B9E"/>
    <w:rsid w:val="00DC2EFB"/>
    <w:rsid w:val="00DC2F1E"/>
    <w:rsid w:val="00DC3789"/>
    <w:rsid w:val="00DC38FB"/>
    <w:rsid w:val="00DC3C52"/>
    <w:rsid w:val="00DC4259"/>
    <w:rsid w:val="00DC55B4"/>
    <w:rsid w:val="00DC60A5"/>
    <w:rsid w:val="00DC6806"/>
    <w:rsid w:val="00DC73B3"/>
    <w:rsid w:val="00DC7931"/>
    <w:rsid w:val="00DC7CD5"/>
    <w:rsid w:val="00DD15B1"/>
    <w:rsid w:val="00DD211A"/>
    <w:rsid w:val="00DD3536"/>
    <w:rsid w:val="00DD5163"/>
    <w:rsid w:val="00DD5315"/>
    <w:rsid w:val="00DD54D0"/>
    <w:rsid w:val="00DD67E8"/>
    <w:rsid w:val="00DD6A9C"/>
    <w:rsid w:val="00DD6E4B"/>
    <w:rsid w:val="00DD714D"/>
    <w:rsid w:val="00DD798D"/>
    <w:rsid w:val="00DD79C7"/>
    <w:rsid w:val="00DE03AC"/>
    <w:rsid w:val="00DE05E5"/>
    <w:rsid w:val="00DE09FD"/>
    <w:rsid w:val="00DE16B8"/>
    <w:rsid w:val="00DE1A71"/>
    <w:rsid w:val="00DE1B67"/>
    <w:rsid w:val="00DE288E"/>
    <w:rsid w:val="00DE298C"/>
    <w:rsid w:val="00DE3570"/>
    <w:rsid w:val="00DE4169"/>
    <w:rsid w:val="00DE49E2"/>
    <w:rsid w:val="00DE6177"/>
    <w:rsid w:val="00DE65D5"/>
    <w:rsid w:val="00DE68EE"/>
    <w:rsid w:val="00DE740A"/>
    <w:rsid w:val="00DE7AF1"/>
    <w:rsid w:val="00DE7FBA"/>
    <w:rsid w:val="00DF04CF"/>
    <w:rsid w:val="00DF0B2B"/>
    <w:rsid w:val="00DF0BA4"/>
    <w:rsid w:val="00DF14AD"/>
    <w:rsid w:val="00DF2407"/>
    <w:rsid w:val="00DF24D0"/>
    <w:rsid w:val="00DF2E56"/>
    <w:rsid w:val="00DF2FD6"/>
    <w:rsid w:val="00DF3389"/>
    <w:rsid w:val="00DF3CCC"/>
    <w:rsid w:val="00DF591A"/>
    <w:rsid w:val="00DF5B89"/>
    <w:rsid w:val="00DF5FF4"/>
    <w:rsid w:val="00DF61B0"/>
    <w:rsid w:val="00DF67D9"/>
    <w:rsid w:val="00DF6B36"/>
    <w:rsid w:val="00DF7982"/>
    <w:rsid w:val="00E00CC8"/>
    <w:rsid w:val="00E00D8D"/>
    <w:rsid w:val="00E01749"/>
    <w:rsid w:val="00E02120"/>
    <w:rsid w:val="00E02BC0"/>
    <w:rsid w:val="00E02C57"/>
    <w:rsid w:val="00E02DD1"/>
    <w:rsid w:val="00E02E18"/>
    <w:rsid w:val="00E03909"/>
    <w:rsid w:val="00E03E2B"/>
    <w:rsid w:val="00E04AF3"/>
    <w:rsid w:val="00E04ED2"/>
    <w:rsid w:val="00E0520F"/>
    <w:rsid w:val="00E05CA6"/>
    <w:rsid w:val="00E061A1"/>
    <w:rsid w:val="00E06F25"/>
    <w:rsid w:val="00E06FB2"/>
    <w:rsid w:val="00E077DD"/>
    <w:rsid w:val="00E109B1"/>
    <w:rsid w:val="00E10AF9"/>
    <w:rsid w:val="00E11170"/>
    <w:rsid w:val="00E1148C"/>
    <w:rsid w:val="00E1287F"/>
    <w:rsid w:val="00E12888"/>
    <w:rsid w:val="00E12B7F"/>
    <w:rsid w:val="00E13476"/>
    <w:rsid w:val="00E1368E"/>
    <w:rsid w:val="00E13765"/>
    <w:rsid w:val="00E13AA0"/>
    <w:rsid w:val="00E1493F"/>
    <w:rsid w:val="00E15257"/>
    <w:rsid w:val="00E15C03"/>
    <w:rsid w:val="00E15DD2"/>
    <w:rsid w:val="00E15FC6"/>
    <w:rsid w:val="00E1775C"/>
    <w:rsid w:val="00E17BFC"/>
    <w:rsid w:val="00E17D26"/>
    <w:rsid w:val="00E17D31"/>
    <w:rsid w:val="00E17FDD"/>
    <w:rsid w:val="00E17FE3"/>
    <w:rsid w:val="00E2056A"/>
    <w:rsid w:val="00E20659"/>
    <w:rsid w:val="00E2073C"/>
    <w:rsid w:val="00E20BD6"/>
    <w:rsid w:val="00E20F2C"/>
    <w:rsid w:val="00E215BC"/>
    <w:rsid w:val="00E215D2"/>
    <w:rsid w:val="00E220EF"/>
    <w:rsid w:val="00E22A85"/>
    <w:rsid w:val="00E23642"/>
    <w:rsid w:val="00E23D4E"/>
    <w:rsid w:val="00E2454E"/>
    <w:rsid w:val="00E2480A"/>
    <w:rsid w:val="00E24BEA"/>
    <w:rsid w:val="00E251B9"/>
    <w:rsid w:val="00E258D0"/>
    <w:rsid w:val="00E25A06"/>
    <w:rsid w:val="00E262E3"/>
    <w:rsid w:val="00E2719E"/>
    <w:rsid w:val="00E27F31"/>
    <w:rsid w:val="00E30EA7"/>
    <w:rsid w:val="00E3102F"/>
    <w:rsid w:val="00E310C6"/>
    <w:rsid w:val="00E31E98"/>
    <w:rsid w:val="00E32697"/>
    <w:rsid w:val="00E32F0A"/>
    <w:rsid w:val="00E33BF2"/>
    <w:rsid w:val="00E349EC"/>
    <w:rsid w:val="00E34DDC"/>
    <w:rsid w:val="00E35AC3"/>
    <w:rsid w:val="00E36277"/>
    <w:rsid w:val="00E36DCC"/>
    <w:rsid w:val="00E37687"/>
    <w:rsid w:val="00E376C1"/>
    <w:rsid w:val="00E376F4"/>
    <w:rsid w:val="00E40E02"/>
    <w:rsid w:val="00E417D9"/>
    <w:rsid w:val="00E41A5D"/>
    <w:rsid w:val="00E41F96"/>
    <w:rsid w:val="00E4495F"/>
    <w:rsid w:val="00E455A8"/>
    <w:rsid w:val="00E4589C"/>
    <w:rsid w:val="00E458B7"/>
    <w:rsid w:val="00E4656E"/>
    <w:rsid w:val="00E46819"/>
    <w:rsid w:val="00E46F18"/>
    <w:rsid w:val="00E4761A"/>
    <w:rsid w:val="00E47B1A"/>
    <w:rsid w:val="00E47DEE"/>
    <w:rsid w:val="00E509BB"/>
    <w:rsid w:val="00E51BA6"/>
    <w:rsid w:val="00E534AD"/>
    <w:rsid w:val="00E53A2C"/>
    <w:rsid w:val="00E544A0"/>
    <w:rsid w:val="00E547B2"/>
    <w:rsid w:val="00E5486D"/>
    <w:rsid w:val="00E55371"/>
    <w:rsid w:val="00E5583B"/>
    <w:rsid w:val="00E570A6"/>
    <w:rsid w:val="00E57D25"/>
    <w:rsid w:val="00E60A11"/>
    <w:rsid w:val="00E60E11"/>
    <w:rsid w:val="00E612A0"/>
    <w:rsid w:val="00E619F4"/>
    <w:rsid w:val="00E630CD"/>
    <w:rsid w:val="00E630DA"/>
    <w:rsid w:val="00E63192"/>
    <w:rsid w:val="00E6360E"/>
    <w:rsid w:val="00E6388F"/>
    <w:rsid w:val="00E638BF"/>
    <w:rsid w:val="00E63C11"/>
    <w:rsid w:val="00E6580E"/>
    <w:rsid w:val="00E6737F"/>
    <w:rsid w:val="00E6757F"/>
    <w:rsid w:val="00E676C3"/>
    <w:rsid w:val="00E67B42"/>
    <w:rsid w:val="00E7030B"/>
    <w:rsid w:val="00E70DD6"/>
    <w:rsid w:val="00E71CBE"/>
    <w:rsid w:val="00E71D6E"/>
    <w:rsid w:val="00E725B0"/>
    <w:rsid w:val="00E7310E"/>
    <w:rsid w:val="00E73642"/>
    <w:rsid w:val="00E742CE"/>
    <w:rsid w:val="00E74C1A"/>
    <w:rsid w:val="00E74C1D"/>
    <w:rsid w:val="00E7583B"/>
    <w:rsid w:val="00E7601F"/>
    <w:rsid w:val="00E762D6"/>
    <w:rsid w:val="00E765F7"/>
    <w:rsid w:val="00E769B6"/>
    <w:rsid w:val="00E76A6C"/>
    <w:rsid w:val="00E76CB6"/>
    <w:rsid w:val="00E778DA"/>
    <w:rsid w:val="00E77F21"/>
    <w:rsid w:val="00E808F2"/>
    <w:rsid w:val="00E81BA2"/>
    <w:rsid w:val="00E830A3"/>
    <w:rsid w:val="00E831B5"/>
    <w:rsid w:val="00E832FC"/>
    <w:rsid w:val="00E8412F"/>
    <w:rsid w:val="00E84394"/>
    <w:rsid w:val="00E84B3D"/>
    <w:rsid w:val="00E8549C"/>
    <w:rsid w:val="00E85DE6"/>
    <w:rsid w:val="00E8676D"/>
    <w:rsid w:val="00E86FE0"/>
    <w:rsid w:val="00E87338"/>
    <w:rsid w:val="00E87456"/>
    <w:rsid w:val="00E8784D"/>
    <w:rsid w:val="00E878C8"/>
    <w:rsid w:val="00E87DDB"/>
    <w:rsid w:val="00E90399"/>
    <w:rsid w:val="00E90BC7"/>
    <w:rsid w:val="00E91D78"/>
    <w:rsid w:val="00E9258A"/>
    <w:rsid w:val="00E9281D"/>
    <w:rsid w:val="00E92B14"/>
    <w:rsid w:val="00E92D35"/>
    <w:rsid w:val="00E93296"/>
    <w:rsid w:val="00E93CAC"/>
    <w:rsid w:val="00E93F15"/>
    <w:rsid w:val="00E95AFB"/>
    <w:rsid w:val="00E967BE"/>
    <w:rsid w:val="00E969A6"/>
    <w:rsid w:val="00E96CC9"/>
    <w:rsid w:val="00EA0192"/>
    <w:rsid w:val="00EA0911"/>
    <w:rsid w:val="00EA0D54"/>
    <w:rsid w:val="00EA0DA2"/>
    <w:rsid w:val="00EA0E71"/>
    <w:rsid w:val="00EA1412"/>
    <w:rsid w:val="00EA2555"/>
    <w:rsid w:val="00EA2676"/>
    <w:rsid w:val="00EA2797"/>
    <w:rsid w:val="00EA2948"/>
    <w:rsid w:val="00EA2D12"/>
    <w:rsid w:val="00EA41E9"/>
    <w:rsid w:val="00EA4E8F"/>
    <w:rsid w:val="00EA54A7"/>
    <w:rsid w:val="00EA57F9"/>
    <w:rsid w:val="00EA5D60"/>
    <w:rsid w:val="00EA61CF"/>
    <w:rsid w:val="00EA61EC"/>
    <w:rsid w:val="00EA6882"/>
    <w:rsid w:val="00EA6906"/>
    <w:rsid w:val="00EA6C03"/>
    <w:rsid w:val="00EA7057"/>
    <w:rsid w:val="00EA74F7"/>
    <w:rsid w:val="00EA764F"/>
    <w:rsid w:val="00EB046C"/>
    <w:rsid w:val="00EB088F"/>
    <w:rsid w:val="00EB1058"/>
    <w:rsid w:val="00EB19FF"/>
    <w:rsid w:val="00EB2B26"/>
    <w:rsid w:val="00EB364C"/>
    <w:rsid w:val="00EB36CF"/>
    <w:rsid w:val="00EB3ACA"/>
    <w:rsid w:val="00EB3EC9"/>
    <w:rsid w:val="00EB3F3E"/>
    <w:rsid w:val="00EB49DA"/>
    <w:rsid w:val="00EB4ABF"/>
    <w:rsid w:val="00EB516F"/>
    <w:rsid w:val="00EB552A"/>
    <w:rsid w:val="00EB630E"/>
    <w:rsid w:val="00EB6B56"/>
    <w:rsid w:val="00EB7097"/>
    <w:rsid w:val="00EB731F"/>
    <w:rsid w:val="00EB73C0"/>
    <w:rsid w:val="00EB7E48"/>
    <w:rsid w:val="00EC0BFC"/>
    <w:rsid w:val="00EC0F5D"/>
    <w:rsid w:val="00EC1563"/>
    <w:rsid w:val="00EC1E47"/>
    <w:rsid w:val="00EC24DE"/>
    <w:rsid w:val="00EC2A5E"/>
    <w:rsid w:val="00EC2ED6"/>
    <w:rsid w:val="00EC373E"/>
    <w:rsid w:val="00EC3E3C"/>
    <w:rsid w:val="00EC45B0"/>
    <w:rsid w:val="00EC4BF1"/>
    <w:rsid w:val="00EC5801"/>
    <w:rsid w:val="00EC5F3F"/>
    <w:rsid w:val="00EC617E"/>
    <w:rsid w:val="00EC72D6"/>
    <w:rsid w:val="00ED08A0"/>
    <w:rsid w:val="00ED0B39"/>
    <w:rsid w:val="00ED1158"/>
    <w:rsid w:val="00ED1221"/>
    <w:rsid w:val="00ED15CF"/>
    <w:rsid w:val="00ED225A"/>
    <w:rsid w:val="00ED2865"/>
    <w:rsid w:val="00ED31A9"/>
    <w:rsid w:val="00ED3EC2"/>
    <w:rsid w:val="00ED676B"/>
    <w:rsid w:val="00ED6F2B"/>
    <w:rsid w:val="00ED72A4"/>
    <w:rsid w:val="00ED779A"/>
    <w:rsid w:val="00EE09F5"/>
    <w:rsid w:val="00EE0E54"/>
    <w:rsid w:val="00EE1980"/>
    <w:rsid w:val="00EE213F"/>
    <w:rsid w:val="00EE2C26"/>
    <w:rsid w:val="00EE3F98"/>
    <w:rsid w:val="00EE42BD"/>
    <w:rsid w:val="00EE496A"/>
    <w:rsid w:val="00EE549F"/>
    <w:rsid w:val="00EE5952"/>
    <w:rsid w:val="00EE5D0F"/>
    <w:rsid w:val="00EE5F11"/>
    <w:rsid w:val="00EE6185"/>
    <w:rsid w:val="00EE687A"/>
    <w:rsid w:val="00EE6B56"/>
    <w:rsid w:val="00EE6BBE"/>
    <w:rsid w:val="00EE6C49"/>
    <w:rsid w:val="00EE70E1"/>
    <w:rsid w:val="00EE7569"/>
    <w:rsid w:val="00EE7A28"/>
    <w:rsid w:val="00EF0816"/>
    <w:rsid w:val="00EF0C65"/>
    <w:rsid w:val="00EF10BD"/>
    <w:rsid w:val="00EF3AE7"/>
    <w:rsid w:val="00EF3EC6"/>
    <w:rsid w:val="00EF4CC2"/>
    <w:rsid w:val="00EF50D0"/>
    <w:rsid w:val="00EF5615"/>
    <w:rsid w:val="00EF5D7B"/>
    <w:rsid w:val="00EF74DF"/>
    <w:rsid w:val="00EF7A9D"/>
    <w:rsid w:val="00F005F1"/>
    <w:rsid w:val="00F006B6"/>
    <w:rsid w:val="00F017E1"/>
    <w:rsid w:val="00F01A62"/>
    <w:rsid w:val="00F030EE"/>
    <w:rsid w:val="00F036FC"/>
    <w:rsid w:val="00F03E15"/>
    <w:rsid w:val="00F03E48"/>
    <w:rsid w:val="00F04560"/>
    <w:rsid w:val="00F046F4"/>
    <w:rsid w:val="00F0545F"/>
    <w:rsid w:val="00F05D7D"/>
    <w:rsid w:val="00F06575"/>
    <w:rsid w:val="00F068AE"/>
    <w:rsid w:val="00F07337"/>
    <w:rsid w:val="00F0768E"/>
    <w:rsid w:val="00F076A1"/>
    <w:rsid w:val="00F078A9"/>
    <w:rsid w:val="00F07C35"/>
    <w:rsid w:val="00F1053E"/>
    <w:rsid w:val="00F11104"/>
    <w:rsid w:val="00F115B0"/>
    <w:rsid w:val="00F1194D"/>
    <w:rsid w:val="00F12D1E"/>
    <w:rsid w:val="00F12DFD"/>
    <w:rsid w:val="00F130BC"/>
    <w:rsid w:val="00F132D3"/>
    <w:rsid w:val="00F134A8"/>
    <w:rsid w:val="00F139DF"/>
    <w:rsid w:val="00F147B9"/>
    <w:rsid w:val="00F14DCC"/>
    <w:rsid w:val="00F14E4A"/>
    <w:rsid w:val="00F14EEC"/>
    <w:rsid w:val="00F15AD8"/>
    <w:rsid w:val="00F15FE9"/>
    <w:rsid w:val="00F16828"/>
    <w:rsid w:val="00F17A7F"/>
    <w:rsid w:val="00F20200"/>
    <w:rsid w:val="00F20A9D"/>
    <w:rsid w:val="00F20AE4"/>
    <w:rsid w:val="00F20E32"/>
    <w:rsid w:val="00F218A4"/>
    <w:rsid w:val="00F219A0"/>
    <w:rsid w:val="00F21BC4"/>
    <w:rsid w:val="00F21E9D"/>
    <w:rsid w:val="00F21FCC"/>
    <w:rsid w:val="00F22A50"/>
    <w:rsid w:val="00F22BFC"/>
    <w:rsid w:val="00F230D0"/>
    <w:rsid w:val="00F23763"/>
    <w:rsid w:val="00F241AF"/>
    <w:rsid w:val="00F24A31"/>
    <w:rsid w:val="00F27372"/>
    <w:rsid w:val="00F27575"/>
    <w:rsid w:val="00F27F51"/>
    <w:rsid w:val="00F30472"/>
    <w:rsid w:val="00F305B0"/>
    <w:rsid w:val="00F30BEE"/>
    <w:rsid w:val="00F30F32"/>
    <w:rsid w:val="00F328BF"/>
    <w:rsid w:val="00F32D73"/>
    <w:rsid w:val="00F337FE"/>
    <w:rsid w:val="00F33E15"/>
    <w:rsid w:val="00F34878"/>
    <w:rsid w:val="00F35358"/>
    <w:rsid w:val="00F35C21"/>
    <w:rsid w:val="00F36033"/>
    <w:rsid w:val="00F371B2"/>
    <w:rsid w:val="00F37472"/>
    <w:rsid w:val="00F374EC"/>
    <w:rsid w:val="00F37A3D"/>
    <w:rsid w:val="00F4121A"/>
    <w:rsid w:val="00F412B9"/>
    <w:rsid w:val="00F421BA"/>
    <w:rsid w:val="00F42B02"/>
    <w:rsid w:val="00F42CB9"/>
    <w:rsid w:val="00F42F06"/>
    <w:rsid w:val="00F4372D"/>
    <w:rsid w:val="00F43CC6"/>
    <w:rsid w:val="00F443F7"/>
    <w:rsid w:val="00F44D83"/>
    <w:rsid w:val="00F45121"/>
    <w:rsid w:val="00F45243"/>
    <w:rsid w:val="00F45645"/>
    <w:rsid w:val="00F45BC4"/>
    <w:rsid w:val="00F4612E"/>
    <w:rsid w:val="00F47012"/>
    <w:rsid w:val="00F47D7F"/>
    <w:rsid w:val="00F47EB8"/>
    <w:rsid w:val="00F501C2"/>
    <w:rsid w:val="00F50C48"/>
    <w:rsid w:val="00F50CE8"/>
    <w:rsid w:val="00F50DAF"/>
    <w:rsid w:val="00F50DD7"/>
    <w:rsid w:val="00F5102F"/>
    <w:rsid w:val="00F515B1"/>
    <w:rsid w:val="00F5182C"/>
    <w:rsid w:val="00F51945"/>
    <w:rsid w:val="00F51B24"/>
    <w:rsid w:val="00F529CA"/>
    <w:rsid w:val="00F52FFC"/>
    <w:rsid w:val="00F5311F"/>
    <w:rsid w:val="00F5479E"/>
    <w:rsid w:val="00F54A5F"/>
    <w:rsid w:val="00F54EF3"/>
    <w:rsid w:val="00F5588F"/>
    <w:rsid w:val="00F5663A"/>
    <w:rsid w:val="00F56693"/>
    <w:rsid w:val="00F56862"/>
    <w:rsid w:val="00F6034B"/>
    <w:rsid w:val="00F613F4"/>
    <w:rsid w:val="00F6142A"/>
    <w:rsid w:val="00F61783"/>
    <w:rsid w:val="00F621E3"/>
    <w:rsid w:val="00F6252E"/>
    <w:rsid w:val="00F62C48"/>
    <w:rsid w:val="00F63F2B"/>
    <w:rsid w:val="00F64127"/>
    <w:rsid w:val="00F641EC"/>
    <w:rsid w:val="00F64DBC"/>
    <w:rsid w:val="00F654AF"/>
    <w:rsid w:val="00F65A80"/>
    <w:rsid w:val="00F65D5C"/>
    <w:rsid w:val="00F669B1"/>
    <w:rsid w:val="00F674D9"/>
    <w:rsid w:val="00F67665"/>
    <w:rsid w:val="00F67CA4"/>
    <w:rsid w:val="00F702BB"/>
    <w:rsid w:val="00F72468"/>
    <w:rsid w:val="00F72805"/>
    <w:rsid w:val="00F72FC2"/>
    <w:rsid w:val="00F730D5"/>
    <w:rsid w:val="00F73F5B"/>
    <w:rsid w:val="00F74290"/>
    <w:rsid w:val="00F74335"/>
    <w:rsid w:val="00F744E0"/>
    <w:rsid w:val="00F752F0"/>
    <w:rsid w:val="00F769EB"/>
    <w:rsid w:val="00F76B41"/>
    <w:rsid w:val="00F76E31"/>
    <w:rsid w:val="00F76FA7"/>
    <w:rsid w:val="00F77C42"/>
    <w:rsid w:val="00F8066D"/>
    <w:rsid w:val="00F822EA"/>
    <w:rsid w:val="00F82B31"/>
    <w:rsid w:val="00F82C72"/>
    <w:rsid w:val="00F82EEA"/>
    <w:rsid w:val="00F83753"/>
    <w:rsid w:val="00F84550"/>
    <w:rsid w:val="00F84B22"/>
    <w:rsid w:val="00F853A8"/>
    <w:rsid w:val="00F863C2"/>
    <w:rsid w:val="00F8644A"/>
    <w:rsid w:val="00F8776C"/>
    <w:rsid w:val="00F87B25"/>
    <w:rsid w:val="00F90C62"/>
    <w:rsid w:val="00F9175C"/>
    <w:rsid w:val="00F91826"/>
    <w:rsid w:val="00F91E39"/>
    <w:rsid w:val="00F926C9"/>
    <w:rsid w:val="00F929E0"/>
    <w:rsid w:val="00F9314C"/>
    <w:rsid w:val="00F93505"/>
    <w:rsid w:val="00F938D5"/>
    <w:rsid w:val="00F94678"/>
    <w:rsid w:val="00F946FF"/>
    <w:rsid w:val="00F94877"/>
    <w:rsid w:val="00F948BC"/>
    <w:rsid w:val="00F95F75"/>
    <w:rsid w:val="00F964C8"/>
    <w:rsid w:val="00F966E4"/>
    <w:rsid w:val="00F96E64"/>
    <w:rsid w:val="00F96F54"/>
    <w:rsid w:val="00F97079"/>
    <w:rsid w:val="00F97339"/>
    <w:rsid w:val="00FA0C18"/>
    <w:rsid w:val="00FA0E90"/>
    <w:rsid w:val="00FA1BCF"/>
    <w:rsid w:val="00FA1E94"/>
    <w:rsid w:val="00FA1FA6"/>
    <w:rsid w:val="00FA24C2"/>
    <w:rsid w:val="00FA2544"/>
    <w:rsid w:val="00FA27E8"/>
    <w:rsid w:val="00FA2937"/>
    <w:rsid w:val="00FA2C72"/>
    <w:rsid w:val="00FA2CCD"/>
    <w:rsid w:val="00FA3D70"/>
    <w:rsid w:val="00FA4237"/>
    <w:rsid w:val="00FA4243"/>
    <w:rsid w:val="00FA42E9"/>
    <w:rsid w:val="00FA5996"/>
    <w:rsid w:val="00FA5CFC"/>
    <w:rsid w:val="00FA6157"/>
    <w:rsid w:val="00FA6DB5"/>
    <w:rsid w:val="00FA7052"/>
    <w:rsid w:val="00FA7BB3"/>
    <w:rsid w:val="00FA7C8B"/>
    <w:rsid w:val="00FB0B7E"/>
    <w:rsid w:val="00FB1714"/>
    <w:rsid w:val="00FB17AE"/>
    <w:rsid w:val="00FB1B04"/>
    <w:rsid w:val="00FB1BFE"/>
    <w:rsid w:val="00FB23BB"/>
    <w:rsid w:val="00FB2A0A"/>
    <w:rsid w:val="00FB2D2E"/>
    <w:rsid w:val="00FB36BB"/>
    <w:rsid w:val="00FB4B76"/>
    <w:rsid w:val="00FB5104"/>
    <w:rsid w:val="00FB572C"/>
    <w:rsid w:val="00FB5AE8"/>
    <w:rsid w:val="00FB5F59"/>
    <w:rsid w:val="00FB6929"/>
    <w:rsid w:val="00FB772A"/>
    <w:rsid w:val="00FB7796"/>
    <w:rsid w:val="00FB7A70"/>
    <w:rsid w:val="00FB7D87"/>
    <w:rsid w:val="00FC01B5"/>
    <w:rsid w:val="00FC0829"/>
    <w:rsid w:val="00FC0A50"/>
    <w:rsid w:val="00FC12FA"/>
    <w:rsid w:val="00FC16AE"/>
    <w:rsid w:val="00FC1B8C"/>
    <w:rsid w:val="00FC2715"/>
    <w:rsid w:val="00FC3014"/>
    <w:rsid w:val="00FC31B8"/>
    <w:rsid w:val="00FC38F9"/>
    <w:rsid w:val="00FC3965"/>
    <w:rsid w:val="00FC3B86"/>
    <w:rsid w:val="00FC3F72"/>
    <w:rsid w:val="00FC405C"/>
    <w:rsid w:val="00FC4D0D"/>
    <w:rsid w:val="00FC52AF"/>
    <w:rsid w:val="00FC5C7B"/>
    <w:rsid w:val="00FC630D"/>
    <w:rsid w:val="00FC663D"/>
    <w:rsid w:val="00FC6E86"/>
    <w:rsid w:val="00FC745E"/>
    <w:rsid w:val="00FC7F84"/>
    <w:rsid w:val="00FD03B6"/>
    <w:rsid w:val="00FD10B8"/>
    <w:rsid w:val="00FD17A5"/>
    <w:rsid w:val="00FD20B3"/>
    <w:rsid w:val="00FD3779"/>
    <w:rsid w:val="00FD48BA"/>
    <w:rsid w:val="00FD4D83"/>
    <w:rsid w:val="00FD4FB0"/>
    <w:rsid w:val="00FD5538"/>
    <w:rsid w:val="00FD5C37"/>
    <w:rsid w:val="00FD6F83"/>
    <w:rsid w:val="00FD747C"/>
    <w:rsid w:val="00FD7A62"/>
    <w:rsid w:val="00FD7CDC"/>
    <w:rsid w:val="00FD7EBC"/>
    <w:rsid w:val="00FE0194"/>
    <w:rsid w:val="00FE02D8"/>
    <w:rsid w:val="00FE05BE"/>
    <w:rsid w:val="00FE0969"/>
    <w:rsid w:val="00FE0976"/>
    <w:rsid w:val="00FE09EE"/>
    <w:rsid w:val="00FE1354"/>
    <w:rsid w:val="00FE17F0"/>
    <w:rsid w:val="00FE1D11"/>
    <w:rsid w:val="00FE1D17"/>
    <w:rsid w:val="00FE2AA7"/>
    <w:rsid w:val="00FE2D9F"/>
    <w:rsid w:val="00FE3415"/>
    <w:rsid w:val="00FE3940"/>
    <w:rsid w:val="00FE3A0A"/>
    <w:rsid w:val="00FE3A1A"/>
    <w:rsid w:val="00FE3B91"/>
    <w:rsid w:val="00FE43A4"/>
    <w:rsid w:val="00FE53F2"/>
    <w:rsid w:val="00FE5614"/>
    <w:rsid w:val="00FE57B9"/>
    <w:rsid w:val="00FE5A10"/>
    <w:rsid w:val="00FE702A"/>
    <w:rsid w:val="00FE766A"/>
    <w:rsid w:val="00FE77C2"/>
    <w:rsid w:val="00FE7B69"/>
    <w:rsid w:val="00FE7BF0"/>
    <w:rsid w:val="00FE7CA7"/>
    <w:rsid w:val="00FF044B"/>
    <w:rsid w:val="00FF0532"/>
    <w:rsid w:val="00FF0979"/>
    <w:rsid w:val="00FF0FEA"/>
    <w:rsid w:val="00FF12A7"/>
    <w:rsid w:val="00FF19A2"/>
    <w:rsid w:val="00FF1A41"/>
    <w:rsid w:val="00FF2485"/>
    <w:rsid w:val="00FF25BB"/>
    <w:rsid w:val="00FF25D2"/>
    <w:rsid w:val="00FF2682"/>
    <w:rsid w:val="00FF2C85"/>
    <w:rsid w:val="00FF34CB"/>
    <w:rsid w:val="00FF3536"/>
    <w:rsid w:val="00FF3F88"/>
    <w:rsid w:val="00FF40C7"/>
    <w:rsid w:val="00FF46AB"/>
    <w:rsid w:val="00FF5379"/>
    <w:rsid w:val="00FF55EE"/>
    <w:rsid w:val="00FF56F4"/>
    <w:rsid w:val="00FF6252"/>
    <w:rsid w:val="00FF657D"/>
    <w:rsid w:val="00FF726C"/>
    <w:rsid w:val="00FF729E"/>
    <w:rsid w:val="00FF74F3"/>
    <w:rsid w:val="00FF762A"/>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C5E4B"/>
  <w15:docId w15:val="{1BEA923C-E4D6-41A4-B841-27EAC3488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94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basedOn w:val="Normal"/>
    <w:link w:val="TextonotapieCar"/>
    <w:uiPriority w:val="99"/>
    <w:unhideWhenUsed/>
    <w:rsid w:val="00347E4E"/>
    <w:pPr>
      <w:spacing w:after="0" w:line="240" w:lineRule="auto"/>
    </w:pPr>
    <w:rPr>
      <w:sz w:val="20"/>
      <w:szCs w:val="20"/>
    </w:rPr>
  </w:style>
  <w:style w:type="character" w:customStyle="1" w:styleId="TextonotapieCar">
    <w:name w:val="Texto nota pie Car"/>
    <w:basedOn w:val="Fuentedeprrafopredeter"/>
    <w:link w:val="Textonotapie"/>
    <w:uiPriority w:val="99"/>
    <w:rsid w:val="00347E4E"/>
    <w:rPr>
      <w:sz w:val="20"/>
      <w:szCs w:val="20"/>
    </w:rPr>
  </w:style>
  <w:style w:type="character" w:styleId="Refdenotaalpie">
    <w:name w:val="footnote reference"/>
    <w:basedOn w:val="Fuentedeprrafopredeter"/>
    <w:uiPriority w:val="99"/>
    <w:unhideWhenUsed/>
    <w:rsid w:val="00347E4E"/>
    <w:rPr>
      <w:vertAlign w:val="superscript"/>
    </w:rPr>
  </w:style>
  <w:style w:type="character" w:customStyle="1" w:styleId="UnresolvedMention">
    <w:name w:val="Unresolved Mention"/>
    <w:basedOn w:val="Fuentedeprrafopredeter"/>
    <w:uiPriority w:val="99"/>
    <w:semiHidden/>
    <w:unhideWhenUsed/>
    <w:rsid w:val="00E67B42"/>
    <w:rPr>
      <w:color w:val="605E5C"/>
      <w:shd w:val="clear" w:color="auto" w:fill="E1DFDD"/>
    </w:rPr>
  </w:style>
  <w:style w:type="character" w:styleId="Hipervnculovisitado">
    <w:name w:val="FollowedHyperlink"/>
    <w:basedOn w:val="Fuentedeprrafopredeter"/>
    <w:uiPriority w:val="99"/>
    <w:semiHidden/>
    <w:unhideWhenUsed/>
    <w:rsid w:val="006D617A"/>
    <w:rPr>
      <w:color w:val="800080" w:themeColor="followedHyperlink"/>
      <w:u w:val="single"/>
    </w:rPr>
  </w:style>
  <w:style w:type="table" w:styleId="Tablaconcuadrcula">
    <w:name w:val="Table Grid"/>
    <w:basedOn w:val="Tablanormal"/>
    <w:uiPriority w:val="59"/>
    <w:rsid w:val="00EC2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761B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cuadrcula6concolores">
    <w:name w:val="Grid Table 6 Colorful"/>
    <w:basedOn w:val="Tablanormal"/>
    <w:uiPriority w:val="51"/>
    <w:rsid w:val="00941E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535">
      <w:bodyDiv w:val="1"/>
      <w:marLeft w:val="0"/>
      <w:marRight w:val="0"/>
      <w:marTop w:val="0"/>
      <w:marBottom w:val="0"/>
      <w:divBdr>
        <w:top w:val="none" w:sz="0" w:space="0" w:color="auto"/>
        <w:left w:val="none" w:sz="0" w:space="0" w:color="auto"/>
        <w:bottom w:val="none" w:sz="0" w:space="0" w:color="auto"/>
        <w:right w:val="none" w:sz="0" w:space="0" w:color="auto"/>
      </w:divBdr>
    </w:div>
    <w:div w:id="32273901">
      <w:bodyDiv w:val="1"/>
      <w:marLeft w:val="0"/>
      <w:marRight w:val="0"/>
      <w:marTop w:val="0"/>
      <w:marBottom w:val="0"/>
      <w:divBdr>
        <w:top w:val="none" w:sz="0" w:space="0" w:color="auto"/>
        <w:left w:val="none" w:sz="0" w:space="0" w:color="auto"/>
        <w:bottom w:val="none" w:sz="0" w:space="0" w:color="auto"/>
        <w:right w:val="none" w:sz="0" w:space="0" w:color="auto"/>
      </w:divBdr>
    </w:div>
    <w:div w:id="38478139">
      <w:bodyDiv w:val="1"/>
      <w:marLeft w:val="0"/>
      <w:marRight w:val="0"/>
      <w:marTop w:val="0"/>
      <w:marBottom w:val="0"/>
      <w:divBdr>
        <w:top w:val="none" w:sz="0" w:space="0" w:color="auto"/>
        <w:left w:val="none" w:sz="0" w:space="0" w:color="auto"/>
        <w:bottom w:val="none" w:sz="0" w:space="0" w:color="auto"/>
        <w:right w:val="none" w:sz="0" w:space="0" w:color="auto"/>
      </w:divBdr>
    </w:div>
    <w:div w:id="97680371">
      <w:bodyDiv w:val="1"/>
      <w:marLeft w:val="0"/>
      <w:marRight w:val="0"/>
      <w:marTop w:val="0"/>
      <w:marBottom w:val="0"/>
      <w:divBdr>
        <w:top w:val="none" w:sz="0" w:space="0" w:color="auto"/>
        <w:left w:val="none" w:sz="0" w:space="0" w:color="auto"/>
        <w:bottom w:val="none" w:sz="0" w:space="0" w:color="auto"/>
        <w:right w:val="none" w:sz="0" w:space="0" w:color="auto"/>
      </w:divBdr>
    </w:div>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200024097">
      <w:bodyDiv w:val="1"/>
      <w:marLeft w:val="0"/>
      <w:marRight w:val="0"/>
      <w:marTop w:val="0"/>
      <w:marBottom w:val="0"/>
      <w:divBdr>
        <w:top w:val="none" w:sz="0" w:space="0" w:color="auto"/>
        <w:left w:val="none" w:sz="0" w:space="0" w:color="auto"/>
        <w:bottom w:val="none" w:sz="0" w:space="0" w:color="auto"/>
        <w:right w:val="none" w:sz="0" w:space="0" w:color="auto"/>
      </w:divBdr>
    </w:div>
    <w:div w:id="306399023">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369109901">
      <w:bodyDiv w:val="1"/>
      <w:marLeft w:val="0"/>
      <w:marRight w:val="0"/>
      <w:marTop w:val="0"/>
      <w:marBottom w:val="0"/>
      <w:divBdr>
        <w:top w:val="none" w:sz="0" w:space="0" w:color="auto"/>
        <w:left w:val="none" w:sz="0" w:space="0" w:color="auto"/>
        <w:bottom w:val="none" w:sz="0" w:space="0" w:color="auto"/>
        <w:right w:val="none" w:sz="0" w:space="0" w:color="auto"/>
      </w:divBdr>
      <w:divsChild>
        <w:div w:id="764881582">
          <w:marLeft w:val="0"/>
          <w:marRight w:val="0"/>
          <w:marTop w:val="0"/>
          <w:marBottom w:val="101"/>
          <w:divBdr>
            <w:top w:val="none" w:sz="0" w:space="0" w:color="auto"/>
            <w:left w:val="none" w:sz="0" w:space="0" w:color="auto"/>
            <w:bottom w:val="none" w:sz="0" w:space="0" w:color="auto"/>
            <w:right w:val="none" w:sz="0" w:space="0" w:color="auto"/>
          </w:divBdr>
        </w:div>
        <w:div w:id="1558280638">
          <w:marLeft w:val="0"/>
          <w:marRight w:val="0"/>
          <w:marTop w:val="0"/>
          <w:marBottom w:val="101"/>
          <w:divBdr>
            <w:top w:val="none" w:sz="0" w:space="0" w:color="auto"/>
            <w:left w:val="none" w:sz="0" w:space="0" w:color="auto"/>
            <w:bottom w:val="none" w:sz="0" w:space="0" w:color="auto"/>
            <w:right w:val="none" w:sz="0" w:space="0" w:color="auto"/>
          </w:divBdr>
        </w:div>
        <w:div w:id="618268172">
          <w:marLeft w:val="0"/>
          <w:marRight w:val="0"/>
          <w:marTop w:val="0"/>
          <w:marBottom w:val="101"/>
          <w:divBdr>
            <w:top w:val="none" w:sz="0" w:space="0" w:color="auto"/>
            <w:left w:val="none" w:sz="0" w:space="0" w:color="auto"/>
            <w:bottom w:val="none" w:sz="0" w:space="0" w:color="auto"/>
            <w:right w:val="none" w:sz="0" w:space="0" w:color="auto"/>
          </w:divBdr>
        </w:div>
        <w:div w:id="2001540361">
          <w:marLeft w:val="0"/>
          <w:marRight w:val="0"/>
          <w:marTop w:val="0"/>
          <w:marBottom w:val="101"/>
          <w:divBdr>
            <w:top w:val="none" w:sz="0" w:space="0" w:color="auto"/>
            <w:left w:val="none" w:sz="0" w:space="0" w:color="auto"/>
            <w:bottom w:val="none" w:sz="0" w:space="0" w:color="auto"/>
            <w:right w:val="none" w:sz="0" w:space="0" w:color="auto"/>
          </w:divBdr>
        </w:div>
        <w:div w:id="244917673">
          <w:marLeft w:val="0"/>
          <w:marRight w:val="0"/>
          <w:marTop w:val="0"/>
          <w:marBottom w:val="101"/>
          <w:divBdr>
            <w:top w:val="none" w:sz="0" w:space="0" w:color="auto"/>
            <w:left w:val="none" w:sz="0" w:space="0" w:color="auto"/>
            <w:bottom w:val="none" w:sz="0" w:space="0" w:color="auto"/>
            <w:right w:val="none" w:sz="0" w:space="0" w:color="auto"/>
          </w:divBdr>
        </w:div>
        <w:div w:id="1591354324">
          <w:marLeft w:val="0"/>
          <w:marRight w:val="0"/>
          <w:marTop w:val="0"/>
          <w:marBottom w:val="101"/>
          <w:divBdr>
            <w:top w:val="none" w:sz="0" w:space="0" w:color="auto"/>
            <w:left w:val="none" w:sz="0" w:space="0" w:color="auto"/>
            <w:bottom w:val="none" w:sz="0" w:space="0" w:color="auto"/>
            <w:right w:val="none" w:sz="0" w:space="0" w:color="auto"/>
          </w:divBdr>
        </w:div>
        <w:div w:id="41684878">
          <w:marLeft w:val="0"/>
          <w:marRight w:val="0"/>
          <w:marTop w:val="0"/>
          <w:marBottom w:val="101"/>
          <w:divBdr>
            <w:top w:val="none" w:sz="0" w:space="0" w:color="auto"/>
            <w:left w:val="none" w:sz="0" w:space="0" w:color="auto"/>
            <w:bottom w:val="none" w:sz="0" w:space="0" w:color="auto"/>
            <w:right w:val="none" w:sz="0" w:space="0" w:color="auto"/>
          </w:divBdr>
        </w:div>
        <w:div w:id="1402562962">
          <w:marLeft w:val="0"/>
          <w:marRight w:val="0"/>
          <w:marTop w:val="0"/>
          <w:marBottom w:val="101"/>
          <w:divBdr>
            <w:top w:val="none" w:sz="0" w:space="0" w:color="auto"/>
            <w:left w:val="none" w:sz="0" w:space="0" w:color="auto"/>
            <w:bottom w:val="none" w:sz="0" w:space="0" w:color="auto"/>
            <w:right w:val="none" w:sz="0" w:space="0" w:color="auto"/>
          </w:divBdr>
        </w:div>
        <w:div w:id="919103576">
          <w:marLeft w:val="0"/>
          <w:marRight w:val="0"/>
          <w:marTop w:val="0"/>
          <w:marBottom w:val="101"/>
          <w:divBdr>
            <w:top w:val="none" w:sz="0" w:space="0" w:color="auto"/>
            <w:left w:val="none" w:sz="0" w:space="0" w:color="auto"/>
            <w:bottom w:val="none" w:sz="0" w:space="0" w:color="auto"/>
            <w:right w:val="none" w:sz="0" w:space="0" w:color="auto"/>
          </w:divBdr>
        </w:div>
      </w:divsChild>
    </w:div>
    <w:div w:id="392435940">
      <w:bodyDiv w:val="1"/>
      <w:marLeft w:val="0"/>
      <w:marRight w:val="0"/>
      <w:marTop w:val="0"/>
      <w:marBottom w:val="0"/>
      <w:divBdr>
        <w:top w:val="none" w:sz="0" w:space="0" w:color="auto"/>
        <w:left w:val="none" w:sz="0" w:space="0" w:color="auto"/>
        <w:bottom w:val="none" w:sz="0" w:space="0" w:color="auto"/>
        <w:right w:val="none" w:sz="0" w:space="0" w:color="auto"/>
      </w:divBdr>
    </w:div>
    <w:div w:id="411705025">
      <w:bodyDiv w:val="1"/>
      <w:marLeft w:val="0"/>
      <w:marRight w:val="0"/>
      <w:marTop w:val="0"/>
      <w:marBottom w:val="0"/>
      <w:divBdr>
        <w:top w:val="none" w:sz="0" w:space="0" w:color="auto"/>
        <w:left w:val="none" w:sz="0" w:space="0" w:color="auto"/>
        <w:bottom w:val="none" w:sz="0" w:space="0" w:color="auto"/>
        <w:right w:val="none" w:sz="0" w:space="0" w:color="auto"/>
      </w:divBdr>
    </w:div>
    <w:div w:id="453017285">
      <w:bodyDiv w:val="1"/>
      <w:marLeft w:val="0"/>
      <w:marRight w:val="0"/>
      <w:marTop w:val="0"/>
      <w:marBottom w:val="0"/>
      <w:divBdr>
        <w:top w:val="none" w:sz="0" w:space="0" w:color="auto"/>
        <w:left w:val="none" w:sz="0" w:space="0" w:color="auto"/>
        <w:bottom w:val="none" w:sz="0" w:space="0" w:color="auto"/>
        <w:right w:val="none" w:sz="0" w:space="0" w:color="auto"/>
      </w:divBdr>
    </w:div>
    <w:div w:id="474611976">
      <w:bodyDiv w:val="1"/>
      <w:marLeft w:val="0"/>
      <w:marRight w:val="0"/>
      <w:marTop w:val="0"/>
      <w:marBottom w:val="0"/>
      <w:divBdr>
        <w:top w:val="none" w:sz="0" w:space="0" w:color="auto"/>
        <w:left w:val="none" w:sz="0" w:space="0" w:color="auto"/>
        <w:bottom w:val="none" w:sz="0" w:space="0" w:color="auto"/>
        <w:right w:val="none" w:sz="0" w:space="0" w:color="auto"/>
      </w:divBdr>
    </w:div>
    <w:div w:id="489565831">
      <w:bodyDiv w:val="1"/>
      <w:marLeft w:val="0"/>
      <w:marRight w:val="0"/>
      <w:marTop w:val="0"/>
      <w:marBottom w:val="0"/>
      <w:divBdr>
        <w:top w:val="none" w:sz="0" w:space="0" w:color="auto"/>
        <w:left w:val="none" w:sz="0" w:space="0" w:color="auto"/>
        <w:bottom w:val="none" w:sz="0" w:space="0" w:color="auto"/>
        <w:right w:val="none" w:sz="0" w:space="0" w:color="auto"/>
      </w:divBdr>
    </w:div>
    <w:div w:id="550724754">
      <w:bodyDiv w:val="1"/>
      <w:marLeft w:val="0"/>
      <w:marRight w:val="0"/>
      <w:marTop w:val="0"/>
      <w:marBottom w:val="0"/>
      <w:divBdr>
        <w:top w:val="none" w:sz="0" w:space="0" w:color="auto"/>
        <w:left w:val="none" w:sz="0" w:space="0" w:color="auto"/>
        <w:bottom w:val="none" w:sz="0" w:space="0" w:color="auto"/>
        <w:right w:val="none" w:sz="0" w:space="0" w:color="auto"/>
      </w:divBdr>
    </w:div>
    <w:div w:id="572930864">
      <w:bodyDiv w:val="1"/>
      <w:marLeft w:val="0"/>
      <w:marRight w:val="0"/>
      <w:marTop w:val="0"/>
      <w:marBottom w:val="0"/>
      <w:divBdr>
        <w:top w:val="none" w:sz="0" w:space="0" w:color="auto"/>
        <w:left w:val="none" w:sz="0" w:space="0" w:color="auto"/>
        <w:bottom w:val="none" w:sz="0" w:space="0" w:color="auto"/>
        <w:right w:val="none" w:sz="0" w:space="0" w:color="auto"/>
      </w:divBdr>
    </w:div>
    <w:div w:id="573901702">
      <w:bodyDiv w:val="1"/>
      <w:marLeft w:val="0"/>
      <w:marRight w:val="0"/>
      <w:marTop w:val="0"/>
      <w:marBottom w:val="0"/>
      <w:divBdr>
        <w:top w:val="none" w:sz="0" w:space="0" w:color="auto"/>
        <w:left w:val="none" w:sz="0" w:space="0" w:color="auto"/>
        <w:bottom w:val="none" w:sz="0" w:space="0" w:color="auto"/>
        <w:right w:val="none" w:sz="0" w:space="0" w:color="auto"/>
      </w:divBdr>
    </w:div>
    <w:div w:id="650184477">
      <w:bodyDiv w:val="1"/>
      <w:marLeft w:val="0"/>
      <w:marRight w:val="0"/>
      <w:marTop w:val="0"/>
      <w:marBottom w:val="0"/>
      <w:divBdr>
        <w:top w:val="none" w:sz="0" w:space="0" w:color="auto"/>
        <w:left w:val="none" w:sz="0" w:space="0" w:color="auto"/>
        <w:bottom w:val="none" w:sz="0" w:space="0" w:color="auto"/>
        <w:right w:val="none" w:sz="0" w:space="0" w:color="auto"/>
      </w:divBdr>
    </w:div>
    <w:div w:id="65695815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837034474">
      <w:bodyDiv w:val="1"/>
      <w:marLeft w:val="0"/>
      <w:marRight w:val="0"/>
      <w:marTop w:val="0"/>
      <w:marBottom w:val="0"/>
      <w:divBdr>
        <w:top w:val="none" w:sz="0" w:space="0" w:color="auto"/>
        <w:left w:val="none" w:sz="0" w:space="0" w:color="auto"/>
        <w:bottom w:val="none" w:sz="0" w:space="0" w:color="auto"/>
        <w:right w:val="none" w:sz="0" w:space="0" w:color="auto"/>
      </w:divBdr>
    </w:div>
    <w:div w:id="848956839">
      <w:bodyDiv w:val="1"/>
      <w:marLeft w:val="0"/>
      <w:marRight w:val="0"/>
      <w:marTop w:val="0"/>
      <w:marBottom w:val="0"/>
      <w:divBdr>
        <w:top w:val="none" w:sz="0" w:space="0" w:color="auto"/>
        <w:left w:val="none" w:sz="0" w:space="0" w:color="auto"/>
        <w:bottom w:val="none" w:sz="0" w:space="0" w:color="auto"/>
        <w:right w:val="none" w:sz="0" w:space="0" w:color="auto"/>
      </w:divBdr>
    </w:div>
    <w:div w:id="951592360">
      <w:bodyDiv w:val="1"/>
      <w:marLeft w:val="0"/>
      <w:marRight w:val="0"/>
      <w:marTop w:val="0"/>
      <w:marBottom w:val="0"/>
      <w:divBdr>
        <w:top w:val="none" w:sz="0" w:space="0" w:color="auto"/>
        <w:left w:val="none" w:sz="0" w:space="0" w:color="auto"/>
        <w:bottom w:val="none" w:sz="0" w:space="0" w:color="auto"/>
        <w:right w:val="none" w:sz="0" w:space="0" w:color="auto"/>
      </w:divBdr>
    </w:div>
    <w:div w:id="1002127097">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231235011">
      <w:bodyDiv w:val="1"/>
      <w:marLeft w:val="0"/>
      <w:marRight w:val="0"/>
      <w:marTop w:val="0"/>
      <w:marBottom w:val="0"/>
      <w:divBdr>
        <w:top w:val="none" w:sz="0" w:space="0" w:color="auto"/>
        <w:left w:val="none" w:sz="0" w:space="0" w:color="auto"/>
        <w:bottom w:val="none" w:sz="0" w:space="0" w:color="auto"/>
        <w:right w:val="none" w:sz="0" w:space="0" w:color="auto"/>
      </w:divBdr>
    </w:div>
    <w:div w:id="1335262731">
      <w:bodyDiv w:val="1"/>
      <w:marLeft w:val="0"/>
      <w:marRight w:val="0"/>
      <w:marTop w:val="0"/>
      <w:marBottom w:val="0"/>
      <w:divBdr>
        <w:top w:val="none" w:sz="0" w:space="0" w:color="auto"/>
        <w:left w:val="none" w:sz="0" w:space="0" w:color="auto"/>
        <w:bottom w:val="none" w:sz="0" w:space="0" w:color="auto"/>
        <w:right w:val="none" w:sz="0" w:space="0" w:color="auto"/>
      </w:divBdr>
      <w:divsChild>
        <w:div w:id="322898172">
          <w:marLeft w:val="0"/>
          <w:marRight w:val="0"/>
          <w:marTop w:val="0"/>
          <w:marBottom w:val="0"/>
          <w:divBdr>
            <w:top w:val="none" w:sz="0" w:space="0" w:color="auto"/>
            <w:left w:val="none" w:sz="0" w:space="0" w:color="auto"/>
            <w:bottom w:val="none" w:sz="0" w:space="0" w:color="auto"/>
            <w:right w:val="none" w:sz="0" w:space="0" w:color="auto"/>
          </w:divBdr>
        </w:div>
        <w:div w:id="623973062">
          <w:marLeft w:val="0"/>
          <w:marRight w:val="0"/>
          <w:marTop w:val="0"/>
          <w:marBottom w:val="0"/>
          <w:divBdr>
            <w:top w:val="none" w:sz="0" w:space="0" w:color="auto"/>
            <w:left w:val="none" w:sz="0" w:space="0" w:color="auto"/>
            <w:bottom w:val="none" w:sz="0" w:space="0" w:color="auto"/>
            <w:right w:val="none" w:sz="0" w:space="0" w:color="auto"/>
          </w:divBdr>
        </w:div>
      </w:divsChild>
    </w:div>
    <w:div w:id="1344210696">
      <w:bodyDiv w:val="1"/>
      <w:marLeft w:val="0"/>
      <w:marRight w:val="0"/>
      <w:marTop w:val="0"/>
      <w:marBottom w:val="0"/>
      <w:divBdr>
        <w:top w:val="none" w:sz="0" w:space="0" w:color="auto"/>
        <w:left w:val="none" w:sz="0" w:space="0" w:color="auto"/>
        <w:bottom w:val="none" w:sz="0" w:space="0" w:color="auto"/>
        <w:right w:val="none" w:sz="0" w:space="0" w:color="auto"/>
      </w:divBdr>
    </w:div>
    <w:div w:id="1358119828">
      <w:bodyDiv w:val="1"/>
      <w:marLeft w:val="0"/>
      <w:marRight w:val="0"/>
      <w:marTop w:val="0"/>
      <w:marBottom w:val="0"/>
      <w:divBdr>
        <w:top w:val="none" w:sz="0" w:space="0" w:color="auto"/>
        <w:left w:val="none" w:sz="0" w:space="0" w:color="auto"/>
        <w:bottom w:val="none" w:sz="0" w:space="0" w:color="auto"/>
        <w:right w:val="none" w:sz="0" w:space="0" w:color="auto"/>
      </w:divBdr>
      <w:divsChild>
        <w:div w:id="1712416247">
          <w:marLeft w:val="0"/>
          <w:marRight w:val="0"/>
          <w:marTop w:val="0"/>
          <w:marBottom w:val="101"/>
          <w:divBdr>
            <w:top w:val="none" w:sz="0" w:space="0" w:color="auto"/>
            <w:left w:val="none" w:sz="0" w:space="0" w:color="auto"/>
            <w:bottom w:val="none" w:sz="0" w:space="0" w:color="auto"/>
            <w:right w:val="none" w:sz="0" w:space="0" w:color="auto"/>
          </w:divBdr>
        </w:div>
        <w:div w:id="1668098616">
          <w:marLeft w:val="0"/>
          <w:marRight w:val="0"/>
          <w:marTop w:val="0"/>
          <w:marBottom w:val="101"/>
          <w:divBdr>
            <w:top w:val="none" w:sz="0" w:space="0" w:color="auto"/>
            <w:left w:val="none" w:sz="0" w:space="0" w:color="auto"/>
            <w:bottom w:val="none" w:sz="0" w:space="0" w:color="auto"/>
            <w:right w:val="none" w:sz="0" w:space="0" w:color="auto"/>
          </w:divBdr>
        </w:div>
        <w:div w:id="751126504">
          <w:marLeft w:val="0"/>
          <w:marRight w:val="0"/>
          <w:marTop w:val="0"/>
          <w:marBottom w:val="101"/>
          <w:divBdr>
            <w:top w:val="none" w:sz="0" w:space="0" w:color="auto"/>
            <w:left w:val="none" w:sz="0" w:space="0" w:color="auto"/>
            <w:bottom w:val="none" w:sz="0" w:space="0" w:color="auto"/>
            <w:right w:val="none" w:sz="0" w:space="0" w:color="auto"/>
          </w:divBdr>
        </w:div>
        <w:div w:id="1061248967">
          <w:marLeft w:val="0"/>
          <w:marRight w:val="0"/>
          <w:marTop w:val="0"/>
          <w:marBottom w:val="101"/>
          <w:divBdr>
            <w:top w:val="none" w:sz="0" w:space="0" w:color="auto"/>
            <w:left w:val="none" w:sz="0" w:space="0" w:color="auto"/>
            <w:bottom w:val="none" w:sz="0" w:space="0" w:color="auto"/>
            <w:right w:val="none" w:sz="0" w:space="0" w:color="auto"/>
          </w:divBdr>
        </w:div>
        <w:div w:id="1841118347">
          <w:marLeft w:val="0"/>
          <w:marRight w:val="0"/>
          <w:marTop w:val="0"/>
          <w:marBottom w:val="101"/>
          <w:divBdr>
            <w:top w:val="none" w:sz="0" w:space="0" w:color="auto"/>
            <w:left w:val="none" w:sz="0" w:space="0" w:color="auto"/>
            <w:bottom w:val="none" w:sz="0" w:space="0" w:color="auto"/>
            <w:right w:val="none" w:sz="0" w:space="0" w:color="auto"/>
          </w:divBdr>
        </w:div>
        <w:div w:id="712536861">
          <w:marLeft w:val="0"/>
          <w:marRight w:val="0"/>
          <w:marTop w:val="0"/>
          <w:marBottom w:val="101"/>
          <w:divBdr>
            <w:top w:val="none" w:sz="0" w:space="0" w:color="auto"/>
            <w:left w:val="none" w:sz="0" w:space="0" w:color="auto"/>
            <w:bottom w:val="none" w:sz="0" w:space="0" w:color="auto"/>
            <w:right w:val="none" w:sz="0" w:space="0" w:color="auto"/>
          </w:divBdr>
        </w:div>
        <w:div w:id="1126703318">
          <w:marLeft w:val="0"/>
          <w:marRight w:val="0"/>
          <w:marTop w:val="0"/>
          <w:marBottom w:val="101"/>
          <w:divBdr>
            <w:top w:val="none" w:sz="0" w:space="0" w:color="auto"/>
            <w:left w:val="none" w:sz="0" w:space="0" w:color="auto"/>
            <w:bottom w:val="none" w:sz="0" w:space="0" w:color="auto"/>
            <w:right w:val="none" w:sz="0" w:space="0" w:color="auto"/>
          </w:divBdr>
        </w:div>
      </w:divsChild>
    </w:div>
    <w:div w:id="1376657805">
      <w:bodyDiv w:val="1"/>
      <w:marLeft w:val="0"/>
      <w:marRight w:val="0"/>
      <w:marTop w:val="0"/>
      <w:marBottom w:val="0"/>
      <w:divBdr>
        <w:top w:val="none" w:sz="0" w:space="0" w:color="auto"/>
        <w:left w:val="none" w:sz="0" w:space="0" w:color="auto"/>
        <w:bottom w:val="none" w:sz="0" w:space="0" w:color="auto"/>
        <w:right w:val="none" w:sz="0" w:space="0" w:color="auto"/>
      </w:divBdr>
    </w:div>
    <w:div w:id="1418360952">
      <w:bodyDiv w:val="1"/>
      <w:marLeft w:val="0"/>
      <w:marRight w:val="0"/>
      <w:marTop w:val="0"/>
      <w:marBottom w:val="0"/>
      <w:divBdr>
        <w:top w:val="none" w:sz="0" w:space="0" w:color="auto"/>
        <w:left w:val="none" w:sz="0" w:space="0" w:color="auto"/>
        <w:bottom w:val="none" w:sz="0" w:space="0" w:color="auto"/>
        <w:right w:val="none" w:sz="0" w:space="0" w:color="auto"/>
      </w:divBdr>
    </w:div>
    <w:div w:id="1419132444">
      <w:bodyDiv w:val="1"/>
      <w:marLeft w:val="0"/>
      <w:marRight w:val="0"/>
      <w:marTop w:val="0"/>
      <w:marBottom w:val="0"/>
      <w:divBdr>
        <w:top w:val="none" w:sz="0" w:space="0" w:color="auto"/>
        <w:left w:val="none" w:sz="0" w:space="0" w:color="auto"/>
        <w:bottom w:val="none" w:sz="0" w:space="0" w:color="auto"/>
        <w:right w:val="none" w:sz="0" w:space="0" w:color="auto"/>
      </w:divBdr>
    </w:div>
    <w:div w:id="144318739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535385920">
      <w:bodyDiv w:val="1"/>
      <w:marLeft w:val="0"/>
      <w:marRight w:val="0"/>
      <w:marTop w:val="0"/>
      <w:marBottom w:val="0"/>
      <w:divBdr>
        <w:top w:val="none" w:sz="0" w:space="0" w:color="auto"/>
        <w:left w:val="none" w:sz="0" w:space="0" w:color="auto"/>
        <w:bottom w:val="none" w:sz="0" w:space="0" w:color="auto"/>
        <w:right w:val="none" w:sz="0" w:space="0" w:color="auto"/>
      </w:divBdr>
    </w:div>
    <w:div w:id="1538545056">
      <w:bodyDiv w:val="1"/>
      <w:marLeft w:val="0"/>
      <w:marRight w:val="0"/>
      <w:marTop w:val="0"/>
      <w:marBottom w:val="0"/>
      <w:divBdr>
        <w:top w:val="none" w:sz="0" w:space="0" w:color="auto"/>
        <w:left w:val="none" w:sz="0" w:space="0" w:color="auto"/>
        <w:bottom w:val="none" w:sz="0" w:space="0" w:color="auto"/>
        <w:right w:val="none" w:sz="0" w:space="0" w:color="auto"/>
      </w:divBdr>
    </w:div>
    <w:div w:id="1614632222">
      <w:bodyDiv w:val="1"/>
      <w:marLeft w:val="0"/>
      <w:marRight w:val="0"/>
      <w:marTop w:val="0"/>
      <w:marBottom w:val="0"/>
      <w:divBdr>
        <w:top w:val="none" w:sz="0" w:space="0" w:color="auto"/>
        <w:left w:val="none" w:sz="0" w:space="0" w:color="auto"/>
        <w:bottom w:val="none" w:sz="0" w:space="0" w:color="auto"/>
        <w:right w:val="none" w:sz="0" w:space="0" w:color="auto"/>
      </w:divBdr>
      <w:divsChild>
        <w:div w:id="944771316">
          <w:marLeft w:val="0"/>
          <w:marRight w:val="0"/>
          <w:marTop w:val="0"/>
          <w:marBottom w:val="0"/>
          <w:divBdr>
            <w:top w:val="none" w:sz="0" w:space="0" w:color="auto"/>
            <w:left w:val="none" w:sz="0" w:space="0" w:color="auto"/>
            <w:bottom w:val="none" w:sz="0" w:space="0" w:color="auto"/>
            <w:right w:val="none" w:sz="0" w:space="0" w:color="auto"/>
          </w:divBdr>
        </w:div>
      </w:divsChild>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1685857749">
      <w:bodyDiv w:val="1"/>
      <w:marLeft w:val="0"/>
      <w:marRight w:val="0"/>
      <w:marTop w:val="0"/>
      <w:marBottom w:val="0"/>
      <w:divBdr>
        <w:top w:val="none" w:sz="0" w:space="0" w:color="auto"/>
        <w:left w:val="none" w:sz="0" w:space="0" w:color="auto"/>
        <w:bottom w:val="none" w:sz="0" w:space="0" w:color="auto"/>
        <w:right w:val="none" w:sz="0" w:space="0" w:color="auto"/>
      </w:divBdr>
    </w:div>
    <w:div w:id="1686707973">
      <w:bodyDiv w:val="1"/>
      <w:marLeft w:val="0"/>
      <w:marRight w:val="0"/>
      <w:marTop w:val="0"/>
      <w:marBottom w:val="0"/>
      <w:divBdr>
        <w:top w:val="none" w:sz="0" w:space="0" w:color="auto"/>
        <w:left w:val="none" w:sz="0" w:space="0" w:color="auto"/>
        <w:bottom w:val="none" w:sz="0" w:space="0" w:color="auto"/>
        <w:right w:val="none" w:sz="0" w:space="0" w:color="auto"/>
      </w:divBdr>
    </w:div>
    <w:div w:id="1690637727">
      <w:bodyDiv w:val="1"/>
      <w:marLeft w:val="0"/>
      <w:marRight w:val="0"/>
      <w:marTop w:val="0"/>
      <w:marBottom w:val="0"/>
      <w:divBdr>
        <w:top w:val="none" w:sz="0" w:space="0" w:color="auto"/>
        <w:left w:val="none" w:sz="0" w:space="0" w:color="auto"/>
        <w:bottom w:val="none" w:sz="0" w:space="0" w:color="auto"/>
        <w:right w:val="none" w:sz="0" w:space="0" w:color="auto"/>
      </w:divBdr>
    </w:div>
    <w:div w:id="1705522287">
      <w:bodyDiv w:val="1"/>
      <w:marLeft w:val="0"/>
      <w:marRight w:val="0"/>
      <w:marTop w:val="0"/>
      <w:marBottom w:val="0"/>
      <w:divBdr>
        <w:top w:val="none" w:sz="0" w:space="0" w:color="auto"/>
        <w:left w:val="none" w:sz="0" w:space="0" w:color="auto"/>
        <w:bottom w:val="none" w:sz="0" w:space="0" w:color="auto"/>
        <w:right w:val="none" w:sz="0" w:space="0" w:color="auto"/>
      </w:divBdr>
    </w:div>
    <w:div w:id="1721594454">
      <w:bodyDiv w:val="1"/>
      <w:marLeft w:val="0"/>
      <w:marRight w:val="0"/>
      <w:marTop w:val="0"/>
      <w:marBottom w:val="0"/>
      <w:divBdr>
        <w:top w:val="none" w:sz="0" w:space="0" w:color="auto"/>
        <w:left w:val="none" w:sz="0" w:space="0" w:color="auto"/>
        <w:bottom w:val="none" w:sz="0" w:space="0" w:color="auto"/>
        <w:right w:val="none" w:sz="0" w:space="0" w:color="auto"/>
      </w:divBdr>
    </w:div>
    <w:div w:id="1804696013">
      <w:bodyDiv w:val="1"/>
      <w:marLeft w:val="0"/>
      <w:marRight w:val="0"/>
      <w:marTop w:val="0"/>
      <w:marBottom w:val="0"/>
      <w:divBdr>
        <w:top w:val="none" w:sz="0" w:space="0" w:color="auto"/>
        <w:left w:val="none" w:sz="0" w:space="0" w:color="auto"/>
        <w:bottom w:val="none" w:sz="0" w:space="0" w:color="auto"/>
        <w:right w:val="none" w:sz="0" w:space="0" w:color="auto"/>
      </w:divBdr>
    </w:div>
    <w:div w:id="1808162998">
      <w:bodyDiv w:val="1"/>
      <w:marLeft w:val="0"/>
      <w:marRight w:val="0"/>
      <w:marTop w:val="0"/>
      <w:marBottom w:val="0"/>
      <w:divBdr>
        <w:top w:val="none" w:sz="0" w:space="0" w:color="auto"/>
        <w:left w:val="none" w:sz="0" w:space="0" w:color="auto"/>
        <w:bottom w:val="none" w:sz="0" w:space="0" w:color="auto"/>
        <w:right w:val="none" w:sz="0" w:space="0" w:color="auto"/>
      </w:divBdr>
    </w:div>
    <w:div w:id="1864631105">
      <w:bodyDiv w:val="1"/>
      <w:marLeft w:val="0"/>
      <w:marRight w:val="0"/>
      <w:marTop w:val="0"/>
      <w:marBottom w:val="0"/>
      <w:divBdr>
        <w:top w:val="none" w:sz="0" w:space="0" w:color="auto"/>
        <w:left w:val="none" w:sz="0" w:space="0" w:color="auto"/>
        <w:bottom w:val="none" w:sz="0" w:space="0" w:color="auto"/>
        <w:right w:val="none" w:sz="0" w:space="0" w:color="auto"/>
      </w:divBdr>
    </w:div>
    <w:div w:id="1870727846">
      <w:bodyDiv w:val="1"/>
      <w:marLeft w:val="0"/>
      <w:marRight w:val="0"/>
      <w:marTop w:val="0"/>
      <w:marBottom w:val="0"/>
      <w:divBdr>
        <w:top w:val="none" w:sz="0" w:space="0" w:color="auto"/>
        <w:left w:val="none" w:sz="0" w:space="0" w:color="auto"/>
        <w:bottom w:val="none" w:sz="0" w:space="0" w:color="auto"/>
        <w:right w:val="none" w:sz="0" w:space="0" w:color="auto"/>
      </w:divBdr>
    </w:div>
    <w:div w:id="1936091725">
      <w:bodyDiv w:val="1"/>
      <w:marLeft w:val="0"/>
      <w:marRight w:val="0"/>
      <w:marTop w:val="0"/>
      <w:marBottom w:val="0"/>
      <w:divBdr>
        <w:top w:val="none" w:sz="0" w:space="0" w:color="auto"/>
        <w:left w:val="none" w:sz="0" w:space="0" w:color="auto"/>
        <w:bottom w:val="none" w:sz="0" w:space="0" w:color="auto"/>
        <w:right w:val="none" w:sz="0" w:space="0" w:color="auto"/>
      </w:divBdr>
    </w:div>
    <w:div w:id="2067875109">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 w:id="209153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FAAD37-6BFC-4395-B354-2ECD6DBBC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1152</TotalTime>
  <Pages>23</Pages>
  <Words>8090</Words>
  <Characters>44501</Characters>
  <Application>Microsoft Office Word</Application>
  <DocSecurity>0</DocSecurity>
  <Lines>370</Lines>
  <Paragraphs>104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dc:creator>
  <cp:keywords/>
  <dc:description/>
  <cp:lastModifiedBy>CEGAIP/SECTEC</cp:lastModifiedBy>
  <cp:revision>13</cp:revision>
  <cp:lastPrinted>2025-11-05T14:45:00Z</cp:lastPrinted>
  <dcterms:created xsi:type="dcterms:W3CDTF">2026-08-13T15:13:00Z</dcterms:created>
  <dcterms:modified xsi:type="dcterms:W3CDTF">2026-08-21T17:44:00Z</dcterms:modified>
</cp:coreProperties>
</file>