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4F5AA" w14:textId="77777777" w:rsidR="006D2C4B" w:rsidRDefault="00DC6117">
      <w:pPr>
        <w:spacing w:before="0" w:after="60" w:line="221" w:lineRule="auto"/>
        <w:jc w:val="center"/>
      </w:pPr>
      <w:r>
        <w:rPr>
          <w:rFonts w:ascii="Verdana" w:hAnsi="Verdana"/>
          <w:b/>
        </w:rPr>
        <w:t>CONSTANCIA ADMINISTRATIVA</w:t>
      </w:r>
    </w:p>
    <w:p w14:paraId="68B14130" w14:textId="77777777" w:rsidR="006D2C4B" w:rsidRDefault="00DC6117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AUSENCIA DE ESTUDIOS FINANCIADOS CON RECURSOS PÚBLICOS</w:t>
      </w:r>
    </w:p>
    <w:p w14:paraId="731EC4BF" w14:textId="77777777" w:rsidR="006D2C4B" w:rsidRDefault="00DC6117">
      <w:pPr>
        <w:spacing w:before="0" w:after="60" w:line="221" w:lineRule="auto"/>
        <w:jc w:val="center"/>
      </w:pPr>
      <w:r>
        <w:rPr>
          <w:rFonts w:ascii="Verdana" w:hAnsi="Verdana"/>
          <w:b/>
          <w:sz w:val="17"/>
        </w:rPr>
        <w:t>Obligación de transparencia: 84-XLVIII</w:t>
      </w:r>
    </w:p>
    <w:p w14:paraId="7BA14638" w14:textId="34BED602" w:rsidR="006D2C4B" w:rsidRDefault="00F26724">
      <w:pPr>
        <w:spacing w:before="0" w:after="60" w:line="221" w:lineRule="auto"/>
        <w:jc w:val="both"/>
      </w:pPr>
      <w:r>
        <w:rPr>
          <w:rFonts w:ascii="Verdana" w:hAnsi="Verdana"/>
          <w:b/>
          <w:sz w:val="17"/>
        </w:rPr>
        <w:t>C</w:t>
      </w:r>
      <w:r w:rsidR="00DC6117">
        <w:rPr>
          <w:rFonts w:ascii="Verdana" w:hAnsi="Verdana"/>
          <w:sz w:val="17"/>
        </w:rPr>
        <w:t>on base en la revisión de los registros, expedientes y documentación que obran bajo responsabilidad del área, hago constar lo siguiente:</w:t>
      </w:r>
    </w:p>
    <w:p w14:paraId="750FC9DA" w14:textId="77777777" w:rsidR="006D2C4B" w:rsidRDefault="00DC6117">
      <w:pPr>
        <w:spacing w:before="0" w:after="60" w:line="221" w:lineRule="auto"/>
      </w:pPr>
      <w:r>
        <w:rPr>
          <w:rFonts w:ascii="Verdana" w:hAnsi="Verdana"/>
          <w:b/>
          <w:sz w:val="18"/>
        </w:rPr>
        <w:t>I. FUNDAMENTO</w:t>
      </w:r>
    </w:p>
    <w:p w14:paraId="79BFA59B" w14:textId="77777777" w:rsidR="006D2C4B" w:rsidRDefault="00DC6117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Con fundamento en el artículo 84, fracción XLVIII, de la Ley de Transparencia y Acceso a la Información Pública del Estado de San Luis Potosí, que ordena publicar los estudios financiados con recursos públicos; en los principios de transparencia, control y rendición de cuentas previstos en la legislación estatal aplicable al ejercicio de recursos públicos; así como en artículos 54, fracción I, y 61 de la Ley de Transparencia y Acceso a la Información Pública del Estado de San Luis Potosí, relativos, respectivamente, a la función de la Unidad de Transparencia de recabar y difundir las obligaciones de transparencia y a la responsabilidad de las áreas que producen, administran, archivan o resguardan información pública.</w:t>
      </w:r>
    </w:p>
    <w:p w14:paraId="48411D6D" w14:textId="77777777" w:rsidR="006D2C4B" w:rsidRDefault="00DC6117">
      <w:pPr>
        <w:spacing w:before="0" w:after="60" w:line="221" w:lineRule="auto"/>
      </w:pPr>
      <w:r>
        <w:rPr>
          <w:rFonts w:ascii="Verdana" w:hAnsi="Verdana"/>
          <w:b/>
          <w:sz w:val="18"/>
        </w:rPr>
        <w:t>II. MOTIVACIÓN Y VERIFICACIÓN REALIZADA</w:t>
      </w:r>
    </w:p>
    <w:p w14:paraId="0512AAA7" w14:textId="77777777" w:rsidR="006D2C4B" w:rsidRDefault="00DC6117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revisaron los expedientes administrativos, contratos, convenios y documentación disponible para identificar la contratación o financiamiento de estudios con recursos públicos durante el periodo.</w:t>
      </w:r>
    </w:p>
    <w:p w14:paraId="38298A28" w14:textId="77777777" w:rsidR="006D2C4B" w:rsidRDefault="00DC6117">
      <w:pPr>
        <w:spacing w:before="0" w:after="60" w:line="221" w:lineRule="auto"/>
      </w:pPr>
      <w:r>
        <w:rPr>
          <w:rFonts w:ascii="Verdana" w:hAnsi="Verdana"/>
          <w:b/>
          <w:sz w:val="18"/>
        </w:rPr>
        <w:t>III. CONSTANCIA</w:t>
      </w:r>
    </w:p>
    <w:p w14:paraId="2CA5F0EE" w14:textId="77777777" w:rsidR="006D2C4B" w:rsidRDefault="00DC6117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Durante el periodo señalado el SMDIF no contrató ni financió estudios con recursos públicos que deban publicarse en la obligación 84-XLVIII.</w:t>
      </w:r>
    </w:p>
    <w:p w14:paraId="7518B07A" w14:textId="77777777" w:rsidR="006D2C4B" w:rsidRDefault="00DC6117">
      <w:pPr>
        <w:spacing w:before="0" w:after="60" w:line="221" w:lineRule="auto"/>
      </w:pPr>
      <w:r>
        <w:rPr>
          <w:rFonts w:ascii="Verdana" w:hAnsi="Verdana"/>
          <w:b/>
          <w:sz w:val="18"/>
        </w:rPr>
        <w:t>IV. ALCANCE</w:t>
      </w:r>
    </w:p>
    <w:p w14:paraId="4F37263D" w14:textId="77777777" w:rsidR="006D2C4B" w:rsidRDefault="00DC6117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La presente constancia documenta exclusivamente el estado fáctico del periodo. No constituye una declaración genérica de “no aplica” ni exime de obligaciones de generación que resulten exigibles conforme a la normativa aplicable.</w:t>
      </w:r>
    </w:p>
    <w:p w14:paraId="11C2DDFC" w14:textId="77777777" w:rsidR="006D2C4B" w:rsidRDefault="00DC6117">
      <w:pPr>
        <w:spacing w:before="0" w:after="60" w:line="221" w:lineRule="auto"/>
        <w:jc w:val="both"/>
      </w:pPr>
      <w:r>
        <w:rPr>
          <w:rFonts w:ascii="Verdana" w:hAnsi="Verdana"/>
          <w:sz w:val="17"/>
        </w:rPr>
        <w:t>Se expide para integración del expediente de obligaciones de transparencia y soporte de la publicación correspondiente.</w:t>
      </w:r>
    </w:p>
    <w:p w14:paraId="7BCACEA1" w14:textId="74EA1916" w:rsidR="006D2C4B" w:rsidRDefault="00DC6117">
      <w:pPr>
        <w:spacing w:before="0" w:after="60" w:line="221" w:lineRule="auto"/>
        <w:jc w:val="right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Villa de Arriaga, San Luis Potosí.</w:t>
      </w:r>
    </w:p>
    <w:p w14:paraId="53D14B64" w14:textId="1F461279" w:rsidR="00F26724" w:rsidRDefault="00F26724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5E3F68F2" w14:textId="41AA0692" w:rsidR="00F26724" w:rsidRDefault="00F26724">
      <w:pPr>
        <w:spacing w:before="0" w:after="60" w:line="221" w:lineRule="auto"/>
        <w:jc w:val="right"/>
        <w:rPr>
          <w:rFonts w:ascii="Verdana" w:hAnsi="Verdana"/>
          <w:sz w:val="17"/>
        </w:rPr>
      </w:pPr>
    </w:p>
    <w:p w14:paraId="373DA321" w14:textId="4687E163" w:rsidR="006D2C4B" w:rsidRDefault="006D2C4B" w:rsidP="00EC3EC8">
      <w:pPr>
        <w:spacing w:before="0" w:after="60" w:line="221" w:lineRule="auto"/>
      </w:pPr>
    </w:p>
    <w:sectPr w:rsidR="006D2C4B" w:rsidSect="00120257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1037" w:right="1123" w:bottom="792" w:left="112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F8C77" w14:textId="77777777" w:rsidR="00A22BBE" w:rsidRDefault="00A22BBE">
      <w:pPr>
        <w:spacing w:before="0" w:after="0" w:line="240" w:lineRule="auto"/>
      </w:pPr>
      <w:r>
        <w:separator/>
      </w:r>
    </w:p>
  </w:endnote>
  <w:endnote w:type="continuationSeparator" w:id="0">
    <w:p w14:paraId="44778ADC" w14:textId="77777777" w:rsidR="00A22BBE" w:rsidRDefault="00A22BB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5D6D4" w14:textId="77777777" w:rsidR="00421CBD" w:rsidRPr="000F1FCC" w:rsidRDefault="00E17584" w:rsidP="00421CBD">
    <w:pPr>
      <w:pStyle w:val="Piedepgina"/>
      <w:jc w:val="center"/>
      <w:rPr>
        <w:rFonts w:ascii="Constantia" w:hAnsi="Constantia"/>
        <w:i/>
        <w:iCs/>
        <w:sz w:val="20"/>
      </w:rPr>
    </w:pPr>
    <w:r w:rsidRPr="000F1FCC">
      <w:rPr>
        <w:rFonts w:ascii="Constantia" w:hAnsi="Constantia"/>
        <w:i/>
        <w:iCs/>
        <w:sz w:val="20"/>
      </w:rPr>
      <w:t>2026 “AÑO DEL BICENTENARIO DE LA PROMULGACIÓN DE LA CONSTITUCIÓN POLÍTICA DEL ESTADO LIBRE Y SOBERANO DE SAN LUIS POTOSÍ”</w:t>
    </w:r>
  </w:p>
  <w:p w14:paraId="165F410F" w14:textId="77777777" w:rsidR="00FE5BB5" w:rsidRPr="00421CBD" w:rsidRDefault="00A22BBE" w:rsidP="00421C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6270D7" w14:textId="77777777" w:rsidR="00A22BBE" w:rsidRDefault="00A22BBE">
      <w:pPr>
        <w:spacing w:before="0" w:after="0" w:line="240" w:lineRule="auto"/>
      </w:pPr>
      <w:r>
        <w:separator/>
      </w:r>
    </w:p>
  </w:footnote>
  <w:footnote w:type="continuationSeparator" w:id="0">
    <w:p w14:paraId="3E3AF9A0" w14:textId="77777777" w:rsidR="00A22BBE" w:rsidRDefault="00A22BB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5BD6" w14:textId="77777777" w:rsidR="00FE5BB5" w:rsidRDefault="00A22BBE">
    <w:pPr>
      <w:pStyle w:val="Encabezado"/>
    </w:pPr>
    <w:r>
      <w:pict w14:anchorId="677CC9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0" o:spid="_x0000_s2049" type="#_x0000_t75" style="position:absolute;margin-left:0;margin-top:0;width:441.6pt;height:441.6pt;z-index:-251656192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9A625" w14:textId="77777777" w:rsidR="00FE5BB5" w:rsidRPr="00421CBD" w:rsidRDefault="00E17584">
    <w:pPr>
      <w:jc w:val="center"/>
      <w:rPr>
        <w:rFonts w:ascii="Constantia" w:hAnsi="Constanti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9499054" wp14:editId="5632C5E6">
          <wp:simplePos x="0" y="0"/>
          <wp:positionH relativeFrom="column">
            <wp:posOffset>-859155</wp:posOffset>
          </wp:positionH>
          <wp:positionV relativeFrom="paragraph">
            <wp:posOffset>-205740</wp:posOffset>
          </wp:positionV>
          <wp:extent cx="1383665" cy="1383665"/>
          <wp:effectExtent l="0" t="0" r="6985" b="6985"/>
          <wp:wrapNone/>
          <wp:docPr id="8820839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083905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825" cy="1383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22BBE">
      <w:rPr>
        <w:rFonts w:asciiTheme="minorHAnsi" w:hAnsiTheme="minorHAnsi"/>
      </w:rPr>
      <w:pict w14:anchorId="74DEEB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61" o:spid="_x0000_s2050" type="#_x0000_t75" style="position:absolute;left:0;text-align:left;margin-left:0;margin-top:0;width:441.6pt;height:441.6pt;z-index:-251655168;mso-position-horizontal:center;mso-position-horizontal-relative:margin;mso-position-vertical:center;mso-position-vertical-relative:margin;mso-width-relative:page;mso-height-relative:page" o:allowincell="f">
          <v:imagedata r:id="rId2" o:title="Sello DIF" gain="19661f" blacklevel="22938f"/>
          <w10:wrap anchorx="margin" anchory="margin"/>
        </v:shape>
      </w:pict>
    </w:r>
    <w:r>
      <w:t xml:space="preserve">                            </w:t>
    </w:r>
    <w:r w:rsidRPr="00421CBD">
      <w:rPr>
        <w:rFonts w:ascii="Constantia" w:hAnsi="Constantia"/>
      </w:rPr>
      <w:t>SISTEMA MUNICIPAL PARA EL DESARROLLO INTEGRAL DE LA FAMILIA</w:t>
    </w:r>
  </w:p>
  <w:p w14:paraId="782797A1" w14:textId="77777777" w:rsidR="00FE5BB5" w:rsidRDefault="00A22BB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BAE64" w14:textId="77777777" w:rsidR="00FE5BB5" w:rsidRDefault="00A22BBE">
    <w:pPr>
      <w:pStyle w:val="Encabezado"/>
    </w:pPr>
    <w:r>
      <w:pict w14:anchorId="26F05F3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2359" o:spid="_x0000_s2051" type="#_x0000_t75" style="position:absolute;margin-left:0;margin-top:0;width:441.6pt;height:441.6pt;z-index:-251654144;mso-position-horizontal:center;mso-position-horizontal-relative:margin;mso-position-vertical:center;mso-position-vertical-relative:margin;mso-width-relative:page;mso-height-relative:page" o:allowincell="f">
          <v:imagedata r:id="rId1" o:title="Sello DIF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3A35"/>
    <w:multiLevelType w:val="hybridMultilevel"/>
    <w:tmpl w:val="6B3C410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4605B08"/>
    <w:multiLevelType w:val="hybridMultilevel"/>
    <w:tmpl w:val="11BE18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40927"/>
    <w:multiLevelType w:val="hybridMultilevel"/>
    <w:tmpl w:val="B62AF1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1780"/>
    <w:multiLevelType w:val="hybridMultilevel"/>
    <w:tmpl w:val="7A78C3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B4AD3"/>
    <w:multiLevelType w:val="hybridMultilevel"/>
    <w:tmpl w:val="9FEE04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57EBD"/>
    <w:multiLevelType w:val="hybridMultilevel"/>
    <w:tmpl w:val="F1726866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84"/>
    <w:rsid w:val="002A1E47"/>
    <w:rsid w:val="003E4464"/>
    <w:rsid w:val="005E7C43"/>
    <w:rsid w:val="006D2C4B"/>
    <w:rsid w:val="00734F77"/>
    <w:rsid w:val="007E3012"/>
    <w:rsid w:val="00926DEA"/>
    <w:rsid w:val="00A22BBE"/>
    <w:rsid w:val="00DC6117"/>
    <w:rsid w:val="00E17584"/>
    <w:rsid w:val="00EC3EC8"/>
    <w:rsid w:val="00F26724"/>
    <w:rsid w:val="00FD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689172C"/>
  <w15:chartTrackingRefBased/>
  <w15:docId w15:val="{1ADA06B1-CD6E-4385-860D-9DF60FDD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584"/>
    <w:pPr>
      <w:spacing w:before="100" w:beforeAutospacing="1" w:line="256" w:lineRule="auto"/>
    </w:pPr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17584"/>
    <w:rPr>
      <w:b/>
      <w:bCs/>
    </w:rPr>
  </w:style>
  <w:style w:type="character" w:styleId="Hipervnculo">
    <w:name w:val="Hyperlink"/>
    <w:basedOn w:val="Fuentedeprrafopredeter"/>
    <w:uiPriority w:val="99"/>
    <w:unhideWhenUsed/>
    <w:qFormat/>
    <w:rsid w:val="00E1758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E17584"/>
  </w:style>
  <w:style w:type="paragraph" w:styleId="Piedepgina">
    <w:name w:val="footer"/>
    <w:basedOn w:val="Normal"/>
    <w:link w:val="PiedepginaCar"/>
    <w:uiPriority w:val="99"/>
    <w:unhideWhenUsed/>
    <w:qFormat/>
    <w:rsid w:val="00E17584"/>
    <w:pPr>
      <w:tabs>
        <w:tab w:val="center" w:pos="4419"/>
        <w:tab w:val="right" w:pos="8838"/>
      </w:tabs>
      <w:spacing w:before="0" w:beforeAutospacing="0"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E17584"/>
  </w:style>
  <w:style w:type="paragraph" w:styleId="NormalWeb">
    <w:name w:val="Normal (Web)"/>
    <w:basedOn w:val="Normal"/>
    <w:uiPriority w:val="99"/>
    <w:semiHidden/>
    <w:unhideWhenUsed/>
    <w:rsid w:val="00E17584"/>
    <w:pPr>
      <w:spacing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mbredelaempresa">
    <w:name w:val="Nombre de la empresa"/>
    <w:basedOn w:val="Normal"/>
    <w:qFormat/>
    <w:rsid w:val="00E17584"/>
    <w:pPr>
      <w:spacing w:before="240" w:beforeAutospacing="0" w:after="120" w:line="240" w:lineRule="auto"/>
      <w:jc w:val="right"/>
    </w:pPr>
    <w:rPr>
      <w:rFonts w:asciiTheme="majorHAnsi" w:eastAsiaTheme="minorHAnsi" w:hAnsiTheme="majorHAnsi" w:cstheme="minorBidi"/>
      <w:color w:val="000000" w:themeColor="text1"/>
      <w:sz w:val="36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Emanuel Reyes Del Angel</dc:creator>
  <cp:keywords/>
  <dc:description/>
  <cp:lastModifiedBy>Alexis García</cp:lastModifiedBy>
  <cp:revision>3</cp:revision>
  <dcterms:created xsi:type="dcterms:W3CDTF">2026-09-14T17:09:00Z</dcterms:created>
  <dcterms:modified xsi:type="dcterms:W3CDTF">2026-09-16T18:24:00Z</dcterms:modified>
</cp:coreProperties>
</file>