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6D4" w:rsidRPr="00D36FBB" w:rsidRDefault="003856D4" w:rsidP="003856D4">
      <w:pPr>
        <w:widowControl w:val="0"/>
        <w:spacing w:after="0" w:line="276" w:lineRule="auto"/>
        <w:jc w:val="center"/>
        <w:rPr>
          <w:rFonts w:asciiTheme="minorHAnsi" w:hAnsiTheme="minorHAnsi" w:cstheme="minorHAnsi"/>
          <w:b/>
          <w:color w:val="00000A"/>
        </w:rPr>
      </w:pPr>
      <w:bookmarkStart w:id="0" w:name="_GoBack"/>
      <w:r w:rsidRPr="00D36FBB">
        <w:rPr>
          <w:rFonts w:asciiTheme="minorHAnsi" w:hAnsiTheme="minorHAnsi" w:cstheme="minorHAnsi"/>
          <w:b/>
          <w:color w:val="00000A"/>
        </w:rPr>
        <w:t xml:space="preserve">ACTA DE LA </w:t>
      </w:r>
      <w:r w:rsidR="005D78F6">
        <w:rPr>
          <w:rFonts w:asciiTheme="minorHAnsi" w:hAnsiTheme="minorHAnsi" w:cstheme="minorHAnsi"/>
          <w:b/>
          <w:color w:val="00000A"/>
        </w:rPr>
        <w:t>PRIMERA</w:t>
      </w:r>
      <w:r w:rsidRPr="00D36FBB">
        <w:rPr>
          <w:rFonts w:asciiTheme="minorHAnsi" w:hAnsiTheme="minorHAnsi" w:cstheme="minorHAnsi"/>
          <w:b/>
          <w:color w:val="00000A"/>
        </w:rPr>
        <w:t xml:space="preserve"> REUNIÓN ORDINARIA DE LA</w:t>
      </w:r>
    </w:p>
    <w:p w:rsidR="003856D4" w:rsidRPr="00D36FBB" w:rsidRDefault="003856D4" w:rsidP="003856D4">
      <w:pPr>
        <w:widowControl w:val="0"/>
        <w:spacing w:after="0" w:line="276" w:lineRule="auto"/>
        <w:jc w:val="center"/>
        <w:rPr>
          <w:rFonts w:asciiTheme="minorHAnsi" w:hAnsiTheme="minorHAnsi" w:cstheme="minorHAnsi"/>
          <w:b/>
          <w:color w:val="00000A"/>
        </w:rPr>
      </w:pPr>
      <w:r w:rsidRPr="00D36FBB">
        <w:rPr>
          <w:rFonts w:asciiTheme="minorHAnsi" w:hAnsiTheme="minorHAnsi" w:cstheme="minorHAnsi"/>
          <w:b/>
          <w:color w:val="00000A"/>
        </w:rPr>
        <w:t>COMISIÓN DE ADMINISTRACIÓN Y PRESUPUESTO DEL</w:t>
      </w:r>
    </w:p>
    <w:p w:rsidR="003856D4" w:rsidRPr="00D36FBB" w:rsidRDefault="005D78F6" w:rsidP="003856D4">
      <w:pPr>
        <w:spacing w:after="0" w:line="240" w:lineRule="auto"/>
        <w:jc w:val="center"/>
        <w:rPr>
          <w:rFonts w:asciiTheme="minorHAnsi" w:hAnsiTheme="minorHAnsi" w:cstheme="minorHAnsi"/>
          <w:b/>
          <w:color w:val="00000A"/>
        </w:rPr>
      </w:pPr>
      <w:r>
        <w:rPr>
          <w:rFonts w:asciiTheme="minorHAnsi" w:hAnsiTheme="minorHAnsi" w:cstheme="minorHAnsi"/>
          <w:b/>
          <w:color w:val="00000A"/>
        </w:rPr>
        <w:t>ÓRGANO DE ADMINISTRACIÓN JUDICIAL</w:t>
      </w:r>
    </w:p>
    <w:p w:rsidR="00D36FBB" w:rsidRPr="00D36FBB" w:rsidRDefault="00D36FBB" w:rsidP="003856D4">
      <w:pPr>
        <w:spacing w:after="0" w:line="240" w:lineRule="auto"/>
        <w:jc w:val="center"/>
        <w:rPr>
          <w:rFonts w:asciiTheme="minorHAnsi" w:eastAsia="Arial" w:hAnsiTheme="minorHAnsi" w:cstheme="minorHAnsi"/>
          <w:b/>
          <w:bCs/>
          <w:color w:val="00000A"/>
          <w:kern w:val="1"/>
          <w:shd w:val="clear" w:color="auto" w:fill="FFFFFF"/>
          <w:lang w:eastAsia="zh-CN" w:bidi="hi-IN"/>
        </w:rPr>
      </w:pPr>
    </w:p>
    <w:p w:rsidR="003856D4" w:rsidRPr="00D36FBB" w:rsidRDefault="003856D4" w:rsidP="003856D4">
      <w:pPr>
        <w:spacing w:after="0" w:line="240" w:lineRule="auto"/>
        <w:jc w:val="both"/>
        <w:rPr>
          <w:rFonts w:asciiTheme="minorHAnsi" w:eastAsia="Arial" w:hAnsiTheme="minorHAnsi" w:cstheme="minorHAnsi"/>
          <w:b/>
          <w:bCs/>
          <w:color w:val="00000A"/>
          <w:kern w:val="1"/>
          <w:shd w:val="clear" w:color="auto" w:fill="FFFFFF"/>
          <w:lang w:eastAsia="zh-CN" w:bidi="hi-IN"/>
        </w:rPr>
      </w:pPr>
    </w:p>
    <w:p w:rsidR="005D78F6" w:rsidRDefault="005D78F6" w:rsidP="005D78F6">
      <w:pPr>
        <w:spacing w:after="0" w:line="240" w:lineRule="auto"/>
        <w:jc w:val="both"/>
        <w:rPr>
          <w:rFonts w:eastAsia="Times New Roman" w:cs="Tahoma"/>
        </w:rPr>
      </w:pPr>
      <w:r w:rsidRPr="00711524">
        <w:rPr>
          <w:b/>
          <w:bCs/>
        </w:rPr>
        <w:t xml:space="preserve">ACUERDO </w:t>
      </w:r>
      <w:proofErr w:type="spellStart"/>
      <w:r w:rsidRPr="00711524">
        <w:rPr>
          <w:b/>
          <w:bCs/>
        </w:rPr>
        <w:t>CAyP</w:t>
      </w:r>
      <w:proofErr w:type="spellEnd"/>
      <w:r w:rsidRPr="00711524">
        <w:rPr>
          <w:b/>
          <w:bCs/>
        </w:rPr>
        <w:t>/</w:t>
      </w:r>
      <w:r>
        <w:rPr>
          <w:b/>
          <w:bCs/>
        </w:rPr>
        <w:t>01/2026</w:t>
      </w:r>
      <w:r>
        <w:t xml:space="preserve">.- Téngase por recibido </w:t>
      </w:r>
      <w:r w:rsidRPr="00711524">
        <w:t xml:space="preserve">escrito signado </w:t>
      </w:r>
      <w:r w:rsidRPr="00711524">
        <w:rPr>
          <w:rFonts w:eastAsia="Times New Roman"/>
        </w:rPr>
        <w:t xml:space="preserve">por </w:t>
      </w:r>
      <w:r w:rsidRPr="0061777B">
        <w:t>licenciado Jonathan Ulises Juárez Alemán, notificador adscrito al Juzgado Segundo Familiar</w:t>
      </w:r>
      <w:r w:rsidRPr="003B55EF">
        <w:rPr>
          <w:rFonts w:eastAsia="SimSun"/>
          <w:color w:val="00000A"/>
          <w:kern w:val="1"/>
          <w:lang w:eastAsia="zh-CN" w:bidi="hi-IN"/>
        </w:rPr>
        <w:t>,</w:t>
      </w:r>
      <w:r>
        <w:rPr>
          <w:rFonts w:eastAsia="SimSun"/>
          <w:color w:val="00000A"/>
          <w:kern w:val="1"/>
          <w:lang w:eastAsia="zh-CN" w:bidi="hi-IN"/>
        </w:rPr>
        <w:t xml:space="preserve"> </w:t>
      </w:r>
      <w:r w:rsidRPr="00711524">
        <w:rPr>
          <w:rFonts w:eastAsia="Times New Roman"/>
        </w:rPr>
        <w:t xml:space="preserve">en </w:t>
      </w:r>
      <w:r>
        <w:rPr>
          <w:rFonts w:eastAsia="Times New Roman"/>
        </w:rPr>
        <w:t>el</w:t>
      </w:r>
      <w:r w:rsidRPr="00711524">
        <w:rPr>
          <w:rFonts w:eastAsia="Times New Roman"/>
        </w:rPr>
        <w:t xml:space="preserve"> que solicita hacer uso de un </w:t>
      </w:r>
      <w:r>
        <w:rPr>
          <w:rFonts w:eastAsia="Times New Roman"/>
        </w:rPr>
        <w:t>espacio</w:t>
      </w:r>
      <w:r w:rsidRPr="00711524">
        <w:rPr>
          <w:rFonts w:eastAsia="Times New Roman"/>
        </w:rPr>
        <w:t xml:space="preserve"> destinado al área de </w:t>
      </w:r>
      <w:r>
        <w:rPr>
          <w:rFonts w:eastAsia="Times New Roman"/>
        </w:rPr>
        <w:t xml:space="preserve">motocicletas </w:t>
      </w:r>
      <w:r w:rsidRPr="00711524">
        <w:rPr>
          <w:rFonts w:eastAsia="Times New Roman"/>
        </w:rPr>
        <w:t>del estacionamiento de Ciudad Judicial,</w:t>
      </w:r>
      <w:r>
        <w:rPr>
          <w:rFonts w:eastAsia="Times New Roman"/>
        </w:rPr>
        <w:t xml:space="preserve"> por lo que</w:t>
      </w:r>
      <w:r w:rsidRPr="00711524">
        <w:rPr>
          <w:rFonts w:eastAsia="Times New Roman"/>
        </w:rPr>
        <w:t xml:space="preserve"> </w:t>
      </w:r>
      <w:r w:rsidRPr="00711524">
        <w:rPr>
          <w:rFonts w:eastAsia="Times New Roman" w:cs="Tahoma"/>
        </w:rPr>
        <w:t>los integrantes de la Comisión</w:t>
      </w:r>
      <w:r>
        <w:rPr>
          <w:rFonts w:eastAsia="Times New Roman" w:cs="Tahoma"/>
        </w:rPr>
        <w:t xml:space="preserve"> acuerdan </w:t>
      </w:r>
      <w:r w:rsidRPr="00711524">
        <w:rPr>
          <w:rFonts w:eastAsia="Times New Roman" w:cs="Tahoma"/>
        </w:rPr>
        <w:t>autorizar la asignación de un espacio de estacionamiento</w:t>
      </w:r>
      <w:r>
        <w:rPr>
          <w:rFonts w:eastAsia="Times New Roman" w:cs="Tahoma"/>
        </w:rPr>
        <w:t xml:space="preserve">, </w:t>
      </w:r>
      <w:r w:rsidRPr="00711524">
        <w:rPr>
          <w:rFonts w:eastAsia="Times New Roman" w:cs="Tahoma"/>
        </w:rPr>
        <w:t xml:space="preserve">conforme </w:t>
      </w:r>
      <w:r>
        <w:rPr>
          <w:rFonts w:eastAsia="Times New Roman" w:cs="Tahoma"/>
        </w:rPr>
        <w:t>al</w:t>
      </w:r>
      <w:r w:rsidRPr="00711524">
        <w:rPr>
          <w:rFonts w:eastAsia="Times New Roman" w:cs="Tahoma"/>
        </w:rPr>
        <w:t xml:space="preserve"> </w:t>
      </w:r>
      <w:r w:rsidRPr="00711524">
        <w:rPr>
          <w:rFonts w:cstheme="majorHAnsi"/>
        </w:rPr>
        <w:t>ACUERDO GENERAL CENTESIMO SEXAGESIMO DEL PLENO DEL CONSEJO DE LA JUDICATURA DEL PODER JUDICIAL DEL ESTADO, QUE ESTABLECE LOS LINEAMIENTOS PARA LA ASIGNACIÓN Y USO DE LOS ESPACIOS PARA MOTOCICLETAS Y BICICLETAS UBICADOS EN LAS INSTALACIONES DE LA CIUDAD JUDICIAL “PRESIDENTE JUÁREZ”</w:t>
      </w:r>
      <w:r w:rsidRPr="00711524">
        <w:rPr>
          <w:rFonts w:cs="Arial"/>
          <w:b/>
        </w:rPr>
        <w:t xml:space="preserve">. </w:t>
      </w:r>
      <w:r w:rsidRPr="00711524">
        <w:rPr>
          <w:rFonts w:cstheme="majorHAnsi"/>
        </w:rPr>
        <w:t>Se ordena girar oficio a</w:t>
      </w:r>
      <w:r>
        <w:rPr>
          <w:rFonts w:cstheme="majorHAnsi"/>
        </w:rPr>
        <w:t>l</w:t>
      </w:r>
      <w:r>
        <w:rPr>
          <w:rFonts w:eastAsia="SimSun"/>
          <w:color w:val="00000A"/>
          <w:kern w:val="1"/>
          <w:lang w:eastAsia="zh-CN" w:bidi="hi-IN"/>
        </w:rPr>
        <w:t xml:space="preserve"> solicitante</w:t>
      </w:r>
      <w:r w:rsidRPr="00711524">
        <w:rPr>
          <w:rFonts w:eastAsia="Times New Roman" w:cstheme="majorHAnsi"/>
        </w:rPr>
        <w:t>,</w:t>
      </w:r>
      <w:r w:rsidRPr="00711524">
        <w:rPr>
          <w:rFonts w:cstheme="majorHAnsi"/>
        </w:rPr>
        <w:t xml:space="preserve"> </w:t>
      </w:r>
      <w:r w:rsidRPr="00711524">
        <w:rPr>
          <w:rFonts w:eastAsia="Times New Roman" w:cs="Tahoma"/>
        </w:rPr>
        <w:t>haciéndole de conocimiento el presente acuerdo</w:t>
      </w:r>
      <w:r>
        <w:rPr>
          <w:rFonts w:eastAsia="Times New Roman" w:cs="Tahoma"/>
        </w:rPr>
        <w:t>.</w:t>
      </w:r>
    </w:p>
    <w:p w:rsidR="005D78F6" w:rsidRDefault="005D78F6" w:rsidP="005D78F6">
      <w:pPr>
        <w:keepNext/>
        <w:widowControl w:val="0"/>
        <w:overflowPunct w:val="0"/>
        <w:spacing w:after="0" w:line="276" w:lineRule="auto"/>
        <w:jc w:val="both"/>
        <w:textAlignment w:val="baseline"/>
      </w:pPr>
    </w:p>
    <w:p w:rsidR="005D78F6" w:rsidRDefault="005D78F6" w:rsidP="005D78F6">
      <w:pPr>
        <w:spacing w:after="0" w:line="240" w:lineRule="auto"/>
        <w:jc w:val="both"/>
        <w:rPr>
          <w:rFonts w:eastAsia="Times New Roman" w:cs="Tahoma"/>
        </w:rPr>
      </w:pPr>
      <w:r w:rsidRPr="00711524">
        <w:rPr>
          <w:b/>
          <w:bCs/>
        </w:rPr>
        <w:t xml:space="preserve">ACUERDO </w:t>
      </w:r>
      <w:proofErr w:type="spellStart"/>
      <w:r w:rsidRPr="00711524">
        <w:rPr>
          <w:b/>
          <w:bCs/>
        </w:rPr>
        <w:t>CAyP</w:t>
      </w:r>
      <w:proofErr w:type="spellEnd"/>
      <w:r w:rsidRPr="00711524">
        <w:rPr>
          <w:b/>
          <w:bCs/>
        </w:rPr>
        <w:t>/</w:t>
      </w:r>
      <w:r>
        <w:rPr>
          <w:b/>
          <w:bCs/>
        </w:rPr>
        <w:t>02/2026</w:t>
      </w:r>
      <w:r>
        <w:t xml:space="preserve">.- Téngase por recibido </w:t>
      </w:r>
      <w:r w:rsidRPr="00711524">
        <w:t xml:space="preserve">escrito signado </w:t>
      </w:r>
      <w:r w:rsidRPr="00711524">
        <w:rPr>
          <w:rFonts w:eastAsia="Times New Roman"/>
        </w:rPr>
        <w:t xml:space="preserve">por </w:t>
      </w:r>
      <w:r w:rsidRPr="00A40D3B">
        <w:t>el Maestro David Cobián Rodríguez, Juez Quinto de lo Familiar, en el que solicita un cajón de estacionamiento para motocicleta, en el estacionamiento de esta Ciudad Judicial “Presidente Juárez” a favor del licenciado Miguel Gutiérrez Ortiz, Secretario de Acuerdos de ese Juzgado</w:t>
      </w:r>
      <w:r w:rsidRPr="003B55EF">
        <w:rPr>
          <w:rFonts w:eastAsia="SimSun"/>
          <w:color w:val="00000A"/>
          <w:kern w:val="1"/>
          <w:lang w:eastAsia="zh-CN" w:bidi="hi-IN"/>
        </w:rPr>
        <w:t>,</w:t>
      </w:r>
      <w:r>
        <w:rPr>
          <w:rFonts w:eastAsia="SimSun"/>
          <w:color w:val="00000A"/>
          <w:kern w:val="1"/>
          <w:lang w:eastAsia="zh-CN" w:bidi="hi-IN"/>
        </w:rPr>
        <w:t xml:space="preserve"> </w:t>
      </w:r>
      <w:r>
        <w:rPr>
          <w:rFonts w:eastAsia="Times New Roman"/>
        </w:rPr>
        <w:t>por lo que</w:t>
      </w:r>
      <w:r w:rsidRPr="00711524">
        <w:rPr>
          <w:rFonts w:eastAsia="Times New Roman"/>
        </w:rPr>
        <w:t xml:space="preserve"> </w:t>
      </w:r>
      <w:r w:rsidRPr="00711524">
        <w:rPr>
          <w:rFonts w:eastAsia="Times New Roman" w:cs="Tahoma"/>
        </w:rPr>
        <w:t>los integrantes de la Comisión</w:t>
      </w:r>
      <w:r>
        <w:rPr>
          <w:rFonts w:eastAsia="Times New Roman" w:cs="Tahoma"/>
        </w:rPr>
        <w:t xml:space="preserve"> acuerdan </w:t>
      </w:r>
      <w:r w:rsidRPr="00711524">
        <w:rPr>
          <w:rFonts w:eastAsia="Times New Roman" w:cs="Tahoma"/>
        </w:rPr>
        <w:t>autorizar la asignación de un espacio de estacionamiento</w:t>
      </w:r>
      <w:r>
        <w:rPr>
          <w:rFonts w:eastAsia="Times New Roman" w:cs="Tahoma"/>
        </w:rPr>
        <w:t xml:space="preserve">, </w:t>
      </w:r>
      <w:r w:rsidRPr="00711524">
        <w:rPr>
          <w:rFonts w:eastAsia="Times New Roman" w:cs="Tahoma"/>
        </w:rPr>
        <w:t xml:space="preserve">conforme </w:t>
      </w:r>
      <w:r>
        <w:rPr>
          <w:rFonts w:eastAsia="Times New Roman" w:cs="Tahoma"/>
        </w:rPr>
        <w:t>al</w:t>
      </w:r>
      <w:r w:rsidRPr="00711524">
        <w:rPr>
          <w:rFonts w:eastAsia="Times New Roman" w:cs="Tahoma"/>
        </w:rPr>
        <w:t xml:space="preserve"> </w:t>
      </w:r>
      <w:r w:rsidRPr="00711524">
        <w:rPr>
          <w:rFonts w:cstheme="majorHAnsi"/>
        </w:rPr>
        <w:t>ACUERDO GENERAL CENTESIMO SEXAGESIMO DEL PLENO DEL CONSEJO DE LA JUDICATURA DEL PODER JUDICIAL DEL ESTADO, QUE ESTABLECE LOS LINEAMIENTOS PARA LA ASIGNACIÓN Y USO DE LOS ESPACIOS PARA MOTOCICLETAS Y BICICLETAS UBICADOS EN LAS INSTALACIONES DE LA CIUDAD JUDICIAL “PRESIDENTE JUÁREZ”</w:t>
      </w:r>
      <w:r w:rsidRPr="00711524">
        <w:rPr>
          <w:rFonts w:cs="Arial"/>
          <w:b/>
        </w:rPr>
        <w:t xml:space="preserve">. </w:t>
      </w:r>
      <w:r w:rsidRPr="00711524">
        <w:rPr>
          <w:rFonts w:cstheme="majorHAnsi"/>
        </w:rPr>
        <w:t>Se ordena girar oficio a</w:t>
      </w:r>
      <w:r>
        <w:rPr>
          <w:rFonts w:cstheme="majorHAnsi"/>
        </w:rPr>
        <w:t>l</w:t>
      </w:r>
      <w:r>
        <w:rPr>
          <w:rFonts w:eastAsia="SimSun"/>
          <w:color w:val="00000A"/>
          <w:kern w:val="1"/>
          <w:lang w:eastAsia="zh-CN" w:bidi="hi-IN"/>
        </w:rPr>
        <w:t xml:space="preserve"> solicitante</w:t>
      </w:r>
      <w:r w:rsidRPr="00711524">
        <w:rPr>
          <w:rFonts w:eastAsia="Times New Roman" w:cstheme="majorHAnsi"/>
        </w:rPr>
        <w:t>,</w:t>
      </w:r>
      <w:r w:rsidRPr="00711524">
        <w:rPr>
          <w:rFonts w:cstheme="majorHAnsi"/>
        </w:rPr>
        <w:t xml:space="preserve"> </w:t>
      </w:r>
      <w:r w:rsidRPr="00711524">
        <w:rPr>
          <w:rFonts w:eastAsia="Times New Roman" w:cs="Tahoma"/>
        </w:rPr>
        <w:t>haciéndole de conocimiento el presente acuerdo</w:t>
      </w:r>
      <w:r>
        <w:rPr>
          <w:rFonts w:eastAsia="Times New Roman" w:cs="Tahoma"/>
        </w:rPr>
        <w:t>.</w:t>
      </w:r>
    </w:p>
    <w:p w:rsidR="005D78F6" w:rsidRDefault="005D78F6" w:rsidP="005D78F6">
      <w:pPr>
        <w:keepNext/>
        <w:widowControl w:val="0"/>
        <w:overflowPunct w:val="0"/>
        <w:spacing w:after="0" w:line="276" w:lineRule="auto"/>
        <w:jc w:val="both"/>
        <w:textAlignment w:val="baseline"/>
      </w:pPr>
    </w:p>
    <w:p w:rsidR="005D78F6" w:rsidRPr="00DE6331" w:rsidRDefault="005D78F6" w:rsidP="005D78F6">
      <w:pPr>
        <w:spacing w:after="0" w:line="240" w:lineRule="auto"/>
        <w:jc w:val="both"/>
        <w:rPr>
          <w:rFonts w:asciiTheme="majorHAnsi" w:hAnsiTheme="majorHAnsi" w:cstheme="majorHAnsi"/>
        </w:rPr>
      </w:pPr>
      <w:r w:rsidRPr="00DE6331">
        <w:rPr>
          <w:rFonts w:asciiTheme="majorHAnsi" w:hAnsiTheme="majorHAnsi" w:cstheme="majorHAnsi"/>
          <w:b/>
          <w:bCs/>
        </w:rPr>
        <w:t xml:space="preserve">ACUERDO </w:t>
      </w:r>
      <w:proofErr w:type="spellStart"/>
      <w:r w:rsidRPr="00DE6331">
        <w:rPr>
          <w:rFonts w:asciiTheme="majorHAnsi" w:hAnsiTheme="majorHAnsi" w:cstheme="majorHAnsi"/>
          <w:b/>
          <w:bCs/>
        </w:rPr>
        <w:t>CAyP</w:t>
      </w:r>
      <w:proofErr w:type="spellEnd"/>
      <w:r w:rsidRPr="00DE6331">
        <w:rPr>
          <w:rFonts w:asciiTheme="majorHAnsi" w:hAnsiTheme="majorHAnsi" w:cstheme="majorHAnsi"/>
          <w:b/>
          <w:bCs/>
        </w:rPr>
        <w:t>/</w:t>
      </w:r>
      <w:r>
        <w:rPr>
          <w:rFonts w:asciiTheme="majorHAnsi" w:hAnsiTheme="majorHAnsi" w:cstheme="majorHAnsi"/>
          <w:b/>
          <w:bCs/>
        </w:rPr>
        <w:t>03/2026</w:t>
      </w:r>
      <w:r w:rsidRPr="00DE6331">
        <w:rPr>
          <w:rFonts w:asciiTheme="majorHAnsi" w:hAnsiTheme="majorHAnsi" w:cstheme="majorHAnsi"/>
        </w:rPr>
        <w:t xml:space="preserve">.- Téngase por recibido oficio suscrito por la Encargada de la Dirección de Recursos Financieros del Poder Judicial del Estado, en el que adjunta el resumen de transferencias entre partidas del mismo capítulo, durante </w:t>
      </w:r>
      <w:r>
        <w:rPr>
          <w:rFonts w:asciiTheme="majorHAnsi" w:hAnsiTheme="majorHAnsi" w:cstheme="majorHAnsi"/>
        </w:rPr>
        <w:t>el tercer trimestre de</w:t>
      </w:r>
      <w:r w:rsidRPr="00DE6331">
        <w:rPr>
          <w:rFonts w:asciiTheme="majorHAnsi" w:hAnsiTheme="majorHAnsi" w:cstheme="majorHAnsi"/>
        </w:rPr>
        <w:t xml:space="preserve"> 202</w:t>
      </w:r>
      <w:r>
        <w:rPr>
          <w:rFonts w:asciiTheme="majorHAnsi" w:hAnsiTheme="majorHAnsi" w:cstheme="majorHAnsi"/>
        </w:rPr>
        <w:t>5</w:t>
      </w:r>
      <w:r w:rsidRPr="00DE6331">
        <w:rPr>
          <w:rFonts w:asciiTheme="majorHAnsi" w:hAnsiTheme="majorHAnsi" w:cstheme="majorHAnsi"/>
        </w:rPr>
        <w:t xml:space="preserve"> dos mil </w:t>
      </w:r>
      <w:r>
        <w:rPr>
          <w:rFonts w:asciiTheme="majorHAnsi" w:hAnsiTheme="majorHAnsi" w:cstheme="majorHAnsi"/>
        </w:rPr>
        <w:t>veinticinco</w:t>
      </w:r>
      <w:r w:rsidRPr="00DE6331">
        <w:rPr>
          <w:rFonts w:asciiTheme="majorHAnsi" w:hAnsiTheme="majorHAnsi" w:cstheme="majorHAnsi"/>
        </w:rPr>
        <w:t xml:space="preserve">, lo anterior, en cumplimiento al artículo 53 fracción V del Reglamento Interior del Consejo de la Judicatura que a la letra dice: </w:t>
      </w:r>
    </w:p>
    <w:p w:rsidR="005D78F6" w:rsidRPr="00DE6331" w:rsidRDefault="005D78F6" w:rsidP="005D78F6">
      <w:pPr>
        <w:spacing w:after="0" w:line="240" w:lineRule="auto"/>
        <w:jc w:val="both"/>
        <w:rPr>
          <w:rFonts w:asciiTheme="majorHAnsi" w:hAnsiTheme="majorHAnsi" w:cstheme="majorHAnsi"/>
        </w:rPr>
      </w:pPr>
    </w:p>
    <w:p w:rsidR="005D78F6" w:rsidRPr="00DE6331" w:rsidRDefault="005D78F6" w:rsidP="005D78F6">
      <w:pPr>
        <w:spacing w:after="0" w:line="240" w:lineRule="auto"/>
        <w:ind w:left="227" w:right="227"/>
        <w:jc w:val="both"/>
        <w:rPr>
          <w:rFonts w:asciiTheme="majorHAnsi" w:hAnsiTheme="majorHAnsi" w:cstheme="majorHAnsi"/>
          <w:i/>
        </w:rPr>
      </w:pPr>
      <w:r w:rsidRPr="00DE6331">
        <w:rPr>
          <w:rFonts w:asciiTheme="majorHAnsi" w:hAnsiTheme="majorHAnsi" w:cstheme="majorHAnsi"/>
          <w:i/>
        </w:rPr>
        <w:t>“</w:t>
      </w:r>
      <w:r w:rsidRPr="00DE6331">
        <w:rPr>
          <w:rFonts w:asciiTheme="majorHAnsi" w:hAnsiTheme="majorHAnsi" w:cstheme="majorHAnsi"/>
          <w:b/>
          <w:i/>
        </w:rPr>
        <w:t>Artículo 53</w:t>
      </w:r>
      <w:r w:rsidRPr="00DE6331">
        <w:rPr>
          <w:rFonts w:asciiTheme="majorHAnsi" w:hAnsiTheme="majorHAnsi" w:cstheme="majorHAnsi"/>
          <w:i/>
        </w:rPr>
        <w:t>. El titular de la Secretaría Ejecutiva de Administración tendrá las atribuciones siguientes:</w:t>
      </w:r>
    </w:p>
    <w:p w:rsidR="005D78F6" w:rsidRPr="00DE6331" w:rsidRDefault="005D78F6" w:rsidP="005D78F6">
      <w:pPr>
        <w:spacing w:after="0" w:line="240" w:lineRule="auto"/>
        <w:ind w:left="227" w:right="227"/>
        <w:jc w:val="both"/>
        <w:rPr>
          <w:rFonts w:asciiTheme="majorHAnsi" w:hAnsiTheme="majorHAnsi" w:cstheme="majorHAnsi"/>
          <w:i/>
        </w:rPr>
      </w:pPr>
    </w:p>
    <w:p w:rsidR="005D78F6" w:rsidRPr="00141E15" w:rsidRDefault="005D78F6" w:rsidP="005D78F6">
      <w:pPr>
        <w:spacing w:after="0" w:line="240" w:lineRule="auto"/>
        <w:ind w:left="227" w:right="227"/>
        <w:jc w:val="both"/>
        <w:rPr>
          <w:b/>
          <w:bCs/>
          <w:i/>
        </w:rPr>
      </w:pPr>
      <w:r w:rsidRPr="00DE6331">
        <w:rPr>
          <w:rFonts w:asciiTheme="majorHAnsi" w:hAnsiTheme="majorHAnsi" w:cstheme="majorHAnsi"/>
          <w:b/>
          <w:i/>
        </w:rPr>
        <w:t>V.</w:t>
      </w:r>
      <w:r w:rsidRPr="00DE6331">
        <w:rPr>
          <w:rFonts w:asciiTheme="majorHAnsi" w:hAnsiTheme="majorHAnsi" w:cstheme="majorHAnsi"/>
          <w:i/>
        </w:rPr>
        <w:t xml:space="preserve"> Autorizar las transferencias presupuestales entre las partidas de un Capítulo de Gasto, siempre y cuando con ello no se afecte el presupuesto global aprobado para dicho</w:t>
      </w:r>
      <w:r w:rsidRPr="0055724A">
        <w:rPr>
          <w:i/>
        </w:rPr>
        <w:t xml:space="preserve"> capítulo, dando cuenta de las transferencias realizadas a la Comisión de Administración y Presupuesto.”</w:t>
      </w:r>
    </w:p>
    <w:p w:rsidR="005D78F6" w:rsidRDefault="005D78F6" w:rsidP="005D78F6">
      <w:pPr>
        <w:spacing w:after="0" w:line="240" w:lineRule="auto"/>
        <w:jc w:val="both"/>
        <w:rPr>
          <w:b/>
        </w:rPr>
      </w:pPr>
    </w:p>
    <w:p w:rsidR="005D78F6" w:rsidRPr="00DE6331" w:rsidRDefault="005D78F6" w:rsidP="005D78F6">
      <w:pPr>
        <w:spacing w:after="0" w:line="240" w:lineRule="auto"/>
        <w:jc w:val="both"/>
        <w:rPr>
          <w:rFonts w:asciiTheme="majorHAnsi" w:hAnsiTheme="majorHAnsi" w:cstheme="majorHAnsi"/>
        </w:rPr>
      </w:pPr>
      <w:r w:rsidRPr="00711524">
        <w:rPr>
          <w:b/>
          <w:bCs/>
        </w:rPr>
        <w:t xml:space="preserve">ACUERDO </w:t>
      </w:r>
      <w:proofErr w:type="spellStart"/>
      <w:r w:rsidRPr="00711524">
        <w:rPr>
          <w:b/>
          <w:bCs/>
        </w:rPr>
        <w:t>CAyP</w:t>
      </w:r>
      <w:proofErr w:type="spellEnd"/>
      <w:r w:rsidRPr="00711524">
        <w:rPr>
          <w:b/>
          <w:bCs/>
        </w:rPr>
        <w:t>/</w:t>
      </w:r>
      <w:r>
        <w:rPr>
          <w:b/>
          <w:bCs/>
        </w:rPr>
        <w:t>04/2026</w:t>
      </w:r>
      <w:r>
        <w:t xml:space="preserve">.- </w:t>
      </w:r>
      <w:r w:rsidRPr="00DE6331">
        <w:rPr>
          <w:rFonts w:asciiTheme="majorHAnsi" w:hAnsiTheme="majorHAnsi" w:cstheme="majorHAnsi"/>
        </w:rPr>
        <w:t xml:space="preserve">Téngase por recibido oficio suscrito por la Encargada de la Dirección de Recursos Financieros del Poder Judicial del Estado, en el que adjunta el resumen de transferencias entre partidas del mismo capítulo, durante </w:t>
      </w:r>
      <w:r>
        <w:rPr>
          <w:rFonts w:asciiTheme="majorHAnsi" w:hAnsiTheme="majorHAnsi" w:cstheme="majorHAnsi"/>
        </w:rPr>
        <w:t>el cuarto trimestre de</w:t>
      </w:r>
      <w:r w:rsidRPr="00DE6331">
        <w:rPr>
          <w:rFonts w:asciiTheme="majorHAnsi" w:hAnsiTheme="majorHAnsi" w:cstheme="majorHAnsi"/>
        </w:rPr>
        <w:t xml:space="preserve"> 202</w:t>
      </w:r>
      <w:r>
        <w:rPr>
          <w:rFonts w:asciiTheme="majorHAnsi" w:hAnsiTheme="majorHAnsi" w:cstheme="majorHAnsi"/>
        </w:rPr>
        <w:t>5</w:t>
      </w:r>
      <w:r w:rsidRPr="00DE6331">
        <w:rPr>
          <w:rFonts w:asciiTheme="majorHAnsi" w:hAnsiTheme="majorHAnsi" w:cstheme="majorHAnsi"/>
        </w:rPr>
        <w:t xml:space="preserve"> dos mil </w:t>
      </w:r>
      <w:r>
        <w:rPr>
          <w:rFonts w:asciiTheme="majorHAnsi" w:hAnsiTheme="majorHAnsi" w:cstheme="majorHAnsi"/>
        </w:rPr>
        <w:t>veinticinco</w:t>
      </w:r>
      <w:r w:rsidRPr="00DE6331">
        <w:rPr>
          <w:rFonts w:asciiTheme="majorHAnsi" w:hAnsiTheme="majorHAnsi" w:cstheme="majorHAnsi"/>
        </w:rPr>
        <w:t xml:space="preserve">, lo anterior, en cumplimiento al artículo 53 fracción V del Reglamento Interior del Consejo de la Judicatura que a la letra dice: </w:t>
      </w:r>
    </w:p>
    <w:p w:rsidR="005D78F6" w:rsidRPr="00DE6331" w:rsidRDefault="005D78F6" w:rsidP="005D78F6">
      <w:pPr>
        <w:spacing w:after="0" w:line="240" w:lineRule="auto"/>
        <w:jc w:val="both"/>
        <w:rPr>
          <w:rFonts w:asciiTheme="majorHAnsi" w:hAnsiTheme="majorHAnsi" w:cstheme="majorHAnsi"/>
        </w:rPr>
      </w:pPr>
    </w:p>
    <w:p w:rsidR="005D78F6" w:rsidRPr="00DE6331" w:rsidRDefault="005D78F6" w:rsidP="005D78F6">
      <w:pPr>
        <w:spacing w:after="0" w:line="240" w:lineRule="auto"/>
        <w:ind w:left="227" w:right="227"/>
        <w:jc w:val="both"/>
        <w:rPr>
          <w:rFonts w:asciiTheme="majorHAnsi" w:hAnsiTheme="majorHAnsi" w:cstheme="majorHAnsi"/>
          <w:i/>
        </w:rPr>
      </w:pPr>
      <w:r w:rsidRPr="00DE6331">
        <w:rPr>
          <w:rFonts w:asciiTheme="majorHAnsi" w:hAnsiTheme="majorHAnsi" w:cstheme="majorHAnsi"/>
          <w:i/>
        </w:rPr>
        <w:t>“</w:t>
      </w:r>
      <w:r w:rsidRPr="00DE6331">
        <w:rPr>
          <w:rFonts w:asciiTheme="majorHAnsi" w:hAnsiTheme="majorHAnsi" w:cstheme="majorHAnsi"/>
          <w:b/>
          <w:i/>
        </w:rPr>
        <w:t>Artículo 53</w:t>
      </w:r>
      <w:r w:rsidRPr="00DE6331">
        <w:rPr>
          <w:rFonts w:asciiTheme="majorHAnsi" w:hAnsiTheme="majorHAnsi" w:cstheme="majorHAnsi"/>
          <w:i/>
        </w:rPr>
        <w:t>. El titular de la Secretaría Ejecutiva de Administración tendrá las atribuciones siguientes:</w:t>
      </w:r>
    </w:p>
    <w:p w:rsidR="005D78F6" w:rsidRPr="00DE6331" w:rsidRDefault="005D78F6" w:rsidP="005D78F6">
      <w:pPr>
        <w:spacing w:after="0" w:line="240" w:lineRule="auto"/>
        <w:ind w:left="227" w:right="227"/>
        <w:jc w:val="both"/>
        <w:rPr>
          <w:rFonts w:asciiTheme="majorHAnsi" w:hAnsiTheme="majorHAnsi" w:cstheme="majorHAnsi"/>
          <w:i/>
        </w:rPr>
      </w:pPr>
    </w:p>
    <w:p w:rsidR="005D78F6" w:rsidRPr="00141E15" w:rsidRDefault="005D78F6" w:rsidP="005D78F6">
      <w:pPr>
        <w:spacing w:after="0" w:line="240" w:lineRule="auto"/>
        <w:ind w:left="227" w:right="227"/>
        <w:jc w:val="both"/>
        <w:rPr>
          <w:b/>
          <w:bCs/>
          <w:i/>
        </w:rPr>
      </w:pPr>
      <w:r w:rsidRPr="00DE6331">
        <w:rPr>
          <w:rFonts w:asciiTheme="majorHAnsi" w:hAnsiTheme="majorHAnsi" w:cstheme="majorHAnsi"/>
          <w:b/>
          <w:i/>
        </w:rPr>
        <w:t>V.</w:t>
      </w:r>
      <w:r w:rsidRPr="00DE6331">
        <w:rPr>
          <w:rFonts w:asciiTheme="majorHAnsi" w:hAnsiTheme="majorHAnsi" w:cstheme="majorHAnsi"/>
          <w:i/>
        </w:rPr>
        <w:t xml:space="preserve"> Autorizar las transferencias presupuestales entre las partidas de un Capítulo de Gasto, siempre y cuando con ello no se afecte el presupuesto global aprobado para dicho</w:t>
      </w:r>
      <w:r w:rsidRPr="0055724A">
        <w:rPr>
          <w:i/>
        </w:rPr>
        <w:t xml:space="preserve"> capítulo, dando cuenta de las transferencias realizadas a la Comisión de Administración y Presupuesto.”</w:t>
      </w:r>
    </w:p>
    <w:p w:rsidR="005D78F6" w:rsidRDefault="005D78F6" w:rsidP="005D78F6">
      <w:pPr>
        <w:spacing w:after="0" w:line="240" w:lineRule="auto"/>
        <w:jc w:val="both"/>
        <w:rPr>
          <w:rFonts w:eastAsia="Times New Roman" w:cstheme="majorHAnsi"/>
          <w:bCs/>
        </w:rPr>
      </w:pPr>
    </w:p>
    <w:bookmarkEnd w:id="0"/>
    <w:p w:rsidR="00027FC3" w:rsidRDefault="00027FC3" w:rsidP="005D78F6">
      <w:pPr>
        <w:spacing w:after="0" w:line="240" w:lineRule="auto"/>
        <w:jc w:val="both"/>
      </w:pPr>
    </w:p>
    <w:sectPr w:rsidR="00027F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6D4"/>
    <w:rsid w:val="00027FC3"/>
    <w:rsid w:val="0017560E"/>
    <w:rsid w:val="00287887"/>
    <w:rsid w:val="003016B1"/>
    <w:rsid w:val="0031058E"/>
    <w:rsid w:val="003856D4"/>
    <w:rsid w:val="005D78F6"/>
    <w:rsid w:val="0067459D"/>
    <w:rsid w:val="00742756"/>
    <w:rsid w:val="007F60FD"/>
    <w:rsid w:val="00842961"/>
    <w:rsid w:val="00973978"/>
    <w:rsid w:val="00B148E2"/>
    <w:rsid w:val="00BA58A4"/>
    <w:rsid w:val="00CE42E7"/>
    <w:rsid w:val="00CE7554"/>
    <w:rsid w:val="00D36FBB"/>
    <w:rsid w:val="00FC23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5B1B"/>
  <w15:chartTrackingRefBased/>
  <w15:docId w15:val="{E599527C-5B67-4939-B1B9-26329316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856D4"/>
    <w:rPr>
      <w:rFonts w:ascii="Calibri" w:eastAsia="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basedOn w:val="Fuentedeprrafopredeter"/>
    <w:link w:val="Cuerpodetexto"/>
    <w:semiHidden/>
    <w:rsid w:val="003856D4"/>
    <w:rPr>
      <w:rFonts w:eastAsia="Times New Roman" w:cs="Times New Roman"/>
      <w:szCs w:val="20"/>
    </w:rPr>
  </w:style>
  <w:style w:type="paragraph" w:customStyle="1" w:styleId="Cuerpodetexto">
    <w:name w:val="Cuerpo de texto"/>
    <w:basedOn w:val="Normal"/>
    <w:link w:val="TextoindependienteCar"/>
    <w:semiHidden/>
    <w:rsid w:val="003856D4"/>
    <w:pPr>
      <w:keepNext/>
      <w:suppressAutoHyphens/>
      <w:spacing w:after="200" w:line="288" w:lineRule="auto"/>
      <w:jc w:val="both"/>
    </w:pPr>
    <w:rPr>
      <w:rFonts w:asciiTheme="minorHAnsi" w:eastAsia="Times New Roman" w:hAnsiTheme="minorHAnsi"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2818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DÍAZ DE LA ROSA</dc:creator>
  <cp:keywords/>
  <dc:description/>
  <cp:lastModifiedBy>MARCELA DÍAZ DE LA ROSA</cp:lastModifiedBy>
  <cp:revision>6</cp:revision>
  <dcterms:created xsi:type="dcterms:W3CDTF">2025-10-02T15:04:00Z</dcterms:created>
  <dcterms:modified xsi:type="dcterms:W3CDTF">2026-07-06T19:30:00Z</dcterms:modified>
</cp:coreProperties>
</file>