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805960" w:rsidRPr="00CB56B7" w14:paraId="31C2C933" w14:textId="77777777" w:rsidTr="00C531C5">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6E9E7B" w14:textId="0DD2F9C7" w:rsidR="0049071D" w:rsidRPr="00CB56B7" w:rsidRDefault="0049071D" w:rsidP="00ED3282">
            <w:pPr>
              <w:spacing w:line="360" w:lineRule="auto"/>
              <w:ind w:hanging="86"/>
              <w:jc w:val="both"/>
              <w:rPr>
                <w:rFonts w:ascii="Arial" w:hAnsi="Arial" w:cs="Arial"/>
                <w:sz w:val="24"/>
                <w:szCs w:val="24"/>
                <w:lang w:eastAsia="es-ES"/>
              </w:rPr>
            </w:pPr>
            <w:bookmarkStart w:id="0" w:name="_Hlk520393671"/>
            <w:r w:rsidRPr="00CB56B7">
              <w:rPr>
                <w:rFonts w:ascii="Arial" w:hAnsi="Arial" w:cs="Arial"/>
                <w:b/>
                <w:sz w:val="24"/>
                <w:szCs w:val="24"/>
                <w:lang w:eastAsia="es-ES"/>
              </w:rPr>
              <w:t xml:space="preserve">RECURSO DE REVISIÓN: </w:t>
            </w:r>
            <w:r w:rsidRPr="00CB56B7">
              <w:rPr>
                <w:rFonts w:ascii="Arial" w:hAnsi="Arial" w:cs="Arial"/>
                <w:sz w:val="24"/>
                <w:szCs w:val="24"/>
                <w:lang w:eastAsia="es-ES"/>
              </w:rPr>
              <w:t>RR-</w:t>
            </w:r>
            <w:r w:rsidR="00ED3282" w:rsidRPr="00CB56B7">
              <w:rPr>
                <w:rFonts w:ascii="Arial" w:hAnsi="Arial" w:cs="Arial"/>
                <w:sz w:val="24"/>
                <w:szCs w:val="24"/>
                <w:lang w:eastAsia="es-ES"/>
              </w:rPr>
              <w:t>441</w:t>
            </w:r>
            <w:r w:rsidRPr="00CB56B7">
              <w:rPr>
                <w:rFonts w:ascii="Arial" w:hAnsi="Arial" w:cs="Arial"/>
                <w:sz w:val="24"/>
                <w:szCs w:val="24"/>
                <w:lang w:eastAsia="es-ES"/>
              </w:rPr>
              <w:t>/202</w:t>
            </w:r>
            <w:r w:rsidR="0056120C" w:rsidRPr="00CB56B7">
              <w:rPr>
                <w:rFonts w:ascii="Arial" w:hAnsi="Arial" w:cs="Arial"/>
                <w:sz w:val="24"/>
                <w:szCs w:val="24"/>
                <w:lang w:eastAsia="es-ES"/>
              </w:rPr>
              <w:t>6</w:t>
            </w:r>
            <w:r w:rsidRPr="00CB56B7">
              <w:rPr>
                <w:rFonts w:ascii="Arial" w:hAnsi="Arial" w:cs="Arial"/>
                <w:sz w:val="24"/>
                <w:szCs w:val="24"/>
                <w:lang w:eastAsia="es-ES"/>
              </w:rPr>
              <w:t>-3</w:t>
            </w:r>
          </w:p>
        </w:tc>
      </w:tr>
      <w:tr w:rsidR="00805960" w:rsidRPr="00CB56B7" w14:paraId="506DC329" w14:textId="77777777" w:rsidTr="00C531C5">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AD6E50" w14:textId="36BD4830" w:rsidR="0049071D" w:rsidRPr="00CB56B7" w:rsidRDefault="0049071D" w:rsidP="00231BD3">
            <w:pPr>
              <w:spacing w:line="360" w:lineRule="auto"/>
              <w:ind w:left="-108"/>
              <w:jc w:val="both"/>
              <w:rPr>
                <w:rFonts w:ascii="Arial" w:hAnsi="Arial" w:cs="Arial"/>
                <w:sz w:val="24"/>
                <w:szCs w:val="24"/>
                <w:lang w:eastAsia="es-ES"/>
              </w:rPr>
            </w:pPr>
            <w:r w:rsidRPr="00CB56B7">
              <w:rPr>
                <w:rFonts w:ascii="Arial" w:hAnsi="Arial" w:cs="Arial"/>
                <w:b/>
                <w:sz w:val="24"/>
                <w:szCs w:val="24"/>
                <w:lang w:eastAsia="es-ES"/>
              </w:rPr>
              <w:t>SUJETO OBLIGADO:</w:t>
            </w:r>
            <w:r w:rsidRPr="00CB56B7">
              <w:rPr>
                <w:rFonts w:ascii="Arial" w:eastAsia="Arial Unicode MS" w:hAnsi="Arial" w:cs="Arial"/>
                <w:sz w:val="24"/>
                <w:szCs w:val="24"/>
                <w:lang w:eastAsia="es-ES"/>
              </w:rPr>
              <w:t xml:space="preserve"> </w:t>
            </w:r>
            <w:r w:rsidR="00231BD3" w:rsidRPr="00CB56B7">
              <w:rPr>
                <w:rFonts w:ascii="Arial" w:eastAsia="Arial Unicode MS" w:hAnsi="Arial" w:cs="Arial"/>
                <w:sz w:val="24"/>
                <w:szCs w:val="24"/>
                <w:lang w:eastAsia="es-ES"/>
              </w:rPr>
              <w:t>UNIVERSIDAD AUTÓNOMA DE SAN LUIS POTOSÍ</w:t>
            </w:r>
            <w:r w:rsidR="008D5041" w:rsidRPr="00CB56B7">
              <w:rPr>
                <w:rFonts w:ascii="Arial" w:eastAsia="Arial Unicode MS" w:hAnsi="Arial" w:cs="Arial"/>
                <w:sz w:val="24"/>
                <w:szCs w:val="24"/>
                <w:lang w:eastAsia="es-ES"/>
              </w:rPr>
              <w:t>.</w:t>
            </w:r>
          </w:p>
        </w:tc>
      </w:tr>
      <w:tr w:rsidR="0049071D" w:rsidRPr="00CB56B7" w14:paraId="6FE83375" w14:textId="77777777" w:rsidTr="00C531C5">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E4DC68" w14:textId="77777777" w:rsidR="0049071D" w:rsidRPr="00CB56B7" w:rsidRDefault="0049071D" w:rsidP="00066097">
            <w:pPr>
              <w:spacing w:line="360" w:lineRule="auto"/>
              <w:ind w:left="-108"/>
              <w:jc w:val="both"/>
              <w:rPr>
                <w:rFonts w:ascii="Arial" w:hAnsi="Arial" w:cs="Arial"/>
                <w:sz w:val="24"/>
                <w:szCs w:val="24"/>
                <w:lang w:eastAsia="es-ES"/>
              </w:rPr>
            </w:pPr>
            <w:r w:rsidRPr="00CB56B7">
              <w:rPr>
                <w:rFonts w:ascii="Arial" w:hAnsi="Arial" w:cs="Arial"/>
                <w:b/>
                <w:sz w:val="24"/>
                <w:szCs w:val="24"/>
                <w:lang w:eastAsia="es-ES"/>
              </w:rPr>
              <w:t xml:space="preserve">COMISIONADA PONENTE: </w:t>
            </w:r>
            <w:r w:rsidRPr="00CB56B7">
              <w:rPr>
                <w:rFonts w:ascii="Arial" w:hAnsi="Arial" w:cs="Arial"/>
                <w:sz w:val="24"/>
                <w:szCs w:val="24"/>
                <w:lang w:eastAsia="es-ES"/>
              </w:rPr>
              <w:t>ANA CRISTINA GARCÍA NALES.</w:t>
            </w:r>
          </w:p>
        </w:tc>
      </w:tr>
    </w:tbl>
    <w:p w14:paraId="3A0AF9C1" w14:textId="77777777" w:rsidR="0049071D" w:rsidRPr="00CB56B7" w:rsidRDefault="0049071D" w:rsidP="00066097">
      <w:pPr>
        <w:spacing w:after="0" w:line="360" w:lineRule="auto"/>
        <w:ind w:firstLine="708"/>
        <w:jc w:val="both"/>
        <w:rPr>
          <w:rFonts w:ascii="Arial" w:eastAsia="Arial Unicode MS" w:hAnsi="Arial" w:cs="Arial"/>
          <w:sz w:val="24"/>
          <w:szCs w:val="24"/>
          <w:lang w:eastAsia="es-ES"/>
        </w:rPr>
      </w:pPr>
    </w:p>
    <w:p w14:paraId="521C2A78" w14:textId="792A334E" w:rsidR="0049071D" w:rsidRPr="00CB56B7" w:rsidRDefault="0049071D" w:rsidP="00066097">
      <w:pPr>
        <w:spacing w:after="0" w:line="360" w:lineRule="auto"/>
        <w:ind w:firstLine="708"/>
        <w:jc w:val="both"/>
        <w:rPr>
          <w:rFonts w:ascii="Arial" w:eastAsia="BatangChe" w:hAnsi="Arial" w:cs="Arial"/>
          <w:sz w:val="24"/>
          <w:szCs w:val="24"/>
          <w:lang w:eastAsia="es-ES"/>
        </w:rPr>
      </w:pPr>
      <w:r w:rsidRPr="00CB56B7">
        <w:rPr>
          <w:rFonts w:ascii="Arial" w:eastAsia="Arial Unicode MS" w:hAnsi="Arial" w:cs="Arial"/>
          <w:sz w:val="24"/>
          <w:szCs w:val="24"/>
          <w:lang w:eastAsia="es-ES"/>
        </w:rPr>
        <w:t xml:space="preserve">San Luis Potosí, San Luis Potosí, </w:t>
      </w:r>
      <w:r w:rsidRPr="00CB56B7">
        <w:rPr>
          <w:rFonts w:ascii="Arial" w:eastAsia="BatangChe" w:hAnsi="Arial" w:cs="Arial"/>
          <w:sz w:val="24"/>
          <w:szCs w:val="24"/>
          <w:lang w:eastAsia="es-ES"/>
        </w:rPr>
        <w:t xml:space="preserve">Sesión </w:t>
      </w:r>
      <w:r w:rsidR="0056120C" w:rsidRPr="00CB56B7">
        <w:rPr>
          <w:rFonts w:ascii="Arial" w:eastAsia="BatangChe" w:hAnsi="Arial" w:cs="Arial"/>
          <w:sz w:val="24"/>
          <w:szCs w:val="24"/>
          <w:lang w:eastAsia="es-ES"/>
        </w:rPr>
        <w:t>Ordinaria</w:t>
      </w:r>
      <w:r w:rsidRPr="00CB56B7">
        <w:rPr>
          <w:rFonts w:ascii="Arial" w:eastAsia="BatangChe" w:hAnsi="Arial" w:cs="Arial"/>
          <w:sz w:val="24"/>
          <w:szCs w:val="24"/>
          <w:lang w:eastAsia="es-ES"/>
        </w:rPr>
        <w:t xml:space="preserve"> del Pleno de la Comisión Estatal de Garantía de Acceso a la Información Pública, </w:t>
      </w:r>
      <w:r w:rsidR="0056120C" w:rsidRPr="00CB56B7">
        <w:rPr>
          <w:rFonts w:ascii="Arial" w:eastAsia="BatangChe" w:hAnsi="Arial" w:cs="Arial"/>
          <w:sz w:val="24"/>
          <w:szCs w:val="24"/>
          <w:lang w:eastAsia="es-ES"/>
        </w:rPr>
        <w:t>ocho</w:t>
      </w:r>
      <w:r w:rsidR="00213D04" w:rsidRPr="00CB56B7">
        <w:rPr>
          <w:rFonts w:ascii="Arial" w:eastAsia="BatangChe" w:hAnsi="Arial" w:cs="Arial"/>
          <w:sz w:val="24"/>
          <w:szCs w:val="24"/>
          <w:lang w:eastAsia="es-ES"/>
        </w:rPr>
        <w:t xml:space="preserve"> de </w:t>
      </w:r>
      <w:r w:rsidR="0056120C" w:rsidRPr="00CB56B7">
        <w:rPr>
          <w:rFonts w:ascii="Arial" w:eastAsia="BatangChe" w:hAnsi="Arial" w:cs="Arial"/>
          <w:sz w:val="24"/>
          <w:szCs w:val="24"/>
          <w:lang w:eastAsia="es-ES"/>
        </w:rPr>
        <w:t>septiembre</w:t>
      </w:r>
      <w:r w:rsidR="008B4661" w:rsidRPr="00CB56B7">
        <w:rPr>
          <w:rFonts w:ascii="Arial" w:eastAsia="BatangChe" w:hAnsi="Arial" w:cs="Arial"/>
          <w:sz w:val="24"/>
          <w:szCs w:val="24"/>
          <w:lang w:eastAsia="es-ES"/>
        </w:rPr>
        <w:t xml:space="preserve"> de dos mil </w:t>
      </w:r>
      <w:r w:rsidR="00066097" w:rsidRPr="00CB56B7">
        <w:rPr>
          <w:rFonts w:ascii="Arial" w:eastAsia="BatangChe" w:hAnsi="Arial" w:cs="Arial"/>
          <w:sz w:val="24"/>
          <w:szCs w:val="24"/>
          <w:lang w:eastAsia="es-ES"/>
        </w:rPr>
        <w:t>veintiséis</w:t>
      </w:r>
      <w:r w:rsidRPr="00CB56B7">
        <w:rPr>
          <w:rFonts w:ascii="Arial" w:eastAsia="BatangChe" w:hAnsi="Arial" w:cs="Arial"/>
          <w:sz w:val="24"/>
          <w:szCs w:val="24"/>
          <w:lang w:eastAsia="es-ES"/>
        </w:rPr>
        <w:t xml:space="preserve">. </w:t>
      </w:r>
    </w:p>
    <w:p w14:paraId="1D9610C4" w14:textId="77777777" w:rsidR="0049071D" w:rsidRPr="00CB56B7" w:rsidRDefault="0049071D" w:rsidP="00066097">
      <w:pPr>
        <w:spacing w:after="0" w:line="360" w:lineRule="auto"/>
        <w:jc w:val="both"/>
        <w:rPr>
          <w:rFonts w:ascii="Arial" w:eastAsia="Arial Unicode MS" w:hAnsi="Arial" w:cs="Arial"/>
          <w:sz w:val="24"/>
          <w:szCs w:val="24"/>
          <w:lang w:eastAsia="es-ES"/>
        </w:rPr>
      </w:pPr>
    </w:p>
    <w:p w14:paraId="210DFA82" w14:textId="77777777" w:rsidR="0049071D" w:rsidRPr="00CB56B7" w:rsidRDefault="0049071D" w:rsidP="00066097">
      <w:pPr>
        <w:spacing w:after="0" w:line="360" w:lineRule="auto"/>
        <w:ind w:firstLine="708"/>
        <w:jc w:val="both"/>
        <w:rPr>
          <w:rFonts w:ascii="Arial" w:eastAsia="Arial Unicode MS" w:hAnsi="Arial" w:cs="Arial"/>
          <w:b/>
          <w:sz w:val="24"/>
          <w:szCs w:val="24"/>
          <w:lang w:eastAsia="es-ES"/>
        </w:rPr>
      </w:pPr>
      <w:r w:rsidRPr="00CB56B7">
        <w:rPr>
          <w:rFonts w:ascii="Arial" w:eastAsia="Arial Unicode MS" w:hAnsi="Arial" w:cs="Arial"/>
          <w:b/>
          <w:bCs/>
          <w:sz w:val="24"/>
          <w:szCs w:val="24"/>
          <w:lang w:eastAsia="es-ES"/>
        </w:rPr>
        <w:t>VISTOS</w:t>
      </w:r>
      <w:r w:rsidRPr="00CB56B7">
        <w:rPr>
          <w:rFonts w:ascii="Arial" w:eastAsia="Arial Unicode MS" w:hAnsi="Arial" w:cs="Arial"/>
          <w:sz w:val="24"/>
          <w:szCs w:val="24"/>
          <w:lang w:eastAsia="es-ES"/>
        </w:rPr>
        <w:t>, para resolver los autos que conforman el expediente citado al rubro;</w:t>
      </w:r>
      <w:r w:rsidRPr="00CB56B7">
        <w:rPr>
          <w:rFonts w:ascii="Arial" w:eastAsia="Arial Unicode MS" w:hAnsi="Arial" w:cs="Arial"/>
          <w:b/>
          <w:sz w:val="24"/>
          <w:szCs w:val="24"/>
          <w:lang w:eastAsia="es-ES"/>
        </w:rPr>
        <w:t xml:space="preserve"> </w:t>
      </w:r>
      <w:r w:rsidRPr="00CB56B7">
        <w:rPr>
          <w:rFonts w:ascii="Arial" w:eastAsia="Arial Unicode MS" w:hAnsi="Arial" w:cs="Arial"/>
          <w:sz w:val="24"/>
          <w:szCs w:val="24"/>
          <w:lang w:eastAsia="es-ES"/>
        </w:rPr>
        <w:t>y</w:t>
      </w:r>
      <w:r w:rsidRPr="00CB56B7">
        <w:rPr>
          <w:rFonts w:ascii="Arial" w:eastAsia="Arial Unicode MS" w:hAnsi="Arial" w:cs="Arial"/>
          <w:b/>
          <w:sz w:val="24"/>
          <w:szCs w:val="24"/>
          <w:lang w:eastAsia="es-ES"/>
        </w:rPr>
        <w:t xml:space="preserve">  </w:t>
      </w:r>
    </w:p>
    <w:p w14:paraId="305015C2" w14:textId="77777777" w:rsidR="0049071D" w:rsidRPr="00CB56B7" w:rsidRDefault="0049071D" w:rsidP="00066097">
      <w:pPr>
        <w:spacing w:after="0" w:line="360" w:lineRule="auto"/>
        <w:ind w:firstLine="708"/>
        <w:jc w:val="both"/>
        <w:rPr>
          <w:rFonts w:ascii="Arial" w:eastAsia="Arial Unicode MS" w:hAnsi="Arial" w:cs="Arial"/>
          <w:b/>
          <w:sz w:val="24"/>
          <w:szCs w:val="24"/>
          <w:lang w:eastAsia="es-ES"/>
        </w:rPr>
      </w:pPr>
    </w:p>
    <w:p w14:paraId="0B5F86BA" w14:textId="77777777" w:rsidR="0049071D" w:rsidRPr="00CB56B7" w:rsidRDefault="0049071D" w:rsidP="00066097">
      <w:pPr>
        <w:spacing w:after="0" w:line="360" w:lineRule="auto"/>
        <w:ind w:firstLine="900"/>
        <w:jc w:val="center"/>
        <w:rPr>
          <w:rFonts w:ascii="Arial" w:eastAsia="Arial Unicode MS" w:hAnsi="Arial" w:cs="Arial"/>
          <w:b/>
          <w:sz w:val="24"/>
          <w:szCs w:val="24"/>
          <w:lang w:val="pt-BR" w:eastAsia="es-ES"/>
        </w:rPr>
      </w:pPr>
      <w:r w:rsidRPr="00CB56B7">
        <w:rPr>
          <w:rFonts w:ascii="Arial" w:eastAsia="Arial Unicode MS" w:hAnsi="Arial" w:cs="Arial"/>
          <w:b/>
          <w:sz w:val="24"/>
          <w:szCs w:val="24"/>
          <w:lang w:val="pt-BR" w:eastAsia="es-ES"/>
        </w:rPr>
        <w:t>R E S U L T A N D O:</w:t>
      </w:r>
    </w:p>
    <w:p w14:paraId="6AC0397A" w14:textId="77777777" w:rsidR="0049071D" w:rsidRPr="00CB56B7" w:rsidRDefault="0049071D" w:rsidP="00066097">
      <w:pPr>
        <w:spacing w:after="0" w:line="360" w:lineRule="auto"/>
        <w:ind w:firstLine="900"/>
        <w:jc w:val="center"/>
        <w:rPr>
          <w:rFonts w:ascii="Arial" w:eastAsia="Arial Unicode MS" w:hAnsi="Arial" w:cs="Arial"/>
          <w:b/>
          <w:sz w:val="24"/>
          <w:szCs w:val="24"/>
          <w:lang w:val="pt-BR" w:eastAsia="es-ES"/>
        </w:rPr>
      </w:pPr>
    </w:p>
    <w:p w14:paraId="6B69E817" w14:textId="78BE14C2" w:rsidR="0049071D" w:rsidRPr="00CB56B7" w:rsidRDefault="0049071D" w:rsidP="00066097">
      <w:pPr>
        <w:spacing w:after="0" w:line="360" w:lineRule="auto"/>
        <w:ind w:firstLine="709"/>
        <w:jc w:val="both"/>
        <w:rPr>
          <w:rFonts w:ascii="Arial" w:eastAsia="Arial Unicode MS" w:hAnsi="Arial" w:cs="Arial"/>
          <w:sz w:val="24"/>
        </w:rPr>
      </w:pPr>
      <w:r w:rsidRPr="00CB56B7">
        <w:rPr>
          <w:rFonts w:ascii="Arial" w:eastAsia="Arial Unicode MS" w:hAnsi="Arial" w:cs="Arial"/>
          <w:b/>
          <w:sz w:val="24"/>
          <w:szCs w:val="24"/>
          <w:lang w:eastAsia="es-ES"/>
        </w:rPr>
        <w:t>PRIMERO.</w:t>
      </w:r>
      <w:r w:rsidRPr="00CB56B7">
        <w:rPr>
          <w:rFonts w:ascii="Arial" w:eastAsia="Arial Unicode MS" w:hAnsi="Arial" w:cs="Arial"/>
          <w:sz w:val="24"/>
          <w:szCs w:val="24"/>
          <w:lang w:eastAsia="es-ES"/>
        </w:rPr>
        <w:t xml:space="preserve"> </w:t>
      </w:r>
      <w:r w:rsidRPr="00CB56B7">
        <w:rPr>
          <w:rFonts w:ascii="Arial" w:eastAsia="Arial Unicode MS" w:hAnsi="Arial" w:cs="Arial"/>
          <w:b/>
          <w:sz w:val="24"/>
          <w:szCs w:val="24"/>
          <w:lang w:eastAsia="es-ES"/>
        </w:rPr>
        <w:t>Solicitud de acceso a la información pública.</w:t>
      </w:r>
      <w:r w:rsidRPr="00CB56B7">
        <w:rPr>
          <w:rFonts w:ascii="Arial" w:eastAsia="Arial Unicode MS" w:hAnsi="Arial" w:cs="Arial"/>
          <w:sz w:val="24"/>
          <w:szCs w:val="24"/>
          <w:lang w:eastAsia="es-ES"/>
        </w:rPr>
        <w:t xml:space="preserve"> El </w:t>
      </w:r>
      <w:r w:rsidR="00231BD3" w:rsidRPr="00CB56B7">
        <w:rPr>
          <w:rFonts w:ascii="Arial" w:eastAsia="Arial Unicode MS" w:hAnsi="Arial" w:cs="Arial"/>
          <w:sz w:val="24"/>
          <w:szCs w:val="24"/>
          <w:lang w:eastAsia="es-ES"/>
        </w:rPr>
        <w:t>veintidós de junio</w:t>
      </w:r>
      <w:r w:rsidR="00A35C08" w:rsidRPr="00CB56B7">
        <w:rPr>
          <w:rFonts w:ascii="Arial" w:eastAsia="Arial Unicode MS" w:hAnsi="Arial" w:cs="Arial"/>
          <w:sz w:val="24"/>
          <w:szCs w:val="24"/>
          <w:lang w:eastAsia="es-ES"/>
        </w:rPr>
        <w:t xml:space="preserve"> de dos mil veintiséis</w:t>
      </w:r>
      <w:r w:rsidRPr="00CB56B7">
        <w:rPr>
          <w:rFonts w:ascii="Arial" w:eastAsia="Arial Unicode MS" w:hAnsi="Arial" w:cs="Arial"/>
          <w:sz w:val="24"/>
          <w:szCs w:val="24"/>
          <w:lang w:eastAsia="es-ES"/>
        </w:rPr>
        <w:t xml:space="preserve">, se presentó </w:t>
      </w:r>
      <w:r w:rsidRPr="00CB56B7">
        <w:rPr>
          <w:rFonts w:ascii="Arial" w:eastAsia="Arial Unicode MS" w:hAnsi="Arial" w:cs="Arial"/>
          <w:sz w:val="24"/>
        </w:rPr>
        <w:t>una solicitud de información a través de la Plataforma Nacional de Transparencia, a</w:t>
      </w:r>
      <w:r w:rsidR="00231BD3" w:rsidRPr="00CB56B7">
        <w:rPr>
          <w:rFonts w:ascii="Arial" w:eastAsia="Arial Unicode MS" w:hAnsi="Arial" w:cs="Arial"/>
          <w:sz w:val="24"/>
        </w:rPr>
        <w:t xml:space="preserve"> </w:t>
      </w:r>
      <w:r w:rsidR="00C85B80" w:rsidRPr="00CB56B7">
        <w:rPr>
          <w:rFonts w:ascii="Arial" w:eastAsia="Arial Unicode MS" w:hAnsi="Arial" w:cs="Arial"/>
          <w:sz w:val="24"/>
        </w:rPr>
        <w:t>l</w:t>
      </w:r>
      <w:r w:rsidR="00231BD3" w:rsidRPr="00CB56B7">
        <w:rPr>
          <w:rFonts w:ascii="Arial" w:eastAsia="Arial Unicode MS" w:hAnsi="Arial" w:cs="Arial"/>
          <w:sz w:val="24"/>
        </w:rPr>
        <w:t>a</w:t>
      </w:r>
      <w:r w:rsidR="00C85B80" w:rsidRPr="00CB56B7">
        <w:rPr>
          <w:rFonts w:ascii="Arial" w:eastAsia="Arial Unicode MS" w:hAnsi="Arial" w:cs="Arial"/>
          <w:sz w:val="24"/>
        </w:rPr>
        <w:t xml:space="preserve"> </w:t>
      </w:r>
      <w:r w:rsidR="00231BD3" w:rsidRPr="00CB56B7">
        <w:rPr>
          <w:rFonts w:ascii="Arial" w:eastAsia="Arial Unicode MS" w:hAnsi="Arial" w:cs="Arial"/>
          <w:b/>
          <w:sz w:val="24"/>
        </w:rPr>
        <w:t>Universidad Autónoma de San Luis Potosí</w:t>
      </w:r>
      <w:r w:rsidRPr="00CB56B7">
        <w:rPr>
          <w:rFonts w:ascii="Arial" w:eastAsia="Arial Unicode MS" w:hAnsi="Arial" w:cs="Arial"/>
          <w:b/>
          <w:sz w:val="24"/>
        </w:rPr>
        <w:t xml:space="preserve">, </w:t>
      </w:r>
      <w:r w:rsidRPr="00CB56B7">
        <w:rPr>
          <w:rFonts w:ascii="Arial" w:eastAsia="Arial Unicode MS" w:hAnsi="Arial" w:cs="Arial"/>
          <w:sz w:val="24"/>
        </w:rPr>
        <w:t>a la cual le fue asignado el</w:t>
      </w:r>
      <w:r w:rsidR="004F73F2" w:rsidRPr="00CB56B7">
        <w:rPr>
          <w:rFonts w:ascii="Arial" w:eastAsia="Arial Unicode MS" w:hAnsi="Arial" w:cs="Arial"/>
          <w:sz w:val="24"/>
        </w:rPr>
        <w:t xml:space="preserve"> número de folio electrónico </w:t>
      </w:r>
      <w:r w:rsidR="00ED3282" w:rsidRPr="00CB56B7">
        <w:rPr>
          <w:rFonts w:ascii="Arial" w:eastAsia="Arial Unicode MS" w:hAnsi="Arial" w:cs="Arial"/>
          <w:sz w:val="24"/>
        </w:rPr>
        <w:t>240477626000125</w:t>
      </w:r>
      <w:r w:rsidRPr="00CB56B7">
        <w:rPr>
          <w:rFonts w:ascii="Arial" w:eastAsia="Arial Unicode MS" w:hAnsi="Arial" w:cs="Arial"/>
          <w:sz w:val="24"/>
        </w:rPr>
        <w:t>, en los términos siguientes:</w:t>
      </w:r>
    </w:p>
    <w:p w14:paraId="58F9B456" w14:textId="77777777" w:rsidR="0049071D" w:rsidRPr="00CB56B7" w:rsidRDefault="0049071D" w:rsidP="00066097">
      <w:pPr>
        <w:spacing w:after="0" w:line="360" w:lineRule="auto"/>
        <w:ind w:firstLine="709"/>
        <w:jc w:val="both"/>
        <w:rPr>
          <w:rFonts w:ascii="Arial" w:eastAsia="Arial Unicode MS" w:hAnsi="Arial" w:cs="Arial"/>
          <w:sz w:val="24"/>
        </w:rPr>
      </w:pPr>
    </w:p>
    <w:p w14:paraId="4B80453A" w14:textId="07999717" w:rsidR="0049071D" w:rsidRPr="00CB56B7" w:rsidRDefault="00ED3282" w:rsidP="00066097">
      <w:pPr>
        <w:pStyle w:val="Prrafodelista"/>
        <w:spacing w:after="0" w:line="240" w:lineRule="auto"/>
        <w:ind w:left="1134" w:right="1185"/>
        <w:jc w:val="both"/>
        <w:rPr>
          <w:rFonts w:ascii="Arial" w:hAnsi="Arial" w:cs="Arial"/>
        </w:rPr>
      </w:pPr>
      <w:r w:rsidRPr="00CB56B7">
        <w:rPr>
          <w:rStyle w:val="text-justify"/>
          <w:rFonts w:ascii="Arial" w:hAnsi="Arial" w:cs="Arial"/>
        </w:rPr>
        <w:t xml:space="preserve">Por medio de la presente, y en ejercicio de mi derecho constitucional de acceso a la información pública, solicito a la Universidad Autónoma de San Luis Potosí (UASLP), la siguiente información documental y analítica correspondiente exclusivamente a la Unidad Académica Multidisciplinaria Región Altiplano (UAMRA), abarcando el periodo del 1 de enero de 2024 a la fecha de la presente solicitud: Petición 1: Plantilla Laboral y Carga Horaria Solicito el listado completo del personal docente y administrativo adscrito a la UAMRA (incluyendo Profesores de Tiempo Completo, Profesores de Asignatura, Técnicos Académicos y personal de confianza). El listado deberá contener en formato de tabla: Nombre completo, cargo o nombramiento, tipo de contratación y el número exacto de horas semanales contratadas y pagadas. Petición 2: Horarios Oficiales De la lista solicitada en la Petición 1, requiero copia electrónica de los horarios oficiales de entrada y salida o carga académica frente a grupo asignados a cada trabajador durante los semestres correspondientes al año 2024, 2025 y lo que va de 2026. Petición 3: Dictámenes de Compatibilidad de Empleo De conformidad con las leyes de responsabilidades administrativas que prohíben la incompatibilidad de empleos públicos, solicito copia en versión pública de los "Dictámenes de Compatibilidad de Empleo" o las </w:t>
      </w:r>
      <w:r w:rsidRPr="00CB56B7">
        <w:rPr>
          <w:rStyle w:val="text-justify"/>
          <w:rFonts w:ascii="Arial" w:hAnsi="Arial" w:cs="Arial"/>
        </w:rPr>
        <w:lastRenderedPageBreak/>
        <w:t>cartas de declaración de no incompatibilidad presentadas y firmadas por todo el personal de la UAMRA que se encuentre contratado bajo la figura de "Técnico Académico" o que cobre 30 horas o más a la semana en la institución. Petición 4: Declaraciones de Conflicto de Interés: Solicito copia en versión pública de las "Declaraciones de Intereses" (en su formato más reciente) presentadas por el titular de la Dirección, Secretaría General, Secretaría Académica, Coordinación Administrativa, así como todos y cada uno de los Coordinadores de Carrera o Área vigentes en la UAMRA. CLÁUSULAS DE BLINDAJE LEGAL, MODALIDAD Y PROTECCIÓN DE DERECHOS: PRIMERA (Rechazo a Inexistencia por Nomenclatura). Si el sujeto obligado denomina a los "Dictámenes de Compatibilidad" o a las "Declaraciones de Intereses" con otro nombre técnico u operativo dentro de su normatividad interna, el sujeto obligado está constreñido por el Principio de Máxima Publicidad a entregar el documento homólogo que cumpla con el fin de declarar la compatibilidad de horarios y los posibles conflictos de interés. La variación en el nombre del formato no es causal de inexistencia. SEGUNDA (Rechazo al Artículo 152 y Vínculos Genéricos). Se advierte que no se está solicitando el directorio general de la UASLP ni el tabulador de sueldos macro. Se solicitan cargas horarias específicas y formatos individuales (compatibilidad) de la UAMRA. Es ilegal e improcedente invocar el Artículo 152 para remitirme a portales genéricos donde esta información detallada no se encuentra publicada. TERCERA (Protección de Datos Personales). Reconozco que los documentos solicitados pueden contener datos personales sensibles. Solicito que dichos datos sean testados (censurados) elaborando las Versiones Públicas correspondientes. La presencia de datos confidenciales no es motivo para negar la entrega del documento. CUARTA (Rechazo al Artículo 149 - Cambio a Consulta Directa). Se rechaza categóricamente cualquier intento de cambiar la modalidad de entrega a "Consulta Directa" alegando volumen de información o falta de capacidad técnica. La generación de listados en Excel y el escaneo de formatos de compatibilidad de una sola sede regional (UAMRA) no justifica coartar mi derecho a la entrega electrónica gratuita a través de la PNT. En caso de archivos pesados, se exige el uso de formatos comprimidos (.zip).</w:t>
      </w:r>
      <w:r w:rsidR="00231BD3" w:rsidRPr="00CB56B7">
        <w:rPr>
          <w:rStyle w:val="text-justify"/>
          <w:rFonts w:ascii="Arial" w:hAnsi="Arial" w:cs="Arial"/>
        </w:rPr>
        <w:t>.</w:t>
      </w:r>
    </w:p>
    <w:p w14:paraId="19851290" w14:textId="77777777" w:rsidR="0049071D" w:rsidRPr="00CB56B7" w:rsidRDefault="0049071D" w:rsidP="00066097">
      <w:pPr>
        <w:spacing w:after="0" w:line="240" w:lineRule="auto"/>
        <w:ind w:right="1183"/>
        <w:jc w:val="both"/>
        <w:rPr>
          <w:rFonts w:ascii="Arial" w:eastAsia="Arial Unicode MS" w:hAnsi="Arial" w:cs="Arial"/>
          <w:lang w:eastAsia="es-ES"/>
        </w:rPr>
      </w:pPr>
    </w:p>
    <w:p w14:paraId="5A684C3E" w14:textId="496102E4" w:rsidR="00231BD3" w:rsidRPr="00CB56B7" w:rsidRDefault="00066097" w:rsidP="00066097">
      <w:pPr>
        <w:spacing w:after="0" w:line="360" w:lineRule="auto"/>
        <w:ind w:firstLine="709"/>
        <w:jc w:val="both"/>
        <w:rPr>
          <w:rFonts w:ascii="Arial" w:eastAsia="Times New Roman" w:hAnsi="Arial" w:cs="Arial"/>
          <w:sz w:val="24"/>
          <w:szCs w:val="24"/>
          <w:lang w:eastAsia="es-ES"/>
        </w:rPr>
      </w:pPr>
      <w:r w:rsidRPr="00CB56B7">
        <w:rPr>
          <w:rFonts w:ascii="Arial" w:eastAsia="Times New Roman" w:hAnsi="Arial" w:cs="Arial"/>
          <w:b/>
          <w:sz w:val="24"/>
          <w:szCs w:val="24"/>
          <w:lang w:eastAsia="es-ES"/>
        </w:rPr>
        <w:t>SEGUNDO</w:t>
      </w:r>
      <w:r w:rsidR="0049071D" w:rsidRPr="00CB56B7">
        <w:rPr>
          <w:rFonts w:ascii="Arial" w:eastAsia="Times New Roman" w:hAnsi="Arial" w:cs="Arial"/>
          <w:b/>
          <w:sz w:val="24"/>
          <w:szCs w:val="24"/>
          <w:lang w:eastAsia="es-ES"/>
        </w:rPr>
        <w:t>.</w:t>
      </w:r>
      <w:r w:rsidR="0049071D" w:rsidRPr="00CB56B7">
        <w:rPr>
          <w:rFonts w:ascii="Arial" w:eastAsia="Times New Roman" w:hAnsi="Arial" w:cs="Arial"/>
          <w:sz w:val="24"/>
          <w:szCs w:val="24"/>
          <w:lang w:eastAsia="es-ES"/>
        </w:rPr>
        <w:t xml:space="preserve"> </w:t>
      </w:r>
      <w:r w:rsidR="00231BD3" w:rsidRPr="00CB56B7">
        <w:rPr>
          <w:rFonts w:ascii="Arial" w:eastAsia="Times New Roman" w:hAnsi="Arial" w:cs="Arial"/>
          <w:b/>
          <w:sz w:val="24"/>
          <w:szCs w:val="24"/>
          <w:lang w:eastAsia="es-ES"/>
        </w:rPr>
        <w:t>Notificación de prórroga y respuesta a la solicitud.</w:t>
      </w:r>
      <w:r w:rsidR="00231BD3" w:rsidRPr="00CB56B7">
        <w:rPr>
          <w:rFonts w:ascii="Arial" w:eastAsia="Times New Roman" w:hAnsi="Arial" w:cs="Arial"/>
          <w:sz w:val="24"/>
          <w:szCs w:val="24"/>
          <w:lang w:eastAsia="es-ES"/>
        </w:rPr>
        <w:t xml:space="preserve"> El día </w:t>
      </w:r>
      <w:r w:rsidR="00ED3282" w:rsidRPr="00CB56B7">
        <w:rPr>
          <w:rFonts w:ascii="Arial" w:eastAsia="Times New Roman" w:hAnsi="Arial" w:cs="Arial"/>
          <w:sz w:val="24"/>
          <w:szCs w:val="24"/>
          <w:lang w:eastAsia="es-ES"/>
        </w:rPr>
        <w:t xml:space="preserve">ocho </w:t>
      </w:r>
      <w:r w:rsidR="00231BD3" w:rsidRPr="00CB56B7">
        <w:rPr>
          <w:rFonts w:ascii="Arial" w:eastAsia="Times New Roman" w:hAnsi="Arial" w:cs="Arial"/>
          <w:sz w:val="24"/>
          <w:szCs w:val="24"/>
          <w:lang w:eastAsia="es-ES"/>
        </w:rPr>
        <w:t xml:space="preserve">de julio de dos mil veintiséis, el sujeto obligado notificó a la ahora parte recurrente la ampliación del plazo para otorgar respuesta a la solicitud formulada </w:t>
      </w:r>
      <w:r w:rsidR="00383FC6" w:rsidRPr="00CB56B7">
        <w:rPr>
          <w:rFonts w:ascii="Arial" w:eastAsia="Times New Roman" w:hAnsi="Arial" w:cs="Arial"/>
          <w:sz w:val="24"/>
          <w:szCs w:val="24"/>
          <w:lang w:eastAsia="es-ES"/>
        </w:rPr>
        <w:t>por la ahora parte recurrente</w:t>
      </w:r>
      <w:r w:rsidR="00231BD3" w:rsidRPr="00CB56B7">
        <w:rPr>
          <w:rFonts w:ascii="Arial" w:eastAsia="Times New Roman" w:hAnsi="Arial" w:cs="Arial"/>
          <w:sz w:val="24"/>
          <w:szCs w:val="24"/>
          <w:lang w:eastAsia="es-ES"/>
        </w:rPr>
        <w:t xml:space="preserve">. </w:t>
      </w:r>
    </w:p>
    <w:p w14:paraId="6C077B3F" w14:textId="77777777" w:rsidR="00231BD3" w:rsidRPr="00CB56B7" w:rsidRDefault="00231BD3" w:rsidP="00066097">
      <w:pPr>
        <w:spacing w:after="0" w:line="360" w:lineRule="auto"/>
        <w:ind w:firstLine="709"/>
        <w:jc w:val="both"/>
        <w:rPr>
          <w:rFonts w:ascii="Arial" w:eastAsia="Times New Roman" w:hAnsi="Arial" w:cs="Arial"/>
          <w:sz w:val="24"/>
          <w:szCs w:val="24"/>
          <w:lang w:eastAsia="es-ES"/>
        </w:rPr>
      </w:pPr>
    </w:p>
    <w:p w14:paraId="2125D1F1" w14:textId="4BA14B69" w:rsidR="0049071D" w:rsidRPr="00CB56B7" w:rsidRDefault="00231BD3" w:rsidP="00066097">
      <w:pPr>
        <w:spacing w:after="0" w:line="360" w:lineRule="auto"/>
        <w:ind w:firstLine="709"/>
        <w:jc w:val="both"/>
        <w:rPr>
          <w:rFonts w:ascii="Arial" w:eastAsia="Arial Unicode MS" w:hAnsi="Arial" w:cs="Arial"/>
          <w:sz w:val="24"/>
          <w:szCs w:val="24"/>
          <w:lang w:eastAsia="es-ES"/>
        </w:rPr>
      </w:pPr>
      <w:r w:rsidRPr="00CB56B7">
        <w:rPr>
          <w:rFonts w:ascii="Arial" w:eastAsia="Times New Roman" w:hAnsi="Arial" w:cs="Arial"/>
          <w:b/>
          <w:sz w:val="24"/>
          <w:szCs w:val="24"/>
          <w:lang w:eastAsia="es-ES"/>
        </w:rPr>
        <w:t>TERCERO.</w:t>
      </w:r>
      <w:r w:rsidRPr="00CB56B7">
        <w:rPr>
          <w:rFonts w:ascii="Arial" w:eastAsia="Times New Roman" w:hAnsi="Arial" w:cs="Arial"/>
          <w:sz w:val="24"/>
          <w:szCs w:val="24"/>
          <w:lang w:eastAsia="es-ES"/>
        </w:rPr>
        <w:t xml:space="preserve"> </w:t>
      </w:r>
      <w:r w:rsidR="0049071D" w:rsidRPr="00CB56B7">
        <w:rPr>
          <w:rFonts w:ascii="Arial" w:eastAsia="Times New Roman" w:hAnsi="Arial" w:cs="Arial"/>
          <w:b/>
          <w:bCs/>
          <w:sz w:val="24"/>
          <w:szCs w:val="24"/>
          <w:lang w:eastAsia="es-ES"/>
        </w:rPr>
        <w:t xml:space="preserve">Interposición del Recurso de Revisión a través del Sistema de Comunicación con los Sujeto Obligados (SIGEMI). </w:t>
      </w:r>
      <w:r w:rsidR="0049071D" w:rsidRPr="00CB56B7">
        <w:rPr>
          <w:rFonts w:ascii="Arial" w:eastAsia="Times New Roman" w:hAnsi="Arial" w:cs="Arial"/>
          <w:sz w:val="24"/>
          <w:szCs w:val="24"/>
          <w:lang w:eastAsia="es-ES"/>
        </w:rPr>
        <w:t xml:space="preserve">El </w:t>
      </w:r>
      <w:r w:rsidR="00383FC6" w:rsidRPr="00CB56B7">
        <w:rPr>
          <w:rFonts w:ascii="Arial" w:eastAsia="Times New Roman" w:hAnsi="Arial" w:cs="Arial"/>
          <w:sz w:val="24"/>
          <w:szCs w:val="24"/>
          <w:lang w:eastAsia="es-ES"/>
        </w:rPr>
        <w:t>seis</w:t>
      </w:r>
      <w:r w:rsidR="00066097" w:rsidRPr="00CB56B7">
        <w:rPr>
          <w:rFonts w:ascii="Arial" w:eastAsia="Times New Roman" w:hAnsi="Arial" w:cs="Arial"/>
          <w:sz w:val="24"/>
          <w:szCs w:val="24"/>
          <w:lang w:eastAsia="es-ES"/>
        </w:rPr>
        <w:t xml:space="preserve"> de agosto de dos mil veintiséis</w:t>
      </w:r>
      <w:r w:rsidR="0049071D" w:rsidRPr="00CB56B7">
        <w:rPr>
          <w:rFonts w:ascii="Arial" w:eastAsia="Times New Roman" w:hAnsi="Arial" w:cs="Arial"/>
          <w:sz w:val="24"/>
          <w:szCs w:val="24"/>
          <w:lang w:eastAsia="es-ES"/>
        </w:rPr>
        <w:t xml:space="preserve">, el Recurrente interpuso Recurso de Revisión a través del Sistema de Comunicación de Sujetos Obligados, en contra de la </w:t>
      </w:r>
      <w:r w:rsidR="00066097" w:rsidRPr="00CB56B7">
        <w:rPr>
          <w:rFonts w:ascii="Arial" w:eastAsia="Times New Roman" w:hAnsi="Arial" w:cs="Arial"/>
          <w:sz w:val="24"/>
          <w:szCs w:val="24"/>
          <w:lang w:eastAsia="es-ES"/>
        </w:rPr>
        <w:t xml:space="preserve">falta </w:t>
      </w:r>
      <w:r w:rsidR="00066097" w:rsidRPr="00CB56B7">
        <w:rPr>
          <w:rFonts w:ascii="Arial" w:eastAsia="Times New Roman" w:hAnsi="Arial" w:cs="Arial"/>
          <w:sz w:val="24"/>
          <w:szCs w:val="24"/>
          <w:lang w:eastAsia="es-ES"/>
        </w:rPr>
        <w:lastRenderedPageBreak/>
        <w:t xml:space="preserve">de </w:t>
      </w:r>
      <w:r w:rsidR="0049071D" w:rsidRPr="00CB56B7">
        <w:rPr>
          <w:rFonts w:ascii="Arial" w:eastAsia="Times New Roman" w:hAnsi="Arial" w:cs="Arial"/>
          <w:sz w:val="24"/>
          <w:szCs w:val="24"/>
          <w:lang w:eastAsia="es-ES"/>
        </w:rPr>
        <w:t>respuesta por parte del sujeto obligado</w:t>
      </w:r>
      <w:r w:rsidR="0049071D" w:rsidRPr="00CB56B7">
        <w:rPr>
          <w:rFonts w:ascii="Arial" w:eastAsia="Arial Unicode MS" w:hAnsi="Arial" w:cs="Arial"/>
          <w:sz w:val="24"/>
          <w:szCs w:val="24"/>
          <w:lang w:eastAsia="es-ES"/>
        </w:rPr>
        <w:t xml:space="preserve"> y señaló como motivo de inconformidad, lo siguiente: </w:t>
      </w:r>
    </w:p>
    <w:p w14:paraId="1B22888A" w14:textId="77777777" w:rsidR="00213D04" w:rsidRPr="00CB56B7" w:rsidRDefault="00213D04" w:rsidP="00066097">
      <w:pPr>
        <w:spacing w:after="0" w:line="360" w:lineRule="auto"/>
        <w:ind w:firstLine="709"/>
        <w:jc w:val="both"/>
        <w:rPr>
          <w:rFonts w:ascii="Arial" w:eastAsia="Times New Roman" w:hAnsi="Arial" w:cs="Arial"/>
          <w:sz w:val="24"/>
          <w:szCs w:val="24"/>
          <w:lang w:eastAsia="es-ES"/>
        </w:rPr>
      </w:pPr>
    </w:p>
    <w:p w14:paraId="2F98AB2C" w14:textId="591006D2" w:rsidR="00A92EAF" w:rsidRPr="00CB56B7" w:rsidRDefault="00563B9F" w:rsidP="00A92EAF">
      <w:pPr>
        <w:spacing w:after="0" w:line="240" w:lineRule="auto"/>
        <w:ind w:left="1134" w:right="1183"/>
        <w:jc w:val="both"/>
        <w:rPr>
          <w:rFonts w:ascii="Arial" w:eastAsia="Arial Unicode MS" w:hAnsi="Arial" w:cs="Arial"/>
          <w:iCs/>
          <w:lang w:eastAsia="es-ES"/>
        </w:rPr>
      </w:pPr>
      <w:r w:rsidRPr="00CB56B7">
        <w:rPr>
          <w:rFonts w:ascii="Arial" w:eastAsia="Arial Unicode MS" w:hAnsi="Arial" w:cs="Arial"/>
          <w:iCs/>
          <w:lang w:eastAsia="es-ES"/>
        </w:rPr>
        <w:t>P</w:t>
      </w:r>
      <w:r w:rsidR="00A92EAF" w:rsidRPr="00CB56B7">
        <w:rPr>
          <w:rFonts w:ascii="Arial" w:eastAsia="Arial Unicode MS" w:hAnsi="Arial" w:cs="Arial"/>
          <w:iCs/>
          <w:lang w:eastAsia="es-ES"/>
        </w:rPr>
        <w:t xml:space="preserve">or </w:t>
      </w:r>
      <w:r w:rsidR="00383FC6" w:rsidRPr="00CB56B7">
        <w:rPr>
          <w:rFonts w:ascii="Arial" w:eastAsia="Arial Unicode MS" w:hAnsi="Arial" w:cs="Arial"/>
          <w:iCs/>
          <w:lang w:eastAsia="es-ES"/>
        </w:rPr>
        <w:t>medio del presente escrito, vengo a interponer formal Recurso de Revisión por la omisión de emitir y notificar respuesta dentro del plazo legal respecto de la solicitud con folio 240477626000125. Los hechos, agravios y peticiones detallados que sustentan este recurso se encuentran íntegramente desarrollados en el documento PDF adjunto a esta promoción. Solicito que dicho sea tenido como parte integral de este recurso para todos los efectos legales conducentes</w:t>
      </w:r>
      <w:r w:rsidR="00A92EAF" w:rsidRPr="00CB56B7">
        <w:rPr>
          <w:rFonts w:ascii="Arial" w:eastAsia="Arial Unicode MS" w:hAnsi="Arial" w:cs="Arial"/>
          <w:iCs/>
          <w:lang w:eastAsia="es-ES"/>
        </w:rPr>
        <w:t>.</w:t>
      </w:r>
    </w:p>
    <w:p w14:paraId="2CA1E876" w14:textId="0481FA70" w:rsidR="00586BD5" w:rsidRPr="00CB56B7" w:rsidRDefault="00586BD5" w:rsidP="00066097">
      <w:pPr>
        <w:spacing w:after="0" w:line="240" w:lineRule="auto"/>
        <w:ind w:left="1134" w:right="1183"/>
        <w:jc w:val="both"/>
        <w:rPr>
          <w:rFonts w:ascii="Arial" w:eastAsia="Arial Unicode MS" w:hAnsi="Arial" w:cs="Arial"/>
          <w:iCs/>
          <w:lang w:eastAsia="es-ES"/>
        </w:rPr>
      </w:pPr>
    </w:p>
    <w:p w14:paraId="4127CE75" w14:textId="77777777" w:rsidR="00A92EAF" w:rsidRPr="00CB56B7" w:rsidRDefault="00A92EAF" w:rsidP="00A92EAF">
      <w:pPr>
        <w:spacing w:after="0" w:line="240" w:lineRule="auto"/>
        <w:ind w:right="1183"/>
        <w:jc w:val="both"/>
        <w:rPr>
          <w:rFonts w:ascii="Arial" w:eastAsia="Arial Unicode MS" w:hAnsi="Arial" w:cs="Arial"/>
          <w:iCs/>
          <w:lang w:eastAsia="es-ES"/>
        </w:rPr>
      </w:pPr>
    </w:p>
    <w:p w14:paraId="031E895B" w14:textId="62364D0C" w:rsidR="0049071D" w:rsidRPr="00CB56B7" w:rsidRDefault="0049071D" w:rsidP="00066097">
      <w:pPr>
        <w:spacing w:after="0" w:line="360" w:lineRule="auto"/>
        <w:ind w:right="49"/>
        <w:jc w:val="both"/>
        <w:rPr>
          <w:rFonts w:ascii="Arial" w:eastAsia="Arial Unicode MS" w:hAnsi="Arial" w:cs="Arial"/>
          <w:iCs/>
          <w:sz w:val="24"/>
          <w:szCs w:val="24"/>
          <w:lang w:eastAsia="es-ES"/>
        </w:rPr>
      </w:pPr>
      <w:r w:rsidRPr="00CB56B7">
        <w:rPr>
          <w:rFonts w:ascii="Arial" w:eastAsia="Arial Unicode MS" w:hAnsi="Arial" w:cs="Arial"/>
          <w:b/>
          <w:iCs/>
          <w:lang w:eastAsia="es-ES"/>
        </w:rPr>
        <w:tab/>
      </w:r>
      <w:r w:rsidRPr="00CB56B7">
        <w:rPr>
          <w:rFonts w:ascii="Arial" w:eastAsia="Arial Unicode MS" w:hAnsi="Arial" w:cs="Arial"/>
          <w:b/>
          <w:iCs/>
          <w:sz w:val="24"/>
          <w:szCs w:val="24"/>
          <w:lang w:eastAsia="es-ES"/>
        </w:rPr>
        <w:t xml:space="preserve">CUARTO. Recepción del Recurso de Revisión. </w:t>
      </w:r>
      <w:r w:rsidRPr="00CB56B7">
        <w:rPr>
          <w:rFonts w:ascii="Arial" w:eastAsia="Arial Unicode MS" w:hAnsi="Arial" w:cs="Arial"/>
          <w:iCs/>
          <w:sz w:val="24"/>
          <w:szCs w:val="24"/>
          <w:lang w:eastAsia="es-ES"/>
        </w:rPr>
        <w:t xml:space="preserve">El </w:t>
      </w:r>
      <w:r w:rsidR="00383FC6" w:rsidRPr="00CB56B7">
        <w:rPr>
          <w:rFonts w:ascii="Arial" w:eastAsia="Arial Unicode MS" w:hAnsi="Arial" w:cs="Arial"/>
          <w:iCs/>
          <w:sz w:val="24"/>
          <w:szCs w:val="24"/>
          <w:lang w:eastAsia="es-ES"/>
        </w:rPr>
        <w:t>siete</w:t>
      </w:r>
      <w:r w:rsidR="00066097" w:rsidRPr="00CB56B7">
        <w:rPr>
          <w:rFonts w:ascii="Arial" w:eastAsia="Arial Unicode MS" w:hAnsi="Arial" w:cs="Arial"/>
          <w:iCs/>
          <w:sz w:val="24"/>
          <w:szCs w:val="24"/>
          <w:lang w:eastAsia="es-ES"/>
        </w:rPr>
        <w:t xml:space="preserve"> de agosto de dos mil veintiséis</w:t>
      </w:r>
      <w:r w:rsidRPr="00CB56B7">
        <w:rPr>
          <w:rFonts w:ascii="Arial" w:eastAsia="Arial Unicode MS" w:hAnsi="Arial" w:cs="Arial"/>
          <w:iCs/>
          <w:sz w:val="24"/>
          <w:szCs w:val="24"/>
          <w:lang w:eastAsia="es-ES"/>
        </w:rPr>
        <w:t>, según consta sello de recibido por la Oficialía de partes de esta Comisión, se tuvo por recibido el Recurso de Revisión que se examina y se remitieron las constancias obtenidas del Sistema de Comunicación con los Sujetos Obligados; ello así de conformidad con lo previsto en el artículo XXIV del Reglamento Interior de esta Comisión.</w:t>
      </w:r>
    </w:p>
    <w:p w14:paraId="45880AE6" w14:textId="77777777" w:rsidR="0049071D" w:rsidRPr="00CB56B7" w:rsidRDefault="0049071D" w:rsidP="00066097">
      <w:pPr>
        <w:spacing w:after="0" w:line="360" w:lineRule="auto"/>
        <w:ind w:right="49"/>
        <w:jc w:val="both"/>
        <w:rPr>
          <w:rFonts w:ascii="Arial" w:hAnsi="Arial" w:cs="Arial"/>
          <w:shd w:val="clear" w:color="auto" w:fill="FFFFFF"/>
        </w:rPr>
      </w:pPr>
    </w:p>
    <w:p w14:paraId="0F170528" w14:textId="0FB3B866" w:rsidR="0049071D" w:rsidRPr="00CB56B7" w:rsidRDefault="0049071D" w:rsidP="00066097">
      <w:pPr>
        <w:spacing w:after="0" w:line="360" w:lineRule="auto"/>
        <w:ind w:firstLine="708"/>
        <w:jc w:val="both"/>
        <w:rPr>
          <w:rFonts w:ascii="Arial" w:eastAsia="Times New Roman" w:hAnsi="Arial" w:cs="Arial"/>
          <w:sz w:val="24"/>
          <w:szCs w:val="24"/>
          <w:lang w:eastAsia="es-ES"/>
        </w:rPr>
      </w:pPr>
      <w:r w:rsidRPr="00CB56B7">
        <w:rPr>
          <w:rFonts w:ascii="Arial" w:eastAsia="Times New Roman" w:hAnsi="Arial" w:cs="Arial"/>
          <w:b/>
          <w:sz w:val="24"/>
          <w:szCs w:val="24"/>
          <w:lang w:eastAsia="es-ES"/>
        </w:rPr>
        <w:t>QUINTO.</w:t>
      </w:r>
      <w:r w:rsidRPr="00CB56B7">
        <w:rPr>
          <w:rFonts w:ascii="Arial" w:eastAsia="Times New Roman" w:hAnsi="Arial" w:cs="Arial"/>
          <w:sz w:val="24"/>
          <w:szCs w:val="24"/>
          <w:lang w:eastAsia="es-ES"/>
        </w:rPr>
        <w:t xml:space="preserve"> </w:t>
      </w:r>
      <w:r w:rsidRPr="00CB56B7">
        <w:rPr>
          <w:rFonts w:ascii="Arial" w:eastAsia="Times New Roman" w:hAnsi="Arial" w:cs="Arial"/>
          <w:b/>
          <w:bCs/>
          <w:sz w:val="24"/>
          <w:szCs w:val="24"/>
          <w:lang w:eastAsia="es-ES"/>
        </w:rPr>
        <w:t>Turno.</w:t>
      </w:r>
      <w:r w:rsidRPr="00CB56B7">
        <w:rPr>
          <w:rFonts w:ascii="Arial" w:eastAsia="Times New Roman" w:hAnsi="Arial" w:cs="Arial"/>
          <w:sz w:val="24"/>
          <w:szCs w:val="24"/>
          <w:lang w:eastAsia="es-ES"/>
        </w:rPr>
        <w:t xml:space="preserve"> El </w:t>
      </w:r>
      <w:r w:rsidR="00383FC6" w:rsidRPr="00CB56B7">
        <w:rPr>
          <w:rFonts w:ascii="Arial" w:eastAsia="Times New Roman" w:hAnsi="Arial" w:cs="Arial"/>
          <w:sz w:val="24"/>
          <w:szCs w:val="24"/>
          <w:lang w:eastAsia="es-ES"/>
        </w:rPr>
        <w:t>siete</w:t>
      </w:r>
      <w:r w:rsidR="00066097" w:rsidRPr="00CB56B7">
        <w:rPr>
          <w:rFonts w:ascii="Arial" w:eastAsia="Times New Roman" w:hAnsi="Arial" w:cs="Arial"/>
          <w:sz w:val="24"/>
          <w:szCs w:val="24"/>
          <w:lang w:eastAsia="es-ES"/>
        </w:rPr>
        <w:t xml:space="preserve"> de agosto de dos mil veintiséis</w:t>
      </w:r>
      <w:r w:rsidRPr="00CB56B7">
        <w:rPr>
          <w:rFonts w:ascii="Arial" w:eastAsia="Times New Roman" w:hAnsi="Arial" w:cs="Arial"/>
          <w:sz w:val="24"/>
          <w:szCs w:val="24"/>
          <w:lang w:eastAsia="es-ES"/>
        </w:rPr>
        <w:t xml:space="preserve">, de conformidad con el artículo 174, fracción I de la Ley de Transparencia y Acceso a la Información Pública del Estado, la Secretaría de Pleno dictó un Acuerdo por el cual se asignó la clave de control </w:t>
      </w:r>
      <w:r w:rsidRPr="00CB56B7">
        <w:rPr>
          <w:rFonts w:ascii="Arial" w:eastAsia="Times New Roman" w:hAnsi="Arial" w:cs="Arial"/>
          <w:b/>
          <w:sz w:val="24"/>
          <w:szCs w:val="24"/>
          <w:lang w:eastAsia="es-ES"/>
        </w:rPr>
        <w:t>RR-</w:t>
      </w:r>
      <w:r w:rsidR="00383FC6" w:rsidRPr="00CB56B7">
        <w:rPr>
          <w:rFonts w:ascii="Arial" w:eastAsia="Times New Roman" w:hAnsi="Arial" w:cs="Arial"/>
          <w:b/>
          <w:sz w:val="24"/>
          <w:szCs w:val="24"/>
          <w:lang w:eastAsia="es-ES"/>
        </w:rPr>
        <w:t>441</w:t>
      </w:r>
      <w:r w:rsidRPr="00CB56B7">
        <w:rPr>
          <w:rFonts w:ascii="Arial" w:eastAsia="Times New Roman" w:hAnsi="Arial" w:cs="Arial"/>
          <w:b/>
          <w:sz w:val="24"/>
          <w:szCs w:val="24"/>
          <w:lang w:eastAsia="es-ES"/>
        </w:rPr>
        <w:t>/202</w:t>
      </w:r>
      <w:r w:rsidR="00066097" w:rsidRPr="00CB56B7">
        <w:rPr>
          <w:rFonts w:ascii="Arial" w:eastAsia="Times New Roman" w:hAnsi="Arial" w:cs="Arial"/>
          <w:b/>
          <w:sz w:val="24"/>
          <w:szCs w:val="24"/>
          <w:lang w:eastAsia="es-ES"/>
        </w:rPr>
        <w:t>6</w:t>
      </w:r>
      <w:r w:rsidRPr="00CB56B7">
        <w:rPr>
          <w:rFonts w:ascii="Arial" w:eastAsia="Times New Roman" w:hAnsi="Arial" w:cs="Arial"/>
          <w:b/>
          <w:sz w:val="24"/>
          <w:szCs w:val="24"/>
          <w:lang w:eastAsia="es-ES"/>
        </w:rPr>
        <w:t>-3</w:t>
      </w:r>
      <w:r w:rsidRPr="00CB56B7">
        <w:rPr>
          <w:rFonts w:ascii="Arial" w:eastAsia="Times New Roman" w:hAnsi="Arial" w:cs="Arial"/>
          <w:sz w:val="24"/>
          <w:szCs w:val="24"/>
          <w:lang w:eastAsia="es-ES"/>
        </w:rPr>
        <w:t xml:space="preserve"> en el Libro de Gobierno de esta Comisión al Recurso de Revisión que nos ocupa, en el cual se instruyó turnar a la Comisionada Ponente, para el análisis de su admisión o desechamiento. </w:t>
      </w:r>
    </w:p>
    <w:p w14:paraId="012D93B8" w14:textId="77777777" w:rsidR="0049071D" w:rsidRPr="00CB56B7" w:rsidRDefault="0049071D" w:rsidP="00066097">
      <w:pPr>
        <w:spacing w:after="0" w:line="360" w:lineRule="auto"/>
        <w:jc w:val="both"/>
        <w:rPr>
          <w:rFonts w:ascii="Arial" w:eastAsia="Times New Roman" w:hAnsi="Arial" w:cs="Arial"/>
          <w:b/>
          <w:sz w:val="24"/>
          <w:szCs w:val="24"/>
          <w:lang w:eastAsia="es-ES"/>
        </w:rPr>
      </w:pPr>
    </w:p>
    <w:p w14:paraId="4C88B88F" w14:textId="3ABB97D7" w:rsidR="0049071D" w:rsidRPr="00CB56B7" w:rsidRDefault="0049071D" w:rsidP="00066097">
      <w:pPr>
        <w:spacing w:after="0" w:line="360" w:lineRule="auto"/>
        <w:ind w:firstLine="708"/>
        <w:jc w:val="both"/>
        <w:rPr>
          <w:rFonts w:ascii="Arial" w:eastAsia="Times New Roman" w:hAnsi="Arial" w:cs="Arial"/>
          <w:sz w:val="24"/>
          <w:szCs w:val="24"/>
          <w:lang w:eastAsia="es-ES"/>
        </w:rPr>
      </w:pPr>
      <w:r w:rsidRPr="00CB56B7">
        <w:rPr>
          <w:rFonts w:ascii="Arial" w:eastAsia="Times New Roman" w:hAnsi="Arial" w:cs="Arial"/>
          <w:b/>
          <w:sz w:val="24"/>
          <w:szCs w:val="24"/>
          <w:lang w:eastAsia="es-ES"/>
        </w:rPr>
        <w:t>SEXTO.</w:t>
      </w:r>
      <w:r w:rsidRPr="00CB56B7">
        <w:rPr>
          <w:rFonts w:ascii="Arial" w:eastAsia="Times New Roman" w:hAnsi="Arial" w:cs="Arial"/>
          <w:sz w:val="24"/>
          <w:szCs w:val="24"/>
          <w:lang w:eastAsia="es-ES"/>
        </w:rPr>
        <w:t xml:space="preserve"> </w:t>
      </w:r>
      <w:r w:rsidRPr="00CB56B7">
        <w:rPr>
          <w:rFonts w:ascii="Arial" w:eastAsia="Times New Roman" w:hAnsi="Arial" w:cs="Arial"/>
          <w:b/>
          <w:bCs/>
          <w:sz w:val="24"/>
          <w:szCs w:val="24"/>
          <w:lang w:eastAsia="es-ES"/>
        </w:rPr>
        <w:t xml:space="preserve">Admisión y trámite. </w:t>
      </w:r>
      <w:r w:rsidRPr="00CB56B7">
        <w:rPr>
          <w:rFonts w:ascii="Arial" w:eastAsia="Times New Roman" w:hAnsi="Arial" w:cs="Arial"/>
          <w:sz w:val="24"/>
          <w:szCs w:val="24"/>
          <w:lang w:eastAsia="es-ES"/>
        </w:rPr>
        <w:t xml:space="preserve">El </w:t>
      </w:r>
      <w:r w:rsidR="00383FC6" w:rsidRPr="00CB56B7">
        <w:rPr>
          <w:rFonts w:ascii="Arial" w:eastAsia="Times New Roman" w:hAnsi="Arial" w:cs="Arial"/>
          <w:sz w:val="24"/>
          <w:szCs w:val="24"/>
          <w:lang w:eastAsia="es-ES"/>
        </w:rPr>
        <w:t>siete</w:t>
      </w:r>
      <w:r w:rsidR="00066097" w:rsidRPr="00CB56B7">
        <w:rPr>
          <w:rFonts w:ascii="Arial" w:eastAsia="Times New Roman" w:hAnsi="Arial" w:cs="Arial"/>
          <w:sz w:val="24"/>
          <w:szCs w:val="24"/>
          <w:lang w:eastAsia="es-ES"/>
        </w:rPr>
        <w:t xml:space="preserve"> de agosto de dos mil veintiséis</w:t>
      </w:r>
      <w:r w:rsidRPr="00CB56B7">
        <w:rPr>
          <w:rFonts w:ascii="Arial" w:eastAsia="Times New Roman" w:hAnsi="Arial" w:cs="Arial"/>
          <w:sz w:val="24"/>
          <w:szCs w:val="24"/>
          <w:lang w:eastAsia="es-ES"/>
        </w:rPr>
        <w:t>, se dictó el Acuerdo de admisión del presente medio de impugnación por actualizarse la hipótesis de la fracci</w:t>
      </w:r>
      <w:r w:rsidR="00066097" w:rsidRPr="00CB56B7">
        <w:rPr>
          <w:rFonts w:ascii="Arial" w:eastAsia="Times New Roman" w:hAnsi="Arial" w:cs="Arial"/>
          <w:sz w:val="24"/>
          <w:szCs w:val="24"/>
          <w:lang w:eastAsia="es-ES"/>
        </w:rPr>
        <w:t>ó</w:t>
      </w:r>
      <w:r w:rsidRPr="00CB56B7">
        <w:rPr>
          <w:rFonts w:ascii="Arial" w:eastAsia="Times New Roman" w:hAnsi="Arial" w:cs="Arial"/>
          <w:sz w:val="24"/>
          <w:szCs w:val="24"/>
          <w:lang w:eastAsia="es-ES"/>
        </w:rPr>
        <w:t>n</w:t>
      </w:r>
      <w:r w:rsidR="00B828A5" w:rsidRPr="00CB56B7">
        <w:rPr>
          <w:rFonts w:ascii="Arial" w:eastAsia="Times New Roman" w:hAnsi="Arial" w:cs="Arial"/>
          <w:sz w:val="24"/>
          <w:szCs w:val="24"/>
          <w:lang w:eastAsia="es-ES"/>
        </w:rPr>
        <w:t xml:space="preserve"> </w:t>
      </w:r>
      <w:r w:rsidR="00066097" w:rsidRPr="00CB56B7">
        <w:rPr>
          <w:rFonts w:ascii="Arial" w:eastAsia="Times New Roman" w:hAnsi="Arial" w:cs="Arial"/>
          <w:b/>
          <w:sz w:val="24"/>
          <w:szCs w:val="24"/>
          <w:lang w:eastAsia="es-ES"/>
        </w:rPr>
        <w:t>V</w:t>
      </w:r>
      <w:r w:rsidR="00383FC6" w:rsidRPr="00CB56B7">
        <w:rPr>
          <w:rFonts w:ascii="Arial" w:eastAsia="Times New Roman" w:hAnsi="Arial" w:cs="Arial"/>
          <w:b/>
          <w:sz w:val="24"/>
          <w:szCs w:val="24"/>
          <w:lang w:eastAsia="es-ES"/>
        </w:rPr>
        <w:t>I</w:t>
      </w:r>
      <w:r w:rsidR="008D0BE9" w:rsidRPr="00CB56B7">
        <w:rPr>
          <w:rFonts w:ascii="Arial" w:eastAsia="Times New Roman" w:hAnsi="Arial" w:cs="Arial"/>
          <w:sz w:val="24"/>
          <w:szCs w:val="24"/>
          <w:lang w:eastAsia="es-ES"/>
        </w:rPr>
        <w:t xml:space="preserve"> </w:t>
      </w:r>
      <w:r w:rsidRPr="00CB56B7">
        <w:rPr>
          <w:rFonts w:ascii="Arial" w:eastAsia="Times New Roman" w:hAnsi="Arial" w:cs="Arial"/>
          <w:sz w:val="24"/>
          <w:szCs w:val="24"/>
          <w:lang w:eastAsia="es-ES"/>
        </w:rPr>
        <w:t xml:space="preserve">del artículo 167 de la Ley de Transparencia y Acceso a la Información Pública del Estado, integrándose el expediente respectivo, el cual se puso a disposición de las partes para que en el plazo que reconoce la ley manifestaran lo que a su derecho conviniera y ofrecieran las pruebas que consideraran pertinentes, esto según lo dispuesto en la fracción II y III del artículo 174 de la Ley de Transparencia Local. </w:t>
      </w:r>
    </w:p>
    <w:p w14:paraId="341D2110" w14:textId="77777777" w:rsidR="0049071D" w:rsidRPr="00CB56B7" w:rsidRDefault="0049071D" w:rsidP="00066097">
      <w:pPr>
        <w:spacing w:after="0" w:line="360" w:lineRule="auto"/>
        <w:ind w:firstLine="708"/>
        <w:jc w:val="both"/>
        <w:rPr>
          <w:rFonts w:ascii="Arial" w:eastAsia="Times New Roman" w:hAnsi="Arial" w:cs="Arial"/>
          <w:sz w:val="24"/>
          <w:szCs w:val="24"/>
          <w:lang w:eastAsia="es-ES"/>
        </w:rPr>
      </w:pPr>
    </w:p>
    <w:p w14:paraId="08F70A79" w14:textId="32512E81" w:rsidR="00A6798F" w:rsidRPr="00CB56B7" w:rsidRDefault="0049071D" w:rsidP="00066097">
      <w:pPr>
        <w:spacing w:after="0" w:line="360" w:lineRule="auto"/>
        <w:ind w:firstLine="708"/>
        <w:jc w:val="both"/>
        <w:rPr>
          <w:rFonts w:ascii="Arial" w:eastAsia="Times New Roman" w:hAnsi="Arial" w:cs="Arial"/>
          <w:lang w:eastAsia="es-ES"/>
        </w:rPr>
      </w:pPr>
      <w:r w:rsidRPr="00CB56B7">
        <w:rPr>
          <w:rFonts w:ascii="Arial" w:eastAsia="Times New Roman" w:hAnsi="Arial" w:cs="Arial"/>
          <w:b/>
          <w:sz w:val="24"/>
          <w:szCs w:val="24"/>
          <w:lang w:eastAsia="es-ES"/>
        </w:rPr>
        <w:t xml:space="preserve">SÉPTIMO. </w:t>
      </w:r>
      <w:r w:rsidRPr="00CB56B7">
        <w:rPr>
          <w:rFonts w:ascii="Arial" w:eastAsia="Times New Roman" w:hAnsi="Arial" w:cs="Arial"/>
          <w:b/>
          <w:bCs/>
          <w:sz w:val="24"/>
          <w:szCs w:val="24"/>
          <w:lang w:eastAsia="es-ES"/>
        </w:rPr>
        <w:t xml:space="preserve">Manifestaciones de las partes. </w:t>
      </w:r>
      <w:r w:rsidR="0011116C" w:rsidRPr="00CB56B7">
        <w:rPr>
          <w:rFonts w:ascii="Arial" w:eastAsia="Times New Roman" w:hAnsi="Arial" w:cs="Arial"/>
          <w:sz w:val="24"/>
          <w:szCs w:val="24"/>
          <w:lang w:eastAsia="es-ES"/>
        </w:rPr>
        <w:t xml:space="preserve">El </w:t>
      </w:r>
      <w:r w:rsidR="00066097" w:rsidRPr="00CB56B7">
        <w:rPr>
          <w:rFonts w:ascii="Arial" w:eastAsia="Times New Roman" w:hAnsi="Arial" w:cs="Arial"/>
          <w:sz w:val="24"/>
          <w:szCs w:val="24"/>
          <w:lang w:eastAsia="es-ES"/>
        </w:rPr>
        <w:t>veinticuatro de agosto de dos mil veintiséis</w:t>
      </w:r>
      <w:r w:rsidRPr="00CB56B7">
        <w:rPr>
          <w:rFonts w:ascii="Arial" w:eastAsia="Times New Roman" w:hAnsi="Arial" w:cs="Arial"/>
          <w:sz w:val="24"/>
          <w:szCs w:val="24"/>
          <w:lang w:eastAsia="es-ES"/>
        </w:rPr>
        <w:t>, se dictó un acuerdo por medio d</w:t>
      </w:r>
      <w:r w:rsidR="00066097" w:rsidRPr="00CB56B7">
        <w:rPr>
          <w:rFonts w:ascii="Arial" w:eastAsia="Times New Roman" w:hAnsi="Arial" w:cs="Arial"/>
          <w:sz w:val="24"/>
          <w:szCs w:val="24"/>
          <w:lang w:eastAsia="es-ES"/>
        </w:rPr>
        <w:t>el cual se tuvo por recibid</w:t>
      </w:r>
      <w:r w:rsidR="001B451F" w:rsidRPr="00CB56B7">
        <w:rPr>
          <w:rFonts w:ascii="Arial" w:eastAsia="Times New Roman" w:hAnsi="Arial" w:cs="Arial"/>
          <w:sz w:val="24"/>
          <w:szCs w:val="24"/>
          <w:lang w:eastAsia="es-ES"/>
        </w:rPr>
        <w:t>o</w:t>
      </w:r>
      <w:r w:rsidR="00066097" w:rsidRPr="00CB56B7">
        <w:rPr>
          <w:rFonts w:ascii="Arial" w:eastAsia="Times New Roman" w:hAnsi="Arial" w:cs="Arial"/>
          <w:sz w:val="24"/>
          <w:szCs w:val="24"/>
          <w:lang w:eastAsia="es-ES"/>
        </w:rPr>
        <w:t xml:space="preserve"> el </w:t>
      </w:r>
      <w:r w:rsidRPr="00CB56B7">
        <w:rPr>
          <w:rFonts w:ascii="Arial" w:eastAsia="Times New Roman" w:hAnsi="Arial" w:cs="Arial"/>
          <w:sz w:val="24"/>
          <w:szCs w:val="24"/>
          <w:lang w:eastAsia="es-ES"/>
        </w:rPr>
        <w:t>oficio</w:t>
      </w:r>
      <w:r w:rsidR="00066097" w:rsidRPr="00CB56B7">
        <w:rPr>
          <w:rFonts w:ascii="Arial" w:eastAsia="Times New Roman" w:hAnsi="Arial" w:cs="Arial"/>
          <w:sz w:val="24"/>
          <w:szCs w:val="24"/>
          <w:lang w:eastAsia="es-ES"/>
        </w:rPr>
        <w:t xml:space="preserve"> sin</w:t>
      </w:r>
      <w:r w:rsidRPr="00CB56B7">
        <w:rPr>
          <w:rFonts w:ascii="Arial" w:eastAsia="Times New Roman" w:hAnsi="Arial" w:cs="Arial"/>
          <w:sz w:val="24"/>
          <w:szCs w:val="24"/>
          <w:lang w:eastAsia="es-ES"/>
        </w:rPr>
        <w:t xml:space="preserve"> número, </w:t>
      </w:r>
      <w:r w:rsidR="001B451F" w:rsidRPr="00CB56B7">
        <w:rPr>
          <w:rFonts w:ascii="Arial" w:eastAsia="Times New Roman" w:hAnsi="Arial" w:cs="Arial"/>
          <w:sz w:val="24"/>
          <w:szCs w:val="24"/>
          <w:lang w:eastAsia="es-ES"/>
        </w:rPr>
        <w:t>emitido el</w:t>
      </w:r>
      <w:r w:rsidRPr="00CB56B7">
        <w:rPr>
          <w:rFonts w:ascii="Arial" w:eastAsia="Times New Roman" w:hAnsi="Arial" w:cs="Arial"/>
          <w:sz w:val="24"/>
          <w:szCs w:val="24"/>
          <w:lang w:eastAsia="es-ES"/>
        </w:rPr>
        <w:t xml:space="preserve"> </w:t>
      </w:r>
      <w:r w:rsidR="001B451F" w:rsidRPr="00CB56B7">
        <w:rPr>
          <w:rFonts w:ascii="Arial" w:eastAsia="Times New Roman" w:hAnsi="Arial" w:cs="Arial"/>
          <w:sz w:val="24"/>
          <w:szCs w:val="24"/>
          <w:lang w:eastAsia="es-ES"/>
        </w:rPr>
        <w:t>diecisiete</w:t>
      </w:r>
      <w:r w:rsidR="00066097" w:rsidRPr="00CB56B7">
        <w:rPr>
          <w:rFonts w:ascii="Arial" w:eastAsia="Times New Roman" w:hAnsi="Arial" w:cs="Arial"/>
          <w:sz w:val="24"/>
          <w:szCs w:val="24"/>
          <w:lang w:eastAsia="es-ES"/>
        </w:rPr>
        <w:t xml:space="preserve"> de agosto de dos mil veintiséis</w:t>
      </w:r>
      <w:r w:rsidRPr="00CB56B7">
        <w:rPr>
          <w:rFonts w:ascii="Arial" w:eastAsia="Times New Roman" w:hAnsi="Arial" w:cs="Arial"/>
          <w:sz w:val="24"/>
          <w:szCs w:val="24"/>
          <w:lang w:eastAsia="es-ES"/>
        </w:rPr>
        <w:t>, por</w:t>
      </w:r>
      <w:r w:rsidR="009078D5" w:rsidRPr="00CB56B7">
        <w:rPr>
          <w:rFonts w:ascii="Arial" w:eastAsia="Times New Roman" w:hAnsi="Arial" w:cs="Arial"/>
          <w:sz w:val="24"/>
          <w:szCs w:val="24"/>
          <w:lang w:eastAsia="es-ES"/>
        </w:rPr>
        <w:t xml:space="preserve"> </w:t>
      </w:r>
      <w:r w:rsidR="00066097" w:rsidRPr="00CB56B7">
        <w:rPr>
          <w:rFonts w:ascii="Arial" w:eastAsia="Times New Roman" w:hAnsi="Arial" w:cs="Arial"/>
          <w:sz w:val="24"/>
          <w:szCs w:val="24"/>
          <w:lang w:eastAsia="es-ES"/>
        </w:rPr>
        <w:t>el</w:t>
      </w:r>
      <w:r w:rsidR="009078D5" w:rsidRPr="00CB56B7">
        <w:rPr>
          <w:rFonts w:ascii="Arial" w:eastAsia="Times New Roman" w:hAnsi="Arial" w:cs="Arial"/>
          <w:sz w:val="24"/>
          <w:szCs w:val="24"/>
          <w:lang w:eastAsia="es-ES"/>
        </w:rPr>
        <w:t xml:space="preserve"> </w:t>
      </w:r>
      <w:r w:rsidR="00C3013F" w:rsidRPr="00CB56B7">
        <w:rPr>
          <w:rFonts w:ascii="Arial" w:eastAsia="Times New Roman" w:hAnsi="Arial" w:cs="Arial"/>
          <w:sz w:val="24"/>
          <w:szCs w:val="24"/>
          <w:lang w:eastAsia="es-ES"/>
        </w:rPr>
        <w:lastRenderedPageBreak/>
        <w:t>Titular</w:t>
      </w:r>
      <w:r w:rsidR="00B37D30" w:rsidRPr="00CB56B7">
        <w:rPr>
          <w:rFonts w:ascii="Arial" w:eastAsia="Times New Roman" w:hAnsi="Arial" w:cs="Arial"/>
          <w:sz w:val="24"/>
          <w:szCs w:val="24"/>
          <w:lang w:eastAsia="es-ES"/>
        </w:rPr>
        <w:t xml:space="preserve"> de la Unida</w:t>
      </w:r>
      <w:r w:rsidR="00066097" w:rsidRPr="00CB56B7">
        <w:rPr>
          <w:rFonts w:ascii="Arial" w:eastAsia="Times New Roman" w:hAnsi="Arial" w:cs="Arial"/>
          <w:sz w:val="24"/>
          <w:szCs w:val="24"/>
          <w:lang w:eastAsia="es-ES"/>
        </w:rPr>
        <w:t>d de Transparencia de</w:t>
      </w:r>
      <w:r w:rsidR="001B451F" w:rsidRPr="00CB56B7">
        <w:rPr>
          <w:rFonts w:ascii="Arial" w:eastAsia="Times New Roman" w:hAnsi="Arial" w:cs="Arial"/>
          <w:sz w:val="24"/>
          <w:szCs w:val="24"/>
          <w:lang w:eastAsia="es-ES"/>
        </w:rPr>
        <w:t xml:space="preserve"> </w:t>
      </w:r>
      <w:r w:rsidR="00B37D30" w:rsidRPr="00CB56B7">
        <w:rPr>
          <w:rFonts w:ascii="Arial" w:eastAsia="Times New Roman" w:hAnsi="Arial" w:cs="Arial"/>
          <w:sz w:val="24"/>
          <w:szCs w:val="24"/>
          <w:lang w:eastAsia="es-ES"/>
        </w:rPr>
        <w:t>l</w:t>
      </w:r>
      <w:r w:rsidR="001B451F" w:rsidRPr="00CB56B7">
        <w:rPr>
          <w:rFonts w:ascii="Arial" w:eastAsia="Times New Roman" w:hAnsi="Arial" w:cs="Arial"/>
          <w:sz w:val="24"/>
          <w:szCs w:val="24"/>
          <w:lang w:eastAsia="es-ES"/>
        </w:rPr>
        <w:t>a</w:t>
      </w:r>
      <w:r w:rsidR="00B37D30" w:rsidRPr="00CB56B7">
        <w:rPr>
          <w:rFonts w:ascii="Arial" w:eastAsia="Times New Roman" w:hAnsi="Arial" w:cs="Arial"/>
          <w:sz w:val="24"/>
          <w:szCs w:val="24"/>
          <w:lang w:eastAsia="es-ES"/>
        </w:rPr>
        <w:t xml:space="preserve"> </w:t>
      </w:r>
      <w:r w:rsidR="001B451F" w:rsidRPr="00CB56B7">
        <w:rPr>
          <w:rFonts w:ascii="Arial" w:eastAsia="Times New Roman" w:hAnsi="Arial" w:cs="Arial"/>
          <w:sz w:val="24"/>
          <w:szCs w:val="24"/>
          <w:lang w:eastAsia="es-ES"/>
        </w:rPr>
        <w:t>Universidad Autónoma de San Luis Potosí</w:t>
      </w:r>
      <w:r w:rsidRPr="00CB56B7">
        <w:rPr>
          <w:rFonts w:ascii="Arial" w:eastAsia="Times New Roman" w:hAnsi="Arial" w:cs="Arial"/>
          <w:sz w:val="24"/>
          <w:szCs w:val="24"/>
          <w:lang w:eastAsia="es-ES"/>
        </w:rPr>
        <w:t xml:space="preserve">, </w:t>
      </w:r>
      <w:r w:rsidR="00A6798F" w:rsidRPr="00CB56B7">
        <w:rPr>
          <w:rFonts w:ascii="Arial" w:eastAsia="Times New Roman" w:hAnsi="Arial" w:cs="Arial"/>
          <w:sz w:val="24"/>
          <w:szCs w:val="24"/>
          <w:lang w:eastAsia="es-ES"/>
        </w:rPr>
        <w:t xml:space="preserve">a través del cual compareció al presente procedimiento a efecto de </w:t>
      </w:r>
      <w:r w:rsidR="00C9665B" w:rsidRPr="00CB56B7">
        <w:rPr>
          <w:rFonts w:ascii="Arial" w:eastAsia="Times New Roman" w:hAnsi="Arial" w:cs="Arial"/>
          <w:sz w:val="24"/>
          <w:szCs w:val="24"/>
          <w:lang w:eastAsia="es-ES"/>
        </w:rPr>
        <w:t>realizar las manifestaciones que consideró convenientes</w:t>
      </w:r>
      <w:r w:rsidR="00C3013F" w:rsidRPr="00CB56B7">
        <w:rPr>
          <w:rFonts w:ascii="Arial" w:eastAsia="Times New Roman" w:hAnsi="Arial" w:cs="Arial"/>
          <w:sz w:val="24"/>
          <w:szCs w:val="24"/>
          <w:lang w:eastAsia="es-ES"/>
        </w:rPr>
        <w:t>.</w:t>
      </w:r>
    </w:p>
    <w:p w14:paraId="0A6B3FB6" w14:textId="127B1669" w:rsidR="00A6798F" w:rsidRPr="00CB56B7" w:rsidRDefault="00A6798F" w:rsidP="00066097">
      <w:pPr>
        <w:spacing w:after="0" w:line="360" w:lineRule="auto"/>
        <w:ind w:firstLine="708"/>
        <w:jc w:val="both"/>
        <w:rPr>
          <w:rFonts w:ascii="Arial" w:eastAsia="Times New Roman" w:hAnsi="Arial" w:cs="Arial"/>
          <w:sz w:val="24"/>
          <w:szCs w:val="24"/>
          <w:lang w:eastAsia="es-ES"/>
        </w:rPr>
      </w:pPr>
    </w:p>
    <w:p w14:paraId="67394743" w14:textId="1B489E8A" w:rsidR="0049071D" w:rsidRPr="00CB56B7" w:rsidRDefault="0049071D" w:rsidP="00066097">
      <w:pPr>
        <w:spacing w:after="0" w:line="360" w:lineRule="auto"/>
        <w:ind w:firstLine="708"/>
        <w:jc w:val="both"/>
        <w:rPr>
          <w:rFonts w:ascii="Arial" w:eastAsia="Times New Roman" w:hAnsi="Arial" w:cs="Arial"/>
          <w:sz w:val="24"/>
          <w:szCs w:val="24"/>
          <w:lang w:eastAsia="es-ES"/>
        </w:rPr>
      </w:pPr>
      <w:r w:rsidRPr="00CB56B7">
        <w:rPr>
          <w:rFonts w:ascii="Arial" w:eastAsia="Times New Roman" w:hAnsi="Arial" w:cs="Arial"/>
          <w:sz w:val="24"/>
          <w:szCs w:val="24"/>
          <w:lang w:eastAsia="es-ES"/>
        </w:rPr>
        <w:t>Por lo que toca a la parte recurrente, se le tuvo por concluido el plazo otorgado para manifestar lo que a su derecho conviniera, de conformidad con el artículo 174 fracciones II y III de la Ley de la materia, sin que hubiera comparecido para tal efecto.</w:t>
      </w:r>
    </w:p>
    <w:p w14:paraId="29E1E3E1" w14:textId="6765D128" w:rsidR="0049071D" w:rsidRPr="00CB56B7" w:rsidRDefault="0049071D" w:rsidP="00066097">
      <w:pPr>
        <w:spacing w:after="0" w:line="360" w:lineRule="auto"/>
        <w:jc w:val="both"/>
        <w:rPr>
          <w:rFonts w:ascii="Arial" w:hAnsi="Arial" w:cs="Arial"/>
          <w:b/>
          <w:sz w:val="24"/>
          <w:szCs w:val="24"/>
        </w:rPr>
      </w:pPr>
    </w:p>
    <w:p w14:paraId="59F00248" w14:textId="6E3FC233" w:rsidR="0049071D" w:rsidRPr="00CB56B7" w:rsidRDefault="009934D2" w:rsidP="00066097">
      <w:pPr>
        <w:spacing w:after="0" w:line="360" w:lineRule="auto"/>
        <w:ind w:firstLine="708"/>
        <w:jc w:val="both"/>
        <w:rPr>
          <w:rFonts w:ascii="Arial" w:hAnsi="Arial" w:cs="Arial"/>
          <w:sz w:val="24"/>
          <w:szCs w:val="24"/>
        </w:rPr>
      </w:pPr>
      <w:r w:rsidRPr="00CB56B7">
        <w:rPr>
          <w:rFonts w:ascii="Arial" w:hAnsi="Arial" w:cs="Arial"/>
          <w:sz w:val="24"/>
          <w:szCs w:val="24"/>
        </w:rPr>
        <w:t xml:space="preserve">Asimismo, en el contexto de dicho proveído, se decretó el cierre de instrucción y se ordenó se procediera a elaborar el proyecto de resolución correspondiente; y, </w:t>
      </w:r>
    </w:p>
    <w:p w14:paraId="1F0A0A0E" w14:textId="77777777" w:rsidR="009934D2" w:rsidRPr="00CB56B7" w:rsidRDefault="009934D2" w:rsidP="00066097">
      <w:pPr>
        <w:spacing w:after="0" w:line="360" w:lineRule="auto"/>
        <w:ind w:firstLine="708"/>
        <w:jc w:val="both"/>
        <w:rPr>
          <w:rFonts w:ascii="Arial" w:hAnsi="Arial" w:cs="Arial"/>
          <w:sz w:val="24"/>
          <w:szCs w:val="24"/>
        </w:rPr>
      </w:pPr>
    </w:p>
    <w:p w14:paraId="6794724C" w14:textId="77777777" w:rsidR="0049071D" w:rsidRPr="00CB56B7" w:rsidRDefault="0049071D" w:rsidP="00066097">
      <w:pPr>
        <w:spacing w:after="0" w:line="360" w:lineRule="auto"/>
        <w:jc w:val="center"/>
        <w:outlineLvl w:val="0"/>
        <w:rPr>
          <w:rFonts w:ascii="Arial" w:eastAsia="Times New Roman" w:hAnsi="Arial" w:cs="Arial"/>
          <w:b/>
          <w:sz w:val="24"/>
          <w:szCs w:val="24"/>
          <w:lang w:val="pt-BR" w:eastAsia="es-ES"/>
        </w:rPr>
      </w:pPr>
      <w:r w:rsidRPr="00CB56B7">
        <w:rPr>
          <w:rFonts w:ascii="Arial" w:eastAsia="Times New Roman" w:hAnsi="Arial" w:cs="Arial"/>
          <w:b/>
          <w:sz w:val="24"/>
          <w:szCs w:val="24"/>
          <w:lang w:val="pt-BR" w:eastAsia="es-ES"/>
        </w:rPr>
        <w:t>C O N S I D E R A N D O</w:t>
      </w:r>
    </w:p>
    <w:p w14:paraId="44F1CE43" w14:textId="77777777" w:rsidR="0049071D" w:rsidRPr="00CB56B7" w:rsidRDefault="0049071D" w:rsidP="00066097">
      <w:pPr>
        <w:spacing w:after="0" w:line="360" w:lineRule="auto"/>
        <w:jc w:val="center"/>
        <w:outlineLvl w:val="0"/>
        <w:rPr>
          <w:rFonts w:ascii="Arial" w:eastAsia="Times New Roman" w:hAnsi="Arial" w:cs="Arial"/>
          <w:b/>
          <w:sz w:val="24"/>
          <w:szCs w:val="24"/>
          <w:lang w:val="pt-BR" w:eastAsia="es-ES"/>
        </w:rPr>
      </w:pPr>
    </w:p>
    <w:p w14:paraId="0B82B576" w14:textId="2E1B1A83" w:rsidR="0049071D" w:rsidRPr="00CB56B7" w:rsidRDefault="0049071D" w:rsidP="00066097">
      <w:pPr>
        <w:spacing w:after="0" w:line="360" w:lineRule="auto"/>
        <w:ind w:firstLine="708"/>
        <w:jc w:val="both"/>
        <w:rPr>
          <w:rFonts w:ascii="Arial" w:eastAsia="Arial Unicode MS" w:hAnsi="Arial" w:cs="Arial"/>
          <w:sz w:val="24"/>
          <w:szCs w:val="24"/>
          <w:lang w:eastAsia="es-ES"/>
        </w:rPr>
      </w:pPr>
      <w:r w:rsidRPr="00CB56B7">
        <w:rPr>
          <w:rFonts w:ascii="Arial" w:eastAsia="Arial Unicode MS" w:hAnsi="Arial" w:cs="Arial"/>
          <w:b/>
          <w:bCs/>
          <w:sz w:val="24"/>
          <w:szCs w:val="24"/>
          <w:lang w:eastAsia="es-ES"/>
        </w:rPr>
        <w:t>PRIMERO.</w:t>
      </w:r>
      <w:r w:rsidRPr="00CB56B7">
        <w:rPr>
          <w:rFonts w:ascii="Arial" w:eastAsia="Arial Unicode MS" w:hAnsi="Arial" w:cs="Arial"/>
          <w:b/>
          <w:sz w:val="24"/>
          <w:szCs w:val="24"/>
          <w:lang w:eastAsia="es-ES"/>
        </w:rPr>
        <w:t> </w:t>
      </w:r>
      <w:r w:rsidRPr="00CB56B7">
        <w:rPr>
          <w:rFonts w:ascii="Arial" w:eastAsia="Arial Unicode MS" w:hAnsi="Arial" w:cs="Arial"/>
          <w:b/>
          <w:bCs/>
          <w:sz w:val="24"/>
          <w:szCs w:val="24"/>
          <w:lang w:eastAsia="es-ES"/>
        </w:rPr>
        <w:t>Competencia.</w:t>
      </w:r>
      <w:r w:rsidRPr="00CB56B7">
        <w:rPr>
          <w:rFonts w:ascii="Arial" w:eastAsia="Arial Unicode MS" w:hAnsi="Arial" w:cs="Arial"/>
          <w:b/>
          <w:sz w:val="24"/>
          <w:szCs w:val="24"/>
          <w:lang w:eastAsia="es-ES"/>
        </w:rPr>
        <w:t> </w:t>
      </w:r>
      <w:r w:rsidRPr="00CB56B7">
        <w:rPr>
          <w:rFonts w:ascii="Arial" w:eastAsia="Arial Unicode MS" w:hAnsi="Arial" w:cs="Arial"/>
          <w:sz w:val="24"/>
          <w:szCs w:val="24"/>
          <w:lang w:eastAsia="es-ES"/>
        </w:rPr>
        <w:t>El Pleno de esta Comisión Estatal de Garantía de Acceso a la Información Pública es competente para resolver el presente recurso de revisión de conformidad con</w:t>
      </w:r>
      <w:r w:rsidR="00066097" w:rsidRPr="00CB56B7">
        <w:rPr>
          <w:rFonts w:ascii="Arial" w:eastAsia="Arial Unicode MS" w:hAnsi="Arial" w:cs="Arial"/>
          <w:sz w:val="24"/>
          <w:szCs w:val="24"/>
          <w:lang w:eastAsia="es-ES"/>
        </w:rPr>
        <w:t xml:space="preserve"> los Transitorios OCTAVO y NOVENO del DECRETO 0506, publicado en la edición extraordinaria del miércoles 01 primero de abril de 2026 dos mil veintiséis, del Periódico Oficial del Estado de San Luis Potosí; así como su reforma publicada el 29 veintinueve de junio de 2026 dos mil veintiséis, en correlación con</w:t>
      </w:r>
      <w:r w:rsidRPr="00CB56B7">
        <w:rPr>
          <w:rFonts w:ascii="Arial" w:eastAsia="Arial Unicode MS" w:hAnsi="Arial" w:cs="Arial"/>
          <w:sz w:val="24"/>
          <w:szCs w:val="24"/>
          <w:lang w:eastAsia="es-ES"/>
        </w:rPr>
        <w:t xml:space="preserve"> los artículos 34 fracción I y II, 35 fracción I, 174 fracción VII y 175 de la Ley de Transparencia y Acceso a la Información Pública del Estado de San Luis Potosí; así como de los artículos 2°, 5º, 8 fracción I y II, 9°, 11 y 12, fracciones I, XI y XXV del Reglamento Interior de la Comisión Estatal de Garantía de Acceso a la Información Pública. </w:t>
      </w:r>
    </w:p>
    <w:p w14:paraId="30783088" w14:textId="77777777" w:rsidR="0049071D" w:rsidRPr="00CB56B7" w:rsidRDefault="0049071D" w:rsidP="00066097">
      <w:pPr>
        <w:spacing w:after="0" w:line="360" w:lineRule="auto"/>
        <w:ind w:firstLine="708"/>
        <w:jc w:val="both"/>
        <w:rPr>
          <w:rFonts w:ascii="Arial" w:eastAsia="Arial Unicode MS" w:hAnsi="Arial" w:cs="Arial"/>
          <w:sz w:val="24"/>
          <w:szCs w:val="24"/>
          <w:lang w:eastAsia="es-ES"/>
        </w:rPr>
      </w:pPr>
    </w:p>
    <w:p w14:paraId="58620364" w14:textId="77777777" w:rsidR="0011116C" w:rsidRPr="00CB56B7" w:rsidRDefault="0011116C" w:rsidP="00066097">
      <w:pPr>
        <w:spacing w:after="0" w:line="360" w:lineRule="auto"/>
        <w:ind w:firstLine="708"/>
        <w:jc w:val="both"/>
        <w:rPr>
          <w:rFonts w:ascii="Arial" w:eastAsia="Arial Unicode MS" w:hAnsi="Arial" w:cs="Arial"/>
          <w:sz w:val="24"/>
          <w:szCs w:val="24"/>
          <w:lang w:eastAsia="es-ES"/>
        </w:rPr>
      </w:pPr>
      <w:bookmarkStart w:id="1" w:name="_Hlk111068002"/>
      <w:r w:rsidRPr="00CB56B7">
        <w:rPr>
          <w:rFonts w:ascii="Arial" w:eastAsia="Arial Unicode MS" w:hAnsi="Arial" w:cs="Arial"/>
          <w:b/>
          <w:sz w:val="24"/>
          <w:szCs w:val="24"/>
          <w:lang w:eastAsia="es-ES"/>
        </w:rPr>
        <w:t xml:space="preserve">SEGUNDO. Improcedencia. </w:t>
      </w:r>
      <w:r w:rsidRPr="00CB56B7">
        <w:rPr>
          <w:rFonts w:ascii="Arial" w:eastAsia="Arial Unicode MS" w:hAnsi="Arial" w:cs="Arial"/>
          <w:sz w:val="24"/>
          <w:szCs w:val="24"/>
          <w:lang w:eastAsia="es-ES"/>
        </w:rPr>
        <w:t>Previo al análisis de fondo del asunto, esta Comisión realiza el estudio oficioso de las causales de procedencia, por tratarse de una cuestión de orden público y de estudio preferente, atento a lo establecido por la Jurisprudencia que por analogía resulta aplicable y, que a la letra señala:</w:t>
      </w:r>
    </w:p>
    <w:p w14:paraId="4328F5DC" w14:textId="77777777" w:rsidR="0011116C" w:rsidRPr="00CB56B7" w:rsidRDefault="0011116C" w:rsidP="00066097">
      <w:pPr>
        <w:spacing w:after="0" w:line="240" w:lineRule="auto"/>
        <w:ind w:firstLine="708"/>
        <w:jc w:val="both"/>
        <w:rPr>
          <w:rFonts w:ascii="Arial" w:eastAsia="Arial Unicode MS" w:hAnsi="Arial" w:cs="Arial"/>
          <w:b/>
          <w:sz w:val="24"/>
          <w:szCs w:val="24"/>
          <w:lang w:eastAsia="es-ES"/>
        </w:rPr>
      </w:pPr>
    </w:p>
    <w:p w14:paraId="156CCD4B" w14:textId="77777777" w:rsidR="0011116C" w:rsidRPr="00CB56B7" w:rsidRDefault="0011116C" w:rsidP="00066097">
      <w:pPr>
        <w:spacing w:after="0" w:line="240" w:lineRule="auto"/>
        <w:ind w:left="1134" w:right="1185"/>
        <w:jc w:val="both"/>
        <w:rPr>
          <w:rFonts w:ascii="Arial" w:eastAsia="Arial Unicode MS" w:hAnsi="Arial" w:cs="Arial"/>
          <w:lang w:eastAsia="es-ES"/>
        </w:rPr>
      </w:pPr>
      <w:r w:rsidRPr="00CB56B7">
        <w:rPr>
          <w:rFonts w:ascii="Arial" w:eastAsia="Arial Unicode MS" w:hAnsi="Arial" w:cs="Arial"/>
          <w:b/>
          <w:lang w:eastAsia="es-ES"/>
        </w:rPr>
        <w:t xml:space="preserve">“IMPROCEDENCIA. </w:t>
      </w:r>
      <w:r w:rsidRPr="00CB56B7">
        <w:rPr>
          <w:rFonts w:ascii="Arial" w:eastAsia="Arial Unicode MS" w:hAnsi="Arial" w:cs="Arial"/>
          <w:lang w:eastAsia="es-ES"/>
        </w:rPr>
        <w:t xml:space="preserve">Sea que las partes la aleguen o no, debe examinarse previamente la procedencia del juicio de amparo, por ser esa cuestión de orden público en el juicio de garantías.” </w:t>
      </w:r>
    </w:p>
    <w:p w14:paraId="0A0C7DF5" w14:textId="77777777" w:rsidR="0011116C" w:rsidRPr="00CB56B7" w:rsidRDefault="0011116C" w:rsidP="00066097">
      <w:pPr>
        <w:spacing w:after="0" w:line="240" w:lineRule="auto"/>
        <w:ind w:left="1134" w:right="1185"/>
        <w:jc w:val="both"/>
        <w:rPr>
          <w:rFonts w:ascii="Arial" w:eastAsia="Arial Unicode MS" w:hAnsi="Arial" w:cs="Arial"/>
          <w:b/>
          <w:lang w:eastAsia="es-ES"/>
        </w:rPr>
      </w:pPr>
    </w:p>
    <w:p w14:paraId="1C48CCF7" w14:textId="77777777" w:rsidR="0011116C" w:rsidRPr="00CB56B7" w:rsidRDefault="0011116C" w:rsidP="00066097">
      <w:pPr>
        <w:spacing w:after="0" w:line="360" w:lineRule="auto"/>
        <w:ind w:firstLine="708"/>
        <w:jc w:val="both"/>
        <w:rPr>
          <w:rFonts w:ascii="Arial" w:eastAsia="Arial Unicode MS" w:hAnsi="Arial" w:cs="Arial"/>
          <w:sz w:val="24"/>
          <w:szCs w:val="24"/>
          <w:lang w:eastAsia="es-ES"/>
        </w:rPr>
      </w:pPr>
      <w:r w:rsidRPr="00CB56B7">
        <w:rPr>
          <w:rFonts w:ascii="Arial" w:eastAsia="Arial Unicode MS" w:hAnsi="Arial" w:cs="Arial"/>
          <w:sz w:val="24"/>
          <w:szCs w:val="24"/>
          <w:lang w:eastAsia="es-ES"/>
        </w:rPr>
        <w:lastRenderedPageBreak/>
        <w:t xml:space="preserve">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w:t>
      </w:r>
      <w:r w:rsidRPr="00CB56B7">
        <w:rPr>
          <w:rFonts w:ascii="Arial" w:eastAsia="Arial Unicode MS" w:hAnsi="Arial" w:cs="Arial"/>
          <w:b/>
          <w:sz w:val="24"/>
          <w:szCs w:val="24"/>
          <w:lang w:eastAsia="es-ES"/>
        </w:rPr>
        <w:t>una vez admitido se actualice alguna de las hipótesis previstas en el numeral 179</w:t>
      </w:r>
      <w:r w:rsidRPr="00CB56B7">
        <w:rPr>
          <w:rStyle w:val="Refdenotaalpie"/>
          <w:rFonts w:ascii="Arial" w:eastAsia="Arial Unicode MS" w:hAnsi="Arial" w:cs="Arial"/>
          <w:sz w:val="24"/>
          <w:szCs w:val="24"/>
          <w:lang w:eastAsia="es-ES"/>
        </w:rPr>
        <w:footnoteReference w:id="1"/>
      </w:r>
      <w:r w:rsidRPr="00CB56B7">
        <w:rPr>
          <w:rFonts w:ascii="Arial" w:eastAsia="Arial Unicode MS" w:hAnsi="Arial" w:cs="Arial"/>
          <w:sz w:val="24"/>
          <w:szCs w:val="24"/>
          <w:lang w:eastAsia="es-ES"/>
        </w:rPr>
        <w:t xml:space="preserve"> de la citada normatividad y en consecuencia este Organismo Autónomo no entre al estudio de fondo de las posiciones planteadas por las partes. </w:t>
      </w:r>
    </w:p>
    <w:p w14:paraId="2FEBD29C" w14:textId="77777777" w:rsidR="0011116C" w:rsidRPr="00CB56B7" w:rsidRDefault="0011116C" w:rsidP="00066097">
      <w:pPr>
        <w:spacing w:after="0" w:line="360" w:lineRule="auto"/>
        <w:ind w:firstLine="708"/>
        <w:jc w:val="both"/>
        <w:rPr>
          <w:rFonts w:ascii="Arial" w:eastAsia="Arial Unicode MS" w:hAnsi="Arial" w:cs="Arial"/>
          <w:sz w:val="24"/>
          <w:szCs w:val="24"/>
          <w:lang w:eastAsia="es-ES"/>
        </w:rPr>
      </w:pPr>
    </w:p>
    <w:p w14:paraId="04FB6AF7" w14:textId="77777777" w:rsidR="0011116C" w:rsidRPr="00CB56B7" w:rsidRDefault="0011116C" w:rsidP="00066097">
      <w:pPr>
        <w:spacing w:after="0" w:line="360" w:lineRule="auto"/>
        <w:ind w:firstLine="708"/>
        <w:jc w:val="both"/>
        <w:rPr>
          <w:rFonts w:ascii="Arial" w:hAnsi="Arial" w:cs="Arial"/>
          <w:sz w:val="24"/>
          <w:szCs w:val="24"/>
        </w:rPr>
      </w:pPr>
      <w:r w:rsidRPr="00CB56B7">
        <w:rPr>
          <w:rFonts w:ascii="Arial" w:eastAsia="Times New Roman" w:hAnsi="Arial" w:cs="Arial"/>
          <w:sz w:val="24"/>
          <w:szCs w:val="24"/>
          <w:lang w:val="es-ES" w:eastAsia="es-ES"/>
        </w:rPr>
        <w:t xml:space="preserve">Entonces, esta Comisión está facultada para desechar (esto es, determinarse como impedido para conocer de algún asunto) un Recurso de Revisión, entre otras causales: </w:t>
      </w:r>
      <w:r w:rsidRPr="00CB56B7">
        <w:rPr>
          <w:rFonts w:ascii="Arial" w:hAnsi="Arial" w:cs="Arial"/>
          <w:sz w:val="24"/>
          <w:szCs w:val="24"/>
        </w:rPr>
        <w:t xml:space="preserve">cuando de la revisión efectuada al escrito por el cual la parte promovente presentó su medio de defensa, se observe que: </w:t>
      </w:r>
    </w:p>
    <w:p w14:paraId="3C43335D" w14:textId="77777777" w:rsidR="0011116C" w:rsidRPr="00CB56B7" w:rsidRDefault="0011116C" w:rsidP="00066097">
      <w:pPr>
        <w:spacing w:after="0" w:line="360" w:lineRule="auto"/>
        <w:ind w:firstLine="708"/>
        <w:jc w:val="both"/>
        <w:rPr>
          <w:rFonts w:ascii="Arial" w:hAnsi="Arial" w:cs="Arial"/>
          <w:sz w:val="24"/>
          <w:szCs w:val="24"/>
        </w:rPr>
      </w:pPr>
    </w:p>
    <w:p w14:paraId="79164203" w14:textId="77777777" w:rsidR="0011116C" w:rsidRPr="00CB56B7" w:rsidRDefault="0011116C" w:rsidP="00066097">
      <w:pPr>
        <w:spacing w:after="0" w:line="240" w:lineRule="auto"/>
        <w:ind w:left="1134" w:right="1183"/>
        <w:jc w:val="both"/>
        <w:rPr>
          <w:rFonts w:ascii="Arial" w:hAnsi="Arial" w:cs="Arial"/>
          <w:szCs w:val="24"/>
        </w:rPr>
      </w:pPr>
      <w:r w:rsidRPr="00CB56B7">
        <w:rPr>
          <w:rFonts w:ascii="Arial" w:hAnsi="Arial" w:cs="Arial"/>
          <w:szCs w:val="24"/>
        </w:rPr>
        <w:t xml:space="preserve">1. Se haya presentado de manera posterior al plazo de los quince días señalado en el artículo 166 de la Ley de transparencia y Acceso a la Información Pública del Estado de San Luis Potosí; </w:t>
      </w:r>
    </w:p>
    <w:p w14:paraId="65EF5503" w14:textId="77777777" w:rsidR="0011116C" w:rsidRPr="00CB56B7" w:rsidRDefault="0011116C" w:rsidP="00066097">
      <w:pPr>
        <w:spacing w:after="0" w:line="240" w:lineRule="auto"/>
        <w:ind w:left="1134" w:right="1183"/>
        <w:jc w:val="both"/>
        <w:rPr>
          <w:rFonts w:ascii="Arial" w:hAnsi="Arial" w:cs="Arial"/>
          <w:szCs w:val="24"/>
        </w:rPr>
      </w:pPr>
      <w:r w:rsidRPr="00CB56B7">
        <w:rPr>
          <w:rFonts w:ascii="Arial" w:hAnsi="Arial" w:cs="Arial"/>
          <w:szCs w:val="24"/>
        </w:rPr>
        <w:t xml:space="preserve">2. En las ocasiones en que se haga evidente que se encuentra tramitando ante el Poder Judicial algún medio de defensa interpuesto por la parte recurrente, por los mismos hechos; </w:t>
      </w:r>
    </w:p>
    <w:p w14:paraId="299D51E5" w14:textId="77777777" w:rsidR="0011116C" w:rsidRPr="00CB56B7" w:rsidRDefault="0011116C" w:rsidP="00066097">
      <w:pPr>
        <w:spacing w:after="0" w:line="240" w:lineRule="auto"/>
        <w:ind w:left="1134" w:right="1183"/>
        <w:jc w:val="both"/>
        <w:rPr>
          <w:rFonts w:ascii="Arial" w:hAnsi="Arial" w:cs="Arial"/>
          <w:szCs w:val="24"/>
        </w:rPr>
      </w:pPr>
      <w:r w:rsidRPr="00CB56B7">
        <w:rPr>
          <w:rFonts w:ascii="Arial" w:hAnsi="Arial" w:cs="Arial"/>
          <w:szCs w:val="24"/>
        </w:rPr>
        <w:t xml:space="preserve">3. Cuando se advierta la tramitación de algún recurso de revisión, en el que exista identidad de partes, por los mismos motivos y circunstancias; </w:t>
      </w:r>
    </w:p>
    <w:p w14:paraId="135B970F" w14:textId="77777777" w:rsidR="0011116C" w:rsidRPr="00CB56B7" w:rsidRDefault="0011116C" w:rsidP="00066097">
      <w:pPr>
        <w:spacing w:after="0" w:line="240" w:lineRule="auto"/>
        <w:ind w:left="1134" w:right="1183"/>
        <w:jc w:val="both"/>
        <w:rPr>
          <w:rFonts w:ascii="Arial" w:hAnsi="Arial" w:cs="Arial"/>
          <w:szCs w:val="24"/>
        </w:rPr>
      </w:pPr>
      <w:r w:rsidRPr="00CB56B7">
        <w:rPr>
          <w:rFonts w:ascii="Arial" w:hAnsi="Arial" w:cs="Arial"/>
          <w:szCs w:val="24"/>
        </w:rPr>
        <w:t xml:space="preserve">4. Cuando no se actualice alguno de los supuestos de procedencia señalados en el artículo 167 de la multicitada Ley de la materia; </w:t>
      </w:r>
    </w:p>
    <w:p w14:paraId="3BBEDE43" w14:textId="77777777" w:rsidR="0011116C" w:rsidRPr="00CB56B7" w:rsidRDefault="0011116C" w:rsidP="00066097">
      <w:pPr>
        <w:spacing w:after="0" w:line="240" w:lineRule="auto"/>
        <w:ind w:left="1134" w:right="1183"/>
        <w:jc w:val="both"/>
        <w:rPr>
          <w:rFonts w:ascii="Arial" w:hAnsi="Arial" w:cs="Arial"/>
          <w:szCs w:val="24"/>
        </w:rPr>
      </w:pPr>
      <w:r w:rsidRPr="00CB56B7">
        <w:rPr>
          <w:rFonts w:ascii="Arial" w:hAnsi="Arial" w:cs="Arial"/>
          <w:szCs w:val="24"/>
        </w:rPr>
        <w:t>5. En las ocasiones en que la parte promovente sea omiso en atender el requerimiento formulado en términos del artículo 168 de la Ley de la materia;</w:t>
      </w:r>
    </w:p>
    <w:p w14:paraId="24617294" w14:textId="77777777" w:rsidR="0011116C" w:rsidRPr="00CB56B7" w:rsidRDefault="0011116C" w:rsidP="00066097">
      <w:pPr>
        <w:spacing w:after="0" w:line="240" w:lineRule="auto"/>
        <w:ind w:left="1134" w:right="1183"/>
        <w:jc w:val="both"/>
        <w:rPr>
          <w:rFonts w:ascii="Arial" w:hAnsi="Arial" w:cs="Arial"/>
          <w:szCs w:val="24"/>
        </w:rPr>
      </w:pPr>
      <w:r w:rsidRPr="00CB56B7">
        <w:rPr>
          <w:rFonts w:ascii="Arial" w:hAnsi="Arial" w:cs="Arial"/>
          <w:szCs w:val="24"/>
        </w:rPr>
        <w:t xml:space="preserve">6. Si se impugna la veracidad de la información otorgada; </w:t>
      </w:r>
    </w:p>
    <w:p w14:paraId="4975611F" w14:textId="77777777" w:rsidR="0011116C" w:rsidRPr="00CB56B7" w:rsidRDefault="0011116C" w:rsidP="00066097">
      <w:pPr>
        <w:spacing w:after="0" w:line="240" w:lineRule="auto"/>
        <w:ind w:left="1134" w:right="1183"/>
        <w:jc w:val="both"/>
        <w:rPr>
          <w:rFonts w:ascii="Arial" w:hAnsi="Arial" w:cs="Arial"/>
          <w:b/>
          <w:szCs w:val="24"/>
        </w:rPr>
      </w:pPr>
      <w:r w:rsidRPr="00CB56B7">
        <w:rPr>
          <w:rFonts w:ascii="Arial" w:hAnsi="Arial" w:cs="Arial"/>
          <w:szCs w:val="24"/>
        </w:rPr>
        <w:t>7. En los casos en que, derivado del análisis efectuado al escrito por el cual la parte promovente requirió diversa información al sujeto obligado, se observe que con ello efectúe una consulta, en tanto que lo solicitado refiere al procesamiento de información o documentación que posee el sujeto obligado, cuando precisa el posicionamiento de una autoridad, o en su caso, la generación de un documento en específico;</w:t>
      </w:r>
      <w:r w:rsidRPr="00CB56B7">
        <w:rPr>
          <w:rFonts w:ascii="Arial" w:hAnsi="Arial" w:cs="Arial"/>
          <w:b/>
          <w:szCs w:val="24"/>
        </w:rPr>
        <w:t xml:space="preserve"> </w:t>
      </w:r>
      <w:r w:rsidRPr="00CB56B7">
        <w:rPr>
          <w:rFonts w:ascii="Arial" w:hAnsi="Arial" w:cs="Arial"/>
          <w:szCs w:val="24"/>
        </w:rPr>
        <w:t>y,</w:t>
      </w:r>
      <w:r w:rsidRPr="00CB56B7">
        <w:rPr>
          <w:rFonts w:ascii="Arial" w:hAnsi="Arial" w:cs="Arial"/>
          <w:b/>
          <w:szCs w:val="24"/>
        </w:rPr>
        <w:t xml:space="preserve"> </w:t>
      </w:r>
    </w:p>
    <w:p w14:paraId="371BB56F" w14:textId="77777777" w:rsidR="0011116C" w:rsidRPr="00CB56B7" w:rsidRDefault="0011116C" w:rsidP="00066097">
      <w:pPr>
        <w:spacing w:after="0" w:line="240" w:lineRule="auto"/>
        <w:ind w:left="1134" w:right="1183"/>
        <w:jc w:val="both"/>
        <w:rPr>
          <w:rFonts w:ascii="Arial" w:hAnsi="Arial" w:cs="Arial"/>
          <w:bCs/>
          <w:szCs w:val="24"/>
        </w:rPr>
      </w:pPr>
      <w:r w:rsidRPr="00CB56B7">
        <w:rPr>
          <w:rFonts w:ascii="Arial" w:hAnsi="Arial" w:cs="Arial"/>
          <w:bCs/>
          <w:szCs w:val="24"/>
        </w:rPr>
        <w:t>8.</w:t>
      </w:r>
      <w:r w:rsidRPr="00CB56B7">
        <w:rPr>
          <w:rFonts w:ascii="Arial" w:hAnsi="Arial" w:cs="Arial"/>
          <w:b/>
          <w:szCs w:val="24"/>
        </w:rPr>
        <w:t xml:space="preserve"> </w:t>
      </w:r>
      <w:r w:rsidRPr="00CB56B7">
        <w:rPr>
          <w:rFonts w:ascii="Arial" w:hAnsi="Arial" w:cs="Arial"/>
          <w:bCs/>
          <w:szCs w:val="24"/>
        </w:rPr>
        <w:t>Cuando el recurrente, a través del escrito por el cual interpone su medio de defensa, amplía la información solicitada, aportando requerimientos novedosos, dentro del procedimiento de acceso a la información pública.</w:t>
      </w:r>
    </w:p>
    <w:p w14:paraId="3D0C2EA1" w14:textId="77777777" w:rsidR="0011116C" w:rsidRPr="00CB56B7" w:rsidRDefault="0011116C" w:rsidP="00066097">
      <w:pPr>
        <w:spacing w:after="0" w:line="360" w:lineRule="auto"/>
        <w:ind w:firstLine="709"/>
        <w:jc w:val="both"/>
        <w:rPr>
          <w:rFonts w:ascii="Arial" w:eastAsia="Arial Unicode MS" w:hAnsi="Arial" w:cs="Arial"/>
          <w:bCs/>
          <w:sz w:val="24"/>
          <w:szCs w:val="24"/>
          <w:lang w:eastAsia="es-ES"/>
        </w:rPr>
      </w:pPr>
    </w:p>
    <w:p w14:paraId="17659F06" w14:textId="2F916EC8" w:rsidR="0011116C" w:rsidRPr="00CB56B7" w:rsidRDefault="0011116C"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lastRenderedPageBreak/>
        <w:t xml:space="preserve">Así, del análisis realizado por esta Comisión, se advierte que no se actualiza alguna de las causales de improcedencia previstas en las fracciones I, </w:t>
      </w:r>
      <w:r w:rsidR="00404B13" w:rsidRPr="00CB56B7">
        <w:rPr>
          <w:rFonts w:ascii="Arial" w:eastAsia="Arial Unicode MS" w:hAnsi="Arial" w:cs="Arial"/>
          <w:bCs/>
          <w:sz w:val="24"/>
          <w:szCs w:val="24"/>
          <w:lang w:eastAsia="es-ES"/>
        </w:rPr>
        <w:t xml:space="preserve">II, </w:t>
      </w:r>
      <w:r w:rsidR="00C9665B" w:rsidRPr="00CB56B7">
        <w:rPr>
          <w:rFonts w:ascii="Arial" w:eastAsia="Arial Unicode MS" w:hAnsi="Arial" w:cs="Arial"/>
          <w:bCs/>
          <w:sz w:val="24"/>
          <w:szCs w:val="24"/>
          <w:lang w:eastAsia="es-ES"/>
        </w:rPr>
        <w:t>III, IV,</w:t>
      </w:r>
      <w:r w:rsidRPr="00CB56B7">
        <w:rPr>
          <w:rFonts w:ascii="Arial" w:eastAsia="Arial Unicode MS" w:hAnsi="Arial" w:cs="Arial"/>
          <w:bCs/>
          <w:sz w:val="24"/>
          <w:szCs w:val="24"/>
          <w:lang w:eastAsia="es-ES"/>
        </w:rPr>
        <w:t xml:space="preserve"> V</w:t>
      </w:r>
      <w:r w:rsidR="00C9665B" w:rsidRPr="00CB56B7">
        <w:rPr>
          <w:rFonts w:ascii="Arial" w:eastAsia="Arial Unicode MS" w:hAnsi="Arial" w:cs="Arial"/>
          <w:bCs/>
          <w:sz w:val="24"/>
          <w:szCs w:val="24"/>
          <w:lang w:eastAsia="es-ES"/>
        </w:rPr>
        <w:t>,</w:t>
      </w:r>
      <w:r w:rsidR="00383FC6" w:rsidRPr="00CB56B7">
        <w:rPr>
          <w:rFonts w:ascii="Arial" w:eastAsia="Arial Unicode MS" w:hAnsi="Arial" w:cs="Arial"/>
          <w:bCs/>
          <w:sz w:val="24"/>
          <w:szCs w:val="24"/>
          <w:lang w:eastAsia="es-ES"/>
        </w:rPr>
        <w:t xml:space="preserve"> VI,</w:t>
      </w:r>
      <w:r w:rsidR="00C9665B" w:rsidRPr="00CB56B7">
        <w:rPr>
          <w:rFonts w:ascii="Arial" w:eastAsia="Arial Unicode MS" w:hAnsi="Arial" w:cs="Arial"/>
          <w:bCs/>
          <w:sz w:val="24"/>
          <w:szCs w:val="24"/>
          <w:lang w:eastAsia="es-ES"/>
        </w:rPr>
        <w:t xml:space="preserve"> VII y VIII</w:t>
      </w:r>
      <w:r w:rsidRPr="00CB56B7">
        <w:rPr>
          <w:rFonts w:ascii="Arial" w:eastAsia="Arial Unicode MS" w:hAnsi="Arial" w:cs="Arial"/>
          <w:bCs/>
          <w:sz w:val="24"/>
          <w:szCs w:val="24"/>
          <w:lang w:eastAsia="es-ES"/>
        </w:rPr>
        <w:t xml:space="preserve">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30925610" w14:textId="77777777" w:rsidR="0011116C" w:rsidRPr="00CB56B7" w:rsidRDefault="0011116C" w:rsidP="00066097">
      <w:pPr>
        <w:spacing w:after="0" w:line="360" w:lineRule="auto"/>
        <w:ind w:firstLine="708"/>
        <w:jc w:val="both"/>
        <w:rPr>
          <w:rFonts w:ascii="Arial" w:eastAsia="Arial Unicode MS" w:hAnsi="Arial" w:cs="Arial"/>
          <w:bCs/>
          <w:sz w:val="24"/>
          <w:szCs w:val="24"/>
          <w:lang w:eastAsia="es-ES"/>
        </w:rPr>
      </w:pPr>
    </w:p>
    <w:p w14:paraId="78FC7615" w14:textId="7953ACEB" w:rsidR="0011116C" w:rsidRPr="00CB56B7" w:rsidRDefault="0011116C"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constituya una consulta</w:t>
      </w:r>
      <w:r w:rsidR="00C9665B" w:rsidRPr="00CB56B7">
        <w:rPr>
          <w:rFonts w:ascii="Arial" w:eastAsia="Arial Unicode MS" w:hAnsi="Arial" w:cs="Arial"/>
          <w:bCs/>
          <w:sz w:val="24"/>
          <w:szCs w:val="24"/>
          <w:lang w:eastAsia="es-ES"/>
        </w:rPr>
        <w:t xml:space="preserve"> o en su caso amplíe la información solicitada</w:t>
      </w:r>
      <w:r w:rsidRPr="00CB56B7">
        <w:rPr>
          <w:rFonts w:ascii="Arial" w:eastAsia="Arial Unicode MS" w:hAnsi="Arial" w:cs="Arial"/>
          <w:bCs/>
          <w:sz w:val="24"/>
          <w:szCs w:val="24"/>
          <w:lang w:eastAsia="es-ES"/>
        </w:rPr>
        <w:t xml:space="preserve">. </w:t>
      </w:r>
    </w:p>
    <w:p w14:paraId="050F6F55" w14:textId="3C2EB438" w:rsidR="00C9665B" w:rsidRPr="00CB56B7" w:rsidRDefault="00C9665B" w:rsidP="00066097">
      <w:pPr>
        <w:spacing w:after="0" w:line="360" w:lineRule="auto"/>
        <w:ind w:firstLine="709"/>
        <w:jc w:val="both"/>
        <w:rPr>
          <w:rFonts w:ascii="Arial" w:eastAsia="Arial Unicode MS" w:hAnsi="Arial" w:cs="Arial"/>
          <w:bCs/>
          <w:sz w:val="24"/>
          <w:szCs w:val="24"/>
          <w:lang w:eastAsia="es-ES"/>
        </w:rPr>
      </w:pPr>
    </w:p>
    <w:p w14:paraId="16F2C9EA" w14:textId="75C70578" w:rsidR="00C8192E" w:rsidRPr="00CB56B7" w:rsidRDefault="00C8192E" w:rsidP="00066097">
      <w:pPr>
        <w:spacing w:after="0" w:line="360" w:lineRule="auto"/>
        <w:ind w:firstLine="708"/>
        <w:jc w:val="both"/>
        <w:rPr>
          <w:rFonts w:ascii="Arial" w:eastAsia="Arial Unicode MS" w:hAnsi="Arial" w:cs="Arial"/>
          <w:sz w:val="24"/>
          <w:szCs w:val="24"/>
          <w:lang w:eastAsia="es-ES"/>
        </w:rPr>
      </w:pPr>
      <w:r w:rsidRPr="00CB56B7">
        <w:rPr>
          <w:rFonts w:ascii="Arial" w:eastAsia="Arial Unicode MS" w:hAnsi="Arial" w:cs="Arial"/>
          <w:b/>
          <w:sz w:val="24"/>
          <w:szCs w:val="24"/>
          <w:lang w:eastAsia="es-ES"/>
        </w:rPr>
        <w:t xml:space="preserve">TERCERO. Sobreseimiento. </w:t>
      </w:r>
      <w:r w:rsidRPr="00CB56B7">
        <w:rPr>
          <w:rFonts w:ascii="Arial" w:eastAsia="Arial Unicode MS" w:hAnsi="Arial" w:cs="Arial"/>
          <w:bCs/>
          <w:sz w:val="24"/>
          <w:szCs w:val="24"/>
          <w:lang w:eastAsia="es-ES"/>
        </w:rPr>
        <w:t>La figura jurídica del sobreseimiento</w:t>
      </w:r>
      <w:r w:rsidRPr="00CB56B7">
        <w:rPr>
          <w:rStyle w:val="Refdenotaalpie"/>
          <w:rFonts w:ascii="Arial" w:eastAsia="Arial Unicode MS" w:hAnsi="Arial" w:cs="Arial"/>
          <w:bCs/>
          <w:sz w:val="24"/>
          <w:szCs w:val="24"/>
          <w:lang w:eastAsia="es-ES"/>
        </w:rPr>
        <w:footnoteReference w:id="2"/>
      </w:r>
      <w:r w:rsidRPr="00CB56B7">
        <w:rPr>
          <w:rFonts w:ascii="Arial" w:eastAsia="Arial Unicode MS" w:hAnsi="Arial" w:cs="Arial"/>
          <w:bCs/>
          <w:sz w:val="24"/>
          <w:szCs w:val="24"/>
          <w:lang w:eastAsia="es-ES"/>
        </w:rPr>
        <w:t xml:space="preserve"> es la determinación adoptada por parte de este Organismo Autónomo de carácter definitivo porque pone fin al procedimiento sin resolver las cuestiones de fondo, es decir, porque se haya actualizado alguno de los supuestos que establece el artículo 180</w:t>
      </w:r>
      <w:r w:rsidR="0011116C" w:rsidRPr="00CB56B7">
        <w:rPr>
          <w:rStyle w:val="Refdenotaalpie"/>
          <w:rFonts w:ascii="Arial" w:eastAsia="Arial Unicode MS" w:hAnsi="Arial" w:cs="Arial"/>
          <w:bCs/>
          <w:sz w:val="24"/>
          <w:szCs w:val="24"/>
          <w:lang w:eastAsia="es-ES"/>
        </w:rPr>
        <w:footnoteReference w:id="3"/>
      </w:r>
      <w:r w:rsidRPr="00CB56B7">
        <w:rPr>
          <w:rFonts w:ascii="Arial" w:eastAsia="Arial Unicode MS" w:hAnsi="Arial" w:cs="Arial"/>
          <w:bCs/>
          <w:sz w:val="24"/>
          <w:szCs w:val="24"/>
          <w:lang w:eastAsia="es-ES"/>
        </w:rPr>
        <w:t xml:space="preserve"> de la Ley de Transparencia y Acceso a la Información Pública del Estado. </w:t>
      </w:r>
    </w:p>
    <w:p w14:paraId="7B38C13D" w14:textId="77777777" w:rsidR="00C8192E" w:rsidRPr="00CB56B7" w:rsidRDefault="00C8192E" w:rsidP="00066097">
      <w:pPr>
        <w:spacing w:after="0" w:line="360" w:lineRule="auto"/>
        <w:ind w:firstLine="708"/>
        <w:jc w:val="both"/>
        <w:rPr>
          <w:rFonts w:ascii="Arial" w:eastAsia="Arial Unicode MS" w:hAnsi="Arial" w:cs="Arial"/>
          <w:bCs/>
          <w:sz w:val="24"/>
          <w:szCs w:val="24"/>
          <w:lang w:eastAsia="es-ES"/>
        </w:rPr>
      </w:pPr>
    </w:p>
    <w:p w14:paraId="4B5A39F2" w14:textId="533A9714" w:rsidR="00C8192E" w:rsidRPr="00CB56B7" w:rsidRDefault="00C8192E" w:rsidP="00066097">
      <w:pPr>
        <w:spacing w:after="0" w:line="360" w:lineRule="auto"/>
        <w:ind w:firstLine="708"/>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 xml:space="preserve">Con relación a la figura jurídica del sobreseimiento, respecto de la relatoría expuesta, conviene </w:t>
      </w:r>
      <w:r w:rsidR="0011116C" w:rsidRPr="00CB56B7">
        <w:rPr>
          <w:rFonts w:ascii="Arial" w:eastAsia="Arial Unicode MS" w:hAnsi="Arial" w:cs="Arial"/>
          <w:bCs/>
          <w:sz w:val="24"/>
          <w:szCs w:val="24"/>
          <w:lang w:eastAsia="es-ES"/>
        </w:rPr>
        <w:t>precisar que, de conformidad con el numeral 175</w:t>
      </w:r>
      <w:r w:rsidR="0011116C" w:rsidRPr="00CB56B7">
        <w:rPr>
          <w:rStyle w:val="Refdenotaalpie"/>
          <w:rFonts w:ascii="Arial" w:eastAsia="Arial Unicode MS" w:hAnsi="Arial" w:cs="Arial"/>
          <w:bCs/>
          <w:sz w:val="24"/>
          <w:szCs w:val="24"/>
          <w:lang w:eastAsia="es-ES"/>
        </w:rPr>
        <w:footnoteReference w:id="4"/>
      </w:r>
      <w:r w:rsidR="0011116C" w:rsidRPr="00CB56B7">
        <w:rPr>
          <w:rFonts w:ascii="Arial" w:eastAsia="Arial Unicode MS" w:hAnsi="Arial" w:cs="Arial"/>
          <w:bCs/>
          <w:sz w:val="24"/>
          <w:szCs w:val="24"/>
          <w:lang w:eastAsia="es-ES"/>
        </w:rPr>
        <w:t xml:space="preserve"> de la Ley de Transparencia y Acceso a la Información Pública del Estado de San Luis Potosí, las resoluciones emitidas por el Pleno de este Organismo Autónomo, podrán, entre otras cosas, desechar o sobreseer el asunto de que se trate. </w:t>
      </w:r>
    </w:p>
    <w:p w14:paraId="54AFA839" w14:textId="77777777" w:rsidR="00184C66" w:rsidRPr="00CB56B7" w:rsidRDefault="00184C66" w:rsidP="00066097">
      <w:pPr>
        <w:spacing w:after="0" w:line="360" w:lineRule="auto"/>
        <w:ind w:left="1134" w:right="1183"/>
        <w:jc w:val="right"/>
        <w:rPr>
          <w:rFonts w:ascii="Arial" w:eastAsia="Arial Unicode MS" w:hAnsi="Arial" w:cs="Arial"/>
          <w:b/>
          <w:bCs/>
          <w:lang w:eastAsia="es-ES"/>
        </w:rPr>
      </w:pPr>
    </w:p>
    <w:p w14:paraId="5C5F5937" w14:textId="43FCD16A" w:rsidR="00C8192E" w:rsidRPr="00CB56B7" w:rsidRDefault="008A22B7" w:rsidP="00066097">
      <w:pPr>
        <w:spacing w:after="0" w:line="360" w:lineRule="auto"/>
        <w:ind w:firstLine="708"/>
        <w:jc w:val="both"/>
        <w:rPr>
          <w:rFonts w:ascii="Arial" w:eastAsia="Arial Unicode MS" w:hAnsi="Arial" w:cs="Arial"/>
          <w:bCs/>
          <w:sz w:val="24"/>
          <w:szCs w:val="24"/>
          <w:lang w:val="es-ES_tradnl" w:eastAsia="es-ES"/>
        </w:rPr>
      </w:pPr>
      <w:r w:rsidRPr="00CB56B7">
        <w:rPr>
          <w:rFonts w:ascii="Arial" w:eastAsia="Arial Unicode MS" w:hAnsi="Arial" w:cs="Arial"/>
          <w:bCs/>
          <w:sz w:val="24"/>
          <w:szCs w:val="24"/>
          <w:lang w:val="es-ES_tradnl" w:eastAsia="es-ES"/>
        </w:rPr>
        <w:t>Así, es posible adv</w:t>
      </w:r>
      <w:r w:rsidR="00C8192E" w:rsidRPr="00CB56B7">
        <w:rPr>
          <w:rFonts w:ascii="Arial" w:eastAsia="Arial Unicode MS" w:hAnsi="Arial" w:cs="Arial"/>
          <w:bCs/>
          <w:sz w:val="24"/>
          <w:szCs w:val="24"/>
          <w:lang w:val="es-ES_tradnl" w:eastAsia="es-ES"/>
        </w:rPr>
        <w:t>ert</w:t>
      </w:r>
      <w:r w:rsidRPr="00CB56B7">
        <w:rPr>
          <w:rFonts w:ascii="Arial" w:eastAsia="Arial Unicode MS" w:hAnsi="Arial" w:cs="Arial"/>
          <w:bCs/>
          <w:sz w:val="24"/>
          <w:szCs w:val="24"/>
          <w:lang w:val="es-ES_tradnl" w:eastAsia="es-ES"/>
        </w:rPr>
        <w:t>ir</w:t>
      </w:r>
      <w:r w:rsidR="00C8192E" w:rsidRPr="00CB56B7">
        <w:rPr>
          <w:rFonts w:ascii="Arial" w:eastAsia="Arial Unicode MS" w:hAnsi="Arial" w:cs="Arial"/>
          <w:bCs/>
          <w:sz w:val="24"/>
          <w:szCs w:val="24"/>
          <w:lang w:val="es-ES_tradnl" w:eastAsia="es-ES"/>
        </w:rPr>
        <w:t xml:space="preserve"> que esta Comisión está facultada para sobreseer en parte un Recurso de Revisión, entre otras causales, cuando una vez admitido el recurso de revisión, aparezca alguna de las causales que refiere el artículo 180 de la Ley de Transparencia y Acceso a la Información Pública del Estado.</w:t>
      </w:r>
    </w:p>
    <w:p w14:paraId="50EE730A" w14:textId="77777777" w:rsidR="00C8192E" w:rsidRPr="00CB56B7" w:rsidRDefault="00C8192E" w:rsidP="00066097">
      <w:pPr>
        <w:spacing w:after="0" w:line="360" w:lineRule="auto"/>
        <w:ind w:firstLine="708"/>
        <w:jc w:val="both"/>
        <w:rPr>
          <w:rFonts w:ascii="Arial" w:eastAsia="Arial Unicode MS" w:hAnsi="Arial" w:cs="Arial"/>
          <w:bCs/>
          <w:sz w:val="24"/>
          <w:szCs w:val="24"/>
          <w:lang w:val="es-ES_tradnl" w:eastAsia="es-ES"/>
        </w:rPr>
      </w:pPr>
    </w:p>
    <w:p w14:paraId="564B293F" w14:textId="24F2024C"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Ahora bien, el artículo 180 de la Ley de Transparencia y Acceso a la Información Pública del Estado, a través de su fracción III</w:t>
      </w:r>
      <w:r w:rsidRPr="00CB56B7">
        <w:rPr>
          <w:rStyle w:val="Refdenotaalpie"/>
          <w:rFonts w:ascii="Arial" w:eastAsia="Arial Unicode MS" w:hAnsi="Arial" w:cs="Arial"/>
          <w:bCs/>
          <w:sz w:val="24"/>
          <w:szCs w:val="24"/>
          <w:lang w:eastAsia="es-ES"/>
        </w:rPr>
        <w:footnoteReference w:id="5"/>
      </w:r>
      <w:r w:rsidRPr="00CB56B7">
        <w:rPr>
          <w:rFonts w:ascii="Arial" w:eastAsia="Arial Unicode MS" w:hAnsi="Arial" w:cs="Arial"/>
          <w:bCs/>
          <w:sz w:val="24"/>
          <w:szCs w:val="24"/>
          <w:lang w:eastAsia="es-ES"/>
        </w:rPr>
        <w:t xml:space="preserve">, prevé como hipótesis de sobreseimiento que la autoridad </w:t>
      </w:r>
      <w:r w:rsidRPr="00CB56B7">
        <w:rPr>
          <w:rFonts w:ascii="Arial" w:eastAsia="Arial Unicode MS" w:hAnsi="Arial" w:cs="Arial"/>
          <w:b/>
          <w:bCs/>
          <w:sz w:val="24"/>
          <w:szCs w:val="24"/>
          <w:lang w:eastAsia="es-ES"/>
        </w:rPr>
        <w:t>modifique o revoque su acto</w:t>
      </w:r>
      <w:r w:rsidRPr="00CB56B7">
        <w:rPr>
          <w:rFonts w:ascii="Arial" w:eastAsia="Arial Unicode MS" w:hAnsi="Arial" w:cs="Arial"/>
          <w:bCs/>
          <w:sz w:val="24"/>
          <w:szCs w:val="24"/>
          <w:lang w:eastAsia="es-ES"/>
        </w:rPr>
        <w:t>, pero que sea de tal manera que deje sin materia el medio de impugnación del que se trate, por lo que su configuración se supedita a los siguientes elementos:</w:t>
      </w:r>
    </w:p>
    <w:p w14:paraId="1C7A3B58"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18435033"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
          <w:bCs/>
          <w:sz w:val="24"/>
          <w:szCs w:val="24"/>
          <w:lang w:eastAsia="es-ES"/>
        </w:rPr>
        <w:t>Primer elemento:</w:t>
      </w:r>
      <w:r w:rsidRPr="00CB56B7">
        <w:rPr>
          <w:rFonts w:ascii="Arial" w:eastAsia="Arial Unicode MS" w:hAnsi="Arial" w:cs="Arial"/>
          <w:bCs/>
          <w:sz w:val="24"/>
          <w:szCs w:val="24"/>
          <w:lang w:eastAsia="es-ES"/>
        </w:rPr>
        <w:t xml:space="preserve"> el sujeto obligado responsable </w:t>
      </w:r>
      <w:r w:rsidRPr="00CB56B7">
        <w:rPr>
          <w:rFonts w:ascii="Arial" w:eastAsia="Arial Unicode MS" w:hAnsi="Arial" w:cs="Arial"/>
          <w:bCs/>
          <w:sz w:val="24"/>
          <w:szCs w:val="24"/>
          <w:u w:val="single"/>
          <w:lang w:eastAsia="es-ES"/>
        </w:rPr>
        <w:t>modifique o revoque el acto impugnado</w:t>
      </w:r>
      <w:r w:rsidRPr="00CB56B7">
        <w:rPr>
          <w:rFonts w:ascii="Arial" w:eastAsia="Arial Unicode MS" w:hAnsi="Arial" w:cs="Arial"/>
          <w:bCs/>
          <w:sz w:val="24"/>
          <w:szCs w:val="24"/>
          <w:lang w:eastAsia="es-ES"/>
        </w:rPr>
        <w:t>, esto es que, a través de la emisión de un acto novedoso lleve a cabo modificaciones en el acto generador de la inconformidad, o en su caso, deje insubsistente el acto generador de la inconformidad.</w:t>
      </w:r>
    </w:p>
    <w:p w14:paraId="696874F7"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675C09A9" w14:textId="23DBC321"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Circunstancia la anterior que, de conformidad con lo establecido en el artículo 171, fracción I del Código Procesal Administrativo para el Estado de San Luis Potosí, de aplicación supletoria para la Ley de la materia, será eficaz de manera posterior a la notificación de la nueva respuesta, pues los actos administrativos serán eficaces a partir de que surte efectos la notificación del mismo.</w:t>
      </w:r>
    </w:p>
    <w:p w14:paraId="50EB81BE"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75DD3EB2"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
          <w:bCs/>
          <w:sz w:val="24"/>
          <w:szCs w:val="24"/>
          <w:lang w:eastAsia="es-ES"/>
        </w:rPr>
        <w:t>Segundo elemento</w:t>
      </w:r>
      <w:r w:rsidRPr="00CB56B7">
        <w:rPr>
          <w:rFonts w:ascii="Arial" w:eastAsia="Arial Unicode MS" w:hAnsi="Arial" w:cs="Arial"/>
          <w:bCs/>
          <w:sz w:val="24"/>
          <w:szCs w:val="24"/>
          <w:lang w:eastAsia="es-ES"/>
        </w:rPr>
        <w:t>: Con la modificación o revocación realizada, se colmen los motivos de inconformidad formulados por la parte recurrente, hasta que se deje sin materia el recurso.</w:t>
      </w:r>
    </w:p>
    <w:p w14:paraId="43BB295A"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7E2E30BE" w14:textId="60E97638"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En el caso concreto, se estima que el primer elemento se encuentra satisfecho; lo anterior toda vez que, el sujeto obligado compareció durante la etapa de instrucción del presente procedimiento, exhibió como documentos anexos al oficio sin número, emitido por el Titular de la Unidad de Transparencia de</w:t>
      </w:r>
      <w:r w:rsidR="00383FC6" w:rsidRPr="00CB56B7">
        <w:rPr>
          <w:rFonts w:ascii="Arial" w:eastAsia="Arial Unicode MS" w:hAnsi="Arial" w:cs="Arial"/>
          <w:bCs/>
          <w:sz w:val="24"/>
          <w:szCs w:val="24"/>
          <w:lang w:eastAsia="es-ES"/>
        </w:rPr>
        <w:t xml:space="preserve"> </w:t>
      </w:r>
      <w:r w:rsidRPr="00CB56B7">
        <w:rPr>
          <w:rFonts w:ascii="Arial" w:eastAsia="Arial Unicode MS" w:hAnsi="Arial" w:cs="Arial"/>
          <w:bCs/>
          <w:sz w:val="24"/>
          <w:szCs w:val="24"/>
          <w:lang w:eastAsia="es-ES"/>
        </w:rPr>
        <w:t>l</w:t>
      </w:r>
      <w:r w:rsidR="00383FC6" w:rsidRPr="00CB56B7">
        <w:rPr>
          <w:rFonts w:ascii="Arial" w:eastAsia="Arial Unicode MS" w:hAnsi="Arial" w:cs="Arial"/>
          <w:bCs/>
          <w:sz w:val="24"/>
          <w:szCs w:val="24"/>
          <w:lang w:eastAsia="es-ES"/>
        </w:rPr>
        <w:t>a</w:t>
      </w:r>
      <w:r w:rsidRPr="00CB56B7">
        <w:rPr>
          <w:rFonts w:ascii="Arial" w:eastAsia="Arial Unicode MS" w:hAnsi="Arial" w:cs="Arial"/>
          <w:bCs/>
          <w:sz w:val="24"/>
          <w:szCs w:val="24"/>
          <w:lang w:eastAsia="es-ES"/>
        </w:rPr>
        <w:t xml:space="preserve"> </w:t>
      </w:r>
      <w:r w:rsidR="00383FC6" w:rsidRPr="00CB56B7">
        <w:rPr>
          <w:rFonts w:ascii="Arial" w:eastAsia="Arial Unicode MS" w:hAnsi="Arial" w:cs="Arial"/>
          <w:bCs/>
          <w:sz w:val="24"/>
          <w:szCs w:val="24"/>
          <w:lang w:eastAsia="es-ES"/>
        </w:rPr>
        <w:t>Universidad Autónoma de San Luis Potosí</w:t>
      </w:r>
      <w:r w:rsidRPr="00CB56B7">
        <w:rPr>
          <w:rFonts w:ascii="Arial" w:eastAsia="Arial Unicode MS" w:hAnsi="Arial" w:cs="Arial"/>
          <w:bCs/>
          <w:sz w:val="24"/>
          <w:szCs w:val="24"/>
          <w:lang w:eastAsia="es-ES"/>
        </w:rPr>
        <w:t xml:space="preserve">, </w:t>
      </w:r>
      <w:r w:rsidR="00383FC6" w:rsidRPr="00CB56B7">
        <w:rPr>
          <w:rFonts w:ascii="Arial" w:eastAsia="Arial Unicode MS" w:hAnsi="Arial" w:cs="Arial"/>
          <w:bCs/>
          <w:sz w:val="24"/>
          <w:szCs w:val="24"/>
          <w:lang w:eastAsia="es-ES"/>
        </w:rPr>
        <w:t xml:space="preserve">copia simple de </w:t>
      </w:r>
      <w:r w:rsidRPr="00CB56B7">
        <w:rPr>
          <w:rFonts w:ascii="Arial" w:eastAsia="Arial Unicode MS" w:hAnsi="Arial" w:cs="Arial"/>
          <w:bCs/>
          <w:sz w:val="24"/>
          <w:szCs w:val="24"/>
          <w:lang w:eastAsia="es-ES"/>
        </w:rPr>
        <w:t>lo siguiente:</w:t>
      </w:r>
    </w:p>
    <w:p w14:paraId="4D10DB10"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650BF583" w14:textId="2E0A56FA" w:rsidR="00383FC6" w:rsidRPr="00CB56B7" w:rsidRDefault="00383FC6" w:rsidP="00066097">
      <w:pPr>
        <w:spacing w:after="0" w:line="240" w:lineRule="auto"/>
        <w:ind w:left="1134" w:right="1183"/>
        <w:jc w:val="both"/>
        <w:rPr>
          <w:rFonts w:ascii="Arial" w:eastAsia="Arial Unicode MS" w:hAnsi="Arial" w:cs="Arial"/>
          <w:bCs/>
          <w:sz w:val="24"/>
          <w:szCs w:val="24"/>
          <w:lang w:eastAsia="es-ES"/>
        </w:rPr>
      </w:pPr>
    </w:p>
    <w:p w14:paraId="1CEDF160" w14:textId="7DE9D386" w:rsidR="00383FC6" w:rsidRPr="00CB56B7" w:rsidRDefault="00383FC6" w:rsidP="00383FC6">
      <w:pPr>
        <w:pStyle w:val="Prrafodelista"/>
        <w:numPr>
          <w:ilvl w:val="0"/>
          <w:numId w:val="27"/>
        </w:numPr>
        <w:spacing w:after="0" w:line="240" w:lineRule="auto"/>
        <w:ind w:right="1183"/>
        <w:jc w:val="both"/>
        <w:rPr>
          <w:rFonts w:ascii="Arial" w:eastAsia="Arial Unicode MS" w:hAnsi="Arial" w:cs="Arial"/>
          <w:bCs/>
          <w:szCs w:val="24"/>
          <w:lang w:eastAsia="es-ES"/>
        </w:rPr>
      </w:pPr>
      <w:r w:rsidRPr="00CB56B7">
        <w:rPr>
          <w:rFonts w:ascii="Arial" w:eastAsia="Arial Unicode MS" w:hAnsi="Arial" w:cs="Arial"/>
          <w:bCs/>
          <w:szCs w:val="24"/>
          <w:lang w:eastAsia="es-ES"/>
        </w:rPr>
        <w:t>Acuerdo emitido el diecinueve de agosto de dos mil veintiséis, dentro de los autos que conforman el expediente administrativo número 788/TA15.1/0125/2026, del índice del sujeto obligado, por medio del cual ordena la notificación de la respuesta emitida en atención a la solicitud registrada con el número de folio 240477626000125.</w:t>
      </w:r>
    </w:p>
    <w:p w14:paraId="11A7692C" w14:textId="4C0F0AE2" w:rsidR="00383FC6" w:rsidRPr="00CB56B7" w:rsidRDefault="00066097" w:rsidP="00383FC6">
      <w:pPr>
        <w:pStyle w:val="Prrafodelista"/>
        <w:numPr>
          <w:ilvl w:val="0"/>
          <w:numId w:val="27"/>
        </w:numPr>
        <w:spacing w:after="0" w:line="240" w:lineRule="auto"/>
        <w:ind w:right="1183"/>
        <w:jc w:val="both"/>
        <w:rPr>
          <w:rFonts w:ascii="Arial" w:eastAsia="Arial Unicode MS" w:hAnsi="Arial" w:cs="Arial"/>
          <w:bCs/>
          <w:szCs w:val="24"/>
          <w:lang w:eastAsia="es-ES"/>
        </w:rPr>
      </w:pPr>
      <w:r w:rsidRPr="00CB56B7">
        <w:rPr>
          <w:rFonts w:ascii="Arial" w:eastAsia="Arial Unicode MS" w:hAnsi="Arial" w:cs="Arial"/>
          <w:bCs/>
          <w:szCs w:val="24"/>
          <w:lang w:eastAsia="es-ES"/>
        </w:rPr>
        <w:t>Oficio</w:t>
      </w:r>
      <w:r w:rsidR="00B64556" w:rsidRPr="00CB56B7">
        <w:rPr>
          <w:rFonts w:ascii="Arial" w:eastAsia="Arial Unicode MS" w:hAnsi="Arial" w:cs="Arial"/>
          <w:bCs/>
          <w:szCs w:val="24"/>
          <w:lang w:eastAsia="es-ES"/>
        </w:rPr>
        <w:t>s</w:t>
      </w:r>
      <w:r w:rsidRPr="00CB56B7">
        <w:rPr>
          <w:rFonts w:ascii="Arial" w:eastAsia="Arial Unicode MS" w:hAnsi="Arial" w:cs="Arial"/>
          <w:bCs/>
          <w:szCs w:val="24"/>
          <w:lang w:eastAsia="es-ES"/>
        </w:rPr>
        <w:t xml:space="preserve"> número</w:t>
      </w:r>
      <w:r w:rsidR="00B64556" w:rsidRPr="00CB56B7">
        <w:rPr>
          <w:rFonts w:ascii="Arial" w:eastAsia="Arial Unicode MS" w:hAnsi="Arial" w:cs="Arial"/>
          <w:bCs/>
          <w:szCs w:val="24"/>
          <w:lang w:eastAsia="es-ES"/>
        </w:rPr>
        <w:t xml:space="preserve"> UT-No.149 y UT-No.148,</w:t>
      </w:r>
      <w:r w:rsidRPr="00CB56B7">
        <w:rPr>
          <w:rFonts w:ascii="Arial" w:eastAsia="Arial Unicode MS" w:hAnsi="Arial" w:cs="Arial"/>
          <w:bCs/>
          <w:szCs w:val="24"/>
          <w:lang w:eastAsia="es-ES"/>
        </w:rPr>
        <w:t xml:space="preserve"> emitido</w:t>
      </w:r>
      <w:r w:rsidR="00B64556" w:rsidRPr="00CB56B7">
        <w:rPr>
          <w:rFonts w:ascii="Arial" w:eastAsia="Arial Unicode MS" w:hAnsi="Arial" w:cs="Arial"/>
          <w:bCs/>
          <w:szCs w:val="24"/>
          <w:lang w:eastAsia="es-ES"/>
        </w:rPr>
        <w:t>s</w:t>
      </w:r>
      <w:r w:rsidRPr="00CB56B7">
        <w:rPr>
          <w:rFonts w:ascii="Arial" w:eastAsia="Arial Unicode MS" w:hAnsi="Arial" w:cs="Arial"/>
          <w:bCs/>
          <w:szCs w:val="24"/>
          <w:lang w:eastAsia="es-ES"/>
        </w:rPr>
        <w:t xml:space="preserve"> el </w:t>
      </w:r>
      <w:r w:rsidR="00B64556" w:rsidRPr="00CB56B7">
        <w:rPr>
          <w:rFonts w:ascii="Arial" w:eastAsia="Arial Unicode MS" w:hAnsi="Arial" w:cs="Arial"/>
          <w:bCs/>
          <w:szCs w:val="24"/>
          <w:lang w:eastAsia="es-ES"/>
        </w:rPr>
        <w:t>veinticinco de junio</w:t>
      </w:r>
      <w:r w:rsidRPr="00CB56B7">
        <w:rPr>
          <w:rFonts w:ascii="Arial" w:eastAsia="Arial Unicode MS" w:hAnsi="Arial" w:cs="Arial"/>
          <w:bCs/>
          <w:szCs w:val="24"/>
          <w:lang w:eastAsia="es-ES"/>
        </w:rPr>
        <w:t xml:space="preserve"> de dos mil veintiséis, por el Titular de la Unidad de transparencia del sujeto obligado, por medio de</w:t>
      </w:r>
      <w:r w:rsidR="00B64556" w:rsidRPr="00CB56B7">
        <w:rPr>
          <w:rFonts w:ascii="Arial" w:eastAsia="Arial Unicode MS" w:hAnsi="Arial" w:cs="Arial"/>
          <w:bCs/>
          <w:szCs w:val="24"/>
          <w:lang w:eastAsia="es-ES"/>
        </w:rPr>
        <w:t xml:space="preserve"> </w:t>
      </w:r>
      <w:r w:rsidRPr="00CB56B7">
        <w:rPr>
          <w:rFonts w:ascii="Arial" w:eastAsia="Arial Unicode MS" w:hAnsi="Arial" w:cs="Arial"/>
          <w:bCs/>
          <w:szCs w:val="24"/>
          <w:lang w:eastAsia="es-ES"/>
        </w:rPr>
        <w:t>l</w:t>
      </w:r>
      <w:r w:rsidR="00B64556" w:rsidRPr="00CB56B7">
        <w:rPr>
          <w:rFonts w:ascii="Arial" w:eastAsia="Arial Unicode MS" w:hAnsi="Arial" w:cs="Arial"/>
          <w:bCs/>
          <w:szCs w:val="24"/>
          <w:lang w:eastAsia="es-ES"/>
        </w:rPr>
        <w:t>os</w:t>
      </w:r>
      <w:r w:rsidRPr="00CB56B7">
        <w:rPr>
          <w:rFonts w:ascii="Arial" w:eastAsia="Arial Unicode MS" w:hAnsi="Arial" w:cs="Arial"/>
          <w:bCs/>
          <w:szCs w:val="24"/>
          <w:lang w:eastAsia="es-ES"/>
        </w:rPr>
        <w:t xml:space="preserve"> cual</w:t>
      </w:r>
      <w:r w:rsidR="00B64556" w:rsidRPr="00CB56B7">
        <w:rPr>
          <w:rFonts w:ascii="Arial" w:eastAsia="Arial Unicode MS" w:hAnsi="Arial" w:cs="Arial"/>
          <w:bCs/>
          <w:szCs w:val="24"/>
          <w:lang w:eastAsia="es-ES"/>
        </w:rPr>
        <w:t>es</w:t>
      </w:r>
      <w:r w:rsidRPr="00CB56B7">
        <w:rPr>
          <w:rFonts w:ascii="Arial" w:eastAsia="Arial Unicode MS" w:hAnsi="Arial" w:cs="Arial"/>
          <w:bCs/>
          <w:szCs w:val="24"/>
          <w:lang w:eastAsia="es-ES"/>
        </w:rPr>
        <w:t xml:space="preserve"> </w:t>
      </w:r>
      <w:r w:rsidR="00B64556" w:rsidRPr="00CB56B7">
        <w:rPr>
          <w:rFonts w:ascii="Arial" w:eastAsia="Arial Unicode MS" w:hAnsi="Arial" w:cs="Arial"/>
          <w:bCs/>
          <w:szCs w:val="24"/>
          <w:lang w:eastAsia="es-ES"/>
        </w:rPr>
        <w:t>realizó gestiones ante las Unidades Administrativas que consideró competentes, a fin de recabar la información solicitada por la ahora parte recurrente</w:t>
      </w:r>
      <w:r w:rsidRPr="00CB56B7">
        <w:rPr>
          <w:rFonts w:ascii="Arial" w:eastAsia="Arial Unicode MS" w:hAnsi="Arial" w:cs="Arial"/>
          <w:bCs/>
          <w:szCs w:val="24"/>
          <w:lang w:eastAsia="es-ES"/>
        </w:rPr>
        <w:t>.</w:t>
      </w:r>
    </w:p>
    <w:p w14:paraId="2F12ACB7" w14:textId="77B3D12F" w:rsidR="00066097" w:rsidRPr="00CB56B7" w:rsidRDefault="00066097" w:rsidP="00383FC6">
      <w:pPr>
        <w:pStyle w:val="Prrafodelista"/>
        <w:numPr>
          <w:ilvl w:val="0"/>
          <w:numId w:val="27"/>
        </w:numPr>
        <w:spacing w:after="0" w:line="240" w:lineRule="auto"/>
        <w:ind w:right="1183"/>
        <w:jc w:val="both"/>
        <w:rPr>
          <w:rFonts w:ascii="Arial" w:eastAsia="Arial Unicode MS" w:hAnsi="Arial" w:cs="Arial"/>
          <w:bCs/>
          <w:szCs w:val="24"/>
          <w:lang w:eastAsia="es-ES"/>
        </w:rPr>
      </w:pPr>
      <w:r w:rsidRPr="00CB56B7">
        <w:rPr>
          <w:rFonts w:ascii="Arial" w:eastAsia="Arial Unicode MS" w:hAnsi="Arial" w:cs="Arial"/>
          <w:bCs/>
          <w:szCs w:val="24"/>
          <w:lang w:eastAsia="es-ES"/>
        </w:rPr>
        <w:t>Oficio número</w:t>
      </w:r>
      <w:r w:rsidR="00B64556" w:rsidRPr="00CB56B7">
        <w:rPr>
          <w:rFonts w:ascii="Arial" w:eastAsia="Arial Unicode MS" w:hAnsi="Arial" w:cs="Arial"/>
          <w:bCs/>
          <w:szCs w:val="24"/>
          <w:lang w:eastAsia="es-ES"/>
        </w:rPr>
        <w:t xml:space="preserve"> OF.OIC.USRPER.273.26</w:t>
      </w:r>
      <w:r w:rsidRPr="00CB56B7">
        <w:rPr>
          <w:rFonts w:ascii="Arial" w:eastAsia="Arial Unicode MS" w:hAnsi="Arial" w:cs="Arial"/>
          <w:bCs/>
          <w:szCs w:val="24"/>
          <w:lang w:eastAsia="es-ES"/>
        </w:rPr>
        <w:t xml:space="preserve">, emitido el </w:t>
      </w:r>
      <w:r w:rsidR="00B64556" w:rsidRPr="00CB56B7">
        <w:rPr>
          <w:rFonts w:ascii="Arial" w:eastAsia="Arial Unicode MS" w:hAnsi="Arial" w:cs="Arial"/>
          <w:bCs/>
          <w:szCs w:val="24"/>
          <w:lang w:eastAsia="es-ES"/>
        </w:rPr>
        <w:t>treinta de junio</w:t>
      </w:r>
      <w:r w:rsidRPr="00CB56B7">
        <w:rPr>
          <w:rFonts w:ascii="Arial" w:eastAsia="Arial Unicode MS" w:hAnsi="Arial" w:cs="Arial"/>
          <w:bCs/>
          <w:szCs w:val="24"/>
          <w:lang w:eastAsia="es-ES"/>
        </w:rPr>
        <w:t xml:space="preserve"> de dos mil veintiséis, por </w:t>
      </w:r>
      <w:r w:rsidR="00B64556" w:rsidRPr="00CB56B7">
        <w:rPr>
          <w:rFonts w:ascii="Arial" w:eastAsia="Arial Unicode MS" w:hAnsi="Arial" w:cs="Arial"/>
          <w:bCs/>
          <w:szCs w:val="24"/>
          <w:lang w:eastAsia="es-ES"/>
        </w:rPr>
        <w:t>la Titular del Órgano Interno de Control del Sujeto Obligado</w:t>
      </w:r>
      <w:r w:rsidRPr="00CB56B7">
        <w:rPr>
          <w:rFonts w:ascii="Arial" w:eastAsia="Arial Unicode MS" w:hAnsi="Arial" w:cs="Arial"/>
          <w:bCs/>
          <w:szCs w:val="24"/>
          <w:lang w:eastAsia="es-ES"/>
        </w:rPr>
        <w:t>, por medio del cual atiende lo solicitado por la ahora parte recurrente.</w:t>
      </w:r>
    </w:p>
    <w:p w14:paraId="486CF701" w14:textId="1658AE55" w:rsidR="00B64556" w:rsidRPr="00CB56B7" w:rsidRDefault="00B64556" w:rsidP="00383FC6">
      <w:pPr>
        <w:pStyle w:val="Prrafodelista"/>
        <w:numPr>
          <w:ilvl w:val="0"/>
          <w:numId w:val="27"/>
        </w:numPr>
        <w:spacing w:after="0" w:line="240" w:lineRule="auto"/>
        <w:ind w:right="1183"/>
        <w:jc w:val="both"/>
        <w:rPr>
          <w:rFonts w:ascii="Arial" w:eastAsia="Arial Unicode MS" w:hAnsi="Arial" w:cs="Arial"/>
          <w:bCs/>
          <w:szCs w:val="24"/>
          <w:lang w:eastAsia="es-ES"/>
        </w:rPr>
      </w:pPr>
      <w:r w:rsidRPr="00CB56B7">
        <w:rPr>
          <w:rFonts w:ascii="Arial" w:eastAsia="Arial Unicode MS" w:hAnsi="Arial" w:cs="Arial"/>
          <w:bCs/>
          <w:szCs w:val="24"/>
          <w:lang w:eastAsia="es-ES"/>
        </w:rPr>
        <w:t>Oficio número 776/DRH/2026, emitido el seis de julio de dos mil veintiséis, por el Jefe de la División de Desarrollo Humano, por medio del cual atiende lo solicitado por la ahora parte recurrente.</w:t>
      </w:r>
    </w:p>
    <w:p w14:paraId="6324A3BB" w14:textId="516DF06B" w:rsidR="00B64556" w:rsidRPr="00CB56B7" w:rsidRDefault="00B64556" w:rsidP="00383FC6">
      <w:pPr>
        <w:pStyle w:val="Prrafodelista"/>
        <w:numPr>
          <w:ilvl w:val="0"/>
          <w:numId w:val="27"/>
        </w:numPr>
        <w:spacing w:after="0" w:line="240" w:lineRule="auto"/>
        <w:ind w:right="1183"/>
        <w:jc w:val="both"/>
        <w:rPr>
          <w:rFonts w:ascii="Arial" w:eastAsia="Arial Unicode MS" w:hAnsi="Arial" w:cs="Arial"/>
          <w:bCs/>
          <w:szCs w:val="24"/>
          <w:lang w:eastAsia="es-ES"/>
        </w:rPr>
      </w:pPr>
      <w:r w:rsidRPr="00CB56B7">
        <w:rPr>
          <w:rFonts w:ascii="Arial" w:eastAsia="Arial Unicode MS" w:hAnsi="Arial" w:cs="Arial"/>
          <w:bCs/>
          <w:szCs w:val="24"/>
          <w:lang w:eastAsia="es-ES"/>
        </w:rPr>
        <w:t>Impresión del correo electrónico enviado a la dirección de correo electrónico señalado por la ahora parte recurrente, a fin de recibir notificaciones, por medio del cual se le remite la digitalización de los archivos digitales siguientes:</w:t>
      </w:r>
    </w:p>
    <w:p w14:paraId="01AD1D47" w14:textId="77777777" w:rsidR="00B64556" w:rsidRPr="00CB56B7" w:rsidRDefault="00B64556" w:rsidP="00B64556">
      <w:pPr>
        <w:pStyle w:val="Prrafodelista"/>
        <w:spacing w:after="0" w:line="240" w:lineRule="auto"/>
        <w:ind w:right="1183"/>
        <w:jc w:val="both"/>
        <w:rPr>
          <w:rFonts w:ascii="Arial" w:eastAsia="Arial Unicode MS" w:hAnsi="Arial" w:cs="Arial"/>
          <w:bCs/>
          <w:szCs w:val="24"/>
          <w:lang w:eastAsia="es-ES"/>
        </w:rPr>
      </w:pPr>
    </w:p>
    <w:p w14:paraId="72AAF1CE" w14:textId="52B52563" w:rsidR="00B64556" w:rsidRPr="00CB56B7" w:rsidRDefault="00B64556" w:rsidP="00B64556">
      <w:pPr>
        <w:pStyle w:val="Prrafodelista"/>
        <w:numPr>
          <w:ilvl w:val="1"/>
          <w:numId w:val="27"/>
        </w:numPr>
        <w:spacing w:after="0" w:line="240" w:lineRule="auto"/>
        <w:ind w:right="1183"/>
        <w:jc w:val="both"/>
        <w:rPr>
          <w:rFonts w:ascii="Arial" w:eastAsia="Arial Unicode MS" w:hAnsi="Arial" w:cs="Arial"/>
          <w:bCs/>
          <w:szCs w:val="24"/>
          <w:lang w:eastAsia="es-ES"/>
        </w:rPr>
      </w:pPr>
      <w:r w:rsidRPr="00CB56B7">
        <w:rPr>
          <w:rFonts w:ascii="Arial" w:eastAsia="Arial Unicode MS" w:hAnsi="Arial" w:cs="Arial"/>
          <w:bCs/>
          <w:szCs w:val="24"/>
          <w:lang w:eastAsia="es-ES"/>
        </w:rPr>
        <w:t>“Acuerdo 125-2026.pdf”</w:t>
      </w:r>
    </w:p>
    <w:p w14:paraId="0A681C9D" w14:textId="2F36B1F9" w:rsidR="00B64556" w:rsidRPr="00CB56B7" w:rsidRDefault="00B64556" w:rsidP="00B64556">
      <w:pPr>
        <w:pStyle w:val="Prrafodelista"/>
        <w:numPr>
          <w:ilvl w:val="1"/>
          <w:numId w:val="27"/>
        </w:numPr>
        <w:spacing w:after="0" w:line="240" w:lineRule="auto"/>
        <w:ind w:right="1183"/>
        <w:jc w:val="both"/>
        <w:rPr>
          <w:rFonts w:ascii="Arial" w:eastAsia="Arial Unicode MS" w:hAnsi="Arial" w:cs="Arial"/>
          <w:bCs/>
          <w:szCs w:val="24"/>
          <w:lang w:eastAsia="es-ES"/>
        </w:rPr>
      </w:pPr>
      <w:r w:rsidRPr="00CB56B7">
        <w:rPr>
          <w:rFonts w:ascii="Arial" w:eastAsia="Arial Unicode MS" w:hAnsi="Arial" w:cs="Arial"/>
          <w:bCs/>
          <w:szCs w:val="24"/>
          <w:lang w:eastAsia="es-ES"/>
        </w:rPr>
        <w:t>Compatibilidad de empleos.pdf</w:t>
      </w:r>
    </w:p>
    <w:p w14:paraId="60566C94" w14:textId="2CF32785" w:rsidR="00B64556" w:rsidRPr="00CB56B7" w:rsidRDefault="00B64556" w:rsidP="00B64556">
      <w:pPr>
        <w:pStyle w:val="Prrafodelista"/>
        <w:numPr>
          <w:ilvl w:val="1"/>
          <w:numId w:val="27"/>
        </w:numPr>
        <w:spacing w:after="0" w:line="240" w:lineRule="auto"/>
        <w:ind w:right="1183"/>
        <w:jc w:val="both"/>
        <w:rPr>
          <w:rFonts w:ascii="Arial" w:eastAsia="Arial Unicode MS" w:hAnsi="Arial" w:cs="Arial"/>
          <w:bCs/>
          <w:szCs w:val="24"/>
          <w:lang w:eastAsia="es-ES"/>
        </w:rPr>
      </w:pPr>
      <w:r w:rsidRPr="00CB56B7">
        <w:rPr>
          <w:rFonts w:ascii="Arial" w:eastAsia="Arial Unicode MS" w:hAnsi="Arial" w:cs="Arial"/>
          <w:bCs/>
          <w:szCs w:val="24"/>
          <w:lang w:eastAsia="es-ES"/>
        </w:rPr>
        <w:t>Listado personal académico con más de 30 horas y técnicos académicos.pdf</w:t>
      </w:r>
    </w:p>
    <w:p w14:paraId="073FE586" w14:textId="3CA32140" w:rsidR="00B64556" w:rsidRPr="00CB56B7" w:rsidRDefault="00B64556" w:rsidP="00B64556">
      <w:pPr>
        <w:pStyle w:val="Prrafodelista"/>
        <w:numPr>
          <w:ilvl w:val="1"/>
          <w:numId w:val="27"/>
        </w:numPr>
        <w:spacing w:after="0" w:line="240" w:lineRule="auto"/>
        <w:ind w:right="1183"/>
        <w:jc w:val="both"/>
        <w:rPr>
          <w:rFonts w:ascii="Arial" w:eastAsia="Arial Unicode MS" w:hAnsi="Arial" w:cs="Arial"/>
          <w:bCs/>
          <w:szCs w:val="24"/>
          <w:lang w:eastAsia="es-ES"/>
        </w:rPr>
      </w:pPr>
      <w:r w:rsidRPr="00CB56B7">
        <w:rPr>
          <w:rFonts w:ascii="Arial" w:eastAsia="Arial Unicode MS" w:hAnsi="Arial" w:cs="Arial"/>
          <w:bCs/>
          <w:szCs w:val="24"/>
          <w:lang w:eastAsia="es-ES"/>
        </w:rPr>
        <w:t>OF. DH 776 UAMRA TRANSPARENCIA.pdf</w:t>
      </w:r>
    </w:p>
    <w:p w14:paraId="593F6F36" w14:textId="500F085F" w:rsidR="00B64556" w:rsidRPr="00CB56B7" w:rsidRDefault="00B64556" w:rsidP="00B64556">
      <w:pPr>
        <w:pStyle w:val="Prrafodelista"/>
        <w:numPr>
          <w:ilvl w:val="1"/>
          <w:numId w:val="27"/>
        </w:numPr>
        <w:spacing w:after="0" w:line="240" w:lineRule="auto"/>
        <w:ind w:right="1183"/>
        <w:jc w:val="both"/>
        <w:rPr>
          <w:rFonts w:ascii="Arial" w:eastAsia="Arial Unicode MS" w:hAnsi="Arial" w:cs="Arial"/>
          <w:bCs/>
          <w:szCs w:val="24"/>
          <w:lang w:eastAsia="es-ES"/>
        </w:rPr>
      </w:pPr>
      <w:r w:rsidRPr="00CB56B7">
        <w:rPr>
          <w:rFonts w:ascii="Arial" w:eastAsia="Arial Unicode MS" w:hAnsi="Arial" w:cs="Arial"/>
          <w:bCs/>
          <w:szCs w:val="24"/>
          <w:lang w:eastAsia="es-ES"/>
        </w:rPr>
        <w:t>OF.OIC.USRPER.273.26</w:t>
      </w:r>
    </w:p>
    <w:p w14:paraId="6BC0FF2C" w14:textId="0671A906" w:rsidR="00B64556" w:rsidRPr="00CB56B7" w:rsidRDefault="00B64556" w:rsidP="00B64556">
      <w:pPr>
        <w:pStyle w:val="Prrafodelista"/>
        <w:numPr>
          <w:ilvl w:val="1"/>
          <w:numId w:val="27"/>
        </w:numPr>
        <w:spacing w:after="0" w:line="240" w:lineRule="auto"/>
        <w:ind w:right="1183"/>
        <w:jc w:val="both"/>
        <w:rPr>
          <w:rFonts w:ascii="Arial" w:eastAsia="Arial Unicode MS" w:hAnsi="Arial" w:cs="Arial"/>
          <w:bCs/>
          <w:szCs w:val="24"/>
          <w:lang w:eastAsia="es-ES"/>
        </w:rPr>
      </w:pPr>
      <w:r w:rsidRPr="00CB56B7">
        <w:rPr>
          <w:rFonts w:ascii="Arial" w:eastAsia="Arial Unicode MS" w:hAnsi="Arial" w:cs="Arial"/>
          <w:bCs/>
          <w:szCs w:val="24"/>
          <w:lang w:eastAsia="es-ES"/>
        </w:rPr>
        <w:t>PLANTILLAS UAMRA.xlsx</w:t>
      </w:r>
    </w:p>
    <w:p w14:paraId="416FC4FE" w14:textId="77777777" w:rsidR="00066097" w:rsidRPr="00CB56B7" w:rsidRDefault="00066097" w:rsidP="00066097">
      <w:pPr>
        <w:spacing w:after="0" w:line="240" w:lineRule="auto"/>
        <w:ind w:left="1134" w:right="1183"/>
        <w:jc w:val="both"/>
        <w:rPr>
          <w:rFonts w:ascii="Arial" w:eastAsia="Arial Unicode MS" w:hAnsi="Arial" w:cs="Arial"/>
          <w:bCs/>
          <w:sz w:val="24"/>
          <w:szCs w:val="24"/>
          <w:lang w:eastAsia="es-ES"/>
        </w:rPr>
      </w:pPr>
    </w:p>
    <w:p w14:paraId="05959789"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56E30B28" w14:textId="30DED79D"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 xml:space="preserve">Así pues, para efecto de tener por acreditado el primer elemento, el sujeto obligado, con fecha </w:t>
      </w:r>
      <w:r w:rsidR="00B64556" w:rsidRPr="00CB56B7">
        <w:rPr>
          <w:rFonts w:ascii="Arial" w:eastAsia="Arial Unicode MS" w:hAnsi="Arial" w:cs="Arial"/>
          <w:bCs/>
          <w:sz w:val="24"/>
          <w:szCs w:val="24"/>
          <w:lang w:eastAsia="es-ES"/>
        </w:rPr>
        <w:t>diecinueve</w:t>
      </w:r>
      <w:r w:rsidRPr="00CB56B7">
        <w:rPr>
          <w:rFonts w:ascii="Arial" w:eastAsia="Arial Unicode MS" w:hAnsi="Arial" w:cs="Arial"/>
          <w:bCs/>
          <w:sz w:val="24"/>
          <w:szCs w:val="24"/>
          <w:lang w:eastAsia="es-ES"/>
        </w:rPr>
        <w:t xml:space="preserve"> de agosto de dos mil veintiséis, emitió respuesta en atención a la solicitud formulada por la ahora parte recurrente; y, </w:t>
      </w:r>
      <w:r w:rsidR="00BF0C40" w:rsidRPr="00CB56B7">
        <w:rPr>
          <w:rFonts w:ascii="Arial" w:eastAsia="Arial Unicode MS" w:hAnsi="Arial" w:cs="Arial"/>
          <w:bCs/>
          <w:sz w:val="24"/>
          <w:szCs w:val="24"/>
          <w:lang w:eastAsia="es-ES"/>
        </w:rPr>
        <w:t>a través de la comunicación electrónica realizada mediante correo electrónico, remitió a la ahora parte recurrente, la digitalización de las constancias descritas a supra líneas</w:t>
      </w:r>
      <w:r w:rsidRPr="00CB56B7">
        <w:rPr>
          <w:rFonts w:ascii="Arial" w:eastAsia="Arial Unicode MS" w:hAnsi="Arial" w:cs="Arial"/>
          <w:bCs/>
          <w:sz w:val="24"/>
          <w:szCs w:val="24"/>
          <w:lang w:eastAsia="es-ES"/>
        </w:rPr>
        <w:t>.</w:t>
      </w:r>
    </w:p>
    <w:p w14:paraId="5F2FD3B2" w14:textId="3A922B1C"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53CC84D2"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 xml:space="preserve">En cuanto al segundo elemento, es preciso advertir que, de manera efectiva, el acto novedoso emitido por el sujeto obligado, haya solventado en sus extremos las pretensiones de la parte recurrente, al momento de ocurrir al presente procedimiento de defensa. En ese sentido, la respuesta otorgada, debe atender en lo respectivo, a los agravios formulados por la parte recurrente, al </w:t>
      </w:r>
      <w:r w:rsidRPr="00CB56B7">
        <w:rPr>
          <w:rFonts w:ascii="Arial" w:eastAsia="Arial Unicode MS" w:hAnsi="Arial" w:cs="Arial"/>
          <w:bCs/>
          <w:sz w:val="24"/>
          <w:szCs w:val="24"/>
          <w:lang w:eastAsia="es-ES"/>
        </w:rPr>
        <w:lastRenderedPageBreak/>
        <w:t>momento de presentar su Recurso de Revisión, mismos que se insertan como sigue:</w:t>
      </w:r>
    </w:p>
    <w:p w14:paraId="68104E85"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25368733" w14:textId="77777777" w:rsidR="00BF0C40" w:rsidRPr="00CB56B7" w:rsidRDefault="00BF0C40" w:rsidP="00BF0C40">
      <w:pPr>
        <w:spacing w:after="0" w:line="240" w:lineRule="auto"/>
        <w:ind w:left="1134" w:right="1183"/>
        <w:jc w:val="both"/>
        <w:rPr>
          <w:rFonts w:ascii="Arial" w:eastAsia="Arial Unicode MS" w:hAnsi="Arial" w:cs="Arial"/>
          <w:iCs/>
          <w:lang w:eastAsia="es-ES"/>
        </w:rPr>
      </w:pPr>
      <w:r w:rsidRPr="00CB56B7">
        <w:rPr>
          <w:rFonts w:ascii="Arial" w:eastAsia="Arial Unicode MS" w:hAnsi="Arial" w:cs="Arial"/>
          <w:iCs/>
          <w:lang w:eastAsia="es-ES"/>
        </w:rPr>
        <w:t xml:space="preserve">Por medio del presente escrito, vengo a interponer formal Recurso de Revisión </w:t>
      </w:r>
      <w:r w:rsidRPr="00CB56B7">
        <w:rPr>
          <w:rFonts w:ascii="Arial" w:eastAsia="Arial Unicode MS" w:hAnsi="Arial" w:cs="Arial"/>
          <w:b/>
          <w:iCs/>
          <w:lang w:eastAsia="es-ES"/>
        </w:rPr>
        <w:t>por la omisión de emitir y notificar respuesta dentro del plazo legal</w:t>
      </w:r>
      <w:r w:rsidRPr="00CB56B7">
        <w:rPr>
          <w:rFonts w:ascii="Arial" w:eastAsia="Arial Unicode MS" w:hAnsi="Arial" w:cs="Arial"/>
          <w:iCs/>
          <w:lang w:eastAsia="es-ES"/>
        </w:rPr>
        <w:t xml:space="preserve"> respecto de la solicitud con folio 240477626000125. Los hechos, agravios y peticiones detallados que sustentan este recurso se encuentran íntegramente desarrollados en el documento PDF adjunto a esta promoción. Solicito que dicho sea tenido como parte integral de este recurso para todos los efectos legales conducentes.</w:t>
      </w:r>
    </w:p>
    <w:p w14:paraId="011D1452" w14:textId="37ED82B3" w:rsidR="00066097" w:rsidRPr="00CB56B7" w:rsidRDefault="00BF0C40" w:rsidP="00BF0C40">
      <w:pPr>
        <w:spacing w:after="0" w:line="360" w:lineRule="auto"/>
        <w:ind w:firstLine="709"/>
        <w:jc w:val="right"/>
        <w:rPr>
          <w:rFonts w:ascii="Arial" w:eastAsia="Arial Unicode MS" w:hAnsi="Arial" w:cs="Arial"/>
          <w:b/>
          <w:bCs/>
          <w:szCs w:val="24"/>
          <w:lang w:eastAsia="es-ES"/>
        </w:rPr>
      </w:pPr>
      <w:r w:rsidRPr="00CB56B7">
        <w:rPr>
          <w:rFonts w:ascii="Arial" w:eastAsia="Arial Unicode MS" w:hAnsi="Arial" w:cs="Arial"/>
          <w:b/>
          <w:bCs/>
          <w:szCs w:val="24"/>
          <w:lang w:eastAsia="es-ES"/>
        </w:rPr>
        <w:t xml:space="preserve"> </w:t>
      </w:r>
      <w:r w:rsidR="00066097" w:rsidRPr="00CB56B7">
        <w:rPr>
          <w:rFonts w:ascii="Arial" w:eastAsia="Arial Unicode MS" w:hAnsi="Arial" w:cs="Arial"/>
          <w:b/>
          <w:bCs/>
          <w:szCs w:val="24"/>
          <w:lang w:eastAsia="es-ES"/>
        </w:rPr>
        <w:t>[Énfasis añadido]</w:t>
      </w:r>
    </w:p>
    <w:p w14:paraId="53A14071"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55557DEE" w14:textId="74D893B6"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 xml:space="preserve">De lo visible a supra-líneas, la ahora parte recurrente, a través del escrito por el cual promovió su medio de defensa, realizó las manifestaciones en el sentido de inconformarse por </w:t>
      </w:r>
      <w:r w:rsidR="00BF0C40" w:rsidRPr="00CB56B7">
        <w:rPr>
          <w:rFonts w:ascii="Arial" w:eastAsia="Arial Unicode MS" w:hAnsi="Arial" w:cs="Arial"/>
          <w:bCs/>
          <w:sz w:val="24"/>
          <w:szCs w:val="24"/>
          <w:lang w:eastAsia="es-ES"/>
        </w:rPr>
        <w:t>la falta de respuesta por parte del sujeto obligado, a la solicitud de acceso a la información pública registrada con el número de folio 240477626000125</w:t>
      </w:r>
      <w:r w:rsidRPr="00CB56B7">
        <w:rPr>
          <w:rFonts w:ascii="Arial" w:eastAsia="Arial Unicode MS" w:hAnsi="Arial" w:cs="Arial"/>
          <w:bCs/>
          <w:sz w:val="24"/>
          <w:szCs w:val="24"/>
          <w:lang w:eastAsia="es-ES"/>
        </w:rPr>
        <w:t>.</w:t>
      </w:r>
    </w:p>
    <w:p w14:paraId="4BCCFBFC"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23766DD9" w14:textId="0BB802AC"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En atención a las manifestaciones vertidas por la ahora parte recurrente, el sujeto obligado, remitió a esta Unidad de Ponencia, como anexo a su oficio remitido en vía de informe</w:t>
      </w:r>
      <w:r w:rsidR="00BF0C40" w:rsidRPr="00CB56B7">
        <w:rPr>
          <w:rFonts w:ascii="Arial" w:eastAsia="Arial Unicode MS" w:hAnsi="Arial" w:cs="Arial"/>
          <w:bCs/>
          <w:sz w:val="24"/>
          <w:szCs w:val="24"/>
          <w:lang w:eastAsia="es-ES"/>
        </w:rPr>
        <w:t>, la copia simple del acuerdo por el cual ordenó la notificación de la respuesta emitida en atención a la solicitud formulada por la ahora parte recurrente, así como la impresión de la comunicación electrónica por la cual se aprecia la entrega de dichas documentales, a la ahora parte recurrente</w:t>
      </w:r>
      <w:r w:rsidRPr="00CB56B7">
        <w:rPr>
          <w:rFonts w:ascii="Arial" w:eastAsia="Arial Unicode MS" w:hAnsi="Arial" w:cs="Arial"/>
          <w:bCs/>
          <w:sz w:val="24"/>
          <w:szCs w:val="24"/>
          <w:lang w:eastAsia="es-ES"/>
        </w:rPr>
        <w:t>.</w:t>
      </w:r>
    </w:p>
    <w:p w14:paraId="1160E9E3"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4DF96AF4"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 xml:space="preserve">Por lo anterior, resulta preciso esclarecer que, de conformidad con la doctrina, los actos administrativos, son aquellos por los cuales las autoridades administrativas ejercen o manifiestan su voluntad unilateral, realizada en ejercicio de la función administrativa; y, por los cuales se ejercen efectos jurídicos concretos. </w:t>
      </w:r>
    </w:p>
    <w:p w14:paraId="7488E309"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427ACCA7"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Entonces, se hace menester observar que, como lo señala Arturo Pérez Dayán, Ministro de la Suprema Corte de Justicia de la Nación, en su Libro Teoría General del Acto Administrativo, los actos administrativos se pueden clasificar conforme a la manera en que se constituyen; esto es: 1) Expresos; 2) Tácitos; o, 3) Presuntos ; definiendo a los primeros como la voluntad escrita de la autoridad.</w:t>
      </w:r>
    </w:p>
    <w:p w14:paraId="7C09EA39"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236B7875"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lastRenderedPageBreak/>
        <w:t>Por su parte, los actos administrativos tácitos son aquellos que no conllevan una declaración expresa, sin embargo, se identifican a través de la conducta administrativa, haciendo evidente la voluntad administrativa de la autoridad de que se trate.</w:t>
      </w:r>
    </w:p>
    <w:p w14:paraId="6CF8DBC5"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22140868"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Ahora, los actos administrativos son “presuntos”, cuando no existe una declaración expresa o un comportamiento que resulte en la manifestación de la voluntad de la autoridad, sino que se está ante un silencio administrativo, tanto en escrito como en los hechos.</w:t>
      </w:r>
    </w:p>
    <w:p w14:paraId="759350B9"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2F8CCC55"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 xml:space="preserve">Así, al tratar con la omisión de la autoridad administrativa, para resolver o pronunciarse respecto de una circunstancia determinada, respecto de la cual deba de pronunciarse dentro de un plazo específico, se está ante un acto administrativo “presunto”, por lo cual se genera la necesidad de acreditar el sentido negativo o positivo de dicho silencio. </w:t>
      </w:r>
    </w:p>
    <w:p w14:paraId="4787ADEC"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3B2816CB" w14:textId="6EF20B5B" w:rsidR="00066097" w:rsidRPr="00CB56B7" w:rsidRDefault="00066097" w:rsidP="00813DD2">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 xml:space="preserve">Atento a lo anterior, la entrega de la digitalización de la documentación anexa al oficio sin número emitido el </w:t>
      </w:r>
      <w:r w:rsidR="00813DD2" w:rsidRPr="00CB56B7">
        <w:rPr>
          <w:rFonts w:ascii="Arial" w:eastAsia="Arial Unicode MS" w:hAnsi="Arial" w:cs="Arial"/>
          <w:bCs/>
          <w:sz w:val="24"/>
          <w:szCs w:val="24"/>
          <w:lang w:eastAsia="es-ES"/>
        </w:rPr>
        <w:t>diecinueve</w:t>
      </w:r>
      <w:r w:rsidRPr="00CB56B7">
        <w:rPr>
          <w:rFonts w:ascii="Arial" w:eastAsia="Arial Unicode MS" w:hAnsi="Arial" w:cs="Arial"/>
          <w:bCs/>
          <w:sz w:val="24"/>
          <w:szCs w:val="24"/>
          <w:lang w:eastAsia="es-ES"/>
        </w:rPr>
        <w:t xml:space="preserve"> de agosto de dos mil veintiséis, por el Titular de la unidad de Transparencia de</w:t>
      </w:r>
      <w:r w:rsidR="00813DD2" w:rsidRPr="00CB56B7">
        <w:rPr>
          <w:rFonts w:ascii="Arial" w:eastAsia="Arial Unicode MS" w:hAnsi="Arial" w:cs="Arial"/>
          <w:bCs/>
          <w:sz w:val="24"/>
          <w:szCs w:val="24"/>
          <w:lang w:eastAsia="es-ES"/>
        </w:rPr>
        <w:t xml:space="preserve"> </w:t>
      </w:r>
      <w:r w:rsidRPr="00CB56B7">
        <w:rPr>
          <w:rFonts w:ascii="Arial" w:eastAsia="Arial Unicode MS" w:hAnsi="Arial" w:cs="Arial"/>
          <w:bCs/>
          <w:sz w:val="24"/>
          <w:szCs w:val="24"/>
          <w:lang w:eastAsia="es-ES"/>
        </w:rPr>
        <w:t>l</w:t>
      </w:r>
      <w:r w:rsidR="00813DD2" w:rsidRPr="00CB56B7">
        <w:rPr>
          <w:rFonts w:ascii="Arial" w:eastAsia="Arial Unicode MS" w:hAnsi="Arial" w:cs="Arial"/>
          <w:bCs/>
          <w:sz w:val="24"/>
          <w:szCs w:val="24"/>
          <w:lang w:eastAsia="es-ES"/>
        </w:rPr>
        <w:t>a</w:t>
      </w:r>
      <w:r w:rsidRPr="00CB56B7">
        <w:rPr>
          <w:rFonts w:ascii="Arial" w:eastAsia="Arial Unicode MS" w:hAnsi="Arial" w:cs="Arial"/>
          <w:bCs/>
          <w:sz w:val="24"/>
          <w:szCs w:val="24"/>
          <w:lang w:eastAsia="es-ES"/>
        </w:rPr>
        <w:t xml:space="preserve"> </w:t>
      </w:r>
      <w:r w:rsidR="00813DD2" w:rsidRPr="00CB56B7">
        <w:rPr>
          <w:rFonts w:ascii="Arial" w:eastAsia="Arial Unicode MS" w:hAnsi="Arial" w:cs="Arial"/>
          <w:bCs/>
          <w:sz w:val="24"/>
          <w:szCs w:val="24"/>
          <w:lang w:eastAsia="es-ES"/>
        </w:rPr>
        <w:t>Universidad Autónoma de San Luis Potosí</w:t>
      </w:r>
      <w:r w:rsidRPr="00CB56B7">
        <w:rPr>
          <w:rFonts w:ascii="Arial" w:eastAsia="Arial Unicode MS" w:hAnsi="Arial" w:cs="Arial"/>
          <w:bCs/>
          <w:sz w:val="24"/>
          <w:szCs w:val="24"/>
          <w:lang w:eastAsia="es-ES"/>
        </w:rPr>
        <w:t xml:space="preserve">, consistente </w:t>
      </w:r>
      <w:r w:rsidR="00813DD2" w:rsidRPr="00CB56B7">
        <w:rPr>
          <w:rFonts w:ascii="Arial" w:eastAsia="Arial Unicode MS" w:hAnsi="Arial" w:cs="Arial"/>
          <w:bCs/>
          <w:sz w:val="24"/>
          <w:szCs w:val="24"/>
          <w:lang w:eastAsia="es-ES"/>
        </w:rPr>
        <w:t>en: 1. Oficio número OF.OIC.USRPER.273.26, emitido el treinta de junio de dos mil veintiséis, por la Titular del Órgano Interno de Control del Sujeto Obligado, por medio del cual atiende lo solicitado por la ahora parte recurrente; y, 2. Oficio número 776/DRH/2026, emitido el seis de julio de dos mil veintiséis, por el Jefe de la División de Desarrollo Humano, por medio del cual atiende lo solicitado por la ahora parte recurrente; así como sus documentos anexos</w:t>
      </w:r>
      <w:r w:rsidRPr="00CB56B7">
        <w:rPr>
          <w:rFonts w:ascii="Arial" w:eastAsia="Arial Unicode MS" w:hAnsi="Arial" w:cs="Arial"/>
          <w:bCs/>
          <w:sz w:val="24"/>
          <w:szCs w:val="24"/>
          <w:lang w:eastAsia="es-ES"/>
        </w:rPr>
        <w:t>.</w:t>
      </w:r>
    </w:p>
    <w:p w14:paraId="0BFF3E58"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5A076C37" w14:textId="213FB71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Se dice lo anterior toda vez que, la inconformidad planteada por la ahora parte recurrente versa únicamente respecto de la vulneración al derecho de acceso a la información pública, al omitirse la emisión de respuesta alguna, en atención a la solicitud planteada por el particular, dentro de los plazos contemplados en la Ley de la Materia; circunstancia que se solventó al momento de que el sujeto obligado realizó la publicación de la respuesta, a través de la Plataforma Nacional de Transparencia.</w:t>
      </w:r>
    </w:p>
    <w:p w14:paraId="69CF674C" w14:textId="6CF72C59"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5A66C878" w14:textId="77777777" w:rsidR="00BF0C40" w:rsidRPr="00CB56B7" w:rsidRDefault="00BF0C40" w:rsidP="00BF0C40">
      <w:pPr>
        <w:spacing w:after="0" w:line="360" w:lineRule="auto"/>
        <w:ind w:firstLine="709"/>
        <w:jc w:val="both"/>
        <w:rPr>
          <w:rFonts w:ascii="Arial" w:hAnsi="Arial" w:cs="Arial"/>
          <w:sz w:val="24"/>
        </w:rPr>
      </w:pPr>
      <w:r w:rsidRPr="00CB56B7">
        <w:rPr>
          <w:rFonts w:ascii="Arial" w:hAnsi="Arial" w:cs="Arial"/>
          <w:sz w:val="24"/>
        </w:rPr>
        <w:lastRenderedPageBreak/>
        <w:t xml:space="preserve">Al respecto, es necesario precisar que la notificación que presentó la autoridad es de naturaleza electrónica, misma que debe ser entendida como el acto mediante el cual se da a conocer al interesado a través de un medio remoto una decisión administrativa, y por ello debe contar con un documento que de manera fehaciente demuestre la notificación al destinario, ya que de otro modo se violentaría en perjuicio del solicitante la garantía de seguridad jurídica que le asiste. </w:t>
      </w:r>
    </w:p>
    <w:p w14:paraId="34258C32" w14:textId="77777777" w:rsidR="00BF0C40" w:rsidRPr="00CB56B7" w:rsidRDefault="00BF0C40" w:rsidP="00BF0C40">
      <w:pPr>
        <w:spacing w:after="0" w:line="240" w:lineRule="auto"/>
        <w:ind w:firstLine="709"/>
        <w:jc w:val="both"/>
        <w:rPr>
          <w:rFonts w:ascii="Arial" w:hAnsi="Arial" w:cs="Arial"/>
        </w:rPr>
      </w:pPr>
    </w:p>
    <w:p w14:paraId="1F802385" w14:textId="77777777" w:rsidR="00BF0C40" w:rsidRPr="00CB56B7" w:rsidRDefault="00BF0C40" w:rsidP="00BF0C40">
      <w:pPr>
        <w:spacing w:after="0" w:line="360" w:lineRule="auto"/>
        <w:ind w:firstLine="708"/>
        <w:jc w:val="both"/>
        <w:rPr>
          <w:rFonts w:ascii="Arial" w:hAnsi="Arial" w:cs="Arial"/>
          <w:sz w:val="24"/>
        </w:rPr>
      </w:pPr>
      <w:r w:rsidRPr="00CB56B7">
        <w:rPr>
          <w:rFonts w:ascii="Arial" w:hAnsi="Arial" w:cs="Arial"/>
          <w:sz w:val="24"/>
        </w:rPr>
        <w:t>En ese sentido, el Tribunal Colegiado en Materias de Trabajo y Administrativa del Décimo Tercer Circuito, emitió un criterio relacionado con la cuestión que nos ocupa, mismo que se identifica con el número XIII.T.A.3 A (10a.), y que establece:</w:t>
      </w:r>
    </w:p>
    <w:p w14:paraId="11DF787D" w14:textId="77777777" w:rsidR="00BF0C40" w:rsidRPr="00CB56B7" w:rsidRDefault="00BF0C40" w:rsidP="00BF0C40">
      <w:pPr>
        <w:spacing w:after="0" w:line="240" w:lineRule="auto"/>
        <w:ind w:firstLine="708"/>
        <w:jc w:val="both"/>
        <w:rPr>
          <w:rFonts w:ascii="Arial" w:hAnsi="Arial" w:cs="Arial"/>
        </w:rPr>
      </w:pPr>
    </w:p>
    <w:p w14:paraId="451E1EB7" w14:textId="77777777" w:rsidR="00BF0C40" w:rsidRPr="00CB56B7" w:rsidRDefault="00BF0C40" w:rsidP="00BF0C40">
      <w:pPr>
        <w:spacing w:after="0" w:line="240" w:lineRule="auto"/>
        <w:ind w:left="1134" w:right="1072"/>
        <w:jc w:val="both"/>
        <w:rPr>
          <w:rFonts w:ascii="Arial" w:hAnsi="Arial" w:cs="Arial"/>
        </w:rPr>
      </w:pPr>
      <w:r w:rsidRPr="00CB56B7">
        <w:rPr>
          <w:rFonts w:ascii="Arial" w:hAnsi="Arial" w:cs="Arial"/>
          <w:b/>
          <w:bCs/>
        </w:rPr>
        <w:t xml:space="preserve">“NOTIFICACIÓN ELECTRÓNICA. AL PRACTICARLA, LA AUTORIDAD DEBE ANEXAR EN AUTOS DEL EXPEDIENTE ADMINISTRATIVO O JUDICIAL DEL QUE DERIVE, LA CONSTANCIA FEHACIENTE DE RECEPCIÓN POR SU DESTINATARIO. </w:t>
      </w:r>
      <w:r w:rsidRPr="00CB56B7">
        <w:rPr>
          <w:rFonts w:ascii="Arial" w:hAnsi="Arial" w:cs="Arial"/>
        </w:rPr>
        <w:t>La </w:t>
      </w:r>
      <w:r w:rsidRPr="00CB56B7">
        <w:rPr>
          <w:rFonts w:ascii="Arial" w:hAnsi="Arial" w:cs="Arial"/>
          <w:bCs/>
        </w:rPr>
        <w:t>notificación</w:t>
      </w:r>
      <w:r w:rsidRPr="00CB56B7">
        <w:rPr>
          <w:rFonts w:ascii="Arial" w:hAnsi="Arial" w:cs="Arial"/>
        </w:rPr>
        <w:t> </w:t>
      </w:r>
      <w:r w:rsidRPr="00CB56B7">
        <w:rPr>
          <w:rFonts w:ascii="Arial" w:hAnsi="Arial" w:cs="Arial"/>
          <w:bCs/>
        </w:rPr>
        <w:t>electrónica</w:t>
      </w:r>
      <w:r w:rsidRPr="00CB56B7">
        <w:rPr>
          <w:rFonts w:ascii="Arial" w:hAnsi="Arial" w:cs="Arial"/>
        </w:rPr>
        <w:t> es el acto mediante el cual, con las formalidades legales preestablecidas, se da a conocer a los interesados a través de medios electrónicos y telemáticos, tales como una página web o correo electrónico, un acuerdo administrativo o resolución judicial, por lo que, al practicarla, la autoridad debe anexar en autos del expediente administrativo o judicial del que derive, la constancia fehaciente de recepción por su destinatario, sin que baste la razón actuarial de que se realizó de esa manera, pues la omisión de esa constancia constituye una violación que transgrede las leyes del procedimiento y afecta las defensas del quejoso, la cual actualiza el supuesto previsto en la </w:t>
      </w:r>
      <w:hyperlink r:id="rId8" w:history="1">
        <w:r w:rsidRPr="00CB56B7">
          <w:rPr>
            <w:rStyle w:val="Hipervnculo"/>
            <w:rFonts w:ascii="Arial" w:hAnsi="Arial" w:cs="Arial"/>
            <w:color w:val="auto"/>
          </w:rPr>
          <w:t>fracción I del artículo 172 de la Ley de Amparo</w:t>
        </w:r>
      </w:hyperlink>
      <w:r w:rsidRPr="00CB56B7">
        <w:rPr>
          <w:rFonts w:ascii="Arial" w:hAnsi="Arial" w:cs="Arial"/>
        </w:rPr>
        <w:t>, vigente a partir del 3 de abril de 2013”.</w:t>
      </w:r>
    </w:p>
    <w:p w14:paraId="2F8D1B03" w14:textId="77777777" w:rsidR="00BF0C40" w:rsidRPr="00CB56B7" w:rsidRDefault="00BF0C40" w:rsidP="00BF0C40">
      <w:pPr>
        <w:spacing w:after="0" w:line="240" w:lineRule="auto"/>
        <w:ind w:left="1134" w:right="1072"/>
        <w:jc w:val="both"/>
        <w:rPr>
          <w:rFonts w:ascii="Arial" w:hAnsi="Arial" w:cs="Arial"/>
        </w:rPr>
      </w:pPr>
    </w:p>
    <w:p w14:paraId="53521556" w14:textId="4DBDCBD6" w:rsidR="00BF0C40" w:rsidRPr="00CB56B7" w:rsidRDefault="00BF0C40" w:rsidP="00BF0C40">
      <w:pPr>
        <w:spacing w:after="0" w:line="360" w:lineRule="auto"/>
        <w:ind w:firstLine="708"/>
        <w:jc w:val="both"/>
        <w:rPr>
          <w:rFonts w:ascii="Arial" w:hAnsi="Arial" w:cs="Arial"/>
          <w:sz w:val="24"/>
        </w:rPr>
      </w:pPr>
      <w:r w:rsidRPr="00CB56B7">
        <w:rPr>
          <w:rFonts w:ascii="Arial" w:hAnsi="Arial" w:cs="Arial"/>
          <w:sz w:val="24"/>
        </w:rPr>
        <w:t>En razón de la tesis invocada y del análisis de las constancias que nos ocupan, se puede verificar a foja</w:t>
      </w:r>
      <w:r w:rsidR="00813DD2" w:rsidRPr="00CB56B7">
        <w:rPr>
          <w:rFonts w:ascii="Arial" w:hAnsi="Arial" w:cs="Arial"/>
          <w:sz w:val="24"/>
        </w:rPr>
        <w:t>s</w:t>
      </w:r>
      <w:r w:rsidRPr="00CB56B7">
        <w:rPr>
          <w:rFonts w:ascii="Arial" w:hAnsi="Arial" w:cs="Arial"/>
          <w:sz w:val="24"/>
        </w:rPr>
        <w:t xml:space="preserve"> </w:t>
      </w:r>
      <w:r w:rsidR="00813DD2" w:rsidRPr="00CB56B7">
        <w:rPr>
          <w:rFonts w:ascii="Arial" w:hAnsi="Arial" w:cs="Arial"/>
          <w:sz w:val="24"/>
        </w:rPr>
        <w:t>veintinueve y treinta</w:t>
      </w:r>
      <w:r w:rsidRPr="00CB56B7">
        <w:rPr>
          <w:rFonts w:ascii="Arial" w:hAnsi="Arial" w:cs="Arial"/>
          <w:sz w:val="24"/>
        </w:rPr>
        <w:t>, que el Sujeto Obligado notificó la información generada al particular, a través del correo electrónico que designó para tal efecto.</w:t>
      </w:r>
    </w:p>
    <w:p w14:paraId="3AB55ABD" w14:textId="77777777" w:rsidR="00BF0C40" w:rsidRPr="00CB56B7" w:rsidRDefault="00BF0C40" w:rsidP="00066097">
      <w:pPr>
        <w:spacing w:after="0" w:line="360" w:lineRule="auto"/>
        <w:ind w:firstLine="709"/>
        <w:jc w:val="both"/>
        <w:rPr>
          <w:rFonts w:ascii="Arial" w:eastAsia="Arial Unicode MS" w:hAnsi="Arial" w:cs="Arial"/>
          <w:bCs/>
          <w:sz w:val="24"/>
          <w:szCs w:val="24"/>
          <w:lang w:eastAsia="es-ES"/>
        </w:rPr>
      </w:pPr>
    </w:p>
    <w:p w14:paraId="54BACF56"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 xml:space="preserve">Por lo anterior, es de hacer visible que, el sujeto obligado acreditó la revocación del acto administrativo que dio origen a los motivos de inconformidad, hasta dejar sin efectos el presente asunto. </w:t>
      </w:r>
    </w:p>
    <w:p w14:paraId="1DB0F255"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284D636C"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 xml:space="preserve">En razón de lo anterior; y, del análisis de las constancias que acompañó el sujeto obligado, con fundamento en lo dispuesto por los artículos 175 fracción </w:t>
      </w:r>
      <w:r w:rsidRPr="00CB56B7">
        <w:rPr>
          <w:rFonts w:ascii="Arial" w:eastAsia="Arial Unicode MS" w:hAnsi="Arial" w:cs="Arial"/>
          <w:bCs/>
          <w:sz w:val="24"/>
          <w:szCs w:val="24"/>
          <w:lang w:eastAsia="es-ES"/>
        </w:rPr>
        <w:lastRenderedPageBreak/>
        <w:t xml:space="preserve">I y 180 fracción III de la Ley de Transparencia y Acceso a la Información Pública del Estado, </w:t>
      </w:r>
      <w:r w:rsidRPr="00CB56B7">
        <w:rPr>
          <w:rFonts w:ascii="Arial" w:eastAsia="Arial Unicode MS" w:hAnsi="Arial" w:cs="Arial"/>
          <w:b/>
          <w:bCs/>
          <w:sz w:val="24"/>
          <w:szCs w:val="24"/>
          <w:lang w:eastAsia="es-ES"/>
        </w:rPr>
        <w:t>SE</w:t>
      </w:r>
      <w:r w:rsidRPr="00CB56B7">
        <w:rPr>
          <w:rFonts w:ascii="Arial" w:eastAsia="Arial Unicode MS" w:hAnsi="Arial" w:cs="Arial"/>
          <w:bCs/>
          <w:sz w:val="24"/>
          <w:szCs w:val="24"/>
          <w:lang w:eastAsia="es-ES"/>
        </w:rPr>
        <w:t xml:space="preserve"> </w:t>
      </w:r>
      <w:r w:rsidRPr="00CB56B7">
        <w:rPr>
          <w:rFonts w:ascii="Arial" w:eastAsia="Arial Unicode MS" w:hAnsi="Arial" w:cs="Arial"/>
          <w:b/>
          <w:bCs/>
          <w:sz w:val="24"/>
          <w:szCs w:val="24"/>
          <w:lang w:eastAsia="es-ES"/>
        </w:rPr>
        <w:t>SOBRESEE</w:t>
      </w:r>
      <w:r w:rsidRPr="00CB56B7">
        <w:rPr>
          <w:rFonts w:ascii="Arial" w:eastAsia="Arial Unicode MS" w:hAnsi="Arial" w:cs="Arial"/>
          <w:bCs/>
          <w:sz w:val="24"/>
          <w:szCs w:val="24"/>
          <w:lang w:eastAsia="es-ES"/>
        </w:rPr>
        <w:t xml:space="preserve"> el presente Recurso de Revisión, en virtud de que la presente causa ha quedado sin materia, por las razones antes expuestas.</w:t>
      </w:r>
    </w:p>
    <w:p w14:paraId="3BEBF715"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6672BA17"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Ahora bien, de conformidad con lo dispuesto en la parte final del artículo 167, de la Ley de Transparencia y Acceso a la Información Pública, en caso de inconformarse con la respuesta otorgada por el sujeto obligado, la ahora parte recurrente, podrá presentar un recurso de revisión novedoso en contra de dicha respuesta, conforme a las directrices establecidas en el Capítulo I, del Título Séptimo de la Ley de Transparencia y Acceso a la Información Pública.</w:t>
      </w:r>
    </w:p>
    <w:p w14:paraId="5A59FFE9" w14:textId="77777777" w:rsidR="00066097" w:rsidRPr="00CB56B7" w:rsidRDefault="00066097" w:rsidP="00066097">
      <w:pPr>
        <w:spacing w:after="0" w:line="360" w:lineRule="auto"/>
        <w:ind w:firstLine="709"/>
        <w:jc w:val="both"/>
        <w:rPr>
          <w:rFonts w:ascii="Arial" w:eastAsia="Arial Unicode MS" w:hAnsi="Arial" w:cs="Arial"/>
          <w:bCs/>
          <w:sz w:val="24"/>
          <w:szCs w:val="24"/>
          <w:lang w:eastAsia="es-ES"/>
        </w:rPr>
      </w:pPr>
    </w:p>
    <w:p w14:paraId="7F074E71" w14:textId="07CDB81E" w:rsidR="00B828A5" w:rsidRPr="00CB56B7" w:rsidRDefault="00B828A5" w:rsidP="00066097">
      <w:pPr>
        <w:spacing w:after="0" w:line="360" w:lineRule="auto"/>
        <w:ind w:firstLine="709"/>
        <w:jc w:val="both"/>
        <w:rPr>
          <w:rFonts w:ascii="Arial" w:eastAsia="Arial Unicode MS" w:hAnsi="Arial" w:cs="Arial"/>
          <w:bCs/>
          <w:sz w:val="24"/>
          <w:szCs w:val="24"/>
          <w:lang w:eastAsia="es-ES"/>
        </w:rPr>
      </w:pPr>
      <w:r w:rsidRPr="00CB56B7">
        <w:rPr>
          <w:rFonts w:ascii="Arial" w:eastAsia="Arial Unicode MS" w:hAnsi="Arial" w:cs="Arial"/>
          <w:bCs/>
          <w:sz w:val="24"/>
          <w:szCs w:val="24"/>
          <w:lang w:eastAsia="es-ES"/>
        </w:rPr>
        <w:t xml:space="preserve">No obstante lo anterior, de conformidad con lo dispuesto en el último párrafo del artículo 167 de la Ley de Transparencia y Acceso a la Información Pública del Estado de San Luis Potosí, </w:t>
      </w:r>
      <w:r w:rsidRPr="00CB56B7">
        <w:rPr>
          <w:rFonts w:ascii="Arial" w:eastAsia="Arial Unicode MS" w:hAnsi="Arial" w:cs="Arial"/>
          <w:b/>
          <w:bCs/>
          <w:sz w:val="24"/>
          <w:szCs w:val="24"/>
          <w:lang w:eastAsia="es-ES"/>
        </w:rPr>
        <w:t xml:space="preserve">se dejan a salvo los derechos </w:t>
      </w:r>
      <w:r w:rsidRPr="00CB56B7">
        <w:rPr>
          <w:rFonts w:ascii="Arial" w:eastAsia="Arial Unicode MS" w:hAnsi="Arial" w:cs="Arial"/>
          <w:bCs/>
          <w:sz w:val="24"/>
          <w:szCs w:val="24"/>
          <w:lang w:eastAsia="es-ES"/>
        </w:rPr>
        <w:t xml:space="preserve">de la ahora parte recurrente, para que, de considerarlo preciso </w:t>
      </w:r>
      <w:r w:rsidRPr="00CB56B7">
        <w:rPr>
          <w:rFonts w:ascii="Arial" w:eastAsia="Arial Unicode MS" w:hAnsi="Arial" w:cs="Arial"/>
          <w:bCs/>
          <w:sz w:val="24"/>
          <w:szCs w:val="24"/>
          <w:u w:val="single"/>
          <w:lang w:eastAsia="es-ES"/>
        </w:rPr>
        <w:t>presente nuevamente su recurso de revisión en contra de la nueva respuesta otorgada por el sujeto obligado</w:t>
      </w:r>
      <w:r w:rsidRPr="00CB56B7">
        <w:rPr>
          <w:rFonts w:ascii="Arial" w:eastAsia="Arial Unicode MS" w:hAnsi="Arial" w:cs="Arial"/>
          <w:bCs/>
          <w:sz w:val="24"/>
          <w:szCs w:val="24"/>
          <w:lang w:eastAsia="es-ES"/>
        </w:rPr>
        <w:t>; ello, dentro de los primeros quince días siguientes a la notificación de la presente resolución, conforme a lo dispuesto en el Capítulo I, del Título Séptimo de la Ley Local de la Materia.</w:t>
      </w:r>
    </w:p>
    <w:p w14:paraId="43A49FE5" w14:textId="474D27E3" w:rsidR="003A5715" w:rsidRPr="00CB56B7" w:rsidRDefault="003A5715" w:rsidP="00066097">
      <w:pPr>
        <w:spacing w:after="0" w:line="360" w:lineRule="auto"/>
        <w:ind w:firstLine="709"/>
        <w:jc w:val="both"/>
        <w:rPr>
          <w:rFonts w:ascii="Arial" w:eastAsia="Arial Unicode MS" w:hAnsi="Arial" w:cs="Arial"/>
          <w:bCs/>
          <w:sz w:val="24"/>
          <w:szCs w:val="24"/>
          <w:lang w:eastAsia="es-ES"/>
        </w:rPr>
      </w:pPr>
    </w:p>
    <w:p w14:paraId="33F1D98E" w14:textId="5EFFA49C" w:rsidR="00066097" w:rsidRPr="00CB56B7" w:rsidRDefault="00C8192E" w:rsidP="00066097">
      <w:pPr>
        <w:autoSpaceDE w:val="0"/>
        <w:autoSpaceDN w:val="0"/>
        <w:adjustRightInd w:val="0"/>
        <w:spacing w:after="0" w:line="360" w:lineRule="auto"/>
        <w:ind w:firstLine="708"/>
        <w:jc w:val="both"/>
        <w:rPr>
          <w:rFonts w:ascii="Arial" w:hAnsi="Arial" w:cs="Arial"/>
          <w:sz w:val="24"/>
          <w:szCs w:val="24"/>
        </w:rPr>
      </w:pPr>
      <w:r w:rsidRPr="00CB56B7">
        <w:rPr>
          <w:rFonts w:ascii="Arial" w:hAnsi="Arial" w:cs="Arial"/>
          <w:b/>
          <w:sz w:val="24"/>
          <w:szCs w:val="24"/>
        </w:rPr>
        <w:t xml:space="preserve">CUARTO. </w:t>
      </w:r>
      <w:r w:rsidR="00066097" w:rsidRPr="00CB56B7">
        <w:rPr>
          <w:rFonts w:ascii="Arial" w:hAnsi="Arial" w:cs="Arial"/>
          <w:b/>
          <w:sz w:val="24"/>
          <w:szCs w:val="24"/>
        </w:rPr>
        <w:t>Precisiones de esta resolución.</w:t>
      </w:r>
      <w:r w:rsidR="00066097" w:rsidRPr="00CB56B7">
        <w:rPr>
          <w:rFonts w:ascii="Arial" w:hAnsi="Arial" w:cs="Arial"/>
          <w:sz w:val="24"/>
          <w:szCs w:val="24"/>
        </w:rPr>
        <w:t xml:space="preserve"> Por lo anteriormente expuesto, esta Comisión, con fundamento en lo dispuesto por el artículo 175 fracción I, de la Ley de Transparencia y Acceso a la Información Pública del Estado, se </w:t>
      </w:r>
      <w:r w:rsidR="00066097" w:rsidRPr="00CB56B7">
        <w:rPr>
          <w:rFonts w:ascii="Arial" w:hAnsi="Arial" w:cs="Arial"/>
          <w:b/>
          <w:bCs/>
          <w:sz w:val="24"/>
          <w:szCs w:val="24"/>
        </w:rPr>
        <w:t>SOBRESEE</w:t>
      </w:r>
      <w:r w:rsidR="00066097" w:rsidRPr="00CB56B7">
        <w:rPr>
          <w:rFonts w:ascii="Arial" w:hAnsi="Arial" w:cs="Arial"/>
          <w:b/>
          <w:sz w:val="24"/>
          <w:szCs w:val="24"/>
        </w:rPr>
        <w:t xml:space="preserve"> </w:t>
      </w:r>
      <w:r w:rsidR="00066097" w:rsidRPr="00CB56B7">
        <w:rPr>
          <w:rFonts w:ascii="Arial" w:hAnsi="Arial" w:cs="Arial"/>
          <w:sz w:val="24"/>
          <w:szCs w:val="24"/>
        </w:rPr>
        <w:t xml:space="preserve">la respuesta proporcionada por el Sujeto Obligado. </w:t>
      </w:r>
    </w:p>
    <w:p w14:paraId="6033EE7C" w14:textId="77777777" w:rsidR="00066097" w:rsidRPr="00CB56B7" w:rsidRDefault="00066097" w:rsidP="00066097">
      <w:pPr>
        <w:spacing w:after="0" w:line="360" w:lineRule="auto"/>
        <w:ind w:firstLine="708"/>
        <w:jc w:val="both"/>
        <w:rPr>
          <w:rFonts w:ascii="Arial" w:hAnsi="Arial" w:cs="Arial"/>
          <w:sz w:val="24"/>
          <w:szCs w:val="24"/>
        </w:rPr>
      </w:pPr>
    </w:p>
    <w:p w14:paraId="4350E9FB" w14:textId="5780495C" w:rsidR="00066097" w:rsidRPr="00CB56B7" w:rsidRDefault="00066097" w:rsidP="00066097">
      <w:pPr>
        <w:spacing w:after="0" w:line="360" w:lineRule="auto"/>
        <w:jc w:val="both"/>
        <w:rPr>
          <w:rFonts w:ascii="Arial" w:hAnsi="Arial" w:cs="Arial"/>
          <w:sz w:val="24"/>
          <w:szCs w:val="24"/>
        </w:rPr>
      </w:pPr>
      <w:r w:rsidRPr="00CB56B7">
        <w:rPr>
          <w:rFonts w:ascii="Arial" w:hAnsi="Arial" w:cs="Arial"/>
          <w:b/>
          <w:sz w:val="24"/>
          <w:szCs w:val="24"/>
        </w:rPr>
        <w:tab/>
        <w:t xml:space="preserve">4.1. Medio de impugnación. </w:t>
      </w:r>
      <w:r w:rsidRPr="00CB56B7">
        <w:rPr>
          <w:rFonts w:ascii="Arial" w:hAnsi="Arial" w:cs="Arial"/>
          <w:sz w:val="24"/>
          <w:szCs w:val="24"/>
        </w:rPr>
        <w:t>Se hace de conocimiento del Recurrente que, en caso de no estar de acuerdo con los términos de la resolución dictada por este Organismo Autónomo, podrá optar por acudir ante el Poder Judicial de la Federación.</w:t>
      </w:r>
    </w:p>
    <w:p w14:paraId="122D2158" w14:textId="77777777" w:rsidR="00066097" w:rsidRPr="00CB56B7" w:rsidRDefault="00066097" w:rsidP="00066097">
      <w:pPr>
        <w:spacing w:after="0" w:line="360" w:lineRule="auto"/>
        <w:jc w:val="both"/>
        <w:rPr>
          <w:rFonts w:ascii="Arial" w:hAnsi="Arial" w:cs="Arial"/>
          <w:sz w:val="24"/>
          <w:szCs w:val="24"/>
        </w:rPr>
      </w:pPr>
    </w:p>
    <w:p w14:paraId="6864FAAB" w14:textId="69054F76" w:rsidR="00066097" w:rsidRPr="00CB56B7" w:rsidRDefault="00066097" w:rsidP="00066097">
      <w:pPr>
        <w:spacing w:after="0" w:line="360" w:lineRule="auto"/>
        <w:jc w:val="both"/>
        <w:rPr>
          <w:rFonts w:ascii="Arial" w:hAnsi="Arial" w:cs="Arial"/>
          <w:sz w:val="24"/>
          <w:szCs w:val="24"/>
        </w:rPr>
      </w:pPr>
      <w:r w:rsidRPr="00CB56B7">
        <w:rPr>
          <w:rFonts w:ascii="Arial" w:hAnsi="Arial" w:cs="Arial"/>
          <w:sz w:val="24"/>
          <w:szCs w:val="24"/>
        </w:rPr>
        <w:tab/>
      </w:r>
      <w:r w:rsidRPr="00CB56B7">
        <w:rPr>
          <w:rFonts w:ascii="Arial" w:hAnsi="Arial" w:cs="Arial"/>
          <w:b/>
          <w:sz w:val="24"/>
          <w:szCs w:val="24"/>
        </w:rPr>
        <w:t xml:space="preserve">4.2. Definitividad. </w:t>
      </w:r>
      <w:r w:rsidRPr="00CB56B7">
        <w:rPr>
          <w:rFonts w:ascii="Arial" w:hAnsi="Arial" w:cs="Arial"/>
          <w:sz w:val="24"/>
          <w:szCs w:val="24"/>
        </w:rPr>
        <w:t xml:space="preserve">En esta tesitura, se informa a la autoridad responsable que, con base en lo previsto en el numeral 181 de la Ley de la materia, las resoluciones emitidas por este Órgano Colegiado son vinculatorias, definitivas e inatacables para los Sujetos Obligados. </w:t>
      </w:r>
    </w:p>
    <w:p w14:paraId="04F159D3" w14:textId="77777777" w:rsidR="00066097" w:rsidRPr="00CB56B7" w:rsidRDefault="00066097" w:rsidP="00066097">
      <w:pPr>
        <w:spacing w:after="0" w:line="360" w:lineRule="auto"/>
        <w:jc w:val="both"/>
        <w:rPr>
          <w:rFonts w:ascii="Arial" w:hAnsi="Arial" w:cs="Arial"/>
          <w:sz w:val="24"/>
          <w:szCs w:val="24"/>
        </w:rPr>
      </w:pPr>
      <w:r w:rsidRPr="00CB56B7">
        <w:rPr>
          <w:rFonts w:ascii="Arial" w:hAnsi="Arial" w:cs="Arial"/>
          <w:sz w:val="24"/>
          <w:szCs w:val="24"/>
        </w:rPr>
        <w:tab/>
      </w:r>
    </w:p>
    <w:p w14:paraId="3A0FB61D" w14:textId="31F91F2A" w:rsidR="00066097" w:rsidRPr="00CB56B7" w:rsidRDefault="00066097" w:rsidP="00066097">
      <w:pPr>
        <w:spacing w:after="0" w:line="360" w:lineRule="auto"/>
        <w:jc w:val="both"/>
        <w:rPr>
          <w:rFonts w:ascii="Arial" w:hAnsi="Arial" w:cs="Arial"/>
          <w:sz w:val="24"/>
          <w:szCs w:val="24"/>
        </w:rPr>
      </w:pPr>
      <w:r w:rsidRPr="00CB56B7">
        <w:rPr>
          <w:rFonts w:ascii="Arial" w:hAnsi="Arial" w:cs="Arial"/>
          <w:sz w:val="24"/>
          <w:szCs w:val="24"/>
        </w:rPr>
        <w:lastRenderedPageBreak/>
        <w:tab/>
      </w:r>
      <w:r w:rsidRPr="00CB56B7">
        <w:rPr>
          <w:rFonts w:ascii="Arial" w:hAnsi="Arial" w:cs="Arial"/>
          <w:b/>
          <w:sz w:val="24"/>
          <w:szCs w:val="24"/>
        </w:rPr>
        <w:t xml:space="preserve">4.3. Ejecutoría. </w:t>
      </w:r>
      <w:r w:rsidRPr="00CB56B7">
        <w:rPr>
          <w:rFonts w:ascii="Arial" w:hAnsi="Arial" w:cs="Arial"/>
          <w:sz w:val="24"/>
          <w:szCs w:val="24"/>
        </w:rPr>
        <w:t xml:space="preserve">Finalmente, se precisa que la presente resolución causa ejecutoría al día siguiente de su notificación; ello así conforme lo señalado en los numerales 148 de la Ley de Transparencia Local y el diverso 255 fracción III, del Código Procesal Administrativo para el Estado de San Luis Potosí, de aplicación supletoria. </w:t>
      </w:r>
    </w:p>
    <w:p w14:paraId="7823DCEA" w14:textId="6F180939" w:rsidR="00066097" w:rsidRPr="00CB56B7" w:rsidRDefault="00066097" w:rsidP="00066097">
      <w:pPr>
        <w:spacing w:after="0" w:line="360" w:lineRule="auto"/>
        <w:jc w:val="both"/>
        <w:rPr>
          <w:rFonts w:ascii="Arial" w:hAnsi="Arial" w:cs="Arial"/>
          <w:b/>
          <w:sz w:val="24"/>
          <w:szCs w:val="24"/>
          <w:u w:val="single"/>
        </w:rPr>
      </w:pPr>
      <w:r w:rsidRPr="00CB56B7">
        <w:rPr>
          <w:rFonts w:ascii="Arial" w:hAnsi="Arial" w:cs="Arial"/>
          <w:sz w:val="24"/>
          <w:szCs w:val="24"/>
        </w:rPr>
        <w:tab/>
      </w:r>
      <w:r w:rsidRPr="00CB56B7">
        <w:rPr>
          <w:rFonts w:ascii="Arial" w:hAnsi="Arial" w:cs="Arial"/>
          <w:b/>
          <w:sz w:val="24"/>
          <w:szCs w:val="24"/>
        </w:rPr>
        <w:t xml:space="preserve">4.4. Archivo. </w:t>
      </w:r>
      <w:r w:rsidRPr="00CB56B7">
        <w:rPr>
          <w:rFonts w:ascii="Arial" w:hAnsi="Arial" w:cs="Arial"/>
          <w:sz w:val="24"/>
          <w:szCs w:val="24"/>
        </w:rPr>
        <w:t xml:space="preserve">Una vez que el presente asunto cause estado, con fundamento en los artículos 2 fracción XII y 9 de los Lineamientos para la Gestión de Archivos Administrativos y Resguardo de la Información Pública del Estado de San Luis Potosí, emitidos por esta Comisión, </w:t>
      </w:r>
      <w:r w:rsidRPr="00CB56B7">
        <w:rPr>
          <w:rFonts w:ascii="Arial" w:hAnsi="Arial" w:cs="Arial"/>
          <w:b/>
          <w:sz w:val="24"/>
          <w:szCs w:val="24"/>
          <w:u w:val="single"/>
        </w:rPr>
        <w:t>remítase el presente asunto al Archivo de Concentración de este Órgano Garante, como asunto concluido.</w:t>
      </w:r>
    </w:p>
    <w:p w14:paraId="12DEEFCD" w14:textId="77777777" w:rsidR="00066097" w:rsidRPr="00CB56B7" w:rsidRDefault="00066097" w:rsidP="00066097">
      <w:pPr>
        <w:spacing w:after="0"/>
        <w:rPr>
          <w:rFonts w:ascii="Arial" w:hAnsi="Arial" w:cs="Arial"/>
          <w:sz w:val="24"/>
          <w:szCs w:val="24"/>
        </w:rPr>
      </w:pPr>
    </w:p>
    <w:p w14:paraId="0DA24971" w14:textId="77777777" w:rsidR="00066097" w:rsidRPr="00CB56B7" w:rsidRDefault="00066097" w:rsidP="00066097">
      <w:pPr>
        <w:spacing w:after="0" w:line="360" w:lineRule="auto"/>
        <w:rPr>
          <w:rFonts w:ascii="Arial" w:hAnsi="Arial" w:cs="Arial"/>
          <w:sz w:val="24"/>
          <w:szCs w:val="24"/>
        </w:rPr>
      </w:pPr>
      <w:r w:rsidRPr="00CB56B7">
        <w:rPr>
          <w:rFonts w:ascii="Arial" w:hAnsi="Arial" w:cs="Arial"/>
          <w:sz w:val="24"/>
          <w:szCs w:val="24"/>
        </w:rPr>
        <w:tab/>
        <w:t xml:space="preserve">Por lo anteriormente expuesto y fundado, este Pleno: </w:t>
      </w:r>
    </w:p>
    <w:p w14:paraId="47FC3987" w14:textId="34C290EF" w:rsidR="00C8192E" w:rsidRPr="00CB56B7" w:rsidRDefault="00C8192E" w:rsidP="00066097">
      <w:pPr>
        <w:spacing w:after="0" w:line="360" w:lineRule="auto"/>
        <w:jc w:val="center"/>
        <w:rPr>
          <w:rFonts w:ascii="Arial" w:hAnsi="Arial" w:cs="Arial"/>
          <w:b/>
          <w:sz w:val="24"/>
        </w:rPr>
      </w:pPr>
      <w:r w:rsidRPr="00CB56B7">
        <w:rPr>
          <w:rFonts w:ascii="Arial" w:hAnsi="Arial" w:cs="Arial"/>
          <w:b/>
          <w:sz w:val="24"/>
        </w:rPr>
        <w:t>R E S U E L V E:</w:t>
      </w:r>
    </w:p>
    <w:p w14:paraId="3237CD68" w14:textId="77777777" w:rsidR="00C8192E" w:rsidRPr="00CB56B7" w:rsidRDefault="00C8192E" w:rsidP="00066097">
      <w:pPr>
        <w:spacing w:after="0" w:line="360" w:lineRule="auto"/>
        <w:jc w:val="both"/>
        <w:rPr>
          <w:rFonts w:ascii="Arial" w:hAnsi="Arial" w:cs="Arial"/>
          <w:sz w:val="24"/>
        </w:rPr>
      </w:pPr>
      <w:r w:rsidRPr="00CB56B7">
        <w:rPr>
          <w:rFonts w:ascii="Arial" w:hAnsi="Arial" w:cs="Arial"/>
          <w:b/>
          <w:sz w:val="24"/>
        </w:rPr>
        <w:tab/>
        <w:t>ÚNICO.</w:t>
      </w:r>
      <w:r w:rsidRPr="00CB56B7">
        <w:rPr>
          <w:rFonts w:ascii="Arial" w:hAnsi="Arial" w:cs="Arial"/>
          <w:sz w:val="24"/>
        </w:rPr>
        <w:t xml:space="preserve"> Se </w:t>
      </w:r>
      <w:r w:rsidRPr="00CB56B7">
        <w:rPr>
          <w:rFonts w:ascii="Arial" w:hAnsi="Arial" w:cs="Arial"/>
          <w:b/>
          <w:sz w:val="24"/>
        </w:rPr>
        <w:t xml:space="preserve">SOBRESEE </w:t>
      </w:r>
      <w:r w:rsidRPr="00CB56B7">
        <w:rPr>
          <w:rFonts w:ascii="Arial" w:hAnsi="Arial" w:cs="Arial"/>
          <w:bCs/>
          <w:sz w:val="24"/>
        </w:rPr>
        <w:t>el</w:t>
      </w:r>
      <w:r w:rsidRPr="00CB56B7">
        <w:rPr>
          <w:rFonts w:ascii="Arial" w:hAnsi="Arial" w:cs="Arial"/>
          <w:sz w:val="24"/>
        </w:rPr>
        <w:t xml:space="preserve"> presente Recurso de Revisión, por las razones y fundamentos expuestos en el considerando </w:t>
      </w:r>
      <w:r w:rsidRPr="00CB56B7">
        <w:rPr>
          <w:rFonts w:ascii="Arial" w:hAnsi="Arial" w:cs="Arial"/>
          <w:b/>
          <w:bCs/>
          <w:sz w:val="24"/>
        </w:rPr>
        <w:t>TERCERO</w:t>
      </w:r>
      <w:r w:rsidRPr="00CB56B7">
        <w:rPr>
          <w:rFonts w:ascii="Arial" w:hAnsi="Arial" w:cs="Arial"/>
          <w:b/>
          <w:sz w:val="24"/>
        </w:rPr>
        <w:t xml:space="preserve"> </w:t>
      </w:r>
      <w:r w:rsidRPr="00CB56B7">
        <w:rPr>
          <w:rFonts w:ascii="Arial" w:hAnsi="Arial" w:cs="Arial"/>
          <w:sz w:val="24"/>
        </w:rPr>
        <w:t xml:space="preserve">de la presente resolución. </w:t>
      </w:r>
    </w:p>
    <w:p w14:paraId="3800DD83" w14:textId="77777777" w:rsidR="0049071D" w:rsidRPr="00CB56B7" w:rsidRDefault="0049071D" w:rsidP="00066097">
      <w:pPr>
        <w:spacing w:after="0" w:line="360" w:lineRule="auto"/>
        <w:jc w:val="both"/>
        <w:rPr>
          <w:rFonts w:ascii="Arial" w:hAnsi="Arial" w:cs="Arial"/>
          <w:sz w:val="24"/>
          <w:szCs w:val="24"/>
        </w:rPr>
      </w:pPr>
      <w:r w:rsidRPr="00CB56B7">
        <w:rPr>
          <w:rFonts w:ascii="Arial" w:hAnsi="Arial" w:cs="Arial"/>
          <w:sz w:val="24"/>
        </w:rPr>
        <w:tab/>
      </w:r>
      <w:r w:rsidRPr="00CB56B7">
        <w:rPr>
          <w:rFonts w:ascii="Arial" w:hAnsi="Arial" w:cs="Arial"/>
          <w:b/>
          <w:bCs/>
          <w:sz w:val="24"/>
          <w:szCs w:val="24"/>
        </w:rPr>
        <w:t>Notifíquese</w:t>
      </w:r>
      <w:r w:rsidRPr="00CB56B7">
        <w:rPr>
          <w:rFonts w:ascii="Arial" w:hAnsi="Arial" w:cs="Arial"/>
          <w:sz w:val="24"/>
          <w:szCs w:val="24"/>
        </w:rPr>
        <w:t>; por oficio al Sujeto Obligado y, al recurrente por el medio que designó.</w:t>
      </w:r>
    </w:p>
    <w:bookmarkEnd w:id="0"/>
    <w:bookmarkEnd w:id="1"/>
    <w:p w14:paraId="64B46F77" w14:textId="465FC9C3" w:rsidR="00066097" w:rsidRPr="00822925" w:rsidRDefault="00066097" w:rsidP="00066097">
      <w:pPr>
        <w:spacing w:after="0" w:line="360" w:lineRule="auto"/>
        <w:jc w:val="both"/>
        <w:rPr>
          <w:rFonts w:ascii="Arial" w:hAnsi="Arial" w:cs="Arial"/>
          <w:i/>
          <w:sz w:val="24"/>
        </w:rPr>
      </w:pPr>
      <w:r w:rsidRPr="00CB56B7">
        <w:rPr>
          <w:rFonts w:ascii="Arial" w:hAnsi="Arial" w:cs="Arial"/>
          <w:sz w:val="24"/>
          <w:szCs w:val="24"/>
        </w:rPr>
        <w:tab/>
      </w:r>
      <w:r w:rsidRPr="00CB56B7">
        <w:rPr>
          <w:rFonts w:ascii="Arial" w:hAnsi="Arial" w:cs="Arial"/>
          <w:sz w:val="24"/>
        </w:rPr>
        <w:t xml:space="preserve">Así lo resuelve, por mayoría de votos, el Pleno de la Comisión Estatal de Garantía de Acceso a la Información Pública, conformado por los Comisionados José Gerardo Navarro Alviso y Ana Cristina García Nales, siendo ponente la última de los nombrados, en la Sesión Ordinaria celebrada el ocho de septiembre de dos mil veintiséis, ante la Secretaria de Pleno, Rosa María Motilla García, quién da fé.  </w:t>
      </w:r>
      <w:r w:rsidR="00822925">
        <w:rPr>
          <w:rFonts w:ascii="Arial" w:hAnsi="Arial" w:cs="Arial"/>
          <w:i/>
          <w:sz w:val="24"/>
        </w:rPr>
        <w:t>(Rúbricas)</w:t>
      </w:r>
    </w:p>
    <w:p w14:paraId="31AE8692" w14:textId="75DDDD35" w:rsidR="00822925" w:rsidRPr="00E73683" w:rsidRDefault="00822925" w:rsidP="00822925">
      <w:pPr>
        <w:spacing w:after="0" w:line="360" w:lineRule="auto"/>
        <w:jc w:val="both"/>
        <w:rPr>
          <w:rFonts w:ascii="Arial" w:hAnsi="Arial" w:cs="Arial"/>
          <w:sz w:val="18"/>
          <w:szCs w:val="18"/>
        </w:rPr>
      </w:pPr>
      <w:r w:rsidRPr="00E73683">
        <w:rPr>
          <w:rFonts w:ascii="Arial" w:hAnsi="Arial" w:cs="Arial"/>
          <w:sz w:val="18"/>
          <w:szCs w:val="18"/>
        </w:rPr>
        <w:t>ADRIANA BERENICE CAPETILLO REYES, PROYECTISTA ADSCRITA A LA PONENCIA TRES DE LA COMISIÓN ESTATAL DE GARANTÍA DE ACCESO A LA INFORMACIÓN PÚBLICA DE SAN LUIS POTOSI - - - - - - - - - - - - - - - - - - - - - - - - - - - - - C E R T I F I C A - - - - - - - - - - -  - - - - - - - - - - - - - - - -</w:t>
      </w:r>
      <w:r>
        <w:rPr>
          <w:rFonts w:ascii="Arial" w:hAnsi="Arial" w:cs="Arial"/>
          <w:sz w:val="18"/>
          <w:szCs w:val="18"/>
        </w:rPr>
        <w:t xml:space="preserve"> - - - - - - - -</w:t>
      </w:r>
      <w:r w:rsidRPr="00E73683">
        <w:rPr>
          <w:rFonts w:ascii="Arial" w:hAnsi="Arial" w:cs="Arial"/>
          <w:sz w:val="18"/>
          <w:szCs w:val="18"/>
        </w:rPr>
        <w:t xml:space="preserve"> QUE LA PRESENTE IMPRESIÓN QUE CONSTA DE </w:t>
      </w:r>
      <w:r>
        <w:rPr>
          <w:rFonts w:ascii="Arial" w:hAnsi="Arial" w:cs="Arial"/>
          <w:sz w:val="18"/>
          <w:szCs w:val="18"/>
        </w:rPr>
        <w:t>TRES FOJAS ÚTILES POR ANVERSO Y REVERSO, Y UNA POR ANVERSO, LAS CUALES SON C</w:t>
      </w:r>
      <w:r w:rsidRPr="00E73683">
        <w:rPr>
          <w:rFonts w:ascii="Arial" w:hAnsi="Arial" w:cs="Arial"/>
          <w:sz w:val="18"/>
          <w:szCs w:val="18"/>
        </w:rPr>
        <w:t xml:space="preserve">OPIA FIEL EN CONTENIDO, DE LA RESOLUCIÓN EMITIDA EN SESIÓN ORDINARIA DE PLENO DE LA COMISIÓN ESTATAL DE GARANTÍA DE ACCESO A LA INFORMACIÓN PÚBLICA, CELEBRADA EL </w:t>
      </w:r>
      <w:r>
        <w:rPr>
          <w:rFonts w:ascii="Arial" w:hAnsi="Arial" w:cs="Arial"/>
          <w:sz w:val="18"/>
          <w:szCs w:val="18"/>
        </w:rPr>
        <w:t xml:space="preserve">08 OCHO DE SEPTIEMBRE </w:t>
      </w:r>
      <w:r w:rsidRPr="00E73683">
        <w:rPr>
          <w:rFonts w:ascii="Arial" w:hAnsi="Arial" w:cs="Arial"/>
          <w:sz w:val="18"/>
          <w:szCs w:val="18"/>
        </w:rPr>
        <w:t xml:space="preserve">DE </w:t>
      </w:r>
      <w:r>
        <w:rPr>
          <w:rFonts w:ascii="Arial" w:hAnsi="Arial" w:cs="Arial"/>
          <w:sz w:val="18"/>
          <w:szCs w:val="18"/>
        </w:rPr>
        <w:t xml:space="preserve">2026 </w:t>
      </w:r>
      <w:r w:rsidRPr="00E73683">
        <w:rPr>
          <w:rFonts w:ascii="Arial" w:hAnsi="Arial" w:cs="Arial"/>
          <w:sz w:val="18"/>
          <w:szCs w:val="18"/>
        </w:rPr>
        <w:t>DOS M</w:t>
      </w:r>
      <w:bookmarkStart w:id="2" w:name="_GoBack"/>
      <w:bookmarkEnd w:id="2"/>
      <w:r w:rsidRPr="00E73683">
        <w:rPr>
          <w:rFonts w:ascii="Arial" w:hAnsi="Arial" w:cs="Arial"/>
          <w:sz w:val="18"/>
          <w:szCs w:val="18"/>
        </w:rPr>
        <w:t>IL VEINTISÉIS; POR LA CUAL S</w:t>
      </w:r>
      <w:r>
        <w:rPr>
          <w:rFonts w:ascii="Arial" w:hAnsi="Arial" w:cs="Arial"/>
          <w:sz w:val="18"/>
          <w:szCs w:val="18"/>
        </w:rPr>
        <w:t>E SOBRESEE EL ACTO IM</w:t>
      </w:r>
      <w:r w:rsidRPr="00E73683">
        <w:rPr>
          <w:rFonts w:ascii="Arial" w:hAnsi="Arial" w:cs="Arial"/>
          <w:sz w:val="18"/>
          <w:szCs w:val="18"/>
        </w:rPr>
        <w:t>PUGNADO, DENTRO DE LOS AUTOS RELATIVOS AL R</w:t>
      </w:r>
      <w:r w:rsidR="00920802">
        <w:rPr>
          <w:rFonts w:ascii="Arial" w:hAnsi="Arial" w:cs="Arial"/>
          <w:sz w:val="18"/>
          <w:szCs w:val="18"/>
        </w:rPr>
        <w:t>ECURSO DE REVISIÓN NÚMERO RR-441</w:t>
      </w:r>
      <w:r>
        <w:rPr>
          <w:rFonts w:ascii="Arial" w:hAnsi="Arial" w:cs="Arial"/>
          <w:sz w:val="18"/>
          <w:szCs w:val="18"/>
        </w:rPr>
        <w:t>/2026</w:t>
      </w:r>
      <w:r w:rsidRPr="00E73683">
        <w:rPr>
          <w:rFonts w:ascii="Arial" w:hAnsi="Arial" w:cs="Arial"/>
          <w:sz w:val="18"/>
          <w:szCs w:val="18"/>
        </w:rPr>
        <w:t xml:space="preserve">-3; LO ANTERIOR, CON FUNDAMENTO EN LO DISPUESTO POR EL 51 FRACCIÓN XIII, DEL REGLAMENTO INTERIOR DE LA COMISIÓN ESTATAL DE GARANTÍA DE ACCESO A LA INFORMACIÓN PÚBLICA DE SAN LUIS POTOSÍ, EN LA CIUDAD DE SAN LUIS POTOSÍ, S.L.P., </w:t>
      </w:r>
      <w:r>
        <w:rPr>
          <w:rFonts w:ascii="Arial" w:hAnsi="Arial" w:cs="Arial"/>
          <w:sz w:val="18"/>
          <w:szCs w:val="18"/>
        </w:rPr>
        <w:t xml:space="preserve">08 OCHO DE SEPTIEMBRE </w:t>
      </w:r>
      <w:r w:rsidRPr="00E73683">
        <w:rPr>
          <w:rFonts w:ascii="Arial" w:hAnsi="Arial" w:cs="Arial"/>
          <w:sz w:val="18"/>
          <w:szCs w:val="18"/>
        </w:rPr>
        <w:t xml:space="preserve">DE </w:t>
      </w:r>
      <w:r>
        <w:rPr>
          <w:rFonts w:ascii="Arial" w:hAnsi="Arial" w:cs="Arial"/>
          <w:sz w:val="18"/>
          <w:szCs w:val="18"/>
        </w:rPr>
        <w:t xml:space="preserve">2026 </w:t>
      </w:r>
      <w:r w:rsidRPr="00E73683">
        <w:rPr>
          <w:rFonts w:ascii="Arial" w:hAnsi="Arial" w:cs="Arial"/>
          <w:sz w:val="18"/>
          <w:szCs w:val="18"/>
        </w:rPr>
        <w:t xml:space="preserve">DOS MIL VEINTISÉIS. </w:t>
      </w:r>
      <w:r w:rsidRPr="00E73683">
        <w:rPr>
          <w:rFonts w:ascii="Arial" w:hAnsi="Arial" w:cs="Arial"/>
          <w:i/>
          <w:sz w:val="18"/>
          <w:szCs w:val="18"/>
        </w:rPr>
        <w:t>Conste.</w:t>
      </w:r>
    </w:p>
    <w:p w14:paraId="4634D006" w14:textId="62C59B49" w:rsidR="00BB58C4" w:rsidRPr="00CB56B7" w:rsidRDefault="00BB58C4" w:rsidP="00066097">
      <w:pPr>
        <w:spacing w:after="0" w:line="360" w:lineRule="auto"/>
        <w:jc w:val="both"/>
        <w:rPr>
          <w:rFonts w:ascii="Arial" w:hAnsi="Arial" w:cs="Arial"/>
        </w:rPr>
      </w:pPr>
    </w:p>
    <w:sectPr w:rsidR="00BB58C4" w:rsidRPr="00CB56B7" w:rsidSect="00D6513C">
      <w:headerReference w:type="default" r:id="rId9"/>
      <w:pgSz w:w="12240" w:h="20160" w:code="5"/>
      <w:pgMar w:top="2948" w:right="1418" w:bottom="283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25D5F" w14:textId="77777777" w:rsidR="00976A55" w:rsidRDefault="00976A55" w:rsidP="00BB58C4">
      <w:pPr>
        <w:spacing w:after="0" w:line="240" w:lineRule="auto"/>
      </w:pPr>
      <w:r>
        <w:separator/>
      </w:r>
    </w:p>
  </w:endnote>
  <w:endnote w:type="continuationSeparator" w:id="0">
    <w:p w14:paraId="0AFD4F82" w14:textId="77777777" w:rsidR="00976A55" w:rsidRDefault="00976A55" w:rsidP="00BB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FE033" w14:textId="77777777" w:rsidR="00976A55" w:rsidRDefault="00976A55" w:rsidP="00BB58C4">
      <w:pPr>
        <w:spacing w:after="0" w:line="240" w:lineRule="auto"/>
      </w:pPr>
      <w:r>
        <w:separator/>
      </w:r>
    </w:p>
  </w:footnote>
  <w:footnote w:type="continuationSeparator" w:id="0">
    <w:p w14:paraId="784BB937" w14:textId="77777777" w:rsidR="00976A55" w:rsidRDefault="00976A55" w:rsidP="00BB58C4">
      <w:pPr>
        <w:spacing w:after="0" w:line="240" w:lineRule="auto"/>
      </w:pPr>
      <w:r>
        <w:continuationSeparator/>
      </w:r>
    </w:p>
  </w:footnote>
  <w:footnote w:id="1">
    <w:p w14:paraId="084AEE68" w14:textId="77777777" w:rsidR="0011116C" w:rsidRPr="00066097" w:rsidRDefault="0011116C" w:rsidP="0011116C">
      <w:pPr>
        <w:pStyle w:val="Textonotapie"/>
        <w:rPr>
          <w:rFonts w:ascii="Arial" w:hAnsi="Arial" w:cs="Arial"/>
          <w:sz w:val="16"/>
          <w:szCs w:val="16"/>
        </w:rPr>
      </w:pPr>
      <w:r w:rsidRPr="00066097">
        <w:rPr>
          <w:rStyle w:val="Refdenotaalpie"/>
          <w:rFonts w:ascii="Arial" w:hAnsi="Arial" w:cs="Arial"/>
          <w:sz w:val="16"/>
          <w:szCs w:val="16"/>
        </w:rPr>
        <w:footnoteRef/>
      </w:r>
      <w:r w:rsidRPr="00066097">
        <w:rPr>
          <w:rFonts w:ascii="Arial" w:hAnsi="Arial" w:cs="Arial"/>
          <w:sz w:val="16"/>
          <w:szCs w:val="16"/>
        </w:rPr>
        <w:t xml:space="preserve"> “ARTÍCULO 179. El recurso será desechado por improcedente cuando: […]”</w:t>
      </w:r>
    </w:p>
  </w:footnote>
  <w:footnote w:id="2">
    <w:p w14:paraId="3C395A2E" w14:textId="77777777" w:rsidR="002E45FA" w:rsidRPr="00066097" w:rsidRDefault="002E45FA" w:rsidP="00C8192E">
      <w:pPr>
        <w:spacing w:after="0" w:line="240" w:lineRule="auto"/>
        <w:jc w:val="both"/>
        <w:rPr>
          <w:rFonts w:ascii="Arial" w:eastAsia="Arial Unicode MS" w:hAnsi="Arial" w:cs="Arial"/>
          <w:bCs/>
          <w:sz w:val="16"/>
          <w:szCs w:val="16"/>
          <w:lang w:eastAsia="es-ES"/>
        </w:rPr>
      </w:pPr>
      <w:r w:rsidRPr="00066097">
        <w:rPr>
          <w:rStyle w:val="Refdenotaalpie"/>
          <w:rFonts w:ascii="Arial" w:hAnsi="Arial" w:cs="Arial"/>
          <w:sz w:val="16"/>
          <w:szCs w:val="16"/>
        </w:rPr>
        <w:footnoteRef/>
      </w:r>
      <w:r w:rsidRPr="00066097">
        <w:rPr>
          <w:rFonts w:ascii="Arial" w:hAnsi="Arial" w:cs="Arial"/>
          <w:sz w:val="16"/>
          <w:szCs w:val="16"/>
        </w:rPr>
        <w:t xml:space="preserve"> </w:t>
      </w:r>
      <w:r w:rsidRPr="00066097">
        <w:rPr>
          <w:rFonts w:ascii="Arial" w:eastAsia="Arial Unicode MS" w:hAnsi="Arial" w:cs="Arial"/>
          <w:bCs/>
          <w:sz w:val="16"/>
          <w:szCs w:val="16"/>
          <w:lang w:eastAsia="es-ES"/>
        </w:rPr>
        <w:t xml:space="preserve">El Diccionario Jurídico Mexicano del Instituto de Investigaciones Jurídicas, Editorial Porrúa, Octava Edición, México 1995, página 2637, en relación con el sobreseimiento señala: </w:t>
      </w:r>
      <w:r w:rsidRPr="00066097">
        <w:rPr>
          <w:rFonts w:ascii="Arial" w:eastAsia="Arial Unicode MS" w:hAnsi="Arial" w:cs="Arial"/>
          <w:bCs/>
          <w:i/>
          <w:iCs/>
          <w:sz w:val="16"/>
          <w:szCs w:val="16"/>
          <w:lang w:eastAsia="es-ES"/>
        </w:rPr>
        <w:t>"Sobreseimiento. I. (Del latín supercedere; cesar, desistir)</w:t>
      </w:r>
      <w:r w:rsidRPr="00066097">
        <w:rPr>
          <w:rFonts w:ascii="Arial" w:eastAsia="Arial Unicode MS" w:hAnsi="Arial" w:cs="Arial"/>
          <w:bCs/>
          <w:sz w:val="16"/>
          <w:szCs w:val="16"/>
          <w:lang w:eastAsia="es-ES"/>
        </w:rPr>
        <w:t>. Es la resolución judicial por la cual se declara que existe un obstáculo jurídico o de hecho que impide la decisión sobre el fondo de la controversia".</w:t>
      </w:r>
    </w:p>
  </w:footnote>
  <w:footnote w:id="3">
    <w:p w14:paraId="6F29CE84" w14:textId="2E8C83E7" w:rsidR="0011116C" w:rsidRPr="00066097" w:rsidRDefault="0011116C">
      <w:pPr>
        <w:pStyle w:val="Textonotapie"/>
        <w:rPr>
          <w:rFonts w:ascii="Arial" w:hAnsi="Arial" w:cs="Arial"/>
          <w:sz w:val="16"/>
          <w:szCs w:val="16"/>
        </w:rPr>
      </w:pPr>
      <w:r w:rsidRPr="00066097">
        <w:rPr>
          <w:rStyle w:val="Refdenotaalpie"/>
          <w:rFonts w:ascii="Arial" w:hAnsi="Arial" w:cs="Arial"/>
          <w:sz w:val="16"/>
          <w:szCs w:val="16"/>
        </w:rPr>
        <w:footnoteRef/>
      </w:r>
      <w:r w:rsidRPr="00066097">
        <w:rPr>
          <w:rFonts w:ascii="Arial" w:hAnsi="Arial" w:cs="Arial"/>
          <w:sz w:val="16"/>
          <w:szCs w:val="16"/>
        </w:rPr>
        <w:t xml:space="preserve"> </w:t>
      </w:r>
      <w:r w:rsidRPr="00066097">
        <w:rPr>
          <w:rFonts w:ascii="Arial" w:eastAsia="Arial Unicode MS" w:hAnsi="Arial" w:cs="Arial"/>
          <w:b/>
          <w:bCs/>
          <w:sz w:val="16"/>
          <w:szCs w:val="16"/>
        </w:rPr>
        <w:t xml:space="preserve">ARTÍCULO 180. </w:t>
      </w:r>
      <w:r w:rsidRPr="00066097">
        <w:rPr>
          <w:rFonts w:ascii="Arial" w:eastAsia="Arial Unicode MS" w:hAnsi="Arial" w:cs="Arial"/>
          <w:bCs/>
          <w:sz w:val="16"/>
          <w:szCs w:val="16"/>
        </w:rPr>
        <w:t>El recurso será sobreseído, en todo o en parte, cuando, una vez admitido, se actualicen alguno de los siguientes supuestos</w:t>
      </w:r>
    </w:p>
  </w:footnote>
  <w:footnote w:id="4">
    <w:p w14:paraId="1E870452" w14:textId="77777777" w:rsidR="0011116C" w:rsidRPr="00066097" w:rsidRDefault="0011116C" w:rsidP="0011116C">
      <w:pPr>
        <w:spacing w:after="0" w:line="240" w:lineRule="auto"/>
        <w:ind w:right="49"/>
        <w:jc w:val="both"/>
        <w:rPr>
          <w:rFonts w:ascii="Arial" w:eastAsia="Arial Unicode MS" w:hAnsi="Arial" w:cs="Arial"/>
          <w:bCs/>
          <w:sz w:val="16"/>
          <w:szCs w:val="16"/>
          <w:lang w:eastAsia="es-ES"/>
        </w:rPr>
      </w:pPr>
      <w:r w:rsidRPr="00066097">
        <w:rPr>
          <w:rStyle w:val="Refdenotaalpie"/>
          <w:rFonts w:ascii="Arial" w:hAnsi="Arial" w:cs="Arial"/>
          <w:sz w:val="16"/>
          <w:szCs w:val="16"/>
        </w:rPr>
        <w:footnoteRef/>
      </w:r>
      <w:r w:rsidRPr="00066097">
        <w:rPr>
          <w:rFonts w:ascii="Arial" w:hAnsi="Arial" w:cs="Arial"/>
          <w:sz w:val="16"/>
          <w:szCs w:val="16"/>
        </w:rPr>
        <w:t xml:space="preserve"> </w:t>
      </w:r>
      <w:r w:rsidRPr="00066097">
        <w:rPr>
          <w:rFonts w:ascii="Arial" w:eastAsia="Arial Unicode MS" w:hAnsi="Arial" w:cs="Arial"/>
          <w:b/>
          <w:bCs/>
          <w:sz w:val="16"/>
          <w:szCs w:val="16"/>
          <w:lang w:eastAsia="es-ES"/>
        </w:rPr>
        <w:t>“ARTÍCULO 175.</w:t>
      </w:r>
      <w:r w:rsidRPr="00066097">
        <w:rPr>
          <w:rFonts w:ascii="Arial" w:eastAsia="Arial Unicode MS" w:hAnsi="Arial" w:cs="Arial"/>
          <w:bCs/>
          <w:sz w:val="16"/>
          <w:szCs w:val="16"/>
          <w:lang w:eastAsia="es-ES"/>
        </w:rPr>
        <w:t xml:space="preserve"> Las resoluciones de la CEGAIP podrán: </w:t>
      </w:r>
    </w:p>
    <w:p w14:paraId="193BD7FF" w14:textId="515D066A" w:rsidR="0011116C" w:rsidRPr="00066097" w:rsidRDefault="0011116C" w:rsidP="00301B16">
      <w:pPr>
        <w:spacing w:after="0" w:line="240" w:lineRule="auto"/>
        <w:ind w:right="49"/>
        <w:jc w:val="both"/>
        <w:rPr>
          <w:rFonts w:ascii="Arial" w:eastAsia="Arial Unicode MS" w:hAnsi="Arial" w:cs="Arial"/>
          <w:b/>
          <w:bCs/>
          <w:sz w:val="16"/>
          <w:szCs w:val="16"/>
          <w:lang w:eastAsia="es-ES"/>
        </w:rPr>
      </w:pPr>
      <w:r w:rsidRPr="00066097">
        <w:rPr>
          <w:rFonts w:ascii="Arial" w:eastAsia="Arial Unicode MS" w:hAnsi="Arial" w:cs="Arial"/>
          <w:b/>
          <w:bCs/>
          <w:sz w:val="16"/>
          <w:szCs w:val="16"/>
          <w:lang w:eastAsia="es-ES"/>
        </w:rPr>
        <w:t xml:space="preserve">I. Desechar o sobreseer el recurso; </w:t>
      </w:r>
      <w:r w:rsidR="00301B16" w:rsidRPr="00066097">
        <w:rPr>
          <w:rFonts w:ascii="Arial" w:eastAsia="Arial Unicode MS" w:hAnsi="Arial" w:cs="Arial"/>
          <w:b/>
          <w:bCs/>
          <w:sz w:val="16"/>
          <w:szCs w:val="16"/>
          <w:lang w:eastAsia="es-ES"/>
        </w:rPr>
        <w:t>[…]</w:t>
      </w:r>
    </w:p>
  </w:footnote>
  <w:footnote w:id="5">
    <w:p w14:paraId="734ED25B" w14:textId="0A479DA3" w:rsidR="00066097" w:rsidRDefault="00066097" w:rsidP="00066097">
      <w:pPr>
        <w:pStyle w:val="Estilo"/>
      </w:pPr>
      <w:r w:rsidRPr="00066097">
        <w:rPr>
          <w:rStyle w:val="Refdenotaalpie"/>
          <w:rFonts w:cs="Arial"/>
          <w:sz w:val="16"/>
          <w:szCs w:val="16"/>
        </w:rPr>
        <w:footnoteRef/>
      </w:r>
      <w:r w:rsidRPr="00066097">
        <w:rPr>
          <w:rFonts w:cs="Arial"/>
          <w:sz w:val="16"/>
          <w:szCs w:val="16"/>
        </w:rPr>
        <w:t xml:space="preserve"> III. El sujeto obligado responsable del acto lo modifique o revoque de tal manera que el recurso de revisión quede sin materia, 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EBE29" w14:textId="698D4091" w:rsidR="002E45FA" w:rsidRDefault="002E45FA">
    <w:pPr>
      <w:pStyle w:val="Encabezado"/>
      <w:jc w:val="center"/>
    </w:pPr>
    <w:r>
      <w:rPr>
        <w:noProof/>
        <w:lang w:eastAsia="es-MX"/>
      </w:rPr>
      <w:drawing>
        <wp:anchor distT="0" distB="0" distL="114300" distR="114300" simplePos="0" relativeHeight="251659264" behindDoc="1" locked="0" layoutInCell="1" allowOverlap="1" wp14:anchorId="03EFB77B" wp14:editId="217A757D">
          <wp:simplePos x="0" y="0"/>
          <wp:positionH relativeFrom="page">
            <wp:posOffset>20955</wp:posOffset>
          </wp:positionH>
          <wp:positionV relativeFrom="paragraph">
            <wp:posOffset>-554990</wp:posOffset>
          </wp:positionV>
          <wp:extent cx="8182335" cy="12877800"/>
          <wp:effectExtent l="0" t="0" r="9525"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2335" cy="128778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23023284"/>
        <w:docPartObj>
          <w:docPartGallery w:val="Page Numbers (Top of Page)"/>
          <w:docPartUnique/>
        </w:docPartObj>
      </w:sdtPr>
      <w:sdtEndPr/>
      <w:sdtContent/>
    </w:sdt>
  </w:p>
  <w:p w14:paraId="73B62FEB" w14:textId="18370400" w:rsidR="002E45FA" w:rsidRDefault="002E45FA">
    <w:pPr>
      <w:pStyle w:val="Encabezado"/>
      <w:jc w:val="center"/>
    </w:pPr>
  </w:p>
  <w:p w14:paraId="11A12D19" w14:textId="2D6FFD7A" w:rsidR="002E45FA" w:rsidRDefault="002E45FA">
    <w:pPr>
      <w:pStyle w:val="Encabezado"/>
      <w:jc w:val="center"/>
    </w:pPr>
  </w:p>
  <w:p w14:paraId="3C5C0923" w14:textId="7B0FF51F" w:rsidR="002E45FA" w:rsidRDefault="002E45FA">
    <w:pPr>
      <w:pStyle w:val="Encabezado"/>
      <w:jc w:val="center"/>
    </w:pPr>
  </w:p>
  <w:p w14:paraId="167ADC62" w14:textId="77777777" w:rsidR="002E45FA" w:rsidRDefault="002E45FA" w:rsidP="00E25AE4">
    <w:pPr>
      <w:pStyle w:val="Encabezado"/>
      <w:tabs>
        <w:tab w:val="left" w:pos="5954"/>
      </w:tabs>
      <w:jc w:val="right"/>
      <w:rPr>
        <w:sz w:val="20"/>
        <w:szCs w:val="20"/>
      </w:rPr>
    </w:pPr>
  </w:p>
  <w:p w14:paraId="2E3B98D4" w14:textId="77777777" w:rsidR="002E45FA" w:rsidRDefault="002E45FA">
    <w:pPr>
      <w:pStyle w:val="Encabezado"/>
      <w:jc w:val="center"/>
    </w:pPr>
  </w:p>
  <w:p w14:paraId="4E5FFEF8" w14:textId="46E567DF" w:rsidR="002E45FA" w:rsidRDefault="002E45F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46428"/>
    <w:multiLevelType w:val="hybridMultilevel"/>
    <w:tmpl w:val="3864CA68"/>
    <w:lvl w:ilvl="0" w:tplc="07A49B32">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15:restartNumberingAfterBreak="0">
    <w:nsid w:val="086F3639"/>
    <w:multiLevelType w:val="hybridMultilevel"/>
    <w:tmpl w:val="E95047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EF03807"/>
    <w:multiLevelType w:val="hybridMultilevel"/>
    <w:tmpl w:val="4AA4CD9E"/>
    <w:lvl w:ilvl="0" w:tplc="080A0019">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3" w15:restartNumberingAfterBreak="0">
    <w:nsid w:val="0EF27F5E"/>
    <w:multiLevelType w:val="hybridMultilevel"/>
    <w:tmpl w:val="1F1CD4A6"/>
    <w:lvl w:ilvl="0" w:tplc="9CA04100">
      <w:start w:val="1"/>
      <w:numFmt w:val="upp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15:restartNumberingAfterBreak="0">
    <w:nsid w:val="10FC4FB1"/>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5" w15:restartNumberingAfterBreak="0">
    <w:nsid w:val="16D64146"/>
    <w:multiLevelType w:val="hybridMultilevel"/>
    <w:tmpl w:val="D878F05E"/>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15:restartNumberingAfterBreak="0">
    <w:nsid w:val="1B912D8E"/>
    <w:multiLevelType w:val="hybridMultilevel"/>
    <w:tmpl w:val="A574F87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17533E2"/>
    <w:multiLevelType w:val="hybridMultilevel"/>
    <w:tmpl w:val="6B3E97C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3355DD0"/>
    <w:multiLevelType w:val="hybridMultilevel"/>
    <w:tmpl w:val="BD84F55C"/>
    <w:lvl w:ilvl="0" w:tplc="600C05B8">
      <w:start w:val="4"/>
      <w:numFmt w:val="bullet"/>
      <w:lvlText w:val=""/>
      <w:lvlJc w:val="left"/>
      <w:pPr>
        <w:ind w:left="1069" w:hanging="360"/>
      </w:pPr>
      <w:rPr>
        <w:rFonts w:ascii="Symbol" w:eastAsia="Arial Unicode MS"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9" w15:restartNumberingAfterBreak="0">
    <w:nsid w:val="24725A07"/>
    <w:multiLevelType w:val="hybridMultilevel"/>
    <w:tmpl w:val="AFFCCBBE"/>
    <w:lvl w:ilvl="0" w:tplc="61F8E04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92F1AFD"/>
    <w:multiLevelType w:val="hybridMultilevel"/>
    <w:tmpl w:val="39EC8EFE"/>
    <w:lvl w:ilvl="0" w:tplc="498E340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32715FF8"/>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12" w15:restartNumberingAfterBreak="0">
    <w:nsid w:val="4AE034A8"/>
    <w:multiLevelType w:val="hybridMultilevel"/>
    <w:tmpl w:val="231C2FEA"/>
    <w:lvl w:ilvl="0" w:tplc="F8E4C58C">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 w15:restartNumberingAfterBreak="0">
    <w:nsid w:val="4B915151"/>
    <w:multiLevelType w:val="hybridMultilevel"/>
    <w:tmpl w:val="18A86606"/>
    <w:lvl w:ilvl="0" w:tplc="9F9468DC">
      <w:start w:val="4"/>
      <w:numFmt w:val="bullet"/>
      <w:lvlText w:val="-"/>
      <w:lvlJc w:val="left"/>
      <w:pPr>
        <w:ind w:left="720" w:hanging="360"/>
      </w:pPr>
      <w:rPr>
        <w:rFonts w:ascii="Arial" w:eastAsiaTheme="minorHAnsi"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CCC7E9E"/>
    <w:multiLevelType w:val="hybridMultilevel"/>
    <w:tmpl w:val="0D84C80C"/>
    <w:lvl w:ilvl="0" w:tplc="61B024C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15:restartNumberingAfterBreak="0">
    <w:nsid w:val="4D713629"/>
    <w:multiLevelType w:val="hybridMultilevel"/>
    <w:tmpl w:val="E86E75FE"/>
    <w:lvl w:ilvl="0" w:tplc="94C83028">
      <w:start w:val="1"/>
      <w:numFmt w:val="upperRoman"/>
      <w:lvlText w:val="%1."/>
      <w:lvlJc w:val="left"/>
      <w:pPr>
        <w:ind w:left="1428" w:hanging="72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16" w15:restartNumberingAfterBreak="0">
    <w:nsid w:val="5627510A"/>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17" w15:restartNumberingAfterBreak="0">
    <w:nsid w:val="5DA7252A"/>
    <w:multiLevelType w:val="hybridMultilevel"/>
    <w:tmpl w:val="EF18FE8A"/>
    <w:lvl w:ilvl="0" w:tplc="2AC669B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5F1F02D2"/>
    <w:multiLevelType w:val="hybridMultilevel"/>
    <w:tmpl w:val="E28A4C0E"/>
    <w:lvl w:ilvl="0" w:tplc="62D4C270">
      <w:start w:val="3"/>
      <w:numFmt w:val="bullet"/>
      <w:lvlText w:val=""/>
      <w:lvlJc w:val="left"/>
      <w:pPr>
        <w:ind w:left="2562" w:hanging="360"/>
      </w:pPr>
      <w:rPr>
        <w:rFonts w:ascii="Symbol" w:eastAsia="Times New Roman" w:hAnsi="Symbol" w:cs="Arial" w:hint="default"/>
      </w:rPr>
    </w:lvl>
    <w:lvl w:ilvl="1" w:tplc="080A0003">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9" w15:restartNumberingAfterBreak="0">
    <w:nsid w:val="6C860F35"/>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0" w15:restartNumberingAfterBreak="0">
    <w:nsid w:val="6CA95BAB"/>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1" w15:restartNumberingAfterBreak="0">
    <w:nsid w:val="6EEA56E3"/>
    <w:multiLevelType w:val="hybridMultilevel"/>
    <w:tmpl w:val="D43A3C44"/>
    <w:lvl w:ilvl="0" w:tplc="62D4C270">
      <w:start w:val="3"/>
      <w:numFmt w:val="bullet"/>
      <w:lvlText w:val=""/>
      <w:lvlJc w:val="left"/>
      <w:pPr>
        <w:ind w:left="1854" w:hanging="360"/>
      </w:pPr>
      <w:rPr>
        <w:rFonts w:ascii="Symbol" w:eastAsia="Times New Roman" w:hAnsi="Symbol" w:cs="Aria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2" w15:restartNumberingAfterBreak="0">
    <w:nsid w:val="706645E7"/>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3" w15:restartNumberingAfterBreak="0">
    <w:nsid w:val="70A8269B"/>
    <w:multiLevelType w:val="hybridMultilevel"/>
    <w:tmpl w:val="8D0EF5A0"/>
    <w:lvl w:ilvl="0" w:tplc="62D4C270">
      <w:start w:val="3"/>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130180F"/>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5" w15:restartNumberingAfterBreak="0">
    <w:nsid w:val="7C161AA2"/>
    <w:multiLevelType w:val="hybridMultilevel"/>
    <w:tmpl w:val="453469CE"/>
    <w:lvl w:ilvl="0" w:tplc="B95A444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15:restartNumberingAfterBreak="0">
    <w:nsid w:val="7EC22121"/>
    <w:multiLevelType w:val="hybridMultilevel"/>
    <w:tmpl w:val="5830A76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num>
  <w:num w:numId="4">
    <w:abstractNumId w:val="8"/>
  </w:num>
  <w:num w:numId="5">
    <w:abstractNumId w:val="25"/>
  </w:num>
  <w:num w:numId="6">
    <w:abstractNumId w:val="3"/>
  </w:num>
  <w:num w:numId="7">
    <w:abstractNumId w:val="21"/>
  </w:num>
  <w:num w:numId="8">
    <w:abstractNumId w:val="18"/>
  </w:num>
  <w:num w:numId="9">
    <w:abstractNumId w:val="23"/>
  </w:num>
  <w:num w:numId="10">
    <w:abstractNumId w:val="1"/>
  </w:num>
  <w:num w:numId="11">
    <w:abstractNumId w:val="2"/>
  </w:num>
  <w:num w:numId="12">
    <w:abstractNumId w:val="14"/>
  </w:num>
  <w:num w:numId="13">
    <w:abstractNumId w:val="13"/>
  </w:num>
  <w:num w:numId="14">
    <w:abstractNumId w:val="6"/>
  </w:num>
  <w:num w:numId="15">
    <w:abstractNumId w:val="24"/>
  </w:num>
  <w:num w:numId="16">
    <w:abstractNumId w:val="9"/>
  </w:num>
  <w:num w:numId="17">
    <w:abstractNumId w:val="10"/>
  </w:num>
  <w:num w:numId="18">
    <w:abstractNumId w:val="12"/>
  </w:num>
  <w:num w:numId="19">
    <w:abstractNumId w:val="22"/>
  </w:num>
  <w:num w:numId="20">
    <w:abstractNumId w:val="11"/>
  </w:num>
  <w:num w:numId="21">
    <w:abstractNumId w:val="19"/>
  </w:num>
  <w:num w:numId="22">
    <w:abstractNumId w:val="20"/>
  </w:num>
  <w:num w:numId="23">
    <w:abstractNumId w:val="4"/>
  </w:num>
  <w:num w:numId="24">
    <w:abstractNumId w:val="16"/>
  </w:num>
  <w:num w:numId="25">
    <w:abstractNumId w:val="17"/>
  </w:num>
  <w:num w:numId="26">
    <w:abstractNumId w:val="5"/>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8C4"/>
    <w:rsid w:val="00001008"/>
    <w:rsid w:val="00015CD8"/>
    <w:rsid w:val="00022F32"/>
    <w:rsid w:val="00027B60"/>
    <w:rsid w:val="00033DFD"/>
    <w:rsid w:val="00034B1A"/>
    <w:rsid w:val="000439C9"/>
    <w:rsid w:val="00045955"/>
    <w:rsid w:val="0004612F"/>
    <w:rsid w:val="000571BD"/>
    <w:rsid w:val="00064204"/>
    <w:rsid w:val="0006423D"/>
    <w:rsid w:val="00065B6E"/>
    <w:rsid w:val="00065E0B"/>
    <w:rsid w:val="00066097"/>
    <w:rsid w:val="000674AE"/>
    <w:rsid w:val="00072308"/>
    <w:rsid w:val="00073054"/>
    <w:rsid w:val="000748B9"/>
    <w:rsid w:val="000750EC"/>
    <w:rsid w:val="00075B11"/>
    <w:rsid w:val="000801FF"/>
    <w:rsid w:val="00080768"/>
    <w:rsid w:val="000821EB"/>
    <w:rsid w:val="00085F8F"/>
    <w:rsid w:val="000903B2"/>
    <w:rsid w:val="0009124F"/>
    <w:rsid w:val="000940D0"/>
    <w:rsid w:val="000A09F7"/>
    <w:rsid w:val="000A18AD"/>
    <w:rsid w:val="000B0A68"/>
    <w:rsid w:val="000C597E"/>
    <w:rsid w:val="000C685F"/>
    <w:rsid w:val="000E016B"/>
    <w:rsid w:val="000E28E2"/>
    <w:rsid w:val="001006E6"/>
    <w:rsid w:val="00100B91"/>
    <w:rsid w:val="00105D94"/>
    <w:rsid w:val="0010791D"/>
    <w:rsid w:val="0011116C"/>
    <w:rsid w:val="00116503"/>
    <w:rsid w:val="001201F1"/>
    <w:rsid w:val="00123BD1"/>
    <w:rsid w:val="00155996"/>
    <w:rsid w:val="00160486"/>
    <w:rsid w:val="0016674A"/>
    <w:rsid w:val="00174029"/>
    <w:rsid w:val="001755FC"/>
    <w:rsid w:val="00183BDF"/>
    <w:rsid w:val="00184C66"/>
    <w:rsid w:val="001866A8"/>
    <w:rsid w:val="0019013A"/>
    <w:rsid w:val="0019212A"/>
    <w:rsid w:val="00193944"/>
    <w:rsid w:val="001973B8"/>
    <w:rsid w:val="00197F7D"/>
    <w:rsid w:val="001A0F17"/>
    <w:rsid w:val="001B03C5"/>
    <w:rsid w:val="001B1BD6"/>
    <w:rsid w:val="001B451F"/>
    <w:rsid w:val="001B46A7"/>
    <w:rsid w:val="001C29F9"/>
    <w:rsid w:val="001C4228"/>
    <w:rsid w:val="001C4828"/>
    <w:rsid w:val="001C719C"/>
    <w:rsid w:val="001E2C06"/>
    <w:rsid w:val="001E3AC4"/>
    <w:rsid w:val="001F10B7"/>
    <w:rsid w:val="00202915"/>
    <w:rsid w:val="002076F9"/>
    <w:rsid w:val="00210097"/>
    <w:rsid w:val="002138F2"/>
    <w:rsid w:val="00213D04"/>
    <w:rsid w:val="00226E91"/>
    <w:rsid w:val="002314A3"/>
    <w:rsid w:val="00231BD3"/>
    <w:rsid w:val="00232DB3"/>
    <w:rsid w:val="0023477A"/>
    <w:rsid w:val="002507AC"/>
    <w:rsid w:val="00252620"/>
    <w:rsid w:val="00257844"/>
    <w:rsid w:val="00265EA4"/>
    <w:rsid w:val="00267AE0"/>
    <w:rsid w:val="002836C0"/>
    <w:rsid w:val="002937B0"/>
    <w:rsid w:val="00293E36"/>
    <w:rsid w:val="002947CE"/>
    <w:rsid w:val="00296B1D"/>
    <w:rsid w:val="00296BF2"/>
    <w:rsid w:val="002A6E67"/>
    <w:rsid w:val="002A7F49"/>
    <w:rsid w:val="002B0724"/>
    <w:rsid w:val="002B4D54"/>
    <w:rsid w:val="002B5CF3"/>
    <w:rsid w:val="002C06D7"/>
    <w:rsid w:val="002C798D"/>
    <w:rsid w:val="002D0987"/>
    <w:rsid w:val="002D0ADE"/>
    <w:rsid w:val="002E45FA"/>
    <w:rsid w:val="002F111A"/>
    <w:rsid w:val="00301B16"/>
    <w:rsid w:val="003047B0"/>
    <w:rsid w:val="00307F65"/>
    <w:rsid w:val="00311C05"/>
    <w:rsid w:val="003143BF"/>
    <w:rsid w:val="00320BDB"/>
    <w:rsid w:val="00333E55"/>
    <w:rsid w:val="00336199"/>
    <w:rsid w:val="00343728"/>
    <w:rsid w:val="00366976"/>
    <w:rsid w:val="00371F6B"/>
    <w:rsid w:val="003801DC"/>
    <w:rsid w:val="003823CD"/>
    <w:rsid w:val="00383FC6"/>
    <w:rsid w:val="0038510E"/>
    <w:rsid w:val="00393BB7"/>
    <w:rsid w:val="003944B3"/>
    <w:rsid w:val="00396189"/>
    <w:rsid w:val="00397699"/>
    <w:rsid w:val="003A5715"/>
    <w:rsid w:val="003A7C68"/>
    <w:rsid w:val="003B5807"/>
    <w:rsid w:val="003B733C"/>
    <w:rsid w:val="003C07DA"/>
    <w:rsid w:val="003C459D"/>
    <w:rsid w:val="003C6B50"/>
    <w:rsid w:val="003C7A9B"/>
    <w:rsid w:val="003D3617"/>
    <w:rsid w:val="003D4C85"/>
    <w:rsid w:val="003D565A"/>
    <w:rsid w:val="003D5891"/>
    <w:rsid w:val="003D6352"/>
    <w:rsid w:val="003D6973"/>
    <w:rsid w:val="003E74FB"/>
    <w:rsid w:val="003F2D90"/>
    <w:rsid w:val="003F3CAA"/>
    <w:rsid w:val="00400B37"/>
    <w:rsid w:val="00404B13"/>
    <w:rsid w:val="004107C3"/>
    <w:rsid w:val="00410CA7"/>
    <w:rsid w:val="00423C38"/>
    <w:rsid w:val="00431A59"/>
    <w:rsid w:val="00433446"/>
    <w:rsid w:val="004335E1"/>
    <w:rsid w:val="00441297"/>
    <w:rsid w:val="00452470"/>
    <w:rsid w:val="00452FF0"/>
    <w:rsid w:val="00454768"/>
    <w:rsid w:val="004659C0"/>
    <w:rsid w:val="00466E27"/>
    <w:rsid w:val="00471043"/>
    <w:rsid w:val="00472DC3"/>
    <w:rsid w:val="00480740"/>
    <w:rsid w:val="0048138F"/>
    <w:rsid w:val="0049071D"/>
    <w:rsid w:val="004A0A02"/>
    <w:rsid w:val="004A0DB8"/>
    <w:rsid w:val="004B2062"/>
    <w:rsid w:val="004C535D"/>
    <w:rsid w:val="004C5E5E"/>
    <w:rsid w:val="004F73F2"/>
    <w:rsid w:val="0050243F"/>
    <w:rsid w:val="005029BE"/>
    <w:rsid w:val="005042E9"/>
    <w:rsid w:val="00513912"/>
    <w:rsid w:val="0051420D"/>
    <w:rsid w:val="0051588D"/>
    <w:rsid w:val="0051617E"/>
    <w:rsid w:val="00521863"/>
    <w:rsid w:val="00521E72"/>
    <w:rsid w:val="005222E0"/>
    <w:rsid w:val="00524773"/>
    <w:rsid w:val="00533883"/>
    <w:rsid w:val="00541994"/>
    <w:rsid w:val="00542E63"/>
    <w:rsid w:val="0056050C"/>
    <w:rsid w:val="0056120C"/>
    <w:rsid w:val="00562558"/>
    <w:rsid w:val="00563B9F"/>
    <w:rsid w:val="00571B74"/>
    <w:rsid w:val="005761FE"/>
    <w:rsid w:val="00581BD7"/>
    <w:rsid w:val="005847E2"/>
    <w:rsid w:val="00586BD5"/>
    <w:rsid w:val="00595BA0"/>
    <w:rsid w:val="005A1977"/>
    <w:rsid w:val="005A6710"/>
    <w:rsid w:val="005A7875"/>
    <w:rsid w:val="005B025A"/>
    <w:rsid w:val="005B3067"/>
    <w:rsid w:val="005B4E87"/>
    <w:rsid w:val="005B5139"/>
    <w:rsid w:val="005B557F"/>
    <w:rsid w:val="005C7C0B"/>
    <w:rsid w:val="005E6284"/>
    <w:rsid w:val="005F21D3"/>
    <w:rsid w:val="005F38FE"/>
    <w:rsid w:val="00602B0B"/>
    <w:rsid w:val="0060493C"/>
    <w:rsid w:val="00605172"/>
    <w:rsid w:val="00605D6B"/>
    <w:rsid w:val="00607BA7"/>
    <w:rsid w:val="006122AF"/>
    <w:rsid w:val="00612D48"/>
    <w:rsid w:val="006132FF"/>
    <w:rsid w:val="00616062"/>
    <w:rsid w:val="0062207C"/>
    <w:rsid w:val="00633DD9"/>
    <w:rsid w:val="006508FC"/>
    <w:rsid w:val="00650A8D"/>
    <w:rsid w:val="006518F8"/>
    <w:rsid w:val="00653C2E"/>
    <w:rsid w:val="00664C8A"/>
    <w:rsid w:val="00671B08"/>
    <w:rsid w:val="00691C49"/>
    <w:rsid w:val="00692CE5"/>
    <w:rsid w:val="00696E10"/>
    <w:rsid w:val="006B660D"/>
    <w:rsid w:val="006C0471"/>
    <w:rsid w:val="006C3547"/>
    <w:rsid w:val="006D2ADA"/>
    <w:rsid w:val="006E0D99"/>
    <w:rsid w:val="006E1170"/>
    <w:rsid w:val="006E1346"/>
    <w:rsid w:val="006E4B09"/>
    <w:rsid w:val="006F135A"/>
    <w:rsid w:val="006F58A5"/>
    <w:rsid w:val="006F67EF"/>
    <w:rsid w:val="007067BC"/>
    <w:rsid w:val="00710E1F"/>
    <w:rsid w:val="007132F7"/>
    <w:rsid w:val="00713FD3"/>
    <w:rsid w:val="00724278"/>
    <w:rsid w:val="00746891"/>
    <w:rsid w:val="00753D70"/>
    <w:rsid w:val="007575C4"/>
    <w:rsid w:val="007728CA"/>
    <w:rsid w:val="007732CC"/>
    <w:rsid w:val="00785B44"/>
    <w:rsid w:val="00796F24"/>
    <w:rsid w:val="00797AB1"/>
    <w:rsid w:val="007A0E3B"/>
    <w:rsid w:val="007A7ED6"/>
    <w:rsid w:val="007E31AD"/>
    <w:rsid w:val="007E3C40"/>
    <w:rsid w:val="007E47A8"/>
    <w:rsid w:val="0080070D"/>
    <w:rsid w:val="00805960"/>
    <w:rsid w:val="008120CC"/>
    <w:rsid w:val="00813DD2"/>
    <w:rsid w:val="0082194C"/>
    <w:rsid w:val="00822925"/>
    <w:rsid w:val="00823F1D"/>
    <w:rsid w:val="008279BD"/>
    <w:rsid w:val="0083147D"/>
    <w:rsid w:val="00831826"/>
    <w:rsid w:val="00840827"/>
    <w:rsid w:val="008451E2"/>
    <w:rsid w:val="00847F9F"/>
    <w:rsid w:val="00853308"/>
    <w:rsid w:val="00857A48"/>
    <w:rsid w:val="00860A0B"/>
    <w:rsid w:val="00876A72"/>
    <w:rsid w:val="0087710C"/>
    <w:rsid w:val="00882F02"/>
    <w:rsid w:val="008A0843"/>
    <w:rsid w:val="008A11AB"/>
    <w:rsid w:val="008A22B7"/>
    <w:rsid w:val="008A4FA0"/>
    <w:rsid w:val="008A50F2"/>
    <w:rsid w:val="008B3099"/>
    <w:rsid w:val="008B4125"/>
    <w:rsid w:val="008B4661"/>
    <w:rsid w:val="008B46DB"/>
    <w:rsid w:val="008C24AE"/>
    <w:rsid w:val="008D0BE9"/>
    <w:rsid w:val="008D5041"/>
    <w:rsid w:val="008D560D"/>
    <w:rsid w:val="008E2372"/>
    <w:rsid w:val="008F0621"/>
    <w:rsid w:val="00903675"/>
    <w:rsid w:val="00905452"/>
    <w:rsid w:val="009078D5"/>
    <w:rsid w:val="00917D3A"/>
    <w:rsid w:val="00920802"/>
    <w:rsid w:val="00920FD6"/>
    <w:rsid w:val="0093057A"/>
    <w:rsid w:val="00934456"/>
    <w:rsid w:val="00936C1C"/>
    <w:rsid w:val="0093724E"/>
    <w:rsid w:val="009406D3"/>
    <w:rsid w:val="00942033"/>
    <w:rsid w:val="009434EF"/>
    <w:rsid w:val="00951B0D"/>
    <w:rsid w:val="00953DF5"/>
    <w:rsid w:val="00963C9B"/>
    <w:rsid w:val="00966236"/>
    <w:rsid w:val="00966F59"/>
    <w:rsid w:val="00971A8E"/>
    <w:rsid w:val="00976A55"/>
    <w:rsid w:val="009865DE"/>
    <w:rsid w:val="009868D1"/>
    <w:rsid w:val="009934D2"/>
    <w:rsid w:val="00994B4A"/>
    <w:rsid w:val="00997A0C"/>
    <w:rsid w:val="00997DDE"/>
    <w:rsid w:val="009A2EA5"/>
    <w:rsid w:val="009B1495"/>
    <w:rsid w:val="009C14DD"/>
    <w:rsid w:val="009D3932"/>
    <w:rsid w:val="009E7D98"/>
    <w:rsid w:val="00A06C72"/>
    <w:rsid w:val="00A35C08"/>
    <w:rsid w:val="00A43A1F"/>
    <w:rsid w:val="00A50440"/>
    <w:rsid w:val="00A569F6"/>
    <w:rsid w:val="00A578AD"/>
    <w:rsid w:val="00A6547C"/>
    <w:rsid w:val="00A6798F"/>
    <w:rsid w:val="00A70E50"/>
    <w:rsid w:val="00A7562A"/>
    <w:rsid w:val="00A8052C"/>
    <w:rsid w:val="00A92EAF"/>
    <w:rsid w:val="00A95DAC"/>
    <w:rsid w:val="00AA6B90"/>
    <w:rsid w:val="00AB19E5"/>
    <w:rsid w:val="00AB37E9"/>
    <w:rsid w:val="00AB3978"/>
    <w:rsid w:val="00AB5434"/>
    <w:rsid w:val="00AC11AC"/>
    <w:rsid w:val="00AC4128"/>
    <w:rsid w:val="00AC76E2"/>
    <w:rsid w:val="00AC7938"/>
    <w:rsid w:val="00AD0240"/>
    <w:rsid w:val="00AD548B"/>
    <w:rsid w:val="00AD727C"/>
    <w:rsid w:val="00AE6134"/>
    <w:rsid w:val="00B040B3"/>
    <w:rsid w:val="00B14AC5"/>
    <w:rsid w:val="00B15270"/>
    <w:rsid w:val="00B2223F"/>
    <w:rsid w:val="00B24175"/>
    <w:rsid w:val="00B27923"/>
    <w:rsid w:val="00B27DA4"/>
    <w:rsid w:val="00B37D30"/>
    <w:rsid w:val="00B37D6A"/>
    <w:rsid w:val="00B4223C"/>
    <w:rsid w:val="00B51638"/>
    <w:rsid w:val="00B55816"/>
    <w:rsid w:val="00B60B60"/>
    <w:rsid w:val="00B62B40"/>
    <w:rsid w:val="00B64556"/>
    <w:rsid w:val="00B764D0"/>
    <w:rsid w:val="00B77C39"/>
    <w:rsid w:val="00B828A5"/>
    <w:rsid w:val="00B90CDF"/>
    <w:rsid w:val="00B93195"/>
    <w:rsid w:val="00B936FA"/>
    <w:rsid w:val="00BA1EB0"/>
    <w:rsid w:val="00BA33C2"/>
    <w:rsid w:val="00BB2EDB"/>
    <w:rsid w:val="00BB58C4"/>
    <w:rsid w:val="00BB59EF"/>
    <w:rsid w:val="00BC64F1"/>
    <w:rsid w:val="00BD2B59"/>
    <w:rsid w:val="00BD51FA"/>
    <w:rsid w:val="00BE2408"/>
    <w:rsid w:val="00BF0C40"/>
    <w:rsid w:val="00BF1427"/>
    <w:rsid w:val="00BF76BC"/>
    <w:rsid w:val="00C02CCD"/>
    <w:rsid w:val="00C064B9"/>
    <w:rsid w:val="00C11EA0"/>
    <w:rsid w:val="00C12E01"/>
    <w:rsid w:val="00C3013F"/>
    <w:rsid w:val="00C321CE"/>
    <w:rsid w:val="00C32414"/>
    <w:rsid w:val="00C328C5"/>
    <w:rsid w:val="00C35E1E"/>
    <w:rsid w:val="00C3601A"/>
    <w:rsid w:val="00C436AC"/>
    <w:rsid w:val="00C44163"/>
    <w:rsid w:val="00C531C5"/>
    <w:rsid w:val="00C747F7"/>
    <w:rsid w:val="00C8192E"/>
    <w:rsid w:val="00C858F6"/>
    <w:rsid w:val="00C85B80"/>
    <w:rsid w:val="00C928EE"/>
    <w:rsid w:val="00C9665B"/>
    <w:rsid w:val="00CA1559"/>
    <w:rsid w:val="00CA3E39"/>
    <w:rsid w:val="00CB3EC4"/>
    <w:rsid w:val="00CB56B7"/>
    <w:rsid w:val="00CB617B"/>
    <w:rsid w:val="00CC5170"/>
    <w:rsid w:val="00CD028C"/>
    <w:rsid w:val="00CF4F46"/>
    <w:rsid w:val="00D0161F"/>
    <w:rsid w:val="00D02B78"/>
    <w:rsid w:val="00D04B32"/>
    <w:rsid w:val="00D063F6"/>
    <w:rsid w:val="00D068BF"/>
    <w:rsid w:val="00D11500"/>
    <w:rsid w:val="00D25032"/>
    <w:rsid w:val="00D2671E"/>
    <w:rsid w:val="00D27885"/>
    <w:rsid w:val="00D6513C"/>
    <w:rsid w:val="00D65C07"/>
    <w:rsid w:val="00D67DC7"/>
    <w:rsid w:val="00D700D0"/>
    <w:rsid w:val="00D7790F"/>
    <w:rsid w:val="00D811CC"/>
    <w:rsid w:val="00D838EF"/>
    <w:rsid w:val="00D951C1"/>
    <w:rsid w:val="00D95735"/>
    <w:rsid w:val="00D97E88"/>
    <w:rsid w:val="00DA025E"/>
    <w:rsid w:val="00DA3B6C"/>
    <w:rsid w:val="00DA7148"/>
    <w:rsid w:val="00DB5F7D"/>
    <w:rsid w:val="00DD24C1"/>
    <w:rsid w:val="00DD2819"/>
    <w:rsid w:val="00DD4EFC"/>
    <w:rsid w:val="00DF5627"/>
    <w:rsid w:val="00E014D4"/>
    <w:rsid w:val="00E049B5"/>
    <w:rsid w:val="00E11A5D"/>
    <w:rsid w:val="00E120F4"/>
    <w:rsid w:val="00E14058"/>
    <w:rsid w:val="00E21374"/>
    <w:rsid w:val="00E25AE4"/>
    <w:rsid w:val="00E35500"/>
    <w:rsid w:val="00E3652B"/>
    <w:rsid w:val="00E42AB4"/>
    <w:rsid w:val="00E51E29"/>
    <w:rsid w:val="00E5423E"/>
    <w:rsid w:val="00E63331"/>
    <w:rsid w:val="00E727D3"/>
    <w:rsid w:val="00E81315"/>
    <w:rsid w:val="00E97F06"/>
    <w:rsid w:val="00EA3B08"/>
    <w:rsid w:val="00EC6D5A"/>
    <w:rsid w:val="00ED2E67"/>
    <w:rsid w:val="00ED3282"/>
    <w:rsid w:val="00EE2017"/>
    <w:rsid w:val="00EE5472"/>
    <w:rsid w:val="00EF035E"/>
    <w:rsid w:val="00EF057F"/>
    <w:rsid w:val="00EF4B28"/>
    <w:rsid w:val="00EF51A2"/>
    <w:rsid w:val="00EF7840"/>
    <w:rsid w:val="00F000BA"/>
    <w:rsid w:val="00F00AEE"/>
    <w:rsid w:val="00F14FC5"/>
    <w:rsid w:val="00F15C8D"/>
    <w:rsid w:val="00F1750E"/>
    <w:rsid w:val="00F22179"/>
    <w:rsid w:val="00F2669C"/>
    <w:rsid w:val="00F37C9A"/>
    <w:rsid w:val="00F41975"/>
    <w:rsid w:val="00F44B0F"/>
    <w:rsid w:val="00F61778"/>
    <w:rsid w:val="00F6478E"/>
    <w:rsid w:val="00F670BA"/>
    <w:rsid w:val="00F7650D"/>
    <w:rsid w:val="00F77E26"/>
    <w:rsid w:val="00F8289C"/>
    <w:rsid w:val="00F9189C"/>
    <w:rsid w:val="00F923FB"/>
    <w:rsid w:val="00FA2372"/>
    <w:rsid w:val="00FA3F6E"/>
    <w:rsid w:val="00FA51B9"/>
    <w:rsid w:val="00FB2176"/>
    <w:rsid w:val="00FB472C"/>
    <w:rsid w:val="00FC271D"/>
    <w:rsid w:val="00FC4BC3"/>
    <w:rsid w:val="00FD5BB9"/>
    <w:rsid w:val="00FE0363"/>
    <w:rsid w:val="00FE2488"/>
    <w:rsid w:val="00FE4F44"/>
    <w:rsid w:val="00FE6DC2"/>
    <w:rsid w:val="00FF3106"/>
    <w:rsid w:val="00FF7F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0563C"/>
  <w15:chartTrackingRefBased/>
  <w15:docId w15:val="{6762A07A-DFAC-4698-A1DB-BBFA9945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212A"/>
    <w:pPr>
      <w:spacing w:line="256" w:lineRule="auto"/>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58C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58C4"/>
  </w:style>
  <w:style w:type="paragraph" w:styleId="Piedepgina">
    <w:name w:val="footer"/>
    <w:basedOn w:val="Normal"/>
    <w:link w:val="PiedepginaCar"/>
    <w:uiPriority w:val="99"/>
    <w:unhideWhenUsed/>
    <w:rsid w:val="00BB58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58C4"/>
  </w:style>
  <w:style w:type="table" w:styleId="Tablaconcuadrcula">
    <w:name w:val="Table Grid"/>
    <w:basedOn w:val="Tablanormal"/>
    <w:uiPriority w:val="59"/>
    <w:rsid w:val="0093057A"/>
    <w:pPr>
      <w:spacing w:after="0" w:line="240" w:lineRule="auto"/>
    </w:pPr>
    <w:rPr>
      <w:rFonts w:eastAsia="Times New Roman"/>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unhideWhenUsed/>
    <w:qFormat/>
    <w:rsid w:val="0093057A"/>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93057A"/>
    <w:pPr>
      <w:spacing w:after="0" w:line="240" w:lineRule="auto"/>
      <w:jc w:val="both"/>
    </w:pPr>
    <w:rPr>
      <w:rFonts w:eastAsia="Times New Roman" w:cs="Times New Roman"/>
      <w:sz w:val="20"/>
      <w:szCs w:val="20"/>
      <w:lang w:eastAsia="es-ES"/>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93057A"/>
    <w:rPr>
      <w:rFonts w:eastAsia="Times New Roman" w:cs="Times New Roman"/>
      <w:sz w:val="20"/>
      <w:szCs w:val="20"/>
      <w:lang w:val="es-MX"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93057A"/>
    <w:pPr>
      <w:spacing w:line="259" w:lineRule="auto"/>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93057A"/>
    <w:rPr>
      <w:lang w:val="es-MX"/>
    </w:rPr>
  </w:style>
  <w:style w:type="character" w:styleId="Hipervnculo">
    <w:name w:val="Hyperlink"/>
    <w:basedOn w:val="Fuentedeprrafopredeter"/>
    <w:uiPriority w:val="99"/>
    <w:unhideWhenUsed/>
    <w:rsid w:val="00471043"/>
    <w:rPr>
      <w:color w:val="0563C1" w:themeColor="hyperlink"/>
      <w:u w:val="single"/>
    </w:rPr>
  </w:style>
  <w:style w:type="character" w:customStyle="1" w:styleId="corte4fondoCar1">
    <w:name w:val="corte4 fondo Car1"/>
    <w:link w:val="corte4fondo"/>
    <w:locked/>
    <w:rsid w:val="00D6513C"/>
    <w:rPr>
      <w:rFonts w:ascii="Arial" w:eastAsia="Times New Roman" w:hAnsi="Arial" w:cs="Times New Roman"/>
      <w:sz w:val="30"/>
      <w:szCs w:val="20"/>
      <w:lang w:eastAsia="es-MX"/>
    </w:rPr>
  </w:style>
  <w:style w:type="paragraph" w:customStyle="1" w:styleId="corte4fondo">
    <w:name w:val="corte4 fondo"/>
    <w:basedOn w:val="Normal"/>
    <w:link w:val="corte4fondoCar1"/>
    <w:qFormat/>
    <w:rsid w:val="00D6513C"/>
    <w:pPr>
      <w:spacing w:after="0" w:line="360" w:lineRule="auto"/>
      <w:ind w:firstLine="709"/>
      <w:jc w:val="both"/>
    </w:pPr>
    <w:rPr>
      <w:rFonts w:ascii="Arial" w:eastAsia="Times New Roman" w:hAnsi="Arial" w:cs="Times New Roman"/>
      <w:sz w:val="30"/>
      <w:szCs w:val="20"/>
      <w:lang w:val="es-ES" w:eastAsia="es-MX"/>
    </w:rPr>
  </w:style>
  <w:style w:type="character" w:styleId="nfasis">
    <w:name w:val="Emphasis"/>
    <w:basedOn w:val="Fuentedeprrafopredeter"/>
    <w:uiPriority w:val="20"/>
    <w:qFormat/>
    <w:rsid w:val="00D6513C"/>
    <w:rPr>
      <w:i/>
      <w:iCs/>
    </w:rPr>
  </w:style>
  <w:style w:type="paragraph" w:styleId="Textoindependiente">
    <w:name w:val="Body Text"/>
    <w:basedOn w:val="Normal"/>
    <w:link w:val="TextoindependienteCar"/>
    <w:uiPriority w:val="99"/>
    <w:semiHidden/>
    <w:unhideWhenUsed/>
    <w:rsid w:val="00713FD3"/>
    <w:pPr>
      <w:spacing w:after="120" w:line="259" w:lineRule="auto"/>
    </w:pPr>
  </w:style>
  <w:style w:type="character" w:customStyle="1" w:styleId="TextoindependienteCar">
    <w:name w:val="Texto independiente Car"/>
    <w:basedOn w:val="Fuentedeprrafopredeter"/>
    <w:link w:val="Textoindependiente"/>
    <w:uiPriority w:val="99"/>
    <w:semiHidden/>
    <w:rsid w:val="00713FD3"/>
    <w:rPr>
      <w:lang w:val="es-MX"/>
    </w:rPr>
  </w:style>
  <w:style w:type="paragraph" w:styleId="Textoindependienteprimerasangra">
    <w:name w:val="Body Text First Indent"/>
    <w:basedOn w:val="Textoindependiente"/>
    <w:link w:val="TextoindependienteprimerasangraCar"/>
    <w:uiPriority w:val="99"/>
    <w:rsid w:val="00713FD3"/>
    <w:pPr>
      <w:spacing w:line="360" w:lineRule="auto"/>
      <w:ind w:firstLine="210"/>
      <w:jc w:val="both"/>
    </w:pPr>
    <w:rPr>
      <w:rFonts w:eastAsia="Times New Roman" w:cs="Times New Roman"/>
      <w:sz w:val="26"/>
      <w:szCs w:val="24"/>
      <w:lang w:eastAsia="es-ES"/>
    </w:rPr>
  </w:style>
  <w:style w:type="character" w:customStyle="1" w:styleId="TextoindependienteprimerasangraCar">
    <w:name w:val="Texto independiente primera sangría Car"/>
    <w:basedOn w:val="TextoindependienteCar"/>
    <w:link w:val="Textoindependienteprimerasangra"/>
    <w:uiPriority w:val="99"/>
    <w:rsid w:val="00713FD3"/>
    <w:rPr>
      <w:rFonts w:eastAsia="Times New Roman" w:cs="Times New Roman"/>
      <w:sz w:val="26"/>
      <w:szCs w:val="24"/>
      <w:lang w:val="es-MX" w:eastAsia="es-ES"/>
    </w:rPr>
  </w:style>
  <w:style w:type="paragraph" w:styleId="NormalWeb">
    <w:name w:val="Normal (Web)"/>
    <w:basedOn w:val="Normal"/>
    <w:uiPriority w:val="99"/>
    <w:unhideWhenUsed/>
    <w:rsid w:val="0019212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951C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51C1"/>
    <w:rPr>
      <w:rFonts w:ascii="Segoe UI" w:hAnsi="Segoe UI" w:cs="Segoe UI"/>
      <w:sz w:val="18"/>
      <w:szCs w:val="18"/>
      <w:lang w:val="es-MX"/>
    </w:rPr>
  </w:style>
  <w:style w:type="table" w:styleId="Tablanormal3">
    <w:name w:val="Plain Table 3"/>
    <w:basedOn w:val="Tablanormal"/>
    <w:uiPriority w:val="43"/>
    <w:rsid w:val="00FC4BC3"/>
    <w:pPr>
      <w:spacing w:after="0" w:line="240" w:lineRule="auto"/>
    </w:pPr>
    <w:rPr>
      <w:lang w:val="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g-star-inserted">
    <w:name w:val="ng-star-inserted"/>
    <w:basedOn w:val="Fuentedeprrafopredeter"/>
    <w:rsid w:val="00C531C5"/>
  </w:style>
  <w:style w:type="paragraph" w:customStyle="1" w:styleId="Estilo">
    <w:name w:val="Estilo"/>
    <w:basedOn w:val="Sinespaciado"/>
    <w:link w:val="EstiloCar"/>
    <w:qFormat/>
    <w:rsid w:val="006E0D99"/>
    <w:pPr>
      <w:jc w:val="both"/>
    </w:pPr>
    <w:rPr>
      <w:rFonts w:ascii="Arial" w:hAnsi="Arial"/>
      <w:sz w:val="24"/>
    </w:rPr>
  </w:style>
  <w:style w:type="character" w:customStyle="1" w:styleId="EstiloCar">
    <w:name w:val="Estilo Car"/>
    <w:basedOn w:val="Fuentedeprrafopredeter"/>
    <w:link w:val="Estilo"/>
    <w:rsid w:val="006E0D99"/>
    <w:rPr>
      <w:rFonts w:ascii="Arial" w:hAnsi="Arial"/>
      <w:sz w:val="24"/>
      <w:lang w:val="es-MX"/>
    </w:rPr>
  </w:style>
  <w:style w:type="paragraph" w:styleId="Sinespaciado">
    <w:name w:val="No Spacing"/>
    <w:uiPriority w:val="1"/>
    <w:qFormat/>
    <w:rsid w:val="006E0D99"/>
    <w:pPr>
      <w:spacing w:after="0" w:line="240" w:lineRule="auto"/>
    </w:pPr>
    <w:rPr>
      <w:lang w:val="es-MX"/>
    </w:rPr>
  </w:style>
  <w:style w:type="character" w:customStyle="1" w:styleId="text-justify">
    <w:name w:val="text-justify"/>
    <w:basedOn w:val="Fuentedeprrafopredeter"/>
    <w:rsid w:val="00304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265211">
      <w:bodyDiv w:val="1"/>
      <w:marLeft w:val="0"/>
      <w:marRight w:val="0"/>
      <w:marTop w:val="0"/>
      <w:marBottom w:val="0"/>
      <w:divBdr>
        <w:top w:val="none" w:sz="0" w:space="0" w:color="auto"/>
        <w:left w:val="none" w:sz="0" w:space="0" w:color="auto"/>
        <w:bottom w:val="none" w:sz="0" w:space="0" w:color="auto"/>
        <w:right w:val="none" w:sz="0" w:space="0" w:color="auto"/>
      </w:divBdr>
      <w:divsChild>
        <w:div w:id="1317606123">
          <w:marLeft w:val="-225"/>
          <w:marRight w:val="-225"/>
          <w:marTop w:val="0"/>
          <w:marBottom w:val="0"/>
          <w:divBdr>
            <w:top w:val="none" w:sz="0" w:space="0" w:color="auto"/>
            <w:left w:val="none" w:sz="0" w:space="0" w:color="auto"/>
            <w:bottom w:val="none" w:sz="0" w:space="0" w:color="auto"/>
            <w:right w:val="none" w:sz="0" w:space="0" w:color="auto"/>
          </w:divBdr>
          <w:divsChild>
            <w:div w:id="95899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821864">
      <w:bodyDiv w:val="1"/>
      <w:marLeft w:val="0"/>
      <w:marRight w:val="0"/>
      <w:marTop w:val="0"/>
      <w:marBottom w:val="0"/>
      <w:divBdr>
        <w:top w:val="none" w:sz="0" w:space="0" w:color="auto"/>
        <w:left w:val="none" w:sz="0" w:space="0" w:color="auto"/>
        <w:bottom w:val="none" w:sz="0" w:space="0" w:color="auto"/>
        <w:right w:val="none" w:sz="0" w:space="0" w:color="auto"/>
      </w:divBdr>
      <w:divsChild>
        <w:div w:id="18046045">
          <w:marLeft w:val="-225"/>
          <w:marRight w:val="-225"/>
          <w:marTop w:val="0"/>
          <w:marBottom w:val="0"/>
          <w:divBdr>
            <w:top w:val="none" w:sz="0" w:space="0" w:color="auto"/>
            <w:left w:val="none" w:sz="0" w:space="0" w:color="auto"/>
            <w:bottom w:val="none" w:sz="0" w:space="0" w:color="auto"/>
            <w:right w:val="none" w:sz="0" w:space="0" w:color="auto"/>
          </w:divBdr>
          <w:divsChild>
            <w:div w:id="99445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47901">
      <w:bodyDiv w:val="1"/>
      <w:marLeft w:val="0"/>
      <w:marRight w:val="0"/>
      <w:marTop w:val="0"/>
      <w:marBottom w:val="0"/>
      <w:divBdr>
        <w:top w:val="none" w:sz="0" w:space="0" w:color="auto"/>
        <w:left w:val="none" w:sz="0" w:space="0" w:color="auto"/>
        <w:bottom w:val="none" w:sz="0" w:space="0" w:color="auto"/>
        <w:right w:val="none" w:sz="0" w:space="0" w:color="auto"/>
      </w:divBdr>
    </w:div>
    <w:div w:id="903679873">
      <w:bodyDiv w:val="1"/>
      <w:marLeft w:val="0"/>
      <w:marRight w:val="0"/>
      <w:marTop w:val="0"/>
      <w:marBottom w:val="0"/>
      <w:divBdr>
        <w:top w:val="none" w:sz="0" w:space="0" w:color="auto"/>
        <w:left w:val="none" w:sz="0" w:space="0" w:color="auto"/>
        <w:bottom w:val="none" w:sz="0" w:space="0" w:color="auto"/>
        <w:right w:val="none" w:sz="0" w:space="0" w:color="auto"/>
      </w:divBdr>
    </w:div>
    <w:div w:id="984553449">
      <w:bodyDiv w:val="1"/>
      <w:marLeft w:val="0"/>
      <w:marRight w:val="0"/>
      <w:marTop w:val="0"/>
      <w:marBottom w:val="0"/>
      <w:divBdr>
        <w:top w:val="none" w:sz="0" w:space="0" w:color="auto"/>
        <w:left w:val="none" w:sz="0" w:space="0" w:color="auto"/>
        <w:bottom w:val="none" w:sz="0" w:space="0" w:color="auto"/>
        <w:right w:val="none" w:sz="0" w:space="0" w:color="auto"/>
      </w:divBdr>
    </w:div>
    <w:div w:id="1021781768">
      <w:bodyDiv w:val="1"/>
      <w:marLeft w:val="0"/>
      <w:marRight w:val="0"/>
      <w:marTop w:val="0"/>
      <w:marBottom w:val="0"/>
      <w:divBdr>
        <w:top w:val="none" w:sz="0" w:space="0" w:color="auto"/>
        <w:left w:val="none" w:sz="0" w:space="0" w:color="auto"/>
        <w:bottom w:val="none" w:sz="0" w:space="0" w:color="auto"/>
        <w:right w:val="none" w:sz="0" w:space="0" w:color="auto"/>
      </w:divBdr>
    </w:div>
    <w:div w:id="1095399511">
      <w:bodyDiv w:val="1"/>
      <w:marLeft w:val="0"/>
      <w:marRight w:val="0"/>
      <w:marTop w:val="0"/>
      <w:marBottom w:val="0"/>
      <w:divBdr>
        <w:top w:val="none" w:sz="0" w:space="0" w:color="auto"/>
        <w:left w:val="none" w:sz="0" w:space="0" w:color="auto"/>
        <w:bottom w:val="none" w:sz="0" w:space="0" w:color="auto"/>
        <w:right w:val="none" w:sz="0" w:space="0" w:color="auto"/>
      </w:divBdr>
      <w:divsChild>
        <w:div w:id="317654874">
          <w:marLeft w:val="-225"/>
          <w:marRight w:val="-225"/>
          <w:marTop w:val="0"/>
          <w:marBottom w:val="0"/>
          <w:divBdr>
            <w:top w:val="none" w:sz="0" w:space="0" w:color="auto"/>
            <w:left w:val="none" w:sz="0" w:space="0" w:color="auto"/>
            <w:bottom w:val="none" w:sz="0" w:space="0" w:color="auto"/>
            <w:right w:val="none" w:sz="0" w:space="0" w:color="auto"/>
          </w:divBdr>
          <w:divsChild>
            <w:div w:id="452405415">
              <w:marLeft w:val="0"/>
              <w:marRight w:val="0"/>
              <w:marTop w:val="0"/>
              <w:marBottom w:val="0"/>
              <w:divBdr>
                <w:top w:val="none" w:sz="0" w:space="0" w:color="auto"/>
                <w:left w:val="none" w:sz="0" w:space="0" w:color="auto"/>
                <w:bottom w:val="none" w:sz="0" w:space="0" w:color="auto"/>
                <w:right w:val="none" w:sz="0" w:space="0" w:color="auto"/>
              </w:divBdr>
            </w:div>
          </w:divsChild>
        </w:div>
        <w:div w:id="799691255">
          <w:marLeft w:val="-225"/>
          <w:marRight w:val="-225"/>
          <w:marTop w:val="0"/>
          <w:marBottom w:val="0"/>
          <w:divBdr>
            <w:top w:val="none" w:sz="0" w:space="0" w:color="auto"/>
            <w:left w:val="none" w:sz="0" w:space="0" w:color="auto"/>
            <w:bottom w:val="none" w:sz="0" w:space="0" w:color="auto"/>
            <w:right w:val="none" w:sz="0" w:space="0" w:color="auto"/>
          </w:divBdr>
          <w:divsChild>
            <w:div w:id="619798826">
              <w:marLeft w:val="0"/>
              <w:marRight w:val="0"/>
              <w:marTop w:val="0"/>
              <w:marBottom w:val="0"/>
              <w:divBdr>
                <w:top w:val="none" w:sz="0" w:space="0" w:color="auto"/>
                <w:left w:val="none" w:sz="0" w:space="0" w:color="auto"/>
                <w:bottom w:val="none" w:sz="0" w:space="0" w:color="auto"/>
                <w:right w:val="none" w:sz="0" w:space="0" w:color="auto"/>
              </w:divBdr>
            </w:div>
            <w:div w:id="5462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437499">
      <w:bodyDiv w:val="1"/>
      <w:marLeft w:val="0"/>
      <w:marRight w:val="0"/>
      <w:marTop w:val="0"/>
      <w:marBottom w:val="0"/>
      <w:divBdr>
        <w:top w:val="none" w:sz="0" w:space="0" w:color="auto"/>
        <w:left w:val="none" w:sz="0" w:space="0" w:color="auto"/>
        <w:bottom w:val="none" w:sz="0" w:space="0" w:color="auto"/>
        <w:right w:val="none" w:sz="0" w:space="0" w:color="auto"/>
      </w:divBdr>
      <w:divsChild>
        <w:div w:id="1489054788">
          <w:marLeft w:val="0"/>
          <w:marRight w:val="0"/>
          <w:marTop w:val="0"/>
          <w:marBottom w:val="0"/>
          <w:divBdr>
            <w:top w:val="none" w:sz="0" w:space="0" w:color="auto"/>
            <w:left w:val="none" w:sz="0" w:space="0" w:color="auto"/>
            <w:bottom w:val="none" w:sz="0" w:space="0" w:color="auto"/>
            <w:right w:val="none" w:sz="0" w:space="0" w:color="auto"/>
          </w:divBdr>
          <w:divsChild>
            <w:div w:id="1800874736">
              <w:marLeft w:val="0"/>
              <w:marRight w:val="0"/>
              <w:marTop w:val="0"/>
              <w:marBottom w:val="0"/>
              <w:divBdr>
                <w:top w:val="none" w:sz="0" w:space="0" w:color="auto"/>
                <w:left w:val="none" w:sz="0" w:space="0" w:color="auto"/>
                <w:bottom w:val="none" w:sz="0" w:space="0" w:color="auto"/>
                <w:right w:val="none" w:sz="0" w:space="0" w:color="auto"/>
              </w:divBdr>
              <w:divsChild>
                <w:div w:id="79529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07846">
      <w:bodyDiv w:val="1"/>
      <w:marLeft w:val="0"/>
      <w:marRight w:val="0"/>
      <w:marTop w:val="0"/>
      <w:marBottom w:val="0"/>
      <w:divBdr>
        <w:top w:val="none" w:sz="0" w:space="0" w:color="auto"/>
        <w:left w:val="none" w:sz="0" w:space="0" w:color="auto"/>
        <w:bottom w:val="none" w:sz="0" w:space="0" w:color="auto"/>
        <w:right w:val="none" w:sz="0" w:space="0" w:color="auto"/>
      </w:divBdr>
      <w:divsChild>
        <w:div w:id="66152650">
          <w:marLeft w:val="0"/>
          <w:marRight w:val="0"/>
          <w:marTop w:val="0"/>
          <w:marBottom w:val="0"/>
          <w:divBdr>
            <w:top w:val="none" w:sz="0" w:space="0" w:color="auto"/>
            <w:left w:val="none" w:sz="0" w:space="0" w:color="auto"/>
            <w:bottom w:val="none" w:sz="0" w:space="0" w:color="auto"/>
            <w:right w:val="none" w:sz="0" w:space="0" w:color="auto"/>
          </w:divBdr>
          <w:divsChild>
            <w:div w:id="1038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14417">
      <w:bodyDiv w:val="1"/>
      <w:marLeft w:val="0"/>
      <w:marRight w:val="0"/>
      <w:marTop w:val="0"/>
      <w:marBottom w:val="0"/>
      <w:divBdr>
        <w:top w:val="none" w:sz="0" w:space="0" w:color="auto"/>
        <w:left w:val="none" w:sz="0" w:space="0" w:color="auto"/>
        <w:bottom w:val="none" w:sz="0" w:space="0" w:color="auto"/>
        <w:right w:val="none" w:sz="0" w:space="0" w:color="auto"/>
      </w:divBdr>
      <w:divsChild>
        <w:div w:id="683434103">
          <w:marLeft w:val="-225"/>
          <w:marRight w:val="-225"/>
          <w:marTop w:val="0"/>
          <w:marBottom w:val="0"/>
          <w:divBdr>
            <w:top w:val="none" w:sz="0" w:space="0" w:color="auto"/>
            <w:left w:val="none" w:sz="0" w:space="0" w:color="auto"/>
            <w:bottom w:val="none" w:sz="0" w:space="0" w:color="auto"/>
            <w:right w:val="none" w:sz="0" w:space="0" w:color="auto"/>
          </w:divBdr>
          <w:divsChild>
            <w:div w:id="1476222653">
              <w:marLeft w:val="0"/>
              <w:marRight w:val="0"/>
              <w:marTop w:val="0"/>
              <w:marBottom w:val="0"/>
              <w:divBdr>
                <w:top w:val="none" w:sz="0" w:space="0" w:color="auto"/>
                <w:left w:val="none" w:sz="0" w:space="0" w:color="auto"/>
                <w:bottom w:val="none" w:sz="0" w:space="0" w:color="auto"/>
                <w:right w:val="none" w:sz="0" w:space="0" w:color="auto"/>
              </w:divBdr>
            </w:div>
          </w:divsChild>
        </w:div>
        <w:div w:id="313218379">
          <w:marLeft w:val="-225"/>
          <w:marRight w:val="-225"/>
          <w:marTop w:val="0"/>
          <w:marBottom w:val="0"/>
          <w:divBdr>
            <w:top w:val="none" w:sz="0" w:space="0" w:color="auto"/>
            <w:left w:val="none" w:sz="0" w:space="0" w:color="auto"/>
            <w:bottom w:val="none" w:sz="0" w:space="0" w:color="auto"/>
            <w:right w:val="none" w:sz="0" w:space="0" w:color="auto"/>
          </w:divBdr>
          <w:divsChild>
            <w:div w:id="1611282372">
              <w:marLeft w:val="0"/>
              <w:marRight w:val="0"/>
              <w:marTop w:val="0"/>
              <w:marBottom w:val="0"/>
              <w:divBdr>
                <w:top w:val="none" w:sz="0" w:space="0" w:color="auto"/>
                <w:left w:val="none" w:sz="0" w:space="0" w:color="auto"/>
                <w:bottom w:val="none" w:sz="0" w:space="0" w:color="auto"/>
                <w:right w:val="none" w:sz="0" w:space="0" w:color="auto"/>
              </w:divBdr>
            </w:div>
            <w:div w:id="185429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532919">
      <w:bodyDiv w:val="1"/>
      <w:marLeft w:val="0"/>
      <w:marRight w:val="0"/>
      <w:marTop w:val="0"/>
      <w:marBottom w:val="0"/>
      <w:divBdr>
        <w:top w:val="none" w:sz="0" w:space="0" w:color="auto"/>
        <w:left w:val="none" w:sz="0" w:space="0" w:color="auto"/>
        <w:bottom w:val="none" w:sz="0" w:space="0" w:color="auto"/>
        <w:right w:val="none" w:sz="0" w:space="0" w:color="auto"/>
      </w:divBdr>
    </w:div>
    <w:div w:id="2090689369">
      <w:bodyDiv w:val="1"/>
      <w:marLeft w:val="0"/>
      <w:marRight w:val="0"/>
      <w:marTop w:val="0"/>
      <w:marBottom w:val="0"/>
      <w:divBdr>
        <w:top w:val="none" w:sz="0" w:space="0" w:color="auto"/>
        <w:left w:val="none" w:sz="0" w:space="0" w:color="auto"/>
        <w:bottom w:val="none" w:sz="0" w:space="0" w:color="auto"/>
        <w:right w:val="none" w:sz="0" w:space="0" w:color="auto"/>
      </w:divBdr>
      <w:divsChild>
        <w:div w:id="1592200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D0F16-471A-4944-A4B6-CB2FF5191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4458</Words>
  <Characters>24522</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Martínez Martínez</dc:creator>
  <cp:keywords/>
  <dc:description/>
  <cp:lastModifiedBy>Ponencia3</cp:lastModifiedBy>
  <cp:revision>6</cp:revision>
  <cp:lastPrinted>2026-09-08T17:00:00Z</cp:lastPrinted>
  <dcterms:created xsi:type="dcterms:W3CDTF">2026-09-07T21:25:00Z</dcterms:created>
  <dcterms:modified xsi:type="dcterms:W3CDTF">2026-09-08T17:01:00Z</dcterms:modified>
</cp:coreProperties>
</file>