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4715" w14:textId="77777777" w:rsidR="00DE6732" w:rsidRPr="003D524B" w:rsidRDefault="00DE6732" w:rsidP="00DE6732">
      <w:pPr>
        <w:spacing w:after="0" w:line="240" w:lineRule="auto"/>
        <w:ind w:left="3969"/>
        <w:jc w:val="both"/>
        <w:rPr>
          <w:rFonts w:ascii="Arial" w:eastAsia="Arial Unicode MS" w:hAnsi="Arial" w:cs="Arial"/>
          <w:b/>
        </w:rPr>
      </w:pPr>
      <w:r w:rsidRPr="003D524B">
        <w:rPr>
          <w:rFonts w:ascii="Arial" w:eastAsia="Arial Unicode MS" w:hAnsi="Arial" w:cs="Arial"/>
          <w:b/>
        </w:rPr>
        <w:t>TRIBUNAL ESTATAL DE JUSTICIA ADMINISTRATIVA</w:t>
      </w:r>
    </w:p>
    <w:p w14:paraId="48C5AAA0" w14:textId="77777777" w:rsidR="00DE6732" w:rsidRPr="003D524B" w:rsidRDefault="00DE6732" w:rsidP="00DE6732">
      <w:pPr>
        <w:spacing w:after="0" w:line="240" w:lineRule="auto"/>
        <w:ind w:left="3969"/>
        <w:jc w:val="both"/>
        <w:rPr>
          <w:rFonts w:ascii="Arial" w:eastAsia="Arial Unicode MS" w:hAnsi="Arial" w:cs="Arial"/>
          <w:b/>
        </w:rPr>
      </w:pPr>
    </w:p>
    <w:p w14:paraId="622F863A" w14:textId="77777777" w:rsidR="00DE6732" w:rsidRPr="003D524B" w:rsidRDefault="00DE6732" w:rsidP="00DE6732">
      <w:pPr>
        <w:spacing w:after="0" w:line="240" w:lineRule="auto"/>
        <w:ind w:left="3969"/>
        <w:jc w:val="both"/>
        <w:rPr>
          <w:rFonts w:ascii="Arial" w:eastAsia="Arial Unicode MS" w:hAnsi="Arial" w:cs="Arial"/>
          <w:b/>
        </w:rPr>
      </w:pPr>
      <w:r w:rsidRPr="003D524B">
        <w:rPr>
          <w:rFonts w:ascii="Arial" w:eastAsia="Arial Unicode MS" w:hAnsi="Arial" w:cs="Arial"/>
          <w:b/>
        </w:rPr>
        <w:t>TERCERA SALA UNITARIA</w:t>
      </w:r>
    </w:p>
    <w:p w14:paraId="4F6EC9C4" w14:textId="4CD908F5" w:rsidR="00DE6732" w:rsidRPr="003D524B" w:rsidRDefault="00062DF7" w:rsidP="00DE6732">
      <w:pPr>
        <w:spacing w:after="0" w:line="240" w:lineRule="auto"/>
        <w:ind w:left="3969"/>
        <w:jc w:val="both"/>
        <w:rPr>
          <w:rFonts w:ascii="Arial" w:eastAsia="Arial Unicode MS" w:hAnsi="Arial" w:cs="Arial"/>
          <w:b/>
          <w:color w:val="002060"/>
        </w:rPr>
      </w:pPr>
      <w:r>
        <w:rPr>
          <w:rFonts w:ascii="Arial" w:eastAsia="Arial Unicode MS" w:hAnsi="Arial" w:cs="Arial"/>
          <w:b/>
          <w:color w:val="FF0000"/>
        </w:rPr>
        <w:t>**************</w:t>
      </w:r>
      <w:r w:rsidR="00DE6732" w:rsidRPr="003D524B">
        <w:rPr>
          <w:rFonts w:ascii="Arial" w:eastAsia="Arial Unicode MS" w:hAnsi="Arial" w:cs="Arial"/>
          <w:b/>
        </w:rPr>
        <w:t xml:space="preserve">EXPEDIENTE: </w:t>
      </w:r>
      <w:r w:rsidR="003D524B" w:rsidRPr="003D524B">
        <w:rPr>
          <w:rFonts w:ascii="Arial" w:eastAsia="Arial Unicode MS" w:hAnsi="Arial" w:cs="Arial"/>
          <w:b/>
        </w:rPr>
        <w:t>1301/2025/3</w:t>
      </w:r>
    </w:p>
    <w:p w14:paraId="683F56D7" w14:textId="77777777" w:rsidR="00DE6732" w:rsidRPr="003D524B" w:rsidRDefault="00DE6732" w:rsidP="00DE6732">
      <w:pPr>
        <w:spacing w:after="0" w:line="240" w:lineRule="auto"/>
        <w:ind w:left="3969"/>
        <w:jc w:val="both"/>
        <w:rPr>
          <w:rFonts w:ascii="Arial" w:eastAsia="Arial Unicode MS" w:hAnsi="Arial" w:cs="Arial"/>
          <w:b/>
        </w:rPr>
      </w:pPr>
    </w:p>
    <w:p w14:paraId="60F372DC" w14:textId="77777777" w:rsidR="00DE6732" w:rsidRPr="003D524B" w:rsidRDefault="003D524B" w:rsidP="00DE6732">
      <w:pPr>
        <w:spacing w:after="0" w:line="240" w:lineRule="auto"/>
        <w:ind w:left="3969"/>
        <w:jc w:val="both"/>
        <w:rPr>
          <w:rFonts w:ascii="Arial" w:eastAsia="Arial Unicode MS" w:hAnsi="Arial" w:cs="Arial"/>
          <w:b/>
        </w:rPr>
      </w:pPr>
      <w:r>
        <w:rPr>
          <w:rFonts w:ascii="Arial" w:eastAsia="Arial Unicode MS" w:hAnsi="Arial" w:cs="Arial"/>
          <w:b/>
        </w:rPr>
        <w:t xml:space="preserve">PARTE </w:t>
      </w:r>
      <w:r w:rsidR="009C2ABF" w:rsidRPr="003D524B">
        <w:rPr>
          <w:rFonts w:ascii="Arial" w:eastAsia="Arial Unicode MS" w:hAnsi="Arial" w:cs="Arial"/>
          <w:b/>
        </w:rPr>
        <w:t>ACTOR</w:t>
      </w:r>
      <w:r>
        <w:rPr>
          <w:rFonts w:ascii="Arial" w:eastAsia="Arial Unicode MS" w:hAnsi="Arial" w:cs="Arial"/>
          <w:b/>
        </w:rPr>
        <w:t>A</w:t>
      </w:r>
      <w:r w:rsidR="009C2ABF" w:rsidRPr="003D524B">
        <w:rPr>
          <w:rFonts w:ascii="Arial" w:eastAsia="Arial Unicode MS" w:hAnsi="Arial" w:cs="Arial"/>
          <w:b/>
        </w:rPr>
        <w:t>:</w:t>
      </w:r>
    </w:p>
    <w:p w14:paraId="329EBCEF" w14:textId="3D397ACB" w:rsidR="002D60E5" w:rsidRDefault="00062DF7" w:rsidP="00DE6732">
      <w:pPr>
        <w:spacing w:after="0" w:line="240" w:lineRule="auto"/>
        <w:ind w:left="3969"/>
        <w:jc w:val="both"/>
        <w:rPr>
          <w:rFonts w:ascii="Arial" w:eastAsia="Arial Unicode MS" w:hAnsi="Arial" w:cs="Arial"/>
          <w:b/>
        </w:rPr>
      </w:pPr>
      <w:r>
        <w:rPr>
          <w:rFonts w:ascii="Arial" w:eastAsia="Arial Unicode MS" w:hAnsi="Arial" w:cs="Arial"/>
          <w:b/>
          <w:color w:val="FF0000"/>
        </w:rPr>
        <w:t>**************</w:t>
      </w:r>
    </w:p>
    <w:p w14:paraId="0EC2D9E5" w14:textId="77777777" w:rsidR="003D524B" w:rsidRDefault="003D524B" w:rsidP="00DE6732">
      <w:pPr>
        <w:spacing w:after="0" w:line="240" w:lineRule="auto"/>
        <w:ind w:left="3969"/>
        <w:jc w:val="both"/>
        <w:rPr>
          <w:rFonts w:ascii="Arial" w:eastAsia="Arial Unicode MS" w:hAnsi="Arial" w:cs="Arial"/>
          <w:b/>
        </w:rPr>
      </w:pPr>
      <w:r>
        <w:rPr>
          <w:rFonts w:ascii="Arial" w:eastAsia="Arial Unicode MS" w:hAnsi="Arial" w:cs="Arial"/>
          <w:b/>
        </w:rPr>
        <w:t>AUTORIDAD DEMANDADA:</w:t>
      </w:r>
    </w:p>
    <w:p w14:paraId="642DDB17" w14:textId="1FD78FF2" w:rsidR="003D524B" w:rsidRDefault="003D524B" w:rsidP="00DE6732">
      <w:pPr>
        <w:spacing w:after="0" w:line="240" w:lineRule="auto"/>
        <w:ind w:left="3969"/>
        <w:jc w:val="both"/>
        <w:rPr>
          <w:rFonts w:ascii="Arial" w:eastAsia="Arial Unicode MS" w:hAnsi="Arial" w:cs="Arial"/>
          <w:b/>
        </w:rPr>
      </w:pPr>
      <w:r w:rsidRPr="003F6E56">
        <w:rPr>
          <w:rFonts w:ascii="Arial" w:hAnsi="Arial" w:cs="Arial"/>
        </w:rPr>
        <w:t>COMISIÓN ESTATAL DE GARANTÍA Y ACCESO A LA INFORMACIÓN PÚBLICA DEL ESTADO DE SAN LUIS POTOSÍ (CEGAIP)</w:t>
      </w:r>
    </w:p>
    <w:p w14:paraId="4E3AE456" w14:textId="77777777" w:rsidR="003D524B" w:rsidRPr="003D524B" w:rsidRDefault="003D524B" w:rsidP="00DE6732">
      <w:pPr>
        <w:spacing w:after="0" w:line="240" w:lineRule="auto"/>
        <w:ind w:left="3969"/>
        <w:jc w:val="both"/>
        <w:rPr>
          <w:rFonts w:ascii="Arial" w:eastAsia="Arial Unicode MS" w:hAnsi="Arial" w:cs="Arial"/>
          <w:b/>
        </w:rPr>
      </w:pPr>
    </w:p>
    <w:p w14:paraId="44568F0F" w14:textId="77777777" w:rsidR="00DE6732" w:rsidRPr="003D524B" w:rsidRDefault="009C2ABF" w:rsidP="00DE6732">
      <w:pPr>
        <w:spacing w:after="0" w:line="240" w:lineRule="auto"/>
        <w:ind w:left="3969"/>
        <w:jc w:val="both"/>
        <w:rPr>
          <w:rFonts w:ascii="Arial" w:eastAsia="Arial Unicode MS" w:hAnsi="Arial" w:cs="Arial"/>
          <w:b/>
        </w:rPr>
      </w:pPr>
      <w:r w:rsidRPr="003D524B">
        <w:rPr>
          <w:rFonts w:ascii="Arial" w:eastAsia="Arial Unicode MS" w:hAnsi="Arial" w:cs="Arial"/>
          <w:b/>
        </w:rPr>
        <w:t>MAGISTRADO:</w:t>
      </w:r>
    </w:p>
    <w:p w14:paraId="47BB07CB" w14:textId="77777777" w:rsidR="00DE6732" w:rsidRPr="003D524B" w:rsidRDefault="00DE6732" w:rsidP="00DE6732">
      <w:pPr>
        <w:spacing w:after="0" w:line="240" w:lineRule="auto"/>
        <w:ind w:left="3969"/>
        <w:jc w:val="both"/>
        <w:rPr>
          <w:rFonts w:ascii="Arial" w:eastAsia="Arial Unicode MS" w:hAnsi="Arial" w:cs="Arial"/>
        </w:rPr>
      </w:pPr>
      <w:r w:rsidRPr="003D524B">
        <w:rPr>
          <w:rFonts w:ascii="Arial" w:eastAsia="Arial Unicode MS" w:hAnsi="Arial" w:cs="Arial"/>
        </w:rPr>
        <w:t>LICENCIADO JORGE ALEJANDRO VERA NOYOLA</w:t>
      </w:r>
    </w:p>
    <w:p w14:paraId="6D26CC50" w14:textId="77777777" w:rsidR="00DE6732" w:rsidRDefault="00DE6732" w:rsidP="00DE6732">
      <w:pPr>
        <w:spacing w:after="0" w:line="240" w:lineRule="auto"/>
        <w:jc w:val="both"/>
        <w:rPr>
          <w:rFonts w:ascii="Arial" w:eastAsia="Arial Unicode MS" w:hAnsi="Arial" w:cs="Arial"/>
          <w:sz w:val="24"/>
          <w:szCs w:val="24"/>
        </w:rPr>
      </w:pPr>
    </w:p>
    <w:p w14:paraId="0479038A" w14:textId="77777777" w:rsidR="00FE1F13" w:rsidRDefault="00FE1F13" w:rsidP="00DE6732">
      <w:pPr>
        <w:spacing w:after="0" w:line="240" w:lineRule="auto"/>
        <w:jc w:val="both"/>
        <w:rPr>
          <w:rFonts w:ascii="Arial" w:eastAsia="Arial Unicode MS" w:hAnsi="Arial" w:cs="Arial"/>
          <w:sz w:val="24"/>
          <w:szCs w:val="24"/>
        </w:rPr>
      </w:pPr>
    </w:p>
    <w:p w14:paraId="31897CF5" w14:textId="77777777" w:rsidR="00E66B45" w:rsidRPr="00FE1F13" w:rsidRDefault="00E66B45" w:rsidP="00DE6732">
      <w:pPr>
        <w:spacing w:after="0" w:line="240" w:lineRule="auto"/>
        <w:jc w:val="both"/>
        <w:rPr>
          <w:rFonts w:ascii="Arial" w:eastAsia="Arial Unicode MS" w:hAnsi="Arial" w:cs="Arial"/>
          <w:sz w:val="24"/>
          <w:szCs w:val="24"/>
        </w:rPr>
      </w:pPr>
    </w:p>
    <w:p w14:paraId="028B82D9" w14:textId="77777777" w:rsidR="00C00FA9" w:rsidRPr="00FE1F13" w:rsidRDefault="00C00FA9" w:rsidP="00DE6732">
      <w:pPr>
        <w:spacing w:after="0" w:line="240" w:lineRule="auto"/>
        <w:jc w:val="both"/>
        <w:rPr>
          <w:rFonts w:ascii="Arial" w:eastAsia="Arial Unicode MS" w:hAnsi="Arial" w:cs="Arial"/>
          <w:sz w:val="24"/>
          <w:szCs w:val="24"/>
        </w:rPr>
      </w:pPr>
    </w:p>
    <w:p w14:paraId="3D276904" w14:textId="077DD58A" w:rsidR="00DE6732" w:rsidRPr="003D7B14" w:rsidRDefault="00DE6732" w:rsidP="00DE6732">
      <w:pPr>
        <w:spacing w:after="0" w:line="360" w:lineRule="auto"/>
        <w:ind w:firstLine="709"/>
        <w:jc w:val="both"/>
        <w:rPr>
          <w:rFonts w:ascii="Arial" w:eastAsia="Arial Unicode MS" w:hAnsi="Arial" w:cs="Arial"/>
          <w:sz w:val="24"/>
          <w:szCs w:val="24"/>
        </w:rPr>
      </w:pPr>
      <w:r w:rsidRPr="003D7B14">
        <w:rPr>
          <w:rFonts w:ascii="Arial" w:eastAsia="Arial Unicode MS" w:hAnsi="Arial" w:cs="Arial"/>
          <w:sz w:val="24"/>
          <w:szCs w:val="24"/>
        </w:rPr>
        <w:t xml:space="preserve">San Luis Potosí, S.L.P., a </w:t>
      </w:r>
      <w:r w:rsidR="00E219E8">
        <w:rPr>
          <w:rFonts w:ascii="Arial" w:eastAsia="Arial Unicode MS" w:hAnsi="Arial" w:cs="Arial"/>
          <w:sz w:val="24"/>
          <w:szCs w:val="24"/>
        </w:rPr>
        <w:t>seis</w:t>
      </w:r>
      <w:r w:rsidR="002D60E5" w:rsidRPr="003D7B14">
        <w:rPr>
          <w:rFonts w:ascii="Arial" w:eastAsia="Arial Unicode MS" w:hAnsi="Arial" w:cs="Arial"/>
          <w:sz w:val="24"/>
          <w:szCs w:val="24"/>
        </w:rPr>
        <w:t xml:space="preserve"> de </w:t>
      </w:r>
      <w:r w:rsidR="003D524B">
        <w:rPr>
          <w:rFonts w:ascii="Arial" w:eastAsia="Arial Unicode MS" w:hAnsi="Arial" w:cs="Arial"/>
          <w:sz w:val="24"/>
          <w:szCs w:val="24"/>
        </w:rPr>
        <w:t>mayo</w:t>
      </w:r>
      <w:r w:rsidR="00512CB5">
        <w:rPr>
          <w:rFonts w:ascii="Arial" w:eastAsia="Arial Unicode MS" w:hAnsi="Arial" w:cs="Arial"/>
          <w:sz w:val="24"/>
          <w:szCs w:val="24"/>
        </w:rPr>
        <w:t xml:space="preserve"> de dos mil veintiséis</w:t>
      </w:r>
      <w:r w:rsidRPr="003D7B14">
        <w:rPr>
          <w:rFonts w:ascii="Arial" w:eastAsia="Arial Unicode MS" w:hAnsi="Arial" w:cs="Arial"/>
          <w:sz w:val="24"/>
          <w:szCs w:val="24"/>
        </w:rPr>
        <w:t>.</w:t>
      </w:r>
    </w:p>
    <w:p w14:paraId="2BF4A269" w14:textId="77777777" w:rsidR="00DE6732" w:rsidRPr="00FE1F13" w:rsidRDefault="00DE6732" w:rsidP="00DE6732">
      <w:pPr>
        <w:spacing w:after="0" w:line="360" w:lineRule="auto"/>
        <w:ind w:firstLine="709"/>
        <w:jc w:val="both"/>
        <w:rPr>
          <w:rFonts w:ascii="Arial" w:eastAsia="Arial Unicode MS" w:hAnsi="Arial" w:cs="Arial"/>
          <w:b/>
          <w:sz w:val="24"/>
          <w:szCs w:val="24"/>
        </w:rPr>
      </w:pPr>
    </w:p>
    <w:p w14:paraId="63076C76" w14:textId="6A7AA79F" w:rsidR="00DE6732" w:rsidRPr="003D7B14" w:rsidRDefault="00DE6732" w:rsidP="00DE6732">
      <w:pPr>
        <w:spacing w:after="0" w:line="360" w:lineRule="auto"/>
        <w:ind w:firstLine="709"/>
        <w:jc w:val="both"/>
        <w:rPr>
          <w:rFonts w:ascii="Arial" w:eastAsia="Arial Unicode MS" w:hAnsi="Arial" w:cs="Arial"/>
          <w:sz w:val="24"/>
          <w:szCs w:val="24"/>
        </w:rPr>
      </w:pPr>
      <w:r w:rsidRPr="003D7B14">
        <w:rPr>
          <w:rFonts w:ascii="Arial" w:eastAsia="Arial Unicode MS" w:hAnsi="Arial" w:cs="Arial"/>
          <w:b/>
          <w:sz w:val="24"/>
          <w:szCs w:val="24"/>
        </w:rPr>
        <w:t>V I S T O S</w:t>
      </w:r>
      <w:r w:rsidRPr="003D7B14">
        <w:rPr>
          <w:rFonts w:ascii="Arial" w:eastAsia="Arial Unicode MS" w:hAnsi="Arial" w:cs="Arial"/>
          <w:sz w:val="24"/>
          <w:szCs w:val="24"/>
        </w:rPr>
        <w:t xml:space="preserve"> para resolver en definitiva los autos del Juicio Contencioso Administrativo </w:t>
      </w:r>
      <w:r w:rsidR="003D524B">
        <w:rPr>
          <w:rFonts w:ascii="Arial" w:eastAsia="Arial Unicode MS" w:hAnsi="Arial" w:cs="Arial"/>
          <w:b/>
          <w:sz w:val="24"/>
          <w:szCs w:val="24"/>
        </w:rPr>
        <w:t>1301/2025/3</w:t>
      </w:r>
      <w:r w:rsidRPr="003D7B14">
        <w:rPr>
          <w:rFonts w:ascii="Arial" w:eastAsia="Arial Unicode MS" w:hAnsi="Arial" w:cs="Arial"/>
          <w:b/>
          <w:sz w:val="24"/>
          <w:szCs w:val="24"/>
        </w:rPr>
        <w:t xml:space="preserve"> </w:t>
      </w:r>
      <w:r w:rsidRPr="003D7B14">
        <w:rPr>
          <w:rFonts w:ascii="Arial" w:eastAsia="Arial Unicode MS" w:hAnsi="Arial" w:cs="Arial"/>
          <w:sz w:val="24"/>
          <w:szCs w:val="24"/>
        </w:rPr>
        <w:t>promovido por</w:t>
      </w:r>
      <w:r w:rsidRPr="003D7B14">
        <w:rPr>
          <w:rFonts w:ascii="Arial" w:eastAsia="Arial Unicode MS" w:hAnsi="Arial" w:cs="Arial"/>
          <w:b/>
          <w:sz w:val="24"/>
          <w:szCs w:val="24"/>
        </w:rPr>
        <w:t xml:space="preserve"> </w:t>
      </w:r>
      <w:r w:rsidR="00062DF7">
        <w:rPr>
          <w:rFonts w:ascii="Arial" w:eastAsia="Arial Unicode MS" w:hAnsi="Arial" w:cs="Arial"/>
          <w:b/>
          <w:color w:val="FF0000"/>
          <w:sz w:val="24"/>
          <w:szCs w:val="24"/>
        </w:rPr>
        <w:t>**************</w:t>
      </w:r>
      <w:r w:rsidRPr="003D7B14">
        <w:rPr>
          <w:rFonts w:ascii="Arial" w:eastAsia="Arial Unicode MS" w:hAnsi="Arial" w:cs="Arial"/>
          <w:b/>
          <w:sz w:val="24"/>
          <w:szCs w:val="24"/>
        </w:rPr>
        <w:t>,</w:t>
      </w:r>
      <w:r w:rsidRPr="003D7B14">
        <w:rPr>
          <w:rFonts w:ascii="Arial" w:eastAsia="Arial Unicode MS" w:hAnsi="Arial" w:cs="Arial"/>
          <w:sz w:val="24"/>
          <w:szCs w:val="24"/>
        </w:rPr>
        <w:t xml:space="preserve"> contra actos </w:t>
      </w:r>
      <w:r w:rsidR="00512CB5">
        <w:rPr>
          <w:rFonts w:ascii="Arial" w:eastAsia="Arial Unicode MS" w:hAnsi="Arial" w:cs="Arial"/>
          <w:sz w:val="24"/>
          <w:szCs w:val="24"/>
        </w:rPr>
        <w:t xml:space="preserve">de la </w:t>
      </w:r>
      <w:r w:rsidR="00512CB5" w:rsidRPr="003D524B">
        <w:rPr>
          <w:rFonts w:ascii="Arial" w:eastAsia="Arial Unicode MS" w:hAnsi="Arial" w:cs="Arial"/>
          <w:b/>
          <w:sz w:val="24"/>
          <w:szCs w:val="24"/>
        </w:rPr>
        <w:t xml:space="preserve">Comisión Estatal de Garantía de Acceso a la Información Pública del Estado de San Luis Potosí </w:t>
      </w:r>
      <w:r w:rsidR="003D524B" w:rsidRPr="003D524B">
        <w:rPr>
          <w:rFonts w:ascii="Arial" w:eastAsia="Arial Unicode MS" w:hAnsi="Arial" w:cs="Arial"/>
          <w:b/>
          <w:sz w:val="24"/>
          <w:szCs w:val="24"/>
        </w:rPr>
        <w:t>(CEGAIP)</w:t>
      </w:r>
      <w:r w:rsidRPr="003D7B14">
        <w:rPr>
          <w:rFonts w:ascii="Arial" w:eastAsia="Arial Unicode MS" w:hAnsi="Arial" w:cs="Arial"/>
          <w:b/>
          <w:sz w:val="24"/>
          <w:szCs w:val="24"/>
        </w:rPr>
        <w:t>;</w:t>
      </w:r>
      <w:r w:rsidRPr="003D7B14">
        <w:rPr>
          <w:rFonts w:ascii="Arial" w:eastAsia="Arial Unicode MS" w:hAnsi="Arial" w:cs="Arial"/>
          <w:sz w:val="24"/>
          <w:szCs w:val="24"/>
        </w:rPr>
        <w:t xml:space="preserve"> </w:t>
      </w:r>
      <w:r w:rsidRPr="003D7B14">
        <w:rPr>
          <w:rFonts w:ascii="Arial" w:eastAsia="Arial Unicode MS" w:hAnsi="Arial" w:cs="Arial"/>
          <w:b/>
          <w:sz w:val="24"/>
          <w:szCs w:val="24"/>
        </w:rPr>
        <w:t xml:space="preserve"> </w:t>
      </w:r>
      <w:r w:rsidRPr="003D7B14">
        <w:rPr>
          <w:rFonts w:ascii="Arial" w:eastAsia="Arial Unicode MS" w:hAnsi="Arial" w:cs="Arial"/>
          <w:sz w:val="24"/>
          <w:szCs w:val="24"/>
        </w:rPr>
        <w:t>y,</w:t>
      </w:r>
    </w:p>
    <w:p w14:paraId="2ED8CE4C" w14:textId="77777777" w:rsidR="002D60E5" w:rsidRDefault="002D60E5" w:rsidP="00DE6732">
      <w:pPr>
        <w:spacing w:after="0" w:line="360" w:lineRule="auto"/>
        <w:ind w:firstLine="709"/>
        <w:jc w:val="both"/>
        <w:rPr>
          <w:rFonts w:ascii="Arial" w:eastAsia="Arial Unicode MS" w:hAnsi="Arial" w:cs="Arial"/>
          <w:sz w:val="24"/>
          <w:szCs w:val="24"/>
        </w:rPr>
      </w:pPr>
    </w:p>
    <w:p w14:paraId="4E6F14DF" w14:textId="77777777" w:rsidR="00FE1F13" w:rsidRDefault="00FE1F13" w:rsidP="00DE6732">
      <w:pPr>
        <w:spacing w:after="0" w:line="360" w:lineRule="auto"/>
        <w:ind w:firstLine="709"/>
        <w:jc w:val="both"/>
        <w:rPr>
          <w:rFonts w:ascii="Arial" w:eastAsia="Arial Unicode MS" w:hAnsi="Arial" w:cs="Arial"/>
          <w:sz w:val="24"/>
          <w:szCs w:val="24"/>
        </w:rPr>
      </w:pPr>
    </w:p>
    <w:p w14:paraId="168091FF" w14:textId="77777777" w:rsidR="00E66B45" w:rsidRPr="00FE1F13" w:rsidRDefault="00E66B45" w:rsidP="00DE6732">
      <w:pPr>
        <w:spacing w:after="0" w:line="360" w:lineRule="auto"/>
        <w:ind w:firstLine="709"/>
        <w:jc w:val="both"/>
        <w:rPr>
          <w:rFonts w:ascii="Arial" w:eastAsia="Arial Unicode MS" w:hAnsi="Arial" w:cs="Arial"/>
          <w:sz w:val="24"/>
          <w:szCs w:val="24"/>
        </w:rPr>
      </w:pPr>
    </w:p>
    <w:p w14:paraId="5D6D9517" w14:textId="77777777" w:rsidR="00DE6732" w:rsidRPr="00FE1F13" w:rsidRDefault="00DE6732" w:rsidP="00DE6732">
      <w:pPr>
        <w:spacing w:after="0" w:line="360" w:lineRule="auto"/>
        <w:jc w:val="center"/>
        <w:rPr>
          <w:rFonts w:ascii="Arial" w:eastAsia="Arial Unicode MS" w:hAnsi="Arial" w:cs="Arial"/>
          <w:b/>
          <w:sz w:val="24"/>
          <w:szCs w:val="24"/>
        </w:rPr>
      </w:pPr>
      <w:r w:rsidRPr="00FE1F13">
        <w:rPr>
          <w:rFonts w:ascii="Arial" w:eastAsia="Arial Unicode MS" w:hAnsi="Arial" w:cs="Arial"/>
          <w:b/>
          <w:sz w:val="24"/>
          <w:szCs w:val="24"/>
        </w:rPr>
        <w:t>R E S U L T A N D O</w:t>
      </w:r>
    </w:p>
    <w:p w14:paraId="4FFD68B3" w14:textId="77777777" w:rsidR="00DE6732" w:rsidRPr="00FE1F13" w:rsidRDefault="00DE6732" w:rsidP="00DE6732">
      <w:pPr>
        <w:spacing w:after="0" w:line="360" w:lineRule="auto"/>
        <w:ind w:firstLine="709"/>
        <w:jc w:val="both"/>
        <w:rPr>
          <w:rFonts w:ascii="Arial" w:eastAsia="Arial Unicode MS" w:hAnsi="Arial" w:cs="Arial"/>
          <w:sz w:val="24"/>
          <w:szCs w:val="24"/>
        </w:rPr>
      </w:pPr>
    </w:p>
    <w:p w14:paraId="47A67098" w14:textId="40F5B93A" w:rsidR="00DE6732" w:rsidRPr="00EA2745" w:rsidRDefault="003D7B14" w:rsidP="008542F4">
      <w:pPr>
        <w:spacing w:after="0" w:line="360" w:lineRule="auto"/>
        <w:ind w:firstLine="709"/>
        <w:jc w:val="both"/>
        <w:rPr>
          <w:rFonts w:ascii="Arial" w:eastAsia="Arial Unicode MS" w:hAnsi="Arial" w:cs="Arial"/>
          <w:sz w:val="24"/>
          <w:szCs w:val="24"/>
        </w:rPr>
      </w:pPr>
      <w:r w:rsidRPr="00F80F15">
        <w:rPr>
          <w:rFonts w:ascii="Arial" w:eastAsia="Arial Unicode MS" w:hAnsi="Arial" w:cs="Arial"/>
          <w:b/>
          <w:sz w:val="24"/>
          <w:szCs w:val="24"/>
        </w:rPr>
        <w:t>I.-</w:t>
      </w:r>
      <w:r w:rsidR="00F80F15" w:rsidRPr="00F80F15">
        <w:rPr>
          <w:rFonts w:ascii="Arial" w:eastAsia="Arial Unicode MS" w:hAnsi="Arial" w:cs="Arial"/>
          <w:sz w:val="24"/>
          <w:szCs w:val="24"/>
        </w:rPr>
        <w:t xml:space="preserve"> Por auto de fecha </w:t>
      </w:r>
      <w:r w:rsidR="003D524B">
        <w:rPr>
          <w:rFonts w:ascii="Arial" w:eastAsia="Arial Unicode MS" w:hAnsi="Arial" w:cs="Arial"/>
          <w:sz w:val="24"/>
          <w:szCs w:val="24"/>
        </w:rPr>
        <w:t>veinticinco</w:t>
      </w:r>
      <w:r w:rsidR="00F80F15" w:rsidRPr="00F80F15">
        <w:rPr>
          <w:rFonts w:ascii="Arial" w:eastAsia="Arial Unicode MS" w:hAnsi="Arial" w:cs="Arial"/>
          <w:sz w:val="24"/>
          <w:szCs w:val="24"/>
        </w:rPr>
        <w:t xml:space="preserve"> de </w:t>
      </w:r>
      <w:r w:rsidR="003D524B">
        <w:rPr>
          <w:rFonts w:ascii="Arial" w:eastAsia="Arial Unicode MS" w:hAnsi="Arial" w:cs="Arial"/>
          <w:sz w:val="24"/>
          <w:szCs w:val="24"/>
        </w:rPr>
        <w:t>noviembre</w:t>
      </w:r>
      <w:r w:rsidR="00512CB5">
        <w:rPr>
          <w:rFonts w:ascii="Arial" w:eastAsia="Arial Unicode MS" w:hAnsi="Arial" w:cs="Arial"/>
          <w:sz w:val="24"/>
          <w:szCs w:val="24"/>
        </w:rPr>
        <w:t xml:space="preserve"> de dos mil veinticinco</w:t>
      </w:r>
      <w:r w:rsidR="00F80F15" w:rsidRPr="00F80F15">
        <w:rPr>
          <w:rFonts w:ascii="Arial" w:eastAsia="Arial Unicode MS" w:hAnsi="Arial" w:cs="Arial"/>
          <w:sz w:val="24"/>
          <w:szCs w:val="24"/>
        </w:rPr>
        <w:t xml:space="preserve">, se tuvo por admitida la demanda de la actora </w:t>
      </w:r>
      <w:r w:rsidR="00062DF7">
        <w:rPr>
          <w:rFonts w:ascii="Arial" w:eastAsia="Arial Unicode MS" w:hAnsi="Arial" w:cs="Arial"/>
          <w:b/>
          <w:color w:val="FF0000"/>
          <w:sz w:val="24"/>
          <w:szCs w:val="24"/>
        </w:rPr>
        <w:t>**************</w:t>
      </w:r>
      <w:r w:rsidR="00F80F15" w:rsidRPr="00F80F15">
        <w:rPr>
          <w:rFonts w:ascii="Arial" w:eastAsia="Arial Unicode MS" w:hAnsi="Arial" w:cs="Arial"/>
          <w:sz w:val="24"/>
          <w:szCs w:val="24"/>
        </w:rPr>
        <w:t xml:space="preserve">, en contra de </w:t>
      </w:r>
      <w:r w:rsidR="00512CB5">
        <w:rPr>
          <w:rFonts w:ascii="Arial" w:eastAsia="Arial Unicode MS" w:hAnsi="Arial" w:cs="Arial"/>
          <w:sz w:val="24"/>
          <w:szCs w:val="24"/>
        </w:rPr>
        <w:t xml:space="preserve">la resolución de fecha </w:t>
      </w:r>
      <w:r w:rsidR="003D524B">
        <w:rPr>
          <w:rFonts w:ascii="Arial" w:eastAsia="Arial Unicode MS" w:hAnsi="Arial" w:cs="Arial"/>
          <w:sz w:val="24"/>
          <w:szCs w:val="24"/>
        </w:rPr>
        <w:t>treinta</w:t>
      </w:r>
      <w:r w:rsidR="00512CB5">
        <w:rPr>
          <w:rFonts w:ascii="Arial" w:eastAsia="Arial Unicode MS" w:hAnsi="Arial" w:cs="Arial"/>
          <w:sz w:val="24"/>
          <w:szCs w:val="24"/>
        </w:rPr>
        <w:t xml:space="preserve"> de </w:t>
      </w:r>
      <w:r w:rsidR="003D524B">
        <w:rPr>
          <w:rFonts w:ascii="Arial" w:eastAsia="Arial Unicode MS" w:hAnsi="Arial" w:cs="Arial"/>
          <w:sz w:val="24"/>
          <w:szCs w:val="24"/>
        </w:rPr>
        <w:t>junio</w:t>
      </w:r>
      <w:r w:rsidR="00512CB5">
        <w:rPr>
          <w:rFonts w:ascii="Arial" w:eastAsia="Arial Unicode MS" w:hAnsi="Arial" w:cs="Arial"/>
          <w:sz w:val="24"/>
          <w:szCs w:val="24"/>
        </w:rPr>
        <w:t xml:space="preserve"> de dos mil veinticinco</w:t>
      </w:r>
      <w:r w:rsidR="003D524B">
        <w:rPr>
          <w:rFonts w:ascii="Arial" w:eastAsia="Arial Unicode MS" w:hAnsi="Arial" w:cs="Arial"/>
          <w:sz w:val="24"/>
          <w:szCs w:val="24"/>
        </w:rPr>
        <w:t>,</w:t>
      </w:r>
      <w:r w:rsidR="00512CB5">
        <w:rPr>
          <w:rFonts w:ascii="Arial" w:eastAsia="Arial Unicode MS" w:hAnsi="Arial" w:cs="Arial"/>
          <w:sz w:val="24"/>
          <w:szCs w:val="24"/>
        </w:rPr>
        <w:t xml:space="preserve"> emitida </w:t>
      </w:r>
      <w:r w:rsidR="003D524B">
        <w:rPr>
          <w:rFonts w:ascii="Arial" w:eastAsia="Arial Unicode MS" w:hAnsi="Arial" w:cs="Arial"/>
          <w:sz w:val="24"/>
          <w:szCs w:val="24"/>
        </w:rPr>
        <w:t>dentro d</w:t>
      </w:r>
      <w:r w:rsidR="00512CB5">
        <w:rPr>
          <w:rFonts w:ascii="Arial" w:eastAsia="Arial Unicode MS" w:hAnsi="Arial" w:cs="Arial"/>
          <w:sz w:val="24"/>
          <w:szCs w:val="24"/>
        </w:rPr>
        <w:t xml:space="preserve">el expediente </w:t>
      </w:r>
      <w:r w:rsidR="003D524B" w:rsidRPr="00362D52">
        <w:rPr>
          <w:rFonts w:ascii="Arial" w:eastAsia="Arial Unicode MS" w:hAnsi="Arial" w:cs="Arial"/>
          <w:b/>
          <w:bCs/>
          <w:sz w:val="24"/>
          <w:szCs w:val="24"/>
        </w:rPr>
        <w:t>CEGAIP-PIMA-061/2025</w:t>
      </w:r>
      <w:r w:rsidR="00512CB5">
        <w:rPr>
          <w:rFonts w:ascii="Arial" w:eastAsia="Arial Unicode MS" w:hAnsi="Arial" w:cs="Arial"/>
          <w:sz w:val="24"/>
          <w:szCs w:val="24"/>
        </w:rPr>
        <w:t>, instruido por la Comisión Estatal de Garantía de Acceso a la Información Pública del Estado de San Luis Potosí, a través de la cual se resolvió aplicar a</w:t>
      </w:r>
      <w:r w:rsidR="00FE1F13">
        <w:rPr>
          <w:rFonts w:ascii="Arial" w:eastAsia="Arial Unicode MS" w:hAnsi="Arial" w:cs="Arial"/>
          <w:sz w:val="24"/>
          <w:szCs w:val="24"/>
        </w:rPr>
        <w:t xml:space="preserve"> </w:t>
      </w:r>
      <w:r w:rsidR="00062DF7">
        <w:rPr>
          <w:rFonts w:ascii="Arial" w:eastAsia="Arial Unicode MS" w:hAnsi="Arial" w:cs="Arial"/>
          <w:b/>
          <w:color w:val="FF0000"/>
          <w:sz w:val="24"/>
          <w:szCs w:val="24"/>
        </w:rPr>
        <w:t>**************</w:t>
      </w:r>
      <w:r w:rsidR="00512CB5">
        <w:rPr>
          <w:rFonts w:ascii="Arial" w:eastAsia="Arial Unicode MS" w:hAnsi="Arial" w:cs="Arial"/>
          <w:sz w:val="24"/>
          <w:szCs w:val="24"/>
        </w:rPr>
        <w:t xml:space="preserve">, la medida </w:t>
      </w:r>
      <w:r w:rsidR="00FE1F13">
        <w:rPr>
          <w:rFonts w:ascii="Arial" w:eastAsia="Arial Unicode MS" w:hAnsi="Arial" w:cs="Arial"/>
          <w:sz w:val="24"/>
          <w:szCs w:val="24"/>
        </w:rPr>
        <w:t xml:space="preserve">de apremio consistente en una multa por la cantidad de </w:t>
      </w:r>
      <w:r w:rsidR="008542F4" w:rsidRPr="00362D52">
        <w:rPr>
          <w:rFonts w:ascii="Arial" w:eastAsia="Arial Unicode MS" w:hAnsi="Arial" w:cs="Arial"/>
          <w:b/>
          <w:bCs/>
          <w:sz w:val="24"/>
          <w:szCs w:val="24"/>
        </w:rPr>
        <w:t>$130,320.00 (ciento treinta mil trecientos veinte pesos 00/100 M.N.)</w:t>
      </w:r>
      <w:r w:rsidR="00F80F15" w:rsidRPr="00F80F15">
        <w:rPr>
          <w:rFonts w:ascii="Arial" w:eastAsia="Arial Unicode MS" w:hAnsi="Arial" w:cs="Arial"/>
          <w:sz w:val="24"/>
          <w:szCs w:val="24"/>
        </w:rPr>
        <w:t xml:space="preserve">; </w:t>
      </w:r>
      <w:r w:rsidR="00F80F15" w:rsidRPr="00F80F15">
        <w:rPr>
          <w:rFonts w:ascii="Arial" w:eastAsia="Calibri" w:hAnsi="Arial" w:cs="Arial"/>
          <w:sz w:val="24"/>
          <w:szCs w:val="24"/>
          <w:lang w:val="es-ES"/>
        </w:rPr>
        <w:t>ord</w:t>
      </w:r>
      <w:r w:rsidR="00EA2745">
        <w:rPr>
          <w:rFonts w:ascii="Arial" w:eastAsia="Calibri" w:hAnsi="Arial" w:cs="Arial"/>
          <w:sz w:val="24"/>
          <w:szCs w:val="24"/>
          <w:lang w:val="es-ES"/>
        </w:rPr>
        <w:t>enándose correrle traslado a la autoridad demandada para que contestara</w:t>
      </w:r>
      <w:r w:rsidR="00F80F15" w:rsidRPr="00F80F15">
        <w:rPr>
          <w:rFonts w:ascii="Arial" w:eastAsia="Calibri" w:hAnsi="Arial" w:cs="Arial"/>
          <w:sz w:val="24"/>
          <w:szCs w:val="24"/>
          <w:lang w:val="es-ES"/>
        </w:rPr>
        <w:t xml:space="preserve"> lo que a su de</w:t>
      </w:r>
      <w:r w:rsidR="00EA2745">
        <w:rPr>
          <w:rFonts w:ascii="Arial" w:eastAsia="Calibri" w:hAnsi="Arial" w:cs="Arial"/>
          <w:sz w:val="24"/>
          <w:szCs w:val="24"/>
          <w:lang w:val="es-ES"/>
        </w:rPr>
        <w:t>recho correspondiera, ofreciera y exhibiera las pruebas que estimara</w:t>
      </w:r>
      <w:r w:rsidR="00F80F15" w:rsidRPr="00F80F15">
        <w:rPr>
          <w:rFonts w:ascii="Arial" w:eastAsia="Calibri" w:hAnsi="Arial" w:cs="Arial"/>
          <w:sz w:val="24"/>
          <w:szCs w:val="24"/>
          <w:lang w:val="es-ES"/>
        </w:rPr>
        <w:t xml:space="preserve"> convenientes</w:t>
      </w:r>
      <w:r w:rsidR="00EA2745">
        <w:rPr>
          <w:rFonts w:ascii="Arial" w:eastAsia="Calibri" w:hAnsi="Arial" w:cs="Arial"/>
          <w:sz w:val="24"/>
          <w:szCs w:val="24"/>
          <w:lang w:val="es-ES"/>
        </w:rPr>
        <w:t>, y expresara</w:t>
      </w:r>
      <w:r w:rsidR="00F80F15" w:rsidRPr="00F80F15">
        <w:rPr>
          <w:rFonts w:ascii="Arial" w:eastAsia="Calibri" w:hAnsi="Arial" w:cs="Arial"/>
          <w:sz w:val="24"/>
          <w:szCs w:val="24"/>
          <w:lang w:val="es-ES"/>
        </w:rPr>
        <w:t xml:space="preserve"> l</w:t>
      </w:r>
      <w:r w:rsidR="00EA2745">
        <w:rPr>
          <w:rFonts w:ascii="Arial" w:eastAsia="Calibri" w:hAnsi="Arial" w:cs="Arial"/>
          <w:sz w:val="24"/>
          <w:szCs w:val="24"/>
          <w:lang w:val="es-ES"/>
        </w:rPr>
        <w:t>os hechos con que se encontraran</w:t>
      </w:r>
      <w:r w:rsidR="00F80F15" w:rsidRPr="00F80F15">
        <w:rPr>
          <w:rFonts w:ascii="Arial" w:eastAsia="Calibri" w:hAnsi="Arial" w:cs="Arial"/>
          <w:sz w:val="24"/>
          <w:szCs w:val="24"/>
          <w:lang w:val="es-ES"/>
        </w:rPr>
        <w:t xml:space="preserve"> relacionados</w:t>
      </w:r>
      <w:r w:rsidR="00F80F15">
        <w:rPr>
          <w:rFonts w:ascii="Arial" w:eastAsia="Calibri" w:hAnsi="Arial" w:cs="Arial"/>
          <w:sz w:val="24"/>
          <w:szCs w:val="24"/>
          <w:lang w:val="es-ES"/>
        </w:rPr>
        <w:t>.</w:t>
      </w:r>
    </w:p>
    <w:p w14:paraId="573A61B1" w14:textId="77777777" w:rsidR="00F80F15" w:rsidRDefault="00F80F15" w:rsidP="00DE6732">
      <w:pPr>
        <w:spacing w:after="0" w:line="360" w:lineRule="auto"/>
        <w:ind w:firstLine="709"/>
        <w:jc w:val="both"/>
        <w:rPr>
          <w:rFonts w:ascii="Arial" w:eastAsia="Calibri" w:hAnsi="Arial" w:cs="Arial"/>
          <w:sz w:val="24"/>
          <w:szCs w:val="24"/>
          <w:lang w:val="es-ES"/>
        </w:rPr>
      </w:pPr>
    </w:p>
    <w:p w14:paraId="75C2A168" w14:textId="77777777" w:rsidR="00E66B45" w:rsidRPr="00FE1F13" w:rsidRDefault="00E66B45" w:rsidP="00DE6732">
      <w:pPr>
        <w:spacing w:after="0" w:line="360" w:lineRule="auto"/>
        <w:ind w:firstLine="709"/>
        <w:jc w:val="both"/>
        <w:rPr>
          <w:rFonts w:ascii="Arial" w:eastAsia="Calibri" w:hAnsi="Arial" w:cs="Arial"/>
          <w:sz w:val="24"/>
          <w:szCs w:val="24"/>
          <w:lang w:val="es-ES"/>
        </w:rPr>
      </w:pPr>
    </w:p>
    <w:p w14:paraId="46B71861" w14:textId="77777777" w:rsidR="00E66B45" w:rsidRPr="00C61AF1" w:rsidRDefault="00F80F15" w:rsidP="00C61AF1">
      <w:pPr>
        <w:spacing w:after="0" w:line="360" w:lineRule="auto"/>
        <w:ind w:firstLine="709"/>
        <w:jc w:val="both"/>
        <w:rPr>
          <w:rFonts w:ascii="Arial" w:hAnsi="Arial" w:cs="Arial"/>
          <w:sz w:val="24"/>
          <w:szCs w:val="24"/>
          <w:lang w:val="es-ES_tradnl"/>
        </w:rPr>
      </w:pPr>
      <w:r>
        <w:rPr>
          <w:rFonts w:ascii="Arial" w:eastAsia="Calibri" w:hAnsi="Arial" w:cs="Arial"/>
          <w:b/>
          <w:sz w:val="24"/>
          <w:szCs w:val="24"/>
          <w:lang w:val="es-ES"/>
        </w:rPr>
        <w:t>II.-</w:t>
      </w:r>
      <w:r>
        <w:rPr>
          <w:rFonts w:ascii="Arial" w:eastAsia="Calibri" w:hAnsi="Arial" w:cs="Arial"/>
          <w:sz w:val="24"/>
          <w:szCs w:val="24"/>
          <w:lang w:val="es-ES"/>
        </w:rPr>
        <w:t xml:space="preserve"> Por auto de fecha </w:t>
      </w:r>
      <w:r w:rsidR="00E66B45">
        <w:rPr>
          <w:rFonts w:ascii="Arial" w:eastAsia="Calibri" w:hAnsi="Arial" w:cs="Arial"/>
          <w:sz w:val="24"/>
          <w:szCs w:val="24"/>
          <w:lang w:val="es-ES"/>
        </w:rPr>
        <w:t>veintisiete</w:t>
      </w:r>
      <w:r>
        <w:rPr>
          <w:rFonts w:ascii="Arial" w:eastAsia="Calibri" w:hAnsi="Arial" w:cs="Arial"/>
          <w:sz w:val="24"/>
          <w:szCs w:val="24"/>
          <w:lang w:val="es-ES"/>
        </w:rPr>
        <w:t xml:space="preserve"> de </w:t>
      </w:r>
      <w:r w:rsidR="00E66B45">
        <w:rPr>
          <w:rFonts w:ascii="Arial" w:eastAsia="Calibri" w:hAnsi="Arial" w:cs="Arial"/>
          <w:sz w:val="24"/>
          <w:szCs w:val="24"/>
          <w:lang w:val="es-ES"/>
        </w:rPr>
        <w:t>febrero</w:t>
      </w:r>
      <w:r>
        <w:rPr>
          <w:rFonts w:ascii="Arial" w:eastAsia="Calibri" w:hAnsi="Arial" w:cs="Arial"/>
          <w:sz w:val="24"/>
          <w:szCs w:val="24"/>
          <w:lang w:val="es-ES"/>
        </w:rPr>
        <w:t xml:space="preserve"> de dos mi</w:t>
      </w:r>
      <w:r w:rsidR="007D4E8D">
        <w:rPr>
          <w:rFonts w:ascii="Arial" w:eastAsia="Calibri" w:hAnsi="Arial" w:cs="Arial"/>
          <w:sz w:val="24"/>
          <w:szCs w:val="24"/>
          <w:lang w:val="es-ES"/>
        </w:rPr>
        <w:t xml:space="preserve">l </w:t>
      </w:r>
      <w:r w:rsidR="00E66B45">
        <w:rPr>
          <w:rFonts w:ascii="Arial" w:eastAsia="Calibri" w:hAnsi="Arial" w:cs="Arial"/>
          <w:sz w:val="24"/>
          <w:szCs w:val="24"/>
          <w:lang w:val="es-ES"/>
        </w:rPr>
        <w:t>veintiséis</w:t>
      </w:r>
      <w:r w:rsidR="001568C2">
        <w:rPr>
          <w:rFonts w:ascii="Arial" w:eastAsia="Calibri" w:hAnsi="Arial" w:cs="Arial"/>
          <w:sz w:val="24"/>
          <w:szCs w:val="24"/>
          <w:lang w:val="es-ES"/>
        </w:rPr>
        <w:t>, se tuvo a la autoridad demandada</w:t>
      </w:r>
      <w:r w:rsidR="00C00FA9">
        <w:rPr>
          <w:rFonts w:ascii="Arial" w:eastAsia="Calibri" w:hAnsi="Arial" w:cs="Arial"/>
          <w:sz w:val="24"/>
          <w:szCs w:val="24"/>
          <w:lang w:val="es-ES"/>
        </w:rPr>
        <w:t xml:space="preserve"> por contestando la demanda</w:t>
      </w:r>
      <w:r w:rsidR="007D4E8D">
        <w:rPr>
          <w:rFonts w:ascii="Arial" w:eastAsia="Calibri" w:hAnsi="Arial" w:cs="Arial"/>
          <w:sz w:val="24"/>
          <w:szCs w:val="24"/>
          <w:lang w:val="es-ES"/>
        </w:rPr>
        <w:t xml:space="preserve"> entablada en su contra</w:t>
      </w:r>
      <w:r w:rsidR="00C00FA9">
        <w:rPr>
          <w:rFonts w:ascii="Arial" w:eastAsia="Calibri" w:hAnsi="Arial" w:cs="Arial"/>
          <w:sz w:val="24"/>
          <w:szCs w:val="24"/>
          <w:lang w:val="es-ES"/>
        </w:rPr>
        <w:t xml:space="preserve">; </w:t>
      </w:r>
      <w:r w:rsidR="007D4E8D">
        <w:rPr>
          <w:rFonts w:ascii="Arial" w:eastAsia="Calibri" w:hAnsi="Arial" w:cs="Arial"/>
          <w:sz w:val="24"/>
          <w:szCs w:val="24"/>
          <w:lang w:val="es-ES"/>
        </w:rPr>
        <w:t xml:space="preserve">asimismo, </w:t>
      </w:r>
      <w:r w:rsidR="00E66B45" w:rsidRPr="0036343C">
        <w:rPr>
          <w:rFonts w:ascii="Arial" w:hAnsi="Arial" w:cs="Arial"/>
          <w:sz w:val="24"/>
          <w:szCs w:val="24"/>
          <w:lang w:val="es-ES_tradnl"/>
        </w:rPr>
        <w:t>se admitieron las pruebas de</w:t>
      </w:r>
      <w:r w:rsidR="00E66B45">
        <w:rPr>
          <w:rFonts w:ascii="Arial" w:hAnsi="Arial" w:cs="Arial"/>
          <w:sz w:val="24"/>
          <w:szCs w:val="24"/>
          <w:lang w:val="es-ES_tradnl"/>
        </w:rPr>
        <w:t xml:space="preserve"> las partes</w:t>
      </w:r>
      <w:r w:rsidR="00C61AF1">
        <w:rPr>
          <w:rFonts w:ascii="Arial" w:hAnsi="Arial" w:cs="Arial"/>
          <w:sz w:val="24"/>
          <w:szCs w:val="24"/>
        </w:rPr>
        <w:t>.</w:t>
      </w:r>
    </w:p>
    <w:p w14:paraId="792F15FB" w14:textId="77777777" w:rsidR="007D4E8D" w:rsidRDefault="007D4E8D" w:rsidP="00DE6732">
      <w:pPr>
        <w:spacing w:after="0" w:line="360" w:lineRule="auto"/>
        <w:ind w:firstLine="709"/>
        <w:jc w:val="both"/>
        <w:rPr>
          <w:rFonts w:ascii="Arial" w:eastAsia="Calibri" w:hAnsi="Arial" w:cs="Arial"/>
          <w:sz w:val="24"/>
          <w:szCs w:val="24"/>
          <w:lang w:val="es-ES"/>
        </w:rPr>
      </w:pPr>
    </w:p>
    <w:p w14:paraId="1E6B28BC" w14:textId="77777777" w:rsidR="001A0C73" w:rsidRDefault="001A0C73" w:rsidP="00DE6732">
      <w:pPr>
        <w:spacing w:after="0" w:line="360" w:lineRule="auto"/>
        <w:ind w:firstLine="709"/>
        <w:jc w:val="both"/>
        <w:rPr>
          <w:rFonts w:ascii="Arial" w:eastAsia="Calibri" w:hAnsi="Arial" w:cs="Arial"/>
          <w:sz w:val="24"/>
          <w:szCs w:val="24"/>
          <w:lang w:val="es-ES"/>
        </w:rPr>
      </w:pPr>
    </w:p>
    <w:p w14:paraId="1006732A" w14:textId="77777777" w:rsidR="00C61AF1" w:rsidRDefault="007D4E8D" w:rsidP="00C61AF1">
      <w:pPr>
        <w:spacing w:after="0" w:line="360" w:lineRule="auto"/>
        <w:ind w:firstLine="709"/>
        <w:jc w:val="both"/>
        <w:rPr>
          <w:rFonts w:ascii="Arial" w:eastAsia="Calibri" w:hAnsi="Arial" w:cs="Arial"/>
          <w:sz w:val="24"/>
          <w:szCs w:val="24"/>
          <w:lang w:val="es-ES"/>
        </w:rPr>
      </w:pPr>
      <w:r>
        <w:rPr>
          <w:rFonts w:ascii="Arial" w:eastAsia="Calibri" w:hAnsi="Arial" w:cs="Arial"/>
          <w:b/>
          <w:sz w:val="24"/>
          <w:szCs w:val="24"/>
          <w:lang w:val="es-ES"/>
        </w:rPr>
        <w:t>III.-</w:t>
      </w:r>
      <w:r>
        <w:rPr>
          <w:rFonts w:ascii="Arial" w:eastAsia="Calibri" w:hAnsi="Arial" w:cs="Arial"/>
          <w:sz w:val="24"/>
          <w:szCs w:val="24"/>
          <w:lang w:val="es-ES"/>
        </w:rPr>
        <w:t xml:space="preserve"> </w:t>
      </w:r>
      <w:r w:rsidR="00C61AF1">
        <w:rPr>
          <w:rFonts w:ascii="Arial" w:eastAsia="Calibri" w:hAnsi="Arial" w:cs="Arial"/>
          <w:sz w:val="24"/>
          <w:szCs w:val="24"/>
          <w:lang w:val="es-ES"/>
        </w:rPr>
        <w:t>Con</w:t>
      </w:r>
      <w:r w:rsidR="00C61AF1" w:rsidRPr="007422BC">
        <w:rPr>
          <w:rFonts w:ascii="Arial" w:eastAsia="Calibri" w:hAnsi="Arial" w:cs="Arial"/>
          <w:sz w:val="24"/>
          <w:szCs w:val="24"/>
          <w:lang w:val="es-ES"/>
        </w:rPr>
        <w:t xml:space="preserve"> fecha</w:t>
      </w:r>
      <w:r w:rsidR="00C61AF1">
        <w:rPr>
          <w:rFonts w:ascii="Arial" w:eastAsia="Calibri" w:hAnsi="Arial" w:cs="Arial"/>
          <w:sz w:val="24"/>
          <w:szCs w:val="24"/>
          <w:lang w:val="es-ES"/>
        </w:rPr>
        <w:t xml:space="preserve"> veintisiete de abril de dos mil veintiséis</w:t>
      </w:r>
      <w:r w:rsidR="00C61AF1" w:rsidRPr="00C61AF1">
        <w:rPr>
          <w:rFonts w:ascii="Arial" w:eastAsia="Calibri" w:hAnsi="Arial" w:cs="Arial"/>
          <w:sz w:val="24"/>
          <w:szCs w:val="24"/>
          <w:lang w:val="es-ES"/>
        </w:rPr>
        <w:t xml:space="preserve"> </w:t>
      </w:r>
      <w:r w:rsidR="00C61AF1" w:rsidRPr="007422BC">
        <w:rPr>
          <w:rFonts w:ascii="Arial" w:eastAsia="Calibri" w:hAnsi="Arial" w:cs="Arial"/>
          <w:sz w:val="24"/>
          <w:szCs w:val="24"/>
          <w:lang w:val="es-ES"/>
        </w:rPr>
        <w:t>se llevó a cabo la audiencia</w:t>
      </w:r>
      <w:r w:rsidR="00C61AF1" w:rsidRPr="00C61AF1">
        <w:rPr>
          <w:rFonts w:ascii="Arial" w:eastAsia="Calibri" w:hAnsi="Arial" w:cs="Arial"/>
          <w:sz w:val="24"/>
          <w:szCs w:val="24"/>
          <w:lang w:val="es-ES"/>
        </w:rPr>
        <w:t xml:space="preserve"> </w:t>
      </w:r>
      <w:r w:rsidR="00C61AF1" w:rsidRPr="007422BC">
        <w:rPr>
          <w:rFonts w:ascii="Arial" w:eastAsia="Calibri" w:hAnsi="Arial" w:cs="Arial"/>
          <w:sz w:val="24"/>
          <w:szCs w:val="24"/>
          <w:lang w:val="es-ES"/>
        </w:rPr>
        <w:t>a que se refiere el artículo 246 del Código Procesal Administrativo para el Estado de San Luis Potosí</w:t>
      </w:r>
      <w:r w:rsidR="00C61AF1">
        <w:rPr>
          <w:rFonts w:ascii="Arial" w:eastAsia="Calibri" w:hAnsi="Arial" w:cs="Arial"/>
          <w:sz w:val="24"/>
          <w:szCs w:val="24"/>
          <w:lang w:val="es-ES"/>
        </w:rPr>
        <w:t>, con la asistencia de la parte actora y sin la asistencia de la autoridad demandada; en el desahogo de la misma, e</w:t>
      </w:r>
      <w:r w:rsidR="00C61AF1" w:rsidRPr="007422BC">
        <w:rPr>
          <w:rFonts w:ascii="Arial" w:eastAsia="Calibri" w:hAnsi="Arial" w:cs="Arial"/>
          <w:sz w:val="24"/>
          <w:szCs w:val="24"/>
          <w:lang w:val="es-ES"/>
        </w:rPr>
        <w:t>l Secretario de Acuerdos dio cuenta con las constancias de autos, posteriormente en la etapa de pruebas, se tuvieron por desahogadas todas y cada una de las pruebas admitidas a las partes dada su</w:t>
      </w:r>
      <w:r w:rsidR="00C61AF1">
        <w:rPr>
          <w:rFonts w:ascii="Arial" w:eastAsia="Calibri" w:hAnsi="Arial" w:cs="Arial"/>
          <w:sz w:val="24"/>
          <w:szCs w:val="24"/>
          <w:lang w:val="es-ES"/>
        </w:rPr>
        <w:t xml:space="preserve"> propia y especial naturaleza; e</w:t>
      </w:r>
      <w:r w:rsidR="00C61AF1" w:rsidRPr="007422BC">
        <w:rPr>
          <w:rFonts w:ascii="Arial" w:eastAsia="Calibri" w:hAnsi="Arial" w:cs="Arial"/>
          <w:sz w:val="24"/>
          <w:szCs w:val="24"/>
          <w:lang w:val="es-ES"/>
        </w:rPr>
        <w:t xml:space="preserve">n </w:t>
      </w:r>
      <w:r w:rsidR="00C61AF1">
        <w:rPr>
          <w:rFonts w:ascii="Arial" w:eastAsia="Calibri" w:hAnsi="Arial" w:cs="Arial"/>
          <w:sz w:val="24"/>
          <w:szCs w:val="24"/>
          <w:lang w:val="es-ES"/>
        </w:rPr>
        <w:t xml:space="preserve">el </w:t>
      </w:r>
      <w:r w:rsidR="00C61AF1" w:rsidRPr="007422BC">
        <w:rPr>
          <w:rFonts w:ascii="Arial" w:eastAsia="Calibri" w:hAnsi="Arial" w:cs="Arial"/>
          <w:sz w:val="24"/>
          <w:szCs w:val="24"/>
          <w:lang w:val="es-ES"/>
        </w:rPr>
        <w:t xml:space="preserve">período de alegatos, se certificó que </w:t>
      </w:r>
      <w:r w:rsidR="00C61AF1">
        <w:rPr>
          <w:rFonts w:ascii="Arial" w:eastAsia="Calibri" w:hAnsi="Arial" w:cs="Arial"/>
          <w:sz w:val="24"/>
          <w:szCs w:val="24"/>
          <w:lang w:val="es-ES"/>
        </w:rPr>
        <w:t>no se formularon alegatos por las partes</w:t>
      </w:r>
      <w:r w:rsidR="00C61AF1" w:rsidRPr="007422BC">
        <w:rPr>
          <w:rFonts w:ascii="Arial" w:eastAsia="Calibri" w:hAnsi="Arial" w:cs="Arial"/>
          <w:sz w:val="24"/>
          <w:szCs w:val="24"/>
          <w:lang w:val="es-ES"/>
        </w:rPr>
        <w:t>, dándose por concluida la audiencia y finalmente se citó para resolver</w:t>
      </w:r>
      <w:r w:rsidR="00C61AF1">
        <w:rPr>
          <w:rFonts w:ascii="Arial" w:eastAsia="Calibri" w:hAnsi="Arial" w:cs="Arial"/>
          <w:sz w:val="24"/>
          <w:szCs w:val="24"/>
          <w:lang w:val="es-ES"/>
        </w:rPr>
        <w:t xml:space="preserve"> en definitiva</w:t>
      </w:r>
      <w:r w:rsidR="00C61AF1" w:rsidRPr="007422BC">
        <w:rPr>
          <w:rFonts w:ascii="Arial" w:eastAsia="Calibri" w:hAnsi="Arial" w:cs="Arial"/>
          <w:sz w:val="24"/>
          <w:szCs w:val="24"/>
          <w:lang w:val="es-ES"/>
        </w:rPr>
        <w:t>.</w:t>
      </w:r>
    </w:p>
    <w:p w14:paraId="627CD4F1" w14:textId="77777777" w:rsidR="00C61AF1" w:rsidRDefault="00C61AF1" w:rsidP="00DE6732">
      <w:pPr>
        <w:spacing w:after="0" w:line="360" w:lineRule="auto"/>
        <w:ind w:firstLine="709"/>
        <w:jc w:val="both"/>
        <w:rPr>
          <w:rFonts w:ascii="Arial" w:eastAsia="Calibri" w:hAnsi="Arial" w:cs="Arial"/>
          <w:sz w:val="24"/>
          <w:szCs w:val="24"/>
          <w:lang w:val="es-ES"/>
        </w:rPr>
      </w:pPr>
    </w:p>
    <w:p w14:paraId="6A0214B7" w14:textId="77777777" w:rsidR="007422BC" w:rsidRDefault="007422BC" w:rsidP="00DE6732">
      <w:pPr>
        <w:spacing w:after="0" w:line="360" w:lineRule="auto"/>
        <w:ind w:firstLine="709"/>
        <w:jc w:val="both"/>
        <w:rPr>
          <w:rFonts w:ascii="Arial" w:eastAsia="Calibri" w:hAnsi="Arial" w:cs="Arial"/>
          <w:sz w:val="24"/>
          <w:szCs w:val="24"/>
          <w:lang w:val="es-ES"/>
        </w:rPr>
      </w:pPr>
    </w:p>
    <w:p w14:paraId="6CE19149" w14:textId="77777777" w:rsidR="001A0C73" w:rsidRDefault="001A0C73" w:rsidP="00DE6732">
      <w:pPr>
        <w:spacing w:after="0" w:line="360" w:lineRule="auto"/>
        <w:ind w:firstLine="709"/>
        <w:jc w:val="both"/>
        <w:rPr>
          <w:rFonts w:ascii="Arial" w:eastAsia="Calibri" w:hAnsi="Arial" w:cs="Arial"/>
          <w:sz w:val="24"/>
          <w:szCs w:val="24"/>
          <w:lang w:val="es-ES"/>
        </w:rPr>
      </w:pPr>
    </w:p>
    <w:p w14:paraId="248F9170" w14:textId="77777777" w:rsidR="00DE6732" w:rsidRPr="003D7B14" w:rsidRDefault="00DE6732" w:rsidP="00DE6732">
      <w:pPr>
        <w:spacing w:after="0" w:line="360" w:lineRule="auto"/>
        <w:jc w:val="center"/>
        <w:rPr>
          <w:rFonts w:ascii="Arial" w:eastAsia="Arial Unicode MS" w:hAnsi="Arial" w:cs="Arial"/>
          <w:b/>
          <w:sz w:val="24"/>
          <w:szCs w:val="24"/>
        </w:rPr>
      </w:pPr>
      <w:r w:rsidRPr="003D7B14">
        <w:rPr>
          <w:rFonts w:ascii="Arial" w:eastAsia="Arial Unicode MS" w:hAnsi="Arial" w:cs="Arial"/>
          <w:b/>
          <w:sz w:val="24"/>
          <w:szCs w:val="24"/>
        </w:rPr>
        <w:t>C O N S I D E R A N D O</w:t>
      </w:r>
    </w:p>
    <w:p w14:paraId="32CB292A" w14:textId="77777777" w:rsidR="00DE6732" w:rsidRDefault="00DE6732" w:rsidP="00DE6732">
      <w:pPr>
        <w:tabs>
          <w:tab w:val="left" w:pos="5821"/>
        </w:tabs>
        <w:spacing w:after="0" w:line="360" w:lineRule="auto"/>
        <w:ind w:firstLine="709"/>
        <w:rPr>
          <w:rFonts w:ascii="Arial" w:eastAsia="Arial Unicode MS" w:hAnsi="Arial" w:cs="Arial"/>
          <w:sz w:val="24"/>
          <w:szCs w:val="24"/>
        </w:rPr>
      </w:pPr>
    </w:p>
    <w:p w14:paraId="36F701EE" w14:textId="77777777" w:rsidR="001A0C73" w:rsidRPr="003D7B14" w:rsidRDefault="001A0C73" w:rsidP="00DE6732">
      <w:pPr>
        <w:tabs>
          <w:tab w:val="left" w:pos="5821"/>
        </w:tabs>
        <w:spacing w:after="0" w:line="360" w:lineRule="auto"/>
        <w:ind w:firstLine="709"/>
        <w:rPr>
          <w:rFonts w:ascii="Arial" w:eastAsia="Arial Unicode MS" w:hAnsi="Arial" w:cs="Arial"/>
          <w:sz w:val="24"/>
          <w:szCs w:val="24"/>
        </w:rPr>
      </w:pPr>
    </w:p>
    <w:p w14:paraId="3D11E0DA" w14:textId="77777777" w:rsidR="00662D57" w:rsidRDefault="00DE6732" w:rsidP="0007703B">
      <w:pPr>
        <w:spacing w:after="0" w:line="360" w:lineRule="auto"/>
        <w:ind w:firstLine="709"/>
        <w:jc w:val="both"/>
        <w:rPr>
          <w:rFonts w:ascii="Arial" w:eastAsia="Arial Unicode MS" w:hAnsi="Arial" w:cs="Arial"/>
          <w:sz w:val="24"/>
          <w:szCs w:val="24"/>
        </w:rPr>
      </w:pPr>
      <w:r w:rsidRPr="00FE1570">
        <w:rPr>
          <w:rFonts w:ascii="Arial" w:eastAsia="Arial Unicode MS" w:hAnsi="Arial" w:cs="Arial"/>
          <w:b/>
          <w:sz w:val="24"/>
          <w:szCs w:val="24"/>
        </w:rPr>
        <w:t>PRIMERO.-</w:t>
      </w:r>
      <w:r w:rsidRPr="00FE1570">
        <w:rPr>
          <w:rFonts w:ascii="Arial" w:eastAsia="Arial Unicode MS" w:hAnsi="Arial" w:cs="Arial"/>
          <w:sz w:val="24"/>
          <w:szCs w:val="24"/>
        </w:rPr>
        <w:t xml:space="preserve"> </w:t>
      </w:r>
      <w:r w:rsidR="00315136">
        <w:rPr>
          <w:rFonts w:ascii="Arial" w:eastAsia="Arial Unicode MS" w:hAnsi="Arial" w:cs="Arial"/>
          <w:sz w:val="24"/>
          <w:szCs w:val="24"/>
        </w:rPr>
        <w:t>A la</w:t>
      </w:r>
      <w:r w:rsidRPr="00FE1570">
        <w:rPr>
          <w:rFonts w:ascii="Arial" w:eastAsia="Arial Unicode MS" w:hAnsi="Arial" w:cs="Arial"/>
          <w:sz w:val="24"/>
          <w:szCs w:val="24"/>
        </w:rPr>
        <w:t xml:space="preserve"> Tercera Sala Unitaria del Tribunal Estatal de Justicia administrativa, </w:t>
      </w:r>
      <w:r w:rsidR="00315136">
        <w:rPr>
          <w:rFonts w:ascii="Arial" w:eastAsia="Arial Unicode MS" w:hAnsi="Arial" w:cs="Arial"/>
          <w:sz w:val="24"/>
          <w:szCs w:val="24"/>
        </w:rPr>
        <w:t xml:space="preserve">le </w:t>
      </w:r>
      <w:r w:rsidRPr="00FE1570">
        <w:rPr>
          <w:rFonts w:ascii="Arial" w:eastAsia="Arial Unicode MS" w:hAnsi="Arial" w:cs="Arial"/>
          <w:sz w:val="24"/>
          <w:szCs w:val="24"/>
        </w:rPr>
        <w:t xml:space="preserve">corresponde conocer, substanciar y resolver los juicios de su competencia, en términos de los artículos 123 de la Constitución Política del Estado de San Luis Potosí, y </w:t>
      </w:r>
      <w:r w:rsidR="007422BC" w:rsidRPr="00FE1570">
        <w:rPr>
          <w:rFonts w:ascii="Arial" w:eastAsia="Calibri" w:hAnsi="Arial" w:cs="Arial"/>
          <w:sz w:val="24"/>
          <w:szCs w:val="24"/>
        </w:rPr>
        <w:t>1º, 2º,</w:t>
      </w:r>
      <w:r w:rsidR="00203BF4">
        <w:rPr>
          <w:rFonts w:ascii="Arial" w:eastAsia="Calibri" w:hAnsi="Arial" w:cs="Arial"/>
          <w:sz w:val="24"/>
          <w:szCs w:val="24"/>
        </w:rPr>
        <w:t xml:space="preserve"> </w:t>
      </w:r>
      <w:r w:rsidRPr="00FE1570">
        <w:rPr>
          <w:rFonts w:ascii="Arial" w:eastAsia="Arial Unicode MS" w:hAnsi="Arial" w:cs="Arial"/>
          <w:sz w:val="24"/>
          <w:szCs w:val="24"/>
        </w:rPr>
        <w:t>7°</w:t>
      </w:r>
      <w:r w:rsidR="007422BC" w:rsidRPr="00FE1570">
        <w:rPr>
          <w:rFonts w:ascii="Arial" w:eastAsia="Calibri" w:hAnsi="Arial" w:cs="Arial"/>
          <w:sz w:val="24"/>
          <w:szCs w:val="24"/>
        </w:rPr>
        <w:t xml:space="preserve"> </w:t>
      </w:r>
      <w:r w:rsidR="002A2320">
        <w:rPr>
          <w:rFonts w:ascii="Arial" w:eastAsia="Calibri" w:hAnsi="Arial" w:cs="Arial"/>
          <w:sz w:val="24"/>
          <w:szCs w:val="24"/>
        </w:rPr>
        <w:t>fracciones</w:t>
      </w:r>
      <w:r w:rsidR="00203BF4">
        <w:rPr>
          <w:rFonts w:ascii="Arial" w:eastAsia="Calibri" w:hAnsi="Arial" w:cs="Arial"/>
          <w:sz w:val="24"/>
          <w:szCs w:val="24"/>
        </w:rPr>
        <w:t xml:space="preserve"> </w:t>
      </w:r>
      <w:r w:rsidR="009B05B0">
        <w:rPr>
          <w:rFonts w:ascii="Arial" w:eastAsia="Calibri" w:hAnsi="Arial" w:cs="Arial"/>
          <w:sz w:val="24"/>
          <w:szCs w:val="24"/>
        </w:rPr>
        <w:t>V</w:t>
      </w:r>
      <w:r w:rsidR="002A2320">
        <w:rPr>
          <w:rFonts w:ascii="Arial" w:eastAsia="Calibri" w:hAnsi="Arial" w:cs="Arial"/>
          <w:sz w:val="24"/>
          <w:szCs w:val="24"/>
        </w:rPr>
        <w:t xml:space="preserve"> y XVIII</w:t>
      </w:r>
      <w:r w:rsidRPr="00FE1570">
        <w:rPr>
          <w:rFonts w:ascii="Arial" w:eastAsia="Arial Unicode MS" w:hAnsi="Arial" w:cs="Arial"/>
          <w:sz w:val="24"/>
          <w:szCs w:val="24"/>
        </w:rPr>
        <w:t>, 9° fracción III, 24, 33, 34, 35</w:t>
      </w:r>
      <w:r w:rsidR="007422BC" w:rsidRPr="00FE1570">
        <w:rPr>
          <w:rFonts w:ascii="Arial" w:eastAsia="Arial Unicode MS" w:hAnsi="Arial" w:cs="Arial"/>
          <w:sz w:val="24"/>
          <w:szCs w:val="24"/>
        </w:rPr>
        <w:t xml:space="preserve"> </w:t>
      </w:r>
      <w:r w:rsidR="007422BC" w:rsidRPr="00FE1570">
        <w:rPr>
          <w:rFonts w:ascii="Arial" w:eastAsia="Calibri" w:hAnsi="Arial" w:cs="Arial"/>
          <w:sz w:val="24"/>
          <w:szCs w:val="24"/>
        </w:rPr>
        <w:t>fracción VIII</w:t>
      </w:r>
      <w:r w:rsidRPr="00FE1570">
        <w:rPr>
          <w:rFonts w:ascii="Arial" w:eastAsia="Arial Unicode MS" w:hAnsi="Arial" w:cs="Arial"/>
          <w:sz w:val="24"/>
          <w:szCs w:val="24"/>
        </w:rPr>
        <w:t xml:space="preserve">, y 37, </w:t>
      </w:r>
      <w:r w:rsidR="00203BF4">
        <w:rPr>
          <w:rFonts w:ascii="Arial" w:eastAsia="Arial Unicode MS" w:hAnsi="Arial" w:cs="Arial"/>
          <w:sz w:val="24"/>
          <w:szCs w:val="24"/>
        </w:rPr>
        <w:t xml:space="preserve">fracción </w:t>
      </w:r>
      <w:r w:rsidR="00315136">
        <w:rPr>
          <w:rFonts w:ascii="Arial" w:eastAsia="Arial Unicode MS" w:hAnsi="Arial" w:cs="Arial"/>
          <w:sz w:val="24"/>
          <w:szCs w:val="24"/>
        </w:rPr>
        <w:t>I</w:t>
      </w:r>
      <w:r w:rsidR="00203BF4">
        <w:rPr>
          <w:rFonts w:ascii="Arial" w:eastAsia="Arial Unicode MS" w:hAnsi="Arial" w:cs="Arial"/>
          <w:sz w:val="24"/>
          <w:szCs w:val="24"/>
        </w:rPr>
        <w:t xml:space="preserve">I, </w:t>
      </w:r>
      <w:r w:rsidRPr="00FE1570">
        <w:rPr>
          <w:rFonts w:ascii="Arial" w:eastAsia="Arial Unicode MS" w:hAnsi="Arial" w:cs="Arial"/>
          <w:sz w:val="24"/>
          <w:szCs w:val="24"/>
        </w:rPr>
        <w:t xml:space="preserve">de la Ley Orgánica del Tribunal Estatal de Justicia Administrativa de San Luis Potosí, ya que se trata de una controversia suscitada </w:t>
      </w:r>
      <w:r w:rsidR="00203BF4">
        <w:rPr>
          <w:rFonts w:ascii="Arial" w:eastAsia="Arial Unicode MS" w:hAnsi="Arial" w:cs="Arial"/>
          <w:sz w:val="24"/>
          <w:szCs w:val="24"/>
        </w:rPr>
        <w:t xml:space="preserve">por </w:t>
      </w:r>
      <w:r w:rsidR="009B05B0">
        <w:rPr>
          <w:rFonts w:ascii="Arial" w:eastAsia="Arial Unicode MS" w:hAnsi="Arial" w:cs="Arial"/>
          <w:sz w:val="24"/>
          <w:szCs w:val="24"/>
        </w:rPr>
        <w:t xml:space="preserve">la imposición de una multa por infracción a las normas administrativas estatales por parte de </w:t>
      </w:r>
      <w:r w:rsidR="00EE60F9">
        <w:rPr>
          <w:rFonts w:ascii="Arial" w:eastAsia="Arial Unicode MS" w:hAnsi="Arial" w:cs="Arial"/>
          <w:sz w:val="24"/>
          <w:szCs w:val="24"/>
        </w:rPr>
        <w:t xml:space="preserve">una autoridad de esta entidad federativa, </w:t>
      </w:r>
      <w:r w:rsidR="00323E4F">
        <w:rPr>
          <w:rFonts w:ascii="Arial" w:eastAsia="Arial Unicode MS" w:hAnsi="Arial" w:cs="Arial"/>
          <w:sz w:val="24"/>
          <w:szCs w:val="24"/>
        </w:rPr>
        <w:t>donde se ejerce jurisdicción.</w:t>
      </w:r>
    </w:p>
    <w:p w14:paraId="71EBD96B" w14:textId="77777777" w:rsidR="005D2DFD" w:rsidRPr="005D2DFD" w:rsidRDefault="005D2DFD" w:rsidP="0007703B">
      <w:pPr>
        <w:spacing w:after="0" w:line="360" w:lineRule="auto"/>
        <w:ind w:firstLine="709"/>
        <w:jc w:val="both"/>
        <w:rPr>
          <w:rFonts w:ascii="Arial" w:eastAsia="Calibri" w:hAnsi="Arial" w:cs="Arial"/>
          <w:sz w:val="24"/>
          <w:szCs w:val="24"/>
        </w:rPr>
      </w:pPr>
    </w:p>
    <w:p w14:paraId="0000CFFE" w14:textId="77777777" w:rsidR="005D2DFD" w:rsidRPr="005D2DFD" w:rsidRDefault="005D2DFD" w:rsidP="0007703B">
      <w:pPr>
        <w:spacing w:after="0" w:line="360" w:lineRule="auto"/>
        <w:ind w:firstLine="709"/>
        <w:jc w:val="both"/>
        <w:rPr>
          <w:rFonts w:ascii="Arial" w:eastAsia="Calibri" w:hAnsi="Arial" w:cs="Arial"/>
          <w:sz w:val="24"/>
          <w:szCs w:val="24"/>
        </w:rPr>
      </w:pPr>
      <w:r w:rsidRPr="005D2DFD">
        <w:rPr>
          <w:rFonts w:ascii="Arial" w:eastAsia="Calibri" w:hAnsi="Arial" w:cs="Arial"/>
          <w:sz w:val="24"/>
          <w:szCs w:val="24"/>
        </w:rPr>
        <w:t xml:space="preserve">Asimismo, </w:t>
      </w:r>
      <w:r w:rsidR="006C1566">
        <w:rPr>
          <w:rFonts w:ascii="Arial" w:eastAsia="Calibri" w:hAnsi="Arial" w:cs="Arial"/>
          <w:sz w:val="24"/>
          <w:szCs w:val="24"/>
        </w:rPr>
        <w:t>los artículos</w:t>
      </w:r>
      <w:r w:rsidR="002A2320">
        <w:rPr>
          <w:rFonts w:ascii="Arial" w:eastAsia="Calibri" w:hAnsi="Arial" w:cs="Arial"/>
          <w:sz w:val="24"/>
          <w:szCs w:val="24"/>
        </w:rPr>
        <w:t xml:space="preserve"> 196 </w:t>
      </w:r>
      <w:r w:rsidR="006C1566">
        <w:rPr>
          <w:rFonts w:ascii="Arial" w:eastAsia="Calibri" w:hAnsi="Arial" w:cs="Arial"/>
          <w:sz w:val="24"/>
          <w:szCs w:val="24"/>
        </w:rPr>
        <w:t xml:space="preserve">y 207 </w:t>
      </w:r>
      <w:r w:rsidR="002A2320">
        <w:rPr>
          <w:rFonts w:ascii="Arial" w:eastAsia="Calibri" w:hAnsi="Arial" w:cs="Arial"/>
          <w:sz w:val="24"/>
          <w:szCs w:val="24"/>
        </w:rPr>
        <w:t>de la Ley de Transparencia y Acceso a la Información Pública del Estado de San Luis Potosí, establece que procede el juicio de nulidad contra la resolución que imponga una multa derivada</w:t>
      </w:r>
      <w:r w:rsidR="001A0C73">
        <w:rPr>
          <w:rFonts w:ascii="Arial" w:eastAsia="Calibri" w:hAnsi="Arial" w:cs="Arial"/>
          <w:sz w:val="24"/>
          <w:szCs w:val="24"/>
        </w:rPr>
        <w:t xml:space="preserve"> de la ejecución de medidas de apremio</w:t>
      </w:r>
      <w:r w:rsidR="006C1566">
        <w:rPr>
          <w:rFonts w:ascii="Arial" w:eastAsia="Calibri" w:hAnsi="Arial" w:cs="Arial"/>
          <w:sz w:val="24"/>
          <w:szCs w:val="24"/>
        </w:rPr>
        <w:t xml:space="preserve"> y, en contra de las sanciones impuestas en la resolución de al procedimiento sancionatorio</w:t>
      </w:r>
      <w:r w:rsidR="001A0C73">
        <w:rPr>
          <w:rFonts w:ascii="Arial" w:eastAsia="Calibri" w:hAnsi="Arial" w:cs="Arial"/>
          <w:sz w:val="24"/>
          <w:szCs w:val="24"/>
        </w:rPr>
        <w:t xml:space="preserve">; por lo que, para efectos del artículo 7º. Párrafo primero fracción XVIII y párrafo segundo, de la Ley Orgánica del Tribunal Estatal de Justicia Administrativa de San Luis Potosí, esa resolución es una resolución definitiva; por lo que </w:t>
      </w:r>
      <w:r w:rsidRPr="005D2DFD">
        <w:rPr>
          <w:rFonts w:ascii="Arial" w:eastAsia="Calibri" w:hAnsi="Arial" w:cs="Arial"/>
          <w:sz w:val="24"/>
          <w:szCs w:val="24"/>
        </w:rPr>
        <w:t xml:space="preserve">este Tribunal cuenta con la competencia </w:t>
      </w:r>
      <w:r w:rsidR="001A0C73">
        <w:rPr>
          <w:rFonts w:ascii="Arial" w:eastAsia="Calibri" w:hAnsi="Arial" w:cs="Arial"/>
          <w:sz w:val="24"/>
          <w:szCs w:val="24"/>
        </w:rPr>
        <w:t xml:space="preserve">para conocer del juicio de nulidad que se interponga en contra de la multa impuesta como medida de apremio </w:t>
      </w:r>
      <w:r w:rsidR="001A0C73">
        <w:rPr>
          <w:rFonts w:ascii="Arial" w:eastAsia="Calibri" w:hAnsi="Arial" w:cs="Arial"/>
          <w:sz w:val="24"/>
          <w:szCs w:val="24"/>
        </w:rPr>
        <w:lastRenderedPageBreak/>
        <w:t xml:space="preserve">por la Comisión Estatal de Garantía de Acceso a la Información Pública del Estado de San Luis Potosí, </w:t>
      </w:r>
      <w:r w:rsidRPr="005D2DFD">
        <w:rPr>
          <w:rFonts w:ascii="Arial" w:eastAsia="Calibri" w:hAnsi="Arial" w:cs="Arial"/>
          <w:sz w:val="24"/>
          <w:szCs w:val="24"/>
        </w:rPr>
        <w:t>de conformidad a la tesis de jurisprudencia del siguiente rubro y contenido:</w:t>
      </w:r>
    </w:p>
    <w:p w14:paraId="3A37E8F7" w14:textId="77777777" w:rsidR="00DE6732" w:rsidRPr="005D2DFD" w:rsidRDefault="00DE6732" w:rsidP="00DE6732">
      <w:pPr>
        <w:spacing w:after="0" w:line="360" w:lineRule="auto"/>
        <w:ind w:firstLine="709"/>
        <w:jc w:val="both"/>
        <w:rPr>
          <w:rFonts w:ascii="Arial" w:eastAsia="Calibri" w:hAnsi="Arial" w:cs="Arial"/>
          <w:sz w:val="24"/>
          <w:szCs w:val="24"/>
        </w:rPr>
      </w:pPr>
    </w:p>
    <w:p w14:paraId="0DF10D39"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b/>
          <w:sz w:val="20"/>
          <w:szCs w:val="20"/>
        </w:rPr>
        <w:t>Registro digital:</w:t>
      </w:r>
      <w:r w:rsidRPr="005D2DFD">
        <w:rPr>
          <w:rFonts w:ascii="Arial" w:eastAsia="Calibri" w:hAnsi="Arial" w:cs="Arial"/>
          <w:sz w:val="20"/>
          <w:szCs w:val="20"/>
        </w:rPr>
        <w:t xml:space="preserve"> 2005239</w:t>
      </w:r>
    </w:p>
    <w:p w14:paraId="7394FB87"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Instancia: Segunda Sala</w:t>
      </w:r>
    </w:p>
    <w:p w14:paraId="3582503F"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Décima Época</w:t>
      </w:r>
    </w:p>
    <w:p w14:paraId="634D516F"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Materias(s): Administrativa</w:t>
      </w:r>
    </w:p>
    <w:p w14:paraId="2839F348"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Tesis: 2a./J. 153/2013 (10a.)</w:t>
      </w:r>
    </w:p>
    <w:p w14:paraId="5236D078"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Fuente: Gaceta del Semanario Judicial de la Federación. Libro 2, Enero de 2014, Tomo II, página 1534</w:t>
      </w:r>
    </w:p>
    <w:p w14:paraId="1BE87818"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sz w:val="20"/>
          <w:szCs w:val="20"/>
        </w:rPr>
        <w:t>Tipo: Jurisprudencia</w:t>
      </w:r>
    </w:p>
    <w:p w14:paraId="4053E4CB" w14:textId="77777777" w:rsidR="005D2DFD" w:rsidRPr="005D2DFD" w:rsidRDefault="005D2DFD" w:rsidP="005D2DFD">
      <w:pPr>
        <w:spacing w:after="0" w:line="240" w:lineRule="auto"/>
        <w:ind w:left="567" w:right="618"/>
        <w:jc w:val="both"/>
        <w:rPr>
          <w:rFonts w:ascii="Arial" w:eastAsia="Calibri" w:hAnsi="Arial" w:cs="Arial"/>
          <w:sz w:val="20"/>
          <w:szCs w:val="20"/>
        </w:rPr>
      </w:pPr>
    </w:p>
    <w:p w14:paraId="6D7D22CD" w14:textId="77777777" w:rsidR="005D2DFD" w:rsidRPr="005D2DFD" w:rsidRDefault="005D2DFD" w:rsidP="005D2DFD">
      <w:pPr>
        <w:spacing w:after="0" w:line="240" w:lineRule="auto"/>
        <w:ind w:left="567" w:right="618"/>
        <w:jc w:val="both"/>
        <w:rPr>
          <w:rFonts w:ascii="Arial" w:eastAsia="Calibri" w:hAnsi="Arial" w:cs="Arial"/>
          <w:sz w:val="20"/>
          <w:szCs w:val="20"/>
        </w:rPr>
      </w:pPr>
      <w:r w:rsidRPr="005D2DFD">
        <w:rPr>
          <w:rFonts w:ascii="Arial" w:eastAsia="Calibri" w:hAnsi="Arial" w:cs="Arial"/>
          <w:b/>
          <w:sz w:val="20"/>
          <w:szCs w:val="20"/>
        </w:rPr>
        <w:t xml:space="preserve">MULTA IMPUESTA COMO MEDIDA DE APREMIO CON FUNDAMENTO EN EL ARTÍCULO 25, FRACCIÓN II, DE LA LEY FEDERAL DE PROTECCIÓN AL CONSUMIDOR. ES IMPUGNABLE A TRAVÉS DEL JUICIO CONTENCIOSO ADMINISTRATIVO ANTE EL TRIBUNAL FEDERAL DE JUSTICIA FISCAL Y ADMINISTRATIVA.   </w:t>
      </w:r>
      <w:r w:rsidRPr="005D2DFD">
        <w:rPr>
          <w:rFonts w:ascii="Arial" w:eastAsia="Calibri" w:hAnsi="Arial" w:cs="Arial"/>
          <w:sz w:val="20"/>
          <w:szCs w:val="20"/>
        </w:rPr>
        <w:t>Las medidas de apremio constituyen instrumentos jurídicos a través de los cuales el juzgador o la autoridad en el procedimiento administrativo pueden hacer cumplir coactivamente sus requerimientos o determinaciones, lo que implica que, una vez dictadas, se convierten en actos definitivos e independientes del procedimiento del que derivaron; por ello, cuando una autoridad perteneciente a la Procuraduría Federal del Consumidor, en el desempeño de sus atribuciones legales, impone como medida de apremio la multa prevista en el indicado precepto, ésta es impugnable a través del juicio contencioso administrativo ante el Tribunal Federal de Justicia Fiscal y Administrativa, en términos de la fracción III del artículo 14 de su Ley Orgánica, en virtud del fundamento legal en que se apoyó su emisión, esto es, una norma administrativa federal y por la independencia que guarda la multa en relación con el procedimiento en el que se dictó.</w:t>
      </w:r>
    </w:p>
    <w:p w14:paraId="74ACF141" w14:textId="77777777" w:rsidR="005D2DFD" w:rsidRDefault="005D2DFD" w:rsidP="001A0C73">
      <w:pPr>
        <w:tabs>
          <w:tab w:val="left" w:pos="1180"/>
        </w:tabs>
        <w:spacing w:after="0" w:line="360" w:lineRule="auto"/>
        <w:ind w:firstLine="708"/>
        <w:jc w:val="both"/>
        <w:rPr>
          <w:rFonts w:ascii="Arial" w:eastAsia="Calibri" w:hAnsi="Arial" w:cs="Arial"/>
          <w:sz w:val="24"/>
          <w:szCs w:val="24"/>
        </w:rPr>
      </w:pPr>
    </w:p>
    <w:p w14:paraId="29B04247" w14:textId="77777777" w:rsidR="001A0C73" w:rsidRDefault="001A0C73" w:rsidP="001A0C73">
      <w:pPr>
        <w:tabs>
          <w:tab w:val="left" w:pos="1180"/>
        </w:tabs>
        <w:spacing w:after="0" w:line="360" w:lineRule="auto"/>
        <w:ind w:firstLine="708"/>
        <w:jc w:val="both"/>
        <w:rPr>
          <w:rFonts w:ascii="Arial" w:eastAsia="Calibri" w:hAnsi="Arial" w:cs="Arial"/>
          <w:sz w:val="24"/>
          <w:szCs w:val="24"/>
        </w:rPr>
      </w:pPr>
    </w:p>
    <w:p w14:paraId="69EB546A" w14:textId="77777777" w:rsidR="00CE3FC6" w:rsidRPr="00CE3FC6" w:rsidRDefault="00DE6732" w:rsidP="00FC3329">
      <w:pPr>
        <w:spacing w:after="0" w:line="360" w:lineRule="auto"/>
        <w:ind w:firstLine="708"/>
        <w:jc w:val="both"/>
        <w:rPr>
          <w:rFonts w:ascii="Arial" w:eastAsia="Times New Roman" w:hAnsi="Arial" w:cs="Arial"/>
          <w:sz w:val="24"/>
          <w:szCs w:val="24"/>
          <w:lang w:eastAsia="es-ES"/>
        </w:rPr>
      </w:pPr>
      <w:r w:rsidRPr="00CE3FC6">
        <w:rPr>
          <w:rFonts w:ascii="Arial" w:hAnsi="Arial" w:cs="Arial"/>
          <w:b/>
          <w:sz w:val="24"/>
          <w:szCs w:val="24"/>
        </w:rPr>
        <w:t>SEGUNDO.-</w:t>
      </w:r>
      <w:r w:rsidRPr="00CE3FC6">
        <w:rPr>
          <w:rFonts w:ascii="Arial" w:hAnsi="Arial" w:cs="Arial"/>
          <w:sz w:val="24"/>
          <w:szCs w:val="24"/>
        </w:rPr>
        <w:t xml:space="preserve"> </w:t>
      </w:r>
      <w:r w:rsidR="00CE3FC6" w:rsidRPr="00CE3FC6">
        <w:rPr>
          <w:rFonts w:ascii="Arial" w:eastAsia="Times New Roman" w:hAnsi="Arial" w:cs="Arial"/>
          <w:sz w:val="24"/>
          <w:szCs w:val="24"/>
          <w:lang w:eastAsia="es-ES"/>
        </w:rPr>
        <w:t>De acuerdo con lo que precisa el artículo 221 del Código Procesal Administrativo para el Estado, esta Sala Unitaria procede a analizar la personalidad y legitimación de los comparecientes a este juicio.</w:t>
      </w:r>
    </w:p>
    <w:p w14:paraId="0412504F" w14:textId="77777777" w:rsidR="00CE3FC6" w:rsidRDefault="00CE3FC6" w:rsidP="00FC3329">
      <w:pPr>
        <w:spacing w:after="0" w:line="360" w:lineRule="auto"/>
        <w:ind w:firstLine="708"/>
        <w:jc w:val="both"/>
        <w:rPr>
          <w:rFonts w:ascii="Arial" w:hAnsi="Arial" w:cs="Arial"/>
          <w:sz w:val="24"/>
          <w:szCs w:val="24"/>
        </w:rPr>
      </w:pPr>
    </w:p>
    <w:p w14:paraId="20A7C088" w14:textId="72C8307E" w:rsidR="00DE6732" w:rsidRPr="00440D5B" w:rsidRDefault="0007703B" w:rsidP="00440D5B">
      <w:pPr>
        <w:spacing w:after="0" w:line="360" w:lineRule="auto"/>
        <w:ind w:firstLine="709"/>
        <w:jc w:val="both"/>
        <w:rPr>
          <w:rFonts w:ascii="Arial" w:eastAsia="Arial Unicode MS" w:hAnsi="Arial" w:cs="Arial"/>
          <w:color w:val="000000"/>
          <w:sz w:val="24"/>
          <w:szCs w:val="24"/>
        </w:rPr>
      </w:pPr>
      <w:r w:rsidRPr="003D7B14">
        <w:rPr>
          <w:rFonts w:ascii="Arial" w:eastAsia="Calibri" w:hAnsi="Arial" w:cs="Arial"/>
          <w:sz w:val="24"/>
          <w:szCs w:val="24"/>
        </w:rPr>
        <w:t>La parte actora compareció por derecho propio; y su interés jurídico se acredita de acuerdo con el artículo 231, del Código Procesal Administrativo para el Estado de San Luis Potosí, con</w:t>
      </w:r>
      <w:r>
        <w:rPr>
          <w:rFonts w:ascii="Arial" w:eastAsia="Calibri" w:hAnsi="Arial" w:cs="Arial"/>
          <w:sz w:val="24"/>
          <w:szCs w:val="24"/>
        </w:rPr>
        <w:t xml:space="preserve"> la cédula de notificación de fecha catorce de </w:t>
      </w:r>
      <w:r w:rsidR="00F314E1">
        <w:rPr>
          <w:rFonts w:ascii="Arial" w:eastAsia="Calibri" w:hAnsi="Arial" w:cs="Arial"/>
          <w:sz w:val="24"/>
          <w:szCs w:val="24"/>
        </w:rPr>
        <w:t>octubre</w:t>
      </w:r>
      <w:r>
        <w:rPr>
          <w:rFonts w:ascii="Arial" w:eastAsia="Calibri" w:hAnsi="Arial" w:cs="Arial"/>
          <w:sz w:val="24"/>
          <w:szCs w:val="24"/>
        </w:rPr>
        <w:t xml:space="preserve"> de dos mil veinticinco, suscrita por el notificador de la Comisión Estatal de Garantía de Acceso a la Información Pública, Lic. </w:t>
      </w:r>
      <w:r w:rsidRPr="0043714F">
        <w:rPr>
          <w:rFonts w:ascii="Arial" w:eastAsia="Calibri" w:hAnsi="Arial" w:cs="Arial"/>
          <w:b/>
          <w:sz w:val="24"/>
          <w:szCs w:val="24"/>
        </w:rPr>
        <w:t>Javier Pérez Limón</w:t>
      </w:r>
      <w:r>
        <w:rPr>
          <w:rFonts w:ascii="Arial" w:eastAsia="Calibri" w:hAnsi="Arial" w:cs="Arial"/>
          <w:sz w:val="24"/>
          <w:szCs w:val="24"/>
        </w:rPr>
        <w:t xml:space="preserve">, </w:t>
      </w:r>
      <w:r w:rsidR="00FC3329">
        <w:rPr>
          <w:rFonts w:ascii="Arial" w:eastAsia="Calibri" w:hAnsi="Arial" w:cs="Arial"/>
          <w:sz w:val="24"/>
          <w:szCs w:val="24"/>
        </w:rPr>
        <w:t xml:space="preserve">que obra a fojas </w:t>
      </w:r>
      <w:r w:rsidR="00913643">
        <w:rPr>
          <w:rFonts w:ascii="Arial" w:eastAsia="Calibri" w:hAnsi="Arial" w:cs="Arial"/>
          <w:sz w:val="24"/>
          <w:szCs w:val="24"/>
        </w:rPr>
        <w:t>12</w:t>
      </w:r>
      <w:r w:rsidR="00FC3329">
        <w:rPr>
          <w:rFonts w:ascii="Arial" w:eastAsia="Calibri" w:hAnsi="Arial" w:cs="Arial"/>
          <w:sz w:val="24"/>
          <w:szCs w:val="24"/>
        </w:rPr>
        <w:t xml:space="preserve"> a </w:t>
      </w:r>
      <w:r w:rsidR="00913643">
        <w:rPr>
          <w:rFonts w:ascii="Arial" w:eastAsia="Calibri" w:hAnsi="Arial" w:cs="Arial"/>
          <w:sz w:val="24"/>
          <w:szCs w:val="24"/>
        </w:rPr>
        <w:t>24</w:t>
      </w:r>
      <w:r w:rsidR="0015348A">
        <w:rPr>
          <w:rFonts w:ascii="Arial" w:eastAsia="Calibri" w:hAnsi="Arial" w:cs="Arial"/>
          <w:sz w:val="24"/>
          <w:szCs w:val="24"/>
        </w:rPr>
        <w:t xml:space="preserve"> del expediente</w:t>
      </w:r>
      <w:r w:rsidR="00FC3329">
        <w:rPr>
          <w:rFonts w:ascii="Arial" w:eastAsia="Calibri" w:hAnsi="Arial" w:cs="Arial"/>
          <w:sz w:val="24"/>
          <w:szCs w:val="24"/>
        </w:rPr>
        <w:t xml:space="preserve"> en que se actúa</w:t>
      </w:r>
      <w:r w:rsidR="00A378E0">
        <w:rPr>
          <w:rFonts w:ascii="Arial" w:eastAsia="Calibri" w:hAnsi="Arial" w:cs="Arial"/>
          <w:sz w:val="24"/>
          <w:szCs w:val="24"/>
        </w:rPr>
        <w:t>;</w:t>
      </w:r>
      <w:r w:rsidR="0015348A">
        <w:rPr>
          <w:rFonts w:ascii="Arial" w:eastAsia="Calibri" w:hAnsi="Arial" w:cs="Arial"/>
          <w:sz w:val="24"/>
          <w:szCs w:val="24"/>
        </w:rPr>
        <w:t xml:space="preserve"> documental </w:t>
      </w:r>
      <w:r>
        <w:rPr>
          <w:rFonts w:ascii="Arial" w:eastAsia="Calibri" w:hAnsi="Arial" w:cs="Arial"/>
          <w:sz w:val="24"/>
          <w:szCs w:val="24"/>
        </w:rPr>
        <w:t>pública</w:t>
      </w:r>
      <w:r w:rsidR="00FC3329">
        <w:rPr>
          <w:rFonts w:ascii="Arial" w:eastAsia="Calibri" w:hAnsi="Arial" w:cs="Arial"/>
          <w:sz w:val="24"/>
          <w:szCs w:val="24"/>
        </w:rPr>
        <w:t xml:space="preserve"> </w:t>
      </w:r>
      <w:r w:rsidR="0015348A">
        <w:rPr>
          <w:rFonts w:ascii="Arial" w:eastAsia="Calibri" w:hAnsi="Arial" w:cs="Arial"/>
          <w:sz w:val="24"/>
          <w:szCs w:val="24"/>
        </w:rPr>
        <w:t xml:space="preserve">a la que se </w:t>
      </w:r>
      <w:r w:rsidR="00062DF7">
        <w:rPr>
          <w:rFonts w:ascii="Arial" w:eastAsia="Calibri" w:hAnsi="Arial" w:cs="Arial"/>
          <w:color w:val="FF0000"/>
          <w:sz w:val="24"/>
          <w:szCs w:val="24"/>
        </w:rPr>
        <w:t>**************</w:t>
      </w:r>
      <w:r w:rsidR="0015348A">
        <w:rPr>
          <w:rFonts w:ascii="Arial" w:eastAsia="Calibri" w:hAnsi="Arial" w:cs="Arial"/>
          <w:sz w:val="24"/>
          <w:szCs w:val="24"/>
        </w:rPr>
        <w:t>e otorga valor probatorio pleno</w:t>
      </w:r>
      <w:r w:rsidR="00C732C6">
        <w:rPr>
          <w:rFonts w:ascii="Arial" w:eastAsia="Calibri" w:hAnsi="Arial" w:cs="Arial"/>
          <w:sz w:val="24"/>
          <w:szCs w:val="24"/>
        </w:rPr>
        <w:t xml:space="preserve">, de conformidad con los artículos </w:t>
      </w:r>
      <w:r>
        <w:rPr>
          <w:rFonts w:ascii="Arial" w:eastAsia="Calibri" w:hAnsi="Arial" w:cs="Arial"/>
          <w:sz w:val="24"/>
          <w:szCs w:val="24"/>
        </w:rPr>
        <w:t>74</w:t>
      </w:r>
      <w:r w:rsidR="00C732C6">
        <w:rPr>
          <w:rFonts w:ascii="Arial" w:eastAsia="Calibri" w:hAnsi="Arial" w:cs="Arial"/>
          <w:sz w:val="24"/>
          <w:szCs w:val="24"/>
        </w:rPr>
        <w:t xml:space="preserve"> </w:t>
      </w:r>
      <w:r>
        <w:rPr>
          <w:rFonts w:ascii="Arial" w:eastAsia="Calibri" w:hAnsi="Arial" w:cs="Arial"/>
          <w:sz w:val="24"/>
          <w:szCs w:val="24"/>
        </w:rPr>
        <w:t>y 91</w:t>
      </w:r>
      <w:r w:rsidR="00147131">
        <w:rPr>
          <w:rFonts w:ascii="Arial" w:eastAsia="Calibri" w:hAnsi="Arial" w:cs="Arial"/>
          <w:sz w:val="24"/>
          <w:szCs w:val="24"/>
        </w:rPr>
        <w:t xml:space="preserve"> </w:t>
      </w:r>
      <w:r w:rsidR="00C732C6">
        <w:rPr>
          <w:rFonts w:ascii="Arial" w:eastAsia="Calibri" w:hAnsi="Arial" w:cs="Arial"/>
          <w:sz w:val="24"/>
          <w:szCs w:val="24"/>
        </w:rPr>
        <w:t xml:space="preserve">del Código Procesal Administrativo para el Estado de San Luis Potosí, </w:t>
      </w:r>
      <w:r>
        <w:rPr>
          <w:rFonts w:ascii="Arial" w:eastAsia="Calibri" w:hAnsi="Arial" w:cs="Arial"/>
          <w:sz w:val="24"/>
          <w:szCs w:val="24"/>
        </w:rPr>
        <w:t>al haber sido emitida por autoridad en ejercicio de sus funciones, la cual se encuentra dirigida a la actora en este juicio,</w:t>
      </w:r>
      <w:r w:rsidR="00F25D23">
        <w:rPr>
          <w:rFonts w:ascii="Arial" w:eastAsia="Calibri" w:hAnsi="Arial" w:cs="Arial"/>
          <w:sz w:val="24"/>
          <w:szCs w:val="24"/>
        </w:rPr>
        <w:t xml:space="preserve"> </w:t>
      </w:r>
      <w:r w:rsidR="00062DF7">
        <w:rPr>
          <w:rFonts w:ascii="Arial" w:eastAsia="Calibri" w:hAnsi="Arial" w:cs="Arial"/>
          <w:b/>
          <w:color w:val="FF0000"/>
          <w:sz w:val="24"/>
          <w:szCs w:val="24"/>
        </w:rPr>
        <w:t>**************</w:t>
      </w:r>
      <w:r w:rsidR="00F244C9" w:rsidRPr="003D7B14">
        <w:rPr>
          <w:rFonts w:ascii="Arial" w:eastAsia="Arial Unicode MS" w:hAnsi="Arial" w:cs="Arial"/>
          <w:color w:val="000000"/>
          <w:sz w:val="24"/>
          <w:szCs w:val="24"/>
        </w:rPr>
        <w:t>Respecto a la autoridad</w:t>
      </w:r>
      <w:r w:rsidR="0015406F">
        <w:rPr>
          <w:rFonts w:ascii="Arial" w:eastAsia="Arial Unicode MS" w:hAnsi="Arial" w:cs="Arial"/>
          <w:color w:val="000000"/>
          <w:sz w:val="24"/>
          <w:szCs w:val="24"/>
        </w:rPr>
        <w:t xml:space="preserve"> demandada</w:t>
      </w:r>
      <w:r w:rsidR="00F244C9" w:rsidRPr="003D7B14">
        <w:rPr>
          <w:rFonts w:ascii="Arial" w:eastAsia="Arial Unicode MS" w:hAnsi="Arial" w:cs="Arial"/>
          <w:color w:val="000000"/>
          <w:sz w:val="24"/>
          <w:szCs w:val="24"/>
        </w:rPr>
        <w:t>,</w:t>
      </w:r>
      <w:r w:rsidR="00C732C6">
        <w:rPr>
          <w:rFonts w:ascii="Arial" w:eastAsia="Arial Unicode MS" w:hAnsi="Arial" w:cs="Arial"/>
          <w:color w:val="000000"/>
          <w:sz w:val="24"/>
          <w:szCs w:val="24"/>
        </w:rPr>
        <w:t xml:space="preserve"> comparecieron </w:t>
      </w:r>
      <w:r w:rsidR="00EC6B8B">
        <w:rPr>
          <w:rFonts w:ascii="Arial" w:eastAsia="Arial Unicode MS" w:hAnsi="Arial" w:cs="Arial"/>
          <w:color w:val="000000"/>
          <w:sz w:val="24"/>
          <w:szCs w:val="24"/>
        </w:rPr>
        <w:t xml:space="preserve">a dar contestación a la demanda </w:t>
      </w:r>
      <w:r w:rsidR="00C732C6">
        <w:rPr>
          <w:rFonts w:ascii="Arial" w:eastAsia="Arial Unicode MS" w:hAnsi="Arial" w:cs="Arial"/>
          <w:color w:val="000000"/>
          <w:sz w:val="24"/>
          <w:szCs w:val="24"/>
        </w:rPr>
        <w:t xml:space="preserve">en su representación el </w:t>
      </w:r>
      <w:r w:rsidR="00F25D23">
        <w:rPr>
          <w:rFonts w:ascii="Arial" w:eastAsia="Arial Unicode MS" w:hAnsi="Arial" w:cs="Arial"/>
          <w:color w:val="000000"/>
          <w:sz w:val="24"/>
          <w:szCs w:val="24"/>
        </w:rPr>
        <w:t>C</w:t>
      </w:r>
      <w:r w:rsidR="00C732C6">
        <w:rPr>
          <w:rFonts w:ascii="Arial" w:eastAsia="Arial Unicode MS" w:hAnsi="Arial" w:cs="Arial"/>
          <w:color w:val="000000"/>
          <w:sz w:val="24"/>
          <w:szCs w:val="24"/>
        </w:rPr>
        <w:t xml:space="preserve">. </w:t>
      </w:r>
      <w:r w:rsidR="00F25D23" w:rsidRPr="0043714F">
        <w:rPr>
          <w:rFonts w:ascii="Arial" w:eastAsia="Arial Unicode MS" w:hAnsi="Arial" w:cs="Arial"/>
          <w:b/>
          <w:sz w:val="24"/>
          <w:szCs w:val="24"/>
        </w:rPr>
        <w:t>José Gerardo Navarro Alviso</w:t>
      </w:r>
      <w:r w:rsidR="00C732C6" w:rsidRPr="0043714F">
        <w:rPr>
          <w:rFonts w:ascii="Arial" w:eastAsia="Arial Unicode MS" w:hAnsi="Arial" w:cs="Arial"/>
          <w:sz w:val="24"/>
          <w:szCs w:val="24"/>
        </w:rPr>
        <w:t>,</w:t>
      </w:r>
      <w:r w:rsidR="00C732C6">
        <w:rPr>
          <w:rFonts w:ascii="Arial" w:eastAsia="Arial Unicode MS" w:hAnsi="Arial" w:cs="Arial"/>
          <w:color w:val="000000"/>
          <w:sz w:val="24"/>
          <w:szCs w:val="24"/>
        </w:rPr>
        <w:t xml:space="preserve"> </w:t>
      </w:r>
      <w:r w:rsidR="00F25D23">
        <w:rPr>
          <w:rFonts w:ascii="Arial" w:eastAsia="Arial Unicode MS" w:hAnsi="Arial" w:cs="Arial"/>
          <w:color w:val="000000"/>
          <w:sz w:val="24"/>
          <w:szCs w:val="24"/>
        </w:rPr>
        <w:t xml:space="preserve">en su carácter de presidente y representante legal del </w:t>
      </w:r>
      <w:r w:rsidR="00F25D23">
        <w:rPr>
          <w:rFonts w:ascii="Arial" w:eastAsia="Arial Unicode MS" w:hAnsi="Arial" w:cs="Arial"/>
          <w:color w:val="000000"/>
          <w:sz w:val="24"/>
          <w:szCs w:val="24"/>
        </w:rPr>
        <w:lastRenderedPageBreak/>
        <w:t>órgano colegiado denominado Comisión Estatal de Garantía de Acceso a la Información Pública de San Luis Potosí (CEGAIP)</w:t>
      </w:r>
      <w:r w:rsidR="00BB050E">
        <w:rPr>
          <w:rFonts w:ascii="Arial" w:eastAsia="Arial Unicode MS" w:hAnsi="Arial" w:cs="Arial"/>
          <w:color w:val="000000"/>
          <w:sz w:val="24"/>
          <w:szCs w:val="24"/>
        </w:rPr>
        <w:t xml:space="preserve">, </w:t>
      </w:r>
      <w:r w:rsidR="00F25D23">
        <w:rPr>
          <w:rFonts w:ascii="Arial" w:eastAsia="Arial Unicode MS" w:hAnsi="Arial" w:cs="Arial"/>
          <w:color w:val="000000"/>
          <w:sz w:val="24"/>
          <w:szCs w:val="24"/>
        </w:rPr>
        <w:t xml:space="preserve">cuya personalidad acreditó en la forma establecida en el párrafo segundo del artículo 220 del </w:t>
      </w:r>
      <w:r w:rsidR="00F25D23" w:rsidRPr="003D7B14">
        <w:rPr>
          <w:rFonts w:ascii="Arial" w:eastAsia="Calibri" w:hAnsi="Arial" w:cs="Arial"/>
          <w:sz w:val="24"/>
          <w:szCs w:val="24"/>
        </w:rPr>
        <w:t>Código Procesal Administrativo para el Estado de San Luis Potosí</w:t>
      </w:r>
      <w:r w:rsidR="00F25D23">
        <w:rPr>
          <w:rFonts w:ascii="Arial" w:eastAsia="Calibri" w:hAnsi="Arial" w:cs="Arial"/>
          <w:sz w:val="24"/>
          <w:szCs w:val="24"/>
        </w:rPr>
        <w:t>, al indicar que el veintiocho de junio de dos mil veinticuatro se publicó en el Periódico Oficial del Estado, el Decreto 1060, en donde la legislatura del Estado lo eligió como presidente de la CEGAIP, para el periodo del uno de julio del dos mil veinticuatro al trei</w:t>
      </w:r>
      <w:r w:rsidR="00EC6B8B">
        <w:rPr>
          <w:rFonts w:ascii="Arial" w:eastAsia="Calibri" w:hAnsi="Arial" w:cs="Arial"/>
          <w:sz w:val="24"/>
          <w:szCs w:val="24"/>
        </w:rPr>
        <w:t>nta</w:t>
      </w:r>
      <w:r w:rsidR="0015406F">
        <w:rPr>
          <w:rFonts w:ascii="Arial" w:eastAsia="Calibri" w:hAnsi="Arial" w:cs="Arial"/>
          <w:sz w:val="24"/>
          <w:szCs w:val="24"/>
        </w:rPr>
        <w:t xml:space="preserve"> de junio de dos mil veintiséis</w:t>
      </w:r>
      <w:r w:rsidR="00DE6732" w:rsidRPr="003D7B14">
        <w:rPr>
          <w:rFonts w:ascii="Arial" w:eastAsia="Calibri" w:hAnsi="Arial" w:cs="Arial"/>
          <w:sz w:val="24"/>
          <w:szCs w:val="24"/>
        </w:rPr>
        <w:t>.</w:t>
      </w:r>
    </w:p>
    <w:p w14:paraId="5E91D7F4" w14:textId="77777777" w:rsidR="00FE1570" w:rsidRDefault="00FE1570" w:rsidP="00DE6732">
      <w:pPr>
        <w:tabs>
          <w:tab w:val="left" w:pos="2835"/>
        </w:tabs>
        <w:spacing w:after="0" w:line="360" w:lineRule="auto"/>
        <w:ind w:firstLine="709"/>
        <w:jc w:val="both"/>
        <w:rPr>
          <w:rFonts w:ascii="Arial" w:eastAsia="Calibri" w:hAnsi="Arial" w:cs="Arial"/>
          <w:sz w:val="24"/>
          <w:szCs w:val="24"/>
        </w:rPr>
      </w:pPr>
    </w:p>
    <w:p w14:paraId="1C1699FA" w14:textId="77777777" w:rsidR="00BB050E" w:rsidRPr="003D7B14" w:rsidRDefault="00BB050E" w:rsidP="00DE6732">
      <w:pPr>
        <w:tabs>
          <w:tab w:val="left" w:pos="2835"/>
        </w:tabs>
        <w:spacing w:after="0" w:line="360" w:lineRule="auto"/>
        <w:ind w:firstLine="709"/>
        <w:jc w:val="both"/>
        <w:rPr>
          <w:rFonts w:ascii="Arial" w:eastAsia="Calibri" w:hAnsi="Arial" w:cs="Arial"/>
          <w:sz w:val="24"/>
          <w:szCs w:val="24"/>
        </w:rPr>
      </w:pPr>
    </w:p>
    <w:p w14:paraId="2A1DBE06" w14:textId="6C3DB064" w:rsidR="00077050" w:rsidRDefault="00DE6732" w:rsidP="00540083">
      <w:pPr>
        <w:spacing w:after="0" w:line="360" w:lineRule="auto"/>
        <w:ind w:firstLine="709"/>
        <w:jc w:val="both"/>
        <w:rPr>
          <w:rFonts w:ascii="Arial" w:eastAsia="Arial Unicode MS" w:hAnsi="Arial" w:cs="Arial"/>
          <w:sz w:val="24"/>
          <w:szCs w:val="24"/>
        </w:rPr>
      </w:pPr>
      <w:r w:rsidRPr="003D7B14">
        <w:rPr>
          <w:rFonts w:ascii="Arial" w:eastAsia="Arial Unicode MS" w:hAnsi="Arial" w:cs="Arial"/>
          <w:b/>
          <w:sz w:val="24"/>
          <w:szCs w:val="24"/>
        </w:rPr>
        <w:t>TERCERO.-</w:t>
      </w:r>
      <w:r w:rsidRPr="003D7B14">
        <w:rPr>
          <w:rFonts w:ascii="Arial" w:eastAsia="Arial Unicode MS" w:hAnsi="Arial" w:cs="Arial"/>
          <w:sz w:val="24"/>
          <w:szCs w:val="24"/>
        </w:rPr>
        <w:t xml:space="preserve"> </w:t>
      </w:r>
      <w:r w:rsidRPr="003D7B14">
        <w:rPr>
          <w:rFonts w:ascii="Arial" w:eastAsia="Calibri" w:hAnsi="Arial" w:cs="Arial"/>
          <w:sz w:val="24"/>
          <w:szCs w:val="24"/>
        </w:rPr>
        <w:t>La lit</w:t>
      </w:r>
      <w:r w:rsidR="002D046F">
        <w:rPr>
          <w:rFonts w:ascii="Arial" w:eastAsia="Calibri" w:hAnsi="Arial" w:cs="Arial"/>
          <w:sz w:val="24"/>
          <w:szCs w:val="24"/>
        </w:rPr>
        <w:t>is de la presente controversia</w:t>
      </w:r>
      <w:r w:rsidR="00077050">
        <w:rPr>
          <w:rFonts w:ascii="Arial" w:eastAsia="Calibri" w:hAnsi="Arial" w:cs="Arial"/>
          <w:sz w:val="24"/>
          <w:szCs w:val="24"/>
        </w:rPr>
        <w:t xml:space="preserve">, </w:t>
      </w:r>
      <w:r w:rsidR="00077050" w:rsidRPr="003D7B14">
        <w:rPr>
          <w:rFonts w:ascii="Arial" w:eastAsia="Calibri" w:hAnsi="Arial" w:cs="Arial"/>
          <w:sz w:val="24"/>
          <w:szCs w:val="24"/>
        </w:rPr>
        <w:t xml:space="preserve">en determinar la legalidad o ilegalidad de </w:t>
      </w:r>
      <w:r w:rsidR="00077050" w:rsidRPr="00F80F15">
        <w:rPr>
          <w:rFonts w:ascii="Arial" w:eastAsia="Arial Unicode MS" w:hAnsi="Arial" w:cs="Arial"/>
          <w:sz w:val="24"/>
          <w:szCs w:val="24"/>
        </w:rPr>
        <w:t>la</w:t>
      </w:r>
      <w:r w:rsidR="00077050">
        <w:rPr>
          <w:rFonts w:ascii="Arial" w:eastAsia="Arial Unicode MS" w:hAnsi="Arial" w:cs="Arial"/>
          <w:sz w:val="24"/>
          <w:szCs w:val="24"/>
        </w:rPr>
        <w:t xml:space="preserve"> resolución de fecha </w:t>
      </w:r>
      <w:r w:rsidR="003B15F5">
        <w:rPr>
          <w:rFonts w:ascii="Arial" w:eastAsia="Arial Unicode MS" w:hAnsi="Arial" w:cs="Arial"/>
          <w:sz w:val="24"/>
          <w:szCs w:val="24"/>
        </w:rPr>
        <w:t>treinta de junio de dos mil veinticinco</w:t>
      </w:r>
      <w:r w:rsidR="00077050">
        <w:rPr>
          <w:rFonts w:ascii="Arial" w:eastAsia="Arial Unicode MS" w:hAnsi="Arial" w:cs="Arial"/>
          <w:sz w:val="24"/>
          <w:szCs w:val="24"/>
        </w:rPr>
        <w:t xml:space="preserve"> emitida en el </w:t>
      </w:r>
      <w:r w:rsidR="00077050" w:rsidRPr="0043714F">
        <w:rPr>
          <w:rFonts w:ascii="Arial" w:eastAsia="Arial Unicode MS" w:hAnsi="Arial" w:cs="Arial"/>
          <w:sz w:val="24"/>
          <w:szCs w:val="24"/>
        </w:rPr>
        <w:t xml:space="preserve">expediente </w:t>
      </w:r>
      <w:r w:rsidR="003D524B" w:rsidRPr="0043714F">
        <w:rPr>
          <w:rFonts w:ascii="Arial" w:eastAsia="Arial Unicode MS" w:hAnsi="Arial" w:cs="Arial"/>
          <w:b/>
          <w:bCs/>
          <w:sz w:val="24"/>
          <w:szCs w:val="24"/>
        </w:rPr>
        <w:t>CEGAIP-PIMA-061/2025</w:t>
      </w:r>
      <w:r w:rsidR="00077050" w:rsidRPr="0043714F">
        <w:rPr>
          <w:rFonts w:ascii="Arial" w:eastAsia="Arial Unicode MS" w:hAnsi="Arial" w:cs="Arial"/>
          <w:sz w:val="24"/>
          <w:szCs w:val="24"/>
        </w:rPr>
        <w:t xml:space="preserve">, instruido por la Comisión Estatal de Garantía de Acceso a la Información Pública del </w:t>
      </w:r>
      <w:r w:rsidR="00077050">
        <w:rPr>
          <w:rFonts w:ascii="Arial" w:eastAsia="Arial Unicode MS" w:hAnsi="Arial" w:cs="Arial"/>
          <w:sz w:val="24"/>
          <w:szCs w:val="24"/>
        </w:rPr>
        <w:t xml:space="preserve">Estado de San Luis Potosí, a través de la cual se resolvió aplicar a </w:t>
      </w:r>
      <w:r w:rsidR="00062DF7">
        <w:rPr>
          <w:rFonts w:ascii="Arial" w:eastAsia="Arial Unicode MS" w:hAnsi="Arial" w:cs="Arial"/>
          <w:b/>
          <w:color w:val="FF0000"/>
          <w:sz w:val="24"/>
          <w:szCs w:val="24"/>
        </w:rPr>
        <w:t>**************</w:t>
      </w:r>
      <w:r w:rsidR="00077050">
        <w:rPr>
          <w:rFonts w:ascii="Arial" w:eastAsia="Arial Unicode MS" w:hAnsi="Arial" w:cs="Arial"/>
          <w:sz w:val="24"/>
          <w:szCs w:val="24"/>
        </w:rPr>
        <w:t xml:space="preserve">, la medida de apremio consistente en una multa por la cantidad </w:t>
      </w:r>
      <w:r w:rsidR="00077050" w:rsidRPr="0043714F">
        <w:rPr>
          <w:rFonts w:ascii="Arial" w:eastAsia="Arial Unicode MS" w:hAnsi="Arial" w:cs="Arial"/>
          <w:sz w:val="24"/>
          <w:szCs w:val="24"/>
        </w:rPr>
        <w:t xml:space="preserve">de </w:t>
      </w:r>
      <w:r w:rsidR="008542F4" w:rsidRPr="0043714F">
        <w:rPr>
          <w:rFonts w:ascii="Arial" w:eastAsia="Arial Unicode MS" w:hAnsi="Arial" w:cs="Arial"/>
          <w:b/>
          <w:bCs/>
          <w:sz w:val="24"/>
          <w:szCs w:val="24"/>
        </w:rPr>
        <w:t>$130,320.00 (ciento treinta mil trecientos veinte pesos 00/100 M.N.)</w:t>
      </w:r>
      <w:r w:rsidR="00077050" w:rsidRPr="0043714F">
        <w:rPr>
          <w:rFonts w:ascii="Arial" w:eastAsia="Arial Unicode MS" w:hAnsi="Arial" w:cs="Arial"/>
          <w:sz w:val="24"/>
          <w:szCs w:val="24"/>
        </w:rPr>
        <w:t xml:space="preserve">; </w:t>
      </w:r>
      <w:r w:rsidR="00077050">
        <w:rPr>
          <w:rFonts w:ascii="Arial" w:eastAsia="Arial Unicode MS" w:hAnsi="Arial" w:cs="Arial"/>
          <w:sz w:val="24"/>
          <w:szCs w:val="24"/>
        </w:rPr>
        <w:t xml:space="preserve">resolución contenida en el </w:t>
      </w:r>
      <w:r w:rsidR="00077050" w:rsidRPr="003D7B14">
        <w:rPr>
          <w:rFonts w:ascii="Arial" w:eastAsia="Calibri" w:hAnsi="Arial" w:cs="Arial"/>
          <w:sz w:val="24"/>
          <w:szCs w:val="24"/>
        </w:rPr>
        <w:t>documento que la parte actora exhibió</w:t>
      </w:r>
      <w:r w:rsidR="00077050">
        <w:rPr>
          <w:rFonts w:ascii="Arial" w:eastAsia="Calibri" w:hAnsi="Arial" w:cs="Arial"/>
          <w:sz w:val="24"/>
          <w:szCs w:val="24"/>
        </w:rPr>
        <w:t xml:space="preserve"> como anexo</w:t>
      </w:r>
      <w:r w:rsidR="003F7773">
        <w:rPr>
          <w:rFonts w:ascii="Arial" w:eastAsia="Calibri" w:hAnsi="Arial" w:cs="Arial"/>
          <w:sz w:val="24"/>
          <w:szCs w:val="24"/>
        </w:rPr>
        <w:t xml:space="preserve"> a su demanda</w:t>
      </w:r>
      <w:r w:rsidR="00077050" w:rsidRPr="003D7B14">
        <w:rPr>
          <w:rFonts w:ascii="Arial" w:eastAsia="Calibri" w:hAnsi="Arial" w:cs="Arial"/>
          <w:sz w:val="24"/>
          <w:szCs w:val="24"/>
        </w:rPr>
        <w:t>, conforme lo dispuesto por los numerales 233 fracción IV</w:t>
      </w:r>
      <w:r w:rsidR="00077050">
        <w:rPr>
          <w:rFonts w:ascii="Arial" w:eastAsia="Calibri" w:hAnsi="Arial" w:cs="Arial"/>
          <w:sz w:val="24"/>
          <w:szCs w:val="24"/>
        </w:rPr>
        <w:t>,</w:t>
      </w:r>
      <w:r w:rsidR="00077050" w:rsidRPr="003D7B14">
        <w:rPr>
          <w:rFonts w:ascii="Arial" w:eastAsia="Calibri" w:hAnsi="Arial" w:cs="Arial"/>
          <w:sz w:val="24"/>
          <w:szCs w:val="24"/>
        </w:rPr>
        <w:t xml:space="preserve"> y 234 fracción II</w:t>
      </w:r>
      <w:r w:rsidR="00077050">
        <w:rPr>
          <w:rFonts w:ascii="Arial" w:eastAsia="Calibri" w:hAnsi="Arial" w:cs="Arial"/>
          <w:sz w:val="24"/>
          <w:szCs w:val="24"/>
        </w:rPr>
        <w:t>,</w:t>
      </w:r>
      <w:r w:rsidR="00077050" w:rsidRPr="003D7B14">
        <w:rPr>
          <w:rFonts w:ascii="Arial" w:eastAsia="Calibri" w:hAnsi="Arial" w:cs="Arial"/>
          <w:sz w:val="24"/>
          <w:szCs w:val="24"/>
        </w:rPr>
        <w:t xml:space="preserve"> del Código Procesal Administrativo para el Estado</w:t>
      </w:r>
      <w:r w:rsidR="003F7773">
        <w:rPr>
          <w:rFonts w:ascii="Arial" w:eastAsia="Calibri" w:hAnsi="Arial" w:cs="Arial"/>
          <w:sz w:val="24"/>
          <w:szCs w:val="24"/>
        </w:rPr>
        <w:t xml:space="preserve"> de San Luis Potosí</w:t>
      </w:r>
      <w:r w:rsidR="00077050" w:rsidRPr="003D7B14">
        <w:rPr>
          <w:rFonts w:ascii="Arial" w:eastAsia="Times New Roman" w:hAnsi="Arial" w:cs="Arial"/>
          <w:sz w:val="24"/>
          <w:szCs w:val="24"/>
          <w:lang w:val="es-ES" w:eastAsia="es-ES"/>
        </w:rPr>
        <w:t>,</w:t>
      </w:r>
      <w:r w:rsidR="00077050" w:rsidRPr="003D7B14">
        <w:rPr>
          <w:rFonts w:ascii="Arial" w:eastAsia="Arial Unicode MS" w:hAnsi="Arial" w:cs="Arial"/>
          <w:sz w:val="24"/>
          <w:szCs w:val="24"/>
        </w:rPr>
        <w:t xml:space="preserve"> </w:t>
      </w:r>
      <w:r w:rsidR="00527354">
        <w:rPr>
          <w:rFonts w:ascii="Arial" w:eastAsia="Arial Unicode MS" w:hAnsi="Arial" w:cs="Arial"/>
          <w:sz w:val="24"/>
          <w:szCs w:val="24"/>
        </w:rPr>
        <w:t>que obra a fojas 12 a 24 del sumario y a la cual se le otorga valor probatorio pleno, acorde a los artículos 74 y 91 del Código Procesal Administrativo para el Estado de San Luis Potosí, al tratare de un documento emitido por una autoridad en ejercicio de sus funciones</w:t>
      </w:r>
      <w:r w:rsidR="00077050" w:rsidRPr="003D7B14">
        <w:rPr>
          <w:rFonts w:ascii="Arial" w:eastAsia="Arial Unicode MS" w:hAnsi="Arial" w:cs="Arial"/>
          <w:sz w:val="24"/>
          <w:szCs w:val="24"/>
        </w:rPr>
        <w:t>.</w:t>
      </w:r>
    </w:p>
    <w:p w14:paraId="520FBA7B" w14:textId="77777777" w:rsidR="002D046F" w:rsidRDefault="002D046F" w:rsidP="00540083">
      <w:pPr>
        <w:spacing w:after="0" w:line="360" w:lineRule="auto"/>
        <w:ind w:firstLine="709"/>
        <w:jc w:val="both"/>
        <w:rPr>
          <w:rFonts w:ascii="Arial" w:eastAsia="Calibri" w:hAnsi="Arial" w:cs="Arial"/>
          <w:sz w:val="24"/>
          <w:szCs w:val="24"/>
        </w:rPr>
      </w:pPr>
    </w:p>
    <w:p w14:paraId="4071D368" w14:textId="77777777" w:rsidR="00CE3FC6" w:rsidRDefault="00CE3FC6" w:rsidP="00540083">
      <w:pPr>
        <w:spacing w:after="0" w:line="360" w:lineRule="auto"/>
        <w:ind w:firstLine="709"/>
        <w:jc w:val="both"/>
        <w:rPr>
          <w:rFonts w:ascii="Arial" w:eastAsia="Calibri" w:hAnsi="Arial" w:cs="Arial"/>
          <w:sz w:val="24"/>
          <w:szCs w:val="24"/>
        </w:rPr>
      </w:pPr>
    </w:p>
    <w:p w14:paraId="69C804A3" w14:textId="77777777" w:rsidR="0012255E" w:rsidRDefault="00DE6732" w:rsidP="0012255E">
      <w:pPr>
        <w:spacing w:after="0" w:line="360" w:lineRule="auto"/>
        <w:ind w:firstLine="708"/>
        <w:jc w:val="both"/>
        <w:rPr>
          <w:rFonts w:ascii="Arial" w:hAnsi="Arial" w:cs="Arial"/>
          <w:sz w:val="24"/>
          <w:szCs w:val="24"/>
        </w:rPr>
      </w:pPr>
      <w:r w:rsidRPr="003D7B14">
        <w:rPr>
          <w:rFonts w:ascii="Arial" w:eastAsia="Arial Unicode MS" w:hAnsi="Arial" w:cs="Arial"/>
          <w:b/>
          <w:sz w:val="24"/>
          <w:szCs w:val="24"/>
        </w:rPr>
        <w:t>CUARTO.-</w:t>
      </w:r>
      <w:r w:rsidRPr="003D7B14">
        <w:rPr>
          <w:rFonts w:ascii="Arial" w:eastAsia="Arial Unicode MS" w:hAnsi="Arial" w:cs="Arial"/>
          <w:sz w:val="24"/>
          <w:szCs w:val="24"/>
        </w:rPr>
        <w:t xml:space="preserve"> </w:t>
      </w:r>
      <w:r w:rsidR="0012255E" w:rsidRPr="00C56FE7">
        <w:rPr>
          <w:rFonts w:ascii="Arial" w:hAnsi="Arial" w:cs="Arial"/>
          <w:sz w:val="24"/>
          <w:szCs w:val="24"/>
        </w:rPr>
        <w:t xml:space="preserve">Previo a entrar al estudio de los conceptos de impugnación vertidos por la accionante en su escrito inicial de demanda, es necesario establecer si en el presente juicio se actualiza alguna de las causales de improcedencia o sobreseimiento a que se refieren los artículos 228 y 229, </w:t>
      </w:r>
      <w:r w:rsidR="0012255E" w:rsidRPr="00C56FE7">
        <w:rPr>
          <w:rFonts w:ascii="Arial" w:hAnsi="Arial" w:cs="Arial"/>
          <w:sz w:val="24"/>
          <w:szCs w:val="24"/>
          <w:lang w:val="es-ES"/>
        </w:rPr>
        <w:t>del Código Procesal Administrativo para el Estado de San Luis Potosí</w:t>
      </w:r>
      <w:r w:rsidR="0012255E" w:rsidRPr="00C56FE7">
        <w:rPr>
          <w:rFonts w:ascii="Arial" w:hAnsi="Arial" w:cs="Arial"/>
          <w:sz w:val="24"/>
          <w:szCs w:val="24"/>
        </w:rPr>
        <w:t>, que sirva de base para decretar total o parcialmente el sobreseimiento del juicio, ya sea que lo hagan valer o no las partes; toda vez que se trata de cuestiones de orden público que se tienen que estudiar de oficio y, cuyo análisis es preferente al del fondo del asunto.</w:t>
      </w:r>
    </w:p>
    <w:p w14:paraId="3966C279" w14:textId="77777777" w:rsidR="00BD4589" w:rsidRDefault="00BD4589" w:rsidP="0012255E">
      <w:pPr>
        <w:spacing w:after="0" w:line="360" w:lineRule="auto"/>
        <w:ind w:firstLine="708"/>
        <w:jc w:val="both"/>
        <w:rPr>
          <w:rFonts w:ascii="Arial" w:hAnsi="Arial" w:cs="Arial"/>
          <w:sz w:val="24"/>
          <w:szCs w:val="24"/>
        </w:rPr>
      </w:pPr>
    </w:p>
    <w:p w14:paraId="363F6CF5" w14:textId="77777777" w:rsidR="00BD4589" w:rsidRDefault="00BD4589" w:rsidP="0012255E">
      <w:pPr>
        <w:spacing w:after="0" w:line="360" w:lineRule="auto"/>
        <w:ind w:firstLine="708"/>
        <w:jc w:val="both"/>
        <w:rPr>
          <w:rFonts w:ascii="Arial" w:hAnsi="Arial" w:cs="Arial"/>
          <w:sz w:val="24"/>
          <w:szCs w:val="24"/>
        </w:rPr>
      </w:pPr>
      <w:r>
        <w:rPr>
          <w:rFonts w:ascii="Arial" w:hAnsi="Arial" w:cs="Arial"/>
          <w:sz w:val="24"/>
          <w:szCs w:val="24"/>
        </w:rPr>
        <w:t>Es ilustrativa al respecto, por las razones en que se sustenta, la tesis que dice:</w:t>
      </w:r>
    </w:p>
    <w:p w14:paraId="3A43B40B" w14:textId="77777777" w:rsidR="00BD4589" w:rsidRDefault="00BD4589" w:rsidP="0012255E">
      <w:pPr>
        <w:spacing w:after="0" w:line="360" w:lineRule="auto"/>
        <w:ind w:firstLine="708"/>
        <w:jc w:val="both"/>
        <w:rPr>
          <w:rFonts w:ascii="Arial" w:hAnsi="Arial" w:cs="Arial"/>
          <w:sz w:val="24"/>
          <w:szCs w:val="24"/>
        </w:rPr>
      </w:pPr>
    </w:p>
    <w:p w14:paraId="525ED6F2"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b/>
          <w:sz w:val="20"/>
          <w:szCs w:val="20"/>
        </w:rPr>
        <w:t>Registro digital:</w:t>
      </w:r>
      <w:r w:rsidRPr="00BD4589">
        <w:rPr>
          <w:rFonts w:ascii="Arial" w:hAnsi="Arial" w:cs="Arial"/>
          <w:sz w:val="20"/>
          <w:szCs w:val="20"/>
        </w:rPr>
        <w:t xml:space="preserve"> 221332</w:t>
      </w:r>
    </w:p>
    <w:p w14:paraId="1B68F0A9"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sz w:val="20"/>
          <w:szCs w:val="20"/>
        </w:rPr>
        <w:t>Instancia: Tribunales Colegiados de Circuito</w:t>
      </w:r>
    </w:p>
    <w:p w14:paraId="23E548B5"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sz w:val="20"/>
          <w:szCs w:val="20"/>
        </w:rPr>
        <w:t>Octava Época</w:t>
      </w:r>
    </w:p>
    <w:p w14:paraId="2E22FBE8"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sz w:val="20"/>
          <w:szCs w:val="20"/>
        </w:rPr>
        <w:t>Materias(s): Administrativa</w:t>
      </w:r>
    </w:p>
    <w:p w14:paraId="0F26B6F2"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sz w:val="20"/>
          <w:szCs w:val="20"/>
        </w:rPr>
        <w:t>Fuente: Semanario Judicial de la Federación. Tomo VIII, Noviembre de 1991, página 185</w:t>
      </w:r>
    </w:p>
    <w:p w14:paraId="5B451636"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sz w:val="20"/>
          <w:szCs w:val="20"/>
        </w:rPr>
        <w:t>Tipo: Aislada</w:t>
      </w:r>
    </w:p>
    <w:p w14:paraId="04720D95" w14:textId="77777777" w:rsidR="00BD4589" w:rsidRPr="00BD4589" w:rsidRDefault="00BD4589" w:rsidP="00BD4589">
      <w:pPr>
        <w:spacing w:after="0" w:line="240" w:lineRule="auto"/>
        <w:ind w:left="567" w:right="618"/>
        <w:jc w:val="both"/>
        <w:rPr>
          <w:rFonts w:ascii="Arial" w:hAnsi="Arial" w:cs="Arial"/>
          <w:sz w:val="20"/>
          <w:szCs w:val="20"/>
        </w:rPr>
      </w:pPr>
    </w:p>
    <w:p w14:paraId="267FB930" w14:textId="77777777" w:rsidR="00BD4589" w:rsidRPr="00BD4589" w:rsidRDefault="00BD4589" w:rsidP="00BD4589">
      <w:pPr>
        <w:spacing w:after="0" w:line="240" w:lineRule="auto"/>
        <w:ind w:left="567" w:right="618"/>
        <w:jc w:val="both"/>
        <w:rPr>
          <w:rFonts w:ascii="Arial" w:hAnsi="Arial" w:cs="Arial"/>
          <w:sz w:val="20"/>
          <w:szCs w:val="20"/>
        </w:rPr>
      </w:pPr>
      <w:r w:rsidRPr="00BD4589">
        <w:rPr>
          <w:rFonts w:ascii="Arial" w:hAnsi="Arial" w:cs="Arial"/>
          <w:b/>
          <w:sz w:val="20"/>
          <w:szCs w:val="20"/>
        </w:rPr>
        <w:t xml:space="preserve">CONTENCIOSO ADMINISTRATIVO, IMPROCEDENCIA DEL JUICIO, ANTE EL TRIBUNAL FISCAL. CONCEPTO JURIDICO.   </w:t>
      </w:r>
      <w:r w:rsidRPr="00BD4589">
        <w:rPr>
          <w:rFonts w:ascii="Arial" w:hAnsi="Arial" w:cs="Arial"/>
          <w:sz w:val="20"/>
          <w:szCs w:val="20"/>
        </w:rPr>
        <w:t>Las causas de improcedencia que determina la ley de la materia, ven o se refieren a la procedencia del juicio mismo, esto es, los motivos de improcedencia son en cuanto a que la acción en sí misma considerada no procede por las causas específicas consignadas en la ley; es verdad que las causas de improcedencia dan lugar al sobreseimiento, pero no necesariamente éste sobreviene por alguna de esas causas, pues por ejemplo, de acuerdo con la fracción I del artículo 203 del Código Fiscal de la Federación, procede el sobreseimiento por desistimiento del demandante, lo anterior, no significa que el juicio sea improcedente; el juicio sí procede y lo que acontece en ese caso es que la actora por propia voluntad desiste de su acción y ello hace que se sobresea en el juicio, mas no significa que la acción en sí misma sea improcedente. Acorde con la doctrina, la improcedencia de la acción se traduce en la imposibilidad de que ésta, en su concepción genérica, logre su objeto, es decir, la dicción del derecho sobre la cuestión de fondo o sustancial que su ejercicio plantea; tal improcedencia se manifiesta en que la acción no consiga su objeto propio, o sea, en que no se obtenga la pretensión del que la ejercita y principalmente por existir un impedimento para que el órgano jurisdiccional competente analice y resuelva sobre la cuestión debatida. En resumen, la improcedencia de la acción se traduce en la imposibilidad jurídica de que el órgano jurisdiccional estudie y decida dicha cuestión, absteniéndose obligatoriamente a resolver sobre el fondo de la controversia.</w:t>
      </w:r>
    </w:p>
    <w:p w14:paraId="0CF038CA" w14:textId="77777777" w:rsidR="00EC1B28" w:rsidRDefault="00EC1B28" w:rsidP="0012255E">
      <w:pPr>
        <w:spacing w:after="0" w:line="360" w:lineRule="auto"/>
        <w:ind w:firstLine="708"/>
        <w:jc w:val="both"/>
        <w:rPr>
          <w:rFonts w:ascii="Arial" w:hAnsi="Arial" w:cs="Arial"/>
          <w:sz w:val="24"/>
          <w:szCs w:val="24"/>
        </w:rPr>
      </w:pPr>
    </w:p>
    <w:p w14:paraId="76BF4265" w14:textId="77777777" w:rsidR="00D424C7" w:rsidRDefault="00D424C7" w:rsidP="0012255E">
      <w:pPr>
        <w:spacing w:after="0" w:line="360" w:lineRule="auto"/>
        <w:ind w:firstLine="708"/>
        <w:jc w:val="both"/>
        <w:rPr>
          <w:rFonts w:ascii="Arial" w:hAnsi="Arial" w:cs="Arial"/>
          <w:sz w:val="24"/>
          <w:szCs w:val="24"/>
        </w:rPr>
      </w:pPr>
      <w:r>
        <w:rPr>
          <w:rFonts w:ascii="Arial" w:eastAsia="Times New Roman" w:hAnsi="Arial" w:cs="Arial"/>
          <w:sz w:val="24"/>
          <w:szCs w:val="24"/>
          <w:lang w:val="es-ES" w:eastAsia="es-ES"/>
        </w:rPr>
        <w:t xml:space="preserve">En ese tenor, </w:t>
      </w:r>
      <w:r w:rsidRPr="00B7606B">
        <w:rPr>
          <w:rFonts w:ascii="Arial" w:eastAsia="Times New Roman" w:hAnsi="Arial" w:cs="Arial"/>
          <w:sz w:val="24"/>
          <w:szCs w:val="24"/>
          <w:lang w:val="es-ES" w:eastAsia="es-ES"/>
        </w:rPr>
        <w:t xml:space="preserve">se advierte </w:t>
      </w:r>
      <w:r w:rsidRPr="008263A9">
        <w:rPr>
          <w:rFonts w:ascii="Arial" w:eastAsia="Times New Roman" w:hAnsi="Arial" w:cs="Arial"/>
          <w:sz w:val="24"/>
          <w:szCs w:val="24"/>
          <w:lang w:val="es-ES" w:eastAsia="es-ES"/>
        </w:rPr>
        <w:t xml:space="preserve">que la autoridad demandada, al producir su respectiva contestación que obra a fojas </w:t>
      </w:r>
      <w:r>
        <w:rPr>
          <w:rFonts w:ascii="Arial" w:eastAsia="Times New Roman" w:hAnsi="Arial" w:cs="Arial"/>
          <w:sz w:val="24"/>
          <w:szCs w:val="24"/>
          <w:lang w:val="es-ES" w:eastAsia="es-ES"/>
        </w:rPr>
        <w:t>87 a la 91</w:t>
      </w:r>
      <w:r w:rsidRPr="008263A9">
        <w:rPr>
          <w:rFonts w:ascii="Arial" w:eastAsia="Times New Roman" w:hAnsi="Arial" w:cs="Arial"/>
          <w:sz w:val="24"/>
          <w:szCs w:val="24"/>
          <w:lang w:val="es-ES" w:eastAsia="es-ES"/>
        </w:rPr>
        <w:t xml:space="preserve"> de este sumario,</w:t>
      </w:r>
      <w:r>
        <w:rPr>
          <w:rFonts w:ascii="Arial" w:eastAsia="Times New Roman" w:hAnsi="Arial" w:cs="Arial"/>
          <w:sz w:val="24"/>
          <w:szCs w:val="24"/>
          <w:lang w:val="es-ES" w:eastAsia="es-ES"/>
        </w:rPr>
        <w:t xml:space="preserve"> no hizo valer causa de improcedencia alguna.</w:t>
      </w:r>
    </w:p>
    <w:p w14:paraId="2263128E" w14:textId="77777777" w:rsidR="00681FA2" w:rsidRDefault="00681FA2" w:rsidP="00DE6732">
      <w:pPr>
        <w:spacing w:after="0" w:line="360" w:lineRule="auto"/>
        <w:ind w:firstLine="709"/>
        <w:jc w:val="both"/>
        <w:rPr>
          <w:rFonts w:ascii="Arial" w:eastAsia="Calibri" w:hAnsi="Arial" w:cs="Arial"/>
          <w:sz w:val="24"/>
          <w:szCs w:val="24"/>
        </w:rPr>
      </w:pPr>
    </w:p>
    <w:p w14:paraId="4DCBA0C9" w14:textId="77777777" w:rsidR="00DE6732" w:rsidRPr="003D7B14" w:rsidRDefault="001513B0" w:rsidP="00DE6732">
      <w:pPr>
        <w:spacing w:after="0" w:line="360" w:lineRule="auto"/>
        <w:ind w:firstLine="709"/>
        <w:jc w:val="both"/>
        <w:rPr>
          <w:rFonts w:ascii="Arial" w:eastAsia="Calibri" w:hAnsi="Arial" w:cs="Arial"/>
          <w:sz w:val="24"/>
          <w:szCs w:val="24"/>
        </w:rPr>
      </w:pPr>
      <w:r>
        <w:rPr>
          <w:rFonts w:ascii="Arial" w:eastAsia="Calibri" w:hAnsi="Arial" w:cs="Arial"/>
          <w:sz w:val="24"/>
          <w:szCs w:val="24"/>
        </w:rPr>
        <w:t>Por lo</w:t>
      </w:r>
      <w:r w:rsidR="00DE6732" w:rsidRPr="003D7B14">
        <w:rPr>
          <w:rFonts w:ascii="Arial" w:eastAsia="Calibri" w:hAnsi="Arial" w:cs="Arial"/>
          <w:sz w:val="24"/>
          <w:szCs w:val="24"/>
        </w:rPr>
        <w:t xml:space="preserve"> tanto, </w:t>
      </w:r>
      <w:r w:rsidR="00681FA2">
        <w:rPr>
          <w:rFonts w:ascii="Arial" w:eastAsia="Calibri" w:hAnsi="Arial" w:cs="Arial"/>
          <w:sz w:val="24"/>
          <w:szCs w:val="24"/>
        </w:rPr>
        <w:t>a</w:t>
      </w:r>
      <w:r w:rsidR="00681FA2" w:rsidRPr="003D7B14">
        <w:rPr>
          <w:rFonts w:ascii="Arial" w:eastAsia="Calibri" w:hAnsi="Arial" w:cs="Arial"/>
          <w:sz w:val="24"/>
          <w:szCs w:val="24"/>
        </w:rPr>
        <w:t xml:space="preserve">dvirtiéndose por esta Sala Unitaria, que </w:t>
      </w:r>
      <w:r w:rsidR="00681FA2" w:rsidRPr="00D424C7">
        <w:rPr>
          <w:rFonts w:ascii="Arial" w:eastAsia="Calibri" w:hAnsi="Arial" w:cs="Arial"/>
          <w:b/>
          <w:sz w:val="24"/>
          <w:szCs w:val="24"/>
        </w:rPr>
        <w:t>no existen</w:t>
      </w:r>
      <w:r w:rsidR="00681FA2" w:rsidRPr="003D7B14">
        <w:rPr>
          <w:rFonts w:ascii="Arial" w:eastAsia="Calibri" w:hAnsi="Arial" w:cs="Arial"/>
          <w:sz w:val="24"/>
          <w:szCs w:val="24"/>
        </w:rPr>
        <w:t xml:space="preserve"> </w:t>
      </w:r>
      <w:r w:rsidR="00681FA2" w:rsidRPr="003D7B14">
        <w:rPr>
          <w:rFonts w:ascii="Arial" w:eastAsia="Calibri" w:hAnsi="Arial" w:cs="Arial"/>
          <w:b/>
          <w:sz w:val="24"/>
          <w:szCs w:val="24"/>
        </w:rPr>
        <w:t>causales de improcedencia o sobreseimiento que deba estudiar de oficio, ni incidentes planteados</w:t>
      </w:r>
      <w:r w:rsidR="00681FA2" w:rsidRPr="003D7B14">
        <w:rPr>
          <w:rFonts w:ascii="Arial" w:eastAsia="Calibri" w:hAnsi="Arial" w:cs="Arial"/>
          <w:sz w:val="24"/>
          <w:szCs w:val="24"/>
        </w:rPr>
        <w:t xml:space="preserve">; por tanto, se procede al estudio de </w:t>
      </w:r>
      <w:r w:rsidR="00681FA2">
        <w:rPr>
          <w:rFonts w:ascii="Arial" w:eastAsia="Calibri" w:hAnsi="Arial" w:cs="Arial"/>
          <w:sz w:val="24"/>
          <w:szCs w:val="24"/>
        </w:rPr>
        <w:t>fondo de la controversia</w:t>
      </w:r>
      <w:r w:rsidR="00DE6732" w:rsidRPr="003D7B14">
        <w:rPr>
          <w:rFonts w:ascii="Arial" w:eastAsia="Calibri" w:hAnsi="Arial" w:cs="Arial"/>
          <w:sz w:val="24"/>
          <w:szCs w:val="24"/>
        </w:rPr>
        <w:t>.</w:t>
      </w:r>
    </w:p>
    <w:p w14:paraId="17E418A3" w14:textId="77777777" w:rsidR="00DE6732" w:rsidRDefault="00DE6732" w:rsidP="00DE6732">
      <w:pPr>
        <w:spacing w:after="0" w:line="360" w:lineRule="auto"/>
        <w:ind w:firstLine="709"/>
        <w:jc w:val="both"/>
        <w:rPr>
          <w:rFonts w:ascii="Arial" w:eastAsia="Arial Unicode MS" w:hAnsi="Arial" w:cs="Arial"/>
          <w:sz w:val="24"/>
          <w:szCs w:val="24"/>
        </w:rPr>
      </w:pPr>
    </w:p>
    <w:p w14:paraId="2491E1FC" w14:textId="77777777" w:rsidR="00EA661D" w:rsidRPr="003D7B14" w:rsidRDefault="00EA661D" w:rsidP="00DE6732">
      <w:pPr>
        <w:spacing w:after="0" w:line="360" w:lineRule="auto"/>
        <w:ind w:firstLine="709"/>
        <w:jc w:val="both"/>
        <w:rPr>
          <w:rFonts w:ascii="Arial" w:eastAsia="Arial Unicode MS" w:hAnsi="Arial" w:cs="Arial"/>
          <w:sz w:val="24"/>
          <w:szCs w:val="24"/>
        </w:rPr>
      </w:pPr>
    </w:p>
    <w:p w14:paraId="0B973FF1" w14:textId="77777777" w:rsidR="00DE6732" w:rsidRPr="003D7B14" w:rsidRDefault="00DE6732" w:rsidP="00FF2879">
      <w:pPr>
        <w:spacing w:after="0" w:line="360" w:lineRule="auto"/>
        <w:ind w:firstLine="709"/>
        <w:jc w:val="both"/>
        <w:rPr>
          <w:rFonts w:ascii="Arial" w:eastAsia="Arial Unicode MS" w:hAnsi="Arial" w:cs="Arial"/>
          <w:sz w:val="24"/>
          <w:szCs w:val="24"/>
        </w:rPr>
      </w:pPr>
      <w:r w:rsidRPr="003D7B14">
        <w:rPr>
          <w:rFonts w:ascii="Arial" w:eastAsia="Arial Unicode MS" w:hAnsi="Arial" w:cs="Arial"/>
          <w:b/>
          <w:sz w:val="24"/>
          <w:szCs w:val="24"/>
        </w:rPr>
        <w:t>QUINTO.-</w:t>
      </w:r>
      <w:r w:rsidRPr="003D7B14">
        <w:rPr>
          <w:rFonts w:ascii="Arial" w:eastAsia="Arial Unicode MS" w:hAnsi="Arial" w:cs="Arial"/>
          <w:sz w:val="24"/>
          <w:szCs w:val="24"/>
        </w:rPr>
        <w:t xml:space="preserve"> </w:t>
      </w:r>
      <w:r w:rsidR="00FF2879">
        <w:rPr>
          <w:rFonts w:ascii="Arial" w:eastAsia="Arial Unicode MS" w:hAnsi="Arial" w:cs="Arial"/>
          <w:sz w:val="24"/>
          <w:szCs w:val="24"/>
        </w:rPr>
        <w:t xml:space="preserve">Los </w:t>
      </w:r>
      <w:r w:rsidR="00FF2879" w:rsidRPr="003D7B14">
        <w:rPr>
          <w:rFonts w:ascii="Arial" w:eastAsia="Arial Unicode MS" w:hAnsi="Arial" w:cs="Arial"/>
          <w:sz w:val="24"/>
          <w:szCs w:val="24"/>
        </w:rPr>
        <w:t>conceptos de impugnación que</w:t>
      </w:r>
      <w:r w:rsidR="00FF2879">
        <w:rPr>
          <w:rFonts w:ascii="Arial" w:eastAsia="Arial Unicode MS" w:hAnsi="Arial" w:cs="Arial"/>
          <w:sz w:val="24"/>
          <w:szCs w:val="24"/>
        </w:rPr>
        <w:t xml:space="preserve"> plantea la parte actora en su escrito de demanda, se encue</w:t>
      </w:r>
      <w:r w:rsidR="00F90048">
        <w:rPr>
          <w:rFonts w:ascii="Arial" w:eastAsia="Arial Unicode MS" w:hAnsi="Arial" w:cs="Arial"/>
          <w:sz w:val="24"/>
          <w:szCs w:val="24"/>
        </w:rPr>
        <w:t xml:space="preserve">ntran localizados en las fojas </w:t>
      </w:r>
      <w:r w:rsidR="00D424C7">
        <w:rPr>
          <w:rFonts w:ascii="Arial" w:eastAsia="Arial Unicode MS" w:hAnsi="Arial" w:cs="Arial"/>
          <w:sz w:val="24"/>
          <w:szCs w:val="24"/>
        </w:rPr>
        <w:t>4</w:t>
      </w:r>
      <w:r w:rsidR="00F90048">
        <w:rPr>
          <w:rFonts w:ascii="Arial" w:eastAsia="Arial Unicode MS" w:hAnsi="Arial" w:cs="Arial"/>
          <w:sz w:val="24"/>
          <w:szCs w:val="24"/>
        </w:rPr>
        <w:t xml:space="preserve"> a </w:t>
      </w:r>
      <w:r w:rsidR="00D424C7">
        <w:rPr>
          <w:rFonts w:ascii="Arial" w:eastAsia="Arial Unicode MS" w:hAnsi="Arial" w:cs="Arial"/>
          <w:sz w:val="24"/>
          <w:szCs w:val="24"/>
        </w:rPr>
        <w:t>7</w:t>
      </w:r>
      <w:r w:rsidR="00F90048">
        <w:rPr>
          <w:rFonts w:ascii="Arial" w:eastAsia="Arial Unicode MS" w:hAnsi="Arial" w:cs="Arial"/>
          <w:sz w:val="24"/>
          <w:szCs w:val="24"/>
        </w:rPr>
        <w:t xml:space="preserve"> del expediente en que se actúa</w:t>
      </w:r>
      <w:r w:rsidR="00FF2879" w:rsidRPr="003D7B14">
        <w:rPr>
          <w:rFonts w:ascii="Arial" w:eastAsia="Arial Unicode MS" w:hAnsi="Arial" w:cs="Arial"/>
          <w:sz w:val="24"/>
          <w:szCs w:val="24"/>
        </w:rPr>
        <w:t>;</w:t>
      </w:r>
      <w:r w:rsidR="00FF2879">
        <w:rPr>
          <w:rFonts w:ascii="Arial" w:eastAsia="Arial Unicode MS" w:hAnsi="Arial" w:cs="Arial"/>
          <w:sz w:val="24"/>
          <w:szCs w:val="24"/>
        </w:rPr>
        <w:t xml:space="preserve"> </w:t>
      </w:r>
      <w:r w:rsidRPr="003D7B14">
        <w:rPr>
          <w:rFonts w:ascii="Arial" w:eastAsia="Arial Unicode MS" w:hAnsi="Arial" w:cs="Arial"/>
          <w:sz w:val="24"/>
          <w:szCs w:val="24"/>
        </w:rPr>
        <w:t>argumentos que</w:t>
      </w:r>
      <w:r w:rsidR="00FF2879">
        <w:rPr>
          <w:rFonts w:ascii="Arial" w:eastAsia="Arial Unicode MS" w:hAnsi="Arial" w:cs="Arial"/>
          <w:sz w:val="24"/>
          <w:szCs w:val="24"/>
        </w:rPr>
        <w:t>, por economía procesal</w:t>
      </w:r>
      <w:r w:rsidR="00BD4AD5">
        <w:rPr>
          <w:rFonts w:ascii="Arial" w:eastAsia="Arial Unicode MS" w:hAnsi="Arial" w:cs="Arial"/>
          <w:sz w:val="24"/>
          <w:szCs w:val="24"/>
        </w:rPr>
        <w:t>,</w:t>
      </w:r>
      <w:r w:rsidRPr="003D7B14">
        <w:rPr>
          <w:rFonts w:ascii="Arial" w:eastAsia="Arial Unicode MS" w:hAnsi="Arial" w:cs="Arial"/>
          <w:sz w:val="24"/>
          <w:szCs w:val="24"/>
        </w:rPr>
        <w:t xml:space="preserve"> no se trascriben y se tienen</w:t>
      </w:r>
      <w:r w:rsidR="00BD4AD5">
        <w:rPr>
          <w:rFonts w:ascii="Arial" w:eastAsia="Arial Unicode MS" w:hAnsi="Arial" w:cs="Arial"/>
          <w:sz w:val="24"/>
          <w:szCs w:val="24"/>
        </w:rPr>
        <w:t xml:space="preserve"> aquí </w:t>
      </w:r>
      <w:r w:rsidRPr="003D7B14">
        <w:rPr>
          <w:rFonts w:ascii="Arial" w:eastAsia="Arial Unicode MS" w:hAnsi="Arial" w:cs="Arial"/>
          <w:sz w:val="24"/>
          <w:szCs w:val="24"/>
        </w:rPr>
        <w:t xml:space="preserve">por </w:t>
      </w:r>
      <w:r w:rsidR="00BD4AD5">
        <w:rPr>
          <w:rFonts w:ascii="Arial" w:eastAsia="Arial Unicode MS" w:hAnsi="Arial" w:cs="Arial"/>
          <w:sz w:val="24"/>
          <w:szCs w:val="24"/>
        </w:rPr>
        <w:t xml:space="preserve">íntegramente </w:t>
      </w:r>
      <w:r w:rsidRPr="003D7B14">
        <w:rPr>
          <w:rFonts w:ascii="Arial" w:eastAsia="Arial Unicode MS" w:hAnsi="Arial" w:cs="Arial"/>
          <w:sz w:val="24"/>
          <w:szCs w:val="24"/>
        </w:rPr>
        <w:t>reproducidos</w:t>
      </w:r>
      <w:r w:rsidR="00BD4AD5">
        <w:rPr>
          <w:rFonts w:ascii="Arial" w:eastAsia="Arial Unicode MS" w:hAnsi="Arial" w:cs="Arial"/>
          <w:sz w:val="24"/>
          <w:szCs w:val="24"/>
        </w:rPr>
        <w:t>,</w:t>
      </w:r>
      <w:r w:rsidRPr="003D7B14">
        <w:rPr>
          <w:rFonts w:ascii="Arial" w:eastAsia="Arial Unicode MS" w:hAnsi="Arial" w:cs="Arial"/>
          <w:sz w:val="24"/>
          <w:szCs w:val="24"/>
        </w:rPr>
        <w:t xml:space="preserve"> como si a la letra</w:t>
      </w:r>
      <w:r w:rsidR="00BD4AD5">
        <w:rPr>
          <w:rFonts w:ascii="Arial" w:eastAsia="Arial Unicode MS" w:hAnsi="Arial" w:cs="Arial"/>
          <w:sz w:val="24"/>
          <w:szCs w:val="24"/>
        </w:rPr>
        <w:t xml:space="preserve"> se insertaran</w:t>
      </w:r>
      <w:r w:rsidRPr="003D7B14">
        <w:rPr>
          <w:rFonts w:ascii="Arial" w:eastAsia="Arial Unicode MS" w:hAnsi="Arial" w:cs="Arial"/>
          <w:sz w:val="24"/>
          <w:szCs w:val="24"/>
        </w:rPr>
        <w:t>, para que surtan sus efectos legales a que haya lugar.</w:t>
      </w:r>
    </w:p>
    <w:p w14:paraId="447CA74A" w14:textId="77777777" w:rsidR="00DE6732" w:rsidRDefault="00DE6732" w:rsidP="00DE6732">
      <w:pPr>
        <w:spacing w:after="0" w:line="360" w:lineRule="auto"/>
        <w:ind w:firstLine="709"/>
        <w:jc w:val="both"/>
        <w:rPr>
          <w:rFonts w:ascii="Arial" w:eastAsia="Arial Unicode MS" w:hAnsi="Arial" w:cs="Arial"/>
          <w:sz w:val="24"/>
          <w:szCs w:val="24"/>
        </w:rPr>
      </w:pPr>
    </w:p>
    <w:p w14:paraId="7D2A9832" w14:textId="77777777" w:rsidR="00D424C7" w:rsidRPr="003D7B14" w:rsidRDefault="00D424C7" w:rsidP="00DE6732">
      <w:pPr>
        <w:spacing w:after="0" w:line="360" w:lineRule="auto"/>
        <w:ind w:firstLine="709"/>
        <w:jc w:val="both"/>
        <w:rPr>
          <w:rFonts w:ascii="Arial" w:eastAsia="Arial Unicode MS" w:hAnsi="Arial" w:cs="Arial"/>
          <w:sz w:val="24"/>
          <w:szCs w:val="24"/>
        </w:rPr>
      </w:pPr>
    </w:p>
    <w:p w14:paraId="661DBFF5" w14:textId="77777777" w:rsidR="00DE6732" w:rsidRDefault="00DE6732" w:rsidP="00DE6732">
      <w:pPr>
        <w:spacing w:after="0" w:line="360" w:lineRule="auto"/>
        <w:ind w:firstLine="709"/>
        <w:jc w:val="both"/>
        <w:rPr>
          <w:rFonts w:ascii="Arial" w:eastAsia="Calibri" w:hAnsi="Arial" w:cs="Arial"/>
          <w:sz w:val="24"/>
          <w:szCs w:val="24"/>
        </w:rPr>
      </w:pPr>
      <w:r w:rsidRPr="003D7B14">
        <w:rPr>
          <w:rFonts w:ascii="Arial" w:eastAsia="Calibri" w:hAnsi="Arial" w:cs="Arial"/>
          <w:sz w:val="24"/>
          <w:szCs w:val="24"/>
        </w:rPr>
        <w:t>Resu</w:t>
      </w:r>
      <w:r w:rsidR="005B6196">
        <w:rPr>
          <w:rFonts w:ascii="Arial" w:eastAsia="Calibri" w:hAnsi="Arial" w:cs="Arial"/>
          <w:sz w:val="24"/>
          <w:szCs w:val="24"/>
        </w:rPr>
        <w:t>lta aplicable por analogía, la t</w:t>
      </w:r>
      <w:r w:rsidRPr="003D7B14">
        <w:rPr>
          <w:rFonts w:ascii="Arial" w:eastAsia="Calibri" w:hAnsi="Arial" w:cs="Arial"/>
          <w:sz w:val="24"/>
          <w:szCs w:val="24"/>
        </w:rPr>
        <w:t>e</w:t>
      </w:r>
      <w:r w:rsidR="000008FD">
        <w:rPr>
          <w:rFonts w:ascii="Arial" w:eastAsia="Calibri" w:hAnsi="Arial" w:cs="Arial"/>
          <w:sz w:val="24"/>
          <w:szCs w:val="24"/>
        </w:rPr>
        <w:t>sis de j</w:t>
      </w:r>
      <w:r w:rsidR="005B6196">
        <w:rPr>
          <w:rFonts w:ascii="Arial" w:eastAsia="Calibri" w:hAnsi="Arial" w:cs="Arial"/>
          <w:sz w:val="24"/>
          <w:szCs w:val="24"/>
        </w:rPr>
        <w:t xml:space="preserve">urisprudencia </w:t>
      </w:r>
      <w:r w:rsidR="00BD4AD5">
        <w:rPr>
          <w:rFonts w:ascii="Arial" w:eastAsia="Calibri" w:hAnsi="Arial" w:cs="Arial"/>
          <w:sz w:val="24"/>
          <w:szCs w:val="24"/>
        </w:rPr>
        <w:t>que dice:</w:t>
      </w:r>
    </w:p>
    <w:p w14:paraId="1E59F558" w14:textId="77777777" w:rsidR="000008FD" w:rsidRDefault="000008FD" w:rsidP="00DE6732">
      <w:pPr>
        <w:spacing w:after="0" w:line="360" w:lineRule="auto"/>
        <w:ind w:firstLine="709"/>
        <w:jc w:val="both"/>
        <w:rPr>
          <w:rFonts w:ascii="Arial" w:eastAsia="Calibri" w:hAnsi="Arial" w:cs="Arial"/>
          <w:sz w:val="24"/>
          <w:szCs w:val="24"/>
        </w:rPr>
      </w:pPr>
    </w:p>
    <w:p w14:paraId="7C25F48D" w14:textId="77777777" w:rsidR="00D424C7" w:rsidRPr="003D7B14" w:rsidRDefault="00D424C7" w:rsidP="00DE6732">
      <w:pPr>
        <w:spacing w:after="0" w:line="360" w:lineRule="auto"/>
        <w:ind w:firstLine="709"/>
        <w:jc w:val="both"/>
        <w:rPr>
          <w:rFonts w:ascii="Arial" w:eastAsia="Calibri" w:hAnsi="Arial" w:cs="Arial"/>
          <w:sz w:val="24"/>
          <w:szCs w:val="24"/>
        </w:rPr>
      </w:pPr>
    </w:p>
    <w:p w14:paraId="5723BF48"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b/>
          <w:sz w:val="20"/>
          <w:szCs w:val="20"/>
        </w:rPr>
        <w:t>Registro digital:</w:t>
      </w:r>
      <w:r w:rsidRPr="000008FD">
        <w:rPr>
          <w:rFonts w:ascii="Arial" w:hAnsi="Arial" w:cs="Arial"/>
          <w:sz w:val="20"/>
          <w:szCs w:val="20"/>
        </w:rPr>
        <w:t xml:space="preserve"> 164618</w:t>
      </w:r>
    </w:p>
    <w:p w14:paraId="116E02F4"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Instancia: Segunda Sala</w:t>
      </w:r>
    </w:p>
    <w:p w14:paraId="4473FD4B"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Novena Época</w:t>
      </w:r>
    </w:p>
    <w:p w14:paraId="30C8F7FE"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Materias(s): Común</w:t>
      </w:r>
    </w:p>
    <w:p w14:paraId="28DEABA2"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Tesis: 2a./J. 58/2010</w:t>
      </w:r>
    </w:p>
    <w:p w14:paraId="016B2FF6"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Fuente: Semanario Judicial de la Federación y su Gaceta. Tomo XXXI, Mayo de 2010, página 830</w:t>
      </w:r>
    </w:p>
    <w:p w14:paraId="081B9623" w14:textId="77777777" w:rsid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Tipo: Jurisprudencia</w:t>
      </w:r>
    </w:p>
    <w:p w14:paraId="255B5ECF" w14:textId="77777777" w:rsidR="000008FD" w:rsidRPr="000008FD" w:rsidRDefault="000008FD" w:rsidP="000008FD">
      <w:pPr>
        <w:spacing w:after="0" w:line="240" w:lineRule="auto"/>
        <w:ind w:left="567" w:right="618"/>
        <w:jc w:val="both"/>
        <w:rPr>
          <w:rFonts w:ascii="Arial" w:eastAsia="Calibri" w:hAnsi="Arial" w:cs="Arial"/>
          <w:sz w:val="20"/>
          <w:szCs w:val="20"/>
        </w:rPr>
      </w:pPr>
    </w:p>
    <w:p w14:paraId="3D5102FA" w14:textId="77777777" w:rsidR="00DE6732" w:rsidRPr="00BD4AD5" w:rsidRDefault="00DE6732" w:rsidP="00D10049">
      <w:pPr>
        <w:spacing w:after="0" w:line="240" w:lineRule="auto"/>
        <w:ind w:left="567" w:right="618"/>
        <w:jc w:val="both"/>
        <w:rPr>
          <w:rFonts w:ascii="Arial" w:eastAsia="Calibri" w:hAnsi="Arial" w:cs="Arial"/>
          <w:sz w:val="20"/>
          <w:szCs w:val="20"/>
        </w:rPr>
      </w:pPr>
      <w:r w:rsidRPr="00BD4AD5">
        <w:rPr>
          <w:rFonts w:ascii="Arial" w:eastAsia="Calibri" w:hAnsi="Arial" w:cs="Arial"/>
          <w:b/>
          <w:sz w:val="20"/>
          <w:szCs w:val="20"/>
        </w:rPr>
        <w:t>CONCEPTOS DE VIOLACIÓN O AGRAVIOS. PARA CUMPLIR CON LOS PRINCIPIOS DE CONGRUENCIA Y EXHAUSTIVIDAD EN LAS SENTENCIAS DE AMPARO ES INNECESARIA SU TRANSCRIPCIÓN.</w:t>
      </w:r>
      <w:r w:rsidRPr="00BD4AD5">
        <w:rPr>
          <w:rFonts w:ascii="Arial" w:eastAsia="Calibri" w:hAnsi="Arial" w:cs="Arial"/>
          <w:sz w:val="20"/>
          <w:szCs w:val="20"/>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w:t>
      </w:r>
      <w:r w:rsidR="00BD4AD5" w:rsidRPr="00BD4AD5">
        <w:rPr>
          <w:rFonts w:ascii="Arial" w:eastAsia="Calibri" w:hAnsi="Arial" w:cs="Arial"/>
          <w:sz w:val="20"/>
          <w:szCs w:val="20"/>
        </w:rPr>
        <w:t>se estudien los planteamientos.</w:t>
      </w:r>
    </w:p>
    <w:p w14:paraId="67EC15DC" w14:textId="77777777" w:rsidR="000008FD" w:rsidRDefault="000008FD" w:rsidP="00DE6732">
      <w:pPr>
        <w:spacing w:before="120" w:after="120" w:line="360" w:lineRule="auto"/>
        <w:ind w:right="51" w:firstLine="709"/>
        <w:jc w:val="both"/>
        <w:rPr>
          <w:rFonts w:ascii="Arial" w:eastAsia="Arial Unicode MS" w:hAnsi="Arial" w:cs="Arial"/>
          <w:sz w:val="24"/>
          <w:szCs w:val="24"/>
        </w:rPr>
      </w:pPr>
    </w:p>
    <w:p w14:paraId="670F83C4" w14:textId="77777777" w:rsidR="00D424C7" w:rsidRPr="005B6196" w:rsidRDefault="00D424C7" w:rsidP="00DE6732">
      <w:pPr>
        <w:spacing w:before="120" w:after="120" w:line="360" w:lineRule="auto"/>
        <w:ind w:right="51" w:firstLine="709"/>
        <w:jc w:val="both"/>
        <w:rPr>
          <w:rFonts w:ascii="Arial" w:eastAsia="Arial Unicode MS" w:hAnsi="Arial" w:cs="Arial"/>
          <w:sz w:val="24"/>
          <w:szCs w:val="24"/>
        </w:rPr>
      </w:pPr>
    </w:p>
    <w:p w14:paraId="593EF727" w14:textId="77777777" w:rsidR="005B6196" w:rsidRDefault="005B6196" w:rsidP="00DE6732">
      <w:pPr>
        <w:spacing w:before="120" w:after="120" w:line="360" w:lineRule="auto"/>
        <w:ind w:right="51" w:firstLine="709"/>
        <w:jc w:val="both"/>
        <w:rPr>
          <w:rFonts w:ascii="Arial" w:eastAsia="Arial Unicode MS" w:hAnsi="Arial" w:cs="Arial"/>
          <w:sz w:val="24"/>
          <w:szCs w:val="24"/>
        </w:rPr>
      </w:pPr>
      <w:r w:rsidRPr="005B6196">
        <w:rPr>
          <w:rFonts w:ascii="Arial" w:eastAsia="Arial Unicode MS" w:hAnsi="Arial" w:cs="Arial"/>
          <w:sz w:val="24"/>
          <w:szCs w:val="24"/>
        </w:rPr>
        <w:t>De igual forma</w:t>
      </w:r>
      <w:r>
        <w:rPr>
          <w:rFonts w:ascii="Arial" w:eastAsia="Arial Unicode MS" w:hAnsi="Arial" w:cs="Arial"/>
          <w:sz w:val="24"/>
          <w:szCs w:val="24"/>
        </w:rPr>
        <w:t>, sirve de apoyo por las razones en que se sustenta, la jurisprudencia que establece:</w:t>
      </w:r>
    </w:p>
    <w:p w14:paraId="5F9C8429" w14:textId="77777777" w:rsidR="000008FD" w:rsidRDefault="000008FD" w:rsidP="005B6196">
      <w:pPr>
        <w:spacing w:before="120" w:after="120" w:line="360" w:lineRule="auto"/>
        <w:ind w:right="51" w:firstLine="709"/>
        <w:jc w:val="both"/>
        <w:rPr>
          <w:rFonts w:ascii="Arial" w:eastAsia="Arial Unicode MS" w:hAnsi="Arial" w:cs="Arial"/>
          <w:sz w:val="24"/>
          <w:szCs w:val="24"/>
        </w:rPr>
      </w:pPr>
    </w:p>
    <w:p w14:paraId="1286EF71" w14:textId="77777777" w:rsidR="00D424C7" w:rsidRPr="005B6196" w:rsidRDefault="00D424C7" w:rsidP="005B6196">
      <w:pPr>
        <w:spacing w:before="120" w:after="120" w:line="360" w:lineRule="auto"/>
        <w:ind w:right="51" w:firstLine="709"/>
        <w:jc w:val="both"/>
        <w:rPr>
          <w:rFonts w:ascii="Arial" w:eastAsia="Arial Unicode MS" w:hAnsi="Arial" w:cs="Arial"/>
          <w:sz w:val="24"/>
          <w:szCs w:val="24"/>
        </w:rPr>
      </w:pPr>
    </w:p>
    <w:p w14:paraId="5D9C6DA8"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b/>
          <w:sz w:val="20"/>
          <w:szCs w:val="20"/>
        </w:rPr>
        <w:t>Registro digital:</w:t>
      </w:r>
      <w:r w:rsidRPr="000008FD">
        <w:rPr>
          <w:rFonts w:ascii="Arial" w:hAnsi="Arial" w:cs="Arial"/>
          <w:sz w:val="20"/>
          <w:szCs w:val="20"/>
        </w:rPr>
        <w:t xml:space="preserve"> 196477</w:t>
      </w:r>
    </w:p>
    <w:p w14:paraId="5527BB4B"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Instancia: Tribunales Colegiados de Circuito</w:t>
      </w:r>
    </w:p>
    <w:p w14:paraId="70491059"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Novena Época</w:t>
      </w:r>
    </w:p>
    <w:p w14:paraId="3E0519F2"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Materias(s): Común</w:t>
      </w:r>
    </w:p>
    <w:p w14:paraId="64C13D3E" w14:textId="77777777" w:rsidR="000008FD" w:rsidRPr="000008FD" w:rsidRDefault="000008FD" w:rsidP="000008FD">
      <w:pPr>
        <w:spacing w:after="0" w:line="240" w:lineRule="auto"/>
        <w:ind w:left="567" w:right="618"/>
        <w:jc w:val="both"/>
        <w:rPr>
          <w:rFonts w:ascii="Arial" w:hAnsi="Arial" w:cs="Arial"/>
          <w:sz w:val="20"/>
          <w:szCs w:val="20"/>
        </w:rPr>
      </w:pPr>
      <w:r>
        <w:rPr>
          <w:rFonts w:ascii="Arial" w:hAnsi="Arial" w:cs="Arial"/>
          <w:sz w:val="20"/>
          <w:szCs w:val="20"/>
        </w:rPr>
        <w:t>Tesis: VI.2o. J/129</w:t>
      </w:r>
    </w:p>
    <w:p w14:paraId="645755AD" w14:textId="77777777" w:rsidR="000008FD" w:rsidRP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Fuente: Semanario Judicial de la Federación y su Gaceta. Tomo VII, Abril de 1998, página 599</w:t>
      </w:r>
    </w:p>
    <w:p w14:paraId="057ECC1B" w14:textId="77777777" w:rsidR="000008FD" w:rsidRDefault="000008FD" w:rsidP="000008FD">
      <w:pPr>
        <w:spacing w:after="0" w:line="240" w:lineRule="auto"/>
        <w:ind w:left="567" w:right="618"/>
        <w:jc w:val="both"/>
        <w:rPr>
          <w:rFonts w:ascii="Arial" w:hAnsi="Arial" w:cs="Arial"/>
          <w:sz w:val="20"/>
          <w:szCs w:val="20"/>
        </w:rPr>
      </w:pPr>
      <w:r w:rsidRPr="000008FD">
        <w:rPr>
          <w:rFonts w:ascii="Arial" w:hAnsi="Arial" w:cs="Arial"/>
          <w:sz w:val="20"/>
          <w:szCs w:val="20"/>
        </w:rPr>
        <w:t>Tipo: Jurisprudencia</w:t>
      </w:r>
    </w:p>
    <w:p w14:paraId="6C68DDC1" w14:textId="77777777" w:rsidR="000008FD" w:rsidRPr="000008FD" w:rsidRDefault="000008FD" w:rsidP="000008FD">
      <w:pPr>
        <w:spacing w:after="0" w:line="240" w:lineRule="auto"/>
        <w:ind w:left="567" w:right="618"/>
        <w:jc w:val="both"/>
        <w:rPr>
          <w:rFonts w:ascii="Arial" w:eastAsia="Arial Unicode MS" w:hAnsi="Arial" w:cs="Arial"/>
          <w:sz w:val="20"/>
          <w:szCs w:val="20"/>
        </w:rPr>
      </w:pPr>
    </w:p>
    <w:p w14:paraId="0E102CED" w14:textId="77777777" w:rsidR="005B6196" w:rsidRPr="005B6196" w:rsidRDefault="005B6196" w:rsidP="005B6196">
      <w:pPr>
        <w:spacing w:after="0" w:line="240" w:lineRule="auto"/>
        <w:ind w:left="567" w:right="618"/>
        <w:jc w:val="both"/>
        <w:rPr>
          <w:rFonts w:ascii="Arial" w:eastAsia="Arial Unicode MS" w:hAnsi="Arial" w:cs="Arial"/>
          <w:sz w:val="20"/>
          <w:szCs w:val="20"/>
        </w:rPr>
      </w:pPr>
      <w:r w:rsidRPr="005B6196">
        <w:rPr>
          <w:rFonts w:ascii="Arial" w:eastAsia="Arial Unicode MS" w:hAnsi="Arial" w:cs="Arial"/>
          <w:b/>
          <w:sz w:val="20"/>
          <w:szCs w:val="20"/>
        </w:rPr>
        <w:t xml:space="preserve">CONCEPTOS DE VIOLACIÓN. EL JUEZ NO ESTÁ OBLIGADO A TRANSCRIBIRLOS.   </w:t>
      </w:r>
      <w:r w:rsidRPr="005B6196">
        <w:rPr>
          <w:rFonts w:ascii="Arial" w:eastAsia="Arial Unicode MS" w:hAnsi="Arial" w:cs="Arial"/>
          <w:sz w:val="20"/>
          <w:szCs w:val="20"/>
        </w:rPr>
        <w:t>El hecho de que el Juez Federal no transcriba en su fallo los conceptos de violación expresados en la demanda, no implica que haya infringido disposiciones de la Ley de Amparo, a la cual sujeta su actuación, pues no hay precepto alguno que establezca la obligación de llevar a cabo tal transcripción; además de que dicha omisión no deja en estado de indefensión al quejoso, dado que no se le priva de la oportunidad para recurrir la resolución y alegar lo que estime pertinente para demostrar, en su caso, la ilegalidad de la misma.</w:t>
      </w:r>
    </w:p>
    <w:p w14:paraId="1D9844A9" w14:textId="77777777" w:rsidR="000008FD" w:rsidRDefault="000008FD" w:rsidP="00DE6732">
      <w:pPr>
        <w:spacing w:before="120" w:after="120" w:line="360" w:lineRule="auto"/>
        <w:ind w:right="51" w:firstLine="709"/>
        <w:jc w:val="both"/>
        <w:rPr>
          <w:rFonts w:ascii="Arial" w:eastAsia="Arial Unicode MS" w:hAnsi="Arial" w:cs="Arial"/>
          <w:sz w:val="24"/>
          <w:szCs w:val="24"/>
        </w:rPr>
      </w:pPr>
    </w:p>
    <w:p w14:paraId="758EC296" w14:textId="77777777" w:rsidR="00D424C7" w:rsidRPr="005B6196" w:rsidRDefault="00D424C7" w:rsidP="00DE6732">
      <w:pPr>
        <w:spacing w:before="120" w:after="120" w:line="360" w:lineRule="auto"/>
        <w:ind w:right="51" w:firstLine="709"/>
        <w:jc w:val="both"/>
        <w:rPr>
          <w:rFonts w:ascii="Arial" w:eastAsia="Arial Unicode MS" w:hAnsi="Arial" w:cs="Arial"/>
          <w:sz w:val="24"/>
          <w:szCs w:val="24"/>
        </w:rPr>
      </w:pPr>
    </w:p>
    <w:p w14:paraId="00CBE15E" w14:textId="77777777" w:rsidR="00D424C7" w:rsidRDefault="00BD4AD5" w:rsidP="006A1D74">
      <w:pPr>
        <w:spacing w:before="120" w:after="120" w:line="360" w:lineRule="auto"/>
        <w:ind w:right="51" w:firstLine="709"/>
        <w:jc w:val="both"/>
        <w:rPr>
          <w:rFonts w:ascii="Arial" w:eastAsia="Arial Unicode MS" w:hAnsi="Arial" w:cs="Arial"/>
          <w:sz w:val="24"/>
          <w:szCs w:val="24"/>
        </w:rPr>
      </w:pPr>
      <w:r w:rsidRPr="00C058C4">
        <w:rPr>
          <w:rFonts w:ascii="Arial" w:eastAsia="Arial Unicode MS" w:hAnsi="Arial" w:cs="Arial"/>
          <w:b/>
          <w:sz w:val="24"/>
          <w:szCs w:val="24"/>
        </w:rPr>
        <w:t>SEXTO.-</w:t>
      </w:r>
      <w:r w:rsidRPr="00C058C4">
        <w:rPr>
          <w:rFonts w:ascii="Arial" w:eastAsia="Arial Unicode MS" w:hAnsi="Arial" w:cs="Arial"/>
          <w:sz w:val="24"/>
          <w:szCs w:val="24"/>
        </w:rPr>
        <w:t xml:space="preserve"> </w:t>
      </w:r>
      <w:r w:rsidR="00D424C7">
        <w:rPr>
          <w:rFonts w:ascii="Arial" w:eastAsia="Arial Unicode MS" w:hAnsi="Arial" w:cs="Arial"/>
          <w:sz w:val="24"/>
          <w:szCs w:val="24"/>
        </w:rPr>
        <w:t xml:space="preserve">Precisado lo anterior, se procede al estudio de los conceptos de impugnación esgrimidos por la parte actora en su escrito de demanda, </w:t>
      </w:r>
      <w:r w:rsidR="00D424C7">
        <w:rPr>
          <w:rFonts w:ascii="Arial" w:eastAsia="Arial Unicode MS" w:hAnsi="Arial" w:cs="Arial"/>
          <w:sz w:val="24"/>
          <w:szCs w:val="24"/>
        </w:rPr>
        <w:lastRenderedPageBreak/>
        <w:t>entendida como un todo</w:t>
      </w:r>
      <w:r w:rsidR="000B577A">
        <w:rPr>
          <w:rFonts w:ascii="Arial" w:eastAsia="Arial Unicode MS" w:hAnsi="Arial" w:cs="Arial"/>
          <w:sz w:val="24"/>
          <w:szCs w:val="24"/>
        </w:rPr>
        <w:t>; al respecto es ilustrativa la jurisprudencia que se transcribe a continuación:</w:t>
      </w:r>
    </w:p>
    <w:p w14:paraId="289183C7" w14:textId="77777777" w:rsidR="00D424C7" w:rsidRDefault="00D424C7" w:rsidP="006A1D74">
      <w:pPr>
        <w:spacing w:before="120" w:after="120" w:line="360" w:lineRule="auto"/>
        <w:ind w:right="51" w:firstLine="709"/>
        <w:jc w:val="both"/>
        <w:rPr>
          <w:rFonts w:ascii="Arial" w:eastAsia="Arial Unicode MS" w:hAnsi="Arial" w:cs="Arial"/>
          <w:sz w:val="24"/>
          <w:szCs w:val="24"/>
        </w:rPr>
      </w:pPr>
    </w:p>
    <w:p w14:paraId="71793EB6"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b/>
          <w:sz w:val="20"/>
          <w:szCs w:val="20"/>
        </w:rPr>
        <w:t>Registro digital:</w:t>
      </w:r>
      <w:r w:rsidRPr="000B577A">
        <w:rPr>
          <w:rFonts w:ascii="Arial" w:eastAsia="Arial Unicode MS" w:hAnsi="Arial" w:cs="Arial"/>
          <w:sz w:val="20"/>
          <w:szCs w:val="20"/>
        </w:rPr>
        <w:t xml:space="preserve"> 171800</w:t>
      </w:r>
    </w:p>
    <w:p w14:paraId="5367B427"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Instancia: Tribunales Colegiados de Circuito</w:t>
      </w:r>
    </w:p>
    <w:p w14:paraId="4C773148"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Novena Época</w:t>
      </w:r>
    </w:p>
    <w:p w14:paraId="13AA6D54"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Materias(s): Común</w:t>
      </w:r>
    </w:p>
    <w:p w14:paraId="0C30DEA6"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Tesis: I.3o.C. J/40</w:t>
      </w:r>
    </w:p>
    <w:p w14:paraId="49DA4372"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Fuente: Semanario Judicial de la Federación y su Gaceta. Tomo XXVI, Agosto de 2007, página 1240</w:t>
      </w:r>
    </w:p>
    <w:p w14:paraId="555A4EA5"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sz w:val="20"/>
          <w:szCs w:val="20"/>
        </w:rPr>
        <w:t>Tipo: Jurisprudencia</w:t>
      </w:r>
    </w:p>
    <w:p w14:paraId="0487EECE" w14:textId="77777777" w:rsidR="000B577A" w:rsidRPr="000B577A" w:rsidRDefault="000B577A" w:rsidP="000B577A">
      <w:pPr>
        <w:spacing w:after="0" w:line="240" w:lineRule="auto"/>
        <w:ind w:left="567" w:right="618"/>
        <w:jc w:val="both"/>
        <w:rPr>
          <w:rFonts w:ascii="Arial" w:eastAsia="Arial Unicode MS" w:hAnsi="Arial" w:cs="Arial"/>
          <w:sz w:val="20"/>
          <w:szCs w:val="20"/>
        </w:rPr>
      </w:pPr>
    </w:p>
    <w:p w14:paraId="6DE106A9" w14:textId="77777777" w:rsidR="000B577A" w:rsidRPr="000B577A" w:rsidRDefault="000B577A" w:rsidP="000B577A">
      <w:pPr>
        <w:spacing w:after="0" w:line="240" w:lineRule="auto"/>
        <w:ind w:left="567" w:right="618"/>
        <w:jc w:val="both"/>
        <w:rPr>
          <w:rFonts w:ascii="Arial" w:eastAsia="Arial Unicode MS" w:hAnsi="Arial" w:cs="Arial"/>
          <w:sz w:val="20"/>
          <w:szCs w:val="20"/>
        </w:rPr>
      </w:pPr>
      <w:r w:rsidRPr="000B577A">
        <w:rPr>
          <w:rFonts w:ascii="Arial" w:eastAsia="Arial Unicode MS" w:hAnsi="Arial" w:cs="Arial"/>
          <w:b/>
          <w:sz w:val="20"/>
          <w:szCs w:val="20"/>
        </w:rPr>
        <w:t xml:space="preserve">DEMANDA. COMO ACTO JURÍDICO ES SUSCEPTIBLE DE INTERPRETACIÓN INTEGRALMENTE.   </w:t>
      </w:r>
      <w:r w:rsidRPr="000B577A">
        <w:rPr>
          <w:rFonts w:ascii="Arial" w:eastAsia="Arial Unicode MS" w:hAnsi="Arial" w:cs="Arial"/>
          <w:sz w:val="20"/>
          <w:szCs w:val="20"/>
        </w:rPr>
        <w:t>Es legal una sentencia cuando su dictado no se aparta de los hechos constitutivos de la controversia, sino que se apoya en una debida interpretación del escrito inicial de demanda, ocurso, que como cualquier otro acto jurídico es susceptible de interpretación cuando existen palabras contrarias. La interpretación de la demanda debe ser integral, a fin de que el juzgador armonice los datos en ella contenidos y fije un sentido que sea congruente con los elementos que la conforman, lo que se justifica plenamente, en virtud de que se entiende que el Juez es un perito en derecho, con la experiencia y conocimientos suficientes para interpretar la redacción oscura e irregular, y determinar el verdadero sentido y la expresión exacta del pensamiento de su autor que por error incurre en omisiones o imprecisión, tomando en cuenta que la demanda constituye un todo que debe analizarse en su integridad por la autoridad a efecto de dilucidar las verdaderas pretensiones sometidas a litigio.</w:t>
      </w:r>
    </w:p>
    <w:p w14:paraId="6CC97994" w14:textId="77777777" w:rsidR="000B577A" w:rsidRDefault="000B577A" w:rsidP="006A1D74">
      <w:pPr>
        <w:spacing w:before="120" w:after="120" w:line="360" w:lineRule="auto"/>
        <w:ind w:right="51" w:firstLine="709"/>
        <w:jc w:val="both"/>
        <w:rPr>
          <w:rFonts w:ascii="Arial" w:eastAsia="Arial Unicode MS" w:hAnsi="Arial" w:cs="Arial"/>
          <w:sz w:val="24"/>
          <w:szCs w:val="24"/>
        </w:rPr>
      </w:pPr>
    </w:p>
    <w:p w14:paraId="084A0A18" w14:textId="77777777" w:rsidR="006F5977" w:rsidRDefault="006F5977" w:rsidP="006F5977">
      <w:pPr>
        <w:spacing w:before="120" w:after="120" w:line="360" w:lineRule="auto"/>
        <w:ind w:right="51" w:firstLine="709"/>
        <w:jc w:val="both"/>
        <w:rPr>
          <w:rFonts w:ascii="Arial" w:hAnsi="Arial" w:cs="Arial"/>
          <w:sz w:val="24"/>
          <w:szCs w:val="24"/>
        </w:rPr>
      </w:pPr>
      <w:r>
        <w:rPr>
          <w:rFonts w:ascii="Arial" w:hAnsi="Arial" w:cs="Arial"/>
          <w:sz w:val="24"/>
          <w:szCs w:val="24"/>
        </w:rPr>
        <w:t>No le asiste la razón a la autoridad demandada, en cuanto en su escrito de contestación sostiene que los conceptos de impugnación son inoperantes, ya que, a su criterio, la resolución impugnada debió combatirse mediante un razonamiento mínimo “a través de la confrontación de las situaciones fácticas concretas frente a la norma aplicable” (silogismo), y que este asunto “se rige por el principio de estricto derecho”.</w:t>
      </w:r>
    </w:p>
    <w:p w14:paraId="1B7200C7" w14:textId="77777777" w:rsidR="006F5977" w:rsidRDefault="006F5977" w:rsidP="006A1D74">
      <w:pPr>
        <w:spacing w:before="120" w:after="120" w:line="360" w:lineRule="auto"/>
        <w:ind w:right="51" w:firstLine="709"/>
        <w:jc w:val="both"/>
        <w:rPr>
          <w:rFonts w:ascii="Arial" w:eastAsia="Arial Unicode MS" w:hAnsi="Arial" w:cs="Arial"/>
          <w:sz w:val="24"/>
          <w:szCs w:val="24"/>
        </w:rPr>
      </w:pPr>
    </w:p>
    <w:p w14:paraId="7F94A5C2" w14:textId="77777777" w:rsidR="00E54F9E" w:rsidRDefault="00250921" w:rsidP="006A1D74">
      <w:pPr>
        <w:spacing w:before="120" w:after="120" w:line="360" w:lineRule="auto"/>
        <w:ind w:right="51" w:firstLine="709"/>
        <w:jc w:val="both"/>
        <w:rPr>
          <w:rFonts w:ascii="Arial" w:hAnsi="Arial" w:cs="Arial"/>
          <w:sz w:val="24"/>
          <w:szCs w:val="24"/>
        </w:rPr>
      </w:pPr>
      <w:r w:rsidRPr="003F68A8">
        <w:rPr>
          <w:rFonts w:ascii="Arial" w:hAnsi="Arial" w:cs="Arial"/>
          <w:sz w:val="24"/>
          <w:szCs w:val="24"/>
        </w:rPr>
        <w:t xml:space="preserve">El Pleno de la Suprema Corte de Justicia de la Nación en la tesis de jurisprudencia P./J. 68/2000, publicada en la página 38 del Tomo XII, agosto de 2000, Novena Época del Semanario Judicial de la Federación y su Gaceta, </w:t>
      </w:r>
      <w:r w:rsidRPr="003F68A8">
        <w:rPr>
          <w:rStyle w:val="fw-bold"/>
          <w:rFonts w:ascii="Arial" w:hAnsi="Arial" w:cs="Arial"/>
          <w:color w:val="212529"/>
          <w:sz w:val="24"/>
          <w:szCs w:val="24"/>
          <w:shd w:val="clear" w:color="auto" w:fill="FFFFFF"/>
        </w:rPr>
        <w:t xml:space="preserve">registro digital </w:t>
      </w:r>
      <w:r w:rsidRPr="003F68A8">
        <w:rPr>
          <w:rFonts w:ascii="Arial" w:hAnsi="Arial" w:cs="Arial"/>
          <w:color w:val="212529"/>
          <w:sz w:val="24"/>
          <w:szCs w:val="24"/>
          <w:shd w:val="clear" w:color="auto" w:fill="FFFFFF"/>
        </w:rPr>
        <w:t>191384</w:t>
      </w:r>
      <w:r w:rsidRPr="003F68A8">
        <w:rPr>
          <w:rFonts w:ascii="Arial" w:hAnsi="Arial" w:cs="Arial"/>
          <w:sz w:val="24"/>
          <w:szCs w:val="24"/>
        </w:rPr>
        <w:t>de rubro: "</w:t>
      </w:r>
      <w:r w:rsidRPr="00250921">
        <w:rPr>
          <w:rFonts w:ascii="Arial" w:hAnsi="Arial" w:cs="Arial"/>
          <w:b/>
          <w:sz w:val="24"/>
          <w:szCs w:val="24"/>
        </w:rPr>
        <w:t>CONCEPTOS DE VIOLACIÓN. PARA QUE SE ESTUDIEN, BASTA CON EXPRESAR CLARAMENTE EN LA DEMANDA DE GARANTÍAS LA CAUSA DE PEDIR.</w:t>
      </w:r>
      <w:r w:rsidRPr="003F68A8">
        <w:rPr>
          <w:rFonts w:ascii="Arial" w:hAnsi="Arial" w:cs="Arial"/>
          <w:sz w:val="24"/>
          <w:szCs w:val="24"/>
        </w:rPr>
        <w:t>" señaló, por un lado, que los artículos 116 y 166 de</w:t>
      </w:r>
      <w:r>
        <w:rPr>
          <w:rFonts w:ascii="Arial" w:hAnsi="Arial" w:cs="Arial"/>
          <w:sz w:val="24"/>
          <w:szCs w:val="24"/>
        </w:rPr>
        <w:t xml:space="preserve"> la Ley de Amparo abrogada, no establecían</w:t>
      </w:r>
      <w:r w:rsidRPr="003F68A8">
        <w:rPr>
          <w:rFonts w:ascii="Arial" w:hAnsi="Arial" w:cs="Arial"/>
          <w:sz w:val="24"/>
          <w:szCs w:val="24"/>
        </w:rPr>
        <w:t xml:space="preserve"> como requisito indispensable que la expresión de los conceptos de violación se haga como un verdadero silogismo, siendo la premisa mayor el precepto constitucional violado, la premisa menor los actos autoritarios reclamados y la conclusión la contraposición entre aquéllas; y, por otro, que la demanda de amparo no debe examinarse por sus partes aisladas, sino </w:t>
      </w:r>
      <w:r w:rsidRPr="003F68A8">
        <w:rPr>
          <w:rFonts w:ascii="Arial" w:hAnsi="Arial" w:cs="Arial"/>
          <w:sz w:val="24"/>
          <w:szCs w:val="24"/>
        </w:rPr>
        <w:lastRenderedPageBreak/>
        <w:t xml:space="preserve">considerarse en su conjunto y que es razonable que deban tenerse como conceptos de violación todos los razonamientos que, con tal contenido, aparezcan en la demanda, aunque no estén en el capítulo relativo y aunque no guarden un apego estricto a la forma lógica del silogismo, sino que será suficiente que en alguna parte del escrito se exprese con claridad la causa de pedir, señalándose cuál es la lesión o agravio que el quejoso estima le causa el acto, resolución o ley impugnada y los motivos que originaron ese agravio, para que el </w:t>
      </w:r>
      <w:r w:rsidR="00E54F9E">
        <w:rPr>
          <w:rFonts w:ascii="Arial" w:hAnsi="Arial" w:cs="Arial"/>
          <w:sz w:val="24"/>
          <w:szCs w:val="24"/>
        </w:rPr>
        <w:t>Juez de amparo deba examinarlo.</w:t>
      </w:r>
    </w:p>
    <w:p w14:paraId="04A81105" w14:textId="77777777" w:rsidR="00E54F9E" w:rsidRDefault="00E54F9E" w:rsidP="006A1D74">
      <w:pPr>
        <w:spacing w:before="120" w:after="120" w:line="360" w:lineRule="auto"/>
        <w:ind w:right="51" w:firstLine="709"/>
        <w:jc w:val="both"/>
        <w:rPr>
          <w:rFonts w:ascii="Arial" w:hAnsi="Arial" w:cs="Arial"/>
          <w:sz w:val="24"/>
          <w:szCs w:val="24"/>
        </w:rPr>
      </w:pPr>
    </w:p>
    <w:p w14:paraId="3EA1A4F0" w14:textId="77777777" w:rsidR="00D424C7" w:rsidRDefault="00250921" w:rsidP="006A1D74">
      <w:pPr>
        <w:spacing w:before="120" w:after="120" w:line="360" w:lineRule="auto"/>
        <w:ind w:right="51" w:firstLine="709"/>
        <w:jc w:val="both"/>
        <w:rPr>
          <w:rFonts w:ascii="Arial" w:hAnsi="Arial" w:cs="Arial"/>
          <w:sz w:val="24"/>
          <w:szCs w:val="24"/>
        </w:rPr>
      </w:pPr>
      <w:r w:rsidRPr="003F68A8">
        <w:rPr>
          <w:rFonts w:ascii="Arial" w:hAnsi="Arial" w:cs="Arial"/>
          <w:sz w:val="24"/>
          <w:szCs w:val="24"/>
        </w:rPr>
        <w:t xml:space="preserve">En este sentido, la obligación que el artículo </w:t>
      </w:r>
      <w:r>
        <w:rPr>
          <w:rFonts w:ascii="Arial" w:hAnsi="Arial" w:cs="Arial"/>
          <w:sz w:val="24"/>
          <w:szCs w:val="24"/>
        </w:rPr>
        <w:t>248</w:t>
      </w:r>
      <w:r w:rsidRPr="003F68A8">
        <w:rPr>
          <w:rFonts w:ascii="Arial" w:hAnsi="Arial" w:cs="Arial"/>
          <w:sz w:val="24"/>
          <w:szCs w:val="24"/>
        </w:rPr>
        <w:t xml:space="preserve">, párrafos primero y tercero, del Código </w:t>
      </w:r>
      <w:r>
        <w:rPr>
          <w:rFonts w:ascii="Arial" w:hAnsi="Arial" w:cs="Arial"/>
          <w:sz w:val="24"/>
          <w:szCs w:val="24"/>
        </w:rPr>
        <w:t>Procesal Administrativo para el Estado de San Luis Potosí</w:t>
      </w:r>
      <w:r w:rsidRPr="003F68A8">
        <w:rPr>
          <w:rFonts w:ascii="Arial" w:hAnsi="Arial" w:cs="Arial"/>
          <w:sz w:val="24"/>
          <w:szCs w:val="24"/>
        </w:rPr>
        <w:t xml:space="preserve">, impone a las Salas del Tribunal </w:t>
      </w:r>
      <w:r>
        <w:rPr>
          <w:rFonts w:ascii="Arial" w:hAnsi="Arial" w:cs="Arial"/>
          <w:sz w:val="24"/>
          <w:szCs w:val="24"/>
        </w:rPr>
        <w:t>Estatal</w:t>
      </w:r>
      <w:r w:rsidRPr="003F68A8">
        <w:rPr>
          <w:rFonts w:ascii="Arial" w:hAnsi="Arial" w:cs="Arial"/>
          <w:sz w:val="24"/>
          <w:szCs w:val="24"/>
        </w:rPr>
        <w:t xml:space="preserve"> de Justicia Administrativa para resolver sobre la pretensión del actor que se deduzca de su demanda, al realizar el examen en su conjunto de los agravios y causas de ilegalidad, así como de los demás razonamientos de las partes, a fin de resolver la cuestión efectivamente planteada, presenta idéntica situación a la analizada por el Pleno del Máximo Tribunal del país en el criterio jurisprudencial de mérito, de ahí que para que el órgano jurisdiccional en la sentencia dictada en el juicio contencioso administrativo resuelva la pretensión del actor, basta con que en la demanda de nulidad se exprese</w:t>
      </w:r>
      <w:r>
        <w:rPr>
          <w:rFonts w:ascii="Arial" w:hAnsi="Arial" w:cs="Arial"/>
          <w:sz w:val="24"/>
          <w:szCs w:val="24"/>
        </w:rPr>
        <w:t xml:space="preserve"> con claridad la causa de pedir; estando obligada esta Sala Unitaria a suplir la deficiencia de la queja planteada en la demanda, cuando de los hechos narrados se deduzca el agravio.</w:t>
      </w:r>
    </w:p>
    <w:p w14:paraId="5A4166E6" w14:textId="77777777" w:rsidR="00250921" w:rsidRDefault="00250921" w:rsidP="006A1D74">
      <w:pPr>
        <w:spacing w:before="120" w:after="120" w:line="360" w:lineRule="auto"/>
        <w:ind w:right="51" w:firstLine="709"/>
        <w:jc w:val="both"/>
        <w:rPr>
          <w:rFonts w:ascii="Arial" w:hAnsi="Arial" w:cs="Arial"/>
          <w:sz w:val="24"/>
          <w:szCs w:val="24"/>
        </w:rPr>
      </w:pPr>
    </w:p>
    <w:p w14:paraId="1A156BFC" w14:textId="77777777" w:rsidR="00E54F9E" w:rsidRDefault="00E54F9E" w:rsidP="006A1D74">
      <w:pPr>
        <w:spacing w:before="120" w:after="120" w:line="360" w:lineRule="auto"/>
        <w:ind w:right="51" w:firstLine="709"/>
        <w:jc w:val="both"/>
        <w:rPr>
          <w:rFonts w:ascii="Arial" w:hAnsi="Arial" w:cs="Arial"/>
          <w:sz w:val="24"/>
          <w:szCs w:val="24"/>
        </w:rPr>
      </w:pPr>
      <w:r>
        <w:rPr>
          <w:rFonts w:ascii="Arial" w:hAnsi="Arial" w:cs="Arial"/>
          <w:sz w:val="24"/>
          <w:szCs w:val="24"/>
        </w:rPr>
        <w:t>Sirve de apoyo la jurisprudencia que textualmente señala:</w:t>
      </w:r>
    </w:p>
    <w:p w14:paraId="42DC61A3" w14:textId="77777777" w:rsidR="00E54F9E" w:rsidRDefault="00E54F9E" w:rsidP="006A1D74">
      <w:pPr>
        <w:spacing w:before="120" w:after="120" w:line="360" w:lineRule="auto"/>
        <w:ind w:right="51" w:firstLine="709"/>
        <w:jc w:val="both"/>
        <w:rPr>
          <w:rFonts w:ascii="Arial" w:hAnsi="Arial" w:cs="Arial"/>
          <w:sz w:val="24"/>
          <w:szCs w:val="24"/>
        </w:rPr>
      </w:pPr>
    </w:p>
    <w:p w14:paraId="1B9A81CF"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Registro digital: 166683</w:t>
      </w:r>
    </w:p>
    <w:p w14:paraId="1172A2A4"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Instancia: Tribunales Colegiados de Circuito</w:t>
      </w:r>
    </w:p>
    <w:p w14:paraId="75D62925"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Novena Época</w:t>
      </w:r>
    </w:p>
    <w:p w14:paraId="33F559CB"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Materias(s): Administrativa</w:t>
      </w:r>
    </w:p>
    <w:p w14:paraId="66828335"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Tesis: I.7o.A. J/46</w:t>
      </w:r>
    </w:p>
    <w:p w14:paraId="37F06684"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Fuente: Semanario Judicial de la Federación y su Gaceta. Tomo XXX, Agosto de 2009, página 1342</w:t>
      </w:r>
    </w:p>
    <w:p w14:paraId="1C999CC3"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sz w:val="20"/>
          <w:szCs w:val="20"/>
        </w:rPr>
        <w:t>Tipo: Jurisprudencia</w:t>
      </w:r>
    </w:p>
    <w:p w14:paraId="4C1FB144" w14:textId="77777777" w:rsidR="00E54F9E" w:rsidRPr="00E54F9E" w:rsidRDefault="00E54F9E" w:rsidP="00E54F9E">
      <w:pPr>
        <w:spacing w:after="0" w:line="240" w:lineRule="auto"/>
        <w:ind w:left="567" w:right="618"/>
        <w:jc w:val="both"/>
        <w:rPr>
          <w:rFonts w:ascii="Arial" w:hAnsi="Arial" w:cs="Arial"/>
          <w:sz w:val="20"/>
          <w:szCs w:val="20"/>
        </w:rPr>
      </w:pPr>
    </w:p>
    <w:p w14:paraId="76E06207" w14:textId="77777777" w:rsidR="00E54F9E" w:rsidRPr="00E54F9E" w:rsidRDefault="00E54F9E" w:rsidP="00E54F9E">
      <w:pPr>
        <w:spacing w:after="0" w:line="240" w:lineRule="auto"/>
        <w:ind w:left="567" w:right="618"/>
        <w:jc w:val="both"/>
        <w:rPr>
          <w:rFonts w:ascii="Arial" w:hAnsi="Arial" w:cs="Arial"/>
          <w:sz w:val="20"/>
          <w:szCs w:val="20"/>
        </w:rPr>
      </w:pPr>
      <w:r w:rsidRPr="00E54F9E">
        <w:rPr>
          <w:rFonts w:ascii="Arial" w:hAnsi="Arial" w:cs="Arial"/>
          <w:b/>
          <w:sz w:val="20"/>
          <w:szCs w:val="20"/>
        </w:rPr>
        <w:t xml:space="preserve">DEMANDA EN EL JUICIO CONTENCIOSO ADMINISTRATIVO FEDERAL. SU EXAMEN NO SÓLO DEBE ATENDER A SU APARTADO DE CONCEPTOS DE ANULACIÓN, SINO A CUALQUIER PARTE DE ELLA DONDE SE ADVIERTA LA EXPOSICIÓN DE MOTIVOS ESENCIALES DE LA CAUSA DE PEDIR.   </w:t>
      </w:r>
      <w:r w:rsidRPr="00E54F9E">
        <w:rPr>
          <w:rFonts w:ascii="Arial" w:hAnsi="Arial" w:cs="Arial"/>
          <w:sz w:val="20"/>
          <w:szCs w:val="20"/>
        </w:rPr>
        <w:t xml:space="preserve">Conforme al artículo 237 del Código Fiscal de la Federación, vigente hasta el 31 de diciembre de 2005 (correlativo del precepto 50 de la Ley Federal de Procedimiento Contencioso Administrativo), las Salas del Tribunal Federal de Justicia Fiscal y Administrativa deben resolver la pretensión efectivamente planteada en la demanda, pudiendo invocar hechos </w:t>
      </w:r>
      <w:r w:rsidRPr="00E54F9E">
        <w:rPr>
          <w:rFonts w:ascii="Arial" w:hAnsi="Arial" w:cs="Arial"/>
          <w:sz w:val="20"/>
          <w:szCs w:val="20"/>
        </w:rPr>
        <w:lastRenderedPageBreak/>
        <w:t>notorios e, incluso, examinar, entre otras cosas, los agravios, causales de ilegalidad y demás razonamientos de las partes. Consecuentemente, la citada demanda constituye un todo y su análisis no sólo debe atender a su apartado de conceptos de anulación, sino a cualquier parte de ella donde se advierta la exposición de motivos esenciales de la causa de pedir, con la finalidad de resolver la pretensión efectivamente planteada, pues el hecho de que las sentencias del referido tribunal se funden en derecho y resuelvan sobre la pretensión del actor que se deduzca de su demanda, implica el estudio de ésta en su integridad y no en razón de uno de sus componentes.</w:t>
      </w:r>
    </w:p>
    <w:p w14:paraId="191DAF11" w14:textId="77777777" w:rsidR="00E54F9E" w:rsidRDefault="00E54F9E" w:rsidP="006A1D74">
      <w:pPr>
        <w:spacing w:before="120" w:after="120" w:line="360" w:lineRule="auto"/>
        <w:ind w:right="51" w:firstLine="709"/>
        <w:jc w:val="both"/>
        <w:rPr>
          <w:rFonts w:ascii="Arial" w:hAnsi="Arial" w:cs="Arial"/>
          <w:sz w:val="24"/>
          <w:szCs w:val="24"/>
        </w:rPr>
      </w:pPr>
    </w:p>
    <w:p w14:paraId="22D1D0DB" w14:textId="77777777" w:rsidR="00E54F9E" w:rsidRDefault="006F5977" w:rsidP="006A1D74">
      <w:pPr>
        <w:spacing w:before="120" w:after="120" w:line="360" w:lineRule="auto"/>
        <w:ind w:right="51" w:firstLine="709"/>
        <w:jc w:val="both"/>
        <w:rPr>
          <w:rFonts w:ascii="Arial" w:hAnsi="Arial" w:cs="Arial"/>
          <w:sz w:val="24"/>
          <w:szCs w:val="24"/>
        </w:rPr>
      </w:pPr>
      <w:r>
        <w:rPr>
          <w:rFonts w:ascii="Arial" w:hAnsi="Arial" w:cs="Arial"/>
          <w:sz w:val="24"/>
          <w:szCs w:val="24"/>
        </w:rPr>
        <w:t xml:space="preserve">Por otra parte, el procedimiento administrativo es de estricto derecho y, por regla general, no opera la suplencia de la queja deficiente a favor del actor; sin embargo, conforme a los artículos 248, párrafo tercero, y </w:t>
      </w:r>
      <w:r w:rsidR="004829EF">
        <w:rPr>
          <w:rFonts w:ascii="Arial" w:hAnsi="Arial" w:cs="Arial"/>
          <w:sz w:val="24"/>
          <w:szCs w:val="24"/>
        </w:rPr>
        <w:t>250, párrafo segundo, del Código Procesal Administrativo para el Estado de San Luis Potosí, es factible favorecer al accionante con la aplicación del aludido beneficio en los planteamientos de la demanda cuando: a) Cuando de los hechos narrados se deduzca el agravio sin apartarse de la litis; b) La incompetencia de la autoridad para dictar la resolución impugnada; c) La ausencia total de fundamentación o motivación en dicha resolución.   De manera que actualizada alguna de las señaladas hipótesis, esta Sala Unitaria no puede dejar de aplicarla, al tratarse de una facultad impuesta en la ley de la materia, sin que se requiera que la ilegalidad del acto impugnado sea notoria, manifiesta e indudable.</w:t>
      </w:r>
    </w:p>
    <w:p w14:paraId="66462571" w14:textId="77777777" w:rsidR="00250921" w:rsidRDefault="00250921" w:rsidP="006A1D74">
      <w:pPr>
        <w:spacing w:before="120" w:after="120" w:line="360" w:lineRule="auto"/>
        <w:ind w:right="51" w:firstLine="709"/>
        <w:jc w:val="both"/>
        <w:rPr>
          <w:rFonts w:ascii="Arial" w:eastAsia="Arial Unicode MS" w:hAnsi="Arial" w:cs="Arial"/>
          <w:sz w:val="24"/>
          <w:szCs w:val="24"/>
        </w:rPr>
      </w:pPr>
    </w:p>
    <w:p w14:paraId="2C174F9F" w14:textId="725817A2" w:rsidR="00D424C7" w:rsidRDefault="00CA0CB5" w:rsidP="006A1D74">
      <w:pPr>
        <w:spacing w:before="120" w:after="120" w:line="360" w:lineRule="auto"/>
        <w:ind w:right="51" w:firstLine="709"/>
        <w:jc w:val="both"/>
        <w:rPr>
          <w:rFonts w:ascii="Arial" w:eastAsia="Arial Unicode MS" w:hAnsi="Arial" w:cs="Arial"/>
          <w:sz w:val="24"/>
          <w:szCs w:val="24"/>
        </w:rPr>
      </w:pPr>
      <w:r>
        <w:rPr>
          <w:rFonts w:ascii="Arial" w:eastAsia="Arial Unicode MS" w:hAnsi="Arial" w:cs="Arial"/>
          <w:sz w:val="24"/>
          <w:szCs w:val="24"/>
        </w:rPr>
        <w:t xml:space="preserve">En el caso a estudio, del análisis integral de la demanda, que obra a fojas 2 a 9 del sumario, se desprende la causa de pedir, suficiente para tener por expresados conceptos de violación; al manifestar la actora, </w:t>
      </w:r>
      <w:r w:rsidR="00062DF7">
        <w:rPr>
          <w:rFonts w:ascii="Arial" w:eastAsia="Arial Unicode MS" w:hAnsi="Arial" w:cs="Arial"/>
          <w:b/>
          <w:color w:val="FF0000"/>
          <w:sz w:val="24"/>
          <w:szCs w:val="24"/>
        </w:rPr>
        <w:t>**************</w:t>
      </w:r>
      <w:r>
        <w:rPr>
          <w:rFonts w:ascii="Arial" w:eastAsia="Arial Unicode MS" w:hAnsi="Arial" w:cs="Arial"/>
          <w:sz w:val="24"/>
          <w:szCs w:val="24"/>
        </w:rPr>
        <w:t>:</w:t>
      </w:r>
    </w:p>
    <w:p w14:paraId="15564C00" w14:textId="77777777" w:rsidR="00F312F9" w:rsidRDefault="00F312F9" w:rsidP="00F312F9">
      <w:pPr>
        <w:spacing w:before="120" w:after="120" w:line="360" w:lineRule="auto"/>
        <w:ind w:right="51" w:firstLine="709"/>
        <w:jc w:val="both"/>
        <w:rPr>
          <w:rFonts w:ascii="Arial" w:hAnsi="Arial" w:cs="Arial"/>
          <w:sz w:val="24"/>
          <w:szCs w:val="24"/>
          <w:lang w:val="es-419" w:eastAsia="es-MX"/>
        </w:rPr>
      </w:pPr>
    </w:p>
    <w:p w14:paraId="2AAE492F" w14:textId="77777777" w:rsidR="008B5E9F" w:rsidRDefault="0062520A" w:rsidP="00964901">
      <w:pPr>
        <w:spacing w:after="0" w:line="240" w:lineRule="auto"/>
        <w:ind w:left="567" w:right="618"/>
        <w:jc w:val="both"/>
        <w:rPr>
          <w:rFonts w:ascii="Arial" w:hAnsi="Arial" w:cs="Arial"/>
          <w:sz w:val="20"/>
          <w:szCs w:val="20"/>
          <w:lang w:val="es-419" w:eastAsia="es-MX"/>
        </w:rPr>
      </w:pPr>
      <w:r w:rsidRPr="00964901">
        <w:rPr>
          <w:rFonts w:ascii="Arial" w:hAnsi="Arial" w:cs="Arial"/>
          <w:sz w:val="20"/>
          <w:szCs w:val="20"/>
          <w:lang w:val="es-419" w:eastAsia="es-MX"/>
        </w:rPr>
        <w:t>[…]</w:t>
      </w:r>
    </w:p>
    <w:p w14:paraId="7B3A57DA" w14:textId="77777777" w:rsidR="000A14CA" w:rsidRPr="00964901" w:rsidRDefault="000A14CA" w:rsidP="00964901">
      <w:pPr>
        <w:spacing w:after="0" w:line="240" w:lineRule="auto"/>
        <w:ind w:left="567" w:right="618"/>
        <w:jc w:val="both"/>
        <w:rPr>
          <w:rFonts w:ascii="Arial" w:hAnsi="Arial" w:cs="Arial"/>
          <w:sz w:val="20"/>
          <w:szCs w:val="20"/>
          <w:lang w:val="es-419" w:eastAsia="es-MX"/>
        </w:rPr>
      </w:pPr>
    </w:p>
    <w:p w14:paraId="084946DA" w14:textId="77777777" w:rsidR="0062520A" w:rsidRDefault="0062520A" w:rsidP="00964901">
      <w:pPr>
        <w:spacing w:after="0" w:line="240" w:lineRule="auto"/>
        <w:ind w:left="567" w:right="618"/>
        <w:jc w:val="both"/>
        <w:rPr>
          <w:rFonts w:ascii="Arial" w:hAnsi="Arial" w:cs="Arial"/>
          <w:sz w:val="20"/>
          <w:szCs w:val="20"/>
          <w:lang w:val="es-419" w:eastAsia="es-MX"/>
        </w:rPr>
      </w:pPr>
      <w:r w:rsidRPr="00964901">
        <w:rPr>
          <w:rFonts w:ascii="Arial" w:hAnsi="Arial" w:cs="Arial"/>
          <w:sz w:val="20"/>
          <w:szCs w:val="20"/>
          <w:lang w:val="es-419" w:eastAsia="es-MX"/>
        </w:rPr>
        <w:t>Demando la nulidad de la resolución de fecha 30 de junio del presente año, dictado por el pleno de la COMISIÓN ESTATAL DE GARANTÍA DE ACCESO A LA INFORMACIÓN PÚBLICA DEL ESTADO DE SAN LUIS POTOSÓ en el expediente CEGAIP-PIMA-061/2025, con todas</w:t>
      </w:r>
      <w:r w:rsidR="00964901" w:rsidRPr="00964901">
        <w:rPr>
          <w:rFonts w:ascii="Arial" w:hAnsi="Arial" w:cs="Arial"/>
          <w:sz w:val="20"/>
          <w:szCs w:val="20"/>
          <w:lang w:val="es-419" w:eastAsia="es-MX"/>
        </w:rPr>
        <w:t xml:space="preserve"> sus consecuencias legales.</w:t>
      </w:r>
    </w:p>
    <w:p w14:paraId="7E2FC806" w14:textId="77777777" w:rsidR="000A14CA" w:rsidRPr="00964901" w:rsidRDefault="000A14CA" w:rsidP="00964901">
      <w:pPr>
        <w:spacing w:after="0" w:line="240" w:lineRule="auto"/>
        <w:ind w:left="567" w:right="618"/>
        <w:jc w:val="both"/>
        <w:rPr>
          <w:rFonts w:ascii="Arial" w:hAnsi="Arial" w:cs="Arial"/>
          <w:sz w:val="20"/>
          <w:szCs w:val="20"/>
          <w:lang w:val="es-419" w:eastAsia="es-MX"/>
        </w:rPr>
      </w:pPr>
    </w:p>
    <w:p w14:paraId="0A197C2E" w14:textId="77777777" w:rsidR="00964901" w:rsidRDefault="00964901" w:rsidP="00964901">
      <w:pPr>
        <w:spacing w:after="0" w:line="240" w:lineRule="auto"/>
        <w:ind w:left="567" w:right="618"/>
        <w:jc w:val="both"/>
        <w:rPr>
          <w:rFonts w:ascii="Arial" w:hAnsi="Arial" w:cs="Arial"/>
          <w:sz w:val="20"/>
          <w:szCs w:val="20"/>
          <w:lang w:val="es-419" w:eastAsia="es-MX"/>
        </w:rPr>
      </w:pPr>
      <w:r w:rsidRPr="00964901">
        <w:rPr>
          <w:rFonts w:ascii="Arial" w:hAnsi="Arial" w:cs="Arial"/>
          <w:sz w:val="20"/>
          <w:szCs w:val="20"/>
          <w:lang w:val="es-419" w:eastAsia="es-MX"/>
        </w:rPr>
        <w:t>[…]</w:t>
      </w:r>
    </w:p>
    <w:p w14:paraId="0EBD96B4" w14:textId="77777777" w:rsidR="000A14CA" w:rsidRDefault="000A14CA" w:rsidP="00964901">
      <w:pPr>
        <w:spacing w:after="0" w:line="240" w:lineRule="auto"/>
        <w:ind w:left="567" w:right="618"/>
        <w:jc w:val="both"/>
        <w:rPr>
          <w:rFonts w:ascii="Arial" w:hAnsi="Arial" w:cs="Arial"/>
          <w:sz w:val="20"/>
          <w:szCs w:val="20"/>
          <w:lang w:val="es-419" w:eastAsia="es-MX"/>
        </w:rPr>
      </w:pPr>
    </w:p>
    <w:p w14:paraId="1A4B2E64" w14:textId="77777777" w:rsidR="009359AD" w:rsidRDefault="009359AD" w:rsidP="00964901">
      <w:pPr>
        <w:spacing w:after="0" w:line="240" w:lineRule="auto"/>
        <w:ind w:left="567" w:right="618"/>
        <w:jc w:val="both"/>
        <w:rPr>
          <w:rFonts w:ascii="Arial" w:hAnsi="Arial" w:cs="Arial"/>
          <w:sz w:val="20"/>
          <w:szCs w:val="20"/>
          <w:lang w:val="es-419" w:eastAsia="es-MX"/>
        </w:rPr>
      </w:pPr>
      <w:r>
        <w:rPr>
          <w:rFonts w:ascii="Arial" w:hAnsi="Arial" w:cs="Arial"/>
          <w:sz w:val="20"/>
          <w:szCs w:val="20"/>
          <w:lang w:val="es-419" w:eastAsia="es-MX"/>
        </w:rPr>
        <w:t xml:space="preserve">[…] </w:t>
      </w:r>
      <w:r w:rsidR="00641E6E">
        <w:rPr>
          <w:rFonts w:ascii="Arial" w:hAnsi="Arial" w:cs="Arial"/>
          <w:sz w:val="20"/>
          <w:szCs w:val="20"/>
          <w:lang w:val="es-419" w:eastAsia="es-MX"/>
        </w:rPr>
        <w:t>la propia Comisión Estatal de Garantía de Acceso a la Información Pública del Estado de San Luis Potosí, fundamenta todo su accionar en un acto arbitrario de autoridad que violenta mis derechos, ya que, […]</w:t>
      </w:r>
      <w:r w:rsidR="00D82E74">
        <w:rPr>
          <w:rFonts w:ascii="Arial" w:hAnsi="Arial" w:cs="Arial"/>
          <w:sz w:val="20"/>
          <w:szCs w:val="20"/>
          <w:lang w:val="es-419" w:eastAsia="es-MX"/>
        </w:rPr>
        <w:t xml:space="preserve"> mi representada no es sujeto obligado en materia de transparencia […] incluyó a mi representada en su padrón de sujetos obligados, no obstante haberle hecho ver su necedad, como lo acredito documentalmente, derivando con ello la exigencia de obligaciones en materia de transparencia a las que mi representada no está obligada por carecer de los requisitos que marca el artículo 23 de la Ley de Transparencia y Garantía de Acceso a la Información Pública del Estado de San Luis Potosí […] y que da como resultado el acto cuya nulidad reclamo [….]</w:t>
      </w:r>
    </w:p>
    <w:p w14:paraId="513F723E" w14:textId="77777777" w:rsidR="000A14CA" w:rsidRDefault="000A14CA" w:rsidP="00964901">
      <w:pPr>
        <w:spacing w:after="0" w:line="240" w:lineRule="auto"/>
        <w:ind w:left="567" w:right="618"/>
        <w:jc w:val="both"/>
        <w:rPr>
          <w:rFonts w:ascii="Arial" w:hAnsi="Arial" w:cs="Arial"/>
          <w:sz w:val="20"/>
          <w:szCs w:val="20"/>
          <w:lang w:val="es-419" w:eastAsia="es-MX"/>
        </w:rPr>
      </w:pPr>
    </w:p>
    <w:p w14:paraId="0A0E8C0B" w14:textId="77777777" w:rsidR="00D82E74" w:rsidRDefault="00D82E74" w:rsidP="00964901">
      <w:pPr>
        <w:spacing w:after="0" w:line="240" w:lineRule="auto"/>
        <w:ind w:left="567" w:right="618"/>
        <w:jc w:val="both"/>
        <w:rPr>
          <w:rFonts w:ascii="Arial" w:hAnsi="Arial" w:cs="Arial"/>
          <w:sz w:val="20"/>
          <w:szCs w:val="20"/>
          <w:lang w:val="es-419" w:eastAsia="es-MX"/>
        </w:rPr>
      </w:pPr>
      <w:r>
        <w:rPr>
          <w:rFonts w:ascii="Arial" w:hAnsi="Arial" w:cs="Arial"/>
          <w:sz w:val="20"/>
          <w:szCs w:val="20"/>
          <w:lang w:val="es-419" w:eastAsia="es-MX"/>
        </w:rPr>
        <w:t>[…]</w:t>
      </w:r>
    </w:p>
    <w:p w14:paraId="6B1F3B77" w14:textId="77777777" w:rsidR="000A14CA" w:rsidRDefault="000A14CA" w:rsidP="00964901">
      <w:pPr>
        <w:spacing w:after="0" w:line="240" w:lineRule="auto"/>
        <w:ind w:left="567" w:right="618"/>
        <w:jc w:val="both"/>
        <w:rPr>
          <w:rFonts w:ascii="Arial" w:hAnsi="Arial" w:cs="Arial"/>
          <w:sz w:val="20"/>
          <w:szCs w:val="20"/>
          <w:lang w:val="es-419" w:eastAsia="es-MX"/>
        </w:rPr>
      </w:pPr>
    </w:p>
    <w:p w14:paraId="28392A49" w14:textId="77777777" w:rsidR="00D82E74" w:rsidRPr="00964901" w:rsidRDefault="00D82E74" w:rsidP="00964901">
      <w:pPr>
        <w:spacing w:after="0" w:line="240" w:lineRule="auto"/>
        <w:ind w:left="567" w:right="618"/>
        <w:jc w:val="both"/>
        <w:rPr>
          <w:rFonts w:ascii="Arial" w:hAnsi="Arial" w:cs="Arial"/>
          <w:sz w:val="20"/>
          <w:szCs w:val="20"/>
          <w:lang w:val="es-419" w:eastAsia="es-MX"/>
        </w:rPr>
      </w:pPr>
      <w:r>
        <w:rPr>
          <w:rFonts w:ascii="Arial" w:hAnsi="Arial" w:cs="Arial"/>
          <w:sz w:val="20"/>
          <w:szCs w:val="20"/>
          <w:lang w:val="es-419" w:eastAsia="es-MX"/>
        </w:rPr>
        <w:t xml:space="preserve">[…] </w:t>
      </w:r>
      <w:r w:rsidR="009A3DA1">
        <w:rPr>
          <w:rFonts w:ascii="Arial" w:hAnsi="Arial" w:cs="Arial"/>
          <w:sz w:val="20"/>
          <w:szCs w:val="20"/>
          <w:lang w:val="es-419" w:eastAsia="es-MX"/>
        </w:rPr>
        <w:t>el requerimiento que da origen a la imposición de la medida de apremio no se encuentra […] emitida de manera ilegal y arbitraria […] no obstante […]</w:t>
      </w:r>
      <w:r w:rsidR="00560165">
        <w:rPr>
          <w:rFonts w:ascii="Arial" w:hAnsi="Arial" w:cs="Arial"/>
          <w:sz w:val="20"/>
          <w:szCs w:val="20"/>
          <w:lang w:val="es-419" w:eastAsia="es-MX"/>
        </w:rPr>
        <w:t xml:space="preserve"> </w:t>
      </w:r>
      <w:r w:rsidR="009A3DA1">
        <w:rPr>
          <w:rFonts w:ascii="Arial" w:hAnsi="Arial" w:cs="Arial"/>
          <w:sz w:val="20"/>
          <w:szCs w:val="20"/>
          <w:lang w:val="es-419" w:eastAsia="es-MX"/>
        </w:rPr>
        <w:t xml:space="preserve">la calidad de sujeto no obligado de mi representada […] </w:t>
      </w:r>
    </w:p>
    <w:p w14:paraId="3417F548" w14:textId="77777777" w:rsidR="008B5E9F" w:rsidRDefault="008B5E9F" w:rsidP="00F312F9">
      <w:pPr>
        <w:spacing w:before="120" w:after="120" w:line="360" w:lineRule="auto"/>
        <w:ind w:right="51" w:firstLine="709"/>
        <w:jc w:val="both"/>
        <w:rPr>
          <w:rFonts w:ascii="Arial" w:hAnsi="Arial" w:cs="Arial"/>
          <w:sz w:val="24"/>
          <w:szCs w:val="24"/>
          <w:lang w:val="es-419" w:eastAsia="es-MX"/>
        </w:rPr>
      </w:pPr>
    </w:p>
    <w:p w14:paraId="16299EEE" w14:textId="75749101" w:rsidR="003C4984" w:rsidRDefault="00347CAD" w:rsidP="00F312F9">
      <w:pPr>
        <w:spacing w:before="120" w:after="120" w:line="360" w:lineRule="auto"/>
        <w:ind w:right="51" w:firstLine="709"/>
        <w:jc w:val="both"/>
        <w:rPr>
          <w:rFonts w:ascii="Arial" w:hAnsi="Arial" w:cs="Arial"/>
          <w:sz w:val="24"/>
          <w:szCs w:val="24"/>
          <w:lang w:val="es-419" w:eastAsia="es-MX"/>
        </w:rPr>
      </w:pPr>
      <w:r>
        <w:rPr>
          <w:rFonts w:ascii="Arial" w:hAnsi="Arial" w:cs="Arial"/>
          <w:sz w:val="24"/>
          <w:szCs w:val="24"/>
          <w:lang w:val="es-419" w:eastAsia="es-MX"/>
        </w:rPr>
        <w:t xml:space="preserve">De lo que se desprende que, la parte actora plantea como concepto de impugnación la incompetencia, en razón de la materia, de la Comisión Estatal de Garantía de Acceso a la Información Pública del Estado de San Luis Potosí, al estimar que la </w:t>
      </w:r>
      <w:r w:rsidR="00062DF7">
        <w:rPr>
          <w:rFonts w:ascii="Arial" w:hAnsi="Arial" w:cs="Arial"/>
          <w:b/>
          <w:bCs/>
          <w:color w:val="FF0000"/>
          <w:sz w:val="24"/>
          <w:szCs w:val="24"/>
          <w:lang w:val="es-419" w:eastAsia="es-MX"/>
        </w:rPr>
        <w:t>**************</w:t>
      </w:r>
      <w:r>
        <w:rPr>
          <w:rFonts w:ascii="Arial" w:hAnsi="Arial" w:cs="Arial"/>
          <w:sz w:val="24"/>
          <w:szCs w:val="24"/>
          <w:lang w:val="es-419" w:eastAsia="es-MX"/>
        </w:rPr>
        <w:t>, de la cual es Secretaria General la actora, no es sujeto obligado al no reunir las condiciones establecidas por el artículo 23 de la Ley de Transparencia y Garantía de Acceso a la Información Pública del Estado de San Luis Potosí.</w:t>
      </w:r>
    </w:p>
    <w:p w14:paraId="55C2C6C8" w14:textId="77777777" w:rsidR="003C4984" w:rsidRDefault="003C4984" w:rsidP="00F312F9">
      <w:pPr>
        <w:spacing w:before="120" w:after="120" w:line="360" w:lineRule="auto"/>
        <w:ind w:right="51" w:firstLine="709"/>
        <w:jc w:val="both"/>
        <w:rPr>
          <w:rFonts w:ascii="Arial" w:hAnsi="Arial" w:cs="Arial"/>
          <w:sz w:val="24"/>
          <w:szCs w:val="24"/>
          <w:lang w:val="es-419" w:eastAsia="es-MX"/>
        </w:rPr>
      </w:pPr>
    </w:p>
    <w:p w14:paraId="2C50DAF2" w14:textId="77777777" w:rsidR="00560165" w:rsidRDefault="00560165" w:rsidP="00F312F9">
      <w:pPr>
        <w:spacing w:before="120" w:after="120" w:line="360" w:lineRule="auto"/>
        <w:ind w:right="51" w:firstLine="709"/>
        <w:jc w:val="both"/>
        <w:rPr>
          <w:rFonts w:ascii="Arial" w:hAnsi="Arial" w:cs="Arial"/>
          <w:sz w:val="24"/>
          <w:szCs w:val="24"/>
          <w:lang w:val="es-419" w:eastAsia="es-MX"/>
        </w:rPr>
      </w:pPr>
      <w:r>
        <w:rPr>
          <w:rFonts w:ascii="Arial" w:hAnsi="Arial" w:cs="Arial"/>
          <w:sz w:val="24"/>
          <w:szCs w:val="24"/>
          <w:lang w:val="es-419" w:eastAsia="es-MX"/>
        </w:rPr>
        <w:t xml:space="preserve">Aunado a lo anterior, al ser la competencia de las autoridades administrativas un presupuesto procesal, cuyo estudio es de orden público, </w:t>
      </w:r>
      <w:r w:rsidR="000A14CA">
        <w:rPr>
          <w:rFonts w:ascii="Arial" w:hAnsi="Arial" w:cs="Arial"/>
          <w:sz w:val="24"/>
          <w:szCs w:val="24"/>
          <w:lang w:val="es-419" w:eastAsia="es-MX"/>
        </w:rPr>
        <w:t>esta Tercera Sala Unitaria debe</w:t>
      </w:r>
      <w:r>
        <w:rPr>
          <w:rFonts w:ascii="Arial" w:hAnsi="Arial" w:cs="Arial"/>
          <w:sz w:val="24"/>
          <w:szCs w:val="24"/>
          <w:lang w:val="es-419" w:eastAsia="es-MX"/>
        </w:rPr>
        <w:t xml:space="preserve"> analizar de oficio dicha cuestión, sin distinguir si se trata de la indebida, insuficiente o de la falta de fundamentació</w:t>
      </w:r>
      <w:r w:rsidR="000A14CA">
        <w:rPr>
          <w:rFonts w:ascii="Arial" w:hAnsi="Arial" w:cs="Arial"/>
          <w:sz w:val="24"/>
          <w:szCs w:val="24"/>
          <w:lang w:val="es-419" w:eastAsia="es-MX"/>
        </w:rPr>
        <w:t>n de aquella, como lo establece</w:t>
      </w:r>
      <w:r>
        <w:rPr>
          <w:rFonts w:ascii="Arial" w:hAnsi="Arial" w:cs="Arial"/>
          <w:sz w:val="24"/>
          <w:szCs w:val="24"/>
          <w:lang w:val="es-419" w:eastAsia="es-MX"/>
        </w:rPr>
        <w:t xml:space="preserve"> </w:t>
      </w:r>
      <w:r w:rsidR="000A14CA">
        <w:rPr>
          <w:rFonts w:ascii="Arial" w:hAnsi="Arial" w:cs="Arial"/>
          <w:sz w:val="24"/>
          <w:szCs w:val="24"/>
          <w:lang w:val="es-419" w:eastAsia="es-MX"/>
        </w:rPr>
        <w:t>el</w:t>
      </w:r>
      <w:r>
        <w:rPr>
          <w:rFonts w:ascii="Arial" w:hAnsi="Arial" w:cs="Arial"/>
          <w:sz w:val="24"/>
          <w:szCs w:val="24"/>
          <w:lang w:val="es-419" w:eastAsia="es-MX"/>
        </w:rPr>
        <w:t xml:space="preserve"> artículo </w:t>
      </w:r>
      <w:r w:rsidR="000A14CA">
        <w:rPr>
          <w:rFonts w:ascii="Arial" w:hAnsi="Arial" w:cs="Arial"/>
          <w:sz w:val="24"/>
          <w:szCs w:val="24"/>
          <w:lang w:val="es-419" w:eastAsia="es-MX"/>
        </w:rPr>
        <w:t>250, párrafo segundo, del Código Procesal Administrativo para el Estado de San Luis Potosí.</w:t>
      </w:r>
    </w:p>
    <w:p w14:paraId="34EC4C28" w14:textId="77777777" w:rsidR="000A14CA" w:rsidRDefault="000A14CA" w:rsidP="00F312F9">
      <w:pPr>
        <w:spacing w:before="120" w:after="120" w:line="360" w:lineRule="auto"/>
        <w:ind w:right="51" w:firstLine="709"/>
        <w:jc w:val="both"/>
        <w:rPr>
          <w:rFonts w:ascii="Arial" w:hAnsi="Arial" w:cs="Arial"/>
          <w:sz w:val="24"/>
          <w:szCs w:val="24"/>
          <w:lang w:val="es-419" w:eastAsia="es-MX"/>
        </w:rPr>
      </w:pPr>
    </w:p>
    <w:p w14:paraId="683276FE" w14:textId="77777777" w:rsidR="000A14CA" w:rsidRDefault="000A14CA" w:rsidP="00F312F9">
      <w:pPr>
        <w:spacing w:before="120" w:after="120" w:line="360" w:lineRule="auto"/>
        <w:ind w:right="51" w:firstLine="709"/>
        <w:jc w:val="both"/>
        <w:rPr>
          <w:rFonts w:ascii="Arial" w:hAnsi="Arial" w:cs="Arial"/>
          <w:sz w:val="24"/>
          <w:szCs w:val="24"/>
          <w:lang w:val="es-419" w:eastAsia="es-MX"/>
        </w:rPr>
      </w:pPr>
      <w:r>
        <w:rPr>
          <w:rFonts w:ascii="Arial" w:hAnsi="Arial" w:cs="Arial"/>
          <w:sz w:val="24"/>
          <w:szCs w:val="24"/>
          <w:lang w:val="es-419" w:eastAsia="es-MX"/>
        </w:rPr>
        <w:t>Sirve de apoyo a lo anterior, el criterio reflejado en la jurisprudencia que se transcribe:</w:t>
      </w:r>
    </w:p>
    <w:p w14:paraId="730BCDA8" w14:textId="77777777" w:rsidR="00560165" w:rsidRDefault="00560165" w:rsidP="00F312F9">
      <w:pPr>
        <w:spacing w:before="120" w:after="120" w:line="360" w:lineRule="auto"/>
        <w:ind w:right="51" w:firstLine="709"/>
        <w:jc w:val="both"/>
        <w:rPr>
          <w:rFonts w:ascii="Arial" w:hAnsi="Arial" w:cs="Arial"/>
          <w:sz w:val="24"/>
          <w:szCs w:val="24"/>
          <w:lang w:val="es-419" w:eastAsia="es-MX"/>
        </w:rPr>
      </w:pPr>
    </w:p>
    <w:p w14:paraId="26DD88A4"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b/>
          <w:sz w:val="20"/>
          <w:szCs w:val="20"/>
          <w:lang w:val="es-419" w:eastAsia="es-MX"/>
        </w:rPr>
        <w:t>Registro digital:</w:t>
      </w:r>
      <w:r w:rsidRPr="00560165">
        <w:rPr>
          <w:rFonts w:ascii="Arial" w:hAnsi="Arial" w:cs="Arial"/>
          <w:sz w:val="20"/>
          <w:szCs w:val="20"/>
          <w:lang w:val="es-419" w:eastAsia="es-MX"/>
        </w:rPr>
        <w:t xml:space="preserve"> 170827</w:t>
      </w:r>
    </w:p>
    <w:p w14:paraId="1BCFB08E"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Instancia: Segunda Sala</w:t>
      </w:r>
    </w:p>
    <w:p w14:paraId="09B4FB2D"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Novena Época</w:t>
      </w:r>
    </w:p>
    <w:p w14:paraId="7F149AAD"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Materias(s): Administrativa</w:t>
      </w:r>
    </w:p>
    <w:p w14:paraId="547EDAEE"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Tesis: 2a./J. 218/2007</w:t>
      </w:r>
    </w:p>
    <w:p w14:paraId="21A1AE82"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Fuente: Semanario Judicial de la Federación y su Gaceta. Tomo XXVI, Diciembre de 2007, página 154</w:t>
      </w:r>
    </w:p>
    <w:p w14:paraId="52B08718"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sz w:val="20"/>
          <w:szCs w:val="20"/>
          <w:lang w:val="es-419" w:eastAsia="es-MX"/>
        </w:rPr>
        <w:t>Tipo: Jurisprudencia</w:t>
      </w:r>
    </w:p>
    <w:p w14:paraId="593B83B3"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p>
    <w:p w14:paraId="5B385E04" w14:textId="77777777" w:rsidR="00560165" w:rsidRPr="00560165" w:rsidRDefault="00560165" w:rsidP="00560165">
      <w:pPr>
        <w:spacing w:after="0" w:line="240" w:lineRule="auto"/>
        <w:ind w:left="567" w:right="618"/>
        <w:jc w:val="both"/>
        <w:rPr>
          <w:rFonts w:ascii="Arial" w:hAnsi="Arial" w:cs="Arial"/>
          <w:sz w:val="20"/>
          <w:szCs w:val="20"/>
          <w:lang w:val="es-419" w:eastAsia="es-MX"/>
        </w:rPr>
      </w:pPr>
      <w:r w:rsidRPr="00560165">
        <w:rPr>
          <w:rFonts w:ascii="Arial" w:hAnsi="Arial" w:cs="Arial"/>
          <w:b/>
          <w:sz w:val="20"/>
          <w:szCs w:val="20"/>
          <w:lang w:val="es-419" w:eastAsia="es-MX"/>
        </w:rPr>
        <w:t xml:space="preserve">COMPETENCIA. SU ESTUDIO OFICIOSO RESPECTO DE LA AUTORIDAD DEMANDADA EN EL JUICIO CONTENCIOSO ADMINISTRATIVO, DEBE SER ANALIZADA POR LAS SALAS DEL TRIBUNAL FEDERAL DE JUSTICIA FISCAL Y ADMINISTRATIVA.   </w:t>
      </w:r>
      <w:r w:rsidRPr="00560165">
        <w:rPr>
          <w:rFonts w:ascii="Arial" w:hAnsi="Arial" w:cs="Arial"/>
          <w:sz w:val="20"/>
          <w:szCs w:val="20"/>
          <w:lang w:val="es-419" w:eastAsia="es-MX"/>
        </w:rPr>
        <w:t xml:space="preserve">El artículo 238, penúltimo párrafo, del Código Fiscal de la Federación y su correlativo 51, penúltimo párrafo, de la Ley Federal de Procedimiento Contencioso Administrativo, establece que ese Tribunal podrá hacer valer de oficio, por ser de orden público, la incompetencia de la autoridad para dictar la resolución impugnada. Al respecto debe decirse que ese estudio implica todo lo relacionado con la competencia de la autoridad, supuesto en el cual se incluye tanto la ausencia de fundamentación de la competencia, como la indebida o insuficiente fundamentación de la misma, en virtud de que al tratarse de una facultad oficiosa, las Salas fiscales de cualquier modo entrarán al examen de las facultades de la autoridad para emitir el acto de molestia; lo anterior con independencia de que exista o no agravio del afectado, o bien, de que invoque incompetencia o simplemente argumente una </w:t>
      </w:r>
      <w:r w:rsidRPr="00560165">
        <w:rPr>
          <w:rFonts w:ascii="Arial" w:hAnsi="Arial" w:cs="Arial"/>
          <w:sz w:val="20"/>
          <w:szCs w:val="20"/>
          <w:lang w:val="es-419" w:eastAsia="es-MX"/>
        </w:rPr>
        <w:lastRenderedPageBreak/>
        <w:t>indebida, insuficiente o deficiente fundamentación de la competencia. Cabe agregar que en el caso de que las Salas fiscales estimen que la autoridad administrativa es incompetente, su pronunciamiento en ese sentido será indispensable, porque ello constituirá causa de nulidad de la resolución impugnada; sin embargo, si considera que la autoridad es competente, esto no quiere decir que dicha autoridad jurisdiccional necesariamente deba pronunciarse al respecto en los fallos que emita, pues el no pronunciamiento expreso, simplemente es indicativo de que estimó que la autoridad demandada sí tenía competencia para emitir la resolución o acto impugnado en el juicio de nulidad.</w:t>
      </w:r>
    </w:p>
    <w:p w14:paraId="1C7BA030" w14:textId="77777777" w:rsidR="00560165" w:rsidRDefault="00560165" w:rsidP="00560165">
      <w:pPr>
        <w:spacing w:before="120" w:after="120" w:line="360" w:lineRule="auto"/>
        <w:ind w:right="51" w:firstLine="709"/>
        <w:jc w:val="both"/>
        <w:rPr>
          <w:rFonts w:ascii="Arial" w:hAnsi="Arial" w:cs="Arial"/>
          <w:sz w:val="24"/>
          <w:szCs w:val="24"/>
          <w:lang w:val="es-419" w:eastAsia="es-MX"/>
        </w:rPr>
      </w:pPr>
    </w:p>
    <w:p w14:paraId="4DBD1805" w14:textId="77777777" w:rsidR="000A14CA" w:rsidRDefault="00F312F9" w:rsidP="00F312F9">
      <w:pPr>
        <w:spacing w:before="120" w:after="120" w:line="360" w:lineRule="auto"/>
        <w:ind w:right="51" w:firstLine="709"/>
        <w:jc w:val="both"/>
        <w:rPr>
          <w:rFonts w:ascii="Arial" w:hAnsi="Arial" w:cs="Arial"/>
          <w:sz w:val="24"/>
          <w:szCs w:val="24"/>
          <w:lang w:val="es-419" w:eastAsia="es-MX"/>
        </w:rPr>
      </w:pPr>
      <w:r>
        <w:rPr>
          <w:rFonts w:ascii="Arial" w:hAnsi="Arial" w:cs="Arial"/>
          <w:sz w:val="24"/>
          <w:szCs w:val="24"/>
          <w:lang w:val="es-419" w:eastAsia="es-MX"/>
        </w:rPr>
        <w:t xml:space="preserve">Por lo que se procede a estudiar el </w:t>
      </w:r>
      <w:r w:rsidRPr="002B3EBD">
        <w:rPr>
          <w:rFonts w:ascii="Arial" w:hAnsi="Arial" w:cs="Arial"/>
          <w:sz w:val="24"/>
          <w:szCs w:val="24"/>
          <w:lang w:val="es-419" w:eastAsia="es-MX"/>
        </w:rPr>
        <w:t xml:space="preserve">concepto de impugnación que hace valer </w:t>
      </w:r>
      <w:r>
        <w:rPr>
          <w:rFonts w:ascii="Arial" w:hAnsi="Arial" w:cs="Arial"/>
          <w:sz w:val="24"/>
          <w:szCs w:val="24"/>
          <w:lang w:val="es-419" w:eastAsia="es-MX"/>
        </w:rPr>
        <w:t>la parte actora</w:t>
      </w:r>
      <w:r w:rsidRPr="002B3EBD">
        <w:rPr>
          <w:rFonts w:ascii="Arial" w:hAnsi="Arial" w:cs="Arial"/>
          <w:sz w:val="24"/>
          <w:szCs w:val="24"/>
          <w:lang w:val="es-419" w:eastAsia="es-MX"/>
        </w:rPr>
        <w:t xml:space="preserve"> en su escrito inicial de demanda</w:t>
      </w:r>
      <w:r>
        <w:rPr>
          <w:rFonts w:ascii="Arial" w:hAnsi="Arial" w:cs="Arial"/>
          <w:sz w:val="24"/>
          <w:szCs w:val="24"/>
          <w:lang w:val="es-419" w:eastAsia="es-MX"/>
        </w:rPr>
        <w:t xml:space="preserve">, </w:t>
      </w:r>
      <w:r w:rsidR="000A14CA">
        <w:rPr>
          <w:rFonts w:ascii="Arial" w:hAnsi="Arial" w:cs="Arial"/>
          <w:sz w:val="24"/>
          <w:szCs w:val="24"/>
          <w:lang w:val="es-419" w:eastAsia="es-MX"/>
        </w:rPr>
        <w:t>sobre la incompetencia por razón de la materia de la autoridad demandada.</w:t>
      </w:r>
    </w:p>
    <w:p w14:paraId="6A4F55B3" w14:textId="77777777" w:rsidR="000062CC" w:rsidRDefault="000062CC" w:rsidP="00DE6732">
      <w:pPr>
        <w:spacing w:after="0" w:line="360" w:lineRule="auto"/>
        <w:ind w:firstLine="709"/>
        <w:jc w:val="both"/>
        <w:rPr>
          <w:rFonts w:ascii="Arial" w:eastAsia="Arial Unicode MS" w:hAnsi="Arial" w:cs="Arial"/>
          <w:sz w:val="24"/>
          <w:szCs w:val="24"/>
        </w:rPr>
      </w:pPr>
    </w:p>
    <w:p w14:paraId="0097A4B9" w14:textId="77777777" w:rsidR="000E4236" w:rsidRDefault="00F47EE7"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 xml:space="preserve">A juicio de esta Sala Unitaria, el concepto de impugnación en estudio es </w:t>
      </w:r>
      <w:r>
        <w:rPr>
          <w:rFonts w:ascii="Arial" w:hAnsi="Arial" w:cs="Arial"/>
          <w:b/>
          <w:sz w:val="24"/>
          <w:szCs w:val="24"/>
          <w:lang w:eastAsia="es-MX"/>
        </w:rPr>
        <w:t>substancialmente fundado</w:t>
      </w:r>
      <w:r>
        <w:rPr>
          <w:rFonts w:ascii="Arial" w:hAnsi="Arial" w:cs="Arial"/>
          <w:sz w:val="24"/>
          <w:szCs w:val="24"/>
          <w:lang w:eastAsia="es-MX"/>
        </w:rPr>
        <w:t xml:space="preserve"> y por lo tanto, </w:t>
      </w:r>
      <w:r>
        <w:rPr>
          <w:rFonts w:ascii="Arial" w:hAnsi="Arial" w:cs="Arial"/>
          <w:b/>
          <w:sz w:val="24"/>
          <w:szCs w:val="24"/>
          <w:lang w:eastAsia="es-MX"/>
        </w:rPr>
        <w:t>suficiente</w:t>
      </w:r>
      <w:r>
        <w:rPr>
          <w:rFonts w:ascii="Arial" w:hAnsi="Arial" w:cs="Arial"/>
          <w:sz w:val="24"/>
          <w:szCs w:val="24"/>
          <w:lang w:eastAsia="es-MX"/>
        </w:rPr>
        <w:t xml:space="preserve"> para declarar la </w:t>
      </w:r>
      <w:r w:rsidRPr="00E14279">
        <w:rPr>
          <w:rFonts w:ascii="Arial" w:hAnsi="Arial" w:cs="Arial"/>
          <w:b/>
          <w:sz w:val="24"/>
          <w:szCs w:val="24"/>
          <w:lang w:eastAsia="es-MX"/>
        </w:rPr>
        <w:t>nulidad</w:t>
      </w:r>
      <w:r w:rsidR="0088214D">
        <w:rPr>
          <w:rFonts w:ascii="Arial" w:hAnsi="Arial" w:cs="Arial"/>
          <w:b/>
          <w:sz w:val="24"/>
          <w:szCs w:val="24"/>
          <w:lang w:eastAsia="es-MX"/>
        </w:rPr>
        <w:t xml:space="preserve"> lisa y llana</w:t>
      </w:r>
      <w:r w:rsidRPr="00E14279">
        <w:rPr>
          <w:rFonts w:ascii="Arial" w:hAnsi="Arial" w:cs="Arial"/>
          <w:b/>
          <w:sz w:val="24"/>
          <w:szCs w:val="24"/>
          <w:lang w:eastAsia="es-MX"/>
        </w:rPr>
        <w:t xml:space="preserve"> </w:t>
      </w:r>
      <w:r>
        <w:rPr>
          <w:rFonts w:ascii="Arial" w:hAnsi="Arial" w:cs="Arial"/>
          <w:sz w:val="24"/>
          <w:szCs w:val="24"/>
          <w:lang w:eastAsia="es-MX"/>
        </w:rPr>
        <w:t>del acto impugnado; por las siguientes consideraciones legales.</w:t>
      </w:r>
    </w:p>
    <w:p w14:paraId="549707E0" w14:textId="77777777" w:rsidR="00A05FB5" w:rsidRDefault="00A05FB5" w:rsidP="00DE6732">
      <w:pPr>
        <w:spacing w:after="0" w:line="360" w:lineRule="auto"/>
        <w:ind w:firstLine="709"/>
        <w:jc w:val="both"/>
        <w:rPr>
          <w:rFonts w:ascii="Arial" w:eastAsia="Arial Unicode MS" w:hAnsi="Arial" w:cs="Arial"/>
          <w:sz w:val="24"/>
          <w:szCs w:val="24"/>
        </w:rPr>
      </w:pPr>
    </w:p>
    <w:p w14:paraId="4115FED5" w14:textId="77777777" w:rsidR="00A67F19" w:rsidRDefault="00A67F19" w:rsidP="00A67F19">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El párrafo primero del artículo 16 de la Constitución Política de los Estados Unidos Mexicanos, establece terminantemente:</w:t>
      </w:r>
    </w:p>
    <w:p w14:paraId="03DE0A3F" w14:textId="77777777" w:rsidR="00A05FB5" w:rsidRDefault="00A05FB5" w:rsidP="00A67F19">
      <w:pPr>
        <w:spacing w:before="120" w:after="120" w:line="360" w:lineRule="auto"/>
        <w:ind w:right="51" w:firstLine="709"/>
        <w:jc w:val="both"/>
        <w:rPr>
          <w:rFonts w:ascii="Arial" w:hAnsi="Arial" w:cs="Arial"/>
          <w:sz w:val="24"/>
          <w:szCs w:val="24"/>
          <w:lang w:eastAsia="es-MX"/>
        </w:rPr>
      </w:pPr>
    </w:p>
    <w:p w14:paraId="783BD6B2" w14:textId="77777777" w:rsidR="00A67F19" w:rsidRPr="008C431B" w:rsidRDefault="00A67F19" w:rsidP="00A67F19">
      <w:pPr>
        <w:spacing w:after="0" w:line="240" w:lineRule="auto"/>
        <w:ind w:left="567" w:right="618"/>
        <w:jc w:val="both"/>
        <w:rPr>
          <w:rFonts w:ascii="Arial" w:hAnsi="Arial" w:cs="Arial"/>
          <w:sz w:val="20"/>
          <w:szCs w:val="20"/>
          <w:lang w:eastAsia="es-MX"/>
        </w:rPr>
      </w:pPr>
      <w:r w:rsidRPr="008C431B">
        <w:rPr>
          <w:rFonts w:ascii="Arial" w:hAnsi="Arial" w:cs="Arial"/>
          <w:b/>
          <w:sz w:val="20"/>
          <w:szCs w:val="20"/>
        </w:rPr>
        <w:t>Artículo 16.</w:t>
      </w:r>
      <w:r w:rsidRPr="008C431B">
        <w:rPr>
          <w:rFonts w:ascii="Arial" w:hAnsi="Arial" w:cs="Arial"/>
          <w:sz w:val="20"/>
          <w:szCs w:val="20"/>
        </w:rPr>
        <w:t xml:space="preserve"> 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w:t>
      </w:r>
    </w:p>
    <w:p w14:paraId="2AA85344" w14:textId="77777777" w:rsidR="00A67F19" w:rsidRDefault="00A67F19" w:rsidP="00A67F19">
      <w:pPr>
        <w:spacing w:before="120" w:after="120" w:line="360" w:lineRule="auto"/>
        <w:ind w:right="51" w:firstLine="709"/>
        <w:jc w:val="both"/>
        <w:rPr>
          <w:rFonts w:ascii="Arial" w:hAnsi="Arial" w:cs="Arial"/>
          <w:sz w:val="24"/>
          <w:szCs w:val="24"/>
          <w:lang w:eastAsia="es-MX"/>
        </w:rPr>
      </w:pPr>
    </w:p>
    <w:p w14:paraId="168F2110"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r w:rsidRPr="00805F61">
        <w:rPr>
          <w:rFonts w:ascii="Arial" w:hAnsi="Arial" w:cs="Arial"/>
          <w:sz w:val="24"/>
          <w:szCs w:val="24"/>
          <w:lang w:eastAsia="es-MX"/>
        </w:rPr>
        <w:t>El citado precepto consagra lo que la doctrina jurídica ha denominado principio de legalidad, consistente en que las autoridades sólo pueden actuar cuando la ley se los permite, en la forma y los términos determinados</w:t>
      </w:r>
      <w:r w:rsidR="00952F5D">
        <w:rPr>
          <w:rFonts w:ascii="Arial" w:hAnsi="Arial" w:cs="Arial"/>
          <w:sz w:val="24"/>
          <w:szCs w:val="24"/>
          <w:lang w:eastAsia="es-MX"/>
        </w:rPr>
        <w:t xml:space="preserve"> </w:t>
      </w:r>
      <w:r w:rsidRPr="00805F61">
        <w:rPr>
          <w:rFonts w:ascii="Arial" w:hAnsi="Arial" w:cs="Arial"/>
          <w:sz w:val="24"/>
          <w:szCs w:val="24"/>
          <w:lang w:eastAsia="es-MX"/>
        </w:rPr>
        <w:t xml:space="preserve">por ella, lo cual, traducido a su aspecto imperativo, radica en que sólo pueden hacer lo que la ley </w:t>
      </w:r>
      <w:r w:rsidR="00952F5D">
        <w:rPr>
          <w:rFonts w:ascii="Arial" w:hAnsi="Arial" w:cs="Arial"/>
          <w:sz w:val="24"/>
          <w:szCs w:val="24"/>
          <w:lang w:eastAsia="es-MX"/>
        </w:rPr>
        <w:t>expresamente</w:t>
      </w:r>
      <w:r w:rsidR="00952F5D" w:rsidRPr="00805F61">
        <w:rPr>
          <w:rFonts w:ascii="Arial" w:hAnsi="Arial" w:cs="Arial"/>
          <w:sz w:val="24"/>
          <w:szCs w:val="24"/>
          <w:lang w:eastAsia="es-MX"/>
        </w:rPr>
        <w:t xml:space="preserve"> </w:t>
      </w:r>
      <w:r w:rsidRPr="00805F61">
        <w:rPr>
          <w:rFonts w:ascii="Arial" w:hAnsi="Arial" w:cs="Arial"/>
          <w:sz w:val="24"/>
          <w:szCs w:val="24"/>
          <w:lang w:eastAsia="es-MX"/>
        </w:rPr>
        <w:t>les permite.</w:t>
      </w:r>
    </w:p>
    <w:p w14:paraId="0BF40FA0"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p>
    <w:p w14:paraId="2D081211"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r w:rsidRPr="00805F61">
        <w:rPr>
          <w:rFonts w:ascii="Arial" w:hAnsi="Arial" w:cs="Arial"/>
          <w:sz w:val="24"/>
          <w:szCs w:val="24"/>
          <w:lang w:eastAsia="es-MX"/>
        </w:rPr>
        <w:t>En efecto, es válido concluir que el derecho de legalidad, constituye un mandamiento supremo para que toda autoridad al emitir los actos que trasciendan a la esfera jurídica de los particulares, los funde y motive suficientemente.</w:t>
      </w:r>
    </w:p>
    <w:p w14:paraId="29A9DEB5" w14:textId="77777777" w:rsidR="00A67F19" w:rsidRDefault="00A67F19" w:rsidP="00A67F19">
      <w:pPr>
        <w:spacing w:before="120" w:after="120" w:line="360" w:lineRule="auto"/>
        <w:ind w:right="51" w:firstLine="709"/>
        <w:jc w:val="both"/>
        <w:rPr>
          <w:rFonts w:ascii="Arial" w:hAnsi="Arial" w:cs="Arial"/>
          <w:sz w:val="24"/>
          <w:szCs w:val="24"/>
          <w:lang w:eastAsia="es-MX"/>
        </w:rPr>
      </w:pPr>
    </w:p>
    <w:p w14:paraId="74D198FF" w14:textId="77777777" w:rsidR="006E4E23" w:rsidRDefault="006E4E23" w:rsidP="00A67F19">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lastRenderedPageBreak/>
        <w:t>Del texto del artículo 16 de la Constitución Federal transcrito, s</w:t>
      </w:r>
      <w:r w:rsidRPr="006E4E23">
        <w:rPr>
          <w:rFonts w:ascii="Arial" w:hAnsi="Arial" w:cs="Arial"/>
          <w:sz w:val="24"/>
          <w:szCs w:val="24"/>
          <w:lang w:eastAsia="es-MX"/>
        </w:rPr>
        <w:t xml:space="preserve">e observa que toda autoridad que emita un acto de molestia en la esfera jurídica del gobernado, debe respetar ante todo la garantía de legalidad que pone a salvo al gobernado de todo acto arbitrario. </w:t>
      </w:r>
      <w:r w:rsidR="00952F5D">
        <w:rPr>
          <w:rFonts w:ascii="Arial" w:hAnsi="Arial" w:cs="Arial"/>
          <w:sz w:val="24"/>
          <w:szCs w:val="24"/>
          <w:lang w:eastAsia="es-MX"/>
        </w:rPr>
        <w:t xml:space="preserve">  </w:t>
      </w:r>
      <w:r w:rsidRPr="006E4E23">
        <w:rPr>
          <w:rFonts w:ascii="Arial" w:hAnsi="Arial" w:cs="Arial"/>
          <w:sz w:val="24"/>
          <w:szCs w:val="24"/>
          <w:lang w:eastAsia="es-MX"/>
        </w:rPr>
        <w:t>De</w:t>
      </w:r>
      <w:r w:rsidR="00952F5D">
        <w:rPr>
          <w:rFonts w:ascii="Arial" w:hAnsi="Arial" w:cs="Arial"/>
          <w:sz w:val="24"/>
          <w:szCs w:val="24"/>
          <w:lang w:eastAsia="es-MX"/>
        </w:rPr>
        <w:t>l citado precepto constitucional</w:t>
      </w:r>
      <w:r w:rsidRPr="006E4E23">
        <w:rPr>
          <w:rFonts w:ascii="Arial" w:hAnsi="Arial" w:cs="Arial"/>
          <w:sz w:val="24"/>
          <w:szCs w:val="24"/>
          <w:lang w:eastAsia="es-MX"/>
        </w:rPr>
        <w:t xml:space="preserve"> se advierte que</w:t>
      </w:r>
      <w:r w:rsidR="00952F5D">
        <w:rPr>
          <w:rFonts w:ascii="Arial" w:hAnsi="Arial" w:cs="Arial"/>
          <w:sz w:val="24"/>
          <w:szCs w:val="24"/>
          <w:lang w:eastAsia="es-MX"/>
        </w:rPr>
        <w:t>,</w:t>
      </w:r>
      <w:r w:rsidRPr="006E4E23">
        <w:rPr>
          <w:rFonts w:ascii="Arial" w:hAnsi="Arial" w:cs="Arial"/>
          <w:sz w:val="24"/>
          <w:szCs w:val="24"/>
          <w:lang w:eastAsia="es-MX"/>
        </w:rPr>
        <w:t xml:space="preserve"> entre los requisitos que debe contener un acto de molestia, a fin de ajustarse a los lineamientos constitucionales, son:</w:t>
      </w:r>
      <w:r w:rsidR="00952F5D">
        <w:rPr>
          <w:rFonts w:ascii="Arial" w:hAnsi="Arial" w:cs="Arial"/>
          <w:sz w:val="24"/>
          <w:szCs w:val="24"/>
          <w:lang w:eastAsia="es-MX"/>
        </w:rPr>
        <w:t xml:space="preserve"> </w:t>
      </w:r>
      <w:r w:rsidR="00952F5D">
        <w:rPr>
          <w:rFonts w:ascii="Arial" w:hAnsi="Arial" w:cs="Arial"/>
          <w:b/>
          <w:sz w:val="24"/>
          <w:szCs w:val="24"/>
          <w:lang w:eastAsia="es-MX"/>
        </w:rPr>
        <w:t>a)</w:t>
      </w:r>
      <w:r w:rsidR="00952F5D">
        <w:rPr>
          <w:rFonts w:ascii="Arial" w:hAnsi="Arial" w:cs="Arial"/>
          <w:sz w:val="24"/>
          <w:szCs w:val="24"/>
          <w:lang w:eastAsia="es-MX"/>
        </w:rPr>
        <w:t xml:space="preserve"> el acto </w:t>
      </w:r>
      <w:r w:rsidRPr="006E4E23">
        <w:rPr>
          <w:rFonts w:ascii="Arial" w:hAnsi="Arial" w:cs="Arial"/>
          <w:sz w:val="24"/>
          <w:szCs w:val="24"/>
          <w:lang w:eastAsia="es-MX"/>
        </w:rPr>
        <w:t xml:space="preserve">debe adoptar la forma por escrito; </w:t>
      </w:r>
      <w:r w:rsidR="00952F5D">
        <w:rPr>
          <w:rFonts w:ascii="Arial" w:hAnsi="Arial" w:cs="Arial"/>
          <w:b/>
          <w:sz w:val="24"/>
          <w:szCs w:val="24"/>
          <w:lang w:eastAsia="es-MX"/>
        </w:rPr>
        <w:t>b</w:t>
      </w:r>
      <w:r w:rsidRPr="006E4E23">
        <w:rPr>
          <w:rFonts w:ascii="Arial" w:hAnsi="Arial" w:cs="Arial"/>
          <w:b/>
          <w:sz w:val="24"/>
          <w:szCs w:val="24"/>
          <w:lang w:eastAsia="es-MX"/>
        </w:rPr>
        <w:t>)</w:t>
      </w:r>
      <w:r w:rsidRPr="006E4E23">
        <w:rPr>
          <w:rFonts w:ascii="Arial" w:hAnsi="Arial" w:cs="Arial"/>
          <w:sz w:val="24"/>
          <w:szCs w:val="24"/>
          <w:lang w:eastAsia="es-MX"/>
        </w:rPr>
        <w:t xml:space="preserve"> el acto debe estar fundado; </w:t>
      </w:r>
      <w:r w:rsidR="00952F5D">
        <w:rPr>
          <w:rFonts w:ascii="Arial" w:hAnsi="Arial" w:cs="Arial"/>
          <w:b/>
          <w:sz w:val="24"/>
          <w:szCs w:val="24"/>
          <w:lang w:eastAsia="es-MX"/>
        </w:rPr>
        <w:t>c</w:t>
      </w:r>
      <w:r w:rsidR="00952F5D" w:rsidRPr="006E4E23">
        <w:rPr>
          <w:rFonts w:ascii="Arial" w:hAnsi="Arial" w:cs="Arial"/>
          <w:b/>
          <w:sz w:val="24"/>
          <w:szCs w:val="24"/>
          <w:lang w:eastAsia="es-MX"/>
        </w:rPr>
        <w:t>) el</w:t>
      </w:r>
      <w:r w:rsidR="00952F5D" w:rsidRPr="006E4E23">
        <w:rPr>
          <w:rFonts w:ascii="Arial" w:hAnsi="Arial" w:cs="Arial"/>
          <w:sz w:val="24"/>
          <w:szCs w:val="24"/>
          <w:lang w:eastAsia="es-MX"/>
        </w:rPr>
        <w:t xml:space="preserve"> acto debe estar motivado</w:t>
      </w:r>
      <w:r w:rsidR="00952F5D">
        <w:rPr>
          <w:rFonts w:ascii="Arial" w:hAnsi="Arial" w:cs="Arial"/>
          <w:sz w:val="24"/>
          <w:szCs w:val="24"/>
          <w:lang w:eastAsia="es-MX"/>
        </w:rPr>
        <w:t xml:space="preserve">, y; </w:t>
      </w:r>
      <w:r w:rsidR="00952F5D">
        <w:rPr>
          <w:rFonts w:ascii="Arial" w:hAnsi="Arial" w:cs="Arial"/>
          <w:b/>
          <w:sz w:val="24"/>
          <w:szCs w:val="24"/>
          <w:lang w:eastAsia="es-MX"/>
        </w:rPr>
        <w:t>d</w:t>
      </w:r>
      <w:r w:rsidR="00952F5D" w:rsidRPr="006E4E23">
        <w:rPr>
          <w:rFonts w:ascii="Arial" w:hAnsi="Arial" w:cs="Arial"/>
          <w:b/>
          <w:sz w:val="24"/>
          <w:szCs w:val="24"/>
          <w:lang w:eastAsia="es-MX"/>
        </w:rPr>
        <w:t>)</w:t>
      </w:r>
      <w:r w:rsidR="00952F5D" w:rsidRPr="006E4E23">
        <w:rPr>
          <w:rFonts w:ascii="Arial" w:hAnsi="Arial" w:cs="Arial"/>
          <w:sz w:val="24"/>
          <w:szCs w:val="24"/>
          <w:lang w:eastAsia="es-MX"/>
        </w:rPr>
        <w:t xml:space="preserve"> </w:t>
      </w:r>
      <w:r w:rsidR="00952F5D">
        <w:rPr>
          <w:rFonts w:ascii="Arial" w:hAnsi="Arial" w:cs="Arial"/>
          <w:sz w:val="24"/>
          <w:szCs w:val="24"/>
          <w:lang w:eastAsia="es-MX"/>
        </w:rPr>
        <w:t>e</w:t>
      </w:r>
      <w:r w:rsidR="00952F5D" w:rsidRPr="006E4E23">
        <w:rPr>
          <w:rFonts w:ascii="Arial" w:hAnsi="Arial" w:cs="Arial"/>
          <w:sz w:val="24"/>
          <w:szCs w:val="24"/>
          <w:lang w:eastAsia="es-MX"/>
        </w:rPr>
        <w:t>l acto</w:t>
      </w:r>
      <w:r w:rsidR="00952F5D">
        <w:rPr>
          <w:rFonts w:ascii="Arial" w:hAnsi="Arial" w:cs="Arial"/>
          <w:sz w:val="24"/>
          <w:szCs w:val="24"/>
          <w:lang w:eastAsia="es-MX"/>
        </w:rPr>
        <w:t xml:space="preserve"> debe emanar de autoridad competente</w:t>
      </w:r>
      <w:r w:rsidRPr="006E4E23">
        <w:rPr>
          <w:rFonts w:ascii="Arial" w:hAnsi="Arial" w:cs="Arial"/>
          <w:sz w:val="24"/>
          <w:szCs w:val="24"/>
          <w:lang w:eastAsia="es-MX"/>
        </w:rPr>
        <w:t>.</w:t>
      </w:r>
    </w:p>
    <w:p w14:paraId="27E76746" w14:textId="77777777" w:rsidR="006E4E23" w:rsidRDefault="006E4E23" w:rsidP="00A67F19">
      <w:pPr>
        <w:spacing w:before="120" w:after="120" w:line="360" w:lineRule="auto"/>
        <w:ind w:right="51" w:firstLine="709"/>
        <w:jc w:val="both"/>
        <w:rPr>
          <w:rFonts w:ascii="Arial" w:hAnsi="Arial" w:cs="Arial"/>
          <w:sz w:val="24"/>
          <w:szCs w:val="24"/>
          <w:lang w:eastAsia="es-MX"/>
        </w:rPr>
      </w:pPr>
    </w:p>
    <w:p w14:paraId="7371ACFC" w14:textId="77777777" w:rsidR="006E4E23" w:rsidRDefault="006E4E23" w:rsidP="00A67F19">
      <w:pPr>
        <w:spacing w:before="120" w:after="120" w:line="360" w:lineRule="auto"/>
        <w:ind w:right="51" w:firstLine="709"/>
        <w:jc w:val="both"/>
        <w:rPr>
          <w:rFonts w:ascii="Arial" w:hAnsi="Arial" w:cs="Arial"/>
          <w:sz w:val="24"/>
          <w:szCs w:val="24"/>
          <w:lang w:eastAsia="es-MX"/>
        </w:rPr>
      </w:pPr>
      <w:r w:rsidRPr="006E4E23">
        <w:rPr>
          <w:rFonts w:ascii="Arial" w:hAnsi="Arial" w:cs="Arial"/>
          <w:sz w:val="24"/>
          <w:szCs w:val="24"/>
          <w:lang w:eastAsia="es-MX"/>
        </w:rPr>
        <w:t>La primera condición que debe satisfacer el acto de autoridad es que debe constar por escrito, la cual es una condición esencial para que pueda haber certeza sobre la existencia del acto y para que el afectado pueda conocer con precisión de qué autoridad proviene y cuál es su contenido y consecuencias jurídicas.</w:t>
      </w:r>
    </w:p>
    <w:p w14:paraId="6B064777" w14:textId="77777777" w:rsidR="006E4E23" w:rsidRDefault="006E4E23" w:rsidP="00A67F19">
      <w:pPr>
        <w:spacing w:before="120" w:after="120" w:line="360" w:lineRule="auto"/>
        <w:ind w:right="51" w:firstLine="709"/>
        <w:jc w:val="both"/>
        <w:rPr>
          <w:rFonts w:ascii="Arial" w:hAnsi="Arial" w:cs="Arial"/>
          <w:sz w:val="24"/>
          <w:szCs w:val="24"/>
          <w:lang w:eastAsia="es-MX"/>
        </w:rPr>
      </w:pPr>
    </w:p>
    <w:p w14:paraId="6AF08D40" w14:textId="77777777" w:rsidR="00A67F19" w:rsidRPr="00805F61" w:rsidRDefault="006E4E23" w:rsidP="00A67F19">
      <w:pPr>
        <w:spacing w:before="120" w:after="120" w:line="360" w:lineRule="auto"/>
        <w:ind w:right="51" w:firstLine="709"/>
        <w:jc w:val="both"/>
        <w:rPr>
          <w:rFonts w:ascii="Arial" w:hAnsi="Arial" w:cs="Arial"/>
          <w:sz w:val="24"/>
          <w:szCs w:val="24"/>
          <w:lang w:eastAsia="es-MX"/>
        </w:rPr>
      </w:pPr>
      <w:r w:rsidRPr="006E4E23">
        <w:rPr>
          <w:rFonts w:ascii="Arial" w:hAnsi="Arial" w:cs="Arial"/>
          <w:sz w:val="24"/>
          <w:szCs w:val="24"/>
          <w:lang w:eastAsia="es-MX"/>
        </w:rPr>
        <w:t xml:space="preserve">La fundamentación es el deber que tiene la autoridad de expresar, en el mandamiento escrito, los preceptos legales que regulen el hecho y las consecuencias jurídicas que pretenda imponer el acto de autoridad, es decir, con la finalidad de considerar constitucional </w:t>
      </w:r>
      <w:r w:rsidR="00106160">
        <w:rPr>
          <w:rFonts w:ascii="Arial" w:hAnsi="Arial" w:cs="Arial"/>
          <w:sz w:val="24"/>
          <w:szCs w:val="24"/>
          <w:lang w:eastAsia="es-MX"/>
        </w:rPr>
        <w:t xml:space="preserve">y legal </w:t>
      </w:r>
      <w:r w:rsidRPr="006E4E23">
        <w:rPr>
          <w:rFonts w:ascii="Arial" w:hAnsi="Arial" w:cs="Arial"/>
          <w:sz w:val="24"/>
          <w:szCs w:val="24"/>
          <w:lang w:eastAsia="es-MX"/>
        </w:rPr>
        <w:t>un acto autoritario, en éste se deben citar los cuerpos legales y preceptos que tengan aplicación al caso concreto, es decir, los supuestos normativos en que encuadra la conducta del gobernado o los hechos acontecidos, que deberán ser señalados con toda exactitud, precisándose las fracciones, párrafos, los incisos y sub</w:t>
      </w:r>
      <w:r>
        <w:rPr>
          <w:rFonts w:ascii="Arial" w:hAnsi="Arial" w:cs="Arial"/>
          <w:sz w:val="24"/>
          <w:szCs w:val="24"/>
          <w:lang w:eastAsia="es-MX"/>
        </w:rPr>
        <w:t xml:space="preserve"> </w:t>
      </w:r>
      <w:r w:rsidRPr="006E4E23">
        <w:rPr>
          <w:rFonts w:ascii="Arial" w:hAnsi="Arial" w:cs="Arial"/>
          <w:sz w:val="24"/>
          <w:szCs w:val="24"/>
          <w:lang w:eastAsia="es-MX"/>
        </w:rPr>
        <w:t>incisos de los preceptos aplicables.</w:t>
      </w:r>
      <w:r>
        <w:rPr>
          <w:rFonts w:ascii="Arial" w:hAnsi="Arial" w:cs="Arial"/>
          <w:sz w:val="24"/>
          <w:szCs w:val="24"/>
          <w:lang w:eastAsia="es-MX"/>
        </w:rPr>
        <w:t xml:space="preserve">   </w:t>
      </w:r>
      <w:r w:rsidR="00A67F19" w:rsidRPr="00805F61">
        <w:rPr>
          <w:rFonts w:ascii="Arial" w:hAnsi="Arial" w:cs="Arial"/>
          <w:sz w:val="24"/>
          <w:szCs w:val="24"/>
          <w:lang w:eastAsia="es-MX"/>
        </w:rPr>
        <w:t>Sobre el particular, la Suprema Corte de Justicia de la Nación ha establecido en forma reiterada que</w:t>
      </w:r>
      <w:r w:rsidR="00106160">
        <w:rPr>
          <w:rFonts w:ascii="Arial" w:hAnsi="Arial" w:cs="Arial"/>
          <w:sz w:val="24"/>
          <w:szCs w:val="24"/>
          <w:lang w:eastAsia="es-MX"/>
        </w:rPr>
        <w:t>,</w:t>
      </w:r>
      <w:r w:rsidR="00A67F19" w:rsidRPr="00805F61">
        <w:rPr>
          <w:rFonts w:ascii="Arial" w:hAnsi="Arial" w:cs="Arial"/>
          <w:sz w:val="24"/>
          <w:szCs w:val="24"/>
          <w:lang w:eastAsia="es-MX"/>
        </w:rPr>
        <w:t xml:space="preserve"> por fundamentación del acto de autoridad</w:t>
      </w:r>
      <w:r w:rsidR="00106160">
        <w:rPr>
          <w:rFonts w:ascii="Arial" w:hAnsi="Arial" w:cs="Arial"/>
          <w:sz w:val="24"/>
          <w:szCs w:val="24"/>
          <w:lang w:eastAsia="es-MX"/>
        </w:rPr>
        <w:t>,</w:t>
      </w:r>
      <w:r w:rsidR="00A67F19" w:rsidRPr="00805F61">
        <w:rPr>
          <w:rFonts w:ascii="Arial" w:hAnsi="Arial" w:cs="Arial"/>
          <w:sz w:val="24"/>
          <w:szCs w:val="24"/>
          <w:lang w:eastAsia="es-MX"/>
        </w:rPr>
        <w:t xml:space="preserve"> se entiende que éste debe sustentarse en una disposición normativa de carácter general, es decir, que se cite la ley que prevea una situación concreta para la cual resulte procedente realizar el acto de autoridad.</w:t>
      </w:r>
    </w:p>
    <w:p w14:paraId="2967B52E"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p>
    <w:p w14:paraId="0A9E72F7"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r w:rsidRPr="00805F61">
        <w:rPr>
          <w:rFonts w:ascii="Arial" w:hAnsi="Arial" w:cs="Arial"/>
          <w:sz w:val="24"/>
          <w:szCs w:val="24"/>
          <w:lang w:eastAsia="es-MX"/>
        </w:rPr>
        <w:t xml:space="preserve">En cambio, por motivación, debe entenderse en el sentido de exponer las razones de hecho que actualizan la hipótesis normativa; de tal suerte que la motivación implica que se citen las circunstancias y modalidades del caso particular que encuadren dentro del marco general correspondiente; por tanto, si una determinada conducta no corresponde o no encuadra en el </w:t>
      </w:r>
      <w:r w:rsidRPr="00805F61">
        <w:rPr>
          <w:rFonts w:ascii="Arial" w:hAnsi="Arial" w:cs="Arial"/>
          <w:sz w:val="24"/>
          <w:szCs w:val="24"/>
          <w:lang w:eastAsia="es-MX"/>
        </w:rPr>
        <w:lastRenderedPageBreak/>
        <w:t>supuesto específico previsto en la norma, el acto de autoridad respectivo violará la exigencia de la motivación legal, por más que se hubiese previsto en una norma, es decir, aunque esté debidamente fundado.</w:t>
      </w:r>
    </w:p>
    <w:p w14:paraId="7BAD2B9E" w14:textId="77777777" w:rsidR="00A67F19" w:rsidRPr="00805F61" w:rsidRDefault="00A67F19" w:rsidP="00A67F19">
      <w:pPr>
        <w:spacing w:before="120" w:after="120" w:line="360" w:lineRule="auto"/>
        <w:ind w:right="51" w:firstLine="709"/>
        <w:jc w:val="both"/>
        <w:rPr>
          <w:rFonts w:ascii="Arial" w:hAnsi="Arial" w:cs="Arial"/>
          <w:sz w:val="24"/>
          <w:szCs w:val="24"/>
          <w:lang w:eastAsia="es-MX"/>
        </w:rPr>
      </w:pPr>
    </w:p>
    <w:p w14:paraId="3D6F4DF3" w14:textId="77777777" w:rsidR="00A67F19" w:rsidRDefault="00A67F19" w:rsidP="00A67F19">
      <w:pPr>
        <w:spacing w:before="120" w:after="120" w:line="360" w:lineRule="auto"/>
        <w:ind w:right="51" w:firstLine="709"/>
        <w:jc w:val="both"/>
        <w:rPr>
          <w:rFonts w:ascii="Arial" w:hAnsi="Arial" w:cs="Arial"/>
          <w:sz w:val="24"/>
          <w:szCs w:val="24"/>
          <w:lang w:eastAsia="es-MX"/>
        </w:rPr>
      </w:pPr>
      <w:r w:rsidRPr="00805F61">
        <w:rPr>
          <w:rFonts w:ascii="Arial" w:hAnsi="Arial" w:cs="Arial"/>
          <w:sz w:val="24"/>
          <w:szCs w:val="24"/>
          <w:lang w:eastAsia="es-MX"/>
        </w:rPr>
        <w:t>En síntesis, la motivación legal implica la necesaria adecuación que debe hacer la autoridad entre la norma general que funda el acto de molestia y el caso específico en el que éste va a operar o surtir sus efectos.</w:t>
      </w:r>
    </w:p>
    <w:p w14:paraId="720E3F5D" w14:textId="77777777" w:rsidR="00106160" w:rsidRDefault="00106160" w:rsidP="00A67F19">
      <w:pPr>
        <w:spacing w:before="120" w:after="120" w:line="360" w:lineRule="auto"/>
        <w:ind w:right="51" w:firstLine="709"/>
        <w:jc w:val="both"/>
        <w:rPr>
          <w:rFonts w:ascii="Arial" w:hAnsi="Arial" w:cs="Arial"/>
          <w:sz w:val="24"/>
          <w:szCs w:val="24"/>
          <w:lang w:eastAsia="es-MX"/>
        </w:rPr>
      </w:pPr>
    </w:p>
    <w:p w14:paraId="27A1B5B1" w14:textId="77777777" w:rsidR="00106160" w:rsidRPr="00805F61" w:rsidRDefault="00106160" w:rsidP="00106160">
      <w:pPr>
        <w:spacing w:before="120" w:after="120" w:line="360" w:lineRule="auto"/>
        <w:ind w:right="51" w:firstLine="709"/>
        <w:jc w:val="both"/>
        <w:rPr>
          <w:rFonts w:ascii="Arial" w:hAnsi="Arial" w:cs="Arial"/>
          <w:sz w:val="24"/>
          <w:szCs w:val="24"/>
          <w:lang w:eastAsia="es-MX"/>
        </w:rPr>
      </w:pPr>
      <w:r w:rsidRPr="00805F61">
        <w:rPr>
          <w:rFonts w:ascii="Arial" w:hAnsi="Arial" w:cs="Arial"/>
          <w:sz w:val="24"/>
          <w:szCs w:val="24"/>
          <w:lang w:eastAsia="es-MX"/>
        </w:rPr>
        <w:t xml:space="preserve">Sirve de apoyo a las consideraciones expuestas, la jurisprudencia </w:t>
      </w:r>
      <w:r>
        <w:rPr>
          <w:rFonts w:ascii="Arial" w:hAnsi="Arial" w:cs="Arial"/>
          <w:sz w:val="24"/>
          <w:szCs w:val="24"/>
          <w:lang w:eastAsia="es-MX"/>
        </w:rPr>
        <w:t>siguiente:</w:t>
      </w:r>
    </w:p>
    <w:p w14:paraId="01C41827" w14:textId="77777777" w:rsidR="00106160" w:rsidRDefault="00106160" w:rsidP="00106160">
      <w:pPr>
        <w:spacing w:before="120" w:after="120" w:line="360" w:lineRule="auto"/>
        <w:ind w:right="51" w:firstLine="709"/>
        <w:jc w:val="both"/>
        <w:rPr>
          <w:rFonts w:ascii="Arial" w:hAnsi="Arial" w:cs="Arial"/>
          <w:sz w:val="24"/>
          <w:szCs w:val="24"/>
          <w:lang w:eastAsia="es-MX"/>
        </w:rPr>
      </w:pPr>
    </w:p>
    <w:p w14:paraId="5ADF4345"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b/>
          <w:sz w:val="20"/>
          <w:szCs w:val="20"/>
          <w:lang w:eastAsia="es-MX"/>
        </w:rPr>
        <w:t>Registro digital:</w:t>
      </w:r>
      <w:r w:rsidRPr="00A67F19">
        <w:rPr>
          <w:rFonts w:ascii="Arial" w:hAnsi="Arial" w:cs="Arial"/>
          <w:sz w:val="20"/>
          <w:szCs w:val="20"/>
          <w:lang w:eastAsia="es-MX"/>
        </w:rPr>
        <w:t xml:space="preserve"> 390963</w:t>
      </w:r>
    </w:p>
    <w:p w14:paraId="42248343"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Instancia: Segunda Sala</w:t>
      </w:r>
    </w:p>
    <w:p w14:paraId="0DCC7FFA"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Séptima Época</w:t>
      </w:r>
    </w:p>
    <w:p w14:paraId="79565D1A"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Materias(s): Administrativa</w:t>
      </w:r>
    </w:p>
    <w:p w14:paraId="013EB2FF"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Tesis: 73</w:t>
      </w:r>
    </w:p>
    <w:p w14:paraId="5D65A08D"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Fuente: Apéndice de 1995. Tomo III, Parte   SCJN, página 52</w:t>
      </w:r>
    </w:p>
    <w:p w14:paraId="1ECD18BE"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sz w:val="20"/>
          <w:szCs w:val="20"/>
          <w:lang w:eastAsia="es-MX"/>
        </w:rPr>
        <w:t>Tipo: Jurisprudencia</w:t>
      </w:r>
    </w:p>
    <w:p w14:paraId="3D3AF5F5" w14:textId="77777777" w:rsidR="00106160" w:rsidRPr="00A67F19" w:rsidRDefault="00106160" w:rsidP="00106160">
      <w:pPr>
        <w:spacing w:after="0" w:line="240" w:lineRule="auto"/>
        <w:ind w:left="284" w:right="618"/>
        <w:jc w:val="both"/>
        <w:rPr>
          <w:rFonts w:ascii="Arial" w:hAnsi="Arial" w:cs="Arial"/>
          <w:sz w:val="20"/>
          <w:szCs w:val="20"/>
          <w:lang w:eastAsia="es-MX"/>
        </w:rPr>
      </w:pPr>
    </w:p>
    <w:p w14:paraId="19FA960B" w14:textId="77777777" w:rsidR="00106160" w:rsidRPr="00A67F19" w:rsidRDefault="00106160" w:rsidP="00106160">
      <w:pPr>
        <w:spacing w:after="0" w:line="240" w:lineRule="auto"/>
        <w:ind w:left="284" w:right="618"/>
        <w:jc w:val="both"/>
        <w:rPr>
          <w:rFonts w:ascii="Arial" w:hAnsi="Arial" w:cs="Arial"/>
          <w:sz w:val="20"/>
          <w:szCs w:val="20"/>
          <w:lang w:eastAsia="es-MX"/>
        </w:rPr>
      </w:pPr>
      <w:r w:rsidRPr="00A67F19">
        <w:rPr>
          <w:rFonts w:ascii="Arial" w:hAnsi="Arial" w:cs="Arial"/>
          <w:b/>
          <w:sz w:val="20"/>
          <w:szCs w:val="20"/>
          <w:lang w:eastAsia="es-MX"/>
        </w:rPr>
        <w:t>FUNDAMENTACION Y MOTIVACION.</w:t>
      </w:r>
      <w:r>
        <w:rPr>
          <w:rFonts w:ascii="Arial" w:hAnsi="Arial" w:cs="Arial"/>
          <w:b/>
          <w:sz w:val="20"/>
          <w:szCs w:val="20"/>
          <w:lang w:eastAsia="es-MX"/>
        </w:rPr>
        <w:t xml:space="preserve">   </w:t>
      </w:r>
      <w:r w:rsidRPr="00A67F19">
        <w:rPr>
          <w:rFonts w:ascii="Arial" w:hAnsi="Arial" w:cs="Arial"/>
          <w:sz w:val="20"/>
          <w:szCs w:val="20"/>
          <w:lang w:eastAsia="es-MX"/>
        </w:rPr>
        <w:t>De acuerdo con el artículo 16 de la Constitución Federal, todo acto de autoridad debe estar adecuada y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configuren las hipótesis normativas.</w:t>
      </w:r>
    </w:p>
    <w:p w14:paraId="3D5AD5E6" w14:textId="77777777" w:rsidR="00106160" w:rsidRDefault="00106160" w:rsidP="00A67F19">
      <w:pPr>
        <w:spacing w:before="120" w:after="120" w:line="360" w:lineRule="auto"/>
        <w:ind w:right="51" w:firstLine="709"/>
        <w:jc w:val="both"/>
        <w:rPr>
          <w:rFonts w:ascii="Arial" w:hAnsi="Arial" w:cs="Arial"/>
          <w:sz w:val="24"/>
          <w:szCs w:val="24"/>
          <w:lang w:eastAsia="es-MX"/>
        </w:rPr>
      </w:pPr>
    </w:p>
    <w:p w14:paraId="60CCB158" w14:textId="77777777" w:rsidR="00106160" w:rsidRDefault="00106160" w:rsidP="00A67F19">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Pero no basta que el acto de autoridad se emita por escrito, se funde y motive, sino que se requiere que la autoridad que lo emite sea competente por razón de materia, territorio y fuero, a efecto de que el mismo no resulte arbitrario, y por lo tanto, inconstitucional e ilegal.</w:t>
      </w:r>
    </w:p>
    <w:p w14:paraId="27BC602D" w14:textId="77777777" w:rsidR="00952F5D" w:rsidRDefault="00952F5D" w:rsidP="00A67F19">
      <w:pPr>
        <w:spacing w:before="120" w:after="120" w:line="360" w:lineRule="auto"/>
        <w:ind w:right="51" w:firstLine="709"/>
        <w:jc w:val="both"/>
        <w:rPr>
          <w:rFonts w:ascii="Arial" w:hAnsi="Arial" w:cs="Arial"/>
          <w:sz w:val="24"/>
          <w:szCs w:val="24"/>
          <w:lang w:eastAsia="es-MX"/>
        </w:rPr>
      </w:pPr>
    </w:p>
    <w:p w14:paraId="00C264B6" w14:textId="77777777" w:rsidR="00952F5D" w:rsidRDefault="00106160" w:rsidP="00952F5D">
      <w:pPr>
        <w:spacing w:after="0" w:line="360" w:lineRule="auto"/>
        <w:ind w:firstLine="709"/>
        <w:jc w:val="both"/>
        <w:rPr>
          <w:rFonts w:ascii="Arial" w:eastAsia="Arial Unicode MS" w:hAnsi="Arial" w:cs="Arial"/>
          <w:sz w:val="24"/>
          <w:szCs w:val="24"/>
        </w:rPr>
      </w:pPr>
      <w:r>
        <w:rPr>
          <w:rFonts w:ascii="Arial" w:eastAsia="Arial Unicode MS" w:hAnsi="Arial" w:cs="Arial"/>
          <w:sz w:val="24"/>
          <w:szCs w:val="24"/>
        </w:rPr>
        <w:t>Por su parte, e</w:t>
      </w:r>
      <w:r w:rsidR="00952F5D">
        <w:rPr>
          <w:rFonts w:ascii="Arial" w:eastAsia="Arial Unicode MS" w:hAnsi="Arial" w:cs="Arial"/>
          <w:sz w:val="24"/>
          <w:szCs w:val="24"/>
        </w:rPr>
        <w:t>l artículo 164 del Código Procesal Administrativo para el Estado de San Luis Potosí, señala:</w:t>
      </w:r>
    </w:p>
    <w:p w14:paraId="3C9E3CBC" w14:textId="77777777" w:rsidR="00952F5D" w:rsidRDefault="00952F5D" w:rsidP="00952F5D">
      <w:pPr>
        <w:spacing w:after="0" w:line="360" w:lineRule="auto"/>
        <w:ind w:firstLine="709"/>
        <w:jc w:val="both"/>
        <w:rPr>
          <w:rFonts w:ascii="Arial" w:eastAsia="Arial Unicode MS" w:hAnsi="Arial" w:cs="Arial"/>
          <w:sz w:val="24"/>
          <w:szCs w:val="24"/>
        </w:rPr>
      </w:pPr>
    </w:p>
    <w:p w14:paraId="1D8CCEFE"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ARTÍCULO 164. Son ele</w:t>
      </w:r>
      <w:r>
        <w:rPr>
          <w:rFonts w:ascii="Arial" w:hAnsi="Arial" w:cs="Arial"/>
          <w:sz w:val="20"/>
          <w:szCs w:val="20"/>
        </w:rPr>
        <w:t>mentos del acto administrativo:</w:t>
      </w:r>
    </w:p>
    <w:p w14:paraId="3DEDAB48" w14:textId="77777777" w:rsidR="00952F5D" w:rsidRDefault="00952F5D" w:rsidP="00952F5D">
      <w:pPr>
        <w:spacing w:after="0" w:line="240" w:lineRule="auto"/>
        <w:ind w:left="567" w:right="618"/>
        <w:jc w:val="both"/>
        <w:rPr>
          <w:rFonts w:ascii="Arial" w:hAnsi="Arial" w:cs="Arial"/>
          <w:sz w:val="20"/>
          <w:szCs w:val="20"/>
        </w:rPr>
      </w:pPr>
    </w:p>
    <w:p w14:paraId="61D0CE28"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I. Ser expedido por autoridades competentes, a través de servidor público u órgano colegiado facultados para tal efecto, y en términos de las disp</w:t>
      </w:r>
      <w:r>
        <w:rPr>
          <w:rFonts w:ascii="Arial" w:hAnsi="Arial" w:cs="Arial"/>
          <w:sz w:val="20"/>
          <w:szCs w:val="20"/>
        </w:rPr>
        <w:t>osiciones jurídicas aplicables;</w:t>
      </w:r>
    </w:p>
    <w:p w14:paraId="2281CF0B" w14:textId="77777777" w:rsidR="00952F5D" w:rsidRDefault="00952F5D" w:rsidP="00952F5D">
      <w:pPr>
        <w:spacing w:after="0" w:line="240" w:lineRule="auto"/>
        <w:ind w:left="567" w:right="618"/>
        <w:jc w:val="both"/>
        <w:rPr>
          <w:rFonts w:ascii="Arial" w:hAnsi="Arial" w:cs="Arial"/>
          <w:sz w:val="20"/>
          <w:szCs w:val="20"/>
        </w:rPr>
      </w:pPr>
    </w:p>
    <w:p w14:paraId="68F08BCC"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II. Que su objeto esté previsto por el ordenamiento jurídico aplicable, determinado o determinable y preciso en cuanto a las circunstancias de tiempo y lugar;</w:t>
      </w:r>
    </w:p>
    <w:p w14:paraId="6F2FF0CA" w14:textId="77777777" w:rsidR="00952F5D" w:rsidRDefault="00952F5D" w:rsidP="00952F5D">
      <w:pPr>
        <w:spacing w:after="0" w:line="240" w:lineRule="auto"/>
        <w:ind w:left="567" w:right="618"/>
        <w:jc w:val="both"/>
        <w:rPr>
          <w:rFonts w:ascii="Arial" w:hAnsi="Arial" w:cs="Arial"/>
          <w:sz w:val="20"/>
          <w:szCs w:val="20"/>
        </w:rPr>
      </w:pPr>
    </w:p>
    <w:p w14:paraId="1D3573DD"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lastRenderedPageBreak/>
        <w:t>III. Cumplir con la finalidad de interés público, derivado de las normas ju</w:t>
      </w:r>
      <w:r>
        <w:rPr>
          <w:rFonts w:ascii="Arial" w:hAnsi="Arial" w:cs="Arial"/>
          <w:sz w:val="20"/>
          <w:szCs w:val="20"/>
        </w:rPr>
        <w:t>rídicas que regulen la materia;</w:t>
      </w:r>
    </w:p>
    <w:p w14:paraId="26AAB024" w14:textId="77777777" w:rsidR="00952F5D" w:rsidRDefault="00952F5D" w:rsidP="00952F5D">
      <w:pPr>
        <w:spacing w:after="0" w:line="240" w:lineRule="auto"/>
        <w:ind w:left="567" w:right="618"/>
        <w:jc w:val="both"/>
        <w:rPr>
          <w:rFonts w:ascii="Arial" w:hAnsi="Arial" w:cs="Arial"/>
          <w:sz w:val="20"/>
          <w:szCs w:val="20"/>
        </w:rPr>
      </w:pPr>
    </w:p>
    <w:p w14:paraId="7D341A29"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IV. Constar por escrito, indic</w:t>
      </w:r>
      <w:r>
        <w:rPr>
          <w:rFonts w:ascii="Arial" w:hAnsi="Arial" w:cs="Arial"/>
          <w:sz w:val="20"/>
          <w:szCs w:val="20"/>
        </w:rPr>
        <w:t>ando la autoridad de que emana;</w:t>
      </w:r>
    </w:p>
    <w:p w14:paraId="52DC82DE" w14:textId="77777777" w:rsidR="00952F5D" w:rsidRDefault="00952F5D" w:rsidP="00952F5D">
      <w:pPr>
        <w:spacing w:after="0" w:line="240" w:lineRule="auto"/>
        <w:ind w:left="567" w:right="618"/>
        <w:jc w:val="both"/>
        <w:rPr>
          <w:rFonts w:ascii="Arial" w:hAnsi="Arial" w:cs="Arial"/>
          <w:sz w:val="20"/>
          <w:szCs w:val="20"/>
        </w:rPr>
      </w:pPr>
    </w:p>
    <w:p w14:paraId="70954EBF"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 xml:space="preserve">V. Estar fundado y </w:t>
      </w:r>
      <w:r>
        <w:rPr>
          <w:rFonts w:ascii="Arial" w:hAnsi="Arial" w:cs="Arial"/>
          <w:sz w:val="20"/>
          <w:szCs w:val="20"/>
        </w:rPr>
        <w:t>motivado;</w:t>
      </w:r>
    </w:p>
    <w:p w14:paraId="2AFAD5E5" w14:textId="77777777" w:rsidR="00952F5D" w:rsidRDefault="00952F5D" w:rsidP="00952F5D">
      <w:pPr>
        <w:spacing w:after="0" w:line="240" w:lineRule="auto"/>
        <w:ind w:left="567" w:right="618"/>
        <w:jc w:val="both"/>
        <w:rPr>
          <w:rFonts w:ascii="Arial" w:hAnsi="Arial" w:cs="Arial"/>
          <w:sz w:val="20"/>
          <w:szCs w:val="20"/>
        </w:rPr>
      </w:pPr>
    </w:p>
    <w:p w14:paraId="73EC8A3B"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VI. Ser expedido sin que medie error de hecho o de derecho sobre el objeto, causa o motivo,</w:t>
      </w:r>
      <w:r>
        <w:rPr>
          <w:rFonts w:ascii="Arial" w:hAnsi="Arial" w:cs="Arial"/>
          <w:sz w:val="20"/>
          <w:szCs w:val="20"/>
        </w:rPr>
        <w:t xml:space="preserve"> o fin del acto y su emisión, y</w:t>
      </w:r>
    </w:p>
    <w:p w14:paraId="547FE3AE" w14:textId="77777777" w:rsidR="00952F5D" w:rsidRDefault="00952F5D" w:rsidP="00952F5D">
      <w:pPr>
        <w:spacing w:after="0" w:line="240" w:lineRule="auto"/>
        <w:ind w:left="567" w:right="618"/>
        <w:jc w:val="both"/>
        <w:rPr>
          <w:rFonts w:ascii="Arial" w:hAnsi="Arial" w:cs="Arial"/>
          <w:sz w:val="20"/>
          <w:szCs w:val="20"/>
        </w:rPr>
      </w:pPr>
    </w:p>
    <w:p w14:paraId="494E79EE" w14:textId="77777777" w:rsidR="00952F5D" w:rsidRDefault="00952F5D" w:rsidP="00952F5D">
      <w:pPr>
        <w:spacing w:after="0" w:line="240" w:lineRule="auto"/>
        <w:ind w:left="567" w:right="618"/>
        <w:jc w:val="both"/>
        <w:rPr>
          <w:rFonts w:ascii="Arial" w:hAnsi="Arial" w:cs="Arial"/>
          <w:sz w:val="20"/>
          <w:szCs w:val="20"/>
        </w:rPr>
      </w:pPr>
      <w:r w:rsidRPr="00F47EE7">
        <w:rPr>
          <w:rFonts w:ascii="Arial" w:hAnsi="Arial" w:cs="Arial"/>
          <w:sz w:val="20"/>
          <w:szCs w:val="20"/>
        </w:rPr>
        <w:t>VII. Ser expedido sin que medie dolo o violencia en su emisión.</w:t>
      </w:r>
    </w:p>
    <w:p w14:paraId="62A872A1" w14:textId="77777777" w:rsidR="00952F5D" w:rsidRDefault="00952F5D" w:rsidP="00A67F19">
      <w:pPr>
        <w:spacing w:before="120" w:after="120" w:line="360" w:lineRule="auto"/>
        <w:ind w:right="51" w:firstLine="709"/>
        <w:jc w:val="both"/>
        <w:rPr>
          <w:rFonts w:ascii="Arial" w:hAnsi="Arial" w:cs="Arial"/>
          <w:sz w:val="24"/>
          <w:szCs w:val="24"/>
          <w:lang w:eastAsia="es-MX"/>
        </w:rPr>
      </w:pPr>
    </w:p>
    <w:p w14:paraId="73427C27" w14:textId="77777777" w:rsidR="00106160" w:rsidRDefault="006C25C7" w:rsidP="00A67F19">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De cuyo contenido se advierte que, el acto administrativo debe ser expedido por autoridad competente, a través de servidor público u órgano colegiado con facultades para ello, y en términos de las disposiciones jurídicas aplicables; asimismo el acto debe constar por escrito y estar fundado y motivado.</w:t>
      </w:r>
    </w:p>
    <w:p w14:paraId="58A1D310" w14:textId="53117402" w:rsidR="006C25C7" w:rsidRDefault="006C25C7" w:rsidP="00A67F19">
      <w:pPr>
        <w:spacing w:before="120" w:after="120" w:line="360" w:lineRule="auto"/>
        <w:ind w:right="51" w:firstLine="709"/>
        <w:jc w:val="both"/>
        <w:rPr>
          <w:rFonts w:ascii="Arial" w:hAnsi="Arial" w:cs="Arial"/>
          <w:sz w:val="24"/>
          <w:szCs w:val="24"/>
          <w:lang w:eastAsia="es-MX"/>
        </w:rPr>
      </w:pPr>
    </w:p>
    <w:p w14:paraId="57408CF0" w14:textId="101DD333" w:rsidR="000C7BE3" w:rsidRPr="000C7BE3" w:rsidRDefault="00331463" w:rsidP="000C7BE3">
      <w:pPr>
        <w:spacing w:before="120" w:after="120" w:line="360" w:lineRule="auto"/>
        <w:ind w:right="51" w:firstLine="709"/>
        <w:jc w:val="both"/>
        <w:rPr>
          <w:rFonts w:ascii="Arial" w:hAnsi="Arial" w:cs="Arial"/>
          <w:sz w:val="24"/>
          <w:szCs w:val="24"/>
          <w:lang w:eastAsia="es-MX"/>
        </w:rPr>
      </w:pPr>
      <w:r w:rsidRPr="000C7BE3">
        <w:rPr>
          <w:rFonts w:ascii="Arial" w:hAnsi="Arial" w:cs="Arial"/>
          <w:sz w:val="24"/>
          <w:szCs w:val="24"/>
          <w:lang w:eastAsia="es-MX"/>
        </w:rPr>
        <w:t xml:space="preserve">Preliminarmente, debe decirse que, la competencia es definida como la atribución otorgada por la ley a una autoridad, para realizar una actuación o emitir una resolución sobre una materia, en un territorio y en un tiempo específico.   Luego, conforme a lo establecido en el artículo 16 de la Constitución Política de los Estados Unidos Mexicanos, así como el numeral </w:t>
      </w:r>
      <w:r w:rsidR="00615BB4" w:rsidRPr="000C7BE3">
        <w:rPr>
          <w:rFonts w:ascii="Arial" w:hAnsi="Arial" w:cs="Arial"/>
          <w:sz w:val="24"/>
          <w:szCs w:val="24"/>
          <w:lang w:eastAsia="es-MX"/>
        </w:rPr>
        <w:t>164</w:t>
      </w:r>
      <w:r w:rsidRPr="000C7BE3">
        <w:rPr>
          <w:rFonts w:ascii="Arial" w:hAnsi="Arial" w:cs="Arial"/>
          <w:sz w:val="24"/>
          <w:szCs w:val="24"/>
          <w:lang w:eastAsia="es-MX"/>
        </w:rPr>
        <w:t xml:space="preserve">, fracciones I y V, del Código </w:t>
      </w:r>
      <w:r w:rsidR="00615BB4" w:rsidRPr="000C7BE3">
        <w:rPr>
          <w:rFonts w:ascii="Arial" w:hAnsi="Arial" w:cs="Arial"/>
          <w:sz w:val="24"/>
          <w:szCs w:val="24"/>
          <w:lang w:eastAsia="es-MX"/>
        </w:rPr>
        <w:t>Procesal Administrativo para el Estado de San Luis Potosí</w:t>
      </w:r>
      <w:r w:rsidRPr="000C7BE3">
        <w:rPr>
          <w:rFonts w:ascii="Arial" w:hAnsi="Arial" w:cs="Arial"/>
          <w:sz w:val="24"/>
          <w:szCs w:val="24"/>
          <w:lang w:eastAsia="es-MX"/>
        </w:rPr>
        <w:t xml:space="preserve">, la autoridad tiene obligación de fundar y motivar su actuación, y desde luego su competencia, esto es, todo acto de autoridad para ser legal requiere, entre otros requisitos, que sean emitidos por autoridad competente, expresándose, como parte de las formalidades esenciales, el carácter con el que la autoridad respectiva lo suscribe y el dispositivo, acuerdo o decreto que le otorgue tal legitimación, pues de lo contrario se dejaría al particular en estado de indefensión, ya que al no conocer el apoyo legal que faculte a la autoridad para emitir el acto, ni el carácter con que lo emita, es evidente que no se le otorga la oportunidad de examinar si la actuación de ésta se encuentra o no dentro del ámbito competencial respectivo, y si éste es o no conforme a la ley o a la Constitución, para que, en su caso, esté en aptitud de alegar, además de la ilegalidad del acto, la del apoyo en que se funde la autoridad para emitirlo en el carácter con que lo haga, pues bien puede acontecer que su actuación no se adecue exactamente a la norma, acuerdo o decreto que invoque, o que éstos se hallen </w:t>
      </w:r>
      <w:r w:rsidR="000C7BE3" w:rsidRPr="000C7BE3">
        <w:rPr>
          <w:rFonts w:ascii="Arial" w:hAnsi="Arial" w:cs="Arial"/>
          <w:sz w:val="24"/>
          <w:szCs w:val="24"/>
          <w:lang w:eastAsia="es-MX"/>
        </w:rPr>
        <w:t>en contradicción con la ley secundaria o con la ley fundamental.</w:t>
      </w:r>
    </w:p>
    <w:p w14:paraId="633BF64F" w14:textId="77777777" w:rsidR="000C7BE3" w:rsidRPr="000C7BE3" w:rsidRDefault="000C7BE3" w:rsidP="000C7BE3">
      <w:pPr>
        <w:spacing w:before="120" w:after="120" w:line="360" w:lineRule="auto"/>
        <w:ind w:right="51" w:firstLine="709"/>
        <w:jc w:val="both"/>
        <w:rPr>
          <w:rFonts w:ascii="Arial" w:hAnsi="Arial" w:cs="Arial"/>
          <w:sz w:val="24"/>
          <w:szCs w:val="24"/>
          <w:lang w:eastAsia="es-MX"/>
        </w:rPr>
      </w:pPr>
    </w:p>
    <w:p w14:paraId="5F9C3FB3" w14:textId="46295A46" w:rsidR="00331463" w:rsidRDefault="000C7BE3" w:rsidP="000C7BE3">
      <w:pPr>
        <w:spacing w:before="120" w:after="120" w:line="360" w:lineRule="auto"/>
        <w:ind w:right="51" w:firstLine="709"/>
        <w:jc w:val="both"/>
        <w:rPr>
          <w:rFonts w:ascii="Arial" w:hAnsi="Arial" w:cs="Arial"/>
          <w:sz w:val="24"/>
          <w:szCs w:val="24"/>
          <w:lang w:eastAsia="es-MX"/>
        </w:rPr>
      </w:pPr>
      <w:r w:rsidRPr="000C7BE3">
        <w:rPr>
          <w:rFonts w:ascii="Arial" w:hAnsi="Arial" w:cs="Arial"/>
          <w:sz w:val="24"/>
          <w:szCs w:val="24"/>
          <w:lang w:eastAsia="es-MX"/>
        </w:rPr>
        <w:t>Lo anterior encuentra sustento en la jurisprudencia de rubro y t</w:t>
      </w:r>
      <w:r>
        <w:rPr>
          <w:rFonts w:ascii="Arial" w:hAnsi="Arial" w:cs="Arial"/>
          <w:sz w:val="24"/>
          <w:szCs w:val="24"/>
          <w:lang w:eastAsia="es-MX"/>
        </w:rPr>
        <w:t>e</w:t>
      </w:r>
      <w:r w:rsidRPr="000C7BE3">
        <w:rPr>
          <w:rFonts w:ascii="Arial" w:hAnsi="Arial" w:cs="Arial"/>
          <w:sz w:val="24"/>
          <w:szCs w:val="24"/>
          <w:lang w:eastAsia="es-MX"/>
        </w:rPr>
        <w:t>xto siguientes:</w:t>
      </w:r>
    </w:p>
    <w:p w14:paraId="3B7916AE" w14:textId="2F67F697" w:rsidR="000C7BE3" w:rsidRDefault="000C7BE3" w:rsidP="000C7BE3">
      <w:pPr>
        <w:spacing w:before="120" w:after="120" w:line="360" w:lineRule="auto"/>
        <w:ind w:right="51" w:firstLine="709"/>
        <w:jc w:val="both"/>
        <w:rPr>
          <w:rFonts w:ascii="Arial" w:hAnsi="Arial" w:cs="Arial"/>
          <w:sz w:val="24"/>
          <w:szCs w:val="24"/>
          <w:lang w:eastAsia="es-MX"/>
        </w:rPr>
      </w:pPr>
    </w:p>
    <w:p w14:paraId="6485D77C"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b/>
          <w:bCs/>
          <w:sz w:val="20"/>
          <w:szCs w:val="20"/>
          <w:lang w:eastAsia="es-MX"/>
        </w:rPr>
        <w:t>Registro digital:</w:t>
      </w:r>
      <w:r w:rsidRPr="000C7BE3">
        <w:rPr>
          <w:rFonts w:ascii="Arial" w:hAnsi="Arial" w:cs="Arial"/>
          <w:sz w:val="20"/>
          <w:szCs w:val="20"/>
          <w:lang w:eastAsia="es-MX"/>
        </w:rPr>
        <w:t xml:space="preserve"> 205463</w:t>
      </w:r>
    </w:p>
    <w:p w14:paraId="7DA89AF7"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Instancia: Pleno</w:t>
      </w:r>
    </w:p>
    <w:p w14:paraId="484DFDA6"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Octava Época</w:t>
      </w:r>
    </w:p>
    <w:p w14:paraId="7308B653"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Materias(s): Común</w:t>
      </w:r>
    </w:p>
    <w:p w14:paraId="30477302" w14:textId="1E6460DE"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Tesis: P./J. 10/94</w:t>
      </w:r>
    </w:p>
    <w:p w14:paraId="4013DA16"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Fuente: Gaceta del Semanario Judicial de la Federación. Núm. 77, Mayo de 1994, página 12</w:t>
      </w:r>
    </w:p>
    <w:p w14:paraId="54A246F9" w14:textId="77777777"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sz w:val="20"/>
          <w:szCs w:val="20"/>
          <w:lang w:eastAsia="es-MX"/>
        </w:rPr>
        <w:t>Tipo: Jurisprudencia</w:t>
      </w:r>
    </w:p>
    <w:p w14:paraId="70899525" w14:textId="77777777" w:rsidR="000C7BE3" w:rsidRPr="000C7BE3" w:rsidRDefault="000C7BE3" w:rsidP="000C7BE3">
      <w:pPr>
        <w:spacing w:after="0" w:line="240" w:lineRule="auto"/>
        <w:ind w:left="567" w:right="618"/>
        <w:jc w:val="both"/>
        <w:rPr>
          <w:rFonts w:ascii="Arial" w:hAnsi="Arial" w:cs="Arial"/>
          <w:sz w:val="20"/>
          <w:szCs w:val="20"/>
          <w:lang w:eastAsia="es-MX"/>
        </w:rPr>
      </w:pPr>
    </w:p>
    <w:p w14:paraId="13F76C92" w14:textId="7F9E7036" w:rsidR="000C7BE3" w:rsidRPr="000C7BE3" w:rsidRDefault="000C7BE3" w:rsidP="000C7BE3">
      <w:pPr>
        <w:spacing w:after="0" w:line="240" w:lineRule="auto"/>
        <w:ind w:left="567" w:right="618"/>
        <w:jc w:val="both"/>
        <w:rPr>
          <w:rFonts w:ascii="Arial" w:hAnsi="Arial" w:cs="Arial"/>
          <w:sz w:val="20"/>
          <w:szCs w:val="20"/>
          <w:lang w:eastAsia="es-MX"/>
        </w:rPr>
      </w:pPr>
      <w:r w:rsidRPr="000C7BE3">
        <w:rPr>
          <w:rFonts w:ascii="Arial" w:hAnsi="Arial" w:cs="Arial"/>
          <w:b/>
          <w:bCs/>
          <w:sz w:val="20"/>
          <w:szCs w:val="20"/>
          <w:lang w:eastAsia="es-MX"/>
        </w:rPr>
        <w:t xml:space="preserve">COMPETENCIA. SU FUNDAMENTACION ES REQUISITO ESENCIAL DEL ACTO DE AUTORIDAD.   </w:t>
      </w:r>
      <w:r w:rsidRPr="000C7BE3">
        <w:rPr>
          <w:rFonts w:ascii="Arial" w:hAnsi="Arial" w:cs="Arial"/>
          <w:sz w:val="20"/>
          <w:szCs w:val="20"/>
          <w:lang w:eastAsia="es-MX"/>
        </w:rPr>
        <w:t>Haciendo una interpretación armónica de las garantías individuales de legalidad y seguridad jurídica que consagran los artículos 14 y 16 constitucionales, se advierte que los actos de molestia y privación deben, entre otros requisitos, ser emitidos por autoridad competente y cumplir las formalidades esenciales que les den eficacia jurídica, lo que significa que todo acto de autoridad necesariamente debe emitirse por quien para ello esté facultado expresándose, como parte de las formalidades esenciales, el carácter con que se suscribe y el dispositivo, acuerdo o decreto que otorgue tal legitimación. De lo contrario, se dejaría al afectado en estado de indefensión, ya que al no conocer el apoyo que faculte a la autoridad para emitir el acto, ni el carácter con que lo emita, es evidente que no se le otorga la oportunidad de examinar si su actuación se encuentra o no dentro del ámbito competencial respectivo, y es conforme o no a la Constitución o a la ley; para que, en su caso, esté en aptitud de alegar, además de la ilegalidad del acto, la del apoyo en que se funde la autoridad para emitirlo, pues bien puede acontecer que su actuación no se adecúe exactamente a la norma, acuerdo o decreto que invoque, o que éstos se hallen en contradicción con la ley fundamental o la secundaria.</w:t>
      </w:r>
    </w:p>
    <w:p w14:paraId="4BE52B93" w14:textId="19332214" w:rsidR="00331463" w:rsidRDefault="00331463" w:rsidP="00A67F19">
      <w:pPr>
        <w:spacing w:before="120" w:after="120" w:line="360" w:lineRule="auto"/>
        <w:ind w:right="51" w:firstLine="709"/>
        <w:jc w:val="both"/>
        <w:rPr>
          <w:rFonts w:ascii="Arial" w:hAnsi="Arial" w:cs="Arial"/>
          <w:sz w:val="24"/>
          <w:szCs w:val="24"/>
          <w:lang w:eastAsia="es-MX"/>
        </w:rPr>
      </w:pPr>
    </w:p>
    <w:p w14:paraId="261768A5" w14:textId="7D9DCFFE" w:rsidR="00DD0D0F" w:rsidRPr="00DD0D0F" w:rsidRDefault="00DD0D0F" w:rsidP="00DD0D0F">
      <w:pPr>
        <w:spacing w:before="120" w:after="120" w:line="360" w:lineRule="auto"/>
        <w:ind w:right="51" w:firstLine="709"/>
        <w:jc w:val="both"/>
        <w:rPr>
          <w:rFonts w:ascii="Arial" w:hAnsi="Arial" w:cs="Arial"/>
          <w:sz w:val="24"/>
          <w:szCs w:val="24"/>
          <w:lang w:eastAsia="es-MX"/>
        </w:rPr>
      </w:pPr>
      <w:r w:rsidRPr="00DD0D0F">
        <w:rPr>
          <w:rFonts w:ascii="Arial" w:hAnsi="Arial" w:cs="Arial"/>
          <w:sz w:val="24"/>
          <w:szCs w:val="24"/>
          <w:lang w:eastAsia="es-MX"/>
        </w:rPr>
        <w:t xml:space="preserve">Luego, en relación con dicho tema, al resolver la contradicción de tesis 262/2011, la Segunda Sala de la Suprema Corte de Justicia de la Nación, determinó que </w:t>
      </w:r>
      <w:r w:rsidRPr="00DD0D0F">
        <w:rPr>
          <w:rFonts w:ascii="Arial" w:hAnsi="Arial" w:cs="Arial"/>
          <w:b/>
          <w:bCs/>
          <w:sz w:val="24"/>
          <w:szCs w:val="24"/>
          <w:lang w:eastAsia="es-MX"/>
        </w:rPr>
        <w:t xml:space="preserve">a) </w:t>
      </w:r>
      <w:r w:rsidRPr="00DD0D0F">
        <w:rPr>
          <w:rFonts w:ascii="Arial" w:hAnsi="Arial" w:cs="Arial"/>
          <w:sz w:val="24"/>
          <w:szCs w:val="24"/>
          <w:lang w:eastAsia="es-MX"/>
        </w:rPr>
        <w:t xml:space="preserve">la falta de fundamentación de la competencia de la autoridad que emite el acto o resolución materia del juicio de nulidad, incide directamente en la validez del acto administrativo, de manera que un acto o resolución dictados por una autoridad incompetente no puede producir efecto alguno en la esfera jurídica del gobernado; </w:t>
      </w:r>
      <w:r w:rsidRPr="00DD0D0F">
        <w:rPr>
          <w:rFonts w:ascii="Arial" w:hAnsi="Arial" w:cs="Arial"/>
          <w:b/>
          <w:bCs/>
          <w:sz w:val="24"/>
          <w:szCs w:val="24"/>
          <w:lang w:eastAsia="es-MX"/>
        </w:rPr>
        <w:t>b)</w:t>
      </w:r>
      <w:r w:rsidRPr="00DD0D0F">
        <w:rPr>
          <w:rFonts w:ascii="Arial" w:hAnsi="Arial" w:cs="Arial"/>
          <w:sz w:val="24"/>
          <w:szCs w:val="24"/>
          <w:lang w:eastAsia="es-MX"/>
        </w:rPr>
        <w:t xml:space="preserve"> la ausencia de fundamentación de la competencia de la autoridad para emitir determinado acto impide al juzgador pronunciarse respecto a los efectos y consecuencias jurídicas de dicho acto, obligándolo a declarar la nulidad del acto o resolución en su integridad; y, </w:t>
      </w:r>
      <w:r w:rsidRPr="00DD0D0F">
        <w:rPr>
          <w:rFonts w:ascii="Arial" w:hAnsi="Arial" w:cs="Arial"/>
          <w:b/>
          <w:bCs/>
          <w:sz w:val="24"/>
          <w:szCs w:val="24"/>
          <w:lang w:eastAsia="es-MX"/>
        </w:rPr>
        <w:t>c)</w:t>
      </w:r>
      <w:r w:rsidRPr="00DD0D0F">
        <w:rPr>
          <w:rFonts w:ascii="Arial" w:hAnsi="Arial" w:cs="Arial"/>
          <w:sz w:val="24"/>
          <w:szCs w:val="24"/>
          <w:lang w:eastAsia="es-MX"/>
        </w:rPr>
        <w:t xml:space="preserve"> la nulidad decretada en estos casos constituye una violación formal que, por regla general, no resulta subsanable.</w:t>
      </w:r>
    </w:p>
    <w:p w14:paraId="2A414487" w14:textId="77777777" w:rsidR="00DD0D0F" w:rsidRPr="00DD0D0F" w:rsidRDefault="00DD0D0F" w:rsidP="00DD0D0F">
      <w:pPr>
        <w:spacing w:before="120" w:after="120" w:line="360" w:lineRule="auto"/>
        <w:ind w:right="51" w:firstLine="709"/>
        <w:jc w:val="both"/>
        <w:rPr>
          <w:rFonts w:ascii="Arial" w:hAnsi="Arial" w:cs="Arial"/>
          <w:sz w:val="24"/>
          <w:szCs w:val="24"/>
          <w:lang w:eastAsia="es-MX"/>
        </w:rPr>
      </w:pPr>
    </w:p>
    <w:p w14:paraId="59AF27F0" w14:textId="378C4BD8" w:rsidR="00DD0D0F" w:rsidRPr="00DD0D0F" w:rsidRDefault="00DD0D0F" w:rsidP="00DD0D0F">
      <w:pPr>
        <w:spacing w:before="120" w:after="120" w:line="360" w:lineRule="auto"/>
        <w:ind w:right="51" w:firstLine="709"/>
        <w:jc w:val="both"/>
        <w:rPr>
          <w:rFonts w:ascii="Arial" w:hAnsi="Arial" w:cs="Arial"/>
          <w:sz w:val="24"/>
          <w:szCs w:val="24"/>
          <w:lang w:eastAsia="es-MX"/>
        </w:rPr>
      </w:pPr>
      <w:r w:rsidRPr="00DD0D0F">
        <w:rPr>
          <w:rFonts w:ascii="Arial" w:hAnsi="Arial" w:cs="Arial"/>
          <w:sz w:val="24"/>
          <w:szCs w:val="24"/>
          <w:lang w:eastAsia="es-MX"/>
        </w:rPr>
        <w:lastRenderedPageBreak/>
        <w:t>Así, la falta o indebida fundamentación de la competencia de la autoridad incide en la defensa del particular y trasciende al sentido de la resolución impugnada, por tratarse de un presupuesto constitucional y no sólo un requisito formal, que rige la actuación de las autoridades y, en ese tenor, los ordenamientos legales la han ponderado de manera diversa a los restantes requisitos formales que deben contener los actos de molestia.</w:t>
      </w:r>
    </w:p>
    <w:p w14:paraId="1C4663D4" w14:textId="537084FF" w:rsidR="00DD0D0F" w:rsidRPr="00DD0D0F" w:rsidRDefault="00DD0D0F" w:rsidP="00DD0D0F">
      <w:pPr>
        <w:spacing w:before="120" w:after="120" w:line="360" w:lineRule="auto"/>
        <w:ind w:right="51" w:firstLine="709"/>
        <w:jc w:val="both"/>
        <w:rPr>
          <w:rFonts w:ascii="Arial" w:hAnsi="Arial" w:cs="Arial"/>
          <w:sz w:val="24"/>
          <w:szCs w:val="24"/>
          <w:lang w:eastAsia="es-MX"/>
        </w:rPr>
      </w:pPr>
    </w:p>
    <w:p w14:paraId="35FD92CF" w14:textId="670C050A" w:rsidR="00DD0D0F" w:rsidRPr="00DD0D0F" w:rsidRDefault="00DD0D0F" w:rsidP="00DD0D0F">
      <w:pPr>
        <w:spacing w:before="120" w:after="120" w:line="360" w:lineRule="auto"/>
        <w:ind w:right="51" w:firstLine="709"/>
        <w:jc w:val="both"/>
        <w:rPr>
          <w:rFonts w:ascii="Arial" w:hAnsi="Arial" w:cs="Arial"/>
          <w:sz w:val="24"/>
          <w:szCs w:val="24"/>
          <w:lang w:eastAsia="es-MX"/>
        </w:rPr>
      </w:pPr>
      <w:r w:rsidRPr="00DD0D0F">
        <w:rPr>
          <w:rFonts w:ascii="Arial" w:hAnsi="Arial" w:cs="Arial"/>
          <w:sz w:val="24"/>
          <w:szCs w:val="24"/>
          <w:lang w:eastAsia="es-MX"/>
        </w:rPr>
        <w:t>Además, que ello se traduce en una genuina garantía de los particulares frente a los actos de autoridad que afecten su esfera jurídica, sin que resulte posible la subsanación o convalidación posterior cuando, por ejemplo, el particular desahogue o exhiba lo ordenado o requerido por la autoridad, pues ese solo hecho de ningún modo aseguraría la salvaguarda de sus defensas, ni puede considerarse que convalide la inseguridad jurídica y la indefensión en la que se le deja.</w:t>
      </w:r>
    </w:p>
    <w:p w14:paraId="532A2FDE" w14:textId="77777777" w:rsidR="00DD0D0F" w:rsidRPr="00DD0D0F" w:rsidRDefault="00DD0D0F" w:rsidP="00DD0D0F">
      <w:pPr>
        <w:spacing w:before="120" w:after="120" w:line="360" w:lineRule="auto"/>
        <w:ind w:right="51" w:firstLine="709"/>
        <w:jc w:val="both"/>
        <w:rPr>
          <w:rFonts w:ascii="Arial" w:hAnsi="Arial" w:cs="Arial"/>
          <w:sz w:val="24"/>
          <w:szCs w:val="24"/>
          <w:lang w:eastAsia="es-MX"/>
        </w:rPr>
      </w:pPr>
    </w:p>
    <w:p w14:paraId="1EAB0155" w14:textId="3E6BBBE3" w:rsidR="00DD0D0F" w:rsidRDefault="00DD0D0F" w:rsidP="00DD0D0F">
      <w:pPr>
        <w:spacing w:before="120" w:after="120" w:line="360" w:lineRule="auto"/>
        <w:ind w:right="51" w:firstLine="709"/>
        <w:jc w:val="both"/>
        <w:rPr>
          <w:rFonts w:ascii="Arial" w:hAnsi="Arial" w:cs="Arial"/>
          <w:sz w:val="24"/>
          <w:szCs w:val="24"/>
          <w:lang w:eastAsia="es-MX"/>
        </w:rPr>
      </w:pPr>
      <w:r w:rsidRPr="00DD0D0F">
        <w:rPr>
          <w:rFonts w:ascii="Arial" w:hAnsi="Arial" w:cs="Arial"/>
          <w:sz w:val="24"/>
          <w:szCs w:val="24"/>
          <w:lang w:eastAsia="es-MX"/>
        </w:rPr>
        <w:t>Tal ejecutoria reseñada</w:t>
      </w:r>
      <w:r>
        <w:rPr>
          <w:rFonts w:ascii="Arial" w:hAnsi="Arial" w:cs="Arial"/>
          <w:sz w:val="24"/>
          <w:szCs w:val="24"/>
          <w:lang w:eastAsia="es-MX"/>
        </w:rPr>
        <w:t>,</w:t>
      </w:r>
      <w:r w:rsidRPr="00DD0D0F">
        <w:rPr>
          <w:rFonts w:ascii="Arial" w:hAnsi="Arial" w:cs="Arial"/>
          <w:sz w:val="24"/>
          <w:szCs w:val="24"/>
          <w:lang w:eastAsia="es-MX"/>
        </w:rPr>
        <w:t xml:space="preserve"> dio origen a la jurisprudencia cuyo epígrafe y contenido son los siguientes:</w:t>
      </w:r>
    </w:p>
    <w:p w14:paraId="1247FA5E" w14:textId="572E2C59" w:rsidR="00DD0D0F" w:rsidRDefault="00DD0D0F" w:rsidP="00A67F19">
      <w:pPr>
        <w:spacing w:before="120" w:after="120" w:line="360" w:lineRule="auto"/>
        <w:ind w:right="51" w:firstLine="709"/>
        <w:jc w:val="both"/>
        <w:rPr>
          <w:rFonts w:ascii="Arial" w:hAnsi="Arial" w:cs="Arial"/>
          <w:sz w:val="24"/>
          <w:szCs w:val="24"/>
          <w:lang w:eastAsia="es-MX"/>
        </w:rPr>
      </w:pPr>
    </w:p>
    <w:p w14:paraId="3FB24796"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b/>
          <w:bCs/>
          <w:sz w:val="20"/>
          <w:szCs w:val="20"/>
          <w:lang w:eastAsia="es-MX"/>
        </w:rPr>
        <w:t>Registro digital:</w:t>
      </w:r>
      <w:r w:rsidRPr="00DD0D0F">
        <w:rPr>
          <w:rFonts w:ascii="Arial" w:hAnsi="Arial" w:cs="Arial"/>
          <w:sz w:val="20"/>
          <w:szCs w:val="20"/>
          <w:lang w:eastAsia="es-MX"/>
        </w:rPr>
        <w:t xml:space="preserve"> 160327</w:t>
      </w:r>
    </w:p>
    <w:p w14:paraId="35711717"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Instancia: Segunda Sala</w:t>
      </w:r>
    </w:p>
    <w:p w14:paraId="4E8F9FC7"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Décima Época</w:t>
      </w:r>
    </w:p>
    <w:p w14:paraId="76F167A3"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Materias(s): Administrativa</w:t>
      </w:r>
    </w:p>
    <w:p w14:paraId="2621C9F5"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Tesis: 2a./J. 174/2011 (9a.)</w:t>
      </w:r>
    </w:p>
    <w:p w14:paraId="794D8BA6"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Fuente: Semanario Judicial de la Federación y su Gaceta. Libro V, Febrero de 2012, Tomo 2, página 835</w:t>
      </w:r>
    </w:p>
    <w:p w14:paraId="2EF362BB" w14:textId="77777777"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sz w:val="20"/>
          <w:szCs w:val="20"/>
          <w:lang w:eastAsia="es-MX"/>
        </w:rPr>
        <w:t>Tipo: Jurisprudencia</w:t>
      </w:r>
    </w:p>
    <w:p w14:paraId="4A1F6A7D" w14:textId="77777777" w:rsidR="00DD0D0F" w:rsidRPr="00DD0D0F" w:rsidRDefault="00DD0D0F" w:rsidP="00DD0D0F">
      <w:pPr>
        <w:spacing w:after="0" w:line="240" w:lineRule="auto"/>
        <w:ind w:left="567" w:right="618"/>
        <w:jc w:val="both"/>
        <w:rPr>
          <w:rFonts w:ascii="Arial" w:hAnsi="Arial" w:cs="Arial"/>
          <w:sz w:val="20"/>
          <w:szCs w:val="20"/>
          <w:lang w:eastAsia="es-MX"/>
        </w:rPr>
      </w:pPr>
    </w:p>
    <w:p w14:paraId="654F631A" w14:textId="5F24C4D5" w:rsidR="00DD0D0F" w:rsidRPr="00DD0D0F" w:rsidRDefault="00DD0D0F" w:rsidP="00DD0D0F">
      <w:pPr>
        <w:spacing w:after="0" w:line="240" w:lineRule="auto"/>
        <w:ind w:left="567" w:right="618"/>
        <w:jc w:val="both"/>
        <w:rPr>
          <w:rFonts w:ascii="Arial" w:hAnsi="Arial" w:cs="Arial"/>
          <w:sz w:val="20"/>
          <w:szCs w:val="20"/>
          <w:lang w:eastAsia="es-MX"/>
        </w:rPr>
      </w:pPr>
      <w:r w:rsidRPr="00DD0D0F">
        <w:rPr>
          <w:rFonts w:ascii="Arial" w:hAnsi="Arial" w:cs="Arial"/>
          <w:b/>
          <w:bCs/>
          <w:sz w:val="20"/>
          <w:szCs w:val="20"/>
          <w:lang w:eastAsia="es-MX"/>
        </w:rPr>
        <w:t xml:space="preserve">COMPETENCIA DE LAS AUTORIDADES ADMINISTRATIVAS. INAPLICABILIDAD DE LOS SUPUESTOS PREVISTOS EN EL ARTÍCULO 51, SEGUNDO PÁRRAFO, INCISO D), DE LA LEY FEDERAL DE PROCEDIMIENTO CONTENCIOSO ADMINISTRATIVO.   </w:t>
      </w:r>
      <w:r w:rsidRPr="00DD0D0F">
        <w:rPr>
          <w:rFonts w:ascii="Arial" w:hAnsi="Arial" w:cs="Arial"/>
          <w:sz w:val="20"/>
          <w:szCs w:val="20"/>
          <w:lang w:eastAsia="es-MX"/>
        </w:rPr>
        <w:t xml:space="preserve">Conforme a los criterios sustentados por este Alto Tribunal, la falta, indebida o insuficiente fundamentación de la competencia de la autoridad que emite un acto administrativo, incide directamente en su validez, toda vez que esas deficiencias impiden que el juzgador pueda pronunciarse respecto a los efectos o consecuencias jurídicas que dicho acto pudiera tener sobre el particular, obligándolo a declarar la nulidad del acto o resolución en su integridad, por lo que la nulidad decretada en esos casos constituye un supuesto en el cual la violación formal cometida no resulta, por regla general, subsanable. Ahora bien, el párrafo segundo, inciso d), del artículo 51 citado, en relación con sus fracciones II y III, dispone que no afectan las defensas del particular ni trascienden al sentido de la resolución impugnada los vicios consistentes en irregularidades en los citatorios, en las notificaciones de requerimientos de solicitudes de datos, informes o documentos, o en los propios requerimientos, siempre y cuando el particular desahogue los mismos, exhibiendo oportunamente la información y documentación solicitados. Sin embargo, debe entenderse que estos supuestos son inaplicables tratándose de la omisión, indebida o insuficiente fundamentación de la competencia de las autoridades administrativas, pues ello constituye un vicio que no es análogo a los referidos supuestos legales, además de que tal disposición no puede interpretarse extensivamente porque atentaría contra el principio de legalidad previsto en el </w:t>
      </w:r>
      <w:r w:rsidRPr="00DD0D0F">
        <w:rPr>
          <w:rFonts w:ascii="Arial" w:hAnsi="Arial" w:cs="Arial"/>
          <w:sz w:val="20"/>
          <w:szCs w:val="20"/>
          <w:lang w:eastAsia="es-MX"/>
        </w:rPr>
        <w:lastRenderedPageBreak/>
        <w:t>artículo 16 de la Constitución Política de los Estados Unidos Mexicanos. Esta interpretación se confirma con lo establecido en la fracción I del propio artículo 51 que establece como causa de ilegalidad de una resolución administrativa la incompetencia del funcionario que la haya dictado u ordenado, o tramitado el procedimiento del que deriva dicha resolución, interpretado armónicamente con el contenido del antepenúltimo párrafo del precepto legal en cuestión, que establece que el Tribunal podrá hacer valer de oficio, por ser de orden público, la incompetencia de la autoridad para dictar la resolución impugnada o para ordenar o tramitar el procedimiento del que derive y la ausencia total de fundamentación o motivación en dicha resolución. Así, al haberse establecido por separado dicha causa de ilegalidad, no puede analizarse a la luz de los supuestos de excepción previstos en el párrafo segundo, inciso d), del referido precepto legal, los cuales constituyen requisitos formales exigidos por las leyes, diversos a la fundamentación de la competencia.</w:t>
      </w:r>
    </w:p>
    <w:p w14:paraId="732F8AC2" w14:textId="08E1F61E" w:rsidR="00DD0D0F" w:rsidRDefault="00DD0D0F" w:rsidP="00A67F19">
      <w:pPr>
        <w:spacing w:before="120" w:after="120" w:line="360" w:lineRule="auto"/>
        <w:ind w:right="51" w:firstLine="709"/>
        <w:jc w:val="both"/>
        <w:rPr>
          <w:rFonts w:ascii="Arial" w:hAnsi="Arial" w:cs="Arial"/>
          <w:sz w:val="24"/>
          <w:szCs w:val="24"/>
          <w:lang w:eastAsia="es-MX"/>
        </w:rPr>
      </w:pPr>
    </w:p>
    <w:p w14:paraId="25F92A93" w14:textId="5D283436" w:rsidR="00286C5D" w:rsidRPr="00286C5D" w:rsidRDefault="00286C5D" w:rsidP="00286C5D">
      <w:pPr>
        <w:spacing w:before="120" w:after="120" w:line="360" w:lineRule="auto"/>
        <w:ind w:right="51" w:firstLine="709"/>
        <w:jc w:val="both"/>
        <w:rPr>
          <w:rFonts w:ascii="Arial" w:hAnsi="Arial" w:cs="Arial"/>
          <w:sz w:val="24"/>
          <w:szCs w:val="24"/>
          <w:lang w:eastAsia="es-MX"/>
        </w:rPr>
      </w:pPr>
      <w:r w:rsidRPr="00286C5D">
        <w:rPr>
          <w:rFonts w:ascii="Arial" w:hAnsi="Arial" w:cs="Arial"/>
          <w:sz w:val="24"/>
          <w:szCs w:val="24"/>
          <w:lang w:eastAsia="es-MX"/>
        </w:rPr>
        <w:t xml:space="preserve">En consonancia con lo anterior, el artículo </w:t>
      </w:r>
      <w:r>
        <w:rPr>
          <w:rFonts w:ascii="Arial" w:hAnsi="Arial" w:cs="Arial"/>
          <w:sz w:val="24"/>
          <w:szCs w:val="24"/>
          <w:lang w:eastAsia="es-MX"/>
        </w:rPr>
        <w:t xml:space="preserve">250, fracción I, analizado de forma armónica con el párrafo segundo del propio numeral </w:t>
      </w:r>
      <w:r w:rsidRPr="00286C5D">
        <w:rPr>
          <w:rFonts w:ascii="Arial" w:hAnsi="Arial" w:cs="Arial"/>
          <w:sz w:val="24"/>
          <w:szCs w:val="24"/>
          <w:lang w:eastAsia="es-MX"/>
        </w:rPr>
        <w:t xml:space="preserve">del Código </w:t>
      </w:r>
      <w:r>
        <w:rPr>
          <w:rFonts w:ascii="Arial" w:hAnsi="Arial" w:cs="Arial"/>
          <w:sz w:val="24"/>
          <w:szCs w:val="24"/>
          <w:lang w:eastAsia="es-MX"/>
        </w:rPr>
        <w:t>Procesal Administrativo para el Estado de San Luis Potosí</w:t>
      </w:r>
      <w:r w:rsidRPr="00286C5D">
        <w:rPr>
          <w:rFonts w:ascii="Arial" w:hAnsi="Arial" w:cs="Arial"/>
          <w:sz w:val="24"/>
          <w:szCs w:val="24"/>
          <w:lang w:eastAsia="es-MX"/>
        </w:rPr>
        <w:t>, prevé como primera causa determinante de ilegalidad la incompetencia de la autoridad que haya dictado, ordenado o tramitado el procedimiento del que deriva dicha resolución, y otorga además, la posibilidad para est</w:t>
      </w:r>
      <w:r>
        <w:rPr>
          <w:rFonts w:ascii="Arial" w:hAnsi="Arial" w:cs="Arial"/>
          <w:sz w:val="24"/>
          <w:szCs w:val="24"/>
          <w:lang w:eastAsia="es-MX"/>
        </w:rPr>
        <w:t xml:space="preserve">a Sala Unitaria </w:t>
      </w:r>
      <w:r w:rsidRPr="00286C5D">
        <w:rPr>
          <w:rFonts w:ascii="Arial" w:hAnsi="Arial" w:cs="Arial"/>
          <w:sz w:val="24"/>
          <w:szCs w:val="24"/>
          <w:lang w:eastAsia="es-MX"/>
        </w:rPr>
        <w:t>de hacer valer de oficio, por ser de orden público, la incompetencia de la autoridad para dictar la resolución impugnada y la ausencia total de fundamentación o motivación en dicha resolución; aunado a que, dicho análisis sobre la competencia de la autoridad administrativa debe efectuarse sin distinguir si se trata de la indebida, insuficiente o de la falta de fundamentación de la competencia.</w:t>
      </w:r>
      <w:r w:rsidR="00791707">
        <w:rPr>
          <w:rFonts w:ascii="Arial" w:hAnsi="Arial" w:cs="Arial"/>
          <w:sz w:val="24"/>
          <w:szCs w:val="24"/>
          <w:lang w:eastAsia="es-MX"/>
        </w:rPr>
        <w:t xml:space="preserve">   Siendo evidente, pues así se desprende de la lectura integral del “CONSIDERANDO PRIMERO. COMPETENCIA”, de la resolución impugnada, que hay ausencia total de motivación de la competencia por parte de la autoridad demandada.</w:t>
      </w:r>
    </w:p>
    <w:p w14:paraId="7C9448E4" w14:textId="77777777" w:rsidR="00286C5D" w:rsidRPr="00286C5D" w:rsidRDefault="00286C5D" w:rsidP="00286C5D">
      <w:pPr>
        <w:spacing w:before="120" w:after="120" w:line="360" w:lineRule="auto"/>
        <w:ind w:right="51" w:firstLine="709"/>
        <w:jc w:val="both"/>
        <w:rPr>
          <w:rFonts w:ascii="Arial" w:hAnsi="Arial" w:cs="Arial"/>
          <w:sz w:val="24"/>
          <w:szCs w:val="24"/>
          <w:lang w:eastAsia="es-MX"/>
        </w:rPr>
      </w:pPr>
    </w:p>
    <w:p w14:paraId="5FAB8D13" w14:textId="67C8A63A" w:rsidR="00286C5D" w:rsidRDefault="00286C5D" w:rsidP="00286C5D">
      <w:pPr>
        <w:spacing w:before="120" w:after="120" w:line="360" w:lineRule="auto"/>
        <w:ind w:right="51" w:firstLine="709"/>
        <w:jc w:val="both"/>
        <w:rPr>
          <w:rFonts w:ascii="Arial" w:hAnsi="Arial" w:cs="Arial"/>
          <w:sz w:val="24"/>
          <w:szCs w:val="24"/>
          <w:lang w:eastAsia="es-MX"/>
        </w:rPr>
      </w:pPr>
      <w:r w:rsidRPr="00286C5D">
        <w:rPr>
          <w:rFonts w:ascii="Arial" w:hAnsi="Arial" w:cs="Arial"/>
          <w:sz w:val="24"/>
          <w:szCs w:val="24"/>
          <w:lang w:eastAsia="es-MX"/>
        </w:rPr>
        <w:t>A ese respecto, se comparte la jurisprudencia de rubro y contenido siguientes:</w:t>
      </w:r>
    </w:p>
    <w:p w14:paraId="40A5950F" w14:textId="6A67D3F5" w:rsidR="00286C5D" w:rsidRDefault="00286C5D" w:rsidP="00A67F19">
      <w:pPr>
        <w:spacing w:before="120" w:after="120" w:line="360" w:lineRule="auto"/>
        <w:ind w:right="51" w:firstLine="709"/>
        <w:jc w:val="both"/>
        <w:rPr>
          <w:rFonts w:ascii="Arial" w:hAnsi="Arial" w:cs="Arial"/>
          <w:sz w:val="24"/>
          <w:szCs w:val="24"/>
          <w:lang w:eastAsia="es-MX"/>
        </w:rPr>
      </w:pPr>
    </w:p>
    <w:p w14:paraId="2C3E0537"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b/>
          <w:bCs/>
          <w:sz w:val="20"/>
          <w:szCs w:val="20"/>
          <w:lang w:eastAsia="es-MX"/>
        </w:rPr>
        <w:t>Registro digital:</w:t>
      </w:r>
      <w:r w:rsidRPr="00791707">
        <w:rPr>
          <w:rFonts w:ascii="Arial" w:hAnsi="Arial" w:cs="Arial"/>
          <w:sz w:val="20"/>
          <w:szCs w:val="20"/>
          <w:lang w:eastAsia="es-MX"/>
        </w:rPr>
        <w:t xml:space="preserve"> 172812</w:t>
      </w:r>
    </w:p>
    <w:p w14:paraId="625AD988"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Instancia: Tribunales Colegiados de Circuito</w:t>
      </w:r>
    </w:p>
    <w:p w14:paraId="52582C58"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Novena Época</w:t>
      </w:r>
    </w:p>
    <w:p w14:paraId="1BAA0210"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Materias(s): Administrativa</w:t>
      </w:r>
    </w:p>
    <w:p w14:paraId="641DEE56" w14:textId="6AD1A455"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Tesis: VIII.3o. J/22</w:t>
      </w:r>
    </w:p>
    <w:p w14:paraId="6B4D40DE"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Fuente: Semanario Judicial de la Federación y su Gaceta. Tomo XXV, Abril de 2007, página 1377</w:t>
      </w:r>
    </w:p>
    <w:p w14:paraId="0DBE6682" w14:textId="77777777"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sz w:val="20"/>
          <w:szCs w:val="20"/>
          <w:lang w:eastAsia="es-MX"/>
        </w:rPr>
        <w:t>Tipo: Jurisprudencia</w:t>
      </w:r>
    </w:p>
    <w:p w14:paraId="5C6F4564" w14:textId="77777777" w:rsidR="00791707" w:rsidRPr="00791707" w:rsidRDefault="00791707" w:rsidP="00791707">
      <w:pPr>
        <w:spacing w:after="0" w:line="240" w:lineRule="auto"/>
        <w:ind w:left="567" w:right="618"/>
        <w:jc w:val="both"/>
        <w:rPr>
          <w:rFonts w:ascii="Arial" w:hAnsi="Arial" w:cs="Arial"/>
          <w:sz w:val="20"/>
          <w:szCs w:val="20"/>
          <w:lang w:eastAsia="es-MX"/>
        </w:rPr>
      </w:pPr>
    </w:p>
    <w:p w14:paraId="02B662A4" w14:textId="48DC1D9B" w:rsidR="00791707" w:rsidRPr="00791707" w:rsidRDefault="00791707" w:rsidP="00791707">
      <w:pPr>
        <w:spacing w:after="0" w:line="240" w:lineRule="auto"/>
        <w:ind w:left="567" w:right="618"/>
        <w:jc w:val="both"/>
        <w:rPr>
          <w:rFonts w:ascii="Arial" w:hAnsi="Arial" w:cs="Arial"/>
          <w:sz w:val="20"/>
          <w:szCs w:val="20"/>
          <w:lang w:eastAsia="es-MX"/>
        </w:rPr>
      </w:pPr>
      <w:r w:rsidRPr="00791707">
        <w:rPr>
          <w:rFonts w:ascii="Arial" w:hAnsi="Arial" w:cs="Arial"/>
          <w:b/>
          <w:bCs/>
          <w:sz w:val="20"/>
          <w:szCs w:val="20"/>
          <w:lang w:eastAsia="es-MX"/>
        </w:rPr>
        <w:t xml:space="preserve">COMPETENCIA DE LAS AUTORIDADES ADMINISTRATIVAS. AL SER UN PRESUPUESTO PROCESAL CUYO ESTUDIO ES DE ORDEN PÚBLICO LAS SALAS DEL TRIBUNAL FEDERAL DE JUSTICIA FISCAL Y ADMINISTRATIVA DEBEN ANALIZARLA DE OFICIO, SIN DISTINGUIR SI SE TRATA DE LA INDEBIDA, INSUFICIENTE O DE LA FALTA DE FUNDAMENTACIÓN DE AQUÉLLA.   </w:t>
      </w:r>
      <w:r w:rsidRPr="00791707">
        <w:rPr>
          <w:rFonts w:ascii="Arial" w:hAnsi="Arial" w:cs="Arial"/>
          <w:sz w:val="20"/>
          <w:szCs w:val="20"/>
          <w:lang w:eastAsia="es-MX"/>
        </w:rPr>
        <w:t xml:space="preserve">De la interpretación de las tesis </w:t>
      </w:r>
      <w:r w:rsidRPr="00791707">
        <w:rPr>
          <w:rFonts w:ascii="Arial" w:hAnsi="Arial" w:cs="Arial"/>
          <w:sz w:val="20"/>
          <w:szCs w:val="20"/>
          <w:lang w:eastAsia="es-MX"/>
        </w:rPr>
        <w:lastRenderedPageBreak/>
        <w:t xml:space="preserve">jurisprudenciales P./J. 10/94, 2a./J. 99/2006, 2a./J. 57/2001 y 2a./J. 115/2005, publicadas en la Gaceta del Semanario Judicial de la Federación, Octava Época, Número 77, mayo de 1994, página 12 y Semanario Judicial de la Federación y su Gaceta, Novena Época, Tomos XXIV, julio de 2006; XIV, noviembre de 2001; y, XXII, septiembre de 2005, páginas 345, 31 y 310, respectivamente, de rubros: "COMPETENCIA. SU FUNDAMENTACIÓN ES REQUISITO ESENCIAL DEL ACTO DE AUTORIDAD."; "COMPETENCIA DE LA AUTORIDAD DEMANDADA EN EL JUICIO DE NULIDAD. DEBE ANALIZARSE EN TODOS LOS CASOS POR EL TRIBUNAL FEDERAL DE JUSTICIA FISCAL Y ADMINISTRATIVA."; "COMPETENCIA DE LAS AUTORIDADES ADMINISTRATIVAS. EN EL MANDAMIENTO ESCRITO QUE CONTIENE EL ACTO DE MOLESTIA, DEBE SEÑALARSE CON PRECISIÓN EL PRECEPTO LEGAL QUE LES OTORGUE LA ATRIBUCIÓN EJERCIDA Y, EN SU CASO, LA RESPECTIVA FRACCIÓN, INCISO Y SUBINCISO."; y "COMPETENCIA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se colige que cuando se analiza la competencia material, por grado o territorio de cualquier autoridad administrativa, entre las que se incluye a la fiscal, no cabe distinguir entre su falta o ausencia o una indebida o incompleta fundamentación, para que las Salas del Tribunal Federal de Justicia Fiscal y Administrativa estén obligadas a examinarla en forma oficiosa, toda vez que, como presupuesto procesal que atañe a la correcta integración de un procedimiento, es una cuestión de orden público, mayor aún en un procedimiento que concluye con una resolución definitiva que establece cargas fiscales a un particular. Lo anterior es así, ya que por imperativo del artículo 16 de la Constitución Política de los Estados Unidos Mexicanos la autoridad que lleva a cabo un acto de molestia, tiene la ineludible obligación de justificar a plenitud que está facultada para hacerlo, lo cual implica necesariamente que cuenta con competencia para ello en los tres ámbitos mencionados, es decir, por razón de materia, grado o territorio, expresando en el documento respectivo el carácter con el que suscribe y el dispositivo, acuerdo o decreto que le otorgue dicha legitimación, aun en el supuesto de que la norma legal no contemple apartados, fracción o fracciones, inciso y </w:t>
      </w:r>
      <w:proofErr w:type="spellStart"/>
      <w:r w:rsidRPr="00791707">
        <w:rPr>
          <w:rFonts w:ascii="Arial" w:hAnsi="Arial" w:cs="Arial"/>
          <w:sz w:val="20"/>
          <w:szCs w:val="20"/>
          <w:lang w:eastAsia="es-MX"/>
        </w:rPr>
        <w:t>subincisos</w:t>
      </w:r>
      <w:proofErr w:type="spellEnd"/>
      <w:r w:rsidRPr="00791707">
        <w:rPr>
          <w:rFonts w:ascii="Arial" w:hAnsi="Arial" w:cs="Arial"/>
          <w:sz w:val="20"/>
          <w:szCs w:val="20"/>
          <w:lang w:eastAsia="es-MX"/>
        </w:rPr>
        <w:t>, pues en tal caso, debe llegar incluso al extremo de hacer la transcripción correspondiente del precepto en que funde debidamente su competencia, toda vez que la garantía de fundamentación consagrada en el citado artículo 16, lleva implícita la idea de exactitud y precisión en la cita de las normas legales que facultan a la autoridad administrativa para emitir el acto de molestia de que se trate, ya que sólo así podrá justificar si su actuación se encuentra dentro del ámbito competencial respectivo; de tal manera que si en un acto de molestia no se citan con exactitud y precisión las normas legales que facultan a la autoridad administrativa para afectar al gobernado, ese acto concreto de autoridad carece de eficacia y validez, en tanto que aquélla no proporcionó los elementos esenciales que permitan conocer si tiene competencia para incursionar en la esfera jurídica del particular, pues de lo contrario se le dejaría en estado de indefensión, toda vez que ignoraría cuál de todas las normas legales que integran el texto normativo es la específicamente aplicable a la actuación del órgano del que emana y en ese sentido, aun cuando la indebida, insuficiente o falta de fundamentación de la competencia de la autoridad generan la ilegalidad de la resolución administrativa en términos de la fracción II del artículo 238 del Código Fiscal de la Federación, vigente hasta el 31 de diciembre de 2005, cuyo contenido sustancial se reproduce en la fracción II del artículo 51 de la Ley Federal de Procedimiento Contencioso Administrativo, relativa a la omisión de los requisitos formales exigidos por las leyes; conforme al contenido y alcance del penúltimo párrafo de ese numeral, coincidente con el penúltimo párrafo del invocado artículo 51, las Salas del Tribunal Federal de Justicia Fiscal y Administrativa están obligadas a examinarla de oficio, al resultar ilegal el acto combatido, precisamente por la actuación o intervención de una autoridad que no acreditó tener competencia.</w:t>
      </w:r>
    </w:p>
    <w:p w14:paraId="5AD6C8D6" w14:textId="77777777" w:rsidR="00286C5D" w:rsidRDefault="00286C5D" w:rsidP="00A67F19">
      <w:pPr>
        <w:spacing w:before="120" w:after="120" w:line="360" w:lineRule="auto"/>
        <w:ind w:right="51" w:firstLine="709"/>
        <w:jc w:val="both"/>
        <w:rPr>
          <w:rFonts w:ascii="Arial" w:hAnsi="Arial" w:cs="Arial"/>
          <w:sz w:val="24"/>
          <w:szCs w:val="24"/>
          <w:lang w:eastAsia="es-MX"/>
        </w:rPr>
      </w:pPr>
    </w:p>
    <w:p w14:paraId="4DC5FFF5" w14:textId="43DF77F0" w:rsidR="00527216" w:rsidRDefault="00B66A1F" w:rsidP="00A67F19">
      <w:pPr>
        <w:spacing w:before="120" w:after="120" w:line="360" w:lineRule="auto"/>
        <w:ind w:right="51" w:firstLine="709"/>
        <w:jc w:val="both"/>
        <w:rPr>
          <w:rFonts w:ascii="Arial" w:hAnsi="Arial" w:cs="Arial"/>
          <w:sz w:val="24"/>
          <w:szCs w:val="24"/>
          <w:lang w:eastAsia="es-MX"/>
        </w:rPr>
      </w:pPr>
      <w:r w:rsidRPr="00080367">
        <w:rPr>
          <w:rFonts w:ascii="Arial" w:hAnsi="Arial" w:cs="Arial"/>
          <w:sz w:val="24"/>
          <w:szCs w:val="24"/>
          <w:lang w:eastAsia="es-MX"/>
        </w:rPr>
        <w:lastRenderedPageBreak/>
        <w:t xml:space="preserve">La competencia es </w:t>
      </w:r>
      <w:r w:rsidR="000C7BE3">
        <w:rPr>
          <w:rFonts w:ascii="Arial" w:hAnsi="Arial" w:cs="Arial"/>
          <w:sz w:val="24"/>
          <w:szCs w:val="24"/>
          <w:lang w:eastAsia="es-MX"/>
        </w:rPr>
        <w:t xml:space="preserve">así, </w:t>
      </w:r>
      <w:r w:rsidRPr="00080367">
        <w:rPr>
          <w:rFonts w:ascii="Arial" w:hAnsi="Arial" w:cs="Arial"/>
          <w:sz w:val="24"/>
          <w:szCs w:val="24"/>
          <w:lang w:eastAsia="es-MX"/>
        </w:rPr>
        <w:t>el conjunto de facultades improrrogables que un órgano puede legítimamente ejercer, en razón de la materia, el territorio, el grado y el fuero establecido en una norma legal expresa</w:t>
      </w:r>
      <w:r w:rsidR="00080367" w:rsidRPr="00080367">
        <w:rPr>
          <w:rFonts w:ascii="Arial" w:hAnsi="Arial" w:cs="Arial"/>
          <w:sz w:val="24"/>
          <w:szCs w:val="24"/>
          <w:lang w:eastAsia="es-MX"/>
        </w:rPr>
        <w:t>.</w:t>
      </w:r>
    </w:p>
    <w:p w14:paraId="593D94FF" w14:textId="1B81A375" w:rsidR="00527216" w:rsidRDefault="00527216" w:rsidP="00A67F19">
      <w:pPr>
        <w:spacing w:before="120" w:after="120" w:line="360" w:lineRule="auto"/>
        <w:ind w:right="51" w:firstLine="709"/>
        <w:jc w:val="both"/>
        <w:rPr>
          <w:rFonts w:ascii="Arial" w:hAnsi="Arial" w:cs="Arial"/>
          <w:sz w:val="24"/>
          <w:szCs w:val="24"/>
          <w:lang w:eastAsia="es-MX"/>
        </w:rPr>
      </w:pPr>
    </w:p>
    <w:p w14:paraId="61E6C11D" w14:textId="77777777" w:rsidR="00527216" w:rsidRDefault="00527216" w:rsidP="00527216">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 xml:space="preserve">La competencia por materia atribuye a cada autoridad el ámbito material y personal sobre el que puede ejercer las atribuciones </w:t>
      </w:r>
      <w:r w:rsidRPr="00527216">
        <w:rPr>
          <w:rFonts w:ascii="Arial" w:hAnsi="Arial" w:cs="Arial"/>
          <w:b/>
          <w:bCs/>
          <w:sz w:val="24"/>
          <w:szCs w:val="24"/>
          <w:lang w:eastAsia="es-MX"/>
        </w:rPr>
        <w:t>establecidas en la ley</w:t>
      </w:r>
      <w:r>
        <w:rPr>
          <w:rFonts w:ascii="Arial" w:hAnsi="Arial" w:cs="Arial"/>
          <w:sz w:val="24"/>
          <w:szCs w:val="24"/>
          <w:lang w:eastAsia="es-MX"/>
        </w:rPr>
        <w:t>, esto es en las cuales puede ejercer su imperio.   De ahí que, la competencia debe estar contendida precisamente en una ley.</w:t>
      </w:r>
    </w:p>
    <w:p w14:paraId="6C8B69D2" w14:textId="77777777" w:rsidR="00527216" w:rsidRDefault="00527216" w:rsidP="00527216">
      <w:pPr>
        <w:spacing w:before="120" w:after="120" w:line="360" w:lineRule="auto"/>
        <w:ind w:right="51" w:firstLine="709"/>
        <w:jc w:val="both"/>
        <w:rPr>
          <w:rFonts w:ascii="Arial" w:hAnsi="Arial" w:cs="Arial"/>
          <w:sz w:val="24"/>
          <w:szCs w:val="24"/>
          <w:lang w:eastAsia="es-MX"/>
        </w:rPr>
      </w:pPr>
    </w:p>
    <w:p w14:paraId="3B6799E5" w14:textId="33627302" w:rsidR="00527216" w:rsidRDefault="00527216" w:rsidP="00527216">
      <w:pPr>
        <w:spacing w:before="120" w:after="120" w:line="360" w:lineRule="auto"/>
        <w:ind w:right="51" w:firstLine="709"/>
        <w:jc w:val="both"/>
        <w:rPr>
          <w:rFonts w:ascii="Arial" w:hAnsi="Arial" w:cs="Arial"/>
          <w:sz w:val="24"/>
          <w:szCs w:val="24"/>
        </w:rPr>
      </w:pPr>
      <w:r w:rsidRPr="00527216">
        <w:rPr>
          <w:rFonts w:ascii="Arial" w:hAnsi="Arial" w:cs="Arial"/>
          <w:sz w:val="24"/>
          <w:szCs w:val="24"/>
          <w:lang w:eastAsia="es-MX"/>
        </w:rPr>
        <w:t xml:space="preserve">La competencia por razón de la materia en el ámbito administrativo es improrrogable, por lo que no puede inferirse sumisión expresa o tácita del gobernado, de ahí que es válido que su análisis se verifique de oficio por las autoridades jurisdiccionales respectivas </w:t>
      </w:r>
      <w:r w:rsidRPr="00527216">
        <w:rPr>
          <w:rFonts w:ascii="Arial" w:hAnsi="Arial" w:cs="Arial"/>
          <w:b/>
          <w:bCs/>
          <w:sz w:val="24"/>
          <w:szCs w:val="24"/>
        </w:rPr>
        <w:t>emita</w:t>
      </w:r>
      <w:r w:rsidRPr="00527216">
        <w:rPr>
          <w:rFonts w:ascii="Arial" w:hAnsi="Arial" w:cs="Arial"/>
          <w:sz w:val="24"/>
          <w:szCs w:val="24"/>
        </w:rPr>
        <w:t>, es evidente que no se le otorga la oportunidad de examinar si su actuación se encuentra o no dentro del ámbito competencial respectivo, y si es conforme o no a la Constitución o a la Ley, para que en su caso, esté en aptitud de alegar, además de la ilegalidad del acto, la del apoyo en que se basa la autoridad para dictarlo, pues bien puede acontecer que su actuación no se adecue exactamente a la norma, acuerdo o decreto que invoque, o que éstos se hallen en contradicción con la Ley fundamental o la secundaria.</w:t>
      </w:r>
    </w:p>
    <w:p w14:paraId="62E2EFA9" w14:textId="371121BA" w:rsidR="00D61062" w:rsidRDefault="00D61062" w:rsidP="00527216">
      <w:pPr>
        <w:spacing w:before="120" w:after="120" w:line="360" w:lineRule="auto"/>
        <w:ind w:right="51" w:firstLine="709"/>
        <w:jc w:val="both"/>
        <w:rPr>
          <w:rFonts w:ascii="Arial" w:hAnsi="Arial" w:cs="Arial"/>
          <w:sz w:val="24"/>
          <w:szCs w:val="24"/>
        </w:rPr>
      </w:pPr>
    </w:p>
    <w:p w14:paraId="2747B5A9" w14:textId="7A05F307" w:rsidR="00D61062" w:rsidRDefault="00D61062" w:rsidP="00527216">
      <w:pPr>
        <w:spacing w:before="120" w:after="120" w:line="360" w:lineRule="auto"/>
        <w:ind w:right="51" w:firstLine="709"/>
        <w:jc w:val="both"/>
        <w:rPr>
          <w:rFonts w:ascii="Arial" w:hAnsi="Arial" w:cs="Arial"/>
          <w:sz w:val="24"/>
          <w:szCs w:val="24"/>
        </w:rPr>
      </w:pPr>
      <w:r>
        <w:rPr>
          <w:rFonts w:ascii="Arial" w:hAnsi="Arial" w:cs="Arial"/>
          <w:sz w:val="24"/>
          <w:szCs w:val="24"/>
        </w:rPr>
        <w:t>Es ilustrativa la tesis aislada que se transcribe a continuación:</w:t>
      </w:r>
    </w:p>
    <w:p w14:paraId="51494462" w14:textId="02D152B9" w:rsidR="00D61062" w:rsidRDefault="00D61062" w:rsidP="00527216">
      <w:pPr>
        <w:spacing w:before="120" w:after="120" w:line="360" w:lineRule="auto"/>
        <w:ind w:right="51" w:firstLine="709"/>
        <w:jc w:val="both"/>
        <w:rPr>
          <w:rFonts w:ascii="Arial" w:hAnsi="Arial" w:cs="Arial"/>
          <w:sz w:val="24"/>
          <w:szCs w:val="24"/>
        </w:rPr>
      </w:pPr>
    </w:p>
    <w:p w14:paraId="235EBE70"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b/>
          <w:bCs/>
          <w:sz w:val="20"/>
          <w:szCs w:val="20"/>
        </w:rPr>
        <w:t>Registro digital:</w:t>
      </w:r>
      <w:r w:rsidRPr="00D61062">
        <w:rPr>
          <w:rFonts w:ascii="Arial" w:hAnsi="Arial" w:cs="Arial"/>
          <w:sz w:val="20"/>
          <w:szCs w:val="20"/>
        </w:rPr>
        <w:t xml:space="preserve"> 201107</w:t>
      </w:r>
    </w:p>
    <w:p w14:paraId="04BC9C64"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Instancia: Tribunales Colegiados de Circuito</w:t>
      </w:r>
    </w:p>
    <w:p w14:paraId="52C869AA"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Novena Época</w:t>
      </w:r>
    </w:p>
    <w:p w14:paraId="6D8A8794"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Materias(s): Común</w:t>
      </w:r>
    </w:p>
    <w:p w14:paraId="76803D63"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Tesis: XX.91 K</w:t>
      </w:r>
    </w:p>
    <w:p w14:paraId="30BFEC49"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Fuente: Semanario Judicial de la Federación y su Gaceta. Tomo IV, Octubre de 1996, página 506</w:t>
      </w:r>
    </w:p>
    <w:p w14:paraId="4DD886F5" w14:textId="77777777"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sz w:val="20"/>
          <w:szCs w:val="20"/>
        </w:rPr>
        <w:t>Tipo: Aislada</w:t>
      </w:r>
    </w:p>
    <w:p w14:paraId="06BE4810" w14:textId="77777777" w:rsidR="00D61062" w:rsidRPr="00D61062" w:rsidRDefault="00D61062" w:rsidP="00D61062">
      <w:pPr>
        <w:spacing w:after="0" w:line="240" w:lineRule="auto"/>
        <w:ind w:left="567" w:right="618"/>
        <w:jc w:val="both"/>
        <w:rPr>
          <w:rFonts w:ascii="Arial" w:hAnsi="Arial" w:cs="Arial"/>
          <w:sz w:val="20"/>
          <w:szCs w:val="20"/>
        </w:rPr>
      </w:pPr>
    </w:p>
    <w:p w14:paraId="1AAFBEC3" w14:textId="55F86922" w:rsidR="00D61062" w:rsidRPr="00D61062" w:rsidRDefault="00D61062" w:rsidP="00D61062">
      <w:pPr>
        <w:spacing w:after="0" w:line="240" w:lineRule="auto"/>
        <w:ind w:left="567" w:right="618"/>
        <w:jc w:val="both"/>
        <w:rPr>
          <w:rFonts w:ascii="Arial" w:hAnsi="Arial" w:cs="Arial"/>
          <w:sz w:val="20"/>
          <w:szCs w:val="20"/>
        </w:rPr>
      </w:pPr>
      <w:r w:rsidRPr="00D61062">
        <w:rPr>
          <w:rFonts w:ascii="Arial" w:hAnsi="Arial" w:cs="Arial"/>
          <w:b/>
          <w:bCs/>
          <w:sz w:val="20"/>
          <w:szCs w:val="20"/>
        </w:rPr>
        <w:t xml:space="preserve">COMPETENCIA POR RAZON DE MATERIA, PUEDE SER INVOCADA AUN DE OFICIO LA.   </w:t>
      </w:r>
      <w:r w:rsidRPr="00D61062">
        <w:rPr>
          <w:rFonts w:ascii="Arial" w:hAnsi="Arial" w:cs="Arial"/>
          <w:sz w:val="20"/>
          <w:szCs w:val="20"/>
        </w:rPr>
        <w:t>La competencia por razón de la materia es improrrogable y puede ser invocada aun de oficio.</w:t>
      </w:r>
    </w:p>
    <w:p w14:paraId="0846B45A" w14:textId="77777777" w:rsidR="00527216" w:rsidRDefault="00527216" w:rsidP="00A67F19">
      <w:pPr>
        <w:spacing w:before="120" w:after="120" w:line="360" w:lineRule="auto"/>
        <w:ind w:right="51" w:firstLine="709"/>
        <w:jc w:val="both"/>
        <w:rPr>
          <w:rFonts w:ascii="Arial" w:hAnsi="Arial" w:cs="Arial"/>
          <w:sz w:val="24"/>
          <w:szCs w:val="24"/>
          <w:lang w:eastAsia="es-MX"/>
        </w:rPr>
      </w:pPr>
    </w:p>
    <w:p w14:paraId="532AE00F" w14:textId="2A89EC9B" w:rsidR="00B66A1F" w:rsidRDefault="00080367" w:rsidP="00A67F19">
      <w:pPr>
        <w:spacing w:before="120" w:after="120" w:line="360" w:lineRule="auto"/>
        <w:ind w:right="51" w:firstLine="709"/>
        <w:jc w:val="both"/>
        <w:rPr>
          <w:rFonts w:ascii="Arial" w:hAnsi="Arial" w:cs="Arial"/>
          <w:sz w:val="24"/>
          <w:szCs w:val="24"/>
        </w:rPr>
      </w:pPr>
      <w:r w:rsidRPr="00080367">
        <w:rPr>
          <w:rFonts w:ascii="Arial" w:hAnsi="Arial" w:cs="Arial"/>
          <w:sz w:val="24"/>
          <w:szCs w:val="24"/>
          <w:lang w:eastAsia="es-MX"/>
        </w:rPr>
        <w:t xml:space="preserve">Es así que, la competencia se </w:t>
      </w:r>
      <w:r w:rsidRPr="00080367">
        <w:rPr>
          <w:rFonts w:ascii="Arial" w:hAnsi="Arial" w:cs="Arial"/>
          <w:sz w:val="24"/>
          <w:szCs w:val="24"/>
        </w:rPr>
        <w:t>entiende como el conjunto de facultades o atribuciones que el orden jurídico le confiere al órgano administrativo, o sea, es en realidad la medida del poder o facultad otorgada a un órgano jurisdiccional.</w:t>
      </w:r>
      <w:r>
        <w:rPr>
          <w:rFonts w:ascii="Arial" w:hAnsi="Arial" w:cs="Arial"/>
          <w:sz w:val="24"/>
          <w:szCs w:val="24"/>
        </w:rPr>
        <w:t xml:space="preserve">  </w:t>
      </w:r>
      <w:r w:rsidRPr="00080367">
        <w:rPr>
          <w:rFonts w:ascii="Arial" w:hAnsi="Arial" w:cs="Arial"/>
          <w:sz w:val="24"/>
          <w:szCs w:val="24"/>
        </w:rPr>
        <w:t xml:space="preserve"> El fundamento en nuestro sistema jurídico radica </w:t>
      </w:r>
      <w:r w:rsidRPr="00080367">
        <w:rPr>
          <w:rFonts w:ascii="Arial" w:hAnsi="Arial" w:cs="Arial"/>
          <w:sz w:val="24"/>
          <w:szCs w:val="24"/>
        </w:rPr>
        <w:lastRenderedPageBreak/>
        <w:t xml:space="preserve">en los numerales </w:t>
      </w:r>
      <w:r w:rsidRPr="00080367">
        <w:rPr>
          <w:rFonts w:ascii="Arial" w:hAnsi="Arial" w:cs="Arial"/>
          <w:b/>
          <w:bCs/>
          <w:sz w:val="24"/>
          <w:szCs w:val="24"/>
        </w:rPr>
        <w:t xml:space="preserve">14 </w:t>
      </w:r>
      <w:r w:rsidRPr="00080367">
        <w:rPr>
          <w:rFonts w:ascii="Arial" w:hAnsi="Arial" w:cs="Arial"/>
          <w:sz w:val="24"/>
          <w:szCs w:val="24"/>
        </w:rPr>
        <w:t xml:space="preserve">y </w:t>
      </w:r>
      <w:r w:rsidRPr="00080367">
        <w:rPr>
          <w:rFonts w:ascii="Arial" w:hAnsi="Arial" w:cs="Arial"/>
          <w:b/>
          <w:bCs/>
          <w:sz w:val="24"/>
          <w:szCs w:val="24"/>
        </w:rPr>
        <w:t xml:space="preserve">16 </w:t>
      </w:r>
      <w:r w:rsidRPr="00080367">
        <w:rPr>
          <w:rFonts w:ascii="Arial" w:hAnsi="Arial" w:cs="Arial"/>
          <w:sz w:val="24"/>
          <w:szCs w:val="24"/>
        </w:rPr>
        <w:t>de la Constitución Política de los Estados Unidos Mexicanos que la contempla como garantía individual</w:t>
      </w:r>
      <w:r>
        <w:rPr>
          <w:rFonts w:ascii="Arial" w:hAnsi="Arial" w:cs="Arial"/>
          <w:sz w:val="24"/>
          <w:szCs w:val="24"/>
        </w:rPr>
        <w:t>; el contenido del artículo 16 constitucional ya se ha transcrito, en tanto que el artículo 14</w:t>
      </w:r>
      <w:r w:rsidRPr="00080367">
        <w:rPr>
          <w:rFonts w:ascii="Arial" w:hAnsi="Arial" w:cs="Arial"/>
          <w:sz w:val="24"/>
          <w:szCs w:val="24"/>
        </w:rPr>
        <w:t xml:space="preserve"> señala</w:t>
      </w:r>
      <w:r>
        <w:rPr>
          <w:rFonts w:ascii="Arial" w:hAnsi="Arial" w:cs="Arial"/>
          <w:sz w:val="24"/>
          <w:szCs w:val="24"/>
        </w:rPr>
        <w:t xml:space="preserve"> en lo conducente </w:t>
      </w:r>
      <w:r w:rsidRPr="00080367">
        <w:rPr>
          <w:rFonts w:ascii="Arial" w:hAnsi="Arial" w:cs="Arial"/>
          <w:sz w:val="24"/>
          <w:szCs w:val="24"/>
        </w:rPr>
        <w:t>que:</w:t>
      </w:r>
    </w:p>
    <w:p w14:paraId="3A2B9BE6" w14:textId="3608A4E4" w:rsidR="00080367" w:rsidRDefault="00080367" w:rsidP="00A67F19">
      <w:pPr>
        <w:spacing w:before="120" w:after="120" w:line="360" w:lineRule="auto"/>
        <w:ind w:right="51" w:firstLine="709"/>
        <w:jc w:val="both"/>
        <w:rPr>
          <w:rFonts w:ascii="Arial" w:hAnsi="Arial" w:cs="Arial"/>
          <w:sz w:val="24"/>
          <w:szCs w:val="24"/>
        </w:rPr>
      </w:pPr>
    </w:p>
    <w:p w14:paraId="6956C7D1" w14:textId="274B3E4A" w:rsidR="00080367" w:rsidRPr="00080367" w:rsidRDefault="00080367" w:rsidP="00080367">
      <w:pPr>
        <w:spacing w:after="0" w:line="240" w:lineRule="auto"/>
        <w:ind w:left="567" w:right="618"/>
        <w:jc w:val="both"/>
        <w:rPr>
          <w:rFonts w:ascii="Arial" w:hAnsi="Arial" w:cs="Arial"/>
          <w:sz w:val="20"/>
          <w:szCs w:val="20"/>
          <w:lang w:eastAsia="es-MX"/>
        </w:rPr>
      </w:pPr>
      <w:r w:rsidRPr="00080367">
        <w:rPr>
          <w:rFonts w:ascii="Arial" w:hAnsi="Arial" w:cs="Arial"/>
          <w:b/>
          <w:bCs/>
          <w:sz w:val="20"/>
          <w:szCs w:val="20"/>
          <w:lang w:eastAsia="es-MX"/>
        </w:rPr>
        <w:t>Artículo 14.</w:t>
      </w:r>
      <w:r w:rsidRPr="00080367">
        <w:rPr>
          <w:rFonts w:ascii="Arial" w:hAnsi="Arial" w:cs="Arial"/>
          <w:sz w:val="20"/>
          <w:szCs w:val="20"/>
          <w:lang w:eastAsia="es-MX"/>
        </w:rPr>
        <w:t xml:space="preserve"> […] </w:t>
      </w:r>
    </w:p>
    <w:p w14:paraId="24359AFF" w14:textId="77777777" w:rsidR="00080367" w:rsidRDefault="00080367" w:rsidP="00080367">
      <w:pPr>
        <w:spacing w:after="0" w:line="240" w:lineRule="auto"/>
        <w:ind w:left="567" w:right="618"/>
        <w:jc w:val="both"/>
        <w:rPr>
          <w:rFonts w:ascii="Arial" w:hAnsi="Arial" w:cs="Arial"/>
          <w:sz w:val="20"/>
          <w:szCs w:val="20"/>
          <w:lang w:eastAsia="es-MX"/>
        </w:rPr>
      </w:pPr>
    </w:p>
    <w:p w14:paraId="04AA8C9C" w14:textId="3D0200E3" w:rsidR="00080367" w:rsidRDefault="00080367" w:rsidP="00080367">
      <w:pPr>
        <w:spacing w:after="0" w:line="240" w:lineRule="auto"/>
        <w:ind w:left="567" w:right="618"/>
        <w:jc w:val="both"/>
        <w:rPr>
          <w:rFonts w:ascii="Arial" w:hAnsi="Arial" w:cs="Arial"/>
          <w:sz w:val="20"/>
          <w:szCs w:val="20"/>
          <w:lang w:eastAsia="es-MX"/>
        </w:rPr>
      </w:pPr>
      <w:r w:rsidRPr="00080367">
        <w:rPr>
          <w:rFonts w:ascii="Arial" w:hAnsi="Arial" w:cs="Arial"/>
          <w:sz w:val="20"/>
          <w:szCs w:val="20"/>
          <w:lang w:eastAsia="es-MX"/>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14:paraId="10E8D936" w14:textId="77777777" w:rsidR="00080367" w:rsidRPr="00080367" w:rsidRDefault="00080367" w:rsidP="00080367">
      <w:pPr>
        <w:spacing w:after="0" w:line="240" w:lineRule="auto"/>
        <w:ind w:left="567" w:right="618"/>
        <w:jc w:val="both"/>
        <w:rPr>
          <w:rFonts w:ascii="Arial" w:hAnsi="Arial" w:cs="Arial"/>
          <w:sz w:val="20"/>
          <w:szCs w:val="20"/>
          <w:lang w:eastAsia="es-MX"/>
        </w:rPr>
      </w:pPr>
    </w:p>
    <w:p w14:paraId="2EE271B9" w14:textId="4B5A7ADD" w:rsidR="006C25C7" w:rsidRPr="00080367" w:rsidRDefault="00080367" w:rsidP="00A67F19">
      <w:pPr>
        <w:spacing w:before="120" w:after="120" w:line="360" w:lineRule="auto"/>
        <w:ind w:right="51" w:firstLine="709"/>
        <w:jc w:val="both"/>
        <w:rPr>
          <w:rFonts w:ascii="Arial" w:hAnsi="Arial" w:cs="Arial"/>
          <w:sz w:val="24"/>
          <w:szCs w:val="24"/>
          <w:lang w:eastAsia="es-MX"/>
        </w:rPr>
      </w:pPr>
      <w:r w:rsidRPr="00080367">
        <w:rPr>
          <w:rFonts w:ascii="Arial" w:hAnsi="Arial" w:cs="Arial"/>
          <w:sz w:val="24"/>
          <w:szCs w:val="24"/>
        </w:rPr>
        <w:t xml:space="preserve">Haciendo una interpretación armónica de las garantías de legalidad y seguridad jurídica que consagran los artículos </w:t>
      </w:r>
      <w:r w:rsidRPr="00080367">
        <w:rPr>
          <w:rFonts w:ascii="Arial" w:hAnsi="Arial" w:cs="Arial"/>
          <w:b/>
          <w:bCs/>
          <w:sz w:val="24"/>
          <w:szCs w:val="24"/>
        </w:rPr>
        <w:t xml:space="preserve">14 </w:t>
      </w:r>
      <w:r w:rsidRPr="00080367">
        <w:rPr>
          <w:rFonts w:ascii="Arial" w:hAnsi="Arial" w:cs="Arial"/>
          <w:sz w:val="24"/>
          <w:szCs w:val="24"/>
        </w:rPr>
        <w:t xml:space="preserve">y </w:t>
      </w:r>
      <w:r w:rsidRPr="00080367">
        <w:rPr>
          <w:rFonts w:ascii="Arial" w:hAnsi="Arial" w:cs="Arial"/>
          <w:b/>
          <w:bCs/>
          <w:sz w:val="24"/>
          <w:szCs w:val="24"/>
        </w:rPr>
        <w:t xml:space="preserve">16 </w:t>
      </w:r>
      <w:r w:rsidRPr="00080367">
        <w:rPr>
          <w:rFonts w:ascii="Arial" w:hAnsi="Arial" w:cs="Arial"/>
          <w:sz w:val="24"/>
          <w:szCs w:val="24"/>
        </w:rPr>
        <w:t xml:space="preserve">de la Constitución Federal, se advierte que los actos de molestia y privación, entre otros requisitos, </w:t>
      </w:r>
      <w:r w:rsidRPr="00080367">
        <w:rPr>
          <w:rFonts w:ascii="Arial" w:hAnsi="Arial" w:cs="Arial"/>
          <w:b/>
          <w:bCs/>
          <w:sz w:val="24"/>
          <w:szCs w:val="24"/>
        </w:rPr>
        <w:t>deben ser emitidos por autoridad competente</w:t>
      </w:r>
      <w:r w:rsidRPr="00080367">
        <w:rPr>
          <w:rFonts w:ascii="Arial" w:hAnsi="Arial" w:cs="Arial"/>
          <w:sz w:val="24"/>
          <w:szCs w:val="24"/>
        </w:rPr>
        <w:t xml:space="preserve"> y cumplir las formalidades esenciales que les den eficacia jurídica, lo que significa que </w:t>
      </w:r>
      <w:r w:rsidRPr="00080367">
        <w:rPr>
          <w:rFonts w:ascii="Arial" w:hAnsi="Arial" w:cs="Arial"/>
          <w:b/>
          <w:bCs/>
          <w:sz w:val="24"/>
          <w:szCs w:val="24"/>
        </w:rPr>
        <w:t>todo acto de autoridad, necesariamente, supone la realización de quien para ello está facultado, expresándose como parte de las formalidades esenciales que les den eficacia jurídica, el carácter con que se suscribe y el dispositivo, acuerdo o decreto que otorga tal legitimación, y los razonamiento lógico jurídicos en que se apoye.</w:t>
      </w:r>
    </w:p>
    <w:p w14:paraId="40318A9E" w14:textId="7E641A3E" w:rsidR="006C25C7" w:rsidRDefault="006C25C7" w:rsidP="00A67F19">
      <w:pPr>
        <w:spacing w:before="120" w:after="120" w:line="360" w:lineRule="auto"/>
        <w:ind w:right="51" w:firstLine="709"/>
        <w:jc w:val="both"/>
        <w:rPr>
          <w:rFonts w:ascii="Arial" w:hAnsi="Arial" w:cs="Arial"/>
          <w:sz w:val="24"/>
          <w:szCs w:val="24"/>
          <w:lang w:eastAsia="es-MX"/>
        </w:rPr>
      </w:pPr>
    </w:p>
    <w:p w14:paraId="614FBB3A" w14:textId="55094C67" w:rsidR="00527216" w:rsidRDefault="00527216" w:rsidP="00A67F19">
      <w:pPr>
        <w:spacing w:before="120" w:after="120" w:line="360" w:lineRule="auto"/>
        <w:ind w:right="51" w:firstLine="709"/>
        <w:jc w:val="both"/>
        <w:rPr>
          <w:rFonts w:ascii="Arial" w:hAnsi="Arial" w:cs="Arial"/>
          <w:sz w:val="24"/>
          <w:szCs w:val="24"/>
        </w:rPr>
      </w:pPr>
      <w:r w:rsidRPr="00527216">
        <w:rPr>
          <w:rFonts w:ascii="Arial" w:hAnsi="Arial" w:cs="Arial"/>
          <w:sz w:val="24"/>
          <w:szCs w:val="24"/>
        </w:rPr>
        <w:t xml:space="preserve">De lo contrario, se dejaría </w:t>
      </w:r>
      <w:r w:rsidRPr="00527216">
        <w:rPr>
          <w:rFonts w:ascii="Arial" w:hAnsi="Arial" w:cs="Arial"/>
          <w:b/>
          <w:bCs/>
          <w:sz w:val="24"/>
          <w:szCs w:val="24"/>
        </w:rPr>
        <w:t>al afectado en estado de indefensión, ya que al no conocer el fundamento que faculta a la autoridad para emitir el acto</w:t>
      </w:r>
      <w:r w:rsidRPr="00527216">
        <w:rPr>
          <w:rFonts w:ascii="Arial" w:hAnsi="Arial" w:cs="Arial"/>
          <w:sz w:val="24"/>
          <w:szCs w:val="24"/>
        </w:rPr>
        <w:t xml:space="preserve">, </w:t>
      </w:r>
      <w:r w:rsidRPr="00527216">
        <w:rPr>
          <w:rFonts w:ascii="Arial" w:hAnsi="Arial" w:cs="Arial"/>
          <w:b/>
          <w:bCs/>
          <w:sz w:val="24"/>
          <w:szCs w:val="24"/>
        </w:rPr>
        <w:t>ni el carácter con que lo emita</w:t>
      </w:r>
      <w:r w:rsidRPr="00527216">
        <w:rPr>
          <w:rFonts w:ascii="Arial" w:hAnsi="Arial" w:cs="Arial"/>
          <w:sz w:val="24"/>
          <w:szCs w:val="24"/>
        </w:rPr>
        <w:t>, es evidente que no se le otorga la oportunidad de examinar si su actuación se encuentra o no dentro del ámbito competencial respectivo, y si es conforme o no a la Constitución o a la Ley, para que en su caso, esté en aptitud de alegar, además de la ilegalidad del acto, la del apoyo en que se basa la autoridad para dictarlo, pues bien puede acontecer que su actuación no se adecue exactamente a la norma, acuerdo o decreto que invoque, o que éstos se hallen en contradicción con la Ley fundamental o la secundaria.</w:t>
      </w:r>
    </w:p>
    <w:p w14:paraId="60C4DDEA" w14:textId="7B823352" w:rsidR="00527216" w:rsidRDefault="00527216" w:rsidP="00A67F19">
      <w:pPr>
        <w:spacing w:before="120" w:after="120" w:line="360" w:lineRule="auto"/>
        <w:ind w:right="51" w:firstLine="709"/>
        <w:jc w:val="both"/>
        <w:rPr>
          <w:rFonts w:ascii="Arial" w:hAnsi="Arial" w:cs="Arial"/>
          <w:sz w:val="24"/>
          <w:szCs w:val="24"/>
        </w:rPr>
      </w:pPr>
    </w:p>
    <w:p w14:paraId="4CF7BE69" w14:textId="76A4511C" w:rsidR="00527216" w:rsidRPr="00527216" w:rsidRDefault="00527216" w:rsidP="00A67F19">
      <w:pPr>
        <w:spacing w:before="120" w:after="120" w:line="360" w:lineRule="auto"/>
        <w:ind w:right="51" w:firstLine="709"/>
        <w:jc w:val="both"/>
        <w:rPr>
          <w:rFonts w:ascii="Arial" w:hAnsi="Arial" w:cs="Arial"/>
          <w:sz w:val="24"/>
          <w:szCs w:val="24"/>
          <w:lang w:eastAsia="es-MX"/>
        </w:rPr>
      </w:pPr>
      <w:r w:rsidRPr="00527216">
        <w:rPr>
          <w:rFonts w:ascii="Arial" w:hAnsi="Arial" w:cs="Arial"/>
          <w:sz w:val="24"/>
          <w:szCs w:val="24"/>
        </w:rPr>
        <w:t xml:space="preserve">Por lo que la </w:t>
      </w:r>
      <w:r w:rsidRPr="00527216">
        <w:rPr>
          <w:rFonts w:ascii="Arial" w:hAnsi="Arial" w:cs="Arial"/>
          <w:b/>
          <w:bCs/>
          <w:sz w:val="24"/>
          <w:szCs w:val="24"/>
        </w:rPr>
        <w:t xml:space="preserve">incompetencia </w:t>
      </w:r>
      <w:r w:rsidRPr="00527216">
        <w:rPr>
          <w:rFonts w:ascii="Arial" w:hAnsi="Arial" w:cs="Arial"/>
          <w:sz w:val="24"/>
          <w:szCs w:val="24"/>
        </w:rPr>
        <w:t xml:space="preserve">del funcionario, </w:t>
      </w:r>
      <w:r w:rsidRPr="00527216">
        <w:rPr>
          <w:rFonts w:ascii="Arial" w:hAnsi="Arial" w:cs="Arial"/>
          <w:b/>
          <w:bCs/>
          <w:sz w:val="24"/>
          <w:szCs w:val="24"/>
        </w:rPr>
        <w:t>es aquélla que se deriva de la inexistencia de normas legales que faculten a la autoridad, para la realización de determinadas atribuciones.</w:t>
      </w:r>
    </w:p>
    <w:p w14:paraId="479FA305" w14:textId="18C8A944" w:rsidR="00286EBB" w:rsidRDefault="00286EBB" w:rsidP="00A67F19">
      <w:pPr>
        <w:spacing w:before="120" w:after="120" w:line="360" w:lineRule="auto"/>
        <w:ind w:right="51" w:firstLine="709"/>
        <w:jc w:val="both"/>
        <w:rPr>
          <w:rFonts w:ascii="Arial" w:hAnsi="Arial" w:cs="Arial"/>
          <w:sz w:val="24"/>
          <w:szCs w:val="24"/>
          <w:lang w:eastAsia="es-MX"/>
        </w:rPr>
      </w:pPr>
    </w:p>
    <w:p w14:paraId="24E1EFEB" w14:textId="55CA77C0" w:rsidR="00527216" w:rsidRDefault="00527216" w:rsidP="00027B76">
      <w:pPr>
        <w:spacing w:before="120" w:after="120" w:line="360" w:lineRule="auto"/>
        <w:ind w:right="51" w:firstLine="709"/>
        <w:jc w:val="both"/>
        <w:rPr>
          <w:rFonts w:ascii="Arial" w:hAnsi="Arial" w:cs="Arial"/>
          <w:sz w:val="24"/>
          <w:szCs w:val="24"/>
        </w:rPr>
      </w:pPr>
      <w:r w:rsidRPr="00527216">
        <w:rPr>
          <w:rFonts w:ascii="Arial" w:hAnsi="Arial" w:cs="Arial"/>
          <w:sz w:val="24"/>
          <w:szCs w:val="24"/>
        </w:rPr>
        <w:lastRenderedPageBreak/>
        <w:t xml:space="preserve">Es decir, se </w:t>
      </w:r>
      <w:r w:rsidRPr="00527216">
        <w:rPr>
          <w:rFonts w:ascii="Arial" w:hAnsi="Arial" w:cs="Arial"/>
          <w:b/>
          <w:bCs/>
          <w:sz w:val="24"/>
          <w:szCs w:val="24"/>
        </w:rPr>
        <w:t>contempla el conjunto de facultades otorgadas por la Ley a determinadas autoridades, para establecer si su actuación se encuentra comprendida dentro de ellas</w:t>
      </w:r>
      <w:r w:rsidRPr="00527216">
        <w:rPr>
          <w:rFonts w:ascii="Arial" w:hAnsi="Arial" w:cs="Arial"/>
          <w:sz w:val="24"/>
          <w:szCs w:val="24"/>
        </w:rPr>
        <w:t xml:space="preserve"> o no. </w:t>
      </w:r>
      <w:r w:rsidR="00027B76">
        <w:rPr>
          <w:rFonts w:ascii="Arial" w:hAnsi="Arial" w:cs="Arial"/>
          <w:sz w:val="24"/>
          <w:szCs w:val="24"/>
        </w:rPr>
        <w:t xml:space="preserve">  </w:t>
      </w:r>
      <w:r w:rsidRPr="00527216">
        <w:rPr>
          <w:rFonts w:ascii="Arial" w:hAnsi="Arial" w:cs="Arial"/>
          <w:sz w:val="24"/>
          <w:szCs w:val="24"/>
        </w:rPr>
        <w:t xml:space="preserve">Lo anterior implica que esta Sala </w:t>
      </w:r>
      <w:r w:rsidR="00027B76">
        <w:rPr>
          <w:rFonts w:ascii="Arial" w:hAnsi="Arial" w:cs="Arial"/>
          <w:sz w:val="24"/>
          <w:szCs w:val="24"/>
        </w:rPr>
        <w:t>Unitaria</w:t>
      </w:r>
      <w:r w:rsidRPr="00527216">
        <w:rPr>
          <w:rFonts w:ascii="Arial" w:hAnsi="Arial" w:cs="Arial"/>
          <w:sz w:val="24"/>
          <w:szCs w:val="24"/>
        </w:rPr>
        <w:t xml:space="preserve">, sólo debe analizar si la autoridad considerada como tal, con independencia del funcionario investido con dicho carácter, está facultada </w:t>
      </w:r>
      <w:r w:rsidR="00027B76">
        <w:rPr>
          <w:rFonts w:ascii="Arial" w:hAnsi="Arial" w:cs="Arial"/>
          <w:sz w:val="24"/>
          <w:szCs w:val="24"/>
        </w:rPr>
        <w:t xml:space="preserve">por la ley </w:t>
      </w:r>
      <w:r w:rsidRPr="00527216">
        <w:rPr>
          <w:rFonts w:ascii="Arial" w:hAnsi="Arial" w:cs="Arial"/>
          <w:sz w:val="24"/>
          <w:szCs w:val="24"/>
        </w:rPr>
        <w:t>para la realización del acto impugnado.</w:t>
      </w:r>
    </w:p>
    <w:p w14:paraId="5360D9B0" w14:textId="77777777" w:rsidR="00027B76" w:rsidRPr="00527216" w:rsidRDefault="00027B76" w:rsidP="00027B76">
      <w:pPr>
        <w:spacing w:before="120" w:after="120" w:line="360" w:lineRule="auto"/>
        <w:ind w:right="51" w:firstLine="709"/>
        <w:jc w:val="both"/>
        <w:rPr>
          <w:rFonts w:ascii="Arial" w:hAnsi="Arial" w:cs="Arial"/>
          <w:sz w:val="24"/>
          <w:szCs w:val="24"/>
        </w:rPr>
      </w:pPr>
    </w:p>
    <w:p w14:paraId="0ABDCA4A" w14:textId="7BA5605D" w:rsidR="00527216" w:rsidRDefault="00527216" w:rsidP="00027B76">
      <w:pPr>
        <w:spacing w:before="120" w:after="120" w:line="360" w:lineRule="auto"/>
        <w:ind w:right="51" w:firstLine="709"/>
        <w:jc w:val="both"/>
        <w:rPr>
          <w:rFonts w:ascii="Arial" w:hAnsi="Arial" w:cs="Arial"/>
          <w:sz w:val="24"/>
          <w:szCs w:val="24"/>
        </w:rPr>
      </w:pPr>
      <w:r w:rsidRPr="00527216">
        <w:rPr>
          <w:rFonts w:ascii="Arial" w:hAnsi="Arial" w:cs="Arial"/>
          <w:sz w:val="24"/>
          <w:szCs w:val="24"/>
        </w:rPr>
        <w:t xml:space="preserve">Así la competencia de la Sala </w:t>
      </w:r>
      <w:r w:rsidR="00027B76">
        <w:rPr>
          <w:rFonts w:ascii="Arial" w:hAnsi="Arial" w:cs="Arial"/>
          <w:sz w:val="24"/>
          <w:szCs w:val="24"/>
        </w:rPr>
        <w:t xml:space="preserve">Unitaria </w:t>
      </w:r>
      <w:r w:rsidRPr="00527216">
        <w:rPr>
          <w:rFonts w:ascii="Arial" w:hAnsi="Arial" w:cs="Arial"/>
          <w:sz w:val="24"/>
          <w:szCs w:val="24"/>
        </w:rPr>
        <w:t>al examinar estas cuestiones, únicamente conlleva al análisis de la Ley respectiva, para establecer si el funcionario que suscribe el acto está facultado por ella, con abstracción de la persona física que ostenta el nombramiento correspondiente.</w:t>
      </w:r>
    </w:p>
    <w:p w14:paraId="126ED4C9" w14:textId="77777777" w:rsidR="00027B76" w:rsidRPr="00527216" w:rsidRDefault="00027B76" w:rsidP="00027B76">
      <w:pPr>
        <w:spacing w:before="120" w:after="120" w:line="360" w:lineRule="auto"/>
        <w:ind w:right="51" w:firstLine="709"/>
        <w:jc w:val="both"/>
        <w:rPr>
          <w:rFonts w:ascii="Arial" w:hAnsi="Arial" w:cs="Arial"/>
          <w:sz w:val="24"/>
          <w:szCs w:val="24"/>
        </w:rPr>
      </w:pPr>
    </w:p>
    <w:p w14:paraId="2E062A0A" w14:textId="0D9D3561" w:rsidR="00527216" w:rsidRDefault="00527216" w:rsidP="00027B76">
      <w:pPr>
        <w:spacing w:before="120" w:after="120" w:line="360" w:lineRule="auto"/>
        <w:ind w:right="51" w:firstLine="709"/>
        <w:jc w:val="both"/>
        <w:rPr>
          <w:rFonts w:ascii="Arial" w:hAnsi="Arial" w:cs="Arial"/>
          <w:sz w:val="24"/>
          <w:szCs w:val="24"/>
        </w:rPr>
      </w:pPr>
      <w:r w:rsidRPr="00527216">
        <w:rPr>
          <w:rFonts w:ascii="Arial" w:hAnsi="Arial" w:cs="Arial"/>
          <w:sz w:val="24"/>
          <w:szCs w:val="24"/>
        </w:rPr>
        <w:t xml:space="preserve">Cabe agregar, que la Suprema Corte de Justicia de la Nación ha establecido en diversos criterios jurisprudenciales que las autoridades, al emitir actos, tienen la obligación de citar las normas legales que las faculten para ello; lo anterior, a fin de observar la garantía de seguridad jurídica prevista en el artículo 16 de la Constitución Política de los Estados Unidos Mexicanos </w:t>
      </w:r>
      <w:r w:rsidR="00027B76">
        <w:rPr>
          <w:rFonts w:ascii="Arial" w:hAnsi="Arial" w:cs="Arial"/>
          <w:sz w:val="24"/>
          <w:szCs w:val="24"/>
        </w:rPr>
        <w:t>[</w:t>
      </w:r>
      <w:r w:rsidR="00027B76" w:rsidRPr="00027B76">
        <w:rPr>
          <w:rFonts w:ascii="Arial" w:hAnsi="Arial" w:cs="Arial"/>
          <w:sz w:val="24"/>
          <w:szCs w:val="24"/>
        </w:rPr>
        <w:t>Novena Época, Número de Registro: 170827, Instancia: Segunda Sala, Jurisprudencia, Fuente: Semanario Judicial de la Federación y su Gaceta, XXVI, Diciembre de 2007, Materia(s): Administrativa, Tesis: 2a./J. 218/2007, Página:154- Novena Época, Número de Registro: 170835, Instancia: Segunda Sala, Jurisprudencia, Fuente: Semanario Judicial de la Federación y su Gaceta, XXVI, Diciembre de 2007, Materia(s): Administrativa, Tesis: 2a./J. 219/2007, Página: 151.</w:t>
      </w:r>
      <w:r w:rsidR="00027B76">
        <w:rPr>
          <w:rFonts w:ascii="Arial" w:hAnsi="Arial" w:cs="Arial"/>
          <w:sz w:val="24"/>
          <w:szCs w:val="24"/>
        </w:rPr>
        <w:t>]</w:t>
      </w:r>
      <w:r w:rsidRPr="00527216">
        <w:rPr>
          <w:rFonts w:ascii="Arial" w:hAnsi="Arial" w:cs="Arial"/>
          <w:sz w:val="24"/>
          <w:szCs w:val="24"/>
        </w:rPr>
        <w:t>.</w:t>
      </w:r>
    </w:p>
    <w:p w14:paraId="63156FDA" w14:textId="77777777" w:rsidR="00027B76" w:rsidRPr="00527216" w:rsidRDefault="00027B76" w:rsidP="00027B76">
      <w:pPr>
        <w:spacing w:before="120" w:after="120" w:line="360" w:lineRule="auto"/>
        <w:ind w:right="51" w:firstLine="709"/>
        <w:jc w:val="both"/>
        <w:rPr>
          <w:rFonts w:ascii="Arial" w:hAnsi="Arial" w:cs="Arial"/>
          <w:sz w:val="24"/>
          <w:szCs w:val="24"/>
        </w:rPr>
      </w:pPr>
    </w:p>
    <w:p w14:paraId="1F6E219C" w14:textId="23ACCFCA" w:rsidR="001116E0" w:rsidRDefault="00527216" w:rsidP="001116E0">
      <w:pPr>
        <w:spacing w:before="120" w:after="120" w:line="360" w:lineRule="auto"/>
        <w:ind w:right="51" w:firstLine="709"/>
        <w:jc w:val="both"/>
        <w:rPr>
          <w:rFonts w:ascii="Arial" w:hAnsi="Arial" w:cs="Arial"/>
          <w:sz w:val="24"/>
          <w:szCs w:val="24"/>
        </w:rPr>
      </w:pPr>
      <w:r w:rsidRPr="00027B76">
        <w:rPr>
          <w:rFonts w:ascii="Arial" w:hAnsi="Arial" w:cs="Arial"/>
          <w:sz w:val="24"/>
          <w:szCs w:val="24"/>
        </w:rPr>
        <w:t xml:space="preserve">En ese orden de ideas, las autoridades al estar sometidas a un régimen de facultades expresas, únicamente pueden hacer lo que la Ley les permite. Por tanto, es </w:t>
      </w:r>
      <w:r w:rsidRPr="001116E0">
        <w:rPr>
          <w:rFonts w:ascii="Arial" w:hAnsi="Arial" w:cs="Arial"/>
          <w:b/>
          <w:bCs/>
          <w:sz w:val="24"/>
          <w:szCs w:val="24"/>
        </w:rPr>
        <w:t>requisito esencial de validez de cualquier acto emitido por la autoridad, que en él consten los</w:t>
      </w:r>
      <w:r w:rsidR="001116E0" w:rsidRPr="001116E0">
        <w:rPr>
          <w:rFonts w:ascii="Arial" w:hAnsi="Arial" w:cs="Arial"/>
          <w:b/>
          <w:bCs/>
          <w:sz w:val="24"/>
          <w:szCs w:val="24"/>
        </w:rPr>
        <w:t xml:space="preserve"> fundamentos de la competencia en que se señalen la o las normas jurídicas que la autorizan a emitirlo</w:t>
      </w:r>
      <w:r w:rsidR="001116E0" w:rsidRPr="001116E0">
        <w:rPr>
          <w:rFonts w:ascii="Arial" w:hAnsi="Arial" w:cs="Arial"/>
          <w:sz w:val="24"/>
          <w:szCs w:val="24"/>
        </w:rPr>
        <w:t>.</w:t>
      </w:r>
    </w:p>
    <w:p w14:paraId="37AC31B4" w14:textId="77777777" w:rsidR="001116E0" w:rsidRPr="001116E0" w:rsidRDefault="001116E0" w:rsidP="001116E0">
      <w:pPr>
        <w:spacing w:before="120" w:after="120" w:line="360" w:lineRule="auto"/>
        <w:ind w:right="51" w:firstLine="709"/>
        <w:jc w:val="both"/>
        <w:rPr>
          <w:rFonts w:ascii="Arial" w:hAnsi="Arial" w:cs="Arial"/>
          <w:sz w:val="24"/>
          <w:szCs w:val="24"/>
        </w:rPr>
      </w:pPr>
    </w:p>
    <w:p w14:paraId="5F0C2F58" w14:textId="4CACE05D" w:rsidR="001116E0" w:rsidRPr="00294AB2" w:rsidRDefault="001116E0" w:rsidP="00294AB2">
      <w:pPr>
        <w:spacing w:before="120" w:after="120" w:line="360" w:lineRule="auto"/>
        <w:ind w:right="51" w:firstLine="709"/>
        <w:jc w:val="both"/>
        <w:rPr>
          <w:rFonts w:ascii="Arial" w:hAnsi="Arial" w:cs="Arial"/>
          <w:sz w:val="24"/>
          <w:szCs w:val="24"/>
        </w:rPr>
      </w:pPr>
      <w:r w:rsidRPr="001116E0">
        <w:rPr>
          <w:rFonts w:ascii="Arial" w:hAnsi="Arial" w:cs="Arial"/>
          <w:sz w:val="24"/>
          <w:szCs w:val="24"/>
        </w:rPr>
        <w:t xml:space="preserve">Asimismo, dentro de la gama de criterios jurisprudenciales </w:t>
      </w:r>
      <w:r w:rsidRPr="001116E0">
        <w:rPr>
          <w:rFonts w:ascii="Arial" w:hAnsi="Arial" w:cs="Arial"/>
          <w:b/>
          <w:bCs/>
          <w:sz w:val="24"/>
          <w:szCs w:val="24"/>
        </w:rPr>
        <w:t>se ha establecido la forma en que las autoridades administrativas deben cumplir con la fundamentación de su competencia al emitir un acto</w:t>
      </w:r>
      <w:r w:rsidRPr="001116E0">
        <w:rPr>
          <w:rFonts w:ascii="Arial" w:hAnsi="Arial" w:cs="Arial"/>
          <w:sz w:val="24"/>
          <w:szCs w:val="24"/>
        </w:rPr>
        <w:t xml:space="preserve">, los cuales esencialmente indican [Novena Época, No. Registro: 177347. </w:t>
      </w:r>
      <w:r w:rsidRPr="001116E0">
        <w:rPr>
          <w:rFonts w:ascii="Arial" w:hAnsi="Arial" w:cs="Arial"/>
          <w:sz w:val="24"/>
          <w:szCs w:val="24"/>
        </w:rPr>
        <w:lastRenderedPageBreak/>
        <w:t>Instancia: Segunda Sala, Jurisprudencia, Fuente: Semanario Judicial de la Federación y su Gaceta, XXII, Septiembre de 2005. Materia(s): Administrativa, Tesis: 2a</w:t>
      </w:r>
      <w:proofErr w:type="gramStart"/>
      <w:r w:rsidRPr="001116E0">
        <w:rPr>
          <w:rFonts w:ascii="Arial" w:hAnsi="Arial" w:cs="Arial"/>
          <w:sz w:val="24"/>
          <w:szCs w:val="24"/>
        </w:rPr>
        <w:t>./</w:t>
      </w:r>
      <w:proofErr w:type="gramEnd"/>
      <w:r w:rsidRPr="001116E0">
        <w:rPr>
          <w:rFonts w:ascii="Arial" w:hAnsi="Arial" w:cs="Arial"/>
          <w:sz w:val="24"/>
          <w:szCs w:val="24"/>
        </w:rPr>
        <w:t>J. 115/2005, Página: 310./Novena Época, No. Registro: 188432, Instancia: Segunda Sala, Jurisprudencia, Fuente: Semanario Judicial de la Federación y su Gaceta, XIV, Noviembre de 2001, Materia (s): Administrativa, Tesis: 2a</w:t>
      </w:r>
      <w:proofErr w:type="gramStart"/>
      <w:r w:rsidRPr="001116E0">
        <w:rPr>
          <w:rFonts w:ascii="Arial" w:hAnsi="Arial" w:cs="Arial"/>
          <w:sz w:val="24"/>
          <w:szCs w:val="24"/>
        </w:rPr>
        <w:t>./</w:t>
      </w:r>
      <w:proofErr w:type="gramEnd"/>
      <w:r w:rsidRPr="001116E0">
        <w:rPr>
          <w:rFonts w:ascii="Arial" w:hAnsi="Arial" w:cs="Arial"/>
          <w:sz w:val="24"/>
          <w:szCs w:val="24"/>
        </w:rPr>
        <w:t xml:space="preserve">J. 57/2001, </w:t>
      </w:r>
      <w:r w:rsidRPr="00294AB2">
        <w:rPr>
          <w:rFonts w:ascii="Arial" w:hAnsi="Arial" w:cs="Arial"/>
          <w:sz w:val="24"/>
          <w:szCs w:val="24"/>
        </w:rPr>
        <w:t>Segunda Sala. Novena Época. Apéndice 1917-Septiembre 2011. Tomo I. Constitucional 3. Derechos Fundamentales Primera Parte - SCJN Décima Tercera Sección - Fundamentación y motivación, Pág. 1230.]</w:t>
      </w:r>
      <w:r w:rsidRPr="001116E0">
        <w:rPr>
          <w:rFonts w:ascii="Arial" w:hAnsi="Arial" w:cs="Arial"/>
          <w:sz w:val="24"/>
          <w:szCs w:val="24"/>
        </w:rPr>
        <w:t xml:space="preserve"> que:</w:t>
      </w:r>
    </w:p>
    <w:p w14:paraId="1F282907" w14:textId="77777777" w:rsidR="001116E0" w:rsidRPr="001116E0" w:rsidRDefault="001116E0" w:rsidP="00294AB2">
      <w:pPr>
        <w:spacing w:before="120" w:after="120" w:line="360" w:lineRule="auto"/>
        <w:ind w:right="51" w:firstLine="709"/>
        <w:jc w:val="both"/>
        <w:rPr>
          <w:rFonts w:ascii="Arial" w:hAnsi="Arial" w:cs="Arial"/>
          <w:sz w:val="24"/>
          <w:szCs w:val="24"/>
        </w:rPr>
      </w:pPr>
    </w:p>
    <w:p w14:paraId="71811C5B" w14:textId="3EB19B58" w:rsidR="001116E0" w:rsidRDefault="001116E0" w:rsidP="001116E0">
      <w:pPr>
        <w:pStyle w:val="Prrafodelista"/>
        <w:numPr>
          <w:ilvl w:val="0"/>
          <w:numId w:val="2"/>
        </w:numPr>
        <w:spacing w:before="120" w:after="120" w:line="360" w:lineRule="auto"/>
        <w:ind w:left="426" w:right="51"/>
        <w:jc w:val="both"/>
        <w:rPr>
          <w:rFonts w:ascii="Arial" w:hAnsi="Arial" w:cs="Arial"/>
          <w:sz w:val="24"/>
          <w:szCs w:val="24"/>
        </w:rPr>
      </w:pPr>
      <w:r w:rsidRPr="001116E0">
        <w:rPr>
          <w:rFonts w:ascii="Arial" w:hAnsi="Arial" w:cs="Arial"/>
          <w:sz w:val="24"/>
          <w:szCs w:val="24"/>
        </w:rPr>
        <w:t>La competencia debe fundarse exhaustivamente, esto es, se debe expresar la Ley, reglamento, decreto o acuerdo que le otorgue la atribución que ejerce, citando en su caso el apartado, fracción, inciso o subinciso.</w:t>
      </w:r>
    </w:p>
    <w:p w14:paraId="3EA15DE7" w14:textId="77777777" w:rsidR="001116E0" w:rsidRPr="001116E0" w:rsidRDefault="001116E0" w:rsidP="001116E0">
      <w:pPr>
        <w:pStyle w:val="Prrafodelista"/>
        <w:spacing w:before="120" w:after="120" w:line="360" w:lineRule="auto"/>
        <w:ind w:left="1429" w:right="51"/>
        <w:jc w:val="both"/>
        <w:rPr>
          <w:rFonts w:ascii="Arial" w:hAnsi="Arial" w:cs="Arial"/>
          <w:sz w:val="24"/>
          <w:szCs w:val="24"/>
        </w:rPr>
      </w:pPr>
    </w:p>
    <w:p w14:paraId="0129C3A7" w14:textId="4F9C4614" w:rsidR="001116E0" w:rsidRPr="001116E0" w:rsidRDefault="001116E0" w:rsidP="001116E0">
      <w:pPr>
        <w:pStyle w:val="Prrafodelista"/>
        <w:numPr>
          <w:ilvl w:val="0"/>
          <w:numId w:val="2"/>
        </w:numPr>
        <w:spacing w:before="120" w:after="120" w:line="360" w:lineRule="auto"/>
        <w:ind w:left="426" w:right="51"/>
        <w:jc w:val="both"/>
        <w:rPr>
          <w:rFonts w:ascii="Arial" w:hAnsi="Arial" w:cs="Arial"/>
          <w:sz w:val="24"/>
          <w:szCs w:val="24"/>
        </w:rPr>
      </w:pPr>
      <w:r w:rsidRPr="001116E0">
        <w:rPr>
          <w:rFonts w:ascii="Arial" w:hAnsi="Arial" w:cs="Arial"/>
          <w:sz w:val="24"/>
          <w:szCs w:val="24"/>
        </w:rPr>
        <w:t>En caso de que el ordenamiento legal no contenga las facultades, por tratarse de una norma compleja, tendrá que transcribirse la parte correspondiente con la única finalidad de especificar con claridad, certeza y precisión, las facultades que les corresponden.</w:t>
      </w:r>
    </w:p>
    <w:p w14:paraId="3A43830F" w14:textId="77777777" w:rsidR="001116E0" w:rsidRPr="001116E0" w:rsidRDefault="001116E0" w:rsidP="001116E0">
      <w:pPr>
        <w:spacing w:before="120" w:after="120" w:line="360" w:lineRule="auto"/>
        <w:ind w:right="51" w:firstLine="709"/>
        <w:jc w:val="both"/>
        <w:rPr>
          <w:rFonts w:ascii="Arial" w:hAnsi="Arial" w:cs="Arial"/>
          <w:sz w:val="24"/>
          <w:szCs w:val="24"/>
        </w:rPr>
      </w:pPr>
    </w:p>
    <w:p w14:paraId="6512668C" w14:textId="1F2F1EAF" w:rsidR="00527216" w:rsidRDefault="001116E0" w:rsidP="001116E0">
      <w:pPr>
        <w:spacing w:before="120" w:after="120" w:line="360" w:lineRule="auto"/>
        <w:ind w:right="51" w:firstLine="709"/>
        <w:jc w:val="both"/>
        <w:rPr>
          <w:rFonts w:ascii="Arial" w:hAnsi="Arial" w:cs="Arial"/>
          <w:sz w:val="24"/>
          <w:szCs w:val="24"/>
        </w:rPr>
      </w:pPr>
      <w:r w:rsidRPr="001116E0">
        <w:rPr>
          <w:rFonts w:ascii="Arial" w:hAnsi="Arial" w:cs="Arial"/>
          <w:sz w:val="24"/>
          <w:szCs w:val="24"/>
        </w:rPr>
        <w:t>Cobra exacta aplicación a lo aquí discernido, la tesis de jurisprudencia, que dice:</w:t>
      </w:r>
    </w:p>
    <w:p w14:paraId="6DB8EB53" w14:textId="6A28C17E" w:rsidR="00A373CC" w:rsidRDefault="00A373CC" w:rsidP="001116E0">
      <w:pPr>
        <w:spacing w:before="120" w:after="120" w:line="360" w:lineRule="auto"/>
        <w:ind w:right="51" w:firstLine="709"/>
        <w:jc w:val="both"/>
        <w:rPr>
          <w:rFonts w:ascii="Arial" w:hAnsi="Arial" w:cs="Arial"/>
          <w:sz w:val="24"/>
          <w:szCs w:val="24"/>
        </w:rPr>
      </w:pPr>
    </w:p>
    <w:p w14:paraId="7B18432C"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b/>
          <w:bCs/>
          <w:sz w:val="20"/>
          <w:szCs w:val="20"/>
        </w:rPr>
        <w:t>Registro digital:</w:t>
      </w:r>
      <w:r w:rsidRPr="00A373CC">
        <w:rPr>
          <w:rFonts w:ascii="Arial" w:hAnsi="Arial" w:cs="Arial"/>
          <w:sz w:val="20"/>
          <w:szCs w:val="20"/>
        </w:rPr>
        <w:t xml:space="preserve"> 177347</w:t>
      </w:r>
    </w:p>
    <w:p w14:paraId="6CD5EA9D"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Instancia: Segunda Sala</w:t>
      </w:r>
    </w:p>
    <w:p w14:paraId="65967E25"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Novena Época</w:t>
      </w:r>
    </w:p>
    <w:p w14:paraId="59724E0C"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Materias(s): Administrativa</w:t>
      </w:r>
    </w:p>
    <w:p w14:paraId="1128FED3"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Tesis: 2a./J. 115/2005</w:t>
      </w:r>
    </w:p>
    <w:p w14:paraId="6CC49DAC"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Fuente: Semanario Judicial de la Federación y su Gaceta. Tomo XXII, Septiembre de 2005, página 310</w:t>
      </w:r>
    </w:p>
    <w:p w14:paraId="4DE1B217" w14:textId="77777777"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sz w:val="20"/>
          <w:szCs w:val="20"/>
        </w:rPr>
        <w:t>Tipo: Jurisprudencia</w:t>
      </w:r>
    </w:p>
    <w:p w14:paraId="6679F7B1" w14:textId="77777777" w:rsidR="00A373CC" w:rsidRPr="00A373CC" w:rsidRDefault="00A373CC" w:rsidP="00A373CC">
      <w:pPr>
        <w:spacing w:after="0" w:line="240" w:lineRule="auto"/>
        <w:ind w:left="567" w:right="618"/>
        <w:jc w:val="both"/>
        <w:rPr>
          <w:rFonts w:ascii="Arial" w:hAnsi="Arial" w:cs="Arial"/>
          <w:sz w:val="20"/>
          <w:szCs w:val="20"/>
        </w:rPr>
      </w:pPr>
    </w:p>
    <w:p w14:paraId="24125EB6" w14:textId="78A76ECC" w:rsidR="00A373CC" w:rsidRPr="00A373CC" w:rsidRDefault="00A373CC" w:rsidP="00A373CC">
      <w:pPr>
        <w:spacing w:after="0" w:line="240" w:lineRule="auto"/>
        <w:ind w:left="567" w:right="618"/>
        <w:jc w:val="both"/>
        <w:rPr>
          <w:rFonts w:ascii="Arial" w:hAnsi="Arial" w:cs="Arial"/>
          <w:sz w:val="20"/>
          <w:szCs w:val="20"/>
        </w:rPr>
      </w:pPr>
      <w:r w:rsidRPr="00A373CC">
        <w:rPr>
          <w:rFonts w:ascii="Arial" w:hAnsi="Arial" w:cs="Arial"/>
          <w:b/>
          <w:bCs/>
          <w:sz w:val="20"/>
          <w:szCs w:val="20"/>
        </w:rPr>
        <w:t xml:space="preserve">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w:t>
      </w:r>
      <w:r w:rsidRPr="00A373CC">
        <w:rPr>
          <w:rFonts w:ascii="Arial" w:hAnsi="Arial" w:cs="Arial"/>
          <w:sz w:val="20"/>
          <w:szCs w:val="20"/>
        </w:rPr>
        <w:t xml:space="preserve">De lo dispuesto en la tesis de jurisprudencia P./J. 10/94 del Tribunal en Pleno de la Suprema Corte de Justicia de la Nación, publicada en la Gaceta del Semanario Judicial de la Federación Número 77, mayo de 1994, página 12, con el rubro: "COMPETENCIA. SU FUNDAMENTACIÓN ES REQUISITO ESENCIAL DEL ACTO DE AUTORIDAD.", así como de las consideraciones en las cuales se sustentó dicho criterio, se advierte que la garantía de fundamentación consagrada en el artículo 16 de la Constitución Política de los Estados Unidos Mexicanos, lleva implícita la idea de exactitud y precisión en la cita de las </w:t>
      </w:r>
      <w:r w:rsidRPr="00A373CC">
        <w:rPr>
          <w:rFonts w:ascii="Arial" w:hAnsi="Arial" w:cs="Arial"/>
          <w:sz w:val="20"/>
          <w:szCs w:val="20"/>
        </w:rPr>
        <w:lastRenderedPageBreak/>
        <w:t>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se concluye que es un requisito esencial y una obligación de la autoridad fundar en el acto de molestia su competencia, pues sólo puede hacer lo que la ley le permite, de ahí que la validez del acto dependerá de que haya sido realizado por la autoridad facultada legalmente para ello dentro de su respectivo ámbito de competencia, regido específicamente por una o varias normas que lo autoricen; por tanto, para considerar que se cumple con la garantía de fundamentación establecida en el artículo 16 de la Constitución Federal, es necesario que la autoridad precise exhaustivamente su competencia por razón de materia, grado o territorio, con base en la ley, reglamento, decreto o acuerdo que le otorgue la atribución ejercida, citando en su caso el apartado, fracción, inciso o subinciso; sin embargo, en caso de que el ordenamiento legal no los contenga, si se trata de una norma compleja, habrá de transcribirse la parte correspondiente, con la única finalidad de especificar con claridad, certeza y precisión las facultades que le corresponden, pues considerar lo contrario significaría que el gobernado tiene la carga de averiguar en el cúmulo de normas legales que señale la autoridad en el documento que contiene el acto de molestia, si tiene competencia por grado, materia y territorio para actuar en la forma en que lo hace, dejándolo en estado de indefensión, pues ignoraría cuál de todas las normas legales que integran el texto normativo es la específicamente aplicable a la actuación del órgano del que emana, por razón de materia, grado y territorio.</w:t>
      </w:r>
    </w:p>
    <w:p w14:paraId="3893DFCE" w14:textId="77777777" w:rsidR="00A373CC" w:rsidRDefault="00A373CC" w:rsidP="001116E0">
      <w:pPr>
        <w:spacing w:before="120" w:after="120" w:line="360" w:lineRule="auto"/>
        <w:ind w:right="51" w:firstLine="709"/>
        <w:jc w:val="both"/>
        <w:rPr>
          <w:rFonts w:ascii="Arial" w:hAnsi="Arial" w:cs="Arial"/>
          <w:sz w:val="24"/>
          <w:szCs w:val="24"/>
        </w:rPr>
      </w:pPr>
    </w:p>
    <w:p w14:paraId="523DC591" w14:textId="638E5D2B" w:rsidR="00286EBB" w:rsidRPr="00816964" w:rsidRDefault="00816964" w:rsidP="00A67F19">
      <w:pPr>
        <w:spacing w:before="120" w:after="120" w:line="360" w:lineRule="auto"/>
        <w:ind w:right="51" w:firstLine="709"/>
        <w:jc w:val="both"/>
        <w:rPr>
          <w:rFonts w:ascii="Arial" w:hAnsi="Arial" w:cs="Arial"/>
          <w:sz w:val="24"/>
          <w:szCs w:val="24"/>
        </w:rPr>
      </w:pPr>
      <w:r w:rsidRPr="00816964">
        <w:rPr>
          <w:rFonts w:ascii="Arial" w:hAnsi="Arial" w:cs="Arial"/>
          <w:sz w:val="24"/>
          <w:szCs w:val="24"/>
        </w:rPr>
        <w:t>Así también se hace necesario tener en consideración la tesis de jurisprudencia, que dice:</w:t>
      </w:r>
    </w:p>
    <w:p w14:paraId="2EBF30E0" w14:textId="77777777" w:rsidR="00106160" w:rsidRDefault="00106160" w:rsidP="00A67F19">
      <w:pPr>
        <w:spacing w:before="120" w:after="120" w:line="360" w:lineRule="auto"/>
        <w:ind w:right="51" w:firstLine="709"/>
        <w:jc w:val="both"/>
        <w:rPr>
          <w:rFonts w:ascii="Arial" w:hAnsi="Arial" w:cs="Arial"/>
          <w:sz w:val="24"/>
          <w:szCs w:val="24"/>
        </w:rPr>
      </w:pPr>
    </w:p>
    <w:p w14:paraId="71FE8953"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b/>
          <w:bCs/>
          <w:sz w:val="20"/>
          <w:szCs w:val="20"/>
        </w:rPr>
        <w:t>Registro digital:</w:t>
      </w:r>
      <w:r w:rsidRPr="00816964">
        <w:rPr>
          <w:rFonts w:ascii="Arial" w:hAnsi="Arial" w:cs="Arial"/>
          <w:sz w:val="20"/>
          <w:szCs w:val="20"/>
        </w:rPr>
        <w:t xml:space="preserve"> 188432</w:t>
      </w:r>
    </w:p>
    <w:p w14:paraId="4CE71C54"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Instancia: Segunda Sala</w:t>
      </w:r>
    </w:p>
    <w:p w14:paraId="5936A100"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Novena Época</w:t>
      </w:r>
    </w:p>
    <w:p w14:paraId="1FCB58B7"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Materias(s): Administrativa</w:t>
      </w:r>
    </w:p>
    <w:p w14:paraId="5717248B" w14:textId="5DB94541"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Tesis: 2a./J. 57/2001</w:t>
      </w:r>
    </w:p>
    <w:p w14:paraId="2DE1CDF3"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Fuente: Semanario Judicial de la Federación y su Gaceta. Tomo XIV, Noviembre de 2001, página 31</w:t>
      </w:r>
    </w:p>
    <w:p w14:paraId="4AA6BADE" w14:textId="77777777"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sz w:val="20"/>
          <w:szCs w:val="20"/>
        </w:rPr>
        <w:t>Tipo: Jurisprudencia</w:t>
      </w:r>
    </w:p>
    <w:p w14:paraId="795BBD72" w14:textId="77777777" w:rsidR="00816964" w:rsidRPr="00816964" w:rsidRDefault="00816964" w:rsidP="00816964">
      <w:pPr>
        <w:spacing w:after="0" w:line="240" w:lineRule="auto"/>
        <w:ind w:left="567" w:right="618"/>
        <w:jc w:val="both"/>
        <w:rPr>
          <w:rFonts w:ascii="Arial" w:hAnsi="Arial" w:cs="Arial"/>
          <w:sz w:val="20"/>
          <w:szCs w:val="20"/>
        </w:rPr>
      </w:pPr>
    </w:p>
    <w:p w14:paraId="647568FD" w14:textId="48110578" w:rsidR="00816964" w:rsidRPr="00816964" w:rsidRDefault="00816964" w:rsidP="00816964">
      <w:pPr>
        <w:spacing w:after="0" w:line="240" w:lineRule="auto"/>
        <w:ind w:left="567" w:right="618"/>
        <w:jc w:val="both"/>
        <w:rPr>
          <w:rFonts w:ascii="Arial" w:hAnsi="Arial" w:cs="Arial"/>
          <w:sz w:val="20"/>
          <w:szCs w:val="20"/>
        </w:rPr>
      </w:pPr>
      <w:r w:rsidRPr="00816964">
        <w:rPr>
          <w:rFonts w:ascii="Arial" w:hAnsi="Arial" w:cs="Arial"/>
          <w:b/>
          <w:bCs/>
          <w:sz w:val="20"/>
          <w:szCs w:val="20"/>
        </w:rPr>
        <w:t xml:space="preserve">COMPETENCIA DE LAS AUTORIDADES ADMINISTRATIVAS. EN EL MANDAMIENTO ESCRITO QUE CONTIENE EL ACTO DE MOLESTIA, DEBE SEÑALARSE CON PRECISIÓN EL PRECEPTO LEGAL QUE LES OTORGUE LA ATRIBUCIÓN EJERCIDA Y, EN SU CASO, LA RESPECTIVA FRACCIÓN, INCISO Y SUBINCISO.   </w:t>
      </w:r>
      <w:r w:rsidRPr="00816964">
        <w:rPr>
          <w:rFonts w:ascii="Arial" w:hAnsi="Arial" w:cs="Arial"/>
          <w:sz w:val="20"/>
          <w:szCs w:val="20"/>
        </w:rPr>
        <w:t xml:space="preserve">De lo dispuesto en la tesis de jurisprudencia P./J. 10/94 del Tribunal Pleno de la Suprema Corte de Justicia de la Nación, publicada en la Gaceta del Semanario Judicial de la Federación, Número 77, mayo de 1994, página 12, de rubro: "COMPETENCIA. SU FUNDAMENTACIÓN ES REQUISITO ESENCIAL DEL ACTO DE AUTORIDAD.", así como de las consideraciones en las cuales se sustentó dicho criterio, se desprende que la garantía de fundamentación consagrada en el artículo 16 de la Constitución Política de los Estados Unidos Mexicanos, lleva implícita la idea de exactitud y precisión en la cita de las 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resulta inconcuso que para estimar satisfecha la garantía de la debida fundamentación, que establece dicho precepto constitucional, por lo que hace a la competencia de la autoridad administrativa para emitir el acto de molestia es necesario que en el documento que se contenga se invoquen las disposiciones </w:t>
      </w:r>
      <w:r w:rsidRPr="00816964">
        <w:rPr>
          <w:rFonts w:ascii="Arial" w:hAnsi="Arial" w:cs="Arial"/>
          <w:sz w:val="20"/>
          <w:szCs w:val="20"/>
        </w:rPr>
        <w:lastRenderedPageBreak/>
        <w:t xml:space="preserve">legales, acuerdo o decreto que otorgan facultades a la autoridad emisora y, en caso de que estas normas incluyan diversos supuestos, se precisen con claridad y detalle, el apartado, la fracción o fracciones, incisos y </w:t>
      </w:r>
      <w:proofErr w:type="spellStart"/>
      <w:r w:rsidRPr="00816964">
        <w:rPr>
          <w:rFonts w:ascii="Arial" w:hAnsi="Arial" w:cs="Arial"/>
          <w:sz w:val="20"/>
          <w:szCs w:val="20"/>
        </w:rPr>
        <w:t>subincisos</w:t>
      </w:r>
      <w:proofErr w:type="spellEnd"/>
      <w:r w:rsidRPr="00816964">
        <w:rPr>
          <w:rFonts w:ascii="Arial" w:hAnsi="Arial" w:cs="Arial"/>
          <w:sz w:val="20"/>
          <w:szCs w:val="20"/>
        </w:rPr>
        <w:t>, en que apoya su actuación; pues de no ser así, se dejaría al gobernado en estado de indefensión, toda vez que se traduciría en que éste ignorara si el proceder  de la autoridad se encuentra o no dentro del ámbito competencial respectivo por razón de materia, grado y territorio y, en consecuencia, si está o no ajustado a derecho. Esto es así, porque no es permisible abrigar en la garantía individual en cuestión ninguna clase de ambigüedad, ya que su finalidad consiste, esencialmente, en una exacta individualización del acto de autoridad, de acuerdo a la hipótesis jurídica en que se ubique el gobernado en relación con las facultades de la autoridad, por razones de seguridad jurídica.</w:t>
      </w:r>
    </w:p>
    <w:p w14:paraId="1D6D26A1" w14:textId="77777777" w:rsidR="00816964" w:rsidRPr="00816964" w:rsidRDefault="00816964" w:rsidP="00816964">
      <w:pPr>
        <w:spacing w:before="120" w:after="120" w:line="360" w:lineRule="auto"/>
        <w:ind w:right="51" w:firstLine="709"/>
        <w:jc w:val="both"/>
        <w:rPr>
          <w:rFonts w:ascii="Arial" w:hAnsi="Arial" w:cs="Arial"/>
          <w:sz w:val="24"/>
          <w:szCs w:val="24"/>
        </w:rPr>
      </w:pPr>
    </w:p>
    <w:p w14:paraId="7F6FAD0D" w14:textId="385AFF48" w:rsidR="00816964" w:rsidRPr="003C166C" w:rsidRDefault="003C166C" w:rsidP="00816964">
      <w:pPr>
        <w:spacing w:before="120" w:after="120" w:line="360" w:lineRule="auto"/>
        <w:ind w:right="51" w:firstLine="709"/>
        <w:jc w:val="both"/>
        <w:rPr>
          <w:rFonts w:ascii="Arial" w:hAnsi="Arial" w:cs="Arial"/>
          <w:sz w:val="24"/>
          <w:szCs w:val="24"/>
        </w:rPr>
      </w:pPr>
      <w:r w:rsidRPr="003C166C">
        <w:rPr>
          <w:rFonts w:ascii="Arial" w:hAnsi="Arial" w:cs="Arial"/>
          <w:sz w:val="24"/>
          <w:szCs w:val="24"/>
        </w:rPr>
        <w:t xml:space="preserve">Adicionalmente, se señala que conforme al artículo 164, fracciones I y V, del Código Procesal Administrativo para el Estado de San Luis Potosí, </w:t>
      </w:r>
      <w:r w:rsidRPr="003C166C">
        <w:rPr>
          <w:rFonts w:ascii="Arial" w:hAnsi="Arial" w:cs="Arial"/>
          <w:b/>
          <w:bCs/>
          <w:sz w:val="24"/>
          <w:szCs w:val="24"/>
        </w:rPr>
        <w:t>los actos administrativos deben ser expedidos por una autoridad administrativa facultada por una norma jurídica</w:t>
      </w:r>
      <w:r w:rsidRPr="003C166C">
        <w:rPr>
          <w:rFonts w:ascii="Arial" w:hAnsi="Arial" w:cs="Arial"/>
          <w:sz w:val="24"/>
          <w:szCs w:val="24"/>
        </w:rPr>
        <w:t xml:space="preserve">, y deben estar </w:t>
      </w:r>
      <w:r w:rsidRPr="003C166C">
        <w:rPr>
          <w:rFonts w:ascii="Arial" w:hAnsi="Arial" w:cs="Arial"/>
          <w:b/>
          <w:bCs/>
          <w:sz w:val="24"/>
          <w:szCs w:val="24"/>
        </w:rPr>
        <w:t>fundados y motivados</w:t>
      </w:r>
      <w:r w:rsidRPr="003C166C">
        <w:rPr>
          <w:rFonts w:ascii="Arial" w:hAnsi="Arial" w:cs="Arial"/>
          <w:sz w:val="24"/>
          <w:szCs w:val="24"/>
        </w:rPr>
        <w:t>; ello de acuerdo con los ordenamientos legales que rigen en la entidad.</w:t>
      </w:r>
    </w:p>
    <w:p w14:paraId="035BEA50" w14:textId="77777777" w:rsidR="00D30180" w:rsidRDefault="00D30180" w:rsidP="00A67F19">
      <w:pPr>
        <w:spacing w:before="120" w:after="120" w:line="360" w:lineRule="auto"/>
        <w:ind w:right="51" w:firstLine="709"/>
        <w:jc w:val="both"/>
        <w:rPr>
          <w:rFonts w:ascii="Arial" w:hAnsi="Arial" w:cs="Arial"/>
          <w:sz w:val="24"/>
          <w:szCs w:val="24"/>
          <w:lang w:eastAsia="es-MX"/>
        </w:rPr>
      </w:pPr>
    </w:p>
    <w:p w14:paraId="7838B7C8" w14:textId="15FFC1D1" w:rsidR="00106160" w:rsidRPr="00BC29C3" w:rsidRDefault="00C44B10" w:rsidP="00141BDA">
      <w:pPr>
        <w:spacing w:before="120" w:after="120" w:line="360" w:lineRule="auto"/>
        <w:ind w:right="51" w:firstLine="709"/>
        <w:jc w:val="both"/>
        <w:rPr>
          <w:rFonts w:ascii="Arial" w:hAnsi="Arial" w:cs="Arial"/>
          <w:b/>
          <w:bCs/>
          <w:sz w:val="24"/>
          <w:szCs w:val="24"/>
          <w:lang w:eastAsia="es-MX"/>
        </w:rPr>
      </w:pPr>
      <w:r>
        <w:rPr>
          <w:rFonts w:ascii="Arial" w:hAnsi="Arial" w:cs="Arial"/>
          <w:sz w:val="24"/>
          <w:szCs w:val="24"/>
          <w:lang w:eastAsia="es-MX"/>
        </w:rPr>
        <w:t xml:space="preserve">Efectuadas tales precisiones, a continuación se analiza el acto impugnado por la parte actora en el presente juicio, el cual consiste en </w:t>
      </w:r>
      <w:r w:rsidR="00BC29C3">
        <w:rPr>
          <w:rFonts w:ascii="Arial" w:hAnsi="Arial" w:cs="Arial"/>
          <w:sz w:val="24"/>
          <w:szCs w:val="24"/>
          <w:lang w:eastAsia="es-MX"/>
        </w:rPr>
        <w:t xml:space="preserve">la resolución de fecha treinta de junio de dos mil veinticinco, dictada por el Pleno de la Comisión Estatal de Garantía de Acceso a la Información Pública del Estado de San Luis Potosí en el expediente </w:t>
      </w:r>
      <w:r w:rsidR="00BC29C3" w:rsidRPr="0043714F">
        <w:rPr>
          <w:rFonts w:ascii="Arial" w:hAnsi="Arial" w:cs="Arial"/>
          <w:b/>
          <w:bCs/>
          <w:sz w:val="24"/>
          <w:szCs w:val="24"/>
          <w:lang w:eastAsia="es-MX"/>
        </w:rPr>
        <w:t>CEGAIP-PIMA-061/2025</w:t>
      </w:r>
      <w:r w:rsidR="00BC29C3" w:rsidRPr="0043714F">
        <w:rPr>
          <w:rFonts w:ascii="Arial" w:hAnsi="Arial" w:cs="Arial"/>
          <w:sz w:val="24"/>
          <w:szCs w:val="24"/>
          <w:lang w:eastAsia="es-MX"/>
        </w:rPr>
        <w:t xml:space="preserve">, </w:t>
      </w:r>
      <w:r w:rsidR="00BC29C3">
        <w:rPr>
          <w:rFonts w:ascii="Arial" w:hAnsi="Arial" w:cs="Arial"/>
          <w:sz w:val="24"/>
          <w:szCs w:val="24"/>
          <w:lang w:eastAsia="es-MX"/>
        </w:rPr>
        <w:t xml:space="preserve">con la finalidad de establecer si dicho acto fue emitido por quien está facultado para ello, si fue suscrito por quien tiene el carácter con base al dispositivo que otorga tal legitimación, entendiéndose por esto, </w:t>
      </w:r>
      <w:r w:rsidR="00BC29C3">
        <w:rPr>
          <w:rFonts w:ascii="Arial" w:hAnsi="Arial" w:cs="Arial"/>
          <w:b/>
          <w:bCs/>
          <w:sz w:val="24"/>
          <w:szCs w:val="24"/>
          <w:lang w:eastAsia="es-MX"/>
        </w:rPr>
        <w:t>el deber de expresar exhaustivamente el fundamento de la competencia</w:t>
      </w:r>
      <w:r w:rsidR="00BC29C3">
        <w:rPr>
          <w:rFonts w:ascii="Arial" w:hAnsi="Arial" w:cs="Arial"/>
          <w:sz w:val="24"/>
          <w:szCs w:val="24"/>
          <w:lang w:eastAsia="es-MX"/>
        </w:rPr>
        <w:t xml:space="preserve">, es decir, la ley, reglamento y normas correspondientes que establecen tal atribución, y </w:t>
      </w:r>
      <w:r w:rsidR="00BC29C3">
        <w:rPr>
          <w:rFonts w:ascii="Arial" w:hAnsi="Arial" w:cs="Arial"/>
          <w:b/>
          <w:bCs/>
          <w:sz w:val="24"/>
          <w:szCs w:val="24"/>
          <w:lang w:eastAsia="es-MX"/>
        </w:rPr>
        <w:t>si se expresaron los razonamientos que haya tenido en cuenta el emisor para considerar que el acto del actor encuadra exactamente en la hipótesis legal de su competencia.</w:t>
      </w:r>
    </w:p>
    <w:p w14:paraId="32EF60C1" w14:textId="0FBB2853" w:rsidR="00106160" w:rsidRPr="00BC29C3" w:rsidRDefault="00106160" w:rsidP="00141BDA">
      <w:pPr>
        <w:spacing w:before="120" w:after="120" w:line="360" w:lineRule="auto"/>
        <w:ind w:right="51" w:firstLine="709"/>
        <w:jc w:val="both"/>
        <w:rPr>
          <w:rFonts w:ascii="Arial" w:hAnsi="Arial" w:cs="Arial"/>
          <w:sz w:val="24"/>
          <w:szCs w:val="24"/>
          <w:lang w:eastAsia="es-MX"/>
        </w:rPr>
      </w:pPr>
    </w:p>
    <w:p w14:paraId="1A06B0E0" w14:textId="7861F989" w:rsidR="00BC29C3" w:rsidRDefault="00BC29C3" w:rsidP="00141BDA">
      <w:pPr>
        <w:spacing w:before="120" w:after="120" w:line="360" w:lineRule="auto"/>
        <w:ind w:right="51" w:firstLine="709"/>
        <w:jc w:val="both"/>
        <w:rPr>
          <w:rFonts w:ascii="Arial" w:hAnsi="Arial" w:cs="Arial"/>
          <w:sz w:val="24"/>
          <w:szCs w:val="24"/>
        </w:rPr>
      </w:pPr>
      <w:r w:rsidRPr="00BC29C3">
        <w:rPr>
          <w:rFonts w:ascii="Arial" w:hAnsi="Arial" w:cs="Arial"/>
          <w:sz w:val="24"/>
          <w:szCs w:val="24"/>
        </w:rPr>
        <w:t>Al respecto, cabe puntualizar que el Poder Judicial de la Federación ha determinado que los requisitos de fundamentación y motivación se colman expresando con claridad el precepto legal aplicable al caso concreto, y señalando con precisión las circunstancias especiales, razones particulares o causas inmediatas que se hayan tenido en consideración para la emisión del acto.</w:t>
      </w:r>
    </w:p>
    <w:p w14:paraId="61AF0104" w14:textId="11C6E739" w:rsidR="00294AB2" w:rsidRDefault="00294AB2" w:rsidP="00141BDA">
      <w:pPr>
        <w:spacing w:before="120" w:after="120" w:line="360" w:lineRule="auto"/>
        <w:ind w:right="51" w:firstLine="709"/>
        <w:jc w:val="both"/>
        <w:rPr>
          <w:rFonts w:ascii="Arial" w:hAnsi="Arial" w:cs="Arial"/>
          <w:sz w:val="24"/>
          <w:szCs w:val="24"/>
        </w:rPr>
      </w:pPr>
    </w:p>
    <w:p w14:paraId="16A13759" w14:textId="106F44D3" w:rsidR="00294AB2" w:rsidRDefault="00294AB2" w:rsidP="00141BDA">
      <w:pPr>
        <w:spacing w:before="120" w:after="120" w:line="360" w:lineRule="auto"/>
        <w:ind w:right="51" w:firstLine="709"/>
        <w:jc w:val="both"/>
        <w:rPr>
          <w:rFonts w:ascii="Arial" w:hAnsi="Arial" w:cs="Arial"/>
          <w:sz w:val="24"/>
          <w:szCs w:val="24"/>
        </w:rPr>
      </w:pPr>
      <w:r>
        <w:rPr>
          <w:rFonts w:ascii="Arial" w:hAnsi="Arial" w:cs="Arial"/>
          <w:sz w:val="24"/>
          <w:szCs w:val="24"/>
        </w:rPr>
        <w:lastRenderedPageBreak/>
        <w:t>Soporta lo anterior, la siguiente tesis de jurisprudencia:</w:t>
      </w:r>
    </w:p>
    <w:p w14:paraId="17B00B3A" w14:textId="57AB68DD" w:rsidR="00294AB2" w:rsidRDefault="00294AB2" w:rsidP="00141BDA">
      <w:pPr>
        <w:spacing w:before="120" w:after="120" w:line="360" w:lineRule="auto"/>
        <w:ind w:right="51" w:firstLine="709"/>
        <w:jc w:val="both"/>
        <w:rPr>
          <w:rFonts w:ascii="Arial" w:hAnsi="Arial" w:cs="Arial"/>
          <w:sz w:val="24"/>
          <w:szCs w:val="24"/>
        </w:rPr>
      </w:pPr>
    </w:p>
    <w:p w14:paraId="1116E641"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b/>
          <w:bCs/>
          <w:sz w:val="20"/>
          <w:szCs w:val="20"/>
          <w:lang w:eastAsia="es-MX"/>
        </w:rPr>
        <w:t>Registro digital:</w:t>
      </w:r>
      <w:r w:rsidRPr="00294AB2">
        <w:rPr>
          <w:rFonts w:ascii="Arial" w:hAnsi="Arial" w:cs="Arial"/>
          <w:sz w:val="20"/>
          <w:szCs w:val="20"/>
          <w:lang w:eastAsia="es-MX"/>
        </w:rPr>
        <w:t xml:space="preserve"> 216534</w:t>
      </w:r>
    </w:p>
    <w:p w14:paraId="368BF9FF"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Instancia: Tribunales Colegiados de Circuito</w:t>
      </w:r>
    </w:p>
    <w:p w14:paraId="33026FD3"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Octava Época</w:t>
      </w:r>
    </w:p>
    <w:p w14:paraId="7F88B05D"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Materias(s): Administrativa</w:t>
      </w:r>
    </w:p>
    <w:p w14:paraId="39E2E143" w14:textId="222769F9"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Tesis: VI. 2o. J/248</w:t>
      </w:r>
    </w:p>
    <w:p w14:paraId="4FE89C62"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Fuente: Gaceta del Semanario Judicial de la Federación. Núm. 64, Abril de 1993, página 43</w:t>
      </w:r>
    </w:p>
    <w:p w14:paraId="29C43BA9" w14:textId="77777777"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sz w:val="20"/>
          <w:szCs w:val="20"/>
          <w:lang w:eastAsia="es-MX"/>
        </w:rPr>
        <w:t>Tipo: Jurisprudencia</w:t>
      </w:r>
    </w:p>
    <w:p w14:paraId="683196FD" w14:textId="77777777" w:rsidR="00294AB2" w:rsidRPr="00294AB2" w:rsidRDefault="00294AB2" w:rsidP="00294AB2">
      <w:pPr>
        <w:spacing w:after="0" w:line="240" w:lineRule="auto"/>
        <w:ind w:left="567" w:right="618"/>
        <w:jc w:val="both"/>
        <w:rPr>
          <w:rFonts w:ascii="Arial" w:hAnsi="Arial" w:cs="Arial"/>
          <w:sz w:val="20"/>
          <w:szCs w:val="20"/>
          <w:lang w:eastAsia="es-MX"/>
        </w:rPr>
      </w:pPr>
    </w:p>
    <w:p w14:paraId="4FCA3A94" w14:textId="7B9FF8A4" w:rsidR="00294AB2" w:rsidRPr="00294AB2" w:rsidRDefault="00294AB2" w:rsidP="00294AB2">
      <w:pPr>
        <w:spacing w:after="0" w:line="240" w:lineRule="auto"/>
        <w:ind w:left="567" w:right="618"/>
        <w:jc w:val="both"/>
        <w:rPr>
          <w:rFonts w:ascii="Arial" w:hAnsi="Arial" w:cs="Arial"/>
          <w:sz w:val="20"/>
          <w:szCs w:val="20"/>
          <w:lang w:eastAsia="es-MX"/>
        </w:rPr>
      </w:pPr>
      <w:r w:rsidRPr="00294AB2">
        <w:rPr>
          <w:rFonts w:ascii="Arial" w:hAnsi="Arial" w:cs="Arial"/>
          <w:b/>
          <w:bCs/>
          <w:sz w:val="20"/>
          <w:szCs w:val="20"/>
          <w:lang w:eastAsia="es-MX"/>
        </w:rPr>
        <w:t xml:space="preserve">FUNDAMENTACION Y MOTIVACION DE LOS ACTOS ADMINISTRATIVOS.   </w:t>
      </w:r>
      <w:r w:rsidRPr="00294AB2">
        <w:rPr>
          <w:rFonts w:ascii="Arial" w:hAnsi="Arial" w:cs="Arial"/>
          <w:sz w:val="20"/>
          <w:szCs w:val="20"/>
          <w:lang w:eastAsia="es-MX"/>
        </w:rPr>
        <w:t xml:space="preserve">De acuerdo con el artículo 16 constitucional,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w:t>
      </w:r>
      <w:proofErr w:type="spellStart"/>
      <w:r w:rsidRPr="00294AB2">
        <w:rPr>
          <w:rFonts w:ascii="Arial" w:hAnsi="Arial" w:cs="Arial"/>
          <w:sz w:val="20"/>
          <w:szCs w:val="20"/>
          <w:lang w:eastAsia="es-MX"/>
        </w:rPr>
        <w:t>subincisos</w:t>
      </w:r>
      <w:proofErr w:type="spellEnd"/>
      <w:r w:rsidRPr="00294AB2">
        <w:rPr>
          <w:rFonts w:ascii="Arial" w:hAnsi="Arial" w:cs="Arial"/>
          <w:sz w:val="20"/>
          <w:szCs w:val="20"/>
          <w:lang w:eastAsia="es-MX"/>
        </w:rPr>
        <w:t>, fracciones y preceptos aplicables, y b).- Los cuerpos legales, y preceptos que otorgan competencia o facultades a las autoridades para emitir el acto en agravio del gobernado.</w:t>
      </w:r>
    </w:p>
    <w:p w14:paraId="245F9193" w14:textId="77777777" w:rsidR="00106160" w:rsidRDefault="00106160" w:rsidP="00141BDA">
      <w:pPr>
        <w:spacing w:before="120" w:after="120" w:line="360" w:lineRule="auto"/>
        <w:ind w:right="51" w:firstLine="709"/>
        <w:jc w:val="both"/>
        <w:rPr>
          <w:rFonts w:ascii="Arial" w:hAnsi="Arial" w:cs="Arial"/>
          <w:sz w:val="24"/>
          <w:szCs w:val="24"/>
          <w:lang w:eastAsia="es-MX"/>
        </w:rPr>
      </w:pPr>
    </w:p>
    <w:p w14:paraId="0160767E" w14:textId="7ED1C67E" w:rsidR="00106160" w:rsidRPr="004C7F99" w:rsidRDefault="004C7F99" w:rsidP="00141BDA">
      <w:pPr>
        <w:spacing w:before="120" w:after="120" w:line="360" w:lineRule="auto"/>
        <w:ind w:right="51" w:firstLine="709"/>
        <w:jc w:val="both"/>
        <w:rPr>
          <w:rFonts w:ascii="Arial" w:hAnsi="Arial" w:cs="Arial"/>
          <w:sz w:val="24"/>
          <w:szCs w:val="24"/>
          <w:lang w:eastAsia="es-MX"/>
        </w:rPr>
      </w:pPr>
      <w:r w:rsidRPr="004C7F99">
        <w:rPr>
          <w:rFonts w:ascii="Arial" w:hAnsi="Arial" w:cs="Arial"/>
          <w:sz w:val="24"/>
          <w:szCs w:val="24"/>
        </w:rPr>
        <w:t>Lo anterior permite tutelar los derechos de los particulares, porque sujeta la actuación de las autoridades a un régimen de derecho que impide que dichos particulares caigan en estado de indefensión, ante un acto de autoridad que por naturaleza tiene carácter coercitivo; viendo esta obligación desde el punto de vista de lo que persigue la seguridad jurídica del gobernado, y no como un mero formulismo que obstaculice el desempeño de las autoridades en el cumplimiento de sus funciones de orden público y social.</w:t>
      </w:r>
    </w:p>
    <w:p w14:paraId="6CAE7B30" w14:textId="77777777" w:rsidR="00106160" w:rsidRDefault="00106160" w:rsidP="00141BDA">
      <w:pPr>
        <w:spacing w:before="120" w:after="120" w:line="360" w:lineRule="auto"/>
        <w:ind w:right="51" w:firstLine="709"/>
        <w:jc w:val="both"/>
        <w:rPr>
          <w:rFonts w:ascii="Arial" w:hAnsi="Arial" w:cs="Arial"/>
          <w:sz w:val="24"/>
          <w:szCs w:val="24"/>
          <w:lang w:eastAsia="es-MX"/>
        </w:rPr>
      </w:pPr>
    </w:p>
    <w:p w14:paraId="7CB8E236" w14:textId="63708CB5" w:rsidR="00106160" w:rsidRDefault="00791660"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 xml:space="preserve">Ahora bien, en la resolución de fecha treinta de junio de dos mil veinticinco, dictada en el expediente </w:t>
      </w:r>
      <w:r w:rsidRPr="00BF33A4">
        <w:rPr>
          <w:rFonts w:ascii="Arial" w:hAnsi="Arial" w:cs="Arial"/>
          <w:b/>
          <w:bCs/>
          <w:sz w:val="24"/>
          <w:szCs w:val="24"/>
          <w:lang w:eastAsia="es-MX"/>
        </w:rPr>
        <w:t>CEGAIP-PIMA-061/2025</w:t>
      </w:r>
      <w:r w:rsidRPr="00BF33A4">
        <w:rPr>
          <w:rFonts w:ascii="Arial" w:hAnsi="Arial" w:cs="Arial"/>
          <w:sz w:val="24"/>
          <w:szCs w:val="24"/>
          <w:lang w:eastAsia="es-MX"/>
        </w:rPr>
        <w:t xml:space="preserve">, el </w:t>
      </w:r>
      <w:r>
        <w:rPr>
          <w:rFonts w:ascii="Arial" w:hAnsi="Arial" w:cs="Arial"/>
          <w:sz w:val="24"/>
          <w:szCs w:val="24"/>
          <w:lang w:eastAsia="es-MX"/>
        </w:rPr>
        <w:t>Pleno de la Comisión Estatal de Garantía de Acceso a la Información Pública del Estado de San Luis Potosí</w:t>
      </w:r>
      <w:r w:rsidR="008F602D">
        <w:rPr>
          <w:rFonts w:ascii="Arial" w:hAnsi="Arial" w:cs="Arial"/>
          <w:sz w:val="24"/>
          <w:szCs w:val="24"/>
          <w:lang w:eastAsia="es-MX"/>
        </w:rPr>
        <w:t>, en su primer CONSIDERANDO expuso:</w:t>
      </w:r>
    </w:p>
    <w:p w14:paraId="6FD2D66A" w14:textId="06789879" w:rsidR="008F602D" w:rsidRDefault="008F602D" w:rsidP="00141BDA">
      <w:pPr>
        <w:spacing w:before="120" w:after="120" w:line="360" w:lineRule="auto"/>
        <w:ind w:right="51" w:firstLine="709"/>
        <w:jc w:val="both"/>
        <w:rPr>
          <w:rFonts w:ascii="Arial" w:hAnsi="Arial" w:cs="Arial"/>
          <w:sz w:val="24"/>
          <w:szCs w:val="24"/>
          <w:lang w:eastAsia="es-MX"/>
        </w:rPr>
      </w:pPr>
    </w:p>
    <w:p w14:paraId="5B7E0617" w14:textId="3AD269B6" w:rsidR="008F602D" w:rsidRPr="00DF467F" w:rsidRDefault="008F602D" w:rsidP="00DF467F">
      <w:pPr>
        <w:spacing w:after="0" w:line="240" w:lineRule="auto"/>
        <w:ind w:left="567" w:right="618"/>
        <w:jc w:val="both"/>
        <w:rPr>
          <w:rFonts w:ascii="Arial" w:hAnsi="Arial" w:cs="Arial"/>
          <w:sz w:val="20"/>
          <w:szCs w:val="20"/>
          <w:lang w:eastAsia="es-MX"/>
        </w:rPr>
      </w:pPr>
      <w:r w:rsidRPr="00DF467F">
        <w:rPr>
          <w:rFonts w:ascii="Arial" w:hAnsi="Arial" w:cs="Arial"/>
          <w:b/>
          <w:bCs/>
          <w:sz w:val="20"/>
          <w:szCs w:val="20"/>
          <w:lang w:eastAsia="es-MX"/>
        </w:rPr>
        <w:t>PRIMERO. COMPETENCIA.</w:t>
      </w:r>
      <w:r w:rsidRPr="00DF467F">
        <w:rPr>
          <w:rFonts w:ascii="Arial" w:hAnsi="Arial" w:cs="Arial"/>
          <w:sz w:val="20"/>
          <w:szCs w:val="20"/>
          <w:lang w:eastAsia="es-MX"/>
        </w:rPr>
        <w:t xml:space="preserve"> De conformidad con los artículos </w:t>
      </w:r>
      <w:r w:rsidR="00DF467F" w:rsidRPr="00DF467F">
        <w:rPr>
          <w:rFonts w:ascii="Arial" w:hAnsi="Arial" w:cs="Arial"/>
          <w:sz w:val="20"/>
          <w:szCs w:val="20"/>
          <w:lang w:eastAsia="es-MX"/>
        </w:rPr>
        <w:t xml:space="preserve">6º, párrafo cuarto, apartado A, fracciones IV, V y VI, de la Constitución Política de los </w:t>
      </w:r>
      <w:r w:rsidR="00DF467F" w:rsidRPr="00DF467F">
        <w:rPr>
          <w:rFonts w:ascii="Arial" w:hAnsi="Arial" w:cs="Arial"/>
          <w:sz w:val="20"/>
          <w:szCs w:val="20"/>
          <w:lang w:eastAsia="es-MX"/>
        </w:rPr>
        <w:lastRenderedPageBreak/>
        <w:t>Estados Unidos Mexicanos; 17, fracción III, párrafo tercero, de la Constitución Política del Estado Libre y Soberano de San Luis Potosí; 2º, fracciones I, V y VII, 3º, fracciones XX, XXVI y XXX, 13, 27, primer párrafo, 34, fracciones I, XXIII, XXV, XXVIII y XLVII, 35, fracción I, 74, 75, 76, 77, 0,00, 97, 98, 99, 100, 101, 188, 190, fracción II, 190, Bis, 191, 192, 193, 194, 195 y 196 de la Ley de Transparencia y Acceso a la Información Pública de este Estado; y 1, 2, párrafo primero, 8, fracción I, 11 y 12, fracciones I, XXVI, XXVII y XXIX del reglamento interior de este órgano autónomo, esta CEGAIP es competente para conocer del presente asunto. [Sic.]</w:t>
      </w:r>
    </w:p>
    <w:p w14:paraId="5BCB2E12" w14:textId="77777777" w:rsidR="00106160" w:rsidRDefault="00106160" w:rsidP="00141BDA">
      <w:pPr>
        <w:spacing w:before="120" w:after="120" w:line="360" w:lineRule="auto"/>
        <w:ind w:right="51" w:firstLine="709"/>
        <w:jc w:val="both"/>
        <w:rPr>
          <w:rFonts w:ascii="Arial" w:hAnsi="Arial" w:cs="Arial"/>
          <w:sz w:val="24"/>
          <w:szCs w:val="24"/>
          <w:lang w:eastAsia="es-MX"/>
        </w:rPr>
      </w:pPr>
    </w:p>
    <w:p w14:paraId="1CB35D81" w14:textId="64D5912F" w:rsidR="00106160" w:rsidRDefault="00B42398"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El artículo 6º, párrafo cuarto apartado A, fracciones IV, V y VI, de la Constitución Política de los Estados Unidos Mexicanos, establece:</w:t>
      </w:r>
    </w:p>
    <w:p w14:paraId="702FABD6" w14:textId="6FE022EE" w:rsidR="00B42398" w:rsidRDefault="00B42398" w:rsidP="00141BDA">
      <w:pPr>
        <w:spacing w:before="120" w:after="120" w:line="360" w:lineRule="auto"/>
        <w:ind w:right="51" w:firstLine="709"/>
        <w:jc w:val="both"/>
        <w:rPr>
          <w:rFonts w:ascii="Arial" w:hAnsi="Arial" w:cs="Arial"/>
          <w:sz w:val="24"/>
          <w:szCs w:val="24"/>
          <w:lang w:eastAsia="es-MX"/>
        </w:rPr>
      </w:pPr>
    </w:p>
    <w:p w14:paraId="0816BA29" w14:textId="533F59FD" w:rsidR="00B42398" w:rsidRDefault="00B42398" w:rsidP="00B42398">
      <w:pPr>
        <w:pStyle w:val="Texto"/>
        <w:spacing w:after="0" w:line="240" w:lineRule="auto"/>
        <w:ind w:left="567" w:right="618" w:firstLine="0"/>
        <w:rPr>
          <w:sz w:val="20"/>
          <w:szCs w:val="20"/>
        </w:rPr>
      </w:pPr>
      <w:bookmarkStart w:id="0" w:name="Artículo_6o"/>
      <w:r w:rsidRPr="00CC3E59">
        <w:rPr>
          <w:b/>
          <w:sz w:val="20"/>
          <w:szCs w:val="20"/>
        </w:rPr>
        <w:t>Artículo 6o</w:t>
      </w:r>
      <w:bookmarkEnd w:id="0"/>
      <w:r w:rsidRPr="00CC3E59">
        <w:rPr>
          <w:b/>
          <w:sz w:val="20"/>
          <w:szCs w:val="20"/>
        </w:rPr>
        <w:t>.</w:t>
      </w:r>
      <w:r w:rsidRPr="00CC3E59">
        <w:rPr>
          <w:sz w:val="20"/>
          <w:szCs w:val="20"/>
        </w:rPr>
        <w:t xml:space="preserve"> </w:t>
      </w:r>
      <w:r>
        <w:rPr>
          <w:sz w:val="20"/>
          <w:szCs w:val="20"/>
        </w:rPr>
        <w:t>[…]</w:t>
      </w:r>
    </w:p>
    <w:p w14:paraId="406C2CD5" w14:textId="1100ACC4" w:rsidR="00B42398" w:rsidRDefault="00B42398" w:rsidP="00B42398">
      <w:pPr>
        <w:pStyle w:val="Texto"/>
        <w:spacing w:after="0" w:line="240" w:lineRule="auto"/>
        <w:ind w:left="567" w:right="618" w:firstLine="0"/>
        <w:rPr>
          <w:sz w:val="20"/>
          <w:szCs w:val="20"/>
        </w:rPr>
      </w:pPr>
    </w:p>
    <w:p w14:paraId="61F09652" w14:textId="6038DF3C" w:rsidR="00B42398" w:rsidRDefault="00B42398" w:rsidP="00B42398">
      <w:pPr>
        <w:pStyle w:val="Texto"/>
        <w:spacing w:after="0" w:line="240" w:lineRule="auto"/>
        <w:ind w:left="567" w:right="618" w:firstLine="0"/>
        <w:rPr>
          <w:sz w:val="20"/>
          <w:szCs w:val="20"/>
        </w:rPr>
      </w:pPr>
      <w:r>
        <w:rPr>
          <w:sz w:val="20"/>
          <w:szCs w:val="20"/>
        </w:rPr>
        <w:t>[…]</w:t>
      </w:r>
    </w:p>
    <w:p w14:paraId="00D8DF23" w14:textId="1AF4E921" w:rsidR="00B42398" w:rsidRDefault="00B42398" w:rsidP="00B42398">
      <w:pPr>
        <w:pStyle w:val="Texto"/>
        <w:spacing w:after="0" w:line="240" w:lineRule="auto"/>
        <w:ind w:left="567" w:right="618" w:firstLine="0"/>
        <w:rPr>
          <w:sz w:val="20"/>
          <w:szCs w:val="20"/>
        </w:rPr>
      </w:pPr>
    </w:p>
    <w:p w14:paraId="1329EC35" w14:textId="77777777" w:rsidR="00B42398" w:rsidRPr="00CC3E59" w:rsidRDefault="00B42398" w:rsidP="00B42398">
      <w:pPr>
        <w:pStyle w:val="Texto"/>
        <w:spacing w:after="0" w:line="240" w:lineRule="auto"/>
        <w:ind w:left="567" w:right="618" w:firstLine="0"/>
        <w:rPr>
          <w:sz w:val="20"/>
          <w:szCs w:val="20"/>
        </w:rPr>
      </w:pPr>
      <w:r w:rsidRPr="00CC3E59">
        <w:rPr>
          <w:sz w:val="20"/>
          <w:szCs w:val="20"/>
        </w:rPr>
        <w:t>Para efectos de lo dispuesto en el presente artículo se observará lo siguiente:</w:t>
      </w:r>
    </w:p>
    <w:p w14:paraId="1454E10D" w14:textId="77777777" w:rsidR="00B42398" w:rsidRPr="00CC3E59" w:rsidRDefault="00B42398" w:rsidP="00B42398">
      <w:pPr>
        <w:spacing w:after="0" w:line="240" w:lineRule="auto"/>
        <w:ind w:left="567" w:right="618"/>
        <w:jc w:val="both"/>
        <w:rPr>
          <w:rFonts w:ascii="Arial" w:hAnsi="Arial" w:cs="Arial"/>
          <w:sz w:val="20"/>
        </w:rPr>
      </w:pPr>
    </w:p>
    <w:p w14:paraId="40A05F4C" w14:textId="52FC825C" w:rsidR="00B42398" w:rsidRDefault="00B42398" w:rsidP="00B42398">
      <w:pPr>
        <w:pStyle w:val="Texto"/>
        <w:numPr>
          <w:ilvl w:val="0"/>
          <w:numId w:val="3"/>
        </w:numPr>
        <w:spacing w:after="0" w:line="240" w:lineRule="auto"/>
        <w:ind w:left="567" w:right="618" w:firstLine="0"/>
        <w:rPr>
          <w:sz w:val="20"/>
          <w:szCs w:val="20"/>
        </w:rPr>
      </w:pPr>
      <w:r w:rsidRPr="00CC3E59">
        <w:rPr>
          <w:sz w:val="20"/>
          <w:szCs w:val="20"/>
        </w:rPr>
        <w:t xml:space="preserve">Para el ejercicio del derecho de acceso a la información, </w:t>
      </w:r>
      <w:smartTag w:uri="urn:schemas-microsoft-com:office:smarttags" w:element="PersonName">
        <w:smartTagPr>
          <w:attr w:name="ProductID" w:val="LA FEDERACIÓN"/>
        </w:smartTagPr>
        <w:r w:rsidRPr="00CC3E59">
          <w:rPr>
            <w:sz w:val="20"/>
            <w:szCs w:val="20"/>
          </w:rPr>
          <w:t>la Federación</w:t>
        </w:r>
      </w:smartTag>
      <w:r w:rsidRPr="00CC3E59">
        <w:rPr>
          <w:sz w:val="20"/>
          <w:szCs w:val="20"/>
        </w:rPr>
        <w:t xml:space="preserve"> y las entidades federativas, en el ámbito de sus respectivas competencias, se regirán por los siguientes principios y bases:</w:t>
      </w:r>
    </w:p>
    <w:p w14:paraId="192F9F3C" w14:textId="285A5B39" w:rsidR="00B42398" w:rsidRDefault="00B42398" w:rsidP="00B42398">
      <w:pPr>
        <w:pStyle w:val="Texto"/>
        <w:spacing w:after="0" w:line="240" w:lineRule="auto"/>
        <w:ind w:left="567" w:right="618" w:firstLine="0"/>
        <w:rPr>
          <w:sz w:val="20"/>
          <w:szCs w:val="20"/>
        </w:rPr>
      </w:pPr>
      <w:r>
        <w:rPr>
          <w:sz w:val="20"/>
          <w:szCs w:val="20"/>
        </w:rPr>
        <w:t>[…]</w:t>
      </w:r>
    </w:p>
    <w:p w14:paraId="2D6A70C6" w14:textId="67753850" w:rsidR="00B42398" w:rsidRDefault="00B42398" w:rsidP="00B42398">
      <w:pPr>
        <w:pStyle w:val="Texto"/>
        <w:spacing w:after="0" w:line="240" w:lineRule="auto"/>
        <w:ind w:left="567" w:right="618" w:firstLine="0"/>
        <w:rPr>
          <w:sz w:val="20"/>
          <w:szCs w:val="20"/>
        </w:rPr>
      </w:pPr>
    </w:p>
    <w:p w14:paraId="4AF06CC1" w14:textId="77777777" w:rsidR="00B42398" w:rsidRPr="00C163FF" w:rsidRDefault="00B42398" w:rsidP="00B42398">
      <w:pPr>
        <w:pStyle w:val="Texto"/>
        <w:spacing w:after="0" w:line="240" w:lineRule="auto"/>
        <w:ind w:left="567" w:right="618" w:firstLine="0"/>
        <w:rPr>
          <w:bCs/>
          <w:color w:val="000000"/>
          <w:sz w:val="20"/>
        </w:rPr>
      </w:pPr>
      <w:r w:rsidRPr="00C163FF">
        <w:rPr>
          <w:b/>
          <w:bCs/>
          <w:color w:val="000000"/>
          <w:sz w:val="20"/>
        </w:rPr>
        <w:t xml:space="preserve">IV. </w:t>
      </w:r>
      <w:r w:rsidRPr="00C163FF">
        <w:rPr>
          <w:b/>
          <w:bCs/>
          <w:color w:val="000000"/>
          <w:sz w:val="20"/>
        </w:rPr>
        <w:tab/>
      </w:r>
      <w:r w:rsidRPr="00C163FF">
        <w:rPr>
          <w:bCs/>
          <w:color w:val="000000"/>
          <w:sz w:val="20"/>
        </w:rPr>
        <w:t>Se establecerán mecanismos de acceso a la información pública y procedimientos de revisión expeditos que se sustanciarán ante las instancias competentes en los términos que fija esta Constitución y las leyes.</w:t>
      </w:r>
    </w:p>
    <w:p w14:paraId="1522D614" w14:textId="77777777" w:rsidR="00B42398" w:rsidRPr="00CC3E59" w:rsidRDefault="00B42398" w:rsidP="00B42398">
      <w:pPr>
        <w:pStyle w:val="Texto"/>
        <w:spacing w:after="0" w:line="240" w:lineRule="auto"/>
        <w:ind w:left="567" w:right="618" w:firstLine="0"/>
        <w:rPr>
          <w:bCs/>
          <w:color w:val="000000"/>
          <w:sz w:val="20"/>
        </w:rPr>
      </w:pPr>
    </w:p>
    <w:p w14:paraId="747B6CB1" w14:textId="77777777" w:rsidR="00B42398" w:rsidRPr="00CC3E59" w:rsidRDefault="00B42398" w:rsidP="00B42398">
      <w:pPr>
        <w:pStyle w:val="Texto"/>
        <w:spacing w:after="0" w:line="240" w:lineRule="auto"/>
        <w:ind w:left="567" w:right="618" w:firstLine="0"/>
        <w:rPr>
          <w:bCs/>
          <w:color w:val="000000"/>
          <w:sz w:val="20"/>
        </w:rPr>
      </w:pPr>
      <w:r w:rsidRPr="00CC3E59">
        <w:rPr>
          <w:b/>
          <w:bCs/>
          <w:color w:val="000000"/>
          <w:sz w:val="20"/>
        </w:rPr>
        <w:t xml:space="preserve">V. </w:t>
      </w:r>
      <w:r w:rsidRPr="00CC3E59">
        <w:rPr>
          <w:b/>
          <w:bCs/>
          <w:color w:val="000000"/>
          <w:sz w:val="20"/>
        </w:rPr>
        <w:tab/>
      </w:r>
      <w:r w:rsidRPr="00CC3E59">
        <w:rPr>
          <w:bCs/>
          <w:color w:val="000000"/>
          <w:sz w:val="2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DE401F4" w14:textId="77777777" w:rsidR="00B42398" w:rsidRPr="00CC3E59" w:rsidRDefault="00B42398" w:rsidP="00B42398">
      <w:pPr>
        <w:pStyle w:val="Texto"/>
        <w:spacing w:after="0" w:line="240" w:lineRule="auto"/>
        <w:ind w:left="567" w:right="618" w:firstLine="0"/>
        <w:rPr>
          <w:color w:val="000000"/>
          <w:sz w:val="20"/>
        </w:rPr>
      </w:pPr>
    </w:p>
    <w:p w14:paraId="2F2BF45D" w14:textId="77777777" w:rsidR="00B42398" w:rsidRPr="00CC3E59" w:rsidRDefault="00B42398" w:rsidP="00B42398">
      <w:pPr>
        <w:pStyle w:val="Texto"/>
        <w:spacing w:after="0" w:line="240" w:lineRule="auto"/>
        <w:ind w:left="567" w:right="618" w:firstLine="0"/>
        <w:rPr>
          <w:color w:val="000000"/>
          <w:sz w:val="20"/>
        </w:rPr>
      </w:pPr>
      <w:r w:rsidRPr="00CC3E59">
        <w:rPr>
          <w:b/>
          <w:bCs/>
          <w:color w:val="000000"/>
          <w:sz w:val="20"/>
        </w:rPr>
        <w:t xml:space="preserve">VI. </w:t>
      </w:r>
      <w:r w:rsidRPr="00CC3E59">
        <w:rPr>
          <w:b/>
          <w:bCs/>
          <w:color w:val="000000"/>
          <w:sz w:val="20"/>
        </w:rPr>
        <w:tab/>
      </w:r>
      <w:r w:rsidRPr="00CC3E59">
        <w:rPr>
          <w:sz w:val="20"/>
          <w:szCs w:val="20"/>
        </w:rPr>
        <w:t>Las leyes determinarán la manera en que los sujetos obligados deberán hacer pública la información relativa a los recursos públicos que entreguen a personas físicas o morales.</w:t>
      </w:r>
    </w:p>
    <w:p w14:paraId="16FE53D8" w14:textId="74871171" w:rsidR="00B42398" w:rsidRDefault="00B42398" w:rsidP="00B42398">
      <w:pPr>
        <w:pStyle w:val="Texto"/>
        <w:spacing w:after="0" w:line="240" w:lineRule="auto"/>
        <w:ind w:left="567" w:right="618" w:firstLine="0"/>
        <w:rPr>
          <w:sz w:val="20"/>
          <w:szCs w:val="20"/>
        </w:rPr>
      </w:pPr>
    </w:p>
    <w:p w14:paraId="7CB4FF7A" w14:textId="4AA5C899" w:rsidR="00B42398" w:rsidRDefault="00B42398" w:rsidP="00B42398">
      <w:pPr>
        <w:pStyle w:val="Texto"/>
        <w:spacing w:after="0" w:line="240" w:lineRule="auto"/>
        <w:ind w:left="567" w:right="618" w:firstLine="0"/>
        <w:rPr>
          <w:sz w:val="20"/>
          <w:szCs w:val="20"/>
        </w:rPr>
      </w:pPr>
      <w:r>
        <w:rPr>
          <w:sz w:val="20"/>
          <w:szCs w:val="20"/>
        </w:rPr>
        <w:t>[…]</w:t>
      </w:r>
    </w:p>
    <w:p w14:paraId="550D7A82" w14:textId="77777777" w:rsidR="00B42398" w:rsidRPr="00CC3E59" w:rsidRDefault="00B42398" w:rsidP="00B42398">
      <w:pPr>
        <w:pStyle w:val="Texto"/>
        <w:spacing w:after="0" w:line="240" w:lineRule="auto"/>
        <w:ind w:left="567" w:right="618" w:firstLine="0"/>
        <w:rPr>
          <w:sz w:val="20"/>
          <w:szCs w:val="20"/>
        </w:rPr>
      </w:pPr>
    </w:p>
    <w:p w14:paraId="04A8FDC6" w14:textId="33186878" w:rsidR="00B42398" w:rsidRDefault="00756EBA"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De su contenido se colige que en la ley deben determinarse los sujetos obligados y la autoridad competente en materia de acceso a la información, de manera tal que, las personas físicas y morales que no tengan el carácter de sujetos obligados, no están bajo la jurisdicción y competencia de las autoridades en materia de acceso a la información.</w:t>
      </w:r>
    </w:p>
    <w:p w14:paraId="4A6C842E" w14:textId="4017C894" w:rsidR="00756EBA" w:rsidRDefault="00756EBA" w:rsidP="00141BDA">
      <w:pPr>
        <w:spacing w:before="120" w:after="120" w:line="360" w:lineRule="auto"/>
        <w:ind w:right="51" w:firstLine="709"/>
        <w:jc w:val="both"/>
        <w:rPr>
          <w:rFonts w:ascii="Arial" w:hAnsi="Arial" w:cs="Arial"/>
          <w:sz w:val="24"/>
          <w:szCs w:val="24"/>
          <w:lang w:eastAsia="es-MX"/>
        </w:rPr>
      </w:pPr>
    </w:p>
    <w:p w14:paraId="6B76B6DF" w14:textId="51EBFC7B" w:rsidR="00756EBA" w:rsidRDefault="00756EBA"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El artículo 17, fracción III párrafo tercero, de la Constitución Política del Estado Libre y Soberano de San Luis Potosí, señala:</w:t>
      </w:r>
    </w:p>
    <w:p w14:paraId="6541EB86" w14:textId="2CF562A6" w:rsidR="00756EBA" w:rsidRDefault="00756EBA" w:rsidP="00141BDA">
      <w:pPr>
        <w:spacing w:before="120" w:after="120" w:line="360" w:lineRule="auto"/>
        <w:ind w:right="51" w:firstLine="709"/>
        <w:jc w:val="both"/>
        <w:rPr>
          <w:rFonts w:ascii="Arial" w:hAnsi="Arial" w:cs="Arial"/>
          <w:sz w:val="24"/>
          <w:szCs w:val="24"/>
          <w:lang w:eastAsia="es-MX"/>
        </w:rPr>
      </w:pPr>
    </w:p>
    <w:p w14:paraId="5CD65484" w14:textId="1CC276F5" w:rsidR="00756EBA" w:rsidRPr="00756EBA" w:rsidRDefault="00756EBA" w:rsidP="00756EBA">
      <w:pPr>
        <w:spacing w:after="0" w:line="240" w:lineRule="auto"/>
        <w:ind w:left="567" w:right="618"/>
        <w:jc w:val="both"/>
        <w:rPr>
          <w:rFonts w:ascii="Arial" w:hAnsi="Arial" w:cs="Arial"/>
          <w:sz w:val="20"/>
          <w:szCs w:val="20"/>
        </w:rPr>
      </w:pPr>
      <w:r w:rsidRPr="00756EBA">
        <w:rPr>
          <w:rFonts w:ascii="Arial" w:hAnsi="Arial" w:cs="Arial"/>
          <w:b/>
          <w:bCs/>
          <w:sz w:val="20"/>
          <w:szCs w:val="20"/>
        </w:rPr>
        <w:t xml:space="preserve">ARTÍCULO 17. </w:t>
      </w:r>
      <w:r w:rsidRPr="00756EBA">
        <w:rPr>
          <w:rFonts w:ascii="Arial" w:hAnsi="Arial" w:cs="Arial"/>
          <w:sz w:val="20"/>
          <w:szCs w:val="20"/>
        </w:rPr>
        <w:t>[…]</w:t>
      </w:r>
    </w:p>
    <w:p w14:paraId="6B5A43E8" w14:textId="00EC1BC0" w:rsidR="00756EBA" w:rsidRPr="00756EBA" w:rsidRDefault="00756EBA" w:rsidP="00756EBA">
      <w:pPr>
        <w:spacing w:after="0" w:line="240" w:lineRule="auto"/>
        <w:ind w:left="567" w:right="618"/>
        <w:jc w:val="both"/>
        <w:rPr>
          <w:rFonts w:ascii="Arial" w:hAnsi="Arial" w:cs="Arial"/>
          <w:sz w:val="20"/>
          <w:szCs w:val="20"/>
        </w:rPr>
      </w:pPr>
    </w:p>
    <w:p w14:paraId="7CF14560" w14:textId="25959C5F" w:rsidR="00756EBA" w:rsidRPr="00756EBA" w:rsidRDefault="00756EBA" w:rsidP="00756EBA">
      <w:pPr>
        <w:spacing w:after="0" w:line="240" w:lineRule="auto"/>
        <w:ind w:left="567" w:right="618"/>
        <w:jc w:val="both"/>
        <w:rPr>
          <w:rFonts w:ascii="Arial" w:hAnsi="Arial" w:cs="Arial"/>
          <w:sz w:val="20"/>
          <w:szCs w:val="20"/>
        </w:rPr>
      </w:pPr>
      <w:r w:rsidRPr="00756EBA">
        <w:rPr>
          <w:rFonts w:ascii="Arial" w:hAnsi="Arial" w:cs="Arial"/>
          <w:sz w:val="20"/>
          <w:szCs w:val="20"/>
        </w:rPr>
        <w:t>[…]</w:t>
      </w:r>
    </w:p>
    <w:p w14:paraId="779CB516" w14:textId="4480C357" w:rsidR="00756EBA" w:rsidRPr="00756EBA" w:rsidRDefault="00756EBA" w:rsidP="00756EBA">
      <w:pPr>
        <w:spacing w:after="0" w:line="240" w:lineRule="auto"/>
        <w:ind w:left="567" w:right="618"/>
        <w:jc w:val="both"/>
        <w:rPr>
          <w:rFonts w:ascii="Arial" w:hAnsi="Arial" w:cs="Arial"/>
          <w:sz w:val="20"/>
          <w:szCs w:val="20"/>
        </w:rPr>
      </w:pPr>
    </w:p>
    <w:p w14:paraId="339DB72E" w14:textId="02DB7087" w:rsidR="00756EBA" w:rsidRPr="00756EBA" w:rsidRDefault="00756EBA" w:rsidP="00756EBA">
      <w:pPr>
        <w:spacing w:after="0" w:line="240" w:lineRule="auto"/>
        <w:ind w:left="567" w:right="618"/>
        <w:jc w:val="both"/>
        <w:rPr>
          <w:rFonts w:ascii="Arial" w:hAnsi="Arial" w:cs="Arial"/>
          <w:sz w:val="20"/>
          <w:szCs w:val="20"/>
        </w:rPr>
      </w:pPr>
      <w:r w:rsidRPr="00756EBA">
        <w:rPr>
          <w:rFonts w:ascii="Arial" w:hAnsi="Arial" w:cs="Arial"/>
          <w:b/>
          <w:bCs/>
          <w:sz w:val="20"/>
          <w:szCs w:val="20"/>
        </w:rPr>
        <w:lastRenderedPageBreak/>
        <w:t>III.</w:t>
      </w:r>
      <w:r w:rsidRPr="00756EBA">
        <w:rPr>
          <w:rFonts w:ascii="Arial" w:hAnsi="Arial" w:cs="Arial"/>
          <w:sz w:val="20"/>
          <w:szCs w:val="20"/>
        </w:rPr>
        <w:t xml:space="preserve"> […]</w:t>
      </w:r>
    </w:p>
    <w:p w14:paraId="1AD2B1C1" w14:textId="64CAB2A5" w:rsidR="00756EBA" w:rsidRPr="00756EBA" w:rsidRDefault="00756EBA" w:rsidP="00756EBA">
      <w:pPr>
        <w:spacing w:after="0" w:line="240" w:lineRule="auto"/>
        <w:ind w:left="567" w:right="618"/>
        <w:jc w:val="both"/>
        <w:rPr>
          <w:rFonts w:ascii="Arial" w:hAnsi="Arial" w:cs="Arial"/>
          <w:sz w:val="20"/>
          <w:szCs w:val="20"/>
        </w:rPr>
      </w:pPr>
      <w:r w:rsidRPr="00756EBA">
        <w:rPr>
          <w:rFonts w:ascii="Arial" w:hAnsi="Arial" w:cs="Arial"/>
          <w:sz w:val="20"/>
          <w:szCs w:val="20"/>
        </w:rPr>
        <w:t>[…]</w:t>
      </w:r>
    </w:p>
    <w:p w14:paraId="4F3443B3" w14:textId="2316091D" w:rsidR="00756EBA" w:rsidRPr="00756EBA" w:rsidRDefault="00756EBA" w:rsidP="00756EBA">
      <w:pPr>
        <w:spacing w:after="0" w:line="240" w:lineRule="auto"/>
        <w:ind w:left="567" w:right="618"/>
        <w:jc w:val="both"/>
        <w:rPr>
          <w:rFonts w:ascii="Arial" w:hAnsi="Arial" w:cs="Arial"/>
          <w:sz w:val="20"/>
          <w:szCs w:val="20"/>
        </w:rPr>
      </w:pPr>
    </w:p>
    <w:p w14:paraId="1F686445" w14:textId="22C620B9" w:rsidR="00756EBA" w:rsidRDefault="00756EBA" w:rsidP="00756EBA">
      <w:pPr>
        <w:spacing w:after="0" w:line="240" w:lineRule="auto"/>
        <w:ind w:left="567" w:right="618"/>
        <w:jc w:val="both"/>
        <w:rPr>
          <w:rFonts w:ascii="Arial" w:hAnsi="Arial" w:cs="Arial"/>
          <w:sz w:val="20"/>
          <w:szCs w:val="20"/>
        </w:rPr>
      </w:pPr>
      <w:r w:rsidRPr="00756EBA">
        <w:rPr>
          <w:rFonts w:ascii="Arial" w:hAnsi="Arial" w:cs="Arial"/>
          <w:sz w:val="20"/>
          <w:szCs w:val="20"/>
        </w:rPr>
        <w:t>La Comisión Estatal de Garantía de Acceso a la Información Pública es un organismo especializado, imparcial, y colegiado responsable de garantizar el derecho de acceso a la información, y de protección de datos personales en posesión de los sujetos obligados, conforme a los principios y bases establecidos por el artículo 6º de la Constitución Política de los Estados Unidos Mexicanos; y la Ley General que establece las bases, principios generales, y procedimientos del ejercicio de este derecho.</w:t>
      </w:r>
    </w:p>
    <w:p w14:paraId="25E213E1" w14:textId="6D215AD4" w:rsidR="00756EBA" w:rsidRDefault="00756EBA" w:rsidP="00756EBA">
      <w:pPr>
        <w:spacing w:after="0" w:line="240" w:lineRule="auto"/>
        <w:ind w:left="567" w:right="618"/>
        <w:jc w:val="both"/>
        <w:rPr>
          <w:rFonts w:ascii="Arial" w:hAnsi="Arial" w:cs="Arial"/>
          <w:sz w:val="20"/>
          <w:szCs w:val="20"/>
        </w:rPr>
      </w:pPr>
    </w:p>
    <w:p w14:paraId="33A66AC8" w14:textId="179DA921" w:rsidR="00756EBA" w:rsidRDefault="00756EBA" w:rsidP="00756EBA">
      <w:pPr>
        <w:spacing w:after="0" w:line="240" w:lineRule="auto"/>
        <w:ind w:left="567" w:right="618"/>
        <w:jc w:val="both"/>
        <w:rPr>
          <w:rFonts w:ascii="Arial" w:hAnsi="Arial" w:cs="Arial"/>
          <w:sz w:val="20"/>
          <w:szCs w:val="20"/>
        </w:rPr>
      </w:pPr>
      <w:r>
        <w:rPr>
          <w:rFonts w:ascii="Arial" w:hAnsi="Arial" w:cs="Arial"/>
          <w:sz w:val="20"/>
          <w:szCs w:val="20"/>
        </w:rPr>
        <w:t>[…]</w:t>
      </w:r>
    </w:p>
    <w:p w14:paraId="166E255E" w14:textId="77777777" w:rsidR="00756EBA" w:rsidRPr="00756EBA" w:rsidRDefault="00756EBA" w:rsidP="00756EBA">
      <w:pPr>
        <w:spacing w:after="0" w:line="240" w:lineRule="auto"/>
        <w:ind w:left="567" w:right="618"/>
        <w:jc w:val="both"/>
        <w:rPr>
          <w:rFonts w:ascii="Arial" w:hAnsi="Arial" w:cs="Arial"/>
          <w:sz w:val="20"/>
          <w:szCs w:val="20"/>
        </w:rPr>
      </w:pPr>
    </w:p>
    <w:p w14:paraId="7FDC60F6" w14:textId="210069A2" w:rsidR="00756EBA" w:rsidRDefault="00011470"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 xml:space="preserve">Del citado precepto se advierte que la Comisión Estatal de Garantía de Acceso a la Información Pública sólo es competente para conocer respecto de asuntos relacionados con el derecho de acceso a la información y de protección de datos personales </w:t>
      </w:r>
      <w:r>
        <w:rPr>
          <w:rFonts w:ascii="Arial" w:hAnsi="Arial" w:cs="Arial"/>
          <w:b/>
          <w:bCs/>
          <w:sz w:val="24"/>
          <w:szCs w:val="24"/>
          <w:lang w:eastAsia="es-MX"/>
        </w:rPr>
        <w:t>en posesión de los sujetos obligados</w:t>
      </w:r>
      <w:r>
        <w:rPr>
          <w:rFonts w:ascii="Arial" w:hAnsi="Arial" w:cs="Arial"/>
          <w:sz w:val="24"/>
          <w:szCs w:val="24"/>
          <w:lang w:eastAsia="es-MX"/>
        </w:rPr>
        <w:t>; por lo que será incompetente, por razón de la materia si la persona física o moral no tiene el carácter de sujeto obligado conforme a la ley.</w:t>
      </w:r>
    </w:p>
    <w:p w14:paraId="27E12D6A" w14:textId="049812E1" w:rsidR="00011470" w:rsidRDefault="00011470" w:rsidP="00141BDA">
      <w:pPr>
        <w:spacing w:before="120" w:after="120" w:line="360" w:lineRule="auto"/>
        <w:ind w:right="51" w:firstLine="709"/>
        <w:jc w:val="both"/>
        <w:rPr>
          <w:rFonts w:ascii="Arial" w:hAnsi="Arial" w:cs="Arial"/>
          <w:sz w:val="24"/>
          <w:szCs w:val="24"/>
          <w:lang w:eastAsia="es-MX"/>
        </w:rPr>
      </w:pPr>
    </w:p>
    <w:p w14:paraId="5918ED45" w14:textId="3181D7DF" w:rsidR="00011470" w:rsidRDefault="00011470"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Los artículos 2º fracciones I, V y VII; 3º fracciones XX, XXVI y XXX; 13; 27 párrafo</w:t>
      </w:r>
      <w:r w:rsidRPr="00011470">
        <w:rPr>
          <w:rFonts w:ascii="Arial" w:hAnsi="Arial" w:cs="Arial"/>
          <w:sz w:val="24"/>
          <w:szCs w:val="24"/>
          <w:lang w:eastAsia="es-MX"/>
        </w:rPr>
        <w:t xml:space="preserve"> </w:t>
      </w:r>
      <w:r>
        <w:rPr>
          <w:rFonts w:ascii="Arial" w:hAnsi="Arial" w:cs="Arial"/>
          <w:sz w:val="24"/>
          <w:szCs w:val="24"/>
          <w:lang w:eastAsia="es-MX"/>
        </w:rPr>
        <w:t>primero; 34 fracciones I, XXIII, XXV, XXVIII y XLVII; 35 fracción I; 74; 75; 76; 77; 97; 98; 99; 100; 101; 188; 190 fracción II; 190 Bis; 191; 192; 193; 194; 195 y 196 de la Ley de Transparencia y Acceso a la Información Pública del Estado de San Luis Potosí, textualmente mandatan:</w:t>
      </w:r>
    </w:p>
    <w:p w14:paraId="5D435FA0" w14:textId="7CB86040" w:rsidR="00011470" w:rsidRDefault="00011470" w:rsidP="00141BDA">
      <w:pPr>
        <w:spacing w:before="120" w:after="120" w:line="360" w:lineRule="auto"/>
        <w:ind w:right="51" w:firstLine="709"/>
        <w:jc w:val="both"/>
        <w:rPr>
          <w:rFonts w:ascii="Arial" w:hAnsi="Arial" w:cs="Arial"/>
          <w:sz w:val="24"/>
          <w:szCs w:val="24"/>
          <w:lang w:eastAsia="es-MX"/>
        </w:rPr>
      </w:pPr>
    </w:p>
    <w:p w14:paraId="4141E064" w14:textId="2DCA83A3"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ARTÍCULO 2°</w:t>
      </w:r>
      <w:r w:rsidRPr="00095184">
        <w:rPr>
          <w:rFonts w:ascii="Arial" w:hAnsi="Arial" w:cs="Arial"/>
          <w:sz w:val="20"/>
          <w:szCs w:val="20"/>
        </w:rPr>
        <w:t>. […]</w:t>
      </w:r>
    </w:p>
    <w:p w14:paraId="4D28BD62" w14:textId="77777777"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p>
    <w:p w14:paraId="4851835E" w14:textId="2EF64925" w:rsidR="00011470"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 </w:t>
      </w:r>
      <w:r w:rsidRPr="00095184">
        <w:rPr>
          <w:rFonts w:ascii="Arial" w:hAnsi="Arial" w:cs="Arial"/>
          <w:sz w:val="20"/>
          <w:szCs w:val="20"/>
        </w:rPr>
        <w:t>Establecer la competencia que tiene el Estado de San Luis Potosí en materia de transparencia y acceso a la información y las bases para la coordinación con el Instituto Nacional de Transparencia, Acceso a la Información y Protección de Datos Personales;</w:t>
      </w:r>
    </w:p>
    <w:p w14:paraId="3960E38A" w14:textId="71A3A8CE"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lang w:eastAsia="es-MX"/>
        </w:rPr>
      </w:pPr>
    </w:p>
    <w:p w14:paraId="2E8FCBFE" w14:textId="6514CE8B"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lang w:eastAsia="es-MX"/>
        </w:rPr>
      </w:pPr>
      <w:r w:rsidRPr="00095184">
        <w:rPr>
          <w:rFonts w:ascii="Arial" w:hAnsi="Arial" w:cs="Arial"/>
          <w:sz w:val="20"/>
          <w:szCs w:val="20"/>
          <w:lang w:eastAsia="es-MX"/>
        </w:rPr>
        <w:t>[…]</w:t>
      </w:r>
    </w:p>
    <w:p w14:paraId="6A448887" w14:textId="6236A1AC"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lang w:eastAsia="es-MX"/>
        </w:rPr>
      </w:pPr>
    </w:p>
    <w:p w14:paraId="64E51C46" w14:textId="26FEB487"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V. </w:t>
      </w:r>
      <w:r w:rsidRPr="00095184">
        <w:rPr>
          <w:rFonts w:ascii="Arial" w:hAnsi="Arial" w:cs="Arial"/>
          <w:sz w:val="20"/>
          <w:szCs w:val="20"/>
        </w:rPr>
        <w:t>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 del Estado;</w:t>
      </w:r>
    </w:p>
    <w:p w14:paraId="146075F6" w14:textId="539A2CD1"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p>
    <w:p w14:paraId="5CB62E95" w14:textId="2650D64B"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0639CEA5" w14:textId="72B949C9"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p>
    <w:p w14:paraId="4950868D" w14:textId="4CCAF67C"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VII. </w:t>
      </w:r>
      <w:r w:rsidRPr="00095184">
        <w:rPr>
          <w:rFonts w:ascii="Arial" w:hAnsi="Arial" w:cs="Arial"/>
          <w:sz w:val="20"/>
          <w:szCs w:val="20"/>
        </w:rPr>
        <w:t>Consolidar la apertura de las instituciones del Estado Potosino, mediante iniciativas de gobierno abierto, que mejoren la gestión pública a través de la difusión de la información en formatos abiertos y accesibles, así como la participación efectiva de la sociedad en la atención de los mismos;</w:t>
      </w:r>
    </w:p>
    <w:p w14:paraId="215EC266" w14:textId="4B54843E"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p>
    <w:p w14:paraId="0462196A" w14:textId="04B42016"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0D3FA0BF" w14:textId="5D066E11" w:rsidR="002D192E" w:rsidRPr="00095184" w:rsidRDefault="002D192E" w:rsidP="00095184">
      <w:pPr>
        <w:autoSpaceDE w:val="0"/>
        <w:autoSpaceDN w:val="0"/>
        <w:adjustRightInd w:val="0"/>
        <w:spacing w:after="0" w:line="240" w:lineRule="auto"/>
        <w:ind w:left="567" w:right="618"/>
        <w:jc w:val="both"/>
        <w:rPr>
          <w:rFonts w:ascii="Arial" w:hAnsi="Arial" w:cs="Arial"/>
          <w:sz w:val="20"/>
          <w:szCs w:val="20"/>
        </w:rPr>
      </w:pPr>
    </w:p>
    <w:p w14:paraId="327D8E45" w14:textId="03443C8B" w:rsidR="00756EBA" w:rsidRPr="00095184" w:rsidRDefault="00EA02F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lastRenderedPageBreak/>
        <w:t xml:space="preserve">ARTÍCULO 3°. </w:t>
      </w:r>
      <w:r w:rsidRPr="00095184">
        <w:rPr>
          <w:rFonts w:ascii="Arial" w:hAnsi="Arial" w:cs="Arial"/>
          <w:sz w:val="20"/>
          <w:szCs w:val="20"/>
        </w:rPr>
        <w:t>[…]</w:t>
      </w:r>
    </w:p>
    <w:p w14:paraId="6BD36594" w14:textId="27ECCABE"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p>
    <w:p w14:paraId="422A9BB0" w14:textId="05D461FE"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3FC010C9" w14:textId="4650BBBF"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p>
    <w:p w14:paraId="223F683A" w14:textId="606FAC0E"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 Obligaciones de Transparencia: </w:t>
      </w:r>
      <w:r w:rsidRPr="00095184">
        <w:rPr>
          <w:rFonts w:ascii="Arial" w:hAnsi="Arial" w:cs="Arial"/>
          <w:sz w:val="20"/>
          <w:szCs w:val="20"/>
        </w:rPr>
        <w:t>la información que los sujetos obligados deben difundir de manera obligatoria, permanente y actualizada, sin que medie para ello, solicitud de acceso;</w:t>
      </w:r>
    </w:p>
    <w:p w14:paraId="372885B4" w14:textId="289E2475"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p>
    <w:p w14:paraId="55E95CB7" w14:textId="7A9BB5E4"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429DD328" w14:textId="3BBA6B97" w:rsidR="00EA02F4" w:rsidRPr="00095184" w:rsidRDefault="00EA02F4" w:rsidP="00095184">
      <w:pPr>
        <w:autoSpaceDE w:val="0"/>
        <w:autoSpaceDN w:val="0"/>
        <w:adjustRightInd w:val="0"/>
        <w:spacing w:after="0" w:line="240" w:lineRule="auto"/>
        <w:ind w:left="567" w:right="618"/>
        <w:jc w:val="both"/>
        <w:rPr>
          <w:rFonts w:ascii="Arial" w:hAnsi="Arial" w:cs="Arial"/>
          <w:sz w:val="20"/>
          <w:szCs w:val="20"/>
        </w:rPr>
      </w:pPr>
    </w:p>
    <w:p w14:paraId="79BE5353" w14:textId="1E7A317F" w:rsidR="00EA02F4" w:rsidRPr="00095184" w:rsidRDefault="00AD55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XXVI. Pleno: </w:t>
      </w:r>
      <w:r w:rsidRPr="00095184">
        <w:rPr>
          <w:rFonts w:ascii="Arial" w:hAnsi="Arial" w:cs="Arial"/>
          <w:sz w:val="20"/>
          <w:szCs w:val="20"/>
        </w:rPr>
        <w:t>el máximo órgano de gobierno de la CEGAIP en razón de la actuación colegiada de sus comisionados;</w:t>
      </w:r>
    </w:p>
    <w:p w14:paraId="50C9A10A" w14:textId="6233D68C"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p>
    <w:p w14:paraId="79BA917F" w14:textId="05BE328C"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6CA5D051" w14:textId="30359AC1"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p>
    <w:p w14:paraId="137EA42D" w14:textId="6B832C5E"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XXX. Resolución: </w:t>
      </w:r>
      <w:r w:rsidRPr="00095184">
        <w:rPr>
          <w:rFonts w:ascii="Arial" w:hAnsi="Arial" w:cs="Arial"/>
          <w:sz w:val="20"/>
          <w:szCs w:val="20"/>
        </w:rPr>
        <w:t>la decisión fundada y motivada dictada por el Pleno, que decide cualesquiera de los procedimientos administrativos de la competencia de la CEGAIP;</w:t>
      </w:r>
    </w:p>
    <w:p w14:paraId="2249FD5F" w14:textId="0B89FCA8"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p>
    <w:p w14:paraId="47AE7606" w14:textId="3B92B295"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05D9D067" w14:textId="101CC3D5" w:rsidR="00AD558F" w:rsidRPr="00095184" w:rsidRDefault="00AD558F" w:rsidP="00095184">
      <w:pPr>
        <w:autoSpaceDE w:val="0"/>
        <w:autoSpaceDN w:val="0"/>
        <w:adjustRightInd w:val="0"/>
        <w:spacing w:after="0" w:line="240" w:lineRule="auto"/>
        <w:ind w:left="567" w:right="618"/>
        <w:jc w:val="both"/>
        <w:rPr>
          <w:rFonts w:ascii="Arial" w:hAnsi="Arial" w:cs="Arial"/>
          <w:sz w:val="20"/>
          <w:szCs w:val="20"/>
        </w:rPr>
      </w:pPr>
    </w:p>
    <w:p w14:paraId="616DBF3E" w14:textId="639513C2"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13. </w:t>
      </w:r>
      <w:r w:rsidRPr="00095184">
        <w:rPr>
          <w:rFonts w:ascii="Arial" w:hAnsi="Arial" w:cs="Arial"/>
          <w:sz w:val="20"/>
          <w:szCs w:val="20"/>
        </w:rPr>
        <w:t>En la generación, publicación y entrega de información se deberá garantizar que ésta sea accesible, confiable, verificable, veraz, oportuna y atenderá las necesidades del derecho de acceso a la información de toda persona.</w:t>
      </w:r>
    </w:p>
    <w:p w14:paraId="6923E931" w14:textId="7777777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3A916FA3" w14:textId="496863AC" w:rsidR="00AD558F"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Los sujetos obligados buscarán, en todo momento, que la información generada tenga un lenguaje sencillo para cualquier persona y se procurará, en la medida de lo posible, su accesibilidad y traducción a lenguas indígenas.</w:t>
      </w:r>
    </w:p>
    <w:p w14:paraId="44C4A842" w14:textId="4777BF99"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57FE1F55" w14:textId="02FAF50E"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 CEGAIP remitirá los lineamientos que correspondan para asegurar la accesibilidad de toda persona en el ámbito de su competencia.</w:t>
      </w:r>
    </w:p>
    <w:p w14:paraId="7097C05F" w14:textId="08BBF5C0"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2DCF8D42" w14:textId="7CFD938C"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271253C1" w14:textId="0523E144"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4C85B27D" w14:textId="391F1970"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27. </w:t>
      </w:r>
      <w:r w:rsidRPr="00095184">
        <w:rPr>
          <w:rFonts w:ascii="Arial" w:hAnsi="Arial" w:cs="Arial"/>
          <w:sz w:val="20"/>
          <w:szCs w:val="20"/>
        </w:rPr>
        <w:t>La CEGAIP es un organismo autónomo, especializado, imparcial y colegiado, responsable de garantizar el derecho de acceso a la información y de protección de datos personales en posesión de los sujetos obligados, conforme a los principios y bases establecidos por el artículo 6o de la Constitución Política de los Estados Unidos Mexicanos; la fracción III del artículo 17 de la Constitución Política del Estado de San Luis Potosí; así como por lo previsto en la Ley General, esta Ley y demás disposiciones aplicables.</w:t>
      </w:r>
    </w:p>
    <w:p w14:paraId="3A259A80" w14:textId="4FA4F22C"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05EB5B61" w14:textId="791FAC22"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4F1B9B5F" w14:textId="712471A3"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778A773E" w14:textId="36FD6CF3"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34. </w:t>
      </w:r>
      <w:r w:rsidRPr="00095184">
        <w:rPr>
          <w:rFonts w:ascii="Arial" w:hAnsi="Arial" w:cs="Arial"/>
          <w:sz w:val="20"/>
          <w:szCs w:val="20"/>
        </w:rPr>
        <w:t>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w:t>
      </w:r>
    </w:p>
    <w:p w14:paraId="33497866" w14:textId="7777777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1E286A29" w14:textId="6FB9E74C"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 </w:t>
      </w:r>
      <w:r w:rsidRPr="00095184">
        <w:rPr>
          <w:rFonts w:ascii="Arial" w:hAnsi="Arial" w:cs="Arial"/>
          <w:sz w:val="20"/>
          <w:szCs w:val="20"/>
        </w:rPr>
        <w:t>Interpretar y aplicar las disposiciones de la presente Ley, conforme a lo dispuesto a lo que establece el artículo 6° de la Constitución Política de los Estados Unidos Mexicanos;</w:t>
      </w:r>
    </w:p>
    <w:p w14:paraId="49EB522F" w14:textId="4DD5E730"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p>
    <w:p w14:paraId="22130800" w14:textId="2FBD03F4"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r w:rsidRPr="00095184">
        <w:rPr>
          <w:rFonts w:ascii="Arial" w:hAnsi="Arial" w:cs="Arial"/>
          <w:sz w:val="20"/>
          <w:szCs w:val="20"/>
          <w:lang w:eastAsia="es-MX"/>
        </w:rPr>
        <w:t>[…]</w:t>
      </w:r>
    </w:p>
    <w:p w14:paraId="014D70A0" w14:textId="12E65A75"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p>
    <w:p w14:paraId="2A28F40D" w14:textId="5578577E"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XXIII. </w:t>
      </w:r>
      <w:r w:rsidRPr="00095184">
        <w:rPr>
          <w:rFonts w:ascii="Arial" w:hAnsi="Arial" w:cs="Arial"/>
          <w:sz w:val="20"/>
          <w:szCs w:val="20"/>
        </w:rPr>
        <w:t>Requerir, al Instituto de Fiscalización Superior del Estado haga efectivas las multas a que se hayan hecho acreedores los servidores públicos responsables; y al Procurador Fiscal del Estado en los términos de los artículos 205 y 211 de esta Ley;</w:t>
      </w:r>
    </w:p>
    <w:p w14:paraId="04C14E73" w14:textId="06EB44CF"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0ABB6111" w14:textId="3AC85C74"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338F9FAA" w14:textId="27ED0836"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4B60D616" w14:textId="2CAA096A"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XXV. </w:t>
      </w:r>
      <w:r w:rsidRPr="00095184">
        <w:rPr>
          <w:rFonts w:ascii="Arial" w:hAnsi="Arial" w:cs="Arial"/>
          <w:sz w:val="20"/>
          <w:szCs w:val="20"/>
        </w:rPr>
        <w:t>Vigilar y requerir el cumplimiento de lo dispuesto en los artículos 84 a 96 de la presente Ley, en materia de información que deba difundirse de oficio;</w:t>
      </w:r>
    </w:p>
    <w:p w14:paraId="1237E58D" w14:textId="056E14FD"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6B27DB50" w14:textId="5ECC591F"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lastRenderedPageBreak/>
        <w:t>[…]</w:t>
      </w:r>
    </w:p>
    <w:p w14:paraId="6083E495" w14:textId="3EE51EAA"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5668B2FD" w14:textId="44C41D75"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XXVIII. </w:t>
      </w:r>
      <w:r w:rsidRPr="00095184">
        <w:rPr>
          <w:rFonts w:ascii="Arial" w:hAnsi="Arial" w:cs="Arial"/>
          <w:sz w:val="20"/>
          <w:szCs w:val="20"/>
        </w:rPr>
        <w:t>Imponer las medidas de apremio para asegurar el cumplimiento de sus determinaciones;</w:t>
      </w:r>
    </w:p>
    <w:p w14:paraId="2EDE9375" w14:textId="7777777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7985D543" w14:textId="32AAF935"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642728B7" w14:textId="4D51D2BD"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570E89D4" w14:textId="10CC3B2B"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XLVII. </w:t>
      </w:r>
      <w:r w:rsidRPr="00095184">
        <w:rPr>
          <w:rFonts w:ascii="Arial" w:hAnsi="Arial" w:cs="Arial"/>
          <w:sz w:val="20"/>
          <w:szCs w:val="20"/>
        </w:rPr>
        <w:t>Las demás que le confieran, la Ley General; esta Ley; y cualquier otra disposición legal aplicable.</w:t>
      </w:r>
    </w:p>
    <w:p w14:paraId="06068A83" w14:textId="43FC654F"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44C7577F" w14:textId="4815434E"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72C3DD5A" w14:textId="5F0FB39D"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06993362" w14:textId="7777777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35. </w:t>
      </w:r>
      <w:r w:rsidRPr="00095184">
        <w:rPr>
          <w:rFonts w:ascii="Arial" w:hAnsi="Arial" w:cs="Arial"/>
          <w:sz w:val="20"/>
          <w:szCs w:val="20"/>
        </w:rPr>
        <w:t>Corresponde a los Comisionados:</w:t>
      </w:r>
    </w:p>
    <w:p w14:paraId="786A79DB" w14:textId="50377623"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 </w:t>
      </w:r>
      <w:r w:rsidRPr="00095184">
        <w:rPr>
          <w:rFonts w:ascii="Arial" w:hAnsi="Arial" w:cs="Arial"/>
          <w:sz w:val="20"/>
          <w:szCs w:val="20"/>
        </w:rPr>
        <w:t>Participar en las sesiones y votar los asuntos que sean presentados al Pleno;</w:t>
      </w:r>
    </w:p>
    <w:p w14:paraId="7ABC0815" w14:textId="4413EAD4"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p>
    <w:p w14:paraId="4B249624" w14:textId="6D0B5910"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r w:rsidRPr="00095184">
        <w:rPr>
          <w:rFonts w:ascii="Arial" w:hAnsi="Arial" w:cs="Arial"/>
          <w:sz w:val="20"/>
          <w:szCs w:val="20"/>
          <w:lang w:eastAsia="es-MX"/>
        </w:rPr>
        <w:t>[…]</w:t>
      </w:r>
    </w:p>
    <w:p w14:paraId="6764AFA0" w14:textId="1CB26DDC"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lang w:eastAsia="es-MX"/>
        </w:rPr>
      </w:pPr>
    </w:p>
    <w:p w14:paraId="34F08124" w14:textId="3C30683E"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74. </w:t>
      </w:r>
      <w:r w:rsidRPr="00095184">
        <w:rPr>
          <w:rFonts w:ascii="Arial" w:hAnsi="Arial" w:cs="Arial"/>
          <w:sz w:val="20"/>
          <w:szCs w:val="20"/>
        </w:rPr>
        <w:t>Los sujetos obligados deben poner a disposición de los particulares la información a que se refiere este Título en su página de internet y en la Plataforma Nacional de Transparencia, como lo dispone los artículos 49 y 60 de la Ley General.</w:t>
      </w:r>
    </w:p>
    <w:p w14:paraId="09971254" w14:textId="1EEEB4DB" w:rsidR="006333A1" w:rsidRPr="00095184" w:rsidRDefault="006333A1" w:rsidP="00095184">
      <w:pPr>
        <w:autoSpaceDE w:val="0"/>
        <w:autoSpaceDN w:val="0"/>
        <w:adjustRightInd w:val="0"/>
        <w:spacing w:after="0" w:line="240" w:lineRule="auto"/>
        <w:ind w:left="567" w:right="618"/>
        <w:jc w:val="both"/>
        <w:rPr>
          <w:rFonts w:ascii="Arial" w:hAnsi="Arial" w:cs="Arial"/>
          <w:i/>
          <w:iCs/>
          <w:sz w:val="20"/>
          <w:szCs w:val="20"/>
        </w:rPr>
      </w:pPr>
    </w:p>
    <w:p w14:paraId="7479453C" w14:textId="3D4E800C"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El dominio de internet correspondiente a las páginas electrónicas de los sujetos obligados, deberá ser registrado a nombre de la institución vinculada a dicha página y, en ningún caso, a nombre de la persona quien haya realizado el trámite.</w:t>
      </w:r>
    </w:p>
    <w:p w14:paraId="07932DD8" w14:textId="7777777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p>
    <w:p w14:paraId="43E5D04A" w14:textId="3988787D"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75. </w:t>
      </w:r>
      <w:r w:rsidRPr="00095184">
        <w:rPr>
          <w:rFonts w:ascii="Arial" w:hAnsi="Arial" w:cs="Arial"/>
          <w:sz w:val="20"/>
          <w:szCs w:val="20"/>
        </w:rPr>
        <w:t>La CEGAIP adoptará y difundirá los lineamientos técnicos que emita el Sistema Nacional en donde se establezcan los formatos de publicación de la información para asegurar que ésta sea veraz, confiable, oportuna, congruente, integral, actualizada, accesible,</w:t>
      </w:r>
      <w:r w:rsidR="008A038F" w:rsidRPr="00095184">
        <w:rPr>
          <w:rFonts w:ascii="Arial" w:hAnsi="Arial" w:cs="Arial"/>
          <w:sz w:val="20"/>
          <w:szCs w:val="20"/>
        </w:rPr>
        <w:t xml:space="preserve"> </w:t>
      </w:r>
      <w:r w:rsidRPr="00095184">
        <w:rPr>
          <w:rFonts w:ascii="Arial" w:hAnsi="Arial" w:cs="Arial"/>
          <w:sz w:val="20"/>
          <w:szCs w:val="20"/>
        </w:rPr>
        <w:t>comprensible, y verificable.</w:t>
      </w:r>
    </w:p>
    <w:p w14:paraId="43833125" w14:textId="77777777"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p>
    <w:p w14:paraId="07BDF7C5" w14:textId="7DD8C3A7"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76. </w:t>
      </w:r>
      <w:r w:rsidRPr="00095184">
        <w:rPr>
          <w:rFonts w:ascii="Arial" w:hAnsi="Arial" w:cs="Arial"/>
          <w:sz w:val="20"/>
          <w:szCs w:val="20"/>
        </w:rPr>
        <w:t>La información correspondiente a las obligaciones de transparencia deberá</w:t>
      </w:r>
      <w:r w:rsidR="008A038F" w:rsidRPr="00095184">
        <w:rPr>
          <w:rFonts w:ascii="Arial" w:hAnsi="Arial" w:cs="Arial"/>
          <w:sz w:val="20"/>
          <w:szCs w:val="20"/>
        </w:rPr>
        <w:t xml:space="preserve"> </w:t>
      </w:r>
      <w:r w:rsidRPr="00095184">
        <w:rPr>
          <w:rFonts w:ascii="Arial" w:hAnsi="Arial" w:cs="Arial"/>
          <w:sz w:val="20"/>
          <w:szCs w:val="20"/>
        </w:rPr>
        <w:t>actualizarse por lo menos cada mes. El Sistema Nacional emitirá los criterios para determinar</w:t>
      </w:r>
      <w:r w:rsidR="008A038F" w:rsidRPr="00095184">
        <w:rPr>
          <w:rFonts w:ascii="Arial" w:hAnsi="Arial" w:cs="Arial"/>
          <w:sz w:val="20"/>
          <w:szCs w:val="20"/>
        </w:rPr>
        <w:t xml:space="preserve"> </w:t>
      </w:r>
      <w:r w:rsidRPr="00095184">
        <w:rPr>
          <w:rFonts w:ascii="Arial" w:hAnsi="Arial" w:cs="Arial"/>
          <w:sz w:val="20"/>
          <w:szCs w:val="20"/>
        </w:rPr>
        <w:t>el plazo mínimo que deberá permanecer disponible y accesible la información, atendiendo a</w:t>
      </w:r>
      <w:r w:rsidR="008A038F" w:rsidRPr="00095184">
        <w:rPr>
          <w:rFonts w:ascii="Arial" w:hAnsi="Arial" w:cs="Arial"/>
          <w:sz w:val="20"/>
          <w:szCs w:val="20"/>
        </w:rPr>
        <w:t xml:space="preserve"> </w:t>
      </w:r>
      <w:r w:rsidRPr="00095184">
        <w:rPr>
          <w:rFonts w:ascii="Arial" w:hAnsi="Arial" w:cs="Arial"/>
          <w:sz w:val="20"/>
          <w:szCs w:val="20"/>
        </w:rPr>
        <w:t>las cualidades de la misma.</w:t>
      </w:r>
    </w:p>
    <w:p w14:paraId="7FD6E728" w14:textId="77777777"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p>
    <w:p w14:paraId="042D5782" w14:textId="0CC2EBF0" w:rsidR="006333A1" w:rsidRPr="00095184" w:rsidRDefault="006333A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 publicación de la información deberá indicar el sujeto obligado encargado de generarla, así</w:t>
      </w:r>
      <w:r w:rsidR="008A038F" w:rsidRPr="00095184">
        <w:rPr>
          <w:rFonts w:ascii="Arial" w:hAnsi="Arial" w:cs="Arial"/>
          <w:sz w:val="20"/>
          <w:szCs w:val="20"/>
        </w:rPr>
        <w:t xml:space="preserve"> </w:t>
      </w:r>
      <w:r w:rsidRPr="00095184">
        <w:rPr>
          <w:rFonts w:ascii="Arial" w:hAnsi="Arial" w:cs="Arial"/>
          <w:sz w:val="20"/>
          <w:szCs w:val="20"/>
        </w:rPr>
        <w:t>como la fecha de su última actualización.</w:t>
      </w:r>
    </w:p>
    <w:p w14:paraId="2CE2167A" w14:textId="78851A50"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p>
    <w:p w14:paraId="1F1A73A4" w14:textId="1A073926"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77. </w:t>
      </w:r>
      <w:r w:rsidRPr="00095184">
        <w:rPr>
          <w:rFonts w:ascii="Arial" w:hAnsi="Arial" w:cs="Arial"/>
          <w:sz w:val="20"/>
          <w:szCs w:val="20"/>
        </w:rPr>
        <w:t>La CEGAIP, de oficio o a petición de los particulares, verificará el cumplimiento que los sujetos obligados den a las disposiciones previstas en este Título.</w:t>
      </w:r>
    </w:p>
    <w:p w14:paraId="22282C31" w14:textId="77777777"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p>
    <w:p w14:paraId="254F60A8" w14:textId="7314DF77"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Las denuncias presentadas por los particulares podrán realizarse en cualquier momento, de conformidad con el procedimiento señalado en la presente Ley.</w:t>
      </w:r>
    </w:p>
    <w:p w14:paraId="02CDCCAC" w14:textId="2C31A074" w:rsidR="008A038F" w:rsidRPr="00095184" w:rsidRDefault="008A038F" w:rsidP="00095184">
      <w:pPr>
        <w:autoSpaceDE w:val="0"/>
        <w:autoSpaceDN w:val="0"/>
        <w:adjustRightInd w:val="0"/>
        <w:spacing w:after="0" w:line="240" w:lineRule="auto"/>
        <w:ind w:left="567" w:right="618"/>
        <w:jc w:val="both"/>
        <w:rPr>
          <w:rFonts w:ascii="Arial" w:hAnsi="Arial" w:cs="Arial"/>
          <w:sz w:val="20"/>
          <w:szCs w:val="20"/>
        </w:rPr>
      </w:pPr>
    </w:p>
    <w:p w14:paraId="06E53DF1" w14:textId="3601D394" w:rsidR="008A038F"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97. </w:t>
      </w:r>
      <w:r w:rsidRPr="00095184">
        <w:rPr>
          <w:rFonts w:ascii="Arial" w:hAnsi="Arial" w:cs="Arial"/>
          <w:sz w:val="20"/>
          <w:szCs w:val="20"/>
        </w:rPr>
        <w:t>Las determinaciones que emita la CEGAIP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14:paraId="7F1EB0B3" w14:textId="576DBE5C"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4BDA6154" w14:textId="43256D13"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98. </w:t>
      </w:r>
      <w:r w:rsidRPr="00095184">
        <w:rPr>
          <w:rFonts w:ascii="Arial" w:hAnsi="Arial" w:cs="Arial"/>
          <w:sz w:val="20"/>
          <w:szCs w:val="20"/>
        </w:rPr>
        <w:t>La CEGAIP vigilará que las obligaciones de transparencia que publiquen los sujetos obligados cumplan con lo dispuesto en los artículos 84 a 96 de esta Ley y demás disposiciones aplicables.</w:t>
      </w:r>
    </w:p>
    <w:p w14:paraId="0DD63C03"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14212FDB" w14:textId="5EA90382"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99. </w:t>
      </w:r>
      <w:r w:rsidRPr="00095184">
        <w:rPr>
          <w:rFonts w:ascii="Arial" w:hAnsi="Arial" w:cs="Arial"/>
          <w:sz w:val="20"/>
          <w:szCs w:val="20"/>
        </w:rPr>
        <w:t>Las acciones de vigilancia a que se refiere este Capítulo, se realizarán a través de la verificación virtual. Esta vigilancia surgirá de los resultados de la verificación que se lleve a cabo de manera oficiosa por la CEGAIP al portal de Internet de los sujetos obligados o de la Plataforma Nacional, ya sea de forma aleatoria o muestral y periódica.</w:t>
      </w:r>
    </w:p>
    <w:p w14:paraId="14F8785B"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235248CA" w14:textId="5CC55966"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100. </w:t>
      </w:r>
      <w:r w:rsidRPr="00095184">
        <w:rPr>
          <w:rFonts w:ascii="Arial" w:hAnsi="Arial" w:cs="Arial"/>
          <w:sz w:val="20"/>
          <w:szCs w:val="20"/>
        </w:rPr>
        <w:t>La verificación tendrá por objeto revisar y constatar el debido cumplimiento a las obligaciones de transparencia en términos de lo previsto en los artículos 84 a 96 de esta Ley, según corresponda a cada sujeto obligado y demás disposiciones aplicables.</w:t>
      </w:r>
    </w:p>
    <w:p w14:paraId="1A037F3D"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26BF237C" w14:textId="13351131"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lastRenderedPageBreak/>
        <w:t xml:space="preserve">ARTÍCULO 101. </w:t>
      </w:r>
      <w:r w:rsidRPr="00095184">
        <w:rPr>
          <w:rFonts w:ascii="Arial" w:hAnsi="Arial" w:cs="Arial"/>
          <w:sz w:val="20"/>
          <w:szCs w:val="20"/>
        </w:rPr>
        <w:t>La verificación que realice la CEGAIP, se sujetará a lo siguiente:</w:t>
      </w:r>
    </w:p>
    <w:p w14:paraId="75E149F5"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0DC10512" w14:textId="5EDF2EF1"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 </w:t>
      </w:r>
      <w:r w:rsidRPr="00095184">
        <w:rPr>
          <w:rFonts w:ascii="Arial" w:hAnsi="Arial" w:cs="Arial"/>
          <w:sz w:val="20"/>
          <w:szCs w:val="20"/>
        </w:rPr>
        <w:t>Constatar que la información esté completa, publicada y actualizada en tiempo y forma;</w:t>
      </w:r>
    </w:p>
    <w:p w14:paraId="3318C5F8"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75524322" w14:textId="3B96433D"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II. </w:t>
      </w:r>
      <w:r w:rsidRPr="00095184">
        <w:rPr>
          <w:rFonts w:ascii="Arial" w:hAnsi="Arial" w:cs="Arial"/>
          <w:sz w:val="20"/>
          <w:szCs w:val="20"/>
        </w:rPr>
        <w:t>Emitir un dictamen en el que podrán determinar que el sujeto obligado se ajusta a lo establecido por esta Ley y demás disposiciones, o contrariamente determinar que existe incumplimiento a lo previsto por la Ley y demás normatividad aplicable, en cuyo caso formulará los requerimientos que procedan a efecto de que el sujeto obligado subsane las inconsistencias detectadas dentro de un plazo no mayor a veinte días;</w:t>
      </w:r>
    </w:p>
    <w:p w14:paraId="0E9E49FD"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752779C8" w14:textId="7BDAD6CA"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III. </w:t>
      </w:r>
      <w:r w:rsidRPr="00095184">
        <w:rPr>
          <w:rFonts w:ascii="Arial" w:hAnsi="Arial" w:cs="Arial"/>
          <w:sz w:val="20"/>
          <w:szCs w:val="20"/>
        </w:rPr>
        <w:t>El sujeto obligado deberá informar al organismo garante sobre el cumplimento de los requerimientos del dictamen;</w:t>
      </w:r>
    </w:p>
    <w:p w14:paraId="156F0875"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7B559F36" w14:textId="23AF6BCB"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IV. </w:t>
      </w:r>
      <w:r w:rsidRPr="00095184">
        <w:rPr>
          <w:rFonts w:ascii="Arial" w:hAnsi="Arial" w:cs="Arial"/>
          <w:sz w:val="20"/>
          <w:szCs w:val="20"/>
        </w:rPr>
        <w:t>La CEGAIP verificará el cumplimiento a la resolución una vez transcurrido el plazo y si consideran que se dio cumplimiento los requerimientos del dictamen, se emitirá un acuerdo de cumplimiento, y</w:t>
      </w:r>
    </w:p>
    <w:p w14:paraId="1BC70BF0"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7504A059" w14:textId="3C1EFFA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V. </w:t>
      </w:r>
      <w:r w:rsidRPr="00095184">
        <w:rPr>
          <w:rFonts w:ascii="Arial" w:hAnsi="Arial" w:cs="Arial"/>
          <w:sz w:val="20"/>
          <w:szCs w:val="20"/>
        </w:rPr>
        <w:t>La CEGAIP podrá expedir lineamientos, criterios e interpretaciones al momento de realizar las verificaciones para el cumplimiento de las obligaciones de transparencia, no contempladas en la Ley General.</w:t>
      </w:r>
    </w:p>
    <w:p w14:paraId="0C428815"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07FBAEBA" w14:textId="4F8C79A8"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 CEGAIP podrá solicitar los informes complementarios al sujeto obligado que requiera para allegarse de los elementos de juicio que considere necesarios para llevar a cabo la verificación.</w:t>
      </w:r>
    </w:p>
    <w:p w14:paraId="5B240B28"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77A6EAD7" w14:textId="659B7403"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Cuando la CEGAIP considere que existe incumplimiento total o parcial de la determinación, le notificarán, por conducto de la Unidad de Transparencia, al superior jerárquico del servidor público responsable de dar cumplimiento, para el efecto de que, en un plazo no mayor a cinco días, se dé cumplimiento a los requerimientos del dictamen.</w:t>
      </w:r>
    </w:p>
    <w:p w14:paraId="17BE726E" w14:textId="77777777"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282CA8AA" w14:textId="0D81B2AD"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En caso de que la CEGAIP considere que subsiste el incumplimiento total o parcial de la resolución, en un plazo no mayor a cinco días, se informará al Pleno para que, en su caso, imponga las medidas de apremio o sanciones, conforme a lo establecido por esta Ley.</w:t>
      </w:r>
    </w:p>
    <w:p w14:paraId="43B0431D" w14:textId="5C0B7845"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3F11DF16" w14:textId="35D2725C"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657A0491" w14:textId="150E2404" w:rsidR="00F36EC1" w:rsidRPr="00095184" w:rsidRDefault="00F36EC1" w:rsidP="00095184">
      <w:pPr>
        <w:autoSpaceDE w:val="0"/>
        <w:autoSpaceDN w:val="0"/>
        <w:adjustRightInd w:val="0"/>
        <w:spacing w:after="0" w:line="240" w:lineRule="auto"/>
        <w:ind w:left="567" w:right="618"/>
        <w:jc w:val="both"/>
        <w:rPr>
          <w:rFonts w:ascii="Arial" w:hAnsi="Arial" w:cs="Arial"/>
          <w:sz w:val="20"/>
          <w:szCs w:val="20"/>
        </w:rPr>
      </w:pPr>
    </w:p>
    <w:p w14:paraId="5A887229" w14:textId="36298106" w:rsidR="00F36EC1" w:rsidRPr="00095184" w:rsidRDefault="00421392"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188. </w:t>
      </w:r>
      <w:r w:rsidRPr="00095184">
        <w:rPr>
          <w:rFonts w:ascii="Arial" w:hAnsi="Arial" w:cs="Arial"/>
          <w:sz w:val="20"/>
          <w:szCs w:val="20"/>
        </w:rPr>
        <w:t>La CEGAIP revisará de oficio, que los sujetos obligados publiquen o actualicen en tiempo y forma, las obligaciones de transparencia que establece la presente Ley, y requerirá en su caso, a los sujetos que así lo ameriten, para que den debido cumplimiento, si no lo hacen, procederá a aplicar las sanciones que se establecen en este Ordenamiento.</w:t>
      </w:r>
    </w:p>
    <w:p w14:paraId="71479440" w14:textId="620F499E"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p>
    <w:p w14:paraId="7F8821AA" w14:textId="562D57B4"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248A7C3E" w14:textId="6FCD26EB"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p>
    <w:p w14:paraId="1BA74C1A" w14:textId="5B75EFCC"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190. </w:t>
      </w:r>
      <w:r w:rsidR="006C23B6" w:rsidRPr="00095184">
        <w:rPr>
          <w:rFonts w:ascii="Arial" w:hAnsi="Arial" w:cs="Arial"/>
          <w:sz w:val="20"/>
          <w:szCs w:val="20"/>
        </w:rPr>
        <w:t>[…]</w:t>
      </w:r>
    </w:p>
    <w:p w14:paraId="567D40AC" w14:textId="77777777" w:rsidR="0033030F" w:rsidRPr="00095184" w:rsidRDefault="0033030F" w:rsidP="00095184">
      <w:pPr>
        <w:autoSpaceDE w:val="0"/>
        <w:autoSpaceDN w:val="0"/>
        <w:adjustRightInd w:val="0"/>
        <w:spacing w:after="0" w:line="240" w:lineRule="auto"/>
        <w:ind w:left="567" w:right="618"/>
        <w:jc w:val="both"/>
        <w:rPr>
          <w:rFonts w:ascii="Arial" w:hAnsi="Arial" w:cs="Arial"/>
          <w:sz w:val="20"/>
          <w:szCs w:val="20"/>
        </w:rPr>
      </w:pPr>
    </w:p>
    <w:p w14:paraId="7C1F4F98" w14:textId="0D40242F"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 </w:t>
      </w:r>
      <w:r w:rsidR="006C23B6" w:rsidRPr="00095184">
        <w:rPr>
          <w:rFonts w:ascii="Arial" w:hAnsi="Arial" w:cs="Arial"/>
          <w:sz w:val="20"/>
          <w:szCs w:val="20"/>
        </w:rPr>
        <w:t>[…]</w:t>
      </w:r>
    </w:p>
    <w:p w14:paraId="70B8C5F6" w14:textId="77777777" w:rsidR="0033030F" w:rsidRPr="00095184" w:rsidRDefault="0033030F" w:rsidP="00095184">
      <w:pPr>
        <w:autoSpaceDE w:val="0"/>
        <w:autoSpaceDN w:val="0"/>
        <w:adjustRightInd w:val="0"/>
        <w:spacing w:after="0" w:line="240" w:lineRule="auto"/>
        <w:ind w:left="567" w:right="618"/>
        <w:jc w:val="both"/>
        <w:rPr>
          <w:rFonts w:ascii="Arial" w:hAnsi="Arial" w:cs="Arial"/>
          <w:sz w:val="20"/>
          <w:szCs w:val="20"/>
        </w:rPr>
      </w:pPr>
    </w:p>
    <w:p w14:paraId="2C5B01C1" w14:textId="1EAF6421" w:rsidR="00421392" w:rsidRPr="00095184" w:rsidRDefault="00421392"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II. </w:t>
      </w:r>
      <w:r w:rsidRPr="00095184">
        <w:rPr>
          <w:rFonts w:ascii="Arial" w:hAnsi="Arial" w:cs="Arial"/>
          <w:sz w:val="20"/>
          <w:szCs w:val="20"/>
        </w:rPr>
        <w:t>Multa, de ciento cincuenta hasta mil quinientas veces la unidad de medida y actualización</w:t>
      </w:r>
      <w:r w:rsidR="006C23B6" w:rsidRPr="00095184">
        <w:rPr>
          <w:rFonts w:ascii="Arial" w:hAnsi="Arial" w:cs="Arial"/>
          <w:sz w:val="20"/>
          <w:szCs w:val="20"/>
        </w:rPr>
        <w:t xml:space="preserve"> </w:t>
      </w:r>
      <w:r w:rsidRPr="00095184">
        <w:rPr>
          <w:rFonts w:ascii="Arial" w:hAnsi="Arial" w:cs="Arial"/>
          <w:sz w:val="20"/>
          <w:szCs w:val="20"/>
        </w:rPr>
        <w:t>vigente.</w:t>
      </w:r>
    </w:p>
    <w:p w14:paraId="49A0FF29" w14:textId="40699213" w:rsidR="006C23B6" w:rsidRPr="00095184" w:rsidRDefault="006C23B6" w:rsidP="00095184">
      <w:pPr>
        <w:autoSpaceDE w:val="0"/>
        <w:autoSpaceDN w:val="0"/>
        <w:adjustRightInd w:val="0"/>
        <w:spacing w:after="0" w:line="240" w:lineRule="auto"/>
        <w:ind w:left="567" w:right="618"/>
        <w:jc w:val="both"/>
        <w:rPr>
          <w:rFonts w:ascii="Arial" w:hAnsi="Arial" w:cs="Arial"/>
          <w:sz w:val="20"/>
          <w:szCs w:val="20"/>
        </w:rPr>
      </w:pPr>
    </w:p>
    <w:p w14:paraId="2D15B600" w14:textId="6DCCFA9E" w:rsidR="006C23B6" w:rsidRPr="00095184" w:rsidRDefault="006C23B6"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6BB778C8" w14:textId="78A17462" w:rsidR="006C23B6" w:rsidRPr="00095184" w:rsidRDefault="006C23B6" w:rsidP="00095184">
      <w:pPr>
        <w:autoSpaceDE w:val="0"/>
        <w:autoSpaceDN w:val="0"/>
        <w:adjustRightInd w:val="0"/>
        <w:spacing w:after="0" w:line="240" w:lineRule="auto"/>
        <w:ind w:left="567" w:right="618"/>
        <w:jc w:val="both"/>
        <w:rPr>
          <w:rFonts w:ascii="Arial" w:hAnsi="Arial" w:cs="Arial"/>
          <w:sz w:val="20"/>
          <w:szCs w:val="20"/>
        </w:rPr>
      </w:pPr>
    </w:p>
    <w:p w14:paraId="4F89AD4B" w14:textId="5BE2345A"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190 Bis. </w:t>
      </w:r>
      <w:r w:rsidRPr="00095184">
        <w:rPr>
          <w:rFonts w:ascii="Arial" w:hAnsi="Arial" w:cs="Arial"/>
          <w:sz w:val="20"/>
          <w:szCs w:val="20"/>
        </w:rPr>
        <w:t>Para calificar las medidas de apremio establecidas en el presente Capítulo, la CEGAIP deberá considerar:</w:t>
      </w:r>
    </w:p>
    <w:p w14:paraId="0FFF378A"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00E0A127" w14:textId="5DC54D94"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I. La gravedad de la falta del sujeto obligado, determinada por elementos tales como el daño causado; los indicios de intencionalidad; la duración del incumplimiento de las determinaciones de la CEGAIP y la afectación al ejercicio de sus atribuciones;</w:t>
      </w:r>
    </w:p>
    <w:p w14:paraId="753E0971"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4492FCBB" w14:textId="75624539"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II. La condición económica del infractor, y</w:t>
      </w:r>
    </w:p>
    <w:p w14:paraId="56068A73"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55F6682D" w14:textId="53FA4999"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lastRenderedPageBreak/>
        <w:t>III. La reincidencia.</w:t>
      </w:r>
    </w:p>
    <w:p w14:paraId="43E65B08"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1A1282A9" w14:textId="00D28A75"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 CEGAIP establecerá mediante lineamientos de carácter general, las atribuciones de las áreas encargadas de calificar la gravedad de la falta de observancia a sus determinaciones y de la notificación y ejecución de las medidas de apremio que apliquen e implementen, conforme a los elementos desarrollados en este Capítulo.</w:t>
      </w:r>
    </w:p>
    <w:p w14:paraId="7BC923C1"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3F8C63DA" w14:textId="390ECE84"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En caso de reincidencia, la CEGAIP podrá imponer una multa equivalente hasta el doble de la que se hubiera determinado por la CEGAIP.</w:t>
      </w:r>
    </w:p>
    <w:p w14:paraId="08157267" w14:textId="77777777"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64FACAD0" w14:textId="6FC20398" w:rsidR="006C23B6"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Para los efectos de esta Ley se considerará reincidente, al que habiendo incurrido en infracción por incumplimiento de alguna de las obligaciones a que se refiere el artículo 197 del presente ordenamiento y por la cual haya sido sancionado, incurra nuevamente en una o varias conductas que infrinjan dicho precepto legal.</w:t>
      </w:r>
    </w:p>
    <w:p w14:paraId="0110C1A7" w14:textId="7AE1D8A4"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4540F587" w14:textId="18B430EE"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w:t>
      </w:r>
    </w:p>
    <w:p w14:paraId="53C5DBB9" w14:textId="688B2A10" w:rsidR="001724EA" w:rsidRPr="00095184" w:rsidRDefault="001724EA" w:rsidP="00095184">
      <w:pPr>
        <w:autoSpaceDE w:val="0"/>
        <w:autoSpaceDN w:val="0"/>
        <w:adjustRightInd w:val="0"/>
        <w:spacing w:after="0" w:line="240" w:lineRule="auto"/>
        <w:ind w:left="567" w:right="618"/>
        <w:jc w:val="both"/>
        <w:rPr>
          <w:rFonts w:ascii="Arial" w:hAnsi="Arial" w:cs="Arial"/>
          <w:sz w:val="20"/>
          <w:szCs w:val="20"/>
        </w:rPr>
      </w:pPr>
    </w:p>
    <w:p w14:paraId="7898584F" w14:textId="10C38642"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ARTÍCULO 191</w:t>
      </w:r>
      <w:r w:rsidRPr="00095184">
        <w:rPr>
          <w:rFonts w:ascii="Arial" w:hAnsi="Arial" w:cs="Arial"/>
          <w:sz w:val="20"/>
          <w:szCs w:val="20"/>
        </w:rPr>
        <w:t>. Las medidas de apremio deberán aplicarse e implementarse en un plazo máximo de quince días, contados a partir de que sea notificada la medida de apremio al infractor.</w:t>
      </w:r>
    </w:p>
    <w:p w14:paraId="38024634"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65BC6C05" w14:textId="3EBE922C"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192. </w:t>
      </w:r>
      <w:r w:rsidRPr="00095184">
        <w:rPr>
          <w:rFonts w:ascii="Arial" w:hAnsi="Arial" w:cs="Arial"/>
          <w:sz w:val="20"/>
          <w:szCs w:val="20"/>
        </w:rPr>
        <w:t>La CEGAIP podrá requerir al infractor la información necesaria para determinar su condición económica, apercibido de que en caso de no proporcionar la misma, las multas se cuantificarán con base a los elementos que se tengan a disposición, entendidos como los que se encuentren en los registros públicos, los que contengan medios de información o sus propias páginas de internet y, en general, cualquiera que evidencie su condición, quedando facultada la CEGAIP para requerir aquella documentación que se considere indispensable para tal efecto a las autoridades competentes.</w:t>
      </w:r>
    </w:p>
    <w:p w14:paraId="2FFA7E39"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4C2D1DCD" w14:textId="53418535"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193. </w:t>
      </w:r>
      <w:r w:rsidRPr="00095184">
        <w:rPr>
          <w:rFonts w:ascii="Arial" w:hAnsi="Arial" w:cs="Arial"/>
          <w:sz w:val="20"/>
          <w:szCs w:val="20"/>
        </w:rPr>
        <w:t>Será supletorio a los mecanismos de notificación y ejecución de medidas de apremio, lo dispuesto en el Código Procesal Administrativo para el Estado de San Luis Potosí.</w:t>
      </w:r>
    </w:p>
    <w:p w14:paraId="13A036C5"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79DD0FB2"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ARTÍCULO 194</w:t>
      </w:r>
      <w:r w:rsidRPr="00095184">
        <w:rPr>
          <w:rFonts w:ascii="Arial" w:hAnsi="Arial" w:cs="Arial"/>
          <w:sz w:val="20"/>
          <w:szCs w:val="20"/>
        </w:rPr>
        <w:t>. Si a pesar de la ejecución de las medidas de apremio previstas en el artículo</w:t>
      </w:r>
    </w:p>
    <w:p w14:paraId="2A02E29C" w14:textId="7BBCA1EA"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14:paraId="0E9C7D94"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0F17C466" w14:textId="3EF10F88"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Transcurrido el plazo, sin que se haya dado cumplimiento, se determinarán las sanciones que correspondan.</w:t>
      </w:r>
    </w:p>
    <w:p w14:paraId="40EDAF25"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4BB066DE" w14:textId="46401619"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195. </w:t>
      </w:r>
      <w:r w:rsidRPr="00095184">
        <w:rPr>
          <w:rFonts w:ascii="Arial" w:hAnsi="Arial" w:cs="Arial"/>
          <w:sz w:val="20"/>
          <w:szCs w:val="20"/>
        </w:rPr>
        <w:t>Las medidas de apremio a que se refiere el presente Capítulo, deberán ser impuestas y ejecutadas por la CEGAIP o con el apoyo de la autoridad competente, de conformidad con los procedimientos que establezcan las leyes respectivas.</w:t>
      </w:r>
    </w:p>
    <w:p w14:paraId="239C8E75"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477C9EB9" w14:textId="3BBC5EA8"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sz w:val="20"/>
          <w:szCs w:val="20"/>
        </w:rPr>
        <w:t>Las multas que fije la CEGAIP tendrán el carácter de créditos fiscales, y las remitirá al Instituto de Fiscalización Superior del Estado, para que las haga efectivas conforme a las disposiciones legales aplicables; debiendo publicar mensualmente las sanciones impuestas a los servidores públicos responsables.</w:t>
      </w:r>
    </w:p>
    <w:p w14:paraId="44883710" w14:textId="77777777" w:rsidR="00095184" w:rsidRPr="00095184" w:rsidRDefault="00095184" w:rsidP="00095184">
      <w:pPr>
        <w:autoSpaceDE w:val="0"/>
        <w:autoSpaceDN w:val="0"/>
        <w:adjustRightInd w:val="0"/>
        <w:spacing w:after="0" w:line="240" w:lineRule="auto"/>
        <w:ind w:left="567" w:right="618"/>
        <w:jc w:val="both"/>
        <w:rPr>
          <w:rFonts w:ascii="Arial" w:hAnsi="Arial" w:cs="Arial"/>
          <w:sz w:val="20"/>
          <w:szCs w:val="20"/>
        </w:rPr>
      </w:pPr>
    </w:p>
    <w:p w14:paraId="3DD98A32" w14:textId="28275E5B" w:rsidR="001724EA" w:rsidRDefault="00095184" w:rsidP="00095184">
      <w:pPr>
        <w:autoSpaceDE w:val="0"/>
        <w:autoSpaceDN w:val="0"/>
        <w:adjustRightInd w:val="0"/>
        <w:spacing w:after="0" w:line="240" w:lineRule="auto"/>
        <w:ind w:left="567" w:right="618"/>
        <w:jc w:val="both"/>
        <w:rPr>
          <w:rFonts w:ascii="Arial" w:hAnsi="Arial" w:cs="Arial"/>
          <w:sz w:val="20"/>
          <w:szCs w:val="20"/>
        </w:rPr>
      </w:pPr>
      <w:r w:rsidRPr="00095184">
        <w:rPr>
          <w:rFonts w:ascii="Arial" w:hAnsi="Arial" w:cs="Arial"/>
          <w:b/>
          <w:bCs/>
          <w:sz w:val="20"/>
          <w:szCs w:val="20"/>
        </w:rPr>
        <w:t xml:space="preserve">ARTÍCULO 196. </w:t>
      </w:r>
      <w:r w:rsidRPr="00095184">
        <w:rPr>
          <w:rFonts w:ascii="Arial" w:hAnsi="Arial" w:cs="Arial"/>
          <w:sz w:val="20"/>
          <w:szCs w:val="20"/>
        </w:rPr>
        <w:t>En contra de la imposición de multas derivadas de la ejecución de medidas de apremio, procede el juicio de nulidad ante el Tribunal Estatal de Justicia Administrativa, y es independiente del procedimiento sancionador que en su caso se implemente al infractor.</w:t>
      </w:r>
    </w:p>
    <w:p w14:paraId="095B7F63" w14:textId="77777777" w:rsidR="003F2D8A" w:rsidRPr="00095184" w:rsidRDefault="003F2D8A" w:rsidP="00095184">
      <w:pPr>
        <w:autoSpaceDE w:val="0"/>
        <w:autoSpaceDN w:val="0"/>
        <w:adjustRightInd w:val="0"/>
        <w:spacing w:after="0" w:line="240" w:lineRule="auto"/>
        <w:ind w:left="567" w:right="618"/>
        <w:jc w:val="both"/>
        <w:rPr>
          <w:rFonts w:ascii="Arial" w:hAnsi="Arial" w:cs="Arial"/>
          <w:sz w:val="20"/>
          <w:szCs w:val="20"/>
          <w:lang w:eastAsia="es-MX"/>
        </w:rPr>
      </w:pPr>
    </w:p>
    <w:p w14:paraId="117E7E39" w14:textId="30D6C906" w:rsidR="00DF467F" w:rsidRDefault="00DA424E" w:rsidP="00141BDA">
      <w:pPr>
        <w:spacing w:before="120" w:after="120" w:line="360" w:lineRule="auto"/>
        <w:ind w:right="51" w:firstLine="709"/>
        <w:jc w:val="both"/>
        <w:rPr>
          <w:rFonts w:ascii="Arial" w:hAnsi="Arial" w:cs="Arial"/>
          <w:sz w:val="24"/>
          <w:szCs w:val="24"/>
        </w:rPr>
      </w:pPr>
      <w:r w:rsidRPr="006F5A17">
        <w:rPr>
          <w:rFonts w:ascii="Arial" w:hAnsi="Arial" w:cs="Arial"/>
          <w:sz w:val="24"/>
          <w:szCs w:val="24"/>
          <w:lang w:eastAsia="es-MX"/>
        </w:rPr>
        <w:t xml:space="preserve">Los preceptos legales transcritos </w:t>
      </w:r>
      <w:r w:rsidR="006F5A17" w:rsidRPr="006F5A17">
        <w:rPr>
          <w:rFonts w:ascii="Arial" w:hAnsi="Arial" w:cs="Arial"/>
          <w:sz w:val="24"/>
          <w:szCs w:val="24"/>
          <w:lang w:eastAsia="es-MX"/>
        </w:rPr>
        <w:t>abordan</w:t>
      </w:r>
      <w:r w:rsidRPr="006F5A17">
        <w:rPr>
          <w:rFonts w:ascii="Arial" w:hAnsi="Arial" w:cs="Arial"/>
          <w:sz w:val="24"/>
          <w:szCs w:val="24"/>
          <w:lang w:eastAsia="es-MX"/>
        </w:rPr>
        <w:t xml:space="preserve"> diversas cuestiones relacionadas con </w:t>
      </w:r>
      <w:r w:rsidR="006F5A17" w:rsidRPr="006F5A17">
        <w:rPr>
          <w:rFonts w:ascii="Arial" w:hAnsi="Arial" w:cs="Arial"/>
          <w:sz w:val="24"/>
          <w:szCs w:val="24"/>
          <w:lang w:eastAsia="es-MX"/>
        </w:rPr>
        <w:t xml:space="preserve">la </w:t>
      </w:r>
      <w:r w:rsidR="006F5A17" w:rsidRPr="006F5A17">
        <w:rPr>
          <w:rFonts w:ascii="Arial" w:hAnsi="Arial" w:cs="Arial"/>
          <w:sz w:val="24"/>
          <w:szCs w:val="24"/>
        </w:rPr>
        <w:t xml:space="preserve">competencia que tiene nuestra entidad en materia de trasparencia y acceso a la información; define algunos conceptos; la </w:t>
      </w:r>
      <w:r w:rsidR="006F5A17" w:rsidRPr="006F5A17">
        <w:rPr>
          <w:rFonts w:ascii="Arial" w:hAnsi="Arial" w:cs="Arial"/>
          <w:sz w:val="24"/>
          <w:szCs w:val="24"/>
        </w:rPr>
        <w:lastRenderedPageBreak/>
        <w:t>generación, publicación y entrega de información; la naturaleza de la CEGAIP, forma de actuación y su facultad de imponer medidas de apremio; las atribuciones de los Comisionados; obligación de adoptar lineamientos; la actualización de la información; las determinaciones que puede adoptar; el deber de la CEGAIP de vigilar y verificar el cumplimiento de las obligaciones de los sujetos obligados; la revisión de oficio; la medida de apremio de multa; la calificación y aplicación de las medidas de apremio; la legislación supletoria; la ejecución de las medidas de apremio y la procedencia del juicio de nulidad en contra de la imposición de multas</w:t>
      </w:r>
      <w:r w:rsidR="006F5A17">
        <w:rPr>
          <w:rFonts w:ascii="Arial" w:hAnsi="Arial" w:cs="Arial"/>
          <w:sz w:val="24"/>
          <w:szCs w:val="24"/>
        </w:rPr>
        <w:t>.   Sin embargo, de los citados preceptos no se desprende que la Comisión Estatal de Garantía de Acceso a la Información Pública del Estado de San Luis Potosí sea competente para conocer de la información y datos de los sindicatos.</w:t>
      </w:r>
    </w:p>
    <w:p w14:paraId="3AEAB044" w14:textId="5878E64F" w:rsidR="006F5A17" w:rsidRDefault="006F5A17" w:rsidP="00141BDA">
      <w:pPr>
        <w:spacing w:before="120" w:after="120" w:line="360" w:lineRule="auto"/>
        <w:ind w:right="51" w:firstLine="709"/>
        <w:jc w:val="both"/>
        <w:rPr>
          <w:rFonts w:ascii="Arial" w:hAnsi="Arial" w:cs="Arial"/>
          <w:sz w:val="24"/>
          <w:szCs w:val="24"/>
        </w:rPr>
      </w:pPr>
    </w:p>
    <w:p w14:paraId="3C1F5C2F" w14:textId="1FEECEEC" w:rsidR="00DF467F" w:rsidRDefault="00303C14"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rPr>
        <w:t xml:space="preserve">El Pleno de la Comisión Estatal de Garantía de Acceso a la Información Pública del Estado de San Luis Potosí en la resolución impugnada, invoca como fundamento de su competencia los </w:t>
      </w:r>
      <w:r w:rsidR="009D1433">
        <w:rPr>
          <w:rFonts w:ascii="Arial" w:hAnsi="Arial" w:cs="Arial"/>
          <w:sz w:val="24"/>
          <w:szCs w:val="24"/>
          <w:lang w:eastAsia="es-MX"/>
        </w:rPr>
        <w:t>artículos</w:t>
      </w:r>
      <w:r w:rsidR="00DF467F">
        <w:rPr>
          <w:rFonts w:ascii="Arial" w:hAnsi="Arial" w:cs="Arial"/>
          <w:sz w:val="24"/>
          <w:szCs w:val="24"/>
          <w:lang w:eastAsia="es-MX"/>
        </w:rPr>
        <w:t xml:space="preserve"> 1, 2 párrafo primero, 8 fracción I, 11 y 12 fracciones I, XXVI, XXVII y XXIX</w:t>
      </w:r>
      <w:r w:rsidR="009D1433">
        <w:rPr>
          <w:rFonts w:ascii="Arial" w:hAnsi="Arial" w:cs="Arial"/>
          <w:sz w:val="24"/>
          <w:szCs w:val="24"/>
          <w:lang w:eastAsia="es-MX"/>
        </w:rPr>
        <w:t>,</w:t>
      </w:r>
      <w:r w:rsidR="00DF467F">
        <w:rPr>
          <w:rFonts w:ascii="Arial" w:hAnsi="Arial" w:cs="Arial"/>
          <w:sz w:val="24"/>
          <w:szCs w:val="24"/>
          <w:lang w:eastAsia="es-MX"/>
        </w:rPr>
        <w:t xml:space="preserve"> del </w:t>
      </w:r>
      <w:r w:rsidR="009D1433">
        <w:rPr>
          <w:rFonts w:ascii="Arial" w:hAnsi="Arial" w:cs="Arial"/>
          <w:sz w:val="24"/>
          <w:szCs w:val="24"/>
          <w:lang w:eastAsia="es-MX"/>
        </w:rPr>
        <w:t>R</w:t>
      </w:r>
      <w:r w:rsidR="00DF467F">
        <w:rPr>
          <w:rFonts w:ascii="Arial" w:hAnsi="Arial" w:cs="Arial"/>
          <w:sz w:val="24"/>
          <w:szCs w:val="24"/>
          <w:lang w:eastAsia="es-MX"/>
        </w:rPr>
        <w:t xml:space="preserve">eglamento </w:t>
      </w:r>
      <w:r w:rsidR="009D1433">
        <w:rPr>
          <w:rFonts w:ascii="Arial" w:hAnsi="Arial" w:cs="Arial"/>
          <w:sz w:val="24"/>
          <w:szCs w:val="24"/>
          <w:lang w:eastAsia="es-MX"/>
        </w:rPr>
        <w:t>I</w:t>
      </w:r>
      <w:r w:rsidR="00DF467F">
        <w:rPr>
          <w:rFonts w:ascii="Arial" w:hAnsi="Arial" w:cs="Arial"/>
          <w:sz w:val="24"/>
          <w:szCs w:val="24"/>
          <w:lang w:eastAsia="es-MX"/>
        </w:rPr>
        <w:t xml:space="preserve">nterior </w:t>
      </w:r>
      <w:r w:rsidR="00246CCC">
        <w:rPr>
          <w:rFonts w:ascii="Arial" w:hAnsi="Arial" w:cs="Arial"/>
          <w:sz w:val="24"/>
          <w:szCs w:val="24"/>
          <w:lang w:eastAsia="es-MX"/>
        </w:rPr>
        <w:t>de la Comisión Estatal de Garantía de Acceso a la Información Pública del Estado de San Luis Potosí</w:t>
      </w:r>
      <w:r>
        <w:rPr>
          <w:rFonts w:ascii="Arial" w:hAnsi="Arial" w:cs="Arial"/>
          <w:sz w:val="24"/>
          <w:szCs w:val="24"/>
          <w:lang w:eastAsia="es-MX"/>
        </w:rPr>
        <w:t>; sin embargo, al tratarse de una norma interna, en la misma no puede establecerse la competencia de ese organismo, pues ésta debe estar establecida en la ley, acorde a lo establecido en los artículos 14 y 16 de la Constitución Política de los Estados Unidos Mexicanos.   Pero en aras de garantizar una administración de justicia integral, como lo mandatan l artículo 17 de la Carta Magna Nacional, cabe señalar que el artículo 1 establece que el reglamento tiene por objeto regular la organización</w:t>
      </w:r>
      <w:r w:rsidR="00EB6AA1">
        <w:rPr>
          <w:rFonts w:ascii="Arial" w:hAnsi="Arial" w:cs="Arial"/>
          <w:sz w:val="24"/>
          <w:szCs w:val="24"/>
          <w:lang w:eastAsia="es-MX"/>
        </w:rPr>
        <w:t xml:space="preserve"> y funcionamiento de la CEGAIP; el párrafo primero del artículo 2, define a la CEGAIP como órgano garante sujeto a lo previsto en la Ley de Transparencia y Acceso a la Información Pública del Estado y en ese Reglamento; la fracción I del artículo 8, define las atribuciones del Pleno, generalmente enfocadas en aprobar los lineamientos, políticas y normas generales para el funcionamiento de la Comisión y de los sujetos obligados, y; </w:t>
      </w:r>
      <w:r w:rsidR="002A3A3A">
        <w:rPr>
          <w:rFonts w:ascii="Arial" w:hAnsi="Arial" w:cs="Arial"/>
          <w:sz w:val="24"/>
          <w:szCs w:val="24"/>
          <w:lang w:eastAsia="es-MX"/>
        </w:rPr>
        <w:t xml:space="preserve">el artículo 11 se refiere a la estructura de la CEGAIP y a las funciones de los Comisionados y el Pleno.   </w:t>
      </w:r>
      <w:r w:rsidR="003C5691">
        <w:rPr>
          <w:rFonts w:ascii="Arial" w:hAnsi="Arial" w:cs="Arial"/>
          <w:sz w:val="24"/>
          <w:szCs w:val="24"/>
          <w:lang w:eastAsia="es-MX"/>
        </w:rPr>
        <w:t xml:space="preserve">El artículo 12, fracciones </w:t>
      </w:r>
      <w:r w:rsidR="00484D1E">
        <w:rPr>
          <w:rFonts w:ascii="Arial" w:hAnsi="Arial" w:cs="Arial"/>
          <w:sz w:val="24"/>
          <w:szCs w:val="24"/>
          <w:lang w:eastAsia="es-MX"/>
        </w:rPr>
        <w:t xml:space="preserve">I, </w:t>
      </w:r>
      <w:r w:rsidR="003C5691">
        <w:rPr>
          <w:rFonts w:ascii="Arial" w:hAnsi="Arial" w:cs="Arial"/>
          <w:sz w:val="24"/>
          <w:szCs w:val="24"/>
          <w:lang w:eastAsia="es-MX"/>
        </w:rPr>
        <w:t>XXVI, XXVII y XXIX del Reglamento Interior de la Comisión Estatal de Garantía de Acceso a la Información Pública del Estado de San Luis Potosí, textualmente señala:</w:t>
      </w:r>
    </w:p>
    <w:p w14:paraId="278506E8" w14:textId="3566BD96" w:rsidR="00484D1E" w:rsidRDefault="00484D1E" w:rsidP="00141BDA">
      <w:pPr>
        <w:spacing w:before="120" w:after="120" w:line="360" w:lineRule="auto"/>
        <w:ind w:right="51" w:firstLine="709"/>
        <w:jc w:val="both"/>
        <w:rPr>
          <w:rFonts w:ascii="Arial" w:hAnsi="Arial" w:cs="Arial"/>
          <w:sz w:val="24"/>
          <w:szCs w:val="24"/>
          <w:lang w:eastAsia="es-MX"/>
        </w:rPr>
      </w:pPr>
    </w:p>
    <w:p w14:paraId="0A06BD99" w14:textId="77777777" w:rsidR="00484D1E" w:rsidRPr="00484D1E" w:rsidRDefault="00484D1E" w:rsidP="00484D1E">
      <w:pPr>
        <w:autoSpaceDE w:val="0"/>
        <w:autoSpaceDN w:val="0"/>
        <w:adjustRightInd w:val="0"/>
        <w:spacing w:after="0" w:line="240" w:lineRule="auto"/>
        <w:rPr>
          <w:rFonts w:ascii="Arial" w:hAnsi="Arial" w:cs="Arial"/>
          <w:color w:val="000000"/>
          <w:sz w:val="24"/>
          <w:szCs w:val="24"/>
        </w:rPr>
      </w:pPr>
    </w:p>
    <w:p w14:paraId="3FA45D17" w14:textId="209F09BE"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484D1E">
        <w:rPr>
          <w:rFonts w:ascii="Arial" w:hAnsi="Arial" w:cs="Arial"/>
          <w:b/>
          <w:bCs/>
          <w:color w:val="000000"/>
          <w:sz w:val="20"/>
          <w:szCs w:val="20"/>
        </w:rPr>
        <w:t xml:space="preserve">ARTÍCULO 12. </w:t>
      </w:r>
      <w:r w:rsidRPr="00484D1E">
        <w:rPr>
          <w:rFonts w:ascii="Arial" w:hAnsi="Arial" w:cs="Arial"/>
          <w:color w:val="000000"/>
          <w:sz w:val="20"/>
          <w:szCs w:val="20"/>
        </w:rPr>
        <w:t>Atribuciones del Pleno. Corresponden al Pleno:</w:t>
      </w:r>
    </w:p>
    <w:p w14:paraId="6B6EFAE3" w14:textId="77777777" w:rsidR="00484D1E" w:rsidRPr="00484D1E"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1F941246" w14:textId="40CFBA9A"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484D1E">
        <w:rPr>
          <w:rFonts w:ascii="Arial" w:hAnsi="Arial" w:cs="Arial"/>
          <w:b/>
          <w:bCs/>
          <w:color w:val="000000"/>
          <w:sz w:val="20"/>
          <w:szCs w:val="20"/>
        </w:rPr>
        <w:t xml:space="preserve">I. </w:t>
      </w:r>
      <w:r w:rsidRPr="00484D1E">
        <w:rPr>
          <w:rFonts w:ascii="Arial" w:hAnsi="Arial" w:cs="Arial"/>
          <w:color w:val="000000"/>
          <w:sz w:val="20"/>
          <w:szCs w:val="20"/>
        </w:rPr>
        <w:t>Ejercer las atribuciones y facultades que a la Comisión otorga la Constitución Política del Estado, las Leyes, así como los demás ordenamientos legales, reglamentos, lineamientos, criterios y disposiciones administrativas que le resulten aplicables en el ámbito de su competencia, salvo las que de manera expresa se asignen al Presidente;</w:t>
      </w:r>
    </w:p>
    <w:p w14:paraId="7C366E53" w14:textId="4B2F4C4A"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708E95EF" w14:textId="01758610"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C40AED">
        <w:rPr>
          <w:rFonts w:ascii="Arial" w:hAnsi="Arial" w:cs="Arial"/>
          <w:color w:val="000000"/>
          <w:sz w:val="20"/>
          <w:szCs w:val="20"/>
        </w:rPr>
        <w:t>[…]</w:t>
      </w:r>
    </w:p>
    <w:p w14:paraId="14A4CE69" w14:textId="118F4746"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69BCCE69" w14:textId="08B26607"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484D1E">
        <w:rPr>
          <w:rFonts w:ascii="Arial" w:hAnsi="Arial" w:cs="Arial"/>
          <w:b/>
          <w:bCs/>
          <w:color w:val="000000"/>
          <w:sz w:val="20"/>
          <w:szCs w:val="20"/>
        </w:rPr>
        <w:t xml:space="preserve">XXVI. </w:t>
      </w:r>
      <w:r w:rsidRPr="00484D1E">
        <w:rPr>
          <w:rFonts w:ascii="Arial" w:hAnsi="Arial" w:cs="Arial"/>
          <w:color w:val="000000"/>
          <w:sz w:val="20"/>
          <w:szCs w:val="20"/>
        </w:rPr>
        <w:t>Imponer mediante resolución las sanciones pecuniarias por infracciones a la Ley y por incumplimiento de las resoluciones que dicte en las materias de su competencia, en que incurran los sujetos obligados directos o indirectos;</w:t>
      </w:r>
    </w:p>
    <w:p w14:paraId="3F00BD03" w14:textId="77777777" w:rsidR="00484D1E" w:rsidRPr="00484D1E"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0B47743B" w14:textId="6BDB1A9E"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484D1E">
        <w:rPr>
          <w:rFonts w:ascii="Arial" w:hAnsi="Arial" w:cs="Arial"/>
          <w:b/>
          <w:bCs/>
          <w:color w:val="000000"/>
          <w:sz w:val="20"/>
          <w:szCs w:val="20"/>
        </w:rPr>
        <w:t xml:space="preserve">XXVII. </w:t>
      </w:r>
      <w:r w:rsidRPr="00484D1E">
        <w:rPr>
          <w:rFonts w:ascii="Arial" w:hAnsi="Arial" w:cs="Arial"/>
          <w:color w:val="000000"/>
          <w:sz w:val="20"/>
          <w:szCs w:val="20"/>
        </w:rPr>
        <w:t>Promover ante las autoridades competentes la determinación de responsabilidades administrativas en que incurran los servidores públicos, a efecto de que se apliquen las sanciones que correspondan, sin perjuicio de la imposición de las medidas de apremio y sanciones pecuniarias que se precisan en la fracción que antecede;</w:t>
      </w:r>
    </w:p>
    <w:p w14:paraId="4F990BAB" w14:textId="3D618B18"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6221E7BE" w14:textId="1D61BFD8"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r w:rsidRPr="00C40AED">
        <w:rPr>
          <w:rFonts w:ascii="Arial" w:hAnsi="Arial" w:cs="Arial"/>
          <w:color w:val="000000"/>
          <w:sz w:val="20"/>
          <w:szCs w:val="20"/>
        </w:rPr>
        <w:t>[…]</w:t>
      </w:r>
    </w:p>
    <w:p w14:paraId="4A098D39" w14:textId="77777777" w:rsidR="00484D1E" w:rsidRPr="00484D1E"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1C9175EB" w14:textId="77777777" w:rsidR="00C40AED" w:rsidRPr="00C40AED" w:rsidRDefault="00C40AED" w:rsidP="00C40AED">
      <w:pPr>
        <w:autoSpaceDE w:val="0"/>
        <w:autoSpaceDN w:val="0"/>
        <w:adjustRightInd w:val="0"/>
        <w:spacing w:after="0" w:line="240" w:lineRule="auto"/>
        <w:ind w:left="567" w:right="618"/>
        <w:jc w:val="both"/>
        <w:rPr>
          <w:rFonts w:ascii="Arial" w:hAnsi="Arial" w:cs="Arial"/>
          <w:color w:val="000000"/>
          <w:sz w:val="20"/>
          <w:szCs w:val="20"/>
        </w:rPr>
      </w:pPr>
    </w:p>
    <w:p w14:paraId="13657165" w14:textId="77777777" w:rsidR="00C40AED" w:rsidRPr="00C40AED" w:rsidRDefault="00C40AED" w:rsidP="00C40AED">
      <w:pPr>
        <w:autoSpaceDE w:val="0"/>
        <w:autoSpaceDN w:val="0"/>
        <w:adjustRightInd w:val="0"/>
        <w:spacing w:after="0" w:line="240" w:lineRule="auto"/>
        <w:ind w:left="567" w:right="618"/>
        <w:jc w:val="both"/>
        <w:rPr>
          <w:rFonts w:ascii="Arial" w:hAnsi="Arial" w:cs="Arial"/>
          <w:color w:val="000000"/>
          <w:sz w:val="20"/>
          <w:szCs w:val="20"/>
        </w:rPr>
      </w:pPr>
      <w:r w:rsidRPr="00C40AED">
        <w:rPr>
          <w:rFonts w:ascii="Arial" w:hAnsi="Arial" w:cs="Arial"/>
          <w:b/>
          <w:bCs/>
          <w:color w:val="000000"/>
          <w:sz w:val="20"/>
          <w:szCs w:val="20"/>
        </w:rPr>
        <w:t xml:space="preserve">XXIX. </w:t>
      </w:r>
      <w:r w:rsidRPr="00C40AED">
        <w:rPr>
          <w:rFonts w:ascii="Arial" w:hAnsi="Arial" w:cs="Arial"/>
          <w:color w:val="000000"/>
          <w:sz w:val="20"/>
          <w:szCs w:val="20"/>
        </w:rPr>
        <w:t xml:space="preserve">Interpretar y aplicar las disposiciones de la Ley, de este Reglamento, emitir los lineamientos y políticas generales a que hubiere lugar, así como también y en su caso publicar y difundir los criterios que el Pleno ordene; </w:t>
      </w:r>
    </w:p>
    <w:p w14:paraId="40ADFF17" w14:textId="77540DD7" w:rsidR="00484D1E" w:rsidRPr="00C40AED" w:rsidRDefault="00484D1E" w:rsidP="00C40AED">
      <w:pPr>
        <w:autoSpaceDE w:val="0"/>
        <w:autoSpaceDN w:val="0"/>
        <w:adjustRightInd w:val="0"/>
        <w:spacing w:after="0" w:line="240" w:lineRule="auto"/>
        <w:ind w:left="567" w:right="618"/>
        <w:jc w:val="both"/>
        <w:rPr>
          <w:rFonts w:ascii="Arial" w:hAnsi="Arial" w:cs="Arial"/>
          <w:color w:val="000000"/>
          <w:sz w:val="20"/>
          <w:szCs w:val="20"/>
        </w:rPr>
      </w:pPr>
    </w:p>
    <w:p w14:paraId="6EA3EB29" w14:textId="20EA8386" w:rsidR="00C40AED" w:rsidRDefault="00C40AED" w:rsidP="00C40AED">
      <w:pPr>
        <w:autoSpaceDE w:val="0"/>
        <w:autoSpaceDN w:val="0"/>
        <w:adjustRightInd w:val="0"/>
        <w:spacing w:after="0" w:line="240" w:lineRule="auto"/>
        <w:ind w:left="567" w:right="618"/>
        <w:jc w:val="both"/>
        <w:rPr>
          <w:rFonts w:ascii="Arial" w:hAnsi="Arial" w:cs="Arial"/>
          <w:color w:val="000000"/>
          <w:sz w:val="20"/>
          <w:szCs w:val="20"/>
        </w:rPr>
      </w:pPr>
      <w:r w:rsidRPr="00C40AED">
        <w:rPr>
          <w:rFonts w:ascii="Arial" w:hAnsi="Arial" w:cs="Arial"/>
          <w:color w:val="000000"/>
          <w:sz w:val="20"/>
          <w:szCs w:val="20"/>
        </w:rPr>
        <w:t>[…]</w:t>
      </w:r>
    </w:p>
    <w:p w14:paraId="5FC47E19" w14:textId="77777777" w:rsidR="00C40AED" w:rsidRPr="00484D1E" w:rsidRDefault="00C40AED" w:rsidP="00C40AED">
      <w:pPr>
        <w:autoSpaceDE w:val="0"/>
        <w:autoSpaceDN w:val="0"/>
        <w:adjustRightInd w:val="0"/>
        <w:spacing w:after="0" w:line="240" w:lineRule="auto"/>
        <w:ind w:left="567" w:right="618"/>
        <w:jc w:val="both"/>
        <w:rPr>
          <w:rFonts w:ascii="Arial" w:hAnsi="Arial" w:cs="Arial"/>
          <w:color w:val="000000"/>
          <w:sz w:val="20"/>
          <w:szCs w:val="20"/>
        </w:rPr>
      </w:pPr>
    </w:p>
    <w:p w14:paraId="4183EC06" w14:textId="157F5E7A" w:rsidR="00484D1E" w:rsidRDefault="00A9175D"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Dentro de las atribuciones del Pleno es ejercer las facultades que a la Comisión otorga la Constitución y la legislación estatal, lo que confirma que la competencia de dicha Comisión debe estar establecido expresamente en la ley y no en un reglamento interior.</w:t>
      </w:r>
    </w:p>
    <w:p w14:paraId="52581FB3" w14:textId="19C4E468" w:rsidR="00A9175D" w:rsidRDefault="00A9175D" w:rsidP="00141BDA">
      <w:pPr>
        <w:spacing w:before="120" w:after="120" w:line="360" w:lineRule="auto"/>
        <w:ind w:right="51" w:firstLine="709"/>
        <w:jc w:val="both"/>
        <w:rPr>
          <w:rFonts w:ascii="Arial" w:hAnsi="Arial" w:cs="Arial"/>
          <w:sz w:val="24"/>
          <w:szCs w:val="24"/>
          <w:lang w:eastAsia="es-MX"/>
        </w:rPr>
      </w:pPr>
    </w:p>
    <w:p w14:paraId="317B1D1C" w14:textId="22CA13AE" w:rsidR="00A9175D" w:rsidRDefault="00A9175D"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 xml:space="preserve">Si bien le reconoce la atribución al Pleno para imponer mediante resolución sanciones pecuniarias por infracciones a la Ley de la materia por incumplimiento de los sujetos obligados directos o indirectos; también lo es que, </w:t>
      </w:r>
      <w:r w:rsidR="0046749D">
        <w:rPr>
          <w:rFonts w:ascii="Arial" w:hAnsi="Arial" w:cs="Arial"/>
          <w:sz w:val="24"/>
          <w:szCs w:val="24"/>
          <w:lang w:eastAsia="es-MX"/>
        </w:rPr>
        <w:t>no establece la facultad de la CEGAIP para imponer sanciones económicas o medidas de apremio a los sindicatos</w:t>
      </w:r>
      <w:r w:rsidR="008146F0">
        <w:rPr>
          <w:rFonts w:ascii="Arial" w:hAnsi="Arial" w:cs="Arial"/>
          <w:sz w:val="24"/>
          <w:szCs w:val="24"/>
          <w:lang w:eastAsia="es-MX"/>
        </w:rPr>
        <w:t>; más grave aún, distingue entre sujetos obligados directos e indirectos, cuando ni la Constitución Federal ni la Ley de Transparencia y Acceso a la Información Pública del Estado de San Luis Potosí lo hace.</w:t>
      </w:r>
    </w:p>
    <w:p w14:paraId="3D61BC4C" w14:textId="69819163" w:rsidR="008146F0" w:rsidRDefault="008146F0" w:rsidP="00141BDA">
      <w:pPr>
        <w:spacing w:before="120" w:after="120" w:line="360" w:lineRule="auto"/>
        <w:ind w:right="51" w:firstLine="709"/>
        <w:jc w:val="both"/>
        <w:rPr>
          <w:rFonts w:ascii="Arial" w:hAnsi="Arial" w:cs="Arial"/>
          <w:sz w:val="24"/>
          <w:szCs w:val="24"/>
          <w:lang w:eastAsia="es-MX"/>
        </w:rPr>
      </w:pPr>
    </w:p>
    <w:p w14:paraId="2AB384BE" w14:textId="2151696C" w:rsidR="008146F0" w:rsidRDefault="004E7E2F" w:rsidP="00141BDA">
      <w:pPr>
        <w:spacing w:before="120" w:after="120" w:line="360" w:lineRule="auto"/>
        <w:ind w:right="51" w:firstLine="709"/>
        <w:jc w:val="both"/>
        <w:rPr>
          <w:rFonts w:ascii="Arial" w:hAnsi="Arial" w:cs="Arial"/>
          <w:sz w:val="24"/>
          <w:szCs w:val="24"/>
          <w:lang w:eastAsia="es-MX"/>
        </w:rPr>
      </w:pPr>
      <w:r>
        <w:rPr>
          <w:rFonts w:ascii="Arial" w:hAnsi="Arial" w:cs="Arial"/>
          <w:sz w:val="24"/>
          <w:szCs w:val="24"/>
          <w:lang w:eastAsia="es-MX"/>
        </w:rPr>
        <w:t xml:space="preserve">Como se puede advertir, la autoridad demandada no cumple con la obligación de precisar la norma concreta que le faculta </w:t>
      </w:r>
      <w:r w:rsidR="001103B7">
        <w:rPr>
          <w:rFonts w:ascii="Arial" w:hAnsi="Arial" w:cs="Arial"/>
          <w:sz w:val="24"/>
          <w:szCs w:val="24"/>
          <w:lang w:eastAsia="es-MX"/>
        </w:rPr>
        <w:t>para sancionar o aplicar medidas de apremio a los sindicatos</w:t>
      </w:r>
      <w:r w:rsidR="00967489">
        <w:rPr>
          <w:rFonts w:ascii="Arial" w:hAnsi="Arial" w:cs="Arial"/>
          <w:sz w:val="24"/>
          <w:szCs w:val="24"/>
          <w:lang w:eastAsia="es-MX"/>
        </w:rPr>
        <w:t xml:space="preserve"> y a las personas físicas o morales</w:t>
      </w:r>
      <w:r w:rsidR="001103B7">
        <w:rPr>
          <w:rFonts w:ascii="Arial" w:hAnsi="Arial" w:cs="Arial"/>
          <w:sz w:val="24"/>
          <w:szCs w:val="24"/>
          <w:lang w:eastAsia="es-MX"/>
        </w:rPr>
        <w:t xml:space="preserve">, </w:t>
      </w:r>
      <w:r w:rsidR="00D338F5">
        <w:rPr>
          <w:rFonts w:ascii="Arial" w:hAnsi="Arial" w:cs="Arial"/>
          <w:sz w:val="24"/>
          <w:szCs w:val="24"/>
          <w:lang w:eastAsia="es-MX"/>
        </w:rPr>
        <w:t xml:space="preserve">ni expone las razones que haya tenido en cuenta para determinar su competencia, esto es, por qué consideró que la aquí actora tenía el carácter de sujeto obligado sujeto a su jurisdicción, </w:t>
      </w:r>
      <w:r w:rsidR="001103B7">
        <w:rPr>
          <w:rFonts w:ascii="Arial" w:hAnsi="Arial" w:cs="Arial"/>
          <w:sz w:val="24"/>
          <w:szCs w:val="24"/>
          <w:lang w:eastAsia="es-MX"/>
        </w:rPr>
        <w:t xml:space="preserve">lo que por sí mismo es </w:t>
      </w:r>
      <w:r w:rsidR="001103B7">
        <w:rPr>
          <w:rFonts w:ascii="Arial" w:hAnsi="Arial" w:cs="Arial"/>
          <w:sz w:val="24"/>
          <w:szCs w:val="24"/>
          <w:lang w:eastAsia="es-MX"/>
        </w:rPr>
        <w:lastRenderedPageBreak/>
        <w:t>suficiente para decretar la nulidad del acto impugnado</w:t>
      </w:r>
      <w:r w:rsidR="000D6AE9">
        <w:rPr>
          <w:rFonts w:ascii="Arial" w:hAnsi="Arial" w:cs="Arial"/>
          <w:sz w:val="24"/>
          <w:szCs w:val="24"/>
          <w:lang w:eastAsia="es-MX"/>
        </w:rPr>
        <w:t>, más aún que es ayuno de motivación de la competencia que pretende ejercer</w:t>
      </w:r>
      <w:r w:rsidR="00967489">
        <w:rPr>
          <w:rFonts w:ascii="Arial" w:hAnsi="Arial" w:cs="Arial"/>
          <w:sz w:val="24"/>
          <w:szCs w:val="24"/>
          <w:lang w:eastAsia="es-MX"/>
        </w:rPr>
        <w:t xml:space="preserve">; </w:t>
      </w:r>
      <w:r w:rsidR="00ED0B8B">
        <w:rPr>
          <w:rFonts w:ascii="Arial" w:hAnsi="Arial" w:cs="Arial"/>
          <w:sz w:val="24"/>
          <w:szCs w:val="24"/>
          <w:lang w:eastAsia="es-MX"/>
        </w:rPr>
        <w:t>pero, con el objetivo de cumplir con el principio de exhaustividad y a efecto de mejor comprensión de los efectos de dicha nulidad, se procede a abundar sobre el concepto de impugnación que hace valer la parte actora.</w:t>
      </w:r>
    </w:p>
    <w:p w14:paraId="3851E03F" w14:textId="38149320" w:rsidR="00ED0B8B" w:rsidRDefault="00ED0B8B" w:rsidP="00141BDA">
      <w:pPr>
        <w:spacing w:before="120" w:after="120" w:line="360" w:lineRule="auto"/>
        <w:ind w:right="51" w:firstLine="709"/>
        <w:jc w:val="both"/>
        <w:rPr>
          <w:rFonts w:ascii="Arial" w:hAnsi="Arial" w:cs="Arial"/>
          <w:sz w:val="24"/>
          <w:szCs w:val="24"/>
          <w:lang w:eastAsia="es-MX"/>
        </w:rPr>
      </w:pPr>
    </w:p>
    <w:p w14:paraId="2816E619" w14:textId="6272A763" w:rsidR="00BD3BE0" w:rsidRDefault="00AB093B" w:rsidP="00DE6732">
      <w:pPr>
        <w:spacing w:after="0" w:line="360" w:lineRule="auto"/>
        <w:ind w:firstLine="709"/>
        <w:jc w:val="both"/>
        <w:rPr>
          <w:rFonts w:ascii="Arial" w:hAnsi="Arial" w:cs="Arial"/>
          <w:sz w:val="24"/>
          <w:szCs w:val="24"/>
        </w:rPr>
      </w:pPr>
      <w:r>
        <w:rPr>
          <w:rFonts w:ascii="Arial" w:hAnsi="Arial" w:cs="Arial"/>
          <w:sz w:val="24"/>
          <w:szCs w:val="24"/>
          <w:lang w:eastAsia="es-MX"/>
        </w:rPr>
        <w:t xml:space="preserve">La parte actora, en su concepto de impugnación sostiene que la </w:t>
      </w:r>
      <w:r>
        <w:rPr>
          <w:rFonts w:ascii="Arial" w:hAnsi="Arial" w:cs="Arial"/>
          <w:sz w:val="24"/>
          <w:szCs w:val="24"/>
        </w:rPr>
        <w:t xml:space="preserve">Comisión Estatal de Garantía de Acceso a la Información Pública del Estado de San Luis Potosí no es competente para imponer una sanción o </w:t>
      </w:r>
      <w:r w:rsidR="000D2ACB">
        <w:rPr>
          <w:rFonts w:ascii="Arial" w:hAnsi="Arial" w:cs="Arial"/>
          <w:sz w:val="24"/>
          <w:szCs w:val="24"/>
        </w:rPr>
        <w:t xml:space="preserve">medida de apremio a personas físicas o morales que no son sujetos obligados conforme a la ley de la materia, como en el caso acontece, </w:t>
      </w:r>
      <w:r w:rsidR="0037316F">
        <w:rPr>
          <w:rFonts w:ascii="Arial" w:hAnsi="Arial" w:cs="Arial"/>
          <w:sz w:val="24"/>
          <w:szCs w:val="24"/>
        </w:rPr>
        <w:t>ya</w:t>
      </w:r>
      <w:r w:rsidR="000D2ACB">
        <w:rPr>
          <w:rFonts w:ascii="Arial" w:hAnsi="Arial" w:cs="Arial"/>
          <w:sz w:val="24"/>
          <w:szCs w:val="24"/>
        </w:rPr>
        <w:t xml:space="preserve"> que </w:t>
      </w:r>
      <w:r w:rsidR="00062DF7">
        <w:rPr>
          <w:rFonts w:ascii="Arial" w:hAnsi="Arial" w:cs="Arial"/>
          <w:b/>
          <w:bCs/>
          <w:color w:val="FF0000"/>
          <w:sz w:val="24"/>
          <w:szCs w:val="24"/>
        </w:rPr>
        <w:t>**************</w:t>
      </w:r>
      <w:r w:rsidR="000D2ACB">
        <w:rPr>
          <w:rFonts w:ascii="Arial" w:hAnsi="Arial" w:cs="Arial"/>
          <w:sz w:val="24"/>
          <w:szCs w:val="24"/>
        </w:rPr>
        <w:t xml:space="preserve">, en lo personal y con el carácter de Secretaria General de la </w:t>
      </w:r>
      <w:r w:rsidR="00062DF7">
        <w:rPr>
          <w:rFonts w:ascii="Arial" w:hAnsi="Arial" w:cs="Arial"/>
          <w:b/>
          <w:bCs/>
          <w:color w:val="FF0000"/>
          <w:sz w:val="24"/>
          <w:szCs w:val="24"/>
        </w:rPr>
        <w:t>**************</w:t>
      </w:r>
      <w:r w:rsidR="000D2ACB">
        <w:rPr>
          <w:rFonts w:ascii="Arial" w:hAnsi="Arial" w:cs="Arial"/>
          <w:sz w:val="24"/>
          <w:szCs w:val="24"/>
        </w:rPr>
        <w:t xml:space="preserve">, </w:t>
      </w:r>
      <w:r w:rsidR="0037316F">
        <w:rPr>
          <w:rFonts w:ascii="Arial" w:hAnsi="Arial" w:cs="Arial"/>
          <w:sz w:val="24"/>
          <w:szCs w:val="24"/>
        </w:rPr>
        <w:t>sostiene la actora, no tienen el carácter de sujetos obligados: “</w:t>
      </w:r>
      <w:r w:rsidR="0037316F">
        <w:rPr>
          <w:rFonts w:ascii="Arial" w:hAnsi="Arial" w:cs="Arial"/>
          <w:i/>
          <w:iCs/>
          <w:sz w:val="24"/>
          <w:szCs w:val="24"/>
        </w:rPr>
        <w:t>mi representada no está obligada por carecer de los requisitos que marca el artículo 23 de la Ley de Transparencia y Garantía de Acceso a la Información Pública del Estado de San Luis Potosí</w:t>
      </w:r>
      <w:r w:rsidR="0037316F">
        <w:rPr>
          <w:rFonts w:ascii="Arial" w:hAnsi="Arial" w:cs="Arial"/>
          <w:sz w:val="24"/>
          <w:szCs w:val="24"/>
        </w:rPr>
        <w:t>”.</w:t>
      </w:r>
    </w:p>
    <w:p w14:paraId="72AA3317" w14:textId="0676E9D4" w:rsidR="0037316F" w:rsidRDefault="0037316F" w:rsidP="00DE6732">
      <w:pPr>
        <w:spacing w:after="0" w:line="360" w:lineRule="auto"/>
        <w:ind w:firstLine="709"/>
        <w:jc w:val="both"/>
        <w:rPr>
          <w:rFonts w:ascii="Arial" w:hAnsi="Arial" w:cs="Arial"/>
          <w:sz w:val="24"/>
          <w:szCs w:val="24"/>
        </w:rPr>
      </w:pPr>
    </w:p>
    <w:p w14:paraId="1AF50FDB" w14:textId="1D44A2D3" w:rsidR="0037316F" w:rsidRDefault="00712156" w:rsidP="00DE6732">
      <w:pPr>
        <w:spacing w:after="0" w:line="360" w:lineRule="auto"/>
        <w:ind w:firstLine="709"/>
        <w:jc w:val="both"/>
        <w:rPr>
          <w:rFonts w:ascii="Arial" w:hAnsi="Arial" w:cs="Arial"/>
          <w:sz w:val="24"/>
          <w:szCs w:val="24"/>
        </w:rPr>
      </w:pPr>
      <w:r>
        <w:rPr>
          <w:rFonts w:ascii="Arial" w:hAnsi="Arial" w:cs="Arial"/>
          <w:sz w:val="24"/>
          <w:szCs w:val="24"/>
        </w:rPr>
        <w:t>Es pertinente hacer algunas consideraciones, sobre aspectos esenciales, dado que el caso involucra a una física a la que se le aplica una medi</w:t>
      </w:r>
      <w:r w:rsidR="000D6AE9">
        <w:rPr>
          <w:rFonts w:ascii="Arial" w:hAnsi="Arial" w:cs="Arial"/>
          <w:sz w:val="24"/>
          <w:szCs w:val="24"/>
        </w:rPr>
        <w:t>d</w:t>
      </w:r>
      <w:r>
        <w:rPr>
          <w:rFonts w:ascii="Arial" w:hAnsi="Arial" w:cs="Arial"/>
          <w:sz w:val="24"/>
          <w:szCs w:val="24"/>
        </w:rPr>
        <w:t xml:space="preserve">a de apremio como </w:t>
      </w:r>
      <w:r w:rsidR="00795BEC">
        <w:rPr>
          <w:rFonts w:ascii="Arial" w:hAnsi="Arial" w:cs="Arial"/>
          <w:sz w:val="24"/>
          <w:szCs w:val="24"/>
        </w:rPr>
        <w:t>representante de un</w:t>
      </w:r>
      <w:r w:rsidR="00016397">
        <w:rPr>
          <w:rFonts w:ascii="Arial" w:hAnsi="Arial" w:cs="Arial"/>
          <w:sz w:val="24"/>
          <w:szCs w:val="24"/>
        </w:rPr>
        <w:t xml:space="preserve"> sindicato, como lo es la </w:t>
      </w:r>
      <w:r w:rsidR="00062DF7">
        <w:rPr>
          <w:rFonts w:ascii="Arial" w:hAnsi="Arial" w:cs="Arial"/>
          <w:b/>
          <w:bCs/>
          <w:color w:val="FF0000"/>
          <w:sz w:val="24"/>
          <w:szCs w:val="24"/>
        </w:rPr>
        <w:t>**************</w:t>
      </w:r>
      <w:r w:rsidR="00016397">
        <w:rPr>
          <w:rFonts w:ascii="Arial" w:hAnsi="Arial" w:cs="Arial"/>
          <w:sz w:val="24"/>
          <w:szCs w:val="24"/>
        </w:rPr>
        <w:t>.</w:t>
      </w:r>
    </w:p>
    <w:p w14:paraId="4A21CAC7" w14:textId="0D6D22E4" w:rsidR="00795BEC" w:rsidRDefault="00795BEC" w:rsidP="00DE6732">
      <w:pPr>
        <w:spacing w:after="0" w:line="360" w:lineRule="auto"/>
        <w:ind w:firstLine="709"/>
        <w:jc w:val="both"/>
        <w:rPr>
          <w:rFonts w:ascii="Arial" w:hAnsi="Arial" w:cs="Arial"/>
          <w:sz w:val="24"/>
          <w:szCs w:val="24"/>
        </w:rPr>
      </w:pPr>
    </w:p>
    <w:p w14:paraId="2EE03C34" w14:textId="03481127" w:rsidR="00795BEC" w:rsidRDefault="00B91EC7"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La Ley Federal del Trabajo en sus artículos 82, 84</w:t>
      </w:r>
      <w:r w:rsidR="00E6530A">
        <w:rPr>
          <w:rFonts w:ascii="Arial" w:hAnsi="Arial" w:cs="Arial"/>
          <w:sz w:val="24"/>
          <w:szCs w:val="24"/>
          <w:lang w:eastAsia="es-MX"/>
        </w:rPr>
        <w:t>, 98, 100</w:t>
      </w:r>
      <w:r w:rsidR="00E70D9B">
        <w:rPr>
          <w:rFonts w:ascii="Arial" w:hAnsi="Arial" w:cs="Arial"/>
          <w:sz w:val="24"/>
          <w:szCs w:val="24"/>
          <w:lang w:eastAsia="es-MX"/>
        </w:rPr>
        <w:t xml:space="preserve"> párrafo primero,</w:t>
      </w:r>
      <w:r w:rsidR="00E6530A">
        <w:rPr>
          <w:rFonts w:ascii="Arial" w:hAnsi="Arial" w:cs="Arial"/>
          <w:sz w:val="24"/>
          <w:szCs w:val="24"/>
          <w:lang w:eastAsia="es-MX"/>
        </w:rPr>
        <w:t xml:space="preserve"> </w:t>
      </w:r>
      <w:r w:rsidR="00E70D9B">
        <w:rPr>
          <w:rFonts w:ascii="Arial" w:hAnsi="Arial" w:cs="Arial"/>
          <w:sz w:val="24"/>
          <w:szCs w:val="24"/>
          <w:lang w:eastAsia="es-MX"/>
        </w:rPr>
        <w:t>101</w:t>
      </w:r>
      <w:r>
        <w:rPr>
          <w:rFonts w:ascii="Arial" w:hAnsi="Arial" w:cs="Arial"/>
          <w:sz w:val="24"/>
          <w:szCs w:val="24"/>
          <w:lang w:eastAsia="es-MX"/>
        </w:rPr>
        <w:t xml:space="preserve"> </w:t>
      </w:r>
      <w:r w:rsidR="004B3C1E">
        <w:rPr>
          <w:rFonts w:ascii="Arial" w:hAnsi="Arial" w:cs="Arial"/>
          <w:sz w:val="24"/>
          <w:szCs w:val="24"/>
          <w:lang w:eastAsia="es-MX"/>
        </w:rPr>
        <w:t xml:space="preserve">y 110 fracción VI, </w:t>
      </w:r>
      <w:r>
        <w:rPr>
          <w:rFonts w:ascii="Arial" w:hAnsi="Arial" w:cs="Arial"/>
          <w:sz w:val="24"/>
          <w:szCs w:val="24"/>
          <w:lang w:eastAsia="es-MX"/>
        </w:rPr>
        <w:t>establece:</w:t>
      </w:r>
    </w:p>
    <w:p w14:paraId="28AFBA48" w14:textId="788A1DA4" w:rsidR="00B91EC7" w:rsidRDefault="00B91EC7" w:rsidP="00DE6732">
      <w:pPr>
        <w:spacing w:after="0" w:line="360" w:lineRule="auto"/>
        <w:ind w:firstLine="709"/>
        <w:jc w:val="both"/>
        <w:rPr>
          <w:rFonts w:ascii="Arial" w:hAnsi="Arial" w:cs="Arial"/>
          <w:sz w:val="24"/>
          <w:szCs w:val="24"/>
          <w:lang w:eastAsia="es-MX"/>
        </w:rPr>
      </w:pPr>
    </w:p>
    <w:p w14:paraId="65A01356" w14:textId="69B1FE5B" w:rsidR="00B91EC7" w:rsidRPr="004B3C1E" w:rsidRDefault="00B91EC7" w:rsidP="004B3C1E">
      <w:pPr>
        <w:spacing w:after="0" w:line="240" w:lineRule="auto"/>
        <w:ind w:left="567" w:right="618"/>
        <w:jc w:val="both"/>
        <w:rPr>
          <w:rFonts w:ascii="Arial" w:hAnsi="Arial" w:cs="Arial"/>
          <w:sz w:val="20"/>
          <w:szCs w:val="20"/>
        </w:rPr>
      </w:pPr>
      <w:r w:rsidRPr="004B3C1E">
        <w:rPr>
          <w:rFonts w:ascii="Arial" w:hAnsi="Arial" w:cs="Arial"/>
          <w:b/>
          <w:bCs/>
          <w:sz w:val="20"/>
          <w:szCs w:val="20"/>
        </w:rPr>
        <w:t xml:space="preserve">Artículo 82.- </w:t>
      </w:r>
      <w:r w:rsidRPr="004B3C1E">
        <w:rPr>
          <w:rFonts w:ascii="Arial" w:hAnsi="Arial" w:cs="Arial"/>
          <w:sz w:val="20"/>
          <w:szCs w:val="20"/>
        </w:rPr>
        <w:t>Salario es la retribución que debe pagar el patrón al trabajador por su trabajo.</w:t>
      </w:r>
    </w:p>
    <w:p w14:paraId="6C77CEF5" w14:textId="4B4B8E68" w:rsidR="00B91EC7" w:rsidRPr="004B3C1E" w:rsidRDefault="00B91EC7" w:rsidP="004B3C1E">
      <w:pPr>
        <w:spacing w:after="0" w:line="240" w:lineRule="auto"/>
        <w:ind w:left="567" w:right="618"/>
        <w:jc w:val="both"/>
        <w:rPr>
          <w:rFonts w:ascii="Arial" w:hAnsi="Arial" w:cs="Arial"/>
          <w:sz w:val="20"/>
          <w:szCs w:val="20"/>
        </w:rPr>
      </w:pPr>
    </w:p>
    <w:p w14:paraId="2CA2F9EF" w14:textId="3A88CB60" w:rsidR="00B91EC7" w:rsidRPr="004B3C1E" w:rsidRDefault="00B91EC7" w:rsidP="004B3C1E">
      <w:pPr>
        <w:spacing w:after="0" w:line="240" w:lineRule="auto"/>
        <w:ind w:left="567" w:right="618"/>
        <w:jc w:val="both"/>
        <w:rPr>
          <w:rFonts w:ascii="Arial" w:hAnsi="Arial" w:cs="Arial"/>
          <w:sz w:val="20"/>
          <w:szCs w:val="20"/>
        </w:rPr>
      </w:pPr>
      <w:r w:rsidRPr="004B3C1E">
        <w:rPr>
          <w:rFonts w:ascii="Arial" w:hAnsi="Arial" w:cs="Arial"/>
          <w:b/>
          <w:bCs/>
          <w:sz w:val="20"/>
          <w:szCs w:val="20"/>
        </w:rPr>
        <w:t xml:space="preserve">Artículo 84.- </w:t>
      </w:r>
      <w:r w:rsidRPr="004B3C1E">
        <w:rPr>
          <w:rFonts w:ascii="Arial" w:hAnsi="Arial" w:cs="Arial"/>
          <w:sz w:val="20"/>
          <w:szCs w:val="20"/>
        </w:rPr>
        <w:t>El salario se integra con los pagos hechos en efectivo por cuota diaria, gratificaciones, percepciones, habitación, primas, comisiones, prestaciones en especie y cualquiera otra cantidad o prestación que se entregue al trabajador por su trabajo.</w:t>
      </w:r>
    </w:p>
    <w:p w14:paraId="2CEEFA4B" w14:textId="6704CF9C" w:rsidR="00E6530A" w:rsidRPr="004B3C1E" w:rsidRDefault="00E6530A" w:rsidP="004B3C1E">
      <w:pPr>
        <w:spacing w:after="0" w:line="240" w:lineRule="auto"/>
        <w:ind w:left="567" w:right="618"/>
        <w:jc w:val="both"/>
        <w:rPr>
          <w:rFonts w:ascii="Arial" w:hAnsi="Arial" w:cs="Arial"/>
          <w:sz w:val="20"/>
          <w:szCs w:val="20"/>
        </w:rPr>
      </w:pPr>
    </w:p>
    <w:p w14:paraId="3E9D6EA3" w14:textId="619156BF" w:rsidR="00E6530A" w:rsidRPr="004B3C1E" w:rsidRDefault="00E6530A" w:rsidP="004B3C1E">
      <w:pPr>
        <w:spacing w:after="0" w:line="240" w:lineRule="auto"/>
        <w:ind w:left="567" w:right="618"/>
        <w:jc w:val="both"/>
        <w:rPr>
          <w:rFonts w:ascii="Arial" w:hAnsi="Arial" w:cs="Arial"/>
          <w:sz w:val="24"/>
          <w:szCs w:val="24"/>
          <w:lang w:eastAsia="es-MX"/>
        </w:rPr>
      </w:pPr>
      <w:r w:rsidRPr="004B3C1E">
        <w:rPr>
          <w:rFonts w:ascii="Arial" w:hAnsi="Arial" w:cs="Arial"/>
          <w:b/>
          <w:bCs/>
          <w:sz w:val="20"/>
          <w:szCs w:val="20"/>
        </w:rPr>
        <w:t xml:space="preserve">Artículo 98.- </w:t>
      </w:r>
      <w:r w:rsidRPr="004B3C1E">
        <w:rPr>
          <w:rFonts w:ascii="Arial" w:hAnsi="Arial" w:cs="Arial"/>
          <w:sz w:val="20"/>
          <w:szCs w:val="20"/>
        </w:rPr>
        <w:t>Los trabajadores dispondrán libremente de sus salarios. Cualquier disposición o medida que desvirtúe este derecho será nula.</w:t>
      </w:r>
    </w:p>
    <w:p w14:paraId="09DF2F8C" w14:textId="1FB9D640" w:rsidR="00363C99" w:rsidRPr="004B3C1E" w:rsidRDefault="00363C99" w:rsidP="004B3C1E">
      <w:pPr>
        <w:spacing w:after="0" w:line="240" w:lineRule="auto"/>
        <w:ind w:left="567" w:right="618"/>
        <w:jc w:val="both"/>
        <w:rPr>
          <w:rFonts w:ascii="Arial" w:hAnsi="Arial" w:cs="Arial"/>
          <w:sz w:val="24"/>
          <w:szCs w:val="24"/>
          <w:lang w:eastAsia="es-MX"/>
        </w:rPr>
      </w:pPr>
    </w:p>
    <w:p w14:paraId="375D0834" w14:textId="702759EC" w:rsidR="00E6530A" w:rsidRPr="004B3C1E" w:rsidRDefault="00E6530A" w:rsidP="004B3C1E">
      <w:pPr>
        <w:spacing w:after="0" w:line="240" w:lineRule="auto"/>
        <w:ind w:left="567" w:right="618"/>
        <w:jc w:val="both"/>
        <w:rPr>
          <w:rFonts w:ascii="Arial" w:hAnsi="Arial" w:cs="Arial"/>
          <w:sz w:val="20"/>
          <w:szCs w:val="20"/>
        </w:rPr>
      </w:pPr>
      <w:r w:rsidRPr="004B3C1E">
        <w:rPr>
          <w:rFonts w:ascii="Arial" w:hAnsi="Arial" w:cs="Arial"/>
          <w:b/>
          <w:bCs/>
          <w:sz w:val="20"/>
          <w:szCs w:val="20"/>
        </w:rPr>
        <w:t xml:space="preserve">Artículo 100.- </w:t>
      </w:r>
      <w:r w:rsidRPr="004B3C1E">
        <w:rPr>
          <w:rFonts w:ascii="Arial" w:hAnsi="Arial" w:cs="Arial"/>
          <w:sz w:val="20"/>
          <w:szCs w:val="20"/>
        </w:rPr>
        <w:t>El salario se pagará directamente al trabajador. Sólo en los casos en que esté imposibilitado para efectuar personalmente el cobro, el pago se hará a la persona que designe como apoderado mediante carta poder suscrita por dos testigos.</w:t>
      </w:r>
    </w:p>
    <w:p w14:paraId="30B1B08A" w14:textId="2BCE7713" w:rsidR="004B3C1E" w:rsidRPr="004B3C1E" w:rsidRDefault="004B3C1E" w:rsidP="004B3C1E">
      <w:pPr>
        <w:spacing w:after="0" w:line="240" w:lineRule="auto"/>
        <w:ind w:left="567" w:right="618"/>
        <w:jc w:val="both"/>
        <w:rPr>
          <w:rFonts w:ascii="Arial" w:hAnsi="Arial" w:cs="Arial"/>
          <w:sz w:val="20"/>
          <w:szCs w:val="20"/>
        </w:rPr>
      </w:pPr>
    </w:p>
    <w:p w14:paraId="2ABADEAF" w14:textId="44E43E1A" w:rsidR="004B3C1E" w:rsidRPr="004B3C1E" w:rsidRDefault="004B3C1E" w:rsidP="004B3C1E">
      <w:pPr>
        <w:spacing w:after="0" w:line="240" w:lineRule="auto"/>
        <w:ind w:left="567" w:right="618"/>
        <w:jc w:val="both"/>
        <w:rPr>
          <w:rFonts w:ascii="Arial" w:hAnsi="Arial" w:cs="Arial"/>
          <w:sz w:val="20"/>
          <w:szCs w:val="20"/>
        </w:rPr>
      </w:pPr>
      <w:r w:rsidRPr="004B3C1E">
        <w:rPr>
          <w:rFonts w:ascii="Arial" w:hAnsi="Arial" w:cs="Arial"/>
          <w:sz w:val="20"/>
          <w:szCs w:val="20"/>
        </w:rPr>
        <w:t>[…]</w:t>
      </w:r>
    </w:p>
    <w:p w14:paraId="2A42BEC5" w14:textId="5D9D42B6" w:rsidR="00E70D9B" w:rsidRPr="004B3C1E" w:rsidRDefault="00E70D9B" w:rsidP="004B3C1E">
      <w:pPr>
        <w:spacing w:after="0" w:line="240" w:lineRule="auto"/>
        <w:ind w:left="567" w:right="618"/>
        <w:jc w:val="both"/>
        <w:rPr>
          <w:rFonts w:ascii="Arial" w:hAnsi="Arial" w:cs="Arial"/>
          <w:sz w:val="20"/>
          <w:szCs w:val="20"/>
        </w:rPr>
      </w:pPr>
    </w:p>
    <w:p w14:paraId="7588343F" w14:textId="50887287" w:rsidR="00E70D9B" w:rsidRDefault="00E70D9B" w:rsidP="004B3C1E">
      <w:pPr>
        <w:autoSpaceDE w:val="0"/>
        <w:autoSpaceDN w:val="0"/>
        <w:adjustRightInd w:val="0"/>
        <w:spacing w:after="0" w:line="240" w:lineRule="auto"/>
        <w:ind w:left="567" w:right="618"/>
        <w:jc w:val="both"/>
        <w:rPr>
          <w:rFonts w:ascii="Arial" w:hAnsi="Arial" w:cs="Arial"/>
          <w:color w:val="000000"/>
          <w:sz w:val="20"/>
          <w:szCs w:val="20"/>
        </w:rPr>
      </w:pPr>
      <w:r w:rsidRPr="00E70D9B">
        <w:rPr>
          <w:rFonts w:ascii="Arial" w:hAnsi="Arial" w:cs="Arial"/>
          <w:b/>
          <w:bCs/>
          <w:color w:val="000000"/>
          <w:sz w:val="20"/>
          <w:szCs w:val="20"/>
        </w:rPr>
        <w:t xml:space="preserve">Artículo 101.- </w:t>
      </w:r>
      <w:r w:rsidRPr="00E70D9B">
        <w:rPr>
          <w:rFonts w:ascii="Arial" w:hAnsi="Arial" w:cs="Arial"/>
          <w:color w:val="000000"/>
          <w:sz w:val="20"/>
          <w:szCs w:val="20"/>
        </w:rPr>
        <w:t>El salario en efectivo deberá pagarse precisamente en moneda de curso legal, no siendo permitido hacerlo en mercancías, vales, fichas o cualquier otro signo representativo con que se pretenda substituir la moneda.</w:t>
      </w:r>
    </w:p>
    <w:p w14:paraId="1D9E9789" w14:textId="77777777" w:rsidR="004B3C1E" w:rsidRPr="00E70D9B" w:rsidRDefault="004B3C1E" w:rsidP="004B3C1E">
      <w:pPr>
        <w:autoSpaceDE w:val="0"/>
        <w:autoSpaceDN w:val="0"/>
        <w:adjustRightInd w:val="0"/>
        <w:spacing w:after="0" w:line="240" w:lineRule="auto"/>
        <w:ind w:left="567" w:right="618"/>
        <w:jc w:val="both"/>
        <w:rPr>
          <w:rFonts w:ascii="Arial" w:hAnsi="Arial" w:cs="Arial"/>
          <w:color w:val="000000"/>
          <w:sz w:val="20"/>
          <w:szCs w:val="20"/>
        </w:rPr>
      </w:pPr>
    </w:p>
    <w:p w14:paraId="054948A8" w14:textId="680F1C58" w:rsidR="00E70D9B" w:rsidRDefault="00E70D9B" w:rsidP="004B3C1E">
      <w:pPr>
        <w:autoSpaceDE w:val="0"/>
        <w:autoSpaceDN w:val="0"/>
        <w:adjustRightInd w:val="0"/>
        <w:spacing w:after="0" w:line="240" w:lineRule="auto"/>
        <w:ind w:left="567" w:right="618"/>
        <w:jc w:val="both"/>
        <w:rPr>
          <w:rFonts w:ascii="Arial" w:hAnsi="Arial" w:cs="Arial"/>
          <w:color w:val="000000"/>
          <w:sz w:val="20"/>
          <w:szCs w:val="20"/>
        </w:rPr>
      </w:pPr>
      <w:r w:rsidRPr="00E70D9B">
        <w:rPr>
          <w:rFonts w:ascii="Arial" w:hAnsi="Arial" w:cs="Arial"/>
          <w:color w:val="000000"/>
          <w:sz w:val="20"/>
          <w:szCs w:val="20"/>
        </w:rPr>
        <w:lastRenderedPageBreak/>
        <w:t>Previo consentimiento del trabajador, el pago del salario podrá efectuarse por medio de depósito en cuenta bancaria, tarjeta de débito, transferencias o cualquier otro medio electrónico. Los gastos o costos que originen estos medios alternativos de pago serán cubiertos por el patrón.</w:t>
      </w:r>
    </w:p>
    <w:p w14:paraId="26BF58BA" w14:textId="77777777" w:rsidR="004B3C1E" w:rsidRPr="00E70D9B" w:rsidRDefault="004B3C1E" w:rsidP="004B3C1E">
      <w:pPr>
        <w:autoSpaceDE w:val="0"/>
        <w:autoSpaceDN w:val="0"/>
        <w:adjustRightInd w:val="0"/>
        <w:spacing w:after="0" w:line="240" w:lineRule="auto"/>
        <w:ind w:left="567" w:right="618"/>
        <w:jc w:val="both"/>
        <w:rPr>
          <w:rFonts w:ascii="Arial" w:hAnsi="Arial" w:cs="Arial"/>
          <w:color w:val="000000"/>
          <w:sz w:val="20"/>
          <w:szCs w:val="20"/>
        </w:rPr>
      </w:pPr>
    </w:p>
    <w:p w14:paraId="0DBD8CF5" w14:textId="594D6073" w:rsidR="00E70D9B" w:rsidRDefault="00E70D9B" w:rsidP="004B3C1E">
      <w:pPr>
        <w:autoSpaceDE w:val="0"/>
        <w:autoSpaceDN w:val="0"/>
        <w:adjustRightInd w:val="0"/>
        <w:spacing w:after="0" w:line="240" w:lineRule="auto"/>
        <w:ind w:left="567" w:right="618"/>
        <w:jc w:val="both"/>
        <w:rPr>
          <w:rFonts w:ascii="Arial" w:hAnsi="Arial" w:cs="Arial"/>
          <w:color w:val="000000"/>
          <w:sz w:val="20"/>
          <w:szCs w:val="20"/>
        </w:rPr>
      </w:pPr>
      <w:r w:rsidRPr="00E70D9B">
        <w:rPr>
          <w:rFonts w:ascii="Arial" w:hAnsi="Arial" w:cs="Arial"/>
          <w:color w:val="000000"/>
          <w:sz w:val="20"/>
          <w:szCs w:val="20"/>
        </w:rPr>
        <w:t>En todos los casos, el trabajador deberá tener acceso a la información detallada de los conceptos y deducciones de pago. Los recibos de pago deberán entregarse al trabajador en forma impresa o por cualquier otro medio, sin perjuicio de que el patrón lo deba entregar en documento impreso cuando el trabajador así lo requiera.</w:t>
      </w:r>
    </w:p>
    <w:p w14:paraId="0879FF23" w14:textId="77777777" w:rsidR="004B3C1E" w:rsidRPr="00E70D9B" w:rsidRDefault="004B3C1E" w:rsidP="004B3C1E">
      <w:pPr>
        <w:autoSpaceDE w:val="0"/>
        <w:autoSpaceDN w:val="0"/>
        <w:adjustRightInd w:val="0"/>
        <w:spacing w:after="0" w:line="240" w:lineRule="auto"/>
        <w:ind w:left="567" w:right="618"/>
        <w:jc w:val="both"/>
        <w:rPr>
          <w:rFonts w:ascii="Arial" w:hAnsi="Arial" w:cs="Arial"/>
          <w:color w:val="000000"/>
          <w:sz w:val="20"/>
          <w:szCs w:val="20"/>
        </w:rPr>
      </w:pPr>
    </w:p>
    <w:p w14:paraId="75153454" w14:textId="7EC6A4C9" w:rsidR="00E70D9B" w:rsidRPr="004B3C1E" w:rsidRDefault="00E70D9B" w:rsidP="004B3C1E">
      <w:pPr>
        <w:spacing w:after="0" w:line="240" w:lineRule="auto"/>
        <w:ind w:left="567" w:right="618"/>
        <w:jc w:val="both"/>
        <w:rPr>
          <w:rFonts w:ascii="Arial" w:hAnsi="Arial" w:cs="Arial"/>
          <w:color w:val="000000"/>
          <w:sz w:val="20"/>
          <w:szCs w:val="20"/>
        </w:rPr>
      </w:pPr>
      <w:r w:rsidRPr="004B3C1E">
        <w:rPr>
          <w:rFonts w:ascii="Arial" w:hAnsi="Arial" w:cs="Arial"/>
          <w:color w:val="000000"/>
          <w:sz w:val="20"/>
          <w:szCs w:val="20"/>
        </w:rPr>
        <w:t>Los recibos impresos deberán contener firma autógrafa del trabajador para su validez; los recibos de pago contenidos en comprobantes fiscales digitales por Internet (CFDI) pueden sustituir a los recibos impresos; el contenido de un CFDI hará prueba si se verifica en el portal de Internet del Servicio de Administración Tributaria, en caso de ser validado se estará a lo dispuesto en la fracción I del artículo 836-D de esta Ley.</w:t>
      </w:r>
    </w:p>
    <w:p w14:paraId="25ACA5E4" w14:textId="6B64D166" w:rsidR="004B3C1E" w:rsidRPr="004B3C1E" w:rsidRDefault="004B3C1E" w:rsidP="004B3C1E">
      <w:pPr>
        <w:spacing w:after="0" w:line="240" w:lineRule="auto"/>
        <w:ind w:left="567" w:right="618"/>
        <w:jc w:val="both"/>
        <w:rPr>
          <w:rFonts w:ascii="Arial" w:hAnsi="Arial" w:cs="Arial"/>
          <w:color w:val="000000"/>
          <w:sz w:val="20"/>
          <w:szCs w:val="20"/>
        </w:rPr>
      </w:pPr>
    </w:p>
    <w:p w14:paraId="15C23164" w14:textId="032F35DB" w:rsidR="004B3C1E" w:rsidRPr="004B3C1E" w:rsidRDefault="004B3C1E" w:rsidP="004B3C1E">
      <w:pPr>
        <w:spacing w:after="0" w:line="240" w:lineRule="auto"/>
        <w:ind w:left="567" w:right="618"/>
        <w:jc w:val="both"/>
        <w:rPr>
          <w:rFonts w:ascii="Arial" w:hAnsi="Arial" w:cs="Arial"/>
          <w:sz w:val="20"/>
          <w:szCs w:val="20"/>
        </w:rPr>
      </w:pPr>
      <w:r w:rsidRPr="004B3C1E">
        <w:rPr>
          <w:rFonts w:ascii="Arial" w:hAnsi="Arial" w:cs="Arial"/>
          <w:b/>
          <w:bCs/>
          <w:sz w:val="20"/>
          <w:szCs w:val="20"/>
        </w:rPr>
        <w:t xml:space="preserve">Artículo 110.- </w:t>
      </w:r>
      <w:r w:rsidRPr="004B3C1E">
        <w:rPr>
          <w:rFonts w:ascii="Arial" w:hAnsi="Arial" w:cs="Arial"/>
          <w:sz w:val="20"/>
          <w:szCs w:val="20"/>
        </w:rPr>
        <w:t>Los descuentos en los salarios de los trabajadores, están prohibidos salvo en los casos y con los requisitos siguientes:</w:t>
      </w:r>
    </w:p>
    <w:p w14:paraId="4531C4D6" w14:textId="21591B04" w:rsidR="004B3C1E" w:rsidRPr="004B3C1E" w:rsidRDefault="004B3C1E" w:rsidP="004B3C1E">
      <w:pPr>
        <w:spacing w:after="0" w:line="240" w:lineRule="auto"/>
        <w:ind w:left="567" w:right="618"/>
        <w:jc w:val="both"/>
        <w:rPr>
          <w:rFonts w:ascii="Arial" w:hAnsi="Arial" w:cs="Arial"/>
          <w:sz w:val="20"/>
          <w:szCs w:val="20"/>
        </w:rPr>
      </w:pPr>
    </w:p>
    <w:p w14:paraId="726E27B1" w14:textId="40A9B377" w:rsidR="004B3C1E" w:rsidRPr="004B3C1E" w:rsidRDefault="004B3C1E" w:rsidP="004B3C1E">
      <w:pPr>
        <w:spacing w:after="0" w:line="240" w:lineRule="auto"/>
        <w:ind w:left="567" w:right="618"/>
        <w:jc w:val="both"/>
        <w:rPr>
          <w:rFonts w:ascii="Arial" w:hAnsi="Arial" w:cs="Arial"/>
          <w:sz w:val="20"/>
          <w:szCs w:val="20"/>
        </w:rPr>
      </w:pPr>
      <w:r w:rsidRPr="004B3C1E">
        <w:rPr>
          <w:rFonts w:ascii="Arial" w:hAnsi="Arial" w:cs="Arial"/>
          <w:sz w:val="20"/>
          <w:szCs w:val="20"/>
        </w:rPr>
        <w:t>[…]</w:t>
      </w:r>
    </w:p>
    <w:p w14:paraId="4956A536" w14:textId="1C0CDF50" w:rsidR="004B3C1E" w:rsidRPr="004B3C1E" w:rsidRDefault="004B3C1E" w:rsidP="004B3C1E">
      <w:pPr>
        <w:spacing w:after="0" w:line="240" w:lineRule="auto"/>
        <w:ind w:left="567" w:right="618"/>
        <w:jc w:val="both"/>
        <w:rPr>
          <w:rFonts w:ascii="Arial" w:hAnsi="Arial" w:cs="Arial"/>
          <w:sz w:val="20"/>
          <w:szCs w:val="20"/>
        </w:rPr>
      </w:pPr>
    </w:p>
    <w:p w14:paraId="20B2EDB9" w14:textId="13BC940C" w:rsidR="004B3C1E" w:rsidRDefault="004B3C1E" w:rsidP="004B3C1E">
      <w:pPr>
        <w:autoSpaceDE w:val="0"/>
        <w:autoSpaceDN w:val="0"/>
        <w:adjustRightInd w:val="0"/>
        <w:spacing w:after="0" w:line="240" w:lineRule="auto"/>
        <w:ind w:left="567" w:right="618"/>
        <w:jc w:val="both"/>
        <w:rPr>
          <w:rFonts w:ascii="Arial" w:hAnsi="Arial" w:cs="Arial"/>
          <w:color w:val="000000"/>
          <w:sz w:val="20"/>
          <w:szCs w:val="20"/>
        </w:rPr>
      </w:pPr>
      <w:r w:rsidRPr="004B3C1E">
        <w:rPr>
          <w:rFonts w:ascii="Arial" w:hAnsi="Arial" w:cs="Arial"/>
          <w:b/>
          <w:bCs/>
          <w:color w:val="000000"/>
          <w:sz w:val="20"/>
          <w:szCs w:val="20"/>
        </w:rPr>
        <w:t xml:space="preserve">VI. </w:t>
      </w:r>
      <w:r w:rsidRPr="004B3C1E">
        <w:rPr>
          <w:rFonts w:ascii="Arial" w:hAnsi="Arial" w:cs="Arial"/>
          <w:color w:val="000000"/>
          <w:sz w:val="20"/>
          <w:szCs w:val="20"/>
        </w:rPr>
        <w:t>Pago de las cuotas sindicales ordinarias previstas en los estatutos de los sindicatos.</w:t>
      </w:r>
    </w:p>
    <w:p w14:paraId="44884170" w14:textId="77777777" w:rsidR="004B3C1E" w:rsidRPr="004B3C1E" w:rsidRDefault="004B3C1E" w:rsidP="004B3C1E">
      <w:pPr>
        <w:autoSpaceDE w:val="0"/>
        <w:autoSpaceDN w:val="0"/>
        <w:adjustRightInd w:val="0"/>
        <w:spacing w:after="0" w:line="240" w:lineRule="auto"/>
        <w:ind w:left="567" w:right="618"/>
        <w:jc w:val="both"/>
        <w:rPr>
          <w:rFonts w:ascii="Arial" w:hAnsi="Arial" w:cs="Arial"/>
          <w:color w:val="000000"/>
          <w:sz w:val="20"/>
          <w:szCs w:val="20"/>
        </w:rPr>
      </w:pPr>
    </w:p>
    <w:p w14:paraId="34DFB99C" w14:textId="3A433E8E" w:rsidR="004B3C1E" w:rsidRDefault="004B3C1E" w:rsidP="004B3C1E">
      <w:pPr>
        <w:spacing w:after="0" w:line="240" w:lineRule="auto"/>
        <w:ind w:left="567" w:right="618"/>
        <w:jc w:val="both"/>
        <w:rPr>
          <w:rFonts w:ascii="Arial" w:hAnsi="Arial" w:cs="Arial"/>
          <w:color w:val="000000"/>
          <w:sz w:val="20"/>
          <w:szCs w:val="20"/>
        </w:rPr>
      </w:pPr>
      <w:r w:rsidRPr="004B3C1E">
        <w:rPr>
          <w:rFonts w:ascii="Arial" w:hAnsi="Arial" w:cs="Arial"/>
          <w:color w:val="000000"/>
          <w:sz w:val="20"/>
          <w:szCs w:val="20"/>
        </w:rPr>
        <w:t>El trabajador podrá manifestar por escrito su voluntad de que no se le aplique la cuota sindical, en cuyo caso el patrón no podrá descontarla;</w:t>
      </w:r>
    </w:p>
    <w:p w14:paraId="40C39165" w14:textId="29ADB84B" w:rsidR="004B3C1E" w:rsidRDefault="004B3C1E" w:rsidP="004B3C1E">
      <w:pPr>
        <w:spacing w:after="0" w:line="240" w:lineRule="auto"/>
        <w:ind w:left="567" w:right="618"/>
        <w:jc w:val="both"/>
        <w:rPr>
          <w:rFonts w:ascii="Arial" w:hAnsi="Arial" w:cs="Arial"/>
          <w:color w:val="000000"/>
          <w:sz w:val="20"/>
          <w:szCs w:val="20"/>
        </w:rPr>
      </w:pPr>
    </w:p>
    <w:p w14:paraId="0883DE9B" w14:textId="5317B8DF" w:rsidR="004B3C1E" w:rsidRPr="004B3C1E" w:rsidRDefault="004B3C1E" w:rsidP="004B3C1E">
      <w:pPr>
        <w:spacing w:after="0" w:line="240" w:lineRule="auto"/>
        <w:ind w:left="567" w:right="618"/>
        <w:jc w:val="both"/>
        <w:rPr>
          <w:rFonts w:ascii="Arial" w:hAnsi="Arial" w:cs="Arial"/>
          <w:sz w:val="24"/>
          <w:szCs w:val="24"/>
          <w:lang w:eastAsia="es-MX"/>
        </w:rPr>
      </w:pPr>
      <w:r>
        <w:rPr>
          <w:rFonts w:ascii="Arial" w:hAnsi="Arial" w:cs="Arial"/>
          <w:color w:val="000000"/>
          <w:sz w:val="20"/>
          <w:szCs w:val="20"/>
        </w:rPr>
        <w:t>[…]</w:t>
      </w:r>
    </w:p>
    <w:p w14:paraId="0D18D1EB" w14:textId="0C39D767" w:rsidR="00363C99" w:rsidRDefault="00363C99" w:rsidP="00DE6732">
      <w:pPr>
        <w:spacing w:after="0" w:line="360" w:lineRule="auto"/>
        <w:ind w:firstLine="709"/>
        <w:jc w:val="both"/>
        <w:rPr>
          <w:rFonts w:ascii="Arial" w:hAnsi="Arial" w:cs="Arial"/>
          <w:sz w:val="24"/>
          <w:szCs w:val="24"/>
          <w:lang w:eastAsia="es-MX"/>
        </w:rPr>
      </w:pPr>
    </w:p>
    <w:p w14:paraId="22093248" w14:textId="7049AEEE" w:rsidR="00363C99" w:rsidRDefault="004737C4"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De los preceptos transcritos se desprende que, la parte patronal está obligada a pagar al trabajador un salario como retribución de su trabajo; que el salario es del trabajador, por lo que todas las prestaciones que lo integran pertenecen ya al trabajador y han salido del acervo del patrón; que el salario debe pagarse directamente al trabajador, pudiendo hacerlo mediante depósito bancario; que el patrón sólo puede descontar, es decir, retener del sueldo, el pago de la cuota del trabajador a su sindicato, por lo cual el patrón es un mero retenedor del numerario del trabajador.</w:t>
      </w:r>
    </w:p>
    <w:p w14:paraId="55C8C7DC" w14:textId="12A8363D" w:rsidR="00D62AE6" w:rsidRDefault="00D62AE6" w:rsidP="00DE6732">
      <w:pPr>
        <w:spacing w:after="0" w:line="360" w:lineRule="auto"/>
        <w:ind w:firstLine="709"/>
        <w:jc w:val="both"/>
        <w:rPr>
          <w:rFonts w:ascii="Arial" w:hAnsi="Arial" w:cs="Arial"/>
          <w:sz w:val="24"/>
          <w:szCs w:val="24"/>
          <w:lang w:eastAsia="es-MX"/>
        </w:rPr>
      </w:pPr>
    </w:p>
    <w:p w14:paraId="5A358A8A" w14:textId="1BFF4BFF" w:rsidR="00D62AE6" w:rsidRDefault="007F6693"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 xml:space="preserve">Por su parte la Ley de los Trabajadores al Servicio de las Instituciones Públicas del Estado de San Luis Potosí, en sus artículos </w:t>
      </w:r>
      <w:r w:rsidR="00F73EAF">
        <w:rPr>
          <w:rFonts w:ascii="Arial" w:hAnsi="Arial" w:cs="Arial"/>
          <w:sz w:val="24"/>
          <w:szCs w:val="24"/>
          <w:lang w:eastAsia="es-MX"/>
        </w:rPr>
        <w:t xml:space="preserve">1º, 4º, </w:t>
      </w:r>
      <w:r w:rsidR="007D6094">
        <w:rPr>
          <w:rFonts w:ascii="Arial" w:hAnsi="Arial" w:cs="Arial"/>
          <w:sz w:val="24"/>
          <w:szCs w:val="24"/>
          <w:lang w:eastAsia="es-MX"/>
        </w:rPr>
        <w:t>38</w:t>
      </w:r>
      <w:r w:rsidR="00B20AC7">
        <w:rPr>
          <w:rFonts w:ascii="Arial" w:hAnsi="Arial" w:cs="Arial"/>
          <w:sz w:val="24"/>
          <w:szCs w:val="24"/>
          <w:lang w:eastAsia="es-MX"/>
        </w:rPr>
        <w:t xml:space="preserve"> y 41 fracción III</w:t>
      </w:r>
      <w:r>
        <w:rPr>
          <w:rFonts w:ascii="Arial" w:hAnsi="Arial" w:cs="Arial"/>
          <w:sz w:val="24"/>
          <w:szCs w:val="24"/>
          <w:lang w:eastAsia="es-MX"/>
        </w:rPr>
        <w:t>, determina:</w:t>
      </w:r>
    </w:p>
    <w:p w14:paraId="045E19D1" w14:textId="20423203" w:rsidR="007F6693" w:rsidRDefault="007F6693" w:rsidP="00DE6732">
      <w:pPr>
        <w:spacing w:after="0" w:line="360" w:lineRule="auto"/>
        <w:ind w:firstLine="709"/>
        <w:jc w:val="both"/>
        <w:rPr>
          <w:rFonts w:ascii="Arial" w:hAnsi="Arial" w:cs="Arial"/>
          <w:sz w:val="24"/>
          <w:szCs w:val="24"/>
          <w:lang w:eastAsia="es-MX"/>
        </w:rPr>
      </w:pPr>
    </w:p>
    <w:p w14:paraId="2685548A" w14:textId="7EABE148" w:rsidR="007F6693" w:rsidRPr="00B20AC7" w:rsidRDefault="007F6693" w:rsidP="00B20AC7">
      <w:pPr>
        <w:spacing w:after="0" w:line="240" w:lineRule="auto"/>
        <w:ind w:left="567" w:right="618"/>
        <w:jc w:val="both"/>
        <w:rPr>
          <w:rFonts w:ascii="Arial" w:hAnsi="Arial" w:cs="Arial"/>
          <w:color w:val="211F1F"/>
          <w:sz w:val="20"/>
          <w:szCs w:val="20"/>
        </w:rPr>
      </w:pPr>
      <w:r w:rsidRPr="00B20AC7">
        <w:rPr>
          <w:rFonts w:ascii="Arial" w:hAnsi="Arial" w:cs="Arial"/>
          <w:b/>
          <w:bCs/>
          <w:color w:val="211F1F"/>
          <w:sz w:val="20"/>
          <w:szCs w:val="20"/>
        </w:rPr>
        <w:t xml:space="preserve">ARTÍCULO 1°. </w:t>
      </w:r>
      <w:r w:rsidRPr="00B20AC7">
        <w:rPr>
          <w:rFonts w:ascii="Arial" w:hAnsi="Arial" w:cs="Arial"/>
          <w:color w:val="211F1F"/>
          <w:sz w:val="20"/>
          <w:szCs w:val="20"/>
        </w:rPr>
        <w:t>La presente Ley es de observancia general y obligatoria en el Estado de San Luis Potosí, y rige las relaciones de trabajo de los poderes, Legislativo; Ejecutivo; y Judicial y de los municipios, así como de los organismos públicos descentralizados, órganos jurisdiccionales, tribunales constitucionalmente autónomos y empresas de participación estatal o municipal con sus trabajadores.</w:t>
      </w:r>
    </w:p>
    <w:p w14:paraId="22EE7E98" w14:textId="327B5560" w:rsidR="007F6693" w:rsidRPr="00B20AC7" w:rsidRDefault="007F6693" w:rsidP="00B20AC7">
      <w:pPr>
        <w:spacing w:after="0" w:line="240" w:lineRule="auto"/>
        <w:ind w:left="567" w:right="618"/>
        <w:jc w:val="both"/>
        <w:rPr>
          <w:rFonts w:ascii="Arial" w:hAnsi="Arial" w:cs="Arial"/>
          <w:color w:val="211F1F"/>
          <w:sz w:val="20"/>
          <w:szCs w:val="20"/>
        </w:rPr>
      </w:pPr>
    </w:p>
    <w:p w14:paraId="40871AA4" w14:textId="224C9A0E" w:rsidR="007F6693" w:rsidRPr="00B20AC7" w:rsidRDefault="00F73EAF" w:rsidP="00B20AC7">
      <w:pPr>
        <w:spacing w:after="0" w:line="240" w:lineRule="auto"/>
        <w:ind w:left="567" w:right="618"/>
        <w:jc w:val="both"/>
        <w:rPr>
          <w:rFonts w:ascii="Arial" w:hAnsi="Arial" w:cs="Arial"/>
          <w:sz w:val="20"/>
          <w:szCs w:val="20"/>
        </w:rPr>
      </w:pPr>
      <w:r w:rsidRPr="00B20AC7">
        <w:rPr>
          <w:rFonts w:ascii="Arial" w:hAnsi="Arial" w:cs="Arial"/>
          <w:b/>
          <w:bCs/>
          <w:sz w:val="20"/>
          <w:szCs w:val="20"/>
        </w:rPr>
        <w:t xml:space="preserve">ARTICULO 4o.- </w:t>
      </w:r>
      <w:r w:rsidRPr="00B20AC7">
        <w:rPr>
          <w:rFonts w:ascii="Arial" w:hAnsi="Arial" w:cs="Arial"/>
          <w:sz w:val="20"/>
          <w:szCs w:val="20"/>
        </w:rPr>
        <w:t>En lo no previsto en este ordenamiento, se aplicarán supletoriamente y, en su orden, la Ley Federal del Trabajo, la Ley Federal de los Trabajadores al Servicio del Estado, los principios generales del Derecho y de la justicia social, la jurisprudencia, la costumbre y la equidad. Si aún persiste la duda se resolverá con la interpretación más favorable al trabajador.</w:t>
      </w:r>
    </w:p>
    <w:p w14:paraId="6FBED962" w14:textId="07A67DB0" w:rsidR="007D6094" w:rsidRPr="00B20AC7" w:rsidRDefault="007D6094" w:rsidP="00B20AC7">
      <w:pPr>
        <w:spacing w:after="0" w:line="240" w:lineRule="auto"/>
        <w:ind w:left="567" w:right="618"/>
        <w:jc w:val="both"/>
        <w:rPr>
          <w:rFonts w:ascii="Arial" w:hAnsi="Arial" w:cs="Arial"/>
          <w:sz w:val="20"/>
          <w:szCs w:val="20"/>
        </w:rPr>
      </w:pPr>
    </w:p>
    <w:p w14:paraId="193090CC" w14:textId="2C1338B3" w:rsidR="007D6094" w:rsidRPr="00B20AC7" w:rsidRDefault="007D6094" w:rsidP="00B20AC7">
      <w:pPr>
        <w:spacing w:after="0" w:line="240" w:lineRule="auto"/>
        <w:ind w:left="567" w:right="618"/>
        <w:jc w:val="both"/>
        <w:rPr>
          <w:rFonts w:ascii="Arial" w:hAnsi="Arial" w:cs="Arial"/>
          <w:sz w:val="20"/>
          <w:szCs w:val="20"/>
        </w:rPr>
      </w:pPr>
      <w:r w:rsidRPr="00B20AC7">
        <w:rPr>
          <w:rFonts w:ascii="Arial" w:hAnsi="Arial" w:cs="Arial"/>
          <w:b/>
          <w:bCs/>
          <w:sz w:val="20"/>
          <w:szCs w:val="20"/>
        </w:rPr>
        <w:lastRenderedPageBreak/>
        <w:t xml:space="preserve">ARTICULO 38.- </w:t>
      </w:r>
      <w:r w:rsidRPr="00B20AC7">
        <w:rPr>
          <w:rFonts w:ascii="Arial" w:hAnsi="Arial" w:cs="Arial"/>
          <w:sz w:val="20"/>
          <w:szCs w:val="20"/>
        </w:rPr>
        <w:t>Salario es la retribución que deben pagar las instituciones públicas de gobierno a sus trabajadores a cambio de los servicios prestados, incluyendo todas las prestaciones derivadas de la relación laboral.</w:t>
      </w:r>
    </w:p>
    <w:p w14:paraId="7872F44E" w14:textId="6D1346E6" w:rsidR="00B20AC7" w:rsidRPr="00B20AC7" w:rsidRDefault="00B20AC7" w:rsidP="00B20AC7">
      <w:pPr>
        <w:spacing w:after="0" w:line="240" w:lineRule="auto"/>
        <w:ind w:left="567" w:right="618"/>
        <w:jc w:val="both"/>
        <w:rPr>
          <w:rFonts w:ascii="Arial" w:hAnsi="Arial" w:cs="Arial"/>
          <w:sz w:val="20"/>
          <w:szCs w:val="20"/>
        </w:rPr>
      </w:pPr>
    </w:p>
    <w:p w14:paraId="1793DB6B" w14:textId="395EE809" w:rsidR="00B20AC7" w:rsidRPr="00B20AC7" w:rsidRDefault="00B20AC7" w:rsidP="00B20AC7">
      <w:pPr>
        <w:spacing w:after="0" w:line="240" w:lineRule="auto"/>
        <w:ind w:left="567" w:right="618"/>
        <w:jc w:val="both"/>
        <w:rPr>
          <w:rFonts w:ascii="Arial" w:hAnsi="Arial" w:cs="Arial"/>
          <w:sz w:val="20"/>
          <w:szCs w:val="20"/>
        </w:rPr>
      </w:pPr>
      <w:r w:rsidRPr="00B20AC7">
        <w:rPr>
          <w:rFonts w:ascii="Arial" w:hAnsi="Arial" w:cs="Arial"/>
          <w:b/>
          <w:bCs/>
          <w:sz w:val="20"/>
          <w:szCs w:val="20"/>
        </w:rPr>
        <w:t xml:space="preserve">ARTICULO 41.- </w:t>
      </w:r>
      <w:r w:rsidRPr="00B20AC7">
        <w:rPr>
          <w:rFonts w:ascii="Arial" w:hAnsi="Arial" w:cs="Arial"/>
          <w:sz w:val="20"/>
          <w:szCs w:val="20"/>
        </w:rPr>
        <w:t>Los salarios no serán objeto de descuentos, deducciones, compensaciones, retenciones o embargo, salvo en los siguientes casos:</w:t>
      </w:r>
    </w:p>
    <w:p w14:paraId="08F88587" w14:textId="412740DE" w:rsidR="00B20AC7" w:rsidRPr="00B20AC7" w:rsidRDefault="00B20AC7" w:rsidP="00B20AC7">
      <w:pPr>
        <w:spacing w:after="0" w:line="240" w:lineRule="auto"/>
        <w:ind w:left="567" w:right="618"/>
        <w:jc w:val="both"/>
        <w:rPr>
          <w:rFonts w:ascii="Arial" w:hAnsi="Arial" w:cs="Arial"/>
          <w:sz w:val="20"/>
          <w:szCs w:val="20"/>
        </w:rPr>
      </w:pPr>
    </w:p>
    <w:p w14:paraId="19F060AA" w14:textId="4CEAB12D" w:rsidR="00B20AC7" w:rsidRPr="00B20AC7" w:rsidRDefault="00B20AC7" w:rsidP="00B20AC7">
      <w:pPr>
        <w:spacing w:after="0" w:line="240" w:lineRule="auto"/>
        <w:ind w:left="567" w:right="618"/>
        <w:jc w:val="both"/>
        <w:rPr>
          <w:rFonts w:ascii="Arial" w:hAnsi="Arial" w:cs="Arial"/>
          <w:sz w:val="20"/>
          <w:szCs w:val="20"/>
        </w:rPr>
      </w:pPr>
      <w:r w:rsidRPr="00B20AC7">
        <w:rPr>
          <w:rFonts w:ascii="Arial" w:hAnsi="Arial" w:cs="Arial"/>
          <w:sz w:val="20"/>
          <w:szCs w:val="20"/>
        </w:rPr>
        <w:t>[…]</w:t>
      </w:r>
    </w:p>
    <w:p w14:paraId="629BD97F" w14:textId="0FF3C84A" w:rsidR="00B20AC7" w:rsidRPr="00B20AC7" w:rsidRDefault="00B20AC7" w:rsidP="00B20AC7">
      <w:pPr>
        <w:spacing w:after="0" w:line="240" w:lineRule="auto"/>
        <w:ind w:left="567" w:right="618"/>
        <w:jc w:val="both"/>
        <w:rPr>
          <w:rFonts w:ascii="Arial" w:hAnsi="Arial" w:cs="Arial"/>
          <w:sz w:val="20"/>
          <w:szCs w:val="20"/>
        </w:rPr>
      </w:pPr>
    </w:p>
    <w:p w14:paraId="1657689F" w14:textId="16E66A6B" w:rsidR="00B20AC7" w:rsidRPr="00B20AC7" w:rsidRDefault="00B20AC7" w:rsidP="00B20AC7">
      <w:pPr>
        <w:spacing w:after="0" w:line="240" w:lineRule="auto"/>
        <w:ind w:left="567" w:right="618"/>
        <w:jc w:val="both"/>
        <w:rPr>
          <w:rFonts w:ascii="Arial" w:hAnsi="Arial" w:cs="Arial"/>
          <w:sz w:val="20"/>
          <w:szCs w:val="20"/>
        </w:rPr>
      </w:pPr>
      <w:r w:rsidRPr="00B20AC7">
        <w:rPr>
          <w:rFonts w:ascii="Arial" w:hAnsi="Arial" w:cs="Arial"/>
          <w:sz w:val="20"/>
          <w:szCs w:val="20"/>
        </w:rPr>
        <w:t>III.- Por retención para cuotas ordinarias del sindicato respectivo;</w:t>
      </w:r>
    </w:p>
    <w:p w14:paraId="208D3F06" w14:textId="65B78CD7" w:rsidR="00B20AC7" w:rsidRPr="00B20AC7" w:rsidRDefault="00B20AC7" w:rsidP="00B20AC7">
      <w:pPr>
        <w:spacing w:after="0" w:line="240" w:lineRule="auto"/>
        <w:ind w:left="567" w:right="618"/>
        <w:jc w:val="both"/>
        <w:rPr>
          <w:rFonts w:ascii="Arial" w:hAnsi="Arial" w:cs="Arial"/>
          <w:sz w:val="20"/>
          <w:szCs w:val="20"/>
        </w:rPr>
      </w:pPr>
    </w:p>
    <w:p w14:paraId="4DA2EEC5" w14:textId="7467CE69" w:rsidR="00B20AC7" w:rsidRPr="00B20AC7" w:rsidRDefault="00B20AC7" w:rsidP="00B20AC7">
      <w:pPr>
        <w:spacing w:after="0" w:line="240" w:lineRule="auto"/>
        <w:ind w:left="567" w:right="618"/>
        <w:jc w:val="both"/>
        <w:rPr>
          <w:rFonts w:ascii="Arial" w:hAnsi="Arial" w:cs="Arial"/>
          <w:sz w:val="24"/>
          <w:szCs w:val="24"/>
          <w:lang w:eastAsia="es-MX"/>
        </w:rPr>
      </w:pPr>
      <w:r w:rsidRPr="00B20AC7">
        <w:rPr>
          <w:rFonts w:ascii="Arial" w:hAnsi="Arial" w:cs="Arial"/>
          <w:sz w:val="20"/>
          <w:szCs w:val="20"/>
        </w:rPr>
        <w:t>[…]</w:t>
      </w:r>
    </w:p>
    <w:p w14:paraId="4401A859" w14:textId="0EA4485C" w:rsidR="00D62AE6" w:rsidRDefault="00D62AE6" w:rsidP="00DE6732">
      <w:pPr>
        <w:spacing w:after="0" w:line="360" w:lineRule="auto"/>
        <w:ind w:firstLine="709"/>
        <w:jc w:val="both"/>
        <w:rPr>
          <w:rFonts w:ascii="Arial" w:hAnsi="Arial" w:cs="Arial"/>
          <w:sz w:val="24"/>
          <w:szCs w:val="24"/>
          <w:lang w:eastAsia="es-MX"/>
        </w:rPr>
      </w:pPr>
    </w:p>
    <w:p w14:paraId="4F78A5B9" w14:textId="1F035F19" w:rsidR="00D62AE6" w:rsidRDefault="00C75F19" w:rsidP="00DE6732">
      <w:pPr>
        <w:spacing w:after="0" w:line="360" w:lineRule="auto"/>
        <w:ind w:firstLine="709"/>
        <w:jc w:val="both"/>
        <w:rPr>
          <w:rFonts w:ascii="Arial" w:hAnsi="Arial" w:cs="Arial"/>
          <w:sz w:val="24"/>
          <w:szCs w:val="24"/>
        </w:rPr>
      </w:pPr>
      <w:r w:rsidRPr="00EC29C0">
        <w:rPr>
          <w:rFonts w:ascii="Arial" w:hAnsi="Arial" w:cs="Arial"/>
          <w:sz w:val="24"/>
          <w:szCs w:val="24"/>
          <w:lang w:eastAsia="es-MX"/>
        </w:rPr>
        <w:t xml:space="preserve">De la relación sistemática de los artículos transcritos, con los artículos 2, 84, 98, 100 párrafo primero, 101 y 110 fracción VI, de la Ley Federal del Trabajo, se desprende que, </w:t>
      </w:r>
      <w:r w:rsidR="008A5630" w:rsidRPr="00EC29C0">
        <w:rPr>
          <w:rFonts w:ascii="Arial" w:hAnsi="Arial" w:cs="Arial"/>
          <w:sz w:val="24"/>
          <w:szCs w:val="24"/>
          <w:lang w:eastAsia="es-MX"/>
        </w:rPr>
        <w:t xml:space="preserve">el salario al ser pagado al trabajador pasa a formar parte de su patrimonio, por lo que, la parte patronal no puede hacer ningún descuento al salario, pero puede retener las cuotas ordinarias del sindicato al que pertenezca el trabajador.   </w:t>
      </w:r>
      <w:r w:rsidR="00EC29C0" w:rsidRPr="00EC29C0">
        <w:rPr>
          <w:rFonts w:ascii="Arial" w:hAnsi="Arial" w:cs="Arial"/>
          <w:sz w:val="24"/>
          <w:szCs w:val="24"/>
          <w:lang w:eastAsia="es-MX"/>
        </w:rPr>
        <w:t xml:space="preserve">De ahí que, el monto que se entrega a los sindicatos no proviene del patrimonio de la patronal, es decir, del erario público tratándose de </w:t>
      </w:r>
      <w:r w:rsidR="00EC29C0" w:rsidRPr="00EC29C0">
        <w:rPr>
          <w:rFonts w:ascii="Arial" w:hAnsi="Arial" w:cs="Arial"/>
          <w:sz w:val="24"/>
          <w:szCs w:val="24"/>
        </w:rPr>
        <w:t>los poderes, Legislativo; Ejecutivo; y Judicial y de los municipios, así como de los organismos públicos descentralizados, órganos jurisdiccionales, tribunales constitucionalmente autónomos y empresas de participación estatal o municipal</w:t>
      </w:r>
      <w:r w:rsidR="00EC29C0">
        <w:rPr>
          <w:rFonts w:ascii="Arial" w:hAnsi="Arial" w:cs="Arial"/>
          <w:sz w:val="24"/>
          <w:szCs w:val="24"/>
        </w:rPr>
        <w:t>; sino del numerario de los trabajadores, pues tales entes sólo son retenedores de los montos correspondientes a las cuotas sindicales, pero tales montos al provenir de su salario son de los trabajadores.</w:t>
      </w:r>
    </w:p>
    <w:p w14:paraId="5F64109B" w14:textId="1CDDF1F0" w:rsidR="000D6AE9" w:rsidRDefault="000D6AE9" w:rsidP="00DE6732">
      <w:pPr>
        <w:spacing w:after="0" w:line="360" w:lineRule="auto"/>
        <w:ind w:firstLine="709"/>
        <w:jc w:val="both"/>
        <w:rPr>
          <w:rFonts w:ascii="Arial" w:hAnsi="Arial" w:cs="Arial"/>
          <w:sz w:val="24"/>
          <w:szCs w:val="24"/>
        </w:rPr>
      </w:pPr>
    </w:p>
    <w:p w14:paraId="09973FAF" w14:textId="16AEB34E" w:rsidR="000D6AE9" w:rsidRDefault="00286C50" w:rsidP="00DE6732">
      <w:pPr>
        <w:spacing w:after="0" w:line="360" w:lineRule="auto"/>
        <w:ind w:firstLine="709"/>
        <w:jc w:val="both"/>
        <w:rPr>
          <w:rFonts w:ascii="Arial" w:hAnsi="Arial" w:cs="Arial"/>
          <w:sz w:val="24"/>
          <w:szCs w:val="24"/>
        </w:rPr>
      </w:pPr>
      <w:r w:rsidRPr="00030C6B">
        <w:rPr>
          <w:rFonts w:ascii="Arial" w:hAnsi="Arial" w:cs="Arial"/>
          <w:sz w:val="24"/>
          <w:szCs w:val="24"/>
        </w:rPr>
        <w:t xml:space="preserve">Un hecho notorio es cualquier acontecimiento del dominio público, conocido por todos o casi todos los miembros de un sector de la sociedad, que no genera duda o discusión por tratarse de un dato u opinión incontrovertible, de suerte que se exime de su prueba. </w:t>
      </w:r>
      <w:r>
        <w:rPr>
          <w:rFonts w:ascii="Arial" w:hAnsi="Arial" w:cs="Arial"/>
          <w:sz w:val="24"/>
          <w:szCs w:val="24"/>
        </w:rPr>
        <w:t xml:space="preserve">  </w:t>
      </w:r>
      <w:r w:rsidR="00C544E2">
        <w:rPr>
          <w:rFonts w:ascii="Arial" w:hAnsi="Arial" w:cs="Arial"/>
          <w:sz w:val="24"/>
          <w:szCs w:val="24"/>
        </w:rPr>
        <w:t>El</w:t>
      </w:r>
      <w:r w:rsidR="000D6AE9" w:rsidRPr="00C544E2">
        <w:rPr>
          <w:rFonts w:ascii="Arial" w:hAnsi="Arial" w:cs="Arial"/>
          <w:sz w:val="24"/>
          <w:szCs w:val="24"/>
        </w:rPr>
        <w:t xml:space="preserve"> </w:t>
      </w:r>
      <w:r w:rsidR="00062DF7">
        <w:rPr>
          <w:rFonts w:ascii="Arial" w:hAnsi="Arial" w:cs="Arial"/>
          <w:b/>
          <w:bCs/>
          <w:color w:val="FF0000"/>
          <w:sz w:val="24"/>
          <w:szCs w:val="24"/>
        </w:rPr>
        <w:t>**************</w:t>
      </w:r>
      <w:r w:rsidR="000D6AE9" w:rsidRPr="00C544E2">
        <w:rPr>
          <w:rFonts w:ascii="Arial" w:hAnsi="Arial" w:cs="Arial"/>
          <w:sz w:val="24"/>
          <w:szCs w:val="24"/>
        </w:rPr>
        <w:t xml:space="preserve">, al encontrarse </w:t>
      </w:r>
      <w:r w:rsidR="00C544E2" w:rsidRPr="00C544E2">
        <w:rPr>
          <w:rFonts w:ascii="Arial" w:hAnsi="Arial" w:cs="Arial"/>
          <w:sz w:val="24"/>
          <w:szCs w:val="24"/>
        </w:rPr>
        <w:t>publicado en la página electrónica de la Universidad Autónoma de San Luis Potosí (</w:t>
      </w:r>
      <w:r w:rsidR="00C544E2" w:rsidRPr="00C544E2">
        <w:rPr>
          <w:rFonts w:ascii="Arial" w:hAnsi="Arial" w:cs="Arial"/>
          <w:i/>
          <w:iCs/>
          <w:sz w:val="24"/>
          <w:szCs w:val="24"/>
        </w:rPr>
        <w:t>https://www.uaslp.mx/SecretariaGeneral/Paginas/Normativa-Universitaria/3298#gsc.tab=0</w:t>
      </w:r>
      <w:r w:rsidR="00C544E2" w:rsidRPr="00C544E2">
        <w:rPr>
          <w:rFonts w:ascii="Arial" w:hAnsi="Arial" w:cs="Arial"/>
          <w:sz w:val="24"/>
          <w:szCs w:val="24"/>
        </w:rPr>
        <w:t xml:space="preserve">), </w:t>
      </w:r>
      <w:r w:rsidR="00C544E2">
        <w:rPr>
          <w:rFonts w:ascii="Arial" w:hAnsi="Arial" w:cs="Arial"/>
          <w:sz w:val="24"/>
          <w:szCs w:val="24"/>
        </w:rPr>
        <w:t xml:space="preserve">tiene el carácter de hecho notorio y no es objeto de prueba, atento a lo dispuesto en </w:t>
      </w:r>
      <w:r w:rsidR="00E5391F">
        <w:rPr>
          <w:rFonts w:ascii="Arial" w:hAnsi="Arial" w:cs="Arial"/>
          <w:sz w:val="24"/>
          <w:szCs w:val="24"/>
        </w:rPr>
        <w:t>el artículo 61 del Código Procesal Administrativo para el Estado de San Luis Potosí.</w:t>
      </w:r>
    </w:p>
    <w:p w14:paraId="7015B6A2" w14:textId="0C0C5639" w:rsidR="00E5391F" w:rsidRDefault="00E5391F" w:rsidP="00DE6732">
      <w:pPr>
        <w:spacing w:after="0" w:line="360" w:lineRule="auto"/>
        <w:ind w:firstLine="709"/>
        <w:jc w:val="both"/>
        <w:rPr>
          <w:rFonts w:ascii="Arial" w:hAnsi="Arial" w:cs="Arial"/>
          <w:sz w:val="24"/>
          <w:szCs w:val="24"/>
        </w:rPr>
      </w:pPr>
    </w:p>
    <w:p w14:paraId="4BA82B0B" w14:textId="68E035A9" w:rsidR="000D6AE9" w:rsidRDefault="0047402D" w:rsidP="00DE6732">
      <w:pPr>
        <w:spacing w:after="0" w:line="360" w:lineRule="auto"/>
        <w:ind w:firstLine="709"/>
        <w:jc w:val="both"/>
        <w:rPr>
          <w:rFonts w:ascii="Arial" w:hAnsi="Arial" w:cs="Arial"/>
          <w:sz w:val="24"/>
          <w:szCs w:val="24"/>
        </w:rPr>
      </w:pPr>
      <w:r>
        <w:rPr>
          <w:rFonts w:ascii="Arial" w:hAnsi="Arial" w:cs="Arial"/>
          <w:sz w:val="24"/>
          <w:szCs w:val="24"/>
        </w:rPr>
        <w:t>Los a</w:t>
      </w:r>
      <w:r w:rsidR="000D6AE9">
        <w:rPr>
          <w:rFonts w:ascii="Arial" w:hAnsi="Arial" w:cs="Arial"/>
          <w:sz w:val="24"/>
          <w:szCs w:val="24"/>
        </w:rPr>
        <w:t>rtículos 17</w:t>
      </w:r>
      <w:r w:rsidR="00F56FA3">
        <w:rPr>
          <w:rFonts w:ascii="Arial" w:hAnsi="Arial" w:cs="Arial"/>
          <w:sz w:val="24"/>
          <w:szCs w:val="24"/>
        </w:rPr>
        <w:t xml:space="preserve"> y</w:t>
      </w:r>
      <w:r w:rsidR="000D6AE9">
        <w:rPr>
          <w:rFonts w:ascii="Arial" w:hAnsi="Arial" w:cs="Arial"/>
          <w:sz w:val="24"/>
          <w:szCs w:val="24"/>
        </w:rPr>
        <w:t xml:space="preserve"> 18 </w:t>
      </w:r>
      <w:r w:rsidR="00C544E2">
        <w:rPr>
          <w:rFonts w:ascii="Arial" w:hAnsi="Arial" w:cs="Arial"/>
          <w:sz w:val="24"/>
          <w:szCs w:val="24"/>
        </w:rPr>
        <w:t xml:space="preserve">del </w:t>
      </w:r>
      <w:r w:rsidR="00062DF7">
        <w:rPr>
          <w:rFonts w:ascii="Arial" w:hAnsi="Arial" w:cs="Arial"/>
          <w:b/>
          <w:bCs/>
          <w:color w:val="FF0000"/>
          <w:sz w:val="24"/>
          <w:szCs w:val="24"/>
        </w:rPr>
        <w:t>**************</w:t>
      </w:r>
      <w:r>
        <w:rPr>
          <w:rFonts w:ascii="Arial" w:hAnsi="Arial" w:cs="Arial"/>
          <w:sz w:val="24"/>
          <w:szCs w:val="24"/>
        </w:rPr>
        <w:t>, establecen:</w:t>
      </w:r>
    </w:p>
    <w:p w14:paraId="629DF7DA" w14:textId="77777777" w:rsidR="0047402D" w:rsidRDefault="0047402D" w:rsidP="00DE6732">
      <w:pPr>
        <w:spacing w:after="0" w:line="360" w:lineRule="auto"/>
        <w:ind w:firstLine="709"/>
        <w:jc w:val="both"/>
        <w:rPr>
          <w:rFonts w:ascii="Arial" w:hAnsi="Arial" w:cs="Arial"/>
          <w:sz w:val="24"/>
          <w:szCs w:val="24"/>
        </w:rPr>
      </w:pPr>
    </w:p>
    <w:p w14:paraId="713FB309" w14:textId="17B794F0" w:rsidR="0047402D" w:rsidRPr="00F56FA3" w:rsidRDefault="00F56FA3" w:rsidP="00F56FA3">
      <w:pPr>
        <w:autoSpaceDE w:val="0"/>
        <w:autoSpaceDN w:val="0"/>
        <w:adjustRightInd w:val="0"/>
        <w:spacing w:after="0" w:line="240" w:lineRule="auto"/>
        <w:ind w:left="567" w:right="618"/>
        <w:jc w:val="both"/>
        <w:rPr>
          <w:rFonts w:ascii="Arial" w:hAnsi="Arial" w:cs="Arial"/>
          <w:sz w:val="20"/>
          <w:szCs w:val="20"/>
        </w:rPr>
      </w:pPr>
      <w:r w:rsidRPr="00F56FA3">
        <w:rPr>
          <w:rFonts w:ascii="Arial" w:hAnsi="Arial" w:cs="Arial"/>
          <w:b/>
          <w:bCs/>
          <w:sz w:val="20"/>
          <w:szCs w:val="20"/>
        </w:rPr>
        <w:t xml:space="preserve">ARTÍCULO 17. </w:t>
      </w:r>
      <w:r w:rsidRPr="00F56FA3">
        <w:rPr>
          <w:rFonts w:ascii="Arial" w:hAnsi="Arial" w:cs="Arial"/>
          <w:sz w:val="20"/>
          <w:szCs w:val="20"/>
        </w:rPr>
        <w:t xml:space="preserve">La Universidad se obliga a realizar descuentos a los miembros de la Unión, por concepto de cuotas ordinarias o extraordinarias autorizadas por la propia Unión, cubriendo su importe a la misma durante la siguiente </w:t>
      </w:r>
      <w:r w:rsidRPr="00F56FA3">
        <w:rPr>
          <w:rFonts w:ascii="Arial" w:hAnsi="Arial" w:cs="Arial"/>
          <w:sz w:val="20"/>
          <w:szCs w:val="20"/>
        </w:rPr>
        <w:lastRenderedPageBreak/>
        <w:t>quincena del mes al que corresponda la retención. Así mismo, anexará una relación actualizada y detallada por asociación, de los descuentos efectuados.</w:t>
      </w:r>
    </w:p>
    <w:p w14:paraId="78D9721B" w14:textId="48FB7B7B"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p>
    <w:p w14:paraId="4DFB3BA7" w14:textId="58F8F254"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r w:rsidRPr="00F56FA3">
        <w:rPr>
          <w:rFonts w:ascii="Arial" w:hAnsi="Arial" w:cs="Arial"/>
          <w:sz w:val="20"/>
          <w:szCs w:val="20"/>
        </w:rPr>
        <w:t>Cuando el monto neto del personal activo, jubilado o pensionado no alcance a cubrir estas cuotas, la Universidad se compromete a notificar al académico a través del recibo de pago.</w:t>
      </w:r>
    </w:p>
    <w:p w14:paraId="61757819" w14:textId="77777777"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p>
    <w:p w14:paraId="50A28385" w14:textId="46687807"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r w:rsidRPr="00F56FA3">
        <w:rPr>
          <w:rFonts w:ascii="Arial" w:hAnsi="Arial" w:cs="Arial"/>
          <w:sz w:val="20"/>
          <w:szCs w:val="20"/>
        </w:rPr>
        <w:t>La Universidad se compromete a realizar los descuentos de dichas cuotas semestralmente en los meses de julio y diciembre, previa petición del interesado.</w:t>
      </w:r>
    </w:p>
    <w:p w14:paraId="30D16D3A" w14:textId="77777777"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p>
    <w:p w14:paraId="72BCF951" w14:textId="6D401427" w:rsidR="00F56FA3" w:rsidRPr="00F56FA3" w:rsidRDefault="00F56FA3" w:rsidP="00F56FA3">
      <w:pPr>
        <w:autoSpaceDE w:val="0"/>
        <w:autoSpaceDN w:val="0"/>
        <w:adjustRightInd w:val="0"/>
        <w:spacing w:after="0" w:line="240" w:lineRule="auto"/>
        <w:ind w:left="567" w:right="618"/>
        <w:jc w:val="both"/>
        <w:rPr>
          <w:rFonts w:ascii="Arial" w:hAnsi="Arial" w:cs="Arial"/>
          <w:sz w:val="20"/>
          <w:szCs w:val="20"/>
        </w:rPr>
      </w:pPr>
      <w:r w:rsidRPr="00F56FA3">
        <w:rPr>
          <w:rFonts w:ascii="Arial" w:hAnsi="Arial" w:cs="Arial"/>
          <w:b/>
          <w:bCs/>
          <w:sz w:val="20"/>
          <w:szCs w:val="20"/>
        </w:rPr>
        <w:t xml:space="preserve">ARTÍCULO 18. </w:t>
      </w:r>
      <w:r w:rsidRPr="00F56FA3">
        <w:rPr>
          <w:rFonts w:ascii="Arial" w:hAnsi="Arial" w:cs="Arial"/>
          <w:sz w:val="20"/>
          <w:szCs w:val="20"/>
        </w:rPr>
        <w:t>El descuento que practique la Universidad por cuotas sindicales de la Unión, estará sujeto al aviso que la Unión envíe oportunamente a las autoridades universitarias.</w:t>
      </w:r>
    </w:p>
    <w:p w14:paraId="0F4E585D" w14:textId="4BA09CAF" w:rsidR="0047402D" w:rsidRDefault="0047402D" w:rsidP="00DE6732">
      <w:pPr>
        <w:spacing w:after="0" w:line="360" w:lineRule="auto"/>
        <w:ind w:firstLine="709"/>
        <w:jc w:val="both"/>
        <w:rPr>
          <w:rFonts w:ascii="Arial" w:hAnsi="Arial" w:cs="Arial"/>
          <w:sz w:val="24"/>
          <w:szCs w:val="24"/>
        </w:rPr>
      </w:pPr>
    </w:p>
    <w:p w14:paraId="6BA7C88D" w14:textId="0F2269DE" w:rsidR="0047402D" w:rsidRDefault="00F56FA3" w:rsidP="00DE6732">
      <w:pPr>
        <w:spacing w:after="0" w:line="360" w:lineRule="auto"/>
        <w:ind w:firstLine="709"/>
        <w:jc w:val="both"/>
        <w:rPr>
          <w:rFonts w:ascii="Arial" w:hAnsi="Arial" w:cs="Arial"/>
          <w:sz w:val="24"/>
          <w:szCs w:val="24"/>
        </w:rPr>
      </w:pPr>
      <w:r>
        <w:rPr>
          <w:rFonts w:ascii="Arial" w:hAnsi="Arial" w:cs="Arial"/>
          <w:sz w:val="24"/>
          <w:szCs w:val="24"/>
        </w:rPr>
        <w:t xml:space="preserve">De su texto se desprende que, del sueldo de los miembros de la Unión se descuenta el monto correspondiente a </w:t>
      </w:r>
      <w:r w:rsidR="006F4FDA">
        <w:rPr>
          <w:rFonts w:ascii="Arial" w:hAnsi="Arial" w:cs="Arial"/>
          <w:sz w:val="24"/>
          <w:szCs w:val="24"/>
        </w:rPr>
        <w:t>las cuotas ordinarias y extraordinarias, es decir, es del patrimonio de los trabajadores y no del erario público de donde se cubren dichas cuotas; constituyéndose la Universidad en mero retenedor de dichos descuentos.</w:t>
      </w:r>
    </w:p>
    <w:p w14:paraId="31C88CD6" w14:textId="77777777" w:rsidR="00EC29C0" w:rsidRPr="00EC29C0" w:rsidRDefault="00EC29C0" w:rsidP="00DE6732">
      <w:pPr>
        <w:spacing w:after="0" w:line="360" w:lineRule="auto"/>
        <w:ind w:firstLine="709"/>
        <w:jc w:val="both"/>
        <w:rPr>
          <w:rFonts w:ascii="Arial" w:hAnsi="Arial" w:cs="Arial"/>
          <w:sz w:val="24"/>
          <w:szCs w:val="24"/>
          <w:lang w:eastAsia="es-MX"/>
        </w:rPr>
      </w:pPr>
    </w:p>
    <w:p w14:paraId="31ABF637" w14:textId="5E7DAC5B" w:rsidR="00791660" w:rsidRDefault="00EC29C0"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Ahora bien, los a</w:t>
      </w:r>
      <w:r w:rsidR="00F36EC1">
        <w:rPr>
          <w:rFonts w:ascii="Arial" w:hAnsi="Arial" w:cs="Arial"/>
          <w:sz w:val="24"/>
          <w:szCs w:val="24"/>
          <w:lang w:eastAsia="es-MX"/>
        </w:rPr>
        <w:t>rtículo</w:t>
      </w:r>
      <w:r w:rsidR="00EC311D">
        <w:rPr>
          <w:rFonts w:ascii="Arial" w:hAnsi="Arial" w:cs="Arial"/>
          <w:sz w:val="24"/>
          <w:szCs w:val="24"/>
          <w:lang w:eastAsia="es-MX"/>
        </w:rPr>
        <w:t>s 3º fracción XXXV,</w:t>
      </w:r>
      <w:r w:rsidR="00F36EC1">
        <w:rPr>
          <w:rFonts w:ascii="Arial" w:hAnsi="Arial" w:cs="Arial"/>
          <w:sz w:val="24"/>
          <w:szCs w:val="24"/>
          <w:lang w:eastAsia="es-MX"/>
        </w:rPr>
        <w:t xml:space="preserve"> </w:t>
      </w:r>
      <w:r w:rsidR="00EC311D">
        <w:rPr>
          <w:rFonts w:ascii="Arial" w:hAnsi="Arial" w:cs="Arial"/>
          <w:sz w:val="24"/>
          <w:szCs w:val="24"/>
          <w:lang w:eastAsia="es-MX"/>
        </w:rPr>
        <w:t xml:space="preserve">23 y </w:t>
      </w:r>
      <w:r w:rsidR="00F36EC1">
        <w:rPr>
          <w:rFonts w:ascii="Arial" w:hAnsi="Arial" w:cs="Arial"/>
          <w:sz w:val="24"/>
          <w:szCs w:val="24"/>
          <w:lang w:eastAsia="es-MX"/>
        </w:rPr>
        <w:t>93 de la Ley de Transparencia y Acceso a la Información Pública del Estado de San Luis Potosí</w:t>
      </w:r>
      <w:r>
        <w:rPr>
          <w:rFonts w:ascii="Arial" w:hAnsi="Arial" w:cs="Arial"/>
          <w:sz w:val="24"/>
          <w:szCs w:val="24"/>
          <w:lang w:eastAsia="es-MX"/>
        </w:rPr>
        <w:t>, disponen:</w:t>
      </w:r>
    </w:p>
    <w:p w14:paraId="117A4F9F" w14:textId="1C4D34B2" w:rsidR="00791660" w:rsidRDefault="00791660" w:rsidP="00DE6732">
      <w:pPr>
        <w:spacing w:after="0" w:line="360" w:lineRule="auto"/>
        <w:ind w:firstLine="709"/>
        <w:jc w:val="both"/>
        <w:rPr>
          <w:rFonts w:ascii="Arial" w:hAnsi="Arial" w:cs="Arial"/>
          <w:sz w:val="24"/>
          <w:szCs w:val="24"/>
          <w:lang w:eastAsia="es-MX"/>
        </w:rPr>
      </w:pPr>
    </w:p>
    <w:p w14:paraId="58EB5167" w14:textId="7824DA0C" w:rsidR="00791660" w:rsidRPr="00392C38" w:rsidRDefault="00711D15" w:rsidP="00392C38">
      <w:pPr>
        <w:spacing w:after="0" w:line="240" w:lineRule="auto"/>
        <w:ind w:left="709" w:right="618"/>
        <w:jc w:val="both"/>
        <w:rPr>
          <w:rFonts w:ascii="Arial" w:hAnsi="Arial" w:cs="Arial"/>
          <w:color w:val="211F1F"/>
          <w:sz w:val="20"/>
          <w:szCs w:val="20"/>
        </w:rPr>
      </w:pPr>
      <w:r w:rsidRPr="00392C38">
        <w:rPr>
          <w:rFonts w:ascii="Arial" w:hAnsi="Arial" w:cs="Arial"/>
          <w:b/>
          <w:bCs/>
          <w:color w:val="211F1F"/>
          <w:sz w:val="20"/>
          <w:szCs w:val="20"/>
        </w:rPr>
        <w:t xml:space="preserve">ARTÍCULO 3°. </w:t>
      </w:r>
      <w:r w:rsidRPr="00392C38">
        <w:rPr>
          <w:rFonts w:ascii="Arial" w:hAnsi="Arial" w:cs="Arial"/>
          <w:color w:val="211F1F"/>
          <w:sz w:val="20"/>
          <w:szCs w:val="20"/>
        </w:rPr>
        <w:t>Para los efectos de la presente Ley se entenderá por:</w:t>
      </w:r>
    </w:p>
    <w:p w14:paraId="38CDF319" w14:textId="4FF3DFEC" w:rsidR="00104B1A" w:rsidRPr="00392C38" w:rsidRDefault="00104B1A" w:rsidP="00392C38">
      <w:pPr>
        <w:spacing w:after="0" w:line="240" w:lineRule="auto"/>
        <w:ind w:left="709" w:right="618"/>
        <w:jc w:val="both"/>
        <w:rPr>
          <w:rFonts w:ascii="Arial" w:hAnsi="Arial" w:cs="Arial"/>
          <w:color w:val="211F1F"/>
          <w:sz w:val="20"/>
          <w:szCs w:val="20"/>
        </w:rPr>
      </w:pPr>
    </w:p>
    <w:p w14:paraId="59E23268" w14:textId="214ACAFD" w:rsidR="00104B1A" w:rsidRPr="00392C38" w:rsidRDefault="00104B1A" w:rsidP="00392C38">
      <w:pPr>
        <w:spacing w:after="0" w:line="240" w:lineRule="auto"/>
        <w:ind w:left="709" w:right="618"/>
        <w:jc w:val="both"/>
        <w:rPr>
          <w:rFonts w:ascii="Arial" w:hAnsi="Arial" w:cs="Arial"/>
          <w:color w:val="211F1F"/>
          <w:sz w:val="20"/>
          <w:szCs w:val="20"/>
        </w:rPr>
      </w:pPr>
      <w:r w:rsidRPr="00392C38">
        <w:rPr>
          <w:rFonts w:ascii="Arial" w:hAnsi="Arial" w:cs="Arial"/>
          <w:color w:val="211F1F"/>
          <w:sz w:val="20"/>
          <w:szCs w:val="20"/>
        </w:rPr>
        <w:t>[…]</w:t>
      </w:r>
    </w:p>
    <w:p w14:paraId="4D5A0681" w14:textId="11B85E5B" w:rsidR="00104B1A" w:rsidRPr="00392C38" w:rsidRDefault="00104B1A" w:rsidP="00392C38">
      <w:pPr>
        <w:spacing w:after="0" w:line="240" w:lineRule="auto"/>
        <w:ind w:left="709" w:right="618"/>
        <w:jc w:val="both"/>
        <w:rPr>
          <w:rFonts w:ascii="Arial" w:hAnsi="Arial" w:cs="Arial"/>
          <w:color w:val="211F1F"/>
          <w:sz w:val="20"/>
          <w:szCs w:val="20"/>
        </w:rPr>
      </w:pPr>
    </w:p>
    <w:p w14:paraId="69087437" w14:textId="5F72D938" w:rsidR="00104B1A" w:rsidRPr="00392C38" w:rsidRDefault="00104B1A" w:rsidP="00392C38">
      <w:pPr>
        <w:spacing w:after="0" w:line="240" w:lineRule="auto"/>
        <w:ind w:left="709" w:right="618"/>
        <w:jc w:val="both"/>
        <w:rPr>
          <w:rFonts w:ascii="Arial" w:hAnsi="Arial" w:cs="Arial"/>
          <w:sz w:val="20"/>
          <w:szCs w:val="20"/>
        </w:rPr>
      </w:pPr>
      <w:r w:rsidRPr="00392C38">
        <w:rPr>
          <w:rFonts w:ascii="Arial" w:hAnsi="Arial" w:cs="Arial"/>
          <w:b/>
          <w:bCs/>
          <w:sz w:val="20"/>
          <w:szCs w:val="20"/>
        </w:rPr>
        <w:t>XXXV. Sujetos Obligados</w:t>
      </w:r>
      <w:r w:rsidRPr="00392C38">
        <w:rPr>
          <w:rFonts w:ascii="Arial" w:hAnsi="Arial" w:cs="Arial"/>
          <w:sz w:val="20"/>
          <w:szCs w:val="20"/>
        </w:rPr>
        <w:t>: cualquier autoridad, entidad, órgano y organismo de los poderes, Ejecutivo; Legislativo; y Judicial; órganos autónomos; partidos políticos; candidatas y candidatos independientes; fideicomisos y fondos públicos, así como cualquier persona física, moral o sindicato que reciba y ejerza recursos públicos o realice actos de autoridad en el ámbito estatal y municipal;</w:t>
      </w:r>
    </w:p>
    <w:p w14:paraId="5404307B" w14:textId="3FC4B12E" w:rsidR="00104B1A" w:rsidRPr="00392C38" w:rsidRDefault="00104B1A" w:rsidP="00392C38">
      <w:pPr>
        <w:spacing w:after="0" w:line="240" w:lineRule="auto"/>
        <w:ind w:left="709" w:right="618"/>
        <w:jc w:val="both"/>
        <w:rPr>
          <w:rFonts w:ascii="Arial" w:hAnsi="Arial" w:cs="Arial"/>
          <w:sz w:val="20"/>
          <w:szCs w:val="20"/>
        </w:rPr>
      </w:pPr>
    </w:p>
    <w:p w14:paraId="77CE0B06" w14:textId="37CCBD10" w:rsidR="00104B1A" w:rsidRPr="00392C38" w:rsidRDefault="00520A21" w:rsidP="00392C38">
      <w:pPr>
        <w:spacing w:after="0" w:line="240" w:lineRule="auto"/>
        <w:ind w:left="709" w:right="618"/>
        <w:jc w:val="both"/>
        <w:rPr>
          <w:rFonts w:ascii="Arial" w:hAnsi="Arial" w:cs="Arial"/>
          <w:sz w:val="20"/>
          <w:szCs w:val="20"/>
        </w:rPr>
      </w:pPr>
      <w:r w:rsidRPr="00392C38">
        <w:rPr>
          <w:rFonts w:ascii="Arial" w:hAnsi="Arial" w:cs="Arial"/>
          <w:sz w:val="20"/>
          <w:szCs w:val="20"/>
        </w:rPr>
        <w:t>[…]</w:t>
      </w:r>
    </w:p>
    <w:p w14:paraId="447DDF10" w14:textId="2BE330E5" w:rsidR="00520A21" w:rsidRPr="00392C38" w:rsidRDefault="00520A21" w:rsidP="00392C38">
      <w:pPr>
        <w:spacing w:after="0" w:line="240" w:lineRule="auto"/>
        <w:ind w:left="709" w:right="618"/>
        <w:jc w:val="both"/>
        <w:rPr>
          <w:rFonts w:ascii="Arial" w:hAnsi="Arial" w:cs="Arial"/>
          <w:sz w:val="20"/>
          <w:szCs w:val="20"/>
        </w:rPr>
      </w:pPr>
    </w:p>
    <w:p w14:paraId="45D790FD" w14:textId="4C029FB5" w:rsidR="00520A21" w:rsidRPr="00392C38" w:rsidRDefault="00520A21" w:rsidP="00392C38">
      <w:pPr>
        <w:spacing w:after="0" w:line="240" w:lineRule="auto"/>
        <w:ind w:left="709" w:right="618"/>
        <w:jc w:val="both"/>
        <w:rPr>
          <w:rFonts w:ascii="Arial" w:hAnsi="Arial" w:cs="Arial"/>
          <w:sz w:val="20"/>
          <w:szCs w:val="20"/>
        </w:rPr>
      </w:pPr>
      <w:r w:rsidRPr="00392C38">
        <w:rPr>
          <w:rFonts w:ascii="Arial" w:hAnsi="Arial" w:cs="Arial"/>
          <w:b/>
          <w:bCs/>
          <w:sz w:val="20"/>
          <w:szCs w:val="20"/>
        </w:rPr>
        <w:t xml:space="preserve">ARTÍCULO 23. </w:t>
      </w:r>
      <w:r w:rsidRPr="00392C38">
        <w:rPr>
          <w:rFonts w:ascii="Arial" w:hAnsi="Arial" w:cs="Arial"/>
          <w:sz w:val="20"/>
          <w:szCs w:val="20"/>
        </w:rPr>
        <w:t>Son sujetos obligados a transparentar y permitir el acceso a su información y proteger los datos personales que obren en su poder: cualquier autoridad, entidad, órgano y organismo de los poderes, Ejecutivo; Legislativo; y Judicial; y municipios, órganos autónomos, partidos políticos, candidatas y candidatos independientes, fideicomisos y fondos públicos, así como cualquier persona física, moral o sindicatos que reciban y ejerzan recursos públicos o realicen actos de autoridad en el ámbito estatal y municipal.</w:t>
      </w:r>
    </w:p>
    <w:p w14:paraId="1BB5D16D" w14:textId="293000F1" w:rsidR="00520A21" w:rsidRPr="00392C38" w:rsidRDefault="00520A21" w:rsidP="00392C38">
      <w:pPr>
        <w:spacing w:after="0" w:line="240" w:lineRule="auto"/>
        <w:ind w:left="709" w:right="618"/>
        <w:jc w:val="both"/>
        <w:rPr>
          <w:rFonts w:ascii="Arial" w:hAnsi="Arial" w:cs="Arial"/>
          <w:sz w:val="20"/>
          <w:szCs w:val="20"/>
        </w:rPr>
      </w:pPr>
    </w:p>
    <w:p w14:paraId="23BFFB65" w14:textId="2E50E856" w:rsidR="00392C38" w:rsidRDefault="00392C38" w:rsidP="00392C38">
      <w:pPr>
        <w:autoSpaceDE w:val="0"/>
        <w:autoSpaceDN w:val="0"/>
        <w:adjustRightInd w:val="0"/>
        <w:spacing w:after="0" w:line="240" w:lineRule="auto"/>
        <w:ind w:left="709" w:right="618"/>
        <w:jc w:val="both"/>
        <w:rPr>
          <w:rFonts w:ascii="Arial" w:hAnsi="Arial" w:cs="Arial"/>
          <w:color w:val="211F1F"/>
          <w:sz w:val="20"/>
          <w:szCs w:val="20"/>
        </w:rPr>
      </w:pPr>
      <w:r w:rsidRPr="00392C38">
        <w:rPr>
          <w:rFonts w:ascii="Arial" w:hAnsi="Arial" w:cs="Arial"/>
          <w:b/>
          <w:bCs/>
          <w:color w:val="211F1F"/>
          <w:sz w:val="20"/>
          <w:szCs w:val="20"/>
        </w:rPr>
        <w:t xml:space="preserve">ARTÍCULO 93. </w:t>
      </w:r>
      <w:r w:rsidRPr="00392C38">
        <w:rPr>
          <w:rFonts w:ascii="Arial" w:hAnsi="Arial" w:cs="Arial"/>
          <w:color w:val="211F1F"/>
          <w:sz w:val="20"/>
          <w:szCs w:val="20"/>
        </w:rPr>
        <w:t>Los sindicatos que reciban y ejerzan recursos públicos deberán mantener actualizada y accesible, de forma impresa para consulta directa y en los respectivos sitios de Internet, la información aplicable del artículo 84 de esta Ley, la señalada en el artículo anterior y la siguiente:</w:t>
      </w:r>
    </w:p>
    <w:p w14:paraId="70EDF9B0"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171C22EB" w14:textId="74532C21" w:rsid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r w:rsidRPr="00392C38">
        <w:rPr>
          <w:rFonts w:ascii="Arial" w:hAnsi="Arial" w:cs="Arial"/>
          <w:b/>
          <w:bCs/>
          <w:color w:val="000000"/>
          <w:sz w:val="20"/>
          <w:szCs w:val="20"/>
        </w:rPr>
        <w:t xml:space="preserve">I. </w:t>
      </w:r>
      <w:r w:rsidRPr="00392C38">
        <w:rPr>
          <w:rFonts w:ascii="Arial" w:hAnsi="Arial" w:cs="Arial"/>
          <w:color w:val="000000"/>
          <w:sz w:val="20"/>
          <w:szCs w:val="20"/>
        </w:rPr>
        <w:t>Contratos y convenios entre sindicatos y autoridades;</w:t>
      </w:r>
    </w:p>
    <w:p w14:paraId="35D0DE02"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2D7440F4" w14:textId="4742CD56" w:rsid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r w:rsidRPr="00392C38">
        <w:rPr>
          <w:rFonts w:ascii="Arial" w:hAnsi="Arial" w:cs="Arial"/>
          <w:b/>
          <w:bCs/>
          <w:color w:val="000000"/>
          <w:sz w:val="20"/>
          <w:szCs w:val="20"/>
        </w:rPr>
        <w:t xml:space="preserve">II. </w:t>
      </w:r>
      <w:r w:rsidRPr="00392C38">
        <w:rPr>
          <w:rFonts w:ascii="Arial" w:hAnsi="Arial" w:cs="Arial"/>
          <w:color w:val="000000"/>
          <w:sz w:val="20"/>
          <w:szCs w:val="20"/>
        </w:rPr>
        <w:t>El directorio del Comité Ejecutivo;</w:t>
      </w:r>
    </w:p>
    <w:p w14:paraId="68CC472A"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5FEC913A" w14:textId="5B79D36F" w:rsid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r w:rsidRPr="00392C38">
        <w:rPr>
          <w:rFonts w:ascii="Arial" w:hAnsi="Arial" w:cs="Arial"/>
          <w:b/>
          <w:bCs/>
          <w:color w:val="000000"/>
          <w:sz w:val="20"/>
          <w:szCs w:val="20"/>
        </w:rPr>
        <w:t xml:space="preserve">III. </w:t>
      </w:r>
      <w:r w:rsidRPr="00392C38">
        <w:rPr>
          <w:rFonts w:ascii="Arial" w:hAnsi="Arial" w:cs="Arial"/>
          <w:color w:val="000000"/>
          <w:sz w:val="20"/>
          <w:szCs w:val="20"/>
        </w:rPr>
        <w:t>El padrón de socios, y</w:t>
      </w:r>
    </w:p>
    <w:p w14:paraId="6BB12050"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118C4DF1" w14:textId="5AC17301" w:rsid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r w:rsidRPr="00392C38">
        <w:rPr>
          <w:rFonts w:ascii="Arial" w:hAnsi="Arial" w:cs="Arial"/>
          <w:b/>
          <w:bCs/>
          <w:color w:val="000000"/>
          <w:sz w:val="20"/>
          <w:szCs w:val="20"/>
        </w:rPr>
        <w:lastRenderedPageBreak/>
        <w:t xml:space="preserve">IV. </w:t>
      </w:r>
      <w:r w:rsidRPr="00392C38">
        <w:rPr>
          <w:rFonts w:ascii="Arial" w:hAnsi="Arial" w:cs="Arial"/>
          <w:color w:val="000000"/>
          <w:sz w:val="20"/>
          <w:szCs w:val="20"/>
        </w:rPr>
        <w:t>La relación detallada de los recursos públicos económicos, en especie, bienes o donativos que reciban y el informe detallado del ejercicio y destino final de los recursos públicos que ejerzan.</w:t>
      </w:r>
    </w:p>
    <w:p w14:paraId="4A65D3B7"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4E96D14B" w14:textId="778A6C71" w:rsidR="00392C38" w:rsidRDefault="00392C38" w:rsidP="00392C38">
      <w:pPr>
        <w:autoSpaceDE w:val="0"/>
        <w:autoSpaceDN w:val="0"/>
        <w:adjustRightInd w:val="0"/>
        <w:spacing w:after="0" w:line="240" w:lineRule="auto"/>
        <w:ind w:left="709" w:right="618"/>
        <w:jc w:val="both"/>
        <w:rPr>
          <w:rFonts w:ascii="Arial" w:hAnsi="Arial" w:cs="Arial"/>
          <w:color w:val="211F1F"/>
          <w:sz w:val="20"/>
          <w:szCs w:val="20"/>
        </w:rPr>
      </w:pPr>
      <w:r w:rsidRPr="00392C38">
        <w:rPr>
          <w:rFonts w:ascii="Arial" w:hAnsi="Arial" w:cs="Arial"/>
          <w:color w:val="211F1F"/>
          <w:sz w:val="20"/>
          <w:szCs w:val="20"/>
        </w:rPr>
        <w:t>Por lo que se refiere a los documentos que obran en el Expediente de registro de las asociaciones, únicamente estará clasificada como información confidencial, los domicilios de los trabajadores señalados en los padrones de socios.</w:t>
      </w:r>
    </w:p>
    <w:p w14:paraId="146F117B" w14:textId="77777777" w:rsidR="00392C38" w:rsidRPr="00392C38" w:rsidRDefault="00392C38" w:rsidP="00392C38">
      <w:pPr>
        <w:autoSpaceDE w:val="0"/>
        <w:autoSpaceDN w:val="0"/>
        <w:adjustRightInd w:val="0"/>
        <w:spacing w:after="0" w:line="240" w:lineRule="auto"/>
        <w:ind w:left="709" w:right="618"/>
        <w:jc w:val="both"/>
        <w:rPr>
          <w:rFonts w:ascii="Arial" w:hAnsi="Arial" w:cs="Arial"/>
          <w:color w:val="000000"/>
          <w:sz w:val="20"/>
          <w:szCs w:val="20"/>
        </w:rPr>
      </w:pPr>
    </w:p>
    <w:p w14:paraId="31A0D5D3" w14:textId="0AE813AC" w:rsidR="00520A21" w:rsidRPr="00392C38" w:rsidRDefault="00392C38" w:rsidP="00392C38">
      <w:pPr>
        <w:spacing w:after="0" w:line="240" w:lineRule="auto"/>
        <w:ind w:left="709" w:right="618"/>
        <w:jc w:val="both"/>
        <w:rPr>
          <w:rFonts w:ascii="Arial" w:hAnsi="Arial" w:cs="Arial"/>
          <w:sz w:val="24"/>
          <w:szCs w:val="24"/>
          <w:lang w:eastAsia="es-MX"/>
        </w:rPr>
      </w:pPr>
      <w:r w:rsidRPr="00392C38">
        <w:rPr>
          <w:rFonts w:ascii="Arial" w:hAnsi="Arial" w:cs="Arial"/>
          <w:color w:val="211F1F"/>
          <w:sz w:val="20"/>
          <w:szCs w:val="20"/>
        </w:rPr>
        <w:t>Los sujetos obligados que asignen recursos públicos a los sindicatos, deberán habilitar un espacio en sus páginas de internet para que éstos cumplan con sus obligaciones de transparencia y dispongan de la infraestructura tecnológica para el uso y acceso a la Plataforma Nacional. En todo momento el sindicato será el responsable de la publicación, actualización y accesibilidad de la información.</w:t>
      </w:r>
    </w:p>
    <w:p w14:paraId="2166D7CA" w14:textId="77777777" w:rsidR="00791660" w:rsidRDefault="00791660" w:rsidP="00DE6732">
      <w:pPr>
        <w:spacing w:after="0" w:line="360" w:lineRule="auto"/>
        <w:ind w:firstLine="709"/>
        <w:jc w:val="both"/>
        <w:rPr>
          <w:rFonts w:ascii="Arial" w:hAnsi="Arial" w:cs="Arial"/>
          <w:sz w:val="24"/>
          <w:szCs w:val="24"/>
          <w:lang w:eastAsia="es-MX"/>
        </w:rPr>
      </w:pPr>
    </w:p>
    <w:p w14:paraId="11860475" w14:textId="5D00A8BA" w:rsidR="006C25C7" w:rsidRDefault="0038254A"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Como se advierte de los preceptos legales transcritos, entre los sujetos obligados se contempla, entre otros, a la persona física o sindicato, pero con la condición de que “</w:t>
      </w:r>
      <w:r w:rsidRPr="0038254A">
        <w:rPr>
          <w:rFonts w:ascii="Arial" w:hAnsi="Arial" w:cs="Arial"/>
          <w:i/>
          <w:iCs/>
          <w:sz w:val="24"/>
          <w:szCs w:val="24"/>
          <w:lang w:eastAsia="es-MX"/>
        </w:rPr>
        <w:t>reciba y ejerza recursos públicos</w:t>
      </w:r>
      <w:r>
        <w:rPr>
          <w:rFonts w:ascii="Arial" w:hAnsi="Arial" w:cs="Arial"/>
          <w:sz w:val="24"/>
          <w:szCs w:val="24"/>
          <w:lang w:eastAsia="es-MX"/>
        </w:rPr>
        <w:t xml:space="preserve">”, es decir, se trata de sujetos cualificados, por lo que, quien no reciba y ejerza recursos públicos, ya sea persona física o sindicado, no puede ser considerado como sujeto obligado por la ley en cita, y, por lo tanto, la </w:t>
      </w:r>
      <w:r>
        <w:rPr>
          <w:rFonts w:ascii="Arial" w:hAnsi="Arial" w:cs="Arial"/>
          <w:sz w:val="24"/>
          <w:szCs w:val="24"/>
        </w:rPr>
        <w:t xml:space="preserve">Comisión Estatal de Garantía de Acceso a la Información Pública del Estado de San Luis Potosí carece de competencia para imponer una sanción o medida de apremio de las previstas en la </w:t>
      </w:r>
      <w:r>
        <w:rPr>
          <w:rFonts w:ascii="Arial" w:hAnsi="Arial" w:cs="Arial"/>
          <w:sz w:val="24"/>
          <w:szCs w:val="24"/>
          <w:lang w:eastAsia="es-MX"/>
        </w:rPr>
        <w:t>Ley de Transparencia y Acceso a la Información Pública del Estado de San Luis Potosí.</w:t>
      </w:r>
    </w:p>
    <w:p w14:paraId="7D55CD2B" w14:textId="5FACF683" w:rsidR="009B59B3" w:rsidRDefault="009B59B3" w:rsidP="00DE6732">
      <w:pPr>
        <w:spacing w:after="0" w:line="360" w:lineRule="auto"/>
        <w:ind w:firstLine="709"/>
        <w:jc w:val="both"/>
        <w:rPr>
          <w:rFonts w:ascii="Arial" w:hAnsi="Arial" w:cs="Arial"/>
          <w:sz w:val="24"/>
          <w:szCs w:val="24"/>
          <w:lang w:eastAsia="es-MX"/>
        </w:rPr>
      </w:pPr>
    </w:p>
    <w:p w14:paraId="0979DE3A" w14:textId="755102EF" w:rsidR="009B59B3" w:rsidRDefault="009B59B3" w:rsidP="00DE6732">
      <w:pPr>
        <w:spacing w:after="0" w:line="360" w:lineRule="auto"/>
        <w:ind w:firstLine="709"/>
        <w:jc w:val="both"/>
        <w:rPr>
          <w:rFonts w:ascii="Arial" w:hAnsi="Arial" w:cs="Arial"/>
          <w:sz w:val="24"/>
          <w:szCs w:val="24"/>
          <w:lang w:eastAsia="es-MX"/>
        </w:rPr>
      </w:pPr>
      <w:r>
        <w:rPr>
          <w:rFonts w:ascii="Arial" w:hAnsi="Arial" w:cs="Arial"/>
          <w:sz w:val="24"/>
          <w:szCs w:val="24"/>
          <w:lang w:eastAsia="es-MX"/>
        </w:rPr>
        <w:t>El vocablo “reciba” es el acto por el cual una persona toma, acepta o adquiere algo que se da, envía o entrega por parte de otra persona; en este caso, una persona física o un sindicato debe tomar, aceptar o adquirir recursos públicos por parte de un ente público.   El vocablo “ejerza” es el acto por el cual una persona realiza</w:t>
      </w:r>
      <w:r w:rsidR="00BE4E8B">
        <w:rPr>
          <w:rFonts w:ascii="Arial" w:hAnsi="Arial" w:cs="Arial"/>
          <w:sz w:val="24"/>
          <w:szCs w:val="24"/>
          <w:lang w:eastAsia="es-MX"/>
        </w:rPr>
        <w:t xml:space="preserve"> un acto,</w:t>
      </w:r>
      <w:r>
        <w:rPr>
          <w:rFonts w:ascii="Arial" w:hAnsi="Arial" w:cs="Arial"/>
          <w:sz w:val="24"/>
          <w:szCs w:val="24"/>
          <w:lang w:eastAsia="es-MX"/>
        </w:rPr>
        <w:t xml:space="preserve"> </w:t>
      </w:r>
      <w:r w:rsidR="00BE4E8B">
        <w:rPr>
          <w:rFonts w:ascii="Arial" w:hAnsi="Arial" w:cs="Arial"/>
          <w:sz w:val="24"/>
          <w:szCs w:val="24"/>
          <w:lang w:eastAsia="es-MX"/>
        </w:rPr>
        <w:t>una acción</w:t>
      </w:r>
      <w:r>
        <w:rPr>
          <w:rFonts w:ascii="Arial" w:hAnsi="Arial" w:cs="Arial"/>
          <w:sz w:val="24"/>
          <w:szCs w:val="24"/>
          <w:lang w:eastAsia="es-MX"/>
        </w:rPr>
        <w:t xml:space="preserve"> o práctica</w:t>
      </w:r>
      <w:r w:rsidR="00BE4E8B">
        <w:rPr>
          <w:rFonts w:ascii="Arial" w:hAnsi="Arial" w:cs="Arial"/>
          <w:sz w:val="24"/>
          <w:szCs w:val="24"/>
          <w:lang w:eastAsia="es-MX"/>
        </w:rPr>
        <w:t xml:space="preserve"> una actividad con efectos jurídicos, sobre algo que ha recibido.   Dado que el texto legal emplea la “y” que es una conjunción copulativa que une palabras, frases u oraciones del mismo nivel sintáctico, indica coexistencia de las acciones descritas en los verbos empleados (recibir y ejercer), por lo que, para que se configure la hipótesis prevista en los artículos 3º fracción XXXV, 23 y 93 de la Ley de Transparencia y Acceso a la Información Pública del Estado de San Luis Potosí, las personas físicas o sindicatos deben recibir y ejercer recursos públicos, no bastando que los reciba.</w:t>
      </w:r>
    </w:p>
    <w:p w14:paraId="763E9BAA" w14:textId="5AE6C510" w:rsidR="0038254A" w:rsidRDefault="0038254A" w:rsidP="00DE6732">
      <w:pPr>
        <w:spacing w:after="0" w:line="360" w:lineRule="auto"/>
        <w:ind w:firstLine="709"/>
        <w:jc w:val="both"/>
        <w:rPr>
          <w:rFonts w:ascii="Arial" w:hAnsi="Arial" w:cs="Arial"/>
          <w:sz w:val="24"/>
          <w:szCs w:val="24"/>
          <w:lang w:eastAsia="es-MX"/>
        </w:rPr>
      </w:pPr>
    </w:p>
    <w:p w14:paraId="6222DDD6" w14:textId="20EAA0AF" w:rsidR="0038254A" w:rsidRDefault="0038254A" w:rsidP="00DE6732">
      <w:pPr>
        <w:spacing w:after="0" w:line="360" w:lineRule="auto"/>
        <w:ind w:firstLine="709"/>
        <w:jc w:val="both"/>
        <w:rPr>
          <w:rFonts w:ascii="Arial" w:hAnsi="Arial" w:cs="Arial"/>
          <w:sz w:val="24"/>
          <w:szCs w:val="24"/>
        </w:rPr>
      </w:pPr>
      <w:r>
        <w:rPr>
          <w:rFonts w:ascii="Arial" w:hAnsi="Arial" w:cs="Arial"/>
          <w:sz w:val="24"/>
          <w:szCs w:val="24"/>
          <w:lang w:eastAsia="es-MX"/>
        </w:rPr>
        <w:t xml:space="preserve">De ahí que, </w:t>
      </w:r>
      <w:r w:rsidR="00673FA3">
        <w:rPr>
          <w:rFonts w:ascii="Arial" w:hAnsi="Arial" w:cs="Arial"/>
          <w:sz w:val="24"/>
          <w:szCs w:val="24"/>
          <w:lang w:eastAsia="es-MX"/>
        </w:rPr>
        <w:t xml:space="preserve">para fundar y motivar su competencia, la </w:t>
      </w:r>
      <w:r w:rsidR="00673FA3">
        <w:rPr>
          <w:rFonts w:ascii="Arial" w:hAnsi="Arial" w:cs="Arial"/>
          <w:sz w:val="24"/>
          <w:szCs w:val="24"/>
        </w:rPr>
        <w:t>Comisión Estatal de Garantía de Acceso a la Información Pública del Estado de San Luis Potosí, tratándose de personas físicas y sindicatos, debe acreditar plenamente que los mismos han recibido y ejercido recursos públicos</w:t>
      </w:r>
      <w:r w:rsidR="00F927D8">
        <w:rPr>
          <w:rFonts w:ascii="Arial" w:hAnsi="Arial" w:cs="Arial"/>
          <w:sz w:val="24"/>
          <w:szCs w:val="24"/>
        </w:rPr>
        <w:t xml:space="preserve">, y </w:t>
      </w:r>
      <w:r w:rsidR="00F927D8">
        <w:rPr>
          <w:rFonts w:ascii="Arial" w:hAnsi="Arial" w:cs="Arial"/>
          <w:sz w:val="24"/>
          <w:szCs w:val="24"/>
        </w:rPr>
        <w:lastRenderedPageBreak/>
        <w:t>expresar en el apartado correspondiente a la competencia las razones que se hubieren tenido en cuenta para arribar a tal conclusión.</w:t>
      </w:r>
    </w:p>
    <w:p w14:paraId="468E9BAE" w14:textId="67F74BA2" w:rsidR="00673FA3" w:rsidRDefault="00673FA3" w:rsidP="00DE6732">
      <w:pPr>
        <w:spacing w:after="0" w:line="360" w:lineRule="auto"/>
        <w:ind w:firstLine="709"/>
        <w:jc w:val="both"/>
        <w:rPr>
          <w:rFonts w:ascii="Arial" w:hAnsi="Arial" w:cs="Arial"/>
          <w:sz w:val="24"/>
          <w:szCs w:val="24"/>
        </w:rPr>
      </w:pPr>
    </w:p>
    <w:p w14:paraId="151D757F" w14:textId="413E837A" w:rsidR="00673FA3" w:rsidRDefault="00673FA3" w:rsidP="00DE6732">
      <w:pPr>
        <w:spacing w:after="0" w:line="360" w:lineRule="auto"/>
        <w:ind w:firstLine="709"/>
        <w:jc w:val="both"/>
        <w:rPr>
          <w:rFonts w:ascii="Arial" w:hAnsi="Arial" w:cs="Arial"/>
          <w:sz w:val="24"/>
          <w:szCs w:val="24"/>
          <w:lang w:eastAsia="es-MX"/>
        </w:rPr>
      </w:pPr>
      <w:r>
        <w:rPr>
          <w:rFonts w:ascii="Arial" w:hAnsi="Arial" w:cs="Arial"/>
          <w:sz w:val="24"/>
          <w:szCs w:val="24"/>
        </w:rPr>
        <w:t xml:space="preserve">Como se puede apreciar en el CONSIDERANDO PRIMERO de la resolución de fecha treinta de junio de dos mil veinticinco, el Pleno de la Comisión Estatal de Garantía de Acceso a la Información Pública del Estado de San Luis Potosí, no cita en su fundamento los artículos </w:t>
      </w:r>
      <w:r>
        <w:rPr>
          <w:rFonts w:ascii="Arial" w:hAnsi="Arial" w:cs="Arial"/>
          <w:sz w:val="24"/>
          <w:szCs w:val="24"/>
          <w:lang w:eastAsia="es-MX"/>
        </w:rPr>
        <w:t>3º fracción XXXV, 23 y 93 de la Ley de Transparencia y Acceso a la Información Pública del Estado de San Luis Potosí; ni mucho menos</w:t>
      </w:r>
      <w:r>
        <w:rPr>
          <w:rFonts w:ascii="Arial" w:hAnsi="Arial" w:cs="Arial"/>
          <w:sz w:val="24"/>
          <w:szCs w:val="24"/>
        </w:rPr>
        <w:t xml:space="preserve"> expresan las razones y medios probatorios que haya tenido en cuenta para arribar a la conclusión de que la aquí parte actora recibió y ejerció recursos públicos; lo que conlleva a sostener a esta Sala Unitaria, a considerar que la </w:t>
      </w:r>
      <w:r w:rsidRPr="00EC20A3">
        <w:rPr>
          <w:rFonts w:ascii="Arial" w:hAnsi="Arial" w:cs="Arial"/>
          <w:b/>
          <w:bCs/>
          <w:sz w:val="24"/>
          <w:szCs w:val="24"/>
        </w:rPr>
        <w:t>autoridad demandada carece de competencia</w:t>
      </w:r>
      <w:r>
        <w:rPr>
          <w:rFonts w:ascii="Arial" w:hAnsi="Arial" w:cs="Arial"/>
          <w:sz w:val="24"/>
          <w:szCs w:val="24"/>
        </w:rPr>
        <w:t xml:space="preserve"> para sancionar o imponer una medida de apremio a la actora, al no colmarse </w:t>
      </w:r>
      <w:r w:rsidR="003C1BBB">
        <w:rPr>
          <w:rFonts w:ascii="Arial" w:hAnsi="Arial" w:cs="Arial"/>
          <w:sz w:val="24"/>
          <w:szCs w:val="24"/>
        </w:rPr>
        <w:t xml:space="preserve">los elementos que todo acto administrativo debe contener, previstos en las fracciones I y V del artículo 164 del Código Procesal Administrativo para el Estado de San Luis Potosí, por lo que </w:t>
      </w:r>
      <w:r w:rsidR="003C1BBB" w:rsidRPr="00EC20A3">
        <w:rPr>
          <w:rFonts w:ascii="Arial" w:hAnsi="Arial" w:cs="Arial"/>
          <w:b/>
          <w:bCs/>
          <w:sz w:val="24"/>
          <w:szCs w:val="24"/>
        </w:rPr>
        <w:t>se impone declararlo jurídicamente nulo e inválido</w:t>
      </w:r>
      <w:r w:rsidR="00513355">
        <w:rPr>
          <w:rFonts w:ascii="Arial" w:hAnsi="Arial" w:cs="Arial"/>
          <w:b/>
          <w:bCs/>
          <w:sz w:val="24"/>
          <w:szCs w:val="24"/>
        </w:rPr>
        <w:t>,</w:t>
      </w:r>
      <w:r w:rsidR="003C1BBB" w:rsidRPr="00EC20A3">
        <w:rPr>
          <w:rFonts w:ascii="Arial" w:hAnsi="Arial" w:cs="Arial"/>
          <w:b/>
          <w:bCs/>
          <w:sz w:val="24"/>
          <w:szCs w:val="24"/>
        </w:rPr>
        <w:t xml:space="preserve"> de forma lisa</w:t>
      </w:r>
      <w:r w:rsidR="00513355">
        <w:rPr>
          <w:rFonts w:ascii="Arial" w:hAnsi="Arial" w:cs="Arial"/>
          <w:b/>
          <w:bCs/>
          <w:sz w:val="24"/>
          <w:szCs w:val="24"/>
        </w:rPr>
        <w:t xml:space="preserve"> y llana</w:t>
      </w:r>
      <w:r w:rsidR="003C1BBB">
        <w:rPr>
          <w:rFonts w:ascii="Arial" w:hAnsi="Arial" w:cs="Arial"/>
          <w:sz w:val="24"/>
          <w:szCs w:val="24"/>
        </w:rPr>
        <w:t>, como lo prevé el artículo 167 del Código Procesal Administrativo.</w:t>
      </w:r>
    </w:p>
    <w:p w14:paraId="6E96A7D3" w14:textId="24B147C2" w:rsidR="00306B34" w:rsidRDefault="00306B34" w:rsidP="00DE6732">
      <w:pPr>
        <w:spacing w:after="0" w:line="360" w:lineRule="auto"/>
        <w:ind w:firstLine="709"/>
        <w:jc w:val="both"/>
        <w:rPr>
          <w:rFonts w:ascii="Arial" w:hAnsi="Arial" w:cs="Arial"/>
          <w:sz w:val="24"/>
          <w:szCs w:val="24"/>
        </w:rPr>
      </w:pPr>
    </w:p>
    <w:p w14:paraId="1620F71E" w14:textId="12C600AC" w:rsidR="00226CA5" w:rsidRDefault="00DD33AF" w:rsidP="00A17CDB">
      <w:pPr>
        <w:spacing w:after="0" w:line="360" w:lineRule="auto"/>
        <w:ind w:firstLine="709"/>
        <w:jc w:val="both"/>
        <w:rPr>
          <w:rFonts w:ascii="Arial" w:hAnsi="Arial" w:cs="Arial"/>
          <w:sz w:val="24"/>
          <w:szCs w:val="24"/>
        </w:rPr>
      </w:pPr>
      <w:r w:rsidRPr="00226CA5">
        <w:rPr>
          <w:rFonts w:ascii="Arial" w:hAnsi="Arial" w:cs="Arial"/>
          <w:sz w:val="24"/>
          <w:szCs w:val="24"/>
        </w:rPr>
        <w:t>A mayor abundamiento,</w:t>
      </w:r>
      <w:r w:rsidR="00573A0B" w:rsidRPr="00226CA5">
        <w:rPr>
          <w:rFonts w:ascii="Arial" w:hAnsi="Arial" w:cs="Arial"/>
          <w:sz w:val="24"/>
          <w:szCs w:val="24"/>
        </w:rPr>
        <w:t xml:space="preserve"> la autoridad demandada</w:t>
      </w:r>
      <w:r w:rsidRPr="00226CA5">
        <w:rPr>
          <w:rFonts w:ascii="Arial" w:hAnsi="Arial" w:cs="Arial"/>
          <w:sz w:val="24"/>
          <w:szCs w:val="24"/>
        </w:rPr>
        <w:t xml:space="preserve"> </w:t>
      </w:r>
      <w:r w:rsidR="00573A0B" w:rsidRPr="00226CA5">
        <w:rPr>
          <w:rFonts w:ascii="Arial" w:hAnsi="Arial" w:cs="Arial"/>
          <w:sz w:val="24"/>
          <w:szCs w:val="24"/>
        </w:rPr>
        <w:t>incumple con la obligación de motivación fundamentación de la competencia en la resolución impugnada, ya que la actora no es sujeto a las obligaciones</w:t>
      </w:r>
      <w:r w:rsidR="00573A0B" w:rsidRPr="00A17CDB">
        <w:rPr>
          <w:rFonts w:ascii="Arial" w:hAnsi="Arial" w:cs="Arial"/>
          <w:sz w:val="24"/>
          <w:szCs w:val="24"/>
        </w:rPr>
        <w:t xml:space="preserve"> </w:t>
      </w:r>
      <w:r w:rsidR="00573A0B" w:rsidRPr="00226CA5">
        <w:rPr>
          <w:rFonts w:ascii="Arial" w:hAnsi="Arial" w:cs="Arial"/>
          <w:sz w:val="24"/>
          <w:szCs w:val="24"/>
        </w:rPr>
        <w:t xml:space="preserve">de transparencia en los términos de la ley en la materia, dado que no encuadra en ninguno de los supuestos establecidos por </w:t>
      </w:r>
      <w:r w:rsidR="00D10FCE" w:rsidRPr="00226CA5">
        <w:rPr>
          <w:rFonts w:ascii="Arial" w:hAnsi="Arial" w:cs="Arial"/>
          <w:sz w:val="24"/>
          <w:szCs w:val="24"/>
        </w:rPr>
        <w:t>los artículos 3º, fracción XXXV, y</w:t>
      </w:r>
      <w:r w:rsidR="00573A0B" w:rsidRPr="00226CA5">
        <w:rPr>
          <w:rFonts w:ascii="Arial" w:hAnsi="Arial" w:cs="Arial"/>
          <w:sz w:val="24"/>
          <w:szCs w:val="24"/>
        </w:rPr>
        <w:t xml:space="preserve"> 23 de la Ley de Transparencia y Acceso a la Información Pública del Estado de San Luis Potosí, toda vez que si bien, se trata de un sindicato, ese solo hecho no la constituye en un sujeto obligado a la publicidad de sus actividades fuera del ámbito de </w:t>
      </w:r>
      <w:r w:rsidR="006D4083" w:rsidRPr="00226CA5">
        <w:rPr>
          <w:rFonts w:ascii="Arial" w:hAnsi="Arial" w:cs="Arial"/>
          <w:sz w:val="24"/>
          <w:szCs w:val="24"/>
        </w:rPr>
        <w:t>sus agremiados</w:t>
      </w:r>
      <w:r w:rsidR="00573A0B" w:rsidRPr="00226CA5">
        <w:rPr>
          <w:rFonts w:ascii="Arial" w:hAnsi="Arial" w:cs="Arial"/>
          <w:sz w:val="24"/>
          <w:szCs w:val="24"/>
        </w:rPr>
        <w:t xml:space="preserve">, pues no recibe </w:t>
      </w:r>
      <w:r w:rsidR="006D4083" w:rsidRPr="00226CA5">
        <w:rPr>
          <w:rFonts w:ascii="Arial" w:hAnsi="Arial" w:cs="Arial"/>
          <w:sz w:val="24"/>
          <w:szCs w:val="24"/>
        </w:rPr>
        <w:t>y maneja</w:t>
      </w:r>
      <w:r w:rsidR="00573A0B" w:rsidRPr="00226CA5">
        <w:rPr>
          <w:rFonts w:ascii="Arial" w:hAnsi="Arial" w:cs="Arial"/>
          <w:sz w:val="24"/>
          <w:szCs w:val="24"/>
        </w:rPr>
        <w:t xml:space="preserve"> </w:t>
      </w:r>
      <w:r w:rsidR="006D4083" w:rsidRPr="00226CA5">
        <w:rPr>
          <w:rFonts w:ascii="Arial" w:hAnsi="Arial" w:cs="Arial"/>
          <w:sz w:val="24"/>
          <w:szCs w:val="24"/>
        </w:rPr>
        <w:t>recursos</w:t>
      </w:r>
      <w:r w:rsidR="00573A0B" w:rsidRPr="00226CA5">
        <w:rPr>
          <w:rFonts w:ascii="Arial" w:hAnsi="Arial" w:cs="Arial"/>
          <w:sz w:val="24"/>
          <w:szCs w:val="24"/>
        </w:rPr>
        <w:t xml:space="preserve"> públicos, sino solamente las prestaciones laborales pactadas con la parte patronal</w:t>
      </w:r>
      <w:r w:rsidR="006D4083" w:rsidRPr="00226CA5">
        <w:rPr>
          <w:rFonts w:ascii="Arial" w:hAnsi="Arial" w:cs="Arial"/>
          <w:sz w:val="24"/>
          <w:szCs w:val="24"/>
        </w:rPr>
        <w:t xml:space="preserve"> en el respectivo contrato de trabajo, las cuales en términos del artículo 84 de la Ley Federal del Trabajo forman parte de las prestaciones laborales de los trabajadores</w:t>
      </w:r>
      <w:r w:rsidR="00A33B02" w:rsidRPr="00226CA5">
        <w:rPr>
          <w:rFonts w:ascii="Arial" w:hAnsi="Arial" w:cs="Arial"/>
          <w:sz w:val="24"/>
          <w:szCs w:val="24"/>
        </w:rPr>
        <w:t xml:space="preserve">; aunado a que la </w:t>
      </w:r>
      <w:r w:rsidR="006D4083" w:rsidRPr="00226CA5">
        <w:rPr>
          <w:rFonts w:ascii="Arial" w:hAnsi="Arial" w:cs="Arial"/>
          <w:sz w:val="24"/>
          <w:szCs w:val="24"/>
        </w:rPr>
        <w:t xml:space="preserve">autoridad </w:t>
      </w:r>
      <w:r w:rsidR="00A33B02" w:rsidRPr="00226CA5">
        <w:rPr>
          <w:rFonts w:ascii="Arial" w:hAnsi="Arial" w:cs="Arial"/>
          <w:sz w:val="24"/>
          <w:szCs w:val="24"/>
        </w:rPr>
        <w:t>demandada</w:t>
      </w:r>
      <w:r w:rsidR="006D4083" w:rsidRPr="00226CA5">
        <w:rPr>
          <w:rFonts w:ascii="Arial" w:hAnsi="Arial" w:cs="Arial"/>
          <w:sz w:val="24"/>
          <w:szCs w:val="24"/>
        </w:rPr>
        <w:t xml:space="preserve"> en el apartado de competencia de la resolución impugnada </w:t>
      </w:r>
      <w:r w:rsidR="00A33B02" w:rsidRPr="00226CA5">
        <w:rPr>
          <w:rFonts w:ascii="Arial" w:hAnsi="Arial" w:cs="Arial"/>
          <w:sz w:val="24"/>
          <w:szCs w:val="24"/>
        </w:rPr>
        <w:t>no vertió argumento alguno tendiente a estos extremos, pues se limitó a enunciar diversos artículos y ordenamientos, entre los que no se encuentra</w:t>
      </w:r>
      <w:r w:rsidR="00D10FCE" w:rsidRPr="00226CA5">
        <w:rPr>
          <w:rFonts w:ascii="Arial" w:hAnsi="Arial" w:cs="Arial"/>
          <w:sz w:val="24"/>
          <w:szCs w:val="24"/>
        </w:rPr>
        <w:t>n</w:t>
      </w:r>
      <w:r w:rsidR="00A33B02" w:rsidRPr="00226CA5">
        <w:rPr>
          <w:rFonts w:ascii="Arial" w:hAnsi="Arial" w:cs="Arial"/>
          <w:sz w:val="24"/>
          <w:szCs w:val="24"/>
        </w:rPr>
        <w:t xml:space="preserve"> </w:t>
      </w:r>
      <w:r w:rsidR="00D10FCE" w:rsidRPr="00226CA5">
        <w:rPr>
          <w:rFonts w:ascii="Arial" w:hAnsi="Arial" w:cs="Arial"/>
          <w:sz w:val="24"/>
          <w:szCs w:val="24"/>
        </w:rPr>
        <w:t>los</w:t>
      </w:r>
      <w:r w:rsidR="00A33B02" w:rsidRPr="00226CA5">
        <w:rPr>
          <w:rFonts w:ascii="Arial" w:hAnsi="Arial" w:cs="Arial"/>
          <w:sz w:val="24"/>
          <w:szCs w:val="24"/>
        </w:rPr>
        <w:t xml:space="preserve"> citado</w:t>
      </w:r>
      <w:r w:rsidR="00D10FCE" w:rsidRPr="00226CA5">
        <w:rPr>
          <w:rFonts w:ascii="Arial" w:hAnsi="Arial" w:cs="Arial"/>
          <w:sz w:val="24"/>
          <w:szCs w:val="24"/>
        </w:rPr>
        <w:t>s</w:t>
      </w:r>
      <w:r w:rsidR="00A33B02" w:rsidRPr="00226CA5">
        <w:rPr>
          <w:rFonts w:ascii="Arial" w:hAnsi="Arial" w:cs="Arial"/>
          <w:sz w:val="24"/>
          <w:szCs w:val="24"/>
        </w:rPr>
        <w:t xml:space="preserve"> artículo</w:t>
      </w:r>
      <w:r w:rsidR="00D10FCE" w:rsidRPr="00226CA5">
        <w:rPr>
          <w:rFonts w:ascii="Arial" w:hAnsi="Arial" w:cs="Arial"/>
          <w:sz w:val="24"/>
          <w:szCs w:val="24"/>
        </w:rPr>
        <w:t>s 3º, fracción XXXV, y</w:t>
      </w:r>
      <w:r w:rsidR="00A33B02" w:rsidRPr="00226CA5">
        <w:rPr>
          <w:rFonts w:ascii="Arial" w:hAnsi="Arial" w:cs="Arial"/>
          <w:sz w:val="24"/>
          <w:szCs w:val="24"/>
        </w:rPr>
        <w:t xml:space="preserve"> 23, y que evidencia la falta de fundamentación y motivación de la competencia del acto impugnado</w:t>
      </w:r>
      <w:r w:rsidR="00226CA5" w:rsidRPr="00226CA5">
        <w:rPr>
          <w:rFonts w:ascii="Arial" w:hAnsi="Arial" w:cs="Arial"/>
          <w:sz w:val="24"/>
          <w:szCs w:val="24"/>
        </w:rPr>
        <w:t xml:space="preserve">; en tanto la actora sustentó, en esencia, que la unión sindical no es sujeto obligado sujeto a la jurisdicción y </w:t>
      </w:r>
      <w:r w:rsidR="00226CA5" w:rsidRPr="00226CA5">
        <w:rPr>
          <w:rFonts w:ascii="Arial" w:hAnsi="Arial" w:cs="Arial"/>
          <w:sz w:val="24"/>
          <w:szCs w:val="24"/>
        </w:rPr>
        <w:lastRenderedPageBreak/>
        <w:t xml:space="preserve">competencia de la CEGAIP, toda vez que los recursos que recibe de parte de la </w:t>
      </w:r>
      <w:r w:rsidR="00062DF7">
        <w:rPr>
          <w:rFonts w:ascii="Arial" w:hAnsi="Arial" w:cs="Arial"/>
          <w:b/>
          <w:bCs/>
          <w:color w:val="FF0000"/>
          <w:sz w:val="24"/>
          <w:szCs w:val="24"/>
        </w:rPr>
        <w:t>**************</w:t>
      </w:r>
      <w:r w:rsidR="00226CA5" w:rsidRPr="00226CA5">
        <w:rPr>
          <w:rFonts w:ascii="Arial" w:hAnsi="Arial" w:cs="Arial"/>
          <w:sz w:val="24"/>
          <w:szCs w:val="24"/>
        </w:rPr>
        <w:t>son provenientes de los descuentos de las cuotas sindicales que dicha Universidad lleva a cabo a sus agremiados y, en general de las prestaciones laborales convenidas en el Contrato Colectivo de Trabajo del Personal Académico, los cuales no resultan ser recursos públicos, en términos de los artículos 3º fracción XXXV, 23 y 93 de la Ley de Transparencia y Acceso a la Información Pública del Estado de San Luis Potosí.</w:t>
      </w:r>
    </w:p>
    <w:p w14:paraId="27BD3194" w14:textId="77777777" w:rsidR="00226CA5" w:rsidRPr="00226CA5" w:rsidRDefault="00226CA5" w:rsidP="00A17CDB">
      <w:pPr>
        <w:spacing w:after="0" w:line="360" w:lineRule="auto"/>
        <w:ind w:firstLine="709"/>
        <w:jc w:val="both"/>
        <w:rPr>
          <w:rFonts w:ascii="Arial" w:hAnsi="Arial" w:cs="Arial"/>
          <w:sz w:val="24"/>
          <w:szCs w:val="24"/>
        </w:rPr>
      </w:pPr>
    </w:p>
    <w:p w14:paraId="1A14F3F1" w14:textId="2CA178A1" w:rsidR="00226CA5" w:rsidRPr="00A17CDB" w:rsidRDefault="00226CA5"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Lo anterior es así, </w:t>
      </w:r>
      <w:r w:rsidR="00FA46B0" w:rsidRPr="00A17CDB">
        <w:rPr>
          <w:rFonts w:ascii="Arial" w:hAnsi="Arial" w:cs="Arial"/>
          <w:sz w:val="24"/>
          <w:szCs w:val="24"/>
        </w:rPr>
        <w:t>refiere</w:t>
      </w:r>
      <w:r w:rsidRPr="00A17CDB">
        <w:rPr>
          <w:rFonts w:ascii="Arial" w:hAnsi="Arial" w:cs="Arial"/>
          <w:sz w:val="24"/>
          <w:szCs w:val="24"/>
        </w:rPr>
        <w:t xml:space="preserve"> la parte actora, porque los recursos que eroga </w:t>
      </w:r>
      <w:r w:rsidR="00FA46B0" w:rsidRPr="00A17CDB">
        <w:rPr>
          <w:rFonts w:ascii="Arial" w:hAnsi="Arial" w:cs="Arial"/>
          <w:sz w:val="24"/>
          <w:szCs w:val="24"/>
        </w:rPr>
        <w:t xml:space="preserve">a la </w:t>
      </w:r>
      <w:r w:rsidR="00062DF7">
        <w:rPr>
          <w:rFonts w:ascii="Arial" w:hAnsi="Arial" w:cs="Arial"/>
          <w:b/>
          <w:bCs/>
          <w:color w:val="FF0000"/>
          <w:sz w:val="24"/>
          <w:szCs w:val="24"/>
        </w:rPr>
        <w:t>**************</w:t>
      </w:r>
      <w:r w:rsidRPr="00A17CDB">
        <w:rPr>
          <w:rFonts w:ascii="Arial" w:hAnsi="Arial" w:cs="Arial"/>
          <w:sz w:val="24"/>
          <w:szCs w:val="24"/>
        </w:rPr>
        <w:t xml:space="preserve">, la </w:t>
      </w:r>
      <w:r w:rsidR="00062DF7">
        <w:rPr>
          <w:rFonts w:ascii="Arial" w:hAnsi="Arial" w:cs="Arial"/>
          <w:b/>
          <w:bCs/>
          <w:color w:val="FF0000"/>
          <w:sz w:val="24"/>
          <w:szCs w:val="24"/>
        </w:rPr>
        <w:t>**************</w:t>
      </w:r>
      <w:r w:rsidRPr="00A17CDB">
        <w:rPr>
          <w:rFonts w:ascii="Arial" w:hAnsi="Arial" w:cs="Arial"/>
          <w:sz w:val="24"/>
          <w:szCs w:val="24"/>
        </w:rPr>
        <w:t xml:space="preserve">, lo hace en su calidad de patrón que éste resulta ser (porque la organización sindical es respecto de los trabajadores </w:t>
      </w:r>
      <w:r w:rsidR="00FA46B0" w:rsidRPr="00A17CDB">
        <w:rPr>
          <w:rFonts w:ascii="Arial" w:hAnsi="Arial" w:cs="Arial"/>
          <w:sz w:val="24"/>
          <w:szCs w:val="24"/>
        </w:rPr>
        <w:t xml:space="preserve">académicos de la </w:t>
      </w:r>
      <w:r w:rsidR="00062DF7">
        <w:rPr>
          <w:rFonts w:ascii="Arial" w:hAnsi="Arial" w:cs="Arial"/>
          <w:b/>
          <w:bCs/>
          <w:color w:val="FF0000"/>
          <w:sz w:val="24"/>
          <w:szCs w:val="24"/>
        </w:rPr>
        <w:t>**************</w:t>
      </w:r>
      <w:r w:rsidRPr="00A17CDB">
        <w:rPr>
          <w:rFonts w:ascii="Arial" w:hAnsi="Arial" w:cs="Arial"/>
          <w:sz w:val="24"/>
          <w:szCs w:val="24"/>
        </w:rPr>
        <w:t xml:space="preserve">), lo que implica que se trata de una relación entre trabajador y patrón. </w:t>
      </w:r>
      <w:r w:rsidR="00FA46B0" w:rsidRPr="00A17CDB">
        <w:rPr>
          <w:rFonts w:ascii="Arial" w:hAnsi="Arial" w:cs="Arial"/>
          <w:sz w:val="24"/>
          <w:szCs w:val="24"/>
        </w:rPr>
        <w:t xml:space="preserve">  </w:t>
      </w:r>
      <w:r w:rsidRPr="00A17CDB">
        <w:rPr>
          <w:rFonts w:ascii="Arial" w:hAnsi="Arial" w:cs="Arial"/>
          <w:sz w:val="24"/>
          <w:szCs w:val="24"/>
        </w:rPr>
        <w:t xml:space="preserve">De ahí que las prestaciones que </w:t>
      </w:r>
      <w:r w:rsidR="00FA46B0" w:rsidRPr="00A17CDB">
        <w:rPr>
          <w:rFonts w:ascii="Arial" w:hAnsi="Arial" w:cs="Arial"/>
          <w:sz w:val="24"/>
          <w:szCs w:val="24"/>
        </w:rPr>
        <w:t xml:space="preserve">la </w:t>
      </w:r>
      <w:r w:rsidR="00062DF7">
        <w:rPr>
          <w:rFonts w:ascii="Arial" w:hAnsi="Arial" w:cs="Arial"/>
          <w:b/>
          <w:bCs/>
          <w:color w:val="FF0000"/>
          <w:sz w:val="24"/>
          <w:szCs w:val="24"/>
        </w:rPr>
        <w:t>**************</w:t>
      </w:r>
      <w:r w:rsidRPr="00A17CDB">
        <w:rPr>
          <w:rFonts w:ascii="Arial" w:hAnsi="Arial" w:cs="Arial"/>
          <w:sz w:val="24"/>
          <w:szCs w:val="24"/>
        </w:rPr>
        <w:t>, no son públicas, sino que resultan o son consecuencia del contrato colectivo de trabajo y de las condiciones generales de éste, esto es, derivado de una relación obrero –patronal.</w:t>
      </w:r>
    </w:p>
    <w:p w14:paraId="56B19575" w14:textId="77777777" w:rsidR="00FA46B0" w:rsidRPr="00A17CDB" w:rsidRDefault="00FA46B0" w:rsidP="00A17CDB">
      <w:pPr>
        <w:spacing w:after="0" w:line="360" w:lineRule="auto"/>
        <w:ind w:firstLine="709"/>
        <w:jc w:val="both"/>
        <w:rPr>
          <w:rFonts w:ascii="Arial" w:hAnsi="Arial" w:cs="Arial"/>
          <w:sz w:val="24"/>
          <w:szCs w:val="24"/>
        </w:rPr>
      </w:pPr>
    </w:p>
    <w:p w14:paraId="014B0875" w14:textId="7875E006" w:rsidR="00226CA5" w:rsidRPr="00A17CDB" w:rsidRDefault="00226CA5"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Por ende, concluye la quejosa, las cantidades que recibe </w:t>
      </w:r>
      <w:r w:rsidR="00FA46B0" w:rsidRPr="00A17CDB">
        <w:rPr>
          <w:rFonts w:ascii="Arial" w:hAnsi="Arial" w:cs="Arial"/>
          <w:sz w:val="24"/>
          <w:szCs w:val="24"/>
        </w:rPr>
        <w:t>la unión sindical</w:t>
      </w:r>
      <w:r w:rsidRPr="00A17CDB">
        <w:rPr>
          <w:rFonts w:ascii="Arial" w:hAnsi="Arial" w:cs="Arial"/>
          <w:sz w:val="24"/>
          <w:szCs w:val="24"/>
        </w:rPr>
        <w:t xml:space="preserve"> no son recursos públicos, ya que las obtiene con motivo de las prestaciones económicas convenidas en las condiciones de trabajo acordadas entre el patrón (</w:t>
      </w:r>
      <w:r w:rsidR="00062DF7">
        <w:rPr>
          <w:rFonts w:ascii="Arial" w:hAnsi="Arial" w:cs="Arial"/>
          <w:b/>
          <w:bCs/>
          <w:color w:val="FF0000"/>
          <w:sz w:val="24"/>
          <w:szCs w:val="24"/>
        </w:rPr>
        <w:t>**************</w:t>
      </w:r>
      <w:r w:rsidRPr="00A17CDB">
        <w:rPr>
          <w:rFonts w:ascii="Arial" w:hAnsi="Arial" w:cs="Arial"/>
          <w:sz w:val="24"/>
          <w:szCs w:val="24"/>
        </w:rPr>
        <w:t xml:space="preserve">) y </w:t>
      </w:r>
      <w:r w:rsidR="00FA46B0" w:rsidRPr="00A17CDB">
        <w:rPr>
          <w:rFonts w:ascii="Arial" w:hAnsi="Arial" w:cs="Arial"/>
          <w:sz w:val="24"/>
          <w:szCs w:val="24"/>
        </w:rPr>
        <w:t xml:space="preserve">la </w:t>
      </w:r>
      <w:r w:rsidR="00062DF7">
        <w:rPr>
          <w:rFonts w:ascii="Arial" w:hAnsi="Arial" w:cs="Arial"/>
          <w:b/>
          <w:bCs/>
          <w:color w:val="FF0000"/>
          <w:sz w:val="24"/>
          <w:szCs w:val="24"/>
        </w:rPr>
        <w:t>**************</w:t>
      </w:r>
      <w:r w:rsidRPr="00A17CDB">
        <w:rPr>
          <w:rFonts w:ascii="Arial" w:hAnsi="Arial" w:cs="Arial"/>
          <w:sz w:val="24"/>
          <w:szCs w:val="24"/>
        </w:rPr>
        <w:t xml:space="preserve">, y dichas erogaciones no son realizadas por </w:t>
      </w:r>
      <w:r w:rsidR="00FA46B0" w:rsidRPr="00A17CDB">
        <w:rPr>
          <w:rFonts w:ascii="Arial" w:hAnsi="Arial" w:cs="Arial"/>
          <w:sz w:val="24"/>
          <w:szCs w:val="24"/>
        </w:rPr>
        <w:t xml:space="preserve">la </w:t>
      </w:r>
      <w:r w:rsidR="00062DF7">
        <w:rPr>
          <w:rFonts w:ascii="Arial" w:hAnsi="Arial" w:cs="Arial"/>
          <w:b/>
          <w:bCs/>
          <w:color w:val="FF0000"/>
          <w:sz w:val="24"/>
          <w:szCs w:val="24"/>
        </w:rPr>
        <w:t>**************</w:t>
      </w:r>
      <w:r w:rsidRPr="00A17CDB">
        <w:rPr>
          <w:rFonts w:ascii="Arial" w:hAnsi="Arial" w:cs="Arial"/>
          <w:sz w:val="24"/>
          <w:szCs w:val="24"/>
        </w:rPr>
        <w:t>en función a un servicio público.</w:t>
      </w:r>
    </w:p>
    <w:p w14:paraId="53849D10" w14:textId="323D3B24" w:rsidR="00226CA5" w:rsidRPr="00A17CDB" w:rsidRDefault="00226CA5"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El argumento antes descrito, deviene fundado y suficiente para conceder </w:t>
      </w:r>
      <w:r w:rsidR="00FA46B0" w:rsidRPr="00A17CDB">
        <w:rPr>
          <w:rFonts w:ascii="Arial" w:hAnsi="Arial" w:cs="Arial"/>
          <w:sz w:val="24"/>
          <w:szCs w:val="24"/>
        </w:rPr>
        <w:t>la nulidad lisa y llana solicitada</w:t>
      </w:r>
      <w:r w:rsidRPr="00A17CDB">
        <w:rPr>
          <w:rFonts w:ascii="Arial" w:hAnsi="Arial" w:cs="Arial"/>
          <w:sz w:val="24"/>
          <w:szCs w:val="24"/>
        </w:rPr>
        <w:t>.</w:t>
      </w:r>
    </w:p>
    <w:p w14:paraId="7212926B" w14:textId="69F10CCC" w:rsidR="00FA46B0" w:rsidRPr="00A17CDB" w:rsidRDefault="00FA46B0" w:rsidP="00A17CDB">
      <w:pPr>
        <w:spacing w:after="0" w:line="360" w:lineRule="auto"/>
        <w:ind w:firstLine="709"/>
        <w:jc w:val="both"/>
        <w:rPr>
          <w:rFonts w:ascii="Arial" w:hAnsi="Arial" w:cs="Arial"/>
          <w:sz w:val="24"/>
          <w:szCs w:val="24"/>
        </w:rPr>
      </w:pPr>
    </w:p>
    <w:p w14:paraId="7A2D3DB7" w14:textId="6E3C77C8" w:rsidR="00226CA5" w:rsidRPr="00A17CDB" w:rsidRDefault="00FA46B0"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Como se ha señalado en párrafos precedentes, </w:t>
      </w:r>
      <w:r w:rsidRPr="00226CA5">
        <w:rPr>
          <w:rFonts w:ascii="Arial" w:hAnsi="Arial" w:cs="Arial"/>
          <w:sz w:val="24"/>
          <w:szCs w:val="24"/>
        </w:rPr>
        <w:t>los artículos 3º fracción XXXV, 23 y 93 de la Ley de Transparencia y Acceso a la Información Pública del Estado de San Luis Potosí</w:t>
      </w:r>
      <w:r w:rsidR="00226CA5" w:rsidRPr="00A17CDB">
        <w:rPr>
          <w:rFonts w:ascii="Arial" w:hAnsi="Arial" w:cs="Arial"/>
          <w:sz w:val="24"/>
          <w:szCs w:val="24"/>
        </w:rPr>
        <w:t>, previene</w:t>
      </w:r>
      <w:r w:rsidRPr="00A17CDB">
        <w:rPr>
          <w:rFonts w:ascii="Arial" w:hAnsi="Arial" w:cs="Arial"/>
          <w:sz w:val="24"/>
          <w:szCs w:val="24"/>
        </w:rPr>
        <w:t>n</w:t>
      </w:r>
      <w:r w:rsidR="00226CA5" w:rsidRPr="00A17CDB">
        <w:rPr>
          <w:rFonts w:ascii="Arial" w:hAnsi="Arial" w:cs="Arial"/>
          <w:sz w:val="24"/>
          <w:szCs w:val="24"/>
        </w:rPr>
        <w:t xml:space="preserve"> y determina</w:t>
      </w:r>
      <w:r w:rsidRPr="00A17CDB">
        <w:rPr>
          <w:rFonts w:ascii="Arial" w:hAnsi="Arial" w:cs="Arial"/>
          <w:sz w:val="24"/>
          <w:szCs w:val="24"/>
        </w:rPr>
        <w:t>n</w:t>
      </w:r>
      <w:r w:rsidR="00226CA5" w:rsidRPr="00A17CDB">
        <w:rPr>
          <w:rFonts w:ascii="Arial" w:hAnsi="Arial" w:cs="Arial"/>
          <w:sz w:val="24"/>
          <w:szCs w:val="24"/>
        </w:rPr>
        <w:t xml:space="preserve"> a quiénes se les cataloga como sujetos obligados a proporcionar la información prevista en la legislación aludida, respecto de la cual se encuentran conminados a hacerla pública</w:t>
      </w:r>
      <w:r w:rsidRPr="00A17CDB">
        <w:rPr>
          <w:rFonts w:ascii="Arial" w:hAnsi="Arial" w:cs="Arial"/>
          <w:sz w:val="24"/>
          <w:szCs w:val="24"/>
        </w:rPr>
        <w:t>.</w:t>
      </w:r>
    </w:p>
    <w:p w14:paraId="20CC12F6" w14:textId="500032D2" w:rsidR="00FA46B0" w:rsidRPr="00A17CDB" w:rsidRDefault="00FA46B0" w:rsidP="00A17CDB">
      <w:pPr>
        <w:spacing w:after="0" w:line="360" w:lineRule="auto"/>
        <w:ind w:firstLine="709"/>
        <w:jc w:val="both"/>
        <w:rPr>
          <w:rFonts w:ascii="Arial" w:hAnsi="Arial" w:cs="Arial"/>
          <w:sz w:val="24"/>
          <w:szCs w:val="24"/>
        </w:rPr>
      </w:pPr>
    </w:p>
    <w:p w14:paraId="32AA78C2" w14:textId="2758CD71" w:rsidR="00FA46B0" w:rsidRPr="00A17CDB" w:rsidRDefault="00FA46B0"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Los citados preceptos enumeran los sujetos obligados a proporcionar información prevista en la legislación aludida, respecto de la cual se encuentran encaminados a hacerla pública y, asimismo, a ser sujetos de medida de apremio por parte de la CEGAIP; en lo que aquí interesa, se prevé </w:t>
      </w:r>
      <w:r w:rsidRPr="00A17CDB">
        <w:rPr>
          <w:rFonts w:ascii="Arial" w:hAnsi="Arial" w:cs="Arial"/>
          <w:sz w:val="24"/>
          <w:szCs w:val="24"/>
        </w:rPr>
        <w:lastRenderedPageBreak/>
        <w:t>que la</w:t>
      </w:r>
      <w:r w:rsidR="00123119" w:rsidRPr="00A17CDB">
        <w:rPr>
          <w:rFonts w:ascii="Arial" w:hAnsi="Arial" w:cs="Arial"/>
          <w:sz w:val="24"/>
          <w:szCs w:val="24"/>
        </w:rPr>
        <w:t xml:space="preserve"> persona física, moral o sindicato puede ser sujeto obligado, pero lo condiciona a que reciba y ejerza recursos públicos o realice actos de autoridad en el ámbito estatal y municipal.</w:t>
      </w:r>
    </w:p>
    <w:p w14:paraId="14CE41BE" w14:textId="47BCD9C2" w:rsidR="00123119" w:rsidRPr="00A17CDB" w:rsidRDefault="00123119" w:rsidP="00A17CDB">
      <w:pPr>
        <w:spacing w:after="0" w:line="360" w:lineRule="auto"/>
        <w:ind w:firstLine="709"/>
        <w:jc w:val="both"/>
        <w:rPr>
          <w:rFonts w:ascii="Arial" w:hAnsi="Arial" w:cs="Arial"/>
          <w:sz w:val="24"/>
          <w:szCs w:val="24"/>
        </w:rPr>
      </w:pPr>
    </w:p>
    <w:p w14:paraId="32FAC91C" w14:textId="3A4047AB" w:rsidR="00123119" w:rsidRPr="00A17CDB" w:rsidRDefault="00123119" w:rsidP="00A17CDB">
      <w:pPr>
        <w:spacing w:after="0" w:line="360" w:lineRule="auto"/>
        <w:ind w:firstLine="709"/>
        <w:jc w:val="both"/>
        <w:rPr>
          <w:rFonts w:ascii="Arial" w:hAnsi="Arial" w:cs="Arial"/>
          <w:sz w:val="24"/>
          <w:szCs w:val="24"/>
        </w:rPr>
      </w:pPr>
      <w:r w:rsidRPr="00A17CDB">
        <w:rPr>
          <w:rFonts w:ascii="Arial" w:hAnsi="Arial" w:cs="Arial"/>
          <w:sz w:val="24"/>
          <w:szCs w:val="24"/>
        </w:rPr>
        <w:t xml:space="preserve">En el caso concreto, la </w:t>
      </w:r>
      <w:r w:rsidR="00062DF7">
        <w:rPr>
          <w:rFonts w:ascii="Arial" w:hAnsi="Arial" w:cs="Arial"/>
          <w:b/>
          <w:bCs/>
          <w:color w:val="FF0000"/>
          <w:sz w:val="24"/>
          <w:szCs w:val="24"/>
        </w:rPr>
        <w:t>**************</w:t>
      </w:r>
      <w:r w:rsidRPr="00A17CDB">
        <w:rPr>
          <w:rFonts w:ascii="Arial" w:hAnsi="Arial" w:cs="Arial"/>
          <w:sz w:val="24"/>
          <w:szCs w:val="24"/>
        </w:rPr>
        <w:t xml:space="preserve">, aquí actora, no le resulta el carácter de sujeto obligado, toda vez que, como así lo indicó correctamente la propia accionante, la aportación que recibe de la </w:t>
      </w:r>
      <w:r w:rsidR="00062DF7">
        <w:rPr>
          <w:rFonts w:ascii="Arial" w:hAnsi="Arial" w:cs="Arial"/>
          <w:b/>
          <w:bCs/>
          <w:color w:val="FF0000"/>
          <w:sz w:val="24"/>
          <w:szCs w:val="24"/>
        </w:rPr>
        <w:t>**************</w:t>
      </w:r>
      <w:r w:rsidRPr="00A17CDB">
        <w:rPr>
          <w:rFonts w:ascii="Arial" w:hAnsi="Arial" w:cs="Arial"/>
          <w:sz w:val="24"/>
          <w:szCs w:val="24"/>
        </w:rPr>
        <w:t xml:space="preserve">, por concepto de cuotas sindicales y demás prestaciones convenidas en el </w:t>
      </w:r>
      <w:r w:rsidR="00062DF7">
        <w:rPr>
          <w:rFonts w:ascii="Arial" w:hAnsi="Arial" w:cs="Arial"/>
          <w:b/>
          <w:bCs/>
          <w:color w:val="FF0000"/>
          <w:sz w:val="24"/>
          <w:szCs w:val="24"/>
        </w:rPr>
        <w:t>**************</w:t>
      </w:r>
      <w:r w:rsidRPr="00A17CDB">
        <w:rPr>
          <w:rFonts w:ascii="Arial" w:hAnsi="Arial" w:cs="Arial"/>
          <w:sz w:val="24"/>
          <w:szCs w:val="24"/>
        </w:rPr>
        <w:t xml:space="preserve">, no puede considerarse como comprendida dentro del rubro de “recursos públicos”, entendiendo por éstos, el peculio con que cuenta el </w:t>
      </w:r>
      <w:r w:rsidR="001756C7">
        <w:rPr>
          <w:rFonts w:ascii="Arial" w:hAnsi="Arial" w:cs="Arial"/>
          <w:sz w:val="24"/>
          <w:szCs w:val="24"/>
        </w:rPr>
        <w:t>E</w:t>
      </w:r>
      <w:r w:rsidRPr="00A17CDB">
        <w:rPr>
          <w:rFonts w:ascii="Arial" w:hAnsi="Arial" w:cs="Arial"/>
          <w:sz w:val="24"/>
          <w:szCs w:val="24"/>
        </w:rPr>
        <w:t xml:space="preserve">stado para la consecución de sus fines públicos, esto implica, que el recurso público se implementará o utilizará por el </w:t>
      </w:r>
      <w:r w:rsidR="001756C7">
        <w:rPr>
          <w:rFonts w:ascii="Arial" w:hAnsi="Arial" w:cs="Arial"/>
          <w:sz w:val="24"/>
          <w:szCs w:val="24"/>
        </w:rPr>
        <w:t>E</w:t>
      </w:r>
      <w:r w:rsidRPr="00A17CDB">
        <w:rPr>
          <w:rFonts w:ascii="Arial" w:hAnsi="Arial" w:cs="Arial"/>
          <w:sz w:val="24"/>
          <w:szCs w:val="24"/>
        </w:rPr>
        <w:t>stado, cuando se desarrolle en su faceta de autoridad en ejercicio de sus funciones</w:t>
      </w:r>
      <w:r w:rsidR="00A17CDB" w:rsidRPr="00A17CDB">
        <w:rPr>
          <w:rFonts w:ascii="Arial" w:hAnsi="Arial" w:cs="Arial"/>
          <w:sz w:val="24"/>
          <w:szCs w:val="24"/>
        </w:rPr>
        <w:t>.</w:t>
      </w:r>
    </w:p>
    <w:p w14:paraId="6CCCDED7" w14:textId="0A8DD0F9" w:rsidR="00A17CDB" w:rsidRPr="00A17CDB" w:rsidRDefault="00A17CDB" w:rsidP="00A17CDB">
      <w:pPr>
        <w:spacing w:after="0" w:line="360" w:lineRule="auto"/>
        <w:ind w:firstLine="709"/>
        <w:jc w:val="both"/>
        <w:rPr>
          <w:rFonts w:ascii="Arial" w:hAnsi="Arial" w:cs="Arial"/>
          <w:sz w:val="24"/>
          <w:szCs w:val="24"/>
        </w:rPr>
      </w:pPr>
    </w:p>
    <w:p w14:paraId="7D96A576" w14:textId="101681BE" w:rsidR="00A17CDB" w:rsidRPr="00A17CDB" w:rsidRDefault="00A17CDB" w:rsidP="00A17CDB">
      <w:pPr>
        <w:spacing w:after="0" w:line="360" w:lineRule="auto"/>
        <w:ind w:firstLine="709"/>
        <w:jc w:val="both"/>
        <w:rPr>
          <w:rFonts w:ascii="Arial" w:hAnsi="Arial" w:cs="Arial"/>
          <w:sz w:val="24"/>
          <w:szCs w:val="24"/>
        </w:rPr>
      </w:pPr>
      <w:r w:rsidRPr="00A17CDB">
        <w:rPr>
          <w:rFonts w:ascii="Arial" w:hAnsi="Arial" w:cs="Arial"/>
          <w:sz w:val="24"/>
          <w:szCs w:val="24"/>
        </w:rPr>
        <w:t>Por las razones que la informan, es aplicable la tesis que reza:</w:t>
      </w:r>
    </w:p>
    <w:p w14:paraId="4A7C0501" w14:textId="12D8CCEF" w:rsidR="00A17CDB" w:rsidRPr="00A17CDB" w:rsidRDefault="00A17CDB" w:rsidP="00A17CDB">
      <w:pPr>
        <w:spacing w:after="0" w:line="360" w:lineRule="auto"/>
        <w:ind w:firstLine="709"/>
        <w:jc w:val="both"/>
        <w:rPr>
          <w:rFonts w:ascii="Arial" w:hAnsi="Arial" w:cs="Arial"/>
          <w:sz w:val="24"/>
          <w:szCs w:val="24"/>
        </w:rPr>
      </w:pPr>
    </w:p>
    <w:p w14:paraId="37C1518A"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b/>
          <w:bCs/>
          <w:color w:val="000000"/>
          <w:sz w:val="20"/>
          <w:szCs w:val="20"/>
        </w:rPr>
        <w:t>Registro digital:</w:t>
      </w:r>
      <w:r w:rsidRPr="00A17CDB">
        <w:rPr>
          <w:rFonts w:ascii="Arial" w:hAnsi="Arial" w:cs="Arial"/>
          <w:color w:val="000000"/>
          <w:sz w:val="20"/>
          <w:szCs w:val="20"/>
        </w:rPr>
        <w:t xml:space="preserve"> 165214</w:t>
      </w:r>
    </w:p>
    <w:p w14:paraId="0E61E46B"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Instancia: Pleno</w:t>
      </w:r>
    </w:p>
    <w:p w14:paraId="5C8482B5"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Novena Época</w:t>
      </w:r>
    </w:p>
    <w:p w14:paraId="62974F8A"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Materias(s): Administrativa</w:t>
      </w:r>
    </w:p>
    <w:p w14:paraId="61D34FA6" w14:textId="4AD5194D"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Tesis: P. XXI/2010</w:t>
      </w:r>
    </w:p>
    <w:p w14:paraId="02A39070"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Fuente: Semanario Judicial de la Federación y su Gaceta. Tomo XXXI, Febrero de 2010, página 31</w:t>
      </w:r>
    </w:p>
    <w:p w14:paraId="57E8D933"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color w:val="000000"/>
          <w:sz w:val="20"/>
          <w:szCs w:val="20"/>
        </w:rPr>
        <w:t>Tipo: Aislada</w:t>
      </w:r>
    </w:p>
    <w:p w14:paraId="1AE1626F" w14:textId="77777777"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p>
    <w:p w14:paraId="598B41A0" w14:textId="28F28DC4" w:rsidR="00A17CDB" w:rsidRPr="00A17CDB" w:rsidRDefault="00A17CDB" w:rsidP="00A17CDB">
      <w:pPr>
        <w:autoSpaceDE w:val="0"/>
        <w:autoSpaceDN w:val="0"/>
        <w:adjustRightInd w:val="0"/>
        <w:spacing w:after="0" w:line="240" w:lineRule="auto"/>
        <w:ind w:left="567" w:right="618"/>
        <w:jc w:val="both"/>
        <w:rPr>
          <w:rFonts w:ascii="Arial" w:hAnsi="Arial" w:cs="Arial"/>
          <w:color w:val="000000"/>
          <w:sz w:val="20"/>
          <w:szCs w:val="20"/>
        </w:rPr>
      </w:pPr>
      <w:r w:rsidRPr="00A17CDB">
        <w:rPr>
          <w:rFonts w:ascii="Arial" w:hAnsi="Arial" w:cs="Arial"/>
          <w:b/>
          <w:bCs/>
          <w:color w:val="000000"/>
          <w:sz w:val="20"/>
          <w:szCs w:val="20"/>
        </w:rPr>
        <w:t xml:space="preserve">NÓMINAS. LA SUPREMA CORTE DE JUSTICIA DE LA NACIÓN TIENE CAPACIDAD CONTRIBUTIVA PARA EFECTOS DE ESE IMPUESTO LOCAL, A PESAR DE QUE REALICE LA FUNCIÓN PÚBLICA DE IMPARTIR JUSTICIA CON RECURSOS PÚBLICOS PRESUPUESTADOS.    </w:t>
      </w:r>
      <w:r w:rsidRPr="00C03E7D">
        <w:rPr>
          <w:rFonts w:ascii="Arial" w:hAnsi="Arial" w:cs="Arial"/>
          <w:color w:val="000000"/>
          <w:sz w:val="20"/>
          <w:szCs w:val="20"/>
          <w:u w:val="single"/>
        </w:rPr>
        <w:t>Conforme a los artículos 4, fracción II, 24, fracción III, 25, primer párrafo, primera parte, 33, fracción I, 47, primer párrafo y 64 de la Ley Federal de Presupuesto y Responsabilidad Hacendaria, el Poder Judicial de la Federación (como ejecutor de gasto autónomo) y, en consecuencia, la Suprema Corte de Justicia de la Nación contará anualmente con los recursos públicos necesarios para el desarrollo óptimo de sus fines públicos y, en particular, para cubrir las contribuciones que le corresponda</w:t>
      </w:r>
      <w:r w:rsidRPr="00A17CDB">
        <w:rPr>
          <w:rFonts w:ascii="Arial" w:hAnsi="Arial" w:cs="Arial"/>
          <w:color w:val="000000"/>
          <w:sz w:val="20"/>
          <w:szCs w:val="20"/>
        </w:rPr>
        <w:t>, entre ellas, el impuesto local sobre nóminas o sobre remuneraciones al trabajo personal, de manera que tal asignación la efectúa la Cámara de Diputados del Congreso de la Unión, con antelación a la realización del hecho imponible. En ese tenor, la circunstancia de que el Alto Tribunal tenga una asignación presupuestaria con cargo a la partida o concepto respectivo, y no cuente con recursos propios originados a partir de una actividad económica generadora de riqueza, entendida como aquella que tiene por objeto la producción, distribución y consumo de bienes y servicios, no significa que carezca de capacidad contributiva para cubrir el tributo de referencia, pues a éste le resulta ajena toda situación específica o particular del contribuyente y, por ende, no trasciende a la imposición el tipo de actividad que efectúe, la naturaleza de los servicios que presta, o bien, el origen de los recursos empleados al realizar las erogaciones gravadas o con los que hace frente a la obligación tributaria, ya que sólo basta que lleve a cabo la remuneración correspondiente para que se concrete el hecho imponible.</w:t>
      </w:r>
    </w:p>
    <w:p w14:paraId="223AB0F0" w14:textId="749E6EB3" w:rsidR="00A17CDB" w:rsidRPr="002A1CC9" w:rsidRDefault="00A17CDB" w:rsidP="002A1CC9">
      <w:pPr>
        <w:spacing w:after="0" w:line="360" w:lineRule="auto"/>
        <w:ind w:firstLine="709"/>
        <w:jc w:val="both"/>
        <w:rPr>
          <w:rFonts w:ascii="Arial" w:hAnsi="Arial" w:cs="Arial"/>
          <w:sz w:val="24"/>
          <w:szCs w:val="24"/>
        </w:rPr>
      </w:pPr>
    </w:p>
    <w:p w14:paraId="150A97CC" w14:textId="6C631EF7" w:rsidR="00C03E7D" w:rsidRDefault="00C03E7D" w:rsidP="002A1CC9">
      <w:pPr>
        <w:spacing w:after="0" w:line="360" w:lineRule="auto"/>
        <w:ind w:firstLine="709"/>
        <w:jc w:val="both"/>
        <w:rPr>
          <w:rFonts w:ascii="Arial" w:hAnsi="Arial" w:cs="Arial"/>
          <w:sz w:val="24"/>
          <w:szCs w:val="24"/>
        </w:rPr>
      </w:pPr>
      <w:r w:rsidRPr="00C03E7D">
        <w:rPr>
          <w:rFonts w:ascii="Arial" w:hAnsi="Arial" w:cs="Arial"/>
          <w:sz w:val="24"/>
          <w:szCs w:val="24"/>
        </w:rPr>
        <w:t xml:space="preserve">En la especie, se insiste en que </w:t>
      </w:r>
      <w:r>
        <w:rPr>
          <w:rFonts w:ascii="Arial" w:hAnsi="Arial" w:cs="Arial"/>
          <w:sz w:val="24"/>
          <w:szCs w:val="24"/>
        </w:rPr>
        <w:t>las cuotas y cualquier</w:t>
      </w:r>
      <w:r w:rsidRPr="00C03E7D">
        <w:rPr>
          <w:rFonts w:ascii="Arial" w:hAnsi="Arial" w:cs="Arial"/>
          <w:sz w:val="24"/>
          <w:szCs w:val="24"/>
        </w:rPr>
        <w:t xml:space="preserve"> apoyo otorgado por </w:t>
      </w:r>
      <w:r>
        <w:rPr>
          <w:rFonts w:ascii="Arial" w:hAnsi="Arial" w:cs="Arial"/>
          <w:sz w:val="24"/>
          <w:szCs w:val="24"/>
        </w:rPr>
        <w:t xml:space="preserve">la </w:t>
      </w:r>
      <w:r w:rsidR="00062DF7">
        <w:rPr>
          <w:rFonts w:ascii="Arial" w:hAnsi="Arial" w:cs="Arial"/>
          <w:b/>
          <w:bCs/>
          <w:color w:val="FF0000"/>
          <w:sz w:val="24"/>
          <w:szCs w:val="24"/>
        </w:rPr>
        <w:t>**************</w:t>
      </w:r>
      <w:r w:rsidRPr="00C03E7D">
        <w:rPr>
          <w:rFonts w:ascii="Arial" w:hAnsi="Arial" w:cs="Arial"/>
          <w:sz w:val="24"/>
          <w:szCs w:val="24"/>
        </w:rPr>
        <w:t>, a</w:t>
      </w:r>
      <w:r>
        <w:rPr>
          <w:rFonts w:ascii="Arial" w:hAnsi="Arial" w:cs="Arial"/>
          <w:sz w:val="24"/>
          <w:szCs w:val="24"/>
        </w:rPr>
        <w:t xml:space="preserve"> la</w:t>
      </w:r>
      <w:r w:rsidRPr="00C03E7D">
        <w:rPr>
          <w:rFonts w:ascii="Arial" w:hAnsi="Arial" w:cs="Arial"/>
          <w:sz w:val="24"/>
          <w:szCs w:val="24"/>
        </w:rPr>
        <w:t xml:space="preserve"> </w:t>
      </w:r>
      <w:r w:rsidR="00062DF7">
        <w:rPr>
          <w:rFonts w:ascii="Arial" w:hAnsi="Arial" w:cs="Arial"/>
          <w:b/>
          <w:bCs/>
          <w:color w:val="FF0000"/>
          <w:sz w:val="24"/>
          <w:szCs w:val="24"/>
        </w:rPr>
        <w:t>**************</w:t>
      </w:r>
      <w:r w:rsidRPr="00C03E7D">
        <w:rPr>
          <w:rFonts w:ascii="Arial" w:hAnsi="Arial" w:cs="Arial"/>
          <w:sz w:val="24"/>
          <w:szCs w:val="24"/>
        </w:rPr>
        <w:t xml:space="preserve">, no es un recurso público, porque </w:t>
      </w:r>
      <w:r>
        <w:rPr>
          <w:rFonts w:ascii="Arial" w:hAnsi="Arial" w:cs="Arial"/>
          <w:sz w:val="24"/>
          <w:szCs w:val="24"/>
        </w:rPr>
        <w:t>los</w:t>
      </w:r>
      <w:r w:rsidRPr="00C03E7D">
        <w:rPr>
          <w:rFonts w:ascii="Arial" w:hAnsi="Arial" w:cs="Arial"/>
          <w:sz w:val="24"/>
          <w:szCs w:val="24"/>
        </w:rPr>
        <w:t xml:space="preserve"> </w:t>
      </w:r>
      <w:r w:rsidRPr="00C03E7D">
        <w:rPr>
          <w:rFonts w:ascii="Arial" w:hAnsi="Arial" w:cs="Arial"/>
          <w:sz w:val="24"/>
          <w:szCs w:val="24"/>
        </w:rPr>
        <w:lastRenderedPageBreak/>
        <w:t>mismo</w:t>
      </w:r>
      <w:r>
        <w:rPr>
          <w:rFonts w:ascii="Arial" w:hAnsi="Arial" w:cs="Arial"/>
          <w:sz w:val="24"/>
          <w:szCs w:val="24"/>
        </w:rPr>
        <w:t>s</w:t>
      </w:r>
      <w:r w:rsidRPr="00C03E7D">
        <w:rPr>
          <w:rFonts w:ascii="Arial" w:hAnsi="Arial" w:cs="Arial"/>
          <w:sz w:val="24"/>
          <w:szCs w:val="24"/>
        </w:rPr>
        <w:t xml:space="preserve"> </w:t>
      </w:r>
      <w:r>
        <w:rPr>
          <w:rFonts w:ascii="Arial" w:hAnsi="Arial" w:cs="Arial"/>
          <w:sz w:val="24"/>
          <w:szCs w:val="24"/>
        </w:rPr>
        <w:t>son</w:t>
      </w:r>
      <w:r w:rsidRPr="00C03E7D">
        <w:rPr>
          <w:rFonts w:ascii="Arial" w:hAnsi="Arial" w:cs="Arial"/>
          <w:sz w:val="24"/>
          <w:szCs w:val="24"/>
        </w:rPr>
        <w:t xml:space="preserve"> erogado</w:t>
      </w:r>
      <w:r>
        <w:rPr>
          <w:rFonts w:ascii="Arial" w:hAnsi="Arial" w:cs="Arial"/>
          <w:sz w:val="24"/>
          <w:szCs w:val="24"/>
        </w:rPr>
        <w:t>s</w:t>
      </w:r>
      <w:r w:rsidRPr="00C03E7D">
        <w:rPr>
          <w:rFonts w:ascii="Arial" w:hAnsi="Arial" w:cs="Arial"/>
          <w:sz w:val="24"/>
          <w:szCs w:val="24"/>
        </w:rPr>
        <w:t xml:space="preserve"> por </w:t>
      </w:r>
      <w:r>
        <w:rPr>
          <w:rFonts w:ascii="Arial" w:hAnsi="Arial" w:cs="Arial"/>
          <w:sz w:val="24"/>
          <w:szCs w:val="24"/>
        </w:rPr>
        <w:t xml:space="preserve">la </w:t>
      </w:r>
      <w:r w:rsidR="00062DF7">
        <w:rPr>
          <w:rFonts w:ascii="Arial" w:hAnsi="Arial" w:cs="Arial"/>
          <w:b/>
          <w:bCs/>
          <w:color w:val="FF0000"/>
          <w:sz w:val="24"/>
          <w:szCs w:val="24"/>
        </w:rPr>
        <w:t>**************</w:t>
      </w:r>
      <w:r w:rsidRPr="00C03E7D">
        <w:rPr>
          <w:rFonts w:ascii="Arial" w:hAnsi="Arial" w:cs="Arial"/>
          <w:sz w:val="24"/>
          <w:szCs w:val="24"/>
        </w:rPr>
        <w:t>en su calidad de patrón, esto es, en razón de la existencia de una relación obrero-patronal verificada entre ambos entes (</w:t>
      </w:r>
      <w:r w:rsidR="00062DF7">
        <w:rPr>
          <w:rFonts w:ascii="Arial" w:hAnsi="Arial" w:cs="Arial"/>
          <w:b/>
          <w:bCs/>
          <w:color w:val="FF0000"/>
          <w:sz w:val="24"/>
          <w:szCs w:val="24"/>
        </w:rPr>
        <w:t>**************</w:t>
      </w:r>
      <w:r w:rsidRPr="00C03E7D">
        <w:rPr>
          <w:rFonts w:ascii="Arial" w:hAnsi="Arial" w:cs="Arial"/>
          <w:sz w:val="24"/>
          <w:szCs w:val="24"/>
        </w:rPr>
        <w:t xml:space="preserve">y </w:t>
      </w:r>
      <w:r>
        <w:rPr>
          <w:rFonts w:ascii="Arial" w:hAnsi="Arial" w:cs="Arial"/>
          <w:sz w:val="24"/>
          <w:szCs w:val="24"/>
        </w:rPr>
        <w:t>unión sindical</w:t>
      </w:r>
      <w:r w:rsidRPr="00C03E7D">
        <w:rPr>
          <w:rFonts w:ascii="Arial" w:hAnsi="Arial" w:cs="Arial"/>
          <w:sz w:val="24"/>
          <w:szCs w:val="24"/>
        </w:rPr>
        <w:t>).</w:t>
      </w:r>
    </w:p>
    <w:p w14:paraId="47AFA4FA" w14:textId="77777777" w:rsidR="00C03E7D" w:rsidRPr="00C03E7D" w:rsidRDefault="00C03E7D" w:rsidP="002A1CC9">
      <w:pPr>
        <w:spacing w:after="0" w:line="360" w:lineRule="auto"/>
        <w:ind w:firstLine="709"/>
        <w:jc w:val="both"/>
        <w:rPr>
          <w:rFonts w:ascii="Arial" w:hAnsi="Arial" w:cs="Arial"/>
          <w:sz w:val="24"/>
          <w:szCs w:val="24"/>
        </w:rPr>
      </w:pPr>
    </w:p>
    <w:p w14:paraId="4D2C8C4D" w14:textId="2B9D3D70" w:rsidR="00C03E7D" w:rsidRDefault="00C03E7D" w:rsidP="002A1CC9">
      <w:pPr>
        <w:spacing w:after="0" w:line="360" w:lineRule="auto"/>
        <w:ind w:firstLine="709"/>
        <w:jc w:val="both"/>
        <w:rPr>
          <w:rFonts w:ascii="Arial" w:hAnsi="Arial" w:cs="Arial"/>
          <w:sz w:val="24"/>
          <w:szCs w:val="24"/>
        </w:rPr>
      </w:pPr>
      <w:r w:rsidRPr="00C03E7D">
        <w:rPr>
          <w:rFonts w:ascii="Arial" w:hAnsi="Arial" w:cs="Arial"/>
          <w:sz w:val="24"/>
          <w:szCs w:val="24"/>
        </w:rPr>
        <w:t>En efecto, la suma de dinero identificada bajo el rubro</w:t>
      </w:r>
      <w:r>
        <w:rPr>
          <w:rFonts w:ascii="Arial" w:hAnsi="Arial" w:cs="Arial"/>
          <w:sz w:val="24"/>
          <w:szCs w:val="24"/>
        </w:rPr>
        <w:t xml:space="preserve"> cuota sindical</w:t>
      </w:r>
      <w:r w:rsidR="002A1CC9">
        <w:rPr>
          <w:rFonts w:ascii="Arial" w:hAnsi="Arial" w:cs="Arial"/>
          <w:sz w:val="24"/>
          <w:szCs w:val="24"/>
        </w:rPr>
        <w:t xml:space="preserve">, cuota o apoyo, entregada por la </w:t>
      </w:r>
      <w:r w:rsidR="00062DF7">
        <w:rPr>
          <w:rFonts w:ascii="Arial" w:hAnsi="Arial" w:cs="Arial"/>
          <w:b/>
          <w:bCs/>
          <w:color w:val="FF0000"/>
          <w:sz w:val="24"/>
          <w:szCs w:val="24"/>
        </w:rPr>
        <w:t>**************</w:t>
      </w:r>
      <w:r w:rsidR="002A1CC9">
        <w:rPr>
          <w:rFonts w:ascii="Arial" w:hAnsi="Arial" w:cs="Arial"/>
          <w:sz w:val="24"/>
          <w:szCs w:val="24"/>
        </w:rPr>
        <w:t>hacia la parte actora</w:t>
      </w:r>
      <w:r w:rsidRPr="00C03E7D">
        <w:rPr>
          <w:rFonts w:ascii="Arial" w:hAnsi="Arial" w:cs="Arial"/>
          <w:sz w:val="24"/>
          <w:szCs w:val="24"/>
        </w:rPr>
        <w:t xml:space="preserve">, como parte de un convenio que regula las condiciones generales de trabajo celebradas entre las partes contratantes antes citadas, es decir, fue un acuerdo celebrado entre la parte patronal, que en este caso resulta ser </w:t>
      </w:r>
      <w:r w:rsidR="002A1CC9">
        <w:rPr>
          <w:rFonts w:ascii="Arial" w:hAnsi="Arial" w:cs="Arial"/>
          <w:sz w:val="24"/>
          <w:szCs w:val="24"/>
        </w:rPr>
        <w:t xml:space="preserve">la </w:t>
      </w:r>
      <w:r w:rsidR="00062DF7">
        <w:rPr>
          <w:rFonts w:ascii="Arial" w:hAnsi="Arial" w:cs="Arial"/>
          <w:b/>
          <w:bCs/>
          <w:color w:val="FF0000"/>
          <w:sz w:val="24"/>
          <w:szCs w:val="24"/>
        </w:rPr>
        <w:t>**************</w:t>
      </w:r>
      <w:r w:rsidRPr="00C03E7D">
        <w:rPr>
          <w:rFonts w:ascii="Arial" w:hAnsi="Arial" w:cs="Arial"/>
          <w:sz w:val="24"/>
          <w:szCs w:val="24"/>
        </w:rPr>
        <w:t>, y la parte trabajadora</w:t>
      </w:r>
      <w:r w:rsidR="002A1CC9">
        <w:rPr>
          <w:rFonts w:ascii="Arial" w:hAnsi="Arial" w:cs="Arial"/>
          <w:sz w:val="24"/>
          <w:szCs w:val="24"/>
        </w:rPr>
        <w:t xml:space="preserve"> (personal académico)</w:t>
      </w:r>
      <w:r w:rsidRPr="00C03E7D">
        <w:rPr>
          <w:rFonts w:ascii="Arial" w:hAnsi="Arial" w:cs="Arial"/>
          <w:sz w:val="24"/>
          <w:szCs w:val="24"/>
        </w:rPr>
        <w:t>, a través del sindicato que los representa (</w:t>
      </w:r>
      <w:r w:rsidR="00062DF7">
        <w:rPr>
          <w:rFonts w:ascii="Arial" w:hAnsi="Arial" w:cs="Arial"/>
          <w:b/>
          <w:bCs/>
          <w:color w:val="FF0000"/>
          <w:sz w:val="24"/>
          <w:szCs w:val="24"/>
        </w:rPr>
        <w:t>**************</w:t>
      </w:r>
      <w:r w:rsidR="002A1CC9">
        <w:rPr>
          <w:rFonts w:ascii="Arial" w:hAnsi="Arial" w:cs="Arial"/>
          <w:sz w:val="24"/>
          <w:szCs w:val="24"/>
        </w:rPr>
        <w:t>)</w:t>
      </w:r>
      <w:r w:rsidRPr="00C03E7D">
        <w:rPr>
          <w:rFonts w:ascii="Arial" w:hAnsi="Arial" w:cs="Arial"/>
          <w:sz w:val="24"/>
          <w:szCs w:val="24"/>
        </w:rPr>
        <w:t>.</w:t>
      </w:r>
    </w:p>
    <w:p w14:paraId="02B03770" w14:textId="77777777" w:rsidR="002A1CC9" w:rsidRPr="00C03E7D" w:rsidRDefault="002A1CC9" w:rsidP="002A1CC9">
      <w:pPr>
        <w:spacing w:after="0" w:line="360" w:lineRule="auto"/>
        <w:ind w:firstLine="709"/>
        <w:jc w:val="both"/>
        <w:rPr>
          <w:rFonts w:ascii="Arial" w:hAnsi="Arial" w:cs="Arial"/>
          <w:sz w:val="24"/>
          <w:szCs w:val="24"/>
        </w:rPr>
      </w:pPr>
    </w:p>
    <w:p w14:paraId="105E7802" w14:textId="2F808D78" w:rsidR="002A1CC9" w:rsidRDefault="00C03E7D" w:rsidP="002A1CC9">
      <w:pPr>
        <w:spacing w:after="0" w:line="360" w:lineRule="auto"/>
        <w:ind w:firstLine="709"/>
        <w:jc w:val="both"/>
        <w:rPr>
          <w:rFonts w:ascii="Arial" w:hAnsi="Arial" w:cs="Arial"/>
          <w:sz w:val="24"/>
          <w:szCs w:val="24"/>
        </w:rPr>
      </w:pPr>
      <w:r w:rsidRPr="00C03E7D">
        <w:rPr>
          <w:rFonts w:ascii="Arial" w:hAnsi="Arial" w:cs="Arial"/>
          <w:sz w:val="24"/>
          <w:szCs w:val="24"/>
        </w:rPr>
        <w:t>Lo anterior se corrobora, del contenido de</w:t>
      </w:r>
      <w:r w:rsidR="002A1CC9">
        <w:rPr>
          <w:rFonts w:ascii="Arial" w:hAnsi="Arial" w:cs="Arial"/>
          <w:sz w:val="24"/>
          <w:szCs w:val="24"/>
        </w:rPr>
        <w:t xml:space="preserve">l </w:t>
      </w:r>
      <w:r w:rsidR="00062DF7">
        <w:rPr>
          <w:rFonts w:ascii="Arial" w:hAnsi="Arial" w:cs="Arial"/>
          <w:b/>
          <w:bCs/>
          <w:color w:val="FF0000"/>
          <w:sz w:val="24"/>
          <w:szCs w:val="24"/>
        </w:rPr>
        <w:t>**************</w:t>
      </w:r>
      <w:r w:rsidR="002A1CC9">
        <w:rPr>
          <w:rFonts w:ascii="Arial" w:hAnsi="Arial" w:cs="Arial"/>
          <w:sz w:val="24"/>
          <w:szCs w:val="24"/>
        </w:rPr>
        <w:t xml:space="preserve"> con vigencia del 01 de febrero de 2024 al 31 de enero de 2026, aplicable al caso, en sus artículos 1, 3 y 5, que disponen:</w:t>
      </w:r>
    </w:p>
    <w:p w14:paraId="39B8160F" w14:textId="2D659586" w:rsidR="00A17CDB" w:rsidRPr="002A1CC9" w:rsidRDefault="00A17CDB" w:rsidP="002A1CC9">
      <w:pPr>
        <w:spacing w:after="0" w:line="360" w:lineRule="auto"/>
        <w:ind w:firstLine="709"/>
        <w:jc w:val="both"/>
        <w:rPr>
          <w:rFonts w:ascii="Arial" w:hAnsi="Arial" w:cs="Arial"/>
          <w:sz w:val="24"/>
          <w:szCs w:val="24"/>
        </w:rPr>
      </w:pPr>
    </w:p>
    <w:p w14:paraId="2D260854" w14:textId="51CEBB2F" w:rsidR="002A1CC9" w:rsidRPr="001756C7" w:rsidRDefault="002A1CC9" w:rsidP="001756C7">
      <w:pPr>
        <w:autoSpaceDE w:val="0"/>
        <w:autoSpaceDN w:val="0"/>
        <w:adjustRightInd w:val="0"/>
        <w:spacing w:after="0" w:line="240" w:lineRule="auto"/>
        <w:ind w:left="567" w:right="618"/>
        <w:jc w:val="both"/>
        <w:rPr>
          <w:rFonts w:ascii="Arial" w:hAnsi="Arial" w:cs="Arial"/>
          <w:color w:val="000000"/>
          <w:sz w:val="20"/>
          <w:szCs w:val="20"/>
        </w:rPr>
      </w:pPr>
      <w:r w:rsidRPr="001756C7">
        <w:rPr>
          <w:rFonts w:ascii="Arial" w:hAnsi="Arial" w:cs="Arial"/>
          <w:b/>
          <w:bCs/>
          <w:sz w:val="20"/>
          <w:szCs w:val="20"/>
        </w:rPr>
        <w:t xml:space="preserve">ARTÍCULO 1. </w:t>
      </w:r>
      <w:r w:rsidRPr="001756C7">
        <w:rPr>
          <w:rFonts w:ascii="Arial" w:hAnsi="Arial" w:cs="Arial"/>
          <w:sz w:val="20"/>
          <w:szCs w:val="20"/>
        </w:rPr>
        <w:t xml:space="preserve">La </w:t>
      </w:r>
      <w:r w:rsidR="00062DF7">
        <w:rPr>
          <w:rFonts w:ascii="Arial" w:hAnsi="Arial" w:cs="Arial"/>
          <w:b/>
          <w:bCs/>
          <w:color w:val="FF0000"/>
          <w:sz w:val="20"/>
          <w:szCs w:val="20"/>
        </w:rPr>
        <w:t>**************</w:t>
      </w:r>
      <w:r w:rsidRPr="001756C7">
        <w:rPr>
          <w:rFonts w:ascii="Arial" w:hAnsi="Arial" w:cs="Arial"/>
          <w:sz w:val="20"/>
          <w:szCs w:val="20"/>
        </w:rPr>
        <w:t xml:space="preserve">con domicilio en </w:t>
      </w:r>
      <w:r w:rsidR="00062DF7">
        <w:rPr>
          <w:rFonts w:ascii="Arial" w:hAnsi="Arial" w:cs="Arial"/>
          <w:b/>
          <w:bCs/>
          <w:color w:val="FF0000"/>
          <w:sz w:val="20"/>
          <w:szCs w:val="20"/>
        </w:rPr>
        <w:t>**************</w:t>
      </w:r>
      <w:r w:rsidRPr="001756C7">
        <w:rPr>
          <w:rFonts w:ascii="Arial" w:hAnsi="Arial" w:cs="Arial"/>
          <w:sz w:val="20"/>
          <w:szCs w:val="20"/>
        </w:rPr>
        <w:t xml:space="preserve">), a quien en lo sucesivo se denominará: Universidad, reconoce que los integrantes de la </w:t>
      </w:r>
      <w:r w:rsidR="00062DF7">
        <w:rPr>
          <w:rFonts w:ascii="Arial" w:hAnsi="Arial" w:cs="Arial"/>
          <w:b/>
          <w:bCs/>
          <w:color w:val="FF0000"/>
          <w:sz w:val="20"/>
          <w:szCs w:val="20"/>
        </w:rPr>
        <w:t>**************</w:t>
      </w:r>
      <w:r w:rsidRPr="001756C7">
        <w:rPr>
          <w:rFonts w:ascii="Arial" w:hAnsi="Arial" w:cs="Arial"/>
          <w:sz w:val="20"/>
          <w:szCs w:val="20"/>
        </w:rPr>
        <w:t xml:space="preserve">con domicilio en </w:t>
      </w:r>
      <w:r w:rsidR="00062DF7">
        <w:rPr>
          <w:rFonts w:ascii="Arial" w:hAnsi="Arial" w:cs="Arial"/>
          <w:b/>
          <w:bCs/>
          <w:color w:val="FF0000"/>
          <w:sz w:val="20"/>
          <w:szCs w:val="20"/>
        </w:rPr>
        <w:t>**************</w:t>
      </w:r>
      <w:r w:rsidRPr="001756C7">
        <w:rPr>
          <w:rFonts w:ascii="Arial" w:hAnsi="Arial" w:cs="Arial"/>
          <w:sz w:val="20"/>
          <w:szCs w:val="20"/>
        </w:rPr>
        <w:t xml:space="preserve">, a quien en lo sucesivo se le denominará: Unión, son trabajadores académicos de acuerdo a lo dispuesto por la Constitución Política de los Estados Unidos Mexicanos, la Ley Orgánica del artículo 11 de la Constitución Política del Estado Libre y Soberano de San Luis Potosí, el Estatuto Orgánico de la Universidad, el Contrato Colectivo de las Condiciones Gremiales del Personal Académico de la </w:t>
      </w:r>
      <w:r w:rsidR="00062DF7">
        <w:rPr>
          <w:rFonts w:ascii="Arial" w:hAnsi="Arial" w:cs="Arial"/>
          <w:b/>
          <w:bCs/>
          <w:color w:val="FF0000"/>
          <w:sz w:val="20"/>
          <w:szCs w:val="20"/>
        </w:rPr>
        <w:t>**************</w:t>
      </w:r>
      <w:r w:rsidRPr="001756C7">
        <w:rPr>
          <w:rFonts w:ascii="Arial" w:hAnsi="Arial" w:cs="Arial"/>
          <w:sz w:val="20"/>
          <w:szCs w:val="20"/>
        </w:rPr>
        <w:t>y la Ley Federal del Trabajo.</w:t>
      </w:r>
    </w:p>
    <w:p w14:paraId="34FF37CC" w14:textId="20428870" w:rsidR="002A1CC9" w:rsidRPr="001756C7" w:rsidRDefault="002A1CC9" w:rsidP="001756C7">
      <w:pPr>
        <w:autoSpaceDE w:val="0"/>
        <w:autoSpaceDN w:val="0"/>
        <w:adjustRightInd w:val="0"/>
        <w:spacing w:after="0" w:line="240" w:lineRule="auto"/>
        <w:ind w:left="567" w:right="618"/>
        <w:jc w:val="both"/>
        <w:rPr>
          <w:rFonts w:ascii="Arial" w:hAnsi="Arial" w:cs="Arial"/>
          <w:color w:val="000000"/>
          <w:sz w:val="20"/>
          <w:szCs w:val="20"/>
        </w:rPr>
      </w:pPr>
    </w:p>
    <w:p w14:paraId="3379068E" w14:textId="56AB8E28" w:rsidR="002A1CC9" w:rsidRPr="001756C7" w:rsidRDefault="002A1CC9" w:rsidP="001756C7">
      <w:pPr>
        <w:autoSpaceDE w:val="0"/>
        <w:autoSpaceDN w:val="0"/>
        <w:adjustRightInd w:val="0"/>
        <w:spacing w:after="0" w:line="240" w:lineRule="auto"/>
        <w:ind w:left="567" w:right="618"/>
        <w:jc w:val="both"/>
        <w:rPr>
          <w:rFonts w:ascii="Arial" w:hAnsi="Arial" w:cs="Arial"/>
          <w:sz w:val="20"/>
          <w:szCs w:val="20"/>
        </w:rPr>
      </w:pPr>
      <w:r w:rsidRPr="001756C7">
        <w:rPr>
          <w:rFonts w:ascii="Arial" w:hAnsi="Arial" w:cs="Arial"/>
          <w:b/>
          <w:bCs/>
          <w:sz w:val="20"/>
          <w:szCs w:val="20"/>
        </w:rPr>
        <w:t xml:space="preserve">ARTÍCULO 3. </w:t>
      </w:r>
      <w:r w:rsidRPr="001756C7">
        <w:rPr>
          <w:rFonts w:ascii="Arial" w:hAnsi="Arial" w:cs="Arial"/>
          <w:sz w:val="20"/>
          <w:szCs w:val="20"/>
        </w:rPr>
        <w:t>La Universidad reconoce a la Unión como titular y representativa del interés mayoritario del personal académico activo, jubilado y pensionado.</w:t>
      </w:r>
    </w:p>
    <w:p w14:paraId="0E7983F4" w14:textId="66C7DEF0" w:rsidR="001756C7" w:rsidRPr="001756C7" w:rsidRDefault="001756C7" w:rsidP="001756C7">
      <w:pPr>
        <w:autoSpaceDE w:val="0"/>
        <w:autoSpaceDN w:val="0"/>
        <w:adjustRightInd w:val="0"/>
        <w:spacing w:after="0" w:line="240" w:lineRule="auto"/>
        <w:ind w:left="567" w:right="618"/>
        <w:jc w:val="both"/>
        <w:rPr>
          <w:rFonts w:ascii="Arial" w:hAnsi="Arial" w:cs="Arial"/>
          <w:sz w:val="20"/>
          <w:szCs w:val="20"/>
        </w:rPr>
      </w:pPr>
    </w:p>
    <w:p w14:paraId="1CC078FA" w14:textId="4FDBF425" w:rsidR="001756C7" w:rsidRPr="001756C7" w:rsidRDefault="001756C7" w:rsidP="001756C7">
      <w:pPr>
        <w:autoSpaceDE w:val="0"/>
        <w:autoSpaceDN w:val="0"/>
        <w:adjustRightInd w:val="0"/>
        <w:spacing w:after="0" w:line="240" w:lineRule="auto"/>
        <w:ind w:left="567" w:right="618"/>
        <w:jc w:val="both"/>
        <w:rPr>
          <w:rFonts w:ascii="Arial" w:hAnsi="Arial" w:cs="Arial"/>
          <w:color w:val="000000"/>
          <w:sz w:val="20"/>
          <w:szCs w:val="20"/>
        </w:rPr>
      </w:pPr>
      <w:r w:rsidRPr="001756C7">
        <w:rPr>
          <w:rFonts w:ascii="Arial" w:hAnsi="Arial" w:cs="Arial"/>
          <w:b/>
          <w:bCs/>
          <w:sz w:val="20"/>
          <w:szCs w:val="20"/>
        </w:rPr>
        <w:t xml:space="preserve">ARTÍCULO 5. </w:t>
      </w:r>
      <w:r w:rsidRPr="001756C7">
        <w:rPr>
          <w:rFonts w:ascii="Arial" w:hAnsi="Arial" w:cs="Arial"/>
          <w:sz w:val="20"/>
          <w:szCs w:val="20"/>
        </w:rPr>
        <w:t>El personal académico activo gozará de las prestaciones que se desprendan del presente Contrato. El personal académico jubilado y pensionado gozará de los beneficios que expresamente se señalen en este Contrato.</w:t>
      </w:r>
    </w:p>
    <w:p w14:paraId="56FE5C4B" w14:textId="3AC6A0A0" w:rsidR="002A1CC9" w:rsidRPr="001756C7" w:rsidRDefault="002A1CC9" w:rsidP="001756C7">
      <w:pPr>
        <w:autoSpaceDE w:val="0"/>
        <w:autoSpaceDN w:val="0"/>
        <w:adjustRightInd w:val="0"/>
        <w:spacing w:after="0" w:line="240" w:lineRule="auto"/>
        <w:jc w:val="both"/>
        <w:rPr>
          <w:rFonts w:ascii="Arial" w:hAnsi="Arial" w:cs="Arial"/>
          <w:color w:val="000000"/>
          <w:sz w:val="24"/>
          <w:szCs w:val="24"/>
        </w:rPr>
      </w:pPr>
    </w:p>
    <w:p w14:paraId="68FFEF32" w14:textId="596DAC54" w:rsidR="001756C7" w:rsidRDefault="001756C7" w:rsidP="00526F42">
      <w:pPr>
        <w:spacing w:after="0" w:line="360" w:lineRule="auto"/>
        <w:ind w:firstLine="709"/>
        <w:jc w:val="both"/>
        <w:rPr>
          <w:rFonts w:ascii="Arial" w:hAnsi="Arial" w:cs="Arial"/>
          <w:sz w:val="24"/>
          <w:szCs w:val="24"/>
        </w:rPr>
      </w:pPr>
      <w:r w:rsidRPr="001756C7">
        <w:rPr>
          <w:rFonts w:ascii="Arial" w:hAnsi="Arial" w:cs="Arial"/>
          <w:sz w:val="24"/>
          <w:szCs w:val="24"/>
        </w:rPr>
        <w:t xml:space="preserve">En ese orden de ideas, como se adelantó, las prestaciones y apoyos que </w:t>
      </w:r>
      <w:r>
        <w:rPr>
          <w:rFonts w:ascii="Arial" w:hAnsi="Arial" w:cs="Arial"/>
          <w:sz w:val="24"/>
          <w:szCs w:val="24"/>
        </w:rPr>
        <w:t xml:space="preserve">la </w:t>
      </w:r>
      <w:r w:rsidR="00062DF7">
        <w:rPr>
          <w:rFonts w:ascii="Arial" w:hAnsi="Arial" w:cs="Arial"/>
          <w:b/>
          <w:bCs/>
          <w:color w:val="FF0000"/>
          <w:sz w:val="24"/>
          <w:szCs w:val="24"/>
        </w:rPr>
        <w:t>**************</w:t>
      </w:r>
      <w:r w:rsidRPr="001756C7">
        <w:rPr>
          <w:rFonts w:ascii="Arial" w:hAnsi="Arial" w:cs="Arial"/>
          <w:sz w:val="24"/>
          <w:szCs w:val="24"/>
        </w:rPr>
        <w:t>erog</w:t>
      </w:r>
      <w:r>
        <w:rPr>
          <w:rFonts w:ascii="Arial" w:hAnsi="Arial" w:cs="Arial"/>
          <w:sz w:val="24"/>
          <w:szCs w:val="24"/>
        </w:rPr>
        <w:t>a</w:t>
      </w:r>
      <w:r w:rsidRPr="001756C7">
        <w:rPr>
          <w:rFonts w:ascii="Arial" w:hAnsi="Arial" w:cs="Arial"/>
          <w:sz w:val="24"/>
          <w:szCs w:val="24"/>
        </w:rPr>
        <w:t xml:space="preserve"> a favor de</w:t>
      </w:r>
      <w:r>
        <w:rPr>
          <w:rFonts w:ascii="Arial" w:hAnsi="Arial" w:cs="Arial"/>
          <w:sz w:val="24"/>
          <w:szCs w:val="24"/>
        </w:rPr>
        <w:t xml:space="preserve"> la</w:t>
      </w:r>
      <w:r w:rsidRPr="001756C7">
        <w:rPr>
          <w:rFonts w:ascii="Arial" w:hAnsi="Arial" w:cs="Arial"/>
          <w:sz w:val="24"/>
          <w:szCs w:val="24"/>
        </w:rPr>
        <w:t xml:space="preserve"> </w:t>
      </w:r>
      <w:r w:rsidR="00062DF7">
        <w:rPr>
          <w:rFonts w:ascii="Arial" w:hAnsi="Arial" w:cs="Arial"/>
          <w:b/>
          <w:bCs/>
          <w:color w:val="FF0000"/>
          <w:sz w:val="24"/>
          <w:szCs w:val="24"/>
        </w:rPr>
        <w:t>**************</w:t>
      </w:r>
      <w:r w:rsidRPr="001756C7">
        <w:rPr>
          <w:rFonts w:ascii="Arial" w:hAnsi="Arial" w:cs="Arial"/>
          <w:sz w:val="24"/>
          <w:szCs w:val="24"/>
        </w:rPr>
        <w:t xml:space="preserve">, no representan recursos públicos, porque éstos no fueron entregados a la organización obrera con motivo de la potestad pública que posee el Estado, esto es, no fueron empleados en ejercicio de funciones de derecho público </w:t>
      </w:r>
      <w:r>
        <w:rPr>
          <w:rFonts w:ascii="Arial" w:hAnsi="Arial" w:cs="Arial"/>
          <w:sz w:val="24"/>
          <w:szCs w:val="24"/>
        </w:rPr>
        <w:t>por parte de una</w:t>
      </w:r>
      <w:r w:rsidRPr="001756C7">
        <w:rPr>
          <w:rFonts w:ascii="Arial" w:hAnsi="Arial" w:cs="Arial"/>
          <w:sz w:val="24"/>
          <w:szCs w:val="24"/>
        </w:rPr>
        <w:t xml:space="preserve"> entidad gubernamental.</w:t>
      </w:r>
    </w:p>
    <w:p w14:paraId="08002C85" w14:textId="77777777" w:rsidR="001756C7" w:rsidRPr="001756C7" w:rsidRDefault="001756C7" w:rsidP="00526F42">
      <w:pPr>
        <w:spacing w:after="0" w:line="360" w:lineRule="auto"/>
        <w:ind w:firstLine="709"/>
        <w:jc w:val="both"/>
        <w:rPr>
          <w:rFonts w:ascii="Arial" w:hAnsi="Arial" w:cs="Arial"/>
          <w:sz w:val="24"/>
          <w:szCs w:val="24"/>
        </w:rPr>
      </w:pPr>
    </w:p>
    <w:p w14:paraId="710CEA85" w14:textId="40B94692" w:rsidR="001756C7" w:rsidRDefault="001756C7" w:rsidP="00526F42">
      <w:pPr>
        <w:spacing w:after="0" w:line="360" w:lineRule="auto"/>
        <w:ind w:firstLine="709"/>
        <w:jc w:val="both"/>
        <w:rPr>
          <w:rFonts w:ascii="Arial" w:hAnsi="Arial" w:cs="Arial"/>
          <w:sz w:val="24"/>
          <w:szCs w:val="24"/>
        </w:rPr>
      </w:pPr>
      <w:r w:rsidRPr="001756C7">
        <w:rPr>
          <w:rFonts w:ascii="Arial" w:hAnsi="Arial" w:cs="Arial"/>
          <w:sz w:val="24"/>
          <w:szCs w:val="24"/>
        </w:rPr>
        <w:t xml:space="preserve">Por el contrario, el apoyo otorgado por el Estado al sindicato, fue en su calidad de parte patronal, puesto que dicho numerario deriva de las condiciones generales de trabajo que convinieron ambas partes, situación que implica que tal acto de apoyo económico se desarrolló en el marco o </w:t>
      </w:r>
      <w:r w:rsidRPr="001756C7">
        <w:rPr>
          <w:rFonts w:ascii="Arial" w:hAnsi="Arial" w:cs="Arial"/>
          <w:sz w:val="24"/>
          <w:szCs w:val="24"/>
        </w:rPr>
        <w:lastRenderedPageBreak/>
        <w:t xml:space="preserve">dentro del ámbito de una relación verificada entre el patrón y los trabajadores representados por </w:t>
      </w:r>
      <w:r>
        <w:rPr>
          <w:rFonts w:ascii="Arial" w:hAnsi="Arial" w:cs="Arial"/>
          <w:sz w:val="24"/>
          <w:szCs w:val="24"/>
        </w:rPr>
        <w:t xml:space="preserve">la </w:t>
      </w:r>
      <w:r w:rsidR="00062DF7">
        <w:rPr>
          <w:rFonts w:ascii="Arial" w:hAnsi="Arial" w:cs="Arial"/>
          <w:b/>
          <w:bCs/>
          <w:color w:val="FF0000"/>
          <w:sz w:val="24"/>
          <w:szCs w:val="24"/>
        </w:rPr>
        <w:t>**************</w:t>
      </w:r>
      <w:r w:rsidRPr="001756C7">
        <w:rPr>
          <w:rFonts w:ascii="Arial" w:hAnsi="Arial" w:cs="Arial"/>
          <w:sz w:val="24"/>
          <w:szCs w:val="24"/>
        </w:rPr>
        <w:t>.</w:t>
      </w:r>
    </w:p>
    <w:p w14:paraId="0B6A957B" w14:textId="12F54C61" w:rsidR="00526F42" w:rsidRDefault="00526F42" w:rsidP="00526F42">
      <w:pPr>
        <w:spacing w:after="0" w:line="360" w:lineRule="auto"/>
        <w:ind w:firstLine="709"/>
        <w:jc w:val="both"/>
        <w:rPr>
          <w:rFonts w:ascii="Arial" w:hAnsi="Arial" w:cs="Arial"/>
          <w:sz w:val="24"/>
          <w:szCs w:val="24"/>
        </w:rPr>
      </w:pPr>
    </w:p>
    <w:p w14:paraId="677FDDA8" w14:textId="44A3FFD0" w:rsidR="00526F42" w:rsidRDefault="00526F42" w:rsidP="00526F42">
      <w:pPr>
        <w:spacing w:after="0" w:line="360" w:lineRule="auto"/>
        <w:ind w:firstLine="709"/>
        <w:jc w:val="both"/>
        <w:rPr>
          <w:rFonts w:ascii="Arial" w:hAnsi="Arial" w:cs="Arial"/>
          <w:sz w:val="24"/>
          <w:szCs w:val="24"/>
        </w:rPr>
      </w:pPr>
      <w:r>
        <w:rPr>
          <w:rFonts w:ascii="Arial" w:hAnsi="Arial" w:cs="Arial"/>
          <w:sz w:val="24"/>
          <w:szCs w:val="24"/>
        </w:rPr>
        <w:t>Cobra aplicación, por las razones en que se sustenta, la jurisprudencia que señala:</w:t>
      </w:r>
    </w:p>
    <w:p w14:paraId="629994C5" w14:textId="38ED2AF9" w:rsidR="00526F42" w:rsidRDefault="00526F42" w:rsidP="001756C7">
      <w:pPr>
        <w:autoSpaceDE w:val="0"/>
        <w:autoSpaceDN w:val="0"/>
        <w:adjustRightInd w:val="0"/>
        <w:spacing w:after="0" w:line="240" w:lineRule="auto"/>
        <w:jc w:val="both"/>
        <w:rPr>
          <w:rFonts w:ascii="Arial" w:hAnsi="Arial" w:cs="Arial"/>
          <w:sz w:val="24"/>
          <w:szCs w:val="24"/>
        </w:rPr>
      </w:pPr>
    </w:p>
    <w:p w14:paraId="5AB43120"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b/>
          <w:bCs/>
          <w:color w:val="000000"/>
          <w:sz w:val="20"/>
          <w:szCs w:val="20"/>
        </w:rPr>
        <w:t>Registro digital:</w:t>
      </w:r>
      <w:r w:rsidRPr="000633A8">
        <w:rPr>
          <w:rFonts w:ascii="Arial" w:hAnsi="Arial" w:cs="Arial"/>
          <w:color w:val="000000"/>
          <w:sz w:val="20"/>
          <w:szCs w:val="20"/>
        </w:rPr>
        <w:t xml:space="preserve"> 164033</w:t>
      </w:r>
    </w:p>
    <w:p w14:paraId="4DCD918F"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Instancia: Segunda Sala</w:t>
      </w:r>
    </w:p>
    <w:p w14:paraId="6255FB3B"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Novena Época</w:t>
      </w:r>
    </w:p>
    <w:p w14:paraId="1793EFEF"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Materias(s): Administrativa</w:t>
      </w:r>
    </w:p>
    <w:p w14:paraId="21687413"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Tesis: 2a./J. 118/2010</w:t>
      </w:r>
    </w:p>
    <w:p w14:paraId="3F39C4FC"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Fuente: Semanario Judicial de la Federación y su Gaceta. Tomo XXXII, Agosto de 2010, página 438</w:t>
      </w:r>
    </w:p>
    <w:p w14:paraId="2646C759"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color w:val="000000"/>
          <w:sz w:val="20"/>
          <w:szCs w:val="20"/>
        </w:rPr>
        <w:t>Tipo: Jurisprudencia</w:t>
      </w:r>
    </w:p>
    <w:p w14:paraId="045A65F8" w14:textId="77777777" w:rsidR="00580CB9" w:rsidRPr="000633A8" w:rsidRDefault="00580CB9" w:rsidP="000633A8">
      <w:pPr>
        <w:autoSpaceDE w:val="0"/>
        <w:autoSpaceDN w:val="0"/>
        <w:adjustRightInd w:val="0"/>
        <w:spacing w:after="0" w:line="240" w:lineRule="auto"/>
        <w:ind w:left="567" w:right="618"/>
        <w:jc w:val="both"/>
        <w:rPr>
          <w:rFonts w:ascii="Arial" w:hAnsi="Arial" w:cs="Arial"/>
          <w:color w:val="000000"/>
          <w:sz w:val="20"/>
          <w:szCs w:val="20"/>
        </w:rPr>
      </w:pPr>
    </w:p>
    <w:p w14:paraId="0C135A15" w14:textId="3C25A4A3" w:rsidR="00580CB9" w:rsidRDefault="00580CB9" w:rsidP="000633A8">
      <w:pPr>
        <w:autoSpaceDE w:val="0"/>
        <w:autoSpaceDN w:val="0"/>
        <w:adjustRightInd w:val="0"/>
        <w:spacing w:after="0" w:line="240" w:lineRule="auto"/>
        <w:ind w:left="567" w:right="618"/>
        <w:jc w:val="both"/>
        <w:rPr>
          <w:rFonts w:ascii="Arial" w:hAnsi="Arial" w:cs="Arial"/>
          <w:color w:val="000000"/>
          <w:sz w:val="20"/>
          <w:szCs w:val="20"/>
        </w:rPr>
      </w:pPr>
      <w:r w:rsidRPr="000633A8">
        <w:rPr>
          <w:rFonts w:ascii="Arial" w:hAnsi="Arial" w:cs="Arial"/>
          <w:b/>
          <w:bCs/>
          <w:color w:val="000000"/>
          <w:sz w:val="20"/>
          <w:szCs w:val="20"/>
        </w:rPr>
        <w:t>INFORMACIÓN PÚBLICA. EL MONTO ANUAL DE LAS CUOTAS SINDICALES DE LOS TRABAJADORES DE PETRÓLEOS MEXICANOS NO CONSTITUYE UN DATO QUE DEBA DARSE A CONOCER A LOS TERCEROS QUE LO SOLICITEN.</w:t>
      </w:r>
      <w:r w:rsidR="000633A8" w:rsidRPr="000633A8">
        <w:rPr>
          <w:rFonts w:ascii="Arial" w:hAnsi="Arial" w:cs="Arial"/>
          <w:b/>
          <w:bCs/>
          <w:color w:val="000000"/>
          <w:sz w:val="20"/>
          <w:szCs w:val="20"/>
        </w:rPr>
        <w:t xml:space="preserve">   </w:t>
      </w:r>
      <w:r w:rsidRPr="000633A8">
        <w:rPr>
          <w:rFonts w:ascii="Arial" w:hAnsi="Arial" w:cs="Arial"/>
          <w:color w:val="000000"/>
          <w:sz w:val="20"/>
          <w:szCs w:val="20"/>
          <w:u w:val="single"/>
        </w:rPr>
        <w:t>Teniendo en cuenta que la información pública es el conjunto de datos de autoridades o particulares en posesión de los poderes constituidos del Estado, obtenidos en ejercicio de funciones de derecho público y considerando que en este ámbito de actuación rige la obligación de aquéllos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es indudable que el monto total al que ascienden las cuotas sindicales aportadas anualmente por los trabajadores de Petróleos Mexicanos no constituye información pública que, sin la autorización del sindicato, deba darse a conocer a los terceros que lo soliciten, ya que constituye un haber patrimonial perteneciente a una persona jurídica de derecho social (sindicato) y un dato que, si bien está en posesión de una entidad gubernamental (Petróleos Mexicanos), se obtiene por causa del ejercicio de funciones ajenas al derecho público, ya que tal información está en poder de dicho organismo descentralizado por virtud del carácter de patrón que tiene frente a sus empleados, a través de la obligación de retener mensualmente las cuotas sindicales aportadas para enterarlas al sindicato, impuesta por el artículo 132, fracción XXII, de la Ley Federal del Trabajo, siendo que en el ámbito laboral no rige esa obligación a cargo del patrón de rendir cuentas y transparentar acciones frente a la sociedad</w:t>
      </w:r>
      <w:r w:rsidRPr="000633A8">
        <w:rPr>
          <w:rFonts w:ascii="Arial" w:hAnsi="Arial" w:cs="Arial"/>
          <w:color w:val="000000"/>
          <w:sz w:val="20"/>
          <w:szCs w:val="20"/>
        </w:rPr>
        <w:t>. Máxime que el monto de las cuotas sindicales forma parte del patrimonio del sindicato y su divulgación importaría, por un lado, una afectación injustificada a la vida privada de dicha persona de derecho social, lo que está protegido por los artículos 6o., fracción II, y 16 constitucionales, por otro lado, una intromisión arbitraria a la libertad sindical, por implicar una invasión a la facultad que tiene el sindicato de decidir si da o no a conocer parte de su patrimonio a terceros, lo que está protegido por los artículos 3o. y 8o. del Convenio número 87, relativo a la Libertad Sindical y a la Protección al Derecho Sindical.</w:t>
      </w:r>
    </w:p>
    <w:p w14:paraId="0B29C3AE" w14:textId="511F4C84" w:rsidR="005961FD" w:rsidRPr="000633A8" w:rsidRDefault="005961FD" w:rsidP="000633A8">
      <w:pPr>
        <w:autoSpaceDE w:val="0"/>
        <w:autoSpaceDN w:val="0"/>
        <w:adjustRightInd w:val="0"/>
        <w:spacing w:after="0" w:line="240" w:lineRule="auto"/>
        <w:ind w:left="567" w:right="618"/>
        <w:jc w:val="both"/>
        <w:rPr>
          <w:rFonts w:ascii="Arial" w:hAnsi="Arial" w:cs="Arial"/>
          <w:color w:val="000000"/>
          <w:sz w:val="20"/>
          <w:szCs w:val="20"/>
        </w:rPr>
      </w:pPr>
      <w:r>
        <w:rPr>
          <w:rFonts w:ascii="Arial" w:hAnsi="Arial" w:cs="Arial"/>
          <w:b/>
          <w:bCs/>
          <w:color w:val="000000"/>
          <w:sz w:val="20"/>
          <w:szCs w:val="20"/>
        </w:rPr>
        <w:t>[NOTA</w:t>
      </w:r>
      <w:r w:rsidRPr="005961FD">
        <w:rPr>
          <w:rFonts w:ascii="Arial" w:hAnsi="Arial" w:cs="Arial"/>
          <w:color w:val="000000"/>
          <w:sz w:val="20"/>
          <w:szCs w:val="20"/>
        </w:rPr>
        <w:t>:</w:t>
      </w:r>
      <w:r>
        <w:rPr>
          <w:rFonts w:ascii="Arial" w:hAnsi="Arial" w:cs="Arial"/>
          <w:color w:val="000000"/>
          <w:sz w:val="20"/>
          <w:szCs w:val="20"/>
        </w:rPr>
        <w:t xml:space="preserve"> Lo subrayado es propio]</w:t>
      </w:r>
    </w:p>
    <w:p w14:paraId="7D967163" w14:textId="3D84D9C9" w:rsidR="00526F42" w:rsidRDefault="00526F42" w:rsidP="001756C7">
      <w:pPr>
        <w:autoSpaceDE w:val="0"/>
        <w:autoSpaceDN w:val="0"/>
        <w:adjustRightInd w:val="0"/>
        <w:spacing w:after="0" w:line="240" w:lineRule="auto"/>
        <w:jc w:val="both"/>
        <w:rPr>
          <w:rFonts w:ascii="Arial" w:hAnsi="Arial" w:cs="Arial"/>
          <w:color w:val="000000"/>
          <w:sz w:val="24"/>
          <w:szCs w:val="24"/>
        </w:rPr>
      </w:pPr>
    </w:p>
    <w:p w14:paraId="710C2F6D" w14:textId="43BA49CD" w:rsidR="002B28B4" w:rsidRDefault="002B28B4" w:rsidP="002B28B4">
      <w:pPr>
        <w:spacing w:after="0" w:line="360" w:lineRule="auto"/>
        <w:ind w:firstLine="709"/>
        <w:jc w:val="both"/>
        <w:rPr>
          <w:rFonts w:ascii="Arial" w:hAnsi="Arial" w:cs="Arial"/>
          <w:sz w:val="24"/>
          <w:szCs w:val="24"/>
        </w:rPr>
      </w:pPr>
      <w:r w:rsidRPr="002B28B4">
        <w:rPr>
          <w:rFonts w:ascii="Arial" w:hAnsi="Arial" w:cs="Arial"/>
          <w:sz w:val="24"/>
          <w:szCs w:val="24"/>
        </w:rPr>
        <w:t>Cabe destacar que, lo que realmente trasciende y es clave para identificar plenamente qué tipo de aportación realiz</w:t>
      </w:r>
      <w:r>
        <w:rPr>
          <w:rFonts w:ascii="Arial" w:hAnsi="Arial" w:cs="Arial"/>
          <w:sz w:val="24"/>
          <w:szCs w:val="24"/>
        </w:rPr>
        <w:t>a</w:t>
      </w:r>
      <w:r w:rsidRPr="002B28B4">
        <w:rPr>
          <w:rFonts w:ascii="Arial" w:hAnsi="Arial" w:cs="Arial"/>
          <w:sz w:val="24"/>
          <w:szCs w:val="24"/>
        </w:rPr>
        <w:t xml:space="preserve"> el Estado, es verificar y examinar bajo qué carácter enter</w:t>
      </w:r>
      <w:r>
        <w:rPr>
          <w:rFonts w:ascii="Arial" w:hAnsi="Arial" w:cs="Arial"/>
          <w:sz w:val="24"/>
          <w:szCs w:val="24"/>
        </w:rPr>
        <w:t>a</w:t>
      </w:r>
      <w:r w:rsidRPr="002B28B4">
        <w:rPr>
          <w:rFonts w:ascii="Arial" w:hAnsi="Arial" w:cs="Arial"/>
          <w:sz w:val="24"/>
          <w:szCs w:val="24"/>
        </w:rPr>
        <w:t xml:space="preserve"> </w:t>
      </w:r>
      <w:r>
        <w:rPr>
          <w:rFonts w:ascii="Arial" w:hAnsi="Arial" w:cs="Arial"/>
          <w:sz w:val="24"/>
          <w:szCs w:val="24"/>
        </w:rPr>
        <w:t>un monto específico</w:t>
      </w:r>
      <w:r w:rsidRPr="002B28B4">
        <w:rPr>
          <w:rFonts w:ascii="Arial" w:hAnsi="Arial" w:cs="Arial"/>
          <w:sz w:val="24"/>
          <w:szCs w:val="24"/>
        </w:rPr>
        <w:t>.</w:t>
      </w:r>
    </w:p>
    <w:p w14:paraId="5CAE228D" w14:textId="77777777" w:rsidR="002B28B4" w:rsidRPr="002B28B4" w:rsidRDefault="002B28B4" w:rsidP="002B28B4">
      <w:pPr>
        <w:spacing w:after="0" w:line="360" w:lineRule="auto"/>
        <w:ind w:firstLine="709"/>
        <w:jc w:val="both"/>
        <w:rPr>
          <w:rFonts w:ascii="Arial" w:hAnsi="Arial" w:cs="Arial"/>
          <w:sz w:val="24"/>
          <w:szCs w:val="24"/>
        </w:rPr>
      </w:pPr>
    </w:p>
    <w:p w14:paraId="4455D1AD" w14:textId="1F705656" w:rsidR="002B28B4" w:rsidRDefault="002B28B4" w:rsidP="002B28B4">
      <w:pPr>
        <w:spacing w:after="0" w:line="360" w:lineRule="auto"/>
        <w:ind w:firstLine="709"/>
        <w:jc w:val="both"/>
        <w:rPr>
          <w:rFonts w:ascii="Arial" w:hAnsi="Arial" w:cs="Arial"/>
          <w:sz w:val="24"/>
          <w:szCs w:val="24"/>
        </w:rPr>
      </w:pPr>
      <w:r w:rsidRPr="002B28B4">
        <w:rPr>
          <w:rFonts w:ascii="Arial" w:hAnsi="Arial" w:cs="Arial"/>
          <w:sz w:val="24"/>
          <w:szCs w:val="24"/>
        </w:rPr>
        <w:t xml:space="preserve">Es decir, determinar si lo hizo como órgano de derecho público, esto es, si lo efectuó con la finalidad de realizar o desarrollar alguna de las funciones para las cuales posee atribuciones legales (servicios públicos); o como parte patronal, bajo una relación laboral con sus empleados, derivado </w:t>
      </w:r>
      <w:r w:rsidRPr="002B28B4">
        <w:rPr>
          <w:rFonts w:ascii="Arial" w:hAnsi="Arial" w:cs="Arial"/>
          <w:sz w:val="24"/>
          <w:szCs w:val="24"/>
        </w:rPr>
        <w:lastRenderedPageBreak/>
        <w:t>de normas de esa naturaleza o de convenios relacionados con las condiciones de trabajo.</w:t>
      </w:r>
    </w:p>
    <w:p w14:paraId="33ACF649" w14:textId="77777777" w:rsidR="002B28B4" w:rsidRPr="002B28B4" w:rsidRDefault="002B28B4" w:rsidP="002B28B4">
      <w:pPr>
        <w:spacing w:after="0" w:line="360" w:lineRule="auto"/>
        <w:ind w:firstLine="709"/>
        <w:jc w:val="both"/>
        <w:rPr>
          <w:rFonts w:ascii="Arial" w:hAnsi="Arial" w:cs="Arial"/>
          <w:sz w:val="24"/>
          <w:szCs w:val="24"/>
        </w:rPr>
      </w:pPr>
    </w:p>
    <w:p w14:paraId="5C346A8D" w14:textId="2C71936A" w:rsidR="002B28B4" w:rsidRDefault="002B28B4" w:rsidP="002B28B4">
      <w:pPr>
        <w:spacing w:after="0" w:line="360" w:lineRule="auto"/>
        <w:ind w:firstLine="709"/>
        <w:jc w:val="both"/>
        <w:rPr>
          <w:rFonts w:ascii="Arial" w:hAnsi="Arial" w:cs="Arial"/>
          <w:sz w:val="24"/>
          <w:szCs w:val="24"/>
        </w:rPr>
      </w:pPr>
      <w:r w:rsidRPr="002B28B4">
        <w:rPr>
          <w:rFonts w:ascii="Arial" w:hAnsi="Arial" w:cs="Arial"/>
          <w:sz w:val="24"/>
          <w:szCs w:val="24"/>
        </w:rPr>
        <w:t>En el primer supuesto, esto es, como ente de derecho público en ejercicio de sus potestades legales de autoridad, se tiene que los recursos aportados por el Estado tienen la calidad de recursos públicos, dado que van directamente a satisfacer o tratar de cumplir con una finalidad pública.</w:t>
      </w:r>
    </w:p>
    <w:p w14:paraId="1C31060D" w14:textId="77777777" w:rsidR="002B28B4" w:rsidRPr="002B28B4" w:rsidRDefault="002B28B4" w:rsidP="002B28B4">
      <w:pPr>
        <w:spacing w:after="0" w:line="360" w:lineRule="auto"/>
        <w:ind w:firstLine="709"/>
        <w:jc w:val="both"/>
        <w:rPr>
          <w:rFonts w:ascii="Arial" w:hAnsi="Arial" w:cs="Arial"/>
          <w:sz w:val="24"/>
          <w:szCs w:val="24"/>
        </w:rPr>
      </w:pPr>
    </w:p>
    <w:p w14:paraId="7E6435F3" w14:textId="166C8362" w:rsidR="002B28B4" w:rsidRPr="002B28B4" w:rsidRDefault="002B28B4" w:rsidP="002B28B4">
      <w:pPr>
        <w:spacing w:after="0" w:line="360" w:lineRule="auto"/>
        <w:ind w:firstLine="709"/>
        <w:jc w:val="both"/>
        <w:rPr>
          <w:rFonts w:ascii="Arial" w:hAnsi="Arial" w:cs="Arial"/>
          <w:sz w:val="24"/>
          <w:szCs w:val="24"/>
        </w:rPr>
      </w:pPr>
      <w:r w:rsidRPr="002B28B4">
        <w:rPr>
          <w:rFonts w:ascii="Arial" w:hAnsi="Arial" w:cs="Arial"/>
          <w:sz w:val="24"/>
          <w:szCs w:val="24"/>
        </w:rPr>
        <w:t xml:space="preserve">En el segundo caso, como parte patronal, como acontece en la especie, las aportaciones del Estado se tornan de tipo laboral, puesto que se verifican bajo una relación obrero-patronal y, por tanto, las aportaciones que el </w:t>
      </w:r>
      <w:r>
        <w:rPr>
          <w:rFonts w:ascii="Arial" w:hAnsi="Arial" w:cs="Arial"/>
          <w:sz w:val="24"/>
          <w:szCs w:val="24"/>
        </w:rPr>
        <w:t>ente estatal de que se tarte</w:t>
      </w:r>
      <w:r w:rsidRPr="002B28B4">
        <w:rPr>
          <w:rFonts w:ascii="Arial" w:hAnsi="Arial" w:cs="Arial"/>
          <w:sz w:val="24"/>
          <w:szCs w:val="24"/>
        </w:rPr>
        <w:t xml:space="preserve"> realice bajo esta faceta, no pueden considerarse como recursos públicos dado que no tienen finalidades de este tipo, públicas, porque sólo van encaminadas cumplir con los compromisos patronales a que lo obligan las leyes laborales y los convenios que como parte patronal hubiese asumido.</w:t>
      </w:r>
    </w:p>
    <w:p w14:paraId="0A7A7D03" w14:textId="77777777" w:rsidR="002B28B4" w:rsidRPr="002B28B4" w:rsidRDefault="002B28B4" w:rsidP="002B28B4">
      <w:pPr>
        <w:spacing w:after="0" w:line="360" w:lineRule="auto"/>
        <w:ind w:firstLine="709"/>
        <w:jc w:val="both"/>
        <w:rPr>
          <w:rFonts w:ascii="Arial" w:hAnsi="Arial" w:cs="Arial"/>
          <w:sz w:val="24"/>
          <w:szCs w:val="24"/>
        </w:rPr>
      </w:pPr>
    </w:p>
    <w:p w14:paraId="2CA3C46B" w14:textId="4C4ED96C" w:rsidR="002B28B4" w:rsidRDefault="002B28B4" w:rsidP="002B28B4">
      <w:pPr>
        <w:spacing w:after="0" w:line="360" w:lineRule="auto"/>
        <w:ind w:firstLine="709"/>
        <w:jc w:val="both"/>
        <w:rPr>
          <w:rFonts w:ascii="Arial" w:hAnsi="Arial" w:cs="Arial"/>
          <w:sz w:val="24"/>
          <w:szCs w:val="24"/>
        </w:rPr>
      </w:pPr>
      <w:r w:rsidRPr="002B28B4">
        <w:rPr>
          <w:rFonts w:ascii="Arial" w:hAnsi="Arial" w:cs="Arial"/>
          <w:sz w:val="24"/>
          <w:szCs w:val="24"/>
        </w:rPr>
        <w:t>El razonamiento anterior, encuentra sustento en la ejecutoria recaída en la contradicción de tesis 333/2009, de donde derivó la jurisprudencia 2a./J. 118/2010, antes invocada, verificada entre el Tercer Tribunal Colegiado en Materia Administrativa del Primer Circuito y el Décimo Tribunal Colegiado en Materia Administrativa del Primer Circuito, la cual, en la parte conducente, señala:</w:t>
      </w:r>
    </w:p>
    <w:p w14:paraId="07F7E891" w14:textId="4CA1BE78" w:rsidR="00877C38" w:rsidRDefault="00877C38" w:rsidP="002B28B4">
      <w:pPr>
        <w:spacing w:after="0" w:line="360" w:lineRule="auto"/>
        <w:ind w:firstLine="709"/>
        <w:jc w:val="both"/>
        <w:rPr>
          <w:rFonts w:ascii="Arial" w:hAnsi="Arial" w:cs="Arial"/>
          <w:sz w:val="24"/>
          <w:szCs w:val="24"/>
        </w:rPr>
      </w:pPr>
    </w:p>
    <w:p w14:paraId="394F7892" w14:textId="0C5F1E4E"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Como es posible apreciar de la lectura del artículo 6o., fracción I, constitucional, en relación con los numerales 1o. y 2o. de la Ley Federal de Transparencia y Acceso a la Información Pública Gubernamental, el concepto de información pública comprende todos los datos que se encuentren en posesión de cualquier autoridad, entidad, órgano u organismo federal, estatal y municipal, por lo cual dicha información es susceptible, en principio, de divulgarse a terceros en los términos previstos por el legislador en dicho ordenamiento legal.</w:t>
      </w:r>
    </w:p>
    <w:p w14:paraId="381A5221" w14:textId="77777777"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p>
    <w:p w14:paraId="44FEED63" w14:textId="08641973"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Sin embargo, para que sea posible catalogar como "información pública" al conjunto de datos provenientes de particulares, no basta que aquélla se encuentre en posesión de los poderes públicos, sino que es necesario que tal información de particulares haya sido recabada por</w:t>
      </w:r>
      <w:r w:rsidR="00717B62" w:rsidRPr="005961FD">
        <w:rPr>
          <w:rFonts w:ascii="Arial" w:hAnsi="Arial" w:cs="Arial"/>
          <w:sz w:val="20"/>
          <w:szCs w:val="20"/>
        </w:rPr>
        <w:t xml:space="preserve"> </w:t>
      </w:r>
      <w:r w:rsidRPr="005961FD">
        <w:rPr>
          <w:rFonts w:ascii="Arial" w:hAnsi="Arial" w:cs="Arial"/>
          <w:sz w:val="20"/>
          <w:szCs w:val="20"/>
        </w:rPr>
        <w:t>las autoridades del Estado en ejercicio de funciones de derecho público.</w:t>
      </w:r>
    </w:p>
    <w:p w14:paraId="0330FFE9"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2372F64F" w14:textId="075D48E2"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u w:val="single"/>
        </w:rPr>
      </w:pPr>
      <w:r w:rsidRPr="005961FD">
        <w:rPr>
          <w:rFonts w:ascii="Arial" w:hAnsi="Arial" w:cs="Arial"/>
          <w:sz w:val="20"/>
          <w:szCs w:val="20"/>
          <w:u w:val="single"/>
        </w:rPr>
        <w:t>Esta Segunda Sala de la Suprema Corte de Justicia de la</w:t>
      </w:r>
      <w:r w:rsidR="00717B62" w:rsidRPr="005961FD">
        <w:rPr>
          <w:rFonts w:ascii="Arial" w:hAnsi="Arial" w:cs="Arial"/>
          <w:sz w:val="20"/>
          <w:szCs w:val="20"/>
          <w:u w:val="single"/>
        </w:rPr>
        <w:t xml:space="preserve"> </w:t>
      </w:r>
      <w:r w:rsidRPr="005961FD">
        <w:rPr>
          <w:rFonts w:ascii="Arial" w:hAnsi="Arial" w:cs="Arial"/>
          <w:sz w:val="20"/>
          <w:szCs w:val="20"/>
          <w:u w:val="single"/>
        </w:rPr>
        <w:t>Nación encuentra que dentro de un Estado constitucional, los</w:t>
      </w:r>
      <w:r w:rsidR="00717B62" w:rsidRPr="005961FD">
        <w:rPr>
          <w:rFonts w:ascii="Arial" w:hAnsi="Arial" w:cs="Arial"/>
          <w:sz w:val="20"/>
          <w:szCs w:val="20"/>
          <w:u w:val="single"/>
        </w:rPr>
        <w:t xml:space="preserve"> </w:t>
      </w:r>
      <w:r w:rsidRPr="005961FD">
        <w:rPr>
          <w:rFonts w:ascii="Arial" w:hAnsi="Arial" w:cs="Arial"/>
          <w:sz w:val="20"/>
          <w:szCs w:val="20"/>
          <w:u w:val="single"/>
        </w:rPr>
        <w:t>representantes están al servicio de los intereses de la sociedad, y no la</w:t>
      </w:r>
      <w:r w:rsidR="00717B62" w:rsidRPr="005961FD">
        <w:rPr>
          <w:rFonts w:ascii="Arial" w:hAnsi="Arial" w:cs="Arial"/>
          <w:sz w:val="20"/>
          <w:szCs w:val="20"/>
          <w:u w:val="single"/>
        </w:rPr>
        <w:t xml:space="preserve"> </w:t>
      </w:r>
      <w:r w:rsidRPr="005961FD">
        <w:rPr>
          <w:rFonts w:ascii="Arial" w:hAnsi="Arial" w:cs="Arial"/>
          <w:sz w:val="20"/>
          <w:szCs w:val="20"/>
          <w:u w:val="single"/>
        </w:rPr>
        <w:t>sociedad al servicio de los gobernantes, de lo que se sigue la regla</w:t>
      </w:r>
      <w:r w:rsidR="00717B62" w:rsidRPr="005961FD">
        <w:rPr>
          <w:rFonts w:ascii="Arial" w:hAnsi="Arial" w:cs="Arial"/>
          <w:sz w:val="20"/>
          <w:szCs w:val="20"/>
          <w:u w:val="single"/>
        </w:rPr>
        <w:t xml:space="preserve"> </w:t>
      </w:r>
      <w:r w:rsidRPr="005961FD">
        <w:rPr>
          <w:rFonts w:ascii="Arial" w:hAnsi="Arial" w:cs="Arial"/>
          <w:sz w:val="20"/>
          <w:szCs w:val="20"/>
          <w:u w:val="single"/>
        </w:rPr>
        <w:t>general consistente en que los poderes públicos no están autorizados</w:t>
      </w:r>
      <w:r w:rsidR="00717B62" w:rsidRPr="005961FD">
        <w:rPr>
          <w:rFonts w:ascii="Arial" w:hAnsi="Arial" w:cs="Arial"/>
          <w:sz w:val="20"/>
          <w:szCs w:val="20"/>
          <w:u w:val="single"/>
        </w:rPr>
        <w:t xml:space="preserve"> </w:t>
      </w:r>
      <w:r w:rsidRPr="005961FD">
        <w:rPr>
          <w:rFonts w:ascii="Arial" w:hAnsi="Arial" w:cs="Arial"/>
          <w:sz w:val="20"/>
          <w:szCs w:val="20"/>
          <w:u w:val="single"/>
        </w:rPr>
        <w:t>para mantener secretos y reservas frente a los ciudadanos en el</w:t>
      </w:r>
      <w:r w:rsidR="00717B62" w:rsidRPr="005961FD">
        <w:rPr>
          <w:rFonts w:ascii="Arial" w:hAnsi="Arial" w:cs="Arial"/>
          <w:sz w:val="20"/>
          <w:szCs w:val="20"/>
          <w:u w:val="single"/>
        </w:rPr>
        <w:t xml:space="preserve"> </w:t>
      </w:r>
      <w:r w:rsidRPr="005961FD">
        <w:rPr>
          <w:rFonts w:ascii="Arial" w:hAnsi="Arial" w:cs="Arial"/>
          <w:sz w:val="20"/>
          <w:szCs w:val="20"/>
          <w:u w:val="single"/>
        </w:rPr>
        <w:t>ejercicio de las funciones estatales que están llamados a cumplir, salvo</w:t>
      </w:r>
      <w:r w:rsidR="00717B62" w:rsidRPr="005961FD">
        <w:rPr>
          <w:rFonts w:ascii="Arial" w:hAnsi="Arial" w:cs="Arial"/>
          <w:sz w:val="20"/>
          <w:szCs w:val="20"/>
          <w:u w:val="single"/>
        </w:rPr>
        <w:t xml:space="preserve"> </w:t>
      </w:r>
      <w:r w:rsidRPr="005961FD">
        <w:rPr>
          <w:rFonts w:ascii="Arial" w:hAnsi="Arial" w:cs="Arial"/>
          <w:sz w:val="20"/>
          <w:szCs w:val="20"/>
          <w:u w:val="single"/>
        </w:rPr>
        <w:t>las excepciones legalmente tasadas, que operan cuando la revelación</w:t>
      </w:r>
      <w:r w:rsidR="00717B62" w:rsidRPr="005961FD">
        <w:rPr>
          <w:rFonts w:ascii="Arial" w:hAnsi="Arial" w:cs="Arial"/>
          <w:sz w:val="20"/>
          <w:szCs w:val="20"/>
          <w:u w:val="single"/>
        </w:rPr>
        <w:t xml:space="preserve"> </w:t>
      </w:r>
      <w:r w:rsidRPr="005961FD">
        <w:rPr>
          <w:rFonts w:ascii="Arial" w:hAnsi="Arial" w:cs="Arial"/>
          <w:sz w:val="20"/>
          <w:szCs w:val="20"/>
          <w:u w:val="single"/>
        </w:rPr>
        <w:t>de datos sea susceptible de afectar la intimidad, la privacidad y la</w:t>
      </w:r>
      <w:r w:rsidR="00717B62" w:rsidRPr="005961FD">
        <w:rPr>
          <w:rFonts w:ascii="Arial" w:hAnsi="Arial" w:cs="Arial"/>
          <w:sz w:val="20"/>
          <w:szCs w:val="20"/>
          <w:u w:val="single"/>
        </w:rPr>
        <w:t xml:space="preserve"> </w:t>
      </w:r>
      <w:r w:rsidRPr="005961FD">
        <w:rPr>
          <w:rFonts w:ascii="Arial" w:hAnsi="Arial" w:cs="Arial"/>
          <w:sz w:val="20"/>
          <w:szCs w:val="20"/>
          <w:u w:val="single"/>
        </w:rPr>
        <w:t>seguridad de las personas; todo lo cual impone reconocer que es</w:t>
      </w:r>
      <w:r w:rsidR="00717B62" w:rsidRPr="005961FD">
        <w:rPr>
          <w:rFonts w:ascii="Arial" w:hAnsi="Arial" w:cs="Arial"/>
          <w:sz w:val="20"/>
          <w:szCs w:val="20"/>
          <w:u w:val="single"/>
        </w:rPr>
        <w:t xml:space="preserve"> </w:t>
      </w:r>
      <w:r w:rsidRPr="005961FD">
        <w:rPr>
          <w:rFonts w:ascii="Arial" w:hAnsi="Arial" w:cs="Arial"/>
          <w:sz w:val="20"/>
          <w:szCs w:val="20"/>
          <w:u w:val="single"/>
        </w:rPr>
        <w:t>información pública el conjunto de datos de autoridades o particulares</w:t>
      </w:r>
      <w:r w:rsidR="00717B62" w:rsidRPr="005961FD">
        <w:rPr>
          <w:rFonts w:ascii="Arial" w:hAnsi="Arial" w:cs="Arial"/>
          <w:sz w:val="20"/>
          <w:szCs w:val="20"/>
          <w:u w:val="single"/>
        </w:rPr>
        <w:t xml:space="preserve"> </w:t>
      </w:r>
      <w:r w:rsidRPr="005961FD">
        <w:rPr>
          <w:rFonts w:ascii="Arial" w:hAnsi="Arial" w:cs="Arial"/>
          <w:sz w:val="20"/>
          <w:szCs w:val="20"/>
          <w:u w:val="single"/>
        </w:rPr>
        <w:t>en posesión de los Poderes Constituidos del Estado, que hayan sido</w:t>
      </w:r>
      <w:r w:rsidR="00717B62" w:rsidRPr="005961FD">
        <w:rPr>
          <w:rFonts w:ascii="Arial" w:hAnsi="Arial" w:cs="Arial"/>
          <w:sz w:val="20"/>
          <w:szCs w:val="20"/>
          <w:u w:val="single"/>
        </w:rPr>
        <w:t xml:space="preserve"> </w:t>
      </w:r>
      <w:r w:rsidRPr="005961FD">
        <w:rPr>
          <w:rFonts w:ascii="Arial" w:hAnsi="Arial" w:cs="Arial"/>
          <w:sz w:val="20"/>
          <w:szCs w:val="20"/>
          <w:u w:val="single"/>
        </w:rPr>
        <w:t xml:space="preserve">obtenidos por causa del ejercicio de funciones de </w:t>
      </w:r>
      <w:r w:rsidRPr="005961FD">
        <w:rPr>
          <w:rFonts w:ascii="Arial" w:hAnsi="Arial" w:cs="Arial"/>
          <w:sz w:val="20"/>
          <w:szCs w:val="20"/>
          <w:u w:val="single"/>
        </w:rPr>
        <w:lastRenderedPageBreak/>
        <w:t>derecho público,</w:t>
      </w:r>
      <w:r w:rsidR="00717B62" w:rsidRPr="005961FD">
        <w:rPr>
          <w:rFonts w:ascii="Arial" w:hAnsi="Arial" w:cs="Arial"/>
          <w:sz w:val="20"/>
          <w:szCs w:val="20"/>
          <w:u w:val="single"/>
        </w:rPr>
        <w:t xml:space="preserve"> </w:t>
      </w:r>
      <w:r w:rsidRPr="005961FD">
        <w:rPr>
          <w:rFonts w:ascii="Arial" w:hAnsi="Arial" w:cs="Arial"/>
          <w:sz w:val="20"/>
          <w:szCs w:val="20"/>
          <w:u w:val="single"/>
        </w:rPr>
        <w:t>considerando que es en este ámbito de actuación en el que rige la</w:t>
      </w:r>
      <w:r w:rsidR="00717B62" w:rsidRPr="005961FD">
        <w:rPr>
          <w:rFonts w:ascii="Arial" w:hAnsi="Arial" w:cs="Arial"/>
          <w:sz w:val="20"/>
          <w:szCs w:val="20"/>
          <w:u w:val="single"/>
        </w:rPr>
        <w:t xml:space="preserve"> </w:t>
      </w:r>
      <w:r w:rsidRPr="005961FD">
        <w:rPr>
          <w:rFonts w:ascii="Arial" w:hAnsi="Arial" w:cs="Arial"/>
          <w:sz w:val="20"/>
          <w:szCs w:val="20"/>
          <w:u w:val="single"/>
        </w:rPr>
        <w:t>obligación de aquéllos de rendir cuentas y transparentar sus acciones</w:t>
      </w:r>
      <w:r w:rsidR="00717B62" w:rsidRPr="005961FD">
        <w:rPr>
          <w:rFonts w:ascii="Arial" w:hAnsi="Arial" w:cs="Arial"/>
          <w:sz w:val="20"/>
          <w:szCs w:val="20"/>
          <w:u w:val="single"/>
        </w:rPr>
        <w:t xml:space="preserve"> </w:t>
      </w:r>
      <w:r w:rsidRPr="005961FD">
        <w:rPr>
          <w:rFonts w:ascii="Arial" w:hAnsi="Arial" w:cs="Arial"/>
          <w:sz w:val="20"/>
          <w:szCs w:val="20"/>
          <w:u w:val="single"/>
        </w:rPr>
        <w:t>frente a la sociedad, en términos del artículo 6o., fracción I,</w:t>
      </w:r>
      <w:r w:rsidR="00717B62" w:rsidRPr="005961FD">
        <w:rPr>
          <w:rFonts w:ascii="Arial" w:hAnsi="Arial" w:cs="Arial"/>
          <w:sz w:val="20"/>
          <w:szCs w:val="20"/>
          <w:u w:val="single"/>
        </w:rPr>
        <w:t xml:space="preserve"> </w:t>
      </w:r>
      <w:r w:rsidRPr="005961FD">
        <w:rPr>
          <w:rFonts w:ascii="Arial" w:hAnsi="Arial" w:cs="Arial"/>
          <w:sz w:val="20"/>
          <w:szCs w:val="20"/>
          <w:u w:val="single"/>
        </w:rPr>
        <w:t>constitucional, en relación con los numerales 1o., 2o., 4o. y 6o. de la</w:t>
      </w:r>
      <w:r w:rsidR="00717B62" w:rsidRPr="005961FD">
        <w:rPr>
          <w:rFonts w:ascii="Arial" w:hAnsi="Arial" w:cs="Arial"/>
          <w:sz w:val="20"/>
          <w:szCs w:val="20"/>
          <w:u w:val="single"/>
        </w:rPr>
        <w:t xml:space="preserve"> </w:t>
      </w:r>
      <w:r w:rsidRPr="005961FD">
        <w:rPr>
          <w:rFonts w:ascii="Arial" w:hAnsi="Arial" w:cs="Arial"/>
          <w:sz w:val="20"/>
          <w:szCs w:val="20"/>
          <w:u w:val="single"/>
        </w:rPr>
        <w:t>Ley Federal de Transparencia y Acceso a la Información Pública</w:t>
      </w:r>
      <w:r w:rsidR="00717B62" w:rsidRPr="005961FD">
        <w:rPr>
          <w:rFonts w:ascii="Arial" w:hAnsi="Arial" w:cs="Arial"/>
          <w:sz w:val="20"/>
          <w:szCs w:val="20"/>
          <w:u w:val="single"/>
        </w:rPr>
        <w:t xml:space="preserve"> </w:t>
      </w:r>
      <w:r w:rsidRPr="005961FD">
        <w:rPr>
          <w:rFonts w:ascii="Arial" w:hAnsi="Arial" w:cs="Arial"/>
          <w:sz w:val="20"/>
          <w:szCs w:val="20"/>
          <w:u w:val="single"/>
        </w:rPr>
        <w:t>Gubernamental.</w:t>
      </w:r>
    </w:p>
    <w:p w14:paraId="20C1BA1B"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50168C83" w14:textId="30C53F53"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u w:val="single"/>
        </w:rPr>
      </w:pPr>
      <w:r w:rsidRPr="005961FD">
        <w:rPr>
          <w:rFonts w:ascii="Arial" w:hAnsi="Arial" w:cs="Arial"/>
          <w:sz w:val="20"/>
          <w:szCs w:val="20"/>
          <w:u w:val="single"/>
        </w:rPr>
        <w:t>Como se ha expuesto, esta Segunda Sala de la Suprema Corte</w:t>
      </w:r>
      <w:r w:rsidR="00717B62" w:rsidRPr="005961FD">
        <w:rPr>
          <w:rFonts w:ascii="Arial" w:hAnsi="Arial" w:cs="Arial"/>
          <w:sz w:val="20"/>
          <w:szCs w:val="20"/>
          <w:u w:val="single"/>
        </w:rPr>
        <w:t xml:space="preserve"> </w:t>
      </w:r>
      <w:r w:rsidRPr="005961FD">
        <w:rPr>
          <w:rFonts w:ascii="Arial" w:hAnsi="Arial" w:cs="Arial"/>
          <w:sz w:val="20"/>
          <w:szCs w:val="20"/>
          <w:u w:val="single"/>
        </w:rPr>
        <w:t>de Justicia de la Nación interpreta que es información pública el</w:t>
      </w:r>
      <w:r w:rsidR="00717B62" w:rsidRPr="005961FD">
        <w:rPr>
          <w:rFonts w:ascii="Arial" w:hAnsi="Arial" w:cs="Arial"/>
          <w:sz w:val="20"/>
          <w:szCs w:val="20"/>
          <w:u w:val="single"/>
        </w:rPr>
        <w:t xml:space="preserve"> </w:t>
      </w:r>
      <w:r w:rsidRPr="005961FD">
        <w:rPr>
          <w:rFonts w:ascii="Arial" w:hAnsi="Arial" w:cs="Arial"/>
          <w:sz w:val="20"/>
          <w:szCs w:val="20"/>
          <w:u w:val="single"/>
        </w:rPr>
        <w:t>conjunto de datos de autoridades o particulares en posesión de los</w:t>
      </w:r>
      <w:r w:rsidR="00717B62" w:rsidRPr="005961FD">
        <w:rPr>
          <w:rFonts w:ascii="Arial" w:hAnsi="Arial" w:cs="Arial"/>
          <w:sz w:val="20"/>
          <w:szCs w:val="20"/>
          <w:u w:val="single"/>
        </w:rPr>
        <w:t xml:space="preserve"> </w:t>
      </w:r>
      <w:r w:rsidRPr="005961FD">
        <w:rPr>
          <w:rFonts w:ascii="Arial" w:hAnsi="Arial" w:cs="Arial"/>
          <w:sz w:val="20"/>
          <w:szCs w:val="20"/>
          <w:u w:val="single"/>
        </w:rPr>
        <w:t>Poderes Constituidos del Estado, que hayan sido obtenidos por causa</w:t>
      </w:r>
      <w:r w:rsidR="00717B62" w:rsidRPr="005961FD">
        <w:rPr>
          <w:rFonts w:ascii="Arial" w:hAnsi="Arial" w:cs="Arial"/>
          <w:sz w:val="20"/>
          <w:szCs w:val="20"/>
          <w:u w:val="single"/>
        </w:rPr>
        <w:t xml:space="preserve"> </w:t>
      </w:r>
      <w:r w:rsidRPr="005961FD">
        <w:rPr>
          <w:rFonts w:ascii="Arial" w:hAnsi="Arial" w:cs="Arial"/>
          <w:sz w:val="20"/>
          <w:szCs w:val="20"/>
          <w:u w:val="single"/>
        </w:rPr>
        <w:t>del ejercicio de funciones de derecho público, considerando que en este</w:t>
      </w:r>
      <w:r w:rsidR="00717B62" w:rsidRPr="005961FD">
        <w:rPr>
          <w:rFonts w:ascii="Arial" w:hAnsi="Arial" w:cs="Arial"/>
          <w:sz w:val="20"/>
          <w:szCs w:val="20"/>
          <w:u w:val="single"/>
        </w:rPr>
        <w:t xml:space="preserve"> </w:t>
      </w:r>
      <w:r w:rsidRPr="005961FD">
        <w:rPr>
          <w:rFonts w:ascii="Arial" w:hAnsi="Arial" w:cs="Arial"/>
          <w:sz w:val="20"/>
          <w:szCs w:val="20"/>
          <w:u w:val="single"/>
        </w:rPr>
        <w:t>ámbito de actuación rige la obligación de aquéllos de rendir cuentas y</w:t>
      </w:r>
      <w:r w:rsidR="00717B62" w:rsidRPr="005961FD">
        <w:rPr>
          <w:rFonts w:ascii="Arial" w:hAnsi="Arial" w:cs="Arial"/>
          <w:sz w:val="20"/>
          <w:szCs w:val="20"/>
          <w:u w:val="single"/>
        </w:rPr>
        <w:t xml:space="preserve"> </w:t>
      </w:r>
      <w:r w:rsidRPr="005961FD">
        <w:rPr>
          <w:rFonts w:ascii="Arial" w:hAnsi="Arial" w:cs="Arial"/>
          <w:sz w:val="20"/>
          <w:szCs w:val="20"/>
          <w:u w:val="single"/>
        </w:rPr>
        <w:t>transparentar sus acciones frente a la sociedad.</w:t>
      </w:r>
    </w:p>
    <w:p w14:paraId="1A1B0DD3"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u w:val="single"/>
        </w:rPr>
      </w:pPr>
    </w:p>
    <w:p w14:paraId="7196C033" w14:textId="4690DB48"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u w:val="single"/>
        </w:rPr>
      </w:pPr>
      <w:r w:rsidRPr="005961FD">
        <w:rPr>
          <w:rFonts w:ascii="Arial" w:hAnsi="Arial" w:cs="Arial"/>
          <w:sz w:val="20"/>
          <w:szCs w:val="20"/>
        </w:rPr>
        <w:t>Por tanto, el monto total al que ascienden las cuotas sindicales</w:t>
      </w:r>
      <w:r w:rsidR="00717B62" w:rsidRPr="005961FD">
        <w:rPr>
          <w:rFonts w:ascii="Arial" w:hAnsi="Arial" w:cs="Arial"/>
          <w:sz w:val="20"/>
          <w:szCs w:val="20"/>
        </w:rPr>
        <w:t xml:space="preserve"> </w:t>
      </w:r>
      <w:r w:rsidRPr="005961FD">
        <w:rPr>
          <w:rFonts w:ascii="Arial" w:hAnsi="Arial" w:cs="Arial"/>
          <w:sz w:val="20"/>
          <w:szCs w:val="20"/>
        </w:rPr>
        <w:t>que aportan anualmente los trabajadores de Petróleos Mexicanos</w:t>
      </w:r>
      <w:r w:rsidRPr="005961FD">
        <w:rPr>
          <w:rFonts w:ascii="Arial" w:hAnsi="Arial" w:cs="Arial"/>
          <w:sz w:val="20"/>
          <w:szCs w:val="20"/>
          <w:u w:val="single"/>
        </w:rPr>
        <w:t xml:space="preserve"> no</w:t>
      </w:r>
      <w:r w:rsidR="00717B62" w:rsidRPr="005961FD">
        <w:rPr>
          <w:rFonts w:ascii="Arial" w:hAnsi="Arial" w:cs="Arial"/>
          <w:sz w:val="20"/>
          <w:szCs w:val="20"/>
          <w:u w:val="single"/>
        </w:rPr>
        <w:t xml:space="preserve"> </w:t>
      </w:r>
      <w:r w:rsidRPr="005961FD">
        <w:rPr>
          <w:rFonts w:ascii="Arial" w:hAnsi="Arial" w:cs="Arial"/>
          <w:sz w:val="20"/>
          <w:szCs w:val="20"/>
          <w:u w:val="single"/>
        </w:rPr>
        <w:t>constituye información pública que sin la autorización del sindicato deba</w:t>
      </w:r>
      <w:r w:rsidR="00717B62" w:rsidRPr="005961FD">
        <w:rPr>
          <w:rFonts w:ascii="Arial" w:hAnsi="Arial" w:cs="Arial"/>
          <w:sz w:val="20"/>
          <w:szCs w:val="20"/>
          <w:u w:val="single"/>
        </w:rPr>
        <w:t xml:space="preserve"> </w:t>
      </w:r>
      <w:r w:rsidRPr="005961FD">
        <w:rPr>
          <w:rFonts w:ascii="Arial" w:hAnsi="Arial" w:cs="Arial"/>
          <w:sz w:val="20"/>
          <w:szCs w:val="20"/>
          <w:u w:val="single"/>
        </w:rPr>
        <w:t>darse a conocer necesariamente a los terceros que lo soliciten,</w:t>
      </w:r>
      <w:r w:rsidR="00717B62" w:rsidRPr="005961FD">
        <w:rPr>
          <w:rFonts w:ascii="Arial" w:hAnsi="Arial" w:cs="Arial"/>
          <w:sz w:val="20"/>
          <w:szCs w:val="20"/>
          <w:u w:val="single"/>
        </w:rPr>
        <w:t xml:space="preserve"> </w:t>
      </w:r>
      <w:r w:rsidRPr="005961FD">
        <w:rPr>
          <w:rFonts w:ascii="Arial" w:hAnsi="Arial" w:cs="Arial"/>
          <w:sz w:val="20"/>
          <w:szCs w:val="20"/>
          <w:u w:val="single"/>
        </w:rPr>
        <w:t>tomando en cuenta que dicha cantidad constituye un haber patrimonial</w:t>
      </w:r>
      <w:r w:rsidR="00717B62" w:rsidRPr="005961FD">
        <w:rPr>
          <w:rFonts w:ascii="Arial" w:hAnsi="Arial" w:cs="Arial"/>
          <w:sz w:val="20"/>
          <w:szCs w:val="20"/>
          <w:u w:val="single"/>
        </w:rPr>
        <w:t xml:space="preserve"> </w:t>
      </w:r>
      <w:r w:rsidRPr="005961FD">
        <w:rPr>
          <w:rFonts w:ascii="Arial" w:hAnsi="Arial" w:cs="Arial"/>
          <w:sz w:val="20"/>
          <w:szCs w:val="20"/>
          <w:u w:val="single"/>
        </w:rPr>
        <w:t>perteneciente a una persona jurídica de derecho social (sindicato), y un</w:t>
      </w:r>
      <w:r w:rsidR="00717B62" w:rsidRPr="005961FD">
        <w:rPr>
          <w:rFonts w:ascii="Arial" w:hAnsi="Arial" w:cs="Arial"/>
          <w:sz w:val="20"/>
          <w:szCs w:val="20"/>
          <w:u w:val="single"/>
        </w:rPr>
        <w:t xml:space="preserve"> </w:t>
      </w:r>
      <w:r w:rsidRPr="005961FD">
        <w:rPr>
          <w:rFonts w:ascii="Arial" w:hAnsi="Arial" w:cs="Arial"/>
          <w:sz w:val="20"/>
          <w:szCs w:val="20"/>
          <w:u w:val="single"/>
        </w:rPr>
        <w:t>dato que si bien está en posesión de una entidad gubernamental</w:t>
      </w:r>
      <w:r w:rsidR="00717B62" w:rsidRPr="005961FD">
        <w:rPr>
          <w:rFonts w:ascii="Arial" w:hAnsi="Arial" w:cs="Arial"/>
          <w:sz w:val="20"/>
          <w:szCs w:val="20"/>
          <w:u w:val="single"/>
        </w:rPr>
        <w:t xml:space="preserve"> </w:t>
      </w:r>
      <w:r w:rsidRPr="005961FD">
        <w:rPr>
          <w:rFonts w:ascii="Arial" w:hAnsi="Arial" w:cs="Arial"/>
          <w:sz w:val="20"/>
          <w:szCs w:val="20"/>
          <w:u w:val="single"/>
        </w:rPr>
        <w:t>(Petróleos Mexicanos), se ha obtenido por causa del ejercicio de</w:t>
      </w:r>
      <w:r w:rsidR="00717B62" w:rsidRPr="005961FD">
        <w:rPr>
          <w:rFonts w:ascii="Arial" w:hAnsi="Arial" w:cs="Arial"/>
          <w:sz w:val="20"/>
          <w:szCs w:val="20"/>
          <w:u w:val="single"/>
        </w:rPr>
        <w:t xml:space="preserve"> </w:t>
      </w:r>
      <w:r w:rsidRPr="005961FD">
        <w:rPr>
          <w:rFonts w:ascii="Arial" w:hAnsi="Arial" w:cs="Arial"/>
          <w:sz w:val="20"/>
          <w:szCs w:val="20"/>
          <w:u w:val="single"/>
        </w:rPr>
        <w:t>funciones ajenas al derecho público, ya que tal información está en</w:t>
      </w:r>
      <w:r w:rsidR="00717B62" w:rsidRPr="005961FD">
        <w:rPr>
          <w:rFonts w:ascii="Arial" w:hAnsi="Arial" w:cs="Arial"/>
          <w:sz w:val="20"/>
          <w:szCs w:val="20"/>
          <w:u w:val="single"/>
        </w:rPr>
        <w:t xml:space="preserve"> </w:t>
      </w:r>
      <w:r w:rsidRPr="005961FD">
        <w:rPr>
          <w:rFonts w:ascii="Arial" w:hAnsi="Arial" w:cs="Arial"/>
          <w:sz w:val="20"/>
          <w:szCs w:val="20"/>
          <w:u w:val="single"/>
        </w:rPr>
        <w:t>poder de dicho organismo descentralizado(1) por virtud del carácter de</w:t>
      </w:r>
      <w:r w:rsidR="00717B62" w:rsidRPr="005961FD">
        <w:rPr>
          <w:rFonts w:ascii="Arial" w:hAnsi="Arial" w:cs="Arial"/>
          <w:sz w:val="20"/>
          <w:szCs w:val="20"/>
          <w:u w:val="single"/>
        </w:rPr>
        <w:t xml:space="preserve"> </w:t>
      </w:r>
      <w:r w:rsidRPr="005961FD">
        <w:rPr>
          <w:rFonts w:ascii="Arial" w:hAnsi="Arial" w:cs="Arial"/>
          <w:sz w:val="20"/>
          <w:szCs w:val="20"/>
          <w:u w:val="single"/>
        </w:rPr>
        <w:t>patrón que tiene frente a sus empleados,</w:t>
      </w:r>
      <w:r w:rsidRPr="005961FD">
        <w:rPr>
          <w:rFonts w:ascii="Arial" w:hAnsi="Arial" w:cs="Arial"/>
          <w:sz w:val="20"/>
          <w:szCs w:val="20"/>
        </w:rPr>
        <w:t xml:space="preserve"> a través de la obligación de</w:t>
      </w:r>
      <w:r w:rsidR="00717B62" w:rsidRPr="005961FD">
        <w:rPr>
          <w:rFonts w:ascii="Arial" w:hAnsi="Arial" w:cs="Arial"/>
          <w:sz w:val="20"/>
          <w:szCs w:val="20"/>
        </w:rPr>
        <w:t xml:space="preserve"> </w:t>
      </w:r>
      <w:r w:rsidRPr="005961FD">
        <w:rPr>
          <w:rFonts w:ascii="Arial" w:hAnsi="Arial" w:cs="Arial"/>
          <w:sz w:val="20"/>
          <w:szCs w:val="20"/>
        </w:rPr>
        <w:t>retener mensualmente las cuotas sindicales que aportan los</w:t>
      </w:r>
      <w:r w:rsidR="00717B62" w:rsidRPr="005961FD">
        <w:rPr>
          <w:rFonts w:ascii="Arial" w:hAnsi="Arial" w:cs="Arial"/>
          <w:sz w:val="20"/>
          <w:szCs w:val="20"/>
        </w:rPr>
        <w:t xml:space="preserve"> </w:t>
      </w:r>
      <w:r w:rsidRPr="005961FD">
        <w:rPr>
          <w:rFonts w:ascii="Arial" w:hAnsi="Arial" w:cs="Arial"/>
          <w:sz w:val="20"/>
          <w:szCs w:val="20"/>
        </w:rPr>
        <w:t>trabajadores para posteriormente enterarlas al sindicato, impuesta por</w:t>
      </w:r>
      <w:r w:rsidR="00717B62" w:rsidRPr="005961FD">
        <w:rPr>
          <w:rFonts w:ascii="Arial" w:hAnsi="Arial" w:cs="Arial"/>
          <w:sz w:val="20"/>
          <w:szCs w:val="20"/>
        </w:rPr>
        <w:t xml:space="preserve"> </w:t>
      </w:r>
      <w:r w:rsidRPr="005961FD">
        <w:rPr>
          <w:rFonts w:ascii="Arial" w:hAnsi="Arial" w:cs="Arial"/>
          <w:sz w:val="20"/>
          <w:szCs w:val="20"/>
        </w:rPr>
        <w:t>el artículo 132, fracción XXII, de la Ley Federal del Trabajo, siendo que</w:t>
      </w:r>
      <w:r w:rsidR="00717B62" w:rsidRPr="005961FD">
        <w:rPr>
          <w:rFonts w:ascii="Arial" w:hAnsi="Arial" w:cs="Arial"/>
          <w:sz w:val="20"/>
          <w:szCs w:val="20"/>
        </w:rPr>
        <w:t xml:space="preserve"> </w:t>
      </w:r>
      <w:r w:rsidRPr="005961FD">
        <w:rPr>
          <w:rFonts w:ascii="Arial" w:hAnsi="Arial" w:cs="Arial"/>
          <w:sz w:val="20"/>
          <w:szCs w:val="20"/>
        </w:rPr>
        <w:t>en el ámbito laboral no rige esa obligación a cargo del patrón de rendir</w:t>
      </w:r>
      <w:r w:rsidR="00717B62" w:rsidRPr="005961FD">
        <w:rPr>
          <w:rFonts w:ascii="Arial" w:hAnsi="Arial" w:cs="Arial"/>
          <w:sz w:val="20"/>
          <w:szCs w:val="20"/>
        </w:rPr>
        <w:t xml:space="preserve"> </w:t>
      </w:r>
      <w:r w:rsidRPr="005961FD">
        <w:rPr>
          <w:rFonts w:ascii="Arial" w:hAnsi="Arial" w:cs="Arial"/>
          <w:sz w:val="20"/>
          <w:szCs w:val="20"/>
        </w:rPr>
        <w:t>cuentas y transparentar acciones frente a la sociedad</w:t>
      </w:r>
      <w:r w:rsidRPr="005961FD">
        <w:rPr>
          <w:rFonts w:ascii="Arial" w:hAnsi="Arial" w:cs="Arial"/>
          <w:sz w:val="20"/>
          <w:szCs w:val="20"/>
          <w:u w:val="single"/>
        </w:rPr>
        <w:t>.</w:t>
      </w:r>
    </w:p>
    <w:p w14:paraId="3E392AAE"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526DB9A3" w14:textId="617EFCAA"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Máxime que esta Segunda Sala de la Suprema Corte de</w:t>
      </w:r>
      <w:r w:rsidR="00717B62" w:rsidRPr="005961FD">
        <w:rPr>
          <w:rFonts w:ascii="Arial" w:hAnsi="Arial" w:cs="Arial"/>
          <w:sz w:val="20"/>
          <w:szCs w:val="20"/>
        </w:rPr>
        <w:t xml:space="preserve"> </w:t>
      </w:r>
      <w:r w:rsidRPr="005961FD">
        <w:rPr>
          <w:rFonts w:ascii="Arial" w:hAnsi="Arial" w:cs="Arial"/>
          <w:sz w:val="20"/>
          <w:szCs w:val="20"/>
        </w:rPr>
        <w:t>Justicia de la Nación, al resolver la contradicción de tesis **********, en</w:t>
      </w:r>
      <w:r w:rsidR="00717B62" w:rsidRPr="005961FD">
        <w:rPr>
          <w:rFonts w:ascii="Arial" w:hAnsi="Arial" w:cs="Arial"/>
          <w:sz w:val="20"/>
          <w:szCs w:val="20"/>
        </w:rPr>
        <w:t xml:space="preserve"> </w:t>
      </w:r>
      <w:r w:rsidRPr="005961FD">
        <w:rPr>
          <w:rFonts w:ascii="Arial" w:hAnsi="Arial" w:cs="Arial"/>
          <w:sz w:val="20"/>
          <w:szCs w:val="20"/>
        </w:rPr>
        <w:t>sesión de fecha treinta de septiembre de dos mil nueve, por mayoría de</w:t>
      </w:r>
      <w:r w:rsidR="00717B62" w:rsidRPr="005961FD">
        <w:rPr>
          <w:rFonts w:ascii="Arial" w:hAnsi="Arial" w:cs="Arial"/>
          <w:sz w:val="20"/>
          <w:szCs w:val="20"/>
        </w:rPr>
        <w:t xml:space="preserve"> </w:t>
      </w:r>
      <w:r w:rsidRPr="005961FD">
        <w:rPr>
          <w:rFonts w:ascii="Arial" w:hAnsi="Arial" w:cs="Arial"/>
          <w:sz w:val="20"/>
          <w:szCs w:val="20"/>
        </w:rPr>
        <w:t>cuatro votos, determinó que el sindicato, como persona jurídica de</w:t>
      </w:r>
      <w:r w:rsidR="00717B62" w:rsidRPr="005961FD">
        <w:rPr>
          <w:rFonts w:ascii="Arial" w:hAnsi="Arial" w:cs="Arial"/>
          <w:sz w:val="20"/>
          <w:szCs w:val="20"/>
        </w:rPr>
        <w:t xml:space="preserve"> </w:t>
      </w:r>
      <w:r w:rsidRPr="005961FD">
        <w:rPr>
          <w:rFonts w:ascii="Arial" w:hAnsi="Arial" w:cs="Arial"/>
          <w:sz w:val="20"/>
          <w:szCs w:val="20"/>
        </w:rPr>
        <w:t>derecho social, tiene derecho a poseer un patrimonio, el cual se</w:t>
      </w:r>
      <w:r w:rsidR="00717B62" w:rsidRPr="005961FD">
        <w:rPr>
          <w:rFonts w:ascii="Arial" w:hAnsi="Arial" w:cs="Arial"/>
          <w:sz w:val="20"/>
          <w:szCs w:val="20"/>
        </w:rPr>
        <w:t xml:space="preserve"> </w:t>
      </w:r>
      <w:r w:rsidRPr="005961FD">
        <w:rPr>
          <w:rFonts w:ascii="Arial" w:hAnsi="Arial" w:cs="Arial"/>
          <w:sz w:val="20"/>
          <w:szCs w:val="20"/>
        </w:rPr>
        <w:t>conforma entre otros recursos de las aportaciones de sus socios</w:t>
      </w:r>
      <w:r w:rsidR="00717B62" w:rsidRPr="005961FD">
        <w:rPr>
          <w:rFonts w:ascii="Arial" w:hAnsi="Arial" w:cs="Arial"/>
          <w:sz w:val="20"/>
          <w:szCs w:val="20"/>
        </w:rPr>
        <w:t xml:space="preserve"> </w:t>
      </w:r>
      <w:r w:rsidRPr="005961FD">
        <w:rPr>
          <w:rFonts w:ascii="Arial" w:hAnsi="Arial" w:cs="Arial"/>
          <w:sz w:val="20"/>
          <w:szCs w:val="20"/>
        </w:rPr>
        <w:t>denominadas cuotas sindicales cuyas características se determinan en</w:t>
      </w:r>
      <w:r w:rsidR="00717B62" w:rsidRPr="005961FD">
        <w:rPr>
          <w:rFonts w:ascii="Arial" w:hAnsi="Arial" w:cs="Arial"/>
          <w:sz w:val="20"/>
          <w:szCs w:val="20"/>
        </w:rPr>
        <w:t xml:space="preserve"> </w:t>
      </w:r>
      <w:r w:rsidRPr="005961FD">
        <w:rPr>
          <w:rFonts w:ascii="Arial" w:hAnsi="Arial" w:cs="Arial"/>
          <w:sz w:val="20"/>
          <w:szCs w:val="20"/>
        </w:rPr>
        <w:t>el estatuto sindical acorde con lo que prevé el artículo 371, fracción, XII,</w:t>
      </w:r>
      <w:r w:rsidR="00717B62" w:rsidRPr="005961FD">
        <w:rPr>
          <w:rFonts w:ascii="Arial" w:hAnsi="Arial" w:cs="Arial"/>
          <w:sz w:val="20"/>
          <w:szCs w:val="20"/>
        </w:rPr>
        <w:t xml:space="preserve"> </w:t>
      </w:r>
      <w:r w:rsidRPr="005961FD">
        <w:rPr>
          <w:rFonts w:ascii="Arial" w:hAnsi="Arial" w:cs="Arial"/>
          <w:sz w:val="20"/>
          <w:szCs w:val="20"/>
        </w:rPr>
        <w:t>de la Ley Federal del Trabajo, por ello su divulgación importaría, por un</w:t>
      </w:r>
      <w:r w:rsidR="00717B62" w:rsidRPr="005961FD">
        <w:rPr>
          <w:rFonts w:ascii="Arial" w:hAnsi="Arial" w:cs="Arial"/>
          <w:sz w:val="20"/>
          <w:szCs w:val="20"/>
        </w:rPr>
        <w:t xml:space="preserve"> </w:t>
      </w:r>
      <w:r w:rsidRPr="005961FD">
        <w:rPr>
          <w:rFonts w:ascii="Arial" w:hAnsi="Arial" w:cs="Arial"/>
          <w:sz w:val="20"/>
          <w:szCs w:val="20"/>
        </w:rPr>
        <w:t>lado, una afectación injustificada a la vida privada de dicha persona de</w:t>
      </w:r>
      <w:r w:rsidR="00717B62" w:rsidRPr="005961FD">
        <w:rPr>
          <w:rFonts w:ascii="Arial" w:hAnsi="Arial" w:cs="Arial"/>
          <w:sz w:val="20"/>
          <w:szCs w:val="20"/>
        </w:rPr>
        <w:t xml:space="preserve"> </w:t>
      </w:r>
      <w:r w:rsidRPr="005961FD">
        <w:rPr>
          <w:rFonts w:ascii="Arial" w:hAnsi="Arial" w:cs="Arial"/>
          <w:sz w:val="20"/>
          <w:szCs w:val="20"/>
        </w:rPr>
        <w:t>derecho social, lo que está protegido por los artículos 6o., fracción II y</w:t>
      </w:r>
      <w:r w:rsidR="00717B62" w:rsidRPr="005961FD">
        <w:rPr>
          <w:rFonts w:ascii="Arial" w:hAnsi="Arial" w:cs="Arial"/>
          <w:sz w:val="20"/>
          <w:szCs w:val="20"/>
        </w:rPr>
        <w:t xml:space="preserve"> </w:t>
      </w:r>
      <w:r w:rsidRPr="005961FD">
        <w:rPr>
          <w:rFonts w:ascii="Arial" w:hAnsi="Arial" w:cs="Arial"/>
          <w:sz w:val="20"/>
          <w:szCs w:val="20"/>
        </w:rPr>
        <w:t>16 de la Norma Suprema, por otro lado, una intromisión arbitraria a la</w:t>
      </w:r>
      <w:r w:rsidR="00717B62" w:rsidRPr="005961FD">
        <w:rPr>
          <w:rFonts w:ascii="Arial" w:hAnsi="Arial" w:cs="Arial"/>
          <w:sz w:val="20"/>
          <w:szCs w:val="20"/>
        </w:rPr>
        <w:t xml:space="preserve"> </w:t>
      </w:r>
      <w:r w:rsidRPr="005961FD">
        <w:rPr>
          <w:rFonts w:ascii="Arial" w:hAnsi="Arial" w:cs="Arial"/>
          <w:sz w:val="20"/>
          <w:szCs w:val="20"/>
        </w:rPr>
        <w:t>libertad sindical, por implicar una invasión a la facultad que tiene el</w:t>
      </w:r>
      <w:r w:rsidR="00717B62" w:rsidRPr="005961FD">
        <w:rPr>
          <w:rFonts w:ascii="Arial" w:hAnsi="Arial" w:cs="Arial"/>
          <w:sz w:val="20"/>
          <w:szCs w:val="20"/>
        </w:rPr>
        <w:t xml:space="preserve"> </w:t>
      </w:r>
      <w:r w:rsidRPr="005961FD">
        <w:rPr>
          <w:rFonts w:ascii="Arial" w:hAnsi="Arial" w:cs="Arial"/>
          <w:sz w:val="20"/>
          <w:szCs w:val="20"/>
        </w:rPr>
        <w:t>sindicato de decidir si da o no a conocer parte de su patrimonio a</w:t>
      </w:r>
      <w:r w:rsidR="00717B62" w:rsidRPr="005961FD">
        <w:rPr>
          <w:rFonts w:ascii="Arial" w:hAnsi="Arial" w:cs="Arial"/>
          <w:sz w:val="20"/>
          <w:szCs w:val="20"/>
        </w:rPr>
        <w:t xml:space="preserve"> </w:t>
      </w:r>
      <w:r w:rsidRPr="005961FD">
        <w:rPr>
          <w:rFonts w:ascii="Arial" w:hAnsi="Arial" w:cs="Arial"/>
          <w:sz w:val="20"/>
          <w:szCs w:val="20"/>
        </w:rPr>
        <w:t>terceros, lo que está protegido por los artículos 3 y 8 del Convenio</w:t>
      </w:r>
      <w:r w:rsidR="00717B62" w:rsidRPr="005961FD">
        <w:rPr>
          <w:rFonts w:ascii="Arial" w:hAnsi="Arial" w:cs="Arial"/>
          <w:sz w:val="20"/>
          <w:szCs w:val="20"/>
        </w:rPr>
        <w:t xml:space="preserve"> </w:t>
      </w:r>
      <w:r w:rsidRPr="005961FD">
        <w:rPr>
          <w:rFonts w:ascii="Arial" w:hAnsi="Arial" w:cs="Arial"/>
          <w:sz w:val="20"/>
          <w:szCs w:val="20"/>
        </w:rPr>
        <w:t>Número 87, relativo a la Libertad Sindical y a la Protección al Derecho</w:t>
      </w:r>
      <w:r w:rsidR="00717B62" w:rsidRPr="005961FD">
        <w:rPr>
          <w:rFonts w:ascii="Arial" w:hAnsi="Arial" w:cs="Arial"/>
          <w:sz w:val="20"/>
          <w:szCs w:val="20"/>
        </w:rPr>
        <w:t xml:space="preserve"> </w:t>
      </w:r>
      <w:r w:rsidRPr="005961FD">
        <w:rPr>
          <w:rFonts w:ascii="Arial" w:hAnsi="Arial" w:cs="Arial"/>
          <w:sz w:val="20"/>
          <w:szCs w:val="20"/>
        </w:rPr>
        <w:t>Sindical, que establecen lo siguiente:</w:t>
      </w:r>
    </w:p>
    <w:p w14:paraId="5FAFFD6B"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56777516" w14:textId="7D99CEC7"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Constitución</w:t>
      </w:r>
    </w:p>
    <w:p w14:paraId="109EB17D"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3FD3A2C9" w14:textId="330BD25E" w:rsidR="00877C38"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"Artículo 6o. ...</w:t>
      </w:r>
    </w:p>
    <w:p w14:paraId="67921E56" w14:textId="77777777"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2754B517" w14:textId="6DE0FFE6" w:rsidR="002B28B4" w:rsidRPr="005961FD" w:rsidRDefault="00877C38"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"II. La información que se refiere a la vida privada y los datos</w:t>
      </w:r>
      <w:r w:rsidR="00717B62" w:rsidRPr="005961FD">
        <w:rPr>
          <w:rFonts w:ascii="Arial" w:hAnsi="Arial" w:cs="Arial"/>
          <w:sz w:val="20"/>
          <w:szCs w:val="20"/>
        </w:rPr>
        <w:t xml:space="preserve"> </w:t>
      </w:r>
      <w:r w:rsidRPr="005961FD">
        <w:rPr>
          <w:rFonts w:ascii="Arial" w:hAnsi="Arial" w:cs="Arial"/>
          <w:sz w:val="20"/>
          <w:szCs w:val="20"/>
        </w:rPr>
        <w:t>personales será protegida en los términos y con las excepciones que</w:t>
      </w:r>
      <w:r w:rsidR="00717B62" w:rsidRPr="005961FD">
        <w:rPr>
          <w:rFonts w:ascii="Arial" w:hAnsi="Arial" w:cs="Arial"/>
          <w:sz w:val="20"/>
          <w:szCs w:val="20"/>
        </w:rPr>
        <w:t xml:space="preserve"> </w:t>
      </w:r>
      <w:r w:rsidRPr="005961FD">
        <w:rPr>
          <w:rFonts w:ascii="Arial" w:hAnsi="Arial" w:cs="Arial"/>
          <w:sz w:val="20"/>
          <w:szCs w:val="20"/>
        </w:rPr>
        <w:t>fijen las leyes. ..."</w:t>
      </w:r>
    </w:p>
    <w:p w14:paraId="6BC608C6" w14:textId="274B7543" w:rsidR="00717B62" w:rsidRPr="005961FD" w:rsidRDefault="00717B62" w:rsidP="005961FD">
      <w:pPr>
        <w:autoSpaceDE w:val="0"/>
        <w:autoSpaceDN w:val="0"/>
        <w:adjustRightInd w:val="0"/>
        <w:spacing w:after="0" w:line="240" w:lineRule="auto"/>
        <w:ind w:left="567" w:right="618"/>
        <w:jc w:val="both"/>
        <w:rPr>
          <w:rFonts w:ascii="Arial" w:hAnsi="Arial" w:cs="Arial"/>
          <w:sz w:val="20"/>
          <w:szCs w:val="20"/>
        </w:rPr>
      </w:pPr>
    </w:p>
    <w:p w14:paraId="093F22BF" w14:textId="2CD79642"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"Artículo 16. Nadie puede ser molestado en su persona, familia, domicilio, papeles o posesiones, sino en virtud de mandamiento escrito de la autoridad competente, que funde y motive la causa legal del procedimiento. ..."</w:t>
      </w:r>
    </w:p>
    <w:p w14:paraId="65AC2124"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5592E847" w14:textId="6469267F"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Convenio Número 87 relativo a la Libertad Sindical y a la Protección al Derecho Sindical</w:t>
      </w:r>
    </w:p>
    <w:p w14:paraId="30F6BBF7"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7FE5D956"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"Artículo 3</w:t>
      </w:r>
    </w:p>
    <w:p w14:paraId="703281E4" w14:textId="575EFFC0"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"1. Las organizaciones de trabajadores y de empleadores tienen el derecho de redactar sus estatutos y reglamentos administrativos, de elegir libremente sus representantes, de organizar su administración y sus actividades y de formular su programa de acción.</w:t>
      </w:r>
    </w:p>
    <w:p w14:paraId="7286595D"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684D0B1E" w14:textId="163E5281"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"2. Las autoridades públicas deben abstenerse de toda intervención que tienda a limitar este derecho o a impedir su ejercicio legal."</w:t>
      </w:r>
    </w:p>
    <w:p w14:paraId="6FEFEA77"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6EB06812"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lastRenderedPageBreak/>
        <w:t>"Artículo 8</w:t>
      </w:r>
    </w:p>
    <w:p w14:paraId="24B06CFB" w14:textId="7D06128A"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"1. En el ejercicio de los derechos establecidos en el presente convenio, los trabajadores, los empleadores y sus organizaciones respectivas, están obligados lo mismo que las demás personas o las colectividades organizadas, a respetar la legalidad.</w:t>
      </w:r>
    </w:p>
    <w:p w14:paraId="6D023A22"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643C335F" w14:textId="5DC0B1F2"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"2. La legislación nacional no menoscabará ni será aplicada de manera que menoscabe las garantías previstas en el presente convenio."</w:t>
      </w:r>
    </w:p>
    <w:p w14:paraId="447786A0" w14:textId="77777777" w:rsidR="005961FD" w:rsidRPr="005961FD" w:rsidRDefault="005961FD" w:rsidP="005961FD">
      <w:pPr>
        <w:autoSpaceDE w:val="0"/>
        <w:autoSpaceDN w:val="0"/>
        <w:adjustRightInd w:val="0"/>
        <w:spacing w:after="0" w:line="240" w:lineRule="auto"/>
        <w:ind w:left="567" w:right="618"/>
        <w:jc w:val="both"/>
        <w:rPr>
          <w:rFonts w:ascii="Arial" w:hAnsi="Arial" w:cs="Arial"/>
          <w:sz w:val="20"/>
          <w:szCs w:val="20"/>
        </w:rPr>
      </w:pPr>
    </w:p>
    <w:p w14:paraId="14DE6362" w14:textId="1654BAC3" w:rsidR="00717B62" w:rsidRDefault="005961FD" w:rsidP="005961FD">
      <w:pPr>
        <w:autoSpaceDE w:val="0"/>
        <w:autoSpaceDN w:val="0"/>
        <w:adjustRightInd w:val="0"/>
        <w:spacing w:after="0" w:line="240" w:lineRule="auto"/>
        <w:ind w:left="567" w:right="618"/>
        <w:jc w:val="both"/>
        <w:rPr>
          <w:rFonts w:ascii="Arial" w:hAnsi="Arial" w:cs="Arial"/>
          <w:sz w:val="20"/>
          <w:szCs w:val="20"/>
        </w:rPr>
      </w:pPr>
      <w:r w:rsidRPr="005961FD">
        <w:rPr>
          <w:rFonts w:ascii="Arial" w:hAnsi="Arial" w:cs="Arial"/>
          <w:sz w:val="20"/>
          <w:szCs w:val="20"/>
        </w:rPr>
        <w:t>Acorde a lo anterior, si Petróleos Mexicanos pudiera disponer de la información sobre el monto global de las cuotas sindicales, sin la autorización del sindicato, se pondrían en tela de juicio la libertad y la privacidad de dicha persona jurídica de derecho social, que implica, entre otros aspectos, el derecho de los trabajadores a organizar su administración y actividades sin injerencia alguna de las autoridades públicas.”</w:t>
      </w:r>
    </w:p>
    <w:p w14:paraId="4B8D9B3D" w14:textId="15EC1D1B" w:rsidR="00376698" w:rsidRDefault="00376698" w:rsidP="005961FD">
      <w:pPr>
        <w:autoSpaceDE w:val="0"/>
        <w:autoSpaceDN w:val="0"/>
        <w:adjustRightInd w:val="0"/>
        <w:spacing w:after="0" w:line="240" w:lineRule="auto"/>
        <w:ind w:left="567" w:right="618"/>
        <w:jc w:val="both"/>
        <w:rPr>
          <w:rFonts w:ascii="Arial" w:hAnsi="Arial" w:cs="Arial"/>
          <w:sz w:val="20"/>
          <w:szCs w:val="20"/>
        </w:rPr>
      </w:pPr>
      <w:r>
        <w:rPr>
          <w:rFonts w:ascii="Arial" w:hAnsi="Arial" w:cs="Arial"/>
          <w:sz w:val="20"/>
          <w:szCs w:val="20"/>
        </w:rPr>
        <w:t>[NOTA: Lo subrayado es propio]</w:t>
      </w:r>
    </w:p>
    <w:p w14:paraId="1E2548E3" w14:textId="77777777" w:rsidR="00376698" w:rsidRDefault="00376698" w:rsidP="005961FD">
      <w:pPr>
        <w:autoSpaceDE w:val="0"/>
        <w:autoSpaceDN w:val="0"/>
        <w:adjustRightInd w:val="0"/>
        <w:spacing w:after="0" w:line="240" w:lineRule="auto"/>
        <w:ind w:left="567" w:right="618"/>
        <w:jc w:val="both"/>
        <w:rPr>
          <w:rFonts w:ascii="Arial" w:hAnsi="Arial" w:cs="Arial"/>
          <w:sz w:val="20"/>
          <w:szCs w:val="20"/>
        </w:rPr>
      </w:pPr>
    </w:p>
    <w:p w14:paraId="4E154F3F" w14:textId="7260137A" w:rsidR="002B28B4" w:rsidRDefault="00F3297D" w:rsidP="002B28B4">
      <w:pPr>
        <w:spacing w:after="0" w:line="360" w:lineRule="auto"/>
        <w:ind w:firstLine="709"/>
        <w:jc w:val="both"/>
        <w:rPr>
          <w:rFonts w:ascii="Arial" w:hAnsi="Arial" w:cs="Arial"/>
          <w:sz w:val="24"/>
          <w:szCs w:val="24"/>
        </w:rPr>
      </w:pPr>
      <w:r>
        <w:rPr>
          <w:rFonts w:ascii="Arial" w:hAnsi="Arial" w:cs="Arial"/>
          <w:sz w:val="24"/>
          <w:szCs w:val="24"/>
        </w:rPr>
        <w:t xml:space="preserve">En ese orden de ideas, si no se acreditó en el procedimiento de origen que la parte actora haya recibido y ejercido recursos públicos, al no tener el carácter de sujeto obligado, no se encuentra sujeta a la jurisdicción y competencia del Pleno de la Comisión Estatal de Garantía de Acceso a la Información Pública del Estado de San Luis Potosí, </w:t>
      </w:r>
      <w:r w:rsidR="00622660">
        <w:rPr>
          <w:rFonts w:ascii="Arial" w:hAnsi="Arial" w:cs="Arial"/>
          <w:sz w:val="24"/>
          <w:szCs w:val="24"/>
        </w:rPr>
        <w:t xml:space="preserve">de lo que se obtiene que la autoridad demandada no debió imponer multa como medida de apremio a la accionante, por no tener competencia para ello, por no ser la </w:t>
      </w:r>
      <w:r w:rsidR="00062DF7">
        <w:rPr>
          <w:rFonts w:ascii="Arial" w:hAnsi="Arial" w:cs="Arial"/>
          <w:b/>
          <w:bCs/>
          <w:color w:val="FF0000"/>
          <w:sz w:val="24"/>
          <w:szCs w:val="24"/>
        </w:rPr>
        <w:t>**************</w:t>
      </w:r>
      <w:r w:rsidR="00622660">
        <w:rPr>
          <w:rFonts w:ascii="Arial" w:hAnsi="Arial" w:cs="Arial"/>
          <w:sz w:val="24"/>
          <w:szCs w:val="24"/>
        </w:rPr>
        <w:t xml:space="preserve">, un sujeto obligado, en términos de los artículos </w:t>
      </w:r>
      <w:r w:rsidR="0058224D" w:rsidRPr="00226CA5">
        <w:rPr>
          <w:rFonts w:ascii="Arial" w:hAnsi="Arial" w:cs="Arial"/>
          <w:sz w:val="24"/>
          <w:szCs w:val="24"/>
        </w:rPr>
        <w:t>3º fracción XXXV, 23 y 93 de la Ley de Transparencia y Acceso a la Información Pública del Estado de San Luis Potosí</w:t>
      </w:r>
      <w:r w:rsidR="0058224D">
        <w:rPr>
          <w:rFonts w:ascii="Arial" w:hAnsi="Arial" w:cs="Arial"/>
          <w:sz w:val="24"/>
          <w:szCs w:val="24"/>
        </w:rPr>
        <w:t>; aunado a que, dentro de los numerales y ordenamientos legales citados como apoyo de su competencia por la autoridad demandad en la resolución impugnada, no se encuentra el precepto concreto que le otorgue la facultad para imponer medidas de apremio a una persona física o sindicato, ni mucho menos expresó las causas, motivos, razones o condiciones que haya tenido en cuenta para arribar a la conclusión de que la unión sindical recibe y ejerce recursos públicos y, por lo tanto, se encuentra sujeta a su jurisdicción y competencia</w:t>
      </w:r>
      <w:r w:rsidR="001552E9">
        <w:rPr>
          <w:rFonts w:ascii="Arial" w:hAnsi="Arial" w:cs="Arial"/>
          <w:sz w:val="24"/>
          <w:szCs w:val="24"/>
        </w:rPr>
        <w:t>; por lo que se impone declarar su nulidad lisa y llana.</w:t>
      </w:r>
    </w:p>
    <w:p w14:paraId="4AFBD8BA" w14:textId="3AB64318" w:rsidR="001552E9" w:rsidRDefault="001552E9" w:rsidP="002B28B4">
      <w:pPr>
        <w:spacing w:after="0" w:line="360" w:lineRule="auto"/>
        <w:ind w:firstLine="709"/>
        <w:jc w:val="both"/>
        <w:rPr>
          <w:rFonts w:ascii="Arial" w:hAnsi="Arial" w:cs="Arial"/>
          <w:sz w:val="24"/>
          <w:szCs w:val="24"/>
        </w:rPr>
      </w:pPr>
    </w:p>
    <w:p w14:paraId="7D38BC4B" w14:textId="2ED4A1F1" w:rsidR="001552E9" w:rsidRPr="002B28B4" w:rsidRDefault="001552E9" w:rsidP="002B28B4">
      <w:pPr>
        <w:spacing w:after="0" w:line="360" w:lineRule="auto"/>
        <w:ind w:firstLine="709"/>
        <w:jc w:val="both"/>
        <w:rPr>
          <w:rFonts w:ascii="Arial" w:hAnsi="Arial" w:cs="Arial"/>
          <w:sz w:val="24"/>
          <w:szCs w:val="24"/>
        </w:rPr>
      </w:pPr>
      <w:r>
        <w:rPr>
          <w:rFonts w:ascii="Arial" w:hAnsi="Arial" w:cs="Arial"/>
          <w:sz w:val="24"/>
          <w:szCs w:val="24"/>
        </w:rPr>
        <w:t>Sirve de apoyo a lo anterior la tesis que se transcribe a continuación:</w:t>
      </w:r>
    </w:p>
    <w:p w14:paraId="2C9AC558" w14:textId="77777777" w:rsidR="00721CA4" w:rsidRDefault="00721CA4" w:rsidP="00DE6732">
      <w:pPr>
        <w:spacing w:after="0" w:line="360" w:lineRule="auto"/>
        <w:ind w:firstLine="709"/>
        <w:jc w:val="both"/>
        <w:rPr>
          <w:rFonts w:ascii="Arial" w:hAnsi="Arial" w:cs="Arial"/>
          <w:sz w:val="24"/>
          <w:szCs w:val="24"/>
          <w:lang w:eastAsia="es-MX"/>
        </w:rPr>
      </w:pPr>
    </w:p>
    <w:p w14:paraId="056307BE"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b/>
          <w:bCs/>
          <w:sz w:val="20"/>
          <w:szCs w:val="20"/>
        </w:rPr>
        <w:t>Registro digital:</w:t>
      </w:r>
      <w:r w:rsidRPr="00DB2878">
        <w:rPr>
          <w:rFonts w:ascii="Arial" w:hAnsi="Arial" w:cs="Arial"/>
          <w:sz w:val="20"/>
          <w:szCs w:val="20"/>
        </w:rPr>
        <w:t xml:space="preserve"> 2007690</w:t>
      </w:r>
    </w:p>
    <w:p w14:paraId="432CC6A3"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Instancia: Tribunales Colegiados de Circuito</w:t>
      </w:r>
    </w:p>
    <w:p w14:paraId="27CD210D"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Décima Época</w:t>
      </w:r>
    </w:p>
    <w:p w14:paraId="0379AE4B"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Materias(s): Constitucional, Administrativa</w:t>
      </w:r>
    </w:p>
    <w:p w14:paraId="6E201A0E"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Tesis: V.2o.P.A.7 A (10a.)</w:t>
      </w:r>
    </w:p>
    <w:p w14:paraId="60948EBC"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Fuente: Gaceta del Semanario Judicial de la Federación. Libro 11, Octubre de 2014, Tomo III, página 2779</w:t>
      </w:r>
    </w:p>
    <w:p w14:paraId="3E34A1AE" w14:textId="77777777" w:rsidR="00DB2878" w:rsidRPr="00DB2878" w:rsidRDefault="00DB2878" w:rsidP="00DB2878">
      <w:pPr>
        <w:spacing w:after="0" w:line="240" w:lineRule="auto"/>
        <w:ind w:left="567" w:right="618"/>
        <w:jc w:val="both"/>
        <w:rPr>
          <w:rFonts w:ascii="Arial" w:hAnsi="Arial" w:cs="Arial"/>
          <w:sz w:val="20"/>
          <w:szCs w:val="20"/>
        </w:rPr>
      </w:pPr>
      <w:r w:rsidRPr="00DB2878">
        <w:rPr>
          <w:rFonts w:ascii="Arial" w:hAnsi="Arial" w:cs="Arial"/>
          <w:sz w:val="20"/>
          <w:szCs w:val="20"/>
        </w:rPr>
        <w:t>Tipo: Aislada</w:t>
      </w:r>
    </w:p>
    <w:p w14:paraId="042B72D2" w14:textId="77777777" w:rsidR="00DB2878" w:rsidRPr="00DB2878" w:rsidRDefault="00DB2878" w:rsidP="00DB2878">
      <w:pPr>
        <w:spacing w:after="0" w:line="240" w:lineRule="auto"/>
        <w:ind w:left="567" w:right="618"/>
        <w:jc w:val="both"/>
        <w:rPr>
          <w:rFonts w:ascii="Arial" w:hAnsi="Arial" w:cs="Arial"/>
          <w:sz w:val="20"/>
          <w:szCs w:val="20"/>
        </w:rPr>
      </w:pPr>
    </w:p>
    <w:p w14:paraId="44C56917" w14:textId="072AEEA9" w:rsidR="00306B34" w:rsidRDefault="00DB2878" w:rsidP="00DB2878">
      <w:pPr>
        <w:spacing w:after="0" w:line="240" w:lineRule="auto"/>
        <w:ind w:left="567" w:right="618" w:firstLine="709"/>
        <w:jc w:val="both"/>
        <w:rPr>
          <w:rFonts w:ascii="Arial" w:hAnsi="Arial" w:cs="Arial"/>
          <w:sz w:val="20"/>
          <w:szCs w:val="20"/>
        </w:rPr>
      </w:pPr>
      <w:r w:rsidRPr="00DB2878">
        <w:rPr>
          <w:rFonts w:ascii="Arial" w:hAnsi="Arial" w:cs="Arial"/>
          <w:b/>
          <w:bCs/>
          <w:sz w:val="20"/>
          <w:szCs w:val="20"/>
        </w:rPr>
        <w:t xml:space="preserve">ACCESO A LA INFORMACIÓN PÚBLICA Y DE PROTECCIÓN DE DATOS PERSONALES. EL SINDICATO ÚNICO DE TRABAJADORES AL SERVICIO DE LOS PODERES DEL ESTADO DE SONORA NO ES SUJETO OBLIGADO NO OFICIAL, EN TÉRMINOS DE LA LEY RELATIVA DE DICHA </w:t>
      </w:r>
      <w:r w:rsidRPr="00DB2878">
        <w:rPr>
          <w:rFonts w:ascii="Arial" w:hAnsi="Arial" w:cs="Arial"/>
          <w:b/>
          <w:bCs/>
          <w:sz w:val="20"/>
          <w:szCs w:val="20"/>
        </w:rPr>
        <w:lastRenderedPageBreak/>
        <w:t xml:space="preserve">ENTIDAD, POR LO QUE HACE A LAS CANTIDADES QUE RECIBE DEL GOBIERNO LOCAL COMO PRESTACIÓN LABORAL ESTABLECIDA CONTRACTUALMENTE PARA SUS GASTOS DE ADMINISTRACIÓN Y OPERACIÓN.   </w:t>
      </w:r>
      <w:r w:rsidRPr="00DB2878">
        <w:rPr>
          <w:rFonts w:ascii="Arial" w:hAnsi="Arial" w:cs="Arial"/>
          <w:sz w:val="20"/>
          <w:szCs w:val="20"/>
        </w:rPr>
        <w:t>El artículo 2, segundo párrafo, de la Constitución Política del Estado de Sonora prevé que el Estado garantizará el derecho de acceso a la información pública, sin más limitación que el respeto a la privacidad de los individuos, la seguridad pública y la seguridad nacional, la cual sólo podrá ser reservada temporalmente por razones de interés público, en los términos que fije la ley, la que además definirá los conceptos relacionados con el derecho de acceso a la información pública, sobre la base de que el deber público respectivo se extiende a los tres Poderes del Estado, a los Ayuntamientos, entidades paraestatales y paramunicipales, organismos autónomos y, en general, a todos los entes públicos, cualquiera que sea su denominación o estructura, así como a los partidos políticos y a las personas privadas, físicas o morales que, por cualquier motivo y de cualquier modo, reciban recursos públicos para su ejercicio con ese carácter. Por su parte, conforme a los artículos 2, fracción VIII y 3, fracción IV, de la Ley de Acceso a la Información Pública de la propia entidad (denominada Ley de Acceso a la Información Pública y de Protección de Datos Personales del Estado de Sonora, a partir del 13 de agosto de 2013), son sujetos obligados no oficiales, entre otros, las personas privadas, físicas o morales que, por cualquier motivo y de cualquier modo, reciban recursos públicos para su ejercicio con ese carácter. Consecuentemente, el Sindicato Único de Trabajadores al Servicio de los Poderes del Estado de Sonora no tiene esa calidad, por lo que hace a las cantidades que recibe del gobierno local como prestación laboral establecida contractualmente para sus gastos de administración y operación. Esto es así, ya que no basta el solo hecho de que una persona privada, como lo es el sindicato mencionado, reciba recursos de origen público para que pueda considerarse como sujeto obligado, ya que si bien es cierto que dichas erogaciones son "recursos públicos", pues independientemente de la fuente de la que provengan, son aportados por la sociedad y formaban parte del patrimonio público, también lo es que atañen al ámbito de su organización y funcionamiento interno, sin trascender al interés general desde la perspectiva del derecho a la información pública. Se afirma lo anterior, en virtud de que las prescripciones normativas invocadas claramente colocan a las personas físicas o morales privadas como sujetos obligados cuando por cualquier motivo y de cualquier modo reciban recursos públicos "para su ejercicio con ese carácter". Por tanto, aunque los montos y su destinatario son información pública, por lo que el Estado se encuentra obligado a proporcionarla a cualquier interesado, una vez que ingresan al patrimonio del sindicato no pueden conservar dicho carácter, pues obligar a la organización a entregar esos datos implicaría una afectación a su vida privada y una intromisión a la libertad sindical, derechos que están protegidos por los artículos 6o. y 123 de la Constitución Política de los Estados Unidos Mexicanos, así como 3 y 8 del Convenio Número 87, relativo a la Libertad Sindical y a la Protección al Derecho Sindical, pues no debe perderse de vista que el patrimonio de esa organización se conforma con las aportaciones de sus integrantes (cuotas sindicales) y con los recursos que obtenga de cualquier actividad, inversión o rendimiento derivados de la administración de los bienes muebles e inmuebles destinados a la consecución de su objeto, a lo que se suma la aportación que, en términos de la cláusula de un convenio de prestaciones económicas, recibe el sindicato del gobierno como apoyo para sus gastos administrativos y de operación.</w:t>
      </w:r>
    </w:p>
    <w:p w14:paraId="15126C50" w14:textId="77777777" w:rsidR="00DB2878" w:rsidRPr="00DB2878" w:rsidRDefault="00DB2878" w:rsidP="00DB2878">
      <w:pPr>
        <w:spacing w:after="0" w:line="240" w:lineRule="auto"/>
        <w:ind w:left="567" w:right="618" w:firstLine="709"/>
        <w:jc w:val="both"/>
        <w:rPr>
          <w:rFonts w:ascii="Arial" w:hAnsi="Arial" w:cs="Arial"/>
          <w:sz w:val="20"/>
          <w:szCs w:val="20"/>
          <w:lang w:eastAsia="es-MX"/>
        </w:rPr>
      </w:pPr>
    </w:p>
    <w:p w14:paraId="7105AEBD" w14:textId="77777777" w:rsidR="00306B34" w:rsidRDefault="00306B34" w:rsidP="00DE6732">
      <w:pPr>
        <w:spacing w:after="0" w:line="360" w:lineRule="auto"/>
        <w:ind w:firstLine="709"/>
        <w:jc w:val="both"/>
        <w:rPr>
          <w:rFonts w:ascii="Arial" w:hAnsi="Arial" w:cs="Arial"/>
          <w:sz w:val="24"/>
          <w:szCs w:val="24"/>
          <w:lang w:eastAsia="es-MX"/>
        </w:rPr>
      </w:pPr>
    </w:p>
    <w:p w14:paraId="339840F0" w14:textId="00F4CCD4" w:rsidR="00E235CA" w:rsidRDefault="006458E3" w:rsidP="00E235CA">
      <w:pPr>
        <w:spacing w:before="120" w:after="120" w:line="360" w:lineRule="auto"/>
        <w:ind w:right="51" w:firstLine="709"/>
        <w:jc w:val="both"/>
        <w:rPr>
          <w:rFonts w:ascii="Arial" w:eastAsia="Arial Unicode MS" w:hAnsi="Arial" w:cs="Arial"/>
          <w:sz w:val="24"/>
          <w:szCs w:val="24"/>
        </w:rPr>
      </w:pPr>
      <w:r>
        <w:rPr>
          <w:rFonts w:ascii="Arial" w:hAnsi="Arial" w:cs="Arial"/>
          <w:bCs/>
          <w:sz w:val="24"/>
          <w:szCs w:val="24"/>
          <w:lang w:val="es-ES" w:eastAsia="es-MX"/>
        </w:rPr>
        <w:t>En consecuencia de lo anterior, de conformidad con lo dispuesto por los artículos 250 fracci</w:t>
      </w:r>
      <w:r w:rsidR="00281DA3">
        <w:rPr>
          <w:rFonts w:ascii="Arial" w:hAnsi="Arial" w:cs="Arial"/>
          <w:bCs/>
          <w:sz w:val="24"/>
          <w:szCs w:val="24"/>
          <w:lang w:val="es-ES" w:eastAsia="es-MX"/>
        </w:rPr>
        <w:t>ones I y</w:t>
      </w:r>
      <w:r>
        <w:rPr>
          <w:rFonts w:ascii="Arial" w:hAnsi="Arial" w:cs="Arial"/>
          <w:bCs/>
          <w:sz w:val="24"/>
          <w:szCs w:val="24"/>
          <w:lang w:val="es-ES" w:eastAsia="es-MX"/>
        </w:rPr>
        <w:t xml:space="preserve"> II, </w:t>
      </w:r>
      <w:r w:rsidR="00A978C2">
        <w:rPr>
          <w:rFonts w:ascii="Arial" w:hAnsi="Arial" w:cs="Arial"/>
          <w:bCs/>
          <w:sz w:val="24"/>
          <w:szCs w:val="24"/>
          <w:lang w:val="es-ES" w:eastAsia="es-MX"/>
        </w:rPr>
        <w:t xml:space="preserve">y </w:t>
      </w:r>
      <w:r>
        <w:rPr>
          <w:rFonts w:ascii="Arial" w:hAnsi="Arial" w:cs="Arial"/>
          <w:bCs/>
          <w:sz w:val="24"/>
          <w:szCs w:val="24"/>
          <w:lang w:val="es-ES" w:eastAsia="es-MX"/>
        </w:rPr>
        <w:t xml:space="preserve">251 </w:t>
      </w:r>
      <w:r w:rsidR="00A978C2">
        <w:rPr>
          <w:rFonts w:ascii="Arial" w:hAnsi="Arial" w:cs="Arial"/>
          <w:bCs/>
          <w:sz w:val="24"/>
          <w:szCs w:val="24"/>
          <w:lang w:val="es-ES" w:eastAsia="es-MX"/>
        </w:rPr>
        <w:t>del Código Procesal Administrativo para el Estado de San Luis Potosí</w:t>
      </w:r>
      <w:r>
        <w:rPr>
          <w:rFonts w:ascii="Arial" w:hAnsi="Arial" w:cs="Arial"/>
          <w:bCs/>
          <w:sz w:val="24"/>
          <w:szCs w:val="24"/>
          <w:lang w:val="es-ES" w:eastAsia="es-MX"/>
        </w:rPr>
        <w:t xml:space="preserve">, </w:t>
      </w:r>
      <w:r w:rsidRPr="00A978C2">
        <w:rPr>
          <w:rFonts w:ascii="Arial" w:hAnsi="Arial" w:cs="Arial"/>
          <w:b/>
          <w:sz w:val="24"/>
          <w:szCs w:val="24"/>
          <w:lang w:val="es-ES" w:eastAsia="es-MX"/>
        </w:rPr>
        <w:t>resulta procedente declarar la</w:t>
      </w:r>
      <w:r>
        <w:rPr>
          <w:rFonts w:ascii="Arial" w:hAnsi="Arial" w:cs="Arial"/>
          <w:bCs/>
          <w:sz w:val="24"/>
          <w:szCs w:val="24"/>
          <w:lang w:val="es-ES" w:eastAsia="es-MX"/>
        </w:rPr>
        <w:t xml:space="preserve"> </w:t>
      </w:r>
      <w:r>
        <w:rPr>
          <w:rFonts w:ascii="Arial" w:hAnsi="Arial" w:cs="Arial"/>
          <w:b/>
          <w:bCs/>
          <w:sz w:val="24"/>
          <w:szCs w:val="24"/>
          <w:lang w:val="es-ES" w:eastAsia="es-MX"/>
        </w:rPr>
        <w:t>ILEGALIDAD E INVALIDEZ</w:t>
      </w:r>
      <w:r>
        <w:rPr>
          <w:rFonts w:ascii="Arial" w:hAnsi="Arial" w:cs="Arial"/>
          <w:bCs/>
          <w:sz w:val="24"/>
          <w:szCs w:val="24"/>
          <w:lang w:val="es-ES" w:eastAsia="es-MX"/>
        </w:rPr>
        <w:t xml:space="preserve">, y por ende, la </w:t>
      </w:r>
      <w:r>
        <w:rPr>
          <w:rFonts w:ascii="Arial" w:hAnsi="Arial" w:cs="Arial"/>
          <w:b/>
          <w:bCs/>
          <w:sz w:val="24"/>
          <w:szCs w:val="24"/>
          <w:lang w:val="es-ES" w:eastAsia="es-MX"/>
        </w:rPr>
        <w:t>NULIDAD</w:t>
      </w:r>
      <w:r w:rsidR="006C25C7">
        <w:rPr>
          <w:rFonts w:ascii="Arial" w:hAnsi="Arial" w:cs="Arial"/>
          <w:b/>
          <w:bCs/>
          <w:sz w:val="24"/>
          <w:szCs w:val="24"/>
          <w:lang w:val="es-ES" w:eastAsia="es-MX"/>
        </w:rPr>
        <w:t xml:space="preserve"> LISA Y LLANA</w:t>
      </w:r>
      <w:r>
        <w:rPr>
          <w:rFonts w:ascii="Arial" w:hAnsi="Arial" w:cs="Arial"/>
          <w:bCs/>
          <w:sz w:val="24"/>
          <w:szCs w:val="24"/>
          <w:lang w:val="es-ES" w:eastAsia="es-MX"/>
        </w:rPr>
        <w:t xml:space="preserve"> del acto impugnado, consistente en </w:t>
      </w:r>
      <w:r w:rsidR="007A78E1">
        <w:rPr>
          <w:rFonts w:ascii="Arial" w:hAnsi="Arial" w:cs="Arial"/>
          <w:sz w:val="24"/>
          <w:szCs w:val="24"/>
          <w:lang w:val="es-419" w:eastAsia="es-MX"/>
        </w:rPr>
        <w:t xml:space="preserve">la resolución de fecha </w:t>
      </w:r>
      <w:r w:rsidR="003B15F5">
        <w:rPr>
          <w:rFonts w:ascii="Arial" w:eastAsia="Arial Unicode MS" w:hAnsi="Arial" w:cs="Arial"/>
          <w:sz w:val="24"/>
          <w:szCs w:val="24"/>
        </w:rPr>
        <w:t>treinta de junio de dos mil veinticinco</w:t>
      </w:r>
      <w:r w:rsidR="007A78E1">
        <w:rPr>
          <w:rFonts w:ascii="Arial" w:eastAsia="Arial Unicode MS" w:hAnsi="Arial" w:cs="Arial"/>
          <w:sz w:val="24"/>
          <w:szCs w:val="24"/>
        </w:rPr>
        <w:t xml:space="preserve"> emitida en el expediente </w:t>
      </w:r>
      <w:r w:rsidR="003D524B" w:rsidRPr="00BF33A4">
        <w:rPr>
          <w:rFonts w:ascii="Arial" w:eastAsia="Arial Unicode MS" w:hAnsi="Arial" w:cs="Arial"/>
          <w:b/>
          <w:bCs/>
          <w:sz w:val="24"/>
          <w:szCs w:val="24"/>
        </w:rPr>
        <w:t>CEGAIP-PIMA-061/2025</w:t>
      </w:r>
      <w:r w:rsidR="007A78E1">
        <w:rPr>
          <w:rFonts w:ascii="Arial" w:eastAsia="Arial Unicode MS" w:hAnsi="Arial" w:cs="Arial"/>
          <w:sz w:val="24"/>
          <w:szCs w:val="24"/>
        </w:rPr>
        <w:t xml:space="preserve">, instruido por la Comisión Estatal de Garantía de Acceso a la Información Pública del </w:t>
      </w:r>
      <w:r w:rsidR="007A78E1">
        <w:rPr>
          <w:rFonts w:ascii="Arial" w:eastAsia="Arial Unicode MS" w:hAnsi="Arial" w:cs="Arial"/>
          <w:sz w:val="24"/>
          <w:szCs w:val="24"/>
        </w:rPr>
        <w:lastRenderedPageBreak/>
        <w:t xml:space="preserve">Estado de San Luis Potosí, a través de la cual se resolvió aplicar a </w:t>
      </w:r>
      <w:r w:rsidR="00062DF7">
        <w:rPr>
          <w:rFonts w:ascii="Arial" w:eastAsia="Arial Unicode MS" w:hAnsi="Arial" w:cs="Arial"/>
          <w:b/>
          <w:color w:val="FF0000"/>
          <w:sz w:val="24"/>
          <w:szCs w:val="24"/>
        </w:rPr>
        <w:t>**************</w:t>
      </w:r>
      <w:r w:rsidR="007A78E1">
        <w:rPr>
          <w:rFonts w:ascii="Arial" w:eastAsia="Arial Unicode MS" w:hAnsi="Arial" w:cs="Arial"/>
          <w:sz w:val="24"/>
          <w:szCs w:val="24"/>
        </w:rPr>
        <w:t xml:space="preserve">, la medida de apremio consistente en una multa por la cantidad de </w:t>
      </w:r>
      <w:r w:rsidR="008542F4" w:rsidRPr="00BF33A4">
        <w:rPr>
          <w:rFonts w:ascii="Arial" w:eastAsia="Arial Unicode MS" w:hAnsi="Arial" w:cs="Arial"/>
          <w:b/>
          <w:bCs/>
          <w:sz w:val="24"/>
          <w:szCs w:val="24"/>
        </w:rPr>
        <w:t>$130,320.00 (ciento treinta mil trecientos veinte pesos 00/100 M.N.)</w:t>
      </w:r>
      <w:r w:rsidR="007A78E1" w:rsidRPr="00BF33A4">
        <w:rPr>
          <w:rFonts w:ascii="Arial" w:eastAsia="Arial Unicode MS" w:hAnsi="Arial" w:cs="Arial"/>
          <w:sz w:val="24"/>
          <w:szCs w:val="24"/>
        </w:rPr>
        <w:t xml:space="preserve">, </w:t>
      </w:r>
      <w:r w:rsidR="00E235CA" w:rsidRPr="00BF33A4">
        <w:rPr>
          <w:rFonts w:ascii="Arial" w:eastAsia="Arial Unicode MS" w:hAnsi="Arial" w:cs="Arial"/>
          <w:sz w:val="24"/>
          <w:szCs w:val="24"/>
        </w:rPr>
        <w:t xml:space="preserve">por actualizarse </w:t>
      </w:r>
      <w:r w:rsidR="00E235CA">
        <w:rPr>
          <w:rFonts w:ascii="Arial" w:eastAsia="Arial Unicode MS" w:hAnsi="Arial" w:cs="Arial"/>
          <w:sz w:val="24"/>
          <w:szCs w:val="24"/>
        </w:rPr>
        <w:t xml:space="preserve">la ilegalidad antes citada, al no reunir el acto impugnado los requisitos a que se refiere </w:t>
      </w:r>
      <w:r w:rsidR="00A978C2">
        <w:rPr>
          <w:rFonts w:ascii="Arial" w:eastAsia="Arial Unicode MS" w:hAnsi="Arial" w:cs="Arial"/>
          <w:sz w:val="24"/>
          <w:szCs w:val="24"/>
        </w:rPr>
        <w:t>el</w:t>
      </w:r>
      <w:r w:rsidR="00E235CA">
        <w:rPr>
          <w:rFonts w:ascii="Arial" w:eastAsia="Arial Unicode MS" w:hAnsi="Arial" w:cs="Arial"/>
          <w:sz w:val="24"/>
          <w:szCs w:val="24"/>
        </w:rPr>
        <w:t xml:space="preserve"> artículo 164 fracci</w:t>
      </w:r>
      <w:r w:rsidR="00A978C2">
        <w:rPr>
          <w:rFonts w:ascii="Arial" w:eastAsia="Arial Unicode MS" w:hAnsi="Arial" w:cs="Arial"/>
          <w:sz w:val="24"/>
          <w:szCs w:val="24"/>
        </w:rPr>
        <w:t>ones I y</w:t>
      </w:r>
      <w:r w:rsidR="00E235CA">
        <w:rPr>
          <w:rFonts w:ascii="Arial" w:eastAsia="Arial Unicode MS" w:hAnsi="Arial" w:cs="Arial"/>
          <w:sz w:val="24"/>
          <w:szCs w:val="24"/>
        </w:rPr>
        <w:t xml:space="preserve"> V, </w:t>
      </w:r>
      <w:r w:rsidR="00E235CA">
        <w:rPr>
          <w:rFonts w:ascii="Arial" w:hAnsi="Arial" w:cs="Arial"/>
          <w:sz w:val="24"/>
          <w:szCs w:val="24"/>
          <w:lang w:eastAsia="es-MX"/>
        </w:rPr>
        <w:t>del Código Procesal Administrativo para el Estado de San Luis Potosí</w:t>
      </w:r>
      <w:r w:rsidR="00E235CA">
        <w:rPr>
          <w:rFonts w:ascii="Arial" w:eastAsia="Arial Unicode MS" w:hAnsi="Arial" w:cs="Arial"/>
          <w:sz w:val="24"/>
          <w:szCs w:val="24"/>
        </w:rPr>
        <w:t xml:space="preserve">, en relación con los artículo </w:t>
      </w:r>
      <w:r w:rsidR="00A978C2">
        <w:rPr>
          <w:rFonts w:ascii="Arial" w:eastAsia="Arial Unicode MS" w:hAnsi="Arial" w:cs="Arial"/>
          <w:sz w:val="24"/>
          <w:szCs w:val="24"/>
        </w:rPr>
        <w:t xml:space="preserve">14, </w:t>
      </w:r>
      <w:r w:rsidR="00E235CA">
        <w:rPr>
          <w:rFonts w:ascii="Arial" w:eastAsia="Arial Unicode MS" w:hAnsi="Arial" w:cs="Arial"/>
          <w:sz w:val="24"/>
          <w:szCs w:val="24"/>
        </w:rPr>
        <w:t>16 y 17 de la Constitución Política de los Estados Unidos Mexicanos.</w:t>
      </w:r>
    </w:p>
    <w:p w14:paraId="0430A5F9" w14:textId="595BE86B" w:rsidR="0092606E" w:rsidRDefault="0092606E" w:rsidP="00E235CA">
      <w:pPr>
        <w:spacing w:before="120" w:after="120" w:line="360" w:lineRule="auto"/>
        <w:ind w:right="51" w:firstLine="709"/>
        <w:jc w:val="both"/>
        <w:rPr>
          <w:rFonts w:ascii="Arial" w:eastAsia="Arial Unicode MS" w:hAnsi="Arial" w:cs="Arial"/>
          <w:sz w:val="24"/>
          <w:szCs w:val="24"/>
        </w:rPr>
      </w:pPr>
    </w:p>
    <w:p w14:paraId="35F03C18" w14:textId="7883FFB3" w:rsidR="0092606E" w:rsidRDefault="0092606E" w:rsidP="00E235CA">
      <w:pPr>
        <w:spacing w:before="120" w:after="120" w:line="360" w:lineRule="auto"/>
        <w:ind w:right="51" w:firstLine="709"/>
        <w:jc w:val="both"/>
        <w:rPr>
          <w:rFonts w:ascii="Arial" w:eastAsia="Arial Unicode MS" w:hAnsi="Arial" w:cs="Arial"/>
          <w:sz w:val="24"/>
          <w:szCs w:val="24"/>
        </w:rPr>
      </w:pPr>
      <w:r>
        <w:rPr>
          <w:rFonts w:ascii="Arial" w:eastAsia="Arial Unicode MS" w:hAnsi="Arial" w:cs="Arial"/>
          <w:sz w:val="24"/>
          <w:szCs w:val="24"/>
        </w:rPr>
        <w:t>Sirve de apoyo a lo anterior, la jurisprudencia de registro, datos, rubro y texto siguientes:</w:t>
      </w:r>
    </w:p>
    <w:p w14:paraId="73000BA1" w14:textId="2D7CF39F" w:rsidR="00E235CA" w:rsidRDefault="00E235CA" w:rsidP="00E235CA">
      <w:pPr>
        <w:spacing w:before="120" w:after="120" w:line="360" w:lineRule="auto"/>
        <w:ind w:right="51" w:firstLine="709"/>
        <w:jc w:val="both"/>
        <w:rPr>
          <w:rFonts w:ascii="Arial" w:eastAsia="Arial Unicode MS" w:hAnsi="Arial" w:cs="Arial"/>
          <w:sz w:val="24"/>
          <w:szCs w:val="24"/>
        </w:rPr>
      </w:pPr>
    </w:p>
    <w:p w14:paraId="70FF49C0"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b/>
          <w:bCs/>
          <w:sz w:val="20"/>
          <w:szCs w:val="20"/>
        </w:rPr>
        <w:t>Registro digital:</w:t>
      </w:r>
      <w:r w:rsidRPr="00AF3590">
        <w:rPr>
          <w:rFonts w:ascii="Arial" w:eastAsia="Arial Unicode MS" w:hAnsi="Arial" w:cs="Arial"/>
          <w:sz w:val="20"/>
          <w:szCs w:val="20"/>
        </w:rPr>
        <w:t xml:space="preserve"> 172182</w:t>
      </w:r>
    </w:p>
    <w:p w14:paraId="0CBD4B08"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Instancia: Segunda Sala</w:t>
      </w:r>
    </w:p>
    <w:p w14:paraId="54F4242F"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Novena Época</w:t>
      </w:r>
    </w:p>
    <w:p w14:paraId="351CF458"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Materias(s): Administrativa</w:t>
      </w:r>
    </w:p>
    <w:p w14:paraId="32D6A292"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Tesis: 2a./J. 99/2007</w:t>
      </w:r>
    </w:p>
    <w:p w14:paraId="6F278344"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Fuente: Semanario Judicial de la Federación y su Gaceta. Tomo XXV, Junio de 2007, página 287</w:t>
      </w:r>
    </w:p>
    <w:p w14:paraId="59E3CBCD" w14:textId="77777777"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sz w:val="20"/>
          <w:szCs w:val="20"/>
        </w:rPr>
        <w:t>Tipo: Jurisprudencia</w:t>
      </w:r>
    </w:p>
    <w:p w14:paraId="130E5A4E" w14:textId="77777777" w:rsidR="00AF3590" w:rsidRPr="00AF3590" w:rsidRDefault="00AF3590" w:rsidP="00AF3590">
      <w:pPr>
        <w:spacing w:after="0" w:line="240" w:lineRule="auto"/>
        <w:ind w:left="567" w:right="618"/>
        <w:jc w:val="both"/>
        <w:rPr>
          <w:rFonts w:ascii="Arial" w:eastAsia="Arial Unicode MS" w:hAnsi="Arial" w:cs="Arial"/>
          <w:sz w:val="20"/>
          <w:szCs w:val="20"/>
        </w:rPr>
      </w:pPr>
    </w:p>
    <w:p w14:paraId="35B0EA7F" w14:textId="232D3275" w:rsidR="00AF3590" w:rsidRPr="00AF3590" w:rsidRDefault="00AF3590" w:rsidP="00AF3590">
      <w:pPr>
        <w:spacing w:after="0" w:line="240" w:lineRule="auto"/>
        <w:ind w:left="567" w:right="618"/>
        <w:jc w:val="both"/>
        <w:rPr>
          <w:rFonts w:ascii="Arial" w:eastAsia="Arial Unicode MS" w:hAnsi="Arial" w:cs="Arial"/>
          <w:sz w:val="20"/>
          <w:szCs w:val="20"/>
        </w:rPr>
      </w:pPr>
      <w:r w:rsidRPr="00AF3590">
        <w:rPr>
          <w:rFonts w:ascii="Arial" w:eastAsia="Arial Unicode MS" w:hAnsi="Arial" w:cs="Arial"/>
          <w:b/>
          <w:bCs/>
          <w:sz w:val="20"/>
          <w:szCs w:val="20"/>
        </w:rPr>
        <w:t xml:space="preserve">NULIDAD. LA DECRETADA POR INSUFICIENCIA EN LA FUNDAMENTACIÓN DE LA COMPETENCIA DE LA AUTORIDAD ADMINISTRATIVA, DEBE SER LISA Y LLANA.   </w:t>
      </w:r>
      <w:r w:rsidRPr="00AF3590">
        <w:rPr>
          <w:rFonts w:ascii="Arial" w:eastAsia="Arial Unicode MS" w:hAnsi="Arial" w:cs="Arial"/>
          <w:sz w:val="20"/>
          <w:szCs w:val="20"/>
        </w:rPr>
        <w:t>En congruencia con la jurisprudencia 2a./J. 52/2001 de esta Segunda Sala, publicada en el Semanario Judicial de la Federación y su Gaceta, Novena Época, Tomo XIV, noviembre de 2001, página 32, con el rubro: "COMPETENCIA DE LAS AUTORIDADES ADMINISTRATIVAS. LA NULIDAD DECRETADA POR NO HABERLA FUNDADO NO PUEDE SER PARA EFECTOS, EXCEPTO EN LOS CASOS EN QUE LA RESOLUCIÓN IMPUGNADA RECAIGA A UNA PETICIÓN, INSTANCIA O RECURSO.", se concluye que cuando la autoridad emisora de un acto administrativo no cite con precisión el apartado, fracción, inciso o subinciso correspondiente o, en su caso, no transcriba el fragmento de la norma si ésta resulta compleja, que le conceda la facultad de emitir el acto de molestia, el particular quedaría en estado de inseguridad jurídica y de indefensión, al desconocer si aquélla tiene facultades para ello, por lo que el Tribunal Federal de Justicia Fiscal y Administrativa deberá declarar la nulidad lisa y llana del acto administrativo emitido por aquélla, esto es, no la vinculará a realizar acto alguno, por lo que su decisión no podrá tener un efecto conclusivo sobre el acto jurídico material que lo motivó, salvo el caso de excepción previsto en la jurisprudencia citada, consistente en que la resolución impugnada hubiese recaído a una petición, instancia o recurso, supuesto en el cual deberá ordenarse el dictado de una nueva en la que se subsane la insuficiente fundamentación legal.</w:t>
      </w:r>
    </w:p>
    <w:p w14:paraId="63CB1486" w14:textId="77777777" w:rsidR="00490590" w:rsidRDefault="00490590" w:rsidP="00E235CA">
      <w:pPr>
        <w:spacing w:before="120" w:after="120" w:line="360" w:lineRule="auto"/>
        <w:ind w:right="51" w:firstLine="709"/>
        <w:jc w:val="both"/>
        <w:rPr>
          <w:rFonts w:ascii="Arial" w:eastAsia="Arial Unicode MS" w:hAnsi="Arial" w:cs="Arial"/>
          <w:sz w:val="24"/>
          <w:szCs w:val="24"/>
        </w:rPr>
      </w:pPr>
    </w:p>
    <w:p w14:paraId="00DF4E65" w14:textId="354AC85C" w:rsidR="00A64BAB" w:rsidRDefault="00E235CA" w:rsidP="00E235CA">
      <w:pPr>
        <w:spacing w:after="0" w:line="360" w:lineRule="auto"/>
        <w:ind w:firstLine="709"/>
        <w:jc w:val="both"/>
        <w:rPr>
          <w:rFonts w:ascii="Arial" w:eastAsia="Arial Unicode MS" w:hAnsi="Arial" w:cs="Arial"/>
          <w:b/>
          <w:sz w:val="24"/>
          <w:szCs w:val="24"/>
          <w:u w:val="single"/>
        </w:rPr>
      </w:pPr>
      <w:r w:rsidRPr="009B00F3">
        <w:rPr>
          <w:rFonts w:ascii="Arial" w:eastAsia="Times New Roman" w:hAnsi="Arial" w:cs="Arial"/>
          <w:color w:val="000000"/>
          <w:sz w:val="24"/>
          <w:szCs w:val="24"/>
          <w:lang w:eastAsia="es-ES"/>
        </w:rPr>
        <w:t xml:space="preserve">Por consiguiente y toda vez que conforme a lo previsto por el artículo 252 </w:t>
      </w:r>
      <w:r w:rsidRPr="009B00F3">
        <w:rPr>
          <w:rFonts w:ascii="Arial" w:eastAsia="Times New Roman" w:hAnsi="Arial" w:cs="Arial"/>
          <w:color w:val="000000"/>
          <w:sz w:val="24"/>
          <w:szCs w:val="24"/>
          <w:lang w:val="es-ES" w:eastAsia="es-ES"/>
        </w:rPr>
        <w:t>del Código Procesal Administrativo para el Estado de San Luis Potosí,</w:t>
      </w:r>
      <w:r w:rsidRPr="009B00F3">
        <w:rPr>
          <w:rFonts w:ascii="Arial" w:eastAsia="Times New Roman" w:hAnsi="Arial" w:cs="Arial"/>
          <w:color w:val="000000"/>
          <w:sz w:val="24"/>
          <w:szCs w:val="24"/>
          <w:lang w:eastAsia="es-ES"/>
        </w:rPr>
        <w:t xml:space="preserve"> se establece que en caso de ser favorable la sentencia al actor, ésta dejará sin efecto el acto impugnado y las autoridades responsables quedarán obligadas a otorgar o restituir al actor en el goce de los derechos que le hubieren sido indebidamente afectados o desconocidos, en los términos que se establezca; </w:t>
      </w:r>
      <w:r w:rsidRPr="009B00F3">
        <w:rPr>
          <w:rFonts w:ascii="Arial" w:eastAsia="Times New Roman" w:hAnsi="Arial" w:cs="Arial"/>
          <w:b/>
          <w:color w:val="000000"/>
          <w:sz w:val="24"/>
          <w:szCs w:val="24"/>
          <w:lang w:eastAsia="es-ES"/>
        </w:rPr>
        <w:lastRenderedPageBreak/>
        <w:t xml:space="preserve">por lo que </w:t>
      </w:r>
      <w:r w:rsidRPr="009B00F3">
        <w:rPr>
          <w:rFonts w:ascii="Arial" w:hAnsi="Arial" w:cs="Arial"/>
          <w:b/>
          <w:sz w:val="24"/>
          <w:szCs w:val="24"/>
        </w:rPr>
        <w:t>se ordena</w:t>
      </w:r>
      <w:r w:rsidR="00A64BAB">
        <w:rPr>
          <w:rFonts w:ascii="Arial" w:hAnsi="Arial" w:cs="Arial"/>
          <w:b/>
          <w:sz w:val="24"/>
          <w:szCs w:val="24"/>
        </w:rPr>
        <w:t xml:space="preserve"> a la autoridad</w:t>
      </w:r>
      <w:r>
        <w:rPr>
          <w:rFonts w:ascii="Arial" w:hAnsi="Arial" w:cs="Arial"/>
          <w:b/>
          <w:sz w:val="24"/>
          <w:szCs w:val="24"/>
        </w:rPr>
        <w:t xml:space="preserve"> demandad</w:t>
      </w:r>
      <w:r w:rsidR="00A64BAB">
        <w:rPr>
          <w:rFonts w:ascii="Arial" w:hAnsi="Arial" w:cs="Arial"/>
          <w:b/>
          <w:sz w:val="24"/>
          <w:szCs w:val="24"/>
        </w:rPr>
        <w:t>a</w:t>
      </w:r>
      <w:r>
        <w:rPr>
          <w:rFonts w:ascii="Arial" w:hAnsi="Arial" w:cs="Arial"/>
          <w:b/>
          <w:sz w:val="24"/>
          <w:szCs w:val="24"/>
        </w:rPr>
        <w:t xml:space="preserve"> </w:t>
      </w:r>
      <w:r w:rsidR="00A64BAB" w:rsidRPr="00A64BAB">
        <w:rPr>
          <w:rFonts w:ascii="Arial" w:eastAsia="Arial Unicode MS" w:hAnsi="Arial" w:cs="Arial"/>
          <w:b/>
          <w:sz w:val="24"/>
          <w:szCs w:val="24"/>
        </w:rPr>
        <w:t>Comisión Estatal de Garantía de Acceso a la Información Pública del Estado de San Luis Potosí</w:t>
      </w:r>
      <w:r w:rsidR="00A64BAB" w:rsidRPr="00A64BAB">
        <w:rPr>
          <w:rFonts w:ascii="Arial" w:hAnsi="Arial" w:cs="Arial"/>
          <w:b/>
          <w:sz w:val="24"/>
          <w:szCs w:val="24"/>
        </w:rPr>
        <w:t xml:space="preserve">, </w:t>
      </w:r>
      <w:r>
        <w:rPr>
          <w:rFonts w:ascii="Arial" w:hAnsi="Arial" w:cs="Arial"/>
          <w:b/>
          <w:sz w:val="24"/>
          <w:szCs w:val="24"/>
          <w:u w:val="single"/>
        </w:rPr>
        <w:t xml:space="preserve">dejar insubsistente </w:t>
      </w:r>
      <w:r w:rsidRPr="00E235CA">
        <w:rPr>
          <w:rFonts w:ascii="Arial" w:hAnsi="Arial" w:cs="Arial"/>
          <w:b/>
          <w:sz w:val="24"/>
          <w:szCs w:val="24"/>
          <w:u w:val="single"/>
          <w:lang w:val="es-419" w:eastAsia="es-MX"/>
        </w:rPr>
        <w:t xml:space="preserve">la resolución de fecha </w:t>
      </w:r>
      <w:r w:rsidR="003B15F5">
        <w:rPr>
          <w:rFonts w:ascii="Arial" w:eastAsia="Arial Unicode MS" w:hAnsi="Arial" w:cs="Arial"/>
          <w:b/>
          <w:sz w:val="24"/>
          <w:szCs w:val="24"/>
          <w:u w:val="single"/>
        </w:rPr>
        <w:t>treinta de junio de dos mil veinticinco</w:t>
      </w:r>
      <w:r w:rsidRPr="00E235CA">
        <w:rPr>
          <w:rFonts w:ascii="Arial" w:eastAsia="Arial Unicode MS" w:hAnsi="Arial" w:cs="Arial"/>
          <w:b/>
          <w:sz w:val="24"/>
          <w:szCs w:val="24"/>
          <w:u w:val="single"/>
        </w:rPr>
        <w:t xml:space="preserve"> emitida en el </w:t>
      </w:r>
      <w:r w:rsidRPr="00BF33A4">
        <w:rPr>
          <w:rFonts w:ascii="Arial" w:eastAsia="Arial Unicode MS" w:hAnsi="Arial" w:cs="Arial"/>
          <w:b/>
          <w:sz w:val="24"/>
          <w:szCs w:val="24"/>
          <w:u w:val="single"/>
        </w:rPr>
        <w:t xml:space="preserve">expediente </w:t>
      </w:r>
      <w:r w:rsidR="003D524B" w:rsidRPr="00BF33A4">
        <w:rPr>
          <w:rFonts w:ascii="Arial" w:eastAsia="Arial Unicode MS" w:hAnsi="Arial" w:cs="Arial"/>
          <w:b/>
          <w:sz w:val="24"/>
          <w:szCs w:val="24"/>
          <w:u w:val="single"/>
        </w:rPr>
        <w:t>CEGAIP-PIMA-061/2025</w:t>
      </w:r>
      <w:r w:rsidRPr="00E235CA">
        <w:rPr>
          <w:rFonts w:ascii="Arial" w:eastAsia="Arial Unicode MS" w:hAnsi="Arial" w:cs="Arial"/>
          <w:b/>
          <w:sz w:val="24"/>
          <w:szCs w:val="24"/>
          <w:u w:val="single"/>
        </w:rPr>
        <w:t>, instruido por la Comisión Estatal de Garantía de Acceso a la Información Públi</w:t>
      </w:r>
      <w:r>
        <w:rPr>
          <w:rFonts w:ascii="Arial" w:eastAsia="Arial Unicode MS" w:hAnsi="Arial" w:cs="Arial"/>
          <w:b/>
          <w:sz w:val="24"/>
          <w:szCs w:val="24"/>
          <w:u w:val="single"/>
        </w:rPr>
        <w:t>ca del Estado de San Luis Potosí</w:t>
      </w:r>
      <w:r w:rsidR="00CB479C">
        <w:rPr>
          <w:rFonts w:ascii="Arial" w:hAnsi="Arial" w:cs="Arial"/>
          <w:b/>
          <w:sz w:val="24"/>
          <w:szCs w:val="24"/>
        </w:rPr>
        <w:t>.</w:t>
      </w:r>
    </w:p>
    <w:p w14:paraId="11CF39E2" w14:textId="77777777" w:rsidR="00F433ED" w:rsidRDefault="00F433ED" w:rsidP="00CB479C">
      <w:pPr>
        <w:spacing w:after="0" w:line="360" w:lineRule="auto"/>
        <w:ind w:firstLine="709"/>
        <w:jc w:val="both"/>
        <w:rPr>
          <w:rFonts w:ascii="Arial" w:eastAsia="Arial Unicode MS" w:hAnsi="Arial" w:cs="Arial"/>
          <w:sz w:val="24"/>
          <w:szCs w:val="24"/>
        </w:rPr>
      </w:pPr>
    </w:p>
    <w:p w14:paraId="55EC47A0" w14:textId="2927982B" w:rsidR="00CB479C" w:rsidRPr="003D7B14" w:rsidRDefault="00CB479C" w:rsidP="00CB479C">
      <w:pPr>
        <w:spacing w:after="0" w:line="360" w:lineRule="auto"/>
        <w:ind w:firstLine="709"/>
        <w:jc w:val="both"/>
        <w:rPr>
          <w:rFonts w:ascii="Arial" w:eastAsia="Arial Unicode MS" w:hAnsi="Arial" w:cs="Arial"/>
          <w:sz w:val="24"/>
          <w:szCs w:val="24"/>
        </w:rPr>
      </w:pPr>
      <w:r w:rsidRPr="003D7B14">
        <w:rPr>
          <w:rFonts w:ascii="Arial" w:eastAsia="Arial Unicode MS" w:hAnsi="Arial" w:cs="Arial"/>
          <w:sz w:val="24"/>
          <w:szCs w:val="24"/>
        </w:rPr>
        <w:t>Por lo cual, en base a los numerales 25</w:t>
      </w:r>
      <w:r w:rsidR="00CF6227">
        <w:rPr>
          <w:rFonts w:ascii="Arial" w:eastAsia="Arial Unicode MS" w:hAnsi="Arial" w:cs="Arial"/>
          <w:sz w:val="24"/>
          <w:szCs w:val="24"/>
        </w:rPr>
        <w:t>5</w:t>
      </w:r>
      <w:r w:rsidRPr="003D7B14">
        <w:rPr>
          <w:rFonts w:ascii="Arial" w:eastAsia="Arial Unicode MS" w:hAnsi="Arial" w:cs="Arial"/>
          <w:sz w:val="24"/>
          <w:szCs w:val="24"/>
        </w:rPr>
        <w:t xml:space="preserve"> y 25</w:t>
      </w:r>
      <w:r w:rsidR="00CF6227">
        <w:rPr>
          <w:rFonts w:ascii="Arial" w:eastAsia="Arial Unicode MS" w:hAnsi="Arial" w:cs="Arial"/>
          <w:sz w:val="24"/>
          <w:szCs w:val="24"/>
        </w:rPr>
        <w:t>6</w:t>
      </w:r>
      <w:r w:rsidRPr="003D7B14">
        <w:rPr>
          <w:rFonts w:ascii="Arial" w:eastAsia="Arial Unicode MS" w:hAnsi="Arial" w:cs="Arial"/>
          <w:sz w:val="24"/>
          <w:szCs w:val="24"/>
        </w:rPr>
        <w:t xml:space="preserve"> del Código Procesal Administrativo para el Estado de San Luis Potosí, </w:t>
      </w:r>
      <w:r w:rsidRPr="00CF6227">
        <w:rPr>
          <w:rFonts w:ascii="Arial" w:eastAsia="Arial Unicode MS" w:hAnsi="Arial" w:cs="Arial"/>
          <w:b/>
          <w:sz w:val="24"/>
          <w:szCs w:val="24"/>
          <w:u w:val="single"/>
        </w:rPr>
        <w:t>dígasele</w:t>
      </w:r>
      <w:r w:rsidRPr="003D7B14">
        <w:rPr>
          <w:rFonts w:ascii="Arial" w:eastAsia="Arial Unicode MS" w:hAnsi="Arial" w:cs="Arial"/>
          <w:b/>
          <w:sz w:val="24"/>
          <w:szCs w:val="24"/>
        </w:rPr>
        <w:t xml:space="preserve"> a la autoridad demandada</w:t>
      </w:r>
      <w:r w:rsidR="0098219A">
        <w:rPr>
          <w:rFonts w:ascii="Arial" w:eastAsia="Arial Unicode MS" w:hAnsi="Arial" w:cs="Arial"/>
          <w:b/>
          <w:sz w:val="24"/>
          <w:szCs w:val="24"/>
        </w:rPr>
        <w:t xml:space="preserve">, </w:t>
      </w:r>
      <w:r w:rsidR="0098219A" w:rsidRPr="00A64BAB">
        <w:rPr>
          <w:rFonts w:ascii="Arial" w:eastAsia="Arial Unicode MS" w:hAnsi="Arial" w:cs="Arial"/>
          <w:b/>
          <w:sz w:val="24"/>
          <w:szCs w:val="24"/>
        </w:rPr>
        <w:t>Comisión Estatal de Garantía de Acceso a la Información Pública del Estado de San Luis Potosí</w:t>
      </w:r>
      <w:r w:rsidRPr="003D7B14">
        <w:rPr>
          <w:rFonts w:ascii="Arial" w:eastAsia="Arial Unicode MS" w:hAnsi="Arial" w:cs="Arial"/>
          <w:b/>
          <w:sz w:val="24"/>
          <w:szCs w:val="24"/>
        </w:rPr>
        <w:t xml:space="preserve">, que a partir de que cause ejecutoria esta sentencia, correrán </w:t>
      </w:r>
      <w:r w:rsidR="0098219A">
        <w:rPr>
          <w:rFonts w:ascii="Arial" w:eastAsia="Arial Unicode MS" w:hAnsi="Arial" w:cs="Arial"/>
          <w:b/>
          <w:sz w:val="24"/>
          <w:szCs w:val="24"/>
        </w:rPr>
        <w:t>los plazos para su cumplimiento</w:t>
      </w:r>
      <w:r w:rsidR="00CF6227">
        <w:rPr>
          <w:rFonts w:ascii="Arial" w:eastAsia="Arial Unicode MS" w:hAnsi="Arial" w:cs="Arial"/>
          <w:b/>
          <w:sz w:val="24"/>
          <w:szCs w:val="24"/>
        </w:rPr>
        <w:t xml:space="preserve">; </w:t>
      </w:r>
      <w:r w:rsidR="00CF6227" w:rsidRPr="0071649A">
        <w:rPr>
          <w:rFonts w:ascii="Arial" w:eastAsia="Arial Unicode MS" w:hAnsi="Arial" w:cs="Arial"/>
          <w:sz w:val="24"/>
          <w:szCs w:val="24"/>
        </w:rPr>
        <w:t>por lo que, una vez que cause ejecutoria, esta Tercera Sala Unitaria la prevendrá por el cumplimiento de la misma, o en su caso, la requerirá por su ejecución, con los apercibimientos legales</w:t>
      </w:r>
      <w:r w:rsidR="00CF6227" w:rsidRPr="0071649A">
        <w:rPr>
          <w:rFonts w:ascii="Arial" w:eastAsia="Times New Roman" w:hAnsi="Arial" w:cs="Arial"/>
          <w:sz w:val="24"/>
          <w:szCs w:val="24"/>
          <w:lang w:eastAsia="es-ES"/>
        </w:rPr>
        <w:t xml:space="preserve"> que procedan.</w:t>
      </w:r>
    </w:p>
    <w:p w14:paraId="6484B720" w14:textId="77777777" w:rsidR="00BD3BE0" w:rsidRDefault="00BD3BE0" w:rsidP="00DE6732">
      <w:pPr>
        <w:spacing w:after="0" w:line="360" w:lineRule="auto"/>
        <w:ind w:firstLine="709"/>
        <w:jc w:val="both"/>
        <w:rPr>
          <w:rFonts w:ascii="Arial" w:eastAsia="Arial Unicode MS" w:hAnsi="Arial" w:cs="Arial"/>
          <w:sz w:val="24"/>
          <w:szCs w:val="24"/>
        </w:rPr>
      </w:pPr>
    </w:p>
    <w:p w14:paraId="527241A8" w14:textId="77777777" w:rsidR="00DE6732" w:rsidRPr="003D7B14" w:rsidRDefault="00DE6732" w:rsidP="00DE6732">
      <w:pPr>
        <w:spacing w:after="0" w:line="360" w:lineRule="auto"/>
        <w:ind w:firstLine="709"/>
        <w:jc w:val="both"/>
        <w:rPr>
          <w:rFonts w:ascii="Arial" w:eastAsia="Arial Unicode MS" w:hAnsi="Arial" w:cs="Arial"/>
          <w:sz w:val="24"/>
          <w:szCs w:val="24"/>
        </w:rPr>
      </w:pPr>
      <w:r w:rsidRPr="00EC4E93">
        <w:rPr>
          <w:rFonts w:ascii="Arial" w:eastAsia="Arial Unicode MS" w:hAnsi="Arial" w:cs="Arial"/>
          <w:sz w:val="24"/>
          <w:szCs w:val="24"/>
        </w:rPr>
        <w:t xml:space="preserve">Por lo expuesto, fundado en los términos de los artículos 123 de la Constitución Política </w:t>
      </w:r>
      <w:r w:rsidR="005F1F18" w:rsidRPr="00EC4E93">
        <w:rPr>
          <w:rFonts w:ascii="Arial" w:eastAsia="Arial Unicode MS" w:hAnsi="Arial" w:cs="Arial"/>
          <w:sz w:val="24"/>
          <w:szCs w:val="24"/>
        </w:rPr>
        <w:t>del Estado de San Luis Potosí;</w:t>
      </w:r>
      <w:r w:rsidRPr="00EC4E93">
        <w:rPr>
          <w:rFonts w:ascii="Arial" w:eastAsia="Arial Unicode MS" w:hAnsi="Arial" w:cs="Arial"/>
          <w:sz w:val="24"/>
          <w:szCs w:val="24"/>
        </w:rPr>
        <w:t xml:space="preserve"> 7°</w:t>
      </w:r>
      <w:r w:rsidR="005F1F18" w:rsidRPr="00EC4E93">
        <w:rPr>
          <w:rFonts w:ascii="Arial" w:eastAsia="Arial Unicode MS" w:hAnsi="Arial" w:cs="Arial"/>
          <w:sz w:val="24"/>
          <w:szCs w:val="24"/>
        </w:rPr>
        <w:t xml:space="preserve"> </w:t>
      </w:r>
      <w:r w:rsidR="002A2320">
        <w:rPr>
          <w:rFonts w:ascii="Arial" w:eastAsia="Calibri" w:hAnsi="Arial" w:cs="Arial"/>
          <w:sz w:val="24"/>
          <w:szCs w:val="24"/>
        </w:rPr>
        <w:t>fracciones V y XVIII</w:t>
      </w:r>
      <w:r w:rsidRPr="00EC4E93">
        <w:rPr>
          <w:rFonts w:ascii="Arial" w:eastAsia="Arial Unicode MS" w:hAnsi="Arial" w:cs="Arial"/>
          <w:sz w:val="24"/>
          <w:szCs w:val="24"/>
        </w:rPr>
        <w:t>, 9° fracción III, 24, 35</w:t>
      </w:r>
      <w:r w:rsidR="00F157B9" w:rsidRPr="00EC4E93">
        <w:rPr>
          <w:rFonts w:ascii="Arial" w:eastAsia="Arial Unicode MS" w:hAnsi="Arial" w:cs="Arial"/>
          <w:sz w:val="24"/>
          <w:szCs w:val="24"/>
        </w:rPr>
        <w:t xml:space="preserve"> fracción VIII</w:t>
      </w:r>
      <w:r w:rsidRPr="00EC4E93">
        <w:rPr>
          <w:rFonts w:ascii="Arial" w:eastAsia="Arial Unicode MS" w:hAnsi="Arial" w:cs="Arial"/>
          <w:sz w:val="24"/>
          <w:szCs w:val="24"/>
        </w:rPr>
        <w:t xml:space="preserve">, </w:t>
      </w:r>
      <w:r w:rsidR="00A3596B" w:rsidRPr="003D7B14">
        <w:rPr>
          <w:rFonts w:ascii="Arial" w:eastAsia="Arial Unicode MS" w:hAnsi="Arial" w:cs="Arial"/>
          <w:sz w:val="24"/>
          <w:szCs w:val="24"/>
        </w:rPr>
        <w:t>36</w:t>
      </w:r>
      <w:r w:rsidR="00A3596B">
        <w:rPr>
          <w:rFonts w:ascii="Arial" w:eastAsia="Arial Unicode MS" w:hAnsi="Arial" w:cs="Arial"/>
          <w:sz w:val="24"/>
          <w:szCs w:val="24"/>
        </w:rPr>
        <w:t xml:space="preserve"> fracción VII,</w:t>
      </w:r>
      <w:r w:rsidR="00A3596B" w:rsidRPr="003D7B14">
        <w:rPr>
          <w:rFonts w:ascii="Arial" w:eastAsia="Arial Unicode MS" w:hAnsi="Arial" w:cs="Arial"/>
          <w:sz w:val="24"/>
          <w:szCs w:val="24"/>
        </w:rPr>
        <w:t xml:space="preserve"> </w:t>
      </w:r>
      <w:r w:rsidRPr="00EC4E93">
        <w:rPr>
          <w:rFonts w:ascii="Arial" w:eastAsia="Arial Unicode MS" w:hAnsi="Arial" w:cs="Arial"/>
          <w:sz w:val="24"/>
          <w:szCs w:val="24"/>
        </w:rPr>
        <w:t xml:space="preserve">y 37, </w:t>
      </w:r>
      <w:r w:rsidR="0064007F" w:rsidRPr="00EC4E93">
        <w:rPr>
          <w:rFonts w:ascii="Arial" w:eastAsia="Arial Unicode MS" w:hAnsi="Arial" w:cs="Arial"/>
          <w:sz w:val="24"/>
          <w:szCs w:val="24"/>
        </w:rPr>
        <w:t xml:space="preserve">fracción </w:t>
      </w:r>
      <w:r w:rsidR="00315136" w:rsidRPr="00EC4E93">
        <w:rPr>
          <w:rFonts w:ascii="Arial" w:eastAsia="Arial Unicode MS" w:hAnsi="Arial" w:cs="Arial"/>
          <w:sz w:val="24"/>
          <w:szCs w:val="24"/>
        </w:rPr>
        <w:t>I</w:t>
      </w:r>
      <w:r w:rsidR="0064007F" w:rsidRPr="00EC4E93">
        <w:rPr>
          <w:rFonts w:ascii="Arial" w:eastAsia="Arial Unicode MS" w:hAnsi="Arial" w:cs="Arial"/>
          <w:sz w:val="24"/>
          <w:szCs w:val="24"/>
        </w:rPr>
        <w:t xml:space="preserve">I, </w:t>
      </w:r>
      <w:r w:rsidRPr="00EC4E93">
        <w:rPr>
          <w:rFonts w:ascii="Arial" w:eastAsia="Arial Unicode MS" w:hAnsi="Arial" w:cs="Arial"/>
          <w:sz w:val="24"/>
          <w:szCs w:val="24"/>
        </w:rPr>
        <w:t xml:space="preserve">de la Ley Orgánica del Tribunal Estatal de Justicia administrativa de San Luis Potosí; </w:t>
      </w:r>
      <w:r w:rsidR="00315136" w:rsidRPr="00EC4E93">
        <w:rPr>
          <w:rFonts w:ascii="Arial" w:eastAsia="Times New Roman" w:hAnsi="Arial" w:cs="Arial"/>
          <w:bCs/>
          <w:color w:val="000000"/>
          <w:sz w:val="24"/>
          <w:szCs w:val="24"/>
          <w:lang w:eastAsia="es-ES"/>
        </w:rPr>
        <w:t>y,</w:t>
      </w:r>
      <w:r w:rsidR="0064007F" w:rsidRPr="00EC4E93">
        <w:rPr>
          <w:rFonts w:ascii="Arial" w:eastAsia="Times New Roman" w:hAnsi="Arial" w:cs="Arial"/>
          <w:bCs/>
          <w:color w:val="000000"/>
          <w:sz w:val="24"/>
          <w:szCs w:val="24"/>
          <w:lang w:eastAsia="es-ES"/>
        </w:rPr>
        <w:t xml:space="preserve"> 217, 248, 249, 250</w:t>
      </w:r>
      <w:r w:rsidR="00315136" w:rsidRPr="00EC4E93">
        <w:rPr>
          <w:rFonts w:ascii="Arial" w:eastAsia="Times New Roman" w:hAnsi="Arial" w:cs="Arial"/>
          <w:bCs/>
          <w:color w:val="000000"/>
          <w:sz w:val="24"/>
          <w:szCs w:val="24"/>
          <w:lang w:eastAsia="es-ES"/>
        </w:rPr>
        <w:t xml:space="preserve"> fracciones</w:t>
      </w:r>
      <w:r w:rsidR="008D40AB">
        <w:rPr>
          <w:rFonts w:ascii="Arial" w:eastAsia="Times New Roman" w:hAnsi="Arial" w:cs="Arial"/>
          <w:bCs/>
          <w:color w:val="000000"/>
          <w:sz w:val="24"/>
          <w:szCs w:val="24"/>
          <w:lang w:eastAsia="es-ES"/>
        </w:rPr>
        <w:t xml:space="preserve"> I y I</w:t>
      </w:r>
      <w:r w:rsidR="00315136" w:rsidRPr="00EC4E93">
        <w:rPr>
          <w:rFonts w:ascii="Arial" w:eastAsia="Times New Roman" w:hAnsi="Arial" w:cs="Arial"/>
          <w:bCs/>
          <w:color w:val="000000"/>
          <w:sz w:val="24"/>
          <w:szCs w:val="24"/>
          <w:lang w:eastAsia="es-ES"/>
        </w:rPr>
        <w:t xml:space="preserve">I, </w:t>
      </w:r>
      <w:r w:rsidR="0064007F" w:rsidRPr="00EC4E93">
        <w:rPr>
          <w:rFonts w:ascii="Arial" w:eastAsia="Times New Roman" w:hAnsi="Arial" w:cs="Arial"/>
          <w:bCs/>
          <w:color w:val="000000"/>
          <w:sz w:val="24"/>
          <w:szCs w:val="24"/>
          <w:lang w:eastAsia="es-ES"/>
        </w:rPr>
        <w:t xml:space="preserve">251 </w:t>
      </w:r>
      <w:r w:rsidR="00315136" w:rsidRPr="00EC4E93">
        <w:rPr>
          <w:rFonts w:ascii="Arial" w:eastAsia="Times New Roman" w:hAnsi="Arial" w:cs="Arial"/>
          <w:bCs/>
          <w:color w:val="000000"/>
          <w:sz w:val="24"/>
          <w:szCs w:val="24"/>
          <w:lang w:eastAsia="es-ES"/>
        </w:rPr>
        <w:t xml:space="preserve">párrafo primero, y 252 </w:t>
      </w:r>
      <w:r w:rsidR="0064007F" w:rsidRPr="00EC4E93">
        <w:rPr>
          <w:rFonts w:ascii="Arial" w:eastAsia="Times New Roman" w:hAnsi="Arial" w:cs="Arial"/>
          <w:bCs/>
          <w:color w:val="000000"/>
          <w:sz w:val="24"/>
          <w:szCs w:val="24"/>
          <w:lang w:eastAsia="es-ES"/>
        </w:rPr>
        <w:t>del Código</w:t>
      </w:r>
      <w:r w:rsidR="0064007F" w:rsidRPr="00221847">
        <w:rPr>
          <w:rFonts w:ascii="Arial" w:eastAsia="Times New Roman" w:hAnsi="Arial" w:cs="Arial"/>
          <w:bCs/>
          <w:color w:val="000000"/>
          <w:sz w:val="24"/>
          <w:szCs w:val="24"/>
          <w:lang w:eastAsia="es-ES"/>
        </w:rPr>
        <w:t xml:space="preserve"> Procesal Administrativo para el Estado de San Luis Potosí</w:t>
      </w:r>
      <w:r w:rsidR="0064007F" w:rsidRPr="00221847">
        <w:rPr>
          <w:rFonts w:ascii="Arial" w:eastAsia="Times New Roman" w:hAnsi="Arial" w:cs="Arial"/>
          <w:color w:val="000000"/>
          <w:sz w:val="24"/>
          <w:szCs w:val="24"/>
          <w:lang w:eastAsia="es-ES"/>
        </w:rPr>
        <w:t>,</w:t>
      </w:r>
      <w:r w:rsidR="0064007F">
        <w:rPr>
          <w:rFonts w:ascii="Arial" w:eastAsia="Times New Roman" w:hAnsi="Arial" w:cs="Arial"/>
          <w:color w:val="000000"/>
          <w:sz w:val="24"/>
          <w:szCs w:val="24"/>
          <w:lang w:eastAsia="es-ES"/>
        </w:rPr>
        <w:t xml:space="preserve"> </w:t>
      </w:r>
      <w:r w:rsidRPr="003D7B14">
        <w:rPr>
          <w:rFonts w:ascii="Arial" w:eastAsia="Arial Unicode MS" w:hAnsi="Arial" w:cs="Arial"/>
          <w:sz w:val="24"/>
          <w:szCs w:val="24"/>
        </w:rPr>
        <w:t>es de resolverse y se,</w:t>
      </w:r>
    </w:p>
    <w:p w14:paraId="2FA40E34" w14:textId="77777777" w:rsidR="00024FD5" w:rsidRPr="003D7B14" w:rsidRDefault="00024FD5" w:rsidP="00DE6732">
      <w:pPr>
        <w:spacing w:after="0" w:line="360" w:lineRule="auto"/>
        <w:jc w:val="center"/>
        <w:rPr>
          <w:rFonts w:ascii="Arial" w:eastAsia="Arial Unicode MS" w:hAnsi="Arial" w:cs="Arial"/>
          <w:b/>
          <w:sz w:val="24"/>
          <w:szCs w:val="24"/>
        </w:rPr>
      </w:pPr>
    </w:p>
    <w:p w14:paraId="45456151" w14:textId="77777777" w:rsidR="00DE6732" w:rsidRPr="003D7B14" w:rsidRDefault="00DE6732" w:rsidP="00DE6732">
      <w:pPr>
        <w:spacing w:after="0" w:line="360" w:lineRule="auto"/>
        <w:jc w:val="center"/>
        <w:rPr>
          <w:rFonts w:ascii="Arial" w:eastAsia="Arial Unicode MS" w:hAnsi="Arial" w:cs="Arial"/>
          <w:b/>
          <w:sz w:val="24"/>
          <w:szCs w:val="24"/>
        </w:rPr>
      </w:pPr>
      <w:r w:rsidRPr="003D7B14">
        <w:rPr>
          <w:rFonts w:ascii="Arial" w:eastAsia="Arial Unicode MS" w:hAnsi="Arial" w:cs="Arial"/>
          <w:b/>
          <w:sz w:val="24"/>
          <w:szCs w:val="24"/>
        </w:rPr>
        <w:t>R E S U E L V E</w:t>
      </w:r>
    </w:p>
    <w:p w14:paraId="2214684B" w14:textId="77777777" w:rsidR="0020561A" w:rsidRPr="003D7B14" w:rsidRDefault="0020561A" w:rsidP="00DE6732">
      <w:pPr>
        <w:spacing w:after="0" w:line="360" w:lineRule="auto"/>
        <w:jc w:val="center"/>
        <w:rPr>
          <w:rFonts w:ascii="Arial" w:eastAsia="Arial Unicode MS" w:hAnsi="Arial" w:cs="Arial"/>
          <w:b/>
          <w:sz w:val="24"/>
          <w:szCs w:val="24"/>
        </w:rPr>
      </w:pPr>
    </w:p>
    <w:p w14:paraId="03F1CD1B" w14:textId="77777777" w:rsidR="00DE6732" w:rsidRPr="003D7B14" w:rsidRDefault="00DE6732" w:rsidP="00DE6732">
      <w:pPr>
        <w:spacing w:after="0" w:line="360" w:lineRule="auto"/>
        <w:ind w:firstLine="709"/>
        <w:jc w:val="both"/>
        <w:rPr>
          <w:rFonts w:ascii="Arial" w:eastAsia="Arial Unicode MS" w:hAnsi="Arial" w:cs="Arial"/>
          <w:sz w:val="24"/>
          <w:szCs w:val="24"/>
        </w:rPr>
      </w:pPr>
      <w:r w:rsidRPr="003D7B14">
        <w:rPr>
          <w:rFonts w:ascii="Arial" w:eastAsia="Arial Unicode MS" w:hAnsi="Arial" w:cs="Arial"/>
          <w:b/>
          <w:sz w:val="24"/>
          <w:szCs w:val="24"/>
        </w:rPr>
        <w:t>PRIMERO.-</w:t>
      </w:r>
      <w:r w:rsidRPr="003D7B14">
        <w:rPr>
          <w:rFonts w:ascii="Arial" w:eastAsia="Arial Unicode MS" w:hAnsi="Arial" w:cs="Arial"/>
          <w:sz w:val="24"/>
          <w:szCs w:val="24"/>
        </w:rPr>
        <w:t xml:space="preserve"> Esta </w:t>
      </w:r>
      <w:r w:rsidR="005F1F18" w:rsidRPr="005F1F18">
        <w:rPr>
          <w:rFonts w:ascii="Arial" w:eastAsia="Arial Unicode MS" w:hAnsi="Arial" w:cs="Arial"/>
          <w:b/>
          <w:sz w:val="24"/>
          <w:szCs w:val="24"/>
        </w:rPr>
        <w:t>Tercera</w:t>
      </w:r>
      <w:r w:rsidR="005F1F18">
        <w:rPr>
          <w:rFonts w:ascii="Arial" w:eastAsia="Arial Unicode MS" w:hAnsi="Arial" w:cs="Arial"/>
          <w:sz w:val="24"/>
          <w:szCs w:val="24"/>
        </w:rPr>
        <w:t xml:space="preserve"> </w:t>
      </w:r>
      <w:r w:rsidRPr="003D7B14">
        <w:rPr>
          <w:rFonts w:ascii="Arial" w:eastAsia="Arial Unicode MS" w:hAnsi="Arial" w:cs="Arial"/>
          <w:b/>
          <w:sz w:val="24"/>
          <w:szCs w:val="24"/>
        </w:rPr>
        <w:t>Sala Unitaria del Tribunal Estatal de Justicia Administrativa</w:t>
      </w:r>
      <w:r w:rsidRPr="003D7B14">
        <w:rPr>
          <w:rFonts w:ascii="Arial" w:eastAsia="Arial Unicode MS" w:hAnsi="Arial" w:cs="Arial"/>
          <w:sz w:val="24"/>
          <w:szCs w:val="24"/>
        </w:rPr>
        <w:t>, resultó competente para conocer y resolver la presente controversia.</w:t>
      </w:r>
    </w:p>
    <w:p w14:paraId="6E563FB3" w14:textId="77777777" w:rsidR="0086414A" w:rsidRPr="003D7B14" w:rsidRDefault="0086414A" w:rsidP="00DE6732">
      <w:pPr>
        <w:spacing w:after="0" w:line="360" w:lineRule="auto"/>
        <w:ind w:firstLine="709"/>
        <w:jc w:val="both"/>
        <w:rPr>
          <w:rFonts w:ascii="Arial" w:eastAsia="Arial Unicode MS" w:hAnsi="Arial" w:cs="Arial"/>
          <w:sz w:val="24"/>
          <w:szCs w:val="24"/>
        </w:rPr>
      </w:pPr>
    </w:p>
    <w:p w14:paraId="7DD6AD62" w14:textId="77777777" w:rsidR="00DE6732" w:rsidRDefault="00DE6732" w:rsidP="0064007F">
      <w:pPr>
        <w:spacing w:line="360" w:lineRule="auto"/>
        <w:ind w:firstLine="708"/>
        <w:jc w:val="both"/>
        <w:rPr>
          <w:rFonts w:ascii="Arial" w:eastAsia="Arial Unicode MS" w:hAnsi="Arial" w:cs="Arial"/>
          <w:sz w:val="24"/>
          <w:szCs w:val="24"/>
        </w:rPr>
      </w:pPr>
      <w:r w:rsidRPr="003D7B14">
        <w:rPr>
          <w:rFonts w:ascii="Arial" w:eastAsia="Arial Unicode MS" w:hAnsi="Arial" w:cs="Arial"/>
          <w:b/>
          <w:sz w:val="24"/>
          <w:szCs w:val="24"/>
        </w:rPr>
        <w:t>SEGUNDO.-</w:t>
      </w:r>
      <w:r w:rsidRPr="003D7B14">
        <w:rPr>
          <w:rFonts w:ascii="Arial" w:eastAsia="Arial Unicode MS" w:hAnsi="Arial" w:cs="Arial"/>
          <w:sz w:val="24"/>
          <w:szCs w:val="24"/>
        </w:rPr>
        <w:t xml:space="preserve"> </w:t>
      </w:r>
      <w:r w:rsidR="005F1F18">
        <w:rPr>
          <w:rFonts w:ascii="Arial" w:eastAsia="Arial Unicode MS" w:hAnsi="Arial" w:cs="Arial"/>
          <w:sz w:val="24"/>
          <w:szCs w:val="24"/>
        </w:rPr>
        <w:t xml:space="preserve">Se </w:t>
      </w:r>
      <w:r w:rsidRPr="003D7B14">
        <w:rPr>
          <w:rFonts w:ascii="Arial" w:eastAsia="Arial Unicode MS" w:hAnsi="Arial" w:cs="Arial"/>
          <w:sz w:val="24"/>
          <w:szCs w:val="24"/>
        </w:rPr>
        <w:t xml:space="preserve">declara la </w:t>
      </w:r>
      <w:r w:rsidRPr="003D7B14">
        <w:rPr>
          <w:rFonts w:ascii="Arial" w:eastAsia="Arial Unicode MS" w:hAnsi="Arial" w:cs="Arial"/>
          <w:b/>
          <w:sz w:val="24"/>
          <w:szCs w:val="24"/>
        </w:rPr>
        <w:t>ILEGALIDAD E INVALIDEZ</w:t>
      </w:r>
      <w:r w:rsidRPr="003D7B14">
        <w:rPr>
          <w:rFonts w:ascii="Arial" w:eastAsia="Arial Unicode MS" w:hAnsi="Arial" w:cs="Arial"/>
          <w:sz w:val="24"/>
          <w:szCs w:val="24"/>
        </w:rPr>
        <w:t xml:space="preserve"> </w:t>
      </w:r>
      <w:r w:rsidRPr="005F1F18">
        <w:rPr>
          <w:rFonts w:ascii="Arial" w:eastAsia="Arial Unicode MS" w:hAnsi="Arial" w:cs="Arial"/>
          <w:b/>
          <w:sz w:val="24"/>
          <w:szCs w:val="24"/>
        </w:rPr>
        <w:t>del acto impugnado</w:t>
      </w:r>
      <w:r w:rsidRPr="003D7B14">
        <w:rPr>
          <w:rFonts w:ascii="Arial" w:eastAsia="Arial Unicode MS" w:hAnsi="Arial" w:cs="Arial"/>
          <w:sz w:val="24"/>
          <w:szCs w:val="24"/>
        </w:rPr>
        <w:t xml:space="preserve"> y, por consecuencia, se </w:t>
      </w:r>
      <w:r w:rsidR="005F1F18">
        <w:rPr>
          <w:rFonts w:ascii="Arial" w:eastAsia="Arial Unicode MS" w:hAnsi="Arial" w:cs="Arial"/>
          <w:sz w:val="24"/>
          <w:szCs w:val="24"/>
        </w:rPr>
        <w:t>decreta</w:t>
      </w:r>
      <w:r w:rsidRPr="003D7B14">
        <w:rPr>
          <w:rFonts w:ascii="Arial" w:eastAsia="Arial Unicode MS" w:hAnsi="Arial" w:cs="Arial"/>
          <w:sz w:val="24"/>
          <w:szCs w:val="24"/>
        </w:rPr>
        <w:t xml:space="preserve"> la </w:t>
      </w:r>
      <w:r w:rsidRPr="003D7B14">
        <w:rPr>
          <w:rFonts w:ascii="Arial" w:eastAsia="Arial Unicode MS" w:hAnsi="Arial" w:cs="Arial"/>
          <w:b/>
          <w:sz w:val="24"/>
          <w:szCs w:val="24"/>
        </w:rPr>
        <w:t>NULIDAD</w:t>
      </w:r>
      <w:r w:rsidR="006C25C7">
        <w:rPr>
          <w:rFonts w:ascii="Arial" w:eastAsia="Arial Unicode MS" w:hAnsi="Arial" w:cs="Arial"/>
          <w:b/>
          <w:sz w:val="24"/>
          <w:szCs w:val="24"/>
        </w:rPr>
        <w:t xml:space="preserve"> LISA Y LLANA</w:t>
      </w:r>
      <w:r w:rsidRPr="003D7B14">
        <w:rPr>
          <w:rFonts w:ascii="Arial" w:eastAsia="Arial Unicode MS" w:hAnsi="Arial" w:cs="Arial"/>
          <w:b/>
          <w:sz w:val="24"/>
          <w:szCs w:val="24"/>
        </w:rPr>
        <w:t xml:space="preserve"> </w:t>
      </w:r>
      <w:r w:rsidRPr="005F1F18">
        <w:rPr>
          <w:rFonts w:ascii="Arial" w:eastAsia="Arial Unicode MS" w:hAnsi="Arial" w:cs="Arial"/>
          <w:b/>
          <w:sz w:val="24"/>
          <w:szCs w:val="24"/>
        </w:rPr>
        <w:t>del mismo</w:t>
      </w:r>
      <w:r w:rsidRPr="003D7B14">
        <w:rPr>
          <w:rFonts w:ascii="Arial" w:eastAsia="Arial Unicode MS" w:hAnsi="Arial" w:cs="Arial"/>
          <w:sz w:val="24"/>
          <w:szCs w:val="24"/>
        </w:rPr>
        <w:t xml:space="preserve">, </w:t>
      </w:r>
      <w:r w:rsidR="005F1F18">
        <w:rPr>
          <w:rFonts w:ascii="Arial" w:eastAsia="Arial Unicode MS" w:hAnsi="Arial" w:cs="Arial"/>
          <w:sz w:val="24"/>
          <w:szCs w:val="24"/>
        </w:rPr>
        <w:t>de acuerdo a los razonamientos precisados en el C</w:t>
      </w:r>
      <w:r w:rsidRPr="003D7B14">
        <w:rPr>
          <w:rFonts w:ascii="Arial" w:eastAsia="Arial Unicode MS" w:hAnsi="Arial" w:cs="Arial"/>
          <w:sz w:val="24"/>
          <w:szCs w:val="24"/>
        </w:rPr>
        <w:t xml:space="preserve">onsiderando </w:t>
      </w:r>
      <w:r w:rsidR="00F90048">
        <w:rPr>
          <w:rFonts w:ascii="Arial" w:eastAsia="Arial Unicode MS" w:hAnsi="Arial" w:cs="Arial"/>
          <w:sz w:val="24"/>
          <w:szCs w:val="24"/>
        </w:rPr>
        <w:t>Sexto</w:t>
      </w:r>
      <w:r w:rsidRPr="003D7B14">
        <w:rPr>
          <w:rFonts w:ascii="Arial" w:eastAsia="Arial Unicode MS" w:hAnsi="Arial" w:cs="Arial"/>
          <w:sz w:val="24"/>
          <w:szCs w:val="24"/>
        </w:rPr>
        <w:t xml:space="preserve"> de esta sentencia.</w:t>
      </w:r>
    </w:p>
    <w:p w14:paraId="2FC69671" w14:textId="26A5BE8B" w:rsidR="00DE6732" w:rsidRPr="003D7B14" w:rsidRDefault="00F90048" w:rsidP="00DE6732">
      <w:pPr>
        <w:spacing w:line="360" w:lineRule="auto"/>
        <w:ind w:firstLine="708"/>
        <w:jc w:val="both"/>
        <w:rPr>
          <w:rFonts w:ascii="Arial" w:eastAsia="Calibri" w:hAnsi="Arial" w:cs="Arial"/>
          <w:sz w:val="24"/>
          <w:szCs w:val="24"/>
        </w:rPr>
      </w:pPr>
      <w:r>
        <w:rPr>
          <w:rFonts w:ascii="Arial" w:eastAsia="Arial Unicode MS" w:hAnsi="Arial" w:cs="Arial"/>
          <w:b/>
          <w:sz w:val="24"/>
          <w:szCs w:val="24"/>
        </w:rPr>
        <w:t>TERCERO</w:t>
      </w:r>
      <w:r w:rsidR="00DE6732" w:rsidRPr="003D7B14">
        <w:rPr>
          <w:rFonts w:ascii="Arial" w:eastAsia="Arial Unicode MS" w:hAnsi="Arial" w:cs="Arial"/>
          <w:b/>
          <w:sz w:val="24"/>
          <w:szCs w:val="24"/>
        </w:rPr>
        <w:t>.-</w:t>
      </w:r>
      <w:r w:rsidR="00DE6732" w:rsidRPr="003D7B14">
        <w:rPr>
          <w:rFonts w:ascii="Arial" w:eastAsia="Arial Unicode MS" w:hAnsi="Arial" w:cs="Arial"/>
          <w:sz w:val="24"/>
          <w:szCs w:val="24"/>
        </w:rPr>
        <w:t xml:space="preserve"> </w:t>
      </w:r>
      <w:r w:rsidR="00DE6732" w:rsidRPr="003D7B14">
        <w:rPr>
          <w:rFonts w:ascii="Arial" w:eastAsia="Calibri" w:hAnsi="Arial" w:cs="Arial"/>
          <w:sz w:val="24"/>
          <w:szCs w:val="24"/>
        </w:rPr>
        <w:t>Con copia autorizada de esta resolución, notifíquese personalmente a la parte actora</w:t>
      </w:r>
      <w:r w:rsidR="00C72853">
        <w:rPr>
          <w:rFonts w:ascii="Arial" w:eastAsia="Calibri" w:hAnsi="Arial" w:cs="Arial"/>
          <w:sz w:val="24"/>
          <w:szCs w:val="24"/>
        </w:rPr>
        <w:t>;</w:t>
      </w:r>
      <w:r w:rsidR="00DE6732" w:rsidRPr="003D7B14">
        <w:rPr>
          <w:rFonts w:ascii="Arial" w:eastAsia="Calibri" w:hAnsi="Arial" w:cs="Arial"/>
          <w:sz w:val="24"/>
          <w:szCs w:val="24"/>
        </w:rPr>
        <w:t xml:space="preserve"> y por oficio a la autoridad demandada.</w:t>
      </w:r>
    </w:p>
    <w:p w14:paraId="7086410B" w14:textId="77777777" w:rsidR="0086414A" w:rsidRPr="003D7B14" w:rsidRDefault="0086414A" w:rsidP="00DE6732">
      <w:pPr>
        <w:spacing w:line="360" w:lineRule="auto"/>
        <w:ind w:firstLine="708"/>
        <w:jc w:val="both"/>
        <w:rPr>
          <w:rFonts w:ascii="Arial" w:eastAsia="Calibri" w:hAnsi="Arial" w:cs="Arial"/>
          <w:sz w:val="24"/>
          <w:szCs w:val="24"/>
        </w:rPr>
      </w:pPr>
    </w:p>
    <w:p w14:paraId="697A3496" w14:textId="77777777" w:rsidR="00DE6732" w:rsidRPr="003D7B14" w:rsidRDefault="00DE6732" w:rsidP="00DE6732">
      <w:pPr>
        <w:spacing w:after="0" w:line="360" w:lineRule="auto"/>
        <w:ind w:firstLine="709"/>
        <w:jc w:val="both"/>
        <w:rPr>
          <w:rFonts w:ascii="Arial" w:hAnsi="Arial" w:cs="Arial"/>
          <w:sz w:val="24"/>
          <w:szCs w:val="24"/>
        </w:rPr>
      </w:pPr>
      <w:r w:rsidRPr="003D7B14">
        <w:rPr>
          <w:rFonts w:ascii="Arial" w:eastAsia="Calibri" w:hAnsi="Arial" w:cs="Arial"/>
          <w:sz w:val="24"/>
          <w:szCs w:val="24"/>
        </w:rPr>
        <w:lastRenderedPageBreak/>
        <w:t xml:space="preserve">Así lo resolvió y firma, el Magistrado Titular de la Tercera Sala Unitaria del Tribunal Estatal de Justicia Administrativa de San Luis Potosí, </w:t>
      </w:r>
      <w:r w:rsidRPr="003D7B14">
        <w:rPr>
          <w:rFonts w:ascii="Arial" w:eastAsia="Calibri" w:hAnsi="Arial" w:cs="Arial"/>
          <w:b/>
          <w:sz w:val="24"/>
          <w:szCs w:val="24"/>
        </w:rPr>
        <w:t>Licenciado Jorge Alejandro Vera Noyola,</w:t>
      </w:r>
      <w:r w:rsidRPr="003D7B14">
        <w:rPr>
          <w:rFonts w:ascii="Arial" w:eastAsia="Calibri" w:hAnsi="Arial" w:cs="Arial"/>
          <w:sz w:val="24"/>
          <w:szCs w:val="24"/>
        </w:rPr>
        <w:t xml:space="preserve"> quien actúa con Secretario de Acuerdos, </w:t>
      </w:r>
      <w:r w:rsidRPr="003D7B14">
        <w:rPr>
          <w:rFonts w:ascii="Arial" w:eastAsia="Calibri" w:hAnsi="Arial" w:cs="Arial"/>
          <w:b/>
          <w:sz w:val="24"/>
          <w:szCs w:val="24"/>
        </w:rPr>
        <w:t>Licenciado Ismael Méndez Hernández,</w:t>
      </w:r>
      <w:r w:rsidRPr="003D7B14">
        <w:rPr>
          <w:rFonts w:ascii="Arial" w:eastAsia="Calibri" w:hAnsi="Arial" w:cs="Arial"/>
          <w:sz w:val="24"/>
          <w:szCs w:val="24"/>
        </w:rPr>
        <w:t xml:space="preserve"> que autoriza y da fe.</w:t>
      </w:r>
    </w:p>
    <w:p w14:paraId="13F6E430" w14:textId="00BAD4F8" w:rsidR="00BF4C78" w:rsidRPr="003D7B14" w:rsidRDefault="00BF4C78" w:rsidP="00BF33A4">
      <w:pPr>
        <w:jc w:val="center"/>
        <w:rPr>
          <w:rFonts w:ascii="Arial" w:hAnsi="Arial" w:cs="Arial"/>
          <w:sz w:val="24"/>
          <w:szCs w:val="24"/>
        </w:rPr>
      </w:pPr>
    </w:p>
    <w:p w14:paraId="3D622B6B" w14:textId="77777777" w:rsidR="002A046D" w:rsidRPr="006E4348" w:rsidRDefault="002A046D" w:rsidP="002A046D">
      <w:pPr>
        <w:spacing w:after="0" w:line="240" w:lineRule="auto"/>
        <w:jc w:val="both"/>
        <w:rPr>
          <w:rFonts w:ascii="Arial Narrow" w:eastAsia="Times New Roman" w:hAnsi="Arial Narrow" w:cs="Arial"/>
          <w:i/>
          <w:sz w:val="24"/>
          <w:szCs w:val="24"/>
          <w:lang w:val="es-ES" w:eastAsia="es-ES"/>
        </w:rPr>
      </w:pPr>
      <w:r w:rsidRPr="006E4348">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14:paraId="1A88E1A6" w14:textId="77777777" w:rsidR="004D3471" w:rsidRPr="003D7B14" w:rsidRDefault="004D3471">
      <w:pPr>
        <w:jc w:val="center"/>
        <w:rPr>
          <w:rFonts w:ascii="Arial" w:hAnsi="Arial" w:cs="Arial"/>
          <w:sz w:val="24"/>
          <w:szCs w:val="24"/>
        </w:rPr>
      </w:pPr>
      <w:bookmarkStart w:id="1" w:name="_GoBack"/>
      <w:bookmarkEnd w:id="1"/>
    </w:p>
    <w:sectPr w:rsidR="004D3471" w:rsidRPr="003D7B14" w:rsidSect="007568F9">
      <w:headerReference w:type="even" r:id="rId8"/>
      <w:headerReference w:type="default" r:id="rId9"/>
      <w:headerReference w:type="first" r:id="rId10"/>
      <w:pgSz w:w="12242" w:h="18722" w:code="14"/>
      <w:pgMar w:top="1134" w:right="1134" w:bottom="1134" w:left="283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72F48" w14:textId="77777777" w:rsidR="003564A1" w:rsidRDefault="003564A1" w:rsidP="00DE6732">
      <w:pPr>
        <w:spacing w:after="0" w:line="240" w:lineRule="auto"/>
      </w:pPr>
      <w:r>
        <w:separator/>
      </w:r>
    </w:p>
  </w:endnote>
  <w:endnote w:type="continuationSeparator" w:id="0">
    <w:p w14:paraId="1F6D7A49" w14:textId="77777777" w:rsidR="003564A1" w:rsidRDefault="003564A1" w:rsidP="00DE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F44CD" w14:textId="77777777" w:rsidR="003564A1" w:rsidRDefault="003564A1" w:rsidP="00DE6732">
      <w:pPr>
        <w:spacing w:after="0" w:line="240" w:lineRule="auto"/>
      </w:pPr>
      <w:r>
        <w:separator/>
      </w:r>
    </w:p>
  </w:footnote>
  <w:footnote w:type="continuationSeparator" w:id="0">
    <w:p w14:paraId="7F42FA76" w14:textId="77777777" w:rsidR="003564A1" w:rsidRDefault="003564A1" w:rsidP="00DE6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13602" w14:textId="77777777" w:rsidR="0043714F" w:rsidRPr="00062CBC" w:rsidRDefault="0043714F" w:rsidP="006C31D7">
    <w:pPr>
      <w:pStyle w:val="Encabezado"/>
      <w:jc w:val="right"/>
      <w:rPr>
        <w:rFonts w:ascii="Arial Narrow" w:hAnsi="Arial Narrow"/>
      </w:rPr>
    </w:pPr>
    <w:r w:rsidRPr="00062CBC">
      <w:rPr>
        <w:rFonts w:ascii="Arial Narrow" w:hAnsi="Arial Narrow"/>
      </w:rPr>
      <w:t xml:space="preserve">Foja </w:t>
    </w:r>
    <w:sdt>
      <w:sdtPr>
        <w:rPr>
          <w:rFonts w:ascii="Arial Narrow" w:hAnsi="Arial Narrow"/>
        </w:rPr>
        <w:id w:val="535635618"/>
        <w:docPartObj>
          <w:docPartGallery w:val="Page Numbers (Top of Page)"/>
          <w:docPartUnique/>
        </w:docPartObj>
      </w:sdtPr>
      <w:sdtEndPr/>
      <w:sdtContent>
        <w:r w:rsidRPr="00062CBC">
          <w:rPr>
            <w:rFonts w:ascii="Arial Narrow" w:hAnsi="Arial Narrow"/>
          </w:rPr>
          <w:fldChar w:fldCharType="begin"/>
        </w:r>
        <w:r w:rsidRPr="00062CBC">
          <w:rPr>
            <w:rFonts w:ascii="Arial Narrow" w:hAnsi="Arial Narrow"/>
          </w:rPr>
          <w:instrText>PAGE   \* MERGEFORMAT</w:instrText>
        </w:r>
        <w:r w:rsidRPr="00062CBC">
          <w:rPr>
            <w:rFonts w:ascii="Arial Narrow" w:hAnsi="Arial Narrow"/>
          </w:rPr>
          <w:fldChar w:fldCharType="separate"/>
        </w:r>
        <w:r w:rsidR="002A046D" w:rsidRPr="002A046D">
          <w:rPr>
            <w:rFonts w:ascii="Arial Narrow" w:hAnsi="Arial Narrow"/>
            <w:noProof/>
            <w:lang w:val="es-ES"/>
          </w:rPr>
          <w:t>50</w:t>
        </w:r>
        <w:r w:rsidRPr="00062CBC">
          <w:rPr>
            <w:rFonts w:ascii="Arial Narrow" w:hAnsi="Arial Narrow"/>
          </w:rPr>
          <w:fldChar w:fldCharType="end"/>
        </w:r>
      </w:sdtContent>
    </w:sdt>
  </w:p>
  <w:p w14:paraId="4301BC53" w14:textId="77777777" w:rsidR="0043714F" w:rsidRDefault="0043714F" w:rsidP="006C31D7">
    <w:pPr>
      <w:pStyle w:val="Encabezado"/>
      <w:jc w:val="right"/>
    </w:pPr>
    <w:proofErr w:type="spellStart"/>
    <w:r>
      <w:t>Exp</w:t>
    </w:r>
    <w:proofErr w:type="spellEnd"/>
    <w:r>
      <w:t>. 1301/2025/3</w:t>
    </w:r>
  </w:p>
  <w:p w14:paraId="34A28E93" w14:textId="77777777" w:rsidR="0043714F" w:rsidRDefault="0043714F" w:rsidP="006C31D7">
    <w:pPr>
      <w:pStyle w:val="Encabezado"/>
      <w:jc w:val="right"/>
    </w:pPr>
  </w:p>
  <w:p w14:paraId="5B446FBF" w14:textId="77777777" w:rsidR="0043714F" w:rsidRDefault="0043714F" w:rsidP="006C31D7">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F957D" w14:textId="77777777" w:rsidR="0043714F" w:rsidRPr="00062CBC" w:rsidRDefault="0043714F">
    <w:pPr>
      <w:pStyle w:val="Encabezado"/>
      <w:jc w:val="right"/>
      <w:rPr>
        <w:rFonts w:ascii="Arial Narrow" w:hAnsi="Arial Narrow"/>
      </w:rPr>
    </w:pPr>
    <w:r w:rsidRPr="00062CBC">
      <w:rPr>
        <w:rFonts w:ascii="Arial Narrow" w:hAnsi="Arial Narrow"/>
      </w:rPr>
      <w:t xml:space="preserve">Foja </w:t>
    </w:r>
    <w:sdt>
      <w:sdtPr>
        <w:rPr>
          <w:rFonts w:ascii="Arial Narrow" w:hAnsi="Arial Narrow"/>
        </w:rPr>
        <w:id w:val="1359462555"/>
        <w:docPartObj>
          <w:docPartGallery w:val="Page Numbers (Top of Page)"/>
          <w:docPartUnique/>
        </w:docPartObj>
      </w:sdtPr>
      <w:sdtEndPr/>
      <w:sdtContent>
        <w:r w:rsidRPr="00062CBC">
          <w:rPr>
            <w:rFonts w:ascii="Arial Narrow" w:hAnsi="Arial Narrow"/>
          </w:rPr>
          <w:fldChar w:fldCharType="begin"/>
        </w:r>
        <w:r w:rsidRPr="00062CBC">
          <w:rPr>
            <w:rFonts w:ascii="Arial Narrow" w:hAnsi="Arial Narrow"/>
          </w:rPr>
          <w:instrText>PAGE   \* MERGEFORMAT</w:instrText>
        </w:r>
        <w:r w:rsidRPr="00062CBC">
          <w:rPr>
            <w:rFonts w:ascii="Arial Narrow" w:hAnsi="Arial Narrow"/>
          </w:rPr>
          <w:fldChar w:fldCharType="separate"/>
        </w:r>
        <w:r w:rsidR="002A046D" w:rsidRPr="002A046D">
          <w:rPr>
            <w:rFonts w:ascii="Arial Narrow" w:hAnsi="Arial Narrow"/>
            <w:noProof/>
            <w:lang w:val="es-ES"/>
          </w:rPr>
          <w:t>49</w:t>
        </w:r>
        <w:r w:rsidRPr="00062CBC">
          <w:rPr>
            <w:rFonts w:ascii="Arial Narrow" w:hAnsi="Arial Narrow"/>
          </w:rPr>
          <w:fldChar w:fldCharType="end"/>
        </w:r>
      </w:sdtContent>
    </w:sdt>
  </w:p>
  <w:p w14:paraId="01F6AB9D" w14:textId="77777777" w:rsidR="0043714F" w:rsidRDefault="0043714F" w:rsidP="006C31D7">
    <w:pPr>
      <w:pStyle w:val="Encabezado"/>
      <w:jc w:val="right"/>
    </w:pPr>
    <w:proofErr w:type="spellStart"/>
    <w:r>
      <w:t>Exp</w:t>
    </w:r>
    <w:proofErr w:type="spellEnd"/>
    <w:r>
      <w:t>. 1301/2025/3</w:t>
    </w:r>
  </w:p>
  <w:p w14:paraId="6F225949" w14:textId="77777777" w:rsidR="0043714F" w:rsidRDefault="0043714F" w:rsidP="006C31D7">
    <w:pPr>
      <w:pStyle w:val="Encabezado"/>
      <w:jc w:val="right"/>
    </w:pPr>
  </w:p>
  <w:p w14:paraId="13C828A8" w14:textId="77777777" w:rsidR="0043714F" w:rsidRPr="00062CBC" w:rsidRDefault="0043714F" w:rsidP="006C31D7">
    <w:pPr>
      <w:pStyle w:val="Encabezado"/>
      <w:jc w:val="right"/>
    </w:pPr>
    <w:r>
      <w:rPr>
        <w:noProof/>
        <w:lang w:eastAsia="es-MX"/>
      </w:rPr>
      <mc:AlternateContent>
        <mc:Choice Requires="wps">
          <w:drawing>
            <wp:anchor distT="0" distB="0" distL="114300" distR="114300" simplePos="0" relativeHeight="251660288" behindDoc="1" locked="0" layoutInCell="1" allowOverlap="1" wp14:anchorId="57530812" wp14:editId="276970EF">
              <wp:simplePos x="0" y="0"/>
              <wp:positionH relativeFrom="column">
                <wp:posOffset>-1362075</wp:posOffset>
              </wp:positionH>
              <wp:positionV relativeFrom="paragraph">
                <wp:posOffset>133350</wp:posOffset>
              </wp:positionV>
              <wp:extent cx="1257300" cy="1866900"/>
              <wp:effectExtent l="0" t="0" r="0" b="0"/>
              <wp:wrapNone/>
              <wp:docPr id="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4E02A" w14:textId="77777777" w:rsidR="0043714F" w:rsidRPr="00AA6DA7" w:rsidRDefault="0043714F" w:rsidP="006C31D7">
                          <w:pPr>
                            <w:spacing w:after="0" w:line="240" w:lineRule="auto"/>
                            <w:jc w:val="center"/>
                            <w:rPr>
                              <w:rFonts w:cs="Calibri"/>
                              <w:sz w:val="20"/>
                              <w:szCs w:val="20"/>
                            </w:rPr>
                          </w:pPr>
                          <w:r>
                            <w:rPr>
                              <w:rFonts w:cs="Calibri"/>
                              <w:noProof/>
                              <w:sz w:val="20"/>
                              <w:szCs w:val="20"/>
                              <w:lang w:eastAsia="es-MX"/>
                            </w:rPr>
                            <w:drawing>
                              <wp:inline distT="0" distB="0" distL="0" distR="0" wp14:anchorId="69CCEC47" wp14:editId="759143EF">
                                <wp:extent cx="952500" cy="95250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14:paraId="5EF8A5EA" w14:textId="77777777" w:rsidR="0043714F" w:rsidRDefault="0043714F" w:rsidP="006C31D7">
                          <w:pPr>
                            <w:pStyle w:val="Sinespaciado"/>
                            <w:jc w:val="center"/>
                            <w:rPr>
                              <w:rFonts w:ascii="Microsoft Sans Serif" w:hAnsi="Microsoft Sans Serif" w:cs="Microsoft Sans Serif"/>
                              <w:sz w:val="14"/>
                              <w:szCs w:val="14"/>
                            </w:rPr>
                          </w:pPr>
                        </w:p>
                        <w:p w14:paraId="0401E91D"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14:paraId="5858AE9D" w14:textId="77777777" w:rsidR="0043714F" w:rsidRPr="00AF006C" w:rsidRDefault="0043714F" w:rsidP="006C31D7">
                          <w:pPr>
                            <w:pStyle w:val="Sinespaciado"/>
                            <w:jc w:val="center"/>
                            <w:rPr>
                              <w:rFonts w:ascii="Microsoft Sans Serif" w:hAnsi="Microsoft Sans Serif" w:cs="Microsoft Sans Serif"/>
                              <w:b/>
                              <w:sz w:val="16"/>
                              <w:szCs w:val="16"/>
                            </w:rPr>
                          </w:pPr>
                        </w:p>
                        <w:p w14:paraId="5D2F95E6"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7530812" id="_x0000_t202" coordsize="21600,21600" o:spt="202" path="m,l,21600r21600,l21600,xe">
              <v:stroke joinstyle="miter"/>
              <v:path gradientshapeok="t" o:connecttype="rect"/>
            </v:shapetype>
            <v:shape id="Cuadro de texto 11" o:spid="_x0000_s1026" type="#_x0000_t202" style="position:absolute;left:0;text-align:left;margin-left:-107.25pt;margin-top:10.5pt;width:99pt;height:1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" stroked="f">
              <v:textbox>
                <w:txbxContent>
                  <w:p w14:paraId="5E64E02A" w14:textId="77777777" w:rsidR="0043714F" w:rsidRPr="00AA6DA7" w:rsidRDefault="0043714F" w:rsidP="006C31D7">
                    <w:pPr>
                      <w:spacing w:after="0" w:line="240" w:lineRule="auto"/>
                      <w:jc w:val="center"/>
                      <w:rPr>
                        <w:rFonts w:cs="Calibri"/>
                        <w:sz w:val="20"/>
                        <w:szCs w:val="20"/>
                      </w:rPr>
                    </w:pPr>
                    <w:r>
                      <w:rPr>
                        <w:rFonts w:cs="Calibri"/>
                        <w:noProof/>
                        <w:sz w:val="20"/>
                        <w:szCs w:val="20"/>
                        <w:lang w:eastAsia="es-MX"/>
                      </w:rPr>
                      <w:drawing>
                        <wp:inline distT="0" distB="0" distL="0" distR="0" wp14:anchorId="69CCEC47" wp14:editId="759143EF">
                          <wp:extent cx="952500" cy="95250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14:paraId="5EF8A5EA" w14:textId="77777777" w:rsidR="0043714F" w:rsidRDefault="0043714F" w:rsidP="006C31D7">
                    <w:pPr>
                      <w:pStyle w:val="Sinespaciado"/>
                      <w:jc w:val="center"/>
                      <w:rPr>
                        <w:rFonts w:ascii="Microsoft Sans Serif" w:hAnsi="Microsoft Sans Serif" w:cs="Microsoft Sans Serif"/>
                        <w:sz w:val="14"/>
                        <w:szCs w:val="14"/>
                      </w:rPr>
                    </w:pPr>
                  </w:p>
                  <w:p w14:paraId="0401E91D"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14:paraId="5858AE9D" w14:textId="77777777" w:rsidR="0043714F" w:rsidRPr="00AF006C" w:rsidRDefault="0043714F" w:rsidP="006C31D7">
                    <w:pPr>
                      <w:pStyle w:val="Sinespaciado"/>
                      <w:jc w:val="center"/>
                      <w:rPr>
                        <w:rFonts w:ascii="Microsoft Sans Serif" w:hAnsi="Microsoft Sans Serif" w:cs="Microsoft Sans Serif"/>
                        <w:b/>
                        <w:sz w:val="16"/>
                        <w:szCs w:val="16"/>
                      </w:rPr>
                    </w:pPr>
                  </w:p>
                  <w:p w14:paraId="5D2F95E6"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DDAD9" w14:textId="77777777" w:rsidR="0043714F" w:rsidRPr="004A456E" w:rsidRDefault="0043714F" w:rsidP="006C31D7">
    <w:pPr>
      <w:pStyle w:val="Encabezado"/>
      <w:tabs>
        <w:tab w:val="clear" w:pos="4419"/>
        <w:tab w:val="clear" w:pos="8838"/>
        <w:tab w:val="left" w:pos="1503"/>
      </w:tabs>
    </w:pPr>
    <w:r>
      <w:rPr>
        <w:noProof/>
        <w:lang w:eastAsia="es-MX"/>
      </w:rPr>
      <mc:AlternateContent>
        <mc:Choice Requires="wps">
          <w:drawing>
            <wp:anchor distT="0" distB="0" distL="114300" distR="114300" simplePos="0" relativeHeight="251659264" behindDoc="1" locked="0" layoutInCell="1" allowOverlap="1" wp14:anchorId="131E44DD" wp14:editId="0B448311">
              <wp:simplePos x="0" y="0"/>
              <wp:positionH relativeFrom="column">
                <wp:posOffset>-1362075</wp:posOffset>
              </wp:positionH>
              <wp:positionV relativeFrom="paragraph">
                <wp:posOffset>133350</wp:posOffset>
              </wp:positionV>
              <wp:extent cx="1257300" cy="186690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2022B" w14:textId="77777777" w:rsidR="0043714F" w:rsidRPr="00AA6DA7" w:rsidRDefault="0043714F" w:rsidP="006C31D7">
                          <w:pPr>
                            <w:spacing w:after="0" w:line="240" w:lineRule="auto"/>
                            <w:jc w:val="center"/>
                            <w:rPr>
                              <w:rFonts w:cs="Calibri"/>
                              <w:sz w:val="20"/>
                              <w:szCs w:val="20"/>
                            </w:rPr>
                          </w:pPr>
                          <w:r>
                            <w:rPr>
                              <w:rFonts w:cs="Calibri"/>
                              <w:noProof/>
                              <w:sz w:val="20"/>
                              <w:szCs w:val="20"/>
                              <w:lang w:eastAsia="es-MX"/>
                            </w:rPr>
                            <w:drawing>
                              <wp:inline distT="0" distB="0" distL="0" distR="0" wp14:anchorId="60E80BC7" wp14:editId="4118B71F">
                                <wp:extent cx="952500" cy="952500"/>
                                <wp:effectExtent l="0" t="0" r="0" b="0"/>
                                <wp:docPr id="3" name="Imagen 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14:paraId="05BA1B58" w14:textId="77777777" w:rsidR="0043714F" w:rsidRDefault="0043714F" w:rsidP="006C31D7">
                          <w:pPr>
                            <w:pStyle w:val="Sinespaciado"/>
                            <w:jc w:val="center"/>
                            <w:rPr>
                              <w:rFonts w:ascii="Microsoft Sans Serif" w:hAnsi="Microsoft Sans Serif" w:cs="Microsoft Sans Serif"/>
                              <w:sz w:val="14"/>
                              <w:szCs w:val="14"/>
                            </w:rPr>
                          </w:pPr>
                        </w:p>
                        <w:p w14:paraId="4FB7ABDA"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14:paraId="54489C77" w14:textId="77777777" w:rsidR="0043714F" w:rsidRPr="00AF006C" w:rsidRDefault="0043714F" w:rsidP="006C31D7">
                          <w:pPr>
                            <w:pStyle w:val="Sinespaciado"/>
                            <w:jc w:val="center"/>
                            <w:rPr>
                              <w:rFonts w:ascii="Microsoft Sans Serif" w:hAnsi="Microsoft Sans Serif" w:cs="Microsoft Sans Serif"/>
                              <w:b/>
                              <w:sz w:val="16"/>
                              <w:szCs w:val="16"/>
                            </w:rPr>
                          </w:pPr>
                        </w:p>
                        <w:p w14:paraId="00A76C02"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31E44DD" id="_x0000_t202" coordsize="21600,21600" o:spt="202" path="m,l,21600r21600,l21600,xe">
              <v:stroke joinstyle="miter"/>
              <v:path gradientshapeok="t" o:connecttype="rect"/>
            </v:shapetype>
            <v:shape id="_x0000_s1027" type="#_x0000_t202" style="position:absolute;margin-left:-107.25pt;margin-top:10.5pt;width:99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" stroked="f">
              <v:textbox>
                <w:txbxContent>
                  <w:p w14:paraId="7A22022B" w14:textId="77777777" w:rsidR="0043714F" w:rsidRPr="00AA6DA7" w:rsidRDefault="0043714F" w:rsidP="006C31D7">
                    <w:pPr>
                      <w:spacing w:after="0" w:line="240" w:lineRule="auto"/>
                      <w:jc w:val="center"/>
                      <w:rPr>
                        <w:rFonts w:cs="Calibri"/>
                        <w:sz w:val="20"/>
                        <w:szCs w:val="20"/>
                      </w:rPr>
                    </w:pPr>
                    <w:r>
                      <w:rPr>
                        <w:rFonts w:cs="Calibri"/>
                        <w:noProof/>
                        <w:sz w:val="20"/>
                        <w:szCs w:val="20"/>
                        <w:lang w:eastAsia="es-MX"/>
                      </w:rPr>
                      <w:drawing>
                        <wp:inline distT="0" distB="0" distL="0" distR="0" wp14:anchorId="60E80BC7" wp14:editId="4118B71F">
                          <wp:extent cx="952500" cy="952500"/>
                          <wp:effectExtent l="0" t="0" r="0" b="0"/>
                          <wp:docPr id="3" name="Imagen 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solidFill>
                                    <a:srgbClr val="000000"/>
                                  </a:solidFill>
                                  <a:ln>
                                    <a:noFill/>
                                  </a:ln>
                                </pic:spPr>
                              </pic:pic>
                            </a:graphicData>
                          </a:graphic>
                        </wp:inline>
                      </w:drawing>
                    </w:r>
                  </w:p>
                  <w:p w14:paraId="05BA1B58" w14:textId="77777777" w:rsidR="0043714F" w:rsidRDefault="0043714F" w:rsidP="006C31D7">
                    <w:pPr>
                      <w:pStyle w:val="Sinespaciado"/>
                      <w:jc w:val="center"/>
                      <w:rPr>
                        <w:rFonts w:ascii="Microsoft Sans Serif" w:hAnsi="Microsoft Sans Serif" w:cs="Microsoft Sans Serif"/>
                        <w:sz w:val="14"/>
                        <w:szCs w:val="14"/>
                      </w:rPr>
                    </w:pPr>
                  </w:p>
                  <w:p w14:paraId="4FB7ABDA"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TRIBUNAL ESTATAL DE JUSTICIA ADMINISTRATIVA</w:t>
                    </w:r>
                  </w:p>
                  <w:p w14:paraId="54489C77" w14:textId="77777777" w:rsidR="0043714F" w:rsidRPr="00AF006C" w:rsidRDefault="0043714F" w:rsidP="006C31D7">
                    <w:pPr>
                      <w:pStyle w:val="Sinespaciado"/>
                      <w:jc w:val="center"/>
                      <w:rPr>
                        <w:rFonts w:ascii="Microsoft Sans Serif" w:hAnsi="Microsoft Sans Serif" w:cs="Microsoft Sans Serif"/>
                        <w:b/>
                        <w:sz w:val="16"/>
                        <w:szCs w:val="16"/>
                      </w:rPr>
                    </w:pPr>
                  </w:p>
                  <w:p w14:paraId="00A76C02" w14:textId="77777777" w:rsidR="0043714F" w:rsidRPr="00AF006C" w:rsidRDefault="0043714F" w:rsidP="006C31D7">
                    <w:pPr>
                      <w:pStyle w:val="Sinespaciado"/>
                      <w:jc w:val="center"/>
                      <w:rPr>
                        <w:rFonts w:ascii="Microsoft Sans Serif" w:hAnsi="Microsoft Sans Serif" w:cs="Microsoft Sans Serif"/>
                        <w:b/>
                        <w:sz w:val="16"/>
                        <w:szCs w:val="16"/>
                      </w:rPr>
                    </w:pPr>
                    <w:r w:rsidRPr="00AF006C">
                      <w:rPr>
                        <w:rFonts w:ascii="Microsoft Sans Serif" w:hAnsi="Microsoft Sans Serif" w:cs="Microsoft Sans Serif"/>
                        <w:b/>
                        <w:sz w:val="16"/>
                        <w:szCs w:val="16"/>
                      </w:rPr>
                      <w:t>San Luis Potosí</w:t>
                    </w:r>
                  </w:p>
                </w:txbxContent>
              </v:textbox>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179D2"/>
    <w:multiLevelType w:val="hybridMultilevel"/>
    <w:tmpl w:val="1214D6F0"/>
    <w:lvl w:ilvl="0" w:tplc="1E48F11A">
      <w:start w:val="1"/>
      <w:numFmt w:val="upperLetter"/>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
    <w:nsid w:val="6671578F"/>
    <w:multiLevelType w:val="hybridMultilevel"/>
    <w:tmpl w:val="AC72FC0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nsid w:val="67DA6C60"/>
    <w:multiLevelType w:val="hybridMultilevel"/>
    <w:tmpl w:val="E9BC71E4"/>
    <w:lvl w:ilvl="0" w:tplc="E2D6F26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nsid w:val="793F4584"/>
    <w:multiLevelType w:val="multilevel"/>
    <w:tmpl w:val="14323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E85D8E"/>
    <w:multiLevelType w:val="multilevel"/>
    <w:tmpl w:val="BA24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732"/>
    <w:rsid w:val="000008FD"/>
    <w:rsid w:val="00001D37"/>
    <w:rsid w:val="000062CC"/>
    <w:rsid w:val="00010BF6"/>
    <w:rsid w:val="00011470"/>
    <w:rsid w:val="00016397"/>
    <w:rsid w:val="00024A62"/>
    <w:rsid w:val="00024FD5"/>
    <w:rsid w:val="00026D57"/>
    <w:rsid w:val="00027306"/>
    <w:rsid w:val="00027B76"/>
    <w:rsid w:val="000347F0"/>
    <w:rsid w:val="00037F2F"/>
    <w:rsid w:val="00046EF9"/>
    <w:rsid w:val="00062DF7"/>
    <w:rsid w:val="000633A8"/>
    <w:rsid w:val="00075546"/>
    <w:rsid w:val="0007703B"/>
    <w:rsid w:val="00077050"/>
    <w:rsid w:val="00080367"/>
    <w:rsid w:val="00095184"/>
    <w:rsid w:val="000A14CA"/>
    <w:rsid w:val="000A61A8"/>
    <w:rsid w:val="000B577A"/>
    <w:rsid w:val="000B79D7"/>
    <w:rsid w:val="000C2624"/>
    <w:rsid w:val="000C7BE3"/>
    <w:rsid w:val="000D208D"/>
    <w:rsid w:val="000D2ACB"/>
    <w:rsid w:val="000D6AE9"/>
    <w:rsid w:val="000E0664"/>
    <w:rsid w:val="000E36D0"/>
    <w:rsid w:val="000E4236"/>
    <w:rsid w:val="000F55A0"/>
    <w:rsid w:val="000F55E5"/>
    <w:rsid w:val="000F563A"/>
    <w:rsid w:val="0010407D"/>
    <w:rsid w:val="00104B1A"/>
    <w:rsid w:val="001051B8"/>
    <w:rsid w:val="00106160"/>
    <w:rsid w:val="001103B7"/>
    <w:rsid w:val="001116E0"/>
    <w:rsid w:val="0012255E"/>
    <w:rsid w:val="00122694"/>
    <w:rsid w:val="00123119"/>
    <w:rsid w:val="0012426E"/>
    <w:rsid w:val="00124D3F"/>
    <w:rsid w:val="00132C5E"/>
    <w:rsid w:val="00141BDA"/>
    <w:rsid w:val="00143AD5"/>
    <w:rsid w:val="00147131"/>
    <w:rsid w:val="001513B0"/>
    <w:rsid w:val="0015348A"/>
    <w:rsid w:val="0015406F"/>
    <w:rsid w:val="001552E9"/>
    <w:rsid w:val="001568C2"/>
    <w:rsid w:val="001647D4"/>
    <w:rsid w:val="001724EA"/>
    <w:rsid w:val="00174AE8"/>
    <w:rsid w:val="001756C7"/>
    <w:rsid w:val="00182238"/>
    <w:rsid w:val="00185197"/>
    <w:rsid w:val="00187196"/>
    <w:rsid w:val="00191BFA"/>
    <w:rsid w:val="001966E9"/>
    <w:rsid w:val="001A00E5"/>
    <w:rsid w:val="001A0C73"/>
    <w:rsid w:val="001A17BC"/>
    <w:rsid w:val="001B6F68"/>
    <w:rsid w:val="001C30FC"/>
    <w:rsid w:val="001C5DD0"/>
    <w:rsid w:val="001D436A"/>
    <w:rsid w:val="001E2A1E"/>
    <w:rsid w:val="001E44EA"/>
    <w:rsid w:val="001F346E"/>
    <w:rsid w:val="001F5379"/>
    <w:rsid w:val="001F58B9"/>
    <w:rsid w:val="002018B9"/>
    <w:rsid w:val="002030B7"/>
    <w:rsid w:val="00203BF4"/>
    <w:rsid w:val="00204A18"/>
    <w:rsid w:val="0020561A"/>
    <w:rsid w:val="00212578"/>
    <w:rsid w:val="00213E0F"/>
    <w:rsid w:val="002141FD"/>
    <w:rsid w:val="00217715"/>
    <w:rsid w:val="002210D4"/>
    <w:rsid w:val="00226CA5"/>
    <w:rsid w:val="00227530"/>
    <w:rsid w:val="002360D1"/>
    <w:rsid w:val="00240476"/>
    <w:rsid w:val="00245AAE"/>
    <w:rsid w:val="00246CCC"/>
    <w:rsid w:val="00250921"/>
    <w:rsid w:val="00252D6D"/>
    <w:rsid w:val="00254C32"/>
    <w:rsid w:val="00267C4B"/>
    <w:rsid w:val="0028063E"/>
    <w:rsid w:val="00281468"/>
    <w:rsid w:val="00281DA3"/>
    <w:rsid w:val="00283E25"/>
    <w:rsid w:val="00284960"/>
    <w:rsid w:val="00286C50"/>
    <w:rsid w:val="00286C5D"/>
    <w:rsid w:val="00286EBB"/>
    <w:rsid w:val="00294AB2"/>
    <w:rsid w:val="002A046D"/>
    <w:rsid w:val="002A1B75"/>
    <w:rsid w:val="002A1CC9"/>
    <w:rsid w:val="002A2320"/>
    <w:rsid w:val="002A3A3A"/>
    <w:rsid w:val="002B28B4"/>
    <w:rsid w:val="002B44A7"/>
    <w:rsid w:val="002C1822"/>
    <w:rsid w:val="002D046F"/>
    <w:rsid w:val="002D192E"/>
    <w:rsid w:val="002D2E40"/>
    <w:rsid w:val="002D2EB4"/>
    <w:rsid w:val="002D60E5"/>
    <w:rsid w:val="002D65E6"/>
    <w:rsid w:val="002D7984"/>
    <w:rsid w:val="002F4A4A"/>
    <w:rsid w:val="002F69F6"/>
    <w:rsid w:val="00303C14"/>
    <w:rsid w:val="00306B34"/>
    <w:rsid w:val="003127FF"/>
    <w:rsid w:val="00315136"/>
    <w:rsid w:val="00323E4F"/>
    <w:rsid w:val="003260B7"/>
    <w:rsid w:val="0033030F"/>
    <w:rsid w:val="00331463"/>
    <w:rsid w:val="00335DBB"/>
    <w:rsid w:val="00347CAD"/>
    <w:rsid w:val="00347F68"/>
    <w:rsid w:val="003564A1"/>
    <w:rsid w:val="0035659A"/>
    <w:rsid w:val="00362AC9"/>
    <w:rsid w:val="00362D52"/>
    <w:rsid w:val="00363C99"/>
    <w:rsid w:val="0037316F"/>
    <w:rsid w:val="00376698"/>
    <w:rsid w:val="0038254A"/>
    <w:rsid w:val="00386B51"/>
    <w:rsid w:val="00391F21"/>
    <w:rsid w:val="003927AD"/>
    <w:rsid w:val="00392C38"/>
    <w:rsid w:val="003A174E"/>
    <w:rsid w:val="003B05A3"/>
    <w:rsid w:val="003B0BF5"/>
    <w:rsid w:val="003B15F5"/>
    <w:rsid w:val="003B74AF"/>
    <w:rsid w:val="003C166C"/>
    <w:rsid w:val="003C1BBB"/>
    <w:rsid w:val="003C2BFA"/>
    <w:rsid w:val="003C3639"/>
    <w:rsid w:val="003C4984"/>
    <w:rsid w:val="003C5691"/>
    <w:rsid w:val="003C5ECB"/>
    <w:rsid w:val="003D3615"/>
    <w:rsid w:val="003D524B"/>
    <w:rsid w:val="003D60DB"/>
    <w:rsid w:val="003D6CB9"/>
    <w:rsid w:val="003D7B14"/>
    <w:rsid w:val="003E3C9A"/>
    <w:rsid w:val="003E614F"/>
    <w:rsid w:val="003E6285"/>
    <w:rsid w:val="003F2D8A"/>
    <w:rsid w:val="003F7773"/>
    <w:rsid w:val="00421392"/>
    <w:rsid w:val="004223EF"/>
    <w:rsid w:val="0042711F"/>
    <w:rsid w:val="004271F5"/>
    <w:rsid w:val="004312C6"/>
    <w:rsid w:val="0043714F"/>
    <w:rsid w:val="00440D5B"/>
    <w:rsid w:val="00443F4A"/>
    <w:rsid w:val="00451AE7"/>
    <w:rsid w:val="004557A0"/>
    <w:rsid w:val="0046199E"/>
    <w:rsid w:val="0046749D"/>
    <w:rsid w:val="004737C4"/>
    <w:rsid w:val="0047402D"/>
    <w:rsid w:val="00477877"/>
    <w:rsid w:val="00480ADB"/>
    <w:rsid w:val="004829EF"/>
    <w:rsid w:val="00482E1F"/>
    <w:rsid w:val="0048388D"/>
    <w:rsid w:val="00484D1E"/>
    <w:rsid w:val="00484D75"/>
    <w:rsid w:val="00490590"/>
    <w:rsid w:val="004931AF"/>
    <w:rsid w:val="004A3F45"/>
    <w:rsid w:val="004B3C1E"/>
    <w:rsid w:val="004C788C"/>
    <w:rsid w:val="004C7F99"/>
    <w:rsid w:val="004D3471"/>
    <w:rsid w:val="004D532E"/>
    <w:rsid w:val="004E7E2F"/>
    <w:rsid w:val="00511BCA"/>
    <w:rsid w:val="00512CB5"/>
    <w:rsid w:val="005131AF"/>
    <w:rsid w:val="00513355"/>
    <w:rsid w:val="00513ED5"/>
    <w:rsid w:val="00520A21"/>
    <w:rsid w:val="00526F42"/>
    <w:rsid w:val="00527216"/>
    <w:rsid w:val="00527354"/>
    <w:rsid w:val="00540083"/>
    <w:rsid w:val="00547E58"/>
    <w:rsid w:val="00552861"/>
    <w:rsid w:val="00560165"/>
    <w:rsid w:val="00564906"/>
    <w:rsid w:val="00573A0B"/>
    <w:rsid w:val="00580CB9"/>
    <w:rsid w:val="0058224D"/>
    <w:rsid w:val="00582291"/>
    <w:rsid w:val="005822AD"/>
    <w:rsid w:val="005961FD"/>
    <w:rsid w:val="005B4D15"/>
    <w:rsid w:val="005B56AA"/>
    <w:rsid w:val="005B6196"/>
    <w:rsid w:val="005B7F2F"/>
    <w:rsid w:val="005C4C02"/>
    <w:rsid w:val="005D0BBF"/>
    <w:rsid w:val="005D0CAD"/>
    <w:rsid w:val="005D2DFD"/>
    <w:rsid w:val="005E12F2"/>
    <w:rsid w:val="005E6666"/>
    <w:rsid w:val="005E7792"/>
    <w:rsid w:val="005F1BFC"/>
    <w:rsid w:val="005F1F18"/>
    <w:rsid w:val="00600BF1"/>
    <w:rsid w:val="006145AB"/>
    <w:rsid w:val="00615BB4"/>
    <w:rsid w:val="00622660"/>
    <w:rsid w:val="0062520A"/>
    <w:rsid w:val="006333A1"/>
    <w:rsid w:val="0064007F"/>
    <w:rsid w:val="00641E6E"/>
    <w:rsid w:val="006426E6"/>
    <w:rsid w:val="006458E3"/>
    <w:rsid w:val="00651DF0"/>
    <w:rsid w:val="00651E7C"/>
    <w:rsid w:val="00662D57"/>
    <w:rsid w:val="00672550"/>
    <w:rsid w:val="00673FA3"/>
    <w:rsid w:val="00681FA2"/>
    <w:rsid w:val="00683305"/>
    <w:rsid w:val="00684069"/>
    <w:rsid w:val="00692AA0"/>
    <w:rsid w:val="006A1D74"/>
    <w:rsid w:val="006A3B16"/>
    <w:rsid w:val="006C1566"/>
    <w:rsid w:val="006C23B6"/>
    <w:rsid w:val="006C25C7"/>
    <w:rsid w:val="006C31D7"/>
    <w:rsid w:val="006D2EC1"/>
    <w:rsid w:val="006D4083"/>
    <w:rsid w:val="006D7D8E"/>
    <w:rsid w:val="006E4E23"/>
    <w:rsid w:val="006E6B25"/>
    <w:rsid w:val="006E7727"/>
    <w:rsid w:val="006F002C"/>
    <w:rsid w:val="006F4FDA"/>
    <w:rsid w:val="006F5977"/>
    <w:rsid w:val="006F5A17"/>
    <w:rsid w:val="007109ED"/>
    <w:rsid w:val="00711D15"/>
    <w:rsid w:val="00712156"/>
    <w:rsid w:val="007174D5"/>
    <w:rsid w:val="00717B62"/>
    <w:rsid w:val="007201BE"/>
    <w:rsid w:val="00721172"/>
    <w:rsid w:val="00721CA4"/>
    <w:rsid w:val="00722033"/>
    <w:rsid w:val="00726694"/>
    <w:rsid w:val="007422BC"/>
    <w:rsid w:val="0075473D"/>
    <w:rsid w:val="007568F9"/>
    <w:rsid w:val="00756EBA"/>
    <w:rsid w:val="00777D5B"/>
    <w:rsid w:val="00780093"/>
    <w:rsid w:val="0078042C"/>
    <w:rsid w:val="00784237"/>
    <w:rsid w:val="00791660"/>
    <w:rsid w:val="00791707"/>
    <w:rsid w:val="00794E2A"/>
    <w:rsid w:val="00795BEC"/>
    <w:rsid w:val="007A4BF0"/>
    <w:rsid w:val="007A78E1"/>
    <w:rsid w:val="007B2BE5"/>
    <w:rsid w:val="007B7320"/>
    <w:rsid w:val="007C6F97"/>
    <w:rsid w:val="007D0CE4"/>
    <w:rsid w:val="007D1C05"/>
    <w:rsid w:val="007D4E8D"/>
    <w:rsid w:val="007D6094"/>
    <w:rsid w:val="007E4CEF"/>
    <w:rsid w:val="007E620F"/>
    <w:rsid w:val="007F2659"/>
    <w:rsid w:val="007F6693"/>
    <w:rsid w:val="00805F61"/>
    <w:rsid w:val="008146F0"/>
    <w:rsid w:val="00814E4D"/>
    <w:rsid w:val="00816964"/>
    <w:rsid w:val="008217AB"/>
    <w:rsid w:val="008334AE"/>
    <w:rsid w:val="0083536B"/>
    <w:rsid w:val="00840EBD"/>
    <w:rsid w:val="00850C3A"/>
    <w:rsid w:val="0085279D"/>
    <w:rsid w:val="008536E9"/>
    <w:rsid w:val="00853D7F"/>
    <w:rsid w:val="008542F4"/>
    <w:rsid w:val="00855205"/>
    <w:rsid w:val="0085590B"/>
    <w:rsid w:val="0086075F"/>
    <w:rsid w:val="0086414A"/>
    <w:rsid w:val="0087143D"/>
    <w:rsid w:val="00877C38"/>
    <w:rsid w:val="0088214D"/>
    <w:rsid w:val="008A038F"/>
    <w:rsid w:val="008A12A4"/>
    <w:rsid w:val="008A4A1C"/>
    <w:rsid w:val="008A5141"/>
    <w:rsid w:val="008A5630"/>
    <w:rsid w:val="008B4F80"/>
    <w:rsid w:val="008B5E9F"/>
    <w:rsid w:val="008C431B"/>
    <w:rsid w:val="008C53B3"/>
    <w:rsid w:val="008D40AB"/>
    <w:rsid w:val="008F2521"/>
    <w:rsid w:val="008F47D9"/>
    <w:rsid w:val="008F602D"/>
    <w:rsid w:val="00913643"/>
    <w:rsid w:val="0092483C"/>
    <w:rsid w:val="0092606E"/>
    <w:rsid w:val="009304EB"/>
    <w:rsid w:val="00930D60"/>
    <w:rsid w:val="009359AD"/>
    <w:rsid w:val="009370DC"/>
    <w:rsid w:val="00944C38"/>
    <w:rsid w:val="00952F5D"/>
    <w:rsid w:val="00957154"/>
    <w:rsid w:val="00962A22"/>
    <w:rsid w:val="00964901"/>
    <w:rsid w:val="00964B83"/>
    <w:rsid w:val="00967489"/>
    <w:rsid w:val="0097199F"/>
    <w:rsid w:val="00976276"/>
    <w:rsid w:val="00980E3D"/>
    <w:rsid w:val="0098219A"/>
    <w:rsid w:val="00984017"/>
    <w:rsid w:val="00987132"/>
    <w:rsid w:val="009A0938"/>
    <w:rsid w:val="009A2D77"/>
    <w:rsid w:val="009A3DA1"/>
    <w:rsid w:val="009B05B0"/>
    <w:rsid w:val="009B59B3"/>
    <w:rsid w:val="009C2ABF"/>
    <w:rsid w:val="009C7441"/>
    <w:rsid w:val="009D1433"/>
    <w:rsid w:val="009D2AE1"/>
    <w:rsid w:val="009E1199"/>
    <w:rsid w:val="009E42D1"/>
    <w:rsid w:val="009E464D"/>
    <w:rsid w:val="009E5BA5"/>
    <w:rsid w:val="00A00F59"/>
    <w:rsid w:val="00A05FB5"/>
    <w:rsid w:val="00A11205"/>
    <w:rsid w:val="00A17CDB"/>
    <w:rsid w:val="00A21FFB"/>
    <w:rsid w:val="00A2316C"/>
    <w:rsid w:val="00A23E6D"/>
    <w:rsid w:val="00A2531C"/>
    <w:rsid w:val="00A33B02"/>
    <w:rsid w:val="00A357CD"/>
    <w:rsid w:val="00A3596B"/>
    <w:rsid w:val="00A373CC"/>
    <w:rsid w:val="00A378E0"/>
    <w:rsid w:val="00A46575"/>
    <w:rsid w:val="00A46C48"/>
    <w:rsid w:val="00A51479"/>
    <w:rsid w:val="00A617A2"/>
    <w:rsid w:val="00A61D82"/>
    <w:rsid w:val="00A64BAB"/>
    <w:rsid w:val="00A6698C"/>
    <w:rsid w:val="00A67E80"/>
    <w:rsid w:val="00A67F19"/>
    <w:rsid w:val="00A720DA"/>
    <w:rsid w:val="00A73665"/>
    <w:rsid w:val="00A74D76"/>
    <w:rsid w:val="00A76346"/>
    <w:rsid w:val="00A82623"/>
    <w:rsid w:val="00A85F0F"/>
    <w:rsid w:val="00A9175D"/>
    <w:rsid w:val="00A94C63"/>
    <w:rsid w:val="00A9700C"/>
    <w:rsid w:val="00A978C2"/>
    <w:rsid w:val="00AA439C"/>
    <w:rsid w:val="00AB093B"/>
    <w:rsid w:val="00AD1CAA"/>
    <w:rsid w:val="00AD44B4"/>
    <w:rsid w:val="00AD558F"/>
    <w:rsid w:val="00AE17FA"/>
    <w:rsid w:val="00AE3626"/>
    <w:rsid w:val="00AF2B88"/>
    <w:rsid w:val="00AF3590"/>
    <w:rsid w:val="00AF7E03"/>
    <w:rsid w:val="00B03247"/>
    <w:rsid w:val="00B05C3D"/>
    <w:rsid w:val="00B20AC7"/>
    <w:rsid w:val="00B23724"/>
    <w:rsid w:val="00B34D9D"/>
    <w:rsid w:val="00B37127"/>
    <w:rsid w:val="00B37F43"/>
    <w:rsid w:val="00B42398"/>
    <w:rsid w:val="00B458FB"/>
    <w:rsid w:val="00B47A4B"/>
    <w:rsid w:val="00B47EFA"/>
    <w:rsid w:val="00B5319A"/>
    <w:rsid w:val="00B63BD4"/>
    <w:rsid w:val="00B64D28"/>
    <w:rsid w:val="00B66A1F"/>
    <w:rsid w:val="00B80C6A"/>
    <w:rsid w:val="00B86C9B"/>
    <w:rsid w:val="00B90CAE"/>
    <w:rsid w:val="00B91EC7"/>
    <w:rsid w:val="00BA0B33"/>
    <w:rsid w:val="00BB050E"/>
    <w:rsid w:val="00BB5784"/>
    <w:rsid w:val="00BB6206"/>
    <w:rsid w:val="00BC1F35"/>
    <w:rsid w:val="00BC29C3"/>
    <w:rsid w:val="00BD3BE0"/>
    <w:rsid w:val="00BD4589"/>
    <w:rsid w:val="00BD4AD5"/>
    <w:rsid w:val="00BE4E8B"/>
    <w:rsid w:val="00BF2CB6"/>
    <w:rsid w:val="00BF33A4"/>
    <w:rsid w:val="00BF482A"/>
    <w:rsid w:val="00BF4C78"/>
    <w:rsid w:val="00C00FA9"/>
    <w:rsid w:val="00C03E7D"/>
    <w:rsid w:val="00C058C4"/>
    <w:rsid w:val="00C06373"/>
    <w:rsid w:val="00C23517"/>
    <w:rsid w:val="00C37F5C"/>
    <w:rsid w:val="00C40AED"/>
    <w:rsid w:val="00C44B10"/>
    <w:rsid w:val="00C47377"/>
    <w:rsid w:val="00C47727"/>
    <w:rsid w:val="00C544E2"/>
    <w:rsid w:val="00C61AF1"/>
    <w:rsid w:val="00C70000"/>
    <w:rsid w:val="00C72853"/>
    <w:rsid w:val="00C732C6"/>
    <w:rsid w:val="00C75F19"/>
    <w:rsid w:val="00C81C2A"/>
    <w:rsid w:val="00C93551"/>
    <w:rsid w:val="00CA0CB5"/>
    <w:rsid w:val="00CA17FA"/>
    <w:rsid w:val="00CB38E3"/>
    <w:rsid w:val="00CB407A"/>
    <w:rsid w:val="00CB4634"/>
    <w:rsid w:val="00CB479C"/>
    <w:rsid w:val="00CB5430"/>
    <w:rsid w:val="00CC5CED"/>
    <w:rsid w:val="00CD03DC"/>
    <w:rsid w:val="00CE01DE"/>
    <w:rsid w:val="00CE161F"/>
    <w:rsid w:val="00CE3FC6"/>
    <w:rsid w:val="00CF6227"/>
    <w:rsid w:val="00CF6FA6"/>
    <w:rsid w:val="00D10049"/>
    <w:rsid w:val="00D10FCE"/>
    <w:rsid w:val="00D15777"/>
    <w:rsid w:val="00D20A40"/>
    <w:rsid w:val="00D30180"/>
    <w:rsid w:val="00D302F2"/>
    <w:rsid w:val="00D338F5"/>
    <w:rsid w:val="00D424C7"/>
    <w:rsid w:val="00D43C8A"/>
    <w:rsid w:val="00D46F25"/>
    <w:rsid w:val="00D61062"/>
    <w:rsid w:val="00D62AE6"/>
    <w:rsid w:val="00D71327"/>
    <w:rsid w:val="00D74108"/>
    <w:rsid w:val="00D82E74"/>
    <w:rsid w:val="00D84F67"/>
    <w:rsid w:val="00D92328"/>
    <w:rsid w:val="00DA13C5"/>
    <w:rsid w:val="00DA19DF"/>
    <w:rsid w:val="00DA3639"/>
    <w:rsid w:val="00DA424E"/>
    <w:rsid w:val="00DB2878"/>
    <w:rsid w:val="00DD0D0F"/>
    <w:rsid w:val="00DD2BA5"/>
    <w:rsid w:val="00DD33AF"/>
    <w:rsid w:val="00DD3C53"/>
    <w:rsid w:val="00DE6732"/>
    <w:rsid w:val="00DF19C0"/>
    <w:rsid w:val="00DF467F"/>
    <w:rsid w:val="00DF4E4D"/>
    <w:rsid w:val="00E012B4"/>
    <w:rsid w:val="00E14279"/>
    <w:rsid w:val="00E15976"/>
    <w:rsid w:val="00E219E8"/>
    <w:rsid w:val="00E235CA"/>
    <w:rsid w:val="00E26F99"/>
    <w:rsid w:val="00E30947"/>
    <w:rsid w:val="00E415F1"/>
    <w:rsid w:val="00E42691"/>
    <w:rsid w:val="00E42AD0"/>
    <w:rsid w:val="00E431C0"/>
    <w:rsid w:val="00E5391F"/>
    <w:rsid w:val="00E54C89"/>
    <w:rsid w:val="00E54F9E"/>
    <w:rsid w:val="00E64EB7"/>
    <w:rsid w:val="00E6530A"/>
    <w:rsid w:val="00E666A2"/>
    <w:rsid w:val="00E66B45"/>
    <w:rsid w:val="00E70D9B"/>
    <w:rsid w:val="00E71477"/>
    <w:rsid w:val="00E75CA7"/>
    <w:rsid w:val="00E85B10"/>
    <w:rsid w:val="00E954FE"/>
    <w:rsid w:val="00EA01AB"/>
    <w:rsid w:val="00EA02F4"/>
    <w:rsid w:val="00EA2745"/>
    <w:rsid w:val="00EA5268"/>
    <w:rsid w:val="00EA661D"/>
    <w:rsid w:val="00EB3065"/>
    <w:rsid w:val="00EB4A8A"/>
    <w:rsid w:val="00EB6AA1"/>
    <w:rsid w:val="00EC1B28"/>
    <w:rsid w:val="00EC20A3"/>
    <w:rsid w:val="00EC29C0"/>
    <w:rsid w:val="00EC2CEB"/>
    <w:rsid w:val="00EC311D"/>
    <w:rsid w:val="00EC4E93"/>
    <w:rsid w:val="00EC6B8B"/>
    <w:rsid w:val="00ED0B8B"/>
    <w:rsid w:val="00ED485C"/>
    <w:rsid w:val="00EE2FB8"/>
    <w:rsid w:val="00EE4129"/>
    <w:rsid w:val="00EE60F9"/>
    <w:rsid w:val="00EE7B9D"/>
    <w:rsid w:val="00F044A9"/>
    <w:rsid w:val="00F157B9"/>
    <w:rsid w:val="00F244C9"/>
    <w:rsid w:val="00F25D23"/>
    <w:rsid w:val="00F3025A"/>
    <w:rsid w:val="00F312F9"/>
    <w:rsid w:val="00F314E1"/>
    <w:rsid w:val="00F3297D"/>
    <w:rsid w:val="00F36EC1"/>
    <w:rsid w:val="00F41790"/>
    <w:rsid w:val="00F433ED"/>
    <w:rsid w:val="00F47EE7"/>
    <w:rsid w:val="00F5260E"/>
    <w:rsid w:val="00F56FA3"/>
    <w:rsid w:val="00F57DAC"/>
    <w:rsid w:val="00F71661"/>
    <w:rsid w:val="00F72229"/>
    <w:rsid w:val="00F73EAF"/>
    <w:rsid w:val="00F80F15"/>
    <w:rsid w:val="00F90048"/>
    <w:rsid w:val="00F90C3F"/>
    <w:rsid w:val="00F927D8"/>
    <w:rsid w:val="00FA46B0"/>
    <w:rsid w:val="00FB0174"/>
    <w:rsid w:val="00FB09B9"/>
    <w:rsid w:val="00FB22C7"/>
    <w:rsid w:val="00FB752F"/>
    <w:rsid w:val="00FC3329"/>
    <w:rsid w:val="00FE1570"/>
    <w:rsid w:val="00FE1F13"/>
    <w:rsid w:val="00FE5842"/>
    <w:rsid w:val="00FF2879"/>
    <w:rsid w:val="00FF2F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CEB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67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6732"/>
  </w:style>
  <w:style w:type="paragraph" w:styleId="Sinespaciado">
    <w:name w:val="No Spacing"/>
    <w:link w:val="SinespaciadoCar"/>
    <w:uiPriority w:val="1"/>
    <w:qFormat/>
    <w:rsid w:val="00DE673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E6732"/>
    <w:rPr>
      <w:rFonts w:ascii="Calibri" w:eastAsia="Calibri" w:hAnsi="Calibri" w:cs="Times New Roman"/>
    </w:rPr>
  </w:style>
  <w:style w:type="paragraph" w:styleId="Textonotapie">
    <w:name w:val="footnote text"/>
    <w:aliases w:val="Footnote Text Char Char Char Char Char,Footnote Text Char Char Char Char,Footnote reference,FA Fu,FA Fu Car,Car Car Car Car Car Car Car,Car Car Car Car Car Car,Car2,Footnote Text Char Char Char,Ca,Footnote Text Cha,FA Fußnotentext,Car11"/>
    <w:basedOn w:val="Normal"/>
    <w:link w:val="TextonotapieCar"/>
    <w:qFormat/>
    <w:rsid w:val="00DE6732"/>
    <w:pPr>
      <w:spacing w:after="0" w:line="240" w:lineRule="auto"/>
    </w:pPr>
    <w:rPr>
      <w:rFonts w:ascii="Arial" w:eastAsia="Times New Roman" w:hAnsi="Arial" w:cs="Arial"/>
      <w:sz w:val="20"/>
      <w:szCs w:val="20"/>
      <w:lang w:val="es-ES" w:eastAsia="es-ES"/>
    </w:rPr>
  </w:style>
  <w:style w:type="character" w:customStyle="1" w:styleId="TextonotapieCar">
    <w:name w:val="Texto nota pie Car"/>
    <w:aliases w:val="Footnote Text Char Char Char Char Char Car,Footnote Text Char Char Char Char Car,Footnote reference Car,FA Fu Car1,FA Fu Car Car,Car Car Car Car Car Car Car Car,Car Car Car Car Car Car Car1,Car2 Car,Footnote Text Char Char Char Car"/>
    <w:basedOn w:val="Fuentedeprrafopredeter"/>
    <w:link w:val="Textonotapie"/>
    <w:rsid w:val="00DE6732"/>
    <w:rPr>
      <w:rFonts w:ascii="Arial" w:eastAsia="Times New Roman" w:hAnsi="Arial" w:cs="Arial"/>
      <w:sz w:val="20"/>
      <w:szCs w:val="20"/>
      <w:lang w:val="es-ES" w:eastAsia="es-ES"/>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Stinking Styles"/>
    <w:qFormat/>
    <w:rsid w:val="00DE6732"/>
    <w:rPr>
      <w:vertAlign w:val="superscript"/>
    </w:rPr>
  </w:style>
  <w:style w:type="paragraph" w:styleId="Textodeglobo">
    <w:name w:val="Balloon Text"/>
    <w:basedOn w:val="Normal"/>
    <w:link w:val="TextodegloboCar"/>
    <w:uiPriority w:val="99"/>
    <w:semiHidden/>
    <w:unhideWhenUsed/>
    <w:rsid w:val="00DE67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6732"/>
    <w:rPr>
      <w:rFonts w:ascii="Tahoma" w:hAnsi="Tahoma" w:cs="Tahoma"/>
      <w:sz w:val="16"/>
      <w:szCs w:val="16"/>
    </w:rPr>
  </w:style>
  <w:style w:type="paragraph" w:styleId="Piedepgina">
    <w:name w:val="footer"/>
    <w:basedOn w:val="Normal"/>
    <w:link w:val="PiedepginaCar"/>
    <w:uiPriority w:val="99"/>
    <w:unhideWhenUsed/>
    <w:rsid w:val="001C30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30FC"/>
  </w:style>
  <w:style w:type="paragraph" w:styleId="Prrafodelista">
    <w:name w:val="List Paragraph"/>
    <w:basedOn w:val="Normal"/>
    <w:uiPriority w:val="34"/>
    <w:qFormat/>
    <w:rsid w:val="00F80F15"/>
    <w:pPr>
      <w:ind w:left="720"/>
      <w:contextualSpacing/>
    </w:pPr>
  </w:style>
  <w:style w:type="paragraph" w:customStyle="1" w:styleId="Default">
    <w:name w:val="Default"/>
    <w:rsid w:val="008F47D9"/>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F433ED"/>
    <w:rPr>
      <w:color w:val="0000FF"/>
      <w:u w:val="single"/>
    </w:rPr>
  </w:style>
  <w:style w:type="character" w:customStyle="1" w:styleId="fw-bold">
    <w:name w:val="fw-bold"/>
    <w:basedOn w:val="Fuentedeprrafopredeter"/>
    <w:rsid w:val="00250921"/>
  </w:style>
  <w:style w:type="paragraph" w:customStyle="1" w:styleId="Texto">
    <w:name w:val="Texto"/>
    <w:basedOn w:val="Normal"/>
    <w:rsid w:val="00B42398"/>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B42398"/>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B42398"/>
    <w:rPr>
      <w:rFonts w:ascii="Courier New" w:eastAsia="Times New Roman" w:hAnsi="Courier New" w:cs="Times New Roman"/>
      <w:sz w:val="20"/>
      <w:szCs w:val="20"/>
      <w:lang w:val="x-none" w:eastAsia="es-ES"/>
    </w:rPr>
  </w:style>
  <w:style w:type="paragraph" w:styleId="Sangra2detindependiente">
    <w:name w:val="Body Text Indent 2"/>
    <w:basedOn w:val="Normal"/>
    <w:link w:val="Sangra2detindependienteCar"/>
    <w:rsid w:val="00B42398"/>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B42398"/>
    <w:rPr>
      <w:rFonts w:ascii="Arial" w:eastAsia="Times New Roman" w:hAnsi="Arial" w:cs="Arial"/>
      <w:sz w:val="20"/>
      <w:szCs w:val="24"/>
      <w:lang w:eastAsia="es-ES"/>
    </w:rPr>
  </w:style>
  <w:style w:type="paragraph" w:customStyle="1" w:styleId="z1qcye">
    <w:name w:val="z1qcye"/>
    <w:basedOn w:val="Normal"/>
    <w:rsid w:val="00363C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286pc">
    <w:name w:val="t286pc"/>
    <w:basedOn w:val="Fuentedeprrafopredeter"/>
    <w:rsid w:val="00363C99"/>
  </w:style>
  <w:style w:type="character" w:styleId="Textoennegrita">
    <w:name w:val="Strong"/>
    <w:basedOn w:val="Fuentedeprrafopredeter"/>
    <w:uiPriority w:val="22"/>
    <w:qFormat/>
    <w:rsid w:val="00363C99"/>
    <w:rPr>
      <w:b/>
      <w:bCs/>
    </w:rPr>
  </w:style>
  <w:style w:type="paragraph" w:customStyle="1" w:styleId="jydcyd">
    <w:name w:val="jydcyd"/>
    <w:basedOn w:val="Normal"/>
    <w:rsid w:val="00363C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vhj6pe">
    <w:name w:val="vhj6pe"/>
    <w:basedOn w:val="Fuentedeprrafopredeter"/>
    <w:rsid w:val="00363C99"/>
  </w:style>
  <w:style w:type="character" w:customStyle="1" w:styleId="r0r5r">
    <w:name w:val="r0r5r"/>
    <w:basedOn w:val="Fuentedeprrafopredeter"/>
    <w:rsid w:val="00363C99"/>
  </w:style>
  <w:style w:type="character" w:customStyle="1" w:styleId="zjr8l">
    <w:name w:val="zjr8l"/>
    <w:basedOn w:val="Fuentedeprrafopredeter"/>
    <w:rsid w:val="00363C99"/>
  </w:style>
  <w:style w:type="character" w:customStyle="1" w:styleId="UnresolvedMention">
    <w:name w:val="Unresolved Mention"/>
    <w:basedOn w:val="Fuentedeprrafopredeter"/>
    <w:uiPriority w:val="99"/>
    <w:semiHidden/>
    <w:unhideWhenUsed/>
    <w:rsid w:val="00C544E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67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6732"/>
  </w:style>
  <w:style w:type="paragraph" w:styleId="Sinespaciado">
    <w:name w:val="No Spacing"/>
    <w:link w:val="SinespaciadoCar"/>
    <w:uiPriority w:val="1"/>
    <w:qFormat/>
    <w:rsid w:val="00DE673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E6732"/>
    <w:rPr>
      <w:rFonts w:ascii="Calibri" w:eastAsia="Calibri" w:hAnsi="Calibri" w:cs="Times New Roman"/>
    </w:rPr>
  </w:style>
  <w:style w:type="paragraph" w:styleId="Textonotapie">
    <w:name w:val="footnote text"/>
    <w:aliases w:val="Footnote Text Char Char Char Char Char,Footnote Text Char Char Char Char,Footnote reference,FA Fu,FA Fu Car,Car Car Car Car Car Car Car,Car Car Car Car Car Car,Car2,Footnote Text Char Char Char,Ca,Footnote Text Cha,FA Fußnotentext,Car11"/>
    <w:basedOn w:val="Normal"/>
    <w:link w:val="TextonotapieCar"/>
    <w:qFormat/>
    <w:rsid w:val="00DE6732"/>
    <w:pPr>
      <w:spacing w:after="0" w:line="240" w:lineRule="auto"/>
    </w:pPr>
    <w:rPr>
      <w:rFonts w:ascii="Arial" w:eastAsia="Times New Roman" w:hAnsi="Arial" w:cs="Arial"/>
      <w:sz w:val="20"/>
      <w:szCs w:val="20"/>
      <w:lang w:val="es-ES" w:eastAsia="es-ES"/>
    </w:rPr>
  </w:style>
  <w:style w:type="character" w:customStyle="1" w:styleId="TextonotapieCar">
    <w:name w:val="Texto nota pie Car"/>
    <w:aliases w:val="Footnote Text Char Char Char Char Char Car,Footnote Text Char Char Char Char Car,Footnote reference Car,FA Fu Car1,FA Fu Car Car,Car Car Car Car Car Car Car Car,Car Car Car Car Car Car Car1,Car2 Car,Footnote Text Char Char Char Car"/>
    <w:basedOn w:val="Fuentedeprrafopredeter"/>
    <w:link w:val="Textonotapie"/>
    <w:rsid w:val="00DE6732"/>
    <w:rPr>
      <w:rFonts w:ascii="Arial" w:eastAsia="Times New Roman" w:hAnsi="Arial" w:cs="Arial"/>
      <w:sz w:val="20"/>
      <w:szCs w:val="20"/>
      <w:lang w:val="es-ES" w:eastAsia="es-ES"/>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Stinking Styles"/>
    <w:qFormat/>
    <w:rsid w:val="00DE6732"/>
    <w:rPr>
      <w:vertAlign w:val="superscript"/>
    </w:rPr>
  </w:style>
  <w:style w:type="paragraph" w:styleId="Textodeglobo">
    <w:name w:val="Balloon Text"/>
    <w:basedOn w:val="Normal"/>
    <w:link w:val="TextodegloboCar"/>
    <w:uiPriority w:val="99"/>
    <w:semiHidden/>
    <w:unhideWhenUsed/>
    <w:rsid w:val="00DE67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6732"/>
    <w:rPr>
      <w:rFonts w:ascii="Tahoma" w:hAnsi="Tahoma" w:cs="Tahoma"/>
      <w:sz w:val="16"/>
      <w:szCs w:val="16"/>
    </w:rPr>
  </w:style>
  <w:style w:type="paragraph" w:styleId="Piedepgina">
    <w:name w:val="footer"/>
    <w:basedOn w:val="Normal"/>
    <w:link w:val="PiedepginaCar"/>
    <w:uiPriority w:val="99"/>
    <w:unhideWhenUsed/>
    <w:rsid w:val="001C30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30FC"/>
  </w:style>
  <w:style w:type="paragraph" w:styleId="Prrafodelista">
    <w:name w:val="List Paragraph"/>
    <w:basedOn w:val="Normal"/>
    <w:uiPriority w:val="34"/>
    <w:qFormat/>
    <w:rsid w:val="00F80F15"/>
    <w:pPr>
      <w:ind w:left="720"/>
      <w:contextualSpacing/>
    </w:pPr>
  </w:style>
  <w:style w:type="paragraph" w:customStyle="1" w:styleId="Default">
    <w:name w:val="Default"/>
    <w:rsid w:val="008F47D9"/>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F433ED"/>
    <w:rPr>
      <w:color w:val="0000FF"/>
      <w:u w:val="single"/>
    </w:rPr>
  </w:style>
  <w:style w:type="character" w:customStyle="1" w:styleId="fw-bold">
    <w:name w:val="fw-bold"/>
    <w:basedOn w:val="Fuentedeprrafopredeter"/>
    <w:rsid w:val="00250921"/>
  </w:style>
  <w:style w:type="paragraph" w:customStyle="1" w:styleId="Texto">
    <w:name w:val="Texto"/>
    <w:basedOn w:val="Normal"/>
    <w:rsid w:val="00B42398"/>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B42398"/>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B42398"/>
    <w:rPr>
      <w:rFonts w:ascii="Courier New" w:eastAsia="Times New Roman" w:hAnsi="Courier New" w:cs="Times New Roman"/>
      <w:sz w:val="20"/>
      <w:szCs w:val="20"/>
      <w:lang w:val="x-none" w:eastAsia="es-ES"/>
    </w:rPr>
  </w:style>
  <w:style w:type="paragraph" w:styleId="Sangra2detindependiente">
    <w:name w:val="Body Text Indent 2"/>
    <w:basedOn w:val="Normal"/>
    <w:link w:val="Sangra2detindependienteCar"/>
    <w:rsid w:val="00B42398"/>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B42398"/>
    <w:rPr>
      <w:rFonts w:ascii="Arial" w:eastAsia="Times New Roman" w:hAnsi="Arial" w:cs="Arial"/>
      <w:sz w:val="20"/>
      <w:szCs w:val="24"/>
      <w:lang w:eastAsia="es-ES"/>
    </w:rPr>
  </w:style>
  <w:style w:type="paragraph" w:customStyle="1" w:styleId="z1qcye">
    <w:name w:val="z1qcye"/>
    <w:basedOn w:val="Normal"/>
    <w:rsid w:val="00363C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286pc">
    <w:name w:val="t286pc"/>
    <w:basedOn w:val="Fuentedeprrafopredeter"/>
    <w:rsid w:val="00363C99"/>
  </w:style>
  <w:style w:type="character" w:styleId="Textoennegrita">
    <w:name w:val="Strong"/>
    <w:basedOn w:val="Fuentedeprrafopredeter"/>
    <w:uiPriority w:val="22"/>
    <w:qFormat/>
    <w:rsid w:val="00363C99"/>
    <w:rPr>
      <w:b/>
      <w:bCs/>
    </w:rPr>
  </w:style>
  <w:style w:type="paragraph" w:customStyle="1" w:styleId="jydcyd">
    <w:name w:val="jydcyd"/>
    <w:basedOn w:val="Normal"/>
    <w:rsid w:val="00363C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vhj6pe">
    <w:name w:val="vhj6pe"/>
    <w:basedOn w:val="Fuentedeprrafopredeter"/>
    <w:rsid w:val="00363C99"/>
  </w:style>
  <w:style w:type="character" w:customStyle="1" w:styleId="r0r5r">
    <w:name w:val="r0r5r"/>
    <w:basedOn w:val="Fuentedeprrafopredeter"/>
    <w:rsid w:val="00363C99"/>
  </w:style>
  <w:style w:type="character" w:customStyle="1" w:styleId="zjr8l">
    <w:name w:val="zjr8l"/>
    <w:basedOn w:val="Fuentedeprrafopredeter"/>
    <w:rsid w:val="00363C99"/>
  </w:style>
  <w:style w:type="character" w:customStyle="1" w:styleId="UnresolvedMention">
    <w:name w:val="Unresolved Mention"/>
    <w:basedOn w:val="Fuentedeprrafopredeter"/>
    <w:uiPriority w:val="99"/>
    <w:semiHidden/>
    <w:unhideWhenUsed/>
    <w:rsid w:val="00C54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030052">
      <w:bodyDiv w:val="1"/>
      <w:marLeft w:val="0"/>
      <w:marRight w:val="0"/>
      <w:marTop w:val="0"/>
      <w:marBottom w:val="0"/>
      <w:divBdr>
        <w:top w:val="none" w:sz="0" w:space="0" w:color="auto"/>
        <w:left w:val="none" w:sz="0" w:space="0" w:color="auto"/>
        <w:bottom w:val="none" w:sz="0" w:space="0" w:color="auto"/>
        <w:right w:val="none" w:sz="0" w:space="0" w:color="auto"/>
      </w:divBdr>
      <w:divsChild>
        <w:div w:id="1056395850">
          <w:marLeft w:val="0"/>
          <w:marRight w:val="0"/>
          <w:marTop w:val="0"/>
          <w:marBottom w:val="0"/>
          <w:divBdr>
            <w:top w:val="none" w:sz="0" w:space="0" w:color="auto"/>
            <w:left w:val="none" w:sz="0" w:space="0" w:color="auto"/>
            <w:bottom w:val="none" w:sz="0" w:space="0" w:color="auto"/>
            <w:right w:val="none" w:sz="0" w:space="0" w:color="auto"/>
          </w:divBdr>
          <w:divsChild>
            <w:div w:id="1199464800">
              <w:marLeft w:val="0"/>
              <w:marRight w:val="0"/>
              <w:marTop w:val="0"/>
              <w:marBottom w:val="0"/>
              <w:divBdr>
                <w:top w:val="none" w:sz="0" w:space="0" w:color="auto"/>
                <w:left w:val="none" w:sz="0" w:space="0" w:color="auto"/>
                <w:bottom w:val="none" w:sz="0" w:space="0" w:color="auto"/>
                <w:right w:val="none" w:sz="0" w:space="0" w:color="auto"/>
              </w:divBdr>
              <w:divsChild>
                <w:div w:id="1072964672">
                  <w:marLeft w:val="0"/>
                  <w:marRight w:val="0"/>
                  <w:marTop w:val="0"/>
                  <w:marBottom w:val="0"/>
                  <w:divBdr>
                    <w:top w:val="none" w:sz="0" w:space="0" w:color="auto"/>
                    <w:left w:val="none" w:sz="0" w:space="0" w:color="auto"/>
                    <w:bottom w:val="none" w:sz="0" w:space="0" w:color="auto"/>
                    <w:right w:val="none" w:sz="0" w:space="0" w:color="auto"/>
                  </w:divBdr>
                  <w:divsChild>
                    <w:div w:id="1936204314">
                      <w:marLeft w:val="0"/>
                      <w:marRight w:val="0"/>
                      <w:marTop w:val="0"/>
                      <w:marBottom w:val="0"/>
                      <w:divBdr>
                        <w:top w:val="none" w:sz="0" w:space="0" w:color="auto"/>
                        <w:left w:val="none" w:sz="0" w:space="0" w:color="auto"/>
                        <w:bottom w:val="none" w:sz="0" w:space="0" w:color="auto"/>
                        <w:right w:val="none" w:sz="0" w:space="0" w:color="auto"/>
                      </w:divBdr>
                      <w:divsChild>
                        <w:div w:id="1207570369">
                          <w:marLeft w:val="0"/>
                          <w:marRight w:val="0"/>
                          <w:marTop w:val="0"/>
                          <w:marBottom w:val="0"/>
                          <w:divBdr>
                            <w:top w:val="none" w:sz="0" w:space="0" w:color="auto"/>
                            <w:left w:val="none" w:sz="0" w:space="0" w:color="auto"/>
                            <w:bottom w:val="none" w:sz="0" w:space="0" w:color="auto"/>
                            <w:right w:val="none" w:sz="0" w:space="0" w:color="auto"/>
                          </w:divBdr>
                          <w:divsChild>
                            <w:div w:id="95176220">
                              <w:marLeft w:val="0"/>
                              <w:marRight w:val="0"/>
                              <w:marTop w:val="0"/>
                              <w:marBottom w:val="0"/>
                              <w:divBdr>
                                <w:top w:val="none" w:sz="0" w:space="0" w:color="auto"/>
                                <w:left w:val="none" w:sz="0" w:space="0" w:color="auto"/>
                                <w:bottom w:val="none" w:sz="0" w:space="0" w:color="auto"/>
                                <w:right w:val="none" w:sz="0" w:space="0" w:color="auto"/>
                              </w:divBdr>
                              <w:divsChild>
                                <w:div w:id="785734059">
                                  <w:marLeft w:val="0"/>
                                  <w:marRight w:val="0"/>
                                  <w:marTop w:val="0"/>
                                  <w:marBottom w:val="0"/>
                                  <w:divBdr>
                                    <w:top w:val="none" w:sz="0" w:space="0" w:color="auto"/>
                                    <w:left w:val="none" w:sz="0" w:space="0" w:color="auto"/>
                                    <w:bottom w:val="none" w:sz="0" w:space="0" w:color="auto"/>
                                    <w:right w:val="none" w:sz="0" w:space="0" w:color="auto"/>
                                  </w:divBdr>
                                  <w:divsChild>
                                    <w:div w:id="1691646048">
                                      <w:marLeft w:val="0"/>
                                      <w:marRight w:val="0"/>
                                      <w:marTop w:val="0"/>
                                      <w:marBottom w:val="0"/>
                                      <w:divBdr>
                                        <w:top w:val="none" w:sz="0" w:space="0" w:color="auto"/>
                                        <w:left w:val="none" w:sz="0" w:space="0" w:color="auto"/>
                                        <w:bottom w:val="none" w:sz="0" w:space="0" w:color="auto"/>
                                        <w:right w:val="none" w:sz="0" w:space="0" w:color="auto"/>
                                      </w:divBdr>
                                      <w:divsChild>
                                        <w:div w:id="681512920">
                                          <w:marLeft w:val="0"/>
                                          <w:marRight w:val="0"/>
                                          <w:marTop w:val="0"/>
                                          <w:marBottom w:val="0"/>
                                          <w:divBdr>
                                            <w:top w:val="none" w:sz="0" w:space="0" w:color="auto"/>
                                            <w:left w:val="none" w:sz="0" w:space="0" w:color="auto"/>
                                            <w:bottom w:val="none" w:sz="0" w:space="0" w:color="auto"/>
                                            <w:right w:val="none" w:sz="0" w:space="0" w:color="auto"/>
                                          </w:divBdr>
                                          <w:divsChild>
                                            <w:div w:id="257253998">
                                              <w:marLeft w:val="0"/>
                                              <w:marRight w:val="0"/>
                                              <w:marTop w:val="0"/>
                                              <w:marBottom w:val="0"/>
                                              <w:divBdr>
                                                <w:top w:val="none" w:sz="0" w:space="0" w:color="auto"/>
                                                <w:left w:val="none" w:sz="0" w:space="0" w:color="auto"/>
                                                <w:bottom w:val="none" w:sz="0" w:space="0" w:color="auto"/>
                                                <w:right w:val="none" w:sz="0" w:space="0" w:color="auto"/>
                                              </w:divBdr>
                                              <w:divsChild>
                                                <w:div w:id="1623729699">
                                                  <w:marLeft w:val="0"/>
                                                  <w:marRight w:val="0"/>
                                                  <w:marTop w:val="0"/>
                                                  <w:marBottom w:val="0"/>
                                                  <w:divBdr>
                                                    <w:top w:val="none" w:sz="0" w:space="0" w:color="auto"/>
                                                    <w:left w:val="none" w:sz="0" w:space="0" w:color="auto"/>
                                                    <w:bottom w:val="none" w:sz="0" w:space="0" w:color="auto"/>
                                                    <w:right w:val="none" w:sz="0" w:space="0" w:color="auto"/>
                                                  </w:divBdr>
                                                  <w:divsChild>
                                                    <w:div w:id="415518788">
                                                      <w:marLeft w:val="0"/>
                                                      <w:marRight w:val="0"/>
                                                      <w:marTop w:val="0"/>
                                                      <w:marBottom w:val="0"/>
                                                      <w:divBdr>
                                                        <w:top w:val="none" w:sz="0" w:space="0" w:color="auto"/>
                                                        <w:left w:val="none" w:sz="0" w:space="0" w:color="auto"/>
                                                        <w:bottom w:val="none" w:sz="0" w:space="0" w:color="auto"/>
                                                        <w:right w:val="none" w:sz="0" w:space="0" w:color="auto"/>
                                                      </w:divBdr>
                                                      <w:divsChild>
                                                        <w:div w:id="1393231953">
                                                          <w:marLeft w:val="0"/>
                                                          <w:marRight w:val="0"/>
                                                          <w:marTop w:val="0"/>
                                                          <w:marBottom w:val="0"/>
                                                          <w:divBdr>
                                                            <w:top w:val="none" w:sz="0" w:space="0" w:color="auto"/>
                                                            <w:left w:val="none" w:sz="0" w:space="0" w:color="auto"/>
                                                            <w:bottom w:val="none" w:sz="0" w:space="0" w:color="auto"/>
                                                            <w:right w:val="none" w:sz="0" w:space="0" w:color="auto"/>
                                                          </w:divBdr>
                                                          <w:divsChild>
                                                            <w:div w:id="712845730">
                                                              <w:marLeft w:val="0"/>
                                                              <w:marRight w:val="0"/>
                                                              <w:marTop w:val="0"/>
                                                              <w:marBottom w:val="0"/>
                                                              <w:divBdr>
                                                                <w:top w:val="none" w:sz="0" w:space="0" w:color="auto"/>
                                                                <w:left w:val="none" w:sz="0" w:space="0" w:color="auto"/>
                                                                <w:bottom w:val="none" w:sz="0" w:space="0" w:color="auto"/>
                                                                <w:right w:val="none" w:sz="0" w:space="0" w:color="auto"/>
                                                              </w:divBdr>
                                                              <w:divsChild>
                                                                <w:div w:id="996306936">
                                                                  <w:marLeft w:val="0"/>
                                                                  <w:marRight w:val="0"/>
                                                                  <w:marTop w:val="0"/>
                                                                  <w:marBottom w:val="0"/>
                                                                  <w:divBdr>
                                                                    <w:top w:val="none" w:sz="0" w:space="0" w:color="auto"/>
                                                                    <w:left w:val="none" w:sz="0" w:space="0" w:color="auto"/>
                                                                    <w:bottom w:val="none" w:sz="0" w:space="0" w:color="auto"/>
                                                                    <w:right w:val="none" w:sz="0" w:space="0" w:color="auto"/>
                                                                  </w:divBdr>
                                                                  <w:divsChild>
                                                                    <w:div w:id="2096438419">
                                                                      <w:marLeft w:val="0"/>
                                                                      <w:marRight w:val="0"/>
                                                                      <w:marTop w:val="0"/>
                                                                      <w:marBottom w:val="0"/>
                                                                      <w:divBdr>
                                                                        <w:top w:val="none" w:sz="0" w:space="0" w:color="auto"/>
                                                                        <w:left w:val="none" w:sz="0" w:space="0" w:color="auto"/>
                                                                        <w:bottom w:val="none" w:sz="0" w:space="0" w:color="auto"/>
                                                                        <w:right w:val="none" w:sz="0" w:space="0" w:color="auto"/>
                                                                      </w:divBdr>
                                                                      <w:divsChild>
                                                                        <w:div w:id="1733776006">
                                                                          <w:marLeft w:val="0"/>
                                                                          <w:marRight w:val="0"/>
                                                                          <w:marTop w:val="0"/>
                                                                          <w:marBottom w:val="0"/>
                                                                          <w:divBdr>
                                                                            <w:top w:val="none" w:sz="0" w:space="0" w:color="auto"/>
                                                                            <w:left w:val="none" w:sz="0" w:space="0" w:color="auto"/>
                                                                            <w:bottom w:val="none" w:sz="0" w:space="0" w:color="auto"/>
                                                                            <w:right w:val="none" w:sz="0" w:space="0" w:color="auto"/>
                                                                          </w:divBdr>
                                                                          <w:divsChild>
                                                                            <w:div w:id="247470011">
                                                                              <w:marLeft w:val="0"/>
                                                                              <w:marRight w:val="0"/>
                                                                              <w:marTop w:val="0"/>
                                                                              <w:marBottom w:val="0"/>
                                                                              <w:divBdr>
                                                                                <w:top w:val="none" w:sz="0" w:space="0" w:color="auto"/>
                                                                                <w:left w:val="none" w:sz="0" w:space="0" w:color="auto"/>
                                                                                <w:bottom w:val="none" w:sz="0" w:space="0" w:color="auto"/>
                                                                                <w:right w:val="none" w:sz="0" w:space="0" w:color="auto"/>
                                                                              </w:divBdr>
                                                                              <w:divsChild>
                                                                                <w:div w:id="1124809836">
                                                                                  <w:marLeft w:val="0"/>
                                                                                  <w:marRight w:val="0"/>
                                                                                  <w:marTop w:val="0"/>
                                                                                  <w:marBottom w:val="0"/>
                                                                                  <w:divBdr>
                                                                                    <w:top w:val="none" w:sz="0" w:space="0" w:color="auto"/>
                                                                                    <w:left w:val="none" w:sz="0" w:space="0" w:color="auto"/>
                                                                                    <w:bottom w:val="none" w:sz="0" w:space="0" w:color="auto"/>
                                                                                    <w:right w:val="none" w:sz="0" w:space="0" w:color="auto"/>
                                                                                  </w:divBdr>
                                                                                  <w:divsChild>
                                                                                    <w:div w:id="618876687">
                                                                                      <w:marLeft w:val="0"/>
                                                                                      <w:marRight w:val="0"/>
                                                                                      <w:marTop w:val="0"/>
                                                                                      <w:marBottom w:val="0"/>
                                                                                      <w:divBdr>
                                                                                        <w:top w:val="none" w:sz="0" w:space="0" w:color="auto"/>
                                                                                        <w:left w:val="none" w:sz="0" w:space="0" w:color="auto"/>
                                                                                        <w:bottom w:val="none" w:sz="0" w:space="0" w:color="auto"/>
                                                                                        <w:right w:val="none" w:sz="0" w:space="0" w:color="auto"/>
                                                                                      </w:divBdr>
                                                                                      <w:divsChild>
                                                                                        <w:div w:id="734863730">
                                                                                          <w:marLeft w:val="0"/>
                                                                                          <w:marRight w:val="0"/>
                                                                                          <w:marTop w:val="180"/>
                                                                                          <w:marBottom w:val="240"/>
                                                                                          <w:divBdr>
                                                                                            <w:top w:val="none" w:sz="0" w:space="0" w:color="auto"/>
                                                                                            <w:left w:val="none" w:sz="0" w:space="0" w:color="auto"/>
                                                                                            <w:bottom w:val="none" w:sz="0" w:space="0" w:color="auto"/>
                                                                                            <w:right w:val="none" w:sz="0" w:space="0" w:color="auto"/>
                                                                                          </w:divBdr>
                                                                                        </w:div>
                                                                                      </w:divsChild>
                                                                                    </w:div>
                                                                                    <w:div w:id="389352591">
                                                                                      <w:marLeft w:val="0"/>
                                                                                      <w:marRight w:val="0"/>
                                                                                      <w:marTop w:val="0"/>
                                                                                      <w:marBottom w:val="0"/>
                                                                                      <w:divBdr>
                                                                                        <w:top w:val="none" w:sz="0" w:space="0" w:color="auto"/>
                                                                                        <w:left w:val="none" w:sz="0" w:space="0" w:color="auto"/>
                                                                                        <w:bottom w:val="none" w:sz="0" w:space="0" w:color="auto"/>
                                                                                        <w:right w:val="none" w:sz="0" w:space="0" w:color="auto"/>
                                                                                      </w:divBdr>
                                                                                      <w:divsChild>
                                                                                        <w:div w:id="32906319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307052031">
                                                                              <w:marLeft w:val="0"/>
                                                                              <w:marRight w:val="0"/>
                                                                              <w:marTop w:val="0"/>
                                                                              <w:marBottom w:val="0"/>
                                                                              <w:divBdr>
                                                                                <w:top w:val="none" w:sz="0" w:space="0" w:color="auto"/>
                                                                                <w:left w:val="none" w:sz="0" w:space="0" w:color="auto"/>
                                                                                <w:bottom w:val="none" w:sz="0" w:space="0" w:color="auto"/>
                                                                                <w:right w:val="none" w:sz="0" w:space="0" w:color="auto"/>
                                                                              </w:divBdr>
                                                                              <w:divsChild>
                                                                                <w:div w:id="458425411">
                                                                                  <w:marLeft w:val="0"/>
                                                                                  <w:marRight w:val="0"/>
                                                                                  <w:marTop w:val="0"/>
                                                                                  <w:marBottom w:val="0"/>
                                                                                  <w:divBdr>
                                                                                    <w:top w:val="none" w:sz="0" w:space="0" w:color="auto"/>
                                                                                    <w:left w:val="none" w:sz="0" w:space="0" w:color="auto"/>
                                                                                    <w:bottom w:val="none" w:sz="0" w:space="0" w:color="auto"/>
                                                                                    <w:right w:val="none" w:sz="0" w:space="0" w:color="auto"/>
                                                                                  </w:divBdr>
                                                                                  <w:divsChild>
                                                                                    <w:div w:id="155805684">
                                                                                      <w:marLeft w:val="0"/>
                                                                                      <w:marRight w:val="0"/>
                                                                                      <w:marTop w:val="0"/>
                                                                                      <w:marBottom w:val="0"/>
                                                                                      <w:divBdr>
                                                                                        <w:top w:val="none" w:sz="0" w:space="0" w:color="auto"/>
                                                                                        <w:left w:val="none" w:sz="0" w:space="0" w:color="auto"/>
                                                                                        <w:bottom w:val="none" w:sz="0" w:space="0" w:color="auto"/>
                                                                                        <w:right w:val="none" w:sz="0" w:space="0" w:color="auto"/>
                                                                                      </w:divBdr>
                                                                                      <w:divsChild>
                                                                                        <w:div w:id="353458222">
                                                                                          <w:marLeft w:val="0"/>
                                                                                          <w:marRight w:val="0"/>
                                                                                          <w:marTop w:val="0"/>
                                                                                          <w:marBottom w:val="0"/>
                                                                                          <w:divBdr>
                                                                                            <w:top w:val="none" w:sz="0" w:space="0" w:color="auto"/>
                                                                                            <w:left w:val="none" w:sz="0" w:space="0" w:color="auto"/>
                                                                                            <w:bottom w:val="none" w:sz="0" w:space="0" w:color="auto"/>
                                                                                            <w:right w:val="none" w:sz="0" w:space="0" w:color="auto"/>
                                                                                          </w:divBdr>
                                                                                          <w:divsChild>
                                                                                            <w:div w:id="2064865520">
                                                                                              <w:marLeft w:val="0"/>
                                                                                              <w:marRight w:val="0"/>
                                                                                              <w:marTop w:val="0"/>
                                                                                              <w:marBottom w:val="0"/>
                                                                                              <w:divBdr>
                                                                                                <w:top w:val="none" w:sz="0" w:space="0" w:color="auto"/>
                                                                                                <w:left w:val="none" w:sz="0" w:space="0" w:color="auto"/>
                                                                                                <w:bottom w:val="none" w:sz="0" w:space="0" w:color="auto"/>
                                                                                                <w:right w:val="none" w:sz="0" w:space="0" w:color="auto"/>
                                                                                              </w:divBdr>
                                                                                              <w:divsChild>
                                                                                                <w:div w:id="722023928">
                                                                                                  <w:marLeft w:val="0"/>
                                                                                                  <w:marRight w:val="0"/>
                                                                                                  <w:marTop w:val="0"/>
                                                                                                  <w:marBottom w:val="0"/>
                                                                                                  <w:divBdr>
                                                                                                    <w:top w:val="none" w:sz="0" w:space="0" w:color="auto"/>
                                                                                                    <w:left w:val="none" w:sz="0" w:space="0" w:color="auto"/>
                                                                                                    <w:bottom w:val="none" w:sz="0" w:space="0" w:color="auto"/>
                                                                                                    <w:right w:val="none" w:sz="0" w:space="0" w:color="auto"/>
                                                                                                  </w:divBdr>
                                                                                                  <w:divsChild>
                                                                                                    <w:div w:id="1744181475">
                                                                                                      <w:marLeft w:val="0"/>
                                                                                                      <w:marRight w:val="0"/>
                                                                                                      <w:marTop w:val="0"/>
                                                                                                      <w:marBottom w:val="0"/>
                                                                                                      <w:divBdr>
                                                                                                        <w:top w:val="none" w:sz="0" w:space="0" w:color="auto"/>
                                                                                                        <w:left w:val="none" w:sz="0" w:space="0" w:color="auto"/>
                                                                                                        <w:bottom w:val="none" w:sz="0" w:space="0" w:color="auto"/>
                                                                                                        <w:right w:val="none" w:sz="0" w:space="0" w:color="auto"/>
                                                                                                      </w:divBdr>
                                                                                                      <w:divsChild>
                                                                                                        <w:div w:id="823159441">
                                                                                                          <w:marLeft w:val="0"/>
                                                                                                          <w:marRight w:val="0"/>
                                                                                                          <w:marTop w:val="0"/>
                                                                                                          <w:marBottom w:val="0"/>
                                                                                                          <w:divBdr>
                                                                                                            <w:top w:val="none" w:sz="0" w:space="0" w:color="auto"/>
                                                                                                            <w:left w:val="none" w:sz="0" w:space="0" w:color="auto"/>
                                                                                                            <w:bottom w:val="none" w:sz="0" w:space="0" w:color="auto"/>
                                                                                                            <w:right w:val="none" w:sz="0" w:space="0" w:color="auto"/>
                                                                                                          </w:divBdr>
                                                                                                          <w:divsChild>
                                                                                                            <w:div w:id="8940449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55919964">
                                                                                                      <w:marLeft w:val="0"/>
                                                                                                      <w:marRight w:val="0"/>
                                                                                                      <w:marTop w:val="0"/>
                                                                                                      <w:marBottom w:val="0"/>
                                                                                                      <w:divBdr>
                                                                                                        <w:top w:val="none" w:sz="0" w:space="0" w:color="auto"/>
                                                                                                        <w:left w:val="none" w:sz="0" w:space="0" w:color="auto"/>
                                                                                                        <w:bottom w:val="none" w:sz="0" w:space="0" w:color="auto"/>
                                                                                                        <w:right w:val="none" w:sz="0" w:space="0" w:color="auto"/>
                                                                                                      </w:divBdr>
                                                                                                      <w:divsChild>
                                                                                                        <w:div w:id="1244603198">
                                                                                                          <w:marLeft w:val="0"/>
                                                                                                          <w:marRight w:val="0"/>
                                                                                                          <w:marTop w:val="0"/>
                                                                                                          <w:marBottom w:val="0"/>
                                                                                                          <w:divBdr>
                                                                                                            <w:top w:val="none" w:sz="0" w:space="0" w:color="auto"/>
                                                                                                            <w:left w:val="none" w:sz="0" w:space="0" w:color="auto"/>
                                                                                                            <w:bottom w:val="none" w:sz="0" w:space="0" w:color="auto"/>
                                                                                                            <w:right w:val="none" w:sz="0" w:space="0" w:color="auto"/>
                                                                                                          </w:divBdr>
                                                                                                          <w:divsChild>
                                                                                                            <w:div w:id="966744539">
                                                                                                              <w:marLeft w:val="0"/>
                                                                                                              <w:marRight w:val="0"/>
                                                                                                              <w:marTop w:val="0"/>
                                                                                                              <w:marBottom w:val="0"/>
                                                                                                              <w:divBdr>
                                                                                                                <w:top w:val="none" w:sz="0" w:space="0" w:color="auto"/>
                                                                                                                <w:left w:val="none" w:sz="0" w:space="0" w:color="auto"/>
                                                                                                                <w:bottom w:val="none" w:sz="0" w:space="0" w:color="auto"/>
                                                                                                                <w:right w:val="none" w:sz="0" w:space="0" w:color="auto"/>
                                                                                                              </w:divBdr>
                                                                                                            </w:div>
                                                                                                          </w:divsChild>
                                                                                                        </w:div>
                                                                                                        <w:div w:id="2111190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9670">
                                                                                              <w:marLeft w:val="0"/>
                                                                                              <w:marRight w:val="0"/>
                                                                                              <w:marTop w:val="0"/>
                                                                                              <w:marBottom w:val="0"/>
                                                                                              <w:divBdr>
                                                                                                <w:top w:val="none" w:sz="0" w:space="0" w:color="auto"/>
                                                                                                <w:left w:val="none" w:sz="0" w:space="0" w:color="auto"/>
                                                                                                <w:bottom w:val="none" w:sz="0" w:space="0" w:color="auto"/>
                                                                                                <w:right w:val="none" w:sz="0" w:space="0" w:color="auto"/>
                                                                                              </w:divBdr>
                                                                                              <w:divsChild>
                                                                                                <w:div w:id="1104611885">
                                                                                                  <w:marLeft w:val="0"/>
                                                                                                  <w:marRight w:val="0"/>
                                                                                                  <w:marTop w:val="0"/>
                                                                                                  <w:marBottom w:val="0"/>
                                                                                                  <w:divBdr>
                                                                                                    <w:top w:val="none" w:sz="0" w:space="0" w:color="auto"/>
                                                                                                    <w:left w:val="none" w:sz="0" w:space="0" w:color="auto"/>
                                                                                                    <w:bottom w:val="none" w:sz="0" w:space="0" w:color="auto"/>
                                                                                                    <w:right w:val="none" w:sz="0" w:space="0" w:color="auto"/>
                                                                                                  </w:divBdr>
                                                                                                  <w:divsChild>
                                                                                                    <w:div w:id="1959145025">
                                                                                                      <w:marLeft w:val="0"/>
                                                                                                      <w:marRight w:val="0"/>
                                                                                                      <w:marTop w:val="0"/>
                                                                                                      <w:marBottom w:val="0"/>
                                                                                                      <w:divBdr>
                                                                                                        <w:top w:val="none" w:sz="0" w:space="0" w:color="auto"/>
                                                                                                        <w:left w:val="none" w:sz="0" w:space="0" w:color="auto"/>
                                                                                                        <w:bottom w:val="none" w:sz="0" w:space="0" w:color="auto"/>
                                                                                                        <w:right w:val="none" w:sz="0" w:space="0" w:color="auto"/>
                                                                                                      </w:divBdr>
                                                                                                      <w:divsChild>
                                                                                                        <w:div w:id="1051423004">
                                                                                                          <w:marLeft w:val="0"/>
                                                                                                          <w:marRight w:val="0"/>
                                                                                                          <w:marTop w:val="0"/>
                                                                                                          <w:marBottom w:val="0"/>
                                                                                                          <w:divBdr>
                                                                                                            <w:top w:val="none" w:sz="0" w:space="0" w:color="auto"/>
                                                                                                            <w:left w:val="none" w:sz="0" w:space="0" w:color="auto"/>
                                                                                                            <w:bottom w:val="none" w:sz="0" w:space="0" w:color="auto"/>
                                                                                                            <w:right w:val="none" w:sz="0" w:space="0" w:color="auto"/>
                                                                                                          </w:divBdr>
                                                                                                          <w:divsChild>
                                                                                                            <w:div w:id="5931293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66300654">
                                                                                                      <w:marLeft w:val="0"/>
                                                                                                      <w:marRight w:val="0"/>
                                                                                                      <w:marTop w:val="0"/>
                                                                                                      <w:marBottom w:val="0"/>
                                                                                                      <w:divBdr>
                                                                                                        <w:top w:val="none" w:sz="0" w:space="0" w:color="auto"/>
                                                                                                        <w:left w:val="none" w:sz="0" w:space="0" w:color="auto"/>
                                                                                                        <w:bottom w:val="none" w:sz="0" w:space="0" w:color="auto"/>
                                                                                                        <w:right w:val="none" w:sz="0" w:space="0" w:color="auto"/>
                                                                                                      </w:divBdr>
                                                                                                      <w:divsChild>
                                                                                                        <w:div w:id="610162428">
                                                                                                          <w:marLeft w:val="0"/>
                                                                                                          <w:marRight w:val="0"/>
                                                                                                          <w:marTop w:val="0"/>
                                                                                                          <w:marBottom w:val="0"/>
                                                                                                          <w:divBdr>
                                                                                                            <w:top w:val="none" w:sz="0" w:space="0" w:color="auto"/>
                                                                                                            <w:left w:val="none" w:sz="0" w:space="0" w:color="auto"/>
                                                                                                            <w:bottom w:val="none" w:sz="0" w:space="0" w:color="auto"/>
                                                                                                            <w:right w:val="none" w:sz="0" w:space="0" w:color="auto"/>
                                                                                                          </w:divBdr>
                                                                                                          <w:divsChild>
                                                                                                            <w:div w:id="1988701004">
                                                                                                              <w:marLeft w:val="0"/>
                                                                                                              <w:marRight w:val="0"/>
                                                                                                              <w:marTop w:val="0"/>
                                                                                                              <w:marBottom w:val="0"/>
                                                                                                              <w:divBdr>
                                                                                                                <w:top w:val="none" w:sz="0" w:space="0" w:color="auto"/>
                                                                                                                <w:left w:val="none" w:sz="0" w:space="0" w:color="auto"/>
                                                                                                                <w:bottom w:val="none" w:sz="0" w:space="0" w:color="auto"/>
                                                                                                                <w:right w:val="none" w:sz="0" w:space="0" w:color="auto"/>
                                                                                                              </w:divBdr>
                                                                                                            </w:div>
                                                                                                          </w:divsChild>
                                                                                                        </w:div>
                                                                                                        <w:div w:id="3373902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7278">
                                                                                              <w:marLeft w:val="0"/>
                                                                                              <w:marRight w:val="0"/>
                                                                                              <w:marTop w:val="0"/>
                                                                                              <w:marBottom w:val="0"/>
                                                                                              <w:divBdr>
                                                                                                <w:top w:val="none" w:sz="0" w:space="0" w:color="auto"/>
                                                                                                <w:left w:val="none" w:sz="0" w:space="0" w:color="auto"/>
                                                                                                <w:bottom w:val="none" w:sz="0" w:space="0" w:color="auto"/>
                                                                                                <w:right w:val="none" w:sz="0" w:space="0" w:color="auto"/>
                                                                                              </w:divBdr>
                                                                                              <w:divsChild>
                                                                                                <w:div w:id="1349214175">
                                                                                                  <w:marLeft w:val="0"/>
                                                                                                  <w:marRight w:val="0"/>
                                                                                                  <w:marTop w:val="0"/>
                                                                                                  <w:marBottom w:val="0"/>
                                                                                                  <w:divBdr>
                                                                                                    <w:top w:val="none" w:sz="0" w:space="0" w:color="auto"/>
                                                                                                    <w:left w:val="none" w:sz="0" w:space="0" w:color="auto"/>
                                                                                                    <w:bottom w:val="none" w:sz="0" w:space="0" w:color="auto"/>
                                                                                                    <w:right w:val="none" w:sz="0" w:space="0" w:color="auto"/>
                                                                                                  </w:divBdr>
                                                                                                  <w:divsChild>
                                                                                                    <w:div w:id="825127659">
                                                                                                      <w:marLeft w:val="0"/>
                                                                                                      <w:marRight w:val="0"/>
                                                                                                      <w:marTop w:val="0"/>
                                                                                                      <w:marBottom w:val="0"/>
                                                                                                      <w:divBdr>
                                                                                                        <w:top w:val="none" w:sz="0" w:space="0" w:color="auto"/>
                                                                                                        <w:left w:val="none" w:sz="0" w:space="0" w:color="auto"/>
                                                                                                        <w:bottom w:val="none" w:sz="0" w:space="0" w:color="auto"/>
                                                                                                        <w:right w:val="none" w:sz="0" w:space="0" w:color="auto"/>
                                                                                                      </w:divBdr>
                                                                                                      <w:divsChild>
                                                                                                        <w:div w:id="2020424696">
                                                                                                          <w:marLeft w:val="0"/>
                                                                                                          <w:marRight w:val="0"/>
                                                                                                          <w:marTop w:val="0"/>
                                                                                                          <w:marBottom w:val="0"/>
                                                                                                          <w:divBdr>
                                                                                                            <w:top w:val="none" w:sz="0" w:space="0" w:color="auto"/>
                                                                                                            <w:left w:val="none" w:sz="0" w:space="0" w:color="auto"/>
                                                                                                            <w:bottom w:val="none" w:sz="0" w:space="0" w:color="auto"/>
                                                                                                            <w:right w:val="none" w:sz="0" w:space="0" w:color="auto"/>
                                                                                                          </w:divBdr>
                                                                                                          <w:divsChild>
                                                                                                            <w:div w:id="85330472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47531758">
                                                                                                      <w:marLeft w:val="0"/>
                                                                                                      <w:marRight w:val="0"/>
                                                                                                      <w:marTop w:val="0"/>
                                                                                                      <w:marBottom w:val="0"/>
                                                                                                      <w:divBdr>
                                                                                                        <w:top w:val="none" w:sz="0" w:space="0" w:color="auto"/>
                                                                                                        <w:left w:val="none" w:sz="0" w:space="0" w:color="auto"/>
                                                                                                        <w:bottom w:val="none" w:sz="0" w:space="0" w:color="auto"/>
                                                                                                        <w:right w:val="none" w:sz="0" w:space="0" w:color="auto"/>
                                                                                                      </w:divBdr>
                                                                                                      <w:divsChild>
                                                                                                        <w:div w:id="198516324">
                                                                                                          <w:marLeft w:val="0"/>
                                                                                                          <w:marRight w:val="0"/>
                                                                                                          <w:marTop w:val="0"/>
                                                                                                          <w:marBottom w:val="0"/>
                                                                                                          <w:divBdr>
                                                                                                            <w:top w:val="none" w:sz="0" w:space="0" w:color="auto"/>
                                                                                                            <w:left w:val="none" w:sz="0" w:space="0" w:color="auto"/>
                                                                                                            <w:bottom w:val="none" w:sz="0" w:space="0" w:color="auto"/>
                                                                                                            <w:right w:val="none" w:sz="0" w:space="0" w:color="auto"/>
                                                                                                          </w:divBdr>
                                                                                                          <w:divsChild>
                                                                                                            <w:div w:id="1288202358">
                                                                                                              <w:marLeft w:val="0"/>
                                                                                                              <w:marRight w:val="0"/>
                                                                                                              <w:marTop w:val="0"/>
                                                                                                              <w:marBottom w:val="0"/>
                                                                                                              <w:divBdr>
                                                                                                                <w:top w:val="none" w:sz="0" w:space="0" w:color="auto"/>
                                                                                                                <w:left w:val="none" w:sz="0" w:space="0" w:color="auto"/>
                                                                                                                <w:bottom w:val="none" w:sz="0" w:space="0" w:color="auto"/>
                                                                                                                <w:right w:val="none" w:sz="0" w:space="0" w:color="auto"/>
                                                                                                              </w:divBdr>
                                                                                                            </w:div>
                                                                                                          </w:divsChild>
                                                                                                        </w:div>
                                                                                                        <w:div w:id="208131913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20440">
                                                                                              <w:marLeft w:val="0"/>
                                                                                              <w:marRight w:val="0"/>
                                                                                              <w:marTop w:val="0"/>
                                                                                              <w:marBottom w:val="0"/>
                                                                                              <w:divBdr>
                                                                                                <w:top w:val="none" w:sz="0" w:space="0" w:color="auto"/>
                                                                                                <w:left w:val="none" w:sz="0" w:space="0" w:color="auto"/>
                                                                                                <w:bottom w:val="none" w:sz="0" w:space="0" w:color="auto"/>
                                                                                                <w:right w:val="none" w:sz="0" w:space="0" w:color="auto"/>
                                                                                              </w:divBdr>
                                                                                              <w:divsChild>
                                                                                                <w:div w:id="20485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672094">
              <w:marLeft w:val="0"/>
              <w:marRight w:val="0"/>
              <w:marTop w:val="0"/>
              <w:marBottom w:val="0"/>
              <w:divBdr>
                <w:top w:val="none" w:sz="0" w:space="0" w:color="auto"/>
                <w:left w:val="none" w:sz="0" w:space="0" w:color="auto"/>
                <w:bottom w:val="none" w:sz="0" w:space="0" w:color="auto"/>
                <w:right w:val="none" w:sz="0" w:space="0" w:color="auto"/>
              </w:divBdr>
              <w:divsChild>
                <w:div w:id="1927298973">
                  <w:marLeft w:val="0"/>
                  <w:marRight w:val="0"/>
                  <w:marTop w:val="0"/>
                  <w:marBottom w:val="0"/>
                  <w:divBdr>
                    <w:top w:val="none" w:sz="0" w:space="0" w:color="auto"/>
                    <w:left w:val="none" w:sz="0" w:space="0" w:color="auto"/>
                    <w:bottom w:val="none" w:sz="0" w:space="0" w:color="auto"/>
                    <w:right w:val="none" w:sz="0" w:space="0" w:color="auto"/>
                  </w:divBdr>
                  <w:divsChild>
                    <w:div w:id="1643080481">
                      <w:marLeft w:val="0"/>
                      <w:marRight w:val="0"/>
                      <w:marTop w:val="0"/>
                      <w:marBottom w:val="0"/>
                      <w:divBdr>
                        <w:top w:val="none" w:sz="0" w:space="0" w:color="auto"/>
                        <w:left w:val="none" w:sz="0" w:space="0" w:color="auto"/>
                        <w:bottom w:val="none" w:sz="0" w:space="0" w:color="auto"/>
                        <w:right w:val="none" w:sz="0" w:space="0" w:color="auto"/>
                      </w:divBdr>
                      <w:divsChild>
                        <w:div w:id="1423726147">
                          <w:marLeft w:val="0"/>
                          <w:marRight w:val="0"/>
                          <w:marTop w:val="0"/>
                          <w:marBottom w:val="0"/>
                          <w:divBdr>
                            <w:top w:val="none" w:sz="0" w:space="0" w:color="auto"/>
                            <w:left w:val="none" w:sz="0" w:space="0" w:color="auto"/>
                            <w:bottom w:val="none" w:sz="0" w:space="0" w:color="auto"/>
                            <w:right w:val="none" w:sz="0" w:space="0" w:color="auto"/>
                          </w:divBdr>
                          <w:divsChild>
                            <w:div w:id="525363830">
                              <w:marLeft w:val="0"/>
                              <w:marRight w:val="0"/>
                              <w:marTop w:val="0"/>
                              <w:marBottom w:val="0"/>
                              <w:divBdr>
                                <w:top w:val="none" w:sz="0" w:space="0" w:color="auto"/>
                                <w:left w:val="none" w:sz="0" w:space="0" w:color="auto"/>
                                <w:bottom w:val="none" w:sz="0" w:space="0" w:color="auto"/>
                                <w:right w:val="none" w:sz="0" w:space="0" w:color="auto"/>
                              </w:divBdr>
                              <w:divsChild>
                                <w:div w:id="784230128">
                                  <w:marLeft w:val="0"/>
                                  <w:marRight w:val="0"/>
                                  <w:marTop w:val="0"/>
                                  <w:marBottom w:val="0"/>
                                  <w:divBdr>
                                    <w:top w:val="none" w:sz="0" w:space="0" w:color="auto"/>
                                    <w:left w:val="none" w:sz="0" w:space="0" w:color="auto"/>
                                    <w:bottom w:val="none" w:sz="0" w:space="0" w:color="auto"/>
                                    <w:right w:val="none" w:sz="0" w:space="0" w:color="auto"/>
                                  </w:divBdr>
                                  <w:divsChild>
                                    <w:div w:id="10109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50</Pages>
  <Words>20481</Words>
  <Characters>112647</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7</cp:revision>
  <cp:lastPrinted>2026-05-28T14:58:00Z</cp:lastPrinted>
  <dcterms:created xsi:type="dcterms:W3CDTF">2026-05-28T14:50:00Z</dcterms:created>
  <dcterms:modified xsi:type="dcterms:W3CDTF">2026-06-09T17:44:00Z</dcterms:modified>
</cp:coreProperties>
</file>