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tblInd w:w="3510" w:type="dxa"/>
        <w:tblLook w:val="04A0" w:firstRow="1" w:lastRow="0" w:firstColumn="1" w:lastColumn="0" w:noHBand="0" w:noVBand="1"/>
      </w:tblPr>
      <w:tblGrid>
        <w:gridCol w:w="5034"/>
      </w:tblGrid>
      <w:tr w:rsidR="00F9028F" w:rsidRPr="00F9028F" w14:paraId="379BA2A5" w14:textId="77777777" w:rsidTr="0093057A">
        <w:tc>
          <w:tcPr>
            <w:tcW w:w="50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A5F457" w14:textId="195D37DA" w:rsidR="0093057A" w:rsidRPr="00F9028F" w:rsidRDefault="000033A4" w:rsidP="00817833">
            <w:pPr>
              <w:spacing w:line="360" w:lineRule="auto"/>
              <w:ind w:left="-108"/>
              <w:jc w:val="both"/>
              <w:rPr>
                <w:rFonts w:ascii="Arial" w:hAnsi="Arial" w:cs="Arial"/>
                <w:sz w:val="24"/>
                <w:szCs w:val="24"/>
                <w:lang w:eastAsia="es-ES"/>
              </w:rPr>
            </w:pPr>
            <w:bookmarkStart w:id="0" w:name="_Hlk520393671"/>
            <w:r w:rsidRPr="00F9028F">
              <w:rPr>
                <w:rFonts w:ascii="Arial" w:hAnsi="Arial" w:cs="Arial"/>
                <w:b/>
                <w:sz w:val="24"/>
                <w:szCs w:val="24"/>
                <w:lang w:eastAsia="es-ES"/>
              </w:rPr>
              <w:t xml:space="preserve"> </w:t>
            </w:r>
            <w:r w:rsidR="0093057A" w:rsidRPr="00F9028F">
              <w:rPr>
                <w:rFonts w:ascii="Arial" w:hAnsi="Arial" w:cs="Arial"/>
                <w:b/>
                <w:sz w:val="24"/>
                <w:szCs w:val="24"/>
                <w:lang w:eastAsia="es-ES"/>
              </w:rPr>
              <w:t xml:space="preserve">RECURSO DE REVISIÓN: </w:t>
            </w:r>
            <w:r w:rsidR="0093057A" w:rsidRPr="00F9028F">
              <w:rPr>
                <w:rFonts w:ascii="Arial" w:hAnsi="Arial" w:cs="Arial"/>
                <w:sz w:val="24"/>
                <w:szCs w:val="24"/>
                <w:lang w:eastAsia="es-ES"/>
              </w:rPr>
              <w:t>RR-</w:t>
            </w:r>
            <w:r w:rsidR="00817833">
              <w:rPr>
                <w:rFonts w:ascii="Arial" w:hAnsi="Arial" w:cs="Arial"/>
                <w:sz w:val="24"/>
                <w:szCs w:val="24"/>
                <w:lang w:eastAsia="es-ES"/>
              </w:rPr>
              <w:t>218</w:t>
            </w:r>
            <w:r w:rsidR="000D6741" w:rsidRPr="00F9028F">
              <w:rPr>
                <w:rFonts w:ascii="Arial" w:hAnsi="Arial" w:cs="Arial"/>
                <w:sz w:val="24"/>
                <w:szCs w:val="24"/>
                <w:lang w:eastAsia="es-ES"/>
              </w:rPr>
              <w:t>/202</w:t>
            </w:r>
            <w:r w:rsidR="00817833">
              <w:rPr>
                <w:rFonts w:ascii="Arial" w:hAnsi="Arial" w:cs="Arial"/>
                <w:sz w:val="24"/>
                <w:szCs w:val="24"/>
                <w:lang w:eastAsia="es-ES"/>
              </w:rPr>
              <w:t>6</w:t>
            </w:r>
            <w:r w:rsidR="0093057A" w:rsidRPr="00F9028F">
              <w:rPr>
                <w:rFonts w:ascii="Arial" w:hAnsi="Arial" w:cs="Arial"/>
                <w:sz w:val="24"/>
                <w:szCs w:val="24"/>
                <w:lang w:eastAsia="es-ES"/>
              </w:rPr>
              <w:t>-</w:t>
            </w:r>
            <w:r w:rsidR="000D6741" w:rsidRPr="00F9028F">
              <w:rPr>
                <w:rFonts w:ascii="Arial" w:hAnsi="Arial" w:cs="Arial"/>
                <w:sz w:val="24"/>
                <w:szCs w:val="24"/>
                <w:lang w:eastAsia="es-ES"/>
              </w:rPr>
              <w:t>3</w:t>
            </w:r>
            <w:r w:rsidR="00A67D59">
              <w:rPr>
                <w:rFonts w:ascii="Arial" w:hAnsi="Arial" w:cs="Arial"/>
                <w:sz w:val="24"/>
                <w:szCs w:val="24"/>
                <w:lang w:eastAsia="es-ES"/>
              </w:rPr>
              <w:t xml:space="preserve"> </w:t>
            </w:r>
          </w:p>
        </w:tc>
      </w:tr>
      <w:tr w:rsidR="00F9028F" w:rsidRPr="00F9028F" w14:paraId="77D735B0" w14:textId="77777777" w:rsidTr="0093057A">
        <w:tc>
          <w:tcPr>
            <w:tcW w:w="50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BB6323" w14:textId="3F6F369A" w:rsidR="0093057A" w:rsidRPr="00F9028F" w:rsidRDefault="0093057A" w:rsidP="00817833">
            <w:pPr>
              <w:spacing w:line="360" w:lineRule="auto"/>
              <w:ind w:left="-108"/>
              <w:jc w:val="both"/>
              <w:rPr>
                <w:rFonts w:ascii="Arial" w:hAnsi="Arial" w:cs="Arial"/>
                <w:b/>
                <w:sz w:val="24"/>
                <w:szCs w:val="24"/>
                <w:lang w:eastAsia="es-ES"/>
              </w:rPr>
            </w:pPr>
            <w:r w:rsidRPr="00F9028F">
              <w:rPr>
                <w:rFonts w:ascii="Arial" w:hAnsi="Arial" w:cs="Arial"/>
                <w:b/>
                <w:sz w:val="24"/>
                <w:szCs w:val="24"/>
                <w:lang w:eastAsia="es-ES"/>
              </w:rPr>
              <w:t>SUJETO OBLIGADO</w:t>
            </w:r>
            <w:r w:rsidR="0088237E" w:rsidRPr="00F9028F">
              <w:rPr>
                <w:rFonts w:ascii="Arial" w:hAnsi="Arial" w:cs="Arial"/>
                <w:b/>
                <w:sz w:val="24"/>
                <w:szCs w:val="24"/>
                <w:lang w:eastAsia="es-ES"/>
              </w:rPr>
              <w:t>:</w:t>
            </w:r>
            <w:r w:rsidR="00AC48FA" w:rsidRPr="00F9028F">
              <w:rPr>
                <w:rFonts w:ascii="Arial" w:hAnsi="Arial" w:cs="Arial"/>
                <w:b/>
                <w:sz w:val="24"/>
                <w:szCs w:val="24"/>
                <w:lang w:eastAsia="es-ES"/>
              </w:rPr>
              <w:t xml:space="preserve"> </w:t>
            </w:r>
            <w:r w:rsidR="00817833">
              <w:rPr>
                <w:rFonts w:ascii="Arial" w:hAnsi="Arial" w:cs="Arial"/>
                <w:sz w:val="24"/>
                <w:szCs w:val="24"/>
                <w:lang w:eastAsia="es-ES"/>
              </w:rPr>
              <w:t>MUNICIPIO DE VILLA DE POZOS</w:t>
            </w:r>
            <w:r w:rsidR="002969BA" w:rsidRPr="00F9028F">
              <w:rPr>
                <w:rFonts w:ascii="Arial" w:eastAsia="Arial Unicode MS" w:hAnsi="Arial" w:cs="Arial"/>
                <w:sz w:val="24"/>
                <w:szCs w:val="24"/>
                <w:lang w:eastAsia="es-ES"/>
              </w:rPr>
              <w:t>.</w:t>
            </w:r>
          </w:p>
        </w:tc>
      </w:tr>
      <w:tr w:rsidR="0093057A" w:rsidRPr="00F9028F" w14:paraId="571E23CA" w14:textId="77777777" w:rsidTr="0093057A">
        <w:tc>
          <w:tcPr>
            <w:tcW w:w="50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33AA6F" w14:textId="47D289E5" w:rsidR="0093057A" w:rsidRPr="00F9028F" w:rsidRDefault="0093057A" w:rsidP="000D6741">
            <w:pPr>
              <w:spacing w:line="360" w:lineRule="auto"/>
              <w:ind w:left="-108"/>
              <w:jc w:val="both"/>
              <w:rPr>
                <w:rFonts w:ascii="Arial" w:hAnsi="Arial" w:cs="Arial"/>
                <w:sz w:val="24"/>
                <w:szCs w:val="24"/>
                <w:lang w:eastAsia="es-ES"/>
              </w:rPr>
            </w:pPr>
            <w:r w:rsidRPr="00F9028F">
              <w:rPr>
                <w:rFonts w:ascii="Arial" w:hAnsi="Arial" w:cs="Arial"/>
                <w:b/>
                <w:sz w:val="24"/>
                <w:szCs w:val="24"/>
                <w:lang w:eastAsia="es-ES"/>
              </w:rPr>
              <w:t>COMISIONAD</w:t>
            </w:r>
            <w:r w:rsidR="00AE6680" w:rsidRPr="00F9028F">
              <w:rPr>
                <w:rFonts w:ascii="Arial" w:hAnsi="Arial" w:cs="Arial"/>
                <w:b/>
                <w:sz w:val="24"/>
                <w:szCs w:val="24"/>
                <w:lang w:eastAsia="es-ES"/>
              </w:rPr>
              <w:t>O</w:t>
            </w:r>
            <w:r w:rsidRPr="00F9028F">
              <w:rPr>
                <w:rFonts w:ascii="Arial" w:hAnsi="Arial" w:cs="Arial"/>
                <w:b/>
                <w:sz w:val="24"/>
                <w:szCs w:val="24"/>
                <w:lang w:eastAsia="es-ES"/>
              </w:rPr>
              <w:t xml:space="preserve"> PONENTE: </w:t>
            </w:r>
            <w:r w:rsidR="000D6741" w:rsidRPr="00F9028F">
              <w:rPr>
                <w:rFonts w:ascii="Arial" w:hAnsi="Arial" w:cs="Arial"/>
                <w:sz w:val="24"/>
                <w:szCs w:val="24"/>
                <w:lang w:eastAsia="es-ES"/>
              </w:rPr>
              <w:t>ANA CRISTINA GARCÍA NALES</w:t>
            </w:r>
            <w:r w:rsidRPr="00F9028F">
              <w:rPr>
                <w:rFonts w:ascii="Arial" w:hAnsi="Arial" w:cs="Arial"/>
                <w:sz w:val="24"/>
                <w:szCs w:val="24"/>
                <w:lang w:eastAsia="es-ES"/>
              </w:rPr>
              <w:t>.</w:t>
            </w:r>
          </w:p>
        </w:tc>
      </w:tr>
    </w:tbl>
    <w:p w14:paraId="3A4FD074" w14:textId="77777777" w:rsidR="0093057A" w:rsidRPr="00F9028F" w:rsidRDefault="0093057A" w:rsidP="0093057A">
      <w:pPr>
        <w:spacing w:after="0" w:line="360" w:lineRule="auto"/>
        <w:jc w:val="both"/>
        <w:rPr>
          <w:rFonts w:ascii="Arial" w:eastAsia="Times New Roman" w:hAnsi="Arial" w:cs="Arial"/>
          <w:b/>
          <w:sz w:val="24"/>
          <w:szCs w:val="24"/>
          <w:lang w:eastAsia="es-ES"/>
        </w:rPr>
      </w:pPr>
    </w:p>
    <w:p w14:paraId="22FCC457" w14:textId="77777777" w:rsidR="0093057A" w:rsidRPr="00F9028F" w:rsidRDefault="0093057A" w:rsidP="0093057A">
      <w:pPr>
        <w:spacing w:after="0" w:line="360" w:lineRule="auto"/>
        <w:ind w:firstLine="708"/>
        <w:jc w:val="both"/>
        <w:rPr>
          <w:rFonts w:ascii="Arial" w:eastAsia="Arial Unicode MS" w:hAnsi="Arial" w:cs="Arial"/>
          <w:sz w:val="24"/>
          <w:szCs w:val="24"/>
          <w:lang w:eastAsia="es-ES"/>
        </w:rPr>
      </w:pPr>
    </w:p>
    <w:p w14:paraId="5604FB0C" w14:textId="36888A7C" w:rsidR="0093057A" w:rsidRPr="00F9028F" w:rsidRDefault="0093057A" w:rsidP="0093057A">
      <w:pPr>
        <w:spacing w:after="0" w:line="360" w:lineRule="auto"/>
        <w:ind w:firstLine="708"/>
        <w:jc w:val="both"/>
        <w:rPr>
          <w:rFonts w:ascii="Arial" w:eastAsia="BatangChe" w:hAnsi="Arial" w:cs="Arial"/>
          <w:sz w:val="24"/>
          <w:szCs w:val="24"/>
          <w:lang w:eastAsia="es-ES"/>
        </w:rPr>
      </w:pPr>
      <w:r w:rsidRPr="00F9028F">
        <w:rPr>
          <w:rFonts w:ascii="Arial" w:eastAsia="Arial Unicode MS" w:hAnsi="Arial" w:cs="Arial"/>
          <w:sz w:val="24"/>
          <w:szCs w:val="24"/>
          <w:lang w:eastAsia="es-ES"/>
        </w:rPr>
        <w:t xml:space="preserve">San Luis Potosí, San Luis Potosí, </w:t>
      </w:r>
      <w:r w:rsidR="003D02B7" w:rsidRPr="00F9028F">
        <w:rPr>
          <w:rFonts w:ascii="Arial" w:eastAsia="BatangChe" w:hAnsi="Arial" w:cs="Arial"/>
          <w:sz w:val="24"/>
          <w:szCs w:val="24"/>
          <w:lang w:eastAsia="es-ES"/>
        </w:rPr>
        <w:t xml:space="preserve">Sesión </w:t>
      </w:r>
      <w:r w:rsidR="00C93C38">
        <w:rPr>
          <w:rFonts w:ascii="Arial" w:eastAsia="BatangChe" w:hAnsi="Arial" w:cs="Arial"/>
          <w:sz w:val="24"/>
          <w:szCs w:val="24"/>
          <w:lang w:eastAsia="es-ES"/>
        </w:rPr>
        <w:t>Extrao</w:t>
      </w:r>
      <w:r w:rsidRPr="00F9028F">
        <w:rPr>
          <w:rFonts w:ascii="Arial" w:eastAsia="BatangChe" w:hAnsi="Arial" w:cs="Arial"/>
          <w:sz w:val="24"/>
          <w:szCs w:val="24"/>
          <w:lang w:eastAsia="es-ES"/>
        </w:rPr>
        <w:t xml:space="preserve">rdinaria del Pleno de la Comisión Estatal de Garantía de Acceso a la Información Pública, </w:t>
      </w:r>
      <w:r w:rsidR="009A4001" w:rsidRPr="00F9028F">
        <w:rPr>
          <w:rFonts w:ascii="Arial" w:eastAsia="BatangChe" w:hAnsi="Arial" w:cs="Arial"/>
          <w:sz w:val="24"/>
          <w:szCs w:val="24"/>
          <w:lang w:eastAsia="es-ES"/>
        </w:rPr>
        <w:t>de</w:t>
      </w:r>
      <w:r w:rsidR="00F474DB" w:rsidRPr="00F9028F">
        <w:rPr>
          <w:rFonts w:ascii="Arial" w:eastAsia="BatangChe" w:hAnsi="Arial" w:cs="Arial"/>
          <w:sz w:val="24"/>
          <w:szCs w:val="24"/>
          <w:lang w:eastAsia="es-ES"/>
        </w:rPr>
        <w:t xml:space="preserve"> </w:t>
      </w:r>
      <w:r w:rsidR="00C93C38">
        <w:rPr>
          <w:rFonts w:ascii="Arial" w:eastAsia="BatangChe" w:hAnsi="Arial" w:cs="Arial"/>
          <w:sz w:val="24"/>
          <w:szCs w:val="24"/>
          <w:lang w:eastAsia="es-ES"/>
        </w:rPr>
        <w:t>veintisiete de mayo</w:t>
      </w:r>
      <w:r w:rsidR="00817833">
        <w:rPr>
          <w:rFonts w:ascii="Arial" w:eastAsia="BatangChe" w:hAnsi="Arial" w:cs="Arial"/>
          <w:sz w:val="24"/>
          <w:szCs w:val="24"/>
          <w:lang w:eastAsia="es-ES"/>
        </w:rPr>
        <w:t xml:space="preserve"> de dos mil veintiséis</w:t>
      </w:r>
      <w:r w:rsidRPr="00F9028F">
        <w:rPr>
          <w:rFonts w:ascii="Arial" w:eastAsia="BatangChe" w:hAnsi="Arial" w:cs="Arial"/>
          <w:sz w:val="24"/>
          <w:szCs w:val="24"/>
          <w:lang w:eastAsia="es-ES"/>
        </w:rPr>
        <w:t xml:space="preserve">. </w:t>
      </w:r>
    </w:p>
    <w:p w14:paraId="181FD31A" w14:textId="77777777" w:rsidR="0093057A" w:rsidRPr="00F9028F" w:rsidRDefault="0093057A" w:rsidP="0093057A">
      <w:pPr>
        <w:spacing w:after="0" w:line="360" w:lineRule="auto"/>
        <w:jc w:val="both"/>
        <w:rPr>
          <w:rFonts w:ascii="Arial" w:eastAsia="Arial Unicode MS" w:hAnsi="Arial" w:cs="Arial"/>
          <w:sz w:val="24"/>
          <w:szCs w:val="24"/>
          <w:lang w:eastAsia="es-ES"/>
        </w:rPr>
      </w:pPr>
    </w:p>
    <w:p w14:paraId="17F25AD3" w14:textId="77777777" w:rsidR="0093057A" w:rsidRPr="00F9028F" w:rsidRDefault="0093057A" w:rsidP="0093057A">
      <w:pPr>
        <w:spacing w:after="0" w:line="360" w:lineRule="auto"/>
        <w:ind w:firstLine="708"/>
        <w:jc w:val="both"/>
        <w:rPr>
          <w:rFonts w:ascii="Arial" w:eastAsia="Arial Unicode MS" w:hAnsi="Arial" w:cs="Arial"/>
          <w:b/>
          <w:sz w:val="24"/>
          <w:szCs w:val="24"/>
          <w:lang w:eastAsia="es-ES"/>
        </w:rPr>
      </w:pPr>
      <w:r w:rsidRPr="00F9028F">
        <w:rPr>
          <w:rFonts w:ascii="Arial" w:eastAsia="Arial Unicode MS" w:hAnsi="Arial" w:cs="Arial"/>
          <w:b/>
          <w:bCs/>
          <w:sz w:val="24"/>
          <w:szCs w:val="24"/>
          <w:lang w:eastAsia="es-ES"/>
        </w:rPr>
        <w:t>VISTOS</w:t>
      </w:r>
      <w:r w:rsidRPr="00F9028F">
        <w:rPr>
          <w:rFonts w:ascii="Arial" w:eastAsia="Arial Unicode MS" w:hAnsi="Arial" w:cs="Arial"/>
          <w:sz w:val="24"/>
          <w:szCs w:val="24"/>
          <w:lang w:eastAsia="es-ES"/>
        </w:rPr>
        <w:t>, para resolver los autos que conforman el expediente citado al rubro;</w:t>
      </w:r>
      <w:r w:rsidRPr="00F9028F">
        <w:rPr>
          <w:rFonts w:ascii="Arial" w:eastAsia="Arial Unicode MS" w:hAnsi="Arial" w:cs="Arial"/>
          <w:b/>
          <w:sz w:val="24"/>
          <w:szCs w:val="24"/>
          <w:lang w:eastAsia="es-ES"/>
        </w:rPr>
        <w:t xml:space="preserve"> </w:t>
      </w:r>
      <w:r w:rsidRPr="00F9028F">
        <w:rPr>
          <w:rFonts w:ascii="Arial" w:eastAsia="Arial Unicode MS" w:hAnsi="Arial" w:cs="Arial"/>
          <w:sz w:val="24"/>
          <w:szCs w:val="24"/>
          <w:lang w:eastAsia="es-ES"/>
        </w:rPr>
        <w:t>y</w:t>
      </w:r>
      <w:r w:rsidRPr="00F9028F">
        <w:rPr>
          <w:rFonts w:ascii="Arial" w:eastAsia="Arial Unicode MS" w:hAnsi="Arial" w:cs="Arial"/>
          <w:b/>
          <w:sz w:val="24"/>
          <w:szCs w:val="24"/>
          <w:lang w:eastAsia="es-ES"/>
        </w:rPr>
        <w:t xml:space="preserve">  </w:t>
      </w:r>
    </w:p>
    <w:p w14:paraId="479303FA" w14:textId="77777777" w:rsidR="0093057A" w:rsidRPr="00F9028F" w:rsidRDefault="0093057A" w:rsidP="0093057A">
      <w:pPr>
        <w:spacing w:after="0" w:line="360" w:lineRule="auto"/>
        <w:ind w:firstLine="708"/>
        <w:jc w:val="both"/>
        <w:rPr>
          <w:rFonts w:ascii="Arial" w:eastAsia="Arial Unicode MS" w:hAnsi="Arial" w:cs="Arial"/>
          <w:b/>
          <w:sz w:val="24"/>
          <w:szCs w:val="24"/>
          <w:lang w:eastAsia="es-ES"/>
        </w:rPr>
      </w:pPr>
    </w:p>
    <w:p w14:paraId="6E0C77EB" w14:textId="77777777" w:rsidR="0093057A" w:rsidRPr="00F9028F" w:rsidRDefault="0093057A" w:rsidP="0093057A">
      <w:pPr>
        <w:spacing w:after="0" w:line="360" w:lineRule="auto"/>
        <w:ind w:firstLine="900"/>
        <w:jc w:val="center"/>
        <w:rPr>
          <w:rFonts w:ascii="Arial" w:eastAsia="Arial Unicode MS" w:hAnsi="Arial" w:cs="Arial"/>
          <w:b/>
          <w:sz w:val="24"/>
          <w:szCs w:val="24"/>
          <w:lang w:val="pt-BR" w:eastAsia="es-ES"/>
        </w:rPr>
      </w:pPr>
      <w:r w:rsidRPr="00F9028F">
        <w:rPr>
          <w:rFonts w:ascii="Arial" w:eastAsia="Arial Unicode MS" w:hAnsi="Arial" w:cs="Arial"/>
          <w:b/>
          <w:sz w:val="24"/>
          <w:szCs w:val="24"/>
          <w:lang w:val="pt-BR" w:eastAsia="es-ES"/>
        </w:rPr>
        <w:t>R E S U L T A N D O:</w:t>
      </w:r>
    </w:p>
    <w:p w14:paraId="6F615400" w14:textId="77777777" w:rsidR="0093057A" w:rsidRPr="00F9028F" w:rsidRDefault="0093057A" w:rsidP="0093057A">
      <w:pPr>
        <w:spacing w:after="0" w:line="360" w:lineRule="auto"/>
        <w:ind w:firstLine="900"/>
        <w:jc w:val="center"/>
        <w:rPr>
          <w:rFonts w:ascii="Arial" w:eastAsia="Arial Unicode MS" w:hAnsi="Arial" w:cs="Arial"/>
          <w:b/>
          <w:sz w:val="24"/>
          <w:szCs w:val="24"/>
          <w:lang w:val="pt-BR" w:eastAsia="es-ES"/>
        </w:rPr>
      </w:pPr>
    </w:p>
    <w:p w14:paraId="42C8E039" w14:textId="60F7326D" w:rsidR="00D979D7" w:rsidRPr="00F9028F" w:rsidRDefault="0093057A" w:rsidP="00AE6680">
      <w:pPr>
        <w:spacing w:after="0" w:line="360" w:lineRule="auto"/>
        <w:ind w:firstLine="709"/>
        <w:jc w:val="both"/>
        <w:rPr>
          <w:rFonts w:ascii="Arial" w:eastAsia="Arial Unicode MS" w:hAnsi="Arial" w:cs="Arial"/>
          <w:sz w:val="24"/>
          <w:szCs w:val="24"/>
          <w:lang w:eastAsia="es-ES"/>
        </w:rPr>
      </w:pPr>
      <w:r w:rsidRPr="00F9028F">
        <w:rPr>
          <w:rFonts w:ascii="Arial" w:eastAsia="Arial Unicode MS" w:hAnsi="Arial" w:cs="Arial"/>
          <w:b/>
          <w:sz w:val="24"/>
          <w:szCs w:val="24"/>
          <w:lang w:eastAsia="es-ES"/>
        </w:rPr>
        <w:t>PRIMERO.</w:t>
      </w:r>
      <w:r w:rsidRPr="00F9028F">
        <w:rPr>
          <w:rFonts w:ascii="Arial" w:eastAsia="Arial Unicode MS" w:hAnsi="Arial" w:cs="Arial"/>
          <w:sz w:val="24"/>
          <w:szCs w:val="24"/>
          <w:lang w:eastAsia="es-ES"/>
        </w:rPr>
        <w:t xml:space="preserve"> </w:t>
      </w:r>
      <w:r w:rsidRPr="00F9028F">
        <w:rPr>
          <w:rFonts w:ascii="Arial" w:eastAsia="Arial Unicode MS" w:hAnsi="Arial" w:cs="Arial"/>
          <w:b/>
          <w:sz w:val="24"/>
          <w:szCs w:val="24"/>
          <w:lang w:eastAsia="es-ES"/>
        </w:rPr>
        <w:t>Solicitud de acceso a la información pública.</w:t>
      </w:r>
      <w:r w:rsidR="004621F4" w:rsidRPr="00F9028F">
        <w:rPr>
          <w:rFonts w:ascii="Arial" w:eastAsia="Arial Unicode MS" w:hAnsi="Arial" w:cs="Arial"/>
          <w:sz w:val="24"/>
          <w:szCs w:val="24"/>
          <w:lang w:eastAsia="es-ES"/>
        </w:rPr>
        <w:t xml:space="preserve"> El</w:t>
      </w:r>
      <w:r w:rsidR="00325979" w:rsidRPr="00325979">
        <w:rPr>
          <w:rFonts w:ascii="Arial" w:eastAsia="Arial Unicode MS" w:hAnsi="Arial" w:cs="Arial"/>
          <w:color w:val="FF0000"/>
          <w:sz w:val="24"/>
          <w:szCs w:val="24"/>
          <w:lang w:eastAsia="es-ES"/>
        </w:rPr>
        <w:t xml:space="preserve"> </w:t>
      </w:r>
      <w:r w:rsidR="00817833">
        <w:rPr>
          <w:rFonts w:ascii="Arial" w:eastAsia="Arial Unicode MS" w:hAnsi="Arial" w:cs="Arial"/>
          <w:color w:val="FF0000"/>
          <w:sz w:val="24"/>
          <w:szCs w:val="24"/>
          <w:lang w:eastAsia="es-ES"/>
        </w:rPr>
        <w:t>seis de abril de dos mil veintiséis</w:t>
      </w:r>
      <w:r w:rsidR="00027381" w:rsidRPr="00F9028F">
        <w:rPr>
          <w:rFonts w:ascii="Arial" w:eastAsia="Arial Unicode MS" w:hAnsi="Arial" w:cs="Arial"/>
          <w:sz w:val="24"/>
          <w:szCs w:val="24"/>
          <w:lang w:eastAsia="es-ES"/>
        </w:rPr>
        <w:t xml:space="preserve">, </w:t>
      </w:r>
      <w:r w:rsidR="00AE6680" w:rsidRPr="00F9028F">
        <w:rPr>
          <w:rFonts w:ascii="Arial" w:eastAsia="Arial Unicode MS" w:hAnsi="Arial" w:cs="Arial"/>
          <w:sz w:val="24"/>
          <w:szCs w:val="24"/>
          <w:lang w:eastAsia="es-ES"/>
        </w:rPr>
        <w:t>la persona</w:t>
      </w:r>
      <w:r w:rsidRPr="00F9028F">
        <w:rPr>
          <w:rFonts w:ascii="Arial" w:eastAsia="Arial Unicode MS" w:hAnsi="Arial" w:cs="Arial"/>
          <w:sz w:val="24"/>
          <w:szCs w:val="24"/>
          <w:lang w:eastAsia="es-ES"/>
        </w:rPr>
        <w:t xml:space="preserve"> recurrente presentó</w:t>
      </w:r>
      <w:r w:rsidR="001460AD">
        <w:rPr>
          <w:rFonts w:ascii="Arial" w:eastAsia="Arial Unicode MS" w:hAnsi="Arial" w:cs="Arial"/>
          <w:sz w:val="24"/>
          <w:szCs w:val="24"/>
          <w:lang w:eastAsia="es-ES"/>
        </w:rPr>
        <w:t xml:space="preserve"> una solicitud </w:t>
      </w:r>
      <w:r w:rsidR="009A4001" w:rsidRPr="00F9028F">
        <w:rPr>
          <w:rFonts w:ascii="Arial" w:eastAsia="Arial Unicode MS" w:hAnsi="Arial" w:cs="Arial"/>
          <w:sz w:val="24"/>
          <w:szCs w:val="24"/>
          <w:lang w:eastAsia="es-ES"/>
        </w:rPr>
        <w:t xml:space="preserve">de </w:t>
      </w:r>
      <w:r w:rsidR="00F474DB" w:rsidRPr="00F9028F">
        <w:rPr>
          <w:rFonts w:ascii="Arial" w:eastAsia="Arial Unicode MS" w:hAnsi="Arial" w:cs="Arial"/>
          <w:sz w:val="24"/>
          <w:szCs w:val="24"/>
          <w:lang w:eastAsia="es-ES"/>
        </w:rPr>
        <w:t xml:space="preserve">acceso a la </w:t>
      </w:r>
      <w:r w:rsidR="009A4001" w:rsidRPr="00F9028F">
        <w:rPr>
          <w:rFonts w:ascii="Arial" w:eastAsia="Arial Unicode MS" w:hAnsi="Arial" w:cs="Arial"/>
          <w:sz w:val="24"/>
          <w:szCs w:val="24"/>
          <w:lang w:eastAsia="es-ES"/>
        </w:rPr>
        <w:t>información</w:t>
      </w:r>
      <w:r w:rsidR="00AE6680" w:rsidRPr="00F9028F">
        <w:rPr>
          <w:rFonts w:ascii="Arial" w:eastAsia="Arial Unicode MS" w:hAnsi="Arial" w:cs="Arial"/>
          <w:sz w:val="24"/>
          <w:szCs w:val="24"/>
          <w:lang w:eastAsia="es-ES"/>
        </w:rPr>
        <w:t>,</w:t>
      </w:r>
      <w:r w:rsidRPr="00F9028F">
        <w:rPr>
          <w:rFonts w:ascii="Arial" w:eastAsia="Arial Unicode MS" w:hAnsi="Arial" w:cs="Arial"/>
          <w:sz w:val="24"/>
          <w:szCs w:val="24"/>
          <w:lang w:eastAsia="es-ES"/>
        </w:rPr>
        <w:t xml:space="preserve"> </w:t>
      </w:r>
      <w:r w:rsidR="00A67D59">
        <w:rPr>
          <w:rFonts w:ascii="Arial" w:eastAsia="Arial Unicode MS" w:hAnsi="Arial" w:cs="Arial"/>
          <w:sz w:val="24"/>
          <w:szCs w:val="24"/>
          <w:lang w:eastAsia="es-ES"/>
        </w:rPr>
        <w:t xml:space="preserve">a través de la Plataforma Nacional de Transparencia, </w:t>
      </w:r>
      <w:r w:rsidR="00F14C54">
        <w:rPr>
          <w:rFonts w:ascii="Arial" w:eastAsia="Arial Unicode MS" w:hAnsi="Arial" w:cs="Arial"/>
          <w:sz w:val="24"/>
          <w:szCs w:val="24"/>
          <w:lang w:eastAsia="es-ES"/>
        </w:rPr>
        <w:t xml:space="preserve">ante el </w:t>
      </w:r>
      <w:r w:rsidR="00817833">
        <w:rPr>
          <w:rFonts w:ascii="Arial" w:eastAsia="Arial Unicode MS" w:hAnsi="Arial" w:cs="Arial"/>
          <w:b/>
          <w:sz w:val="24"/>
          <w:szCs w:val="24"/>
          <w:lang w:eastAsia="es-ES"/>
        </w:rPr>
        <w:t>Municipio de Villa de Pozos</w:t>
      </w:r>
      <w:r w:rsidR="00C862C0" w:rsidRPr="00F9028F">
        <w:rPr>
          <w:rFonts w:ascii="Arial" w:eastAsia="Arial Unicode MS" w:hAnsi="Arial" w:cs="Arial"/>
          <w:sz w:val="24"/>
          <w:szCs w:val="24"/>
          <w:lang w:eastAsia="es-ES"/>
        </w:rPr>
        <w:t xml:space="preserve">, </w:t>
      </w:r>
      <w:r w:rsidR="00A67D59">
        <w:rPr>
          <w:rFonts w:ascii="Arial" w:eastAsia="Arial Unicode MS" w:hAnsi="Arial" w:cs="Arial"/>
          <w:sz w:val="24"/>
          <w:szCs w:val="24"/>
          <w:lang w:eastAsia="es-ES"/>
        </w:rPr>
        <w:t xml:space="preserve">misma que quedó registrada bajo el número de folio </w:t>
      </w:r>
      <w:r w:rsidR="00817833" w:rsidRPr="00817833">
        <w:rPr>
          <w:rFonts w:ascii="Arial" w:eastAsia="Arial Unicode MS" w:hAnsi="Arial" w:cs="Arial"/>
          <w:sz w:val="24"/>
          <w:szCs w:val="24"/>
          <w:lang w:eastAsia="es-ES"/>
        </w:rPr>
        <w:t>243182926000019</w:t>
      </w:r>
      <w:r w:rsidR="00A67D59">
        <w:rPr>
          <w:rFonts w:ascii="Arial" w:eastAsia="Arial Unicode MS" w:hAnsi="Arial" w:cs="Arial"/>
          <w:sz w:val="24"/>
          <w:szCs w:val="24"/>
          <w:lang w:eastAsia="es-ES"/>
        </w:rPr>
        <w:t xml:space="preserve">, </w:t>
      </w:r>
      <w:r w:rsidR="004621F4" w:rsidRPr="00F9028F">
        <w:rPr>
          <w:rFonts w:ascii="Arial" w:eastAsia="Arial Unicode MS" w:hAnsi="Arial" w:cs="Arial"/>
          <w:sz w:val="24"/>
          <w:szCs w:val="24"/>
          <w:lang w:eastAsia="es-ES"/>
        </w:rPr>
        <w:t xml:space="preserve">en la que se requirió: </w:t>
      </w:r>
    </w:p>
    <w:p w14:paraId="5B0E89F4" w14:textId="34C6CFAB" w:rsidR="004621F4" w:rsidRPr="00F9028F" w:rsidRDefault="004621F4" w:rsidP="00AE6680">
      <w:pPr>
        <w:spacing w:after="0" w:line="360" w:lineRule="auto"/>
        <w:ind w:firstLine="709"/>
        <w:jc w:val="both"/>
        <w:rPr>
          <w:rFonts w:ascii="Arial" w:eastAsia="Arial Unicode MS" w:hAnsi="Arial" w:cs="Arial"/>
          <w:sz w:val="24"/>
          <w:szCs w:val="24"/>
          <w:lang w:eastAsia="es-ES"/>
        </w:rPr>
      </w:pPr>
    </w:p>
    <w:p w14:paraId="4A19A099" w14:textId="53087C1A" w:rsidR="004621F4" w:rsidRPr="00F9028F" w:rsidRDefault="00622DFC" w:rsidP="004621F4">
      <w:pPr>
        <w:spacing w:after="0" w:line="240" w:lineRule="auto"/>
        <w:ind w:left="1134" w:right="1183"/>
        <w:jc w:val="both"/>
        <w:rPr>
          <w:rFonts w:ascii="Arial" w:eastAsia="Arial Unicode MS" w:hAnsi="Arial" w:cs="Arial"/>
          <w:lang w:eastAsia="es-ES"/>
        </w:rPr>
      </w:pPr>
      <w:r>
        <w:rPr>
          <w:rStyle w:val="text-justify"/>
          <w:rFonts w:ascii="Arial" w:hAnsi="Arial" w:cs="Arial"/>
        </w:rPr>
        <w:t>“</w:t>
      </w:r>
      <w:r w:rsidR="00817833" w:rsidRPr="00817833">
        <w:rPr>
          <w:rStyle w:val="text-justify"/>
          <w:rFonts w:ascii="Arial" w:hAnsi="Arial" w:cs="Arial"/>
        </w:rPr>
        <w:t>Plano red de drenaje conectada al fraccionamiento de Villas Mallorca en el municipio de Vila de Pozos en San Luis Potosí.</w:t>
      </w:r>
      <w:r w:rsidR="004621F4" w:rsidRPr="00F9028F">
        <w:rPr>
          <w:rFonts w:ascii="Arial" w:eastAsia="Arial Unicode MS" w:hAnsi="Arial" w:cs="Arial"/>
          <w:lang w:eastAsia="es-ES"/>
        </w:rPr>
        <w:t>”.</w:t>
      </w:r>
    </w:p>
    <w:p w14:paraId="57F6ADA6" w14:textId="2C7F5B5A" w:rsidR="004621F4" w:rsidRDefault="004621F4" w:rsidP="00EC666E">
      <w:pPr>
        <w:spacing w:after="0" w:line="360" w:lineRule="auto"/>
        <w:ind w:left="1134" w:right="1183"/>
        <w:jc w:val="both"/>
        <w:rPr>
          <w:rFonts w:ascii="Arial" w:eastAsia="Arial Unicode MS" w:hAnsi="Arial" w:cs="Arial"/>
          <w:lang w:eastAsia="es-ES"/>
        </w:rPr>
      </w:pPr>
    </w:p>
    <w:p w14:paraId="2CE049AA" w14:textId="77777777" w:rsidR="00EC666E" w:rsidRPr="00F9028F" w:rsidRDefault="00EC666E" w:rsidP="00EC666E">
      <w:pPr>
        <w:spacing w:after="0" w:line="360" w:lineRule="auto"/>
        <w:ind w:left="1134" w:right="1183"/>
        <w:jc w:val="both"/>
        <w:rPr>
          <w:rFonts w:ascii="Arial" w:eastAsia="Arial Unicode MS" w:hAnsi="Arial" w:cs="Arial"/>
          <w:lang w:eastAsia="es-ES"/>
        </w:rPr>
      </w:pPr>
    </w:p>
    <w:p w14:paraId="12CDD979" w14:textId="7B4712DB" w:rsidR="00773F97" w:rsidRDefault="0093057A" w:rsidP="00325979">
      <w:pPr>
        <w:spacing w:after="0" w:line="360" w:lineRule="auto"/>
        <w:ind w:firstLine="709"/>
        <w:jc w:val="both"/>
        <w:rPr>
          <w:rFonts w:ascii="Arial" w:eastAsia="Times New Roman" w:hAnsi="Arial" w:cs="Arial"/>
          <w:sz w:val="24"/>
          <w:szCs w:val="24"/>
          <w:lang w:eastAsia="es-ES"/>
        </w:rPr>
      </w:pPr>
      <w:r w:rsidRPr="00F9028F">
        <w:rPr>
          <w:rFonts w:ascii="Arial" w:eastAsia="Arial Unicode MS" w:hAnsi="Arial" w:cs="Arial"/>
          <w:b/>
          <w:sz w:val="24"/>
          <w:szCs w:val="24"/>
          <w:lang w:eastAsia="es-ES"/>
        </w:rPr>
        <w:t xml:space="preserve">SEGUNDO. </w:t>
      </w:r>
      <w:r w:rsidRPr="00F9028F">
        <w:rPr>
          <w:rFonts w:ascii="Arial" w:eastAsia="Times New Roman" w:hAnsi="Arial" w:cs="Arial"/>
          <w:b/>
          <w:bCs/>
          <w:sz w:val="24"/>
          <w:szCs w:val="24"/>
          <w:lang w:eastAsia="es-ES"/>
        </w:rPr>
        <w:t xml:space="preserve">Interposición del Recurso de Revisión. </w:t>
      </w:r>
      <w:r w:rsidRPr="00F9028F">
        <w:rPr>
          <w:rFonts w:ascii="Arial" w:eastAsia="Times New Roman" w:hAnsi="Arial" w:cs="Arial"/>
          <w:sz w:val="24"/>
          <w:szCs w:val="24"/>
          <w:lang w:eastAsia="es-ES"/>
        </w:rPr>
        <w:t xml:space="preserve">El </w:t>
      </w:r>
      <w:r w:rsidR="00817833">
        <w:rPr>
          <w:rFonts w:ascii="Arial" w:eastAsia="Times New Roman" w:hAnsi="Arial" w:cs="Arial"/>
          <w:color w:val="FF0000"/>
          <w:sz w:val="24"/>
          <w:szCs w:val="24"/>
          <w:lang w:eastAsia="es-ES"/>
        </w:rPr>
        <w:t>veinticuatro de abril de dos mil veintiséis</w:t>
      </w:r>
      <w:r w:rsidRPr="00F9028F">
        <w:rPr>
          <w:rFonts w:ascii="Arial" w:eastAsia="Times New Roman" w:hAnsi="Arial" w:cs="Arial"/>
          <w:sz w:val="24"/>
          <w:szCs w:val="24"/>
          <w:lang w:eastAsia="es-ES"/>
        </w:rPr>
        <w:t xml:space="preserve">, este Órgano Garante recibió el </w:t>
      </w:r>
      <w:r w:rsidR="00325979">
        <w:rPr>
          <w:rFonts w:ascii="Arial" w:eastAsia="Times New Roman" w:hAnsi="Arial" w:cs="Arial"/>
          <w:sz w:val="24"/>
          <w:szCs w:val="24"/>
          <w:lang w:eastAsia="es-ES"/>
        </w:rPr>
        <w:t>escrito por el cual la persona solicitante</w:t>
      </w:r>
      <w:r w:rsidRPr="00F9028F">
        <w:rPr>
          <w:rFonts w:ascii="Arial" w:eastAsia="Times New Roman" w:hAnsi="Arial" w:cs="Arial"/>
          <w:sz w:val="24"/>
          <w:szCs w:val="24"/>
          <w:lang w:eastAsia="es-ES"/>
        </w:rPr>
        <w:t xml:space="preserve"> interpuesto </w:t>
      </w:r>
      <w:r w:rsidR="00325979">
        <w:rPr>
          <w:rFonts w:ascii="Arial" w:eastAsia="Times New Roman" w:hAnsi="Arial" w:cs="Arial"/>
          <w:sz w:val="24"/>
          <w:szCs w:val="24"/>
          <w:lang w:eastAsia="es-ES"/>
        </w:rPr>
        <w:t>el presente medio de defensa</w:t>
      </w:r>
      <w:r w:rsidR="008E4105" w:rsidRPr="00F9028F">
        <w:rPr>
          <w:rFonts w:ascii="Arial" w:eastAsia="Times New Roman" w:hAnsi="Arial" w:cs="Arial"/>
          <w:sz w:val="24"/>
          <w:szCs w:val="24"/>
          <w:lang w:eastAsia="es-ES"/>
        </w:rPr>
        <w:t>,</w:t>
      </w:r>
      <w:r w:rsidRPr="00F9028F">
        <w:rPr>
          <w:rFonts w:ascii="Arial" w:eastAsia="Times New Roman" w:hAnsi="Arial" w:cs="Arial"/>
          <w:sz w:val="24"/>
          <w:szCs w:val="24"/>
          <w:lang w:eastAsia="es-ES"/>
        </w:rPr>
        <w:t xml:space="preserve"> </w:t>
      </w:r>
      <w:r w:rsidR="00773F97" w:rsidRPr="00F9028F">
        <w:rPr>
          <w:rFonts w:ascii="Arial" w:eastAsia="Times New Roman" w:hAnsi="Arial" w:cs="Arial"/>
          <w:sz w:val="24"/>
          <w:szCs w:val="24"/>
          <w:lang w:eastAsia="es-ES"/>
        </w:rPr>
        <w:t xml:space="preserve">en contra de la </w:t>
      </w:r>
      <w:r w:rsidR="00325979">
        <w:rPr>
          <w:rFonts w:ascii="Arial" w:eastAsia="Times New Roman" w:hAnsi="Arial" w:cs="Arial"/>
          <w:sz w:val="24"/>
          <w:szCs w:val="24"/>
          <w:lang w:eastAsia="es-ES"/>
        </w:rPr>
        <w:t xml:space="preserve">falta de </w:t>
      </w:r>
      <w:r w:rsidR="00773F97" w:rsidRPr="00F9028F">
        <w:rPr>
          <w:rFonts w:ascii="Arial" w:eastAsia="Times New Roman" w:hAnsi="Arial" w:cs="Arial"/>
          <w:sz w:val="24"/>
          <w:szCs w:val="24"/>
          <w:lang w:eastAsia="es-ES"/>
        </w:rPr>
        <w:t>respuesta por</w:t>
      </w:r>
      <w:r w:rsidR="00325979">
        <w:rPr>
          <w:rFonts w:ascii="Arial" w:eastAsia="Times New Roman" w:hAnsi="Arial" w:cs="Arial"/>
          <w:sz w:val="24"/>
          <w:szCs w:val="24"/>
          <w:lang w:eastAsia="es-ES"/>
        </w:rPr>
        <w:t xml:space="preserve"> parte</w:t>
      </w:r>
      <w:r w:rsidR="00773F97" w:rsidRPr="00F9028F">
        <w:rPr>
          <w:rFonts w:ascii="Arial" w:eastAsia="Times New Roman" w:hAnsi="Arial" w:cs="Arial"/>
          <w:sz w:val="24"/>
          <w:szCs w:val="24"/>
          <w:lang w:eastAsia="es-ES"/>
        </w:rPr>
        <w:t xml:space="preserve"> </w:t>
      </w:r>
      <w:r w:rsidR="00325979">
        <w:rPr>
          <w:rFonts w:ascii="Arial" w:eastAsia="Times New Roman" w:hAnsi="Arial" w:cs="Arial"/>
          <w:sz w:val="24"/>
          <w:szCs w:val="24"/>
          <w:lang w:eastAsia="es-ES"/>
        </w:rPr>
        <w:t>d</w:t>
      </w:r>
      <w:r w:rsidR="00773F97" w:rsidRPr="00F9028F">
        <w:rPr>
          <w:rFonts w:ascii="Arial" w:eastAsia="Times New Roman" w:hAnsi="Arial" w:cs="Arial"/>
          <w:sz w:val="24"/>
          <w:szCs w:val="24"/>
          <w:lang w:eastAsia="es-ES"/>
        </w:rPr>
        <w:t>el sujeto obligado</w:t>
      </w:r>
      <w:r w:rsidR="00325979">
        <w:rPr>
          <w:rFonts w:ascii="Arial" w:eastAsia="Times New Roman" w:hAnsi="Arial" w:cs="Arial"/>
          <w:sz w:val="24"/>
          <w:szCs w:val="24"/>
          <w:lang w:eastAsia="es-ES"/>
        </w:rPr>
        <w:t>,</w:t>
      </w:r>
      <w:r w:rsidR="00773F97" w:rsidRPr="00F9028F">
        <w:rPr>
          <w:rFonts w:ascii="Arial" w:eastAsia="Times New Roman" w:hAnsi="Arial" w:cs="Arial"/>
          <w:sz w:val="24"/>
          <w:szCs w:val="24"/>
          <w:lang w:eastAsia="es-ES"/>
        </w:rPr>
        <w:t xml:space="preserve"> </w:t>
      </w:r>
      <w:r w:rsidR="00325979">
        <w:rPr>
          <w:rFonts w:ascii="Arial" w:eastAsia="Times New Roman" w:hAnsi="Arial" w:cs="Arial"/>
          <w:sz w:val="24"/>
          <w:szCs w:val="24"/>
          <w:lang w:eastAsia="es-ES"/>
        </w:rPr>
        <w:t>en atención a</w:t>
      </w:r>
      <w:r w:rsidR="00773F97" w:rsidRPr="00F9028F">
        <w:rPr>
          <w:rFonts w:ascii="Arial" w:eastAsia="Times New Roman" w:hAnsi="Arial" w:cs="Arial"/>
          <w:sz w:val="24"/>
          <w:szCs w:val="24"/>
          <w:lang w:eastAsia="es-ES"/>
        </w:rPr>
        <w:t xml:space="preserve"> la solicitud de acceso a la información, en los términos siguientes:</w:t>
      </w:r>
    </w:p>
    <w:p w14:paraId="60F0D15B" w14:textId="77777777" w:rsidR="001C59E6" w:rsidRPr="00F9028F" w:rsidRDefault="001C59E6" w:rsidP="00325979">
      <w:pPr>
        <w:spacing w:after="0" w:line="360" w:lineRule="auto"/>
        <w:ind w:firstLine="709"/>
        <w:jc w:val="both"/>
        <w:rPr>
          <w:rFonts w:ascii="Arial" w:eastAsia="Times New Roman" w:hAnsi="Arial" w:cs="Arial"/>
          <w:sz w:val="24"/>
          <w:szCs w:val="24"/>
          <w:lang w:eastAsia="es-ES"/>
        </w:rPr>
      </w:pPr>
    </w:p>
    <w:p w14:paraId="6C739187" w14:textId="1D40D4CA" w:rsidR="00EC666E" w:rsidRPr="00EC666E" w:rsidRDefault="00773F97" w:rsidP="00937A95">
      <w:pPr>
        <w:spacing w:after="0" w:line="240" w:lineRule="auto"/>
        <w:ind w:left="1134" w:right="1185"/>
        <w:jc w:val="both"/>
        <w:rPr>
          <w:rFonts w:ascii="Arial" w:eastAsia="Arial Unicode MS" w:hAnsi="Arial" w:cs="Arial"/>
          <w:iCs/>
          <w:lang w:eastAsia="es-ES"/>
        </w:rPr>
      </w:pPr>
      <w:r w:rsidRPr="00F9028F">
        <w:rPr>
          <w:rFonts w:ascii="Arial" w:eastAsia="Arial Unicode MS" w:hAnsi="Arial" w:cs="Arial"/>
          <w:lang w:eastAsia="es-ES"/>
        </w:rPr>
        <w:t>“</w:t>
      </w:r>
      <w:r w:rsidR="00817833">
        <w:rPr>
          <w:rFonts w:ascii="Arial" w:eastAsia="Arial Unicode MS" w:hAnsi="Arial" w:cs="Arial"/>
          <w:lang w:eastAsia="es-ES"/>
        </w:rPr>
        <w:t>Omisión de respuesta</w:t>
      </w:r>
      <w:r w:rsidR="00EC666E">
        <w:rPr>
          <w:rFonts w:ascii="Arial" w:eastAsia="Arial Unicode MS" w:hAnsi="Arial" w:cs="Arial"/>
          <w:iCs/>
          <w:lang w:eastAsia="es-ES"/>
        </w:rPr>
        <w:t>”</w:t>
      </w:r>
    </w:p>
    <w:p w14:paraId="7F786E28" w14:textId="61ED7CE7" w:rsidR="00B610A4" w:rsidRDefault="00B610A4" w:rsidP="00B72644">
      <w:pPr>
        <w:spacing w:after="0" w:line="360" w:lineRule="auto"/>
        <w:ind w:left="1134" w:right="1183"/>
        <w:jc w:val="both"/>
        <w:rPr>
          <w:rFonts w:ascii="Arial" w:eastAsia="Arial Unicode MS" w:hAnsi="Arial" w:cs="Arial"/>
          <w:iCs/>
          <w:lang w:eastAsia="es-ES"/>
        </w:rPr>
      </w:pPr>
    </w:p>
    <w:p w14:paraId="6EDD852E" w14:textId="77777777" w:rsidR="00EC666E" w:rsidRPr="00B610A4" w:rsidRDefault="00EC666E" w:rsidP="00B72644">
      <w:pPr>
        <w:spacing w:after="0" w:line="360" w:lineRule="auto"/>
        <w:ind w:left="1134" w:right="1183"/>
        <w:jc w:val="both"/>
        <w:rPr>
          <w:rFonts w:ascii="Arial" w:eastAsia="Arial Unicode MS" w:hAnsi="Arial" w:cs="Arial"/>
          <w:iCs/>
          <w:lang w:eastAsia="es-ES"/>
        </w:rPr>
      </w:pPr>
    </w:p>
    <w:p w14:paraId="7DE4CBD6" w14:textId="29C4005E" w:rsidR="0093057A" w:rsidRPr="00F9028F" w:rsidRDefault="00325979" w:rsidP="0052000A">
      <w:pPr>
        <w:spacing w:after="0" w:line="360" w:lineRule="auto"/>
        <w:ind w:firstLine="708"/>
        <w:jc w:val="both"/>
        <w:rPr>
          <w:rFonts w:ascii="Arial" w:eastAsia="Times New Roman" w:hAnsi="Arial" w:cs="Arial"/>
          <w:sz w:val="24"/>
          <w:szCs w:val="24"/>
          <w:lang w:eastAsia="es-ES"/>
        </w:rPr>
      </w:pPr>
      <w:r w:rsidRPr="00F9028F">
        <w:rPr>
          <w:rFonts w:ascii="Arial" w:eastAsia="Times New Roman" w:hAnsi="Arial" w:cs="Arial"/>
          <w:b/>
          <w:sz w:val="24"/>
          <w:szCs w:val="24"/>
          <w:lang w:eastAsia="es-ES"/>
        </w:rPr>
        <w:lastRenderedPageBreak/>
        <w:t>TERCERO.</w:t>
      </w:r>
      <w:r w:rsidR="0093057A" w:rsidRPr="00F9028F">
        <w:rPr>
          <w:rFonts w:ascii="Arial" w:eastAsia="Times New Roman" w:hAnsi="Arial" w:cs="Arial"/>
          <w:sz w:val="24"/>
          <w:szCs w:val="24"/>
          <w:lang w:eastAsia="es-ES"/>
        </w:rPr>
        <w:t xml:space="preserve"> </w:t>
      </w:r>
      <w:r w:rsidR="0093057A" w:rsidRPr="00F9028F">
        <w:rPr>
          <w:rFonts w:ascii="Arial" w:eastAsia="Times New Roman" w:hAnsi="Arial" w:cs="Arial"/>
          <w:b/>
          <w:bCs/>
          <w:sz w:val="24"/>
          <w:szCs w:val="24"/>
          <w:lang w:eastAsia="es-ES"/>
        </w:rPr>
        <w:t>Turno.</w:t>
      </w:r>
      <w:r w:rsidR="0093057A" w:rsidRPr="00F9028F">
        <w:rPr>
          <w:rFonts w:ascii="Arial" w:eastAsia="Times New Roman" w:hAnsi="Arial" w:cs="Arial"/>
          <w:sz w:val="24"/>
          <w:szCs w:val="24"/>
          <w:lang w:eastAsia="es-ES"/>
        </w:rPr>
        <w:t xml:space="preserve"> El </w:t>
      </w:r>
      <w:r w:rsidR="00817833">
        <w:rPr>
          <w:rFonts w:ascii="Arial" w:eastAsia="Times New Roman" w:hAnsi="Arial" w:cs="Arial"/>
          <w:color w:val="FF0000"/>
          <w:sz w:val="24"/>
          <w:szCs w:val="24"/>
          <w:lang w:eastAsia="es-ES"/>
        </w:rPr>
        <w:t>veintisiete de abril de dos mil veintiséis</w:t>
      </w:r>
      <w:r w:rsidR="008E4105" w:rsidRPr="00F9028F">
        <w:rPr>
          <w:rFonts w:ascii="Arial" w:eastAsia="Times New Roman" w:hAnsi="Arial" w:cs="Arial"/>
          <w:sz w:val="24"/>
          <w:szCs w:val="24"/>
          <w:lang w:eastAsia="es-ES"/>
        </w:rPr>
        <w:t>,</w:t>
      </w:r>
      <w:r w:rsidR="0093057A" w:rsidRPr="00F9028F">
        <w:rPr>
          <w:rFonts w:ascii="Arial" w:eastAsia="Times New Roman" w:hAnsi="Arial" w:cs="Arial"/>
          <w:sz w:val="24"/>
          <w:szCs w:val="24"/>
          <w:lang w:eastAsia="es-ES"/>
        </w:rPr>
        <w:t xml:space="preserve"> de conformidad con el artículo 174, fracción I de la Ley de Transparencia y Acceso a la Información Pública del Estado, el Recurso de Revisió</w:t>
      </w:r>
      <w:r w:rsidR="008E4105" w:rsidRPr="00F9028F">
        <w:rPr>
          <w:rFonts w:ascii="Arial" w:eastAsia="Times New Roman" w:hAnsi="Arial" w:cs="Arial"/>
          <w:sz w:val="24"/>
          <w:szCs w:val="24"/>
          <w:lang w:eastAsia="es-ES"/>
        </w:rPr>
        <w:t>n que se resuelve fue turnado a</w:t>
      </w:r>
      <w:r w:rsidR="001C59E6">
        <w:rPr>
          <w:rFonts w:ascii="Arial" w:eastAsia="Times New Roman" w:hAnsi="Arial" w:cs="Arial"/>
          <w:sz w:val="24"/>
          <w:szCs w:val="24"/>
          <w:lang w:eastAsia="es-ES"/>
        </w:rPr>
        <w:t xml:space="preserve"> </w:t>
      </w:r>
      <w:r w:rsidR="0093057A" w:rsidRPr="00F9028F">
        <w:rPr>
          <w:rFonts w:ascii="Arial" w:eastAsia="Times New Roman" w:hAnsi="Arial" w:cs="Arial"/>
          <w:sz w:val="24"/>
          <w:szCs w:val="24"/>
          <w:lang w:eastAsia="es-ES"/>
        </w:rPr>
        <w:t>l</w:t>
      </w:r>
      <w:r w:rsidR="001C59E6">
        <w:rPr>
          <w:rFonts w:ascii="Arial" w:eastAsia="Times New Roman" w:hAnsi="Arial" w:cs="Arial"/>
          <w:sz w:val="24"/>
          <w:szCs w:val="24"/>
          <w:lang w:eastAsia="es-ES"/>
        </w:rPr>
        <w:t>a</w:t>
      </w:r>
      <w:r w:rsidR="0093057A" w:rsidRPr="00F9028F">
        <w:rPr>
          <w:rFonts w:ascii="Arial" w:eastAsia="Times New Roman" w:hAnsi="Arial" w:cs="Arial"/>
          <w:sz w:val="24"/>
          <w:szCs w:val="24"/>
          <w:lang w:eastAsia="es-ES"/>
        </w:rPr>
        <w:t xml:space="preserve"> Comisionad</w:t>
      </w:r>
      <w:r w:rsidR="001C59E6">
        <w:rPr>
          <w:rFonts w:ascii="Arial" w:eastAsia="Times New Roman" w:hAnsi="Arial" w:cs="Arial"/>
          <w:sz w:val="24"/>
          <w:szCs w:val="24"/>
          <w:lang w:eastAsia="es-ES"/>
        </w:rPr>
        <w:t>a</w:t>
      </w:r>
      <w:r w:rsidR="0093057A" w:rsidRPr="00F9028F">
        <w:rPr>
          <w:rFonts w:ascii="Arial" w:eastAsia="Times New Roman" w:hAnsi="Arial" w:cs="Arial"/>
          <w:sz w:val="24"/>
          <w:szCs w:val="24"/>
          <w:lang w:eastAsia="es-ES"/>
        </w:rPr>
        <w:t xml:space="preserve"> Ponente, para el análisis de su admisión o desechamiento. </w:t>
      </w:r>
    </w:p>
    <w:p w14:paraId="4D6CD6B7" w14:textId="77777777" w:rsidR="0093057A" w:rsidRPr="00F9028F" w:rsidRDefault="0093057A" w:rsidP="0052000A">
      <w:pPr>
        <w:spacing w:after="0" w:line="360" w:lineRule="auto"/>
        <w:jc w:val="both"/>
        <w:rPr>
          <w:rFonts w:ascii="Arial" w:eastAsia="Times New Roman" w:hAnsi="Arial" w:cs="Arial"/>
          <w:b/>
          <w:sz w:val="24"/>
          <w:szCs w:val="24"/>
          <w:lang w:eastAsia="es-ES"/>
        </w:rPr>
      </w:pPr>
    </w:p>
    <w:p w14:paraId="6375FBA0" w14:textId="03C0C672" w:rsidR="0093057A" w:rsidRPr="00F9028F" w:rsidRDefault="00325979" w:rsidP="0052000A">
      <w:pPr>
        <w:spacing w:after="0" w:line="360" w:lineRule="auto"/>
        <w:ind w:firstLine="708"/>
        <w:jc w:val="both"/>
        <w:rPr>
          <w:rFonts w:ascii="Arial" w:eastAsia="Times New Roman" w:hAnsi="Arial" w:cs="Arial"/>
          <w:b/>
          <w:bCs/>
          <w:sz w:val="24"/>
          <w:szCs w:val="24"/>
          <w:lang w:eastAsia="es-ES"/>
        </w:rPr>
      </w:pPr>
      <w:r w:rsidRPr="00F9028F">
        <w:rPr>
          <w:rFonts w:ascii="Arial" w:eastAsia="Times New Roman" w:hAnsi="Arial" w:cs="Arial"/>
          <w:b/>
          <w:sz w:val="24"/>
          <w:szCs w:val="24"/>
          <w:lang w:eastAsia="es-ES"/>
        </w:rPr>
        <w:t>CUARTO.</w:t>
      </w:r>
      <w:r w:rsidR="0093057A" w:rsidRPr="00F9028F">
        <w:rPr>
          <w:rFonts w:ascii="Arial" w:eastAsia="Times New Roman" w:hAnsi="Arial" w:cs="Arial"/>
          <w:sz w:val="24"/>
          <w:szCs w:val="24"/>
          <w:lang w:eastAsia="es-ES"/>
        </w:rPr>
        <w:t xml:space="preserve"> </w:t>
      </w:r>
      <w:r w:rsidR="00363337" w:rsidRPr="00F9028F">
        <w:rPr>
          <w:rFonts w:ascii="Arial" w:eastAsia="Times New Roman" w:hAnsi="Arial" w:cs="Arial"/>
          <w:b/>
          <w:bCs/>
          <w:sz w:val="24"/>
          <w:szCs w:val="24"/>
          <w:lang w:eastAsia="es-ES"/>
        </w:rPr>
        <w:t>A</w:t>
      </w:r>
      <w:r w:rsidR="0093057A" w:rsidRPr="00F9028F">
        <w:rPr>
          <w:rFonts w:ascii="Arial" w:eastAsia="Times New Roman" w:hAnsi="Arial" w:cs="Arial"/>
          <w:b/>
          <w:bCs/>
          <w:sz w:val="24"/>
          <w:szCs w:val="24"/>
          <w:lang w:eastAsia="es-ES"/>
        </w:rPr>
        <w:t xml:space="preserve">dmisión y trámite. </w:t>
      </w:r>
      <w:r w:rsidR="0093057A" w:rsidRPr="00F9028F">
        <w:rPr>
          <w:rFonts w:ascii="Arial" w:eastAsia="Times New Roman" w:hAnsi="Arial" w:cs="Arial"/>
          <w:sz w:val="24"/>
          <w:szCs w:val="24"/>
          <w:lang w:eastAsia="es-ES"/>
        </w:rPr>
        <w:t xml:space="preserve">El </w:t>
      </w:r>
      <w:r w:rsidR="00817833">
        <w:rPr>
          <w:rFonts w:ascii="Arial" w:eastAsia="Times New Roman" w:hAnsi="Arial" w:cs="Arial"/>
          <w:color w:val="FF0000"/>
          <w:sz w:val="24"/>
          <w:szCs w:val="24"/>
          <w:lang w:eastAsia="es-ES"/>
        </w:rPr>
        <w:t>veintisiete de abril de dos mil veintiséis</w:t>
      </w:r>
      <w:r w:rsidR="0093057A" w:rsidRPr="00F9028F">
        <w:rPr>
          <w:rFonts w:ascii="Arial" w:eastAsia="Times New Roman" w:hAnsi="Arial" w:cs="Arial"/>
          <w:sz w:val="24"/>
          <w:szCs w:val="24"/>
          <w:lang w:eastAsia="es-ES"/>
        </w:rPr>
        <w:t xml:space="preserve">, </w:t>
      </w:r>
      <w:r w:rsidR="00CB0B39" w:rsidRPr="00F9028F">
        <w:rPr>
          <w:rFonts w:ascii="Arial" w:eastAsia="Times New Roman" w:hAnsi="Arial" w:cs="Arial"/>
          <w:sz w:val="24"/>
          <w:szCs w:val="24"/>
          <w:lang w:eastAsia="es-ES"/>
        </w:rPr>
        <w:t>se</w:t>
      </w:r>
      <w:r w:rsidR="0093057A" w:rsidRPr="00F9028F">
        <w:rPr>
          <w:rFonts w:ascii="Arial" w:eastAsia="Times New Roman" w:hAnsi="Arial" w:cs="Arial"/>
          <w:sz w:val="24"/>
          <w:szCs w:val="24"/>
          <w:lang w:eastAsia="es-ES"/>
        </w:rPr>
        <w:t xml:space="preserve"> admitió el presente medio de impugnación por actualizarse la hipótesis </w:t>
      </w:r>
      <w:r w:rsidR="008E4105" w:rsidRPr="00F9028F">
        <w:rPr>
          <w:rFonts w:ascii="Arial" w:eastAsia="Times New Roman" w:hAnsi="Arial" w:cs="Arial"/>
          <w:sz w:val="24"/>
          <w:szCs w:val="24"/>
          <w:lang w:eastAsia="es-ES"/>
        </w:rPr>
        <w:t>contemplada en</w:t>
      </w:r>
      <w:r w:rsidR="0093057A" w:rsidRPr="00F9028F">
        <w:rPr>
          <w:rFonts w:ascii="Arial" w:eastAsia="Times New Roman" w:hAnsi="Arial" w:cs="Arial"/>
          <w:sz w:val="24"/>
          <w:szCs w:val="24"/>
          <w:lang w:eastAsia="es-ES"/>
        </w:rPr>
        <w:t xml:space="preserve"> la fracci</w:t>
      </w:r>
      <w:r w:rsidR="008E4105" w:rsidRPr="00F9028F">
        <w:rPr>
          <w:rFonts w:ascii="Arial" w:eastAsia="Times New Roman" w:hAnsi="Arial" w:cs="Arial"/>
          <w:sz w:val="24"/>
          <w:szCs w:val="24"/>
          <w:lang w:eastAsia="es-ES"/>
        </w:rPr>
        <w:t>ó</w:t>
      </w:r>
      <w:r w:rsidR="0093057A" w:rsidRPr="00F9028F">
        <w:rPr>
          <w:rFonts w:ascii="Arial" w:eastAsia="Times New Roman" w:hAnsi="Arial" w:cs="Arial"/>
          <w:sz w:val="24"/>
          <w:szCs w:val="24"/>
          <w:lang w:eastAsia="es-ES"/>
        </w:rPr>
        <w:t xml:space="preserve">n </w:t>
      </w:r>
      <w:r w:rsidR="00EC666E" w:rsidRPr="00EC666E">
        <w:rPr>
          <w:rFonts w:ascii="Arial" w:eastAsia="Times New Roman" w:hAnsi="Arial" w:cs="Arial"/>
          <w:color w:val="FF0000"/>
          <w:sz w:val="24"/>
          <w:szCs w:val="24"/>
          <w:lang w:eastAsia="es-ES"/>
        </w:rPr>
        <w:t>V</w:t>
      </w:r>
      <w:r w:rsidR="002C0E23" w:rsidRPr="00EC666E">
        <w:rPr>
          <w:rFonts w:ascii="Arial" w:eastAsia="Times New Roman" w:hAnsi="Arial" w:cs="Arial"/>
          <w:color w:val="FF0000"/>
          <w:sz w:val="24"/>
          <w:szCs w:val="24"/>
          <w:lang w:eastAsia="es-ES"/>
        </w:rPr>
        <w:t>I</w:t>
      </w:r>
      <w:r w:rsidR="00CB0B39" w:rsidRPr="00F9028F">
        <w:rPr>
          <w:rFonts w:ascii="Arial" w:eastAsia="Times New Roman" w:hAnsi="Arial" w:cs="Arial"/>
          <w:sz w:val="24"/>
          <w:szCs w:val="24"/>
          <w:lang w:eastAsia="es-ES"/>
        </w:rPr>
        <w:t xml:space="preserve"> </w:t>
      </w:r>
      <w:r w:rsidR="0093057A" w:rsidRPr="00F9028F">
        <w:rPr>
          <w:rFonts w:ascii="Arial" w:eastAsia="Times New Roman" w:hAnsi="Arial" w:cs="Arial"/>
          <w:sz w:val="24"/>
          <w:szCs w:val="24"/>
          <w:lang w:eastAsia="es-ES"/>
        </w:rPr>
        <w:t xml:space="preserve">del artículo 167 de la Ley de Transparencia y Acceso a la Información Pública del Estado, </w:t>
      </w:r>
      <w:r w:rsidR="00CB0B39" w:rsidRPr="00F9028F">
        <w:rPr>
          <w:rFonts w:ascii="Arial" w:eastAsia="Times New Roman" w:hAnsi="Arial" w:cs="Arial"/>
          <w:sz w:val="24"/>
          <w:szCs w:val="24"/>
          <w:lang w:eastAsia="es-ES"/>
        </w:rPr>
        <w:t>asimismo se</w:t>
      </w:r>
      <w:r w:rsidR="0093057A" w:rsidRPr="00F9028F">
        <w:rPr>
          <w:rFonts w:ascii="Arial" w:eastAsia="Times New Roman" w:hAnsi="Arial" w:cs="Arial"/>
          <w:sz w:val="24"/>
          <w:szCs w:val="24"/>
          <w:lang w:eastAsia="es-ES"/>
        </w:rPr>
        <w:t xml:space="preserve"> puso</w:t>
      </w:r>
      <w:r w:rsidR="00CB0B39" w:rsidRPr="00F9028F">
        <w:rPr>
          <w:rFonts w:ascii="Arial" w:eastAsia="Times New Roman" w:hAnsi="Arial" w:cs="Arial"/>
          <w:sz w:val="24"/>
          <w:szCs w:val="24"/>
          <w:lang w:eastAsia="es-ES"/>
        </w:rPr>
        <w:t xml:space="preserve"> el expediente</w:t>
      </w:r>
      <w:r w:rsidR="0093057A" w:rsidRPr="00F9028F">
        <w:rPr>
          <w:rFonts w:ascii="Arial" w:eastAsia="Times New Roman" w:hAnsi="Arial" w:cs="Arial"/>
          <w:sz w:val="24"/>
          <w:szCs w:val="24"/>
          <w:lang w:eastAsia="es-ES"/>
        </w:rPr>
        <w:t xml:space="preserve"> a disposición de las partes para que en el plazo que reconoce la ley manifestaran lo que a su derecho conviniera y ofrecieran las pruebas que consideraran pertinentes, esto según lo dispuesto en la fracción II y III del artículo 174 de la Ley de Transparencia Local. </w:t>
      </w:r>
    </w:p>
    <w:p w14:paraId="40431E77" w14:textId="77777777" w:rsidR="0093057A" w:rsidRPr="00F9028F" w:rsidRDefault="0093057A" w:rsidP="0052000A">
      <w:pPr>
        <w:spacing w:after="0" w:line="360" w:lineRule="auto"/>
        <w:ind w:firstLine="708"/>
        <w:jc w:val="both"/>
        <w:rPr>
          <w:rFonts w:ascii="Arial" w:eastAsia="Times New Roman" w:hAnsi="Arial" w:cs="Arial"/>
          <w:sz w:val="24"/>
          <w:szCs w:val="24"/>
          <w:lang w:eastAsia="es-ES"/>
        </w:rPr>
      </w:pPr>
    </w:p>
    <w:p w14:paraId="7147B198" w14:textId="7326851A" w:rsidR="00904021" w:rsidRPr="00F9028F" w:rsidRDefault="00325979" w:rsidP="00937A95">
      <w:pPr>
        <w:spacing w:after="0" w:line="360" w:lineRule="auto"/>
        <w:ind w:firstLine="708"/>
        <w:jc w:val="both"/>
        <w:rPr>
          <w:rFonts w:ascii="Arial" w:eastAsia="Times New Roman" w:hAnsi="Arial" w:cs="Arial"/>
          <w:sz w:val="24"/>
          <w:szCs w:val="24"/>
          <w:lang w:val="es-ES" w:eastAsia="es-ES"/>
        </w:rPr>
      </w:pPr>
      <w:r w:rsidRPr="00F9028F">
        <w:rPr>
          <w:rFonts w:ascii="Arial" w:eastAsia="Times New Roman" w:hAnsi="Arial" w:cs="Arial"/>
          <w:b/>
          <w:sz w:val="24"/>
          <w:szCs w:val="24"/>
          <w:lang w:eastAsia="es-ES"/>
        </w:rPr>
        <w:t>QUINTO.</w:t>
      </w:r>
      <w:r w:rsidR="0093057A" w:rsidRPr="00F9028F">
        <w:rPr>
          <w:rFonts w:ascii="Arial" w:eastAsia="Times New Roman" w:hAnsi="Arial" w:cs="Arial"/>
          <w:b/>
          <w:sz w:val="24"/>
          <w:szCs w:val="24"/>
          <w:lang w:eastAsia="es-ES"/>
        </w:rPr>
        <w:t xml:space="preserve"> </w:t>
      </w:r>
      <w:r w:rsidR="0093057A" w:rsidRPr="00F9028F">
        <w:rPr>
          <w:rFonts w:ascii="Arial" w:eastAsia="Times New Roman" w:hAnsi="Arial" w:cs="Arial"/>
          <w:b/>
          <w:bCs/>
          <w:sz w:val="24"/>
          <w:szCs w:val="24"/>
          <w:lang w:eastAsia="es-ES"/>
        </w:rPr>
        <w:t>Manifestaci</w:t>
      </w:r>
      <w:r w:rsidR="00FE3C7E" w:rsidRPr="00F9028F">
        <w:rPr>
          <w:rFonts w:ascii="Arial" w:eastAsia="Times New Roman" w:hAnsi="Arial" w:cs="Arial"/>
          <w:b/>
          <w:bCs/>
          <w:sz w:val="24"/>
          <w:szCs w:val="24"/>
          <w:lang w:eastAsia="es-ES"/>
        </w:rPr>
        <w:t>ón</w:t>
      </w:r>
      <w:r w:rsidR="0093057A" w:rsidRPr="00F9028F">
        <w:rPr>
          <w:rFonts w:ascii="Arial" w:eastAsia="Times New Roman" w:hAnsi="Arial" w:cs="Arial"/>
          <w:b/>
          <w:bCs/>
          <w:sz w:val="24"/>
          <w:szCs w:val="24"/>
          <w:lang w:eastAsia="es-ES"/>
        </w:rPr>
        <w:t xml:space="preserve"> de las partes</w:t>
      </w:r>
      <w:r w:rsidR="00070EFF">
        <w:rPr>
          <w:rFonts w:ascii="Arial" w:eastAsia="Times New Roman" w:hAnsi="Arial" w:cs="Arial"/>
          <w:b/>
          <w:bCs/>
          <w:sz w:val="24"/>
          <w:szCs w:val="24"/>
          <w:lang w:eastAsia="es-ES"/>
        </w:rPr>
        <w:t xml:space="preserve"> y cierre de instrucción</w:t>
      </w:r>
      <w:r w:rsidR="0093057A" w:rsidRPr="00F9028F">
        <w:rPr>
          <w:rFonts w:ascii="Arial" w:eastAsia="Times New Roman" w:hAnsi="Arial" w:cs="Arial"/>
          <w:b/>
          <w:bCs/>
          <w:sz w:val="24"/>
          <w:szCs w:val="24"/>
          <w:lang w:eastAsia="es-ES"/>
        </w:rPr>
        <w:t xml:space="preserve">. </w:t>
      </w:r>
      <w:r w:rsidR="00BA2AAC" w:rsidRPr="00F9028F">
        <w:rPr>
          <w:rFonts w:ascii="Arial" w:eastAsia="Times New Roman" w:hAnsi="Arial" w:cs="Arial"/>
          <w:bCs/>
          <w:sz w:val="24"/>
          <w:szCs w:val="24"/>
          <w:lang w:eastAsia="es-ES"/>
        </w:rPr>
        <w:t xml:space="preserve">El </w:t>
      </w:r>
      <w:r w:rsidR="00817833">
        <w:rPr>
          <w:rFonts w:ascii="Arial" w:eastAsia="Times New Roman" w:hAnsi="Arial" w:cs="Arial"/>
          <w:bCs/>
          <w:color w:val="FF0000"/>
          <w:sz w:val="24"/>
          <w:szCs w:val="24"/>
          <w:lang w:eastAsia="es-ES"/>
        </w:rPr>
        <w:t>dieciocho de mayo de dos mil veintiséis</w:t>
      </w:r>
      <w:r w:rsidR="0093057A" w:rsidRPr="00F9028F">
        <w:rPr>
          <w:rFonts w:ascii="Arial" w:eastAsia="Times New Roman" w:hAnsi="Arial" w:cs="Arial"/>
          <w:sz w:val="24"/>
          <w:szCs w:val="24"/>
          <w:lang w:eastAsia="es-ES"/>
        </w:rPr>
        <w:t xml:space="preserve">, </w:t>
      </w:r>
      <w:r w:rsidR="00D3311D" w:rsidRPr="00F9028F">
        <w:rPr>
          <w:rFonts w:ascii="Arial" w:eastAsia="Times New Roman" w:hAnsi="Arial" w:cs="Arial"/>
          <w:sz w:val="24"/>
          <w:szCs w:val="24"/>
          <w:lang w:eastAsia="es-ES"/>
        </w:rPr>
        <w:t xml:space="preserve">se </w:t>
      </w:r>
      <w:r w:rsidR="00BA2AAC" w:rsidRPr="00F9028F">
        <w:rPr>
          <w:rFonts w:ascii="Arial" w:eastAsia="Times New Roman" w:hAnsi="Arial" w:cs="Arial"/>
          <w:sz w:val="24"/>
          <w:szCs w:val="24"/>
          <w:lang w:eastAsia="es-ES"/>
        </w:rPr>
        <w:t>dictó un proveído por el cual</w:t>
      </w:r>
      <w:r w:rsidR="00904021" w:rsidRPr="00F9028F">
        <w:rPr>
          <w:rFonts w:ascii="Arial" w:eastAsia="Times New Roman" w:hAnsi="Arial" w:cs="Arial"/>
          <w:sz w:val="24"/>
          <w:szCs w:val="24"/>
          <w:lang w:val="es-ES" w:eastAsia="es-ES"/>
        </w:rPr>
        <w:t xml:space="preserve"> se dejó asentado que</w:t>
      </w:r>
      <w:r w:rsidR="00937A95">
        <w:rPr>
          <w:rFonts w:ascii="Arial" w:eastAsia="Times New Roman" w:hAnsi="Arial" w:cs="Arial"/>
          <w:sz w:val="24"/>
          <w:szCs w:val="24"/>
          <w:lang w:val="es-ES" w:eastAsia="es-ES"/>
        </w:rPr>
        <w:t xml:space="preserve"> las partes</w:t>
      </w:r>
      <w:r w:rsidR="00904021" w:rsidRPr="00F9028F">
        <w:rPr>
          <w:rFonts w:ascii="Arial" w:eastAsia="Times New Roman" w:hAnsi="Arial" w:cs="Arial"/>
          <w:sz w:val="24"/>
          <w:szCs w:val="24"/>
          <w:lang w:val="es-ES" w:eastAsia="es-ES"/>
        </w:rPr>
        <w:t xml:space="preserve"> fue</w:t>
      </w:r>
      <w:r w:rsidR="00937A95">
        <w:rPr>
          <w:rFonts w:ascii="Arial" w:eastAsia="Times New Roman" w:hAnsi="Arial" w:cs="Arial"/>
          <w:sz w:val="24"/>
          <w:szCs w:val="24"/>
          <w:lang w:val="es-ES" w:eastAsia="es-ES"/>
        </w:rPr>
        <w:t>ron</w:t>
      </w:r>
      <w:r w:rsidR="00904021" w:rsidRPr="00F9028F">
        <w:rPr>
          <w:rFonts w:ascii="Arial" w:eastAsia="Times New Roman" w:hAnsi="Arial" w:cs="Arial"/>
          <w:sz w:val="24"/>
          <w:szCs w:val="24"/>
          <w:lang w:val="es-ES" w:eastAsia="es-ES"/>
        </w:rPr>
        <w:t xml:space="preserve"> omisa</w:t>
      </w:r>
      <w:r w:rsidR="00937A95">
        <w:rPr>
          <w:rFonts w:ascii="Arial" w:eastAsia="Times New Roman" w:hAnsi="Arial" w:cs="Arial"/>
          <w:sz w:val="24"/>
          <w:szCs w:val="24"/>
          <w:lang w:val="es-ES" w:eastAsia="es-ES"/>
        </w:rPr>
        <w:t>s</w:t>
      </w:r>
      <w:r w:rsidR="00904021" w:rsidRPr="00F9028F">
        <w:rPr>
          <w:rFonts w:ascii="Arial" w:eastAsia="Times New Roman" w:hAnsi="Arial" w:cs="Arial"/>
          <w:sz w:val="24"/>
          <w:szCs w:val="24"/>
          <w:lang w:val="es-ES" w:eastAsia="es-ES"/>
        </w:rPr>
        <w:t xml:space="preserve"> en expresar alegato alguno y ofrecer pruebas en el plazo establecido para tal efecto. </w:t>
      </w:r>
    </w:p>
    <w:p w14:paraId="4BCD444A" w14:textId="77777777" w:rsidR="00904021" w:rsidRPr="00F9028F" w:rsidRDefault="00904021" w:rsidP="0052000A">
      <w:pPr>
        <w:spacing w:after="0" w:line="360" w:lineRule="auto"/>
        <w:ind w:firstLine="708"/>
        <w:jc w:val="both"/>
        <w:rPr>
          <w:rFonts w:ascii="Arial" w:eastAsia="Times New Roman" w:hAnsi="Arial" w:cs="Arial"/>
          <w:sz w:val="24"/>
          <w:szCs w:val="24"/>
          <w:lang w:val="es-ES" w:eastAsia="es-ES"/>
        </w:rPr>
      </w:pPr>
    </w:p>
    <w:p w14:paraId="6A77E5E3" w14:textId="74346A74" w:rsidR="00F474DB" w:rsidRPr="00F9028F" w:rsidRDefault="00937A95" w:rsidP="00BA2AAC">
      <w:pPr>
        <w:spacing w:after="0" w:line="360" w:lineRule="auto"/>
        <w:ind w:firstLine="708"/>
        <w:jc w:val="both"/>
        <w:rPr>
          <w:rFonts w:ascii="Arial" w:eastAsia="Times New Roman" w:hAnsi="Arial" w:cs="Arial"/>
          <w:bCs/>
          <w:sz w:val="24"/>
          <w:szCs w:val="24"/>
          <w:lang w:eastAsia="es-ES"/>
        </w:rPr>
      </w:pPr>
      <w:r w:rsidRPr="00937A95">
        <w:rPr>
          <w:rFonts w:ascii="Arial" w:eastAsia="Times New Roman" w:hAnsi="Arial" w:cs="Arial"/>
          <w:bCs/>
          <w:sz w:val="24"/>
          <w:szCs w:val="24"/>
          <w:lang w:eastAsia="es-ES"/>
        </w:rPr>
        <w:t>En el contexto del mismo proveído,</w:t>
      </w:r>
      <w:r w:rsidR="00BA2AAC" w:rsidRPr="00F9028F">
        <w:rPr>
          <w:rFonts w:ascii="Arial" w:eastAsia="Times New Roman" w:hAnsi="Arial" w:cs="Arial"/>
          <w:bCs/>
          <w:sz w:val="24"/>
          <w:szCs w:val="24"/>
          <w:lang w:eastAsia="es-ES"/>
        </w:rPr>
        <w:t xml:space="preserve"> sin más actuaciones y documentos que valorar, </w:t>
      </w:r>
      <w:r w:rsidR="0093057A" w:rsidRPr="00F9028F">
        <w:rPr>
          <w:rFonts w:ascii="Arial" w:hAnsi="Arial" w:cs="Arial"/>
          <w:sz w:val="24"/>
          <w:szCs w:val="24"/>
        </w:rPr>
        <w:t xml:space="preserve">se decretó el </w:t>
      </w:r>
      <w:r w:rsidR="00301143">
        <w:rPr>
          <w:rFonts w:ascii="Arial" w:hAnsi="Arial" w:cs="Arial"/>
          <w:sz w:val="24"/>
          <w:szCs w:val="24"/>
          <w:u w:val="single"/>
        </w:rPr>
        <w:t>c</w:t>
      </w:r>
      <w:r w:rsidR="0093057A" w:rsidRPr="00F27066">
        <w:rPr>
          <w:rFonts w:ascii="Arial" w:hAnsi="Arial" w:cs="Arial"/>
          <w:sz w:val="24"/>
          <w:szCs w:val="24"/>
          <w:u w:val="single"/>
        </w:rPr>
        <w:t>ierre de Instrucción</w:t>
      </w:r>
      <w:r w:rsidR="0093057A" w:rsidRPr="00F9028F">
        <w:rPr>
          <w:rFonts w:ascii="Arial" w:hAnsi="Arial" w:cs="Arial"/>
          <w:sz w:val="24"/>
          <w:szCs w:val="24"/>
        </w:rPr>
        <w:t xml:space="preserve"> del expediente formado con motivo del presente recurso de revisión, a fin de que la ponente presentara el proyecto de resolución correspondiente.</w:t>
      </w:r>
    </w:p>
    <w:p w14:paraId="1F3B816E" w14:textId="77777777" w:rsidR="00F474DB" w:rsidRPr="00F9028F" w:rsidRDefault="00F474DB" w:rsidP="0052000A">
      <w:pPr>
        <w:spacing w:after="0" w:line="360" w:lineRule="auto"/>
        <w:ind w:firstLine="708"/>
        <w:jc w:val="both"/>
        <w:rPr>
          <w:rFonts w:ascii="Arial" w:hAnsi="Arial" w:cs="Arial"/>
          <w:sz w:val="24"/>
          <w:szCs w:val="24"/>
        </w:rPr>
      </w:pPr>
    </w:p>
    <w:p w14:paraId="11E529EF" w14:textId="6B3322C7" w:rsidR="00904021" w:rsidRDefault="00904021" w:rsidP="0052000A">
      <w:pPr>
        <w:spacing w:after="0" w:line="360" w:lineRule="auto"/>
        <w:ind w:firstLine="708"/>
        <w:jc w:val="both"/>
        <w:rPr>
          <w:rFonts w:ascii="Arial" w:hAnsi="Arial" w:cs="Arial"/>
          <w:sz w:val="24"/>
          <w:szCs w:val="24"/>
        </w:rPr>
      </w:pPr>
      <w:r w:rsidRPr="00F9028F">
        <w:rPr>
          <w:rFonts w:ascii="Arial" w:hAnsi="Arial" w:cs="Arial"/>
          <w:sz w:val="24"/>
          <w:szCs w:val="24"/>
        </w:rPr>
        <w:t xml:space="preserve">En razón de que fue debidamente sustanciado el expediente y no existe diligencia pendiente de desahogo, se emite la Resolución </w:t>
      </w:r>
      <w:r w:rsidR="00C94280" w:rsidRPr="00F9028F">
        <w:rPr>
          <w:rFonts w:ascii="Arial" w:hAnsi="Arial" w:cs="Arial"/>
          <w:sz w:val="24"/>
          <w:szCs w:val="24"/>
        </w:rPr>
        <w:t xml:space="preserve">conforme los siguientes: </w:t>
      </w:r>
    </w:p>
    <w:p w14:paraId="23CA22D5" w14:textId="77777777" w:rsidR="0052119E" w:rsidRPr="00F9028F" w:rsidRDefault="0052119E" w:rsidP="0052000A">
      <w:pPr>
        <w:spacing w:after="0" w:line="360" w:lineRule="auto"/>
        <w:ind w:firstLine="708"/>
        <w:jc w:val="both"/>
        <w:rPr>
          <w:rFonts w:ascii="Arial" w:hAnsi="Arial" w:cs="Arial"/>
          <w:sz w:val="24"/>
          <w:szCs w:val="24"/>
        </w:rPr>
      </w:pPr>
    </w:p>
    <w:p w14:paraId="468F1B19" w14:textId="6FA9891D" w:rsidR="006D3B1C" w:rsidRPr="00F9028F" w:rsidRDefault="006D3B1C" w:rsidP="0052000A">
      <w:pPr>
        <w:spacing w:after="0" w:line="360" w:lineRule="auto"/>
        <w:jc w:val="center"/>
        <w:outlineLvl w:val="0"/>
        <w:rPr>
          <w:rFonts w:ascii="Arial" w:eastAsia="Times New Roman" w:hAnsi="Arial" w:cs="Arial"/>
          <w:b/>
          <w:sz w:val="24"/>
          <w:szCs w:val="24"/>
          <w:lang w:val="pt-BR" w:eastAsia="es-ES"/>
        </w:rPr>
      </w:pPr>
      <w:r w:rsidRPr="00F9028F">
        <w:rPr>
          <w:rFonts w:ascii="Arial" w:eastAsia="Times New Roman" w:hAnsi="Arial" w:cs="Arial"/>
          <w:b/>
          <w:sz w:val="24"/>
          <w:szCs w:val="24"/>
          <w:lang w:val="pt-BR" w:eastAsia="es-ES"/>
        </w:rPr>
        <w:t>C O N S I D E R A N D O</w:t>
      </w:r>
      <w:r w:rsidR="00C94280" w:rsidRPr="00F9028F">
        <w:rPr>
          <w:rFonts w:ascii="Arial" w:eastAsia="Times New Roman" w:hAnsi="Arial" w:cs="Arial"/>
          <w:b/>
          <w:sz w:val="24"/>
          <w:szCs w:val="24"/>
          <w:lang w:val="pt-BR" w:eastAsia="es-ES"/>
        </w:rPr>
        <w:t xml:space="preserve"> S</w:t>
      </w:r>
    </w:p>
    <w:p w14:paraId="7B0F7089" w14:textId="77777777" w:rsidR="006D3B1C" w:rsidRPr="00F9028F" w:rsidRDefault="006D3B1C" w:rsidP="0052000A">
      <w:pPr>
        <w:spacing w:after="0" w:line="360" w:lineRule="auto"/>
        <w:jc w:val="center"/>
        <w:outlineLvl w:val="0"/>
        <w:rPr>
          <w:rFonts w:ascii="Arial" w:eastAsia="Times New Roman" w:hAnsi="Arial" w:cs="Arial"/>
          <w:b/>
          <w:sz w:val="24"/>
          <w:szCs w:val="24"/>
          <w:lang w:val="pt-BR" w:eastAsia="es-ES"/>
        </w:rPr>
      </w:pPr>
    </w:p>
    <w:p w14:paraId="4C3D4083" w14:textId="77777777" w:rsidR="002951F6" w:rsidRPr="002951F6" w:rsidRDefault="006D3B1C" w:rsidP="002951F6">
      <w:pPr>
        <w:spacing w:after="0" w:line="360" w:lineRule="auto"/>
        <w:ind w:firstLine="708"/>
        <w:jc w:val="both"/>
        <w:rPr>
          <w:rFonts w:ascii="Arial" w:eastAsia="Arial Unicode MS" w:hAnsi="Arial" w:cs="Arial"/>
          <w:sz w:val="24"/>
          <w:szCs w:val="24"/>
          <w:lang w:eastAsia="es-ES"/>
        </w:rPr>
      </w:pPr>
      <w:r w:rsidRPr="00F9028F">
        <w:rPr>
          <w:rFonts w:ascii="Arial" w:eastAsia="Arial Unicode MS" w:hAnsi="Arial" w:cs="Arial"/>
          <w:b/>
          <w:bCs/>
          <w:sz w:val="24"/>
          <w:szCs w:val="24"/>
          <w:lang w:eastAsia="es-ES"/>
        </w:rPr>
        <w:t>PRIMERO.</w:t>
      </w:r>
      <w:r w:rsidRPr="00F9028F">
        <w:rPr>
          <w:rFonts w:ascii="Arial" w:eastAsia="Arial Unicode MS" w:hAnsi="Arial" w:cs="Arial"/>
          <w:b/>
          <w:sz w:val="24"/>
          <w:szCs w:val="24"/>
          <w:lang w:eastAsia="es-ES"/>
        </w:rPr>
        <w:t> </w:t>
      </w:r>
      <w:r w:rsidRPr="00F9028F">
        <w:rPr>
          <w:rFonts w:ascii="Arial" w:eastAsia="Arial Unicode MS" w:hAnsi="Arial" w:cs="Arial"/>
          <w:b/>
          <w:bCs/>
          <w:sz w:val="24"/>
          <w:szCs w:val="24"/>
          <w:lang w:eastAsia="es-ES"/>
        </w:rPr>
        <w:t>Competencia.</w:t>
      </w:r>
      <w:r w:rsidRPr="00F9028F">
        <w:rPr>
          <w:rFonts w:ascii="Arial" w:eastAsia="Arial Unicode MS" w:hAnsi="Arial" w:cs="Arial"/>
          <w:b/>
          <w:sz w:val="24"/>
          <w:szCs w:val="24"/>
          <w:lang w:eastAsia="es-ES"/>
        </w:rPr>
        <w:t> </w:t>
      </w:r>
      <w:r w:rsidR="002951F6" w:rsidRPr="002951F6">
        <w:rPr>
          <w:rFonts w:ascii="Arial" w:eastAsia="Arial Unicode MS" w:hAnsi="Arial" w:cs="Arial"/>
          <w:sz w:val="24"/>
          <w:szCs w:val="24"/>
          <w:lang w:eastAsia="es-ES"/>
        </w:rPr>
        <w:t xml:space="preserve">El Pleno de esta Comisión Estatal de Garantía de Acceso a la Información Pública es competente para resolver el presente recurso de revisión de conformidad con el Transitorio OCTAVO del DECRETO 0506, publicado en la edición extraordinaria del miércoles 01 primero de abril de </w:t>
      </w:r>
      <w:r w:rsidR="002951F6" w:rsidRPr="002951F6">
        <w:rPr>
          <w:rFonts w:ascii="Arial" w:eastAsia="Arial Unicode MS" w:hAnsi="Arial" w:cs="Arial"/>
          <w:sz w:val="24"/>
          <w:szCs w:val="24"/>
          <w:lang w:eastAsia="es-ES"/>
        </w:rPr>
        <w:lastRenderedPageBreak/>
        <w:t>2026 dos mil veintiséis, del Periódico Oficial del Estado de San Luis Potosí; artículos 34 fracción I y II, 35 fracción I, 174 fracción VII y 175 de la Ley de Transparencia y Acceso a la Información Pública del Estado de San Luis Potosí; así como de los artículos 2°, 5º, 8 fracción I y II, 9°, 11 y 12, fracciones I, XI y XXV del Reglamento Interior de la Comisión Estatal de Garantía de Acceso a la Información Pública. </w:t>
      </w:r>
    </w:p>
    <w:p w14:paraId="0B9C3108" w14:textId="32D2636E" w:rsidR="003C25FD" w:rsidRPr="00F9028F" w:rsidRDefault="003C25FD" w:rsidP="000D311E">
      <w:pPr>
        <w:spacing w:after="0" w:line="360" w:lineRule="auto"/>
        <w:ind w:firstLine="708"/>
        <w:jc w:val="both"/>
        <w:rPr>
          <w:rFonts w:ascii="Arial" w:hAnsi="Arial" w:cs="Arial"/>
          <w:sz w:val="24"/>
          <w:szCs w:val="24"/>
        </w:rPr>
      </w:pPr>
    </w:p>
    <w:p w14:paraId="487A5CAC" w14:textId="4E384EA1" w:rsidR="00E27C8B" w:rsidRPr="00F9028F" w:rsidRDefault="00E27C8B" w:rsidP="008E2C6E">
      <w:pPr>
        <w:spacing w:after="0" w:line="360" w:lineRule="auto"/>
        <w:ind w:firstLine="708"/>
        <w:jc w:val="both"/>
        <w:rPr>
          <w:rFonts w:ascii="Arial" w:eastAsia="Arial Unicode MS" w:hAnsi="Arial" w:cs="Arial"/>
          <w:bCs/>
          <w:sz w:val="24"/>
          <w:szCs w:val="24"/>
          <w:lang w:eastAsia="es-ES"/>
        </w:rPr>
      </w:pPr>
      <w:bookmarkStart w:id="1" w:name="_Toc209010495"/>
      <w:r w:rsidRPr="00F9028F">
        <w:rPr>
          <w:rFonts w:ascii="Arial" w:eastAsia="Arial Unicode MS" w:hAnsi="Arial" w:cs="Arial"/>
          <w:b/>
          <w:sz w:val="24"/>
          <w:szCs w:val="24"/>
          <w:lang w:eastAsia="es-ES"/>
        </w:rPr>
        <w:t xml:space="preserve">SEGUNDO. Legitimidad. </w:t>
      </w:r>
      <w:r w:rsidRPr="00F9028F">
        <w:rPr>
          <w:rFonts w:ascii="Arial" w:eastAsia="Arial Unicode MS" w:hAnsi="Arial" w:cs="Arial"/>
          <w:bCs/>
          <w:sz w:val="24"/>
          <w:szCs w:val="24"/>
          <w:lang w:eastAsia="es-ES"/>
        </w:rPr>
        <w:t xml:space="preserve">El Recurso de Revisión fue interpuesto por la parte legitimada, ya que la impugnación que se examina fue realizada </w:t>
      </w:r>
      <w:r w:rsidR="00D130B5">
        <w:rPr>
          <w:rFonts w:ascii="Arial" w:eastAsia="Arial Unicode MS" w:hAnsi="Arial" w:cs="Arial"/>
          <w:bCs/>
          <w:sz w:val="24"/>
          <w:szCs w:val="24"/>
          <w:lang w:eastAsia="es-ES"/>
        </w:rPr>
        <w:t xml:space="preserve">por la persona particular que presentó la solicitud de acceso a la información pública, </w:t>
      </w:r>
      <w:r w:rsidR="008E2C6E" w:rsidRPr="008E2C6E">
        <w:rPr>
          <w:rFonts w:ascii="Arial" w:eastAsia="Arial Unicode MS" w:hAnsi="Arial" w:cs="Arial"/>
          <w:bCs/>
          <w:sz w:val="24"/>
          <w:szCs w:val="24"/>
          <w:lang w:eastAsia="es-ES"/>
        </w:rPr>
        <w:t>circunstancia que se equipara</w:t>
      </w:r>
      <w:r w:rsidR="008E2C6E">
        <w:rPr>
          <w:rFonts w:ascii="Arial" w:eastAsia="Arial Unicode MS" w:hAnsi="Arial" w:cs="Arial"/>
          <w:bCs/>
          <w:sz w:val="24"/>
          <w:szCs w:val="24"/>
          <w:lang w:eastAsia="es-ES"/>
        </w:rPr>
        <w:t xml:space="preserve"> </w:t>
      </w:r>
      <w:r w:rsidR="008E2C6E" w:rsidRPr="008E2C6E">
        <w:rPr>
          <w:rFonts w:ascii="Arial" w:eastAsia="Arial Unicode MS" w:hAnsi="Arial" w:cs="Arial"/>
          <w:bCs/>
          <w:sz w:val="24"/>
          <w:szCs w:val="24"/>
          <w:lang w:eastAsia="es-ES"/>
        </w:rPr>
        <w:t>al principio de instancia de parte agraviada porque garantiza la identidad de</w:t>
      </w:r>
      <w:r w:rsidR="008E2C6E">
        <w:rPr>
          <w:rFonts w:ascii="Arial" w:eastAsia="Arial Unicode MS" w:hAnsi="Arial" w:cs="Arial"/>
          <w:bCs/>
          <w:sz w:val="24"/>
          <w:szCs w:val="24"/>
          <w:lang w:eastAsia="es-ES"/>
        </w:rPr>
        <w:t xml:space="preserve"> </w:t>
      </w:r>
      <w:r w:rsidR="008E2C6E" w:rsidRPr="008E2C6E">
        <w:rPr>
          <w:rFonts w:ascii="Arial" w:eastAsia="Arial Unicode MS" w:hAnsi="Arial" w:cs="Arial"/>
          <w:bCs/>
          <w:sz w:val="24"/>
          <w:szCs w:val="24"/>
          <w:lang w:eastAsia="es-ES"/>
        </w:rPr>
        <w:t xml:space="preserve">quien promueve el presente recurso de </w:t>
      </w:r>
      <w:r w:rsidR="0052119E" w:rsidRPr="008E2C6E">
        <w:rPr>
          <w:rFonts w:ascii="Arial" w:eastAsia="Arial Unicode MS" w:hAnsi="Arial" w:cs="Arial"/>
          <w:bCs/>
          <w:sz w:val="24"/>
          <w:szCs w:val="24"/>
          <w:lang w:eastAsia="es-ES"/>
        </w:rPr>
        <w:t>revisión.</w:t>
      </w:r>
    </w:p>
    <w:p w14:paraId="270E5908" w14:textId="77777777" w:rsidR="00E27C8B" w:rsidRPr="00F9028F" w:rsidRDefault="00E27C8B" w:rsidP="00E27C8B">
      <w:pPr>
        <w:spacing w:after="0" w:line="360" w:lineRule="auto"/>
        <w:ind w:firstLine="708"/>
        <w:jc w:val="both"/>
        <w:rPr>
          <w:rFonts w:ascii="Arial" w:eastAsia="Arial Unicode MS" w:hAnsi="Arial" w:cs="Arial"/>
          <w:bCs/>
          <w:sz w:val="24"/>
          <w:szCs w:val="24"/>
          <w:lang w:eastAsia="es-ES"/>
        </w:rPr>
      </w:pPr>
    </w:p>
    <w:p w14:paraId="685A1FB5" w14:textId="12F577C1" w:rsidR="001233DD" w:rsidRPr="00F9028F" w:rsidRDefault="00E27C8B" w:rsidP="001233DD">
      <w:pPr>
        <w:spacing w:after="0" w:line="360" w:lineRule="auto"/>
        <w:ind w:firstLine="708"/>
        <w:jc w:val="both"/>
        <w:rPr>
          <w:rFonts w:ascii="Arial" w:eastAsia="Arial Unicode MS" w:hAnsi="Arial" w:cs="Arial"/>
          <w:iCs/>
          <w:sz w:val="24"/>
          <w:szCs w:val="24"/>
          <w:lang w:eastAsia="es-ES"/>
        </w:rPr>
      </w:pPr>
      <w:r w:rsidRPr="00F9028F">
        <w:rPr>
          <w:rFonts w:ascii="Arial" w:eastAsia="Arial Unicode MS" w:hAnsi="Arial" w:cs="Arial"/>
          <w:b/>
          <w:sz w:val="24"/>
          <w:szCs w:val="24"/>
          <w:lang w:eastAsia="es-ES"/>
        </w:rPr>
        <w:t xml:space="preserve">TERCERO. </w:t>
      </w:r>
      <w:r w:rsidR="001233DD" w:rsidRPr="00F9028F">
        <w:rPr>
          <w:rFonts w:ascii="Arial" w:eastAsia="Arial Unicode MS" w:hAnsi="Arial" w:cs="Arial"/>
          <w:b/>
          <w:sz w:val="24"/>
          <w:szCs w:val="24"/>
          <w:lang w:eastAsia="es-ES"/>
        </w:rPr>
        <w:t>Improcedencia.</w:t>
      </w:r>
      <w:bookmarkEnd w:id="1"/>
      <w:r w:rsidR="001233DD" w:rsidRPr="00F9028F">
        <w:rPr>
          <w:rFonts w:ascii="Arial" w:eastAsia="Arial Unicode MS" w:hAnsi="Arial" w:cs="Arial"/>
          <w:b/>
          <w:sz w:val="24"/>
          <w:szCs w:val="24"/>
          <w:lang w:eastAsia="es-ES"/>
        </w:rPr>
        <w:t xml:space="preserve"> </w:t>
      </w:r>
      <w:r w:rsidR="001233DD" w:rsidRPr="00F9028F">
        <w:rPr>
          <w:rFonts w:ascii="Arial" w:eastAsia="Arial Unicode MS" w:hAnsi="Arial" w:cs="Arial"/>
          <w:sz w:val="24"/>
          <w:szCs w:val="24"/>
          <w:lang w:eastAsia="es-ES"/>
        </w:rPr>
        <w:t>Por cuestión de técnica jurídica y previo al análisis de fondo del presente recurso de revisión, esta Comisión realizará un estudio de oficio respecto de las causales de improcedencia, aún y cuando el sujeto obligado no las haya hecho valer, toda vez que debe tomarse en consideración que dichas causales están relacionadas con aspectos necesarios para la válida constitución de un proceso y, al tratarse de una cuestión de orden público, su estudio debe ser preferente; sirve de apoyo a lo anterior, la jurisprudencia que por analogía resulta aplicable y que a la letra señala:</w:t>
      </w:r>
    </w:p>
    <w:p w14:paraId="647F4489" w14:textId="77777777" w:rsidR="001233DD" w:rsidRPr="00F9028F" w:rsidRDefault="001233DD" w:rsidP="001233DD">
      <w:pPr>
        <w:spacing w:after="0" w:line="360" w:lineRule="auto"/>
        <w:ind w:firstLine="708"/>
        <w:jc w:val="both"/>
        <w:rPr>
          <w:rFonts w:ascii="Arial" w:eastAsia="Arial Unicode MS" w:hAnsi="Arial" w:cs="Arial"/>
          <w:b/>
          <w:sz w:val="24"/>
          <w:szCs w:val="24"/>
          <w:lang w:eastAsia="es-ES"/>
        </w:rPr>
      </w:pPr>
      <w:r w:rsidRPr="00F9028F">
        <w:rPr>
          <w:rFonts w:ascii="Arial" w:eastAsia="Arial Unicode MS" w:hAnsi="Arial" w:cs="Arial"/>
          <w:b/>
          <w:sz w:val="24"/>
          <w:szCs w:val="24"/>
          <w:lang w:eastAsia="es-ES"/>
        </w:rPr>
        <w:tab/>
      </w:r>
    </w:p>
    <w:p w14:paraId="01751730" w14:textId="77777777" w:rsidR="001233DD" w:rsidRPr="00F9028F" w:rsidRDefault="001233DD" w:rsidP="001233DD">
      <w:pPr>
        <w:spacing w:after="0" w:line="240" w:lineRule="auto"/>
        <w:ind w:left="1134" w:right="1183"/>
        <w:jc w:val="both"/>
        <w:rPr>
          <w:rFonts w:ascii="Arial" w:eastAsia="Arial Unicode MS" w:hAnsi="Arial" w:cs="Arial"/>
          <w:iCs/>
          <w:lang w:val="es-ES_tradnl" w:eastAsia="es-ES"/>
        </w:rPr>
      </w:pPr>
      <w:r w:rsidRPr="00F9028F">
        <w:rPr>
          <w:rFonts w:ascii="Arial" w:eastAsia="Arial Unicode MS" w:hAnsi="Arial" w:cs="Arial"/>
          <w:iCs/>
          <w:lang w:eastAsia="es-ES"/>
        </w:rPr>
        <w:t>“</w:t>
      </w:r>
      <w:r w:rsidRPr="00F9028F">
        <w:rPr>
          <w:rFonts w:ascii="Arial" w:eastAsia="Arial Unicode MS" w:hAnsi="Arial" w:cs="Arial"/>
          <w:b/>
          <w:iCs/>
          <w:lang w:eastAsia="es-ES"/>
        </w:rPr>
        <w:t>IMPROCEDENCIA.</w:t>
      </w:r>
      <w:r w:rsidRPr="00F9028F">
        <w:rPr>
          <w:rFonts w:ascii="Arial" w:eastAsia="Arial Unicode MS" w:hAnsi="Arial" w:cs="Arial"/>
          <w:iCs/>
          <w:lang w:eastAsia="es-ES"/>
        </w:rPr>
        <w:t xml:space="preserve"> Sea que las partes la aleguen o no, debe examinarse previamente la procedencia del juicio de amparo, por ser esa cuestión de orden público en el juicio de garantías</w:t>
      </w:r>
      <w:r w:rsidRPr="00F9028F">
        <w:rPr>
          <w:rFonts w:ascii="Arial" w:eastAsia="Arial Unicode MS" w:hAnsi="Arial" w:cs="Arial"/>
          <w:iCs/>
          <w:vertAlign w:val="superscript"/>
          <w:lang w:val="es-ES_tradnl" w:eastAsia="es-ES"/>
        </w:rPr>
        <w:footnoteReference w:id="1"/>
      </w:r>
      <w:r w:rsidRPr="00F9028F">
        <w:rPr>
          <w:rFonts w:ascii="Arial" w:eastAsia="Arial Unicode MS" w:hAnsi="Arial" w:cs="Arial"/>
          <w:iCs/>
          <w:lang w:val="es-ES_tradnl" w:eastAsia="es-ES"/>
        </w:rPr>
        <w:t xml:space="preserve">”. </w:t>
      </w:r>
    </w:p>
    <w:p w14:paraId="040730A2" w14:textId="77777777" w:rsidR="001233DD" w:rsidRPr="00F9028F" w:rsidRDefault="001233DD" w:rsidP="001233DD">
      <w:pPr>
        <w:spacing w:after="0" w:line="360" w:lineRule="auto"/>
        <w:ind w:firstLine="708"/>
        <w:jc w:val="both"/>
        <w:rPr>
          <w:rFonts w:ascii="Arial" w:eastAsia="Arial Unicode MS" w:hAnsi="Arial" w:cs="Arial"/>
          <w:b/>
          <w:sz w:val="24"/>
          <w:szCs w:val="24"/>
          <w:lang w:val="es-ES_tradnl" w:eastAsia="es-ES"/>
        </w:rPr>
      </w:pPr>
    </w:p>
    <w:p w14:paraId="22E16011" w14:textId="5B8BF9B8" w:rsidR="001233DD" w:rsidRPr="00F9028F" w:rsidRDefault="001233DD" w:rsidP="001233DD">
      <w:pPr>
        <w:spacing w:after="0" w:line="360" w:lineRule="auto"/>
        <w:ind w:firstLine="708"/>
        <w:jc w:val="both"/>
        <w:rPr>
          <w:rFonts w:ascii="Arial" w:eastAsia="Arial Unicode MS" w:hAnsi="Arial" w:cs="Arial"/>
          <w:sz w:val="24"/>
          <w:szCs w:val="24"/>
          <w:lang w:eastAsia="es-ES"/>
        </w:rPr>
      </w:pPr>
      <w:r w:rsidRPr="00F9028F">
        <w:rPr>
          <w:rFonts w:ascii="Arial" w:eastAsia="Arial Unicode MS" w:hAnsi="Arial" w:cs="Arial"/>
          <w:sz w:val="24"/>
          <w:szCs w:val="24"/>
          <w:lang w:eastAsia="es-ES"/>
        </w:rPr>
        <w:t>En relación a las causales de improcedencia, el artículo 179 de la Ley de Transparencia y Acceso a la Información Pública del Estado de San Luis Potosí, establece lo siguiente:</w:t>
      </w:r>
    </w:p>
    <w:p w14:paraId="12A7AC31" w14:textId="77777777" w:rsidR="001233DD" w:rsidRPr="00F9028F" w:rsidRDefault="001233DD" w:rsidP="0052000A">
      <w:pPr>
        <w:spacing w:after="0" w:line="360" w:lineRule="auto"/>
        <w:ind w:firstLine="708"/>
        <w:jc w:val="both"/>
        <w:rPr>
          <w:rFonts w:ascii="Arial" w:eastAsia="Arial Unicode MS" w:hAnsi="Arial" w:cs="Arial"/>
          <w:b/>
          <w:sz w:val="24"/>
          <w:szCs w:val="24"/>
          <w:lang w:eastAsia="es-ES"/>
        </w:rPr>
      </w:pPr>
    </w:p>
    <w:p w14:paraId="5255B6E3" w14:textId="77777777" w:rsidR="001233DD" w:rsidRPr="00F9028F" w:rsidRDefault="001233DD" w:rsidP="001233DD">
      <w:pPr>
        <w:spacing w:after="0" w:line="240" w:lineRule="auto"/>
        <w:ind w:left="1134" w:right="1183"/>
        <w:jc w:val="both"/>
        <w:rPr>
          <w:rFonts w:ascii="Arial" w:eastAsia="Arial Unicode MS" w:hAnsi="Arial" w:cs="Arial"/>
          <w:lang w:eastAsia="es-ES"/>
        </w:rPr>
      </w:pPr>
      <w:r w:rsidRPr="00F9028F">
        <w:rPr>
          <w:rFonts w:ascii="Arial" w:eastAsia="Arial Unicode MS" w:hAnsi="Arial" w:cs="Arial"/>
          <w:b/>
          <w:lang w:eastAsia="es-ES"/>
        </w:rPr>
        <w:t>ARTÍCULO 179.</w:t>
      </w:r>
      <w:r w:rsidRPr="00F9028F">
        <w:rPr>
          <w:rFonts w:ascii="Arial" w:eastAsia="Arial Unicode MS" w:hAnsi="Arial" w:cs="Arial"/>
          <w:lang w:eastAsia="es-ES"/>
        </w:rPr>
        <w:t xml:space="preserve"> El recurso será desechado por improcedente cuando: </w:t>
      </w:r>
    </w:p>
    <w:p w14:paraId="17FEF440" w14:textId="77777777" w:rsidR="003C25FD" w:rsidRPr="00F9028F" w:rsidRDefault="001233DD" w:rsidP="000907BD">
      <w:pPr>
        <w:pStyle w:val="Prrafodelista"/>
        <w:numPr>
          <w:ilvl w:val="0"/>
          <w:numId w:val="6"/>
        </w:numPr>
        <w:spacing w:after="0" w:line="240" w:lineRule="auto"/>
        <w:ind w:right="1183"/>
        <w:jc w:val="both"/>
        <w:rPr>
          <w:rFonts w:ascii="Arial" w:eastAsia="Arial Unicode MS" w:hAnsi="Arial" w:cs="Arial"/>
          <w:lang w:eastAsia="es-ES"/>
        </w:rPr>
      </w:pPr>
      <w:r w:rsidRPr="00F9028F">
        <w:rPr>
          <w:rFonts w:ascii="Arial" w:eastAsia="Arial Unicode MS" w:hAnsi="Arial" w:cs="Arial"/>
          <w:lang w:eastAsia="es-ES"/>
        </w:rPr>
        <w:t xml:space="preserve">Sea extemporáneo por haber transcurrido el plazo establecido en el artículo 166 de la presente Ley; </w:t>
      </w:r>
    </w:p>
    <w:p w14:paraId="57E2EA89" w14:textId="77777777" w:rsidR="003C25FD" w:rsidRPr="00F9028F" w:rsidRDefault="001233DD" w:rsidP="000907BD">
      <w:pPr>
        <w:pStyle w:val="Prrafodelista"/>
        <w:numPr>
          <w:ilvl w:val="0"/>
          <w:numId w:val="6"/>
        </w:numPr>
        <w:spacing w:after="0" w:line="240" w:lineRule="auto"/>
        <w:ind w:right="1183"/>
        <w:jc w:val="both"/>
        <w:rPr>
          <w:rFonts w:ascii="Arial" w:eastAsia="Arial Unicode MS" w:hAnsi="Arial" w:cs="Arial"/>
          <w:lang w:eastAsia="es-ES"/>
        </w:rPr>
      </w:pPr>
      <w:r w:rsidRPr="00F9028F">
        <w:rPr>
          <w:rFonts w:ascii="Arial" w:eastAsia="Arial Unicode MS" w:hAnsi="Arial" w:cs="Arial"/>
          <w:lang w:eastAsia="es-ES"/>
        </w:rPr>
        <w:t xml:space="preserve">Se esté tramitando ante el Poder Judicial algún recurso o medio de defensa interpuesto por el recurrente; </w:t>
      </w:r>
    </w:p>
    <w:p w14:paraId="160A7209" w14:textId="77777777" w:rsidR="003C25FD" w:rsidRPr="00F9028F" w:rsidRDefault="001233DD" w:rsidP="000907BD">
      <w:pPr>
        <w:pStyle w:val="Prrafodelista"/>
        <w:numPr>
          <w:ilvl w:val="0"/>
          <w:numId w:val="6"/>
        </w:numPr>
        <w:spacing w:after="0" w:line="240" w:lineRule="auto"/>
        <w:ind w:right="1183"/>
        <w:jc w:val="both"/>
        <w:rPr>
          <w:rFonts w:ascii="Arial" w:eastAsia="Arial Unicode MS" w:hAnsi="Arial" w:cs="Arial"/>
          <w:lang w:eastAsia="es-ES"/>
        </w:rPr>
      </w:pPr>
      <w:r w:rsidRPr="00F9028F">
        <w:rPr>
          <w:rFonts w:ascii="Arial" w:eastAsia="Arial Unicode MS" w:hAnsi="Arial" w:cs="Arial"/>
          <w:lang w:eastAsia="es-ES"/>
        </w:rPr>
        <w:lastRenderedPageBreak/>
        <w:t xml:space="preserve">Se esté tramitando ante la CEGAIP algún recurso de revisión por el mismo quejoso en los mismos términos; </w:t>
      </w:r>
    </w:p>
    <w:p w14:paraId="07145E98" w14:textId="77777777" w:rsidR="003C25FD" w:rsidRPr="00F9028F" w:rsidRDefault="001233DD" w:rsidP="000907BD">
      <w:pPr>
        <w:pStyle w:val="Prrafodelista"/>
        <w:numPr>
          <w:ilvl w:val="0"/>
          <w:numId w:val="6"/>
        </w:numPr>
        <w:spacing w:after="0" w:line="240" w:lineRule="auto"/>
        <w:ind w:right="1183"/>
        <w:jc w:val="both"/>
        <w:rPr>
          <w:rFonts w:ascii="Arial" w:eastAsia="Arial Unicode MS" w:hAnsi="Arial" w:cs="Arial"/>
          <w:lang w:eastAsia="es-ES"/>
        </w:rPr>
      </w:pPr>
      <w:r w:rsidRPr="00F9028F">
        <w:rPr>
          <w:rFonts w:ascii="Arial" w:eastAsia="Arial Unicode MS" w:hAnsi="Arial" w:cs="Arial"/>
          <w:lang w:eastAsia="es-ES"/>
        </w:rPr>
        <w:t xml:space="preserve">No actualice alguno de los supuestos previstos en el artículo 167 de la presente Ley; </w:t>
      </w:r>
    </w:p>
    <w:p w14:paraId="66C6C2EA" w14:textId="77777777" w:rsidR="003C25FD" w:rsidRPr="00F9028F" w:rsidRDefault="001233DD" w:rsidP="000907BD">
      <w:pPr>
        <w:pStyle w:val="Prrafodelista"/>
        <w:numPr>
          <w:ilvl w:val="0"/>
          <w:numId w:val="6"/>
        </w:numPr>
        <w:spacing w:after="0" w:line="240" w:lineRule="auto"/>
        <w:ind w:right="1183"/>
        <w:jc w:val="both"/>
        <w:rPr>
          <w:rFonts w:ascii="Arial" w:eastAsia="Arial Unicode MS" w:hAnsi="Arial" w:cs="Arial"/>
          <w:lang w:eastAsia="es-ES"/>
        </w:rPr>
      </w:pPr>
      <w:r w:rsidRPr="00F9028F">
        <w:rPr>
          <w:rFonts w:ascii="Arial" w:eastAsia="Arial Unicode MS" w:hAnsi="Arial" w:cs="Arial"/>
          <w:lang w:eastAsia="es-ES"/>
        </w:rPr>
        <w:t xml:space="preserve">No se haya desahogado la prevención en los términos establecidos en el artículo 168 de la presente Ley; </w:t>
      </w:r>
    </w:p>
    <w:p w14:paraId="34780E9A" w14:textId="77777777" w:rsidR="003C25FD" w:rsidRPr="00F9028F" w:rsidRDefault="001233DD" w:rsidP="000907BD">
      <w:pPr>
        <w:pStyle w:val="Prrafodelista"/>
        <w:numPr>
          <w:ilvl w:val="0"/>
          <w:numId w:val="6"/>
        </w:numPr>
        <w:spacing w:after="0" w:line="240" w:lineRule="auto"/>
        <w:ind w:right="1183"/>
        <w:jc w:val="both"/>
        <w:rPr>
          <w:rFonts w:ascii="Arial" w:eastAsia="Arial Unicode MS" w:hAnsi="Arial" w:cs="Arial"/>
          <w:lang w:eastAsia="es-ES"/>
        </w:rPr>
      </w:pPr>
      <w:r w:rsidRPr="00F9028F">
        <w:rPr>
          <w:rFonts w:ascii="Arial" w:eastAsia="Arial Unicode MS" w:hAnsi="Arial" w:cs="Arial"/>
          <w:lang w:eastAsia="es-ES"/>
        </w:rPr>
        <w:t xml:space="preserve">Se impugne la veracidad de la información proporcionada; </w:t>
      </w:r>
    </w:p>
    <w:p w14:paraId="5FBD1E02" w14:textId="77777777" w:rsidR="003C25FD" w:rsidRPr="00F9028F" w:rsidRDefault="001233DD" w:rsidP="000907BD">
      <w:pPr>
        <w:pStyle w:val="Prrafodelista"/>
        <w:numPr>
          <w:ilvl w:val="0"/>
          <w:numId w:val="6"/>
        </w:numPr>
        <w:spacing w:after="0" w:line="240" w:lineRule="auto"/>
        <w:ind w:right="1183"/>
        <w:jc w:val="both"/>
        <w:rPr>
          <w:rFonts w:ascii="Arial" w:eastAsia="Arial Unicode MS" w:hAnsi="Arial" w:cs="Arial"/>
          <w:lang w:eastAsia="es-ES"/>
        </w:rPr>
      </w:pPr>
      <w:r w:rsidRPr="00F9028F">
        <w:rPr>
          <w:rFonts w:ascii="Arial" w:eastAsia="Arial Unicode MS" w:hAnsi="Arial" w:cs="Arial"/>
          <w:lang w:eastAsia="es-ES"/>
        </w:rPr>
        <w:t xml:space="preserve">Se trate de una consulta, o </w:t>
      </w:r>
    </w:p>
    <w:p w14:paraId="45CA0895" w14:textId="0C8B86C0" w:rsidR="001233DD" w:rsidRPr="00F9028F" w:rsidRDefault="001233DD" w:rsidP="000907BD">
      <w:pPr>
        <w:pStyle w:val="Prrafodelista"/>
        <w:numPr>
          <w:ilvl w:val="0"/>
          <w:numId w:val="6"/>
        </w:numPr>
        <w:spacing w:after="0" w:line="240" w:lineRule="auto"/>
        <w:ind w:right="1183"/>
        <w:jc w:val="both"/>
        <w:rPr>
          <w:rFonts w:ascii="Arial" w:eastAsia="Arial Unicode MS" w:hAnsi="Arial" w:cs="Arial"/>
          <w:lang w:eastAsia="es-ES"/>
        </w:rPr>
      </w:pPr>
      <w:r w:rsidRPr="00F9028F">
        <w:rPr>
          <w:rFonts w:ascii="Arial" w:eastAsia="Arial Unicode MS" w:hAnsi="Arial" w:cs="Arial"/>
          <w:lang w:eastAsia="es-ES"/>
        </w:rPr>
        <w:t>El recurrente amplíe su solicitud en el recurso de revisión, únicamente respecto de los nuevos contenidos.</w:t>
      </w:r>
    </w:p>
    <w:p w14:paraId="5BB8676E" w14:textId="77777777" w:rsidR="001233DD" w:rsidRPr="00F9028F" w:rsidRDefault="001233DD" w:rsidP="003C25FD">
      <w:pPr>
        <w:spacing w:after="0" w:line="360" w:lineRule="auto"/>
        <w:ind w:left="1134"/>
        <w:jc w:val="both"/>
        <w:rPr>
          <w:rFonts w:ascii="Arial" w:eastAsia="Arial Unicode MS" w:hAnsi="Arial" w:cs="Arial"/>
          <w:b/>
          <w:sz w:val="24"/>
          <w:szCs w:val="24"/>
          <w:lang w:eastAsia="es-ES"/>
        </w:rPr>
      </w:pPr>
    </w:p>
    <w:p w14:paraId="197E6AE0" w14:textId="77777777" w:rsidR="003C25FD" w:rsidRPr="00F9028F" w:rsidRDefault="003C25FD" w:rsidP="003C25FD">
      <w:pPr>
        <w:spacing w:after="0" w:line="360" w:lineRule="auto"/>
        <w:ind w:firstLine="708"/>
        <w:jc w:val="both"/>
        <w:rPr>
          <w:rFonts w:ascii="Arial" w:eastAsia="Arial Unicode MS" w:hAnsi="Arial" w:cs="Arial"/>
          <w:sz w:val="24"/>
          <w:szCs w:val="24"/>
          <w:lang w:eastAsia="es-ES"/>
        </w:rPr>
      </w:pPr>
      <w:r w:rsidRPr="00F9028F">
        <w:rPr>
          <w:rFonts w:ascii="Arial" w:eastAsia="Arial Unicode MS" w:hAnsi="Arial" w:cs="Arial"/>
          <w:sz w:val="24"/>
          <w:szCs w:val="24"/>
          <w:lang w:eastAsia="es-ES"/>
        </w:rPr>
        <w:t xml:space="preserve">Es así que, a continuación, se analizará cada una de las hipótesis que prevé el precepto referido: </w:t>
      </w:r>
    </w:p>
    <w:p w14:paraId="21D6D71D" w14:textId="77777777" w:rsidR="003C25FD" w:rsidRPr="00F9028F" w:rsidRDefault="003C25FD" w:rsidP="003C25FD">
      <w:pPr>
        <w:spacing w:after="0" w:line="360" w:lineRule="auto"/>
        <w:ind w:firstLine="708"/>
        <w:jc w:val="both"/>
        <w:rPr>
          <w:rFonts w:ascii="Arial" w:eastAsia="Arial Unicode MS" w:hAnsi="Arial" w:cs="Arial"/>
          <w:b/>
          <w:bCs/>
          <w:sz w:val="24"/>
          <w:szCs w:val="24"/>
          <w:lang w:eastAsia="es-ES"/>
        </w:rPr>
      </w:pPr>
    </w:p>
    <w:p w14:paraId="4A072ECE" w14:textId="4B420618" w:rsidR="003C25FD" w:rsidRPr="00F9028F" w:rsidRDefault="003C25FD" w:rsidP="003C25FD">
      <w:pPr>
        <w:spacing w:after="0" w:line="360" w:lineRule="auto"/>
        <w:ind w:firstLine="708"/>
        <w:jc w:val="both"/>
        <w:rPr>
          <w:rFonts w:ascii="Arial" w:eastAsia="Arial Unicode MS" w:hAnsi="Arial" w:cs="Arial"/>
          <w:sz w:val="24"/>
          <w:szCs w:val="24"/>
          <w:lang w:eastAsia="es-ES"/>
        </w:rPr>
      </w:pPr>
      <w:r w:rsidRPr="00F9028F">
        <w:rPr>
          <w:rFonts w:ascii="Arial" w:eastAsia="Arial Unicode MS" w:hAnsi="Arial" w:cs="Arial"/>
          <w:b/>
          <w:bCs/>
          <w:sz w:val="24"/>
          <w:szCs w:val="24"/>
          <w:lang w:eastAsia="es-ES"/>
        </w:rPr>
        <w:t xml:space="preserve">I. Oportunidad. </w:t>
      </w:r>
      <w:r w:rsidRPr="00F9028F">
        <w:rPr>
          <w:rFonts w:ascii="Arial" w:eastAsia="Arial Unicode MS" w:hAnsi="Arial" w:cs="Arial"/>
          <w:sz w:val="24"/>
          <w:szCs w:val="24"/>
          <w:lang w:eastAsia="es-ES"/>
        </w:rPr>
        <w:t xml:space="preserve">Tal y como se desprende de las constancias que obran en el expediente en el que se actúa, el recurso de revisión fue presentado en tiempo y forma, por lo que se encuentra dentro del plazo establecido por el artículo 166 de la Ley de Transparencia y Acceso a la Información Pública del Estado de San Luis Potosí, para la interposición del recurso de revisión, el cual resulta ser de 15 días hábiles. </w:t>
      </w:r>
    </w:p>
    <w:p w14:paraId="3EF0A355" w14:textId="58425D3A" w:rsidR="003C25FD" w:rsidRPr="00F9028F" w:rsidRDefault="003C25FD" w:rsidP="003C25FD">
      <w:pPr>
        <w:spacing w:after="0" w:line="360" w:lineRule="auto"/>
        <w:ind w:firstLine="708"/>
        <w:jc w:val="both"/>
        <w:rPr>
          <w:rFonts w:ascii="Arial" w:eastAsia="Arial Unicode MS" w:hAnsi="Arial" w:cs="Arial"/>
          <w:sz w:val="24"/>
          <w:szCs w:val="24"/>
          <w:lang w:eastAsia="es-ES"/>
        </w:rPr>
      </w:pPr>
    </w:p>
    <w:p w14:paraId="04FF5D5B" w14:textId="2680D2AD" w:rsidR="003C25FD" w:rsidRPr="00F9028F" w:rsidRDefault="003C25FD" w:rsidP="00AD53A7">
      <w:pPr>
        <w:spacing w:after="0" w:line="360" w:lineRule="auto"/>
        <w:ind w:firstLine="708"/>
        <w:jc w:val="both"/>
        <w:rPr>
          <w:rFonts w:ascii="Arial" w:eastAsia="Arial Unicode MS" w:hAnsi="Arial" w:cs="Arial"/>
          <w:sz w:val="24"/>
          <w:szCs w:val="24"/>
          <w:lang w:eastAsia="es-ES"/>
        </w:rPr>
      </w:pPr>
      <w:r w:rsidRPr="00F9028F">
        <w:rPr>
          <w:rFonts w:ascii="Arial" w:eastAsia="Arial Unicode MS" w:hAnsi="Arial" w:cs="Arial"/>
          <w:b/>
          <w:bCs/>
          <w:sz w:val="24"/>
          <w:szCs w:val="24"/>
          <w:lang w:eastAsia="es-ES"/>
        </w:rPr>
        <w:t xml:space="preserve">II. Litispendencia. </w:t>
      </w:r>
      <w:r w:rsidR="00AD53A7" w:rsidRPr="00F9028F">
        <w:rPr>
          <w:rFonts w:ascii="Arial" w:eastAsia="Arial Unicode MS" w:hAnsi="Arial" w:cs="Arial"/>
          <w:sz w:val="24"/>
          <w:szCs w:val="24"/>
          <w:lang w:eastAsia="es-ES"/>
        </w:rPr>
        <w:t>Esta Comisión no tiene conocimiento de la existencia de algún recurso o medio de defensa en trámite ante los tribunales del Poder Judicial Federal por parte de la persona recurrente, razón por la cual la hipótesis prevista en la fracción II del precepto legal en cuestión no cobra vigencia.</w:t>
      </w:r>
    </w:p>
    <w:p w14:paraId="359804BD" w14:textId="182851C8" w:rsidR="001233DD" w:rsidRPr="00F9028F" w:rsidRDefault="001233DD" w:rsidP="0052000A">
      <w:pPr>
        <w:spacing w:after="0" w:line="360" w:lineRule="auto"/>
        <w:ind w:firstLine="708"/>
        <w:jc w:val="both"/>
        <w:rPr>
          <w:rFonts w:ascii="Arial" w:eastAsia="Arial Unicode MS" w:hAnsi="Arial" w:cs="Arial"/>
          <w:b/>
          <w:sz w:val="24"/>
          <w:szCs w:val="24"/>
          <w:lang w:eastAsia="es-ES"/>
        </w:rPr>
      </w:pPr>
    </w:p>
    <w:p w14:paraId="1B89F725" w14:textId="7B9AF1C9" w:rsidR="00AD53A7" w:rsidRPr="00F9028F" w:rsidRDefault="00AD53A7" w:rsidP="00AD53A7">
      <w:pPr>
        <w:spacing w:line="360" w:lineRule="auto"/>
        <w:ind w:firstLine="708"/>
        <w:jc w:val="both"/>
        <w:rPr>
          <w:rFonts w:ascii="Arial" w:eastAsia="Arial Unicode MS" w:hAnsi="Arial" w:cs="Arial"/>
          <w:sz w:val="24"/>
          <w:szCs w:val="24"/>
        </w:rPr>
      </w:pPr>
      <w:r w:rsidRPr="00F9028F">
        <w:rPr>
          <w:rFonts w:ascii="Arial" w:eastAsia="Arial Unicode MS" w:hAnsi="Arial" w:cs="Arial"/>
          <w:b/>
          <w:bCs/>
          <w:sz w:val="24"/>
          <w:szCs w:val="24"/>
        </w:rPr>
        <w:t xml:space="preserve">III. Cosa Juzgada. </w:t>
      </w:r>
      <w:r w:rsidRPr="00F9028F">
        <w:rPr>
          <w:rFonts w:ascii="Arial" w:eastAsia="Arial Unicode MS" w:hAnsi="Arial" w:cs="Arial"/>
          <w:sz w:val="24"/>
          <w:szCs w:val="24"/>
        </w:rPr>
        <w:t>Al respecto, se realizó una búsqueda dentro de las bases de datos internas con las que cuenta esta Comisión, advirtiendo que no existe antecedente en el que se haya resuelto en definitiva algún recurso de revisión que versara sobre la misma solicitud de acceso, por lo que no se actualiza la causal de improcedencia establecida en la fracción III del precepto legal que se analiza.</w:t>
      </w:r>
    </w:p>
    <w:p w14:paraId="42B3524B" w14:textId="7C43646F" w:rsidR="0087285C" w:rsidRDefault="0040244E" w:rsidP="0040244E">
      <w:pPr>
        <w:spacing w:after="0" w:line="360" w:lineRule="auto"/>
        <w:ind w:firstLine="708"/>
        <w:jc w:val="both"/>
        <w:rPr>
          <w:rFonts w:ascii="Arial" w:eastAsia="Arial Unicode MS" w:hAnsi="Arial" w:cs="Arial"/>
          <w:sz w:val="24"/>
          <w:szCs w:val="24"/>
          <w:lang w:eastAsia="es-ES"/>
        </w:rPr>
      </w:pPr>
      <w:r w:rsidRPr="00F9028F">
        <w:rPr>
          <w:rFonts w:ascii="Arial" w:eastAsia="Arial Unicode MS" w:hAnsi="Arial" w:cs="Arial"/>
          <w:b/>
          <w:bCs/>
          <w:sz w:val="24"/>
          <w:szCs w:val="24"/>
          <w:lang w:eastAsia="es-ES"/>
        </w:rPr>
        <w:t xml:space="preserve">IV. Procedencia. </w:t>
      </w:r>
      <w:r w:rsidRPr="00F9028F">
        <w:rPr>
          <w:rFonts w:ascii="Arial" w:eastAsia="Arial Unicode MS" w:hAnsi="Arial" w:cs="Arial"/>
          <w:sz w:val="24"/>
          <w:szCs w:val="24"/>
          <w:lang w:eastAsia="es-ES"/>
        </w:rPr>
        <w:t xml:space="preserve">Asimismo, se advierte que el presente recurso de revisión actualiza el supuesto de procedencia previsto en la fracción </w:t>
      </w:r>
      <w:r w:rsidR="00C85C60">
        <w:rPr>
          <w:rFonts w:ascii="Arial" w:eastAsia="Arial Unicode MS" w:hAnsi="Arial" w:cs="Arial"/>
          <w:sz w:val="24"/>
          <w:szCs w:val="24"/>
          <w:lang w:eastAsia="es-ES"/>
        </w:rPr>
        <w:t>V</w:t>
      </w:r>
      <w:r w:rsidRPr="00F9028F">
        <w:rPr>
          <w:rFonts w:ascii="Arial" w:eastAsia="Arial Unicode MS" w:hAnsi="Arial" w:cs="Arial"/>
          <w:sz w:val="24"/>
          <w:szCs w:val="24"/>
          <w:lang w:eastAsia="es-ES"/>
        </w:rPr>
        <w:t xml:space="preserve">I del artículo 167 de la Ley de Transparencia y Acceso a la Información Pública del Estado, ya que, </w:t>
      </w:r>
      <w:r w:rsidR="0087285C">
        <w:rPr>
          <w:rFonts w:ascii="Arial" w:eastAsia="Arial Unicode MS" w:hAnsi="Arial" w:cs="Arial"/>
          <w:sz w:val="24"/>
          <w:szCs w:val="24"/>
          <w:lang w:eastAsia="es-ES"/>
        </w:rPr>
        <w:t xml:space="preserve">la persona recurrente aduce la falta de respuesta por parte del </w:t>
      </w:r>
      <w:r w:rsidR="0087285C">
        <w:rPr>
          <w:rFonts w:ascii="Arial" w:eastAsia="Arial Unicode MS" w:hAnsi="Arial" w:cs="Arial"/>
          <w:sz w:val="24"/>
          <w:szCs w:val="24"/>
          <w:lang w:eastAsia="es-ES"/>
        </w:rPr>
        <w:lastRenderedPageBreak/>
        <w:t xml:space="preserve">sujeto obligado, en los términos que establece el artículo 154 de la Ley de Transparencia Local. </w:t>
      </w:r>
    </w:p>
    <w:p w14:paraId="666D5931" w14:textId="77777777" w:rsidR="0087285C" w:rsidRDefault="0087285C" w:rsidP="0040244E">
      <w:pPr>
        <w:spacing w:after="0" w:line="360" w:lineRule="auto"/>
        <w:ind w:firstLine="708"/>
        <w:jc w:val="both"/>
        <w:rPr>
          <w:rFonts w:ascii="Arial" w:eastAsia="Arial Unicode MS" w:hAnsi="Arial" w:cs="Arial"/>
          <w:sz w:val="24"/>
          <w:szCs w:val="24"/>
          <w:lang w:eastAsia="es-ES"/>
        </w:rPr>
      </w:pPr>
    </w:p>
    <w:p w14:paraId="492B8F60" w14:textId="014F1DE9" w:rsidR="0040244E" w:rsidRPr="00F9028F" w:rsidRDefault="0087285C" w:rsidP="0040244E">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De manera posterior, con la modificación del acto impugnado</w:t>
      </w:r>
      <w:r w:rsidR="00761143">
        <w:rPr>
          <w:rFonts w:ascii="Arial" w:eastAsia="Arial Unicode MS" w:hAnsi="Arial" w:cs="Arial"/>
          <w:sz w:val="24"/>
          <w:szCs w:val="24"/>
          <w:lang w:eastAsia="es-ES"/>
        </w:rPr>
        <w:t xml:space="preserve"> por la autoridad, </w:t>
      </w:r>
      <w:r w:rsidR="00A31096">
        <w:rPr>
          <w:rFonts w:ascii="Arial" w:eastAsia="Arial Unicode MS" w:hAnsi="Arial" w:cs="Arial"/>
          <w:sz w:val="24"/>
          <w:szCs w:val="24"/>
          <w:lang w:eastAsia="es-ES"/>
        </w:rPr>
        <w:t xml:space="preserve">se tiene que la </w:t>
      </w:r>
      <w:r>
        <w:rPr>
          <w:rFonts w:ascii="Arial" w:eastAsia="Arial Unicode MS" w:hAnsi="Arial" w:cs="Arial"/>
          <w:sz w:val="24"/>
          <w:szCs w:val="24"/>
          <w:lang w:eastAsia="es-ES"/>
        </w:rPr>
        <w:t xml:space="preserve">emisión de una respuesta a la solicitud de información de la particular, actualiza la fracción </w:t>
      </w:r>
      <w:r w:rsidRPr="00F9028F">
        <w:rPr>
          <w:rFonts w:ascii="Arial" w:eastAsia="Arial Unicode MS" w:hAnsi="Arial" w:cs="Arial"/>
          <w:sz w:val="24"/>
          <w:szCs w:val="24"/>
          <w:lang w:eastAsia="es-ES"/>
        </w:rPr>
        <w:t>I del artículo 167 de la Ley de Transparencia y Acceso a la Información Pública del Estado</w:t>
      </w:r>
      <w:r w:rsidR="00A31096">
        <w:rPr>
          <w:rFonts w:ascii="Arial" w:eastAsia="Arial Unicode MS" w:hAnsi="Arial" w:cs="Arial"/>
          <w:sz w:val="24"/>
          <w:szCs w:val="24"/>
          <w:lang w:eastAsia="es-ES"/>
        </w:rPr>
        <w:t xml:space="preserve">, esto es, </w:t>
      </w:r>
      <w:r w:rsidR="0040244E" w:rsidRPr="00F9028F">
        <w:rPr>
          <w:rFonts w:ascii="Arial" w:eastAsia="Arial Unicode MS" w:hAnsi="Arial" w:cs="Arial"/>
          <w:sz w:val="24"/>
          <w:szCs w:val="24"/>
          <w:lang w:eastAsia="es-ES"/>
        </w:rPr>
        <w:t xml:space="preserve">la </w:t>
      </w:r>
      <w:r w:rsidR="0040244E" w:rsidRPr="00F9028F">
        <w:rPr>
          <w:rFonts w:ascii="Arial" w:eastAsia="Arial Unicode MS" w:hAnsi="Arial" w:cs="Arial"/>
          <w:bCs/>
          <w:sz w:val="24"/>
          <w:szCs w:val="24"/>
          <w:lang w:eastAsia="es-ES"/>
        </w:rPr>
        <w:t xml:space="preserve">clasificación de la información con carácter </w:t>
      </w:r>
      <w:r w:rsidR="00A31096">
        <w:rPr>
          <w:rFonts w:ascii="Arial" w:eastAsia="Arial Unicode MS" w:hAnsi="Arial" w:cs="Arial"/>
          <w:bCs/>
          <w:sz w:val="24"/>
          <w:szCs w:val="24"/>
          <w:lang w:eastAsia="es-ES"/>
        </w:rPr>
        <w:t xml:space="preserve">reservado. </w:t>
      </w:r>
    </w:p>
    <w:p w14:paraId="60DA3F1B" w14:textId="0C4046E0" w:rsidR="0024638A" w:rsidRPr="00F9028F" w:rsidRDefault="0024638A" w:rsidP="00BF2703">
      <w:pPr>
        <w:spacing w:after="0" w:line="360" w:lineRule="auto"/>
        <w:jc w:val="both"/>
        <w:rPr>
          <w:rFonts w:ascii="Arial" w:eastAsia="Arial Unicode MS" w:hAnsi="Arial" w:cs="Arial"/>
          <w:b/>
          <w:sz w:val="24"/>
          <w:szCs w:val="24"/>
          <w:lang w:eastAsia="es-ES"/>
        </w:rPr>
      </w:pPr>
    </w:p>
    <w:p w14:paraId="10C5B9A5" w14:textId="05B684E0" w:rsidR="003C25FD" w:rsidRPr="00F9028F" w:rsidRDefault="0040244E" w:rsidP="0052000A">
      <w:pPr>
        <w:spacing w:after="0" w:line="360" w:lineRule="auto"/>
        <w:ind w:firstLine="708"/>
        <w:jc w:val="both"/>
        <w:rPr>
          <w:rFonts w:ascii="Arial" w:eastAsia="Arial Unicode MS" w:hAnsi="Arial" w:cs="Arial"/>
          <w:sz w:val="24"/>
          <w:szCs w:val="24"/>
          <w:lang w:eastAsia="es-ES"/>
        </w:rPr>
      </w:pPr>
      <w:r w:rsidRPr="00F9028F">
        <w:rPr>
          <w:rFonts w:ascii="Arial" w:eastAsia="Arial Unicode MS" w:hAnsi="Arial" w:cs="Arial"/>
          <w:b/>
          <w:sz w:val="24"/>
          <w:szCs w:val="24"/>
          <w:lang w:eastAsia="es-ES"/>
        </w:rPr>
        <w:t xml:space="preserve">V. Prevención. </w:t>
      </w:r>
      <w:r w:rsidRPr="00F9028F">
        <w:rPr>
          <w:rFonts w:ascii="Arial" w:eastAsia="Arial Unicode MS" w:hAnsi="Arial" w:cs="Arial"/>
          <w:sz w:val="24"/>
          <w:szCs w:val="24"/>
          <w:lang w:eastAsia="es-ES"/>
        </w:rPr>
        <w:t xml:space="preserve">De un análisis de las constancias que obran en el expediente en el que se actúa, no consta que se haya efectuado requerimiento alguno a la parte recurrente. </w:t>
      </w:r>
    </w:p>
    <w:p w14:paraId="461444C4" w14:textId="63902941" w:rsidR="0040244E" w:rsidRPr="00F9028F" w:rsidRDefault="0040244E" w:rsidP="0052000A">
      <w:pPr>
        <w:spacing w:after="0" w:line="360" w:lineRule="auto"/>
        <w:ind w:firstLine="708"/>
        <w:jc w:val="both"/>
        <w:rPr>
          <w:rFonts w:ascii="Arial" w:eastAsia="Arial Unicode MS" w:hAnsi="Arial" w:cs="Arial"/>
          <w:sz w:val="24"/>
          <w:szCs w:val="24"/>
          <w:lang w:eastAsia="es-ES"/>
        </w:rPr>
      </w:pPr>
    </w:p>
    <w:p w14:paraId="74623FB9" w14:textId="77777777" w:rsidR="0040244E" w:rsidRPr="00F9028F" w:rsidRDefault="0040244E" w:rsidP="0040244E">
      <w:pPr>
        <w:spacing w:after="0" w:line="360" w:lineRule="auto"/>
        <w:ind w:firstLine="708"/>
        <w:jc w:val="both"/>
        <w:rPr>
          <w:rFonts w:ascii="Arial" w:eastAsia="Arial Unicode MS" w:hAnsi="Arial" w:cs="Arial"/>
          <w:sz w:val="24"/>
          <w:szCs w:val="24"/>
          <w:lang w:eastAsia="es-ES"/>
        </w:rPr>
      </w:pPr>
      <w:r w:rsidRPr="00F9028F">
        <w:rPr>
          <w:rFonts w:ascii="Arial" w:eastAsia="Arial Unicode MS" w:hAnsi="Arial" w:cs="Arial"/>
          <w:b/>
          <w:sz w:val="24"/>
          <w:szCs w:val="24"/>
          <w:lang w:eastAsia="es-ES"/>
        </w:rPr>
        <w:t xml:space="preserve">VI. Veracidad. </w:t>
      </w:r>
      <w:r w:rsidRPr="00F9028F">
        <w:rPr>
          <w:rFonts w:ascii="Arial" w:eastAsia="Arial Unicode MS" w:hAnsi="Arial" w:cs="Arial"/>
          <w:sz w:val="24"/>
          <w:szCs w:val="24"/>
          <w:lang w:eastAsia="es-ES"/>
        </w:rPr>
        <w:t xml:space="preserve">De los motivos de agravio esgrimidos, no se evidencia que la intención de la persona recurrente tenga como finalidad controvertir la legalidad de la repuesta otorgada. </w:t>
      </w:r>
    </w:p>
    <w:p w14:paraId="189B66BB" w14:textId="77777777" w:rsidR="0040244E" w:rsidRPr="00F9028F" w:rsidRDefault="0040244E" w:rsidP="0040244E">
      <w:pPr>
        <w:spacing w:after="0" w:line="360" w:lineRule="auto"/>
        <w:ind w:firstLine="708"/>
        <w:jc w:val="both"/>
        <w:rPr>
          <w:rFonts w:ascii="Arial" w:eastAsia="Arial Unicode MS" w:hAnsi="Arial" w:cs="Arial"/>
          <w:sz w:val="24"/>
          <w:szCs w:val="24"/>
          <w:lang w:eastAsia="es-ES"/>
        </w:rPr>
      </w:pPr>
    </w:p>
    <w:p w14:paraId="02AF9A5E" w14:textId="22828BBA" w:rsidR="0040244E" w:rsidRPr="00F9028F" w:rsidRDefault="0040244E" w:rsidP="0040244E">
      <w:pPr>
        <w:spacing w:after="0" w:line="360" w:lineRule="auto"/>
        <w:ind w:firstLine="708"/>
        <w:jc w:val="both"/>
        <w:rPr>
          <w:rFonts w:ascii="Arial" w:eastAsia="Arial Unicode MS" w:hAnsi="Arial" w:cs="Arial"/>
          <w:sz w:val="24"/>
          <w:szCs w:val="24"/>
          <w:lang w:eastAsia="es-ES"/>
        </w:rPr>
      </w:pPr>
      <w:r w:rsidRPr="00F9028F">
        <w:rPr>
          <w:rFonts w:ascii="Arial" w:eastAsia="Arial Unicode MS" w:hAnsi="Arial" w:cs="Arial"/>
          <w:sz w:val="24"/>
          <w:szCs w:val="24"/>
          <w:lang w:eastAsia="es-ES"/>
        </w:rPr>
        <w:t xml:space="preserve"> </w:t>
      </w:r>
      <w:r w:rsidR="00694976" w:rsidRPr="00F9028F">
        <w:rPr>
          <w:rFonts w:ascii="Arial" w:eastAsia="Arial Unicode MS" w:hAnsi="Arial" w:cs="Arial"/>
          <w:b/>
          <w:sz w:val="24"/>
          <w:szCs w:val="24"/>
          <w:lang w:eastAsia="es-ES"/>
        </w:rPr>
        <w:t xml:space="preserve">VII. Consulta. </w:t>
      </w:r>
      <w:r w:rsidR="00694976" w:rsidRPr="00F9028F">
        <w:rPr>
          <w:rFonts w:ascii="Arial" w:eastAsia="Arial Unicode MS" w:hAnsi="Arial" w:cs="Arial"/>
          <w:sz w:val="24"/>
          <w:szCs w:val="24"/>
          <w:lang w:eastAsia="es-ES"/>
        </w:rPr>
        <w:t xml:space="preserve">Del contenido de la solicitud de información, </w:t>
      </w:r>
      <w:r w:rsidR="00E27C8B" w:rsidRPr="00F9028F">
        <w:rPr>
          <w:rFonts w:ascii="Arial" w:eastAsia="Arial Unicode MS" w:hAnsi="Arial" w:cs="Arial"/>
          <w:sz w:val="24"/>
          <w:szCs w:val="24"/>
          <w:lang w:eastAsia="es-ES"/>
        </w:rPr>
        <w:t xml:space="preserve">se tiene que lo requerido atiende al acceso de documentos previamente elaborados por el Sujeto Obligado y no así, a la generación de un documento para satisfacer la petición del particular. </w:t>
      </w:r>
    </w:p>
    <w:p w14:paraId="71F524B1" w14:textId="77777777" w:rsidR="0040244E" w:rsidRPr="00F9028F" w:rsidRDefault="0040244E" w:rsidP="0040244E">
      <w:pPr>
        <w:spacing w:after="0" w:line="360" w:lineRule="auto"/>
        <w:ind w:firstLine="708"/>
        <w:jc w:val="both"/>
        <w:rPr>
          <w:rFonts w:ascii="Arial" w:eastAsia="Arial Unicode MS" w:hAnsi="Arial" w:cs="Arial"/>
          <w:sz w:val="24"/>
          <w:szCs w:val="24"/>
          <w:lang w:eastAsia="es-ES"/>
        </w:rPr>
      </w:pPr>
    </w:p>
    <w:p w14:paraId="6AC3F475" w14:textId="6C137297" w:rsidR="00E27C8B" w:rsidRPr="00F9028F" w:rsidRDefault="00E27C8B" w:rsidP="00E27C8B">
      <w:pPr>
        <w:spacing w:after="0" w:line="360" w:lineRule="auto"/>
        <w:ind w:firstLine="708"/>
        <w:jc w:val="both"/>
        <w:rPr>
          <w:rFonts w:ascii="Arial" w:eastAsia="Arial Unicode MS" w:hAnsi="Arial" w:cs="Arial"/>
          <w:sz w:val="24"/>
          <w:szCs w:val="24"/>
          <w:lang w:eastAsia="es-ES"/>
        </w:rPr>
      </w:pPr>
      <w:r w:rsidRPr="00F9028F">
        <w:rPr>
          <w:rFonts w:ascii="Arial" w:eastAsia="Arial Unicode MS" w:hAnsi="Arial" w:cs="Arial"/>
          <w:b/>
          <w:bCs/>
          <w:sz w:val="24"/>
          <w:szCs w:val="24"/>
          <w:lang w:eastAsia="es-ES"/>
        </w:rPr>
        <w:t xml:space="preserve">VIII. Ampliación. </w:t>
      </w:r>
      <w:r w:rsidRPr="00F9028F">
        <w:rPr>
          <w:rFonts w:ascii="Arial" w:eastAsia="Arial Unicode MS" w:hAnsi="Arial" w:cs="Arial"/>
          <w:sz w:val="24"/>
          <w:szCs w:val="24"/>
          <w:lang w:eastAsia="es-ES"/>
        </w:rPr>
        <w:t xml:space="preserve">Asimismo, del contraste de la solicitud de acceso a la información con el recurso de revisión que fue interpuesto en contra de la respuesta proporcionada por el sujeto obligado, esta Comisión no advierte que la persona recurrente haya ampliado su solicitud de acceso. Por tal motivo no se actualiza la hipótesis de improcedencia establecida en la fracción VIII del artículo en análisis. </w:t>
      </w:r>
    </w:p>
    <w:p w14:paraId="396B7C64" w14:textId="77777777" w:rsidR="00E27C8B" w:rsidRPr="00F9028F" w:rsidRDefault="00E27C8B" w:rsidP="0040244E">
      <w:pPr>
        <w:spacing w:after="0" w:line="360" w:lineRule="auto"/>
        <w:ind w:firstLine="708"/>
        <w:jc w:val="both"/>
        <w:rPr>
          <w:rFonts w:ascii="Arial" w:eastAsia="Arial Unicode MS" w:hAnsi="Arial" w:cs="Arial"/>
          <w:sz w:val="24"/>
          <w:szCs w:val="24"/>
          <w:lang w:eastAsia="es-ES"/>
        </w:rPr>
      </w:pPr>
    </w:p>
    <w:p w14:paraId="78A37A27" w14:textId="79A0277F" w:rsidR="00E27C8B" w:rsidRPr="00F9028F" w:rsidRDefault="00E27C8B" w:rsidP="00E27C8B">
      <w:pPr>
        <w:spacing w:after="0" w:line="360" w:lineRule="auto"/>
        <w:ind w:firstLine="709"/>
        <w:jc w:val="both"/>
        <w:rPr>
          <w:rFonts w:ascii="Arial" w:eastAsia="Arial Unicode MS" w:hAnsi="Arial" w:cs="Arial"/>
          <w:sz w:val="24"/>
          <w:szCs w:val="24"/>
          <w:lang w:eastAsia="es-ES"/>
        </w:rPr>
      </w:pPr>
      <w:bookmarkStart w:id="2" w:name="_Toc209010496"/>
      <w:r w:rsidRPr="00F9028F">
        <w:rPr>
          <w:rFonts w:ascii="Arial" w:eastAsia="Arial Unicode MS" w:hAnsi="Arial" w:cs="Arial"/>
          <w:b/>
          <w:sz w:val="24"/>
          <w:szCs w:val="24"/>
          <w:lang w:eastAsia="es-ES"/>
        </w:rPr>
        <w:t>CUARTO. Sobreseimiento.</w:t>
      </w:r>
      <w:bookmarkEnd w:id="2"/>
      <w:r w:rsidRPr="00F9028F">
        <w:rPr>
          <w:rFonts w:ascii="Arial" w:eastAsia="Arial Unicode MS" w:hAnsi="Arial" w:cs="Arial"/>
          <w:b/>
          <w:sz w:val="24"/>
          <w:szCs w:val="24"/>
          <w:lang w:eastAsia="es-ES"/>
        </w:rPr>
        <w:t xml:space="preserve"> </w:t>
      </w:r>
      <w:r w:rsidRPr="00F9028F">
        <w:rPr>
          <w:rFonts w:ascii="Arial" w:eastAsia="Arial Unicode MS" w:hAnsi="Arial" w:cs="Arial"/>
          <w:bCs/>
          <w:sz w:val="24"/>
          <w:szCs w:val="24"/>
          <w:lang w:eastAsia="es-ES"/>
        </w:rPr>
        <w:t>La figura jurídica del sobreseimiento</w:t>
      </w:r>
      <w:r w:rsidRPr="00F9028F">
        <w:rPr>
          <w:rStyle w:val="Refdenotaalpie"/>
          <w:rFonts w:ascii="Arial" w:eastAsia="Arial Unicode MS" w:hAnsi="Arial" w:cs="Arial"/>
          <w:bCs/>
          <w:sz w:val="24"/>
          <w:szCs w:val="24"/>
          <w:lang w:eastAsia="es-ES"/>
        </w:rPr>
        <w:footnoteReference w:id="2"/>
      </w:r>
      <w:r w:rsidRPr="00F9028F">
        <w:rPr>
          <w:rFonts w:ascii="Arial" w:eastAsia="Arial Unicode MS" w:hAnsi="Arial" w:cs="Arial"/>
          <w:bCs/>
          <w:sz w:val="24"/>
          <w:szCs w:val="24"/>
          <w:lang w:eastAsia="es-ES"/>
        </w:rPr>
        <w:t xml:space="preserve"> es la determinación adoptada por parte de este Organismo Autónomo de carácter definitivo porque pone fin al procedimiento sin resolver las cuestiones de fondo, </w:t>
      </w:r>
      <w:r w:rsidRPr="00F9028F">
        <w:rPr>
          <w:rFonts w:ascii="Arial" w:eastAsia="Arial Unicode MS" w:hAnsi="Arial" w:cs="Arial"/>
          <w:bCs/>
          <w:sz w:val="24"/>
          <w:szCs w:val="24"/>
          <w:lang w:eastAsia="es-ES"/>
        </w:rPr>
        <w:lastRenderedPageBreak/>
        <w:t xml:space="preserve">es decir, porque se haya actualizado alguno de los supuestos que establece el artículo 180 de la Ley de Transparencia y Acceso a la Información Pública del Estado, por lo que al ser una cuestión de </w:t>
      </w:r>
      <w:r w:rsidRPr="00F9028F">
        <w:rPr>
          <w:rFonts w:ascii="Arial" w:eastAsia="Arial Unicode MS" w:hAnsi="Arial" w:cs="Arial"/>
          <w:sz w:val="24"/>
          <w:szCs w:val="24"/>
          <w:lang w:eastAsia="es-ES"/>
        </w:rPr>
        <w:t xml:space="preserve">previo y especial pronunciamiento, esta Comisión analiza si se actualiza alguna </w:t>
      </w:r>
      <w:r w:rsidRPr="00F9028F">
        <w:rPr>
          <w:rFonts w:ascii="Arial" w:eastAsia="Arial Unicode MS" w:hAnsi="Arial" w:cs="Arial"/>
          <w:bCs/>
          <w:sz w:val="24"/>
          <w:szCs w:val="24"/>
          <w:lang w:eastAsia="es-ES"/>
        </w:rPr>
        <w:t xml:space="preserve">causal </w:t>
      </w:r>
      <w:r w:rsidRPr="00F9028F">
        <w:rPr>
          <w:rFonts w:ascii="Arial" w:eastAsia="Arial Unicode MS" w:hAnsi="Arial" w:cs="Arial"/>
          <w:sz w:val="24"/>
          <w:szCs w:val="24"/>
          <w:lang w:eastAsia="es-ES"/>
        </w:rPr>
        <w:t xml:space="preserve">de </w:t>
      </w:r>
      <w:r w:rsidRPr="00F9028F">
        <w:rPr>
          <w:rFonts w:ascii="Arial" w:eastAsia="Arial Unicode MS" w:hAnsi="Arial" w:cs="Arial"/>
          <w:bCs/>
          <w:sz w:val="24"/>
          <w:szCs w:val="24"/>
          <w:lang w:eastAsia="es-ES"/>
        </w:rPr>
        <w:t>sobreseimiento</w:t>
      </w:r>
      <w:r w:rsidRPr="00F9028F">
        <w:rPr>
          <w:rFonts w:ascii="Arial" w:eastAsia="Arial Unicode MS" w:hAnsi="Arial" w:cs="Arial"/>
          <w:sz w:val="24"/>
          <w:szCs w:val="24"/>
          <w:lang w:eastAsia="es-ES"/>
        </w:rPr>
        <w:t xml:space="preserve">. </w:t>
      </w:r>
    </w:p>
    <w:p w14:paraId="32922B92" w14:textId="77777777" w:rsidR="00E27C8B" w:rsidRPr="00F9028F" w:rsidRDefault="00E27C8B" w:rsidP="00E27C8B">
      <w:pPr>
        <w:spacing w:after="0" w:line="360" w:lineRule="auto"/>
        <w:ind w:firstLine="709"/>
        <w:jc w:val="both"/>
        <w:rPr>
          <w:rFonts w:ascii="Arial" w:eastAsia="Arial Unicode MS" w:hAnsi="Arial" w:cs="Arial"/>
          <w:b/>
          <w:sz w:val="24"/>
          <w:szCs w:val="24"/>
          <w:lang w:eastAsia="es-ES"/>
        </w:rPr>
      </w:pPr>
    </w:p>
    <w:p w14:paraId="53A90013" w14:textId="77777777" w:rsidR="00E27C8B" w:rsidRPr="00F9028F" w:rsidRDefault="00E27C8B" w:rsidP="00E27C8B">
      <w:pPr>
        <w:spacing w:after="0" w:line="240" w:lineRule="auto"/>
        <w:ind w:left="1134" w:right="1183"/>
        <w:jc w:val="both"/>
        <w:rPr>
          <w:rFonts w:ascii="Arial" w:eastAsia="Arial Unicode MS" w:hAnsi="Arial" w:cs="Arial"/>
          <w:bCs/>
          <w:lang w:eastAsia="es-ES"/>
        </w:rPr>
      </w:pPr>
      <w:r w:rsidRPr="00F9028F">
        <w:rPr>
          <w:rFonts w:ascii="Arial" w:eastAsia="Arial Unicode MS" w:hAnsi="Arial" w:cs="Arial"/>
          <w:b/>
          <w:bCs/>
          <w:lang w:eastAsia="es-ES"/>
        </w:rPr>
        <w:t>ARTÍCULO 180.</w:t>
      </w:r>
      <w:r w:rsidRPr="00F9028F">
        <w:rPr>
          <w:rFonts w:ascii="Arial" w:eastAsia="Arial Unicode MS" w:hAnsi="Arial" w:cs="Arial"/>
          <w:bCs/>
          <w:lang w:eastAsia="es-ES"/>
        </w:rPr>
        <w:t xml:space="preserve"> El recurso será sobreseído, en todo o en parte, cuando, una vez admitido, se actualicen alguno de los siguientes supuestos: </w:t>
      </w:r>
    </w:p>
    <w:p w14:paraId="20AED270" w14:textId="77777777" w:rsidR="00E27C8B" w:rsidRPr="00F9028F" w:rsidRDefault="00E27C8B" w:rsidP="000907BD">
      <w:pPr>
        <w:pStyle w:val="Prrafodelista"/>
        <w:numPr>
          <w:ilvl w:val="0"/>
          <w:numId w:val="7"/>
        </w:numPr>
        <w:spacing w:after="0" w:line="240" w:lineRule="auto"/>
        <w:ind w:left="1418" w:right="1183" w:hanging="284"/>
        <w:jc w:val="both"/>
        <w:rPr>
          <w:rFonts w:ascii="Arial" w:eastAsia="Arial Unicode MS" w:hAnsi="Arial" w:cs="Arial"/>
          <w:bCs/>
          <w:lang w:eastAsia="es-ES"/>
        </w:rPr>
      </w:pPr>
      <w:r w:rsidRPr="00F9028F">
        <w:rPr>
          <w:rFonts w:ascii="Arial" w:eastAsia="Arial Unicode MS" w:hAnsi="Arial" w:cs="Arial"/>
          <w:bCs/>
          <w:lang w:eastAsia="es-ES"/>
        </w:rPr>
        <w:t xml:space="preserve">El recurrente se desista; </w:t>
      </w:r>
    </w:p>
    <w:p w14:paraId="6BA1F81F" w14:textId="77777777" w:rsidR="00E27C8B" w:rsidRPr="00F9028F" w:rsidRDefault="00E27C8B" w:rsidP="000907BD">
      <w:pPr>
        <w:pStyle w:val="Prrafodelista"/>
        <w:numPr>
          <w:ilvl w:val="0"/>
          <w:numId w:val="7"/>
        </w:numPr>
        <w:spacing w:after="0" w:line="240" w:lineRule="auto"/>
        <w:ind w:left="1418" w:right="1183" w:hanging="284"/>
        <w:jc w:val="both"/>
        <w:rPr>
          <w:rFonts w:ascii="Arial" w:eastAsia="Arial Unicode MS" w:hAnsi="Arial" w:cs="Arial"/>
          <w:bCs/>
          <w:lang w:eastAsia="es-ES"/>
        </w:rPr>
      </w:pPr>
      <w:r w:rsidRPr="00F9028F">
        <w:rPr>
          <w:rFonts w:ascii="Arial" w:eastAsia="Arial Unicode MS" w:hAnsi="Arial" w:cs="Arial"/>
          <w:bCs/>
          <w:lang w:eastAsia="es-ES"/>
        </w:rPr>
        <w:t xml:space="preserve">El recurrente fallezca; </w:t>
      </w:r>
    </w:p>
    <w:p w14:paraId="0153C4F7" w14:textId="77777777" w:rsidR="00E27C8B" w:rsidRPr="00F9028F" w:rsidRDefault="00E27C8B" w:rsidP="000907BD">
      <w:pPr>
        <w:pStyle w:val="Prrafodelista"/>
        <w:numPr>
          <w:ilvl w:val="0"/>
          <w:numId w:val="7"/>
        </w:numPr>
        <w:spacing w:after="0" w:line="240" w:lineRule="auto"/>
        <w:ind w:left="1418" w:right="1183" w:hanging="284"/>
        <w:jc w:val="both"/>
        <w:rPr>
          <w:rFonts w:ascii="Arial" w:eastAsia="Arial Unicode MS" w:hAnsi="Arial" w:cs="Arial"/>
          <w:bCs/>
          <w:lang w:eastAsia="es-ES"/>
        </w:rPr>
      </w:pPr>
      <w:r w:rsidRPr="00F9028F">
        <w:rPr>
          <w:rFonts w:ascii="Arial" w:eastAsia="Arial Unicode MS" w:hAnsi="Arial" w:cs="Arial"/>
          <w:bCs/>
          <w:lang w:eastAsia="es-ES"/>
        </w:rPr>
        <w:t xml:space="preserve">El sujeto obligado responsable del acto lo modifique o revoque de tal manera que el recurso de revisión quede sin materia, o </w:t>
      </w:r>
    </w:p>
    <w:p w14:paraId="662C206B" w14:textId="2B4C9BEF" w:rsidR="00E27C8B" w:rsidRPr="00F9028F" w:rsidRDefault="00E27C8B" w:rsidP="000907BD">
      <w:pPr>
        <w:pStyle w:val="Prrafodelista"/>
        <w:numPr>
          <w:ilvl w:val="0"/>
          <w:numId w:val="7"/>
        </w:numPr>
        <w:spacing w:after="0" w:line="240" w:lineRule="auto"/>
        <w:ind w:left="1418" w:right="1183" w:hanging="284"/>
        <w:jc w:val="both"/>
        <w:rPr>
          <w:rFonts w:ascii="Arial" w:eastAsia="Arial Unicode MS" w:hAnsi="Arial" w:cs="Arial"/>
          <w:bCs/>
          <w:lang w:eastAsia="es-ES"/>
        </w:rPr>
      </w:pPr>
      <w:r w:rsidRPr="00F9028F">
        <w:rPr>
          <w:rFonts w:ascii="Arial" w:eastAsia="Arial Unicode MS" w:hAnsi="Arial" w:cs="Arial"/>
          <w:bCs/>
          <w:lang w:eastAsia="es-ES"/>
        </w:rPr>
        <w:t>Admitido el recurso de revisión, aparezca alguna causal de improcedencia en los términos del presente Capítulo.</w:t>
      </w:r>
    </w:p>
    <w:p w14:paraId="49BA609C" w14:textId="77777777" w:rsidR="00E27C8B" w:rsidRPr="00F9028F" w:rsidRDefault="00E27C8B" w:rsidP="00E27C8B">
      <w:pPr>
        <w:spacing w:after="0" w:line="360" w:lineRule="auto"/>
        <w:ind w:firstLine="709"/>
        <w:jc w:val="both"/>
        <w:rPr>
          <w:rFonts w:ascii="Arial" w:eastAsia="Arial Unicode MS" w:hAnsi="Arial" w:cs="Arial"/>
          <w:b/>
          <w:sz w:val="24"/>
          <w:szCs w:val="24"/>
          <w:lang w:eastAsia="es-ES"/>
        </w:rPr>
      </w:pPr>
    </w:p>
    <w:p w14:paraId="0A4ABBA4" w14:textId="77777777" w:rsidR="006D3B1C" w:rsidRPr="00F9028F" w:rsidRDefault="006D3B1C" w:rsidP="006D3B1C">
      <w:pPr>
        <w:spacing w:after="0" w:line="360" w:lineRule="auto"/>
        <w:ind w:firstLine="708"/>
        <w:jc w:val="both"/>
        <w:rPr>
          <w:rFonts w:ascii="Arial" w:eastAsia="Arial Unicode MS" w:hAnsi="Arial" w:cs="Arial"/>
          <w:bCs/>
          <w:sz w:val="24"/>
          <w:szCs w:val="24"/>
          <w:lang w:eastAsia="es-ES"/>
        </w:rPr>
      </w:pPr>
      <w:r w:rsidRPr="00F9028F">
        <w:rPr>
          <w:rFonts w:ascii="Arial" w:eastAsia="Arial Unicode MS" w:hAnsi="Arial" w:cs="Arial"/>
          <w:bCs/>
          <w:sz w:val="24"/>
          <w:lang w:val="es-ES_tradnl"/>
        </w:rPr>
        <w:t>B</w:t>
      </w:r>
      <w:r w:rsidRPr="00F9028F">
        <w:rPr>
          <w:rFonts w:ascii="Arial" w:eastAsia="Arial Unicode MS" w:hAnsi="Arial" w:cs="Arial"/>
          <w:bCs/>
          <w:sz w:val="24"/>
          <w:szCs w:val="24"/>
          <w:lang w:eastAsia="es-ES"/>
        </w:rPr>
        <w:t>ajo las condiciones anotadas, de las constancias que integran el expediente citado al rubro, no se actualizan hipótesis a través de las cuales a este Órgano Garante se le permita arribar a la convicción de que se configure un supuesto de sobreseimiento.</w:t>
      </w:r>
    </w:p>
    <w:p w14:paraId="700D4B08" w14:textId="77777777" w:rsidR="006D3B1C" w:rsidRPr="00F9028F" w:rsidRDefault="006D3B1C" w:rsidP="006D3B1C">
      <w:pPr>
        <w:spacing w:after="0" w:line="360" w:lineRule="auto"/>
        <w:ind w:firstLine="708"/>
        <w:jc w:val="both"/>
        <w:rPr>
          <w:rFonts w:ascii="Arial" w:eastAsia="Arial Unicode MS" w:hAnsi="Arial" w:cs="Arial"/>
          <w:sz w:val="24"/>
          <w:szCs w:val="24"/>
          <w:lang w:eastAsia="es-ES"/>
        </w:rPr>
      </w:pPr>
    </w:p>
    <w:p w14:paraId="4904648C" w14:textId="476B7662" w:rsidR="006D3B1C" w:rsidRPr="00F9028F" w:rsidRDefault="00C85C60" w:rsidP="006D3B1C">
      <w:pPr>
        <w:spacing w:after="0" w:line="360" w:lineRule="auto"/>
        <w:ind w:firstLine="708"/>
        <w:jc w:val="both"/>
        <w:rPr>
          <w:rFonts w:ascii="Arial" w:eastAsia="Arial Unicode MS" w:hAnsi="Arial" w:cs="Arial"/>
          <w:bCs/>
          <w:sz w:val="24"/>
          <w:szCs w:val="24"/>
          <w:lang w:eastAsia="es-ES"/>
        </w:rPr>
      </w:pPr>
      <w:r>
        <w:rPr>
          <w:rFonts w:ascii="Arial" w:eastAsia="Arial Unicode MS" w:hAnsi="Arial" w:cs="Arial"/>
          <w:b/>
          <w:bCs/>
          <w:sz w:val="24"/>
          <w:szCs w:val="24"/>
          <w:lang w:eastAsia="es-ES"/>
        </w:rPr>
        <w:t xml:space="preserve">QUINTO. </w:t>
      </w:r>
      <w:r w:rsidR="00092FCE" w:rsidRPr="00F9028F">
        <w:rPr>
          <w:rFonts w:ascii="Arial" w:eastAsia="Arial Unicode MS" w:hAnsi="Arial" w:cs="Arial"/>
          <w:b/>
          <w:bCs/>
          <w:sz w:val="24"/>
          <w:szCs w:val="24"/>
          <w:lang w:eastAsia="es-ES"/>
        </w:rPr>
        <w:t xml:space="preserve">Valoración de las pruebas. </w:t>
      </w:r>
      <w:r w:rsidR="006D3B1C" w:rsidRPr="00F9028F">
        <w:rPr>
          <w:rFonts w:ascii="Arial" w:eastAsia="Arial Unicode MS" w:hAnsi="Arial" w:cs="Arial"/>
          <w:bCs/>
          <w:sz w:val="24"/>
          <w:szCs w:val="24"/>
          <w:lang w:eastAsia="es-ES"/>
        </w:rPr>
        <w:t>De las documentales que obran en el expediente materia de la presente resolución, debe precisarse que la instrumental de actuaciones, constituye todo lo que obra en el expediente y es obligatorio para quien resuelve tomarlo en cuenta para dictar la presente determinación, ello con la finalidad de cumplir con los principios de congruencia y exhaustividad en las determinaciones materialmente jurisdiccionales, con lo cual se logra dar respuesta a todos los planteamientos formulados por las partes.</w:t>
      </w:r>
    </w:p>
    <w:p w14:paraId="150F10E9" w14:textId="77777777" w:rsidR="00E134F5" w:rsidRPr="00F9028F" w:rsidRDefault="00E134F5" w:rsidP="006D3B1C">
      <w:pPr>
        <w:spacing w:after="0" w:line="360" w:lineRule="auto"/>
        <w:ind w:firstLine="708"/>
        <w:jc w:val="both"/>
        <w:rPr>
          <w:rFonts w:ascii="Arial" w:eastAsia="Arial Unicode MS" w:hAnsi="Arial" w:cs="Arial"/>
          <w:bCs/>
          <w:sz w:val="24"/>
          <w:szCs w:val="24"/>
          <w:lang w:eastAsia="es-ES"/>
        </w:rPr>
      </w:pPr>
    </w:p>
    <w:p w14:paraId="10494B93" w14:textId="77777777" w:rsidR="006D3B1C" w:rsidRPr="00F9028F" w:rsidRDefault="006D3B1C" w:rsidP="006D3B1C">
      <w:pPr>
        <w:spacing w:after="0" w:line="360" w:lineRule="auto"/>
        <w:ind w:firstLine="709"/>
        <w:jc w:val="both"/>
        <w:rPr>
          <w:rFonts w:ascii="Arial" w:eastAsia="Arial Unicode MS" w:hAnsi="Arial" w:cs="Arial"/>
          <w:bCs/>
          <w:sz w:val="24"/>
          <w:szCs w:val="24"/>
          <w:lang w:eastAsia="es-ES"/>
        </w:rPr>
      </w:pPr>
      <w:bookmarkStart w:id="3" w:name="_Hlk111068002"/>
      <w:r w:rsidRPr="00F9028F">
        <w:rPr>
          <w:rFonts w:ascii="Arial" w:eastAsia="Arial Unicode MS" w:hAnsi="Arial" w:cs="Arial"/>
          <w:bCs/>
          <w:sz w:val="24"/>
          <w:szCs w:val="24"/>
          <w:lang w:eastAsia="es-ES"/>
        </w:rPr>
        <w:t>En razón de lo anterior, se tiene que de las documentales que obran en el presente sumario, se desahogan por su propia y especial naturaleza y a las cuales se les concede valor probatorio de conformidad con lo establecido en los</w:t>
      </w:r>
    </w:p>
    <w:p w14:paraId="66E50198" w14:textId="6C48F6C8" w:rsidR="006D3B1C" w:rsidRDefault="006D3B1C" w:rsidP="006D3B1C">
      <w:pPr>
        <w:spacing w:after="0" w:line="360" w:lineRule="auto"/>
        <w:jc w:val="both"/>
        <w:rPr>
          <w:rFonts w:ascii="Arial" w:eastAsia="Arial Unicode MS" w:hAnsi="Arial" w:cs="Arial"/>
          <w:bCs/>
          <w:sz w:val="24"/>
          <w:szCs w:val="24"/>
          <w:lang w:eastAsia="es-ES"/>
        </w:rPr>
      </w:pPr>
      <w:r w:rsidRPr="00F9028F">
        <w:rPr>
          <w:rFonts w:ascii="Arial" w:eastAsia="Arial Unicode MS" w:hAnsi="Arial" w:cs="Arial"/>
          <w:bCs/>
          <w:sz w:val="24"/>
          <w:szCs w:val="24"/>
          <w:lang w:eastAsia="es-ES"/>
        </w:rPr>
        <w:t>artículos 72 fracción I, 74, 75 y 76 del Código Procesal Administrativo del Estado aplicado de manera supletoria a la Ley de Transparencia de conformidad con el artículo 1º de esta.</w:t>
      </w:r>
    </w:p>
    <w:p w14:paraId="46303C2F" w14:textId="00B7E418" w:rsidR="00E02905" w:rsidRDefault="00E02905" w:rsidP="006D3B1C">
      <w:pPr>
        <w:spacing w:after="0" w:line="360" w:lineRule="auto"/>
        <w:jc w:val="both"/>
        <w:rPr>
          <w:rFonts w:ascii="Arial" w:eastAsia="Arial Unicode MS" w:hAnsi="Arial" w:cs="Arial"/>
          <w:bCs/>
          <w:sz w:val="24"/>
          <w:szCs w:val="24"/>
          <w:lang w:eastAsia="es-ES"/>
        </w:rPr>
      </w:pPr>
    </w:p>
    <w:p w14:paraId="64858EF3" w14:textId="4101637C" w:rsidR="00005D6B" w:rsidRPr="00F9028F" w:rsidRDefault="006D3B1C" w:rsidP="00E02905">
      <w:pPr>
        <w:spacing w:after="0" w:line="360" w:lineRule="auto"/>
        <w:ind w:firstLine="708"/>
        <w:jc w:val="both"/>
        <w:rPr>
          <w:rFonts w:ascii="Arial" w:hAnsi="Arial" w:cs="Arial"/>
          <w:sz w:val="24"/>
          <w:szCs w:val="24"/>
        </w:rPr>
      </w:pPr>
      <w:r w:rsidRPr="00F9028F">
        <w:rPr>
          <w:rFonts w:ascii="Arial" w:eastAsia="Arial Unicode MS" w:hAnsi="Arial" w:cs="Arial"/>
          <w:b/>
          <w:bCs/>
          <w:sz w:val="24"/>
          <w:szCs w:val="24"/>
          <w:lang w:eastAsia="es-ES"/>
        </w:rPr>
        <w:t>S</w:t>
      </w:r>
      <w:r w:rsidR="00E02905">
        <w:rPr>
          <w:rFonts w:ascii="Arial" w:eastAsia="Arial Unicode MS" w:hAnsi="Arial" w:cs="Arial"/>
          <w:b/>
          <w:bCs/>
          <w:sz w:val="24"/>
          <w:szCs w:val="24"/>
          <w:lang w:eastAsia="es-ES"/>
        </w:rPr>
        <w:t xml:space="preserve">EXTO. </w:t>
      </w:r>
      <w:r w:rsidR="00005D6B" w:rsidRPr="00F9028F">
        <w:rPr>
          <w:rFonts w:ascii="Arial" w:eastAsia="Arial Unicode MS" w:hAnsi="Arial" w:cs="Arial"/>
          <w:b/>
          <w:bCs/>
          <w:sz w:val="24"/>
          <w:szCs w:val="24"/>
          <w:lang w:eastAsia="es-ES"/>
        </w:rPr>
        <w:t xml:space="preserve">Caso concreto. </w:t>
      </w:r>
      <w:r w:rsidRPr="00F9028F">
        <w:rPr>
          <w:rFonts w:ascii="Arial" w:hAnsi="Arial" w:cs="Arial"/>
          <w:sz w:val="24"/>
          <w:szCs w:val="24"/>
        </w:rPr>
        <w:t>De las constancias que obran en autos, se advierte que</w:t>
      </w:r>
      <w:r w:rsidR="00322BA1">
        <w:rPr>
          <w:rFonts w:ascii="Arial" w:hAnsi="Arial" w:cs="Arial"/>
          <w:sz w:val="24"/>
          <w:szCs w:val="24"/>
        </w:rPr>
        <w:t>,</w:t>
      </w:r>
      <w:r w:rsidR="00411B7E">
        <w:rPr>
          <w:rFonts w:ascii="Arial" w:hAnsi="Arial" w:cs="Arial"/>
          <w:sz w:val="24"/>
          <w:szCs w:val="24"/>
        </w:rPr>
        <w:t xml:space="preserve"> </w:t>
      </w:r>
      <w:r w:rsidRPr="00F9028F">
        <w:rPr>
          <w:rFonts w:ascii="Arial" w:hAnsi="Arial" w:cs="Arial"/>
          <w:sz w:val="24"/>
          <w:szCs w:val="24"/>
        </w:rPr>
        <w:t>la persona recurrente requirió</w:t>
      </w:r>
      <w:r w:rsidR="00817833">
        <w:rPr>
          <w:rFonts w:ascii="Arial" w:hAnsi="Arial" w:cs="Arial"/>
          <w:sz w:val="24"/>
          <w:szCs w:val="24"/>
        </w:rPr>
        <w:t xml:space="preserve"> el</w:t>
      </w:r>
      <w:r w:rsidRPr="00F9028F">
        <w:rPr>
          <w:rFonts w:ascii="Arial" w:hAnsi="Arial" w:cs="Arial"/>
          <w:sz w:val="24"/>
          <w:szCs w:val="24"/>
        </w:rPr>
        <w:t xml:space="preserve"> </w:t>
      </w:r>
      <w:r w:rsidR="00817833" w:rsidRPr="00817833">
        <w:rPr>
          <w:rFonts w:ascii="Arial" w:hAnsi="Arial" w:cs="Arial"/>
          <w:i/>
          <w:sz w:val="24"/>
          <w:szCs w:val="24"/>
        </w:rPr>
        <w:t xml:space="preserve">Plano red de drenaje conectada al </w:t>
      </w:r>
      <w:r w:rsidR="00817833" w:rsidRPr="00817833">
        <w:rPr>
          <w:rFonts w:ascii="Arial" w:hAnsi="Arial" w:cs="Arial"/>
          <w:i/>
          <w:sz w:val="24"/>
          <w:szCs w:val="24"/>
        </w:rPr>
        <w:lastRenderedPageBreak/>
        <w:t>fraccionamiento de Villas Mallorca en el municipio de Vila de Pozos en San Luis Potosí</w:t>
      </w:r>
      <w:r w:rsidR="0035393E" w:rsidRPr="00622DFC">
        <w:rPr>
          <w:rFonts w:ascii="Arial" w:hAnsi="Arial" w:cs="Arial"/>
          <w:i/>
          <w:sz w:val="24"/>
          <w:szCs w:val="24"/>
        </w:rPr>
        <w:t>.</w:t>
      </w:r>
      <w:r w:rsidR="0035393E" w:rsidRPr="00F9028F">
        <w:rPr>
          <w:rFonts w:ascii="Arial" w:hAnsi="Arial" w:cs="Arial"/>
          <w:sz w:val="24"/>
          <w:szCs w:val="24"/>
        </w:rPr>
        <w:t xml:space="preserve"> </w:t>
      </w:r>
    </w:p>
    <w:p w14:paraId="3BF641CB" w14:textId="3720D70E" w:rsidR="0035393E" w:rsidRPr="00F9028F" w:rsidRDefault="0035393E" w:rsidP="00005D6B">
      <w:pPr>
        <w:autoSpaceDE w:val="0"/>
        <w:autoSpaceDN w:val="0"/>
        <w:adjustRightInd w:val="0"/>
        <w:spacing w:after="0" w:line="360" w:lineRule="auto"/>
        <w:ind w:firstLine="708"/>
        <w:jc w:val="both"/>
        <w:rPr>
          <w:rFonts w:ascii="Arial" w:hAnsi="Arial" w:cs="Arial"/>
          <w:sz w:val="24"/>
          <w:szCs w:val="24"/>
        </w:rPr>
      </w:pPr>
    </w:p>
    <w:p w14:paraId="01E7046A" w14:textId="54109593" w:rsidR="0035393E" w:rsidRDefault="00411B7E" w:rsidP="00005D6B">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En raz</w:t>
      </w:r>
      <w:r w:rsidR="00322BA1">
        <w:rPr>
          <w:rFonts w:ascii="Arial" w:hAnsi="Arial" w:cs="Arial"/>
          <w:sz w:val="24"/>
          <w:szCs w:val="24"/>
        </w:rPr>
        <w:t xml:space="preserve">ón de lo anterior, toda vez que, </w:t>
      </w:r>
      <w:r w:rsidRPr="00411B7E">
        <w:rPr>
          <w:rFonts w:ascii="Arial" w:hAnsi="Arial" w:cs="Arial"/>
          <w:sz w:val="24"/>
          <w:szCs w:val="24"/>
        </w:rPr>
        <w:t>el sujeto obligado no otorgó respuesta a la solicitud de acceso a la información pública</w:t>
      </w:r>
      <w:r w:rsidR="00322BA1">
        <w:rPr>
          <w:rFonts w:ascii="Arial" w:hAnsi="Arial" w:cs="Arial"/>
          <w:sz w:val="24"/>
          <w:szCs w:val="24"/>
        </w:rPr>
        <w:t xml:space="preserve"> dentro de los plazos que establece la Ley de Transparencia Local, </w:t>
      </w:r>
      <w:r w:rsidRPr="00411B7E">
        <w:rPr>
          <w:rFonts w:ascii="Arial" w:hAnsi="Arial" w:cs="Arial"/>
          <w:sz w:val="24"/>
          <w:szCs w:val="24"/>
        </w:rPr>
        <w:t>la ahora parte recurrente interpu</w:t>
      </w:r>
      <w:r>
        <w:rPr>
          <w:rFonts w:ascii="Arial" w:hAnsi="Arial" w:cs="Arial"/>
          <w:sz w:val="24"/>
          <w:szCs w:val="24"/>
        </w:rPr>
        <w:t>so el presente medio de defensa</w:t>
      </w:r>
      <w:r w:rsidR="0035393E" w:rsidRPr="00F9028F">
        <w:rPr>
          <w:rFonts w:ascii="Arial" w:hAnsi="Arial" w:cs="Arial"/>
          <w:sz w:val="24"/>
          <w:szCs w:val="24"/>
        </w:rPr>
        <w:t xml:space="preserve">. </w:t>
      </w:r>
    </w:p>
    <w:p w14:paraId="492FF552" w14:textId="32B34A29" w:rsidR="001568BB" w:rsidRDefault="001568BB" w:rsidP="00005D6B">
      <w:pPr>
        <w:autoSpaceDE w:val="0"/>
        <w:autoSpaceDN w:val="0"/>
        <w:adjustRightInd w:val="0"/>
        <w:spacing w:after="0" w:line="360" w:lineRule="auto"/>
        <w:ind w:firstLine="708"/>
        <w:jc w:val="both"/>
        <w:rPr>
          <w:rFonts w:ascii="Arial" w:hAnsi="Arial" w:cs="Arial"/>
          <w:sz w:val="24"/>
          <w:szCs w:val="24"/>
        </w:rPr>
      </w:pPr>
    </w:p>
    <w:p w14:paraId="0976A3C1" w14:textId="6F9CF189" w:rsidR="00947AB8" w:rsidRDefault="00947AB8" w:rsidP="00947AB8">
      <w:pPr>
        <w:autoSpaceDE w:val="0"/>
        <w:autoSpaceDN w:val="0"/>
        <w:adjustRightInd w:val="0"/>
        <w:spacing w:after="0" w:line="360" w:lineRule="auto"/>
        <w:ind w:firstLine="708"/>
        <w:jc w:val="both"/>
        <w:rPr>
          <w:rFonts w:ascii="Arial" w:hAnsi="Arial" w:cs="Arial"/>
          <w:sz w:val="24"/>
          <w:szCs w:val="24"/>
        </w:rPr>
      </w:pPr>
      <w:r w:rsidRPr="00947AB8">
        <w:rPr>
          <w:rFonts w:ascii="Arial" w:hAnsi="Arial" w:cs="Arial"/>
          <w:sz w:val="24"/>
          <w:szCs w:val="24"/>
        </w:rPr>
        <w:t xml:space="preserve">Entonces, la litis en el presente asunto se fija conforme a la causal de procedencia que actualiza el motivo de inconformidad formulado por el ahora recurrente, esto es: </w:t>
      </w:r>
      <w:r w:rsidRPr="00947AB8">
        <w:rPr>
          <w:rFonts w:ascii="Arial" w:hAnsi="Arial" w:cs="Arial"/>
          <w:i/>
          <w:sz w:val="24"/>
          <w:szCs w:val="24"/>
        </w:rPr>
        <w:t>(</w:t>
      </w:r>
      <w:r>
        <w:rPr>
          <w:rFonts w:ascii="Arial" w:hAnsi="Arial" w:cs="Arial"/>
          <w:i/>
          <w:sz w:val="24"/>
          <w:szCs w:val="24"/>
        </w:rPr>
        <w:t>i</w:t>
      </w:r>
      <w:r w:rsidRPr="00947AB8">
        <w:rPr>
          <w:rFonts w:ascii="Arial" w:hAnsi="Arial" w:cs="Arial"/>
          <w:i/>
          <w:sz w:val="24"/>
          <w:szCs w:val="24"/>
        </w:rPr>
        <w:t>)</w:t>
      </w:r>
      <w:r>
        <w:rPr>
          <w:rFonts w:ascii="Arial" w:hAnsi="Arial" w:cs="Arial"/>
          <w:sz w:val="24"/>
          <w:szCs w:val="24"/>
        </w:rPr>
        <w:t xml:space="preserve"> </w:t>
      </w:r>
      <w:r>
        <w:rPr>
          <w:rFonts w:ascii="Arial" w:hAnsi="Arial" w:cs="Arial"/>
          <w:i/>
          <w:sz w:val="24"/>
          <w:szCs w:val="24"/>
        </w:rPr>
        <w:t>l</w:t>
      </w:r>
      <w:r w:rsidRPr="00947AB8">
        <w:rPr>
          <w:rFonts w:ascii="Arial" w:hAnsi="Arial" w:cs="Arial"/>
          <w:i/>
          <w:sz w:val="24"/>
          <w:szCs w:val="24"/>
        </w:rPr>
        <w:t>a falta de respuesta a una solicitud de acceso a la información dentro de lo</w:t>
      </w:r>
      <w:r w:rsidR="00622DFC">
        <w:rPr>
          <w:rFonts w:ascii="Arial" w:hAnsi="Arial" w:cs="Arial"/>
          <w:i/>
          <w:sz w:val="24"/>
          <w:szCs w:val="24"/>
        </w:rPr>
        <w:t>s plazos establecidos en la ley.</w:t>
      </w:r>
    </w:p>
    <w:p w14:paraId="54C4F3FA" w14:textId="3142B83C" w:rsidR="00947AB8" w:rsidRDefault="00947AB8" w:rsidP="00005D6B">
      <w:pPr>
        <w:autoSpaceDE w:val="0"/>
        <w:autoSpaceDN w:val="0"/>
        <w:adjustRightInd w:val="0"/>
        <w:spacing w:after="0" w:line="360" w:lineRule="auto"/>
        <w:ind w:firstLine="708"/>
        <w:jc w:val="both"/>
        <w:rPr>
          <w:rFonts w:ascii="Arial" w:hAnsi="Arial" w:cs="Arial"/>
          <w:sz w:val="24"/>
          <w:szCs w:val="24"/>
        </w:rPr>
      </w:pPr>
    </w:p>
    <w:p w14:paraId="22F46A89" w14:textId="6F167299" w:rsidR="00947AB8" w:rsidRPr="00947AB8" w:rsidRDefault="00947AB8" w:rsidP="00947AB8">
      <w:pPr>
        <w:autoSpaceDE w:val="0"/>
        <w:autoSpaceDN w:val="0"/>
        <w:adjustRightInd w:val="0"/>
        <w:spacing w:after="0" w:line="360" w:lineRule="auto"/>
        <w:ind w:firstLine="708"/>
        <w:jc w:val="both"/>
        <w:rPr>
          <w:rFonts w:ascii="Arial" w:hAnsi="Arial" w:cs="Arial"/>
          <w:sz w:val="24"/>
          <w:szCs w:val="24"/>
        </w:rPr>
      </w:pPr>
      <w:r>
        <w:rPr>
          <w:rFonts w:ascii="Arial" w:hAnsi="Arial" w:cs="Arial"/>
          <w:b/>
          <w:sz w:val="24"/>
          <w:szCs w:val="24"/>
        </w:rPr>
        <w:t xml:space="preserve">SÉPTIMO. Estudio de los agravios. </w:t>
      </w:r>
      <w:r w:rsidRPr="00947AB8">
        <w:rPr>
          <w:rFonts w:ascii="Arial" w:hAnsi="Arial" w:cs="Arial"/>
          <w:sz w:val="24"/>
          <w:szCs w:val="24"/>
        </w:rPr>
        <w:t xml:space="preserve">Esta Comisión procede, con fundamento en el artículo 174 fracción VII de la Ley de Transparencia y Acceso a la Información Pública del Estado, al estudio de la inconformidad planteada por el hoy recurrente, la cual deviene </w:t>
      </w:r>
      <w:r w:rsidRPr="00947AB8">
        <w:rPr>
          <w:rFonts w:ascii="Arial" w:hAnsi="Arial" w:cs="Arial"/>
          <w:b/>
          <w:sz w:val="24"/>
          <w:szCs w:val="24"/>
          <w:u w:val="single"/>
        </w:rPr>
        <w:t>fundada,</w:t>
      </w:r>
      <w:r w:rsidRPr="00947AB8">
        <w:rPr>
          <w:rFonts w:ascii="Arial" w:hAnsi="Arial" w:cs="Arial"/>
          <w:b/>
          <w:sz w:val="24"/>
          <w:szCs w:val="24"/>
        </w:rPr>
        <w:t xml:space="preserve"> </w:t>
      </w:r>
      <w:r w:rsidRPr="00947AB8">
        <w:rPr>
          <w:rFonts w:ascii="Arial" w:hAnsi="Arial" w:cs="Arial"/>
          <w:sz w:val="24"/>
          <w:szCs w:val="24"/>
        </w:rPr>
        <w:t>por las razones que se patentizan a continuación.</w:t>
      </w:r>
    </w:p>
    <w:p w14:paraId="3378FB7E" w14:textId="72862A72" w:rsidR="00947AB8" w:rsidRPr="00947AB8" w:rsidRDefault="00947AB8" w:rsidP="00005D6B">
      <w:pPr>
        <w:autoSpaceDE w:val="0"/>
        <w:autoSpaceDN w:val="0"/>
        <w:adjustRightInd w:val="0"/>
        <w:spacing w:after="0" w:line="360" w:lineRule="auto"/>
        <w:ind w:firstLine="708"/>
        <w:jc w:val="both"/>
        <w:rPr>
          <w:rFonts w:ascii="Arial" w:hAnsi="Arial" w:cs="Arial"/>
          <w:b/>
          <w:sz w:val="24"/>
          <w:szCs w:val="24"/>
        </w:rPr>
      </w:pPr>
    </w:p>
    <w:p w14:paraId="2517C390" w14:textId="3E1CA697" w:rsidR="001568BB" w:rsidRPr="00947AB8" w:rsidRDefault="00947AB8" w:rsidP="00947AB8">
      <w:pPr>
        <w:autoSpaceDE w:val="0"/>
        <w:autoSpaceDN w:val="0"/>
        <w:adjustRightInd w:val="0"/>
        <w:spacing w:after="0" w:line="360" w:lineRule="auto"/>
        <w:ind w:firstLine="708"/>
        <w:jc w:val="both"/>
        <w:rPr>
          <w:rFonts w:ascii="Arial" w:hAnsi="Arial" w:cs="Arial"/>
          <w:b/>
          <w:sz w:val="24"/>
          <w:szCs w:val="24"/>
        </w:rPr>
      </w:pPr>
      <w:r>
        <w:rPr>
          <w:rFonts w:ascii="Arial" w:hAnsi="Arial" w:cs="Arial"/>
          <w:b/>
          <w:sz w:val="24"/>
          <w:szCs w:val="24"/>
        </w:rPr>
        <w:t>7.1.</w:t>
      </w:r>
      <w:r w:rsidRPr="00947AB8">
        <w:rPr>
          <w:rFonts w:ascii="Arial" w:hAnsi="Arial" w:cs="Arial"/>
          <w:b/>
          <w:sz w:val="24"/>
          <w:szCs w:val="24"/>
        </w:rPr>
        <w:t xml:space="preserve"> </w:t>
      </w:r>
      <w:r>
        <w:rPr>
          <w:rFonts w:ascii="Arial" w:hAnsi="Arial" w:cs="Arial"/>
          <w:b/>
          <w:sz w:val="24"/>
          <w:szCs w:val="24"/>
        </w:rPr>
        <w:t>L</w:t>
      </w:r>
      <w:r w:rsidRPr="00947AB8">
        <w:rPr>
          <w:rFonts w:ascii="Arial" w:hAnsi="Arial" w:cs="Arial"/>
          <w:b/>
          <w:sz w:val="24"/>
          <w:szCs w:val="24"/>
        </w:rPr>
        <w:t>a falta de respuesta a una solicitud de acceso a la información dentro de los plazos establecidos en la ley</w:t>
      </w:r>
      <w:r>
        <w:rPr>
          <w:rFonts w:ascii="Arial" w:hAnsi="Arial" w:cs="Arial"/>
          <w:b/>
          <w:sz w:val="24"/>
          <w:szCs w:val="24"/>
        </w:rPr>
        <w:t xml:space="preserve">. </w:t>
      </w:r>
      <w:r w:rsidR="008F31D9">
        <w:rPr>
          <w:rFonts w:ascii="Arial" w:hAnsi="Arial" w:cs="Arial"/>
          <w:sz w:val="24"/>
        </w:rPr>
        <w:t>D</w:t>
      </w:r>
      <w:r w:rsidR="001568BB" w:rsidRPr="00FB38F1">
        <w:rPr>
          <w:rFonts w:ascii="Arial" w:hAnsi="Arial" w:cs="Arial"/>
          <w:sz w:val="24"/>
        </w:rPr>
        <w:t xml:space="preserve">e acuerdo </w:t>
      </w:r>
      <w:r>
        <w:rPr>
          <w:rFonts w:ascii="Arial" w:hAnsi="Arial" w:cs="Arial"/>
          <w:sz w:val="24"/>
        </w:rPr>
        <w:t>con el</w:t>
      </w:r>
      <w:r w:rsidR="001568BB" w:rsidRPr="00FB38F1">
        <w:rPr>
          <w:rFonts w:ascii="Arial" w:hAnsi="Arial" w:cs="Arial"/>
          <w:sz w:val="24"/>
        </w:rPr>
        <w:t xml:space="preserve"> artículo 154</w:t>
      </w:r>
      <w:r w:rsidR="008F31D9">
        <w:rPr>
          <w:rStyle w:val="Refdenotaalpie"/>
          <w:rFonts w:ascii="Arial" w:hAnsi="Arial" w:cs="Arial"/>
          <w:sz w:val="24"/>
        </w:rPr>
        <w:footnoteReference w:id="3"/>
      </w:r>
      <w:r w:rsidR="001568BB" w:rsidRPr="00FB38F1">
        <w:rPr>
          <w:rFonts w:ascii="Arial" w:hAnsi="Arial" w:cs="Arial"/>
          <w:sz w:val="24"/>
        </w:rPr>
        <w:t xml:space="preserve"> de la Ley de Transparencia y Acceso a la Información Pública del Estado,</w:t>
      </w:r>
      <w:r w:rsidR="001568BB">
        <w:rPr>
          <w:rFonts w:ascii="Arial" w:hAnsi="Arial" w:cs="Arial"/>
          <w:sz w:val="24"/>
        </w:rPr>
        <w:t xml:space="preserve"> </w:t>
      </w:r>
      <w:r w:rsidR="001568BB" w:rsidRPr="00FB38F1">
        <w:rPr>
          <w:rFonts w:ascii="Arial" w:hAnsi="Arial" w:cs="Arial"/>
          <w:sz w:val="24"/>
        </w:rPr>
        <w:t>el sujeto obligado cu</w:t>
      </w:r>
      <w:r w:rsidR="00FF361F">
        <w:rPr>
          <w:rFonts w:ascii="Arial" w:hAnsi="Arial" w:cs="Arial"/>
          <w:sz w:val="24"/>
        </w:rPr>
        <w:t xml:space="preserve">enta con un plazo ordinario de </w:t>
      </w:r>
      <w:r w:rsidR="001568BB" w:rsidRPr="00FB38F1">
        <w:rPr>
          <w:rFonts w:ascii="Arial" w:hAnsi="Arial" w:cs="Arial"/>
          <w:sz w:val="24"/>
        </w:rPr>
        <w:t>diez días hábiles para dar respuesta a las solicitudes de información que se presenten, el cual podrá ser ampliado cuando exista causa justificada para ello.</w:t>
      </w:r>
    </w:p>
    <w:p w14:paraId="36826D93" w14:textId="528AC2F1" w:rsidR="008F31D9" w:rsidRDefault="008F31D9" w:rsidP="008F31D9">
      <w:pPr>
        <w:spacing w:after="0" w:line="360" w:lineRule="auto"/>
        <w:ind w:firstLine="709"/>
        <w:jc w:val="both"/>
        <w:rPr>
          <w:rFonts w:ascii="Arial" w:hAnsi="Arial" w:cs="Arial"/>
          <w:sz w:val="24"/>
        </w:rPr>
      </w:pPr>
    </w:p>
    <w:p w14:paraId="30658B51" w14:textId="7632547F" w:rsidR="008F31D9" w:rsidRDefault="008F31D9" w:rsidP="008F31D9">
      <w:pPr>
        <w:spacing w:after="0" w:line="360" w:lineRule="auto"/>
        <w:ind w:firstLine="709"/>
        <w:jc w:val="both"/>
        <w:rPr>
          <w:rFonts w:ascii="Arial" w:hAnsi="Arial" w:cs="Arial"/>
          <w:sz w:val="24"/>
        </w:rPr>
      </w:pPr>
      <w:r>
        <w:rPr>
          <w:rFonts w:ascii="Arial" w:hAnsi="Arial" w:cs="Arial"/>
          <w:sz w:val="24"/>
        </w:rPr>
        <w:t>Es por ello que, los sujetos obligados, a través de la Unidad de Transparencia, deberán realizar las gestiones necesarias, a fin de otorgar el adecuado trámite de las solicitudes de acceso a la información</w:t>
      </w:r>
      <w:r w:rsidR="003F24F4">
        <w:rPr>
          <w:rStyle w:val="Refdenotaalpie"/>
          <w:rFonts w:ascii="Arial" w:hAnsi="Arial" w:cs="Arial"/>
          <w:sz w:val="24"/>
        </w:rPr>
        <w:footnoteReference w:id="4"/>
      </w:r>
      <w:r>
        <w:rPr>
          <w:rFonts w:ascii="Arial" w:hAnsi="Arial" w:cs="Arial"/>
          <w:sz w:val="24"/>
        </w:rPr>
        <w:t xml:space="preserve">, de manera que </w:t>
      </w:r>
      <w:r>
        <w:rPr>
          <w:rFonts w:ascii="Arial" w:hAnsi="Arial" w:cs="Arial"/>
          <w:sz w:val="24"/>
        </w:rPr>
        <w:lastRenderedPageBreak/>
        <w:t>se encuentren en apego a los plazos contemplados en la Ley de la materia; incluso aún, en los casos de excepción en la entrega de información</w:t>
      </w:r>
      <w:r>
        <w:rPr>
          <w:rStyle w:val="Refdenotaalpie"/>
          <w:rFonts w:ascii="Arial" w:hAnsi="Arial" w:cs="Arial"/>
          <w:sz w:val="24"/>
        </w:rPr>
        <w:footnoteReference w:id="5"/>
      </w:r>
      <w:r>
        <w:rPr>
          <w:rFonts w:ascii="Arial" w:hAnsi="Arial" w:cs="Arial"/>
          <w:sz w:val="24"/>
        </w:rPr>
        <w:t>.</w:t>
      </w:r>
    </w:p>
    <w:p w14:paraId="1BB6248F" w14:textId="16FC04A1" w:rsidR="001568BB" w:rsidRDefault="001568BB" w:rsidP="001568BB">
      <w:pPr>
        <w:spacing w:after="0" w:line="360" w:lineRule="auto"/>
        <w:ind w:firstLine="708"/>
        <w:jc w:val="both"/>
        <w:rPr>
          <w:rFonts w:ascii="Arial" w:hAnsi="Arial" w:cs="Arial"/>
          <w:sz w:val="24"/>
        </w:rPr>
      </w:pPr>
    </w:p>
    <w:p w14:paraId="35A55319" w14:textId="6A2EB367" w:rsidR="001568BB" w:rsidRPr="00DF0231" w:rsidRDefault="001568BB" w:rsidP="001568BB">
      <w:pPr>
        <w:spacing w:after="0" w:line="360" w:lineRule="auto"/>
        <w:ind w:firstLine="708"/>
        <w:jc w:val="both"/>
        <w:rPr>
          <w:rFonts w:ascii="Arial" w:hAnsi="Arial" w:cs="Arial"/>
          <w:sz w:val="24"/>
        </w:rPr>
      </w:pPr>
      <w:r>
        <w:rPr>
          <w:rFonts w:ascii="Arial" w:hAnsi="Arial" w:cs="Arial"/>
          <w:sz w:val="24"/>
        </w:rPr>
        <w:t>Por lo cual, se hace preciso señalar</w:t>
      </w:r>
      <w:r w:rsidRPr="00DF0231">
        <w:rPr>
          <w:rFonts w:ascii="Arial" w:hAnsi="Arial" w:cs="Arial"/>
          <w:sz w:val="24"/>
        </w:rPr>
        <w:t xml:space="preserve"> que la </w:t>
      </w:r>
      <w:r>
        <w:rPr>
          <w:rFonts w:ascii="Arial" w:hAnsi="Arial" w:cs="Arial"/>
          <w:sz w:val="24"/>
        </w:rPr>
        <w:t>recepción oficial de la solicitud</w:t>
      </w:r>
      <w:r w:rsidR="00947AB8">
        <w:rPr>
          <w:rFonts w:ascii="Arial" w:hAnsi="Arial" w:cs="Arial"/>
          <w:sz w:val="24"/>
        </w:rPr>
        <w:t xml:space="preserve"> de información</w:t>
      </w:r>
      <w:r>
        <w:rPr>
          <w:rFonts w:ascii="Arial" w:hAnsi="Arial" w:cs="Arial"/>
          <w:sz w:val="24"/>
        </w:rPr>
        <w:t xml:space="preserve"> fue</w:t>
      </w:r>
      <w:r w:rsidRPr="00DF0231">
        <w:rPr>
          <w:rFonts w:ascii="Arial" w:hAnsi="Arial" w:cs="Arial"/>
          <w:sz w:val="24"/>
        </w:rPr>
        <w:t xml:space="preserve"> el </w:t>
      </w:r>
      <w:r>
        <w:rPr>
          <w:rFonts w:ascii="Arial" w:hAnsi="Arial" w:cs="Arial"/>
          <w:sz w:val="24"/>
        </w:rPr>
        <w:t xml:space="preserve">día </w:t>
      </w:r>
      <w:r w:rsidR="00817833">
        <w:rPr>
          <w:rFonts w:ascii="Arial" w:hAnsi="Arial" w:cs="Arial"/>
          <w:b/>
          <w:sz w:val="24"/>
          <w:u w:val="single"/>
        </w:rPr>
        <w:t>seis de abril de dos mil veintiséis</w:t>
      </w:r>
      <w:r>
        <w:rPr>
          <w:rFonts w:ascii="Arial" w:hAnsi="Arial" w:cs="Arial"/>
          <w:sz w:val="24"/>
        </w:rPr>
        <w:t xml:space="preserve">, </w:t>
      </w:r>
      <w:r w:rsidR="00FF361F">
        <w:rPr>
          <w:rFonts w:ascii="Arial" w:hAnsi="Arial" w:cs="Arial"/>
          <w:sz w:val="24"/>
        </w:rPr>
        <w:t>por tanto, el plazo de</w:t>
      </w:r>
      <w:r w:rsidRPr="00DF0231">
        <w:rPr>
          <w:rFonts w:ascii="Arial" w:hAnsi="Arial" w:cs="Arial"/>
          <w:sz w:val="24"/>
        </w:rPr>
        <w:t xml:space="preserve"> diez días hábiles con el que contaba </w:t>
      </w:r>
      <w:r>
        <w:rPr>
          <w:rFonts w:ascii="Arial" w:hAnsi="Arial" w:cs="Arial"/>
          <w:sz w:val="24"/>
        </w:rPr>
        <w:t>la r</w:t>
      </w:r>
      <w:r w:rsidRPr="00DF0231">
        <w:rPr>
          <w:rFonts w:ascii="Arial" w:hAnsi="Arial" w:cs="Arial"/>
          <w:sz w:val="24"/>
        </w:rPr>
        <w:t xml:space="preserve">esponsable para emitir la respuesta correspondiente, </w:t>
      </w:r>
      <w:r>
        <w:rPr>
          <w:rFonts w:ascii="Arial" w:hAnsi="Arial" w:cs="Arial"/>
          <w:sz w:val="24"/>
          <w:u w:val="single"/>
        </w:rPr>
        <w:t>comenzó a transcurrir</w:t>
      </w:r>
      <w:r w:rsidRPr="00DF0231">
        <w:rPr>
          <w:rFonts w:ascii="Arial" w:hAnsi="Arial" w:cs="Arial"/>
          <w:sz w:val="24"/>
          <w:u w:val="single"/>
        </w:rPr>
        <w:t xml:space="preserve"> el</w:t>
      </w:r>
      <w:r>
        <w:rPr>
          <w:rFonts w:ascii="Arial" w:hAnsi="Arial" w:cs="Arial"/>
          <w:sz w:val="24"/>
          <w:u w:val="single"/>
        </w:rPr>
        <w:t xml:space="preserve"> día hábil siguiente, esto es, el </w:t>
      </w:r>
      <w:r w:rsidR="00817833">
        <w:rPr>
          <w:rFonts w:ascii="Arial" w:hAnsi="Arial" w:cs="Arial"/>
          <w:sz w:val="24"/>
          <w:u w:val="single"/>
        </w:rPr>
        <w:t>siete</w:t>
      </w:r>
      <w:r>
        <w:rPr>
          <w:rFonts w:ascii="Arial" w:hAnsi="Arial" w:cs="Arial"/>
          <w:sz w:val="24"/>
        </w:rPr>
        <w:t xml:space="preserve"> y feneció e</w:t>
      </w:r>
      <w:r w:rsidRPr="0018225B">
        <w:rPr>
          <w:rFonts w:ascii="Arial" w:hAnsi="Arial" w:cs="Arial"/>
          <w:sz w:val="24"/>
        </w:rPr>
        <w:t xml:space="preserve">l </w:t>
      </w:r>
      <w:r w:rsidR="00817833">
        <w:rPr>
          <w:rFonts w:ascii="Arial" w:hAnsi="Arial" w:cs="Arial"/>
          <w:sz w:val="24"/>
          <w:u w:val="single"/>
        </w:rPr>
        <w:t>veinte</w:t>
      </w:r>
      <w:r w:rsidR="00FF361F">
        <w:rPr>
          <w:rFonts w:ascii="Arial" w:hAnsi="Arial" w:cs="Arial"/>
          <w:sz w:val="24"/>
          <w:u w:val="single"/>
        </w:rPr>
        <w:t>, ambos</w:t>
      </w:r>
      <w:r>
        <w:rPr>
          <w:rFonts w:ascii="Arial" w:hAnsi="Arial" w:cs="Arial"/>
          <w:sz w:val="24"/>
          <w:u w:val="single"/>
        </w:rPr>
        <w:t xml:space="preserve"> de</w:t>
      </w:r>
      <w:r w:rsidR="00817833">
        <w:rPr>
          <w:rFonts w:ascii="Arial" w:hAnsi="Arial" w:cs="Arial"/>
          <w:sz w:val="24"/>
          <w:u w:val="single"/>
        </w:rPr>
        <w:t xml:space="preserve"> abril de</w:t>
      </w:r>
      <w:r>
        <w:rPr>
          <w:rFonts w:ascii="Arial" w:hAnsi="Arial" w:cs="Arial"/>
          <w:sz w:val="24"/>
          <w:u w:val="single"/>
        </w:rPr>
        <w:t xml:space="preserve"> </w:t>
      </w:r>
      <w:r w:rsidR="00FF361F">
        <w:rPr>
          <w:rFonts w:ascii="Arial" w:hAnsi="Arial" w:cs="Arial"/>
          <w:sz w:val="24"/>
          <w:u w:val="single"/>
        </w:rPr>
        <w:t xml:space="preserve">dos mil </w:t>
      </w:r>
      <w:r w:rsidR="00817833">
        <w:rPr>
          <w:rFonts w:ascii="Arial" w:hAnsi="Arial" w:cs="Arial"/>
          <w:sz w:val="24"/>
          <w:u w:val="single"/>
        </w:rPr>
        <w:t>veintiséis</w:t>
      </w:r>
      <w:r>
        <w:rPr>
          <w:rFonts w:ascii="Arial" w:hAnsi="Arial" w:cs="Arial"/>
          <w:sz w:val="24"/>
        </w:rPr>
        <w:t>;</w:t>
      </w:r>
      <w:r w:rsidRPr="0018225B">
        <w:rPr>
          <w:rFonts w:ascii="Arial" w:hAnsi="Arial" w:cs="Arial"/>
          <w:sz w:val="24"/>
        </w:rPr>
        <w:t xml:space="preserve"> </w:t>
      </w:r>
      <w:r>
        <w:rPr>
          <w:rFonts w:ascii="Arial" w:hAnsi="Arial" w:cs="Arial"/>
          <w:sz w:val="24"/>
        </w:rPr>
        <w:t>esto, al tenerse como inhábiles los días</w:t>
      </w:r>
      <w:r w:rsidR="00FF361F">
        <w:rPr>
          <w:rFonts w:ascii="Arial" w:hAnsi="Arial" w:cs="Arial"/>
          <w:sz w:val="24"/>
        </w:rPr>
        <w:t xml:space="preserve"> </w:t>
      </w:r>
      <w:r w:rsidR="00B97F7B">
        <w:rPr>
          <w:rFonts w:ascii="Arial" w:hAnsi="Arial" w:cs="Arial"/>
          <w:sz w:val="24"/>
        </w:rPr>
        <w:t>veinte, veintiuno, veintisiete y veintiocho de septiembre</w:t>
      </w:r>
      <w:r w:rsidR="00FF361F">
        <w:rPr>
          <w:rFonts w:ascii="Arial" w:hAnsi="Arial" w:cs="Arial"/>
          <w:sz w:val="24"/>
        </w:rPr>
        <w:t xml:space="preserve"> de dos mil veinticinco</w:t>
      </w:r>
      <w:r>
        <w:rPr>
          <w:rFonts w:ascii="Arial" w:hAnsi="Arial" w:cs="Arial"/>
          <w:sz w:val="24"/>
        </w:rPr>
        <w:t>, por corresponder a sábados y domingos</w:t>
      </w:r>
      <w:r>
        <w:rPr>
          <w:rStyle w:val="Refdenotaalpie"/>
          <w:rFonts w:ascii="Arial" w:hAnsi="Arial" w:cs="Arial"/>
          <w:sz w:val="24"/>
        </w:rPr>
        <w:footnoteReference w:id="6"/>
      </w:r>
      <w:r>
        <w:rPr>
          <w:rFonts w:ascii="Arial" w:hAnsi="Arial" w:cs="Arial"/>
          <w:sz w:val="24"/>
        </w:rPr>
        <w:t xml:space="preserve">. </w:t>
      </w:r>
    </w:p>
    <w:p w14:paraId="2271B50F" w14:textId="7E4829FA" w:rsidR="001568BB" w:rsidRPr="00DF0231" w:rsidRDefault="00B97F7B" w:rsidP="001568BB">
      <w:pPr>
        <w:spacing w:after="0" w:line="360" w:lineRule="auto"/>
        <w:jc w:val="both"/>
        <w:rPr>
          <w:rFonts w:ascii="Arial" w:hAnsi="Arial" w:cs="Arial"/>
          <w:sz w:val="24"/>
        </w:rPr>
      </w:pPr>
      <w:r>
        <w:rPr>
          <w:rFonts w:ascii="Arial" w:hAnsi="Arial" w:cs="Arial"/>
          <w:sz w:val="24"/>
        </w:rPr>
        <w:t xml:space="preserve"> </w:t>
      </w:r>
    </w:p>
    <w:p w14:paraId="7F3BC528" w14:textId="5AE3A4AD" w:rsidR="001568BB" w:rsidRDefault="001568BB" w:rsidP="001568BB">
      <w:pPr>
        <w:shd w:val="clear" w:color="auto" w:fill="FFFFFF"/>
        <w:spacing w:line="360" w:lineRule="auto"/>
        <w:jc w:val="both"/>
        <w:rPr>
          <w:rFonts w:ascii="Arial" w:hAnsi="Arial" w:cs="Arial"/>
          <w:sz w:val="24"/>
          <w:bdr w:val="none" w:sz="0" w:space="0" w:color="auto" w:frame="1"/>
          <w:lang w:eastAsia="es-MX"/>
        </w:rPr>
      </w:pPr>
      <w:r w:rsidRPr="00DF0231">
        <w:rPr>
          <w:rFonts w:ascii="Arial" w:hAnsi="Arial" w:cs="Arial"/>
          <w:sz w:val="24"/>
          <w:bdr w:val="none" w:sz="0" w:space="0" w:color="auto" w:frame="1"/>
          <w:lang w:eastAsia="es-MX"/>
        </w:rPr>
        <w:tab/>
        <w:t xml:space="preserve">Para mayor claridad, sirve de apoyo el siguiente calendario en el cual se observa el plazo con el que contaba el Sujeto Obligado para otorgar respuesta al particular: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337"/>
      </w:tblGrid>
      <w:tr w:rsidR="002951F6" w14:paraId="7A07256D" w14:textId="77777777" w:rsidTr="002951F6">
        <w:trPr>
          <w:trHeight w:val="3531"/>
        </w:trPr>
        <w:tc>
          <w:tcPr>
            <w:tcW w:w="3397" w:type="dxa"/>
          </w:tcPr>
          <w:tbl>
            <w:tblPr>
              <w:tblpPr w:leftFromText="141" w:rightFromText="141" w:vertAnchor="text" w:horzAnchor="margin" w:tblpY="90"/>
              <w:tblW w:w="3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25"/>
              <w:gridCol w:w="425"/>
              <w:gridCol w:w="425"/>
              <w:gridCol w:w="425"/>
              <w:gridCol w:w="425"/>
              <w:gridCol w:w="425"/>
              <w:gridCol w:w="31"/>
            </w:tblGrid>
            <w:tr w:rsidR="002951F6" w:rsidRPr="009922E5" w14:paraId="1DDB8953" w14:textId="77777777" w:rsidTr="002951F6">
              <w:trPr>
                <w:trHeight w:val="276"/>
                <w:tblHeader/>
              </w:trPr>
              <w:tc>
                <w:tcPr>
                  <w:tcW w:w="3115" w:type="dxa"/>
                  <w:gridSpan w:val="8"/>
                  <w:tcBorders>
                    <w:top w:val="single" w:sz="4" w:space="0" w:color="auto"/>
                    <w:left w:val="single" w:sz="4" w:space="0" w:color="auto"/>
                    <w:bottom w:val="single" w:sz="4" w:space="0" w:color="auto"/>
                    <w:right w:val="single" w:sz="4" w:space="0" w:color="auto"/>
                  </w:tcBorders>
                  <w:shd w:val="clear" w:color="auto" w:fill="000000"/>
                  <w:hideMark/>
                </w:tcPr>
                <w:p w14:paraId="30E6B5DC" w14:textId="77777777" w:rsidR="002951F6" w:rsidRPr="009922E5" w:rsidRDefault="002951F6" w:rsidP="002951F6">
                  <w:pPr>
                    <w:spacing w:line="360" w:lineRule="auto"/>
                    <w:jc w:val="center"/>
                    <w:rPr>
                      <w:rFonts w:ascii="Arial" w:hAnsi="Arial" w:cs="Arial"/>
                      <w:b/>
                      <w:caps/>
                      <w:spacing w:val="20"/>
                      <w:sz w:val="16"/>
                      <w:szCs w:val="18"/>
                      <w:lang w:val="es-ES" w:eastAsia="es-ES"/>
                    </w:rPr>
                  </w:pPr>
                  <w:r>
                    <w:rPr>
                      <w:rFonts w:ascii="Arial" w:hAnsi="Arial" w:cs="Arial"/>
                      <w:b/>
                      <w:caps/>
                      <w:spacing w:val="20"/>
                      <w:sz w:val="16"/>
                      <w:szCs w:val="18"/>
                    </w:rPr>
                    <w:t>ABRIL 2026</w:t>
                  </w:r>
                </w:p>
              </w:tc>
            </w:tr>
            <w:tr w:rsidR="002951F6" w:rsidRPr="009922E5" w14:paraId="2154CEBD" w14:textId="77777777" w:rsidTr="002951F6">
              <w:trPr>
                <w:gridAfter w:val="1"/>
                <w:wAfter w:w="31" w:type="dxa"/>
                <w:trHeight w:val="296"/>
                <w:tblHeader/>
              </w:trPr>
              <w:tc>
                <w:tcPr>
                  <w:tcW w:w="534" w:type="dxa"/>
                  <w:tcBorders>
                    <w:top w:val="single" w:sz="4" w:space="0" w:color="auto"/>
                    <w:left w:val="single" w:sz="4" w:space="0" w:color="auto"/>
                    <w:bottom w:val="single" w:sz="4" w:space="0" w:color="auto"/>
                    <w:right w:val="single" w:sz="4" w:space="0" w:color="auto"/>
                    <w:tl2br w:val="nil"/>
                    <w:tr2bl w:val="nil"/>
                  </w:tcBorders>
                  <w:shd w:val="clear" w:color="auto" w:fill="000000" w:themeFill="text1"/>
                  <w:hideMark/>
                </w:tcPr>
                <w:p w14:paraId="0A2FE4CF" w14:textId="77777777" w:rsidR="002951F6" w:rsidRPr="009922E5" w:rsidRDefault="002951F6" w:rsidP="002951F6">
                  <w:pPr>
                    <w:spacing w:line="360" w:lineRule="auto"/>
                    <w:jc w:val="center"/>
                    <w:rPr>
                      <w:rFonts w:ascii="Arial" w:hAnsi="Arial" w:cs="Arial"/>
                      <w:b/>
                      <w:caps/>
                      <w:color w:val="FFFFFF" w:themeColor="background1"/>
                      <w:spacing w:val="20"/>
                      <w:sz w:val="16"/>
                      <w:szCs w:val="18"/>
                      <w:highlight w:val="black"/>
                      <w:lang w:val="es-ES" w:eastAsia="es-ES"/>
                    </w:rPr>
                  </w:pPr>
                  <w:r w:rsidRPr="009922E5">
                    <w:rPr>
                      <w:rFonts w:ascii="Arial" w:hAnsi="Arial" w:cs="Arial"/>
                      <w:b/>
                      <w:caps/>
                      <w:color w:val="FFFFFF" w:themeColor="background1"/>
                      <w:spacing w:val="20"/>
                      <w:sz w:val="16"/>
                      <w:szCs w:val="18"/>
                      <w:highlight w:val="black"/>
                    </w:rPr>
                    <w:t>L</w:t>
                  </w:r>
                </w:p>
              </w:tc>
              <w:tc>
                <w:tcPr>
                  <w:tcW w:w="425" w:type="dxa"/>
                  <w:tcBorders>
                    <w:top w:val="single" w:sz="4" w:space="0" w:color="auto"/>
                    <w:left w:val="single" w:sz="4" w:space="0" w:color="auto"/>
                    <w:bottom w:val="single" w:sz="4" w:space="0" w:color="auto"/>
                    <w:right w:val="single" w:sz="4" w:space="0" w:color="auto"/>
                    <w:tl2br w:val="nil"/>
                    <w:tr2bl w:val="nil"/>
                  </w:tcBorders>
                  <w:shd w:val="clear" w:color="auto" w:fill="000000" w:themeFill="text1"/>
                  <w:hideMark/>
                </w:tcPr>
                <w:p w14:paraId="6A69A0C1" w14:textId="77777777" w:rsidR="002951F6" w:rsidRPr="009922E5" w:rsidRDefault="002951F6" w:rsidP="002951F6">
                  <w:pPr>
                    <w:spacing w:line="360" w:lineRule="auto"/>
                    <w:jc w:val="center"/>
                    <w:rPr>
                      <w:rFonts w:ascii="Arial" w:hAnsi="Arial" w:cs="Arial"/>
                      <w:b/>
                      <w:caps/>
                      <w:color w:val="FFFFFF" w:themeColor="background1"/>
                      <w:spacing w:val="20"/>
                      <w:sz w:val="16"/>
                      <w:szCs w:val="18"/>
                      <w:highlight w:val="black"/>
                      <w:lang w:val="es-ES" w:eastAsia="es-ES"/>
                    </w:rPr>
                  </w:pPr>
                  <w:r w:rsidRPr="009922E5">
                    <w:rPr>
                      <w:rFonts w:ascii="Arial" w:hAnsi="Arial" w:cs="Arial"/>
                      <w:b/>
                      <w:caps/>
                      <w:color w:val="FFFFFF" w:themeColor="background1"/>
                      <w:spacing w:val="20"/>
                      <w:sz w:val="16"/>
                      <w:szCs w:val="18"/>
                      <w:highlight w:val="black"/>
                    </w:rPr>
                    <w:t>M</w:t>
                  </w:r>
                </w:p>
              </w:tc>
              <w:tc>
                <w:tcPr>
                  <w:tcW w:w="425" w:type="dxa"/>
                  <w:tcBorders>
                    <w:top w:val="single" w:sz="4" w:space="0" w:color="auto"/>
                    <w:left w:val="single" w:sz="4" w:space="0" w:color="auto"/>
                    <w:bottom w:val="single" w:sz="4" w:space="0" w:color="auto"/>
                    <w:right w:val="single" w:sz="4" w:space="0" w:color="auto"/>
                    <w:tl2br w:val="nil"/>
                    <w:tr2bl w:val="nil"/>
                  </w:tcBorders>
                  <w:shd w:val="clear" w:color="auto" w:fill="000000" w:themeFill="text1"/>
                  <w:hideMark/>
                </w:tcPr>
                <w:p w14:paraId="7148F7DC" w14:textId="77777777" w:rsidR="002951F6" w:rsidRPr="009922E5" w:rsidRDefault="002951F6" w:rsidP="002951F6">
                  <w:pPr>
                    <w:spacing w:line="360" w:lineRule="auto"/>
                    <w:jc w:val="center"/>
                    <w:rPr>
                      <w:rFonts w:ascii="Arial" w:hAnsi="Arial" w:cs="Arial"/>
                      <w:b/>
                      <w:caps/>
                      <w:color w:val="FFFFFF" w:themeColor="background1"/>
                      <w:spacing w:val="20"/>
                      <w:sz w:val="16"/>
                      <w:szCs w:val="18"/>
                      <w:highlight w:val="black"/>
                      <w:lang w:val="es-ES" w:eastAsia="es-ES"/>
                    </w:rPr>
                  </w:pPr>
                  <w:r w:rsidRPr="009922E5">
                    <w:rPr>
                      <w:rFonts w:ascii="Arial" w:hAnsi="Arial" w:cs="Arial"/>
                      <w:b/>
                      <w:caps/>
                      <w:color w:val="FFFFFF" w:themeColor="background1"/>
                      <w:spacing w:val="20"/>
                      <w:sz w:val="16"/>
                      <w:szCs w:val="18"/>
                      <w:highlight w:val="black"/>
                    </w:rPr>
                    <w:t>M</w:t>
                  </w:r>
                </w:p>
              </w:tc>
              <w:tc>
                <w:tcPr>
                  <w:tcW w:w="425" w:type="dxa"/>
                  <w:tcBorders>
                    <w:top w:val="single" w:sz="4" w:space="0" w:color="auto"/>
                    <w:left w:val="single" w:sz="4" w:space="0" w:color="auto"/>
                    <w:bottom w:val="single" w:sz="4" w:space="0" w:color="auto"/>
                    <w:right w:val="single" w:sz="4" w:space="0" w:color="auto"/>
                    <w:tl2br w:val="nil"/>
                    <w:tr2bl w:val="nil"/>
                  </w:tcBorders>
                  <w:shd w:val="clear" w:color="auto" w:fill="000000" w:themeFill="text1"/>
                  <w:hideMark/>
                </w:tcPr>
                <w:p w14:paraId="17599468" w14:textId="77777777" w:rsidR="002951F6" w:rsidRPr="009922E5" w:rsidRDefault="002951F6" w:rsidP="002951F6">
                  <w:pPr>
                    <w:spacing w:line="360" w:lineRule="auto"/>
                    <w:jc w:val="center"/>
                    <w:rPr>
                      <w:rFonts w:ascii="Arial" w:hAnsi="Arial" w:cs="Arial"/>
                      <w:b/>
                      <w:caps/>
                      <w:color w:val="FFFFFF" w:themeColor="background1"/>
                      <w:spacing w:val="20"/>
                      <w:sz w:val="16"/>
                      <w:szCs w:val="18"/>
                      <w:highlight w:val="black"/>
                      <w:lang w:val="es-ES" w:eastAsia="es-ES"/>
                    </w:rPr>
                  </w:pPr>
                  <w:r w:rsidRPr="009922E5">
                    <w:rPr>
                      <w:rFonts w:ascii="Arial" w:hAnsi="Arial" w:cs="Arial"/>
                      <w:b/>
                      <w:caps/>
                      <w:color w:val="FFFFFF" w:themeColor="background1"/>
                      <w:spacing w:val="20"/>
                      <w:sz w:val="16"/>
                      <w:szCs w:val="18"/>
                      <w:highlight w:val="black"/>
                    </w:rPr>
                    <w:t>J</w:t>
                  </w:r>
                </w:p>
              </w:tc>
              <w:tc>
                <w:tcPr>
                  <w:tcW w:w="425" w:type="dxa"/>
                  <w:tcBorders>
                    <w:top w:val="single" w:sz="4" w:space="0" w:color="auto"/>
                    <w:left w:val="single" w:sz="4" w:space="0" w:color="auto"/>
                    <w:bottom w:val="single" w:sz="4" w:space="0" w:color="auto"/>
                    <w:right w:val="single" w:sz="4" w:space="0" w:color="auto"/>
                    <w:tl2br w:val="nil"/>
                    <w:tr2bl w:val="nil"/>
                  </w:tcBorders>
                  <w:shd w:val="clear" w:color="auto" w:fill="000000" w:themeFill="text1"/>
                  <w:hideMark/>
                </w:tcPr>
                <w:p w14:paraId="629F1965" w14:textId="77777777" w:rsidR="002951F6" w:rsidRPr="009922E5" w:rsidRDefault="002951F6" w:rsidP="002951F6">
                  <w:pPr>
                    <w:spacing w:line="360" w:lineRule="auto"/>
                    <w:jc w:val="center"/>
                    <w:rPr>
                      <w:rFonts w:ascii="Arial" w:hAnsi="Arial" w:cs="Arial"/>
                      <w:b/>
                      <w:caps/>
                      <w:color w:val="FFFFFF" w:themeColor="background1"/>
                      <w:spacing w:val="20"/>
                      <w:sz w:val="16"/>
                      <w:szCs w:val="18"/>
                      <w:highlight w:val="black"/>
                      <w:lang w:val="es-ES" w:eastAsia="es-ES"/>
                    </w:rPr>
                  </w:pPr>
                  <w:r w:rsidRPr="009922E5">
                    <w:rPr>
                      <w:rFonts w:ascii="Arial" w:hAnsi="Arial" w:cs="Arial"/>
                      <w:b/>
                      <w:caps/>
                      <w:color w:val="FFFFFF" w:themeColor="background1"/>
                      <w:spacing w:val="20"/>
                      <w:sz w:val="16"/>
                      <w:szCs w:val="18"/>
                      <w:highlight w:val="black"/>
                    </w:rPr>
                    <w:t>V</w:t>
                  </w:r>
                </w:p>
              </w:tc>
              <w:tc>
                <w:tcPr>
                  <w:tcW w:w="425" w:type="dxa"/>
                  <w:tcBorders>
                    <w:top w:val="single" w:sz="4" w:space="0" w:color="auto"/>
                    <w:left w:val="single" w:sz="4" w:space="0" w:color="auto"/>
                    <w:bottom w:val="single" w:sz="4" w:space="0" w:color="auto"/>
                    <w:right w:val="single" w:sz="4" w:space="0" w:color="auto"/>
                    <w:tl2br w:val="nil"/>
                    <w:tr2bl w:val="nil"/>
                  </w:tcBorders>
                  <w:shd w:val="clear" w:color="auto" w:fill="000000" w:themeFill="text1"/>
                  <w:hideMark/>
                </w:tcPr>
                <w:p w14:paraId="0C9E19B3" w14:textId="77777777" w:rsidR="002951F6" w:rsidRPr="009922E5" w:rsidRDefault="002951F6" w:rsidP="002951F6">
                  <w:pPr>
                    <w:spacing w:line="360" w:lineRule="auto"/>
                    <w:jc w:val="center"/>
                    <w:rPr>
                      <w:rFonts w:ascii="Arial" w:hAnsi="Arial" w:cs="Arial"/>
                      <w:b/>
                      <w:caps/>
                      <w:color w:val="FFFFFF" w:themeColor="background1"/>
                      <w:spacing w:val="20"/>
                      <w:sz w:val="16"/>
                      <w:szCs w:val="18"/>
                      <w:highlight w:val="black"/>
                      <w:lang w:val="es-ES" w:eastAsia="es-ES"/>
                    </w:rPr>
                  </w:pPr>
                  <w:r w:rsidRPr="009922E5">
                    <w:rPr>
                      <w:rFonts w:ascii="Arial" w:hAnsi="Arial" w:cs="Arial"/>
                      <w:b/>
                      <w:caps/>
                      <w:color w:val="FFFFFF" w:themeColor="background1"/>
                      <w:spacing w:val="20"/>
                      <w:sz w:val="16"/>
                      <w:szCs w:val="18"/>
                      <w:highlight w:val="black"/>
                    </w:rPr>
                    <w:t>S</w:t>
                  </w:r>
                </w:p>
              </w:tc>
              <w:tc>
                <w:tcPr>
                  <w:tcW w:w="425" w:type="dxa"/>
                  <w:tcBorders>
                    <w:top w:val="single" w:sz="4" w:space="0" w:color="auto"/>
                    <w:left w:val="single" w:sz="4" w:space="0" w:color="auto"/>
                    <w:bottom w:val="single" w:sz="4" w:space="0" w:color="auto"/>
                    <w:right w:val="single" w:sz="4" w:space="0" w:color="auto"/>
                    <w:tl2br w:val="nil"/>
                    <w:tr2bl w:val="nil"/>
                  </w:tcBorders>
                  <w:shd w:val="clear" w:color="auto" w:fill="000000" w:themeFill="text1"/>
                  <w:hideMark/>
                </w:tcPr>
                <w:p w14:paraId="284CB1FC" w14:textId="77777777" w:rsidR="002951F6" w:rsidRPr="009922E5" w:rsidRDefault="002951F6" w:rsidP="002951F6">
                  <w:pPr>
                    <w:tabs>
                      <w:tab w:val="center" w:pos="252"/>
                    </w:tabs>
                    <w:spacing w:line="360" w:lineRule="auto"/>
                    <w:jc w:val="center"/>
                    <w:rPr>
                      <w:rFonts w:ascii="Arial" w:hAnsi="Arial" w:cs="Arial"/>
                      <w:b/>
                      <w:caps/>
                      <w:color w:val="FFFFFF" w:themeColor="background1"/>
                      <w:spacing w:val="20"/>
                      <w:sz w:val="16"/>
                      <w:szCs w:val="18"/>
                      <w:highlight w:val="black"/>
                      <w:lang w:val="es-ES" w:eastAsia="es-ES"/>
                    </w:rPr>
                  </w:pPr>
                  <w:r w:rsidRPr="009922E5">
                    <w:rPr>
                      <w:rFonts w:ascii="Arial" w:hAnsi="Arial" w:cs="Arial"/>
                      <w:b/>
                      <w:caps/>
                      <w:color w:val="FFFFFF" w:themeColor="background1"/>
                      <w:spacing w:val="20"/>
                      <w:sz w:val="16"/>
                      <w:szCs w:val="18"/>
                      <w:highlight w:val="black"/>
                    </w:rPr>
                    <w:t>D</w:t>
                  </w:r>
                </w:p>
              </w:tc>
            </w:tr>
            <w:tr w:rsidR="002951F6" w:rsidRPr="009922E5" w14:paraId="65B97949" w14:textId="77777777" w:rsidTr="002951F6">
              <w:trPr>
                <w:gridAfter w:val="1"/>
                <w:wAfter w:w="31" w:type="dxa"/>
                <w:trHeight w:val="422"/>
              </w:trPr>
              <w:tc>
                <w:tcPr>
                  <w:tcW w:w="534"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D8BF95C" w14:textId="77777777" w:rsidR="002951F6" w:rsidRPr="009922E5" w:rsidRDefault="002951F6" w:rsidP="002951F6">
                  <w:pPr>
                    <w:spacing w:line="360" w:lineRule="auto"/>
                    <w:jc w:val="center"/>
                    <w:rPr>
                      <w:rFonts w:ascii="Arial" w:hAnsi="Arial" w:cs="Arial"/>
                      <w:sz w:val="16"/>
                      <w:szCs w:val="18"/>
                      <w:lang w:val="es-ES" w:eastAsia="es-ES"/>
                    </w:rPr>
                  </w:pPr>
                </w:p>
              </w:tc>
              <w:tc>
                <w:tcPr>
                  <w:tcW w:w="42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DEA09F4" w14:textId="77777777" w:rsidR="002951F6" w:rsidRPr="009922E5" w:rsidRDefault="002951F6" w:rsidP="002951F6">
                  <w:pPr>
                    <w:spacing w:line="360" w:lineRule="auto"/>
                    <w:jc w:val="center"/>
                    <w:rPr>
                      <w:rFonts w:ascii="Arial" w:hAnsi="Arial" w:cs="Arial"/>
                      <w:sz w:val="16"/>
                      <w:szCs w:val="18"/>
                      <w:lang w:val="es-ES" w:eastAsia="es-ES"/>
                    </w:rPr>
                  </w:pPr>
                </w:p>
              </w:tc>
              <w:tc>
                <w:tcPr>
                  <w:tcW w:w="4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Pr>
                <w:p w14:paraId="668C8CB6"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01</w:t>
                  </w:r>
                </w:p>
              </w:tc>
              <w:tc>
                <w:tcPr>
                  <w:tcW w:w="4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Pr>
                <w:p w14:paraId="38FF0F5D"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02</w:t>
                  </w:r>
                </w:p>
              </w:tc>
              <w:tc>
                <w:tcPr>
                  <w:tcW w:w="4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Pr>
                <w:p w14:paraId="2BFD362F"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03</w:t>
                  </w:r>
                </w:p>
              </w:tc>
              <w:tc>
                <w:tcPr>
                  <w:tcW w:w="4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Pr>
                <w:p w14:paraId="2C1462EC"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04</w:t>
                  </w:r>
                </w:p>
              </w:tc>
              <w:tc>
                <w:tcPr>
                  <w:tcW w:w="4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Pr>
                <w:p w14:paraId="2523B3E7"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05</w:t>
                  </w:r>
                </w:p>
              </w:tc>
            </w:tr>
            <w:tr w:rsidR="002951F6" w:rsidRPr="009922E5" w14:paraId="079BA532" w14:textId="77777777" w:rsidTr="002951F6">
              <w:trPr>
                <w:gridAfter w:val="1"/>
                <w:wAfter w:w="31" w:type="dxa"/>
                <w:trHeight w:val="411"/>
              </w:trPr>
              <w:tc>
                <w:tcPr>
                  <w:tcW w:w="534" w:type="dxa"/>
                  <w:tcBorders>
                    <w:top w:val="single" w:sz="4" w:space="0" w:color="auto"/>
                    <w:left w:val="single" w:sz="4" w:space="0" w:color="auto"/>
                    <w:bottom w:val="single" w:sz="4" w:space="0" w:color="auto"/>
                    <w:right w:val="single" w:sz="4" w:space="0" w:color="auto"/>
                    <w:tl2br w:val="nil"/>
                    <w:tr2bl w:val="nil"/>
                  </w:tcBorders>
                  <w:shd w:val="clear" w:color="auto" w:fill="000000" w:themeFill="text1"/>
                </w:tcPr>
                <w:p w14:paraId="176ED398"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06</w:t>
                  </w:r>
                </w:p>
              </w:tc>
              <w:tc>
                <w:tcPr>
                  <w:tcW w:w="425" w:type="dxa"/>
                  <w:tcBorders>
                    <w:top w:val="single" w:sz="4" w:space="0" w:color="auto"/>
                    <w:left w:val="single" w:sz="4" w:space="0" w:color="auto"/>
                    <w:bottom w:val="single" w:sz="4" w:space="0" w:color="auto"/>
                    <w:right w:val="single" w:sz="4" w:space="0" w:color="auto"/>
                    <w:tl2br w:val="nil"/>
                    <w:tr2bl w:val="nil"/>
                  </w:tcBorders>
                  <w:shd w:val="clear" w:color="auto" w:fill="AEAAAA" w:themeFill="background2" w:themeFillShade="BF"/>
                </w:tcPr>
                <w:p w14:paraId="11B81B2E"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07</w:t>
                  </w:r>
                </w:p>
              </w:tc>
              <w:tc>
                <w:tcPr>
                  <w:tcW w:w="425" w:type="dxa"/>
                  <w:tcBorders>
                    <w:top w:val="single" w:sz="4" w:space="0" w:color="auto"/>
                    <w:left w:val="single" w:sz="4" w:space="0" w:color="auto"/>
                    <w:bottom w:val="single" w:sz="4" w:space="0" w:color="auto"/>
                    <w:right w:val="single" w:sz="4" w:space="0" w:color="auto"/>
                    <w:tl2br w:val="nil"/>
                    <w:tr2bl w:val="nil"/>
                  </w:tcBorders>
                  <w:shd w:val="clear" w:color="auto" w:fill="AEAAAA" w:themeFill="background2" w:themeFillShade="BF"/>
                </w:tcPr>
                <w:p w14:paraId="5EF76696"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08</w:t>
                  </w:r>
                </w:p>
              </w:tc>
              <w:tc>
                <w:tcPr>
                  <w:tcW w:w="425" w:type="dxa"/>
                  <w:tcBorders>
                    <w:top w:val="single" w:sz="4" w:space="0" w:color="auto"/>
                    <w:left w:val="single" w:sz="4" w:space="0" w:color="auto"/>
                    <w:bottom w:val="single" w:sz="4" w:space="0" w:color="auto"/>
                    <w:right w:val="single" w:sz="4" w:space="0" w:color="auto"/>
                    <w:tl2br w:val="nil"/>
                    <w:tr2bl w:val="nil"/>
                  </w:tcBorders>
                  <w:shd w:val="clear" w:color="auto" w:fill="AEAAAA" w:themeFill="background2" w:themeFillShade="BF"/>
                </w:tcPr>
                <w:p w14:paraId="54276F25"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09</w:t>
                  </w:r>
                </w:p>
              </w:tc>
              <w:tc>
                <w:tcPr>
                  <w:tcW w:w="425" w:type="dxa"/>
                  <w:tcBorders>
                    <w:top w:val="single" w:sz="4" w:space="0" w:color="auto"/>
                    <w:left w:val="single" w:sz="4" w:space="0" w:color="auto"/>
                    <w:bottom w:val="single" w:sz="4" w:space="0" w:color="auto"/>
                    <w:right w:val="single" w:sz="4" w:space="0" w:color="auto"/>
                    <w:tl2br w:val="nil"/>
                    <w:tr2bl w:val="nil"/>
                  </w:tcBorders>
                  <w:shd w:val="clear" w:color="auto" w:fill="AEAAAA" w:themeFill="background2" w:themeFillShade="BF"/>
                </w:tcPr>
                <w:p w14:paraId="07DFB271"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10</w:t>
                  </w:r>
                </w:p>
              </w:tc>
              <w:tc>
                <w:tcPr>
                  <w:tcW w:w="4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Pr>
                <w:p w14:paraId="2BCD3DEB"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11</w:t>
                  </w:r>
                </w:p>
              </w:tc>
              <w:tc>
                <w:tcPr>
                  <w:tcW w:w="4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Pr>
                <w:p w14:paraId="7BCD21EE"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12</w:t>
                  </w:r>
                </w:p>
              </w:tc>
            </w:tr>
            <w:tr w:rsidR="002951F6" w:rsidRPr="009922E5" w14:paraId="76169DE8" w14:textId="77777777" w:rsidTr="002951F6">
              <w:trPr>
                <w:gridAfter w:val="1"/>
                <w:wAfter w:w="31" w:type="dxa"/>
                <w:trHeight w:val="411"/>
              </w:trPr>
              <w:tc>
                <w:tcPr>
                  <w:tcW w:w="534" w:type="dxa"/>
                  <w:tcBorders>
                    <w:top w:val="single" w:sz="4" w:space="0" w:color="auto"/>
                    <w:left w:val="single" w:sz="4" w:space="0" w:color="auto"/>
                    <w:bottom w:val="single" w:sz="4" w:space="0" w:color="auto"/>
                    <w:right w:val="single" w:sz="4" w:space="0" w:color="auto"/>
                    <w:tl2br w:val="nil"/>
                    <w:tr2bl w:val="nil"/>
                  </w:tcBorders>
                  <w:shd w:val="clear" w:color="auto" w:fill="AEAAAA" w:themeFill="background2" w:themeFillShade="BF"/>
                </w:tcPr>
                <w:p w14:paraId="791D1AD8" w14:textId="77777777" w:rsidR="002951F6" w:rsidRPr="009922E5" w:rsidRDefault="002951F6" w:rsidP="002951F6">
                  <w:pPr>
                    <w:spacing w:line="360" w:lineRule="auto"/>
                    <w:jc w:val="center"/>
                    <w:rPr>
                      <w:rFonts w:ascii="Arial" w:hAnsi="Arial" w:cs="Arial"/>
                      <w:bCs/>
                      <w:sz w:val="16"/>
                      <w:szCs w:val="18"/>
                      <w:lang w:val="es-ES" w:eastAsia="es-ES"/>
                    </w:rPr>
                  </w:pPr>
                  <w:r>
                    <w:rPr>
                      <w:rFonts w:ascii="Arial" w:hAnsi="Arial" w:cs="Arial"/>
                      <w:bCs/>
                      <w:sz w:val="16"/>
                      <w:szCs w:val="18"/>
                      <w:lang w:val="es-ES" w:eastAsia="es-ES"/>
                    </w:rPr>
                    <w:t>13</w:t>
                  </w:r>
                </w:p>
              </w:tc>
              <w:tc>
                <w:tcPr>
                  <w:tcW w:w="425" w:type="dxa"/>
                  <w:tcBorders>
                    <w:top w:val="single" w:sz="4" w:space="0" w:color="auto"/>
                    <w:left w:val="single" w:sz="4" w:space="0" w:color="auto"/>
                    <w:bottom w:val="single" w:sz="4" w:space="0" w:color="auto"/>
                    <w:right w:val="single" w:sz="4" w:space="0" w:color="auto"/>
                    <w:tl2br w:val="nil"/>
                    <w:tr2bl w:val="nil"/>
                  </w:tcBorders>
                  <w:shd w:val="clear" w:color="auto" w:fill="AEAAAA" w:themeFill="background2" w:themeFillShade="BF"/>
                </w:tcPr>
                <w:p w14:paraId="6C9BCCB3"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14</w:t>
                  </w:r>
                </w:p>
              </w:tc>
              <w:tc>
                <w:tcPr>
                  <w:tcW w:w="425" w:type="dxa"/>
                  <w:tcBorders>
                    <w:top w:val="single" w:sz="4" w:space="0" w:color="auto"/>
                    <w:left w:val="single" w:sz="4" w:space="0" w:color="auto"/>
                    <w:bottom w:val="single" w:sz="4" w:space="0" w:color="auto"/>
                    <w:right w:val="single" w:sz="4" w:space="0" w:color="auto"/>
                    <w:tl2br w:val="nil"/>
                    <w:tr2bl w:val="nil"/>
                  </w:tcBorders>
                  <w:shd w:val="clear" w:color="auto" w:fill="AEAAAA" w:themeFill="background2" w:themeFillShade="BF"/>
                </w:tcPr>
                <w:p w14:paraId="3008CF29"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15</w:t>
                  </w:r>
                </w:p>
              </w:tc>
              <w:tc>
                <w:tcPr>
                  <w:tcW w:w="425" w:type="dxa"/>
                  <w:tcBorders>
                    <w:top w:val="single" w:sz="4" w:space="0" w:color="auto"/>
                    <w:left w:val="single" w:sz="4" w:space="0" w:color="auto"/>
                    <w:bottom w:val="single" w:sz="4" w:space="0" w:color="auto"/>
                    <w:right w:val="single" w:sz="4" w:space="0" w:color="auto"/>
                    <w:tl2br w:val="nil"/>
                    <w:tr2bl w:val="nil"/>
                  </w:tcBorders>
                  <w:shd w:val="clear" w:color="auto" w:fill="AEAAAA" w:themeFill="background2" w:themeFillShade="BF"/>
                </w:tcPr>
                <w:p w14:paraId="5D003388"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16</w:t>
                  </w:r>
                </w:p>
              </w:tc>
              <w:tc>
                <w:tcPr>
                  <w:tcW w:w="425" w:type="dxa"/>
                  <w:tcBorders>
                    <w:top w:val="single" w:sz="4" w:space="0" w:color="auto"/>
                    <w:left w:val="single" w:sz="4" w:space="0" w:color="auto"/>
                    <w:bottom w:val="single" w:sz="4" w:space="0" w:color="auto"/>
                    <w:right w:val="single" w:sz="4" w:space="0" w:color="auto"/>
                    <w:tl2br w:val="nil"/>
                    <w:tr2bl w:val="nil"/>
                  </w:tcBorders>
                  <w:shd w:val="clear" w:color="auto" w:fill="AEAAAA" w:themeFill="background2" w:themeFillShade="BF"/>
                </w:tcPr>
                <w:p w14:paraId="6BC5C7DD"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17</w:t>
                  </w:r>
                </w:p>
              </w:tc>
              <w:tc>
                <w:tcPr>
                  <w:tcW w:w="4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Pr>
                <w:p w14:paraId="1D9152DD"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18</w:t>
                  </w:r>
                </w:p>
              </w:tc>
              <w:tc>
                <w:tcPr>
                  <w:tcW w:w="4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Pr>
                <w:p w14:paraId="6B249936"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19</w:t>
                  </w:r>
                </w:p>
              </w:tc>
            </w:tr>
            <w:tr w:rsidR="002951F6" w:rsidRPr="009922E5" w14:paraId="61FEC2E1" w14:textId="77777777" w:rsidTr="002951F6">
              <w:trPr>
                <w:gridAfter w:val="1"/>
                <w:wAfter w:w="31" w:type="dxa"/>
                <w:trHeight w:val="422"/>
              </w:trPr>
              <w:tc>
                <w:tcPr>
                  <w:tcW w:w="534" w:type="dxa"/>
                  <w:tcBorders>
                    <w:top w:val="single" w:sz="4" w:space="0" w:color="auto"/>
                    <w:left w:val="single" w:sz="4" w:space="0" w:color="auto"/>
                    <w:bottom w:val="single" w:sz="4" w:space="0" w:color="auto"/>
                    <w:right w:val="single" w:sz="4" w:space="0" w:color="auto"/>
                    <w:tl2br w:val="nil"/>
                    <w:tr2bl w:val="nil"/>
                  </w:tcBorders>
                  <w:shd w:val="clear" w:color="auto" w:fill="AEAAAA" w:themeFill="background2" w:themeFillShade="BF"/>
                </w:tcPr>
                <w:p w14:paraId="5CB4BFB2"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20</w:t>
                  </w:r>
                </w:p>
              </w:tc>
              <w:tc>
                <w:tcPr>
                  <w:tcW w:w="42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D2AF798"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21</w:t>
                  </w:r>
                </w:p>
              </w:tc>
              <w:tc>
                <w:tcPr>
                  <w:tcW w:w="42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469333A"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22</w:t>
                  </w:r>
                </w:p>
              </w:tc>
              <w:tc>
                <w:tcPr>
                  <w:tcW w:w="42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2DEE39B"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23</w:t>
                  </w:r>
                </w:p>
              </w:tc>
              <w:tc>
                <w:tcPr>
                  <w:tcW w:w="42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BCE793D"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24</w:t>
                  </w:r>
                </w:p>
              </w:tc>
              <w:tc>
                <w:tcPr>
                  <w:tcW w:w="4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Pr>
                <w:p w14:paraId="1B0E0163"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25</w:t>
                  </w:r>
                </w:p>
              </w:tc>
              <w:tc>
                <w:tcPr>
                  <w:tcW w:w="4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Pr>
                <w:p w14:paraId="0357FFD8"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26</w:t>
                  </w:r>
                </w:p>
              </w:tc>
            </w:tr>
            <w:tr w:rsidR="002951F6" w:rsidRPr="009922E5" w14:paraId="6187B72A" w14:textId="77777777" w:rsidTr="002951F6">
              <w:trPr>
                <w:gridAfter w:val="1"/>
                <w:wAfter w:w="31" w:type="dxa"/>
                <w:trHeight w:val="258"/>
              </w:trPr>
              <w:tc>
                <w:tcPr>
                  <w:tcW w:w="534"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5872189"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27</w:t>
                  </w:r>
                </w:p>
              </w:tc>
              <w:tc>
                <w:tcPr>
                  <w:tcW w:w="42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C1E388C"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28</w:t>
                  </w:r>
                </w:p>
              </w:tc>
              <w:tc>
                <w:tcPr>
                  <w:tcW w:w="42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E6C1A0B"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29</w:t>
                  </w:r>
                </w:p>
              </w:tc>
              <w:tc>
                <w:tcPr>
                  <w:tcW w:w="42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42FE0E7" w14:textId="77777777" w:rsidR="002951F6" w:rsidRPr="009922E5" w:rsidRDefault="002951F6" w:rsidP="002951F6">
                  <w:pPr>
                    <w:spacing w:line="360" w:lineRule="auto"/>
                    <w:jc w:val="center"/>
                    <w:rPr>
                      <w:rFonts w:ascii="Arial" w:hAnsi="Arial" w:cs="Arial"/>
                      <w:sz w:val="16"/>
                      <w:szCs w:val="18"/>
                      <w:lang w:val="es-ES" w:eastAsia="es-ES"/>
                    </w:rPr>
                  </w:pPr>
                  <w:r>
                    <w:rPr>
                      <w:rFonts w:ascii="Arial" w:hAnsi="Arial" w:cs="Arial"/>
                      <w:sz w:val="16"/>
                      <w:szCs w:val="18"/>
                      <w:lang w:val="es-ES" w:eastAsia="es-ES"/>
                    </w:rPr>
                    <w:t>30</w:t>
                  </w:r>
                </w:p>
              </w:tc>
              <w:tc>
                <w:tcPr>
                  <w:tcW w:w="42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BD3CDA5" w14:textId="77777777" w:rsidR="002951F6" w:rsidRPr="009922E5" w:rsidRDefault="002951F6" w:rsidP="002951F6">
                  <w:pPr>
                    <w:spacing w:line="360" w:lineRule="auto"/>
                    <w:jc w:val="center"/>
                    <w:rPr>
                      <w:rFonts w:ascii="Arial" w:hAnsi="Arial" w:cs="Arial"/>
                      <w:sz w:val="16"/>
                      <w:szCs w:val="18"/>
                      <w:lang w:val="es-ES" w:eastAsia="es-ES"/>
                    </w:rPr>
                  </w:pPr>
                </w:p>
              </w:tc>
              <w:tc>
                <w:tcPr>
                  <w:tcW w:w="42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784F09B" w14:textId="77777777" w:rsidR="002951F6" w:rsidRPr="009922E5" w:rsidRDefault="002951F6" w:rsidP="002951F6">
                  <w:pPr>
                    <w:spacing w:line="360" w:lineRule="auto"/>
                    <w:jc w:val="center"/>
                    <w:rPr>
                      <w:rFonts w:ascii="Arial" w:hAnsi="Arial" w:cs="Arial"/>
                      <w:sz w:val="16"/>
                      <w:szCs w:val="18"/>
                      <w:lang w:val="es-ES" w:eastAsia="es-ES"/>
                    </w:rPr>
                  </w:pPr>
                </w:p>
              </w:tc>
              <w:tc>
                <w:tcPr>
                  <w:tcW w:w="42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20F56F4" w14:textId="77777777" w:rsidR="002951F6" w:rsidRPr="009922E5" w:rsidRDefault="002951F6" w:rsidP="002951F6">
                  <w:pPr>
                    <w:spacing w:line="360" w:lineRule="auto"/>
                    <w:jc w:val="center"/>
                    <w:rPr>
                      <w:rFonts w:ascii="Arial" w:hAnsi="Arial" w:cs="Arial"/>
                      <w:sz w:val="16"/>
                      <w:szCs w:val="18"/>
                      <w:lang w:val="es-ES" w:eastAsia="es-ES"/>
                    </w:rPr>
                  </w:pPr>
                </w:p>
              </w:tc>
            </w:tr>
          </w:tbl>
          <w:p w14:paraId="69240B4E" w14:textId="0B91CAFF" w:rsidR="002951F6" w:rsidRDefault="002951F6" w:rsidP="001568BB">
            <w:pPr>
              <w:spacing w:line="360" w:lineRule="auto"/>
              <w:jc w:val="both"/>
              <w:rPr>
                <w:rFonts w:ascii="Arial" w:hAnsi="Arial" w:cs="Arial"/>
                <w:sz w:val="24"/>
                <w:bdr w:val="none" w:sz="0" w:space="0" w:color="auto" w:frame="1"/>
                <w:lang w:eastAsia="es-MX"/>
              </w:rPr>
            </w:pPr>
          </w:p>
        </w:tc>
        <w:tc>
          <w:tcPr>
            <w:tcW w:w="5147" w:type="dxa"/>
          </w:tcPr>
          <w:p w14:paraId="34969A06" w14:textId="77777777" w:rsidR="002951F6" w:rsidRDefault="002951F6" w:rsidP="001568BB">
            <w:pPr>
              <w:spacing w:line="360" w:lineRule="auto"/>
              <w:jc w:val="both"/>
              <w:rPr>
                <w:rFonts w:ascii="Arial" w:hAnsi="Arial" w:cs="Arial"/>
                <w:sz w:val="24"/>
                <w:bdr w:val="none" w:sz="0" w:space="0" w:color="auto" w:frame="1"/>
                <w:lang w:eastAsia="es-MX"/>
              </w:rPr>
            </w:pPr>
          </w:p>
          <w:p w14:paraId="60C4A23A" w14:textId="77777777" w:rsidR="002951F6" w:rsidRDefault="002951F6" w:rsidP="001568BB">
            <w:pPr>
              <w:spacing w:line="360" w:lineRule="auto"/>
              <w:jc w:val="both"/>
              <w:rPr>
                <w:rFonts w:ascii="Arial" w:hAnsi="Arial" w:cs="Arial"/>
                <w:sz w:val="24"/>
                <w:bdr w:val="none" w:sz="0" w:space="0" w:color="auto" w:frame="1"/>
                <w:lang w:eastAsia="es-MX"/>
              </w:rPr>
            </w:pPr>
          </w:p>
          <w:p w14:paraId="26D2A4C0" w14:textId="5AC8B495" w:rsidR="002951F6" w:rsidRDefault="002951F6" w:rsidP="001568BB">
            <w:pPr>
              <w:spacing w:line="360" w:lineRule="auto"/>
              <w:jc w:val="both"/>
              <w:rPr>
                <w:rFonts w:ascii="Arial" w:hAnsi="Arial" w:cs="Arial"/>
                <w:sz w:val="24"/>
                <w:bdr w:val="none" w:sz="0" w:space="0" w:color="auto" w:frame="1"/>
                <w:lang w:eastAsia="es-MX"/>
              </w:rPr>
            </w:pPr>
            <w:r w:rsidRPr="00DF0231">
              <w:rPr>
                <w:noProof/>
                <w:sz w:val="20"/>
                <w:szCs w:val="20"/>
                <w:lang w:eastAsia="es-MX"/>
              </w:rPr>
              <w:drawing>
                <wp:inline distT="0" distB="0" distL="0" distR="0" wp14:anchorId="5658762E" wp14:editId="1ABAB02F">
                  <wp:extent cx="3514725" cy="858520"/>
                  <wp:effectExtent l="0" t="0" r="9525" b="0"/>
                  <wp:docPr id="626301158" name="Imagen 1" descr="Interfaz de usuario gráfica, Texto,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01158" name="Imagen 1" descr="Interfaz de usuario gráfica, Texto, Aplicación, Word&#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l="28407" t="34518" r="29247" b="50731"/>
                          <a:stretch>
                            <a:fillRect/>
                          </a:stretch>
                        </pic:blipFill>
                        <pic:spPr bwMode="auto">
                          <a:xfrm>
                            <a:off x="0" y="0"/>
                            <a:ext cx="3649358" cy="891406"/>
                          </a:xfrm>
                          <a:prstGeom prst="rect">
                            <a:avLst/>
                          </a:prstGeom>
                          <a:noFill/>
                          <a:ln>
                            <a:noFill/>
                          </a:ln>
                        </pic:spPr>
                      </pic:pic>
                    </a:graphicData>
                  </a:graphic>
                </wp:inline>
              </w:drawing>
            </w:r>
          </w:p>
        </w:tc>
      </w:tr>
    </w:tbl>
    <w:p w14:paraId="6C8CB8CE" w14:textId="77777777" w:rsidR="00C75B36" w:rsidRDefault="00C75B36" w:rsidP="001568BB">
      <w:pPr>
        <w:pStyle w:val="Textoindependienteprimerasangra"/>
        <w:spacing w:after="0"/>
        <w:ind w:firstLine="902"/>
        <w:rPr>
          <w:rFonts w:ascii="Arial" w:eastAsia="Arial Unicode MS" w:hAnsi="Arial" w:cs="Arial"/>
          <w:sz w:val="24"/>
        </w:rPr>
      </w:pPr>
    </w:p>
    <w:p w14:paraId="2FC40575" w14:textId="6F500151" w:rsidR="001568BB" w:rsidRDefault="001568BB" w:rsidP="001568BB">
      <w:pPr>
        <w:pStyle w:val="Textoindependienteprimerasangra"/>
        <w:spacing w:after="0"/>
        <w:ind w:firstLine="902"/>
        <w:rPr>
          <w:rFonts w:ascii="Arial" w:eastAsia="Arial Unicode MS" w:hAnsi="Arial" w:cs="Arial"/>
          <w:sz w:val="24"/>
        </w:rPr>
      </w:pPr>
      <w:r w:rsidRPr="00AA10EC">
        <w:rPr>
          <w:rFonts w:ascii="Arial" w:eastAsia="Arial Unicode MS" w:hAnsi="Arial" w:cs="Arial"/>
          <w:sz w:val="24"/>
        </w:rPr>
        <w:t>Por tanto, toda vez que, a la fecha de interposición de</w:t>
      </w:r>
      <w:r>
        <w:rPr>
          <w:rFonts w:ascii="Arial" w:eastAsia="Arial Unicode MS" w:hAnsi="Arial" w:cs="Arial"/>
          <w:sz w:val="24"/>
        </w:rPr>
        <w:t>l recu</w:t>
      </w:r>
      <w:r w:rsidR="00747F5F">
        <w:rPr>
          <w:rFonts w:ascii="Arial" w:eastAsia="Arial Unicode MS" w:hAnsi="Arial" w:cs="Arial"/>
          <w:sz w:val="24"/>
        </w:rPr>
        <w:t xml:space="preserve">rso de revisión que se examina </w:t>
      </w:r>
      <w:r w:rsidR="00CD0AC4">
        <w:rPr>
          <w:rFonts w:ascii="Arial" w:eastAsia="Arial Unicode MS" w:hAnsi="Arial" w:cs="Arial"/>
          <w:sz w:val="24"/>
        </w:rPr>
        <w:t>–</w:t>
      </w:r>
      <w:r w:rsidR="00571481">
        <w:rPr>
          <w:rFonts w:ascii="Arial" w:eastAsia="Arial Unicode MS" w:hAnsi="Arial" w:cs="Arial"/>
          <w:sz w:val="24"/>
        </w:rPr>
        <w:t>veinticuatro de abril de dos mil veintiséis</w:t>
      </w:r>
      <w:r w:rsidR="00747F5F">
        <w:rPr>
          <w:rFonts w:ascii="Arial" w:eastAsia="Arial Unicode MS" w:hAnsi="Arial" w:cs="Arial"/>
          <w:sz w:val="24"/>
        </w:rPr>
        <w:t>-</w:t>
      </w:r>
      <w:r>
        <w:rPr>
          <w:rFonts w:ascii="Arial" w:eastAsia="Arial Unicode MS" w:hAnsi="Arial" w:cs="Arial"/>
          <w:sz w:val="24"/>
        </w:rPr>
        <w:t xml:space="preserve"> al no obrar </w:t>
      </w:r>
      <w:r w:rsidRPr="00AA10EC">
        <w:rPr>
          <w:rFonts w:ascii="Arial" w:eastAsia="Arial Unicode MS" w:hAnsi="Arial" w:cs="Arial"/>
          <w:sz w:val="24"/>
        </w:rPr>
        <w:t xml:space="preserve">constancia </w:t>
      </w:r>
      <w:r>
        <w:rPr>
          <w:rFonts w:ascii="Arial" w:eastAsia="Arial Unicode MS" w:hAnsi="Arial" w:cs="Arial"/>
          <w:sz w:val="24"/>
        </w:rPr>
        <w:t xml:space="preserve">alguna en el presente sumario, por el que se pueda advertir que el Sujeto Obligado haya atendido </w:t>
      </w:r>
      <w:r w:rsidRPr="00B24B5E">
        <w:rPr>
          <w:rFonts w:ascii="Arial" w:eastAsia="Arial Unicode MS" w:hAnsi="Arial" w:cs="Arial"/>
          <w:sz w:val="24"/>
        </w:rPr>
        <w:t>la solicitud de información</w:t>
      </w:r>
      <w:r>
        <w:rPr>
          <w:rFonts w:ascii="Arial" w:eastAsia="Arial Unicode MS" w:hAnsi="Arial" w:cs="Arial"/>
          <w:sz w:val="24"/>
        </w:rPr>
        <w:t xml:space="preserve"> de la ahora inconforme, dentro del plazo concedido para tal efecto; </w:t>
      </w:r>
      <w:r w:rsidRPr="00AA10EC">
        <w:rPr>
          <w:rFonts w:ascii="Arial" w:eastAsia="Arial Unicode MS" w:hAnsi="Arial" w:cs="Arial"/>
          <w:sz w:val="24"/>
        </w:rPr>
        <w:t xml:space="preserve">es dable determinar </w:t>
      </w:r>
      <w:r w:rsidRPr="00672A5C">
        <w:rPr>
          <w:rFonts w:ascii="Arial" w:eastAsia="Arial Unicode MS" w:hAnsi="Arial" w:cs="Arial"/>
          <w:b/>
          <w:sz w:val="24"/>
        </w:rPr>
        <w:t>fundado</w:t>
      </w:r>
      <w:r w:rsidRPr="00395193">
        <w:rPr>
          <w:rFonts w:ascii="Arial" w:eastAsia="Arial Unicode MS" w:hAnsi="Arial" w:cs="Arial"/>
          <w:sz w:val="24"/>
        </w:rPr>
        <w:t xml:space="preserve"> </w:t>
      </w:r>
      <w:r w:rsidRPr="00AA10EC">
        <w:rPr>
          <w:rFonts w:ascii="Arial" w:eastAsia="Arial Unicode MS" w:hAnsi="Arial" w:cs="Arial"/>
          <w:sz w:val="24"/>
        </w:rPr>
        <w:t>el agravio formulado por la ahora parte recurrente</w:t>
      </w:r>
      <w:r>
        <w:rPr>
          <w:rFonts w:ascii="Arial" w:eastAsia="Arial Unicode MS" w:hAnsi="Arial" w:cs="Arial"/>
          <w:sz w:val="24"/>
        </w:rPr>
        <w:t xml:space="preserve">.  </w:t>
      </w:r>
    </w:p>
    <w:p w14:paraId="69F837C5" w14:textId="6C1A538C" w:rsidR="001568BB" w:rsidRDefault="008671D8" w:rsidP="001568BB">
      <w:pPr>
        <w:pStyle w:val="Textoindependienteprimerasangra"/>
        <w:spacing w:after="0"/>
        <w:ind w:firstLine="902"/>
        <w:rPr>
          <w:rFonts w:ascii="Arial" w:eastAsia="Arial Unicode MS" w:hAnsi="Arial" w:cs="Arial"/>
          <w:sz w:val="24"/>
        </w:rPr>
      </w:pPr>
      <w:r>
        <w:rPr>
          <w:rFonts w:ascii="Arial" w:eastAsia="Arial Unicode MS" w:hAnsi="Arial" w:cs="Arial"/>
          <w:sz w:val="24"/>
        </w:rPr>
        <w:lastRenderedPageBreak/>
        <w:t>Con base en lo expuesto, se arriba a la conclusión de que</w:t>
      </w:r>
      <w:r w:rsidR="00FF361F">
        <w:rPr>
          <w:rFonts w:ascii="Arial" w:eastAsia="Arial Unicode MS" w:hAnsi="Arial" w:cs="Arial"/>
          <w:sz w:val="24"/>
        </w:rPr>
        <w:t>,</w:t>
      </w:r>
      <w:r w:rsidR="001568BB">
        <w:rPr>
          <w:rFonts w:ascii="Arial" w:eastAsia="Arial Unicode MS" w:hAnsi="Arial" w:cs="Arial"/>
          <w:sz w:val="24"/>
        </w:rPr>
        <w:t xml:space="preserve"> en </w:t>
      </w:r>
      <w:r>
        <w:rPr>
          <w:rFonts w:ascii="Arial" w:hAnsi="Arial" w:cs="Arial"/>
          <w:sz w:val="24"/>
          <w:lang w:eastAsia="es-MX"/>
        </w:rPr>
        <w:t>el presente asunto resulta</w:t>
      </w:r>
      <w:r w:rsidR="00FF361F">
        <w:rPr>
          <w:rFonts w:ascii="Arial" w:hAnsi="Arial" w:cs="Arial"/>
          <w:sz w:val="24"/>
          <w:lang w:eastAsia="es-MX"/>
        </w:rPr>
        <w:t xml:space="preserve"> </w:t>
      </w:r>
      <w:r w:rsidR="001568BB" w:rsidRPr="004E3D8C">
        <w:rPr>
          <w:rFonts w:ascii="Arial" w:hAnsi="Arial" w:cs="Arial"/>
          <w:sz w:val="24"/>
          <w:lang w:eastAsia="es-MX"/>
        </w:rPr>
        <w:t xml:space="preserve">aplicable el principio de </w:t>
      </w:r>
      <w:r w:rsidR="001568BB" w:rsidRPr="004E3D8C">
        <w:rPr>
          <w:rFonts w:ascii="Arial" w:hAnsi="Arial" w:cs="Arial"/>
          <w:b/>
          <w:sz w:val="24"/>
          <w:lang w:eastAsia="es-MX"/>
        </w:rPr>
        <w:t>afirmativa ficta</w:t>
      </w:r>
      <w:r w:rsidR="001568BB" w:rsidRPr="004E3D8C">
        <w:rPr>
          <w:rFonts w:ascii="Arial" w:hAnsi="Arial" w:cs="Arial"/>
          <w:sz w:val="24"/>
          <w:lang w:eastAsia="es-MX"/>
        </w:rPr>
        <w:t>, de conformidad con lo previsto en el artículo 164</w:t>
      </w:r>
      <w:r w:rsidR="003F24F4">
        <w:rPr>
          <w:rStyle w:val="Refdenotaalpie"/>
          <w:rFonts w:ascii="Arial" w:hAnsi="Arial" w:cs="Arial"/>
          <w:sz w:val="24"/>
          <w:lang w:eastAsia="es-MX"/>
        </w:rPr>
        <w:footnoteReference w:id="7"/>
      </w:r>
      <w:r w:rsidR="001568BB" w:rsidRPr="004E3D8C">
        <w:rPr>
          <w:rFonts w:ascii="Arial" w:hAnsi="Arial" w:cs="Arial"/>
          <w:sz w:val="24"/>
          <w:lang w:eastAsia="es-MX"/>
        </w:rPr>
        <w:t xml:space="preserve"> de la Ley de Transparencia y Acceso a la Información Pública del Estado</w:t>
      </w:r>
      <w:r w:rsidR="003F24F4">
        <w:rPr>
          <w:rFonts w:ascii="Arial" w:hAnsi="Arial" w:cs="Arial"/>
          <w:sz w:val="24"/>
          <w:lang w:eastAsia="es-MX"/>
        </w:rPr>
        <w:t>, derivado del silencio administrativo de la autoridad, sobre la atención a la solicitud de acceso a la información</w:t>
      </w:r>
      <w:r w:rsidR="001568BB">
        <w:rPr>
          <w:rFonts w:ascii="Arial" w:hAnsi="Arial" w:cs="Arial"/>
          <w:sz w:val="24"/>
          <w:lang w:eastAsia="es-MX"/>
        </w:rPr>
        <w:t>.</w:t>
      </w:r>
      <w:r w:rsidR="001568BB">
        <w:rPr>
          <w:rFonts w:ascii="Arial" w:eastAsia="Arial Unicode MS" w:hAnsi="Arial" w:cs="Arial"/>
          <w:sz w:val="24"/>
        </w:rPr>
        <w:t xml:space="preserve"> </w:t>
      </w:r>
    </w:p>
    <w:p w14:paraId="490409A3" w14:textId="77777777" w:rsidR="00B97F7B" w:rsidRPr="00395193" w:rsidRDefault="00B97F7B" w:rsidP="001568BB">
      <w:pPr>
        <w:pStyle w:val="Textoindependienteprimerasangra"/>
        <w:spacing w:after="0"/>
        <w:ind w:firstLine="902"/>
        <w:rPr>
          <w:rFonts w:ascii="Arial" w:eastAsia="Arial Unicode MS" w:hAnsi="Arial" w:cs="Arial"/>
          <w:sz w:val="24"/>
        </w:rPr>
      </w:pPr>
    </w:p>
    <w:p w14:paraId="444C5498" w14:textId="6CF8CAA2" w:rsidR="001568BB" w:rsidRPr="00021A33" w:rsidRDefault="00A56D4A" w:rsidP="001568BB">
      <w:pPr>
        <w:tabs>
          <w:tab w:val="left" w:pos="851"/>
        </w:tabs>
        <w:spacing w:after="0" w:line="360" w:lineRule="auto"/>
        <w:ind w:left="708"/>
        <w:jc w:val="both"/>
        <w:rPr>
          <w:rFonts w:ascii="Arial" w:hAnsi="Arial" w:cs="Arial"/>
          <w:b/>
          <w:sz w:val="24"/>
        </w:rPr>
      </w:pPr>
      <w:r>
        <w:rPr>
          <w:rFonts w:ascii="Arial" w:hAnsi="Arial" w:cs="Arial"/>
          <w:b/>
          <w:sz w:val="24"/>
        </w:rPr>
        <w:t>7</w:t>
      </w:r>
      <w:r w:rsidR="001568BB">
        <w:rPr>
          <w:rFonts w:ascii="Arial" w:hAnsi="Arial" w:cs="Arial"/>
          <w:b/>
          <w:sz w:val="24"/>
        </w:rPr>
        <w:t>.</w:t>
      </w:r>
      <w:r w:rsidR="00FF361F">
        <w:rPr>
          <w:rFonts w:ascii="Arial" w:hAnsi="Arial" w:cs="Arial"/>
          <w:b/>
          <w:sz w:val="24"/>
        </w:rPr>
        <w:t>1</w:t>
      </w:r>
      <w:r w:rsidR="001568BB">
        <w:rPr>
          <w:rFonts w:ascii="Arial" w:hAnsi="Arial" w:cs="Arial"/>
          <w:b/>
          <w:sz w:val="24"/>
        </w:rPr>
        <w:t xml:space="preserve">.1. </w:t>
      </w:r>
      <w:r w:rsidR="001568BB" w:rsidRPr="00021A33">
        <w:rPr>
          <w:rFonts w:ascii="Arial" w:hAnsi="Arial" w:cs="Arial"/>
          <w:b/>
          <w:sz w:val="24"/>
        </w:rPr>
        <w:t>Silencio Administrativo de la Autoridad.</w:t>
      </w:r>
    </w:p>
    <w:p w14:paraId="3F563372" w14:textId="77777777" w:rsidR="001568BB" w:rsidRDefault="001568BB" w:rsidP="001568BB">
      <w:pPr>
        <w:pStyle w:val="Prrafodelista"/>
        <w:tabs>
          <w:tab w:val="left" w:pos="851"/>
        </w:tabs>
        <w:spacing w:after="0" w:line="360" w:lineRule="auto"/>
        <w:ind w:left="1428"/>
        <w:jc w:val="both"/>
        <w:rPr>
          <w:rFonts w:ascii="Arial" w:hAnsi="Arial" w:cs="Arial"/>
          <w:b/>
          <w:sz w:val="24"/>
        </w:rPr>
      </w:pPr>
    </w:p>
    <w:p w14:paraId="6900694A" w14:textId="77777777" w:rsidR="001568BB" w:rsidRPr="00FB38F1" w:rsidRDefault="001568BB" w:rsidP="001568BB">
      <w:pPr>
        <w:pStyle w:val="Prrafodelista"/>
        <w:tabs>
          <w:tab w:val="left" w:pos="851"/>
        </w:tabs>
        <w:spacing w:after="0" w:line="360" w:lineRule="auto"/>
        <w:ind w:left="0" w:firstLine="709"/>
        <w:jc w:val="both"/>
        <w:rPr>
          <w:rFonts w:ascii="Arial" w:hAnsi="Arial" w:cs="Arial"/>
          <w:sz w:val="24"/>
        </w:rPr>
      </w:pPr>
      <w:r>
        <w:rPr>
          <w:rFonts w:ascii="Arial" w:hAnsi="Arial" w:cs="Arial"/>
          <w:sz w:val="24"/>
        </w:rPr>
        <w:t>De conformidad con la doctrina, los actos administrativos, son aquellos por los cuales las autoridades administrativas ejercen o manifiestan su voluntad unilateral, realizada en ejercicio de la función administrativa; y, por los cuales se ejercen efectos jurídicos concretos.</w:t>
      </w:r>
      <w:r>
        <w:rPr>
          <w:rStyle w:val="Refdenotaalpie"/>
          <w:rFonts w:ascii="Arial" w:hAnsi="Arial" w:cs="Arial"/>
          <w:sz w:val="24"/>
        </w:rPr>
        <w:footnoteReference w:id="8"/>
      </w:r>
    </w:p>
    <w:p w14:paraId="4FD423A8" w14:textId="77777777" w:rsidR="001568BB" w:rsidRDefault="001568BB" w:rsidP="001568BB">
      <w:pPr>
        <w:pStyle w:val="Prrafodelista"/>
        <w:tabs>
          <w:tab w:val="left" w:pos="851"/>
        </w:tabs>
        <w:spacing w:after="0" w:line="360" w:lineRule="auto"/>
        <w:ind w:left="0" w:firstLine="709"/>
        <w:jc w:val="both"/>
        <w:rPr>
          <w:rFonts w:ascii="Arial" w:hAnsi="Arial" w:cs="Arial"/>
          <w:sz w:val="24"/>
        </w:rPr>
      </w:pPr>
    </w:p>
    <w:p w14:paraId="1868D3D4" w14:textId="40C3B909" w:rsidR="001568BB" w:rsidRDefault="001568BB" w:rsidP="001568BB">
      <w:pPr>
        <w:pStyle w:val="Prrafodelista"/>
        <w:tabs>
          <w:tab w:val="left" w:pos="851"/>
        </w:tabs>
        <w:spacing w:after="0" w:line="360" w:lineRule="auto"/>
        <w:ind w:left="0" w:firstLine="709"/>
        <w:jc w:val="both"/>
        <w:rPr>
          <w:rFonts w:ascii="Arial" w:hAnsi="Arial" w:cs="Arial"/>
          <w:sz w:val="24"/>
        </w:rPr>
      </w:pPr>
      <w:r>
        <w:rPr>
          <w:rFonts w:ascii="Arial" w:hAnsi="Arial" w:cs="Arial"/>
          <w:sz w:val="24"/>
        </w:rPr>
        <w:t>Entonces, se hace preciso esclarecer que, como lo señala Arturo Pérez Dayán, Ministro</w:t>
      </w:r>
      <w:r w:rsidR="00AC6D8A">
        <w:rPr>
          <w:rFonts w:ascii="Arial" w:hAnsi="Arial" w:cs="Arial"/>
          <w:sz w:val="24"/>
        </w:rPr>
        <w:t xml:space="preserve"> en retiro</w:t>
      </w:r>
      <w:r>
        <w:rPr>
          <w:rFonts w:ascii="Arial" w:hAnsi="Arial" w:cs="Arial"/>
          <w:sz w:val="24"/>
        </w:rPr>
        <w:t xml:space="preserve"> de la Suprema Corte de Justicia de la Nación, en su Libro Teoría General del Acto Administrativo, los actos administrativos se pueden clasificar conforme a la manera en que se expresan; esto es: 1) Expresos; 2) Tácitos; o, 3) Presuntos</w:t>
      </w:r>
      <w:r>
        <w:rPr>
          <w:rStyle w:val="Refdenotaalpie"/>
          <w:rFonts w:ascii="Arial" w:hAnsi="Arial" w:cs="Arial"/>
          <w:sz w:val="24"/>
        </w:rPr>
        <w:footnoteReference w:id="9"/>
      </w:r>
      <w:r>
        <w:rPr>
          <w:rFonts w:ascii="Arial" w:hAnsi="Arial" w:cs="Arial"/>
          <w:sz w:val="24"/>
        </w:rPr>
        <w:t>; definiendo a los primeros como la voluntad escrita de la autoridad.</w:t>
      </w:r>
    </w:p>
    <w:p w14:paraId="08931FCB" w14:textId="77777777" w:rsidR="001568BB" w:rsidRDefault="001568BB" w:rsidP="001568BB">
      <w:pPr>
        <w:pStyle w:val="Prrafodelista"/>
        <w:tabs>
          <w:tab w:val="left" w:pos="851"/>
        </w:tabs>
        <w:spacing w:after="0" w:line="360" w:lineRule="auto"/>
        <w:ind w:left="0" w:firstLine="709"/>
        <w:jc w:val="both"/>
        <w:rPr>
          <w:rFonts w:ascii="Arial" w:hAnsi="Arial" w:cs="Arial"/>
          <w:sz w:val="24"/>
        </w:rPr>
      </w:pPr>
    </w:p>
    <w:p w14:paraId="0F3775EE" w14:textId="77777777" w:rsidR="001568BB" w:rsidRDefault="001568BB" w:rsidP="001568BB">
      <w:pPr>
        <w:pStyle w:val="Prrafodelista"/>
        <w:tabs>
          <w:tab w:val="left" w:pos="851"/>
        </w:tabs>
        <w:spacing w:after="0" w:line="360" w:lineRule="auto"/>
        <w:ind w:left="0" w:firstLine="709"/>
        <w:jc w:val="both"/>
        <w:rPr>
          <w:rFonts w:ascii="Arial" w:hAnsi="Arial" w:cs="Arial"/>
          <w:sz w:val="24"/>
        </w:rPr>
      </w:pPr>
      <w:r>
        <w:rPr>
          <w:rFonts w:ascii="Arial" w:hAnsi="Arial" w:cs="Arial"/>
          <w:sz w:val="24"/>
        </w:rPr>
        <w:t>Por su parte, los actos administrativos tácitos son aquellos que no conllevan una declaración expresa, sin embargo, se identifican a través de la conducta administrativa, haciendo evidente la voluntad administrativa de la autoridad de que se trate.</w:t>
      </w:r>
    </w:p>
    <w:p w14:paraId="5DB3F45D" w14:textId="77777777" w:rsidR="001568BB" w:rsidRDefault="001568BB" w:rsidP="001568BB">
      <w:pPr>
        <w:pStyle w:val="Prrafodelista"/>
        <w:tabs>
          <w:tab w:val="left" w:pos="851"/>
        </w:tabs>
        <w:spacing w:after="0" w:line="360" w:lineRule="auto"/>
        <w:ind w:left="0" w:firstLine="709"/>
        <w:jc w:val="both"/>
        <w:rPr>
          <w:rFonts w:ascii="Arial" w:hAnsi="Arial" w:cs="Arial"/>
          <w:sz w:val="24"/>
        </w:rPr>
      </w:pPr>
    </w:p>
    <w:p w14:paraId="5BB289DF" w14:textId="77777777" w:rsidR="001568BB" w:rsidRDefault="001568BB" w:rsidP="001568BB">
      <w:pPr>
        <w:pStyle w:val="Prrafodelista"/>
        <w:tabs>
          <w:tab w:val="left" w:pos="851"/>
        </w:tabs>
        <w:spacing w:after="0" w:line="360" w:lineRule="auto"/>
        <w:ind w:left="0" w:firstLine="709"/>
        <w:jc w:val="both"/>
        <w:rPr>
          <w:rFonts w:ascii="Arial" w:hAnsi="Arial" w:cs="Arial"/>
          <w:sz w:val="24"/>
        </w:rPr>
      </w:pPr>
      <w:r>
        <w:rPr>
          <w:rFonts w:ascii="Arial" w:hAnsi="Arial" w:cs="Arial"/>
          <w:sz w:val="24"/>
        </w:rPr>
        <w:t>Ahora, los actos administrativos son “presuntos”, cuando no existe una declaración expresa o un comportamiento que resulte en la manifestación de la voluntad de la autoridad, sino que se está ante un silencio administrativo, tanto en escrito como en los hechos.</w:t>
      </w:r>
    </w:p>
    <w:p w14:paraId="6B60140A" w14:textId="77777777" w:rsidR="001568BB" w:rsidRDefault="001568BB" w:rsidP="001568BB">
      <w:pPr>
        <w:pStyle w:val="Prrafodelista"/>
        <w:tabs>
          <w:tab w:val="left" w:pos="851"/>
        </w:tabs>
        <w:spacing w:after="0" w:line="360" w:lineRule="auto"/>
        <w:ind w:left="1428"/>
        <w:jc w:val="both"/>
        <w:rPr>
          <w:rFonts w:ascii="Arial" w:hAnsi="Arial" w:cs="Arial"/>
          <w:b/>
          <w:sz w:val="24"/>
        </w:rPr>
      </w:pPr>
    </w:p>
    <w:p w14:paraId="5FEDB047" w14:textId="77777777" w:rsidR="001568BB" w:rsidRDefault="001568BB" w:rsidP="001568BB">
      <w:pPr>
        <w:pStyle w:val="Prrafodelista"/>
        <w:tabs>
          <w:tab w:val="left" w:pos="851"/>
        </w:tabs>
        <w:spacing w:after="0" w:line="360" w:lineRule="auto"/>
        <w:ind w:left="0" w:firstLine="709"/>
        <w:jc w:val="both"/>
        <w:rPr>
          <w:rFonts w:ascii="Arial" w:hAnsi="Arial" w:cs="Arial"/>
          <w:sz w:val="24"/>
        </w:rPr>
      </w:pPr>
      <w:r>
        <w:rPr>
          <w:rFonts w:ascii="Arial" w:hAnsi="Arial" w:cs="Arial"/>
          <w:sz w:val="24"/>
        </w:rPr>
        <w:lastRenderedPageBreak/>
        <w:t xml:space="preserve">Así, al tratar con la omisión de la autoridad administrativa, para resolver o pronunciarse respecto de una circunstancia determinada, respecto de la cual deba de pronunciarse dentro de un plazo específico, se está ante un acto administrativo “presunto”, por lo cual se genera la necesidad de acreditar el sentido negativo o positivo de dicho silencio. </w:t>
      </w:r>
    </w:p>
    <w:p w14:paraId="3C907C52" w14:textId="77777777" w:rsidR="001568BB" w:rsidRDefault="001568BB" w:rsidP="001568BB">
      <w:pPr>
        <w:pStyle w:val="Prrafodelista"/>
        <w:tabs>
          <w:tab w:val="left" w:pos="851"/>
        </w:tabs>
        <w:spacing w:after="0" w:line="360" w:lineRule="auto"/>
        <w:ind w:left="0" w:firstLine="709"/>
        <w:jc w:val="both"/>
        <w:rPr>
          <w:rFonts w:ascii="Arial" w:hAnsi="Arial" w:cs="Arial"/>
          <w:sz w:val="24"/>
        </w:rPr>
      </w:pPr>
    </w:p>
    <w:p w14:paraId="0DFE182E" w14:textId="77777777" w:rsidR="001568BB" w:rsidRDefault="001568BB" w:rsidP="001568BB">
      <w:pPr>
        <w:pStyle w:val="Prrafodelista"/>
        <w:tabs>
          <w:tab w:val="left" w:pos="851"/>
        </w:tabs>
        <w:spacing w:after="0" w:line="360" w:lineRule="auto"/>
        <w:ind w:left="0" w:firstLine="709"/>
        <w:jc w:val="both"/>
        <w:rPr>
          <w:rFonts w:ascii="Arial" w:hAnsi="Arial" w:cs="Arial"/>
          <w:sz w:val="24"/>
        </w:rPr>
      </w:pPr>
      <w:r>
        <w:rPr>
          <w:rFonts w:ascii="Arial" w:hAnsi="Arial" w:cs="Arial"/>
          <w:sz w:val="24"/>
        </w:rPr>
        <w:t>Al respecto, es de decirse que, en el silencio administrativo, el sentido negativo se configura con la negativa ficta, misma que, tal como se aprecia de su propia denominación, infiere que se ha resuelto de manera negativa la pretensión formulada, de la cual derivó el silencio administrativo</w:t>
      </w:r>
      <w:r>
        <w:rPr>
          <w:rStyle w:val="Refdenotaalpie"/>
          <w:rFonts w:ascii="Arial" w:hAnsi="Arial" w:cs="Arial"/>
          <w:sz w:val="24"/>
        </w:rPr>
        <w:footnoteReference w:id="10"/>
      </w:r>
      <w:r>
        <w:rPr>
          <w:rFonts w:ascii="Arial" w:hAnsi="Arial" w:cs="Arial"/>
          <w:sz w:val="24"/>
        </w:rPr>
        <w:t>.</w:t>
      </w:r>
    </w:p>
    <w:p w14:paraId="67F24DA3" w14:textId="77777777" w:rsidR="001568BB" w:rsidRDefault="001568BB" w:rsidP="001568BB">
      <w:pPr>
        <w:pStyle w:val="Prrafodelista"/>
        <w:tabs>
          <w:tab w:val="left" w:pos="851"/>
        </w:tabs>
        <w:spacing w:after="0" w:line="360" w:lineRule="auto"/>
        <w:ind w:left="0" w:firstLine="709"/>
        <w:jc w:val="both"/>
        <w:rPr>
          <w:rFonts w:ascii="Arial" w:hAnsi="Arial" w:cs="Arial"/>
          <w:sz w:val="24"/>
        </w:rPr>
      </w:pPr>
    </w:p>
    <w:p w14:paraId="55995781" w14:textId="77777777" w:rsidR="001568BB" w:rsidRDefault="001568BB" w:rsidP="001568BB">
      <w:pPr>
        <w:pStyle w:val="Prrafodelista"/>
        <w:tabs>
          <w:tab w:val="left" w:pos="851"/>
        </w:tabs>
        <w:spacing w:after="0" w:line="360" w:lineRule="auto"/>
        <w:ind w:left="0" w:firstLine="709"/>
        <w:jc w:val="both"/>
        <w:rPr>
          <w:rFonts w:ascii="Arial" w:hAnsi="Arial" w:cs="Arial"/>
          <w:sz w:val="24"/>
        </w:rPr>
      </w:pPr>
      <w:r>
        <w:rPr>
          <w:rFonts w:ascii="Arial" w:hAnsi="Arial" w:cs="Arial"/>
          <w:sz w:val="24"/>
        </w:rPr>
        <w:t xml:space="preserve">Por su parte, el sentido positivo del silencio administrativo resulta en la positiva ficta o también conocida como </w:t>
      </w:r>
      <w:r>
        <w:rPr>
          <w:rFonts w:ascii="Arial" w:hAnsi="Arial" w:cs="Arial"/>
          <w:b/>
          <w:sz w:val="24"/>
        </w:rPr>
        <w:t>Afirmativa Ficta</w:t>
      </w:r>
      <w:r>
        <w:rPr>
          <w:rFonts w:ascii="Arial" w:hAnsi="Arial" w:cs="Arial"/>
          <w:sz w:val="24"/>
        </w:rPr>
        <w:t>, por la cual, una vez fenecido el plazo de atención a la petición formulada a la autoridad administrativa, se deberá entender que la resolución resulta favorable para el interesado, en la modalidad en que lo determine la legislación aplicable.</w:t>
      </w:r>
    </w:p>
    <w:p w14:paraId="76BEE247" w14:textId="77777777" w:rsidR="001568BB" w:rsidRDefault="001568BB" w:rsidP="001568BB">
      <w:pPr>
        <w:pStyle w:val="Prrafodelista"/>
        <w:tabs>
          <w:tab w:val="left" w:pos="851"/>
        </w:tabs>
        <w:spacing w:after="0" w:line="360" w:lineRule="auto"/>
        <w:ind w:left="0" w:firstLine="709"/>
        <w:jc w:val="both"/>
        <w:rPr>
          <w:rFonts w:ascii="Arial" w:hAnsi="Arial" w:cs="Arial"/>
          <w:sz w:val="24"/>
        </w:rPr>
      </w:pPr>
    </w:p>
    <w:p w14:paraId="13FBA5A6" w14:textId="79291217" w:rsidR="001568BB" w:rsidRPr="00021A33" w:rsidRDefault="00FE39AA" w:rsidP="001568BB">
      <w:pPr>
        <w:tabs>
          <w:tab w:val="left" w:pos="851"/>
        </w:tabs>
        <w:spacing w:after="0" w:line="360" w:lineRule="auto"/>
        <w:ind w:left="708"/>
        <w:jc w:val="both"/>
        <w:rPr>
          <w:rFonts w:ascii="Arial" w:hAnsi="Arial" w:cs="Arial"/>
          <w:b/>
          <w:sz w:val="24"/>
        </w:rPr>
      </w:pPr>
      <w:r>
        <w:rPr>
          <w:rFonts w:ascii="Arial" w:eastAsia="Arial" w:hAnsi="Arial" w:cs="Arial"/>
          <w:b/>
          <w:sz w:val="24"/>
        </w:rPr>
        <w:t>7</w:t>
      </w:r>
      <w:r w:rsidR="001568BB">
        <w:rPr>
          <w:rFonts w:ascii="Arial" w:eastAsia="Arial" w:hAnsi="Arial" w:cs="Arial"/>
          <w:b/>
          <w:sz w:val="24"/>
        </w:rPr>
        <w:t>.</w:t>
      </w:r>
      <w:r w:rsidR="00FF361F">
        <w:rPr>
          <w:rFonts w:ascii="Arial" w:eastAsia="Arial" w:hAnsi="Arial" w:cs="Arial"/>
          <w:b/>
          <w:sz w:val="24"/>
        </w:rPr>
        <w:t>1</w:t>
      </w:r>
      <w:r w:rsidR="001568BB">
        <w:rPr>
          <w:rFonts w:ascii="Arial" w:eastAsia="Arial" w:hAnsi="Arial" w:cs="Arial"/>
          <w:b/>
          <w:sz w:val="24"/>
        </w:rPr>
        <w:t xml:space="preserve">.2. </w:t>
      </w:r>
      <w:r w:rsidR="001568BB" w:rsidRPr="00021A33">
        <w:rPr>
          <w:rFonts w:ascii="Arial" w:eastAsia="Arial" w:hAnsi="Arial" w:cs="Arial"/>
          <w:b/>
          <w:sz w:val="24"/>
        </w:rPr>
        <w:t>Principio de afirmativa ficta</w:t>
      </w:r>
    </w:p>
    <w:p w14:paraId="380E7B7D" w14:textId="77777777" w:rsidR="001568BB" w:rsidRPr="001C7D15" w:rsidRDefault="001568BB" w:rsidP="001568BB">
      <w:pPr>
        <w:pStyle w:val="Prrafodelista"/>
        <w:tabs>
          <w:tab w:val="left" w:pos="851"/>
        </w:tabs>
        <w:spacing w:after="0" w:line="360" w:lineRule="auto"/>
        <w:ind w:left="1428"/>
        <w:jc w:val="both"/>
        <w:rPr>
          <w:rFonts w:ascii="Arial" w:hAnsi="Arial" w:cs="Arial"/>
          <w:b/>
          <w:sz w:val="24"/>
          <w:szCs w:val="24"/>
        </w:rPr>
      </w:pPr>
    </w:p>
    <w:p w14:paraId="1EA44E5E" w14:textId="77777777" w:rsidR="001568BB" w:rsidRPr="001C7D15" w:rsidRDefault="001568BB" w:rsidP="001568BB">
      <w:pPr>
        <w:spacing w:after="0" w:line="360" w:lineRule="auto"/>
        <w:ind w:right="49" w:firstLine="708"/>
        <w:jc w:val="both"/>
        <w:rPr>
          <w:rFonts w:ascii="Arial" w:hAnsi="Arial" w:cs="Arial"/>
          <w:sz w:val="24"/>
          <w:szCs w:val="24"/>
          <w:lang w:eastAsia="es-MX"/>
        </w:rPr>
      </w:pPr>
      <w:r w:rsidRPr="001C7D15">
        <w:rPr>
          <w:rFonts w:ascii="Arial" w:hAnsi="Arial" w:cs="Arial"/>
          <w:sz w:val="24"/>
          <w:szCs w:val="24"/>
          <w:lang w:eastAsia="es-MX"/>
        </w:rPr>
        <w:t>Así pues, la inactividad del órgano administrativo se traduce en la ficción de considerar que la petición del solicitante se ha resuelto favorablemente</w:t>
      </w:r>
      <w:r w:rsidRPr="001C7D15">
        <w:rPr>
          <w:rFonts w:ascii="Arial" w:hAnsi="Arial" w:cs="Arial"/>
          <w:sz w:val="24"/>
          <w:szCs w:val="24"/>
          <w:vertAlign w:val="superscript"/>
          <w:lang w:eastAsia="es-MX"/>
        </w:rPr>
        <w:footnoteReference w:id="11"/>
      </w:r>
      <w:r w:rsidRPr="001C7D15">
        <w:rPr>
          <w:rFonts w:ascii="Arial" w:hAnsi="Arial" w:cs="Arial"/>
          <w:sz w:val="24"/>
          <w:szCs w:val="24"/>
          <w:lang w:eastAsia="es-MX"/>
        </w:rPr>
        <w:t xml:space="preserve"> y otorga certidumbre al gobernado al suponer que se ha accedido a su petición, protegiendo sus derechos e intereses legítimos</w:t>
      </w:r>
      <w:r w:rsidRPr="001C7D15">
        <w:rPr>
          <w:rFonts w:ascii="Arial" w:hAnsi="Arial" w:cs="Arial"/>
          <w:sz w:val="24"/>
          <w:szCs w:val="24"/>
          <w:vertAlign w:val="superscript"/>
          <w:lang w:eastAsia="es-MX"/>
        </w:rPr>
        <w:footnoteReference w:id="12"/>
      </w:r>
      <w:r w:rsidRPr="001C7D15">
        <w:rPr>
          <w:rFonts w:ascii="Arial" w:hAnsi="Arial" w:cs="Arial"/>
          <w:sz w:val="24"/>
          <w:szCs w:val="24"/>
          <w:lang w:eastAsia="es-MX"/>
        </w:rPr>
        <w:t>.</w:t>
      </w:r>
    </w:p>
    <w:p w14:paraId="205F2B77" w14:textId="77777777" w:rsidR="001568BB" w:rsidRPr="001C7D15" w:rsidRDefault="001568BB" w:rsidP="001568BB">
      <w:pPr>
        <w:spacing w:after="0" w:line="360" w:lineRule="auto"/>
        <w:ind w:right="51"/>
        <w:jc w:val="both"/>
        <w:rPr>
          <w:rFonts w:ascii="Arial" w:hAnsi="Arial" w:cs="Arial"/>
          <w:sz w:val="24"/>
          <w:szCs w:val="24"/>
          <w:lang w:eastAsia="es-MX"/>
        </w:rPr>
      </w:pPr>
    </w:p>
    <w:p w14:paraId="7E133A5C" w14:textId="3FB4A53D" w:rsidR="001568BB" w:rsidRPr="001C7D15" w:rsidRDefault="001568BB" w:rsidP="001568BB">
      <w:pPr>
        <w:spacing w:after="0" w:line="360" w:lineRule="auto"/>
        <w:ind w:right="49" w:firstLine="708"/>
        <w:jc w:val="both"/>
        <w:rPr>
          <w:rFonts w:ascii="Arial" w:hAnsi="Arial" w:cs="Arial"/>
          <w:sz w:val="24"/>
          <w:szCs w:val="24"/>
          <w:lang w:eastAsia="es-MX"/>
        </w:rPr>
      </w:pPr>
      <w:r w:rsidRPr="001C7D15">
        <w:rPr>
          <w:rFonts w:ascii="Arial" w:hAnsi="Arial" w:cs="Arial"/>
          <w:sz w:val="24"/>
          <w:szCs w:val="24"/>
          <w:lang w:eastAsia="es-MX"/>
        </w:rPr>
        <w:t xml:space="preserve">Efectivamente, </w:t>
      </w:r>
      <w:r w:rsidR="00F645C5">
        <w:rPr>
          <w:rFonts w:ascii="Arial" w:hAnsi="Arial" w:cs="Arial"/>
          <w:sz w:val="24"/>
          <w:szCs w:val="24"/>
          <w:lang w:eastAsia="es-MX"/>
        </w:rPr>
        <w:t xml:space="preserve">la afirmativa ficta constituye </w:t>
      </w:r>
      <w:r w:rsidRPr="001C7D15">
        <w:rPr>
          <w:rFonts w:ascii="Arial" w:hAnsi="Arial" w:cs="Arial"/>
          <w:sz w:val="24"/>
          <w:szCs w:val="24"/>
          <w:lang w:eastAsia="es-MX"/>
        </w:rPr>
        <w:t>una figura protectora, ya que no permite que la administración pueda mantener de manera indefinida la posibilidad de dictar una resolución contraria a los intereses del solicitante; es decir, se considera el silencio de la autoridad como un derecho reconocido al ciudadano, a efecto de no ser vulnerada su esfera jurídica con la inactividad de la responsable.</w:t>
      </w:r>
      <w:r w:rsidRPr="001C7D15">
        <w:rPr>
          <w:rFonts w:ascii="Arial" w:hAnsi="Arial" w:cs="Arial"/>
          <w:sz w:val="24"/>
          <w:szCs w:val="24"/>
          <w:vertAlign w:val="superscript"/>
          <w:lang w:eastAsia="es-MX"/>
        </w:rPr>
        <w:footnoteReference w:id="13"/>
      </w:r>
    </w:p>
    <w:p w14:paraId="62B759D6" w14:textId="77777777" w:rsidR="001568BB" w:rsidRPr="001C7D15" w:rsidRDefault="001568BB" w:rsidP="001568BB">
      <w:pPr>
        <w:spacing w:after="0" w:line="360" w:lineRule="auto"/>
        <w:ind w:right="49" w:firstLine="708"/>
        <w:jc w:val="both"/>
        <w:rPr>
          <w:rFonts w:ascii="Arial" w:eastAsia="Arial Unicode MS" w:hAnsi="Arial" w:cs="Arial"/>
          <w:sz w:val="24"/>
          <w:szCs w:val="24"/>
          <w:lang w:eastAsia="es-MX"/>
        </w:rPr>
      </w:pPr>
      <w:r w:rsidRPr="001C7D15">
        <w:rPr>
          <w:rFonts w:ascii="Arial" w:eastAsia="Arial Unicode MS" w:hAnsi="Arial" w:cs="Arial"/>
          <w:sz w:val="24"/>
          <w:szCs w:val="24"/>
          <w:lang w:eastAsia="es-MX"/>
        </w:rPr>
        <w:lastRenderedPageBreak/>
        <w:t>Sirve de apoyo a lo anterior, lo establecido por la Jurisprudencia que por analogía resulta aplicable y, que a la letra señala:</w:t>
      </w:r>
    </w:p>
    <w:p w14:paraId="2EFE4C7F" w14:textId="77777777" w:rsidR="001568BB" w:rsidRPr="001C7D15" w:rsidRDefault="001568BB" w:rsidP="001568BB">
      <w:pPr>
        <w:spacing w:after="0" w:line="360" w:lineRule="auto"/>
        <w:ind w:left="851" w:right="1185"/>
        <w:jc w:val="both"/>
        <w:rPr>
          <w:rFonts w:ascii="Arial" w:hAnsi="Arial" w:cs="Arial"/>
          <w:sz w:val="24"/>
          <w:szCs w:val="24"/>
        </w:rPr>
      </w:pPr>
    </w:p>
    <w:p w14:paraId="6CC9713C" w14:textId="77777777" w:rsidR="001568BB" w:rsidRPr="001C7D15" w:rsidRDefault="001568BB" w:rsidP="001568BB">
      <w:pPr>
        <w:spacing w:after="0" w:line="240" w:lineRule="auto"/>
        <w:ind w:left="1134" w:right="1185"/>
        <w:jc w:val="both"/>
        <w:rPr>
          <w:rFonts w:ascii="Arial" w:hAnsi="Arial" w:cs="Arial"/>
        </w:rPr>
      </w:pPr>
      <w:r w:rsidRPr="001C7D15">
        <w:rPr>
          <w:rFonts w:ascii="Arial" w:hAnsi="Arial" w:cs="Arial"/>
          <w:b/>
        </w:rPr>
        <w:t xml:space="preserve">AFIRMATIVA O NEGATIVA FICTA DE LA AUTORIDAD JURISDICCIONAL. NO SE CONSTITUYE POR SU SOLA INACTIVIDAD SI NO ESTÁ REGULADA EN LA LEY. </w:t>
      </w:r>
      <w:r w:rsidRPr="001C7D15">
        <w:rPr>
          <w:rFonts w:ascii="Arial" w:hAnsi="Arial" w:cs="Arial"/>
        </w:rPr>
        <w:t>Tratándose del quehacer de las autoridades jurisdiccionales, atento al principio de que éstas sólo pueden hacer lo que la ley les permite, si en el caso su inactividad no está regulada en cuanto a que produzca consecuencias por el solo transcurso del tiempo (afirmativa o negativa ficta), es evidente que aun en forma extemporánea están obligadas a actuar en consecuencia.</w:t>
      </w:r>
      <w:r w:rsidRPr="001C7D15">
        <w:rPr>
          <w:rFonts w:ascii="Arial" w:hAnsi="Arial" w:cs="Arial"/>
          <w:vertAlign w:val="superscript"/>
          <w:lang w:val="es-ES_tradnl"/>
        </w:rPr>
        <w:footnoteReference w:id="14"/>
      </w:r>
    </w:p>
    <w:p w14:paraId="070A077B" w14:textId="77777777" w:rsidR="001568BB" w:rsidRPr="004E3D8C" w:rsidRDefault="001568BB" w:rsidP="001568BB">
      <w:pPr>
        <w:spacing w:after="0"/>
        <w:ind w:right="49"/>
        <w:rPr>
          <w:rFonts w:ascii="Arial" w:hAnsi="Arial" w:cs="Arial"/>
          <w:sz w:val="24"/>
          <w:lang w:eastAsia="es-MX"/>
        </w:rPr>
      </w:pPr>
    </w:p>
    <w:p w14:paraId="3CE8BF03" w14:textId="77777777" w:rsidR="001568BB" w:rsidRPr="00DF0231" w:rsidRDefault="001568BB" w:rsidP="001568BB">
      <w:pPr>
        <w:spacing w:after="0" w:line="360" w:lineRule="auto"/>
        <w:ind w:right="49" w:firstLine="708"/>
        <w:jc w:val="both"/>
        <w:rPr>
          <w:rFonts w:ascii="Arial" w:hAnsi="Arial" w:cs="Arial"/>
          <w:b/>
          <w:lang w:eastAsia="es-MX"/>
        </w:rPr>
      </w:pPr>
    </w:p>
    <w:p w14:paraId="47F4B912" w14:textId="6883E9AA" w:rsidR="001568BB" w:rsidRPr="00DF0231" w:rsidRDefault="00F645C5" w:rsidP="001568BB">
      <w:pPr>
        <w:pStyle w:val="Textoindependienteprimerasangra"/>
        <w:spacing w:after="0"/>
        <w:ind w:firstLine="708"/>
        <w:rPr>
          <w:rFonts w:ascii="Arial" w:hAnsi="Arial" w:cs="Arial"/>
          <w:sz w:val="24"/>
        </w:rPr>
      </w:pPr>
      <w:r>
        <w:rPr>
          <w:rFonts w:ascii="Arial" w:hAnsi="Arial" w:cs="Arial"/>
          <w:sz w:val="24"/>
        </w:rPr>
        <w:t>Ahora, l</w:t>
      </w:r>
      <w:r w:rsidR="001568BB" w:rsidRPr="00DF0231">
        <w:rPr>
          <w:rFonts w:ascii="Arial" w:hAnsi="Arial" w:cs="Arial"/>
          <w:sz w:val="24"/>
        </w:rPr>
        <w:t>os efectos de la aplicación de la afirmativa ficta, atento al contenido del artículo 164 de la Ley de Transparencia y Acceso a la Información pública del Estado, para el ente obligado son:</w:t>
      </w:r>
    </w:p>
    <w:p w14:paraId="126CBF5C" w14:textId="77777777" w:rsidR="001568BB" w:rsidRPr="00DF0231" w:rsidRDefault="001568BB" w:rsidP="001568BB">
      <w:pPr>
        <w:pStyle w:val="Textoindependienteprimerasangra"/>
        <w:spacing w:after="0"/>
        <w:ind w:firstLine="900"/>
        <w:rPr>
          <w:rFonts w:ascii="Arial" w:hAnsi="Arial" w:cs="Arial"/>
          <w:sz w:val="24"/>
        </w:rPr>
      </w:pPr>
    </w:p>
    <w:p w14:paraId="70F5DB66" w14:textId="77777777" w:rsidR="001568BB" w:rsidRPr="00DF0231" w:rsidRDefault="001568BB" w:rsidP="000907BD">
      <w:pPr>
        <w:pStyle w:val="Textoindependienteprimerasangra"/>
        <w:numPr>
          <w:ilvl w:val="0"/>
          <w:numId w:val="8"/>
        </w:numPr>
        <w:spacing w:after="0"/>
        <w:rPr>
          <w:rFonts w:ascii="Arial" w:hAnsi="Arial" w:cs="Arial"/>
          <w:sz w:val="24"/>
        </w:rPr>
      </w:pPr>
      <w:r w:rsidRPr="00DF0231">
        <w:rPr>
          <w:rFonts w:ascii="Arial" w:hAnsi="Arial" w:cs="Arial"/>
          <w:sz w:val="24"/>
        </w:rPr>
        <w:t>Que entregue de forma gratuita la información y en la modalidad en que le fue solicitada.</w:t>
      </w:r>
    </w:p>
    <w:p w14:paraId="22EED3FD" w14:textId="77777777" w:rsidR="001568BB" w:rsidRDefault="001568BB" w:rsidP="000907BD">
      <w:pPr>
        <w:pStyle w:val="Textoindependienteprimerasangra"/>
        <w:numPr>
          <w:ilvl w:val="0"/>
          <w:numId w:val="8"/>
        </w:numPr>
        <w:spacing w:after="0"/>
        <w:rPr>
          <w:rFonts w:ascii="Arial" w:hAnsi="Arial" w:cs="Arial"/>
          <w:sz w:val="24"/>
        </w:rPr>
      </w:pPr>
      <w:r w:rsidRPr="00DF0231">
        <w:rPr>
          <w:rFonts w:ascii="Arial" w:hAnsi="Arial" w:cs="Arial"/>
          <w:sz w:val="24"/>
        </w:rPr>
        <w:t>Que por el sólo hecho de no responder la solicitud de información se entiende en sentido positivo y éste se comprende de tres formas:</w:t>
      </w:r>
    </w:p>
    <w:p w14:paraId="3F47552C" w14:textId="77777777" w:rsidR="001568BB" w:rsidRPr="00734FE8" w:rsidRDefault="001568BB" w:rsidP="000907BD">
      <w:pPr>
        <w:pStyle w:val="Textoindependienteprimerasangra"/>
        <w:numPr>
          <w:ilvl w:val="0"/>
          <w:numId w:val="9"/>
        </w:numPr>
        <w:spacing w:after="0"/>
        <w:rPr>
          <w:rFonts w:ascii="Arial" w:hAnsi="Arial" w:cs="Arial"/>
          <w:sz w:val="24"/>
        </w:rPr>
      </w:pPr>
      <w:r w:rsidRPr="00734FE8">
        <w:rPr>
          <w:rFonts w:ascii="Arial" w:hAnsi="Arial" w:cs="Arial"/>
          <w:sz w:val="24"/>
        </w:rPr>
        <w:t>Que posee la información</w:t>
      </w:r>
    </w:p>
    <w:p w14:paraId="2E9B3EAB" w14:textId="77777777" w:rsidR="001568BB" w:rsidRPr="00DF0231" w:rsidRDefault="001568BB" w:rsidP="000907BD">
      <w:pPr>
        <w:pStyle w:val="Textoindependienteprimerasangra"/>
        <w:numPr>
          <w:ilvl w:val="0"/>
          <w:numId w:val="9"/>
        </w:numPr>
        <w:spacing w:after="0"/>
        <w:rPr>
          <w:rFonts w:ascii="Arial" w:hAnsi="Arial" w:cs="Arial"/>
          <w:sz w:val="24"/>
        </w:rPr>
      </w:pPr>
      <w:r w:rsidRPr="00DF0231">
        <w:rPr>
          <w:rFonts w:ascii="Arial" w:hAnsi="Arial" w:cs="Arial"/>
          <w:sz w:val="24"/>
        </w:rPr>
        <w:t>La información es pública.</w:t>
      </w:r>
    </w:p>
    <w:p w14:paraId="14BFFD1E" w14:textId="77777777" w:rsidR="001568BB" w:rsidRPr="00DF0231" w:rsidRDefault="001568BB" w:rsidP="000907BD">
      <w:pPr>
        <w:pStyle w:val="Textoindependienteprimerasangra"/>
        <w:numPr>
          <w:ilvl w:val="0"/>
          <w:numId w:val="9"/>
        </w:numPr>
        <w:spacing w:after="0"/>
        <w:rPr>
          <w:rFonts w:ascii="Arial" w:hAnsi="Arial" w:cs="Arial"/>
          <w:sz w:val="24"/>
        </w:rPr>
      </w:pPr>
      <w:r w:rsidRPr="00DF0231">
        <w:rPr>
          <w:rFonts w:ascii="Arial" w:hAnsi="Arial" w:cs="Arial"/>
          <w:sz w:val="24"/>
        </w:rPr>
        <w:t>La entrega es sin costo para el solicitante.</w:t>
      </w:r>
    </w:p>
    <w:p w14:paraId="245E16F5" w14:textId="77777777" w:rsidR="001568BB" w:rsidRPr="00DF0231" w:rsidRDefault="001568BB" w:rsidP="001568BB">
      <w:pPr>
        <w:spacing w:after="0" w:line="360" w:lineRule="auto"/>
        <w:jc w:val="both"/>
        <w:rPr>
          <w:rFonts w:ascii="Arial" w:hAnsi="Arial" w:cs="Arial"/>
          <w:sz w:val="24"/>
          <w:szCs w:val="24"/>
        </w:rPr>
      </w:pPr>
      <w:r w:rsidRPr="00DF0231">
        <w:rPr>
          <w:rFonts w:ascii="Arial" w:hAnsi="Arial" w:cs="Arial"/>
          <w:sz w:val="24"/>
          <w:szCs w:val="24"/>
        </w:rPr>
        <w:tab/>
      </w:r>
    </w:p>
    <w:p w14:paraId="48A36B2D" w14:textId="77777777" w:rsidR="001568BB" w:rsidRPr="00DF0231" w:rsidRDefault="001568BB" w:rsidP="001568BB">
      <w:pPr>
        <w:spacing w:after="0" w:line="360" w:lineRule="auto"/>
        <w:jc w:val="both"/>
        <w:rPr>
          <w:rFonts w:ascii="Arial" w:hAnsi="Arial" w:cs="Arial"/>
          <w:sz w:val="24"/>
          <w:szCs w:val="24"/>
        </w:rPr>
      </w:pPr>
      <w:r w:rsidRPr="00DF0231">
        <w:rPr>
          <w:rFonts w:ascii="Arial" w:hAnsi="Arial" w:cs="Arial"/>
          <w:sz w:val="24"/>
          <w:szCs w:val="24"/>
        </w:rPr>
        <w:tab/>
        <w:t xml:space="preserve">Pese a lo anterior, los efectos de </w:t>
      </w:r>
      <w:r w:rsidRPr="002B4D1B">
        <w:rPr>
          <w:rFonts w:ascii="Arial" w:hAnsi="Arial" w:cs="Arial"/>
          <w:b/>
          <w:sz w:val="24"/>
          <w:szCs w:val="24"/>
        </w:rPr>
        <w:t>la afirmativa ficta en la presente materia se ven limitados bajo las siguientes excepciones</w:t>
      </w:r>
      <w:r w:rsidRPr="008671D8">
        <w:rPr>
          <w:rFonts w:ascii="Arial" w:hAnsi="Arial" w:cs="Arial"/>
          <w:b/>
          <w:sz w:val="24"/>
          <w:szCs w:val="24"/>
        </w:rPr>
        <w:t>:</w:t>
      </w:r>
    </w:p>
    <w:p w14:paraId="405383B3" w14:textId="77777777" w:rsidR="001568BB" w:rsidRPr="00DF0231" w:rsidRDefault="001568BB" w:rsidP="001568BB">
      <w:pPr>
        <w:spacing w:after="0" w:line="360" w:lineRule="auto"/>
        <w:jc w:val="both"/>
        <w:rPr>
          <w:rFonts w:ascii="Arial" w:hAnsi="Arial" w:cs="Arial"/>
          <w:sz w:val="24"/>
          <w:szCs w:val="24"/>
        </w:rPr>
      </w:pPr>
    </w:p>
    <w:p w14:paraId="5EF04883" w14:textId="77777777" w:rsidR="001568BB" w:rsidRPr="00DF0231" w:rsidRDefault="001568BB" w:rsidP="000907BD">
      <w:pPr>
        <w:pStyle w:val="Prrafodelista"/>
        <w:numPr>
          <w:ilvl w:val="0"/>
          <w:numId w:val="10"/>
        </w:numPr>
        <w:spacing w:after="0" w:line="360" w:lineRule="auto"/>
        <w:jc w:val="both"/>
        <w:rPr>
          <w:rFonts w:ascii="Arial" w:hAnsi="Arial" w:cs="Arial"/>
          <w:sz w:val="24"/>
          <w:szCs w:val="24"/>
        </w:rPr>
      </w:pPr>
      <w:r w:rsidRPr="00DF0231">
        <w:rPr>
          <w:rFonts w:ascii="Arial" w:hAnsi="Arial" w:cs="Arial"/>
          <w:sz w:val="24"/>
          <w:szCs w:val="24"/>
        </w:rPr>
        <w:t xml:space="preserve">Cuando en términos de los dispuesto por los artículos 18 y 19 </w:t>
      </w:r>
      <w:r>
        <w:rPr>
          <w:rFonts w:ascii="Arial" w:hAnsi="Arial" w:cs="Arial"/>
          <w:sz w:val="24"/>
          <w:szCs w:val="24"/>
        </w:rPr>
        <w:t xml:space="preserve">de la Ley de transparencia local </w:t>
      </w:r>
      <w:r w:rsidRPr="00DF0231">
        <w:rPr>
          <w:rFonts w:ascii="Arial" w:hAnsi="Arial" w:cs="Arial"/>
          <w:sz w:val="24"/>
          <w:szCs w:val="24"/>
        </w:rPr>
        <w:t>no exista obligación de generar, administrar o poseer la información solicitada.</w:t>
      </w:r>
    </w:p>
    <w:p w14:paraId="431AA54D" w14:textId="77777777" w:rsidR="001568BB" w:rsidRPr="002B4D1B" w:rsidRDefault="001568BB" w:rsidP="000907BD">
      <w:pPr>
        <w:pStyle w:val="Prrafodelista"/>
        <w:numPr>
          <w:ilvl w:val="0"/>
          <w:numId w:val="10"/>
        </w:numPr>
        <w:spacing w:after="0" w:line="360" w:lineRule="auto"/>
        <w:jc w:val="both"/>
        <w:rPr>
          <w:rFonts w:ascii="Arial" w:hAnsi="Arial" w:cs="Arial"/>
          <w:sz w:val="24"/>
          <w:szCs w:val="24"/>
          <w:u w:val="single"/>
        </w:rPr>
      </w:pPr>
      <w:r w:rsidRPr="002B4D1B">
        <w:rPr>
          <w:rFonts w:ascii="Arial" w:hAnsi="Arial" w:cs="Arial"/>
          <w:sz w:val="24"/>
          <w:szCs w:val="24"/>
          <w:u w:val="single"/>
        </w:rPr>
        <w:t>La información es clasificada en sus dos vertientes: confidencial y reservada.</w:t>
      </w:r>
    </w:p>
    <w:p w14:paraId="70446166" w14:textId="77777777" w:rsidR="001568BB" w:rsidRPr="00DF0231" w:rsidRDefault="001568BB" w:rsidP="001568BB">
      <w:pPr>
        <w:spacing w:after="0" w:line="360" w:lineRule="auto"/>
        <w:ind w:right="49"/>
        <w:jc w:val="both"/>
        <w:rPr>
          <w:rFonts w:ascii="Arial" w:eastAsia="Arial Unicode MS" w:hAnsi="Arial" w:cs="Arial"/>
          <w:sz w:val="24"/>
          <w:lang w:eastAsia="es-MX"/>
        </w:rPr>
      </w:pPr>
    </w:p>
    <w:p w14:paraId="5736F669" w14:textId="5895D8F4" w:rsidR="00532734" w:rsidRDefault="00A049C5" w:rsidP="001568BB">
      <w:pPr>
        <w:pStyle w:val="Textoindependienteprimerasangra"/>
        <w:spacing w:after="0"/>
        <w:ind w:firstLine="705"/>
        <w:rPr>
          <w:rFonts w:ascii="Arial" w:hAnsi="Arial" w:cs="Arial"/>
          <w:sz w:val="24"/>
        </w:rPr>
      </w:pPr>
      <w:r>
        <w:rPr>
          <w:rFonts w:ascii="Arial" w:hAnsi="Arial" w:cs="Arial"/>
          <w:sz w:val="24"/>
        </w:rPr>
        <w:lastRenderedPageBreak/>
        <w:t>Ahora bien</w:t>
      </w:r>
      <w:r w:rsidR="001568BB">
        <w:rPr>
          <w:rFonts w:ascii="Arial" w:hAnsi="Arial" w:cs="Arial"/>
          <w:sz w:val="24"/>
        </w:rPr>
        <w:t xml:space="preserve">, </w:t>
      </w:r>
      <w:r w:rsidR="00532734">
        <w:rPr>
          <w:rFonts w:ascii="Arial" w:hAnsi="Arial" w:cs="Arial"/>
          <w:sz w:val="24"/>
        </w:rPr>
        <w:t xml:space="preserve">toda vez que ha quedado </w:t>
      </w:r>
      <w:r w:rsidR="00532734" w:rsidRPr="00532734">
        <w:rPr>
          <w:rFonts w:ascii="Arial" w:hAnsi="Arial" w:cs="Arial"/>
          <w:sz w:val="24"/>
        </w:rPr>
        <w:t>d</w:t>
      </w:r>
      <w:r w:rsidRPr="00532734">
        <w:rPr>
          <w:rFonts w:ascii="Arial" w:hAnsi="Arial" w:cs="Arial"/>
          <w:sz w:val="24"/>
        </w:rPr>
        <w:t>emostrado el silencio administrativo de la autoridad,</w:t>
      </w:r>
      <w:r>
        <w:rPr>
          <w:rFonts w:ascii="Arial" w:hAnsi="Arial" w:cs="Arial"/>
          <w:sz w:val="24"/>
        </w:rPr>
        <w:t xml:space="preserve"> en el presente asunto</w:t>
      </w:r>
      <w:r w:rsidR="00532734">
        <w:rPr>
          <w:rFonts w:ascii="Arial" w:hAnsi="Arial" w:cs="Arial"/>
          <w:sz w:val="24"/>
        </w:rPr>
        <w:t xml:space="preserve"> se</w:t>
      </w:r>
      <w:r>
        <w:rPr>
          <w:rFonts w:ascii="Arial" w:hAnsi="Arial" w:cs="Arial"/>
          <w:sz w:val="24"/>
        </w:rPr>
        <w:t xml:space="preserve"> </w:t>
      </w:r>
      <w:r w:rsidR="00532734">
        <w:rPr>
          <w:rFonts w:ascii="Arial" w:hAnsi="Arial" w:cs="Arial"/>
          <w:b/>
          <w:sz w:val="24"/>
        </w:rPr>
        <w:t>configura</w:t>
      </w:r>
      <w:r w:rsidRPr="00A049C5">
        <w:rPr>
          <w:rFonts w:ascii="Arial" w:hAnsi="Arial" w:cs="Arial"/>
          <w:b/>
          <w:sz w:val="24"/>
        </w:rPr>
        <w:t xml:space="preserve"> en contra de la Autoridad el Principio de Afirmativa ficta</w:t>
      </w:r>
      <w:r w:rsidR="00532734">
        <w:rPr>
          <w:rFonts w:ascii="Arial" w:hAnsi="Arial" w:cs="Arial"/>
          <w:sz w:val="24"/>
        </w:rPr>
        <w:t xml:space="preserve">, pues </w:t>
      </w:r>
      <w:r>
        <w:rPr>
          <w:rFonts w:ascii="Arial" w:hAnsi="Arial" w:cs="Arial"/>
          <w:sz w:val="24"/>
        </w:rPr>
        <w:t>no otorgó</w:t>
      </w:r>
      <w:r w:rsidR="001568BB" w:rsidRPr="00DF0231">
        <w:rPr>
          <w:rFonts w:ascii="Arial" w:hAnsi="Arial" w:cs="Arial"/>
          <w:sz w:val="24"/>
        </w:rPr>
        <w:t xml:space="preserve"> contestación a la solicitud de información en cuestión, </w:t>
      </w:r>
      <w:r w:rsidR="001568BB">
        <w:rPr>
          <w:rFonts w:ascii="Arial" w:hAnsi="Arial" w:cs="Arial"/>
          <w:sz w:val="24"/>
        </w:rPr>
        <w:t>dentro del</w:t>
      </w:r>
      <w:r w:rsidR="001568BB" w:rsidRPr="00DF0231">
        <w:rPr>
          <w:rFonts w:ascii="Arial" w:hAnsi="Arial" w:cs="Arial"/>
          <w:sz w:val="24"/>
        </w:rPr>
        <w:t xml:space="preserve"> tiempo estipulado por la Ley de Transparencia y Acceso a la Información Pública del Estado</w:t>
      </w:r>
      <w:r w:rsidR="00532734">
        <w:rPr>
          <w:rFonts w:ascii="Arial" w:hAnsi="Arial" w:cs="Arial"/>
          <w:sz w:val="24"/>
        </w:rPr>
        <w:t>.</w:t>
      </w:r>
    </w:p>
    <w:p w14:paraId="0228AEC5" w14:textId="77777777" w:rsidR="00532734" w:rsidRDefault="00532734" w:rsidP="001568BB">
      <w:pPr>
        <w:pStyle w:val="Textoindependienteprimerasangra"/>
        <w:spacing w:after="0"/>
        <w:ind w:firstLine="705"/>
        <w:rPr>
          <w:rFonts w:ascii="Arial" w:hAnsi="Arial" w:cs="Arial"/>
          <w:sz w:val="24"/>
        </w:rPr>
      </w:pPr>
    </w:p>
    <w:bookmarkEnd w:id="0"/>
    <w:bookmarkEnd w:id="3"/>
    <w:p w14:paraId="2CDA595A" w14:textId="00525A3C" w:rsidR="00B97F7B" w:rsidRDefault="00A06CAB" w:rsidP="00B97F7B">
      <w:pPr>
        <w:spacing w:after="0" w:line="360" w:lineRule="auto"/>
        <w:ind w:firstLine="705"/>
        <w:jc w:val="both"/>
        <w:rPr>
          <w:rFonts w:ascii="Arial" w:eastAsia="Arial Unicode MS" w:hAnsi="Arial" w:cs="Arial"/>
          <w:sz w:val="24"/>
          <w:lang w:eastAsia="es-MX"/>
        </w:rPr>
      </w:pPr>
      <w:r w:rsidRPr="002951F6">
        <w:rPr>
          <w:rFonts w:ascii="Arial" w:eastAsia="Arial" w:hAnsi="Arial" w:cs="Arial"/>
          <w:b/>
          <w:iCs/>
          <w:sz w:val="24"/>
        </w:rPr>
        <w:t>7.1.3</w:t>
      </w:r>
      <w:r w:rsidR="00B97F7B" w:rsidRPr="002951F6">
        <w:rPr>
          <w:rFonts w:ascii="Arial" w:eastAsia="Arial" w:hAnsi="Arial" w:cs="Arial"/>
          <w:b/>
          <w:iCs/>
          <w:sz w:val="24"/>
        </w:rPr>
        <w:t>.</w:t>
      </w:r>
      <w:r w:rsidR="00B97F7B" w:rsidRPr="002951F6">
        <w:rPr>
          <w:rFonts w:ascii="Arial" w:eastAsia="Arial" w:hAnsi="Arial" w:cs="Arial"/>
          <w:b/>
          <w:sz w:val="24"/>
        </w:rPr>
        <w:t xml:space="preserve"> </w:t>
      </w:r>
      <w:bookmarkStart w:id="4" w:name="_Hlk178705541"/>
      <w:r w:rsidR="00B97F7B" w:rsidRPr="002951F6">
        <w:rPr>
          <w:rFonts w:ascii="Arial" w:eastAsia="Arial" w:hAnsi="Arial" w:cs="Arial"/>
          <w:b/>
          <w:bCs/>
          <w:sz w:val="24"/>
        </w:rPr>
        <w:t>Obligación</w:t>
      </w:r>
      <w:r w:rsidR="00B97F7B" w:rsidRPr="0051329D">
        <w:rPr>
          <w:rFonts w:ascii="Arial" w:eastAsia="Arial" w:hAnsi="Arial" w:cs="Arial"/>
          <w:b/>
          <w:bCs/>
          <w:sz w:val="24"/>
        </w:rPr>
        <w:t xml:space="preserve"> de proporcionar la información requerida.</w:t>
      </w:r>
    </w:p>
    <w:bookmarkEnd w:id="4"/>
    <w:p w14:paraId="4FA2A7CA" w14:textId="77777777" w:rsidR="00B97F7B" w:rsidRDefault="00B97F7B" w:rsidP="00B97F7B">
      <w:pPr>
        <w:spacing w:after="0" w:line="360" w:lineRule="auto"/>
        <w:ind w:firstLine="709"/>
        <w:jc w:val="both"/>
        <w:rPr>
          <w:rFonts w:ascii="Arial" w:eastAsia="Arial" w:hAnsi="Arial" w:cs="Arial"/>
          <w:bCs/>
          <w:sz w:val="24"/>
        </w:rPr>
      </w:pPr>
    </w:p>
    <w:p w14:paraId="2E0BBEE9" w14:textId="046F9847" w:rsidR="00B97F7B" w:rsidRDefault="00B97F7B" w:rsidP="00B97F7B">
      <w:pPr>
        <w:spacing w:after="0" w:line="360" w:lineRule="auto"/>
        <w:ind w:firstLine="709"/>
        <w:jc w:val="both"/>
        <w:rPr>
          <w:rFonts w:ascii="Arial" w:eastAsia="Arial" w:hAnsi="Arial" w:cs="Arial"/>
          <w:bCs/>
          <w:sz w:val="24"/>
        </w:rPr>
      </w:pPr>
      <w:r>
        <w:rPr>
          <w:rFonts w:ascii="Arial" w:eastAsia="Arial" w:hAnsi="Arial" w:cs="Arial"/>
          <w:bCs/>
          <w:sz w:val="24"/>
        </w:rPr>
        <w:t xml:space="preserve">Ahora bien, en atención a las limitantes al principio de afirmativa ficta, en lo que concierne la entrega de información, es menester determinar si la autoridad responsable se encuentra obligado a documentar aquello que se requirió conforme a sus atribuciones, competencias y funciones que los ordenamientos legales le confieran al </w:t>
      </w:r>
      <w:r w:rsidR="00571481">
        <w:rPr>
          <w:rFonts w:ascii="Arial" w:eastAsia="Arial" w:hAnsi="Arial" w:cs="Arial"/>
          <w:bCs/>
          <w:sz w:val="24"/>
        </w:rPr>
        <w:t>Municipio de Villa de Pozos</w:t>
      </w:r>
      <w:r>
        <w:rPr>
          <w:rFonts w:ascii="Arial" w:eastAsia="Arial" w:hAnsi="Arial" w:cs="Arial"/>
          <w:bCs/>
          <w:sz w:val="24"/>
        </w:rPr>
        <w:t>, por lo que se procede a analizar las atribuciones y competencias de dicho sujeto obligado, a fin de comprender si en el asunto que nos ocupa, el Obligado se encuentra en posibilidad de otorgar la información conforme a lo solicitado, en los términos que se apuntan.</w:t>
      </w:r>
    </w:p>
    <w:p w14:paraId="13A7B1E9" w14:textId="5A041627" w:rsidR="00B97F7B" w:rsidRDefault="00B97F7B" w:rsidP="00B97F7B">
      <w:pPr>
        <w:spacing w:after="0" w:line="360" w:lineRule="auto"/>
        <w:ind w:firstLine="708"/>
        <w:jc w:val="both"/>
        <w:rPr>
          <w:rFonts w:ascii="Arial" w:hAnsi="Arial" w:cs="Arial"/>
          <w:sz w:val="24"/>
          <w:szCs w:val="24"/>
        </w:rPr>
      </w:pPr>
    </w:p>
    <w:p w14:paraId="712A04D3" w14:textId="7EE0BAD8" w:rsidR="00AB61DB" w:rsidRDefault="00E15616" w:rsidP="00AB61DB">
      <w:pPr>
        <w:spacing w:after="0" w:line="360" w:lineRule="auto"/>
        <w:ind w:firstLine="708"/>
        <w:jc w:val="both"/>
        <w:rPr>
          <w:rFonts w:ascii="Arial" w:hAnsi="Arial" w:cs="Arial"/>
          <w:sz w:val="24"/>
          <w:szCs w:val="24"/>
        </w:rPr>
      </w:pPr>
      <w:r>
        <w:rPr>
          <w:rFonts w:ascii="Arial" w:hAnsi="Arial" w:cs="Arial"/>
          <w:sz w:val="24"/>
          <w:szCs w:val="24"/>
        </w:rPr>
        <w:t>La a</w:t>
      </w:r>
      <w:r w:rsidR="00571481">
        <w:rPr>
          <w:rFonts w:ascii="Arial" w:hAnsi="Arial" w:cs="Arial"/>
          <w:sz w:val="24"/>
          <w:szCs w:val="24"/>
        </w:rPr>
        <w:t xml:space="preserve">hora parte recurrente solicitó el plano red de drenaje conectada al Fraccionamiento Villas de Mallorca en el municipio de </w:t>
      </w:r>
      <w:r w:rsidR="00571481">
        <w:rPr>
          <w:rStyle w:val="text-justify"/>
          <w:rFonts w:ascii="Arial" w:hAnsi="Arial" w:cs="Arial"/>
          <w:sz w:val="24"/>
        </w:rPr>
        <w:t>Villa de Pozos en San Luis Potosí.</w:t>
      </w:r>
    </w:p>
    <w:p w14:paraId="299CC8A4" w14:textId="77777777" w:rsidR="00AB61DB" w:rsidRDefault="00AB61DB" w:rsidP="00B97F7B">
      <w:pPr>
        <w:spacing w:after="0" w:line="360" w:lineRule="auto"/>
        <w:ind w:firstLine="708"/>
        <w:jc w:val="both"/>
        <w:rPr>
          <w:rFonts w:ascii="Arial" w:hAnsi="Arial" w:cs="Arial"/>
          <w:sz w:val="24"/>
          <w:szCs w:val="24"/>
        </w:rPr>
      </w:pPr>
    </w:p>
    <w:p w14:paraId="49124D84" w14:textId="4E4B5562" w:rsidR="00B97F7B" w:rsidRDefault="00B97F7B" w:rsidP="00B97F7B">
      <w:pPr>
        <w:pStyle w:val="Estilo"/>
        <w:spacing w:line="360" w:lineRule="auto"/>
        <w:ind w:firstLine="709"/>
      </w:pPr>
      <w:r>
        <w:rPr>
          <w:rFonts w:cs="Arial"/>
          <w:szCs w:val="24"/>
        </w:rPr>
        <w:t>En e</w:t>
      </w:r>
      <w:r w:rsidR="009922E5">
        <w:rPr>
          <w:rFonts w:cs="Arial"/>
          <w:szCs w:val="24"/>
        </w:rPr>
        <w:t xml:space="preserve">l Estado de San Luis Potosí, el </w:t>
      </w:r>
      <w:r w:rsidR="007446A4">
        <w:rPr>
          <w:rFonts w:cs="Arial"/>
          <w:szCs w:val="24"/>
        </w:rPr>
        <w:t>Municipio</w:t>
      </w:r>
      <w:r w:rsidR="00890408">
        <w:rPr>
          <w:rFonts w:cs="Arial"/>
          <w:szCs w:val="24"/>
        </w:rPr>
        <w:t xml:space="preserve"> como base de la división Territorial, Administrativa y Política</w:t>
      </w:r>
      <w:r w:rsidR="00890408">
        <w:rPr>
          <w:rStyle w:val="Refdenotaalpie"/>
          <w:rFonts w:cs="Arial"/>
          <w:szCs w:val="24"/>
        </w:rPr>
        <w:footnoteReference w:id="15"/>
      </w:r>
      <w:r w:rsidR="00890408">
        <w:rPr>
          <w:rFonts w:cs="Arial"/>
          <w:szCs w:val="24"/>
        </w:rPr>
        <w:t>,</w:t>
      </w:r>
      <w:r w:rsidR="007446A4">
        <w:rPr>
          <w:rFonts w:cs="Arial"/>
          <w:szCs w:val="24"/>
        </w:rPr>
        <w:t xml:space="preserve"> encuentra su regulación Orgánica, a través de la Ley Orgánica del Municipio Libre del Estado de San Luis Potosí</w:t>
      </w:r>
      <w:r w:rsidR="007E4D76">
        <w:rPr>
          <w:rFonts w:cs="Arial"/>
          <w:szCs w:val="24"/>
        </w:rPr>
        <w:t xml:space="preserve">, </w:t>
      </w:r>
      <w:r w:rsidR="007E4D76">
        <w:t xml:space="preserve">por ser este dispositivo el que rige la estructura </w:t>
      </w:r>
      <w:r w:rsidR="00890408">
        <w:t xml:space="preserve">Administrativa </w:t>
      </w:r>
      <w:r w:rsidR="007E4D76">
        <w:t>Municipal</w:t>
      </w:r>
      <w:r w:rsidR="00890408">
        <w:t xml:space="preserve"> mínima, que deben observar cada una de dichas demarcaciones territoriales</w:t>
      </w:r>
      <w:r w:rsidR="009922E5">
        <w:t>.</w:t>
      </w:r>
    </w:p>
    <w:p w14:paraId="3864B34B" w14:textId="10D71075" w:rsidR="009922E5" w:rsidRDefault="009922E5" w:rsidP="009922E5">
      <w:pPr>
        <w:pStyle w:val="Estilo"/>
        <w:spacing w:line="360" w:lineRule="auto"/>
      </w:pPr>
    </w:p>
    <w:p w14:paraId="259F1007" w14:textId="49E0F472" w:rsidR="009922E5" w:rsidRDefault="009922E5" w:rsidP="009922E5">
      <w:pPr>
        <w:pStyle w:val="Estilo"/>
        <w:spacing w:line="360" w:lineRule="auto"/>
        <w:ind w:firstLine="708"/>
      </w:pPr>
      <w:r>
        <w:t xml:space="preserve">Así, dicho dispositivo contempla al </w:t>
      </w:r>
      <w:r w:rsidR="007E4D76">
        <w:t>Municipio de Villa de Pozo</w:t>
      </w:r>
      <w:r>
        <w:t>s</w:t>
      </w:r>
      <w:r w:rsidR="007E4D76">
        <w:t xml:space="preserve">, como una de las cincuenta y nueve porciones territoriales en las que se encuentra </w:t>
      </w:r>
      <w:r w:rsidR="00890408">
        <w:t>dividido</w:t>
      </w:r>
      <w:r w:rsidR="007E4D76">
        <w:t xml:space="preserve"> el Estado de San Luis Potosí</w:t>
      </w:r>
      <w:r w:rsidR="00890408">
        <w:rPr>
          <w:rStyle w:val="Refdenotaalpie"/>
        </w:rPr>
        <w:footnoteReference w:id="16"/>
      </w:r>
      <w:r>
        <w:t xml:space="preserve">, mismo que, </w:t>
      </w:r>
      <w:r w:rsidR="00890408">
        <w:t>cuenta con personalidad</w:t>
      </w:r>
      <w:r w:rsidR="00C07960">
        <w:t xml:space="preserve"> jurídica y </w:t>
      </w:r>
      <w:r w:rsidR="00C07960">
        <w:lastRenderedPageBreak/>
        <w:t>patrimonio propio; así como autonomía en su régimen interior y libertad en la administración de su hacienda</w:t>
      </w:r>
      <w:r w:rsidR="00890408">
        <w:t xml:space="preserve"> </w:t>
      </w:r>
      <w:r>
        <w:rPr>
          <w:rStyle w:val="Refdenotaalpie"/>
        </w:rPr>
        <w:footnoteReference w:id="17"/>
      </w:r>
      <w:r w:rsidR="00C07960">
        <w:t>; con la finalidad de que este se encuentre en condiciones de otorgar adecuado cumplimiento a sus objetivos, funciones y atribuciones</w:t>
      </w:r>
      <w:r>
        <w:t>.</w:t>
      </w:r>
    </w:p>
    <w:p w14:paraId="5C96204F" w14:textId="0D95DDF6" w:rsidR="00C07960" w:rsidRDefault="00C07960" w:rsidP="009922E5">
      <w:pPr>
        <w:pStyle w:val="Estilo"/>
        <w:spacing w:line="360" w:lineRule="auto"/>
        <w:ind w:firstLine="708"/>
      </w:pPr>
    </w:p>
    <w:p w14:paraId="4970D160" w14:textId="5113058A" w:rsidR="00C07960" w:rsidRPr="009922E5" w:rsidRDefault="00C07960" w:rsidP="009922E5">
      <w:pPr>
        <w:pStyle w:val="Estilo"/>
        <w:spacing w:line="360" w:lineRule="auto"/>
        <w:ind w:firstLine="708"/>
      </w:pPr>
      <w:r>
        <w:t>Asimismo, el referido ordenamiento Legal establece que le corresponde al Municipio, entre otras circunstancias, la prestación de servicios públicos, como lo son: 1) Drenaje; 2) Alcantarillado; y, 3) Disposición de Aguas Residuales</w:t>
      </w:r>
      <w:r w:rsidR="00C9789F">
        <w:rPr>
          <w:rStyle w:val="Refdenotaalpie"/>
        </w:rPr>
        <w:footnoteReference w:id="18"/>
      </w:r>
      <w:r>
        <w:t>; esto es, a través de</w:t>
      </w:r>
      <w:r w:rsidR="00C9789F">
        <w:t xml:space="preserve"> un ejercicio directo, o por terceros, como lo son los Organismos Paramunicipales, Intermunicipales, Concesionarios o Contratistas</w:t>
      </w:r>
      <w:r w:rsidR="00C9789F">
        <w:rPr>
          <w:rStyle w:val="Refdenotaalpie"/>
        </w:rPr>
        <w:footnoteReference w:id="19"/>
      </w:r>
      <w:r>
        <w:t>.</w:t>
      </w:r>
    </w:p>
    <w:p w14:paraId="5E3490E6" w14:textId="77777777" w:rsidR="00B97F7B" w:rsidRDefault="00B97F7B" w:rsidP="00B97F7B">
      <w:pPr>
        <w:spacing w:after="0" w:line="360" w:lineRule="auto"/>
        <w:ind w:firstLine="708"/>
        <w:jc w:val="both"/>
        <w:rPr>
          <w:rFonts w:ascii="Arial" w:hAnsi="Arial" w:cs="Arial"/>
          <w:sz w:val="24"/>
          <w:szCs w:val="24"/>
        </w:rPr>
      </w:pPr>
    </w:p>
    <w:p w14:paraId="21A7C07E" w14:textId="77777777" w:rsidR="00B97F7B" w:rsidRDefault="00B97F7B" w:rsidP="00B97F7B">
      <w:pPr>
        <w:spacing w:after="0" w:line="360" w:lineRule="auto"/>
        <w:ind w:firstLine="708"/>
        <w:jc w:val="both"/>
        <w:rPr>
          <w:rFonts w:ascii="Arial" w:hAnsi="Arial" w:cs="Arial"/>
          <w:sz w:val="24"/>
          <w:szCs w:val="24"/>
        </w:rPr>
      </w:pPr>
      <w:r>
        <w:rPr>
          <w:rFonts w:ascii="Arial" w:hAnsi="Arial" w:cs="Arial"/>
          <w:sz w:val="24"/>
          <w:szCs w:val="24"/>
        </w:rPr>
        <w:t xml:space="preserve">Es por ello que, atendiendo al objeto de la Ley de Transparencia y Acceso a la Información Pública del Estado, </w:t>
      </w:r>
      <w:r w:rsidRPr="00032B64">
        <w:rPr>
          <w:rFonts w:ascii="Arial" w:hAnsi="Arial" w:cs="Arial"/>
          <w:sz w:val="24"/>
          <w:szCs w:val="24"/>
          <w:u w:val="single"/>
        </w:rPr>
        <w:t>cualquier autoridad que reciba y ejerza recursos públicos o realice actos de autoridad en el ámbito estatal y municipal, tiene la obligación de transparentar el ejercicio de la función pública y permitir el acceso a la información</w:t>
      </w:r>
      <w:r>
        <w:rPr>
          <w:rFonts w:ascii="Arial" w:hAnsi="Arial" w:cs="Arial"/>
          <w:sz w:val="24"/>
          <w:szCs w:val="24"/>
        </w:rPr>
        <w:t xml:space="preserve"> y protección de datos personales que obren en su poder. </w:t>
      </w:r>
    </w:p>
    <w:p w14:paraId="3B905BB2" w14:textId="77777777" w:rsidR="00B97F7B" w:rsidRDefault="00B97F7B" w:rsidP="00B97F7B">
      <w:pPr>
        <w:spacing w:after="0" w:line="360" w:lineRule="auto"/>
        <w:ind w:firstLine="708"/>
        <w:jc w:val="both"/>
        <w:rPr>
          <w:rFonts w:ascii="Arial" w:hAnsi="Arial" w:cs="Arial"/>
          <w:sz w:val="24"/>
          <w:szCs w:val="24"/>
        </w:rPr>
      </w:pPr>
    </w:p>
    <w:p w14:paraId="2C377867" w14:textId="17D479C4" w:rsidR="00B97F7B" w:rsidRDefault="00032B64" w:rsidP="00B97F7B">
      <w:pPr>
        <w:autoSpaceDE w:val="0"/>
        <w:autoSpaceDN w:val="0"/>
        <w:adjustRightInd w:val="0"/>
        <w:spacing w:after="0" w:line="360" w:lineRule="auto"/>
        <w:ind w:firstLine="708"/>
        <w:jc w:val="both"/>
        <w:rPr>
          <w:rFonts w:ascii="Arial" w:eastAsia="Times New Roman" w:hAnsi="Arial" w:cs="Arial"/>
          <w:sz w:val="24"/>
          <w:szCs w:val="24"/>
          <w:lang w:eastAsia="es-ES"/>
        </w:rPr>
      </w:pPr>
      <w:r>
        <w:rPr>
          <w:rFonts w:ascii="Arial" w:eastAsia="Times New Roman" w:hAnsi="Arial" w:cs="Arial"/>
          <w:sz w:val="24"/>
          <w:szCs w:val="24"/>
          <w:lang w:eastAsia="es-ES"/>
        </w:rPr>
        <w:t>Es por ello que, r</w:t>
      </w:r>
      <w:r w:rsidR="00B97F7B">
        <w:rPr>
          <w:rFonts w:ascii="Arial" w:eastAsia="Times New Roman" w:hAnsi="Arial" w:cs="Arial"/>
          <w:sz w:val="24"/>
          <w:szCs w:val="24"/>
          <w:lang w:eastAsia="es-ES"/>
        </w:rPr>
        <w:t xml:space="preserve">especto a la información del interés de la ahora persona recurrente, ha sido acreditado que existe una prescripción normativa que </w:t>
      </w:r>
      <w:r w:rsidR="00F64802">
        <w:rPr>
          <w:rFonts w:ascii="Arial" w:eastAsia="Times New Roman" w:hAnsi="Arial" w:cs="Arial"/>
          <w:sz w:val="24"/>
          <w:szCs w:val="24"/>
          <w:lang w:eastAsia="es-ES"/>
        </w:rPr>
        <w:t>presume</w:t>
      </w:r>
      <w:r w:rsidR="00B97F7B">
        <w:rPr>
          <w:rFonts w:ascii="Arial" w:eastAsia="Times New Roman" w:hAnsi="Arial" w:cs="Arial"/>
          <w:sz w:val="24"/>
          <w:szCs w:val="24"/>
          <w:lang w:eastAsia="es-ES"/>
        </w:rPr>
        <w:t xml:space="preserve"> la existencia de lo solicitado, por lo que el </w:t>
      </w:r>
      <w:r>
        <w:rPr>
          <w:rFonts w:ascii="Arial" w:eastAsia="Times New Roman" w:hAnsi="Arial" w:cs="Arial"/>
          <w:sz w:val="24"/>
          <w:szCs w:val="24"/>
          <w:lang w:eastAsia="es-ES"/>
        </w:rPr>
        <w:t xml:space="preserve">Municipio de Villa de Pozos, </w:t>
      </w:r>
      <w:r w:rsidR="00F64802">
        <w:rPr>
          <w:rFonts w:ascii="Arial" w:eastAsia="Times New Roman" w:hAnsi="Arial" w:cs="Arial"/>
          <w:sz w:val="24"/>
          <w:szCs w:val="24"/>
          <w:lang w:eastAsia="es-ES"/>
        </w:rPr>
        <w:t>se encuentra en posibilidad de</w:t>
      </w:r>
      <w:r>
        <w:rPr>
          <w:rFonts w:ascii="Arial" w:eastAsia="Times New Roman" w:hAnsi="Arial" w:cs="Arial"/>
          <w:sz w:val="24"/>
          <w:szCs w:val="24"/>
          <w:lang w:eastAsia="es-ES"/>
        </w:rPr>
        <w:t xml:space="preserve"> poseer</w:t>
      </w:r>
      <w:r w:rsidR="00B97F7B">
        <w:rPr>
          <w:rFonts w:ascii="Arial" w:eastAsia="Times New Roman" w:hAnsi="Arial" w:cs="Arial"/>
          <w:sz w:val="24"/>
          <w:szCs w:val="24"/>
          <w:lang w:eastAsia="es-ES"/>
        </w:rPr>
        <w:t xml:space="preserve"> </w:t>
      </w:r>
      <w:r w:rsidR="00DF01FE">
        <w:rPr>
          <w:rFonts w:ascii="Arial" w:eastAsia="Times New Roman" w:hAnsi="Arial" w:cs="Arial"/>
          <w:sz w:val="24"/>
          <w:szCs w:val="24"/>
          <w:lang w:eastAsia="es-ES"/>
        </w:rPr>
        <w:t>la</w:t>
      </w:r>
      <w:r w:rsidR="00B97F7B">
        <w:rPr>
          <w:rFonts w:ascii="Arial" w:eastAsia="Times New Roman" w:hAnsi="Arial" w:cs="Arial"/>
          <w:sz w:val="24"/>
          <w:szCs w:val="24"/>
          <w:lang w:eastAsia="es-ES"/>
        </w:rPr>
        <w:t xml:space="preserve"> documental</w:t>
      </w:r>
      <w:r w:rsidR="00DF01FE">
        <w:rPr>
          <w:rFonts w:ascii="Arial" w:eastAsia="Times New Roman" w:hAnsi="Arial" w:cs="Arial"/>
          <w:sz w:val="24"/>
          <w:szCs w:val="24"/>
          <w:lang w:eastAsia="es-ES"/>
        </w:rPr>
        <w:t xml:space="preserve"> solicitada por la ahora parte recurrente</w:t>
      </w:r>
      <w:r w:rsidR="00B97F7B">
        <w:rPr>
          <w:rFonts w:ascii="Arial" w:eastAsia="Times New Roman" w:hAnsi="Arial" w:cs="Arial"/>
          <w:sz w:val="24"/>
          <w:szCs w:val="24"/>
          <w:lang w:eastAsia="es-ES"/>
        </w:rPr>
        <w:t xml:space="preserve">. </w:t>
      </w:r>
    </w:p>
    <w:p w14:paraId="6712D57E" w14:textId="77777777" w:rsidR="00B97F7B" w:rsidRDefault="00B97F7B" w:rsidP="00B97F7B">
      <w:pPr>
        <w:autoSpaceDE w:val="0"/>
        <w:autoSpaceDN w:val="0"/>
        <w:adjustRightInd w:val="0"/>
        <w:spacing w:after="0" w:line="360" w:lineRule="auto"/>
        <w:ind w:firstLine="708"/>
        <w:jc w:val="both"/>
        <w:rPr>
          <w:rFonts w:ascii="Arial" w:eastAsia="Times New Roman" w:hAnsi="Arial" w:cs="Arial"/>
          <w:sz w:val="24"/>
          <w:szCs w:val="24"/>
          <w:lang w:eastAsia="es-ES"/>
        </w:rPr>
      </w:pPr>
    </w:p>
    <w:p w14:paraId="589526F4" w14:textId="7452C2FC" w:rsidR="00B97F7B" w:rsidRDefault="00B97F7B" w:rsidP="00B97F7B">
      <w:pPr>
        <w:autoSpaceDE w:val="0"/>
        <w:autoSpaceDN w:val="0"/>
        <w:adjustRightInd w:val="0"/>
        <w:spacing w:after="0" w:line="360" w:lineRule="auto"/>
        <w:ind w:firstLine="708"/>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En el caso concreto, es procedente ordenar al sujeto obligado, por conducto de la unidad de transparencia, deberá realizar gestiones y turnar la solicitud de información al área responsable del </w:t>
      </w:r>
      <w:r w:rsidR="00DF01FE">
        <w:rPr>
          <w:rFonts w:ascii="Arial" w:eastAsia="Times New Roman" w:hAnsi="Arial" w:cs="Arial"/>
          <w:sz w:val="24"/>
          <w:szCs w:val="24"/>
          <w:lang w:eastAsia="es-ES"/>
        </w:rPr>
        <w:t>Municipio de Villa de Pozos</w:t>
      </w:r>
      <w:r>
        <w:rPr>
          <w:rFonts w:ascii="Arial" w:eastAsia="Times New Roman" w:hAnsi="Arial" w:cs="Arial"/>
          <w:sz w:val="24"/>
          <w:szCs w:val="24"/>
          <w:lang w:eastAsia="es-ES"/>
        </w:rPr>
        <w:t xml:space="preserve">, para que dicha área administrativa realice búsqueda de la información solicitada </w:t>
      </w:r>
      <w:r w:rsidRPr="00EA0E47">
        <w:rPr>
          <w:rFonts w:ascii="Arial" w:eastAsia="Times New Roman" w:hAnsi="Arial" w:cs="Arial"/>
          <w:sz w:val="24"/>
          <w:szCs w:val="24"/>
          <w:lang w:eastAsia="es-ES"/>
        </w:rPr>
        <w:t xml:space="preserve">y </w:t>
      </w:r>
      <w:r>
        <w:rPr>
          <w:rFonts w:ascii="Arial" w:eastAsia="Times New Roman" w:hAnsi="Arial" w:cs="Arial"/>
          <w:sz w:val="24"/>
          <w:szCs w:val="24"/>
          <w:lang w:eastAsia="es-ES"/>
        </w:rPr>
        <w:t xml:space="preserve">se otorgue respuesta a la solicitud de la ahora recurrente. </w:t>
      </w:r>
    </w:p>
    <w:p w14:paraId="6D0432DC" w14:textId="77777777" w:rsidR="00B97F7B" w:rsidRDefault="00B97F7B" w:rsidP="00B97F7B">
      <w:pPr>
        <w:spacing w:after="0" w:line="360" w:lineRule="auto"/>
        <w:jc w:val="both"/>
        <w:rPr>
          <w:rFonts w:ascii="Arial" w:hAnsi="Arial" w:cs="Arial"/>
          <w:sz w:val="24"/>
          <w:szCs w:val="24"/>
        </w:rPr>
      </w:pPr>
    </w:p>
    <w:p w14:paraId="5520020E" w14:textId="77777777" w:rsidR="00B97F7B" w:rsidRPr="002B55A2" w:rsidRDefault="00B97F7B" w:rsidP="00B97F7B">
      <w:pPr>
        <w:spacing w:after="0" w:line="360" w:lineRule="auto"/>
        <w:jc w:val="both"/>
        <w:rPr>
          <w:rFonts w:ascii="Arial" w:hAnsi="Arial" w:cs="Arial"/>
          <w:sz w:val="24"/>
        </w:rPr>
      </w:pPr>
      <w:r>
        <w:rPr>
          <w:rFonts w:ascii="Arial" w:hAnsi="Arial" w:cs="Arial"/>
          <w:sz w:val="24"/>
          <w:szCs w:val="24"/>
        </w:rPr>
        <w:lastRenderedPageBreak/>
        <w:tab/>
        <w:t xml:space="preserve">En este sentido, es preciso señalar que </w:t>
      </w:r>
      <w:r w:rsidRPr="002B55A2">
        <w:rPr>
          <w:rFonts w:ascii="Arial" w:hAnsi="Arial" w:cs="Arial"/>
          <w:sz w:val="24"/>
        </w:rPr>
        <w:t xml:space="preserve">el término </w:t>
      </w:r>
      <w:r w:rsidRPr="002B55A2">
        <w:rPr>
          <w:rFonts w:ascii="Arial" w:hAnsi="Arial" w:cs="Arial"/>
          <w:i/>
          <w:iCs/>
          <w:sz w:val="24"/>
        </w:rPr>
        <w:t>búsqueda exhaustiva</w:t>
      </w:r>
      <w:r w:rsidRPr="002B55A2">
        <w:rPr>
          <w:rFonts w:ascii="Arial" w:hAnsi="Arial" w:cs="Arial"/>
          <w:sz w:val="24"/>
        </w:rPr>
        <w:t xml:space="preserve">, ha sido definido por el diccionario de transparencia y acceso a la información emitido por el Instituto Nacional de Transparencia y Acceso a la Información y Protección de Datos Personales, de la manera siguiente: </w:t>
      </w:r>
    </w:p>
    <w:p w14:paraId="47FBAEB9" w14:textId="77777777" w:rsidR="00B97F7B" w:rsidRPr="002B55A2" w:rsidRDefault="00B97F7B" w:rsidP="00B97F7B">
      <w:pPr>
        <w:pStyle w:val="Textoindependienteprimerasangra"/>
        <w:spacing w:before="100" w:beforeAutospacing="1" w:after="100" w:afterAutospacing="1" w:line="240" w:lineRule="auto"/>
        <w:ind w:left="1134" w:right="1183" w:firstLine="0"/>
        <w:rPr>
          <w:rFonts w:ascii="Arial" w:hAnsi="Arial" w:cs="Arial"/>
          <w:b/>
          <w:bCs/>
          <w:sz w:val="22"/>
          <w:szCs w:val="22"/>
        </w:rPr>
      </w:pPr>
      <w:r w:rsidRPr="002B55A2">
        <w:rPr>
          <w:rFonts w:ascii="Arial" w:hAnsi="Arial" w:cs="Arial"/>
          <w:b/>
          <w:bCs/>
          <w:sz w:val="22"/>
          <w:szCs w:val="22"/>
        </w:rPr>
        <w:t xml:space="preserve">“Búsqueda exhaustiva. </w:t>
      </w:r>
      <w:r w:rsidRPr="002B55A2">
        <w:rPr>
          <w:rFonts w:ascii="Arial" w:hAnsi="Arial" w:cs="Arial"/>
          <w:sz w:val="22"/>
          <w:szCs w:val="22"/>
        </w:rPr>
        <w:t>Obligación del área administrativa del sujeto obligado que cuenta o puede contar con la información solicitada. Consiste en localizar toda la información requerida hasta agotar por completo las posibilidades de búsqueda. Esto, con independencia de la posible entrega al solicitante o clasificación de la Información.”</w:t>
      </w:r>
    </w:p>
    <w:p w14:paraId="1D6ACEAB" w14:textId="77777777" w:rsidR="00B97F7B" w:rsidRDefault="00B97F7B" w:rsidP="009922E5">
      <w:pPr>
        <w:spacing w:after="0" w:line="240" w:lineRule="auto"/>
        <w:ind w:firstLine="709"/>
        <w:jc w:val="both"/>
        <w:rPr>
          <w:rFonts w:ascii="Arial" w:hAnsi="Arial" w:cs="Arial"/>
          <w:sz w:val="24"/>
          <w:szCs w:val="24"/>
          <w:lang w:val="es-ES"/>
        </w:rPr>
      </w:pPr>
    </w:p>
    <w:p w14:paraId="25873955" w14:textId="77777777" w:rsidR="00B97F7B" w:rsidRDefault="00B97F7B" w:rsidP="00B97F7B">
      <w:pPr>
        <w:spacing w:after="0" w:line="360" w:lineRule="auto"/>
        <w:ind w:firstLine="708"/>
        <w:jc w:val="both"/>
        <w:rPr>
          <w:rFonts w:ascii="Arial" w:hAnsi="Arial" w:cs="Arial"/>
          <w:sz w:val="24"/>
          <w:szCs w:val="24"/>
          <w:lang w:val="es-ES"/>
        </w:rPr>
      </w:pPr>
      <w:r w:rsidRPr="002B55A2">
        <w:rPr>
          <w:rFonts w:ascii="Arial" w:hAnsi="Arial" w:cs="Arial"/>
          <w:sz w:val="24"/>
          <w:szCs w:val="24"/>
          <w:lang w:val="es-ES"/>
        </w:rPr>
        <w:t xml:space="preserve">En el caso concreto, como ha quedado señalado en párrafos que anteceden, </w:t>
      </w:r>
      <w:r w:rsidRPr="00756CD4">
        <w:rPr>
          <w:rFonts w:ascii="Arial" w:hAnsi="Arial" w:cs="Arial"/>
          <w:sz w:val="24"/>
          <w:szCs w:val="24"/>
          <w:lang w:val="es-ES"/>
        </w:rPr>
        <w:t xml:space="preserve">la normativa local contempla que la información debe de existir si versa sobre las facultades competencias y funciones de los sujetos obligados y en caso de que la información resulte inexistente, la carga de la prueba recaerá en el sujeto obligado, para probar que la información de interés no </w:t>
      </w:r>
      <w:r>
        <w:rPr>
          <w:rFonts w:ascii="Arial" w:hAnsi="Arial" w:cs="Arial"/>
          <w:sz w:val="24"/>
          <w:szCs w:val="24"/>
          <w:lang w:val="es-ES"/>
        </w:rPr>
        <w:t xml:space="preserve">se generó. </w:t>
      </w:r>
    </w:p>
    <w:p w14:paraId="7C2589B8" w14:textId="77777777" w:rsidR="007953BC" w:rsidRPr="00F9028F" w:rsidRDefault="007953BC" w:rsidP="00C6078B">
      <w:pPr>
        <w:autoSpaceDE w:val="0"/>
        <w:autoSpaceDN w:val="0"/>
        <w:adjustRightInd w:val="0"/>
        <w:spacing w:after="0" w:line="360" w:lineRule="auto"/>
        <w:jc w:val="both"/>
        <w:rPr>
          <w:rFonts w:ascii="Arial" w:hAnsi="Arial" w:cs="Arial"/>
          <w:bCs/>
          <w:sz w:val="24"/>
          <w:szCs w:val="24"/>
        </w:rPr>
      </w:pPr>
    </w:p>
    <w:p w14:paraId="4721496F" w14:textId="4BBBE15D" w:rsidR="007953BC" w:rsidRPr="00F9028F" w:rsidRDefault="00517529" w:rsidP="007953BC">
      <w:pPr>
        <w:autoSpaceDE w:val="0"/>
        <w:autoSpaceDN w:val="0"/>
        <w:adjustRightInd w:val="0"/>
        <w:spacing w:after="0" w:line="360" w:lineRule="auto"/>
        <w:ind w:firstLine="708"/>
        <w:jc w:val="both"/>
        <w:rPr>
          <w:rFonts w:ascii="Arial" w:hAnsi="Arial" w:cs="Arial"/>
          <w:sz w:val="24"/>
          <w:szCs w:val="24"/>
        </w:rPr>
      </w:pPr>
      <w:r>
        <w:rPr>
          <w:rFonts w:ascii="Arial" w:hAnsi="Arial" w:cs="Arial"/>
          <w:b/>
          <w:sz w:val="24"/>
          <w:szCs w:val="24"/>
        </w:rPr>
        <w:t>OCTAVO</w:t>
      </w:r>
      <w:r w:rsidR="007953BC" w:rsidRPr="00F9028F">
        <w:rPr>
          <w:rFonts w:ascii="Arial" w:hAnsi="Arial" w:cs="Arial"/>
          <w:b/>
          <w:sz w:val="24"/>
          <w:szCs w:val="24"/>
        </w:rPr>
        <w:t xml:space="preserve">. Efectos de la resolución. </w:t>
      </w:r>
      <w:r w:rsidR="007953BC" w:rsidRPr="00F9028F">
        <w:rPr>
          <w:rFonts w:ascii="Arial" w:hAnsi="Arial" w:cs="Arial"/>
          <w:sz w:val="24"/>
          <w:szCs w:val="24"/>
        </w:rPr>
        <w:t>Por lo anteriormente expuesto, esta Comisión, con fundamento en lo dispuesto</w:t>
      </w:r>
      <w:r w:rsidR="009938B4">
        <w:rPr>
          <w:rFonts w:ascii="Arial" w:hAnsi="Arial" w:cs="Arial"/>
          <w:sz w:val="24"/>
          <w:szCs w:val="24"/>
        </w:rPr>
        <w:t xml:space="preserve"> por el artículo 175 fracción I</w:t>
      </w:r>
      <w:r w:rsidR="007953BC" w:rsidRPr="00F9028F">
        <w:rPr>
          <w:rFonts w:ascii="Arial" w:hAnsi="Arial" w:cs="Arial"/>
          <w:sz w:val="24"/>
          <w:szCs w:val="24"/>
        </w:rPr>
        <w:t xml:space="preserve">I, de la Ley de Transparencia y Acceso a la Información Pública del Estado, </w:t>
      </w:r>
      <w:r w:rsidR="0065592D">
        <w:rPr>
          <w:rFonts w:ascii="Arial" w:hAnsi="Arial" w:cs="Arial"/>
          <w:b/>
          <w:sz w:val="24"/>
          <w:szCs w:val="24"/>
        </w:rPr>
        <w:t>REVOCA</w:t>
      </w:r>
      <w:r w:rsidR="007953BC" w:rsidRPr="00F9028F">
        <w:rPr>
          <w:rFonts w:ascii="Arial" w:hAnsi="Arial" w:cs="Arial"/>
          <w:b/>
          <w:sz w:val="24"/>
          <w:szCs w:val="24"/>
        </w:rPr>
        <w:t xml:space="preserve"> </w:t>
      </w:r>
      <w:r w:rsidR="007953BC" w:rsidRPr="00F9028F">
        <w:rPr>
          <w:rFonts w:ascii="Arial" w:hAnsi="Arial" w:cs="Arial"/>
          <w:sz w:val="24"/>
          <w:szCs w:val="24"/>
        </w:rPr>
        <w:t xml:space="preserve">la respuesta proporcionada por el Sujeto Obligado. </w:t>
      </w:r>
    </w:p>
    <w:p w14:paraId="630B0F3F" w14:textId="77777777" w:rsidR="007953BC" w:rsidRPr="00F9028F" w:rsidRDefault="007953BC" w:rsidP="007953BC">
      <w:pPr>
        <w:autoSpaceDE w:val="0"/>
        <w:autoSpaceDN w:val="0"/>
        <w:adjustRightInd w:val="0"/>
        <w:spacing w:after="0" w:line="360" w:lineRule="auto"/>
        <w:jc w:val="both"/>
        <w:rPr>
          <w:rFonts w:ascii="Arial" w:hAnsi="Arial" w:cs="Arial"/>
          <w:b/>
          <w:sz w:val="24"/>
          <w:szCs w:val="24"/>
        </w:rPr>
      </w:pPr>
      <w:r w:rsidRPr="00F9028F">
        <w:rPr>
          <w:rFonts w:ascii="Arial" w:hAnsi="Arial" w:cs="Arial"/>
          <w:b/>
          <w:sz w:val="24"/>
          <w:szCs w:val="24"/>
        </w:rPr>
        <w:tab/>
        <w:t xml:space="preserve"> </w:t>
      </w:r>
    </w:p>
    <w:p w14:paraId="1999F10D" w14:textId="4F2CDDBE" w:rsidR="00B22A82" w:rsidRPr="00F9028F" w:rsidRDefault="00517529" w:rsidP="00B22A82">
      <w:pPr>
        <w:pStyle w:val="Estilo"/>
        <w:spacing w:line="360" w:lineRule="auto"/>
        <w:ind w:firstLine="708"/>
        <w:rPr>
          <w:rFonts w:cs="Arial"/>
          <w:szCs w:val="24"/>
        </w:rPr>
      </w:pPr>
      <w:r>
        <w:rPr>
          <w:rFonts w:cs="Arial"/>
          <w:b/>
          <w:szCs w:val="24"/>
        </w:rPr>
        <w:t>8</w:t>
      </w:r>
      <w:r w:rsidR="007953BC" w:rsidRPr="00F9028F">
        <w:rPr>
          <w:rFonts w:cs="Arial"/>
          <w:b/>
          <w:szCs w:val="24"/>
        </w:rPr>
        <w:t xml:space="preserve">.1. Precisiones de esta resolución. </w:t>
      </w:r>
      <w:r w:rsidR="009938B4" w:rsidRPr="009938B4">
        <w:rPr>
          <w:rFonts w:cs="Arial"/>
          <w:szCs w:val="24"/>
        </w:rPr>
        <w:t>E</w:t>
      </w:r>
      <w:r w:rsidR="007953BC" w:rsidRPr="00F9028F">
        <w:rPr>
          <w:rFonts w:cs="Arial"/>
          <w:szCs w:val="24"/>
        </w:rPr>
        <w:t xml:space="preserve">l Sujeto Obligado </w:t>
      </w:r>
      <w:r w:rsidR="005F14E1" w:rsidRPr="00F9028F">
        <w:rPr>
          <w:rFonts w:cs="Arial"/>
          <w:bCs/>
          <w:szCs w:val="24"/>
        </w:rPr>
        <w:t xml:space="preserve">deberá </w:t>
      </w:r>
      <w:r w:rsidR="0065592D">
        <w:rPr>
          <w:rFonts w:cs="Arial"/>
          <w:bCs/>
          <w:szCs w:val="24"/>
        </w:rPr>
        <w:t>realizar la entrega de la información solicitada por la ahora parte recurrente, con excepción de aquella que actualice alguna de las causales de restricción del ejercicio del derecho de acceso a la información pública precisadas en la Ley de la materia</w:t>
      </w:r>
      <w:r w:rsidR="009938B4">
        <w:rPr>
          <w:rFonts w:cs="Arial"/>
          <w:szCs w:val="24"/>
          <w:lang w:val="es-ES_tradnl"/>
        </w:rPr>
        <w:t xml:space="preserve">. </w:t>
      </w:r>
    </w:p>
    <w:p w14:paraId="2DFE3AB0" w14:textId="77777777" w:rsidR="00C87447" w:rsidRPr="00570C16" w:rsidRDefault="00C87447" w:rsidP="00C87447">
      <w:pPr>
        <w:pStyle w:val="Textoindependienteprimerasangra"/>
        <w:rPr>
          <w:rFonts w:ascii="Arial" w:hAnsi="Arial" w:cs="Arial"/>
          <w:sz w:val="24"/>
        </w:rPr>
      </w:pPr>
    </w:p>
    <w:p w14:paraId="5CA755F9" w14:textId="37DE40A6" w:rsidR="00C87447" w:rsidRPr="00570C16" w:rsidRDefault="00C87447" w:rsidP="00D80FE3">
      <w:pPr>
        <w:pStyle w:val="Textoindependienteprimerasangra"/>
        <w:numPr>
          <w:ilvl w:val="0"/>
          <w:numId w:val="11"/>
        </w:numPr>
        <w:spacing w:after="0"/>
        <w:ind w:left="1077"/>
        <w:rPr>
          <w:rFonts w:ascii="Arial" w:hAnsi="Arial" w:cs="Arial"/>
          <w:sz w:val="24"/>
        </w:rPr>
      </w:pPr>
      <w:r w:rsidRPr="00570C16">
        <w:rPr>
          <w:rFonts w:ascii="Arial" w:hAnsi="Arial" w:cs="Arial"/>
          <w:sz w:val="24"/>
        </w:rPr>
        <w:t xml:space="preserve">En caso de que se actualice </w:t>
      </w:r>
      <w:r>
        <w:rPr>
          <w:rFonts w:ascii="Arial" w:hAnsi="Arial" w:cs="Arial"/>
          <w:sz w:val="24"/>
        </w:rPr>
        <w:t>l</w:t>
      </w:r>
      <w:r w:rsidRPr="00570C16">
        <w:rPr>
          <w:rFonts w:ascii="Arial" w:hAnsi="Arial" w:cs="Arial"/>
          <w:sz w:val="24"/>
        </w:rPr>
        <w:t>a figura de excepción al derecho de acceso a la información</w:t>
      </w:r>
      <w:r>
        <w:rPr>
          <w:rFonts w:ascii="Arial" w:hAnsi="Arial" w:cs="Arial"/>
          <w:sz w:val="24"/>
        </w:rPr>
        <w:t xml:space="preserve"> de</w:t>
      </w:r>
      <w:r w:rsidRPr="00570C16">
        <w:rPr>
          <w:rFonts w:ascii="Arial" w:hAnsi="Arial" w:cs="Arial"/>
          <w:sz w:val="24"/>
        </w:rPr>
        <w:t xml:space="preserve"> confidencialidad, el Obligado deberá proceder conforme a lo establecido en el artículo 159 de la Ley de Transparencia y Acceso a la Información Pública del Estado es decir, que en caso de que los sujetos obligados consideren que los documentos o la información deba ser clasificada, el Comité de Transparencia, deberá resolver sobre si es procedente la clasificación </w:t>
      </w:r>
      <w:r w:rsidRPr="00570C16">
        <w:rPr>
          <w:rFonts w:ascii="Arial" w:hAnsi="Arial" w:cs="Arial"/>
          <w:sz w:val="24"/>
        </w:rPr>
        <w:lastRenderedPageBreak/>
        <w:t>y notificar la resolución al particular, en los términos señalados en el considerando cuarto.</w:t>
      </w:r>
    </w:p>
    <w:p w14:paraId="272B20AF" w14:textId="61E817B6" w:rsidR="00C87447" w:rsidRDefault="00C87447" w:rsidP="00D80FE3">
      <w:pPr>
        <w:pStyle w:val="Textoindependienteprimerasangra"/>
        <w:spacing w:after="0"/>
        <w:ind w:left="1077" w:firstLine="0"/>
        <w:rPr>
          <w:rFonts w:ascii="Arial" w:hAnsi="Arial" w:cs="Arial"/>
          <w:sz w:val="24"/>
        </w:rPr>
      </w:pPr>
      <w:r>
        <w:rPr>
          <w:rFonts w:ascii="Arial" w:hAnsi="Arial" w:cs="Arial"/>
          <w:sz w:val="24"/>
        </w:rPr>
        <w:t>Asimismo</w:t>
      </w:r>
      <w:r w:rsidRPr="00570C16">
        <w:rPr>
          <w:rFonts w:ascii="Arial" w:hAnsi="Arial" w:cs="Arial"/>
          <w:sz w:val="24"/>
        </w:rPr>
        <w:t>, el Obligado deberá realizar la versión pública que corresponda conforme lo establecido en el artículo 125 de la Ley de Transparencia Local, observando para su elaboración lo establecido en el artículo sexagésimo de los Lineamientos de Clasificación Desclasificación de la Información, así como para la Elaboración de Versiones Públicas.</w:t>
      </w:r>
    </w:p>
    <w:p w14:paraId="1FE27C75" w14:textId="77777777" w:rsidR="00082A6A" w:rsidRDefault="00082A6A" w:rsidP="00D80FE3">
      <w:pPr>
        <w:pStyle w:val="Textoindependienteprimerasangra"/>
        <w:spacing w:after="0"/>
        <w:ind w:left="1077" w:firstLine="0"/>
        <w:rPr>
          <w:rFonts w:ascii="Arial" w:hAnsi="Arial" w:cs="Arial"/>
          <w:sz w:val="24"/>
        </w:rPr>
      </w:pPr>
    </w:p>
    <w:p w14:paraId="699AF505" w14:textId="1C704903" w:rsidR="00F64802" w:rsidRPr="00570C16" w:rsidRDefault="00F64802" w:rsidP="00F64802">
      <w:pPr>
        <w:pStyle w:val="Textoindependienteprimerasangra"/>
        <w:numPr>
          <w:ilvl w:val="0"/>
          <w:numId w:val="11"/>
        </w:numPr>
        <w:spacing w:after="0"/>
        <w:rPr>
          <w:rFonts w:ascii="Arial" w:hAnsi="Arial" w:cs="Arial"/>
          <w:sz w:val="24"/>
        </w:rPr>
      </w:pPr>
      <w:r>
        <w:rPr>
          <w:rFonts w:ascii="Arial" w:hAnsi="Arial" w:cs="Arial"/>
          <w:sz w:val="24"/>
        </w:rPr>
        <w:t>Ante la imposibilidad material en la entrega de la información solicitada, por la inexistencia de dicha documentación, deberá corresponder su actuar conforme a lo dispue</w:t>
      </w:r>
      <w:r w:rsidR="00082A6A">
        <w:rPr>
          <w:rFonts w:ascii="Arial" w:hAnsi="Arial" w:cs="Arial"/>
          <w:sz w:val="24"/>
        </w:rPr>
        <w:t>sto en los numerales 19 y 20, en correlación con los diversos 160 y 161, todos de la Ley de Transparencia y Acceso a la Información Pública del Estado de San Luis Potosí.</w:t>
      </w:r>
    </w:p>
    <w:p w14:paraId="34E20F98" w14:textId="77777777" w:rsidR="00C87447" w:rsidRPr="00F9028F" w:rsidRDefault="00C87447" w:rsidP="00C6078B">
      <w:pPr>
        <w:autoSpaceDE w:val="0"/>
        <w:autoSpaceDN w:val="0"/>
        <w:adjustRightInd w:val="0"/>
        <w:spacing w:after="0" w:line="360" w:lineRule="auto"/>
        <w:ind w:firstLine="708"/>
        <w:jc w:val="both"/>
        <w:rPr>
          <w:rFonts w:ascii="Arial" w:hAnsi="Arial" w:cs="Arial"/>
          <w:sz w:val="24"/>
          <w:szCs w:val="24"/>
        </w:rPr>
      </w:pPr>
    </w:p>
    <w:p w14:paraId="46B0CD87" w14:textId="1F718335" w:rsidR="000F7309" w:rsidRPr="00F9028F" w:rsidRDefault="007953BC" w:rsidP="000F7309">
      <w:pPr>
        <w:autoSpaceDE w:val="0"/>
        <w:autoSpaceDN w:val="0"/>
        <w:adjustRightInd w:val="0"/>
        <w:spacing w:after="0" w:line="360" w:lineRule="auto"/>
        <w:jc w:val="both"/>
        <w:rPr>
          <w:rFonts w:ascii="Arial" w:hAnsi="Arial" w:cs="Arial"/>
          <w:sz w:val="24"/>
          <w:lang w:val="es-ES"/>
        </w:rPr>
      </w:pPr>
      <w:r w:rsidRPr="00F9028F">
        <w:rPr>
          <w:rFonts w:ascii="Arial" w:hAnsi="Arial" w:cs="Arial"/>
          <w:b/>
          <w:sz w:val="24"/>
          <w:szCs w:val="24"/>
        </w:rPr>
        <w:tab/>
      </w:r>
      <w:r w:rsidR="00517529">
        <w:rPr>
          <w:rFonts w:ascii="Arial" w:hAnsi="Arial" w:cs="Arial"/>
          <w:b/>
          <w:sz w:val="24"/>
          <w:szCs w:val="24"/>
        </w:rPr>
        <w:t>8</w:t>
      </w:r>
      <w:r w:rsidRPr="00F9028F">
        <w:rPr>
          <w:rFonts w:ascii="Arial" w:hAnsi="Arial" w:cs="Arial"/>
          <w:b/>
          <w:sz w:val="24"/>
          <w:szCs w:val="24"/>
        </w:rPr>
        <w:t xml:space="preserve">.2. Modalidad de entrega. </w:t>
      </w:r>
      <w:r w:rsidR="000F7309" w:rsidRPr="00F9028F">
        <w:rPr>
          <w:rFonts w:ascii="Arial" w:hAnsi="Arial" w:cs="Arial"/>
          <w:sz w:val="24"/>
        </w:rPr>
        <w:t>En cuanto a la modalidad de entrega, t</w:t>
      </w:r>
      <w:r w:rsidR="000F7309" w:rsidRPr="00F9028F">
        <w:rPr>
          <w:rFonts w:ascii="Arial" w:hAnsi="Arial" w:cs="Arial"/>
          <w:sz w:val="24"/>
          <w:lang w:val="es-ES"/>
        </w:rPr>
        <w:t xml:space="preserve">oda vez que la </w:t>
      </w:r>
      <w:r w:rsidR="00F64802">
        <w:rPr>
          <w:rFonts w:ascii="Arial" w:hAnsi="Arial" w:cs="Arial"/>
          <w:sz w:val="24"/>
          <w:lang w:val="es-ES"/>
        </w:rPr>
        <w:t xml:space="preserve">parte </w:t>
      </w:r>
      <w:r w:rsidR="000F7309" w:rsidRPr="00F9028F">
        <w:rPr>
          <w:rFonts w:ascii="Arial" w:hAnsi="Arial" w:cs="Arial"/>
          <w:sz w:val="24"/>
          <w:lang w:val="es-ES"/>
        </w:rPr>
        <w:t>recurrente eligió como modalidad de entrega electrónica, el Obligado deberá realizar la entrega a través del co</w:t>
      </w:r>
      <w:r w:rsidR="00F64802">
        <w:rPr>
          <w:rFonts w:ascii="Arial" w:hAnsi="Arial" w:cs="Arial"/>
          <w:sz w:val="24"/>
          <w:lang w:val="es-ES"/>
        </w:rPr>
        <w:t>rreo electrónico designado por la</w:t>
      </w:r>
      <w:r w:rsidR="000F7309" w:rsidRPr="00F9028F">
        <w:rPr>
          <w:rFonts w:ascii="Arial" w:hAnsi="Arial" w:cs="Arial"/>
          <w:sz w:val="24"/>
          <w:lang w:val="es-ES"/>
        </w:rPr>
        <w:t xml:space="preserve"> ahora </w:t>
      </w:r>
      <w:r w:rsidR="00F64802">
        <w:rPr>
          <w:rFonts w:ascii="Arial" w:hAnsi="Arial" w:cs="Arial"/>
          <w:sz w:val="24"/>
          <w:lang w:val="es-ES"/>
        </w:rPr>
        <w:t xml:space="preserve">parte </w:t>
      </w:r>
      <w:r w:rsidR="000F7309" w:rsidRPr="00F9028F">
        <w:rPr>
          <w:rFonts w:ascii="Arial" w:hAnsi="Arial" w:cs="Arial"/>
          <w:sz w:val="24"/>
          <w:lang w:val="es-ES"/>
        </w:rPr>
        <w:t xml:space="preserve">recurrente. </w:t>
      </w:r>
    </w:p>
    <w:p w14:paraId="7F65EC23" w14:textId="77777777" w:rsidR="00890178" w:rsidRPr="00F9028F" w:rsidRDefault="00890178" w:rsidP="000F7309">
      <w:pPr>
        <w:autoSpaceDE w:val="0"/>
        <w:autoSpaceDN w:val="0"/>
        <w:adjustRightInd w:val="0"/>
        <w:spacing w:after="0" w:line="360" w:lineRule="auto"/>
        <w:jc w:val="both"/>
        <w:rPr>
          <w:rFonts w:ascii="Arial" w:hAnsi="Arial" w:cs="Arial"/>
          <w:sz w:val="24"/>
          <w:lang w:val="es-ES"/>
        </w:rPr>
      </w:pPr>
    </w:p>
    <w:p w14:paraId="4DBBF923" w14:textId="0C9A5705" w:rsidR="007953BC" w:rsidRPr="00F9028F" w:rsidRDefault="00517529" w:rsidP="007953BC">
      <w:pPr>
        <w:autoSpaceDE w:val="0"/>
        <w:autoSpaceDN w:val="0"/>
        <w:adjustRightInd w:val="0"/>
        <w:spacing w:after="0" w:line="360" w:lineRule="auto"/>
        <w:ind w:firstLine="708"/>
        <w:jc w:val="both"/>
        <w:rPr>
          <w:rFonts w:ascii="Arial" w:hAnsi="Arial" w:cs="Arial"/>
          <w:sz w:val="24"/>
          <w:szCs w:val="24"/>
        </w:rPr>
      </w:pPr>
      <w:r>
        <w:rPr>
          <w:rFonts w:ascii="Arial" w:hAnsi="Arial" w:cs="Arial"/>
          <w:b/>
          <w:sz w:val="24"/>
          <w:szCs w:val="24"/>
        </w:rPr>
        <w:t>8</w:t>
      </w:r>
      <w:r w:rsidR="007953BC" w:rsidRPr="00F9028F">
        <w:rPr>
          <w:rFonts w:ascii="Arial" w:hAnsi="Arial" w:cs="Arial"/>
          <w:b/>
          <w:sz w:val="24"/>
          <w:szCs w:val="24"/>
        </w:rPr>
        <w:t xml:space="preserve">.3. Plazo para el cumplimento de esta resolución. </w:t>
      </w:r>
      <w:r w:rsidR="007953BC" w:rsidRPr="00F9028F">
        <w:rPr>
          <w:rFonts w:ascii="Arial" w:hAnsi="Arial" w:cs="Arial"/>
          <w:sz w:val="24"/>
          <w:szCs w:val="24"/>
        </w:rPr>
        <w:t xml:space="preserve">Con fundamento en el artículo 175 de la Ley de Transparencia y Acceso a la Información Pública del Estado, este Órgano Colegiado le concede al Sujeto Obligado el plazo de diez días </w:t>
      </w:r>
      <w:r w:rsidR="007953BC" w:rsidRPr="00F9028F">
        <w:rPr>
          <w:rFonts w:ascii="Arial" w:hAnsi="Arial" w:cs="Arial"/>
          <w:bCs/>
          <w:sz w:val="24"/>
          <w:szCs w:val="24"/>
        </w:rPr>
        <w:t>contados a partir del día siguiente de su notificación,</w:t>
      </w:r>
      <w:r w:rsidR="007953BC" w:rsidRPr="00F9028F">
        <w:rPr>
          <w:rFonts w:ascii="Arial" w:hAnsi="Arial" w:cs="Arial"/>
          <w:sz w:val="24"/>
          <w:szCs w:val="24"/>
        </w:rPr>
        <w:t xml:space="preserve"> para que dé cumplimiento a lo ordenado en la presente resolución y realice la entrega de la información al Recurrente, a través del correo electrónico señalado por la persona recurrente.</w:t>
      </w:r>
    </w:p>
    <w:p w14:paraId="3F51859D" w14:textId="77777777" w:rsidR="007953BC" w:rsidRPr="00F9028F" w:rsidRDefault="007953BC" w:rsidP="007953BC">
      <w:pPr>
        <w:autoSpaceDE w:val="0"/>
        <w:autoSpaceDN w:val="0"/>
        <w:adjustRightInd w:val="0"/>
        <w:spacing w:after="0" w:line="360" w:lineRule="auto"/>
        <w:jc w:val="both"/>
        <w:rPr>
          <w:rFonts w:ascii="Arial" w:hAnsi="Arial" w:cs="Arial"/>
          <w:b/>
          <w:sz w:val="24"/>
          <w:szCs w:val="24"/>
        </w:rPr>
      </w:pPr>
    </w:p>
    <w:p w14:paraId="3FCCB9E1" w14:textId="69A1BB42" w:rsidR="007953BC" w:rsidRDefault="007953BC" w:rsidP="007953BC">
      <w:pPr>
        <w:autoSpaceDE w:val="0"/>
        <w:autoSpaceDN w:val="0"/>
        <w:adjustRightInd w:val="0"/>
        <w:spacing w:after="0" w:line="360" w:lineRule="auto"/>
        <w:jc w:val="both"/>
        <w:rPr>
          <w:rFonts w:ascii="Arial" w:hAnsi="Arial" w:cs="Arial"/>
          <w:sz w:val="24"/>
          <w:szCs w:val="24"/>
        </w:rPr>
      </w:pPr>
      <w:r w:rsidRPr="00F9028F">
        <w:rPr>
          <w:rFonts w:ascii="Arial" w:hAnsi="Arial" w:cs="Arial"/>
          <w:b/>
          <w:sz w:val="24"/>
          <w:szCs w:val="24"/>
        </w:rPr>
        <w:tab/>
      </w:r>
      <w:r w:rsidR="00517529">
        <w:rPr>
          <w:rFonts w:ascii="Arial" w:hAnsi="Arial" w:cs="Arial"/>
          <w:b/>
          <w:sz w:val="24"/>
          <w:szCs w:val="24"/>
        </w:rPr>
        <w:t>8</w:t>
      </w:r>
      <w:r w:rsidRPr="00F9028F">
        <w:rPr>
          <w:rFonts w:ascii="Arial" w:hAnsi="Arial" w:cs="Arial"/>
          <w:b/>
          <w:sz w:val="24"/>
          <w:szCs w:val="24"/>
        </w:rPr>
        <w:t xml:space="preserve">.4. Informe sobre el cumplimento a la resolución. </w:t>
      </w:r>
      <w:r w:rsidRPr="00F9028F">
        <w:rPr>
          <w:rFonts w:ascii="Arial" w:hAnsi="Arial" w:cs="Arial"/>
          <w:sz w:val="24"/>
          <w:szCs w:val="24"/>
        </w:rPr>
        <w:t>De conformidad con lo previsto en el artículo 177, segundo párrafo de la Ley de Transparencia y Acceso a la Información Pública del Estado, el Sujeto Obligado deberá de informar a este Organismo Autónomo, el cumplimento a la presente resolución en un plazo que no deberá de exceder de tres días siguientes a los d</w:t>
      </w:r>
      <w:r w:rsidR="00E61CD8" w:rsidRPr="00F9028F">
        <w:rPr>
          <w:rFonts w:ascii="Arial" w:hAnsi="Arial" w:cs="Arial"/>
          <w:sz w:val="24"/>
          <w:szCs w:val="24"/>
        </w:rPr>
        <w:t xml:space="preserve">iez días otorgados en el </w:t>
      </w:r>
      <w:r w:rsidR="00517529">
        <w:rPr>
          <w:rFonts w:ascii="Arial" w:hAnsi="Arial" w:cs="Arial"/>
          <w:sz w:val="24"/>
          <w:szCs w:val="24"/>
        </w:rPr>
        <w:t>punto 8</w:t>
      </w:r>
      <w:r w:rsidR="00E61CD8" w:rsidRPr="00517529">
        <w:rPr>
          <w:rFonts w:ascii="Arial" w:hAnsi="Arial" w:cs="Arial"/>
          <w:sz w:val="24"/>
          <w:szCs w:val="24"/>
        </w:rPr>
        <w:t xml:space="preserve">.3 del Considerando </w:t>
      </w:r>
      <w:r w:rsidR="00517529">
        <w:rPr>
          <w:rFonts w:ascii="Arial" w:hAnsi="Arial" w:cs="Arial"/>
          <w:sz w:val="24"/>
          <w:szCs w:val="24"/>
        </w:rPr>
        <w:t>Octavo</w:t>
      </w:r>
      <w:r w:rsidRPr="00517529">
        <w:rPr>
          <w:rFonts w:ascii="Arial" w:hAnsi="Arial" w:cs="Arial"/>
          <w:sz w:val="24"/>
          <w:szCs w:val="24"/>
        </w:rPr>
        <w:t xml:space="preserve"> de la presente determinación. </w:t>
      </w:r>
      <w:r w:rsidR="006D4441" w:rsidRPr="00517529">
        <w:rPr>
          <w:rFonts w:ascii="Arial" w:hAnsi="Arial" w:cs="Arial"/>
          <w:sz w:val="24"/>
          <w:szCs w:val="24"/>
        </w:rPr>
        <w:t xml:space="preserve"> </w:t>
      </w:r>
      <w:r w:rsidRPr="00517529">
        <w:rPr>
          <w:rFonts w:ascii="Arial" w:hAnsi="Arial" w:cs="Arial"/>
          <w:sz w:val="24"/>
          <w:szCs w:val="24"/>
        </w:rPr>
        <w:t>Dich</w:t>
      </w:r>
      <w:r w:rsidRPr="00F9028F">
        <w:rPr>
          <w:rFonts w:ascii="Arial" w:hAnsi="Arial" w:cs="Arial"/>
          <w:sz w:val="24"/>
          <w:szCs w:val="24"/>
        </w:rPr>
        <w:t xml:space="preserve">o plazo es concedido para que el Sujeto Obligado entregue la información </w:t>
      </w:r>
      <w:r w:rsidRPr="00F9028F">
        <w:rPr>
          <w:rFonts w:ascii="Arial" w:hAnsi="Arial" w:cs="Arial"/>
          <w:sz w:val="24"/>
          <w:szCs w:val="24"/>
        </w:rPr>
        <w:lastRenderedPageBreak/>
        <w:t>para que acompañe los documentos necesarios que acrediten el cumplimento a lo aquí ordenado.</w:t>
      </w:r>
    </w:p>
    <w:p w14:paraId="7C99CE4E" w14:textId="77777777" w:rsidR="00082A6A" w:rsidRPr="00F9028F" w:rsidRDefault="00082A6A" w:rsidP="007953BC">
      <w:pPr>
        <w:autoSpaceDE w:val="0"/>
        <w:autoSpaceDN w:val="0"/>
        <w:adjustRightInd w:val="0"/>
        <w:spacing w:after="0" w:line="360" w:lineRule="auto"/>
        <w:jc w:val="both"/>
        <w:rPr>
          <w:rFonts w:ascii="Arial" w:hAnsi="Arial" w:cs="Arial"/>
          <w:sz w:val="24"/>
          <w:szCs w:val="24"/>
        </w:rPr>
      </w:pPr>
    </w:p>
    <w:p w14:paraId="2A025520" w14:textId="7B815447" w:rsidR="007953BC" w:rsidRPr="00F9028F" w:rsidRDefault="007953BC" w:rsidP="007953BC">
      <w:pPr>
        <w:autoSpaceDE w:val="0"/>
        <w:autoSpaceDN w:val="0"/>
        <w:adjustRightInd w:val="0"/>
        <w:spacing w:after="0" w:line="360" w:lineRule="auto"/>
        <w:jc w:val="both"/>
        <w:rPr>
          <w:rFonts w:ascii="Arial" w:hAnsi="Arial" w:cs="Arial"/>
          <w:sz w:val="24"/>
          <w:szCs w:val="24"/>
        </w:rPr>
      </w:pPr>
      <w:r w:rsidRPr="00F9028F">
        <w:rPr>
          <w:rFonts w:ascii="Arial" w:hAnsi="Arial" w:cs="Arial"/>
          <w:b/>
          <w:sz w:val="24"/>
          <w:szCs w:val="24"/>
        </w:rPr>
        <w:tab/>
      </w:r>
      <w:r w:rsidR="00517529">
        <w:rPr>
          <w:rFonts w:ascii="Arial" w:hAnsi="Arial" w:cs="Arial"/>
          <w:b/>
          <w:sz w:val="24"/>
          <w:szCs w:val="24"/>
        </w:rPr>
        <w:t>8</w:t>
      </w:r>
      <w:r w:rsidRPr="00F9028F">
        <w:rPr>
          <w:rFonts w:ascii="Arial" w:hAnsi="Arial" w:cs="Arial"/>
          <w:b/>
          <w:sz w:val="24"/>
          <w:szCs w:val="24"/>
        </w:rPr>
        <w:t xml:space="preserve">.5. Ampliación del plazo para dar cumplimiento a la resolución. </w:t>
      </w:r>
      <w:r w:rsidRPr="00F9028F">
        <w:rPr>
          <w:rFonts w:ascii="Arial" w:hAnsi="Arial" w:cs="Arial"/>
          <w:sz w:val="24"/>
          <w:szCs w:val="24"/>
        </w:rPr>
        <w:t xml:space="preserve">Excepcionalmente, el plazo señalado en el artículo 175 de la Ley de Transparencia y Acceso a la Información Pública del Estado, podrá ampliarse cuando el asunto así lo requiera, previa fundamentación y motivación por parte del Sujeto Obligado, dicha solicitud deberá presentarse, a más tardar, </w:t>
      </w:r>
      <w:r w:rsidRPr="00F9028F">
        <w:rPr>
          <w:rFonts w:ascii="Arial" w:hAnsi="Arial" w:cs="Arial"/>
          <w:sz w:val="24"/>
          <w:szCs w:val="24"/>
          <w:u w:val="single"/>
        </w:rPr>
        <w:t>dentro de los primeros tres días del plazo otorgado para el cumplimiento</w:t>
      </w:r>
      <w:r w:rsidRPr="00F9028F">
        <w:rPr>
          <w:rFonts w:ascii="Arial" w:hAnsi="Arial" w:cs="Arial"/>
          <w:sz w:val="24"/>
          <w:szCs w:val="24"/>
        </w:rPr>
        <w:t>, a efecto de que este Organismo Autónomo resuelva sobre la procedencia de la misma; ello así conforme lo establecido en el numeral 183 de la normatividad en cita.</w:t>
      </w:r>
    </w:p>
    <w:p w14:paraId="36887E86" w14:textId="77777777" w:rsidR="007953BC" w:rsidRPr="00F9028F" w:rsidRDefault="007953BC" w:rsidP="007953BC">
      <w:pPr>
        <w:autoSpaceDE w:val="0"/>
        <w:autoSpaceDN w:val="0"/>
        <w:adjustRightInd w:val="0"/>
        <w:spacing w:after="0" w:line="360" w:lineRule="auto"/>
        <w:jc w:val="both"/>
        <w:rPr>
          <w:rFonts w:ascii="Arial" w:hAnsi="Arial" w:cs="Arial"/>
          <w:sz w:val="24"/>
          <w:szCs w:val="24"/>
        </w:rPr>
      </w:pPr>
    </w:p>
    <w:p w14:paraId="2D6AA29D" w14:textId="5C11C1A4" w:rsidR="007953BC" w:rsidRPr="00F9028F" w:rsidRDefault="00517529" w:rsidP="007953BC">
      <w:pPr>
        <w:autoSpaceDE w:val="0"/>
        <w:autoSpaceDN w:val="0"/>
        <w:adjustRightInd w:val="0"/>
        <w:spacing w:after="0" w:line="360" w:lineRule="auto"/>
        <w:ind w:firstLine="708"/>
        <w:jc w:val="both"/>
        <w:rPr>
          <w:rFonts w:ascii="Arial" w:hAnsi="Arial" w:cs="Arial"/>
          <w:sz w:val="24"/>
          <w:szCs w:val="24"/>
        </w:rPr>
      </w:pPr>
      <w:r>
        <w:rPr>
          <w:rFonts w:ascii="Arial" w:hAnsi="Arial" w:cs="Arial"/>
          <w:b/>
          <w:sz w:val="24"/>
          <w:szCs w:val="24"/>
        </w:rPr>
        <w:t>8</w:t>
      </w:r>
      <w:r w:rsidR="007953BC" w:rsidRPr="00F9028F">
        <w:rPr>
          <w:rFonts w:ascii="Arial" w:hAnsi="Arial" w:cs="Arial"/>
          <w:b/>
          <w:sz w:val="24"/>
          <w:szCs w:val="24"/>
        </w:rPr>
        <w:t xml:space="preserve">.6. Medida de apremio en caso de incumplimiento a la resolución. </w:t>
      </w:r>
      <w:r w:rsidR="007953BC" w:rsidRPr="00F9028F">
        <w:rPr>
          <w:rFonts w:ascii="Arial" w:hAnsi="Arial" w:cs="Arial"/>
          <w:sz w:val="24"/>
          <w:szCs w:val="24"/>
        </w:rPr>
        <w:t xml:space="preserve">Esta Comisión Estatal de Garantía de Acceso a la Información Pública apercibe al Sujeto Obligado que, en caso de no acatar la presente resolución, podrá ser acreedor de alguna de las medidas de apremio establecidas en el artículo 190 de la Ley de Transparencia y Acceso a la Información Pública del Estado; ello así, en virtud de que este órgano colegiado debe de garantizar el debido cumplimiento al derecho humano de acceso a la información pública.  </w:t>
      </w:r>
    </w:p>
    <w:p w14:paraId="6EED22E5" w14:textId="77777777" w:rsidR="007953BC" w:rsidRPr="00F9028F" w:rsidRDefault="007953BC" w:rsidP="007953BC">
      <w:pPr>
        <w:autoSpaceDE w:val="0"/>
        <w:autoSpaceDN w:val="0"/>
        <w:adjustRightInd w:val="0"/>
        <w:spacing w:after="0" w:line="360" w:lineRule="auto"/>
        <w:jc w:val="both"/>
        <w:rPr>
          <w:rFonts w:ascii="Arial" w:hAnsi="Arial" w:cs="Arial"/>
          <w:b/>
          <w:sz w:val="24"/>
          <w:szCs w:val="24"/>
        </w:rPr>
      </w:pPr>
    </w:p>
    <w:p w14:paraId="1A609E6F" w14:textId="12EA4A88" w:rsidR="007953BC" w:rsidRPr="00F9028F" w:rsidRDefault="00517529" w:rsidP="00517529">
      <w:pPr>
        <w:autoSpaceDE w:val="0"/>
        <w:autoSpaceDN w:val="0"/>
        <w:adjustRightInd w:val="0"/>
        <w:spacing w:after="0" w:line="360" w:lineRule="auto"/>
        <w:ind w:firstLine="708"/>
        <w:jc w:val="both"/>
        <w:rPr>
          <w:rFonts w:ascii="Arial" w:hAnsi="Arial" w:cs="Arial"/>
          <w:b/>
          <w:sz w:val="24"/>
          <w:szCs w:val="24"/>
        </w:rPr>
      </w:pPr>
      <w:r>
        <w:rPr>
          <w:rFonts w:ascii="Arial" w:hAnsi="Arial" w:cs="Arial"/>
          <w:b/>
          <w:sz w:val="24"/>
          <w:szCs w:val="24"/>
        </w:rPr>
        <w:t>8</w:t>
      </w:r>
      <w:r w:rsidR="007953BC" w:rsidRPr="00F9028F">
        <w:rPr>
          <w:rFonts w:ascii="Arial" w:hAnsi="Arial" w:cs="Arial"/>
          <w:b/>
          <w:sz w:val="24"/>
          <w:szCs w:val="24"/>
        </w:rPr>
        <w:t xml:space="preserve">.7. Medio de impugnación. </w:t>
      </w:r>
      <w:r w:rsidR="007953BC" w:rsidRPr="00F9028F">
        <w:rPr>
          <w:rFonts w:ascii="Arial" w:hAnsi="Arial" w:cs="Arial"/>
          <w:sz w:val="24"/>
          <w:szCs w:val="24"/>
        </w:rPr>
        <w:t>Se hace de conocimiento del Recurrente que</w:t>
      </w:r>
      <w:r w:rsidR="00E63B14" w:rsidRPr="00F9028F">
        <w:rPr>
          <w:rFonts w:ascii="Arial" w:hAnsi="Arial" w:cs="Arial"/>
          <w:sz w:val="24"/>
          <w:szCs w:val="24"/>
        </w:rPr>
        <w:t>,</w:t>
      </w:r>
      <w:r w:rsidR="007953BC" w:rsidRPr="00F9028F">
        <w:rPr>
          <w:rFonts w:ascii="Arial" w:hAnsi="Arial" w:cs="Arial"/>
          <w:sz w:val="24"/>
          <w:szCs w:val="24"/>
        </w:rPr>
        <w:t xml:space="preserve"> en caso de no estar de acuerdo con los términos de la resolución dictada por este Organismo Autónomo, podrá optar por acudir ante el Poder Judicial de la Federación</w:t>
      </w:r>
      <w:r w:rsidR="00E63B14" w:rsidRPr="00F9028F">
        <w:rPr>
          <w:rFonts w:ascii="Arial" w:hAnsi="Arial" w:cs="Arial"/>
          <w:sz w:val="24"/>
          <w:szCs w:val="24"/>
        </w:rPr>
        <w:t xml:space="preserve">. </w:t>
      </w:r>
    </w:p>
    <w:p w14:paraId="07AAC9E4" w14:textId="77777777" w:rsidR="007953BC" w:rsidRPr="00F9028F" w:rsidRDefault="007953BC" w:rsidP="007953BC">
      <w:pPr>
        <w:autoSpaceDE w:val="0"/>
        <w:autoSpaceDN w:val="0"/>
        <w:adjustRightInd w:val="0"/>
        <w:spacing w:after="0" w:line="360" w:lineRule="auto"/>
        <w:jc w:val="both"/>
        <w:rPr>
          <w:rFonts w:ascii="Arial" w:hAnsi="Arial" w:cs="Arial"/>
          <w:b/>
          <w:sz w:val="24"/>
          <w:szCs w:val="24"/>
        </w:rPr>
      </w:pPr>
      <w:r w:rsidRPr="00F9028F">
        <w:rPr>
          <w:rFonts w:ascii="Arial" w:hAnsi="Arial" w:cs="Arial"/>
          <w:b/>
          <w:sz w:val="24"/>
          <w:szCs w:val="24"/>
        </w:rPr>
        <w:tab/>
      </w:r>
    </w:p>
    <w:p w14:paraId="3E0FE0D5" w14:textId="6FCE8CB8" w:rsidR="007953BC" w:rsidRPr="00F9028F" w:rsidRDefault="007953BC" w:rsidP="007953BC">
      <w:pPr>
        <w:autoSpaceDE w:val="0"/>
        <w:autoSpaceDN w:val="0"/>
        <w:adjustRightInd w:val="0"/>
        <w:spacing w:after="0" w:line="360" w:lineRule="auto"/>
        <w:jc w:val="both"/>
        <w:rPr>
          <w:rFonts w:ascii="Arial" w:hAnsi="Arial" w:cs="Arial"/>
          <w:sz w:val="24"/>
          <w:szCs w:val="24"/>
        </w:rPr>
      </w:pPr>
      <w:r w:rsidRPr="00F9028F">
        <w:rPr>
          <w:rFonts w:ascii="Arial" w:hAnsi="Arial" w:cs="Arial"/>
          <w:b/>
          <w:sz w:val="24"/>
          <w:szCs w:val="24"/>
        </w:rPr>
        <w:tab/>
      </w:r>
      <w:r w:rsidR="00517529">
        <w:rPr>
          <w:rFonts w:ascii="Arial" w:hAnsi="Arial" w:cs="Arial"/>
          <w:b/>
          <w:sz w:val="24"/>
          <w:szCs w:val="24"/>
        </w:rPr>
        <w:t>8</w:t>
      </w:r>
      <w:r w:rsidRPr="00F9028F">
        <w:rPr>
          <w:rFonts w:ascii="Arial" w:hAnsi="Arial" w:cs="Arial"/>
          <w:b/>
          <w:sz w:val="24"/>
          <w:szCs w:val="24"/>
        </w:rPr>
        <w:t xml:space="preserve">.8. Definitividad. </w:t>
      </w:r>
      <w:r w:rsidRPr="00F9028F">
        <w:rPr>
          <w:rFonts w:ascii="Arial" w:hAnsi="Arial" w:cs="Arial"/>
          <w:sz w:val="24"/>
          <w:szCs w:val="24"/>
        </w:rPr>
        <w:t xml:space="preserve">En esta tesitura, se informa a la autoridad responsable que, con base en lo previsto en el numeral 181 de la Ley de la materia, las resoluciones emitidas por este Órgano Colegiado son vinculatorias, definitivas e inatacables para los Sujetos Obligados. </w:t>
      </w:r>
    </w:p>
    <w:p w14:paraId="02311D48" w14:textId="77777777" w:rsidR="007953BC" w:rsidRPr="00F9028F" w:rsidRDefault="007953BC" w:rsidP="007953BC">
      <w:pPr>
        <w:autoSpaceDE w:val="0"/>
        <w:autoSpaceDN w:val="0"/>
        <w:adjustRightInd w:val="0"/>
        <w:spacing w:after="0" w:line="360" w:lineRule="auto"/>
        <w:jc w:val="both"/>
        <w:rPr>
          <w:rFonts w:ascii="Arial" w:hAnsi="Arial" w:cs="Arial"/>
          <w:b/>
          <w:sz w:val="24"/>
          <w:szCs w:val="24"/>
        </w:rPr>
      </w:pPr>
      <w:r w:rsidRPr="00F9028F">
        <w:rPr>
          <w:rFonts w:ascii="Arial" w:hAnsi="Arial" w:cs="Arial"/>
          <w:sz w:val="24"/>
          <w:szCs w:val="24"/>
        </w:rPr>
        <w:tab/>
      </w:r>
    </w:p>
    <w:p w14:paraId="313CF4BA" w14:textId="72E477B5" w:rsidR="007953BC" w:rsidRPr="00F9028F" w:rsidRDefault="007953BC" w:rsidP="007953BC">
      <w:pPr>
        <w:autoSpaceDE w:val="0"/>
        <w:autoSpaceDN w:val="0"/>
        <w:adjustRightInd w:val="0"/>
        <w:spacing w:after="0" w:line="360" w:lineRule="auto"/>
        <w:jc w:val="both"/>
        <w:rPr>
          <w:rFonts w:ascii="Arial" w:hAnsi="Arial" w:cs="Arial"/>
          <w:sz w:val="24"/>
          <w:szCs w:val="24"/>
        </w:rPr>
      </w:pPr>
      <w:r w:rsidRPr="00F9028F">
        <w:rPr>
          <w:rFonts w:ascii="Arial" w:hAnsi="Arial" w:cs="Arial"/>
          <w:b/>
          <w:sz w:val="24"/>
          <w:szCs w:val="24"/>
        </w:rPr>
        <w:tab/>
      </w:r>
      <w:r w:rsidR="00517529">
        <w:rPr>
          <w:rFonts w:ascii="Arial" w:hAnsi="Arial" w:cs="Arial"/>
          <w:b/>
          <w:sz w:val="24"/>
          <w:szCs w:val="24"/>
        </w:rPr>
        <w:t>8</w:t>
      </w:r>
      <w:r w:rsidRPr="00F9028F">
        <w:rPr>
          <w:rFonts w:ascii="Arial" w:hAnsi="Arial" w:cs="Arial"/>
          <w:b/>
          <w:sz w:val="24"/>
          <w:szCs w:val="24"/>
        </w:rPr>
        <w:t xml:space="preserve">.9. Ejecutoría. </w:t>
      </w:r>
      <w:r w:rsidRPr="00F9028F">
        <w:rPr>
          <w:rFonts w:ascii="Arial" w:hAnsi="Arial" w:cs="Arial"/>
          <w:sz w:val="24"/>
          <w:szCs w:val="24"/>
        </w:rPr>
        <w:t xml:space="preserve">Finalmente, se precisa que la presente resolución causa ejecutoría al día siguiente de su notificación; ello así conforme lo señalado en los numerales 148 de la Ley de Transparencia Local y el diverso 255 fracción III, del Código Procesal Administrativo para el Estado de San Luis Potosí, de aplicación supletoria. </w:t>
      </w:r>
    </w:p>
    <w:p w14:paraId="35C59734" w14:textId="7F6FAE76" w:rsidR="007953BC" w:rsidRPr="00F9028F" w:rsidRDefault="007953BC" w:rsidP="007953BC">
      <w:pPr>
        <w:autoSpaceDE w:val="0"/>
        <w:autoSpaceDN w:val="0"/>
        <w:adjustRightInd w:val="0"/>
        <w:spacing w:after="0" w:line="360" w:lineRule="auto"/>
        <w:jc w:val="both"/>
        <w:rPr>
          <w:rFonts w:ascii="Arial" w:hAnsi="Arial" w:cs="Arial"/>
          <w:sz w:val="24"/>
          <w:szCs w:val="24"/>
        </w:rPr>
      </w:pPr>
      <w:r w:rsidRPr="00F9028F">
        <w:rPr>
          <w:rFonts w:ascii="Arial" w:hAnsi="Arial" w:cs="Arial"/>
          <w:sz w:val="24"/>
          <w:szCs w:val="24"/>
        </w:rPr>
        <w:lastRenderedPageBreak/>
        <w:tab/>
        <w:t>Por lo anteriormente expuesto y fundado se:</w:t>
      </w:r>
    </w:p>
    <w:p w14:paraId="78468499" w14:textId="77777777" w:rsidR="007953BC" w:rsidRPr="00F9028F" w:rsidRDefault="007953BC" w:rsidP="007953BC">
      <w:pPr>
        <w:autoSpaceDE w:val="0"/>
        <w:autoSpaceDN w:val="0"/>
        <w:adjustRightInd w:val="0"/>
        <w:spacing w:after="0" w:line="360" w:lineRule="auto"/>
        <w:jc w:val="both"/>
        <w:rPr>
          <w:rFonts w:ascii="Arial" w:hAnsi="Arial" w:cs="Arial"/>
          <w:sz w:val="24"/>
          <w:szCs w:val="24"/>
        </w:rPr>
      </w:pPr>
    </w:p>
    <w:p w14:paraId="4459D233" w14:textId="77777777" w:rsidR="007953BC" w:rsidRPr="00F9028F" w:rsidRDefault="007953BC" w:rsidP="007953BC">
      <w:pPr>
        <w:autoSpaceDE w:val="0"/>
        <w:autoSpaceDN w:val="0"/>
        <w:adjustRightInd w:val="0"/>
        <w:spacing w:after="0" w:line="360" w:lineRule="auto"/>
        <w:jc w:val="center"/>
        <w:rPr>
          <w:rFonts w:ascii="Arial" w:hAnsi="Arial" w:cs="Arial"/>
          <w:b/>
          <w:sz w:val="24"/>
          <w:szCs w:val="24"/>
        </w:rPr>
      </w:pPr>
      <w:r w:rsidRPr="00F9028F">
        <w:rPr>
          <w:rFonts w:ascii="Arial" w:hAnsi="Arial" w:cs="Arial"/>
          <w:b/>
          <w:sz w:val="24"/>
          <w:szCs w:val="24"/>
        </w:rPr>
        <w:t>R E S U E L V E:</w:t>
      </w:r>
    </w:p>
    <w:p w14:paraId="3CC16B13" w14:textId="77777777" w:rsidR="00C6078B" w:rsidRPr="00F9028F" w:rsidRDefault="00C6078B" w:rsidP="007953BC">
      <w:pPr>
        <w:autoSpaceDE w:val="0"/>
        <w:autoSpaceDN w:val="0"/>
        <w:adjustRightInd w:val="0"/>
        <w:spacing w:after="0" w:line="360" w:lineRule="auto"/>
        <w:jc w:val="center"/>
        <w:rPr>
          <w:rFonts w:ascii="Arial" w:hAnsi="Arial" w:cs="Arial"/>
          <w:b/>
          <w:sz w:val="24"/>
          <w:szCs w:val="24"/>
        </w:rPr>
      </w:pPr>
    </w:p>
    <w:p w14:paraId="44E1C8AB" w14:textId="2ED264D4" w:rsidR="007953BC" w:rsidRPr="00F9028F" w:rsidRDefault="007953BC" w:rsidP="007953BC">
      <w:pPr>
        <w:autoSpaceDE w:val="0"/>
        <w:autoSpaceDN w:val="0"/>
        <w:adjustRightInd w:val="0"/>
        <w:spacing w:after="0" w:line="360" w:lineRule="auto"/>
        <w:jc w:val="both"/>
        <w:rPr>
          <w:rFonts w:ascii="Arial" w:hAnsi="Arial" w:cs="Arial"/>
          <w:sz w:val="24"/>
          <w:szCs w:val="24"/>
        </w:rPr>
      </w:pPr>
      <w:r w:rsidRPr="00F9028F">
        <w:rPr>
          <w:rFonts w:ascii="Arial" w:hAnsi="Arial" w:cs="Arial"/>
          <w:b/>
          <w:sz w:val="24"/>
          <w:szCs w:val="24"/>
        </w:rPr>
        <w:tab/>
        <w:t xml:space="preserve">ÚNICO. </w:t>
      </w:r>
      <w:r w:rsidRPr="00F9028F">
        <w:rPr>
          <w:rFonts w:ascii="Arial" w:hAnsi="Arial" w:cs="Arial"/>
          <w:sz w:val="24"/>
          <w:szCs w:val="24"/>
        </w:rPr>
        <w:t xml:space="preserve">Se </w:t>
      </w:r>
      <w:r w:rsidR="00517529">
        <w:rPr>
          <w:rFonts w:ascii="Arial" w:hAnsi="Arial" w:cs="Arial"/>
          <w:b/>
          <w:sz w:val="24"/>
          <w:szCs w:val="24"/>
        </w:rPr>
        <w:t>REVOCA</w:t>
      </w:r>
      <w:r w:rsidRPr="00F9028F">
        <w:rPr>
          <w:rFonts w:ascii="Arial" w:hAnsi="Arial" w:cs="Arial"/>
          <w:sz w:val="24"/>
          <w:szCs w:val="24"/>
        </w:rPr>
        <w:t xml:space="preserve"> la respuesta emitida por el sujeto obligado por las razones y fundamentos expuestos en el considerando</w:t>
      </w:r>
      <w:r w:rsidRPr="00F9028F">
        <w:rPr>
          <w:rFonts w:ascii="Arial" w:hAnsi="Arial" w:cs="Arial"/>
          <w:b/>
          <w:sz w:val="24"/>
          <w:szCs w:val="24"/>
        </w:rPr>
        <w:t xml:space="preserve"> </w:t>
      </w:r>
      <w:r w:rsidR="00517529">
        <w:rPr>
          <w:rFonts w:ascii="Arial" w:hAnsi="Arial" w:cs="Arial"/>
          <w:b/>
          <w:sz w:val="24"/>
          <w:szCs w:val="24"/>
        </w:rPr>
        <w:t>SÉPTIMO</w:t>
      </w:r>
      <w:r w:rsidRPr="00F9028F">
        <w:rPr>
          <w:rFonts w:ascii="Arial" w:hAnsi="Arial" w:cs="Arial"/>
          <w:sz w:val="24"/>
          <w:szCs w:val="24"/>
        </w:rPr>
        <w:t xml:space="preserve"> de la presente resolución.</w:t>
      </w:r>
    </w:p>
    <w:p w14:paraId="24DC0F4E" w14:textId="77777777" w:rsidR="007953BC" w:rsidRPr="00F9028F" w:rsidRDefault="007953BC" w:rsidP="007953BC">
      <w:pPr>
        <w:autoSpaceDE w:val="0"/>
        <w:autoSpaceDN w:val="0"/>
        <w:adjustRightInd w:val="0"/>
        <w:spacing w:after="0" w:line="360" w:lineRule="auto"/>
        <w:jc w:val="both"/>
        <w:rPr>
          <w:rFonts w:ascii="Arial" w:hAnsi="Arial" w:cs="Arial"/>
          <w:b/>
          <w:sz w:val="24"/>
          <w:szCs w:val="24"/>
        </w:rPr>
      </w:pPr>
    </w:p>
    <w:p w14:paraId="2943EC3E" w14:textId="29F16906" w:rsidR="007953BC" w:rsidRPr="00F9028F" w:rsidRDefault="007953BC" w:rsidP="007953BC">
      <w:pPr>
        <w:autoSpaceDE w:val="0"/>
        <w:autoSpaceDN w:val="0"/>
        <w:adjustRightInd w:val="0"/>
        <w:spacing w:after="0" w:line="360" w:lineRule="auto"/>
        <w:jc w:val="both"/>
        <w:rPr>
          <w:rFonts w:ascii="Arial" w:hAnsi="Arial" w:cs="Arial"/>
          <w:sz w:val="24"/>
          <w:szCs w:val="24"/>
        </w:rPr>
      </w:pPr>
      <w:r w:rsidRPr="00F9028F">
        <w:rPr>
          <w:rFonts w:ascii="Arial" w:hAnsi="Arial" w:cs="Arial"/>
          <w:b/>
          <w:sz w:val="24"/>
          <w:szCs w:val="24"/>
        </w:rPr>
        <w:tab/>
      </w:r>
      <w:r w:rsidRPr="00F9028F">
        <w:rPr>
          <w:rFonts w:ascii="Arial" w:hAnsi="Arial" w:cs="Arial"/>
          <w:b/>
          <w:bCs/>
          <w:sz w:val="24"/>
          <w:szCs w:val="24"/>
        </w:rPr>
        <w:t>Notifíquese</w:t>
      </w:r>
      <w:r w:rsidRPr="00F9028F">
        <w:rPr>
          <w:rFonts w:ascii="Arial" w:hAnsi="Arial" w:cs="Arial"/>
          <w:b/>
          <w:sz w:val="24"/>
          <w:szCs w:val="24"/>
        </w:rPr>
        <w:t xml:space="preserve">; </w:t>
      </w:r>
      <w:r w:rsidRPr="00F9028F">
        <w:rPr>
          <w:rFonts w:ascii="Arial" w:hAnsi="Arial" w:cs="Arial"/>
          <w:sz w:val="24"/>
          <w:szCs w:val="24"/>
        </w:rPr>
        <w:t>por oficio al Sujeto Obligado y, a</w:t>
      </w:r>
      <w:r w:rsidR="00517529">
        <w:rPr>
          <w:rFonts w:ascii="Arial" w:hAnsi="Arial" w:cs="Arial"/>
          <w:sz w:val="24"/>
          <w:szCs w:val="24"/>
        </w:rPr>
        <w:t xml:space="preserve"> </w:t>
      </w:r>
      <w:r w:rsidRPr="00F9028F">
        <w:rPr>
          <w:rFonts w:ascii="Arial" w:hAnsi="Arial" w:cs="Arial"/>
          <w:sz w:val="24"/>
          <w:szCs w:val="24"/>
        </w:rPr>
        <w:t>l</w:t>
      </w:r>
      <w:r w:rsidR="00517529">
        <w:rPr>
          <w:rFonts w:ascii="Arial" w:hAnsi="Arial" w:cs="Arial"/>
          <w:sz w:val="24"/>
          <w:szCs w:val="24"/>
        </w:rPr>
        <w:t>a</w:t>
      </w:r>
      <w:r w:rsidRPr="00F9028F">
        <w:rPr>
          <w:rFonts w:ascii="Arial" w:hAnsi="Arial" w:cs="Arial"/>
          <w:sz w:val="24"/>
          <w:szCs w:val="24"/>
        </w:rPr>
        <w:t xml:space="preserve"> recurrente por el medio que designó.</w:t>
      </w:r>
    </w:p>
    <w:p w14:paraId="58AE5BDE" w14:textId="77777777" w:rsidR="00E61CD8" w:rsidRPr="00F9028F" w:rsidRDefault="00E61CD8" w:rsidP="00C6078B">
      <w:pPr>
        <w:spacing w:after="0" w:line="360" w:lineRule="auto"/>
        <w:jc w:val="both"/>
        <w:rPr>
          <w:rFonts w:ascii="Arial" w:hAnsi="Arial" w:cs="Arial"/>
          <w:sz w:val="24"/>
          <w:szCs w:val="24"/>
        </w:rPr>
      </w:pPr>
    </w:p>
    <w:p w14:paraId="4337D307" w14:textId="509299FF" w:rsidR="00C6078B" w:rsidRPr="00F9028F" w:rsidRDefault="007953BC" w:rsidP="00C6078B">
      <w:pPr>
        <w:spacing w:after="0" w:line="360" w:lineRule="auto"/>
        <w:jc w:val="both"/>
        <w:rPr>
          <w:rFonts w:ascii="Arial" w:hAnsi="Arial" w:cs="Arial"/>
          <w:sz w:val="24"/>
        </w:rPr>
      </w:pPr>
      <w:r w:rsidRPr="00F9028F">
        <w:rPr>
          <w:rFonts w:ascii="Arial" w:hAnsi="Arial" w:cs="Arial"/>
          <w:sz w:val="24"/>
          <w:szCs w:val="24"/>
        </w:rPr>
        <w:tab/>
      </w:r>
      <w:r w:rsidR="00C6078B" w:rsidRPr="00F9028F">
        <w:rPr>
          <w:rFonts w:ascii="Arial" w:hAnsi="Arial" w:cs="Arial"/>
          <w:sz w:val="24"/>
        </w:rPr>
        <w:t xml:space="preserve">Así lo resuelve, por </w:t>
      </w:r>
      <w:r w:rsidR="00014F38" w:rsidRPr="00F9028F">
        <w:rPr>
          <w:rFonts w:ascii="Arial" w:hAnsi="Arial" w:cs="Arial"/>
          <w:sz w:val="24"/>
        </w:rPr>
        <w:t>mayoría</w:t>
      </w:r>
      <w:r w:rsidR="00C6078B" w:rsidRPr="00F9028F">
        <w:rPr>
          <w:rFonts w:ascii="Arial" w:hAnsi="Arial" w:cs="Arial"/>
          <w:sz w:val="24"/>
        </w:rPr>
        <w:t xml:space="preserve"> de votos, el Pleno de la Comisión Estatal de Garantía de Acceso a la Información Pública, conformado por los Comisionados </w:t>
      </w:r>
      <w:r w:rsidR="00014F38" w:rsidRPr="00F9028F">
        <w:rPr>
          <w:rFonts w:ascii="Arial" w:hAnsi="Arial" w:cs="Arial"/>
          <w:sz w:val="24"/>
        </w:rPr>
        <w:t xml:space="preserve">José Gerardo Navarro Alviso </w:t>
      </w:r>
      <w:r w:rsidR="00C6078B" w:rsidRPr="00F9028F">
        <w:rPr>
          <w:rFonts w:ascii="Arial" w:hAnsi="Arial" w:cs="Arial"/>
          <w:sz w:val="24"/>
        </w:rPr>
        <w:t xml:space="preserve">y Ana Cristina García Nales, siendo ponente </w:t>
      </w:r>
      <w:r w:rsidR="00014F38" w:rsidRPr="00F9028F">
        <w:rPr>
          <w:rFonts w:ascii="Arial" w:hAnsi="Arial" w:cs="Arial"/>
          <w:sz w:val="24"/>
        </w:rPr>
        <w:t xml:space="preserve">la </w:t>
      </w:r>
      <w:r w:rsidR="004039BE" w:rsidRPr="00F9028F">
        <w:rPr>
          <w:rFonts w:ascii="Arial" w:hAnsi="Arial" w:cs="Arial"/>
          <w:sz w:val="24"/>
        </w:rPr>
        <w:t xml:space="preserve">última de </w:t>
      </w:r>
      <w:r w:rsidR="00C6078B" w:rsidRPr="00F9028F">
        <w:rPr>
          <w:rFonts w:ascii="Arial" w:hAnsi="Arial" w:cs="Arial"/>
          <w:sz w:val="24"/>
        </w:rPr>
        <w:t xml:space="preserve">los nombrados, en la Sesión </w:t>
      </w:r>
      <w:r w:rsidR="00C93C38">
        <w:rPr>
          <w:rFonts w:ascii="Arial" w:hAnsi="Arial" w:cs="Arial"/>
          <w:sz w:val="24"/>
        </w:rPr>
        <w:t>Extrao</w:t>
      </w:r>
      <w:r w:rsidR="00C95B29" w:rsidRPr="00F9028F">
        <w:rPr>
          <w:rFonts w:ascii="Arial" w:hAnsi="Arial" w:cs="Arial"/>
          <w:sz w:val="24"/>
        </w:rPr>
        <w:t>rdinaria</w:t>
      </w:r>
      <w:r w:rsidR="00C6078B" w:rsidRPr="00F9028F">
        <w:rPr>
          <w:rFonts w:ascii="Arial" w:hAnsi="Arial" w:cs="Arial"/>
          <w:sz w:val="24"/>
        </w:rPr>
        <w:t xml:space="preserve"> celebrada el </w:t>
      </w:r>
      <w:r w:rsidR="00C93C38">
        <w:rPr>
          <w:rFonts w:ascii="Arial" w:hAnsi="Arial" w:cs="Arial"/>
          <w:sz w:val="24"/>
        </w:rPr>
        <w:t>veintisiete de mayo</w:t>
      </w:r>
      <w:r w:rsidR="00082A6A">
        <w:rPr>
          <w:rFonts w:ascii="Arial" w:hAnsi="Arial" w:cs="Arial"/>
          <w:sz w:val="24"/>
        </w:rPr>
        <w:t xml:space="preserve"> de dos mil veintiséis</w:t>
      </w:r>
      <w:r w:rsidR="00C6078B" w:rsidRPr="00F9028F">
        <w:rPr>
          <w:rFonts w:ascii="Arial" w:hAnsi="Arial" w:cs="Arial"/>
          <w:sz w:val="24"/>
        </w:rPr>
        <w:t xml:space="preserve">, </w:t>
      </w:r>
      <w:r w:rsidR="00BF2D73">
        <w:rPr>
          <w:rFonts w:ascii="Arial" w:hAnsi="Arial" w:cs="Arial"/>
          <w:sz w:val="24"/>
        </w:rPr>
        <w:t xml:space="preserve">asistidos de la </w:t>
      </w:r>
      <w:r w:rsidR="00C6078B" w:rsidRPr="00F9028F">
        <w:rPr>
          <w:rFonts w:ascii="Arial" w:hAnsi="Arial" w:cs="Arial"/>
          <w:sz w:val="24"/>
        </w:rPr>
        <w:t>Secretaria de Pleno,</w:t>
      </w:r>
      <w:r w:rsidR="00C95B29" w:rsidRPr="00F9028F">
        <w:rPr>
          <w:rFonts w:ascii="Arial" w:hAnsi="Arial" w:cs="Arial"/>
          <w:sz w:val="24"/>
        </w:rPr>
        <w:t xml:space="preserve"> Rosa María Motilla García, quién da fé. </w:t>
      </w:r>
      <w:r w:rsidR="00C6078B" w:rsidRPr="00F9028F">
        <w:rPr>
          <w:rFonts w:ascii="Arial" w:hAnsi="Arial" w:cs="Arial"/>
          <w:sz w:val="24"/>
        </w:rPr>
        <w:t xml:space="preserve"> </w:t>
      </w:r>
    </w:p>
    <w:tbl>
      <w:tblPr>
        <w:tblStyle w:val="Tablaconcuadrcula"/>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1"/>
        <w:gridCol w:w="4272"/>
      </w:tblGrid>
      <w:tr w:rsidR="00F9028F" w:rsidRPr="00F9028F" w14:paraId="0580F876" w14:textId="77777777" w:rsidTr="002975F8">
        <w:tc>
          <w:tcPr>
            <w:tcW w:w="4561" w:type="dxa"/>
          </w:tcPr>
          <w:p w14:paraId="255DEEBC" w14:textId="701B86C0" w:rsidR="002975F8" w:rsidRPr="00F9028F" w:rsidRDefault="002975F8" w:rsidP="002975F8">
            <w:pPr>
              <w:jc w:val="center"/>
              <w:rPr>
                <w:rFonts w:ascii="Arial" w:hAnsi="Arial" w:cs="Arial"/>
                <w:b/>
                <w:sz w:val="24"/>
              </w:rPr>
            </w:pPr>
            <w:r w:rsidRPr="00F9028F">
              <w:rPr>
                <w:rFonts w:ascii="Arial" w:hAnsi="Arial" w:cs="Arial"/>
                <w:b/>
                <w:sz w:val="24"/>
              </w:rPr>
              <w:t>COMISIONADO PRESIDENTE</w:t>
            </w:r>
          </w:p>
          <w:p w14:paraId="1F9C667C" w14:textId="77777777" w:rsidR="002975F8" w:rsidRPr="00F9028F" w:rsidRDefault="002975F8" w:rsidP="002975F8">
            <w:pPr>
              <w:jc w:val="center"/>
              <w:rPr>
                <w:rFonts w:ascii="Arial" w:hAnsi="Arial" w:cs="Arial"/>
                <w:b/>
                <w:sz w:val="24"/>
              </w:rPr>
            </w:pPr>
          </w:p>
          <w:p w14:paraId="4E1461C3" w14:textId="36476A8C" w:rsidR="002975F8" w:rsidRPr="00F9028F" w:rsidRDefault="002975F8" w:rsidP="002975F8">
            <w:pPr>
              <w:ind w:left="360"/>
              <w:jc w:val="center"/>
              <w:rPr>
                <w:rFonts w:ascii="Arial" w:hAnsi="Arial" w:cs="Arial"/>
                <w:b/>
                <w:sz w:val="24"/>
              </w:rPr>
            </w:pPr>
          </w:p>
          <w:p w14:paraId="6CCF3F9E" w14:textId="073579E4" w:rsidR="002975F8" w:rsidRPr="00F9028F" w:rsidRDefault="002975F8" w:rsidP="002975F8">
            <w:pPr>
              <w:ind w:left="360"/>
              <w:jc w:val="center"/>
              <w:rPr>
                <w:rFonts w:ascii="Arial" w:hAnsi="Arial" w:cs="Arial"/>
                <w:b/>
                <w:sz w:val="24"/>
              </w:rPr>
            </w:pPr>
          </w:p>
          <w:p w14:paraId="2991E0B8" w14:textId="77777777" w:rsidR="002975F8" w:rsidRPr="00F9028F" w:rsidRDefault="002975F8" w:rsidP="002975F8">
            <w:pPr>
              <w:ind w:left="360"/>
              <w:jc w:val="center"/>
              <w:rPr>
                <w:rFonts w:ascii="Arial" w:hAnsi="Arial" w:cs="Arial"/>
                <w:b/>
                <w:sz w:val="24"/>
              </w:rPr>
            </w:pPr>
          </w:p>
          <w:p w14:paraId="7EF750F3" w14:textId="77777777" w:rsidR="002975F8" w:rsidRPr="00F9028F" w:rsidRDefault="002975F8" w:rsidP="002975F8">
            <w:pPr>
              <w:ind w:left="360"/>
              <w:jc w:val="center"/>
              <w:rPr>
                <w:rFonts w:ascii="Arial" w:hAnsi="Arial" w:cs="Arial"/>
                <w:b/>
                <w:sz w:val="24"/>
              </w:rPr>
            </w:pPr>
          </w:p>
          <w:p w14:paraId="5CE9AAC3" w14:textId="70E975AE" w:rsidR="002975F8" w:rsidRPr="00F9028F" w:rsidRDefault="002975F8" w:rsidP="002975F8">
            <w:pPr>
              <w:spacing w:line="360" w:lineRule="auto"/>
              <w:jc w:val="center"/>
              <w:rPr>
                <w:rFonts w:ascii="Arial" w:hAnsi="Arial" w:cs="Arial"/>
                <w:sz w:val="24"/>
              </w:rPr>
            </w:pPr>
            <w:r w:rsidRPr="00F9028F">
              <w:rPr>
                <w:rFonts w:ascii="Arial" w:hAnsi="Arial" w:cs="Arial"/>
                <w:b/>
                <w:sz w:val="24"/>
              </w:rPr>
              <w:t>JOSÉ GERARDO NAVARRO ALVISO</w:t>
            </w:r>
          </w:p>
        </w:tc>
        <w:tc>
          <w:tcPr>
            <w:tcW w:w="4272" w:type="dxa"/>
          </w:tcPr>
          <w:p w14:paraId="44ED00EF" w14:textId="20F9A310" w:rsidR="002975F8" w:rsidRPr="00F9028F" w:rsidRDefault="002975F8" w:rsidP="002975F8">
            <w:pPr>
              <w:jc w:val="center"/>
              <w:rPr>
                <w:rFonts w:ascii="Arial" w:hAnsi="Arial" w:cs="Arial"/>
                <w:b/>
                <w:sz w:val="24"/>
              </w:rPr>
            </w:pPr>
            <w:r w:rsidRPr="00F9028F">
              <w:rPr>
                <w:rFonts w:ascii="Arial" w:hAnsi="Arial" w:cs="Arial"/>
                <w:b/>
                <w:sz w:val="24"/>
              </w:rPr>
              <w:t>COMISIONADA</w:t>
            </w:r>
          </w:p>
          <w:p w14:paraId="5349B6F3" w14:textId="77777777" w:rsidR="002975F8" w:rsidRPr="00F9028F" w:rsidRDefault="002975F8" w:rsidP="002975F8">
            <w:pPr>
              <w:jc w:val="center"/>
              <w:rPr>
                <w:rFonts w:ascii="Arial" w:hAnsi="Arial" w:cs="Arial"/>
                <w:b/>
                <w:sz w:val="24"/>
              </w:rPr>
            </w:pPr>
          </w:p>
          <w:p w14:paraId="4DFC7838" w14:textId="77777777" w:rsidR="002975F8" w:rsidRPr="00F9028F" w:rsidRDefault="002975F8" w:rsidP="002975F8">
            <w:pPr>
              <w:jc w:val="center"/>
              <w:rPr>
                <w:rFonts w:ascii="Arial" w:hAnsi="Arial" w:cs="Arial"/>
                <w:b/>
                <w:sz w:val="24"/>
              </w:rPr>
            </w:pPr>
          </w:p>
          <w:p w14:paraId="699CE46B" w14:textId="1D5310A3" w:rsidR="002975F8" w:rsidRPr="00F9028F" w:rsidRDefault="002975F8" w:rsidP="002975F8">
            <w:pPr>
              <w:jc w:val="center"/>
              <w:rPr>
                <w:rFonts w:ascii="Arial" w:hAnsi="Arial" w:cs="Arial"/>
                <w:b/>
                <w:sz w:val="24"/>
              </w:rPr>
            </w:pPr>
          </w:p>
          <w:p w14:paraId="16B20047" w14:textId="77777777" w:rsidR="002975F8" w:rsidRPr="00F9028F" w:rsidRDefault="002975F8" w:rsidP="002975F8">
            <w:pPr>
              <w:jc w:val="center"/>
              <w:rPr>
                <w:rFonts w:ascii="Arial" w:hAnsi="Arial" w:cs="Arial"/>
                <w:b/>
                <w:sz w:val="24"/>
              </w:rPr>
            </w:pPr>
          </w:p>
          <w:p w14:paraId="17B35C8D" w14:textId="77777777" w:rsidR="002975F8" w:rsidRPr="00F9028F" w:rsidRDefault="002975F8" w:rsidP="002975F8">
            <w:pPr>
              <w:jc w:val="center"/>
              <w:rPr>
                <w:rFonts w:ascii="Arial" w:hAnsi="Arial" w:cs="Arial"/>
                <w:b/>
                <w:sz w:val="24"/>
              </w:rPr>
            </w:pPr>
          </w:p>
          <w:p w14:paraId="0B48DE33" w14:textId="42F3C22D" w:rsidR="002975F8" w:rsidRPr="00F9028F" w:rsidRDefault="002975F8" w:rsidP="002975F8">
            <w:pPr>
              <w:spacing w:line="360" w:lineRule="auto"/>
              <w:jc w:val="center"/>
              <w:rPr>
                <w:rFonts w:ascii="Arial" w:hAnsi="Arial" w:cs="Arial"/>
                <w:sz w:val="24"/>
              </w:rPr>
            </w:pPr>
            <w:r w:rsidRPr="00F9028F">
              <w:rPr>
                <w:rFonts w:ascii="Arial" w:hAnsi="Arial" w:cs="Arial"/>
                <w:b/>
                <w:sz w:val="24"/>
              </w:rPr>
              <w:t>ANA CRISTINA GARCÍA NALES</w:t>
            </w:r>
          </w:p>
        </w:tc>
      </w:tr>
      <w:tr w:rsidR="00F9028F" w:rsidRPr="00F9028F" w14:paraId="2AE6CA9E" w14:textId="77777777" w:rsidTr="002975F8">
        <w:trPr>
          <w:trHeight w:val="1791"/>
        </w:trPr>
        <w:tc>
          <w:tcPr>
            <w:tcW w:w="8833" w:type="dxa"/>
            <w:gridSpan w:val="2"/>
          </w:tcPr>
          <w:p w14:paraId="0FCC0F1E" w14:textId="77777777" w:rsidR="002975F8" w:rsidRPr="00F9028F" w:rsidRDefault="002975F8" w:rsidP="002975F8">
            <w:pPr>
              <w:ind w:left="360" w:firstLine="2"/>
              <w:rPr>
                <w:rFonts w:ascii="Arial" w:hAnsi="Arial" w:cs="Arial"/>
                <w:b/>
                <w:sz w:val="24"/>
              </w:rPr>
            </w:pPr>
            <w:r w:rsidRPr="00F9028F">
              <w:rPr>
                <w:rFonts w:ascii="Arial" w:hAnsi="Arial" w:cs="Arial"/>
                <w:b/>
                <w:sz w:val="24"/>
              </w:rPr>
              <w:t xml:space="preserve">                                    </w:t>
            </w:r>
          </w:p>
          <w:p w14:paraId="6332911B" w14:textId="003A659D" w:rsidR="002975F8" w:rsidRPr="00F9028F" w:rsidRDefault="002975F8" w:rsidP="002975F8">
            <w:pPr>
              <w:ind w:left="360" w:firstLine="2"/>
              <w:rPr>
                <w:rFonts w:ascii="Arial" w:hAnsi="Arial" w:cs="Arial"/>
                <w:b/>
                <w:sz w:val="24"/>
              </w:rPr>
            </w:pPr>
            <w:r w:rsidRPr="00F9028F">
              <w:rPr>
                <w:rFonts w:ascii="Arial" w:hAnsi="Arial" w:cs="Arial"/>
                <w:b/>
                <w:sz w:val="24"/>
              </w:rPr>
              <w:t xml:space="preserve">                                   SECRETARIA DE PLENO</w:t>
            </w:r>
          </w:p>
          <w:p w14:paraId="25F5B6FD" w14:textId="77777777" w:rsidR="002975F8" w:rsidRPr="00F9028F" w:rsidRDefault="002975F8" w:rsidP="002975F8">
            <w:pPr>
              <w:jc w:val="center"/>
              <w:rPr>
                <w:rFonts w:ascii="Arial" w:hAnsi="Arial" w:cs="Arial"/>
                <w:b/>
                <w:sz w:val="24"/>
              </w:rPr>
            </w:pPr>
          </w:p>
          <w:p w14:paraId="5E79DD40" w14:textId="21C2F9E2" w:rsidR="002975F8" w:rsidRPr="00F9028F" w:rsidRDefault="002975F8" w:rsidP="002975F8">
            <w:pPr>
              <w:jc w:val="center"/>
              <w:rPr>
                <w:rFonts w:ascii="Arial" w:hAnsi="Arial" w:cs="Arial"/>
                <w:b/>
                <w:sz w:val="24"/>
              </w:rPr>
            </w:pPr>
          </w:p>
          <w:p w14:paraId="4FF90D2C" w14:textId="77777777" w:rsidR="002975F8" w:rsidRPr="00F9028F" w:rsidRDefault="002975F8" w:rsidP="002975F8">
            <w:pPr>
              <w:jc w:val="center"/>
              <w:rPr>
                <w:rFonts w:ascii="Arial" w:hAnsi="Arial" w:cs="Arial"/>
                <w:b/>
                <w:sz w:val="24"/>
              </w:rPr>
            </w:pPr>
          </w:p>
          <w:p w14:paraId="0429DC2F" w14:textId="77777777" w:rsidR="002975F8" w:rsidRPr="00F9028F" w:rsidRDefault="002975F8" w:rsidP="002975F8">
            <w:pPr>
              <w:jc w:val="center"/>
              <w:rPr>
                <w:rFonts w:ascii="Arial" w:hAnsi="Arial" w:cs="Arial"/>
                <w:b/>
                <w:sz w:val="24"/>
              </w:rPr>
            </w:pPr>
          </w:p>
          <w:p w14:paraId="0B071CC1" w14:textId="18D24C7B" w:rsidR="002975F8" w:rsidRPr="00F9028F" w:rsidRDefault="002975F8" w:rsidP="002975F8">
            <w:pPr>
              <w:spacing w:line="360" w:lineRule="auto"/>
              <w:jc w:val="center"/>
              <w:rPr>
                <w:rFonts w:ascii="Arial" w:hAnsi="Arial" w:cs="Arial"/>
                <w:sz w:val="24"/>
              </w:rPr>
            </w:pPr>
            <w:r w:rsidRPr="00F9028F">
              <w:rPr>
                <w:rFonts w:ascii="Arial" w:hAnsi="Arial" w:cs="Arial"/>
                <w:b/>
                <w:sz w:val="24"/>
              </w:rPr>
              <w:t>ROSA MARÍA MOTILLA GARCÍA</w:t>
            </w:r>
          </w:p>
        </w:tc>
      </w:tr>
    </w:tbl>
    <w:p w14:paraId="1824BE0D" w14:textId="11338B81" w:rsidR="00BF2D73" w:rsidRDefault="00BF2D73" w:rsidP="00C6078B">
      <w:pPr>
        <w:spacing w:after="240" w:line="240" w:lineRule="auto"/>
        <w:jc w:val="both"/>
        <w:rPr>
          <w:rFonts w:ascii="Arial" w:hAnsi="Arial" w:cs="Arial"/>
          <w:sz w:val="16"/>
          <w:szCs w:val="16"/>
        </w:rPr>
      </w:pPr>
      <w:r>
        <w:rPr>
          <w:rFonts w:ascii="Arial" w:hAnsi="Arial" w:cs="Arial"/>
          <w:sz w:val="16"/>
          <w:szCs w:val="16"/>
        </w:rPr>
        <w:t>La suscrita s</w:t>
      </w:r>
      <w:r w:rsidRPr="00BF2D73">
        <w:rPr>
          <w:rFonts w:ascii="Arial" w:hAnsi="Arial" w:cs="Arial"/>
          <w:sz w:val="16"/>
          <w:szCs w:val="16"/>
        </w:rPr>
        <w:t xml:space="preserve">ecretaria certifica que la presente foja pertenece a la parte final </w:t>
      </w:r>
      <w:r>
        <w:rPr>
          <w:rFonts w:ascii="Arial" w:hAnsi="Arial" w:cs="Arial"/>
          <w:sz w:val="16"/>
          <w:szCs w:val="16"/>
        </w:rPr>
        <w:t xml:space="preserve">de la sentencia que se dictó </w:t>
      </w:r>
      <w:r w:rsidRPr="00F9028F">
        <w:rPr>
          <w:rFonts w:ascii="Arial" w:hAnsi="Arial" w:cs="Arial"/>
          <w:sz w:val="16"/>
          <w:szCs w:val="16"/>
        </w:rPr>
        <w:t xml:space="preserve">en </w:t>
      </w:r>
      <w:r>
        <w:rPr>
          <w:rFonts w:ascii="Arial" w:hAnsi="Arial" w:cs="Arial"/>
          <w:sz w:val="16"/>
          <w:szCs w:val="16"/>
        </w:rPr>
        <w:t xml:space="preserve">sesión </w:t>
      </w:r>
      <w:r w:rsidR="00C93C38">
        <w:rPr>
          <w:rFonts w:ascii="Arial" w:hAnsi="Arial" w:cs="Arial"/>
          <w:sz w:val="16"/>
          <w:szCs w:val="16"/>
        </w:rPr>
        <w:t>extra</w:t>
      </w:r>
      <w:r>
        <w:rPr>
          <w:rFonts w:ascii="Arial" w:hAnsi="Arial" w:cs="Arial"/>
          <w:sz w:val="16"/>
          <w:szCs w:val="16"/>
        </w:rPr>
        <w:t>o</w:t>
      </w:r>
      <w:r w:rsidRPr="00F9028F">
        <w:rPr>
          <w:rFonts w:ascii="Arial" w:hAnsi="Arial" w:cs="Arial"/>
          <w:sz w:val="16"/>
          <w:szCs w:val="16"/>
        </w:rPr>
        <w:t xml:space="preserve">rdinaria </w:t>
      </w:r>
      <w:r w:rsidR="00370A64">
        <w:rPr>
          <w:rFonts w:ascii="Arial" w:hAnsi="Arial" w:cs="Arial"/>
          <w:sz w:val="16"/>
          <w:szCs w:val="16"/>
        </w:rPr>
        <w:t>de</w:t>
      </w:r>
      <w:r w:rsidR="00517529">
        <w:rPr>
          <w:rFonts w:ascii="Arial" w:hAnsi="Arial" w:cs="Arial"/>
          <w:sz w:val="16"/>
          <w:szCs w:val="16"/>
        </w:rPr>
        <w:t xml:space="preserve"> </w:t>
      </w:r>
      <w:r w:rsidR="00C93C38">
        <w:rPr>
          <w:rFonts w:ascii="Arial" w:hAnsi="Arial" w:cs="Arial"/>
          <w:sz w:val="16"/>
          <w:szCs w:val="16"/>
        </w:rPr>
        <w:t>veintisiete de mayo</w:t>
      </w:r>
      <w:r w:rsidR="00082A6A">
        <w:rPr>
          <w:rFonts w:ascii="Arial" w:hAnsi="Arial" w:cs="Arial"/>
          <w:sz w:val="16"/>
          <w:szCs w:val="16"/>
        </w:rPr>
        <w:t xml:space="preserve"> de dos mil veintiséis</w:t>
      </w:r>
      <w:r w:rsidR="00517529">
        <w:rPr>
          <w:rFonts w:ascii="Arial" w:hAnsi="Arial" w:cs="Arial"/>
          <w:sz w:val="16"/>
          <w:szCs w:val="16"/>
        </w:rPr>
        <w:t xml:space="preserve">, en el recurso de revisión </w:t>
      </w:r>
      <w:r w:rsidR="00082A6A">
        <w:rPr>
          <w:rFonts w:ascii="Arial" w:hAnsi="Arial" w:cs="Arial"/>
          <w:sz w:val="16"/>
          <w:szCs w:val="16"/>
        </w:rPr>
        <w:t>218</w:t>
      </w:r>
      <w:r>
        <w:rPr>
          <w:rFonts w:ascii="Arial" w:hAnsi="Arial" w:cs="Arial"/>
          <w:sz w:val="16"/>
          <w:szCs w:val="16"/>
        </w:rPr>
        <w:t>/202</w:t>
      </w:r>
      <w:r w:rsidR="00082A6A">
        <w:rPr>
          <w:rFonts w:ascii="Arial" w:hAnsi="Arial" w:cs="Arial"/>
          <w:sz w:val="16"/>
          <w:szCs w:val="16"/>
        </w:rPr>
        <w:t>6</w:t>
      </w:r>
      <w:r>
        <w:rPr>
          <w:rFonts w:ascii="Arial" w:hAnsi="Arial" w:cs="Arial"/>
          <w:sz w:val="16"/>
          <w:szCs w:val="16"/>
        </w:rPr>
        <w:t>-3.</w:t>
      </w:r>
    </w:p>
    <w:p w14:paraId="6B444C55" w14:textId="04A0D98A" w:rsidR="00D80FE3" w:rsidRDefault="00D80FE3" w:rsidP="00C6078B">
      <w:pPr>
        <w:spacing w:after="240" w:line="240" w:lineRule="auto"/>
        <w:jc w:val="both"/>
        <w:rPr>
          <w:rFonts w:ascii="Arial" w:hAnsi="Arial" w:cs="Arial"/>
          <w:sz w:val="16"/>
          <w:szCs w:val="16"/>
        </w:rPr>
      </w:pPr>
      <w:bookmarkStart w:id="5" w:name="_GoBack"/>
      <w:bookmarkEnd w:id="5"/>
    </w:p>
    <w:sectPr w:rsidR="00D80FE3" w:rsidSect="00E5183B">
      <w:headerReference w:type="default" r:id="rId9"/>
      <w:pgSz w:w="12240" w:h="20160" w:code="5"/>
      <w:pgMar w:top="2948" w:right="1418" w:bottom="2835"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EC37A" w14:textId="77777777" w:rsidR="00683239" w:rsidRDefault="00683239" w:rsidP="00BB58C4">
      <w:pPr>
        <w:spacing w:after="0" w:line="240" w:lineRule="auto"/>
      </w:pPr>
      <w:r>
        <w:separator/>
      </w:r>
    </w:p>
  </w:endnote>
  <w:endnote w:type="continuationSeparator" w:id="0">
    <w:p w14:paraId="2E8EA38D" w14:textId="77777777" w:rsidR="00683239" w:rsidRDefault="00683239" w:rsidP="00BB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56AC3" w14:textId="77777777" w:rsidR="00683239" w:rsidRDefault="00683239" w:rsidP="00BB58C4">
      <w:pPr>
        <w:spacing w:after="0" w:line="240" w:lineRule="auto"/>
      </w:pPr>
      <w:r>
        <w:separator/>
      </w:r>
    </w:p>
  </w:footnote>
  <w:footnote w:type="continuationSeparator" w:id="0">
    <w:p w14:paraId="22C0B004" w14:textId="77777777" w:rsidR="00683239" w:rsidRDefault="00683239" w:rsidP="00BB58C4">
      <w:pPr>
        <w:spacing w:after="0" w:line="240" w:lineRule="auto"/>
      </w:pPr>
      <w:r>
        <w:continuationSeparator/>
      </w:r>
    </w:p>
  </w:footnote>
  <w:footnote w:id="1">
    <w:p w14:paraId="3B2F2767" w14:textId="77777777" w:rsidR="00A67D59" w:rsidRPr="004D5327" w:rsidRDefault="00A67D59" w:rsidP="001233DD">
      <w:pPr>
        <w:jc w:val="both"/>
        <w:rPr>
          <w:rFonts w:ascii="Arial" w:hAnsi="Arial" w:cs="Arial"/>
          <w:sz w:val="14"/>
          <w:szCs w:val="14"/>
        </w:rPr>
      </w:pPr>
      <w:r w:rsidRPr="004D5327">
        <w:rPr>
          <w:rStyle w:val="Refdenotaalpie"/>
          <w:rFonts w:ascii="Arial" w:hAnsi="Arial" w:cs="Arial"/>
          <w:sz w:val="14"/>
          <w:szCs w:val="14"/>
        </w:rPr>
        <w:footnoteRef/>
      </w:r>
      <w:r w:rsidRPr="004D5327">
        <w:rPr>
          <w:rFonts w:ascii="Arial" w:hAnsi="Arial" w:cs="Arial"/>
          <w:sz w:val="14"/>
          <w:szCs w:val="14"/>
        </w:rPr>
        <w:t xml:space="preserve"> Cfr. Jurisprudencia número VI.2o. J/323, visible en la Octava Época, de la Gaceta del Semanario Judicial de la Federación, Núm. 80, Agosto de 1994, p. 87. Instancia: Tribunales Colegiados de Circuito, con Registro electrónico: 210784, </w:t>
      </w:r>
    </w:p>
  </w:footnote>
  <w:footnote w:id="2">
    <w:p w14:paraId="122ED074" w14:textId="77777777" w:rsidR="00A67D59" w:rsidRPr="004D5327" w:rsidRDefault="00A67D59" w:rsidP="00E27C8B">
      <w:pPr>
        <w:spacing w:after="0" w:line="240" w:lineRule="auto"/>
        <w:jc w:val="both"/>
        <w:rPr>
          <w:rFonts w:ascii="Arial" w:eastAsia="Arial Unicode MS" w:hAnsi="Arial" w:cs="Arial"/>
          <w:bCs/>
          <w:sz w:val="14"/>
          <w:szCs w:val="14"/>
          <w:lang w:eastAsia="es-ES"/>
        </w:rPr>
      </w:pPr>
      <w:r w:rsidRPr="004D5327">
        <w:rPr>
          <w:rStyle w:val="Refdenotaalpie"/>
          <w:rFonts w:ascii="Arial" w:hAnsi="Arial" w:cs="Arial"/>
          <w:sz w:val="14"/>
          <w:szCs w:val="14"/>
        </w:rPr>
        <w:footnoteRef/>
      </w:r>
      <w:r w:rsidRPr="004D5327">
        <w:rPr>
          <w:rFonts w:ascii="Arial" w:hAnsi="Arial" w:cs="Arial"/>
          <w:sz w:val="14"/>
          <w:szCs w:val="14"/>
        </w:rPr>
        <w:t xml:space="preserve"> </w:t>
      </w:r>
      <w:r w:rsidRPr="004D5327">
        <w:rPr>
          <w:rFonts w:ascii="Arial" w:eastAsia="Arial Unicode MS" w:hAnsi="Arial" w:cs="Arial"/>
          <w:bCs/>
          <w:sz w:val="14"/>
          <w:szCs w:val="14"/>
          <w:lang w:eastAsia="es-ES"/>
        </w:rPr>
        <w:t xml:space="preserve">El Diccionario Jurídico Mexicano del Instituto de Investigaciones Jurídicas, Editorial Porrúa, Octava Edición, México 1995, página 2637, en relación con el sobreseimiento señala: </w:t>
      </w:r>
      <w:r w:rsidRPr="004D5327">
        <w:rPr>
          <w:rFonts w:ascii="Arial" w:eastAsia="Arial Unicode MS" w:hAnsi="Arial" w:cs="Arial"/>
          <w:bCs/>
          <w:i/>
          <w:iCs/>
          <w:sz w:val="14"/>
          <w:szCs w:val="14"/>
          <w:lang w:eastAsia="es-ES"/>
        </w:rPr>
        <w:t>"Sobreseimiento. I. (Del latín supercedere; cesar, desistir)</w:t>
      </w:r>
      <w:r w:rsidRPr="004D5327">
        <w:rPr>
          <w:rFonts w:ascii="Arial" w:eastAsia="Arial Unicode MS" w:hAnsi="Arial" w:cs="Arial"/>
          <w:bCs/>
          <w:sz w:val="14"/>
          <w:szCs w:val="14"/>
          <w:lang w:eastAsia="es-ES"/>
        </w:rPr>
        <w:t>.</w:t>
      </w:r>
      <w:r w:rsidRPr="004D5327">
        <w:rPr>
          <w:rFonts w:ascii="Arial" w:eastAsia="Arial Unicode MS" w:hAnsi="Arial" w:cs="Arial"/>
          <w:bCs/>
          <w:sz w:val="16"/>
          <w:szCs w:val="16"/>
          <w:lang w:eastAsia="es-ES"/>
        </w:rPr>
        <w:t xml:space="preserve"> </w:t>
      </w:r>
      <w:r w:rsidRPr="004D5327">
        <w:rPr>
          <w:rFonts w:ascii="Arial" w:eastAsia="Arial Unicode MS" w:hAnsi="Arial" w:cs="Arial"/>
          <w:bCs/>
          <w:sz w:val="14"/>
          <w:szCs w:val="14"/>
          <w:lang w:eastAsia="es-ES"/>
        </w:rPr>
        <w:t>Es la resolución judicial por la cual se declara que existe un obstáculo jurídico o de hecho que impide la decisión sobre el fondo de la controversia".</w:t>
      </w:r>
    </w:p>
  </w:footnote>
  <w:footnote w:id="3">
    <w:p w14:paraId="426819AC" w14:textId="46D4B946" w:rsidR="00A67D59" w:rsidRPr="008F31D9" w:rsidRDefault="00A67D59" w:rsidP="008F31D9">
      <w:pPr>
        <w:pStyle w:val="Estilo"/>
        <w:rPr>
          <w:sz w:val="16"/>
          <w:szCs w:val="16"/>
        </w:rPr>
      </w:pPr>
      <w:r w:rsidRPr="008F31D9">
        <w:rPr>
          <w:rStyle w:val="Refdenotaalpie"/>
          <w:sz w:val="16"/>
          <w:szCs w:val="16"/>
        </w:rPr>
        <w:footnoteRef/>
      </w:r>
      <w:r w:rsidRPr="008F31D9">
        <w:rPr>
          <w:sz w:val="16"/>
          <w:szCs w:val="16"/>
        </w:rPr>
        <w:t xml:space="preserve"> </w:t>
      </w:r>
      <w:r>
        <w:rPr>
          <w:sz w:val="16"/>
          <w:szCs w:val="16"/>
        </w:rPr>
        <w:t>“</w:t>
      </w:r>
      <w:r w:rsidRPr="008F31D9">
        <w:rPr>
          <w:sz w:val="16"/>
          <w:szCs w:val="16"/>
        </w:rPr>
        <w:t>ARTÍCULO 154. La respuesta a la solicitud deberá ser notificada al interesado en el menor tiempo posible, que no podrá exceder de diez días, contados a partir del día siguiente a la presentación de aquélla.</w:t>
      </w:r>
    </w:p>
    <w:p w14:paraId="5B006C94" w14:textId="422B9539" w:rsidR="00A67D59" w:rsidRPr="008F31D9" w:rsidRDefault="00A67D59" w:rsidP="008F31D9">
      <w:pPr>
        <w:pStyle w:val="Estilo"/>
        <w:rPr>
          <w:sz w:val="16"/>
          <w:szCs w:val="16"/>
        </w:rPr>
      </w:pPr>
      <w:r w:rsidRPr="008F31D9">
        <w:rPr>
          <w:sz w:val="16"/>
          <w:szCs w:val="16"/>
        </w:rPr>
        <w:t>Excepcionalmente, el plazo referido en el párrafo anterior podrá ampliarse hasta por diez días más, siempre y cuando existan razones fundadas y motivadas, las cuales deberán ser aprobadas por el Comité de Transparencia, mediante la emisión de una resolución que deberá notificarse al solicitante, antes de su vencimiento.</w:t>
      </w:r>
    </w:p>
    <w:p w14:paraId="108FEBA0" w14:textId="5F0C5600" w:rsidR="00A67D59" w:rsidRPr="003F24F4" w:rsidRDefault="00A67D59" w:rsidP="008F31D9">
      <w:pPr>
        <w:pStyle w:val="Estilo"/>
        <w:rPr>
          <w:sz w:val="16"/>
          <w:szCs w:val="16"/>
        </w:rPr>
      </w:pPr>
      <w:r w:rsidRPr="008F31D9">
        <w:rPr>
          <w:sz w:val="16"/>
          <w:szCs w:val="16"/>
        </w:rPr>
        <w:t>Los sujetos obligados, al otorgar respuesta a una solicitud de acceso a la información, con independencia de su sentido, harán del conocimiento del solicitante sobre el medio de defensa que le asiste para inconformarse, así como el plazo para su interposición, conforme a lo establecido por esta Ley</w:t>
      </w:r>
      <w:r>
        <w:rPr>
          <w:sz w:val="16"/>
          <w:szCs w:val="16"/>
        </w:rPr>
        <w:t>”</w:t>
      </w:r>
      <w:r w:rsidRPr="008F31D9">
        <w:rPr>
          <w:sz w:val="16"/>
          <w:szCs w:val="16"/>
        </w:rPr>
        <w:t>.</w:t>
      </w:r>
      <w:r w:rsidRPr="003F24F4">
        <w:rPr>
          <w:sz w:val="16"/>
          <w:szCs w:val="16"/>
        </w:rPr>
        <w:t xml:space="preserve"> </w:t>
      </w:r>
      <w:r>
        <w:rPr>
          <w:sz w:val="16"/>
          <w:szCs w:val="16"/>
        </w:rPr>
        <w:t>Artículo 154 de la Ley de Transparencia y Acceso a la Información Pública del Estado de San Luis Potosí.</w:t>
      </w:r>
    </w:p>
  </w:footnote>
  <w:footnote w:id="4">
    <w:p w14:paraId="2B30550D" w14:textId="1D95D294" w:rsidR="00A67D59" w:rsidRPr="003F24F4" w:rsidRDefault="00A67D59" w:rsidP="003F24F4">
      <w:pPr>
        <w:pStyle w:val="Estilo"/>
        <w:rPr>
          <w:sz w:val="16"/>
          <w:szCs w:val="16"/>
        </w:rPr>
      </w:pPr>
      <w:r w:rsidRPr="003F24F4">
        <w:rPr>
          <w:rStyle w:val="Refdenotaalpie"/>
          <w:sz w:val="16"/>
          <w:szCs w:val="16"/>
        </w:rPr>
        <w:footnoteRef/>
      </w:r>
      <w:r w:rsidRPr="003F24F4">
        <w:rPr>
          <w:sz w:val="16"/>
          <w:szCs w:val="16"/>
        </w:rPr>
        <w:t xml:space="preserve"> </w:t>
      </w:r>
      <w:r>
        <w:rPr>
          <w:sz w:val="16"/>
          <w:szCs w:val="16"/>
        </w:rPr>
        <w:t>“</w:t>
      </w:r>
      <w:r w:rsidRPr="003F24F4">
        <w:rPr>
          <w:sz w:val="16"/>
          <w:szCs w:val="16"/>
        </w:rPr>
        <w:t>ARTÍCULO 54. Los sujetos obligados designarán al responsable de la Unidad de Transparencia que tendrá las siguientes funciones:</w:t>
      </w:r>
      <w:r>
        <w:rPr>
          <w:sz w:val="16"/>
          <w:szCs w:val="16"/>
        </w:rPr>
        <w:t>[…]</w:t>
      </w:r>
    </w:p>
    <w:p w14:paraId="03E07DBB" w14:textId="086E7957" w:rsidR="00A67D59" w:rsidRPr="003F24F4" w:rsidRDefault="00A67D59" w:rsidP="003F24F4">
      <w:pPr>
        <w:pStyle w:val="Estilo"/>
        <w:rPr>
          <w:sz w:val="16"/>
          <w:szCs w:val="16"/>
        </w:rPr>
      </w:pPr>
      <w:r w:rsidRPr="003F24F4">
        <w:rPr>
          <w:sz w:val="16"/>
          <w:szCs w:val="16"/>
        </w:rPr>
        <w:t>IV. Realizar los trámites internos necesarios para la atención de las solicitudes de acceso a la información;</w:t>
      </w:r>
      <w:r>
        <w:rPr>
          <w:sz w:val="16"/>
          <w:szCs w:val="16"/>
        </w:rPr>
        <w:t>” Artículo 54, fracción IV, de la Ley de Transparencia y Acceso a la Información Pública del Estado de San Luis Potosí.</w:t>
      </w:r>
    </w:p>
  </w:footnote>
  <w:footnote w:id="5">
    <w:p w14:paraId="31FA67D0" w14:textId="22B3D2CC" w:rsidR="00A67D59" w:rsidRPr="008F31D9" w:rsidRDefault="00A67D59" w:rsidP="008F31D9">
      <w:pPr>
        <w:pStyle w:val="Estilo"/>
        <w:rPr>
          <w:sz w:val="16"/>
          <w:szCs w:val="16"/>
        </w:rPr>
      </w:pPr>
      <w:r w:rsidRPr="008F31D9">
        <w:rPr>
          <w:rStyle w:val="Refdenotaalpie"/>
          <w:sz w:val="16"/>
          <w:szCs w:val="16"/>
        </w:rPr>
        <w:footnoteRef/>
      </w:r>
      <w:r w:rsidRPr="008F31D9">
        <w:rPr>
          <w:sz w:val="16"/>
          <w:szCs w:val="16"/>
        </w:rPr>
        <w:t xml:space="preserve"> </w:t>
      </w:r>
      <w:r>
        <w:rPr>
          <w:sz w:val="16"/>
          <w:szCs w:val="16"/>
        </w:rPr>
        <w:t>“</w:t>
      </w:r>
      <w:r w:rsidRPr="008F31D9">
        <w:rPr>
          <w:sz w:val="16"/>
          <w:szCs w:val="16"/>
        </w:rPr>
        <w:t>ARTÍCULO 159. En caso de que los sujetos obligados consideren que los documentos o la información deba ser clasificada, se sujetará a lo siguiente:</w:t>
      </w:r>
      <w:r>
        <w:rPr>
          <w:sz w:val="16"/>
          <w:szCs w:val="16"/>
        </w:rPr>
        <w:t>[…]</w:t>
      </w:r>
    </w:p>
    <w:p w14:paraId="7CB3A444" w14:textId="7311023F" w:rsidR="00A67D59" w:rsidRPr="008F31D9" w:rsidRDefault="00A67D59" w:rsidP="008F31D9">
      <w:pPr>
        <w:pStyle w:val="Estilo"/>
        <w:rPr>
          <w:sz w:val="16"/>
          <w:szCs w:val="16"/>
        </w:rPr>
      </w:pPr>
      <w:r w:rsidRPr="008F31D9">
        <w:rPr>
          <w:sz w:val="16"/>
          <w:szCs w:val="16"/>
        </w:rPr>
        <w:t>La resolución del Comité de Transparencia será notificada al interesado en el plazo de respuesta a la solicitud que establece el artículo 154 de la presente Ley.</w:t>
      </w:r>
      <w:r>
        <w:rPr>
          <w:sz w:val="16"/>
          <w:szCs w:val="16"/>
        </w:rPr>
        <w:t>” Artículo 159, primer y último párrafo, de la Ley de Transparencia y Acceso a la Información Pública del Estado de San Luis Potosí.</w:t>
      </w:r>
    </w:p>
  </w:footnote>
  <w:footnote w:id="6">
    <w:p w14:paraId="22ABBF34" w14:textId="77777777" w:rsidR="00A67D59" w:rsidRPr="001A45F7" w:rsidRDefault="00A67D59" w:rsidP="001568BB">
      <w:pPr>
        <w:pStyle w:val="Textonotapie"/>
        <w:rPr>
          <w:rFonts w:ascii="Arial" w:hAnsi="Arial" w:cs="Arial"/>
          <w:sz w:val="16"/>
          <w:szCs w:val="16"/>
        </w:rPr>
      </w:pPr>
      <w:r w:rsidRPr="001A45F7">
        <w:rPr>
          <w:rStyle w:val="Refdenotaalpie"/>
          <w:rFonts w:ascii="Arial" w:hAnsi="Arial" w:cs="Arial"/>
          <w:sz w:val="16"/>
          <w:szCs w:val="16"/>
        </w:rPr>
        <w:footnoteRef/>
      </w:r>
      <w:r w:rsidRPr="001A45F7">
        <w:rPr>
          <w:rFonts w:ascii="Arial" w:hAnsi="Arial" w:cs="Arial"/>
          <w:sz w:val="16"/>
          <w:szCs w:val="16"/>
        </w:rPr>
        <w:t xml:space="preserve"> Disponible en: </w:t>
      </w:r>
    </w:p>
    <w:p w14:paraId="31D2F78C" w14:textId="77777777" w:rsidR="00A67D59" w:rsidRPr="001A45F7" w:rsidRDefault="00683239" w:rsidP="001568BB">
      <w:pPr>
        <w:pStyle w:val="Textonotapie"/>
        <w:rPr>
          <w:rFonts w:ascii="Arial" w:hAnsi="Arial" w:cs="Arial"/>
          <w:sz w:val="16"/>
          <w:szCs w:val="16"/>
        </w:rPr>
      </w:pPr>
      <w:hyperlink r:id="rId1" w:history="1">
        <w:r w:rsidR="00A67D59" w:rsidRPr="001A45F7">
          <w:rPr>
            <w:rStyle w:val="Hipervnculo"/>
            <w:rFonts w:ascii="Arial" w:hAnsi="Arial" w:cs="Arial"/>
            <w:sz w:val="16"/>
            <w:szCs w:val="16"/>
          </w:rPr>
          <w:t>http://www.cegaipslp.org.mx/webcegaip2018.nsf/Calendario%20Oficial%20de%20Actividades%202024?OpenPage</w:t>
        </w:r>
      </w:hyperlink>
      <w:r w:rsidR="00A67D59" w:rsidRPr="001A45F7">
        <w:rPr>
          <w:rFonts w:ascii="Arial" w:hAnsi="Arial" w:cs="Arial"/>
          <w:sz w:val="16"/>
          <w:szCs w:val="16"/>
        </w:rPr>
        <w:t xml:space="preserve"> </w:t>
      </w:r>
    </w:p>
  </w:footnote>
  <w:footnote w:id="7">
    <w:p w14:paraId="7A65B8B6" w14:textId="2EBC9139" w:rsidR="00A67D59" w:rsidRPr="003F24F4" w:rsidRDefault="00A67D59" w:rsidP="003F24F4">
      <w:pPr>
        <w:pStyle w:val="Estilo"/>
        <w:rPr>
          <w:sz w:val="16"/>
          <w:szCs w:val="16"/>
        </w:rPr>
      </w:pPr>
      <w:r w:rsidRPr="003F24F4">
        <w:rPr>
          <w:rStyle w:val="Refdenotaalpie"/>
          <w:rFonts w:cs="Arial"/>
          <w:sz w:val="16"/>
          <w:szCs w:val="16"/>
        </w:rPr>
        <w:footnoteRef/>
      </w:r>
      <w:r w:rsidRPr="003F24F4">
        <w:rPr>
          <w:rFonts w:cs="Arial"/>
          <w:sz w:val="16"/>
          <w:szCs w:val="16"/>
        </w:rPr>
        <w:t xml:space="preserve"> </w:t>
      </w:r>
      <w:r>
        <w:rPr>
          <w:rFonts w:cs="Arial"/>
          <w:sz w:val="16"/>
          <w:szCs w:val="16"/>
        </w:rPr>
        <w:t>“</w:t>
      </w:r>
      <w:r w:rsidRPr="003F24F4">
        <w:rPr>
          <w:rFonts w:cs="Arial"/>
          <w:sz w:val="16"/>
          <w:szCs w:val="16"/>
        </w:rPr>
        <w:t>ARTÍCULO 164. Si transcurridos diez días de presentada la solicitud de información, la unidad de transparencia no respondiere al interesado, se aplicará el principio de afirmativa ficta, y la autoridad estará obligada a entregar la información de manera gratuita, en un plazo máximo de diez días; salvo cuando se trate de información reservada o confidencial.</w:t>
      </w:r>
      <w:r>
        <w:rPr>
          <w:rFonts w:cs="Arial"/>
          <w:sz w:val="16"/>
          <w:szCs w:val="16"/>
        </w:rPr>
        <w:t xml:space="preserve">” </w:t>
      </w:r>
      <w:r>
        <w:rPr>
          <w:sz w:val="16"/>
          <w:szCs w:val="16"/>
        </w:rPr>
        <w:t>Artículo 164, fracción IV, de la Ley de Transparencia y Acceso a la Información Pública del Estado de San Luis Potosí.</w:t>
      </w:r>
    </w:p>
  </w:footnote>
  <w:footnote w:id="8">
    <w:p w14:paraId="24C8CD9D" w14:textId="77777777" w:rsidR="00A67D59" w:rsidRPr="00AA10EC" w:rsidRDefault="00A67D59" w:rsidP="001568BB">
      <w:pPr>
        <w:pStyle w:val="Textonotapie"/>
        <w:rPr>
          <w:rFonts w:ascii="Arial" w:hAnsi="Arial" w:cs="Arial"/>
          <w:sz w:val="16"/>
          <w:szCs w:val="16"/>
        </w:rPr>
      </w:pPr>
      <w:r w:rsidRPr="00AA10EC">
        <w:rPr>
          <w:rStyle w:val="Refdenotaalpie"/>
          <w:rFonts w:ascii="Arial" w:hAnsi="Arial" w:cs="Arial"/>
          <w:sz w:val="16"/>
          <w:szCs w:val="16"/>
        </w:rPr>
        <w:footnoteRef/>
      </w:r>
      <w:r w:rsidRPr="00AA10EC">
        <w:rPr>
          <w:rFonts w:ascii="Arial" w:hAnsi="Arial" w:cs="Arial"/>
          <w:sz w:val="16"/>
          <w:szCs w:val="16"/>
        </w:rPr>
        <w:t xml:space="preserve"> Elementos de Derecho Administrativo, DELGADILLO Gutiérrez, Luis Humberto. Editorial Limusa, Tercera edición, México D.F. 2013. Páginas 218-220.</w:t>
      </w:r>
    </w:p>
  </w:footnote>
  <w:footnote w:id="9">
    <w:p w14:paraId="4684CAE3" w14:textId="77777777" w:rsidR="00A67D59" w:rsidRPr="00ED7943" w:rsidRDefault="00A67D59" w:rsidP="001568BB">
      <w:pPr>
        <w:pStyle w:val="Textonotapie"/>
        <w:rPr>
          <w:sz w:val="16"/>
          <w:szCs w:val="16"/>
        </w:rPr>
      </w:pPr>
      <w:r w:rsidRPr="00ED7943">
        <w:rPr>
          <w:rStyle w:val="Refdenotaalpie"/>
          <w:rFonts w:ascii="Arial" w:hAnsi="Arial" w:cs="Arial"/>
          <w:sz w:val="16"/>
          <w:szCs w:val="16"/>
        </w:rPr>
        <w:footnoteRef/>
      </w:r>
      <w:r w:rsidRPr="00ED7943">
        <w:rPr>
          <w:rFonts w:ascii="Arial" w:hAnsi="Arial" w:cs="Arial"/>
          <w:sz w:val="16"/>
          <w:szCs w:val="16"/>
        </w:rPr>
        <w:t xml:space="preserve"> Teoría General del Acto Administrativo, PÉREZ Dayán, Alberto, Editorial Porrúa, Sexta edición, Ciudad de México, 2019, páginas 104 y 105.</w:t>
      </w:r>
    </w:p>
  </w:footnote>
  <w:footnote w:id="10">
    <w:p w14:paraId="6F6851E9" w14:textId="77777777" w:rsidR="00A67D59" w:rsidRPr="00ED7943" w:rsidRDefault="00A67D59" w:rsidP="001568BB">
      <w:pPr>
        <w:pStyle w:val="Estilo"/>
        <w:rPr>
          <w:sz w:val="16"/>
          <w:szCs w:val="16"/>
        </w:rPr>
      </w:pPr>
      <w:r w:rsidRPr="00ED7943">
        <w:rPr>
          <w:rStyle w:val="Refdenotaalpie"/>
          <w:sz w:val="16"/>
          <w:szCs w:val="16"/>
        </w:rPr>
        <w:footnoteRef/>
      </w:r>
      <w:r w:rsidRPr="00ED7943">
        <w:rPr>
          <w:sz w:val="16"/>
          <w:szCs w:val="16"/>
        </w:rPr>
        <w:t xml:space="preserve"> ARTÍCULO 3º. Para los efectos de este Código se entiende por: […]</w:t>
      </w:r>
    </w:p>
    <w:p w14:paraId="101B439F" w14:textId="77777777" w:rsidR="00A67D59" w:rsidRPr="00ED7943" w:rsidRDefault="00A67D59" w:rsidP="001568BB">
      <w:pPr>
        <w:pStyle w:val="Estilo"/>
        <w:rPr>
          <w:sz w:val="16"/>
          <w:szCs w:val="16"/>
        </w:rPr>
      </w:pPr>
      <w:r w:rsidRPr="00ED7943">
        <w:rPr>
          <w:sz w:val="16"/>
          <w:szCs w:val="16"/>
        </w:rPr>
        <w:t>XVII. Negativa Ficta: figura jurídica por virtud de la cual, ante la omisión de la autoridad de emitir una resolución de manera expresa, dentro de los plazos previstos por este Código los ordenamientos jurídicos aplicables al caso concreto, se entiende que se resuelve en sentido negativo lo solicitado por el particular;</w:t>
      </w:r>
    </w:p>
  </w:footnote>
  <w:footnote w:id="11">
    <w:p w14:paraId="00FDD480" w14:textId="77777777" w:rsidR="00A67D59" w:rsidRPr="0051399B" w:rsidRDefault="00A67D59" w:rsidP="001568BB">
      <w:pPr>
        <w:pStyle w:val="Textonotapie"/>
        <w:rPr>
          <w:rFonts w:ascii="Arial" w:hAnsi="Arial" w:cs="Arial"/>
          <w:sz w:val="16"/>
          <w:szCs w:val="16"/>
        </w:rPr>
      </w:pPr>
      <w:r w:rsidRPr="0051399B">
        <w:rPr>
          <w:rStyle w:val="Refdenotaalpie"/>
          <w:rFonts w:ascii="Arial" w:hAnsi="Arial" w:cs="Arial"/>
          <w:sz w:val="16"/>
          <w:szCs w:val="16"/>
        </w:rPr>
        <w:footnoteRef/>
      </w:r>
      <w:r w:rsidRPr="0051399B">
        <w:rPr>
          <w:rFonts w:ascii="Arial" w:hAnsi="Arial" w:cs="Arial"/>
          <w:sz w:val="16"/>
          <w:szCs w:val="16"/>
        </w:rPr>
        <w:t xml:space="preserve"> Mijares Jiménez, Raúl Mario, “La afirmativa ficta: una opción de modernidad”, </w:t>
      </w:r>
      <w:r w:rsidRPr="0051399B">
        <w:rPr>
          <w:rFonts w:ascii="Arial" w:hAnsi="Arial" w:cs="Arial"/>
          <w:i/>
          <w:sz w:val="16"/>
          <w:szCs w:val="16"/>
        </w:rPr>
        <w:t>Lex Difusión y Análisis,</w:t>
      </w:r>
      <w:r w:rsidRPr="0051399B">
        <w:rPr>
          <w:rFonts w:ascii="Arial" w:hAnsi="Arial" w:cs="Arial"/>
          <w:sz w:val="16"/>
          <w:szCs w:val="16"/>
        </w:rPr>
        <w:t xml:space="preserve"> Torreón, núm. 3, septiembre de 1995, p. 72</w:t>
      </w:r>
    </w:p>
  </w:footnote>
  <w:footnote w:id="12">
    <w:p w14:paraId="24CDECA5" w14:textId="77777777" w:rsidR="00A67D59" w:rsidRPr="0051399B" w:rsidRDefault="00A67D59" w:rsidP="001568BB">
      <w:pPr>
        <w:pStyle w:val="Textonotapie"/>
        <w:rPr>
          <w:rFonts w:ascii="Arial" w:hAnsi="Arial" w:cs="Arial"/>
          <w:sz w:val="16"/>
          <w:szCs w:val="16"/>
        </w:rPr>
      </w:pPr>
      <w:r w:rsidRPr="0051399B">
        <w:rPr>
          <w:rStyle w:val="Refdenotaalpie"/>
          <w:rFonts w:ascii="Arial" w:hAnsi="Arial" w:cs="Arial"/>
          <w:sz w:val="16"/>
          <w:szCs w:val="16"/>
        </w:rPr>
        <w:footnoteRef/>
      </w:r>
      <w:r w:rsidRPr="0051399B">
        <w:rPr>
          <w:rFonts w:ascii="Arial" w:hAnsi="Arial" w:cs="Arial"/>
          <w:sz w:val="16"/>
          <w:szCs w:val="16"/>
        </w:rPr>
        <w:t xml:space="preserve"> Rodríguez, Oliver, José María, op. cit., nota 392, p.87. </w:t>
      </w:r>
    </w:p>
  </w:footnote>
  <w:footnote w:id="13">
    <w:p w14:paraId="0AFC4DFD" w14:textId="77777777" w:rsidR="00A67D59" w:rsidRPr="0051399B" w:rsidRDefault="00A67D59" w:rsidP="001568BB">
      <w:pPr>
        <w:spacing w:after="0" w:line="240" w:lineRule="auto"/>
        <w:jc w:val="both"/>
        <w:rPr>
          <w:rFonts w:ascii="Arial" w:hAnsi="Arial" w:cs="Arial"/>
          <w:sz w:val="16"/>
          <w:szCs w:val="16"/>
        </w:rPr>
      </w:pPr>
      <w:r w:rsidRPr="0051399B">
        <w:rPr>
          <w:rStyle w:val="Refdenotaalpie"/>
          <w:rFonts w:ascii="Arial" w:hAnsi="Arial" w:cs="Arial"/>
          <w:sz w:val="16"/>
          <w:szCs w:val="16"/>
        </w:rPr>
        <w:footnoteRef/>
      </w:r>
      <w:r w:rsidRPr="0051399B">
        <w:rPr>
          <w:rFonts w:ascii="Arial" w:hAnsi="Arial" w:cs="Arial"/>
          <w:sz w:val="16"/>
          <w:szCs w:val="16"/>
        </w:rPr>
        <w:t>Cienfuegos Salgado, David,</w:t>
      </w:r>
      <w:r w:rsidRPr="0051399B">
        <w:rPr>
          <w:rFonts w:ascii="Arial" w:hAnsi="Arial" w:cs="Arial"/>
          <w:sz w:val="16"/>
          <w:szCs w:val="16"/>
          <w:lang w:eastAsia="es-MX"/>
        </w:rPr>
        <w:t xml:space="preserve"> El derecho de petición en México, </w:t>
      </w:r>
      <w:r w:rsidRPr="00302867">
        <w:rPr>
          <w:rFonts w:ascii="Arial" w:hAnsi="Arial" w:cs="Arial"/>
          <w:sz w:val="16"/>
          <w:szCs w:val="16"/>
          <w:shd w:val="clear" w:color="auto" w:fill="FFFFFF"/>
        </w:rPr>
        <w:t>México: UNAM, Instituto de Investigaciones Jurídicas, 2004</w:t>
      </w:r>
      <w:r w:rsidRPr="0051399B">
        <w:rPr>
          <w:rFonts w:ascii="Arial" w:hAnsi="Arial" w:cs="Arial"/>
          <w:sz w:val="16"/>
          <w:szCs w:val="16"/>
        </w:rPr>
        <w:t>.</w:t>
      </w:r>
    </w:p>
  </w:footnote>
  <w:footnote w:id="14">
    <w:p w14:paraId="0C488BF0" w14:textId="77777777" w:rsidR="00A67D59" w:rsidRPr="0051399B" w:rsidRDefault="00A67D59" w:rsidP="001568BB">
      <w:pPr>
        <w:spacing w:after="0" w:line="240" w:lineRule="auto"/>
        <w:jc w:val="both"/>
        <w:rPr>
          <w:rFonts w:ascii="Arial" w:hAnsi="Arial" w:cs="Arial"/>
          <w:sz w:val="16"/>
          <w:szCs w:val="16"/>
        </w:rPr>
      </w:pPr>
      <w:r w:rsidRPr="0051399B">
        <w:rPr>
          <w:rStyle w:val="Refdenotaalpie"/>
          <w:rFonts w:ascii="Arial" w:hAnsi="Arial" w:cs="Arial"/>
          <w:color w:val="4472C4" w:themeColor="accent1"/>
          <w:sz w:val="16"/>
          <w:szCs w:val="16"/>
        </w:rPr>
        <w:footnoteRef/>
      </w:r>
      <w:r w:rsidRPr="0051399B">
        <w:rPr>
          <w:rFonts w:ascii="Arial" w:hAnsi="Arial" w:cs="Arial"/>
          <w:sz w:val="16"/>
          <w:szCs w:val="16"/>
        </w:rPr>
        <w:t>Jurisprudencia número IV.2o.C.45 K, visible en la Novena Época, de la Gaceta del Semanario Judicial de la Federación, Julio de 2007, p.2450. Instancia: Tribunales Colegiados de Circuito, con Registro electrónico: 172105.</w:t>
      </w:r>
    </w:p>
  </w:footnote>
  <w:footnote w:id="15">
    <w:p w14:paraId="526E8687" w14:textId="79BAA0BF" w:rsidR="00890408" w:rsidRPr="00890408" w:rsidRDefault="00890408">
      <w:pPr>
        <w:pStyle w:val="Textonotapie"/>
        <w:rPr>
          <w:rFonts w:ascii="Arial" w:hAnsi="Arial" w:cs="Arial"/>
        </w:rPr>
      </w:pPr>
      <w:r w:rsidRPr="00890408">
        <w:rPr>
          <w:rStyle w:val="Refdenotaalpie"/>
          <w:rFonts w:ascii="Arial" w:hAnsi="Arial" w:cs="Arial"/>
          <w:sz w:val="16"/>
        </w:rPr>
        <w:footnoteRef/>
      </w:r>
      <w:r w:rsidRPr="00890408">
        <w:rPr>
          <w:rFonts w:ascii="Arial" w:hAnsi="Arial" w:cs="Arial"/>
          <w:sz w:val="16"/>
        </w:rPr>
        <w:t xml:space="preserve"> ARTICULO 2°. El Municipio Libre constituye la base de la división territorial y de la organización política y administrativa del Estado.</w:t>
      </w:r>
    </w:p>
  </w:footnote>
  <w:footnote w:id="16">
    <w:p w14:paraId="02D55BB2" w14:textId="77777777" w:rsidR="00890408" w:rsidRDefault="00890408" w:rsidP="00890408">
      <w:pPr>
        <w:pStyle w:val="Estilo"/>
        <w:rPr>
          <w:sz w:val="16"/>
          <w:szCs w:val="24"/>
        </w:rPr>
      </w:pPr>
      <w:r w:rsidRPr="009922E5">
        <w:rPr>
          <w:rStyle w:val="Refdenotaalpie"/>
          <w:rFonts w:cs="Arial"/>
          <w:sz w:val="16"/>
          <w:szCs w:val="16"/>
        </w:rPr>
        <w:footnoteRef/>
      </w:r>
      <w:r w:rsidRPr="009922E5">
        <w:rPr>
          <w:rFonts w:cs="Arial"/>
          <w:sz w:val="16"/>
          <w:szCs w:val="16"/>
        </w:rPr>
        <w:t xml:space="preserve"> </w:t>
      </w:r>
      <w:r w:rsidRPr="00890408">
        <w:rPr>
          <w:sz w:val="16"/>
          <w:szCs w:val="24"/>
        </w:rPr>
        <w:t>ARTICULO 6°. El territorio del Estado de San Luis Potosí está dividido en cincuenta y ocho municipios, siendo éstos los siguientes:</w:t>
      </w:r>
    </w:p>
    <w:p w14:paraId="4E2B5AFC" w14:textId="77777777" w:rsidR="00890408" w:rsidRPr="00890408" w:rsidRDefault="00890408" w:rsidP="00890408">
      <w:pPr>
        <w:pStyle w:val="Estilo"/>
        <w:rPr>
          <w:sz w:val="16"/>
          <w:szCs w:val="24"/>
        </w:rPr>
      </w:pPr>
      <w:r>
        <w:rPr>
          <w:sz w:val="16"/>
          <w:szCs w:val="24"/>
        </w:rPr>
        <w:t>[…]</w:t>
      </w:r>
    </w:p>
    <w:p w14:paraId="704E4C8A" w14:textId="77777777" w:rsidR="00890408" w:rsidRPr="00890408" w:rsidRDefault="00890408" w:rsidP="00890408">
      <w:pPr>
        <w:pStyle w:val="Estilo"/>
        <w:rPr>
          <w:szCs w:val="24"/>
        </w:rPr>
      </w:pPr>
      <w:r w:rsidRPr="00890408">
        <w:rPr>
          <w:sz w:val="16"/>
          <w:szCs w:val="24"/>
        </w:rPr>
        <w:t>53. Villa de Pozos</w:t>
      </w:r>
    </w:p>
  </w:footnote>
  <w:footnote w:id="17">
    <w:p w14:paraId="77FBD113" w14:textId="260994C0" w:rsidR="009922E5" w:rsidRPr="009922E5" w:rsidRDefault="009922E5" w:rsidP="00C07960">
      <w:pPr>
        <w:pStyle w:val="Estilo"/>
        <w:rPr>
          <w:sz w:val="16"/>
        </w:rPr>
      </w:pPr>
      <w:r w:rsidRPr="009922E5">
        <w:rPr>
          <w:rStyle w:val="Refdenotaalpie"/>
          <w:sz w:val="16"/>
        </w:rPr>
        <w:footnoteRef/>
      </w:r>
      <w:r w:rsidRPr="009922E5">
        <w:rPr>
          <w:sz w:val="16"/>
        </w:rPr>
        <w:t xml:space="preserve"> </w:t>
      </w:r>
      <w:r w:rsidR="00C07960" w:rsidRPr="00C07960">
        <w:rPr>
          <w:sz w:val="16"/>
        </w:rPr>
        <w:t>ARTICULO 3°. El Municipio Libre es una entidad de carácter público, dotado de personalidad jurídica y patrimonio propios; autónomo en su régimen interior y con libertad para administrar su hacienda conforme a las disposiciones constitucionales y a esta Ley.</w:t>
      </w:r>
    </w:p>
  </w:footnote>
  <w:footnote w:id="18">
    <w:p w14:paraId="68905087" w14:textId="337E07A0" w:rsidR="00C9789F" w:rsidRPr="00C9789F" w:rsidRDefault="00C9789F" w:rsidP="00C9789F">
      <w:pPr>
        <w:pStyle w:val="Textonotapie"/>
        <w:rPr>
          <w:rFonts w:ascii="Arial" w:hAnsi="Arial" w:cs="Arial"/>
          <w:sz w:val="16"/>
        </w:rPr>
      </w:pPr>
      <w:r w:rsidRPr="00C9789F">
        <w:rPr>
          <w:rStyle w:val="Refdenotaalpie"/>
          <w:rFonts w:ascii="Arial" w:hAnsi="Arial" w:cs="Arial"/>
          <w:sz w:val="16"/>
        </w:rPr>
        <w:footnoteRef/>
      </w:r>
      <w:r w:rsidRPr="00C9789F">
        <w:rPr>
          <w:rFonts w:ascii="Arial" w:hAnsi="Arial" w:cs="Arial"/>
          <w:sz w:val="16"/>
        </w:rPr>
        <w:t xml:space="preserve"> ARTICULO 141. Los municipios organizarán y reglamentarán la administración, prestación, conservación y explotación en su caso, de los servicios públicos y funciones municipales, considerándose que tiene</w:t>
      </w:r>
      <w:r>
        <w:rPr>
          <w:rFonts w:ascii="Arial" w:hAnsi="Arial" w:cs="Arial"/>
          <w:sz w:val="16"/>
        </w:rPr>
        <w:t>n este carácter los siguientes:</w:t>
      </w:r>
    </w:p>
    <w:p w14:paraId="05424144" w14:textId="1E6536F3" w:rsidR="00C9789F" w:rsidRDefault="00C9789F" w:rsidP="00C9789F">
      <w:pPr>
        <w:pStyle w:val="Textonotapie"/>
      </w:pPr>
      <w:r w:rsidRPr="00C9789F">
        <w:rPr>
          <w:rFonts w:ascii="Arial" w:hAnsi="Arial" w:cs="Arial"/>
          <w:sz w:val="16"/>
        </w:rPr>
        <w:t>I. Agua potable, drenaje, alcantarillado, tratamiento y disposición de aguas residuales;</w:t>
      </w:r>
      <w:r>
        <w:rPr>
          <w:rFonts w:ascii="Arial" w:hAnsi="Arial" w:cs="Arial"/>
          <w:sz w:val="16"/>
        </w:rPr>
        <w:t>[…]</w:t>
      </w:r>
    </w:p>
  </w:footnote>
  <w:footnote w:id="19">
    <w:p w14:paraId="272443F7" w14:textId="1065E937" w:rsidR="00C9789F" w:rsidRPr="00C9789F" w:rsidRDefault="00C9789F" w:rsidP="00C9789F">
      <w:pPr>
        <w:pStyle w:val="Estilo"/>
        <w:rPr>
          <w:sz w:val="16"/>
          <w:szCs w:val="16"/>
        </w:rPr>
      </w:pPr>
      <w:r w:rsidRPr="00C9789F">
        <w:rPr>
          <w:rStyle w:val="Refdenotaalpie"/>
          <w:sz w:val="16"/>
          <w:szCs w:val="16"/>
        </w:rPr>
        <w:footnoteRef/>
      </w:r>
      <w:r w:rsidRPr="00C9789F">
        <w:rPr>
          <w:sz w:val="16"/>
          <w:szCs w:val="16"/>
        </w:rPr>
        <w:t xml:space="preserve"> ARTICULO 142. La prestación de los servicios públicos y funciones municipales será responsabilidad de los ayuntamientos, y podrá ser realizada por sí o a través de organismos paramunicipales o intermunicipales, y de concesionarios o contratistas.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EBE29" w14:textId="2D04703B" w:rsidR="00A67D59" w:rsidRDefault="00A67D59">
    <w:pPr>
      <w:pStyle w:val="Encabezado"/>
      <w:jc w:val="center"/>
    </w:pPr>
    <w:r>
      <w:rPr>
        <w:noProof/>
        <w:lang w:eastAsia="es-MX"/>
      </w:rPr>
      <w:drawing>
        <wp:anchor distT="0" distB="0" distL="114300" distR="114300" simplePos="0" relativeHeight="251659264" behindDoc="1" locked="0" layoutInCell="1" allowOverlap="1" wp14:anchorId="03EFB77B" wp14:editId="58CF992C">
          <wp:simplePos x="0" y="0"/>
          <wp:positionH relativeFrom="page">
            <wp:posOffset>20955</wp:posOffset>
          </wp:positionH>
          <wp:positionV relativeFrom="paragraph">
            <wp:posOffset>-526415</wp:posOffset>
          </wp:positionV>
          <wp:extent cx="8182335" cy="12877800"/>
          <wp:effectExtent l="0" t="0" r="952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82335" cy="128778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23023284"/>
        <w:docPartObj>
          <w:docPartGallery w:val="Page Numbers (Top of Page)"/>
          <w:docPartUnique/>
        </w:docPartObj>
      </w:sdtPr>
      <w:sdtEndPr/>
      <w:sdtContent>
        <w:r>
          <w:fldChar w:fldCharType="begin"/>
        </w:r>
        <w:r>
          <w:instrText>PAGE   \* MERGEFORMAT</w:instrText>
        </w:r>
        <w:r>
          <w:fldChar w:fldCharType="separate"/>
        </w:r>
        <w:r w:rsidR="009A4E01">
          <w:rPr>
            <w:noProof/>
          </w:rPr>
          <w:t>17</w:t>
        </w:r>
        <w:r>
          <w:fldChar w:fldCharType="end"/>
        </w:r>
      </w:sdtContent>
    </w:sdt>
  </w:p>
  <w:p w14:paraId="73B62FEB" w14:textId="18370400" w:rsidR="00A67D59" w:rsidRDefault="00A67D59">
    <w:pPr>
      <w:pStyle w:val="Encabezado"/>
      <w:jc w:val="center"/>
    </w:pPr>
  </w:p>
  <w:p w14:paraId="11A12D19" w14:textId="2D6FFD7A" w:rsidR="00A67D59" w:rsidRDefault="00A67D59">
    <w:pPr>
      <w:pStyle w:val="Encabezado"/>
      <w:jc w:val="center"/>
    </w:pPr>
  </w:p>
  <w:p w14:paraId="3C5C0923" w14:textId="7B0FF51F" w:rsidR="00A67D59" w:rsidRDefault="00A67D59">
    <w:pPr>
      <w:pStyle w:val="Encabezado"/>
      <w:jc w:val="center"/>
    </w:pPr>
  </w:p>
  <w:p w14:paraId="167ADC62" w14:textId="77777777" w:rsidR="00A67D59" w:rsidRDefault="00A67D59" w:rsidP="00E25AE4">
    <w:pPr>
      <w:pStyle w:val="Encabezado"/>
      <w:tabs>
        <w:tab w:val="left" w:pos="5954"/>
      </w:tabs>
      <w:jc w:val="right"/>
      <w:rPr>
        <w:sz w:val="20"/>
        <w:szCs w:val="20"/>
      </w:rPr>
    </w:pPr>
  </w:p>
  <w:p w14:paraId="2E3B98D4" w14:textId="77777777" w:rsidR="00A67D59" w:rsidRDefault="00A67D59">
    <w:pPr>
      <w:pStyle w:val="Encabezado"/>
      <w:jc w:val="center"/>
    </w:pPr>
  </w:p>
  <w:p w14:paraId="4E5FFEF8" w14:textId="46E567DF" w:rsidR="00A67D59" w:rsidRDefault="00A67D5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50DA9"/>
    <w:multiLevelType w:val="hybridMultilevel"/>
    <w:tmpl w:val="507E70F8"/>
    <w:lvl w:ilvl="0" w:tplc="54A4733C">
      <w:start w:val="1"/>
      <w:numFmt w:val="decimal"/>
      <w:lvlText w:val="%1."/>
      <w:lvlJc w:val="left"/>
      <w:pPr>
        <w:ind w:left="1068" w:hanging="360"/>
      </w:pPr>
      <w:rPr>
        <w:rFonts w:hint="default"/>
      </w:r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142A46F5"/>
    <w:multiLevelType w:val="hybridMultilevel"/>
    <w:tmpl w:val="1B968D86"/>
    <w:lvl w:ilvl="0" w:tplc="8072F42A">
      <w:start w:val="1"/>
      <w:numFmt w:val="lowerLetter"/>
      <w:lvlText w:val="%1)"/>
      <w:lvlJc w:val="left"/>
      <w:pPr>
        <w:ind w:left="2850" w:hanging="360"/>
      </w:pPr>
      <w:rPr>
        <w:rFonts w:hint="default"/>
      </w:rPr>
    </w:lvl>
    <w:lvl w:ilvl="1" w:tplc="D9287C22">
      <w:start w:val="1"/>
      <w:numFmt w:val="decimal"/>
      <w:lvlText w:val="%2."/>
      <w:lvlJc w:val="left"/>
      <w:pPr>
        <w:ind w:left="3615" w:hanging="405"/>
      </w:pPr>
      <w:rPr>
        <w:rFonts w:cs="Arial" w:hint="default"/>
      </w:rPr>
    </w:lvl>
    <w:lvl w:ilvl="2" w:tplc="080A001B" w:tentative="1">
      <w:start w:val="1"/>
      <w:numFmt w:val="lowerRoman"/>
      <w:lvlText w:val="%3."/>
      <w:lvlJc w:val="right"/>
      <w:pPr>
        <w:ind w:left="4290" w:hanging="180"/>
      </w:pPr>
    </w:lvl>
    <w:lvl w:ilvl="3" w:tplc="080A000F" w:tentative="1">
      <w:start w:val="1"/>
      <w:numFmt w:val="decimal"/>
      <w:lvlText w:val="%4."/>
      <w:lvlJc w:val="left"/>
      <w:pPr>
        <w:ind w:left="5010" w:hanging="360"/>
      </w:pPr>
    </w:lvl>
    <w:lvl w:ilvl="4" w:tplc="080A0019" w:tentative="1">
      <w:start w:val="1"/>
      <w:numFmt w:val="lowerLetter"/>
      <w:lvlText w:val="%5."/>
      <w:lvlJc w:val="left"/>
      <w:pPr>
        <w:ind w:left="5730" w:hanging="360"/>
      </w:pPr>
    </w:lvl>
    <w:lvl w:ilvl="5" w:tplc="080A001B" w:tentative="1">
      <w:start w:val="1"/>
      <w:numFmt w:val="lowerRoman"/>
      <w:lvlText w:val="%6."/>
      <w:lvlJc w:val="right"/>
      <w:pPr>
        <w:ind w:left="6450" w:hanging="180"/>
      </w:pPr>
    </w:lvl>
    <w:lvl w:ilvl="6" w:tplc="080A000F" w:tentative="1">
      <w:start w:val="1"/>
      <w:numFmt w:val="decimal"/>
      <w:lvlText w:val="%7."/>
      <w:lvlJc w:val="left"/>
      <w:pPr>
        <w:ind w:left="7170" w:hanging="360"/>
      </w:pPr>
    </w:lvl>
    <w:lvl w:ilvl="7" w:tplc="080A0019" w:tentative="1">
      <w:start w:val="1"/>
      <w:numFmt w:val="lowerLetter"/>
      <w:lvlText w:val="%8."/>
      <w:lvlJc w:val="left"/>
      <w:pPr>
        <w:ind w:left="7890" w:hanging="360"/>
      </w:pPr>
    </w:lvl>
    <w:lvl w:ilvl="8" w:tplc="080A001B" w:tentative="1">
      <w:start w:val="1"/>
      <w:numFmt w:val="lowerRoman"/>
      <w:lvlText w:val="%9."/>
      <w:lvlJc w:val="right"/>
      <w:pPr>
        <w:ind w:left="8610" w:hanging="180"/>
      </w:pPr>
    </w:lvl>
  </w:abstractNum>
  <w:abstractNum w:abstractNumId="2" w15:restartNumberingAfterBreak="0">
    <w:nsid w:val="153555E1"/>
    <w:multiLevelType w:val="hybridMultilevel"/>
    <w:tmpl w:val="3FA8693E"/>
    <w:lvl w:ilvl="0" w:tplc="04C2E6D0">
      <w:start w:val="1"/>
      <w:numFmt w:val="decimal"/>
      <w:lvlText w:val="%1."/>
      <w:lvlJc w:val="left"/>
      <w:pPr>
        <w:ind w:left="1777" w:hanging="360"/>
      </w:pPr>
      <w:rPr>
        <w:rFonts w:hint="default"/>
      </w:rPr>
    </w:lvl>
    <w:lvl w:ilvl="1" w:tplc="040A0019" w:tentative="1">
      <w:start w:val="1"/>
      <w:numFmt w:val="lowerLetter"/>
      <w:lvlText w:val="%2."/>
      <w:lvlJc w:val="left"/>
      <w:pPr>
        <w:ind w:left="2497" w:hanging="360"/>
      </w:pPr>
    </w:lvl>
    <w:lvl w:ilvl="2" w:tplc="040A001B" w:tentative="1">
      <w:start w:val="1"/>
      <w:numFmt w:val="lowerRoman"/>
      <w:lvlText w:val="%3."/>
      <w:lvlJc w:val="right"/>
      <w:pPr>
        <w:ind w:left="3217" w:hanging="180"/>
      </w:pPr>
    </w:lvl>
    <w:lvl w:ilvl="3" w:tplc="040A000F" w:tentative="1">
      <w:start w:val="1"/>
      <w:numFmt w:val="decimal"/>
      <w:lvlText w:val="%4."/>
      <w:lvlJc w:val="left"/>
      <w:pPr>
        <w:ind w:left="3937" w:hanging="360"/>
      </w:pPr>
    </w:lvl>
    <w:lvl w:ilvl="4" w:tplc="040A0019" w:tentative="1">
      <w:start w:val="1"/>
      <w:numFmt w:val="lowerLetter"/>
      <w:lvlText w:val="%5."/>
      <w:lvlJc w:val="left"/>
      <w:pPr>
        <w:ind w:left="4657" w:hanging="360"/>
      </w:pPr>
    </w:lvl>
    <w:lvl w:ilvl="5" w:tplc="040A001B" w:tentative="1">
      <w:start w:val="1"/>
      <w:numFmt w:val="lowerRoman"/>
      <w:lvlText w:val="%6."/>
      <w:lvlJc w:val="right"/>
      <w:pPr>
        <w:ind w:left="5377" w:hanging="180"/>
      </w:pPr>
    </w:lvl>
    <w:lvl w:ilvl="6" w:tplc="040A000F" w:tentative="1">
      <w:start w:val="1"/>
      <w:numFmt w:val="decimal"/>
      <w:lvlText w:val="%7."/>
      <w:lvlJc w:val="left"/>
      <w:pPr>
        <w:ind w:left="6097" w:hanging="360"/>
      </w:pPr>
    </w:lvl>
    <w:lvl w:ilvl="7" w:tplc="040A0019" w:tentative="1">
      <w:start w:val="1"/>
      <w:numFmt w:val="lowerLetter"/>
      <w:lvlText w:val="%8."/>
      <w:lvlJc w:val="left"/>
      <w:pPr>
        <w:ind w:left="6817" w:hanging="360"/>
      </w:pPr>
    </w:lvl>
    <w:lvl w:ilvl="8" w:tplc="040A001B" w:tentative="1">
      <w:start w:val="1"/>
      <w:numFmt w:val="lowerRoman"/>
      <w:lvlText w:val="%9."/>
      <w:lvlJc w:val="right"/>
      <w:pPr>
        <w:ind w:left="7537" w:hanging="180"/>
      </w:pPr>
    </w:lvl>
  </w:abstractNum>
  <w:abstractNum w:abstractNumId="3" w15:restartNumberingAfterBreak="0">
    <w:nsid w:val="18290BF6"/>
    <w:multiLevelType w:val="hybridMultilevel"/>
    <w:tmpl w:val="A72AA6E8"/>
    <w:lvl w:ilvl="0" w:tplc="080A0017">
      <w:start w:val="1"/>
      <w:numFmt w:val="lowerLetter"/>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4" w15:restartNumberingAfterBreak="0">
    <w:nsid w:val="271A4604"/>
    <w:multiLevelType w:val="hybridMultilevel"/>
    <w:tmpl w:val="AFB41D68"/>
    <w:lvl w:ilvl="0" w:tplc="40F2F88C">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5" w15:restartNumberingAfterBreak="0">
    <w:nsid w:val="2DED230F"/>
    <w:multiLevelType w:val="hybridMultilevel"/>
    <w:tmpl w:val="78F4B4B6"/>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6" w15:restartNumberingAfterBreak="0">
    <w:nsid w:val="3CE27AC1"/>
    <w:multiLevelType w:val="hybridMultilevel"/>
    <w:tmpl w:val="8CD8DDF6"/>
    <w:lvl w:ilvl="0" w:tplc="080A0017">
      <w:start w:val="1"/>
      <w:numFmt w:val="lowerLetter"/>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5EED7030"/>
    <w:multiLevelType w:val="hybridMultilevel"/>
    <w:tmpl w:val="50C85B3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62DB4176"/>
    <w:multiLevelType w:val="hybridMultilevel"/>
    <w:tmpl w:val="B7B8A2C2"/>
    <w:lvl w:ilvl="0" w:tplc="0B145F12">
      <w:start w:val="1"/>
      <w:numFmt w:val="decimal"/>
      <w:lvlText w:val="%1."/>
      <w:lvlJc w:val="left"/>
      <w:pPr>
        <w:ind w:left="1260" w:hanging="360"/>
      </w:pPr>
      <w:rPr>
        <w:rFonts w:hint="default"/>
      </w:rPr>
    </w:lvl>
    <w:lvl w:ilvl="1" w:tplc="080A0019" w:tentative="1">
      <w:start w:val="1"/>
      <w:numFmt w:val="lowerLetter"/>
      <w:lvlText w:val="%2."/>
      <w:lvlJc w:val="left"/>
      <w:pPr>
        <w:ind w:left="1980" w:hanging="360"/>
      </w:pPr>
    </w:lvl>
    <w:lvl w:ilvl="2" w:tplc="080A001B" w:tentative="1">
      <w:start w:val="1"/>
      <w:numFmt w:val="lowerRoman"/>
      <w:lvlText w:val="%3."/>
      <w:lvlJc w:val="right"/>
      <w:pPr>
        <w:ind w:left="2700" w:hanging="180"/>
      </w:pPr>
    </w:lvl>
    <w:lvl w:ilvl="3" w:tplc="080A000F" w:tentative="1">
      <w:start w:val="1"/>
      <w:numFmt w:val="decimal"/>
      <w:lvlText w:val="%4."/>
      <w:lvlJc w:val="left"/>
      <w:pPr>
        <w:ind w:left="3420" w:hanging="360"/>
      </w:pPr>
    </w:lvl>
    <w:lvl w:ilvl="4" w:tplc="080A0019" w:tentative="1">
      <w:start w:val="1"/>
      <w:numFmt w:val="lowerLetter"/>
      <w:lvlText w:val="%5."/>
      <w:lvlJc w:val="left"/>
      <w:pPr>
        <w:ind w:left="4140" w:hanging="360"/>
      </w:pPr>
    </w:lvl>
    <w:lvl w:ilvl="5" w:tplc="080A001B" w:tentative="1">
      <w:start w:val="1"/>
      <w:numFmt w:val="lowerRoman"/>
      <w:lvlText w:val="%6."/>
      <w:lvlJc w:val="right"/>
      <w:pPr>
        <w:ind w:left="4860" w:hanging="180"/>
      </w:pPr>
    </w:lvl>
    <w:lvl w:ilvl="6" w:tplc="080A000F" w:tentative="1">
      <w:start w:val="1"/>
      <w:numFmt w:val="decimal"/>
      <w:lvlText w:val="%7."/>
      <w:lvlJc w:val="left"/>
      <w:pPr>
        <w:ind w:left="5580" w:hanging="360"/>
      </w:pPr>
    </w:lvl>
    <w:lvl w:ilvl="7" w:tplc="080A0019" w:tentative="1">
      <w:start w:val="1"/>
      <w:numFmt w:val="lowerLetter"/>
      <w:lvlText w:val="%8."/>
      <w:lvlJc w:val="left"/>
      <w:pPr>
        <w:ind w:left="6300" w:hanging="360"/>
      </w:pPr>
    </w:lvl>
    <w:lvl w:ilvl="8" w:tplc="080A001B" w:tentative="1">
      <w:start w:val="1"/>
      <w:numFmt w:val="lowerRoman"/>
      <w:lvlText w:val="%9."/>
      <w:lvlJc w:val="right"/>
      <w:pPr>
        <w:ind w:left="7020" w:hanging="180"/>
      </w:pPr>
    </w:lvl>
  </w:abstractNum>
  <w:abstractNum w:abstractNumId="9" w15:restartNumberingAfterBreak="0">
    <w:nsid w:val="74842C6F"/>
    <w:multiLevelType w:val="hybridMultilevel"/>
    <w:tmpl w:val="B06A414A"/>
    <w:lvl w:ilvl="0" w:tplc="080A0013">
      <w:start w:val="1"/>
      <w:numFmt w:val="upperRoman"/>
      <w:lvlText w:val="%1."/>
      <w:lvlJc w:val="right"/>
      <w:pPr>
        <w:ind w:left="1854" w:hanging="360"/>
      </w:p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10" w15:restartNumberingAfterBreak="0">
    <w:nsid w:val="784E258E"/>
    <w:multiLevelType w:val="hybridMultilevel"/>
    <w:tmpl w:val="DA74308C"/>
    <w:lvl w:ilvl="0" w:tplc="080A001B">
      <w:start w:val="1"/>
      <w:numFmt w:val="lowerRoman"/>
      <w:lvlText w:val="%1."/>
      <w:lvlJc w:val="righ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num w:numId="1">
    <w:abstractNumId w:val="6"/>
  </w:num>
  <w:num w:numId="2">
    <w:abstractNumId w:val="0"/>
  </w:num>
  <w:num w:numId="3">
    <w:abstractNumId w:val="2"/>
  </w:num>
  <w:num w:numId="4">
    <w:abstractNumId w:val="3"/>
  </w:num>
  <w:num w:numId="5">
    <w:abstractNumId w:val="5"/>
  </w:num>
  <w:num w:numId="6">
    <w:abstractNumId w:val="9"/>
  </w:num>
  <w:num w:numId="7">
    <w:abstractNumId w:val="4"/>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8C4"/>
    <w:rsid w:val="000026CB"/>
    <w:rsid w:val="00002C0C"/>
    <w:rsid w:val="00002EC3"/>
    <w:rsid w:val="000033A4"/>
    <w:rsid w:val="00003A8D"/>
    <w:rsid w:val="0000549F"/>
    <w:rsid w:val="00005D6B"/>
    <w:rsid w:val="00006E2A"/>
    <w:rsid w:val="0000715C"/>
    <w:rsid w:val="000077CB"/>
    <w:rsid w:val="00010D66"/>
    <w:rsid w:val="000124BC"/>
    <w:rsid w:val="00014F38"/>
    <w:rsid w:val="00016245"/>
    <w:rsid w:val="00017BD8"/>
    <w:rsid w:val="000221FB"/>
    <w:rsid w:val="00023499"/>
    <w:rsid w:val="00027381"/>
    <w:rsid w:val="00027768"/>
    <w:rsid w:val="00031290"/>
    <w:rsid w:val="00031333"/>
    <w:rsid w:val="00031BAA"/>
    <w:rsid w:val="000320BC"/>
    <w:rsid w:val="00032B64"/>
    <w:rsid w:val="0003318A"/>
    <w:rsid w:val="000336AF"/>
    <w:rsid w:val="00035D8C"/>
    <w:rsid w:val="00037320"/>
    <w:rsid w:val="00040FD8"/>
    <w:rsid w:val="00042328"/>
    <w:rsid w:val="00042B51"/>
    <w:rsid w:val="00043C35"/>
    <w:rsid w:val="000448FC"/>
    <w:rsid w:val="000463D2"/>
    <w:rsid w:val="00046E7E"/>
    <w:rsid w:val="0004724B"/>
    <w:rsid w:val="00052189"/>
    <w:rsid w:val="00053057"/>
    <w:rsid w:val="000538E6"/>
    <w:rsid w:val="00056467"/>
    <w:rsid w:val="00056AF7"/>
    <w:rsid w:val="00057192"/>
    <w:rsid w:val="000571B3"/>
    <w:rsid w:val="00063668"/>
    <w:rsid w:val="000655EE"/>
    <w:rsid w:val="00070EFF"/>
    <w:rsid w:val="000726B3"/>
    <w:rsid w:val="00072F3D"/>
    <w:rsid w:val="00073158"/>
    <w:rsid w:val="00077AAF"/>
    <w:rsid w:val="00080008"/>
    <w:rsid w:val="00080156"/>
    <w:rsid w:val="000823C1"/>
    <w:rsid w:val="00082A6A"/>
    <w:rsid w:val="0008377E"/>
    <w:rsid w:val="00083F3D"/>
    <w:rsid w:val="00086726"/>
    <w:rsid w:val="00087DF6"/>
    <w:rsid w:val="000907BD"/>
    <w:rsid w:val="00090994"/>
    <w:rsid w:val="00092FCE"/>
    <w:rsid w:val="0009572B"/>
    <w:rsid w:val="00095CF4"/>
    <w:rsid w:val="000A1D2F"/>
    <w:rsid w:val="000A264B"/>
    <w:rsid w:val="000A3779"/>
    <w:rsid w:val="000A60B1"/>
    <w:rsid w:val="000A6C06"/>
    <w:rsid w:val="000A7739"/>
    <w:rsid w:val="000B1E8D"/>
    <w:rsid w:val="000C198E"/>
    <w:rsid w:val="000C27C1"/>
    <w:rsid w:val="000C36C0"/>
    <w:rsid w:val="000C3D5B"/>
    <w:rsid w:val="000C572C"/>
    <w:rsid w:val="000C58AC"/>
    <w:rsid w:val="000C65A8"/>
    <w:rsid w:val="000C7A9C"/>
    <w:rsid w:val="000D311E"/>
    <w:rsid w:val="000D488D"/>
    <w:rsid w:val="000D65D1"/>
    <w:rsid w:val="000D6741"/>
    <w:rsid w:val="000E016B"/>
    <w:rsid w:val="000E05B4"/>
    <w:rsid w:val="000E0A78"/>
    <w:rsid w:val="000E170E"/>
    <w:rsid w:val="000E34A3"/>
    <w:rsid w:val="000E6056"/>
    <w:rsid w:val="000E6FB8"/>
    <w:rsid w:val="000F2744"/>
    <w:rsid w:val="000F38EE"/>
    <w:rsid w:val="000F3F91"/>
    <w:rsid w:val="000F669F"/>
    <w:rsid w:val="000F6F72"/>
    <w:rsid w:val="000F7309"/>
    <w:rsid w:val="0010128F"/>
    <w:rsid w:val="00102018"/>
    <w:rsid w:val="001020B6"/>
    <w:rsid w:val="0010230D"/>
    <w:rsid w:val="00103099"/>
    <w:rsid w:val="00105371"/>
    <w:rsid w:val="00105702"/>
    <w:rsid w:val="0010669C"/>
    <w:rsid w:val="00113406"/>
    <w:rsid w:val="00116052"/>
    <w:rsid w:val="00116558"/>
    <w:rsid w:val="00117D8F"/>
    <w:rsid w:val="00120E40"/>
    <w:rsid w:val="001233DD"/>
    <w:rsid w:val="00123D10"/>
    <w:rsid w:val="00123ECD"/>
    <w:rsid w:val="00126645"/>
    <w:rsid w:val="001300D8"/>
    <w:rsid w:val="001324A5"/>
    <w:rsid w:val="00132635"/>
    <w:rsid w:val="001326A2"/>
    <w:rsid w:val="00133AEE"/>
    <w:rsid w:val="0013403E"/>
    <w:rsid w:val="00135B56"/>
    <w:rsid w:val="00136AF9"/>
    <w:rsid w:val="00140023"/>
    <w:rsid w:val="00142D59"/>
    <w:rsid w:val="00142E15"/>
    <w:rsid w:val="00144720"/>
    <w:rsid w:val="001453B3"/>
    <w:rsid w:val="001460AD"/>
    <w:rsid w:val="001467B9"/>
    <w:rsid w:val="00146A2F"/>
    <w:rsid w:val="001515C7"/>
    <w:rsid w:val="00154235"/>
    <w:rsid w:val="001556D1"/>
    <w:rsid w:val="001568BB"/>
    <w:rsid w:val="00156C88"/>
    <w:rsid w:val="0015714F"/>
    <w:rsid w:val="00163669"/>
    <w:rsid w:val="001653FC"/>
    <w:rsid w:val="001656DD"/>
    <w:rsid w:val="001664D7"/>
    <w:rsid w:val="00167759"/>
    <w:rsid w:val="001727BD"/>
    <w:rsid w:val="001761C1"/>
    <w:rsid w:val="00177240"/>
    <w:rsid w:val="00177C7B"/>
    <w:rsid w:val="00180183"/>
    <w:rsid w:val="00181848"/>
    <w:rsid w:val="001857B6"/>
    <w:rsid w:val="00185BD2"/>
    <w:rsid w:val="001866F2"/>
    <w:rsid w:val="001873F6"/>
    <w:rsid w:val="00190EAA"/>
    <w:rsid w:val="0019462D"/>
    <w:rsid w:val="00194D6D"/>
    <w:rsid w:val="00197707"/>
    <w:rsid w:val="001A0393"/>
    <w:rsid w:val="001A334E"/>
    <w:rsid w:val="001A391F"/>
    <w:rsid w:val="001A4540"/>
    <w:rsid w:val="001A467F"/>
    <w:rsid w:val="001A63C3"/>
    <w:rsid w:val="001A7E41"/>
    <w:rsid w:val="001B05FC"/>
    <w:rsid w:val="001B1295"/>
    <w:rsid w:val="001B1BF6"/>
    <w:rsid w:val="001B27D5"/>
    <w:rsid w:val="001B3E70"/>
    <w:rsid w:val="001B77FB"/>
    <w:rsid w:val="001C055B"/>
    <w:rsid w:val="001C1C12"/>
    <w:rsid w:val="001C2C4E"/>
    <w:rsid w:val="001C59E6"/>
    <w:rsid w:val="001D213C"/>
    <w:rsid w:val="001D4382"/>
    <w:rsid w:val="001D72F3"/>
    <w:rsid w:val="001D7A79"/>
    <w:rsid w:val="001D7B5F"/>
    <w:rsid w:val="001E099F"/>
    <w:rsid w:val="001E39FB"/>
    <w:rsid w:val="001E43FD"/>
    <w:rsid w:val="001E5ECD"/>
    <w:rsid w:val="001E68C6"/>
    <w:rsid w:val="001E7054"/>
    <w:rsid w:val="001F0211"/>
    <w:rsid w:val="001F257A"/>
    <w:rsid w:val="001F2A31"/>
    <w:rsid w:val="001F39D2"/>
    <w:rsid w:val="001F3F21"/>
    <w:rsid w:val="001F4BD0"/>
    <w:rsid w:val="001F5341"/>
    <w:rsid w:val="001F56EE"/>
    <w:rsid w:val="002020A1"/>
    <w:rsid w:val="00202628"/>
    <w:rsid w:val="00202ADF"/>
    <w:rsid w:val="00203923"/>
    <w:rsid w:val="002042AA"/>
    <w:rsid w:val="002047AC"/>
    <w:rsid w:val="00204F88"/>
    <w:rsid w:val="002058C1"/>
    <w:rsid w:val="00206C5B"/>
    <w:rsid w:val="00206F9C"/>
    <w:rsid w:val="00211156"/>
    <w:rsid w:val="00212545"/>
    <w:rsid w:val="00213BA0"/>
    <w:rsid w:val="00216656"/>
    <w:rsid w:val="00217BB5"/>
    <w:rsid w:val="00217EF2"/>
    <w:rsid w:val="00220D5B"/>
    <w:rsid w:val="002231F8"/>
    <w:rsid w:val="00224E26"/>
    <w:rsid w:val="002266C4"/>
    <w:rsid w:val="00226920"/>
    <w:rsid w:val="00226D01"/>
    <w:rsid w:val="0022745B"/>
    <w:rsid w:val="002275A8"/>
    <w:rsid w:val="00227704"/>
    <w:rsid w:val="00230FDA"/>
    <w:rsid w:val="00233756"/>
    <w:rsid w:val="00237F57"/>
    <w:rsid w:val="00240A2D"/>
    <w:rsid w:val="0024364B"/>
    <w:rsid w:val="00244914"/>
    <w:rsid w:val="0024638A"/>
    <w:rsid w:val="0025007D"/>
    <w:rsid w:val="00250696"/>
    <w:rsid w:val="00252377"/>
    <w:rsid w:val="00254BCC"/>
    <w:rsid w:val="00262B05"/>
    <w:rsid w:val="00264A18"/>
    <w:rsid w:val="00264DAE"/>
    <w:rsid w:val="002650D3"/>
    <w:rsid w:val="0026510F"/>
    <w:rsid w:val="002663C1"/>
    <w:rsid w:val="00266708"/>
    <w:rsid w:val="00267DA5"/>
    <w:rsid w:val="00267E5B"/>
    <w:rsid w:val="0028125F"/>
    <w:rsid w:val="002818ED"/>
    <w:rsid w:val="00282125"/>
    <w:rsid w:val="002826DB"/>
    <w:rsid w:val="00283772"/>
    <w:rsid w:val="002840C0"/>
    <w:rsid w:val="00284C08"/>
    <w:rsid w:val="0028550C"/>
    <w:rsid w:val="0029378F"/>
    <w:rsid w:val="00293941"/>
    <w:rsid w:val="002951F6"/>
    <w:rsid w:val="002969BA"/>
    <w:rsid w:val="0029715F"/>
    <w:rsid w:val="002975F8"/>
    <w:rsid w:val="002976DB"/>
    <w:rsid w:val="002A1989"/>
    <w:rsid w:val="002A1EFA"/>
    <w:rsid w:val="002A5567"/>
    <w:rsid w:val="002A620F"/>
    <w:rsid w:val="002A64CA"/>
    <w:rsid w:val="002A6D06"/>
    <w:rsid w:val="002B0EFC"/>
    <w:rsid w:val="002B2DE3"/>
    <w:rsid w:val="002B4D1B"/>
    <w:rsid w:val="002B5A9F"/>
    <w:rsid w:val="002B6DF6"/>
    <w:rsid w:val="002C0E23"/>
    <w:rsid w:val="002C2E4E"/>
    <w:rsid w:val="002C67E6"/>
    <w:rsid w:val="002C72AE"/>
    <w:rsid w:val="002D2BE8"/>
    <w:rsid w:val="002D790F"/>
    <w:rsid w:val="002E0D3B"/>
    <w:rsid w:val="002E1367"/>
    <w:rsid w:val="002E3627"/>
    <w:rsid w:val="002E463A"/>
    <w:rsid w:val="002E4A7D"/>
    <w:rsid w:val="002E59EC"/>
    <w:rsid w:val="002F00EE"/>
    <w:rsid w:val="003002FF"/>
    <w:rsid w:val="00301143"/>
    <w:rsid w:val="0030142D"/>
    <w:rsid w:val="00301C54"/>
    <w:rsid w:val="003036C2"/>
    <w:rsid w:val="00310AAA"/>
    <w:rsid w:val="00311F16"/>
    <w:rsid w:val="0031250F"/>
    <w:rsid w:val="00312E41"/>
    <w:rsid w:val="00316CD3"/>
    <w:rsid w:val="003177A7"/>
    <w:rsid w:val="0032014D"/>
    <w:rsid w:val="00320FA2"/>
    <w:rsid w:val="00322BA1"/>
    <w:rsid w:val="003248D9"/>
    <w:rsid w:val="0032491A"/>
    <w:rsid w:val="003258AD"/>
    <w:rsid w:val="00325979"/>
    <w:rsid w:val="0033042C"/>
    <w:rsid w:val="00330AA2"/>
    <w:rsid w:val="00334132"/>
    <w:rsid w:val="00337919"/>
    <w:rsid w:val="00340869"/>
    <w:rsid w:val="003424A4"/>
    <w:rsid w:val="003454DE"/>
    <w:rsid w:val="00346D21"/>
    <w:rsid w:val="00350E0B"/>
    <w:rsid w:val="0035393E"/>
    <w:rsid w:val="00353AB8"/>
    <w:rsid w:val="00353DDE"/>
    <w:rsid w:val="003545BB"/>
    <w:rsid w:val="003546F9"/>
    <w:rsid w:val="0035474C"/>
    <w:rsid w:val="00355714"/>
    <w:rsid w:val="00360628"/>
    <w:rsid w:val="003624C0"/>
    <w:rsid w:val="00363337"/>
    <w:rsid w:val="00364FD9"/>
    <w:rsid w:val="003659A3"/>
    <w:rsid w:val="00366D05"/>
    <w:rsid w:val="003709F2"/>
    <w:rsid w:val="00370A64"/>
    <w:rsid w:val="00371984"/>
    <w:rsid w:val="00371C3E"/>
    <w:rsid w:val="00372B1B"/>
    <w:rsid w:val="00372D47"/>
    <w:rsid w:val="00372F75"/>
    <w:rsid w:val="003731E9"/>
    <w:rsid w:val="00376568"/>
    <w:rsid w:val="00376A0E"/>
    <w:rsid w:val="00376A22"/>
    <w:rsid w:val="00380565"/>
    <w:rsid w:val="003878E6"/>
    <w:rsid w:val="00395DC4"/>
    <w:rsid w:val="003962F6"/>
    <w:rsid w:val="0039754C"/>
    <w:rsid w:val="00397857"/>
    <w:rsid w:val="003A0202"/>
    <w:rsid w:val="003A69A3"/>
    <w:rsid w:val="003B3FED"/>
    <w:rsid w:val="003B5957"/>
    <w:rsid w:val="003B62A6"/>
    <w:rsid w:val="003C0F1E"/>
    <w:rsid w:val="003C1533"/>
    <w:rsid w:val="003C25FD"/>
    <w:rsid w:val="003C263E"/>
    <w:rsid w:val="003C2B76"/>
    <w:rsid w:val="003C3FED"/>
    <w:rsid w:val="003C4D24"/>
    <w:rsid w:val="003C54F5"/>
    <w:rsid w:val="003C7FC5"/>
    <w:rsid w:val="003D02B7"/>
    <w:rsid w:val="003D2577"/>
    <w:rsid w:val="003D2A28"/>
    <w:rsid w:val="003D45F9"/>
    <w:rsid w:val="003D723F"/>
    <w:rsid w:val="003D777C"/>
    <w:rsid w:val="003E12BB"/>
    <w:rsid w:val="003E18EE"/>
    <w:rsid w:val="003E1CE4"/>
    <w:rsid w:val="003E233A"/>
    <w:rsid w:val="003E3A0D"/>
    <w:rsid w:val="003E3A7C"/>
    <w:rsid w:val="003E3E83"/>
    <w:rsid w:val="003E4002"/>
    <w:rsid w:val="003E4197"/>
    <w:rsid w:val="003E4F47"/>
    <w:rsid w:val="003E5B72"/>
    <w:rsid w:val="003E7331"/>
    <w:rsid w:val="003F12A7"/>
    <w:rsid w:val="003F1D82"/>
    <w:rsid w:val="003F24F4"/>
    <w:rsid w:val="003F371B"/>
    <w:rsid w:val="003F3B15"/>
    <w:rsid w:val="003F5E3F"/>
    <w:rsid w:val="00400D39"/>
    <w:rsid w:val="0040244E"/>
    <w:rsid w:val="004039BE"/>
    <w:rsid w:val="00404370"/>
    <w:rsid w:val="00404429"/>
    <w:rsid w:val="00410ED7"/>
    <w:rsid w:val="00411979"/>
    <w:rsid w:val="00411B7E"/>
    <w:rsid w:val="00426412"/>
    <w:rsid w:val="00427129"/>
    <w:rsid w:val="00431F8E"/>
    <w:rsid w:val="004322CF"/>
    <w:rsid w:val="00433696"/>
    <w:rsid w:val="00433FE6"/>
    <w:rsid w:val="004349E7"/>
    <w:rsid w:val="00440299"/>
    <w:rsid w:val="00440D95"/>
    <w:rsid w:val="004413F0"/>
    <w:rsid w:val="004423AC"/>
    <w:rsid w:val="00443E18"/>
    <w:rsid w:val="00446628"/>
    <w:rsid w:val="0045426A"/>
    <w:rsid w:val="004543A1"/>
    <w:rsid w:val="0045482B"/>
    <w:rsid w:val="00455D46"/>
    <w:rsid w:val="004579DA"/>
    <w:rsid w:val="00460288"/>
    <w:rsid w:val="00461D6F"/>
    <w:rsid w:val="004620F7"/>
    <w:rsid w:val="004621F4"/>
    <w:rsid w:val="004629E7"/>
    <w:rsid w:val="00463C97"/>
    <w:rsid w:val="00465903"/>
    <w:rsid w:val="00465D88"/>
    <w:rsid w:val="004709A7"/>
    <w:rsid w:val="004736C0"/>
    <w:rsid w:val="00476400"/>
    <w:rsid w:val="004770FD"/>
    <w:rsid w:val="0047794B"/>
    <w:rsid w:val="004800A0"/>
    <w:rsid w:val="00480233"/>
    <w:rsid w:val="004802D0"/>
    <w:rsid w:val="00480BE0"/>
    <w:rsid w:val="00485272"/>
    <w:rsid w:val="00486C41"/>
    <w:rsid w:val="00493731"/>
    <w:rsid w:val="0049537B"/>
    <w:rsid w:val="0049622B"/>
    <w:rsid w:val="004965FC"/>
    <w:rsid w:val="0049663A"/>
    <w:rsid w:val="0049755E"/>
    <w:rsid w:val="004A0F0F"/>
    <w:rsid w:val="004A2E68"/>
    <w:rsid w:val="004B3B99"/>
    <w:rsid w:val="004B4DD1"/>
    <w:rsid w:val="004B6CE4"/>
    <w:rsid w:val="004C182E"/>
    <w:rsid w:val="004C3E2D"/>
    <w:rsid w:val="004C7ACA"/>
    <w:rsid w:val="004D03F1"/>
    <w:rsid w:val="004D0694"/>
    <w:rsid w:val="004D104C"/>
    <w:rsid w:val="004D11DA"/>
    <w:rsid w:val="004D2C9A"/>
    <w:rsid w:val="004D5327"/>
    <w:rsid w:val="004E1CB5"/>
    <w:rsid w:val="004E28DB"/>
    <w:rsid w:val="004E2B2F"/>
    <w:rsid w:val="004E2B8F"/>
    <w:rsid w:val="004E37A0"/>
    <w:rsid w:val="004E3EC5"/>
    <w:rsid w:val="004E6077"/>
    <w:rsid w:val="004F0E17"/>
    <w:rsid w:val="004F137D"/>
    <w:rsid w:val="004F16C4"/>
    <w:rsid w:val="004F5146"/>
    <w:rsid w:val="004F6EE5"/>
    <w:rsid w:val="0050010E"/>
    <w:rsid w:val="00503156"/>
    <w:rsid w:val="00504AE0"/>
    <w:rsid w:val="005053D6"/>
    <w:rsid w:val="00511ADB"/>
    <w:rsid w:val="00515C63"/>
    <w:rsid w:val="00517022"/>
    <w:rsid w:val="00517456"/>
    <w:rsid w:val="00517529"/>
    <w:rsid w:val="0052000A"/>
    <w:rsid w:val="0052119E"/>
    <w:rsid w:val="00521FD9"/>
    <w:rsid w:val="00522594"/>
    <w:rsid w:val="005234AE"/>
    <w:rsid w:val="00523AA1"/>
    <w:rsid w:val="00523BDD"/>
    <w:rsid w:val="00523EE9"/>
    <w:rsid w:val="00525021"/>
    <w:rsid w:val="005300D4"/>
    <w:rsid w:val="00532734"/>
    <w:rsid w:val="00533B9E"/>
    <w:rsid w:val="00534B46"/>
    <w:rsid w:val="0053744C"/>
    <w:rsid w:val="00537594"/>
    <w:rsid w:val="00540377"/>
    <w:rsid w:val="0054077D"/>
    <w:rsid w:val="0054471F"/>
    <w:rsid w:val="00545F96"/>
    <w:rsid w:val="00546266"/>
    <w:rsid w:val="0054773F"/>
    <w:rsid w:val="005504E5"/>
    <w:rsid w:val="005660CD"/>
    <w:rsid w:val="00566190"/>
    <w:rsid w:val="0057009D"/>
    <w:rsid w:val="005713E9"/>
    <w:rsid w:val="00571481"/>
    <w:rsid w:val="00572B14"/>
    <w:rsid w:val="005735E7"/>
    <w:rsid w:val="00573797"/>
    <w:rsid w:val="0057487C"/>
    <w:rsid w:val="00576AE6"/>
    <w:rsid w:val="00583179"/>
    <w:rsid w:val="00592C1A"/>
    <w:rsid w:val="00593A0E"/>
    <w:rsid w:val="00597598"/>
    <w:rsid w:val="005A6E5A"/>
    <w:rsid w:val="005B2B07"/>
    <w:rsid w:val="005B5BC6"/>
    <w:rsid w:val="005B643E"/>
    <w:rsid w:val="005C0168"/>
    <w:rsid w:val="005C12F5"/>
    <w:rsid w:val="005C3BB7"/>
    <w:rsid w:val="005C7441"/>
    <w:rsid w:val="005D0AE8"/>
    <w:rsid w:val="005D0D08"/>
    <w:rsid w:val="005D3D3E"/>
    <w:rsid w:val="005D589C"/>
    <w:rsid w:val="005D62D1"/>
    <w:rsid w:val="005D7D19"/>
    <w:rsid w:val="005E0A47"/>
    <w:rsid w:val="005E3CE0"/>
    <w:rsid w:val="005E60BF"/>
    <w:rsid w:val="005E62B3"/>
    <w:rsid w:val="005E68AB"/>
    <w:rsid w:val="005F0121"/>
    <w:rsid w:val="005F11A3"/>
    <w:rsid w:val="005F14E1"/>
    <w:rsid w:val="005F2E5B"/>
    <w:rsid w:val="005F4F48"/>
    <w:rsid w:val="005F50EE"/>
    <w:rsid w:val="005F5856"/>
    <w:rsid w:val="005F64F0"/>
    <w:rsid w:val="005F65C1"/>
    <w:rsid w:val="006002F6"/>
    <w:rsid w:val="00600B83"/>
    <w:rsid w:val="0060122A"/>
    <w:rsid w:val="006021E9"/>
    <w:rsid w:val="006022E9"/>
    <w:rsid w:val="0060272A"/>
    <w:rsid w:val="0061038A"/>
    <w:rsid w:val="00612F87"/>
    <w:rsid w:val="00617829"/>
    <w:rsid w:val="00621CB8"/>
    <w:rsid w:val="00622DFC"/>
    <w:rsid w:val="006250BF"/>
    <w:rsid w:val="006262D8"/>
    <w:rsid w:val="006272E4"/>
    <w:rsid w:val="00627823"/>
    <w:rsid w:val="00631C3C"/>
    <w:rsid w:val="00633A06"/>
    <w:rsid w:val="00636224"/>
    <w:rsid w:val="00640BA4"/>
    <w:rsid w:val="00643C55"/>
    <w:rsid w:val="00646191"/>
    <w:rsid w:val="00652872"/>
    <w:rsid w:val="00654DB9"/>
    <w:rsid w:val="0065592D"/>
    <w:rsid w:val="00656495"/>
    <w:rsid w:val="006568D7"/>
    <w:rsid w:val="0066185E"/>
    <w:rsid w:val="00664695"/>
    <w:rsid w:val="006672E5"/>
    <w:rsid w:val="00667350"/>
    <w:rsid w:val="00667D86"/>
    <w:rsid w:val="00670789"/>
    <w:rsid w:val="00672A5C"/>
    <w:rsid w:val="00672D8C"/>
    <w:rsid w:val="00674D40"/>
    <w:rsid w:val="006772DF"/>
    <w:rsid w:val="00680439"/>
    <w:rsid w:val="00683239"/>
    <w:rsid w:val="00683B36"/>
    <w:rsid w:val="006840E3"/>
    <w:rsid w:val="00685483"/>
    <w:rsid w:val="00687DE0"/>
    <w:rsid w:val="006938ED"/>
    <w:rsid w:val="00694976"/>
    <w:rsid w:val="00697514"/>
    <w:rsid w:val="006A0C3F"/>
    <w:rsid w:val="006A0C65"/>
    <w:rsid w:val="006A0E9D"/>
    <w:rsid w:val="006A2E9D"/>
    <w:rsid w:val="006A56BC"/>
    <w:rsid w:val="006A5FC8"/>
    <w:rsid w:val="006B18FE"/>
    <w:rsid w:val="006B1BE3"/>
    <w:rsid w:val="006B6B7E"/>
    <w:rsid w:val="006B7D88"/>
    <w:rsid w:val="006C080E"/>
    <w:rsid w:val="006C1E37"/>
    <w:rsid w:val="006C29DF"/>
    <w:rsid w:val="006C3F7A"/>
    <w:rsid w:val="006C4619"/>
    <w:rsid w:val="006C4C98"/>
    <w:rsid w:val="006C4F89"/>
    <w:rsid w:val="006C7B62"/>
    <w:rsid w:val="006D01FB"/>
    <w:rsid w:val="006D0A2F"/>
    <w:rsid w:val="006D34D6"/>
    <w:rsid w:val="006D3B1C"/>
    <w:rsid w:val="006D4351"/>
    <w:rsid w:val="006D4441"/>
    <w:rsid w:val="006D6491"/>
    <w:rsid w:val="006D6953"/>
    <w:rsid w:val="006D7F4D"/>
    <w:rsid w:val="006E2A8F"/>
    <w:rsid w:val="006E423A"/>
    <w:rsid w:val="006E4B3A"/>
    <w:rsid w:val="006E4C64"/>
    <w:rsid w:val="006F25F6"/>
    <w:rsid w:val="006F3D6B"/>
    <w:rsid w:val="006F66FC"/>
    <w:rsid w:val="006F70A4"/>
    <w:rsid w:val="00700018"/>
    <w:rsid w:val="00702CBC"/>
    <w:rsid w:val="0070456E"/>
    <w:rsid w:val="007048C8"/>
    <w:rsid w:val="00707E05"/>
    <w:rsid w:val="00710A16"/>
    <w:rsid w:val="00714BE5"/>
    <w:rsid w:val="0071722F"/>
    <w:rsid w:val="0072093A"/>
    <w:rsid w:val="00720F5B"/>
    <w:rsid w:val="00721350"/>
    <w:rsid w:val="00721565"/>
    <w:rsid w:val="00731E75"/>
    <w:rsid w:val="00735406"/>
    <w:rsid w:val="0073710B"/>
    <w:rsid w:val="0074000D"/>
    <w:rsid w:val="00741B77"/>
    <w:rsid w:val="00741C15"/>
    <w:rsid w:val="00742DE8"/>
    <w:rsid w:val="00743387"/>
    <w:rsid w:val="007446A4"/>
    <w:rsid w:val="0074476B"/>
    <w:rsid w:val="0074480B"/>
    <w:rsid w:val="00745A63"/>
    <w:rsid w:val="00746F0C"/>
    <w:rsid w:val="00747F5F"/>
    <w:rsid w:val="00752B5C"/>
    <w:rsid w:val="0075307F"/>
    <w:rsid w:val="00755DD0"/>
    <w:rsid w:val="007565ED"/>
    <w:rsid w:val="00761033"/>
    <w:rsid w:val="00761143"/>
    <w:rsid w:val="00762381"/>
    <w:rsid w:val="00762E40"/>
    <w:rsid w:val="00764799"/>
    <w:rsid w:val="007652F1"/>
    <w:rsid w:val="00767C2C"/>
    <w:rsid w:val="007714B0"/>
    <w:rsid w:val="00773F97"/>
    <w:rsid w:val="00774B61"/>
    <w:rsid w:val="00776105"/>
    <w:rsid w:val="00781CAC"/>
    <w:rsid w:val="007824BC"/>
    <w:rsid w:val="00785FA6"/>
    <w:rsid w:val="007902E0"/>
    <w:rsid w:val="0079131A"/>
    <w:rsid w:val="00793EC5"/>
    <w:rsid w:val="00794DC0"/>
    <w:rsid w:val="007953BC"/>
    <w:rsid w:val="00796ED8"/>
    <w:rsid w:val="00797E8E"/>
    <w:rsid w:val="007A0168"/>
    <w:rsid w:val="007A0522"/>
    <w:rsid w:val="007A0851"/>
    <w:rsid w:val="007A1D5F"/>
    <w:rsid w:val="007A31B1"/>
    <w:rsid w:val="007A58EF"/>
    <w:rsid w:val="007B0AE4"/>
    <w:rsid w:val="007B1A9B"/>
    <w:rsid w:val="007B42FD"/>
    <w:rsid w:val="007B64A2"/>
    <w:rsid w:val="007B6F00"/>
    <w:rsid w:val="007C0712"/>
    <w:rsid w:val="007C161A"/>
    <w:rsid w:val="007C1F7C"/>
    <w:rsid w:val="007C56FE"/>
    <w:rsid w:val="007C5D8F"/>
    <w:rsid w:val="007C6199"/>
    <w:rsid w:val="007C7F21"/>
    <w:rsid w:val="007D15CB"/>
    <w:rsid w:val="007D39E8"/>
    <w:rsid w:val="007D70C0"/>
    <w:rsid w:val="007D7FBF"/>
    <w:rsid w:val="007E145D"/>
    <w:rsid w:val="007E3F73"/>
    <w:rsid w:val="007E4D76"/>
    <w:rsid w:val="007E5D2A"/>
    <w:rsid w:val="007E7010"/>
    <w:rsid w:val="007F0190"/>
    <w:rsid w:val="007F051C"/>
    <w:rsid w:val="007F11CA"/>
    <w:rsid w:val="007F3CEA"/>
    <w:rsid w:val="007F43FA"/>
    <w:rsid w:val="007F44CA"/>
    <w:rsid w:val="007F4B80"/>
    <w:rsid w:val="007F6617"/>
    <w:rsid w:val="007F7C18"/>
    <w:rsid w:val="008001E1"/>
    <w:rsid w:val="00800726"/>
    <w:rsid w:val="00803D3E"/>
    <w:rsid w:val="00806467"/>
    <w:rsid w:val="00813C8E"/>
    <w:rsid w:val="00817833"/>
    <w:rsid w:val="00821AFA"/>
    <w:rsid w:val="00824804"/>
    <w:rsid w:val="008256D8"/>
    <w:rsid w:val="00835FD2"/>
    <w:rsid w:val="00841F14"/>
    <w:rsid w:val="00850E80"/>
    <w:rsid w:val="008516EC"/>
    <w:rsid w:val="00853B00"/>
    <w:rsid w:val="00855A2F"/>
    <w:rsid w:val="00855C4E"/>
    <w:rsid w:val="00857A08"/>
    <w:rsid w:val="00860069"/>
    <w:rsid w:val="008636AE"/>
    <w:rsid w:val="00864397"/>
    <w:rsid w:val="0086445B"/>
    <w:rsid w:val="008659B3"/>
    <w:rsid w:val="00866359"/>
    <w:rsid w:val="008671D8"/>
    <w:rsid w:val="00867301"/>
    <w:rsid w:val="00867FF4"/>
    <w:rsid w:val="0087118B"/>
    <w:rsid w:val="008716A7"/>
    <w:rsid w:val="0087285C"/>
    <w:rsid w:val="00872F9F"/>
    <w:rsid w:val="0087355B"/>
    <w:rsid w:val="00873A41"/>
    <w:rsid w:val="00875770"/>
    <w:rsid w:val="0088237E"/>
    <w:rsid w:val="00882FCC"/>
    <w:rsid w:val="008835F4"/>
    <w:rsid w:val="00884105"/>
    <w:rsid w:val="00884E38"/>
    <w:rsid w:val="00886F51"/>
    <w:rsid w:val="008871B5"/>
    <w:rsid w:val="00890178"/>
    <w:rsid w:val="00890408"/>
    <w:rsid w:val="008910BB"/>
    <w:rsid w:val="00893A6B"/>
    <w:rsid w:val="0089640A"/>
    <w:rsid w:val="008979BF"/>
    <w:rsid w:val="008A02D9"/>
    <w:rsid w:val="008A172E"/>
    <w:rsid w:val="008A2984"/>
    <w:rsid w:val="008A484F"/>
    <w:rsid w:val="008A50B0"/>
    <w:rsid w:val="008B13B7"/>
    <w:rsid w:val="008B432F"/>
    <w:rsid w:val="008B5AC0"/>
    <w:rsid w:val="008B6E0E"/>
    <w:rsid w:val="008C076D"/>
    <w:rsid w:val="008D1425"/>
    <w:rsid w:val="008D280C"/>
    <w:rsid w:val="008D329D"/>
    <w:rsid w:val="008D69FD"/>
    <w:rsid w:val="008E2C6E"/>
    <w:rsid w:val="008E3926"/>
    <w:rsid w:val="008E4105"/>
    <w:rsid w:val="008E7E4C"/>
    <w:rsid w:val="008F0B57"/>
    <w:rsid w:val="008F1292"/>
    <w:rsid w:val="008F277C"/>
    <w:rsid w:val="008F31D9"/>
    <w:rsid w:val="008F48A9"/>
    <w:rsid w:val="008F56B8"/>
    <w:rsid w:val="008F69A6"/>
    <w:rsid w:val="00903F19"/>
    <w:rsid w:val="00904021"/>
    <w:rsid w:val="0090625B"/>
    <w:rsid w:val="00910225"/>
    <w:rsid w:val="00911049"/>
    <w:rsid w:val="009126CA"/>
    <w:rsid w:val="00912A6D"/>
    <w:rsid w:val="00913155"/>
    <w:rsid w:val="009132DC"/>
    <w:rsid w:val="00913BB7"/>
    <w:rsid w:val="00917490"/>
    <w:rsid w:val="00921825"/>
    <w:rsid w:val="00922028"/>
    <w:rsid w:val="00923F28"/>
    <w:rsid w:val="00927159"/>
    <w:rsid w:val="00927A9E"/>
    <w:rsid w:val="0093057A"/>
    <w:rsid w:val="00932B52"/>
    <w:rsid w:val="00937A95"/>
    <w:rsid w:val="00941DB4"/>
    <w:rsid w:val="0094274E"/>
    <w:rsid w:val="009433E5"/>
    <w:rsid w:val="009461B4"/>
    <w:rsid w:val="00947841"/>
    <w:rsid w:val="00947AB8"/>
    <w:rsid w:val="00952A2D"/>
    <w:rsid w:val="009535B6"/>
    <w:rsid w:val="0095400F"/>
    <w:rsid w:val="00954043"/>
    <w:rsid w:val="009548BA"/>
    <w:rsid w:val="00961BEA"/>
    <w:rsid w:val="00962316"/>
    <w:rsid w:val="00971EE3"/>
    <w:rsid w:val="00972359"/>
    <w:rsid w:val="009772B4"/>
    <w:rsid w:val="0097776F"/>
    <w:rsid w:val="00980E19"/>
    <w:rsid w:val="009850DC"/>
    <w:rsid w:val="009922E5"/>
    <w:rsid w:val="009938B4"/>
    <w:rsid w:val="00993A23"/>
    <w:rsid w:val="009946C8"/>
    <w:rsid w:val="009949BC"/>
    <w:rsid w:val="00995AA0"/>
    <w:rsid w:val="00997453"/>
    <w:rsid w:val="00997D9B"/>
    <w:rsid w:val="009A07B7"/>
    <w:rsid w:val="009A23FF"/>
    <w:rsid w:val="009A266D"/>
    <w:rsid w:val="009A4001"/>
    <w:rsid w:val="009A4E01"/>
    <w:rsid w:val="009A6A1A"/>
    <w:rsid w:val="009A7149"/>
    <w:rsid w:val="009B1A81"/>
    <w:rsid w:val="009B4AFE"/>
    <w:rsid w:val="009B71E3"/>
    <w:rsid w:val="009B7559"/>
    <w:rsid w:val="009C41D1"/>
    <w:rsid w:val="009D0E56"/>
    <w:rsid w:val="009D0E7B"/>
    <w:rsid w:val="009D18E4"/>
    <w:rsid w:val="009D30EE"/>
    <w:rsid w:val="009D5E48"/>
    <w:rsid w:val="009E09E8"/>
    <w:rsid w:val="009E0BA7"/>
    <w:rsid w:val="009E11E5"/>
    <w:rsid w:val="009E11EC"/>
    <w:rsid w:val="009E6ACC"/>
    <w:rsid w:val="009E6FF7"/>
    <w:rsid w:val="009E7F26"/>
    <w:rsid w:val="009F2068"/>
    <w:rsid w:val="009F46E5"/>
    <w:rsid w:val="009F49AF"/>
    <w:rsid w:val="009F6B4D"/>
    <w:rsid w:val="00A041BE"/>
    <w:rsid w:val="00A049C5"/>
    <w:rsid w:val="00A05B6A"/>
    <w:rsid w:val="00A0642B"/>
    <w:rsid w:val="00A06CAB"/>
    <w:rsid w:val="00A07C6C"/>
    <w:rsid w:val="00A127BD"/>
    <w:rsid w:val="00A1443B"/>
    <w:rsid w:val="00A162A8"/>
    <w:rsid w:val="00A16DFB"/>
    <w:rsid w:val="00A177A5"/>
    <w:rsid w:val="00A22B2B"/>
    <w:rsid w:val="00A234B9"/>
    <w:rsid w:val="00A24F31"/>
    <w:rsid w:val="00A25E33"/>
    <w:rsid w:val="00A27303"/>
    <w:rsid w:val="00A30399"/>
    <w:rsid w:val="00A31096"/>
    <w:rsid w:val="00A32C8D"/>
    <w:rsid w:val="00A351D3"/>
    <w:rsid w:val="00A4092D"/>
    <w:rsid w:val="00A42363"/>
    <w:rsid w:val="00A46234"/>
    <w:rsid w:val="00A512AC"/>
    <w:rsid w:val="00A55918"/>
    <w:rsid w:val="00A56D4A"/>
    <w:rsid w:val="00A56E15"/>
    <w:rsid w:val="00A609C8"/>
    <w:rsid w:val="00A62439"/>
    <w:rsid w:val="00A658DC"/>
    <w:rsid w:val="00A66740"/>
    <w:rsid w:val="00A67ACC"/>
    <w:rsid w:val="00A67D59"/>
    <w:rsid w:val="00A72695"/>
    <w:rsid w:val="00A74B5B"/>
    <w:rsid w:val="00A76CF3"/>
    <w:rsid w:val="00A77960"/>
    <w:rsid w:val="00A80D96"/>
    <w:rsid w:val="00A81098"/>
    <w:rsid w:val="00A851E0"/>
    <w:rsid w:val="00A91060"/>
    <w:rsid w:val="00A91AC3"/>
    <w:rsid w:val="00A94844"/>
    <w:rsid w:val="00A967F9"/>
    <w:rsid w:val="00AA7007"/>
    <w:rsid w:val="00AA7EDD"/>
    <w:rsid w:val="00AB15D9"/>
    <w:rsid w:val="00AB18DC"/>
    <w:rsid w:val="00AB3CED"/>
    <w:rsid w:val="00AB4516"/>
    <w:rsid w:val="00AB61DB"/>
    <w:rsid w:val="00AB66C3"/>
    <w:rsid w:val="00AC0390"/>
    <w:rsid w:val="00AC129A"/>
    <w:rsid w:val="00AC335F"/>
    <w:rsid w:val="00AC3A70"/>
    <w:rsid w:val="00AC4809"/>
    <w:rsid w:val="00AC48FA"/>
    <w:rsid w:val="00AC59CD"/>
    <w:rsid w:val="00AC6D8A"/>
    <w:rsid w:val="00AC773D"/>
    <w:rsid w:val="00AD0240"/>
    <w:rsid w:val="00AD3385"/>
    <w:rsid w:val="00AD53A7"/>
    <w:rsid w:val="00AD5B7B"/>
    <w:rsid w:val="00AD7131"/>
    <w:rsid w:val="00AE0D52"/>
    <w:rsid w:val="00AE24B6"/>
    <w:rsid w:val="00AE3404"/>
    <w:rsid w:val="00AE6680"/>
    <w:rsid w:val="00AE6EA3"/>
    <w:rsid w:val="00AE6EED"/>
    <w:rsid w:val="00AE7345"/>
    <w:rsid w:val="00AE7B3C"/>
    <w:rsid w:val="00AF090C"/>
    <w:rsid w:val="00AF1783"/>
    <w:rsid w:val="00AF29F8"/>
    <w:rsid w:val="00AF2CFA"/>
    <w:rsid w:val="00AF5841"/>
    <w:rsid w:val="00B04739"/>
    <w:rsid w:val="00B0679B"/>
    <w:rsid w:val="00B07DE8"/>
    <w:rsid w:val="00B07E2F"/>
    <w:rsid w:val="00B13CA3"/>
    <w:rsid w:val="00B1422A"/>
    <w:rsid w:val="00B151FD"/>
    <w:rsid w:val="00B224C2"/>
    <w:rsid w:val="00B22A82"/>
    <w:rsid w:val="00B238D1"/>
    <w:rsid w:val="00B25AE8"/>
    <w:rsid w:val="00B2726D"/>
    <w:rsid w:val="00B332B8"/>
    <w:rsid w:val="00B332EB"/>
    <w:rsid w:val="00B35C7D"/>
    <w:rsid w:val="00B367EE"/>
    <w:rsid w:val="00B4223C"/>
    <w:rsid w:val="00B43012"/>
    <w:rsid w:val="00B444DD"/>
    <w:rsid w:val="00B524BD"/>
    <w:rsid w:val="00B52B3A"/>
    <w:rsid w:val="00B52D91"/>
    <w:rsid w:val="00B55D4C"/>
    <w:rsid w:val="00B60267"/>
    <w:rsid w:val="00B610A4"/>
    <w:rsid w:val="00B6163E"/>
    <w:rsid w:val="00B63221"/>
    <w:rsid w:val="00B66AEF"/>
    <w:rsid w:val="00B7234C"/>
    <w:rsid w:val="00B72644"/>
    <w:rsid w:val="00B72B31"/>
    <w:rsid w:val="00B73C4D"/>
    <w:rsid w:val="00B74203"/>
    <w:rsid w:val="00B76AF1"/>
    <w:rsid w:val="00B80C24"/>
    <w:rsid w:val="00B83671"/>
    <w:rsid w:val="00B840CF"/>
    <w:rsid w:val="00B86114"/>
    <w:rsid w:val="00B9342C"/>
    <w:rsid w:val="00B934BF"/>
    <w:rsid w:val="00B97F7B"/>
    <w:rsid w:val="00BA1509"/>
    <w:rsid w:val="00BA2AAC"/>
    <w:rsid w:val="00BA449E"/>
    <w:rsid w:val="00BA5EAC"/>
    <w:rsid w:val="00BA7D00"/>
    <w:rsid w:val="00BB349B"/>
    <w:rsid w:val="00BB4439"/>
    <w:rsid w:val="00BB4E18"/>
    <w:rsid w:val="00BB4F87"/>
    <w:rsid w:val="00BB51BC"/>
    <w:rsid w:val="00BB58C4"/>
    <w:rsid w:val="00BB76BC"/>
    <w:rsid w:val="00BC051E"/>
    <w:rsid w:val="00BC2D4D"/>
    <w:rsid w:val="00BC5F6E"/>
    <w:rsid w:val="00BD1FDC"/>
    <w:rsid w:val="00BD2839"/>
    <w:rsid w:val="00BD2B59"/>
    <w:rsid w:val="00BD3442"/>
    <w:rsid w:val="00BD3F8E"/>
    <w:rsid w:val="00BD5103"/>
    <w:rsid w:val="00BE3561"/>
    <w:rsid w:val="00BE57D5"/>
    <w:rsid w:val="00BE5B08"/>
    <w:rsid w:val="00BE6F24"/>
    <w:rsid w:val="00BF0403"/>
    <w:rsid w:val="00BF0F17"/>
    <w:rsid w:val="00BF1BCF"/>
    <w:rsid w:val="00BF2703"/>
    <w:rsid w:val="00BF2D73"/>
    <w:rsid w:val="00BF4212"/>
    <w:rsid w:val="00BF5D40"/>
    <w:rsid w:val="00BF5D43"/>
    <w:rsid w:val="00BF6BBD"/>
    <w:rsid w:val="00BF76BC"/>
    <w:rsid w:val="00C006D8"/>
    <w:rsid w:val="00C07960"/>
    <w:rsid w:val="00C101DD"/>
    <w:rsid w:val="00C1032B"/>
    <w:rsid w:val="00C133CA"/>
    <w:rsid w:val="00C1511F"/>
    <w:rsid w:val="00C1710E"/>
    <w:rsid w:val="00C22D53"/>
    <w:rsid w:val="00C27A47"/>
    <w:rsid w:val="00C30753"/>
    <w:rsid w:val="00C30B2F"/>
    <w:rsid w:val="00C338D0"/>
    <w:rsid w:val="00C36858"/>
    <w:rsid w:val="00C36C83"/>
    <w:rsid w:val="00C37D11"/>
    <w:rsid w:val="00C403AD"/>
    <w:rsid w:val="00C41AE1"/>
    <w:rsid w:val="00C53404"/>
    <w:rsid w:val="00C56811"/>
    <w:rsid w:val="00C6078B"/>
    <w:rsid w:val="00C60C6C"/>
    <w:rsid w:val="00C62AC1"/>
    <w:rsid w:val="00C62CA9"/>
    <w:rsid w:val="00C659D2"/>
    <w:rsid w:val="00C70877"/>
    <w:rsid w:val="00C7357C"/>
    <w:rsid w:val="00C75857"/>
    <w:rsid w:val="00C75B36"/>
    <w:rsid w:val="00C80623"/>
    <w:rsid w:val="00C820F3"/>
    <w:rsid w:val="00C8255A"/>
    <w:rsid w:val="00C85C60"/>
    <w:rsid w:val="00C862C0"/>
    <w:rsid w:val="00C87447"/>
    <w:rsid w:val="00C913A0"/>
    <w:rsid w:val="00C92ADE"/>
    <w:rsid w:val="00C93C38"/>
    <w:rsid w:val="00C94280"/>
    <w:rsid w:val="00C948B7"/>
    <w:rsid w:val="00C94B34"/>
    <w:rsid w:val="00C95AB7"/>
    <w:rsid w:val="00C95B29"/>
    <w:rsid w:val="00C96489"/>
    <w:rsid w:val="00C9789F"/>
    <w:rsid w:val="00C97F95"/>
    <w:rsid w:val="00CA4586"/>
    <w:rsid w:val="00CA6AD2"/>
    <w:rsid w:val="00CB00B9"/>
    <w:rsid w:val="00CB0B39"/>
    <w:rsid w:val="00CB23D1"/>
    <w:rsid w:val="00CB390E"/>
    <w:rsid w:val="00CB5702"/>
    <w:rsid w:val="00CC1279"/>
    <w:rsid w:val="00CC6B4F"/>
    <w:rsid w:val="00CD0AC4"/>
    <w:rsid w:val="00CD1307"/>
    <w:rsid w:val="00CD25B2"/>
    <w:rsid w:val="00CD46C0"/>
    <w:rsid w:val="00CE52AB"/>
    <w:rsid w:val="00CF15B8"/>
    <w:rsid w:val="00CF1ACC"/>
    <w:rsid w:val="00CF4094"/>
    <w:rsid w:val="00CF4934"/>
    <w:rsid w:val="00CF4F21"/>
    <w:rsid w:val="00CF7F26"/>
    <w:rsid w:val="00D005F4"/>
    <w:rsid w:val="00D0211F"/>
    <w:rsid w:val="00D026C0"/>
    <w:rsid w:val="00D056FB"/>
    <w:rsid w:val="00D06303"/>
    <w:rsid w:val="00D10361"/>
    <w:rsid w:val="00D112C0"/>
    <w:rsid w:val="00D12106"/>
    <w:rsid w:val="00D12B58"/>
    <w:rsid w:val="00D130B5"/>
    <w:rsid w:val="00D13CEC"/>
    <w:rsid w:val="00D13DB0"/>
    <w:rsid w:val="00D23541"/>
    <w:rsid w:val="00D23888"/>
    <w:rsid w:val="00D23F98"/>
    <w:rsid w:val="00D309C1"/>
    <w:rsid w:val="00D31E4F"/>
    <w:rsid w:val="00D3256E"/>
    <w:rsid w:val="00D32BD5"/>
    <w:rsid w:val="00D3311D"/>
    <w:rsid w:val="00D343D8"/>
    <w:rsid w:val="00D34C88"/>
    <w:rsid w:val="00D364E5"/>
    <w:rsid w:val="00D370D5"/>
    <w:rsid w:val="00D400A4"/>
    <w:rsid w:val="00D42945"/>
    <w:rsid w:val="00D439D9"/>
    <w:rsid w:val="00D44D33"/>
    <w:rsid w:val="00D51A6B"/>
    <w:rsid w:val="00D52309"/>
    <w:rsid w:val="00D54265"/>
    <w:rsid w:val="00D54A47"/>
    <w:rsid w:val="00D55C75"/>
    <w:rsid w:val="00D55CFA"/>
    <w:rsid w:val="00D62A09"/>
    <w:rsid w:val="00D62CBA"/>
    <w:rsid w:val="00D64C7E"/>
    <w:rsid w:val="00D65CEF"/>
    <w:rsid w:val="00D67A32"/>
    <w:rsid w:val="00D7055B"/>
    <w:rsid w:val="00D725CB"/>
    <w:rsid w:val="00D73627"/>
    <w:rsid w:val="00D73737"/>
    <w:rsid w:val="00D746C9"/>
    <w:rsid w:val="00D7611C"/>
    <w:rsid w:val="00D767B1"/>
    <w:rsid w:val="00D77857"/>
    <w:rsid w:val="00D77ACF"/>
    <w:rsid w:val="00D80679"/>
    <w:rsid w:val="00D80FE3"/>
    <w:rsid w:val="00D82007"/>
    <w:rsid w:val="00D82945"/>
    <w:rsid w:val="00D830B0"/>
    <w:rsid w:val="00D87E97"/>
    <w:rsid w:val="00D92734"/>
    <w:rsid w:val="00D94C46"/>
    <w:rsid w:val="00D96E4D"/>
    <w:rsid w:val="00D979D7"/>
    <w:rsid w:val="00D97C4D"/>
    <w:rsid w:val="00DA6DE5"/>
    <w:rsid w:val="00DB008B"/>
    <w:rsid w:val="00DB5F8E"/>
    <w:rsid w:val="00DB5FF4"/>
    <w:rsid w:val="00DC0D44"/>
    <w:rsid w:val="00DC0D68"/>
    <w:rsid w:val="00DC162D"/>
    <w:rsid w:val="00DC1C0A"/>
    <w:rsid w:val="00DC4860"/>
    <w:rsid w:val="00DC4CB0"/>
    <w:rsid w:val="00DC5C10"/>
    <w:rsid w:val="00DC6FC1"/>
    <w:rsid w:val="00DC713E"/>
    <w:rsid w:val="00DD0D9B"/>
    <w:rsid w:val="00DD2BA2"/>
    <w:rsid w:val="00DD51AB"/>
    <w:rsid w:val="00DD74E7"/>
    <w:rsid w:val="00DE366A"/>
    <w:rsid w:val="00DE370C"/>
    <w:rsid w:val="00DE42C6"/>
    <w:rsid w:val="00DE4F67"/>
    <w:rsid w:val="00DF01FE"/>
    <w:rsid w:val="00DF2CC8"/>
    <w:rsid w:val="00DF4CD7"/>
    <w:rsid w:val="00DF4D4A"/>
    <w:rsid w:val="00DF5287"/>
    <w:rsid w:val="00DF53A5"/>
    <w:rsid w:val="00E014D4"/>
    <w:rsid w:val="00E02905"/>
    <w:rsid w:val="00E0301C"/>
    <w:rsid w:val="00E051D8"/>
    <w:rsid w:val="00E067B5"/>
    <w:rsid w:val="00E10956"/>
    <w:rsid w:val="00E118F1"/>
    <w:rsid w:val="00E134F5"/>
    <w:rsid w:val="00E148ED"/>
    <w:rsid w:val="00E15616"/>
    <w:rsid w:val="00E15983"/>
    <w:rsid w:val="00E1682B"/>
    <w:rsid w:val="00E16FC9"/>
    <w:rsid w:val="00E17391"/>
    <w:rsid w:val="00E2201B"/>
    <w:rsid w:val="00E235D4"/>
    <w:rsid w:val="00E23A56"/>
    <w:rsid w:val="00E2465B"/>
    <w:rsid w:val="00E249EE"/>
    <w:rsid w:val="00E25AE4"/>
    <w:rsid w:val="00E264AC"/>
    <w:rsid w:val="00E27970"/>
    <w:rsid w:val="00E27C8B"/>
    <w:rsid w:val="00E30026"/>
    <w:rsid w:val="00E30C16"/>
    <w:rsid w:val="00E31C4D"/>
    <w:rsid w:val="00E32947"/>
    <w:rsid w:val="00E33DFE"/>
    <w:rsid w:val="00E369BF"/>
    <w:rsid w:val="00E3701D"/>
    <w:rsid w:val="00E4294E"/>
    <w:rsid w:val="00E4339D"/>
    <w:rsid w:val="00E437FA"/>
    <w:rsid w:val="00E43BF9"/>
    <w:rsid w:val="00E44932"/>
    <w:rsid w:val="00E515A3"/>
    <w:rsid w:val="00E5183B"/>
    <w:rsid w:val="00E51B4C"/>
    <w:rsid w:val="00E52A7B"/>
    <w:rsid w:val="00E52F75"/>
    <w:rsid w:val="00E54AE5"/>
    <w:rsid w:val="00E61CD8"/>
    <w:rsid w:val="00E63B14"/>
    <w:rsid w:val="00E70C64"/>
    <w:rsid w:val="00E74D74"/>
    <w:rsid w:val="00E7509F"/>
    <w:rsid w:val="00E75D6E"/>
    <w:rsid w:val="00E77210"/>
    <w:rsid w:val="00E81E72"/>
    <w:rsid w:val="00E835DD"/>
    <w:rsid w:val="00E843F2"/>
    <w:rsid w:val="00E84748"/>
    <w:rsid w:val="00E85A71"/>
    <w:rsid w:val="00E86952"/>
    <w:rsid w:val="00E87B4C"/>
    <w:rsid w:val="00E87B8F"/>
    <w:rsid w:val="00E91E7D"/>
    <w:rsid w:val="00E92722"/>
    <w:rsid w:val="00E92C9A"/>
    <w:rsid w:val="00E966AD"/>
    <w:rsid w:val="00E97FC1"/>
    <w:rsid w:val="00EA3971"/>
    <w:rsid w:val="00EA3EAE"/>
    <w:rsid w:val="00EA6BAA"/>
    <w:rsid w:val="00EB2348"/>
    <w:rsid w:val="00EB3DFA"/>
    <w:rsid w:val="00EB446A"/>
    <w:rsid w:val="00EC1945"/>
    <w:rsid w:val="00EC3105"/>
    <w:rsid w:val="00EC39F4"/>
    <w:rsid w:val="00EC3EC5"/>
    <w:rsid w:val="00EC47C2"/>
    <w:rsid w:val="00EC5555"/>
    <w:rsid w:val="00EC666E"/>
    <w:rsid w:val="00ED165D"/>
    <w:rsid w:val="00ED3CC4"/>
    <w:rsid w:val="00ED6B74"/>
    <w:rsid w:val="00EE1ED0"/>
    <w:rsid w:val="00EE2E64"/>
    <w:rsid w:val="00EE5AAB"/>
    <w:rsid w:val="00EE5ADF"/>
    <w:rsid w:val="00EE70D5"/>
    <w:rsid w:val="00EF0332"/>
    <w:rsid w:val="00EF07F3"/>
    <w:rsid w:val="00EF0945"/>
    <w:rsid w:val="00EF24FB"/>
    <w:rsid w:val="00EF5104"/>
    <w:rsid w:val="00EF5307"/>
    <w:rsid w:val="00EF5393"/>
    <w:rsid w:val="00EF6662"/>
    <w:rsid w:val="00EF685D"/>
    <w:rsid w:val="00F06187"/>
    <w:rsid w:val="00F062BD"/>
    <w:rsid w:val="00F07E4A"/>
    <w:rsid w:val="00F10AD6"/>
    <w:rsid w:val="00F10C36"/>
    <w:rsid w:val="00F117E0"/>
    <w:rsid w:val="00F13448"/>
    <w:rsid w:val="00F148BF"/>
    <w:rsid w:val="00F14C54"/>
    <w:rsid w:val="00F14F93"/>
    <w:rsid w:val="00F164E4"/>
    <w:rsid w:val="00F2295F"/>
    <w:rsid w:val="00F24AE9"/>
    <w:rsid w:val="00F24B4B"/>
    <w:rsid w:val="00F24D61"/>
    <w:rsid w:val="00F25088"/>
    <w:rsid w:val="00F254D0"/>
    <w:rsid w:val="00F25EED"/>
    <w:rsid w:val="00F26009"/>
    <w:rsid w:val="00F26E56"/>
    <w:rsid w:val="00F27066"/>
    <w:rsid w:val="00F27AD4"/>
    <w:rsid w:val="00F3096A"/>
    <w:rsid w:val="00F335B9"/>
    <w:rsid w:val="00F41A35"/>
    <w:rsid w:val="00F430AA"/>
    <w:rsid w:val="00F45B92"/>
    <w:rsid w:val="00F460D8"/>
    <w:rsid w:val="00F474DB"/>
    <w:rsid w:val="00F47B79"/>
    <w:rsid w:val="00F47FC3"/>
    <w:rsid w:val="00F53238"/>
    <w:rsid w:val="00F57847"/>
    <w:rsid w:val="00F61D24"/>
    <w:rsid w:val="00F645C5"/>
    <w:rsid w:val="00F64802"/>
    <w:rsid w:val="00F6587E"/>
    <w:rsid w:val="00F71F92"/>
    <w:rsid w:val="00F725B7"/>
    <w:rsid w:val="00F75E30"/>
    <w:rsid w:val="00F76B26"/>
    <w:rsid w:val="00F77BEB"/>
    <w:rsid w:val="00F814FF"/>
    <w:rsid w:val="00F821B0"/>
    <w:rsid w:val="00F845C5"/>
    <w:rsid w:val="00F85E35"/>
    <w:rsid w:val="00F87F43"/>
    <w:rsid w:val="00F9028F"/>
    <w:rsid w:val="00F91BC7"/>
    <w:rsid w:val="00F93781"/>
    <w:rsid w:val="00F93B04"/>
    <w:rsid w:val="00F9430F"/>
    <w:rsid w:val="00F9451E"/>
    <w:rsid w:val="00F94925"/>
    <w:rsid w:val="00FA3B9E"/>
    <w:rsid w:val="00FA3D21"/>
    <w:rsid w:val="00FA674C"/>
    <w:rsid w:val="00FA783E"/>
    <w:rsid w:val="00FA7E83"/>
    <w:rsid w:val="00FB2056"/>
    <w:rsid w:val="00FB2909"/>
    <w:rsid w:val="00FB2913"/>
    <w:rsid w:val="00FB4D5B"/>
    <w:rsid w:val="00FB5CFF"/>
    <w:rsid w:val="00FB6615"/>
    <w:rsid w:val="00FC546B"/>
    <w:rsid w:val="00FC6432"/>
    <w:rsid w:val="00FC7411"/>
    <w:rsid w:val="00FC78A4"/>
    <w:rsid w:val="00FC7F30"/>
    <w:rsid w:val="00FD3C7A"/>
    <w:rsid w:val="00FD4776"/>
    <w:rsid w:val="00FD5162"/>
    <w:rsid w:val="00FD67CD"/>
    <w:rsid w:val="00FE2E8D"/>
    <w:rsid w:val="00FE3088"/>
    <w:rsid w:val="00FE33F8"/>
    <w:rsid w:val="00FE39AA"/>
    <w:rsid w:val="00FE39F3"/>
    <w:rsid w:val="00FE3C7E"/>
    <w:rsid w:val="00FE6E3B"/>
    <w:rsid w:val="00FE78E9"/>
    <w:rsid w:val="00FF06A0"/>
    <w:rsid w:val="00FF12AB"/>
    <w:rsid w:val="00FF361F"/>
    <w:rsid w:val="00FF60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0563C"/>
  <w15:docId w15:val="{6F14647A-0594-410E-B451-B3ED5E303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57A"/>
    <w:rPr>
      <w:lang w:val="es-MX"/>
    </w:rPr>
  </w:style>
  <w:style w:type="paragraph" w:styleId="Ttulo1">
    <w:name w:val="heading 1"/>
    <w:basedOn w:val="Normal"/>
    <w:next w:val="Normal"/>
    <w:link w:val="Ttulo1Car"/>
    <w:uiPriority w:val="9"/>
    <w:qFormat/>
    <w:rsid w:val="00EA3E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B58C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B58C4"/>
  </w:style>
  <w:style w:type="paragraph" w:styleId="Piedepgina">
    <w:name w:val="footer"/>
    <w:basedOn w:val="Normal"/>
    <w:link w:val="PiedepginaCar"/>
    <w:uiPriority w:val="99"/>
    <w:unhideWhenUsed/>
    <w:rsid w:val="00BB58C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B58C4"/>
  </w:style>
  <w:style w:type="table" w:styleId="Tablaconcuadrcula">
    <w:name w:val="Table Grid"/>
    <w:basedOn w:val="Tablanormal"/>
    <w:uiPriority w:val="59"/>
    <w:rsid w:val="0093057A"/>
    <w:pPr>
      <w:spacing w:after="0" w:line="240" w:lineRule="auto"/>
    </w:pPr>
    <w:rPr>
      <w:rFonts w:eastAsia="Times New Roman"/>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aliases w:val="callout,Footnote anchor,Ref,de nota al pie,ftref,BVI fnr,16 Point,Superscript 6 Point,(Diplomarbeit FZ),Footnote Reference,Texto de nota al pie,Footnotes refss,Appel note de bas de page,Footnote number,referencia nota al pie,f,4_G,R"/>
    <w:basedOn w:val="Fuentedeprrafopredeter"/>
    <w:link w:val="4GChar"/>
    <w:uiPriority w:val="99"/>
    <w:unhideWhenUsed/>
    <w:qFormat/>
    <w:rsid w:val="0093057A"/>
    <w:rPr>
      <w:vertAlign w:val="superscript"/>
    </w:rPr>
  </w:style>
  <w:style w:type="paragraph" w:styleId="Textonotapie">
    <w:name w:val="footnote text"/>
    <w:aliases w:val="Footnote Text Char Char Char Char Char,Footnote Text Char Char Char Char,Ref. de nota al pie1,FA Fu,Footnote Text Char Char Char,Footnote Text Cha,FA Fußnotentext,FA Fu?notentext,Footnote Text Char Char,FA Fuﬂnotentext,Ca,FA Fu?notente"/>
    <w:basedOn w:val="Normal"/>
    <w:link w:val="TextonotapieCar"/>
    <w:uiPriority w:val="99"/>
    <w:unhideWhenUsed/>
    <w:qFormat/>
    <w:rsid w:val="0093057A"/>
    <w:pPr>
      <w:spacing w:after="0" w:line="240" w:lineRule="auto"/>
      <w:jc w:val="both"/>
    </w:pPr>
    <w:rPr>
      <w:rFonts w:eastAsia="Times New Roman" w:cs="Times New Roman"/>
      <w:sz w:val="20"/>
      <w:szCs w:val="20"/>
      <w:lang w:eastAsia="es-ES"/>
    </w:rPr>
  </w:style>
  <w:style w:type="character" w:customStyle="1" w:styleId="TextonotapieCar">
    <w:name w:val="Texto nota pie Car"/>
    <w:aliases w:val="Footnote Text Char Char Char Char Char Car,Footnote Text Char Char Char Char Car,Ref. de nota al pie1 Car,FA Fu Car,Footnote Text Char Char Char Car,Footnote Text Cha Car,FA Fußnotentext Car,FA Fu?notentext Car,FA Fuﬂnotentext Car"/>
    <w:basedOn w:val="Fuentedeprrafopredeter"/>
    <w:link w:val="Textonotapie"/>
    <w:uiPriority w:val="99"/>
    <w:rsid w:val="0093057A"/>
    <w:rPr>
      <w:rFonts w:eastAsia="Times New Roman" w:cs="Times New Roman"/>
      <w:sz w:val="20"/>
      <w:szCs w:val="20"/>
      <w:lang w:val="es-MX"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3057A"/>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3057A"/>
    <w:rPr>
      <w:lang w:val="es-MX"/>
    </w:rPr>
  </w:style>
  <w:style w:type="character" w:styleId="Hipervnculo">
    <w:name w:val="Hyperlink"/>
    <w:basedOn w:val="Fuentedeprrafopredeter"/>
    <w:uiPriority w:val="99"/>
    <w:unhideWhenUsed/>
    <w:rsid w:val="000124BC"/>
    <w:rPr>
      <w:color w:val="0563C1" w:themeColor="hyperlink"/>
      <w:u w:val="single"/>
    </w:rPr>
  </w:style>
  <w:style w:type="paragraph" w:customStyle="1" w:styleId="xmsonormal">
    <w:name w:val="xmsonormal"/>
    <w:basedOn w:val="Normal"/>
    <w:rsid w:val="00D400A4"/>
    <w:pPr>
      <w:spacing w:before="100" w:beforeAutospacing="1" w:after="100" w:afterAutospacing="1" w:line="240" w:lineRule="auto"/>
    </w:pPr>
    <w:rPr>
      <w:rFonts w:ascii="Times New Roman" w:hAnsi="Times New Roman" w:cs="Times New Roman"/>
      <w:sz w:val="24"/>
      <w:szCs w:val="24"/>
      <w:lang w:eastAsia="es-MX"/>
    </w:rPr>
  </w:style>
  <w:style w:type="paragraph" w:styleId="Textoindependiente">
    <w:name w:val="Body Text"/>
    <w:basedOn w:val="Normal"/>
    <w:link w:val="TextoindependienteCar"/>
    <w:uiPriority w:val="99"/>
    <w:semiHidden/>
    <w:unhideWhenUsed/>
    <w:rsid w:val="00AC129A"/>
    <w:pPr>
      <w:spacing w:after="120"/>
    </w:pPr>
  </w:style>
  <w:style w:type="character" w:customStyle="1" w:styleId="TextoindependienteCar">
    <w:name w:val="Texto independiente Car"/>
    <w:basedOn w:val="Fuentedeprrafopredeter"/>
    <w:link w:val="Textoindependiente"/>
    <w:uiPriority w:val="99"/>
    <w:semiHidden/>
    <w:rsid w:val="00AC129A"/>
    <w:rPr>
      <w:lang w:val="es-MX"/>
    </w:rPr>
  </w:style>
  <w:style w:type="paragraph" w:styleId="Textoindependienteprimerasangra">
    <w:name w:val="Body Text First Indent"/>
    <w:basedOn w:val="Textoindependiente"/>
    <w:link w:val="TextoindependienteprimerasangraCar"/>
    <w:rsid w:val="00AC129A"/>
    <w:pPr>
      <w:spacing w:line="360" w:lineRule="auto"/>
      <w:ind w:firstLine="210"/>
      <w:jc w:val="both"/>
    </w:pPr>
    <w:rPr>
      <w:rFonts w:eastAsia="Times New Roman" w:cs="Times New Roman"/>
      <w:sz w:val="26"/>
      <w:szCs w:val="24"/>
      <w:lang w:eastAsia="es-ES"/>
    </w:rPr>
  </w:style>
  <w:style w:type="character" w:customStyle="1" w:styleId="TextoindependienteprimerasangraCar">
    <w:name w:val="Texto independiente primera sangría Car"/>
    <w:basedOn w:val="TextoindependienteCar"/>
    <w:link w:val="Textoindependienteprimerasangra"/>
    <w:rsid w:val="00AC129A"/>
    <w:rPr>
      <w:rFonts w:eastAsia="Times New Roman" w:cs="Times New Roman"/>
      <w:sz w:val="26"/>
      <w:szCs w:val="24"/>
      <w:lang w:val="es-MX" w:eastAsia="es-ES"/>
    </w:rPr>
  </w:style>
  <w:style w:type="paragraph" w:styleId="Textodeglobo">
    <w:name w:val="Balloon Text"/>
    <w:basedOn w:val="Normal"/>
    <w:link w:val="TextodegloboCar"/>
    <w:uiPriority w:val="99"/>
    <w:semiHidden/>
    <w:unhideWhenUsed/>
    <w:rsid w:val="007F44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44CA"/>
    <w:rPr>
      <w:rFonts w:ascii="Segoe UI" w:hAnsi="Segoe UI" w:cs="Segoe UI"/>
      <w:sz w:val="18"/>
      <w:szCs w:val="18"/>
      <w:lang w:val="es-MX"/>
    </w:rPr>
  </w:style>
  <w:style w:type="paragraph" w:styleId="NormalWeb">
    <w:name w:val="Normal (Web)"/>
    <w:basedOn w:val="Normal"/>
    <w:uiPriority w:val="99"/>
    <w:unhideWhenUsed/>
    <w:rsid w:val="00F9451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corte4fondo">
    <w:name w:val="corte4 fondo"/>
    <w:basedOn w:val="Normal"/>
    <w:link w:val="corte4fondoCar1"/>
    <w:qFormat/>
    <w:rsid w:val="00566190"/>
    <w:pPr>
      <w:spacing w:after="0" w:line="360" w:lineRule="auto"/>
      <w:ind w:firstLine="709"/>
      <w:jc w:val="both"/>
    </w:pPr>
    <w:rPr>
      <w:rFonts w:ascii="Arial" w:eastAsia="Times New Roman" w:hAnsi="Arial" w:cs="Times New Roman"/>
      <w:sz w:val="30"/>
      <w:szCs w:val="20"/>
      <w:lang w:val="x-none" w:eastAsia="es-MX"/>
    </w:rPr>
  </w:style>
  <w:style w:type="character" w:customStyle="1" w:styleId="corte4fondoCar1">
    <w:name w:val="corte4 fondo Car1"/>
    <w:link w:val="corte4fondo"/>
    <w:rsid w:val="00566190"/>
    <w:rPr>
      <w:rFonts w:ascii="Arial" w:eastAsia="Times New Roman" w:hAnsi="Arial" w:cs="Times New Roman"/>
      <w:sz w:val="30"/>
      <w:szCs w:val="20"/>
      <w:lang w:val="x-none" w:eastAsia="es-MX"/>
    </w:rPr>
  </w:style>
  <w:style w:type="paragraph" w:customStyle="1" w:styleId="Estilo">
    <w:name w:val="Estilo"/>
    <w:basedOn w:val="Sinespaciado"/>
    <w:link w:val="EstiloCar"/>
    <w:qFormat/>
    <w:rsid w:val="007E7010"/>
    <w:pPr>
      <w:jc w:val="both"/>
    </w:pPr>
    <w:rPr>
      <w:rFonts w:ascii="Arial" w:hAnsi="Arial"/>
      <w:sz w:val="24"/>
    </w:rPr>
  </w:style>
  <w:style w:type="character" w:customStyle="1" w:styleId="EstiloCar">
    <w:name w:val="Estilo Car"/>
    <w:basedOn w:val="Fuentedeprrafopredeter"/>
    <w:link w:val="Estilo"/>
    <w:rsid w:val="007E7010"/>
    <w:rPr>
      <w:rFonts w:ascii="Arial" w:hAnsi="Arial"/>
      <w:sz w:val="24"/>
      <w:lang w:val="es-MX"/>
    </w:rPr>
  </w:style>
  <w:style w:type="paragraph" w:styleId="Sinespaciado">
    <w:name w:val="No Spacing"/>
    <w:uiPriority w:val="1"/>
    <w:qFormat/>
    <w:rsid w:val="007E7010"/>
    <w:pPr>
      <w:spacing w:after="0" w:line="240" w:lineRule="auto"/>
    </w:pPr>
    <w:rPr>
      <w:lang w:val="es-MX"/>
    </w:rPr>
  </w:style>
  <w:style w:type="character" w:customStyle="1" w:styleId="text-justify">
    <w:name w:val="text-justify"/>
    <w:basedOn w:val="Fuentedeprrafopredeter"/>
    <w:rsid w:val="00E134F5"/>
  </w:style>
  <w:style w:type="character" w:customStyle="1" w:styleId="ng-star-inserted">
    <w:name w:val="ng-star-inserted"/>
    <w:basedOn w:val="Fuentedeprrafopredeter"/>
    <w:rsid w:val="00F10AD6"/>
  </w:style>
  <w:style w:type="table" w:styleId="Tabladecuadrcula1clara">
    <w:name w:val="Grid Table 1 Light"/>
    <w:basedOn w:val="Tablanormal"/>
    <w:uiPriority w:val="46"/>
    <w:rsid w:val="006938E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cuadrcula4-nfasis5">
    <w:name w:val="Grid Table 4 Accent 5"/>
    <w:basedOn w:val="Tablanormal"/>
    <w:uiPriority w:val="49"/>
    <w:rsid w:val="006938E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Refdecomentario">
    <w:name w:val="annotation reference"/>
    <w:basedOn w:val="Fuentedeprrafopredeter"/>
    <w:uiPriority w:val="99"/>
    <w:semiHidden/>
    <w:unhideWhenUsed/>
    <w:rsid w:val="001515C7"/>
    <w:rPr>
      <w:sz w:val="16"/>
      <w:szCs w:val="16"/>
    </w:rPr>
  </w:style>
  <w:style w:type="paragraph" w:styleId="Textocomentario">
    <w:name w:val="annotation text"/>
    <w:basedOn w:val="Normal"/>
    <w:link w:val="TextocomentarioCar"/>
    <w:uiPriority w:val="99"/>
    <w:semiHidden/>
    <w:unhideWhenUsed/>
    <w:rsid w:val="001515C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515C7"/>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1515C7"/>
    <w:rPr>
      <w:b/>
      <w:bCs/>
    </w:rPr>
  </w:style>
  <w:style w:type="character" w:customStyle="1" w:styleId="AsuntodelcomentarioCar">
    <w:name w:val="Asunto del comentario Car"/>
    <w:basedOn w:val="TextocomentarioCar"/>
    <w:link w:val="Asuntodelcomentario"/>
    <w:uiPriority w:val="99"/>
    <w:semiHidden/>
    <w:rsid w:val="001515C7"/>
    <w:rPr>
      <w:b/>
      <w:bCs/>
      <w:sz w:val="20"/>
      <w:szCs w:val="20"/>
      <w:lang w:val="es-MX"/>
    </w:rPr>
  </w:style>
  <w:style w:type="character" w:customStyle="1" w:styleId="Ttulo1Car">
    <w:name w:val="Título 1 Car"/>
    <w:basedOn w:val="Fuentedeprrafopredeter"/>
    <w:link w:val="Ttulo1"/>
    <w:uiPriority w:val="9"/>
    <w:rsid w:val="00EA3EAE"/>
    <w:rPr>
      <w:rFonts w:asciiTheme="majorHAnsi" w:eastAsiaTheme="majorEastAsia" w:hAnsiTheme="majorHAnsi" w:cstheme="majorBidi"/>
      <w:color w:val="2F5496" w:themeColor="accent1" w:themeShade="BF"/>
      <w:sz w:val="32"/>
      <w:szCs w:val="32"/>
      <w:lang w:val="es-MX"/>
    </w:rPr>
  </w:style>
  <w:style w:type="paragraph" w:customStyle="1" w:styleId="Default">
    <w:name w:val="Default"/>
    <w:rsid w:val="001E099F"/>
    <w:pPr>
      <w:autoSpaceDE w:val="0"/>
      <w:autoSpaceDN w:val="0"/>
      <w:adjustRightInd w:val="0"/>
      <w:spacing w:after="0" w:line="240" w:lineRule="auto"/>
    </w:pPr>
    <w:rPr>
      <w:rFonts w:ascii="Arial" w:hAnsi="Arial" w:cs="Arial"/>
      <w:color w:val="000000"/>
      <w:sz w:val="24"/>
      <w:szCs w:val="24"/>
      <w:lang w:val="es-MX"/>
    </w:rPr>
  </w:style>
  <w:style w:type="table" w:styleId="Tabladecuadrcula4-nfasis3">
    <w:name w:val="Grid Table 4 Accent 3"/>
    <w:basedOn w:val="Tablanormal"/>
    <w:uiPriority w:val="49"/>
    <w:rsid w:val="000E170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4">
    <w:name w:val="Grid Table 4"/>
    <w:basedOn w:val="Tablanormal"/>
    <w:uiPriority w:val="49"/>
    <w:rsid w:val="007F7C1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0C65A8"/>
    <w:pPr>
      <w:spacing w:after="0" w:line="240" w:lineRule="auto"/>
      <w:jc w:val="both"/>
    </w:pPr>
    <w:rPr>
      <w:vertAlign w:val="superscrip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39363">
      <w:bodyDiv w:val="1"/>
      <w:marLeft w:val="0"/>
      <w:marRight w:val="0"/>
      <w:marTop w:val="0"/>
      <w:marBottom w:val="0"/>
      <w:divBdr>
        <w:top w:val="none" w:sz="0" w:space="0" w:color="auto"/>
        <w:left w:val="none" w:sz="0" w:space="0" w:color="auto"/>
        <w:bottom w:val="none" w:sz="0" w:space="0" w:color="auto"/>
        <w:right w:val="none" w:sz="0" w:space="0" w:color="auto"/>
      </w:divBdr>
    </w:div>
    <w:div w:id="331955087">
      <w:bodyDiv w:val="1"/>
      <w:marLeft w:val="0"/>
      <w:marRight w:val="0"/>
      <w:marTop w:val="0"/>
      <w:marBottom w:val="0"/>
      <w:divBdr>
        <w:top w:val="none" w:sz="0" w:space="0" w:color="auto"/>
        <w:left w:val="none" w:sz="0" w:space="0" w:color="auto"/>
        <w:bottom w:val="none" w:sz="0" w:space="0" w:color="auto"/>
        <w:right w:val="none" w:sz="0" w:space="0" w:color="auto"/>
      </w:divBdr>
      <w:divsChild>
        <w:div w:id="501549421">
          <w:marLeft w:val="0"/>
          <w:marRight w:val="0"/>
          <w:marTop w:val="0"/>
          <w:marBottom w:val="0"/>
          <w:divBdr>
            <w:top w:val="none" w:sz="0" w:space="0" w:color="auto"/>
            <w:left w:val="none" w:sz="0" w:space="0" w:color="auto"/>
            <w:bottom w:val="none" w:sz="0" w:space="0" w:color="auto"/>
            <w:right w:val="none" w:sz="0" w:space="0" w:color="auto"/>
          </w:divBdr>
          <w:divsChild>
            <w:div w:id="1454786249">
              <w:marLeft w:val="0"/>
              <w:marRight w:val="0"/>
              <w:marTop w:val="0"/>
              <w:marBottom w:val="0"/>
              <w:divBdr>
                <w:top w:val="none" w:sz="0" w:space="0" w:color="auto"/>
                <w:left w:val="none" w:sz="0" w:space="0" w:color="auto"/>
                <w:bottom w:val="none" w:sz="0" w:space="0" w:color="auto"/>
                <w:right w:val="none" w:sz="0" w:space="0" w:color="auto"/>
              </w:divBdr>
            </w:div>
          </w:divsChild>
        </w:div>
        <w:div w:id="977681719">
          <w:marLeft w:val="0"/>
          <w:marRight w:val="0"/>
          <w:marTop w:val="0"/>
          <w:marBottom w:val="0"/>
          <w:divBdr>
            <w:top w:val="none" w:sz="0" w:space="0" w:color="auto"/>
            <w:left w:val="none" w:sz="0" w:space="0" w:color="auto"/>
            <w:bottom w:val="none" w:sz="0" w:space="0" w:color="auto"/>
            <w:right w:val="none" w:sz="0" w:space="0" w:color="auto"/>
          </w:divBdr>
          <w:divsChild>
            <w:div w:id="930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5362">
      <w:bodyDiv w:val="1"/>
      <w:marLeft w:val="0"/>
      <w:marRight w:val="0"/>
      <w:marTop w:val="0"/>
      <w:marBottom w:val="0"/>
      <w:divBdr>
        <w:top w:val="none" w:sz="0" w:space="0" w:color="auto"/>
        <w:left w:val="none" w:sz="0" w:space="0" w:color="auto"/>
        <w:bottom w:val="none" w:sz="0" w:space="0" w:color="auto"/>
        <w:right w:val="none" w:sz="0" w:space="0" w:color="auto"/>
      </w:divBdr>
    </w:div>
    <w:div w:id="408894532">
      <w:bodyDiv w:val="1"/>
      <w:marLeft w:val="0"/>
      <w:marRight w:val="0"/>
      <w:marTop w:val="0"/>
      <w:marBottom w:val="0"/>
      <w:divBdr>
        <w:top w:val="none" w:sz="0" w:space="0" w:color="auto"/>
        <w:left w:val="none" w:sz="0" w:space="0" w:color="auto"/>
        <w:bottom w:val="none" w:sz="0" w:space="0" w:color="auto"/>
        <w:right w:val="none" w:sz="0" w:space="0" w:color="auto"/>
      </w:divBdr>
      <w:divsChild>
        <w:div w:id="547493832">
          <w:marLeft w:val="0"/>
          <w:marRight w:val="0"/>
          <w:marTop w:val="0"/>
          <w:marBottom w:val="0"/>
          <w:divBdr>
            <w:top w:val="none" w:sz="0" w:space="0" w:color="auto"/>
            <w:left w:val="none" w:sz="0" w:space="0" w:color="auto"/>
            <w:bottom w:val="none" w:sz="0" w:space="0" w:color="auto"/>
            <w:right w:val="none" w:sz="0" w:space="0" w:color="auto"/>
          </w:divBdr>
          <w:divsChild>
            <w:div w:id="413089867">
              <w:marLeft w:val="0"/>
              <w:marRight w:val="0"/>
              <w:marTop w:val="0"/>
              <w:marBottom w:val="300"/>
              <w:divBdr>
                <w:top w:val="none" w:sz="0" w:space="0" w:color="auto"/>
                <w:left w:val="none" w:sz="0" w:space="0" w:color="auto"/>
                <w:bottom w:val="none" w:sz="0" w:space="0" w:color="auto"/>
                <w:right w:val="none" w:sz="0" w:space="0" w:color="auto"/>
              </w:divBdr>
            </w:div>
          </w:divsChild>
        </w:div>
        <w:div w:id="1182822869">
          <w:marLeft w:val="0"/>
          <w:marRight w:val="0"/>
          <w:marTop w:val="0"/>
          <w:marBottom w:val="0"/>
          <w:divBdr>
            <w:top w:val="none" w:sz="0" w:space="0" w:color="auto"/>
            <w:left w:val="none" w:sz="0" w:space="0" w:color="auto"/>
            <w:bottom w:val="none" w:sz="0" w:space="0" w:color="auto"/>
            <w:right w:val="none" w:sz="0" w:space="0" w:color="auto"/>
          </w:divBdr>
          <w:divsChild>
            <w:div w:id="184412302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471874108">
      <w:bodyDiv w:val="1"/>
      <w:marLeft w:val="0"/>
      <w:marRight w:val="0"/>
      <w:marTop w:val="0"/>
      <w:marBottom w:val="0"/>
      <w:divBdr>
        <w:top w:val="none" w:sz="0" w:space="0" w:color="auto"/>
        <w:left w:val="none" w:sz="0" w:space="0" w:color="auto"/>
        <w:bottom w:val="none" w:sz="0" w:space="0" w:color="auto"/>
        <w:right w:val="none" w:sz="0" w:space="0" w:color="auto"/>
      </w:divBdr>
    </w:div>
    <w:div w:id="509369393">
      <w:bodyDiv w:val="1"/>
      <w:marLeft w:val="0"/>
      <w:marRight w:val="0"/>
      <w:marTop w:val="0"/>
      <w:marBottom w:val="0"/>
      <w:divBdr>
        <w:top w:val="none" w:sz="0" w:space="0" w:color="auto"/>
        <w:left w:val="none" w:sz="0" w:space="0" w:color="auto"/>
        <w:bottom w:val="none" w:sz="0" w:space="0" w:color="auto"/>
        <w:right w:val="none" w:sz="0" w:space="0" w:color="auto"/>
      </w:divBdr>
    </w:div>
    <w:div w:id="532763987">
      <w:bodyDiv w:val="1"/>
      <w:marLeft w:val="0"/>
      <w:marRight w:val="0"/>
      <w:marTop w:val="0"/>
      <w:marBottom w:val="0"/>
      <w:divBdr>
        <w:top w:val="none" w:sz="0" w:space="0" w:color="auto"/>
        <w:left w:val="none" w:sz="0" w:space="0" w:color="auto"/>
        <w:bottom w:val="none" w:sz="0" w:space="0" w:color="auto"/>
        <w:right w:val="none" w:sz="0" w:space="0" w:color="auto"/>
      </w:divBdr>
    </w:div>
    <w:div w:id="547642448">
      <w:bodyDiv w:val="1"/>
      <w:marLeft w:val="0"/>
      <w:marRight w:val="0"/>
      <w:marTop w:val="0"/>
      <w:marBottom w:val="0"/>
      <w:divBdr>
        <w:top w:val="none" w:sz="0" w:space="0" w:color="auto"/>
        <w:left w:val="none" w:sz="0" w:space="0" w:color="auto"/>
        <w:bottom w:val="none" w:sz="0" w:space="0" w:color="auto"/>
        <w:right w:val="none" w:sz="0" w:space="0" w:color="auto"/>
      </w:divBdr>
    </w:div>
    <w:div w:id="586039097">
      <w:bodyDiv w:val="1"/>
      <w:marLeft w:val="0"/>
      <w:marRight w:val="0"/>
      <w:marTop w:val="0"/>
      <w:marBottom w:val="0"/>
      <w:divBdr>
        <w:top w:val="none" w:sz="0" w:space="0" w:color="auto"/>
        <w:left w:val="none" w:sz="0" w:space="0" w:color="auto"/>
        <w:bottom w:val="none" w:sz="0" w:space="0" w:color="auto"/>
        <w:right w:val="none" w:sz="0" w:space="0" w:color="auto"/>
      </w:divBdr>
    </w:div>
    <w:div w:id="586155656">
      <w:bodyDiv w:val="1"/>
      <w:marLeft w:val="0"/>
      <w:marRight w:val="0"/>
      <w:marTop w:val="0"/>
      <w:marBottom w:val="0"/>
      <w:divBdr>
        <w:top w:val="none" w:sz="0" w:space="0" w:color="auto"/>
        <w:left w:val="none" w:sz="0" w:space="0" w:color="auto"/>
        <w:bottom w:val="none" w:sz="0" w:space="0" w:color="auto"/>
        <w:right w:val="none" w:sz="0" w:space="0" w:color="auto"/>
      </w:divBdr>
    </w:div>
    <w:div w:id="688916540">
      <w:bodyDiv w:val="1"/>
      <w:marLeft w:val="0"/>
      <w:marRight w:val="0"/>
      <w:marTop w:val="0"/>
      <w:marBottom w:val="0"/>
      <w:divBdr>
        <w:top w:val="none" w:sz="0" w:space="0" w:color="auto"/>
        <w:left w:val="none" w:sz="0" w:space="0" w:color="auto"/>
        <w:bottom w:val="none" w:sz="0" w:space="0" w:color="auto"/>
        <w:right w:val="none" w:sz="0" w:space="0" w:color="auto"/>
      </w:divBdr>
      <w:divsChild>
        <w:div w:id="1585601377">
          <w:marLeft w:val="0"/>
          <w:marRight w:val="0"/>
          <w:marTop w:val="0"/>
          <w:marBottom w:val="0"/>
          <w:divBdr>
            <w:top w:val="none" w:sz="0" w:space="0" w:color="auto"/>
            <w:left w:val="none" w:sz="0" w:space="0" w:color="auto"/>
            <w:bottom w:val="none" w:sz="0" w:space="0" w:color="auto"/>
            <w:right w:val="none" w:sz="0" w:space="0" w:color="auto"/>
          </w:divBdr>
        </w:div>
      </w:divsChild>
    </w:div>
    <w:div w:id="786243763">
      <w:bodyDiv w:val="1"/>
      <w:marLeft w:val="0"/>
      <w:marRight w:val="0"/>
      <w:marTop w:val="0"/>
      <w:marBottom w:val="0"/>
      <w:divBdr>
        <w:top w:val="none" w:sz="0" w:space="0" w:color="auto"/>
        <w:left w:val="none" w:sz="0" w:space="0" w:color="auto"/>
        <w:bottom w:val="none" w:sz="0" w:space="0" w:color="auto"/>
        <w:right w:val="none" w:sz="0" w:space="0" w:color="auto"/>
      </w:divBdr>
    </w:div>
    <w:div w:id="843279727">
      <w:bodyDiv w:val="1"/>
      <w:marLeft w:val="0"/>
      <w:marRight w:val="0"/>
      <w:marTop w:val="0"/>
      <w:marBottom w:val="0"/>
      <w:divBdr>
        <w:top w:val="none" w:sz="0" w:space="0" w:color="auto"/>
        <w:left w:val="none" w:sz="0" w:space="0" w:color="auto"/>
        <w:bottom w:val="none" w:sz="0" w:space="0" w:color="auto"/>
        <w:right w:val="none" w:sz="0" w:space="0" w:color="auto"/>
      </w:divBdr>
    </w:div>
    <w:div w:id="963540625">
      <w:bodyDiv w:val="1"/>
      <w:marLeft w:val="0"/>
      <w:marRight w:val="0"/>
      <w:marTop w:val="0"/>
      <w:marBottom w:val="0"/>
      <w:divBdr>
        <w:top w:val="none" w:sz="0" w:space="0" w:color="auto"/>
        <w:left w:val="none" w:sz="0" w:space="0" w:color="auto"/>
        <w:bottom w:val="none" w:sz="0" w:space="0" w:color="auto"/>
        <w:right w:val="none" w:sz="0" w:space="0" w:color="auto"/>
      </w:divBdr>
    </w:div>
    <w:div w:id="965813833">
      <w:bodyDiv w:val="1"/>
      <w:marLeft w:val="0"/>
      <w:marRight w:val="0"/>
      <w:marTop w:val="0"/>
      <w:marBottom w:val="0"/>
      <w:divBdr>
        <w:top w:val="none" w:sz="0" w:space="0" w:color="auto"/>
        <w:left w:val="none" w:sz="0" w:space="0" w:color="auto"/>
        <w:bottom w:val="none" w:sz="0" w:space="0" w:color="auto"/>
        <w:right w:val="none" w:sz="0" w:space="0" w:color="auto"/>
      </w:divBdr>
    </w:div>
    <w:div w:id="1010914015">
      <w:bodyDiv w:val="1"/>
      <w:marLeft w:val="0"/>
      <w:marRight w:val="0"/>
      <w:marTop w:val="0"/>
      <w:marBottom w:val="0"/>
      <w:divBdr>
        <w:top w:val="none" w:sz="0" w:space="0" w:color="auto"/>
        <w:left w:val="none" w:sz="0" w:space="0" w:color="auto"/>
        <w:bottom w:val="none" w:sz="0" w:space="0" w:color="auto"/>
        <w:right w:val="none" w:sz="0" w:space="0" w:color="auto"/>
      </w:divBdr>
    </w:div>
    <w:div w:id="1092124201">
      <w:bodyDiv w:val="1"/>
      <w:marLeft w:val="0"/>
      <w:marRight w:val="0"/>
      <w:marTop w:val="0"/>
      <w:marBottom w:val="0"/>
      <w:divBdr>
        <w:top w:val="none" w:sz="0" w:space="0" w:color="auto"/>
        <w:left w:val="none" w:sz="0" w:space="0" w:color="auto"/>
        <w:bottom w:val="none" w:sz="0" w:space="0" w:color="auto"/>
        <w:right w:val="none" w:sz="0" w:space="0" w:color="auto"/>
      </w:divBdr>
    </w:div>
    <w:div w:id="1161847257">
      <w:bodyDiv w:val="1"/>
      <w:marLeft w:val="0"/>
      <w:marRight w:val="0"/>
      <w:marTop w:val="0"/>
      <w:marBottom w:val="0"/>
      <w:divBdr>
        <w:top w:val="none" w:sz="0" w:space="0" w:color="auto"/>
        <w:left w:val="none" w:sz="0" w:space="0" w:color="auto"/>
        <w:bottom w:val="none" w:sz="0" w:space="0" w:color="auto"/>
        <w:right w:val="none" w:sz="0" w:space="0" w:color="auto"/>
      </w:divBdr>
      <w:divsChild>
        <w:div w:id="1586180740">
          <w:marLeft w:val="0"/>
          <w:marRight w:val="0"/>
          <w:marTop w:val="0"/>
          <w:marBottom w:val="0"/>
          <w:divBdr>
            <w:top w:val="none" w:sz="0" w:space="0" w:color="auto"/>
            <w:left w:val="none" w:sz="0" w:space="0" w:color="auto"/>
            <w:bottom w:val="none" w:sz="0" w:space="0" w:color="auto"/>
            <w:right w:val="none" w:sz="0" w:space="0" w:color="auto"/>
          </w:divBdr>
        </w:div>
        <w:div w:id="2071994522">
          <w:marLeft w:val="0"/>
          <w:marRight w:val="0"/>
          <w:marTop w:val="0"/>
          <w:marBottom w:val="0"/>
          <w:divBdr>
            <w:top w:val="none" w:sz="0" w:space="0" w:color="auto"/>
            <w:left w:val="none" w:sz="0" w:space="0" w:color="auto"/>
            <w:bottom w:val="none" w:sz="0" w:space="0" w:color="auto"/>
            <w:right w:val="none" w:sz="0" w:space="0" w:color="auto"/>
          </w:divBdr>
        </w:div>
      </w:divsChild>
    </w:div>
    <w:div w:id="1202785259">
      <w:bodyDiv w:val="1"/>
      <w:marLeft w:val="0"/>
      <w:marRight w:val="0"/>
      <w:marTop w:val="0"/>
      <w:marBottom w:val="0"/>
      <w:divBdr>
        <w:top w:val="none" w:sz="0" w:space="0" w:color="auto"/>
        <w:left w:val="none" w:sz="0" w:space="0" w:color="auto"/>
        <w:bottom w:val="none" w:sz="0" w:space="0" w:color="auto"/>
        <w:right w:val="none" w:sz="0" w:space="0" w:color="auto"/>
      </w:divBdr>
    </w:div>
    <w:div w:id="1232425534">
      <w:bodyDiv w:val="1"/>
      <w:marLeft w:val="0"/>
      <w:marRight w:val="0"/>
      <w:marTop w:val="0"/>
      <w:marBottom w:val="0"/>
      <w:divBdr>
        <w:top w:val="none" w:sz="0" w:space="0" w:color="auto"/>
        <w:left w:val="none" w:sz="0" w:space="0" w:color="auto"/>
        <w:bottom w:val="none" w:sz="0" w:space="0" w:color="auto"/>
        <w:right w:val="none" w:sz="0" w:space="0" w:color="auto"/>
      </w:divBdr>
    </w:div>
    <w:div w:id="1371539966">
      <w:bodyDiv w:val="1"/>
      <w:marLeft w:val="0"/>
      <w:marRight w:val="0"/>
      <w:marTop w:val="0"/>
      <w:marBottom w:val="0"/>
      <w:divBdr>
        <w:top w:val="none" w:sz="0" w:space="0" w:color="auto"/>
        <w:left w:val="none" w:sz="0" w:space="0" w:color="auto"/>
        <w:bottom w:val="none" w:sz="0" w:space="0" w:color="auto"/>
        <w:right w:val="none" w:sz="0" w:space="0" w:color="auto"/>
      </w:divBdr>
      <w:divsChild>
        <w:div w:id="217127627">
          <w:marLeft w:val="0"/>
          <w:marRight w:val="0"/>
          <w:marTop w:val="0"/>
          <w:marBottom w:val="0"/>
          <w:divBdr>
            <w:top w:val="none" w:sz="0" w:space="0" w:color="auto"/>
            <w:left w:val="none" w:sz="0" w:space="0" w:color="auto"/>
            <w:bottom w:val="none" w:sz="0" w:space="0" w:color="auto"/>
            <w:right w:val="none" w:sz="0" w:space="0" w:color="auto"/>
          </w:divBdr>
        </w:div>
        <w:div w:id="2050908566">
          <w:marLeft w:val="0"/>
          <w:marRight w:val="0"/>
          <w:marTop w:val="0"/>
          <w:marBottom w:val="0"/>
          <w:divBdr>
            <w:top w:val="none" w:sz="0" w:space="0" w:color="auto"/>
            <w:left w:val="none" w:sz="0" w:space="0" w:color="auto"/>
            <w:bottom w:val="none" w:sz="0" w:space="0" w:color="auto"/>
            <w:right w:val="none" w:sz="0" w:space="0" w:color="auto"/>
          </w:divBdr>
        </w:div>
      </w:divsChild>
    </w:div>
    <w:div w:id="1463839872">
      <w:bodyDiv w:val="1"/>
      <w:marLeft w:val="0"/>
      <w:marRight w:val="0"/>
      <w:marTop w:val="0"/>
      <w:marBottom w:val="0"/>
      <w:divBdr>
        <w:top w:val="none" w:sz="0" w:space="0" w:color="auto"/>
        <w:left w:val="none" w:sz="0" w:space="0" w:color="auto"/>
        <w:bottom w:val="none" w:sz="0" w:space="0" w:color="auto"/>
        <w:right w:val="none" w:sz="0" w:space="0" w:color="auto"/>
      </w:divBdr>
      <w:divsChild>
        <w:div w:id="1365862109">
          <w:marLeft w:val="0"/>
          <w:marRight w:val="0"/>
          <w:marTop w:val="0"/>
          <w:marBottom w:val="0"/>
          <w:divBdr>
            <w:top w:val="none" w:sz="0" w:space="0" w:color="auto"/>
            <w:left w:val="none" w:sz="0" w:space="0" w:color="auto"/>
            <w:bottom w:val="none" w:sz="0" w:space="0" w:color="auto"/>
            <w:right w:val="none" w:sz="0" w:space="0" w:color="auto"/>
          </w:divBdr>
        </w:div>
        <w:div w:id="2074690477">
          <w:marLeft w:val="0"/>
          <w:marRight w:val="0"/>
          <w:marTop w:val="0"/>
          <w:marBottom w:val="0"/>
          <w:divBdr>
            <w:top w:val="none" w:sz="0" w:space="0" w:color="auto"/>
            <w:left w:val="none" w:sz="0" w:space="0" w:color="auto"/>
            <w:bottom w:val="none" w:sz="0" w:space="0" w:color="auto"/>
            <w:right w:val="none" w:sz="0" w:space="0" w:color="auto"/>
          </w:divBdr>
        </w:div>
      </w:divsChild>
    </w:div>
    <w:div w:id="1477916859">
      <w:bodyDiv w:val="1"/>
      <w:marLeft w:val="0"/>
      <w:marRight w:val="0"/>
      <w:marTop w:val="0"/>
      <w:marBottom w:val="0"/>
      <w:divBdr>
        <w:top w:val="none" w:sz="0" w:space="0" w:color="auto"/>
        <w:left w:val="none" w:sz="0" w:space="0" w:color="auto"/>
        <w:bottom w:val="none" w:sz="0" w:space="0" w:color="auto"/>
        <w:right w:val="none" w:sz="0" w:space="0" w:color="auto"/>
      </w:divBdr>
    </w:div>
    <w:div w:id="1515608624">
      <w:bodyDiv w:val="1"/>
      <w:marLeft w:val="0"/>
      <w:marRight w:val="0"/>
      <w:marTop w:val="0"/>
      <w:marBottom w:val="0"/>
      <w:divBdr>
        <w:top w:val="none" w:sz="0" w:space="0" w:color="auto"/>
        <w:left w:val="none" w:sz="0" w:space="0" w:color="auto"/>
        <w:bottom w:val="none" w:sz="0" w:space="0" w:color="auto"/>
        <w:right w:val="none" w:sz="0" w:space="0" w:color="auto"/>
      </w:divBdr>
    </w:div>
    <w:div w:id="1646547975">
      <w:bodyDiv w:val="1"/>
      <w:marLeft w:val="0"/>
      <w:marRight w:val="0"/>
      <w:marTop w:val="0"/>
      <w:marBottom w:val="0"/>
      <w:divBdr>
        <w:top w:val="none" w:sz="0" w:space="0" w:color="auto"/>
        <w:left w:val="none" w:sz="0" w:space="0" w:color="auto"/>
        <w:bottom w:val="none" w:sz="0" w:space="0" w:color="auto"/>
        <w:right w:val="none" w:sz="0" w:space="0" w:color="auto"/>
      </w:divBdr>
      <w:divsChild>
        <w:div w:id="776870689">
          <w:marLeft w:val="0"/>
          <w:marRight w:val="0"/>
          <w:marTop w:val="0"/>
          <w:marBottom w:val="0"/>
          <w:divBdr>
            <w:top w:val="none" w:sz="0" w:space="0" w:color="auto"/>
            <w:left w:val="none" w:sz="0" w:space="0" w:color="auto"/>
            <w:bottom w:val="none" w:sz="0" w:space="0" w:color="auto"/>
            <w:right w:val="none" w:sz="0" w:space="0" w:color="auto"/>
          </w:divBdr>
        </w:div>
        <w:div w:id="1350908134">
          <w:marLeft w:val="0"/>
          <w:marRight w:val="0"/>
          <w:marTop w:val="0"/>
          <w:marBottom w:val="0"/>
          <w:divBdr>
            <w:top w:val="none" w:sz="0" w:space="0" w:color="auto"/>
            <w:left w:val="none" w:sz="0" w:space="0" w:color="auto"/>
            <w:bottom w:val="none" w:sz="0" w:space="0" w:color="auto"/>
            <w:right w:val="none" w:sz="0" w:space="0" w:color="auto"/>
          </w:divBdr>
        </w:div>
        <w:div w:id="1473668429">
          <w:marLeft w:val="0"/>
          <w:marRight w:val="0"/>
          <w:marTop w:val="0"/>
          <w:marBottom w:val="0"/>
          <w:divBdr>
            <w:top w:val="none" w:sz="0" w:space="0" w:color="auto"/>
            <w:left w:val="none" w:sz="0" w:space="0" w:color="auto"/>
            <w:bottom w:val="none" w:sz="0" w:space="0" w:color="auto"/>
            <w:right w:val="none" w:sz="0" w:space="0" w:color="auto"/>
          </w:divBdr>
        </w:div>
        <w:div w:id="1652562073">
          <w:marLeft w:val="0"/>
          <w:marRight w:val="0"/>
          <w:marTop w:val="0"/>
          <w:marBottom w:val="0"/>
          <w:divBdr>
            <w:top w:val="none" w:sz="0" w:space="0" w:color="auto"/>
            <w:left w:val="none" w:sz="0" w:space="0" w:color="auto"/>
            <w:bottom w:val="none" w:sz="0" w:space="0" w:color="auto"/>
            <w:right w:val="none" w:sz="0" w:space="0" w:color="auto"/>
          </w:divBdr>
        </w:div>
      </w:divsChild>
    </w:div>
    <w:div w:id="1805191375">
      <w:bodyDiv w:val="1"/>
      <w:marLeft w:val="0"/>
      <w:marRight w:val="0"/>
      <w:marTop w:val="0"/>
      <w:marBottom w:val="0"/>
      <w:divBdr>
        <w:top w:val="none" w:sz="0" w:space="0" w:color="auto"/>
        <w:left w:val="none" w:sz="0" w:space="0" w:color="auto"/>
        <w:bottom w:val="none" w:sz="0" w:space="0" w:color="auto"/>
        <w:right w:val="none" w:sz="0" w:space="0" w:color="auto"/>
      </w:divBdr>
      <w:divsChild>
        <w:div w:id="1807813719">
          <w:marLeft w:val="0"/>
          <w:marRight w:val="0"/>
          <w:marTop w:val="0"/>
          <w:marBottom w:val="0"/>
          <w:divBdr>
            <w:top w:val="none" w:sz="0" w:space="0" w:color="auto"/>
            <w:left w:val="none" w:sz="0" w:space="0" w:color="auto"/>
            <w:bottom w:val="none" w:sz="0" w:space="0" w:color="auto"/>
            <w:right w:val="none" w:sz="0" w:space="0" w:color="auto"/>
          </w:divBdr>
          <w:divsChild>
            <w:div w:id="1910337463">
              <w:marLeft w:val="0"/>
              <w:marRight w:val="0"/>
              <w:marTop w:val="0"/>
              <w:marBottom w:val="300"/>
              <w:divBdr>
                <w:top w:val="none" w:sz="0" w:space="0" w:color="auto"/>
                <w:left w:val="none" w:sz="0" w:space="0" w:color="auto"/>
                <w:bottom w:val="none" w:sz="0" w:space="0" w:color="auto"/>
                <w:right w:val="none" w:sz="0" w:space="0" w:color="auto"/>
              </w:divBdr>
            </w:div>
          </w:divsChild>
        </w:div>
        <w:div w:id="1994140080">
          <w:marLeft w:val="0"/>
          <w:marRight w:val="0"/>
          <w:marTop w:val="0"/>
          <w:marBottom w:val="0"/>
          <w:divBdr>
            <w:top w:val="none" w:sz="0" w:space="0" w:color="auto"/>
            <w:left w:val="none" w:sz="0" w:space="0" w:color="auto"/>
            <w:bottom w:val="none" w:sz="0" w:space="0" w:color="auto"/>
            <w:right w:val="none" w:sz="0" w:space="0" w:color="auto"/>
          </w:divBdr>
          <w:divsChild>
            <w:div w:id="182527353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32255935">
      <w:bodyDiv w:val="1"/>
      <w:marLeft w:val="0"/>
      <w:marRight w:val="0"/>
      <w:marTop w:val="0"/>
      <w:marBottom w:val="0"/>
      <w:divBdr>
        <w:top w:val="none" w:sz="0" w:space="0" w:color="auto"/>
        <w:left w:val="none" w:sz="0" w:space="0" w:color="auto"/>
        <w:bottom w:val="none" w:sz="0" w:space="0" w:color="auto"/>
        <w:right w:val="none" w:sz="0" w:space="0" w:color="auto"/>
      </w:divBdr>
      <w:divsChild>
        <w:div w:id="171528601">
          <w:marLeft w:val="0"/>
          <w:marRight w:val="0"/>
          <w:marTop w:val="0"/>
          <w:marBottom w:val="0"/>
          <w:divBdr>
            <w:top w:val="none" w:sz="0" w:space="0" w:color="auto"/>
            <w:left w:val="none" w:sz="0" w:space="0" w:color="auto"/>
            <w:bottom w:val="none" w:sz="0" w:space="0" w:color="auto"/>
            <w:right w:val="none" w:sz="0" w:space="0" w:color="auto"/>
          </w:divBdr>
        </w:div>
        <w:div w:id="1847549528">
          <w:marLeft w:val="0"/>
          <w:marRight w:val="0"/>
          <w:marTop w:val="0"/>
          <w:marBottom w:val="0"/>
          <w:divBdr>
            <w:top w:val="none" w:sz="0" w:space="0" w:color="auto"/>
            <w:left w:val="none" w:sz="0" w:space="0" w:color="auto"/>
            <w:bottom w:val="none" w:sz="0" w:space="0" w:color="auto"/>
            <w:right w:val="none" w:sz="0" w:space="0" w:color="auto"/>
          </w:divBdr>
        </w:div>
      </w:divsChild>
    </w:div>
    <w:div w:id="1843933392">
      <w:bodyDiv w:val="1"/>
      <w:marLeft w:val="0"/>
      <w:marRight w:val="0"/>
      <w:marTop w:val="0"/>
      <w:marBottom w:val="0"/>
      <w:divBdr>
        <w:top w:val="none" w:sz="0" w:space="0" w:color="auto"/>
        <w:left w:val="none" w:sz="0" w:space="0" w:color="auto"/>
        <w:bottom w:val="none" w:sz="0" w:space="0" w:color="auto"/>
        <w:right w:val="none" w:sz="0" w:space="0" w:color="auto"/>
      </w:divBdr>
      <w:divsChild>
        <w:div w:id="875776141">
          <w:marLeft w:val="0"/>
          <w:marRight w:val="0"/>
          <w:marTop w:val="0"/>
          <w:marBottom w:val="0"/>
          <w:divBdr>
            <w:top w:val="none" w:sz="0" w:space="0" w:color="auto"/>
            <w:left w:val="none" w:sz="0" w:space="0" w:color="auto"/>
            <w:bottom w:val="none" w:sz="0" w:space="0" w:color="auto"/>
            <w:right w:val="none" w:sz="0" w:space="0" w:color="auto"/>
          </w:divBdr>
        </w:div>
      </w:divsChild>
    </w:div>
    <w:div w:id="1884712988">
      <w:bodyDiv w:val="1"/>
      <w:marLeft w:val="0"/>
      <w:marRight w:val="0"/>
      <w:marTop w:val="0"/>
      <w:marBottom w:val="0"/>
      <w:divBdr>
        <w:top w:val="none" w:sz="0" w:space="0" w:color="auto"/>
        <w:left w:val="none" w:sz="0" w:space="0" w:color="auto"/>
        <w:bottom w:val="none" w:sz="0" w:space="0" w:color="auto"/>
        <w:right w:val="none" w:sz="0" w:space="0" w:color="auto"/>
      </w:divBdr>
    </w:div>
    <w:div w:id="1920285305">
      <w:bodyDiv w:val="1"/>
      <w:marLeft w:val="0"/>
      <w:marRight w:val="0"/>
      <w:marTop w:val="0"/>
      <w:marBottom w:val="0"/>
      <w:divBdr>
        <w:top w:val="none" w:sz="0" w:space="0" w:color="auto"/>
        <w:left w:val="none" w:sz="0" w:space="0" w:color="auto"/>
        <w:bottom w:val="none" w:sz="0" w:space="0" w:color="auto"/>
        <w:right w:val="none" w:sz="0" w:space="0" w:color="auto"/>
      </w:divBdr>
      <w:divsChild>
        <w:div w:id="279653592">
          <w:marLeft w:val="0"/>
          <w:marRight w:val="0"/>
          <w:marTop w:val="0"/>
          <w:marBottom w:val="0"/>
          <w:divBdr>
            <w:top w:val="none" w:sz="0" w:space="0" w:color="auto"/>
            <w:left w:val="none" w:sz="0" w:space="0" w:color="auto"/>
            <w:bottom w:val="none" w:sz="0" w:space="0" w:color="auto"/>
            <w:right w:val="none" w:sz="0" w:space="0" w:color="auto"/>
          </w:divBdr>
          <w:divsChild>
            <w:div w:id="1360474519">
              <w:marLeft w:val="0"/>
              <w:marRight w:val="0"/>
              <w:marTop w:val="150"/>
              <w:marBottom w:val="300"/>
              <w:divBdr>
                <w:top w:val="none" w:sz="0" w:space="0" w:color="auto"/>
                <w:left w:val="none" w:sz="0" w:space="0" w:color="auto"/>
                <w:bottom w:val="none" w:sz="0" w:space="0" w:color="auto"/>
                <w:right w:val="none" w:sz="0" w:space="0" w:color="auto"/>
              </w:divBdr>
            </w:div>
          </w:divsChild>
        </w:div>
        <w:div w:id="636569353">
          <w:marLeft w:val="0"/>
          <w:marRight w:val="0"/>
          <w:marTop w:val="0"/>
          <w:marBottom w:val="0"/>
          <w:divBdr>
            <w:top w:val="none" w:sz="0" w:space="0" w:color="auto"/>
            <w:left w:val="none" w:sz="0" w:space="0" w:color="auto"/>
            <w:bottom w:val="none" w:sz="0" w:space="0" w:color="auto"/>
            <w:right w:val="none" w:sz="0" w:space="0" w:color="auto"/>
          </w:divBdr>
          <w:divsChild>
            <w:div w:id="87520005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26263990">
      <w:bodyDiv w:val="1"/>
      <w:marLeft w:val="0"/>
      <w:marRight w:val="0"/>
      <w:marTop w:val="0"/>
      <w:marBottom w:val="0"/>
      <w:divBdr>
        <w:top w:val="none" w:sz="0" w:space="0" w:color="auto"/>
        <w:left w:val="none" w:sz="0" w:space="0" w:color="auto"/>
        <w:bottom w:val="none" w:sz="0" w:space="0" w:color="auto"/>
        <w:right w:val="none" w:sz="0" w:space="0" w:color="auto"/>
      </w:divBdr>
      <w:divsChild>
        <w:div w:id="479227540">
          <w:marLeft w:val="0"/>
          <w:marRight w:val="0"/>
          <w:marTop w:val="0"/>
          <w:marBottom w:val="0"/>
          <w:divBdr>
            <w:top w:val="none" w:sz="0" w:space="0" w:color="auto"/>
            <w:left w:val="none" w:sz="0" w:space="0" w:color="auto"/>
            <w:bottom w:val="none" w:sz="0" w:space="0" w:color="auto"/>
            <w:right w:val="none" w:sz="0" w:space="0" w:color="auto"/>
          </w:divBdr>
        </w:div>
      </w:divsChild>
    </w:div>
    <w:div w:id="1964539363">
      <w:bodyDiv w:val="1"/>
      <w:marLeft w:val="0"/>
      <w:marRight w:val="0"/>
      <w:marTop w:val="0"/>
      <w:marBottom w:val="0"/>
      <w:divBdr>
        <w:top w:val="none" w:sz="0" w:space="0" w:color="auto"/>
        <w:left w:val="none" w:sz="0" w:space="0" w:color="auto"/>
        <w:bottom w:val="none" w:sz="0" w:space="0" w:color="auto"/>
        <w:right w:val="none" w:sz="0" w:space="0" w:color="auto"/>
      </w:divBdr>
      <w:divsChild>
        <w:div w:id="787898550">
          <w:marLeft w:val="0"/>
          <w:marRight w:val="0"/>
          <w:marTop w:val="0"/>
          <w:marBottom w:val="0"/>
          <w:divBdr>
            <w:top w:val="none" w:sz="0" w:space="0" w:color="auto"/>
            <w:left w:val="none" w:sz="0" w:space="0" w:color="auto"/>
            <w:bottom w:val="none" w:sz="0" w:space="0" w:color="auto"/>
            <w:right w:val="none" w:sz="0" w:space="0" w:color="auto"/>
          </w:divBdr>
        </w:div>
        <w:div w:id="1181313318">
          <w:marLeft w:val="0"/>
          <w:marRight w:val="0"/>
          <w:marTop w:val="0"/>
          <w:marBottom w:val="0"/>
          <w:divBdr>
            <w:top w:val="none" w:sz="0" w:space="0" w:color="auto"/>
            <w:left w:val="none" w:sz="0" w:space="0" w:color="auto"/>
            <w:bottom w:val="none" w:sz="0" w:space="0" w:color="auto"/>
            <w:right w:val="none" w:sz="0" w:space="0" w:color="auto"/>
          </w:divBdr>
        </w:div>
      </w:divsChild>
    </w:div>
    <w:div w:id="21211452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cegaipslp.org.mx/webcegaip2018.nsf/Calendario%20Oficial%20de%20Actividades%202024?OpenPa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C4C12-668B-46E5-AA76-751A4A384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4598</Words>
  <Characters>25290</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Martínez Martínez</dc:creator>
  <cp:keywords/>
  <dc:description/>
  <cp:lastModifiedBy>cegaip</cp:lastModifiedBy>
  <cp:revision>5</cp:revision>
  <cp:lastPrinted>2025-11-27T16:13:00Z</cp:lastPrinted>
  <dcterms:created xsi:type="dcterms:W3CDTF">2026-05-25T18:48:00Z</dcterms:created>
  <dcterms:modified xsi:type="dcterms:W3CDTF">2026-06-01T15:43:00Z</dcterms:modified>
</cp:coreProperties>
</file>