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E97" w:rsidRPr="002B7643" w:rsidRDefault="00386E97" w:rsidP="00386E97">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TRIBUNAL ESTATAL DE JUSTICIA ADMINISTRATIVA</w:t>
      </w:r>
    </w:p>
    <w:p w:rsidR="00386E97" w:rsidRPr="002B7643" w:rsidRDefault="00386E97" w:rsidP="00386E97">
      <w:pPr>
        <w:spacing w:after="0" w:line="240" w:lineRule="auto"/>
        <w:ind w:left="3969"/>
        <w:jc w:val="both"/>
        <w:rPr>
          <w:rFonts w:ascii="Arial" w:eastAsia="Calibri" w:hAnsi="Arial" w:cs="Arial"/>
          <w:b/>
          <w:sz w:val="20"/>
          <w:szCs w:val="20"/>
        </w:rPr>
      </w:pPr>
    </w:p>
    <w:p w:rsidR="00386E97" w:rsidRPr="002B7643" w:rsidRDefault="00386E97" w:rsidP="00386E97">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TERCERA SALA UNITARIA</w:t>
      </w:r>
    </w:p>
    <w:p w:rsidR="00386E97" w:rsidRPr="002B7643" w:rsidRDefault="00386E97" w:rsidP="00386E97">
      <w:pPr>
        <w:spacing w:after="0" w:line="240" w:lineRule="auto"/>
        <w:ind w:left="3969"/>
        <w:jc w:val="center"/>
        <w:rPr>
          <w:rFonts w:ascii="Arial" w:eastAsia="Calibri" w:hAnsi="Arial" w:cs="Arial"/>
          <w:b/>
          <w:sz w:val="20"/>
          <w:szCs w:val="20"/>
        </w:rPr>
      </w:pPr>
    </w:p>
    <w:p w:rsidR="00386E97" w:rsidRPr="002B7643" w:rsidRDefault="00386E97" w:rsidP="00386E97">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 xml:space="preserve">EXPEDIENTE: </w:t>
      </w:r>
      <w:r w:rsidR="00503C25">
        <w:rPr>
          <w:rFonts w:ascii="Arial" w:eastAsia="Calibri" w:hAnsi="Arial" w:cs="Arial"/>
          <w:b/>
          <w:sz w:val="20"/>
          <w:szCs w:val="20"/>
        </w:rPr>
        <w:t>223</w:t>
      </w:r>
      <w:r w:rsidRPr="002B7643">
        <w:rPr>
          <w:rFonts w:ascii="Arial" w:eastAsia="Calibri" w:hAnsi="Arial" w:cs="Arial"/>
          <w:b/>
          <w:sz w:val="20"/>
          <w:szCs w:val="20"/>
        </w:rPr>
        <w:t>/202</w:t>
      </w:r>
      <w:r w:rsidR="00503C25">
        <w:rPr>
          <w:rFonts w:ascii="Arial" w:eastAsia="Calibri" w:hAnsi="Arial" w:cs="Arial"/>
          <w:b/>
          <w:sz w:val="20"/>
          <w:szCs w:val="20"/>
        </w:rPr>
        <w:t>5</w:t>
      </w:r>
      <w:r w:rsidRPr="002B7643">
        <w:rPr>
          <w:rFonts w:ascii="Arial" w:eastAsia="Calibri" w:hAnsi="Arial" w:cs="Arial"/>
          <w:b/>
          <w:sz w:val="20"/>
          <w:szCs w:val="20"/>
        </w:rPr>
        <w:t>-3</w:t>
      </w:r>
    </w:p>
    <w:p w:rsidR="00386E97" w:rsidRPr="002B7643" w:rsidRDefault="00386E97" w:rsidP="00386E97">
      <w:pPr>
        <w:spacing w:after="0" w:line="240" w:lineRule="auto"/>
        <w:ind w:left="3969"/>
        <w:jc w:val="both"/>
        <w:rPr>
          <w:rFonts w:ascii="Arial" w:eastAsia="Calibri" w:hAnsi="Arial" w:cs="Arial"/>
          <w:b/>
          <w:sz w:val="20"/>
          <w:szCs w:val="20"/>
        </w:rPr>
      </w:pPr>
    </w:p>
    <w:p w:rsidR="00386E97" w:rsidRPr="002B7643" w:rsidRDefault="00386E97" w:rsidP="00386E97">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 xml:space="preserve">PARTE ACTORA: </w:t>
      </w:r>
    </w:p>
    <w:p w:rsidR="00503C25" w:rsidRPr="002B7643" w:rsidRDefault="005A4BD2" w:rsidP="00386E97">
      <w:pPr>
        <w:spacing w:after="0" w:line="240" w:lineRule="auto"/>
        <w:ind w:left="3969"/>
        <w:jc w:val="both"/>
        <w:rPr>
          <w:rFonts w:ascii="Arial" w:eastAsia="Calibri" w:hAnsi="Arial" w:cs="Arial"/>
          <w:sz w:val="20"/>
          <w:szCs w:val="20"/>
        </w:rPr>
      </w:pPr>
      <w:r>
        <w:rPr>
          <w:rFonts w:ascii="Arial" w:eastAsia="Calibri" w:hAnsi="Arial" w:cs="Arial"/>
          <w:color w:val="FF0000"/>
          <w:sz w:val="20"/>
          <w:szCs w:val="20"/>
        </w:rPr>
        <w:t>**********</w:t>
      </w:r>
    </w:p>
    <w:p w:rsidR="00386E97" w:rsidRPr="002B7643" w:rsidRDefault="00386E97" w:rsidP="00386E97">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MAGISTRADO:</w:t>
      </w:r>
    </w:p>
    <w:p w:rsidR="00386E97" w:rsidRPr="002B7643" w:rsidRDefault="00386E97" w:rsidP="00386E97">
      <w:pPr>
        <w:spacing w:after="0" w:line="240" w:lineRule="auto"/>
        <w:ind w:left="3969"/>
        <w:jc w:val="both"/>
        <w:rPr>
          <w:rFonts w:ascii="Arial" w:eastAsia="Calibri" w:hAnsi="Arial" w:cs="Arial"/>
          <w:sz w:val="20"/>
          <w:szCs w:val="20"/>
        </w:rPr>
      </w:pPr>
      <w:r w:rsidRPr="002B7643">
        <w:rPr>
          <w:rFonts w:ascii="Arial" w:eastAsia="Calibri" w:hAnsi="Arial" w:cs="Arial"/>
          <w:sz w:val="20"/>
          <w:szCs w:val="20"/>
        </w:rPr>
        <w:t>LICENCIADO JORGE ALEJANDRO VERA NOYOLA</w:t>
      </w:r>
    </w:p>
    <w:p w:rsidR="00386E97" w:rsidRPr="002B7643" w:rsidRDefault="00386E97" w:rsidP="00386E97">
      <w:pPr>
        <w:spacing w:after="0" w:line="240" w:lineRule="auto"/>
        <w:ind w:left="3969"/>
        <w:jc w:val="both"/>
        <w:rPr>
          <w:rFonts w:ascii="Arial" w:eastAsia="Calibri" w:hAnsi="Arial" w:cs="Arial"/>
          <w:sz w:val="20"/>
          <w:szCs w:val="20"/>
        </w:rPr>
      </w:pPr>
    </w:p>
    <w:p w:rsidR="00386E97" w:rsidRPr="002B7643" w:rsidRDefault="00386E97" w:rsidP="00386E97">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SECRETARIO DE ESTUDIO Y CUENTA:</w:t>
      </w:r>
    </w:p>
    <w:p w:rsidR="00386E97" w:rsidRPr="002B7643" w:rsidRDefault="00386E97" w:rsidP="00386E97">
      <w:pPr>
        <w:spacing w:after="0" w:line="240" w:lineRule="auto"/>
        <w:ind w:left="3969"/>
        <w:jc w:val="both"/>
        <w:rPr>
          <w:rFonts w:ascii="Arial" w:eastAsia="Calibri" w:hAnsi="Arial" w:cs="Arial"/>
          <w:sz w:val="20"/>
          <w:szCs w:val="20"/>
        </w:rPr>
      </w:pPr>
      <w:r w:rsidRPr="002B7643">
        <w:rPr>
          <w:rFonts w:ascii="Arial" w:eastAsia="Calibri" w:hAnsi="Arial" w:cs="Arial"/>
          <w:sz w:val="20"/>
          <w:szCs w:val="20"/>
        </w:rPr>
        <w:t xml:space="preserve">LICENCIADA DIANA CAROLINA MONTELONGO ORTIZ </w:t>
      </w:r>
    </w:p>
    <w:p w:rsidR="00386E97" w:rsidRPr="002B7643" w:rsidRDefault="00386E97" w:rsidP="00386E97">
      <w:pPr>
        <w:tabs>
          <w:tab w:val="left" w:pos="567"/>
          <w:tab w:val="left" w:pos="5103"/>
          <w:tab w:val="left" w:pos="6804"/>
        </w:tabs>
        <w:spacing w:after="0" w:line="360" w:lineRule="auto"/>
        <w:ind w:left="4253"/>
        <w:rPr>
          <w:rFonts w:ascii="Arial Narrow" w:eastAsia="Arial Unicode MS" w:hAnsi="Arial Narrow" w:cs="Arial"/>
          <w:b/>
          <w:sz w:val="28"/>
          <w:szCs w:val="28"/>
        </w:rPr>
      </w:pPr>
    </w:p>
    <w:p w:rsidR="00386E97" w:rsidRPr="002B7643" w:rsidRDefault="00386E97" w:rsidP="00386E97">
      <w:pPr>
        <w:keepNext/>
        <w:spacing w:after="0" w:line="360" w:lineRule="auto"/>
        <w:ind w:firstLine="708"/>
        <w:jc w:val="both"/>
        <w:outlineLvl w:val="1"/>
        <w:rPr>
          <w:rFonts w:ascii="Arial" w:eastAsia="Calibri" w:hAnsi="Arial" w:cs="Arial"/>
          <w:sz w:val="26"/>
          <w:szCs w:val="26"/>
        </w:rPr>
      </w:pPr>
      <w:r w:rsidRPr="002B7643">
        <w:rPr>
          <w:rFonts w:ascii="Arial" w:eastAsia="Calibri" w:hAnsi="Arial" w:cs="Arial"/>
          <w:sz w:val="26"/>
          <w:szCs w:val="26"/>
        </w:rPr>
        <w:t xml:space="preserve">San Luis Potosí, S.L.P., a </w:t>
      </w:r>
      <w:r>
        <w:rPr>
          <w:rFonts w:ascii="Arial" w:eastAsia="Calibri" w:hAnsi="Arial" w:cs="Arial"/>
          <w:sz w:val="26"/>
          <w:szCs w:val="26"/>
        </w:rPr>
        <w:t>veintidós de enero de dos mil veintiséis</w:t>
      </w:r>
      <w:r w:rsidRPr="002B7643">
        <w:rPr>
          <w:rFonts w:ascii="Arial" w:eastAsia="Calibri" w:hAnsi="Arial" w:cs="Arial"/>
          <w:sz w:val="26"/>
          <w:szCs w:val="26"/>
        </w:rPr>
        <w:t>.</w:t>
      </w:r>
    </w:p>
    <w:p w:rsidR="00386E97" w:rsidRPr="002B7643" w:rsidRDefault="00386E97" w:rsidP="00386E97">
      <w:pPr>
        <w:spacing w:after="0" w:line="360" w:lineRule="auto"/>
        <w:rPr>
          <w:rFonts w:ascii="Arial" w:eastAsia="Calibri" w:hAnsi="Arial" w:cs="Arial"/>
          <w:sz w:val="26"/>
          <w:szCs w:val="26"/>
        </w:rPr>
      </w:pPr>
    </w:p>
    <w:p w:rsidR="00386E97" w:rsidRPr="002B7643" w:rsidRDefault="00386E97" w:rsidP="00386E97">
      <w:pPr>
        <w:spacing w:line="360" w:lineRule="auto"/>
        <w:jc w:val="both"/>
        <w:rPr>
          <w:rFonts w:ascii="Arial" w:eastAsia="Calibri" w:hAnsi="Arial" w:cs="Arial"/>
          <w:b/>
          <w:sz w:val="26"/>
          <w:szCs w:val="26"/>
        </w:rPr>
      </w:pPr>
      <w:r w:rsidRPr="002B7643">
        <w:rPr>
          <w:rFonts w:ascii="Arial" w:eastAsia="Calibri" w:hAnsi="Arial" w:cs="Arial"/>
          <w:b/>
          <w:sz w:val="26"/>
          <w:szCs w:val="26"/>
        </w:rPr>
        <w:tab/>
        <w:t xml:space="preserve">V I S T O S </w:t>
      </w:r>
      <w:r w:rsidRPr="002B7643">
        <w:rPr>
          <w:rFonts w:ascii="Arial" w:eastAsia="Calibri" w:hAnsi="Arial" w:cs="Arial"/>
          <w:sz w:val="26"/>
          <w:szCs w:val="26"/>
        </w:rPr>
        <w:t xml:space="preserve">para resolver en definitiva los autos del juicio  contencioso administrativo número </w:t>
      </w:r>
      <w:r w:rsidR="00503C25" w:rsidRPr="00503C25">
        <w:rPr>
          <w:rFonts w:ascii="Arial" w:eastAsia="Calibri" w:hAnsi="Arial" w:cs="Arial"/>
          <w:b/>
          <w:sz w:val="26"/>
          <w:szCs w:val="26"/>
        </w:rPr>
        <w:t>223</w:t>
      </w:r>
      <w:r w:rsidRPr="002B5950">
        <w:rPr>
          <w:rFonts w:ascii="Arial" w:eastAsia="Calibri" w:hAnsi="Arial" w:cs="Arial"/>
          <w:b/>
          <w:sz w:val="26"/>
          <w:szCs w:val="26"/>
        </w:rPr>
        <w:t>/</w:t>
      </w:r>
      <w:r w:rsidRPr="002B7643">
        <w:rPr>
          <w:rFonts w:ascii="Arial" w:eastAsia="Calibri" w:hAnsi="Arial" w:cs="Arial"/>
          <w:b/>
          <w:sz w:val="26"/>
          <w:szCs w:val="26"/>
        </w:rPr>
        <w:t>202</w:t>
      </w:r>
      <w:r w:rsidR="00503C25">
        <w:rPr>
          <w:rFonts w:ascii="Arial" w:eastAsia="Calibri" w:hAnsi="Arial" w:cs="Arial"/>
          <w:b/>
          <w:sz w:val="26"/>
          <w:szCs w:val="26"/>
        </w:rPr>
        <w:t>5</w:t>
      </w:r>
      <w:r w:rsidRPr="002B7643">
        <w:rPr>
          <w:rFonts w:ascii="Arial" w:eastAsia="Calibri" w:hAnsi="Arial" w:cs="Arial"/>
          <w:b/>
          <w:sz w:val="26"/>
          <w:szCs w:val="26"/>
        </w:rPr>
        <w:t xml:space="preserve">-3, </w:t>
      </w:r>
      <w:r w:rsidRPr="002B7643">
        <w:rPr>
          <w:rFonts w:ascii="Arial" w:eastAsia="Calibri" w:hAnsi="Arial" w:cs="Arial"/>
          <w:sz w:val="26"/>
          <w:szCs w:val="26"/>
        </w:rPr>
        <w:t>promovido por</w:t>
      </w:r>
      <w:r w:rsidRPr="002B7643">
        <w:rPr>
          <w:rFonts w:ascii="Arial" w:eastAsia="Calibri" w:hAnsi="Arial" w:cs="Arial"/>
          <w:b/>
          <w:sz w:val="26"/>
          <w:szCs w:val="26"/>
        </w:rPr>
        <w:t xml:space="preserve"> </w:t>
      </w:r>
      <w:r w:rsidR="005A4BD2">
        <w:rPr>
          <w:rFonts w:ascii="Arial" w:eastAsia="Calibri" w:hAnsi="Arial" w:cs="Arial"/>
          <w:b/>
          <w:color w:val="FF0000"/>
          <w:sz w:val="26"/>
          <w:szCs w:val="26"/>
        </w:rPr>
        <w:t>**********</w:t>
      </w:r>
      <w:proofErr w:type="gramStart"/>
      <w:r>
        <w:rPr>
          <w:rFonts w:ascii="Arial" w:eastAsia="Calibri" w:hAnsi="Arial" w:cs="Arial"/>
          <w:b/>
          <w:sz w:val="26"/>
          <w:szCs w:val="26"/>
        </w:rPr>
        <w:t>,</w:t>
      </w:r>
      <w:r w:rsidR="005A4BD2">
        <w:rPr>
          <w:rFonts w:ascii="Arial" w:eastAsia="Calibri" w:hAnsi="Arial" w:cs="Arial"/>
          <w:color w:val="FF0000"/>
          <w:sz w:val="26"/>
          <w:szCs w:val="26"/>
        </w:rPr>
        <w:t>*</w:t>
      </w:r>
      <w:proofErr w:type="gramEnd"/>
      <w:r w:rsidR="005A4BD2">
        <w:rPr>
          <w:rFonts w:ascii="Arial" w:eastAsia="Calibri" w:hAnsi="Arial" w:cs="Arial"/>
          <w:color w:val="FF0000"/>
          <w:sz w:val="26"/>
          <w:szCs w:val="26"/>
        </w:rPr>
        <w:t>*********</w:t>
      </w:r>
      <w:r w:rsidRPr="002B7643">
        <w:rPr>
          <w:rFonts w:ascii="Arial" w:eastAsia="Calibri" w:hAnsi="Arial" w:cs="Arial"/>
          <w:sz w:val="26"/>
          <w:szCs w:val="26"/>
        </w:rPr>
        <w:t xml:space="preserve">contra actos del </w:t>
      </w:r>
      <w:r w:rsidRPr="00C30D04">
        <w:rPr>
          <w:rFonts w:ascii="Arial" w:eastAsia="Calibri" w:hAnsi="Arial" w:cs="Arial"/>
          <w:b/>
          <w:sz w:val="26"/>
          <w:szCs w:val="26"/>
        </w:rPr>
        <w:t xml:space="preserve">H. AYUNTAMIENTO </w:t>
      </w:r>
      <w:r w:rsidR="00503C25">
        <w:rPr>
          <w:rFonts w:ascii="Arial" w:eastAsia="Calibri" w:hAnsi="Arial" w:cs="Arial"/>
          <w:b/>
          <w:sz w:val="26"/>
          <w:szCs w:val="26"/>
        </w:rPr>
        <w:t>y</w:t>
      </w:r>
      <w:r>
        <w:rPr>
          <w:rFonts w:ascii="Arial" w:eastAsia="Calibri" w:hAnsi="Arial" w:cs="Arial"/>
          <w:b/>
          <w:sz w:val="26"/>
          <w:szCs w:val="26"/>
        </w:rPr>
        <w:t xml:space="preserve"> DIRECCION DE SEGURIDAD PUBLICA Y TRANSITO</w:t>
      </w:r>
      <w:r w:rsidR="00503C25">
        <w:rPr>
          <w:rFonts w:ascii="Arial" w:eastAsia="Calibri" w:hAnsi="Arial" w:cs="Arial"/>
          <w:b/>
          <w:sz w:val="26"/>
          <w:szCs w:val="26"/>
        </w:rPr>
        <w:t xml:space="preserve"> MUNICIPAL</w:t>
      </w:r>
      <w:r w:rsidR="00503C25" w:rsidRPr="00503C25">
        <w:rPr>
          <w:rFonts w:ascii="Arial" w:eastAsia="Calibri" w:hAnsi="Arial" w:cs="Arial"/>
          <w:b/>
          <w:sz w:val="26"/>
          <w:szCs w:val="26"/>
        </w:rPr>
        <w:t xml:space="preserve"> </w:t>
      </w:r>
      <w:r w:rsidR="00503C25" w:rsidRPr="00C30D04">
        <w:rPr>
          <w:rFonts w:ascii="Arial" w:eastAsia="Calibri" w:hAnsi="Arial" w:cs="Arial"/>
          <w:b/>
          <w:sz w:val="26"/>
          <w:szCs w:val="26"/>
        </w:rPr>
        <w:t xml:space="preserve">DE </w:t>
      </w:r>
      <w:r w:rsidR="00503C25">
        <w:rPr>
          <w:rFonts w:ascii="Arial" w:eastAsia="Calibri" w:hAnsi="Arial" w:cs="Arial"/>
          <w:b/>
          <w:sz w:val="26"/>
          <w:szCs w:val="26"/>
        </w:rPr>
        <w:t>AXTLA DE TERRAZAS, S.L.P.</w:t>
      </w:r>
      <w:r w:rsidRPr="002B7643">
        <w:rPr>
          <w:rFonts w:ascii="Arial" w:eastAsia="Calibri" w:hAnsi="Arial" w:cs="Arial"/>
          <w:sz w:val="26"/>
          <w:szCs w:val="26"/>
        </w:rPr>
        <w:t>; y</w:t>
      </w:r>
    </w:p>
    <w:p w:rsidR="00386E97" w:rsidRPr="002B7643" w:rsidRDefault="00386E97" w:rsidP="00386E97">
      <w:pPr>
        <w:keepNext/>
        <w:tabs>
          <w:tab w:val="left" w:pos="851"/>
          <w:tab w:val="left" w:pos="8389"/>
        </w:tabs>
        <w:spacing w:after="0" w:line="360" w:lineRule="auto"/>
        <w:jc w:val="center"/>
        <w:outlineLvl w:val="2"/>
        <w:rPr>
          <w:rFonts w:ascii="Arial" w:eastAsia="Calibri" w:hAnsi="Arial" w:cs="Arial"/>
          <w:b/>
          <w:sz w:val="26"/>
          <w:szCs w:val="26"/>
        </w:rPr>
      </w:pPr>
      <w:r w:rsidRPr="002B7643">
        <w:rPr>
          <w:rFonts w:ascii="Arial" w:eastAsia="Calibri" w:hAnsi="Arial" w:cs="Arial"/>
          <w:b/>
          <w:sz w:val="26"/>
          <w:szCs w:val="26"/>
        </w:rPr>
        <w:t>R E S U L T A N D O:</w:t>
      </w:r>
    </w:p>
    <w:p w:rsidR="00386E97" w:rsidRPr="002B7643" w:rsidRDefault="00386E97" w:rsidP="00386E97">
      <w:pPr>
        <w:spacing w:after="0" w:line="360" w:lineRule="auto"/>
        <w:rPr>
          <w:rFonts w:ascii="Arial" w:eastAsia="Calibri" w:hAnsi="Arial" w:cs="Arial"/>
          <w:sz w:val="26"/>
          <w:szCs w:val="26"/>
        </w:rPr>
      </w:pPr>
    </w:p>
    <w:p w:rsidR="00386E97" w:rsidRPr="002B7643" w:rsidRDefault="00386E97" w:rsidP="000538B4">
      <w:pPr>
        <w:spacing w:line="360" w:lineRule="auto"/>
        <w:ind w:firstLine="708"/>
        <w:jc w:val="both"/>
        <w:rPr>
          <w:rFonts w:ascii="Arial" w:eastAsia="Calibri" w:hAnsi="Arial" w:cs="Arial"/>
          <w:b/>
          <w:sz w:val="26"/>
          <w:szCs w:val="26"/>
        </w:rPr>
      </w:pPr>
      <w:r w:rsidRPr="002B7643">
        <w:rPr>
          <w:rFonts w:ascii="Arial" w:eastAsia="Calibri" w:hAnsi="Arial" w:cs="Arial"/>
          <w:b/>
          <w:sz w:val="26"/>
          <w:szCs w:val="26"/>
        </w:rPr>
        <w:t xml:space="preserve">UNICO.- </w:t>
      </w:r>
      <w:r w:rsidRPr="002B7643">
        <w:rPr>
          <w:rFonts w:ascii="Arial" w:eastAsia="Calibri" w:hAnsi="Arial" w:cs="Arial"/>
          <w:sz w:val="26"/>
          <w:szCs w:val="26"/>
          <w:lang w:val="es-ES_tradnl"/>
        </w:rPr>
        <w:t xml:space="preserve">Por escrito recibido en este Tribunal el </w:t>
      </w:r>
      <w:r w:rsidR="00503C25">
        <w:rPr>
          <w:rFonts w:ascii="Arial" w:eastAsia="Calibri" w:hAnsi="Arial" w:cs="Arial"/>
          <w:sz w:val="26"/>
          <w:szCs w:val="26"/>
          <w:lang w:val="es-ES_tradnl"/>
        </w:rPr>
        <w:t>veintisiete de febrero de dos mil veinticinco</w:t>
      </w:r>
      <w:r w:rsidRPr="002B7643">
        <w:rPr>
          <w:rFonts w:ascii="Arial" w:eastAsia="Calibri" w:hAnsi="Arial" w:cs="Arial"/>
          <w:sz w:val="26"/>
          <w:szCs w:val="26"/>
          <w:lang w:val="es-ES_tradnl"/>
        </w:rPr>
        <w:t xml:space="preserve">, compareció </w:t>
      </w:r>
      <w:r w:rsidR="005A4BD2">
        <w:rPr>
          <w:rFonts w:ascii="Arial" w:eastAsia="Calibri" w:hAnsi="Arial" w:cs="Arial"/>
          <w:color w:val="FF0000"/>
          <w:sz w:val="26"/>
          <w:szCs w:val="26"/>
          <w:lang w:val="es-ES_tradnl"/>
        </w:rPr>
        <w:t>**********</w:t>
      </w:r>
      <w:r w:rsidRPr="002B7643">
        <w:rPr>
          <w:rFonts w:ascii="Arial" w:eastAsia="Calibri" w:hAnsi="Arial" w:cs="Arial"/>
          <w:sz w:val="26"/>
          <w:szCs w:val="26"/>
          <w:lang w:val="es-ES_tradnl"/>
        </w:rPr>
        <w:t xml:space="preserve">, a demandar del </w:t>
      </w:r>
      <w:r>
        <w:rPr>
          <w:rFonts w:ascii="Arial" w:eastAsia="Calibri" w:hAnsi="Arial" w:cs="Arial"/>
          <w:sz w:val="26"/>
          <w:szCs w:val="26"/>
          <w:lang w:val="es-ES_tradnl"/>
        </w:rPr>
        <w:t>H. Ayuntamiento</w:t>
      </w:r>
      <w:r w:rsidR="00503C25">
        <w:rPr>
          <w:rFonts w:ascii="Arial" w:eastAsia="Calibri" w:hAnsi="Arial" w:cs="Arial"/>
          <w:sz w:val="26"/>
          <w:szCs w:val="26"/>
          <w:lang w:val="es-ES_tradnl"/>
        </w:rPr>
        <w:t xml:space="preserve"> y Dirección de Seguridad Pública y Tránsito Municipal de Axtla de Terrazas, S.L.P.</w:t>
      </w:r>
      <w:r>
        <w:rPr>
          <w:rFonts w:ascii="Arial" w:eastAsia="Calibri" w:hAnsi="Arial" w:cs="Arial"/>
          <w:sz w:val="26"/>
          <w:szCs w:val="26"/>
          <w:lang w:val="es-ES_tradnl"/>
        </w:rPr>
        <w:t xml:space="preserve">, </w:t>
      </w:r>
      <w:r w:rsidRPr="002B7643">
        <w:rPr>
          <w:rFonts w:ascii="Arial" w:eastAsia="Calibri" w:hAnsi="Arial" w:cs="Arial"/>
          <w:sz w:val="26"/>
          <w:szCs w:val="26"/>
          <w:lang w:val="es-ES_tradnl"/>
        </w:rPr>
        <w:t>por la nulidad de</w:t>
      </w:r>
      <w:r w:rsidR="00503C25">
        <w:rPr>
          <w:rFonts w:ascii="Arial" w:eastAsia="Calibri" w:hAnsi="Arial" w:cs="Arial"/>
          <w:sz w:val="26"/>
          <w:szCs w:val="26"/>
          <w:lang w:val="es-ES_tradnl"/>
        </w:rPr>
        <w:t>l cese del puesto de Policía Operativo B, en la Dirección de Seguridad Pública y Tránsito Municipal de Axtla de Terrazas, S.L.P.</w:t>
      </w:r>
      <w:r>
        <w:rPr>
          <w:rFonts w:ascii="Arial" w:eastAsia="Calibri" w:hAnsi="Arial" w:cs="Arial"/>
          <w:sz w:val="26"/>
          <w:szCs w:val="26"/>
          <w:lang w:val="es-ES_tradnl"/>
        </w:rPr>
        <w:t xml:space="preserve">, mismo que le fue </w:t>
      </w:r>
      <w:r w:rsidR="00503C25">
        <w:rPr>
          <w:rFonts w:ascii="Arial" w:eastAsia="Calibri" w:hAnsi="Arial" w:cs="Arial"/>
          <w:sz w:val="26"/>
          <w:szCs w:val="26"/>
          <w:lang w:val="es-ES_tradnl"/>
        </w:rPr>
        <w:t>dado a conocer el día quince de enero de dos mil veinticinco</w:t>
      </w:r>
      <w:r>
        <w:rPr>
          <w:rFonts w:ascii="Arial" w:eastAsia="Calibri" w:hAnsi="Arial" w:cs="Arial"/>
          <w:i/>
          <w:sz w:val="26"/>
          <w:szCs w:val="26"/>
          <w:lang w:val="es-ES_tradnl"/>
        </w:rPr>
        <w:t xml:space="preserve">. </w:t>
      </w:r>
      <w:r w:rsidRPr="00AE7A61">
        <w:rPr>
          <w:rFonts w:ascii="Arial" w:eastAsia="Calibri" w:hAnsi="Arial" w:cs="Arial"/>
          <w:sz w:val="26"/>
          <w:szCs w:val="26"/>
          <w:lang w:val="es-ES_tradnl"/>
        </w:rPr>
        <w:t xml:space="preserve">Por proveído de </w:t>
      </w:r>
      <w:r w:rsidR="00A12766">
        <w:rPr>
          <w:rFonts w:ascii="Arial" w:eastAsia="Calibri" w:hAnsi="Arial" w:cs="Arial"/>
          <w:sz w:val="26"/>
          <w:szCs w:val="26"/>
          <w:lang w:val="es-ES_tradnl"/>
        </w:rPr>
        <w:t>veinte de marzo de dos mil veinticinco</w:t>
      </w:r>
      <w:r w:rsidRPr="00AE7A61">
        <w:rPr>
          <w:rFonts w:ascii="Arial" w:eastAsia="Calibri" w:hAnsi="Arial" w:cs="Arial"/>
          <w:sz w:val="26"/>
          <w:szCs w:val="26"/>
          <w:lang w:val="es-ES_tradnl"/>
        </w:rPr>
        <w:t xml:space="preserve">, se requirió al actor, para que </w:t>
      </w:r>
      <w:r>
        <w:rPr>
          <w:rFonts w:ascii="Arial" w:eastAsia="Calibri" w:hAnsi="Arial" w:cs="Arial"/>
          <w:sz w:val="26"/>
          <w:szCs w:val="26"/>
          <w:lang w:val="es-ES_tradnl"/>
        </w:rPr>
        <w:t xml:space="preserve">subsanara y aclarara las omisiones contenidas en el mismo auto, con el apercibimiento de ley; por lo que mediante acuerdo de </w:t>
      </w:r>
      <w:r w:rsidR="00A12766">
        <w:rPr>
          <w:rFonts w:ascii="Arial" w:eastAsia="Calibri" w:hAnsi="Arial" w:cs="Arial"/>
          <w:sz w:val="26"/>
          <w:szCs w:val="26"/>
          <w:lang w:val="es-ES_tradnl"/>
        </w:rPr>
        <w:t xml:space="preserve">diecinueve de agosto de dos mil veinticinco, se tuvo a la actora por no dando cumplimiento al requerimiento formulado, en virtud de que lo hizo fuera del término correspondiente. En el mismo auto se </w:t>
      </w:r>
      <w:r>
        <w:rPr>
          <w:rFonts w:ascii="Arial" w:eastAsia="Calibri" w:hAnsi="Arial" w:cs="Arial"/>
          <w:sz w:val="26"/>
          <w:szCs w:val="26"/>
          <w:lang w:val="es-ES_tradnl"/>
        </w:rPr>
        <w:t xml:space="preserve">admitió a trámite la demanda </w:t>
      </w:r>
      <w:r w:rsidRPr="002B7643">
        <w:rPr>
          <w:rFonts w:ascii="Arial" w:eastAsia="Calibri" w:hAnsi="Arial" w:cs="Arial"/>
          <w:sz w:val="26"/>
          <w:szCs w:val="26"/>
          <w:lang w:val="es-ES_tradnl"/>
        </w:rPr>
        <w:t xml:space="preserve">en contra de las autoridades señaladas como demandadas, por lo que con las copias simples y anexos, se ordenó correr traslado a las autoridades demandadas, para que dentro del término de diez días hábiles contados a partir del día siguiente al que surtiera efectos la </w:t>
      </w:r>
      <w:r w:rsidRPr="002B7643">
        <w:rPr>
          <w:rFonts w:ascii="Arial" w:eastAsia="Calibri" w:hAnsi="Arial" w:cs="Arial"/>
          <w:sz w:val="26"/>
          <w:szCs w:val="26"/>
          <w:lang w:val="es-ES_tradnl"/>
        </w:rPr>
        <w:lastRenderedPageBreak/>
        <w:t xml:space="preserve">notificación contestaran lo que a su interés conviniera. Con acuerdo de </w:t>
      </w:r>
      <w:r w:rsidR="00A12766">
        <w:rPr>
          <w:rFonts w:ascii="Arial" w:eastAsia="Calibri" w:hAnsi="Arial" w:cs="Arial"/>
          <w:sz w:val="26"/>
          <w:szCs w:val="26"/>
          <w:lang w:val="es-ES_tradnl"/>
        </w:rPr>
        <w:t>tres de octubre de dos mil veinticinco</w:t>
      </w:r>
      <w:r w:rsidRPr="002B7643">
        <w:rPr>
          <w:rFonts w:ascii="Arial" w:eastAsia="Calibri" w:hAnsi="Arial" w:cs="Arial"/>
          <w:sz w:val="26"/>
          <w:szCs w:val="26"/>
          <w:lang w:val="es-ES_tradnl"/>
        </w:rPr>
        <w:t xml:space="preserve">, se </w:t>
      </w:r>
      <w:r>
        <w:rPr>
          <w:rFonts w:ascii="Arial" w:eastAsia="Calibri" w:hAnsi="Arial" w:cs="Arial"/>
          <w:sz w:val="26"/>
          <w:szCs w:val="26"/>
          <w:lang w:val="es-ES_tradnl"/>
        </w:rPr>
        <w:t xml:space="preserve">tuvo por contestada la demanda a las autoridades demandadas, por lo que con la copia simple y anexos, se ordenó correr traslado a la parte actora para que manifestara lo que a su interés conviniera. </w:t>
      </w:r>
      <w:r w:rsidRPr="002B7643">
        <w:rPr>
          <w:rFonts w:ascii="Arial" w:eastAsia="Calibri" w:hAnsi="Arial" w:cs="Arial"/>
          <w:sz w:val="26"/>
          <w:szCs w:val="26"/>
          <w:lang w:val="es-ES_tradnl"/>
        </w:rPr>
        <w:t>Se tuvieron por admitidas a la</w:t>
      </w:r>
      <w:r>
        <w:rPr>
          <w:rFonts w:ascii="Arial" w:eastAsia="Calibri" w:hAnsi="Arial" w:cs="Arial"/>
          <w:sz w:val="26"/>
          <w:szCs w:val="26"/>
          <w:lang w:val="es-ES_tradnl"/>
        </w:rPr>
        <w:t>s</w:t>
      </w:r>
      <w:r w:rsidRPr="002B7643">
        <w:rPr>
          <w:rFonts w:ascii="Arial" w:eastAsia="Calibri" w:hAnsi="Arial" w:cs="Arial"/>
          <w:sz w:val="26"/>
          <w:szCs w:val="26"/>
          <w:lang w:val="es-ES_tradnl"/>
        </w:rPr>
        <w:t xml:space="preserve"> parte</w:t>
      </w:r>
      <w:r>
        <w:rPr>
          <w:rFonts w:ascii="Arial" w:eastAsia="Calibri" w:hAnsi="Arial" w:cs="Arial"/>
          <w:sz w:val="26"/>
          <w:szCs w:val="26"/>
          <w:lang w:val="es-ES_tradnl"/>
        </w:rPr>
        <w:t>s</w:t>
      </w:r>
      <w:r w:rsidRPr="002B7643">
        <w:rPr>
          <w:rFonts w:ascii="Arial" w:eastAsia="Calibri" w:hAnsi="Arial" w:cs="Arial"/>
          <w:sz w:val="26"/>
          <w:szCs w:val="26"/>
          <w:lang w:val="es-ES_tradnl"/>
        </w:rPr>
        <w:t xml:space="preserve">, las pruebas documentales que </w:t>
      </w:r>
      <w:r w:rsidR="00A12766" w:rsidRPr="002B7643">
        <w:rPr>
          <w:rFonts w:ascii="Arial" w:eastAsia="Calibri" w:hAnsi="Arial" w:cs="Arial"/>
          <w:sz w:val="26"/>
          <w:szCs w:val="26"/>
          <w:lang w:val="es-ES_tradnl"/>
        </w:rPr>
        <w:t>acompa</w:t>
      </w:r>
      <w:r w:rsidR="00A12766">
        <w:rPr>
          <w:rFonts w:ascii="Arial" w:eastAsia="Calibri" w:hAnsi="Arial" w:cs="Arial"/>
          <w:sz w:val="26"/>
          <w:szCs w:val="26"/>
          <w:lang w:val="es-ES_tradnl"/>
        </w:rPr>
        <w:t>ñaron</w:t>
      </w:r>
      <w:r w:rsidRPr="002B7643">
        <w:rPr>
          <w:rFonts w:ascii="Arial" w:eastAsia="Calibri" w:hAnsi="Arial" w:cs="Arial"/>
          <w:sz w:val="26"/>
          <w:szCs w:val="26"/>
          <w:lang w:val="es-ES_tradnl"/>
        </w:rPr>
        <w:t xml:space="preserve"> a su</w:t>
      </w:r>
      <w:r>
        <w:rPr>
          <w:rFonts w:ascii="Arial" w:eastAsia="Calibri" w:hAnsi="Arial" w:cs="Arial"/>
          <w:sz w:val="26"/>
          <w:szCs w:val="26"/>
          <w:lang w:val="es-ES_tradnl"/>
        </w:rPr>
        <w:t>s</w:t>
      </w:r>
      <w:r w:rsidRPr="002B7643">
        <w:rPr>
          <w:rFonts w:ascii="Arial" w:eastAsia="Calibri" w:hAnsi="Arial" w:cs="Arial"/>
          <w:sz w:val="26"/>
          <w:szCs w:val="26"/>
          <w:lang w:val="es-ES_tradnl"/>
        </w:rPr>
        <w:t xml:space="preserve"> escrito</w:t>
      </w:r>
      <w:r>
        <w:rPr>
          <w:rFonts w:ascii="Arial" w:eastAsia="Calibri" w:hAnsi="Arial" w:cs="Arial"/>
          <w:sz w:val="26"/>
          <w:szCs w:val="26"/>
          <w:lang w:val="es-ES_tradnl"/>
        </w:rPr>
        <w:t>s</w:t>
      </w:r>
      <w:r w:rsidRPr="002B7643">
        <w:rPr>
          <w:rFonts w:ascii="Arial" w:eastAsia="Calibri" w:hAnsi="Arial" w:cs="Arial"/>
          <w:sz w:val="26"/>
          <w:szCs w:val="26"/>
          <w:lang w:val="es-ES_tradnl"/>
        </w:rPr>
        <w:t xml:space="preserve"> de demanda</w:t>
      </w:r>
      <w:r>
        <w:rPr>
          <w:rFonts w:ascii="Arial" w:eastAsia="Calibri" w:hAnsi="Arial" w:cs="Arial"/>
          <w:sz w:val="26"/>
          <w:szCs w:val="26"/>
          <w:lang w:val="es-ES_tradnl"/>
        </w:rPr>
        <w:t xml:space="preserve"> y contestación, asimismo, se </w:t>
      </w:r>
      <w:r w:rsidR="00A12766">
        <w:rPr>
          <w:rFonts w:ascii="Arial" w:eastAsia="Calibri" w:hAnsi="Arial" w:cs="Arial"/>
          <w:sz w:val="26"/>
          <w:szCs w:val="26"/>
          <w:lang w:val="es-ES_tradnl"/>
        </w:rPr>
        <w:t xml:space="preserve">tuvieron por admitidas las pruebas documentales ofrecidas por las partes. Mediante acuerdo de primero de diciembre de dos mil veinticinco, se tuvo a la parte actora por admitida la prueba testimonial ofrecida  a cargo de dos personas y en cuanto a la solicitud de información </w:t>
      </w:r>
      <w:r w:rsidR="000538B4">
        <w:rPr>
          <w:rFonts w:ascii="Arial" w:eastAsia="Calibri" w:hAnsi="Arial" w:cs="Arial"/>
          <w:sz w:val="26"/>
          <w:szCs w:val="26"/>
          <w:lang w:val="es-ES_tradnl"/>
        </w:rPr>
        <w:t>a la Tesorería Municipal de Axtla de Terrazas, S.L.P.,</w:t>
      </w:r>
      <w:r w:rsidR="009F30DF">
        <w:rPr>
          <w:rFonts w:ascii="Arial" w:eastAsia="Calibri" w:hAnsi="Arial" w:cs="Arial"/>
          <w:sz w:val="26"/>
          <w:szCs w:val="26"/>
          <w:lang w:val="es-ES_tradnl"/>
        </w:rPr>
        <w:t xml:space="preserve"> </w:t>
      </w:r>
      <w:r w:rsidR="000538B4">
        <w:rPr>
          <w:rFonts w:ascii="Arial" w:eastAsia="Calibri" w:hAnsi="Arial" w:cs="Arial"/>
          <w:sz w:val="26"/>
          <w:szCs w:val="26"/>
          <w:lang w:val="es-ES_tradnl"/>
        </w:rPr>
        <w:t xml:space="preserve">se desechó dicha probanza, en virtud de que la parte actora, no hizo la solicitud correspondiente a la citada autoridad, antes de la presentación de su demanda. Con fecha veinte de enero de dos mil veintiséis, tuvo </w:t>
      </w:r>
      <w:r w:rsidRPr="002B7643">
        <w:rPr>
          <w:rFonts w:ascii="Arial" w:eastAsia="Calibri" w:hAnsi="Arial" w:cs="Arial"/>
          <w:sz w:val="26"/>
          <w:szCs w:val="26"/>
          <w:lang w:val="es-ES_tradnl"/>
        </w:rPr>
        <w:t xml:space="preserve">verificativo </w:t>
      </w:r>
      <w:r w:rsidR="000538B4">
        <w:rPr>
          <w:rFonts w:ascii="Arial" w:eastAsia="Calibri" w:hAnsi="Arial" w:cs="Arial"/>
          <w:sz w:val="26"/>
          <w:szCs w:val="26"/>
          <w:lang w:val="es-ES_tradnl"/>
        </w:rPr>
        <w:t>la Audiencia de Ley, con la asistencia de las autoridades demandadas, no así de la parte actora</w:t>
      </w:r>
      <w:r w:rsidRPr="002B7643">
        <w:rPr>
          <w:rFonts w:ascii="Arial" w:eastAsia="Calibri" w:hAnsi="Arial" w:cs="Arial"/>
          <w:sz w:val="26"/>
          <w:szCs w:val="26"/>
          <w:lang w:val="es-ES_tradnl"/>
        </w:rPr>
        <w:t xml:space="preserve">; en período de pruebas se tuvieron por desahogadas </w:t>
      </w:r>
      <w:r w:rsidR="009F30DF" w:rsidRPr="002B7643">
        <w:rPr>
          <w:rFonts w:ascii="Arial" w:eastAsia="Calibri" w:hAnsi="Arial" w:cs="Arial"/>
          <w:sz w:val="26"/>
          <w:szCs w:val="26"/>
          <w:lang w:val="es-ES_tradnl"/>
        </w:rPr>
        <w:t>la prueba testimonial</w:t>
      </w:r>
      <w:r w:rsidR="009F30DF">
        <w:rPr>
          <w:rFonts w:ascii="Arial" w:eastAsia="Calibri" w:hAnsi="Arial" w:cs="Arial"/>
          <w:sz w:val="26"/>
          <w:szCs w:val="26"/>
          <w:lang w:val="es-ES_tradnl"/>
        </w:rPr>
        <w:t xml:space="preserve"> de la parte actora y las documentales</w:t>
      </w:r>
      <w:r w:rsidRPr="002B7643">
        <w:rPr>
          <w:rFonts w:ascii="Arial" w:eastAsia="Calibri" w:hAnsi="Arial" w:cs="Arial"/>
          <w:sz w:val="26"/>
          <w:szCs w:val="26"/>
          <w:lang w:val="es-ES_tradnl"/>
        </w:rPr>
        <w:t xml:space="preserve"> de la</w:t>
      </w:r>
      <w:r w:rsidR="009F30DF">
        <w:rPr>
          <w:rFonts w:ascii="Arial" w:eastAsia="Calibri" w:hAnsi="Arial" w:cs="Arial"/>
          <w:sz w:val="26"/>
          <w:szCs w:val="26"/>
          <w:lang w:val="es-ES_tradnl"/>
        </w:rPr>
        <w:t>s partes,</w:t>
      </w:r>
      <w:r w:rsidRPr="002B7643">
        <w:rPr>
          <w:rFonts w:ascii="Arial" w:eastAsia="Calibri" w:hAnsi="Arial" w:cs="Arial"/>
          <w:sz w:val="26"/>
          <w:szCs w:val="26"/>
          <w:lang w:val="es-ES_tradnl"/>
        </w:rPr>
        <w:t xml:space="preserve"> dada su propia naturaleza. No existiendo pruebas por desahogar, en período de alegatos, se </w:t>
      </w:r>
      <w:r w:rsidR="009F30DF">
        <w:rPr>
          <w:rFonts w:ascii="Arial" w:eastAsia="Calibri" w:hAnsi="Arial" w:cs="Arial"/>
          <w:sz w:val="26"/>
          <w:szCs w:val="26"/>
          <w:lang w:val="es-ES_tradnl"/>
        </w:rPr>
        <w:t>certificó que estos no fueron formulados por las partes</w:t>
      </w:r>
      <w:r w:rsidRPr="002B7643">
        <w:rPr>
          <w:rFonts w:ascii="Arial" w:eastAsia="Calibri" w:hAnsi="Arial" w:cs="Arial"/>
          <w:sz w:val="26"/>
          <w:szCs w:val="26"/>
          <w:lang w:val="es-ES_tradnl"/>
        </w:rPr>
        <w:t>, quedando así debidamente integrado el expediente en que se actúa, citándose para resolver.</w:t>
      </w:r>
      <w:r w:rsidRPr="002B7643">
        <w:rPr>
          <w:rFonts w:ascii="Arial" w:eastAsia="Calibri" w:hAnsi="Arial" w:cs="Arial"/>
          <w:b/>
          <w:sz w:val="26"/>
          <w:szCs w:val="26"/>
        </w:rPr>
        <w:t xml:space="preserve"> </w:t>
      </w:r>
    </w:p>
    <w:p w:rsidR="00386E97" w:rsidRPr="002B7643" w:rsidRDefault="00386E97" w:rsidP="00386E97">
      <w:pPr>
        <w:keepNext/>
        <w:spacing w:after="0" w:line="360" w:lineRule="auto"/>
        <w:ind w:right="-1"/>
        <w:jc w:val="center"/>
        <w:outlineLvl w:val="3"/>
        <w:rPr>
          <w:rFonts w:ascii="Arial" w:eastAsia="Calibri" w:hAnsi="Arial" w:cs="Arial"/>
          <w:b/>
          <w:sz w:val="26"/>
          <w:szCs w:val="26"/>
        </w:rPr>
      </w:pPr>
      <w:r w:rsidRPr="002B7643">
        <w:rPr>
          <w:rFonts w:ascii="Arial" w:eastAsia="Calibri" w:hAnsi="Arial" w:cs="Arial"/>
          <w:b/>
          <w:sz w:val="26"/>
          <w:szCs w:val="26"/>
        </w:rPr>
        <w:t>C O N S I D E R A N D O</w:t>
      </w:r>
    </w:p>
    <w:p w:rsidR="00386E97" w:rsidRPr="002B7643" w:rsidRDefault="00386E97" w:rsidP="00386E97">
      <w:pPr>
        <w:autoSpaceDE w:val="0"/>
        <w:autoSpaceDN w:val="0"/>
        <w:adjustRightInd w:val="0"/>
        <w:spacing w:after="0" w:line="360" w:lineRule="auto"/>
        <w:ind w:firstLine="709"/>
        <w:jc w:val="both"/>
        <w:rPr>
          <w:rFonts w:ascii="Arial" w:eastAsia="Calibri" w:hAnsi="Arial" w:cs="Arial"/>
          <w:b/>
          <w:sz w:val="26"/>
          <w:szCs w:val="26"/>
        </w:rPr>
      </w:pPr>
    </w:p>
    <w:p w:rsidR="00386E97" w:rsidRPr="002B7643" w:rsidRDefault="00386E97" w:rsidP="00386E97">
      <w:pPr>
        <w:autoSpaceDE w:val="0"/>
        <w:autoSpaceDN w:val="0"/>
        <w:adjustRightInd w:val="0"/>
        <w:spacing w:after="0" w:line="360" w:lineRule="auto"/>
        <w:ind w:firstLine="709"/>
        <w:jc w:val="both"/>
        <w:rPr>
          <w:rFonts w:ascii="Arial" w:eastAsia="Times New Roman" w:hAnsi="Arial" w:cs="Arial"/>
          <w:sz w:val="26"/>
          <w:szCs w:val="26"/>
          <w:lang w:eastAsia="es-ES"/>
        </w:rPr>
      </w:pPr>
      <w:r w:rsidRPr="002B7643">
        <w:rPr>
          <w:rFonts w:ascii="Arial" w:eastAsia="Calibri" w:hAnsi="Arial" w:cs="Arial"/>
          <w:b/>
          <w:sz w:val="26"/>
          <w:szCs w:val="26"/>
        </w:rPr>
        <w:t>PRIMERO.-</w:t>
      </w:r>
      <w:r w:rsidRPr="002B7643">
        <w:rPr>
          <w:rFonts w:ascii="Arial" w:eastAsia="Calibri" w:hAnsi="Arial" w:cs="Arial"/>
          <w:sz w:val="26"/>
          <w:szCs w:val="26"/>
        </w:rPr>
        <w:t xml:space="preserve"> </w:t>
      </w:r>
      <w:r w:rsidRPr="002B7643">
        <w:rPr>
          <w:rFonts w:ascii="Arial" w:eastAsia="Times New Roman" w:hAnsi="Arial" w:cs="Arial"/>
          <w:sz w:val="26"/>
          <w:szCs w:val="26"/>
          <w:lang w:eastAsia="es-ES"/>
        </w:rPr>
        <w:t xml:space="preserve">A la Tercera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w:t>
      </w:r>
      <w:r w:rsidRPr="002B7643">
        <w:rPr>
          <w:rFonts w:ascii="Arial" w:eastAsia="Times New Roman" w:hAnsi="Arial" w:cs="Arial"/>
          <w:i/>
          <w:sz w:val="26"/>
          <w:szCs w:val="26"/>
          <w:lang w:eastAsia="es-ES"/>
        </w:rPr>
        <w:t>“Plan de San Luis”,</w:t>
      </w:r>
      <w:r w:rsidRPr="002B7643">
        <w:rPr>
          <w:rFonts w:ascii="Arial" w:eastAsia="Times New Roman" w:hAnsi="Arial" w:cs="Arial"/>
          <w:sz w:val="26"/>
          <w:szCs w:val="26"/>
          <w:lang w:eastAsia="es-ES"/>
        </w:rPr>
        <w:t xml:space="preserve"> mediante Decreto número 603 del diez de abril de dos mil diecisiete;</w:t>
      </w:r>
      <w:r w:rsidRPr="002B7643">
        <w:rPr>
          <w:rFonts w:ascii="Arial" w:eastAsia="Calibri" w:hAnsi="Arial" w:cs="Arial"/>
          <w:sz w:val="26"/>
          <w:szCs w:val="26"/>
        </w:rPr>
        <w:t xml:space="preserve"> </w:t>
      </w:r>
      <w:r w:rsidRPr="002B7643">
        <w:rPr>
          <w:rFonts w:ascii="Arial" w:eastAsia="Times New Roman" w:hAnsi="Arial" w:cs="Arial"/>
          <w:sz w:val="26"/>
          <w:szCs w:val="26"/>
          <w:lang w:eastAsia="es-ES"/>
        </w:rPr>
        <w:t xml:space="preserve">y en el caso de este expediente, relativo a una controversia  suscitada entre un particular y autoridades de esta entidad federativa donde se ejerce jurisdicción, le compete conocer y resolver al tratarse de la nueva autoridad facultada en la materia, conforme a lo ordenado </w:t>
      </w:r>
      <w:r w:rsidRPr="002B7643">
        <w:rPr>
          <w:rFonts w:ascii="Arial" w:eastAsia="Times New Roman" w:hAnsi="Arial" w:cs="Arial"/>
          <w:sz w:val="26"/>
          <w:szCs w:val="26"/>
          <w:lang w:eastAsia="es-ES"/>
        </w:rPr>
        <w:lastRenderedPageBreak/>
        <w:t>en los artículos Transitorio Quinto de la Ley Orgánica en consulta, y Transitorio Segundo del Código Procesal Administrativo para el Estado de San Luis Potosí.</w:t>
      </w:r>
    </w:p>
    <w:p w:rsidR="00386E97" w:rsidRPr="002B7643" w:rsidRDefault="00386E97" w:rsidP="00386E97">
      <w:pPr>
        <w:autoSpaceDE w:val="0"/>
        <w:autoSpaceDN w:val="0"/>
        <w:adjustRightInd w:val="0"/>
        <w:spacing w:after="0" w:line="360" w:lineRule="auto"/>
        <w:ind w:firstLine="709"/>
        <w:jc w:val="both"/>
        <w:rPr>
          <w:rFonts w:ascii="Arial" w:eastAsia="Calibri" w:hAnsi="Arial" w:cs="Arial"/>
          <w:sz w:val="26"/>
          <w:szCs w:val="26"/>
        </w:rPr>
      </w:pPr>
    </w:p>
    <w:p w:rsidR="00386E97" w:rsidRPr="002B7643" w:rsidRDefault="00386E97" w:rsidP="00386E97">
      <w:pPr>
        <w:spacing w:after="0" w:line="360" w:lineRule="auto"/>
        <w:ind w:firstLine="709"/>
        <w:jc w:val="both"/>
        <w:rPr>
          <w:rFonts w:ascii="Arial" w:eastAsia="Calibri" w:hAnsi="Arial" w:cs="Arial"/>
          <w:sz w:val="26"/>
          <w:szCs w:val="26"/>
        </w:rPr>
      </w:pPr>
      <w:r w:rsidRPr="002B7643">
        <w:rPr>
          <w:rFonts w:ascii="Arial" w:eastAsia="Calibri" w:hAnsi="Arial" w:cs="Arial"/>
          <w:sz w:val="26"/>
          <w:szCs w:val="26"/>
        </w:rPr>
        <w:t>Competencia que además, fue reconocida en la Tesis de Jurisprudencia 23/96, aprobada por la Segunda Sala de la Suprema Corte de Justicia de la Nación, en sesión privada de veinticuatro de mayo de mil novecientos noventa y seis: Novena Época, Registro: 200587, Instancia: Segunda Sala, Jurisprudencia, Fuente: Semanario Judicial de la Federación y su Gaceta, III, Junio de 1996, Materia(s): Constitucional, Administrativa, Laboral, Tesis: 2a./J. 23/96, Página: 244; que establece:</w:t>
      </w:r>
    </w:p>
    <w:p w:rsidR="00386E97" w:rsidRPr="002B7643" w:rsidRDefault="00386E97" w:rsidP="00386E97">
      <w:pPr>
        <w:spacing w:after="0" w:line="360" w:lineRule="auto"/>
        <w:ind w:firstLine="709"/>
        <w:jc w:val="both"/>
        <w:rPr>
          <w:rFonts w:ascii="Arial" w:eastAsia="Calibri" w:hAnsi="Arial" w:cs="Arial"/>
          <w:sz w:val="26"/>
          <w:szCs w:val="26"/>
        </w:rPr>
      </w:pPr>
    </w:p>
    <w:p w:rsidR="00386E97" w:rsidRPr="002B7643" w:rsidRDefault="00386E97" w:rsidP="00386E97">
      <w:pPr>
        <w:spacing w:after="0" w:line="240" w:lineRule="auto"/>
        <w:ind w:firstLine="709"/>
        <w:jc w:val="both"/>
        <w:rPr>
          <w:rFonts w:ascii="Arial Narrow" w:eastAsia="Calibri" w:hAnsi="Arial Narrow" w:cs="Arial"/>
          <w:i/>
          <w:sz w:val="23"/>
          <w:szCs w:val="23"/>
        </w:rPr>
      </w:pPr>
      <w:r w:rsidRPr="002B7643">
        <w:rPr>
          <w:rFonts w:ascii="Arial Narrow" w:eastAsia="Calibri" w:hAnsi="Arial Narrow" w:cs="Arial"/>
          <w:b/>
          <w:i/>
          <w:sz w:val="23"/>
          <w:szCs w:val="23"/>
        </w:rPr>
        <w:t>“COMPETENCIA PARA CONOCER DE LOS CONFLICTOS DERIVADOS DE LA PRESTACION DE SERVICIOS DE LOS POLICIAS. CORRESPONDE AL TRIBUNAL DE LO CONTENCIOSO ADMINISTRATIVO. (ESTADO DE SAN LUIS POTOSI).</w:t>
      </w:r>
      <w:r w:rsidRPr="002B7643">
        <w:rPr>
          <w:rFonts w:ascii="Arial Narrow" w:eastAsia="Calibri" w:hAnsi="Arial Narrow" w:cs="Arial"/>
          <w:i/>
          <w:sz w:val="23"/>
          <w:szCs w:val="23"/>
        </w:rPr>
        <w:t xml:space="preserve"> De lo dispuesto por las fracciones XIII, del apartado B, del artículo 123 y V, del 116 de la Constitución Política de los Estados Unidos Mexicanos, se desprende que la naturaleza del vínculo jurídico existente entre los agentes de seguridad pública y el Estado, es de naturaleza administrativa y no laboral. Asimismo, el Estatuto Jurídico de los Trabajadores al Servicio de las Autoridades de San Luis Potosí, tampoco reconoce como laboral el vínculo que une a los agentes de seguridad pública con el Estado. Por ello, resulta competente para conocer de los litigios que se generen con motivo de la prestación del servicio, el Tribunal de lo Contencioso Administrativo del Estado, tal como lo dispone el artículo 2 de la Ley de Justicia Administrativa de dicha entidad federativa, que faculta a este órgano para conocer de las controversias de naturaleza administrativa entre las autoridades del Estado y los gobernados, sin dejar de tomar en consideración que las prestaciones demandadas no son sino una consecuencia de la acción de nulidad promovida en contra de la orden de baja del actor. Este criterio se ve fortalecido por diversas tesis aisladas y de jurisprudencia, dentro de las que destacan las tesis jurisprudenciales números 24/1995 del Tribunal Pleno y 77/95 de la Segunda Sala, publicadas en el Tomo II del Semanario Judicial de la Federación (Novena Época), la primera en el mes de septiembre de mil novecientos noventa y cinco, página cuarenta y tres, y la segunda en el mes de diciembre siguiente, página doscientos noventa, y aunque se refiere a los policías en el Estado de México, guardan analogía con lo que acontece en San Luis Potosí y no viene sino a fortalecer el carácter administrativo de la relación que sostienen los agentes de seguridad pública con el propio Estado….”</w:t>
      </w:r>
    </w:p>
    <w:p w:rsidR="00386E97" w:rsidRPr="002B7643" w:rsidRDefault="00386E97" w:rsidP="00386E97">
      <w:pPr>
        <w:spacing w:line="360" w:lineRule="auto"/>
        <w:ind w:firstLine="709"/>
        <w:contextualSpacing/>
        <w:jc w:val="both"/>
        <w:rPr>
          <w:rFonts w:ascii="Arial" w:eastAsia="Calibri" w:hAnsi="Arial" w:cs="Arial"/>
          <w:b/>
          <w:sz w:val="24"/>
          <w:szCs w:val="24"/>
        </w:rPr>
      </w:pPr>
    </w:p>
    <w:p w:rsidR="00386E97" w:rsidRPr="002B7643" w:rsidRDefault="00386E97" w:rsidP="00386E97">
      <w:pPr>
        <w:spacing w:line="360" w:lineRule="auto"/>
        <w:ind w:firstLine="709"/>
        <w:contextualSpacing/>
        <w:jc w:val="both"/>
        <w:rPr>
          <w:rFonts w:ascii="Arial" w:eastAsia="Times New Roman" w:hAnsi="Arial" w:cs="Arial"/>
          <w:sz w:val="26"/>
          <w:szCs w:val="26"/>
          <w:lang w:eastAsia="es-ES"/>
        </w:rPr>
      </w:pPr>
      <w:r w:rsidRPr="002B7643">
        <w:rPr>
          <w:rFonts w:ascii="Arial" w:eastAsia="Calibri" w:hAnsi="Arial" w:cs="Arial"/>
          <w:b/>
          <w:sz w:val="26"/>
          <w:szCs w:val="26"/>
        </w:rPr>
        <w:t xml:space="preserve">SEGUNDO.- </w:t>
      </w:r>
      <w:r w:rsidRPr="002B7643">
        <w:rPr>
          <w:rFonts w:ascii="Arial" w:eastAsia="Times New Roman" w:hAnsi="Arial" w:cs="Arial"/>
          <w:sz w:val="26"/>
          <w:szCs w:val="26"/>
          <w:lang w:eastAsia="es-ES"/>
        </w:rPr>
        <w:t>De acuerdo con lo que precisa el artículo 221 del Código Procesal Administrativo para el Estado, esta Sala Unitaria procede a analizar la personalidad y legitimación de los comparecientes a este juicio.</w:t>
      </w:r>
    </w:p>
    <w:p w:rsidR="00386E97" w:rsidRPr="002B7643" w:rsidRDefault="00386E97" w:rsidP="00386E97">
      <w:pPr>
        <w:autoSpaceDE w:val="0"/>
        <w:autoSpaceDN w:val="0"/>
        <w:adjustRightInd w:val="0"/>
        <w:spacing w:after="0" w:line="360" w:lineRule="auto"/>
        <w:ind w:firstLine="709"/>
        <w:jc w:val="both"/>
        <w:rPr>
          <w:rFonts w:ascii="Arial" w:eastAsia="Times New Roman" w:hAnsi="Arial" w:cs="Arial"/>
          <w:sz w:val="26"/>
          <w:szCs w:val="26"/>
          <w:lang w:eastAsia="es-ES"/>
        </w:rPr>
      </w:pPr>
    </w:p>
    <w:p w:rsidR="00386E97" w:rsidRDefault="00386E97" w:rsidP="00713033">
      <w:pPr>
        <w:spacing w:line="360" w:lineRule="auto"/>
        <w:ind w:firstLine="709"/>
        <w:jc w:val="both"/>
        <w:rPr>
          <w:rFonts w:ascii="Arial" w:eastAsia="Calibri" w:hAnsi="Arial" w:cs="Arial"/>
          <w:sz w:val="26"/>
          <w:szCs w:val="26"/>
        </w:rPr>
      </w:pPr>
      <w:r w:rsidRPr="002B7643">
        <w:rPr>
          <w:rFonts w:ascii="Arial" w:eastAsia="Calibri" w:hAnsi="Arial" w:cs="Arial"/>
          <w:sz w:val="26"/>
          <w:szCs w:val="26"/>
        </w:rPr>
        <w:t xml:space="preserve">La parte actora compareció por derecho propio; acreditando su interés jurídico en términos del artículo 231 del Código Procesal Administrativo para el Estado de San Luis Potosí, al demostrar la </w:t>
      </w:r>
      <w:r w:rsidRPr="002B7643">
        <w:rPr>
          <w:rFonts w:ascii="Arial" w:eastAsia="Calibri" w:hAnsi="Arial" w:cs="Arial"/>
          <w:sz w:val="26"/>
          <w:szCs w:val="26"/>
        </w:rPr>
        <w:lastRenderedPageBreak/>
        <w:t>relación jurídico administrativa que le unía con la parte dema</w:t>
      </w:r>
      <w:r>
        <w:rPr>
          <w:rFonts w:ascii="Arial" w:eastAsia="Calibri" w:hAnsi="Arial" w:cs="Arial"/>
          <w:sz w:val="26"/>
          <w:szCs w:val="26"/>
        </w:rPr>
        <w:t xml:space="preserve">ndada, con la </w:t>
      </w:r>
      <w:r w:rsidRPr="002B7643">
        <w:rPr>
          <w:rFonts w:ascii="Arial" w:eastAsia="Calibri" w:hAnsi="Arial" w:cs="Arial"/>
          <w:sz w:val="26"/>
          <w:szCs w:val="26"/>
        </w:rPr>
        <w:t xml:space="preserve">documental </w:t>
      </w:r>
      <w:r>
        <w:rPr>
          <w:rFonts w:ascii="Arial" w:eastAsia="Calibri" w:hAnsi="Arial" w:cs="Arial"/>
          <w:sz w:val="26"/>
          <w:szCs w:val="26"/>
        </w:rPr>
        <w:t xml:space="preserve">que obra a fojas </w:t>
      </w:r>
      <w:r w:rsidR="009F30DF">
        <w:rPr>
          <w:rFonts w:ascii="Arial" w:eastAsia="Calibri" w:hAnsi="Arial" w:cs="Arial"/>
          <w:sz w:val="26"/>
          <w:szCs w:val="26"/>
        </w:rPr>
        <w:t xml:space="preserve">9 a 35 </w:t>
      </w:r>
      <w:r>
        <w:rPr>
          <w:rFonts w:ascii="Arial" w:eastAsia="Calibri" w:hAnsi="Arial" w:cs="Arial"/>
          <w:sz w:val="26"/>
          <w:szCs w:val="26"/>
        </w:rPr>
        <w:t xml:space="preserve">de autos, donde aparece como Policía </w:t>
      </w:r>
      <w:r w:rsidR="009F30DF">
        <w:rPr>
          <w:rFonts w:ascii="Arial" w:eastAsia="Calibri" w:hAnsi="Arial" w:cs="Arial"/>
          <w:sz w:val="26"/>
          <w:szCs w:val="26"/>
        </w:rPr>
        <w:t xml:space="preserve">Operativo B, </w:t>
      </w:r>
      <w:r>
        <w:rPr>
          <w:rFonts w:ascii="Arial" w:eastAsia="Calibri" w:hAnsi="Arial" w:cs="Arial"/>
          <w:sz w:val="26"/>
          <w:szCs w:val="26"/>
        </w:rPr>
        <w:t xml:space="preserve">adscrito a la Dirección General de Seguridad Pública </w:t>
      </w:r>
      <w:r w:rsidR="009F30DF">
        <w:rPr>
          <w:rFonts w:ascii="Arial" w:eastAsia="Calibri" w:hAnsi="Arial" w:cs="Arial"/>
          <w:sz w:val="26"/>
          <w:szCs w:val="26"/>
        </w:rPr>
        <w:t>y Tránsito Municipal de Axtla de Terrazas, S.L.P.</w:t>
      </w:r>
      <w:r>
        <w:rPr>
          <w:rFonts w:ascii="Arial" w:eastAsia="Calibri" w:hAnsi="Arial" w:cs="Arial"/>
          <w:sz w:val="26"/>
          <w:szCs w:val="26"/>
        </w:rPr>
        <w:t>; documental</w:t>
      </w:r>
      <w:r w:rsidR="00713033">
        <w:rPr>
          <w:rFonts w:ascii="Arial" w:eastAsia="Calibri" w:hAnsi="Arial" w:cs="Arial"/>
          <w:sz w:val="26"/>
          <w:szCs w:val="26"/>
        </w:rPr>
        <w:t>es</w:t>
      </w:r>
      <w:r>
        <w:rPr>
          <w:rFonts w:ascii="Arial" w:eastAsia="Calibri" w:hAnsi="Arial" w:cs="Arial"/>
          <w:sz w:val="26"/>
          <w:szCs w:val="26"/>
        </w:rPr>
        <w:t xml:space="preserve"> que no fue</w:t>
      </w:r>
      <w:r w:rsidR="00713033">
        <w:rPr>
          <w:rFonts w:ascii="Arial" w:eastAsia="Calibri" w:hAnsi="Arial" w:cs="Arial"/>
          <w:sz w:val="26"/>
          <w:szCs w:val="26"/>
        </w:rPr>
        <w:t>ron</w:t>
      </w:r>
      <w:r>
        <w:rPr>
          <w:rFonts w:ascii="Arial" w:eastAsia="Calibri" w:hAnsi="Arial" w:cs="Arial"/>
          <w:sz w:val="26"/>
          <w:szCs w:val="26"/>
        </w:rPr>
        <w:t xml:space="preserve"> objetada</w:t>
      </w:r>
      <w:r w:rsidR="00713033">
        <w:rPr>
          <w:rFonts w:ascii="Arial" w:eastAsia="Calibri" w:hAnsi="Arial" w:cs="Arial"/>
          <w:sz w:val="26"/>
          <w:szCs w:val="26"/>
        </w:rPr>
        <w:t>s</w:t>
      </w:r>
      <w:r>
        <w:rPr>
          <w:rFonts w:ascii="Arial" w:eastAsia="Calibri" w:hAnsi="Arial" w:cs="Arial"/>
          <w:sz w:val="26"/>
          <w:szCs w:val="26"/>
        </w:rPr>
        <w:t xml:space="preserve"> por las autoridades demandadas al producir su contestación de demanda; además con la contestación expresa que hacen las autoridades demandadas, donde señalan respecto al hecho número 1 del escrito de demanda del actor (f. 4), que es cierto que con fecha </w:t>
      </w:r>
      <w:r w:rsidR="00713033">
        <w:rPr>
          <w:rFonts w:ascii="Arial" w:eastAsia="Calibri" w:hAnsi="Arial" w:cs="Arial"/>
          <w:sz w:val="26"/>
          <w:szCs w:val="26"/>
        </w:rPr>
        <w:t>20 de marzo de 2012,</w:t>
      </w:r>
      <w:r>
        <w:rPr>
          <w:rFonts w:ascii="Arial" w:eastAsia="Calibri" w:hAnsi="Arial" w:cs="Arial"/>
          <w:sz w:val="26"/>
          <w:szCs w:val="26"/>
        </w:rPr>
        <w:t xml:space="preserve"> </w:t>
      </w:r>
      <w:r w:rsidR="00713033">
        <w:rPr>
          <w:rFonts w:ascii="Arial" w:eastAsia="Calibri" w:hAnsi="Arial" w:cs="Arial"/>
          <w:sz w:val="26"/>
          <w:szCs w:val="26"/>
        </w:rPr>
        <w:t>ingresó la actora a prestar sus servicios para el Ayuntamiento de Axtla de Terrazas, S.L.P., donde fue adscrita según nombramiento otorgado a su nombre para prestar sus servicios como Policía Operativo B.</w:t>
      </w:r>
    </w:p>
    <w:p w:rsidR="00386E97" w:rsidRPr="00886EC4" w:rsidRDefault="00386E97" w:rsidP="00280DDC">
      <w:pPr>
        <w:tabs>
          <w:tab w:val="left" w:pos="2835"/>
        </w:tabs>
        <w:spacing w:after="0" w:line="360" w:lineRule="auto"/>
        <w:ind w:firstLine="709"/>
        <w:jc w:val="both"/>
        <w:rPr>
          <w:rFonts w:ascii="Arial" w:eastAsia="Times New Roman" w:hAnsi="Arial" w:cs="Arial"/>
          <w:sz w:val="26"/>
          <w:szCs w:val="26"/>
          <w:lang w:eastAsia="es-ES"/>
        </w:rPr>
      </w:pPr>
      <w:r w:rsidRPr="00886EC4">
        <w:rPr>
          <w:rFonts w:ascii="Arial" w:eastAsia="Times New Roman" w:hAnsi="Arial" w:cs="Arial"/>
          <w:sz w:val="26"/>
          <w:szCs w:val="26"/>
          <w:lang w:eastAsia="es-ES"/>
        </w:rPr>
        <w:t xml:space="preserve">La personalidad de la autoridad demandada </w:t>
      </w:r>
      <w:r>
        <w:rPr>
          <w:rFonts w:ascii="Arial" w:eastAsia="Times New Roman" w:hAnsi="Arial" w:cs="Arial"/>
          <w:sz w:val="26"/>
          <w:szCs w:val="26"/>
          <w:lang w:eastAsia="es-ES"/>
        </w:rPr>
        <w:t xml:space="preserve">Síndico Municipal de </w:t>
      </w:r>
      <w:r w:rsidR="00713033">
        <w:rPr>
          <w:rFonts w:ascii="Arial" w:eastAsia="Times New Roman" w:hAnsi="Arial" w:cs="Arial"/>
          <w:sz w:val="26"/>
          <w:szCs w:val="26"/>
          <w:lang w:eastAsia="es-ES"/>
        </w:rPr>
        <w:t>Axtla de Terrazas, S.L.P.</w:t>
      </w:r>
      <w:r>
        <w:rPr>
          <w:rFonts w:ascii="Arial" w:eastAsia="Times New Roman" w:hAnsi="Arial" w:cs="Arial"/>
          <w:sz w:val="26"/>
          <w:szCs w:val="26"/>
          <w:lang w:eastAsia="es-ES"/>
        </w:rPr>
        <w:t>, quedó acreditada de conformidad con lo dispuesto por el numeral 220 párrafo segundo del Código Procesal Administrativo para el Estado de San Luis Potosí. Asimismo respecto a la autoridad</w:t>
      </w:r>
      <w:r w:rsidR="00280DDC">
        <w:rPr>
          <w:rFonts w:ascii="Arial" w:eastAsia="Times New Roman" w:hAnsi="Arial" w:cs="Arial"/>
          <w:sz w:val="26"/>
          <w:szCs w:val="26"/>
          <w:lang w:eastAsia="es-ES"/>
        </w:rPr>
        <w:t xml:space="preserve"> Director de Seguridad Pública y Tránsito Municipal de Axtla de Terrazas, S.L.P., </w:t>
      </w:r>
      <w:r>
        <w:rPr>
          <w:rFonts w:ascii="Arial" w:eastAsia="Times New Roman" w:hAnsi="Arial" w:cs="Arial"/>
          <w:sz w:val="26"/>
          <w:szCs w:val="26"/>
          <w:lang w:eastAsia="es-ES"/>
        </w:rPr>
        <w:t xml:space="preserve">quedó acreditada a través </w:t>
      </w:r>
      <w:r w:rsidRPr="00886EC4">
        <w:rPr>
          <w:rFonts w:ascii="Arial" w:eastAsia="Times New Roman" w:hAnsi="Arial" w:cs="Arial"/>
          <w:sz w:val="26"/>
          <w:szCs w:val="26"/>
          <w:lang w:eastAsia="es-ES"/>
        </w:rPr>
        <w:t xml:space="preserve">de la copia certificada del nombramiento que obra a fojas </w:t>
      </w:r>
      <w:r w:rsidR="00280DDC">
        <w:rPr>
          <w:rFonts w:ascii="Arial" w:eastAsia="Times New Roman" w:hAnsi="Arial" w:cs="Arial"/>
          <w:sz w:val="26"/>
          <w:szCs w:val="26"/>
          <w:lang w:eastAsia="es-ES"/>
        </w:rPr>
        <w:t>68</w:t>
      </w:r>
      <w:r w:rsidRPr="00886EC4">
        <w:rPr>
          <w:rFonts w:ascii="Arial" w:eastAsia="Times New Roman" w:hAnsi="Arial" w:cs="Arial"/>
          <w:sz w:val="26"/>
          <w:szCs w:val="26"/>
          <w:lang w:eastAsia="es-ES"/>
        </w:rPr>
        <w:t xml:space="preserve"> de autos, del cual se advierte, fue expedido a su favor</w:t>
      </w:r>
      <w:r w:rsidRPr="00886EC4">
        <w:rPr>
          <w:rFonts w:ascii="Arial" w:eastAsia="Calibri" w:hAnsi="Arial" w:cs="Arial"/>
          <w:sz w:val="26"/>
          <w:szCs w:val="26"/>
        </w:rPr>
        <w:t>;</w:t>
      </w:r>
      <w:r w:rsidRPr="00886EC4">
        <w:rPr>
          <w:rFonts w:ascii="Arial" w:eastAsia="Calibri" w:hAnsi="Arial" w:cs="Arial"/>
          <w:color w:val="000000"/>
          <w:sz w:val="26"/>
          <w:szCs w:val="26"/>
        </w:rPr>
        <w:t xml:space="preserve"> documentales con las que justific</w:t>
      </w:r>
      <w:r w:rsidR="00280DDC">
        <w:rPr>
          <w:rFonts w:ascii="Arial" w:eastAsia="Calibri" w:hAnsi="Arial" w:cs="Arial"/>
          <w:color w:val="000000"/>
          <w:sz w:val="26"/>
          <w:szCs w:val="26"/>
        </w:rPr>
        <w:t>ó</w:t>
      </w:r>
      <w:r w:rsidRPr="00886EC4">
        <w:rPr>
          <w:rFonts w:ascii="Arial" w:eastAsia="Calibri" w:hAnsi="Arial" w:cs="Arial"/>
          <w:color w:val="000000"/>
          <w:sz w:val="26"/>
          <w:szCs w:val="26"/>
        </w:rPr>
        <w:t xml:space="preserve"> su personalidad, </w:t>
      </w:r>
      <w:r w:rsidRPr="00886EC4">
        <w:rPr>
          <w:rFonts w:ascii="Arial" w:eastAsia="Times New Roman" w:hAnsi="Arial" w:cs="Arial"/>
          <w:sz w:val="26"/>
          <w:szCs w:val="26"/>
          <w:lang w:eastAsia="es-ES"/>
        </w:rPr>
        <w:t>de conformidad con lo dispuesto por el artículo 220</w:t>
      </w:r>
      <w:r w:rsidRPr="00886EC4">
        <w:rPr>
          <w:rFonts w:ascii="Arial" w:eastAsia="Calibri" w:hAnsi="Arial" w:cs="Arial"/>
          <w:sz w:val="26"/>
          <w:szCs w:val="26"/>
        </w:rPr>
        <w:t xml:space="preserve"> </w:t>
      </w:r>
      <w:r w:rsidR="00280DDC">
        <w:rPr>
          <w:rFonts w:ascii="Arial" w:eastAsia="Calibri" w:hAnsi="Arial" w:cs="Arial"/>
          <w:sz w:val="26"/>
          <w:szCs w:val="26"/>
        </w:rPr>
        <w:t xml:space="preserve">párrafo primero, </w:t>
      </w:r>
      <w:r w:rsidRPr="00886EC4">
        <w:rPr>
          <w:rFonts w:ascii="Arial" w:eastAsia="Calibri" w:hAnsi="Arial" w:cs="Arial"/>
          <w:sz w:val="26"/>
          <w:szCs w:val="26"/>
        </w:rPr>
        <w:t>del Código Procesal Administrativo para el Estado.</w:t>
      </w:r>
    </w:p>
    <w:p w:rsidR="00386E97" w:rsidRPr="00886EC4" w:rsidRDefault="00386E97" w:rsidP="00386E97">
      <w:pPr>
        <w:spacing w:line="360" w:lineRule="auto"/>
        <w:ind w:firstLine="709"/>
        <w:jc w:val="both"/>
        <w:rPr>
          <w:rFonts w:ascii="Arial" w:eastAsia="Calibri" w:hAnsi="Arial" w:cs="Arial"/>
          <w:sz w:val="26"/>
          <w:szCs w:val="26"/>
        </w:rPr>
      </w:pPr>
    </w:p>
    <w:p w:rsidR="00386E97" w:rsidRPr="002B7643" w:rsidRDefault="00386E97" w:rsidP="00386E97">
      <w:pPr>
        <w:autoSpaceDE w:val="0"/>
        <w:autoSpaceDN w:val="0"/>
        <w:adjustRightInd w:val="0"/>
        <w:spacing w:before="240" w:after="240" w:line="360" w:lineRule="auto"/>
        <w:ind w:firstLine="709"/>
        <w:jc w:val="both"/>
        <w:rPr>
          <w:rFonts w:ascii="Arial" w:eastAsia="Calibri" w:hAnsi="Arial" w:cs="Arial"/>
          <w:color w:val="000000"/>
          <w:sz w:val="26"/>
          <w:szCs w:val="26"/>
        </w:rPr>
      </w:pPr>
      <w:r>
        <w:rPr>
          <w:rFonts w:ascii="Arial" w:eastAsia="Calibri" w:hAnsi="Arial" w:cs="Arial"/>
          <w:color w:val="000000"/>
          <w:sz w:val="26"/>
          <w:szCs w:val="26"/>
        </w:rPr>
        <w:t xml:space="preserve">Documentales y confesional expresa, </w:t>
      </w:r>
      <w:r w:rsidRPr="002B7643">
        <w:rPr>
          <w:rFonts w:ascii="Arial" w:eastAsia="Calibri" w:hAnsi="Arial" w:cs="Arial"/>
          <w:color w:val="000000"/>
          <w:sz w:val="26"/>
          <w:szCs w:val="26"/>
        </w:rPr>
        <w:t>a la</w:t>
      </w:r>
      <w:r>
        <w:rPr>
          <w:rFonts w:ascii="Arial" w:eastAsia="Calibri" w:hAnsi="Arial" w:cs="Arial"/>
          <w:color w:val="000000"/>
          <w:sz w:val="26"/>
          <w:szCs w:val="26"/>
        </w:rPr>
        <w:t>s</w:t>
      </w:r>
      <w:r w:rsidRPr="002B7643">
        <w:rPr>
          <w:rFonts w:ascii="Arial" w:eastAsia="Calibri" w:hAnsi="Arial" w:cs="Arial"/>
          <w:color w:val="000000"/>
          <w:sz w:val="26"/>
          <w:szCs w:val="26"/>
        </w:rPr>
        <w:t xml:space="preserve"> que se les otorga valor probatorio pleno, en términos de la fracción I del artículo 72, 74 y 91 del Código Procesal Administrativo para el Estado de San Luis Potosí.</w:t>
      </w:r>
    </w:p>
    <w:p w:rsidR="00386E97" w:rsidRPr="002B7643" w:rsidRDefault="00386E97" w:rsidP="00386E97">
      <w:pPr>
        <w:autoSpaceDE w:val="0"/>
        <w:autoSpaceDN w:val="0"/>
        <w:adjustRightInd w:val="0"/>
        <w:spacing w:before="240" w:after="240" w:line="360" w:lineRule="auto"/>
        <w:ind w:firstLine="709"/>
        <w:jc w:val="both"/>
        <w:rPr>
          <w:rFonts w:ascii="Arial" w:eastAsia="Calibri" w:hAnsi="Arial" w:cs="Arial"/>
          <w:color w:val="000000"/>
          <w:sz w:val="26"/>
          <w:szCs w:val="26"/>
        </w:rPr>
      </w:pPr>
    </w:p>
    <w:p w:rsidR="00386E97" w:rsidRPr="002B7643" w:rsidRDefault="00386E97" w:rsidP="00386E97">
      <w:pPr>
        <w:spacing w:line="360" w:lineRule="auto"/>
        <w:ind w:firstLine="709"/>
        <w:jc w:val="both"/>
        <w:rPr>
          <w:rFonts w:ascii="Arial" w:eastAsia="Calibri" w:hAnsi="Arial" w:cs="Arial"/>
          <w:sz w:val="26"/>
          <w:szCs w:val="26"/>
        </w:rPr>
      </w:pPr>
      <w:r w:rsidRPr="002B7643">
        <w:rPr>
          <w:rFonts w:ascii="Arial" w:eastAsia="Calibri" w:hAnsi="Arial" w:cs="Arial"/>
          <w:b/>
          <w:sz w:val="26"/>
          <w:szCs w:val="26"/>
        </w:rPr>
        <w:t>TERCERO.-</w:t>
      </w:r>
      <w:r w:rsidRPr="002B7643">
        <w:rPr>
          <w:rFonts w:ascii="Arial" w:eastAsia="Calibri" w:hAnsi="Arial" w:cs="Arial"/>
          <w:sz w:val="26"/>
          <w:szCs w:val="26"/>
        </w:rPr>
        <w:t xml:space="preserve"> El acto impugnado, lo constituye</w:t>
      </w:r>
      <w:r>
        <w:rPr>
          <w:rFonts w:ascii="Arial" w:eastAsia="Calibri" w:hAnsi="Arial" w:cs="Arial"/>
          <w:sz w:val="26"/>
          <w:szCs w:val="26"/>
        </w:rPr>
        <w:t>,</w:t>
      </w:r>
      <w:r w:rsidRPr="002B7643">
        <w:rPr>
          <w:rFonts w:ascii="Arial" w:eastAsia="Calibri" w:hAnsi="Arial" w:cs="Arial"/>
          <w:sz w:val="26"/>
          <w:szCs w:val="26"/>
        </w:rPr>
        <w:t xml:space="preserve"> </w:t>
      </w:r>
      <w:r w:rsidR="00280DDC">
        <w:rPr>
          <w:rFonts w:ascii="Arial" w:eastAsia="Calibri" w:hAnsi="Arial" w:cs="Arial"/>
          <w:sz w:val="26"/>
          <w:szCs w:val="26"/>
        </w:rPr>
        <w:t>el</w:t>
      </w:r>
      <w:r w:rsidRPr="002B7643">
        <w:rPr>
          <w:rFonts w:ascii="Arial" w:eastAsia="Calibri" w:hAnsi="Arial" w:cs="Arial"/>
          <w:sz w:val="26"/>
          <w:szCs w:val="26"/>
        </w:rPr>
        <w:t xml:space="preserve"> ilegal </w:t>
      </w:r>
      <w:r w:rsidR="00280DDC">
        <w:rPr>
          <w:rFonts w:ascii="Arial" w:eastAsia="Calibri" w:hAnsi="Arial" w:cs="Arial"/>
          <w:sz w:val="26"/>
          <w:szCs w:val="26"/>
        </w:rPr>
        <w:t>cese</w:t>
      </w:r>
      <w:r>
        <w:rPr>
          <w:rFonts w:ascii="Arial" w:eastAsia="Calibri" w:hAnsi="Arial" w:cs="Arial"/>
          <w:sz w:val="26"/>
          <w:szCs w:val="26"/>
        </w:rPr>
        <w:t xml:space="preserve">, del cargo que venía desempeñando </w:t>
      </w:r>
      <w:r w:rsidR="00280DDC">
        <w:rPr>
          <w:rFonts w:ascii="Arial" w:eastAsia="Calibri" w:hAnsi="Arial" w:cs="Arial"/>
          <w:sz w:val="26"/>
          <w:szCs w:val="26"/>
        </w:rPr>
        <w:t xml:space="preserve">la actora </w:t>
      </w:r>
      <w:r>
        <w:rPr>
          <w:rFonts w:ascii="Arial" w:eastAsia="Calibri" w:hAnsi="Arial" w:cs="Arial"/>
          <w:sz w:val="26"/>
          <w:szCs w:val="26"/>
        </w:rPr>
        <w:t xml:space="preserve">como Policía </w:t>
      </w:r>
      <w:r w:rsidR="00280DDC">
        <w:rPr>
          <w:rFonts w:ascii="Arial" w:eastAsia="Calibri" w:hAnsi="Arial" w:cs="Arial"/>
          <w:sz w:val="26"/>
          <w:szCs w:val="26"/>
        </w:rPr>
        <w:t>Operativo B, de la Dirección de Seguridad Pública y</w:t>
      </w:r>
      <w:r>
        <w:rPr>
          <w:rFonts w:ascii="Arial" w:eastAsia="Calibri" w:hAnsi="Arial" w:cs="Arial"/>
          <w:sz w:val="26"/>
          <w:szCs w:val="26"/>
        </w:rPr>
        <w:t xml:space="preserve"> Tránsito Municipal de </w:t>
      </w:r>
      <w:r w:rsidR="00280DDC">
        <w:rPr>
          <w:rFonts w:ascii="Arial" w:eastAsia="Calibri" w:hAnsi="Arial" w:cs="Arial"/>
          <w:sz w:val="26"/>
          <w:szCs w:val="26"/>
        </w:rPr>
        <w:t>Axtla de Terrazas, S.L.P.</w:t>
      </w:r>
      <w:r>
        <w:rPr>
          <w:rFonts w:ascii="Arial" w:eastAsia="Calibri" w:hAnsi="Arial" w:cs="Arial"/>
          <w:sz w:val="26"/>
          <w:szCs w:val="26"/>
        </w:rPr>
        <w:t xml:space="preserve">, con fecha quince de </w:t>
      </w:r>
      <w:r w:rsidR="00280DDC">
        <w:rPr>
          <w:rFonts w:ascii="Arial" w:eastAsia="Calibri" w:hAnsi="Arial" w:cs="Arial"/>
          <w:sz w:val="26"/>
          <w:szCs w:val="26"/>
        </w:rPr>
        <w:t>enero de dos mil veinticinco</w:t>
      </w:r>
      <w:r>
        <w:rPr>
          <w:rFonts w:ascii="Arial" w:eastAsia="Calibri" w:hAnsi="Arial" w:cs="Arial"/>
          <w:sz w:val="26"/>
          <w:szCs w:val="26"/>
        </w:rPr>
        <w:t xml:space="preserve">, </w:t>
      </w:r>
      <w:r w:rsidRPr="002B7643">
        <w:rPr>
          <w:rFonts w:ascii="Arial" w:eastAsia="Calibri" w:hAnsi="Arial" w:cs="Arial"/>
          <w:sz w:val="26"/>
          <w:szCs w:val="26"/>
        </w:rPr>
        <w:t xml:space="preserve">lo que determina la </w:t>
      </w:r>
      <w:proofErr w:type="spellStart"/>
      <w:r w:rsidRPr="002B7643">
        <w:rPr>
          <w:rFonts w:ascii="Arial" w:eastAsia="Calibri" w:hAnsi="Arial" w:cs="Arial"/>
          <w:sz w:val="26"/>
          <w:szCs w:val="26"/>
        </w:rPr>
        <w:t>litis</w:t>
      </w:r>
      <w:proofErr w:type="spellEnd"/>
      <w:r w:rsidRPr="002B7643">
        <w:rPr>
          <w:rFonts w:ascii="Arial" w:eastAsia="Calibri" w:hAnsi="Arial" w:cs="Arial"/>
          <w:sz w:val="26"/>
          <w:szCs w:val="26"/>
        </w:rPr>
        <w:t xml:space="preserve"> en la presente controversia.</w:t>
      </w:r>
    </w:p>
    <w:p w:rsidR="00386E97" w:rsidRPr="002B7643" w:rsidRDefault="00386E97" w:rsidP="00386E97">
      <w:pPr>
        <w:spacing w:after="0" w:line="360" w:lineRule="auto"/>
        <w:ind w:firstLine="708"/>
        <w:jc w:val="both"/>
        <w:rPr>
          <w:rFonts w:ascii="Arial" w:eastAsia="Calibri" w:hAnsi="Arial" w:cs="Arial"/>
          <w:sz w:val="26"/>
          <w:szCs w:val="26"/>
        </w:rPr>
      </w:pPr>
      <w:r w:rsidRPr="002B7643">
        <w:rPr>
          <w:rFonts w:ascii="Arial" w:eastAsia="Calibri" w:hAnsi="Arial" w:cs="Arial"/>
          <w:b/>
          <w:sz w:val="26"/>
          <w:szCs w:val="26"/>
        </w:rPr>
        <w:lastRenderedPageBreak/>
        <w:t xml:space="preserve">CUARTO.- </w:t>
      </w:r>
      <w:r w:rsidRPr="002B7643">
        <w:rPr>
          <w:rFonts w:ascii="Arial" w:eastAsia="Calibri" w:hAnsi="Arial" w:cs="Arial"/>
          <w:sz w:val="26"/>
          <w:szCs w:val="26"/>
        </w:rPr>
        <w:t xml:space="preserve">La parte actora hizo valer los conceptos de impugnación que obran en fojas </w:t>
      </w:r>
      <w:r>
        <w:rPr>
          <w:rFonts w:ascii="Arial" w:eastAsia="Calibri" w:hAnsi="Arial" w:cs="Arial"/>
          <w:sz w:val="26"/>
          <w:szCs w:val="26"/>
        </w:rPr>
        <w:t>5</w:t>
      </w:r>
      <w:r w:rsidRPr="002B7643">
        <w:rPr>
          <w:rFonts w:ascii="Arial" w:eastAsia="Calibri" w:hAnsi="Arial" w:cs="Arial"/>
          <w:sz w:val="26"/>
          <w:szCs w:val="26"/>
        </w:rPr>
        <w:t xml:space="preserve"> de autos; argumentos que no se trascriben y se tienen por reproducidos como si se insertaren a la letra, para que surtan los efectos legales que correspondan. </w:t>
      </w:r>
    </w:p>
    <w:p w:rsidR="00386E97" w:rsidRPr="002B7643" w:rsidRDefault="00386E97" w:rsidP="00386E97">
      <w:pPr>
        <w:spacing w:after="0" w:line="360" w:lineRule="auto"/>
        <w:ind w:firstLine="708"/>
        <w:jc w:val="both"/>
        <w:rPr>
          <w:rFonts w:ascii="Arial" w:eastAsia="Calibri" w:hAnsi="Arial" w:cs="Arial"/>
          <w:sz w:val="26"/>
          <w:szCs w:val="26"/>
        </w:rPr>
      </w:pPr>
    </w:p>
    <w:p w:rsidR="00386E97" w:rsidRPr="002B7643" w:rsidRDefault="00386E97" w:rsidP="00386E97">
      <w:pPr>
        <w:spacing w:after="0" w:line="360" w:lineRule="auto"/>
        <w:ind w:firstLine="708"/>
        <w:jc w:val="both"/>
        <w:rPr>
          <w:rFonts w:ascii="Arial" w:eastAsia="Calibri" w:hAnsi="Arial" w:cs="Arial"/>
          <w:sz w:val="26"/>
          <w:szCs w:val="26"/>
        </w:rPr>
      </w:pPr>
      <w:r w:rsidRPr="002B7643">
        <w:rPr>
          <w:rFonts w:ascii="Arial" w:eastAsia="Calibri" w:hAnsi="Arial" w:cs="Arial"/>
          <w:sz w:val="26"/>
          <w:szCs w:val="26"/>
        </w:rPr>
        <w:t>Resulta aplicable por analogía la Tesis de Jurisprudencia emitida por el Segundo Tribunal Colegiado del Sexto Circuito, publicada  en la página 414, Tomo VI, Común, Jurisprudencia  TCC, del Apéndice 2000, Novena Época, que a la letra dice lo siguiente:</w:t>
      </w:r>
    </w:p>
    <w:p w:rsidR="00386E97" w:rsidRPr="002B7643" w:rsidRDefault="00386E97" w:rsidP="00386E97">
      <w:pPr>
        <w:spacing w:after="0" w:line="360" w:lineRule="auto"/>
        <w:ind w:firstLine="708"/>
        <w:jc w:val="both"/>
        <w:rPr>
          <w:rFonts w:ascii="Arial" w:eastAsia="Calibri" w:hAnsi="Arial" w:cs="Arial"/>
          <w:sz w:val="26"/>
          <w:szCs w:val="26"/>
        </w:rPr>
      </w:pPr>
    </w:p>
    <w:p w:rsidR="00386E97" w:rsidRPr="002B7643" w:rsidRDefault="00386E97" w:rsidP="00386E97">
      <w:pPr>
        <w:spacing w:after="0"/>
        <w:ind w:firstLine="709"/>
        <w:jc w:val="both"/>
        <w:rPr>
          <w:rFonts w:ascii="Arial" w:eastAsia="Calibri" w:hAnsi="Arial" w:cs="Arial"/>
          <w:i/>
          <w:sz w:val="23"/>
          <w:szCs w:val="23"/>
        </w:rPr>
      </w:pPr>
      <w:r w:rsidRPr="002B7643">
        <w:rPr>
          <w:rFonts w:ascii="Arial" w:eastAsia="Calibri" w:hAnsi="Arial" w:cs="Arial"/>
          <w:b/>
          <w:i/>
          <w:sz w:val="23"/>
          <w:szCs w:val="23"/>
        </w:rPr>
        <w:t>“CONCEPTOS DE VIOLACIÓN. EL JUEZ NO ESTÁ OBLIGADO A TRANSCRIBIRLOS.-</w:t>
      </w:r>
      <w:r w:rsidRPr="002B7643">
        <w:rPr>
          <w:rFonts w:ascii="Arial" w:eastAsia="Calibri" w:hAnsi="Arial" w:cs="Arial"/>
          <w:i/>
          <w:sz w:val="23"/>
          <w:szCs w:val="23"/>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386E97" w:rsidRPr="002B7643" w:rsidRDefault="00386E97" w:rsidP="00386E97">
      <w:pPr>
        <w:spacing w:after="0" w:line="360" w:lineRule="auto"/>
        <w:ind w:firstLine="708"/>
        <w:jc w:val="both"/>
        <w:rPr>
          <w:rFonts w:ascii="Arial" w:eastAsia="Calibri" w:hAnsi="Arial" w:cs="Arial"/>
        </w:rPr>
      </w:pPr>
    </w:p>
    <w:p w:rsidR="00386E97" w:rsidRPr="002B7643" w:rsidRDefault="00386E97" w:rsidP="00386E97">
      <w:pPr>
        <w:spacing w:after="0" w:line="360" w:lineRule="auto"/>
        <w:ind w:firstLine="708"/>
        <w:jc w:val="both"/>
        <w:rPr>
          <w:rFonts w:ascii="Arial" w:eastAsia="Calibri" w:hAnsi="Arial" w:cs="Arial"/>
          <w:sz w:val="26"/>
          <w:szCs w:val="26"/>
        </w:rPr>
      </w:pPr>
      <w:r w:rsidRPr="002B7643">
        <w:rPr>
          <w:rFonts w:ascii="Arial" w:eastAsia="Calibri" w:hAnsi="Arial" w:cs="Arial"/>
          <w:b/>
          <w:sz w:val="26"/>
          <w:szCs w:val="26"/>
        </w:rPr>
        <w:t>QUINTO.-</w:t>
      </w:r>
      <w:r w:rsidRPr="002B7643">
        <w:rPr>
          <w:rFonts w:ascii="Arial" w:eastAsia="Calibri" w:hAnsi="Arial" w:cs="Arial"/>
          <w:sz w:val="26"/>
          <w:szCs w:val="26"/>
        </w:rPr>
        <w:t xml:space="preserve"> Previo al examen de los conceptos de impugnación que hace valer la actora, es deber de esta Sala Unitaria, analizar las causales de Improcedencia, sea que las partes lo aleguen o no,</w:t>
      </w:r>
      <w:r w:rsidRPr="002B7643">
        <w:rPr>
          <w:rFonts w:ascii="Arial" w:eastAsia="Calibri" w:hAnsi="Arial" w:cs="Arial"/>
          <w:color w:val="000000"/>
          <w:sz w:val="26"/>
          <w:szCs w:val="26"/>
        </w:rPr>
        <w:t xml:space="preserve"> en razón de que el estudio de las mismas es de orden público y preferente a las cuestiones de fondo de la contienda planteada, </w:t>
      </w:r>
      <w:r w:rsidRPr="002B7643">
        <w:rPr>
          <w:rFonts w:ascii="Arial" w:eastAsia="Calibri" w:hAnsi="Arial" w:cs="Arial"/>
          <w:sz w:val="26"/>
          <w:szCs w:val="26"/>
        </w:rPr>
        <w:t xml:space="preserve">conforme a lo previsto en el último párrafo del artículo 228 del Código Procesal Administrativo para el Estado de San Luis Potosí; habida cuenta que, </w:t>
      </w:r>
      <w:r w:rsidRPr="002B7643">
        <w:rPr>
          <w:rFonts w:ascii="Arial" w:eastAsia="Calibri" w:hAnsi="Arial" w:cs="Arial"/>
          <w:bCs/>
          <w:iCs/>
          <w:sz w:val="26"/>
          <w:szCs w:val="26"/>
        </w:rPr>
        <w:t xml:space="preserve">la improcedencia de la acción se traduce en la imposibilidad jurídica de que el órgano jurisdiccional estudie y decida dicha cuestión, absteniéndose obligatoriamente a resolver sobre el fondo de la controversia. </w:t>
      </w:r>
      <w:r w:rsidRPr="002B7643">
        <w:rPr>
          <w:rFonts w:ascii="Arial" w:eastAsia="Calibri" w:hAnsi="Arial" w:cs="Arial"/>
          <w:sz w:val="26"/>
          <w:szCs w:val="26"/>
        </w:rPr>
        <w:t xml:space="preserve">Es aplicable al efecto, la siguiente Tesis Aislada: Registro 221332, Localización: Octava Época, Instancia: Tribunales Colegiados de Circuito, Fuente: Semanario Judicial de la Federación, VIII, Noviembre de 1991, Página: 185, Tesis Aislada, Materia(s): Administrativa, que dice: </w:t>
      </w:r>
    </w:p>
    <w:p w:rsidR="00386E97" w:rsidRPr="002B7643" w:rsidRDefault="00386E97" w:rsidP="00386E97">
      <w:pPr>
        <w:spacing w:after="0" w:line="360" w:lineRule="auto"/>
        <w:ind w:firstLine="708"/>
        <w:jc w:val="both"/>
        <w:rPr>
          <w:rFonts w:ascii="Arial" w:eastAsia="Calibri" w:hAnsi="Arial" w:cs="Arial"/>
          <w:sz w:val="26"/>
          <w:szCs w:val="26"/>
        </w:rPr>
      </w:pPr>
    </w:p>
    <w:p w:rsidR="00386E97" w:rsidRDefault="00386E97" w:rsidP="00386E97">
      <w:pPr>
        <w:spacing w:after="0"/>
        <w:ind w:firstLine="709"/>
        <w:jc w:val="both"/>
        <w:rPr>
          <w:rFonts w:ascii="Arial" w:eastAsia="Calibri" w:hAnsi="Arial" w:cs="Arial"/>
          <w:bCs/>
          <w:i/>
          <w:iCs/>
          <w:sz w:val="23"/>
          <w:szCs w:val="23"/>
        </w:rPr>
      </w:pPr>
      <w:r w:rsidRPr="002B7643">
        <w:rPr>
          <w:rFonts w:ascii="Arial" w:eastAsia="Calibri" w:hAnsi="Arial" w:cs="Arial"/>
          <w:b/>
          <w:bCs/>
          <w:i/>
          <w:sz w:val="23"/>
          <w:szCs w:val="23"/>
        </w:rPr>
        <w:t>“CONTENCIOSO ADMINISTRATIVO, IMPROCEDENCIA DEL JUICIO, ANTE EL TRIBUNAL FISCAL. CONCEPTO JURIDICO.</w:t>
      </w:r>
      <w:r w:rsidRPr="002B7643">
        <w:rPr>
          <w:rFonts w:ascii="Arial" w:eastAsia="Calibri" w:hAnsi="Arial" w:cs="Arial"/>
          <w:i/>
          <w:sz w:val="23"/>
          <w:szCs w:val="23"/>
        </w:rPr>
        <w:t xml:space="preserve"> Las causas de improcedencia que determina la ley de la materia, ven o se refieren a la </w:t>
      </w:r>
      <w:r w:rsidRPr="002B7643">
        <w:rPr>
          <w:rFonts w:ascii="Arial" w:eastAsia="Calibri" w:hAnsi="Arial" w:cs="Arial"/>
          <w:i/>
          <w:sz w:val="23"/>
          <w:szCs w:val="23"/>
        </w:rPr>
        <w:lastRenderedPageBreak/>
        <w:t xml:space="preserve">procedencia del juicio mismo, esto es, los motivos de improcedencia son en cuanto a que </w:t>
      </w:r>
      <w:r w:rsidRPr="002B7643">
        <w:rPr>
          <w:rFonts w:ascii="Arial" w:eastAsia="Calibri" w:hAnsi="Arial" w:cs="Arial"/>
          <w:bCs/>
          <w:i/>
          <w:iCs/>
          <w:sz w:val="23"/>
          <w:szCs w:val="23"/>
        </w:rPr>
        <w:t>la acción en sí misma considerada no procede por las causas específicas consignadas en la ley;</w:t>
      </w:r>
      <w:r w:rsidRPr="002B7643">
        <w:rPr>
          <w:rFonts w:ascii="Arial" w:eastAsia="Calibri" w:hAnsi="Arial" w:cs="Arial"/>
          <w:i/>
          <w:sz w:val="23"/>
          <w:szCs w:val="23"/>
        </w:rPr>
        <w:t xml:space="preserve"> es verdad que las causas de improcedencia dan lugar al </w:t>
      </w:r>
      <w:r w:rsidRPr="002B7643">
        <w:rPr>
          <w:rFonts w:ascii="Arial" w:eastAsia="Calibri" w:hAnsi="Arial" w:cs="Arial"/>
          <w:bCs/>
          <w:i/>
          <w:iCs/>
          <w:sz w:val="23"/>
          <w:szCs w:val="23"/>
        </w:rPr>
        <w:t>sobreseimiento,</w:t>
      </w:r>
      <w:r w:rsidRPr="002B7643">
        <w:rPr>
          <w:rFonts w:ascii="Arial" w:eastAsia="Calibri" w:hAnsi="Arial" w:cs="Arial"/>
          <w:i/>
          <w:sz w:val="23"/>
          <w:szCs w:val="23"/>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2B7643">
        <w:rPr>
          <w:rFonts w:ascii="Arial" w:eastAsia="Calibri" w:hAnsi="Arial" w:cs="Arial"/>
          <w:bCs/>
          <w:i/>
          <w:iCs/>
          <w:sz w:val="23"/>
          <w:szCs w:val="23"/>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2B7643">
        <w:rPr>
          <w:rFonts w:ascii="Arial" w:eastAsia="Calibri" w:hAnsi="Arial" w:cs="Arial"/>
          <w:bCs/>
          <w:i/>
          <w:sz w:val="23"/>
          <w:szCs w:val="23"/>
        </w:rPr>
        <w:t xml:space="preserve"> y principalmente </w:t>
      </w:r>
      <w:r w:rsidRPr="002B7643">
        <w:rPr>
          <w:rFonts w:ascii="Arial" w:eastAsia="Calibri" w:hAnsi="Arial" w:cs="Arial"/>
          <w:bCs/>
          <w:i/>
          <w:iCs/>
          <w:sz w:val="23"/>
          <w:szCs w:val="23"/>
        </w:rPr>
        <w:t>por existir un impedimento</w:t>
      </w:r>
      <w:r w:rsidRPr="002B7643">
        <w:rPr>
          <w:rFonts w:ascii="Arial" w:eastAsia="Calibri" w:hAnsi="Arial" w:cs="Arial"/>
          <w:i/>
          <w:sz w:val="23"/>
          <w:szCs w:val="23"/>
        </w:rPr>
        <w:t xml:space="preserve"> para que el órgano jurisdiccional competente analice y resuelva sobre la cuestión debatida. </w:t>
      </w:r>
      <w:r w:rsidRPr="002B7643">
        <w:rPr>
          <w:rFonts w:ascii="Arial" w:eastAsia="Calibri" w:hAnsi="Arial" w:cs="Arial"/>
          <w:bCs/>
          <w:i/>
          <w:iCs/>
          <w:sz w:val="23"/>
          <w:szCs w:val="23"/>
        </w:rPr>
        <w:t>En resumen, la improcedencia de la acción se traduce en la imposibilidad jurídica de que el órgano jurisdiccional estudie y decida dicha cuestión, absteniéndose obligatoriamente a resolver sobre el fondo de la controversia.”</w:t>
      </w:r>
    </w:p>
    <w:p w:rsidR="00280DDC" w:rsidRPr="002B7643" w:rsidRDefault="00280DDC" w:rsidP="00386E97">
      <w:pPr>
        <w:spacing w:after="0"/>
        <w:ind w:firstLine="709"/>
        <w:jc w:val="both"/>
        <w:rPr>
          <w:rFonts w:ascii="Arial" w:eastAsia="Calibri" w:hAnsi="Arial" w:cs="Arial"/>
          <w:bCs/>
          <w:i/>
          <w:iCs/>
          <w:sz w:val="23"/>
          <w:szCs w:val="23"/>
        </w:rPr>
      </w:pPr>
    </w:p>
    <w:p w:rsidR="00386E97" w:rsidRPr="00AC1D05" w:rsidRDefault="00280DDC" w:rsidP="00386E97">
      <w:pPr>
        <w:spacing w:after="0" w:line="360" w:lineRule="auto"/>
        <w:ind w:firstLine="709"/>
        <w:jc w:val="both"/>
        <w:rPr>
          <w:rFonts w:ascii="Arial" w:eastAsia="Arial Unicode MS" w:hAnsi="Arial" w:cs="Arial"/>
          <w:sz w:val="26"/>
          <w:szCs w:val="26"/>
        </w:rPr>
      </w:pPr>
      <w:r>
        <w:rPr>
          <w:rFonts w:ascii="Arial" w:hAnsi="Arial" w:cs="Arial"/>
          <w:sz w:val="26"/>
          <w:szCs w:val="26"/>
        </w:rPr>
        <w:t xml:space="preserve">Al respecto las autoridades demandadas, señalan que no existe el acto que la actora pretende </w:t>
      </w:r>
      <w:r w:rsidR="0025251C">
        <w:rPr>
          <w:rFonts w:ascii="Arial" w:hAnsi="Arial" w:cs="Arial"/>
          <w:sz w:val="26"/>
          <w:szCs w:val="26"/>
        </w:rPr>
        <w:t>impugnar</w:t>
      </w:r>
      <w:r>
        <w:rPr>
          <w:rFonts w:ascii="Arial" w:hAnsi="Arial" w:cs="Arial"/>
          <w:sz w:val="26"/>
          <w:szCs w:val="26"/>
        </w:rPr>
        <w:t>, puesto que el cese que reclama jamás existió.</w:t>
      </w:r>
      <w:r w:rsidR="00386E97" w:rsidRPr="00AC1D05">
        <w:rPr>
          <w:rFonts w:ascii="Arial" w:eastAsia="Arial Unicode MS" w:hAnsi="Arial" w:cs="Arial"/>
          <w:sz w:val="26"/>
          <w:szCs w:val="26"/>
        </w:rPr>
        <w:t xml:space="preserve"> Al respecto, en torno a los argumentos planteados por la</w:t>
      </w:r>
      <w:r w:rsidR="00386E97">
        <w:rPr>
          <w:rFonts w:ascii="Arial" w:eastAsia="Arial Unicode MS" w:hAnsi="Arial" w:cs="Arial"/>
          <w:sz w:val="26"/>
          <w:szCs w:val="26"/>
        </w:rPr>
        <w:t>s</w:t>
      </w:r>
      <w:r w:rsidR="00386E97" w:rsidRPr="00AC1D05">
        <w:rPr>
          <w:rFonts w:ascii="Arial" w:eastAsia="Arial Unicode MS" w:hAnsi="Arial" w:cs="Arial"/>
          <w:sz w:val="26"/>
          <w:szCs w:val="26"/>
        </w:rPr>
        <w:t xml:space="preserve"> autoridad</w:t>
      </w:r>
      <w:r w:rsidR="00386E97">
        <w:rPr>
          <w:rFonts w:ascii="Arial" w:eastAsia="Arial Unicode MS" w:hAnsi="Arial" w:cs="Arial"/>
          <w:sz w:val="26"/>
          <w:szCs w:val="26"/>
        </w:rPr>
        <w:t>es</w:t>
      </w:r>
      <w:r w:rsidR="00386E97" w:rsidRPr="00AC1D05">
        <w:rPr>
          <w:rFonts w:ascii="Arial" w:eastAsia="Arial Unicode MS" w:hAnsi="Arial" w:cs="Arial"/>
          <w:sz w:val="26"/>
          <w:szCs w:val="26"/>
        </w:rPr>
        <w:t xml:space="preserve"> demandada</w:t>
      </w:r>
      <w:r w:rsidR="00386E97">
        <w:rPr>
          <w:rFonts w:ascii="Arial" w:eastAsia="Arial Unicode MS" w:hAnsi="Arial" w:cs="Arial"/>
          <w:sz w:val="26"/>
          <w:szCs w:val="26"/>
        </w:rPr>
        <w:t>s</w:t>
      </w:r>
      <w:r w:rsidR="00386E97" w:rsidRPr="00AC1D05">
        <w:rPr>
          <w:rFonts w:ascii="Arial" w:eastAsia="Arial Unicode MS" w:hAnsi="Arial" w:cs="Arial"/>
          <w:sz w:val="26"/>
          <w:szCs w:val="26"/>
        </w:rPr>
        <w:t>;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386E97" w:rsidRPr="00AC1D05" w:rsidRDefault="00386E97" w:rsidP="00386E97">
      <w:pPr>
        <w:spacing w:after="0" w:line="360" w:lineRule="auto"/>
        <w:ind w:firstLine="709"/>
        <w:jc w:val="both"/>
        <w:rPr>
          <w:rFonts w:ascii="Arial" w:eastAsia="Arial Unicode MS" w:hAnsi="Arial" w:cs="Arial"/>
          <w:sz w:val="26"/>
          <w:szCs w:val="26"/>
        </w:rPr>
      </w:pPr>
    </w:p>
    <w:p w:rsidR="00386E97" w:rsidRPr="00AC1D05" w:rsidRDefault="00386E97" w:rsidP="00386E97">
      <w:pPr>
        <w:spacing w:after="0" w:line="360" w:lineRule="auto"/>
        <w:ind w:firstLine="708"/>
        <w:jc w:val="both"/>
        <w:rPr>
          <w:rFonts w:ascii="Arial" w:eastAsia="Arial Unicode MS" w:hAnsi="Arial" w:cs="Arial"/>
          <w:sz w:val="26"/>
          <w:szCs w:val="26"/>
        </w:rPr>
      </w:pPr>
      <w:r w:rsidRPr="00AC1D05">
        <w:rPr>
          <w:rFonts w:ascii="Arial" w:eastAsia="Arial Unicode MS" w:hAnsi="Arial" w:cs="Arial"/>
          <w:sz w:val="26"/>
          <w:szCs w:val="26"/>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C1D05">
        <w:rPr>
          <w:rFonts w:ascii="Arial" w:eastAsia="Arial Unicode MS" w:hAnsi="Arial" w:cs="Arial"/>
          <w:sz w:val="26"/>
          <w:szCs w:val="26"/>
        </w:rPr>
        <w:t>./</w:t>
      </w:r>
      <w:proofErr w:type="gramEnd"/>
      <w:r w:rsidRPr="00AC1D05">
        <w:rPr>
          <w:rFonts w:ascii="Arial" w:eastAsia="Arial Unicode MS" w:hAnsi="Arial" w:cs="Arial"/>
          <w:sz w:val="26"/>
          <w:szCs w:val="26"/>
        </w:rPr>
        <w:t xml:space="preserve">J. 135/2001, Página: 5; que a la letra dice: </w:t>
      </w:r>
    </w:p>
    <w:p w:rsidR="00386E97" w:rsidRPr="00A73C9E" w:rsidRDefault="00386E97" w:rsidP="00386E97">
      <w:pPr>
        <w:spacing w:after="0" w:line="240" w:lineRule="auto"/>
        <w:rPr>
          <w:rFonts w:ascii="Arial Narrow" w:eastAsia="Arial Unicode MS" w:hAnsi="Arial Narrow" w:cs="Arial"/>
          <w:sz w:val="24"/>
          <w:szCs w:val="24"/>
        </w:rPr>
      </w:pPr>
    </w:p>
    <w:p w:rsidR="00386E97" w:rsidRPr="00A73C9E" w:rsidRDefault="00386E97" w:rsidP="00386E97">
      <w:pPr>
        <w:spacing w:after="0"/>
        <w:ind w:firstLine="709"/>
        <w:jc w:val="both"/>
        <w:rPr>
          <w:rFonts w:ascii="Arial Narrow" w:eastAsia="Arial Unicode MS" w:hAnsi="Arial Narrow" w:cs="Arial"/>
          <w:i/>
        </w:rPr>
      </w:pPr>
      <w:r w:rsidRPr="00A73C9E">
        <w:rPr>
          <w:rFonts w:ascii="Arial Narrow" w:eastAsia="Arial Unicode MS" w:hAnsi="Arial Narrow" w:cs="Arial"/>
          <w:b/>
          <w:i/>
        </w:rPr>
        <w:t>“IMPROCEDENCIA DEL JUICIO DE AMPARO. SI SE HACE VALER UNA CAUSAL QUE INVOLUCRA EL ESTUDIO DE FONDO DEL ASUNTO, DEBERÁ DESESTIMARSE</w:t>
      </w:r>
      <w:r w:rsidRPr="00A73C9E">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386E97" w:rsidRDefault="00386E97" w:rsidP="00386E97">
      <w:pPr>
        <w:spacing w:after="0" w:line="360" w:lineRule="auto"/>
        <w:ind w:firstLine="708"/>
        <w:jc w:val="both"/>
        <w:rPr>
          <w:rFonts w:ascii="Arial" w:hAnsi="Arial" w:cs="Arial"/>
          <w:sz w:val="26"/>
          <w:szCs w:val="26"/>
        </w:rPr>
      </w:pPr>
    </w:p>
    <w:p w:rsidR="00386E97" w:rsidRPr="002B7643" w:rsidRDefault="00386E97" w:rsidP="00386E97">
      <w:pPr>
        <w:spacing w:after="0" w:line="360" w:lineRule="auto"/>
        <w:ind w:firstLine="709"/>
        <w:jc w:val="both"/>
        <w:rPr>
          <w:rFonts w:ascii="Arial" w:eastAsia="Calibri" w:hAnsi="Arial" w:cs="Arial"/>
          <w:sz w:val="26"/>
          <w:szCs w:val="26"/>
        </w:rPr>
      </w:pPr>
      <w:r w:rsidRPr="002B7643">
        <w:rPr>
          <w:rFonts w:ascii="Arial" w:eastAsia="Calibri" w:hAnsi="Arial" w:cs="Arial"/>
          <w:sz w:val="26"/>
          <w:szCs w:val="26"/>
        </w:rPr>
        <w:t xml:space="preserve">Advirtiéndose por esta Sala Unitaria, que no existen </w:t>
      </w:r>
      <w:r w:rsidRPr="002B7643">
        <w:rPr>
          <w:rFonts w:ascii="Arial" w:eastAsia="Calibri" w:hAnsi="Arial" w:cs="Arial"/>
          <w:b/>
          <w:sz w:val="26"/>
          <w:szCs w:val="26"/>
        </w:rPr>
        <w:t xml:space="preserve">causales de improcedencia o sobreseimiento que deba estudiar de oficio, ni </w:t>
      </w:r>
      <w:r w:rsidRPr="002B7643">
        <w:rPr>
          <w:rFonts w:ascii="Arial" w:eastAsia="Calibri" w:hAnsi="Arial" w:cs="Arial"/>
          <w:b/>
          <w:sz w:val="26"/>
          <w:szCs w:val="26"/>
        </w:rPr>
        <w:lastRenderedPageBreak/>
        <w:t>incidentes planteados;</w:t>
      </w:r>
      <w:r w:rsidRPr="002B7643">
        <w:rPr>
          <w:rFonts w:ascii="Arial" w:eastAsia="Calibri" w:hAnsi="Arial" w:cs="Arial"/>
          <w:sz w:val="26"/>
          <w:szCs w:val="26"/>
        </w:rPr>
        <w:t xml:space="preserve"> por tanto, se procede al estudio de los argumentos de nulidad de la parte actora.</w:t>
      </w:r>
    </w:p>
    <w:p w:rsidR="00386E97" w:rsidRPr="002B7643" w:rsidRDefault="00386E97" w:rsidP="00386E97">
      <w:pPr>
        <w:spacing w:after="0" w:line="360" w:lineRule="auto"/>
        <w:ind w:firstLine="709"/>
        <w:jc w:val="both"/>
        <w:rPr>
          <w:rFonts w:ascii="Arial" w:eastAsia="Calibri" w:hAnsi="Arial" w:cs="Arial"/>
          <w:sz w:val="26"/>
          <w:szCs w:val="26"/>
        </w:rPr>
      </w:pPr>
    </w:p>
    <w:p w:rsidR="00386E97" w:rsidRPr="002B7643" w:rsidRDefault="00386E97" w:rsidP="00386E97">
      <w:pPr>
        <w:spacing w:after="0" w:line="360" w:lineRule="auto"/>
        <w:ind w:firstLine="708"/>
        <w:jc w:val="both"/>
        <w:rPr>
          <w:rFonts w:ascii="Arial" w:hAnsi="Arial" w:cs="Arial"/>
          <w:sz w:val="26"/>
          <w:szCs w:val="26"/>
        </w:rPr>
      </w:pPr>
      <w:r w:rsidRPr="002B7643">
        <w:rPr>
          <w:rFonts w:ascii="Arial" w:hAnsi="Arial" w:cs="Arial"/>
          <w:sz w:val="26"/>
          <w:szCs w:val="26"/>
        </w:rPr>
        <w:t>En tal virtud, se procede al estudio de los conceptos de impugnación vertidos por la parte actora.</w:t>
      </w:r>
    </w:p>
    <w:p w:rsidR="00386E97" w:rsidRPr="002B7643" w:rsidRDefault="00386E97" w:rsidP="00386E97">
      <w:pPr>
        <w:spacing w:line="360" w:lineRule="auto"/>
        <w:ind w:firstLine="708"/>
        <w:contextualSpacing/>
        <w:jc w:val="both"/>
        <w:rPr>
          <w:rFonts w:ascii="Arial" w:eastAsia="Calibri" w:hAnsi="Arial" w:cs="Arial"/>
          <w:b/>
          <w:sz w:val="26"/>
          <w:szCs w:val="26"/>
        </w:rPr>
      </w:pPr>
    </w:p>
    <w:p w:rsidR="00B32C80" w:rsidRDefault="00386E97" w:rsidP="00386E97">
      <w:pPr>
        <w:spacing w:line="360" w:lineRule="auto"/>
        <w:ind w:firstLine="708"/>
        <w:contextualSpacing/>
        <w:jc w:val="both"/>
        <w:rPr>
          <w:rFonts w:ascii="Arial" w:eastAsia="Calibri" w:hAnsi="Arial" w:cs="Arial"/>
          <w:sz w:val="26"/>
          <w:szCs w:val="26"/>
        </w:rPr>
      </w:pPr>
      <w:r w:rsidRPr="002B7643">
        <w:rPr>
          <w:rFonts w:ascii="Arial" w:eastAsia="Calibri" w:hAnsi="Arial" w:cs="Arial"/>
          <w:b/>
          <w:sz w:val="26"/>
          <w:szCs w:val="26"/>
        </w:rPr>
        <w:t>SEXTO.-</w:t>
      </w:r>
      <w:r w:rsidRPr="002B7643">
        <w:rPr>
          <w:rFonts w:ascii="Arial" w:eastAsia="Calibri" w:hAnsi="Arial" w:cs="Arial"/>
          <w:sz w:val="26"/>
          <w:szCs w:val="26"/>
        </w:rPr>
        <w:t xml:space="preserve"> A juicio de esta Tercera Sala Unitaria, le asiste la razón a</w:t>
      </w:r>
      <w:r w:rsidR="00B32C80">
        <w:rPr>
          <w:rFonts w:ascii="Arial" w:eastAsia="Calibri" w:hAnsi="Arial" w:cs="Arial"/>
          <w:sz w:val="26"/>
          <w:szCs w:val="26"/>
        </w:rPr>
        <w:t xml:space="preserve"> </w:t>
      </w:r>
      <w:r w:rsidRPr="002B7643">
        <w:rPr>
          <w:rFonts w:ascii="Arial" w:eastAsia="Calibri" w:hAnsi="Arial" w:cs="Arial"/>
          <w:sz w:val="26"/>
          <w:szCs w:val="26"/>
        </w:rPr>
        <w:t>l</w:t>
      </w:r>
      <w:r w:rsidR="00B32C80">
        <w:rPr>
          <w:rFonts w:ascii="Arial" w:eastAsia="Calibri" w:hAnsi="Arial" w:cs="Arial"/>
          <w:sz w:val="26"/>
          <w:szCs w:val="26"/>
        </w:rPr>
        <w:t>a</w:t>
      </w:r>
      <w:r w:rsidRPr="002B7643">
        <w:rPr>
          <w:rFonts w:ascii="Arial" w:eastAsia="Calibri" w:hAnsi="Arial" w:cs="Arial"/>
          <w:sz w:val="26"/>
          <w:szCs w:val="26"/>
        </w:rPr>
        <w:t xml:space="preserve"> actor</w:t>
      </w:r>
      <w:r w:rsidR="00B32C80">
        <w:rPr>
          <w:rFonts w:ascii="Arial" w:eastAsia="Calibri" w:hAnsi="Arial" w:cs="Arial"/>
          <w:sz w:val="26"/>
          <w:szCs w:val="26"/>
        </w:rPr>
        <w:t xml:space="preserve">a </w:t>
      </w:r>
      <w:r w:rsidR="005A4BD2">
        <w:rPr>
          <w:rFonts w:ascii="Arial" w:eastAsia="Calibri" w:hAnsi="Arial" w:cs="Arial"/>
          <w:b/>
          <w:color w:val="FF0000"/>
          <w:sz w:val="26"/>
          <w:szCs w:val="26"/>
        </w:rPr>
        <w:t>**********</w:t>
      </w:r>
      <w:r w:rsidRPr="002B7643">
        <w:rPr>
          <w:rFonts w:ascii="Arial" w:eastAsia="Calibri" w:hAnsi="Arial" w:cs="Arial"/>
          <w:sz w:val="26"/>
          <w:szCs w:val="26"/>
        </w:rPr>
        <w:t xml:space="preserve">, al señalar en su primer concepto de impugnación que </w:t>
      </w:r>
      <w:r w:rsidR="00B32C80">
        <w:rPr>
          <w:rFonts w:ascii="Arial" w:eastAsia="Calibri" w:hAnsi="Arial" w:cs="Arial"/>
          <w:sz w:val="26"/>
          <w:szCs w:val="26"/>
        </w:rPr>
        <w:t xml:space="preserve">respecto a la baja de que fue objeto en el puesto que venía desempeñando como Policía Operativo B, de la Dirección de Seguridad Pública y Tránsito Municipal de Axtla de Terrazas, S.L.P., no se aprecia que hubiera sido determinada por autoridad competente </w:t>
      </w:r>
      <w:r w:rsidR="00E3578F">
        <w:rPr>
          <w:rFonts w:ascii="Arial" w:eastAsia="Calibri" w:hAnsi="Arial" w:cs="Arial"/>
          <w:sz w:val="26"/>
          <w:szCs w:val="26"/>
        </w:rPr>
        <w:t>precisada con tal carácter en la Ley del Sistema de Seguridad Pública del Estado, ya que esta legislación faculta única y exclusivamente a la Comisión de Honor y Justicia del cuerpo de seguridad que ahora se demanda a emitir una sanción como la que arbitrariamente fue impuesta.</w:t>
      </w:r>
    </w:p>
    <w:p w:rsidR="00386E97" w:rsidRDefault="00386E97" w:rsidP="00386E97">
      <w:pPr>
        <w:spacing w:line="360" w:lineRule="auto"/>
        <w:ind w:firstLine="708"/>
        <w:contextualSpacing/>
        <w:jc w:val="both"/>
        <w:rPr>
          <w:rFonts w:ascii="Arial" w:eastAsia="Calibri" w:hAnsi="Arial" w:cs="Arial"/>
          <w:sz w:val="26"/>
          <w:szCs w:val="26"/>
        </w:rPr>
      </w:pPr>
    </w:p>
    <w:p w:rsidR="00ED426E" w:rsidRDefault="00386E97" w:rsidP="00386E97">
      <w:pPr>
        <w:spacing w:line="360" w:lineRule="auto"/>
        <w:ind w:firstLine="708"/>
        <w:contextualSpacing/>
        <w:jc w:val="both"/>
        <w:rPr>
          <w:rFonts w:ascii="Arial" w:eastAsia="Calibri" w:hAnsi="Arial" w:cs="Arial"/>
          <w:i/>
          <w:sz w:val="26"/>
          <w:szCs w:val="26"/>
        </w:rPr>
      </w:pPr>
      <w:r w:rsidRPr="00130F9A">
        <w:rPr>
          <w:rFonts w:ascii="Arial" w:eastAsia="Calibri" w:hAnsi="Arial" w:cs="Arial"/>
          <w:sz w:val="26"/>
          <w:szCs w:val="26"/>
        </w:rPr>
        <w:t xml:space="preserve">De acuerdo a lo anterior, se advierte que </w:t>
      </w:r>
      <w:r w:rsidR="00ED426E">
        <w:rPr>
          <w:rFonts w:ascii="Arial" w:eastAsia="Calibri" w:hAnsi="Arial" w:cs="Arial"/>
          <w:sz w:val="26"/>
          <w:szCs w:val="26"/>
        </w:rPr>
        <w:t>la</w:t>
      </w:r>
      <w:r>
        <w:rPr>
          <w:rFonts w:ascii="Arial" w:eastAsia="Calibri" w:hAnsi="Arial" w:cs="Arial"/>
          <w:sz w:val="26"/>
          <w:szCs w:val="26"/>
        </w:rPr>
        <w:t xml:space="preserve"> demandante </w:t>
      </w:r>
      <w:r w:rsidR="00E3578F">
        <w:rPr>
          <w:rFonts w:ascii="Arial" w:eastAsia="Calibri" w:hAnsi="Arial" w:cs="Arial"/>
          <w:sz w:val="26"/>
          <w:szCs w:val="26"/>
        </w:rPr>
        <w:t>manifiesta</w:t>
      </w:r>
      <w:r>
        <w:rPr>
          <w:rFonts w:ascii="Arial" w:eastAsia="Calibri" w:hAnsi="Arial" w:cs="Arial"/>
          <w:sz w:val="26"/>
          <w:szCs w:val="26"/>
        </w:rPr>
        <w:t xml:space="preserve"> en el punto 1 de sus conceptos de impugnación que </w:t>
      </w:r>
      <w:r w:rsidRPr="007548BC">
        <w:rPr>
          <w:rFonts w:ascii="Arial" w:eastAsia="Calibri" w:hAnsi="Arial" w:cs="Arial"/>
          <w:i/>
          <w:sz w:val="26"/>
          <w:szCs w:val="26"/>
        </w:rPr>
        <w:t>“…</w:t>
      </w:r>
      <w:r w:rsidR="00ED426E">
        <w:rPr>
          <w:rFonts w:ascii="Arial" w:eastAsia="Calibri" w:hAnsi="Arial" w:cs="Arial"/>
          <w:i/>
          <w:sz w:val="26"/>
          <w:szCs w:val="26"/>
        </w:rPr>
        <w:t>el día 15 de enero de 2025, siendo las 19:00 horas, momento en el cual, tenía que presentarme después de haber laborado el día anterior y descansar las 24 horas que me correspondían, en fin, dicho día y hora en mención, estando en la puerta de ingreso y salida del edificio de la Dirección General de Seguridad Pública y Tránsito Municipal, para reincorporarme al desarrollo mis labores, me interceptó el Capitán en Retiro José Ángeles Bruno, en su carácter de Director de Seguridad Pública y Tránsito Municipal del Ayuntamiento Axtla de Terrazas S.L.P., quien a su vez me comentó que, por indicaciones de la Presidenta Municipal y de Secretaria General, me comunicaba que estaba dada de baja de la corporación desde ese momento, …”</w:t>
      </w:r>
    </w:p>
    <w:p w:rsidR="00ED426E" w:rsidRDefault="00ED426E" w:rsidP="00386E97">
      <w:pPr>
        <w:spacing w:line="360" w:lineRule="auto"/>
        <w:ind w:firstLine="708"/>
        <w:contextualSpacing/>
        <w:jc w:val="both"/>
        <w:rPr>
          <w:rFonts w:ascii="Arial" w:eastAsia="Calibri" w:hAnsi="Arial" w:cs="Arial"/>
          <w:i/>
          <w:sz w:val="26"/>
          <w:szCs w:val="26"/>
        </w:rPr>
      </w:pPr>
    </w:p>
    <w:p w:rsidR="00E72D20" w:rsidRDefault="00386E97" w:rsidP="00386E97">
      <w:pPr>
        <w:spacing w:after="120" w:line="360" w:lineRule="auto"/>
        <w:ind w:firstLine="708"/>
        <w:jc w:val="both"/>
        <w:rPr>
          <w:rFonts w:ascii="Arial" w:eastAsia="Calibri" w:hAnsi="Arial" w:cs="Arial"/>
          <w:i/>
          <w:sz w:val="26"/>
          <w:szCs w:val="26"/>
        </w:rPr>
      </w:pPr>
      <w:r w:rsidRPr="00130F9A">
        <w:rPr>
          <w:rFonts w:ascii="Arial" w:eastAsia="Calibri" w:hAnsi="Arial" w:cs="Arial"/>
          <w:sz w:val="26"/>
          <w:szCs w:val="26"/>
        </w:rPr>
        <w:t>En cuanto a las autoridades demandadas</w:t>
      </w:r>
      <w:r>
        <w:rPr>
          <w:rFonts w:ascii="Arial" w:eastAsia="Calibri" w:hAnsi="Arial" w:cs="Arial"/>
          <w:sz w:val="26"/>
          <w:szCs w:val="26"/>
        </w:rPr>
        <w:t xml:space="preserve"> Presidente y Síndico Municipal del H. Ayuntamiento de Soledad de Graciano Sánchez, S.L.P.  </w:t>
      </w:r>
      <w:proofErr w:type="gramStart"/>
      <w:r>
        <w:rPr>
          <w:rFonts w:ascii="Arial" w:eastAsia="Calibri" w:hAnsi="Arial" w:cs="Arial"/>
          <w:sz w:val="26"/>
          <w:szCs w:val="26"/>
        </w:rPr>
        <w:t>y</w:t>
      </w:r>
      <w:proofErr w:type="gramEnd"/>
      <w:r>
        <w:rPr>
          <w:rFonts w:ascii="Arial" w:eastAsia="Calibri" w:hAnsi="Arial" w:cs="Arial"/>
          <w:sz w:val="26"/>
          <w:szCs w:val="26"/>
        </w:rPr>
        <w:t xml:space="preserve"> Directora de Estado Mayor y Director y/o Comisario de la </w:t>
      </w:r>
      <w:r>
        <w:rPr>
          <w:rFonts w:ascii="Arial" w:eastAsia="Calibri" w:hAnsi="Arial" w:cs="Arial"/>
          <w:sz w:val="26"/>
          <w:szCs w:val="26"/>
        </w:rPr>
        <w:lastRenderedPageBreak/>
        <w:t>Dirección de Seguridad Pública del mismo Ayuntamiento</w:t>
      </w:r>
      <w:r w:rsidRPr="00130F9A">
        <w:rPr>
          <w:rFonts w:ascii="Arial" w:eastAsia="Calibri" w:hAnsi="Arial" w:cs="Arial"/>
          <w:sz w:val="26"/>
          <w:szCs w:val="26"/>
        </w:rPr>
        <w:t xml:space="preserve">; al producir su contestación de demanda, </w:t>
      </w:r>
      <w:r>
        <w:rPr>
          <w:rFonts w:ascii="Arial" w:eastAsia="Calibri" w:hAnsi="Arial" w:cs="Arial"/>
          <w:sz w:val="26"/>
          <w:szCs w:val="26"/>
        </w:rPr>
        <w:t xml:space="preserve">señalaron </w:t>
      </w:r>
      <w:r w:rsidR="00E72D20">
        <w:rPr>
          <w:rFonts w:ascii="Arial" w:eastAsia="Calibri" w:hAnsi="Arial" w:cs="Arial"/>
          <w:sz w:val="26"/>
          <w:szCs w:val="26"/>
        </w:rPr>
        <w:t xml:space="preserve">en relación al capítulo de hechos, </w:t>
      </w:r>
      <w:r>
        <w:rPr>
          <w:rFonts w:ascii="Arial" w:eastAsia="Calibri" w:hAnsi="Arial" w:cs="Arial"/>
          <w:sz w:val="26"/>
          <w:szCs w:val="26"/>
        </w:rPr>
        <w:t xml:space="preserve">que </w:t>
      </w:r>
      <w:r w:rsidRPr="007548BC">
        <w:rPr>
          <w:rFonts w:ascii="Arial" w:eastAsia="Calibri" w:hAnsi="Arial" w:cs="Arial"/>
          <w:i/>
          <w:sz w:val="26"/>
          <w:szCs w:val="26"/>
        </w:rPr>
        <w:t>“…</w:t>
      </w:r>
      <w:r w:rsidR="00E72D20">
        <w:rPr>
          <w:rFonts w:ascii="Arial" w:eastAsia="Calibri" w:hAnsi="Arial" w:cs="Arial"/>
          <w:i/>
          <w:sz w:val="26"/>
          <w:szCs w:val="26"/>
        </w:rPr>
        <w:t xml:space="preserve">3.- Es falso en su integridad lo señalado en el correlativo, pues jamás tuvo lugar la entrevista con el </w:t>
      </w:r>
      <w:r w:rsidR="005A4BD2">
        <w:rPr>
          <w:rFonts w:ascii="Arial" w:eastAsia="Calibri" w:hAnsi="Arial" w:cs="Arial"/>
          <w:i/>
          <w:color w:val="FF0000"/>
          <w:sz w:val="26"/>
          <w:szCs w:val="26"/>
        </w:rPr>
        <w:t>**********</w:t>
      </w:r>
      <w:r w:rsidR="00E72D20">
        <w:rPr>
          <w:rFonts w:ascii="Arial" w:eastAsia="Calibri" w:hAnsi="Arial" w:cs="Arial"/>
          <w:i/>
          <w:sz w:val="26"/>
          <w:szCs w:val="26"/>
        </w:rPr>
        <w:t>, como también es falso que se le haya indicado en forma alguna la supuesta baja que refiere en el correlativo.</w:t>
      </w:r>
    </w:p>
    <w:p w:rsidR="00E72D20" w:rsidRDefault="00E72D20" w:rsidP="00386E97">
      <w:pPr>
        <w:spacing w:after="120" w:line="360" w:lineRule="auto"/>
        <w:ind w:firstLine="708"/>
        <w:jc w:val="both"/>
        <w:rPr>
          <w:rFonts w:ascii="Arial" w:eastAsia="Calibri" w:hAnsi="Arial" w:cs="Arial"/>
          <w:i/>
          <w:sz w:val="26"/>
          <w:szCs w:val="26"/>
        </w:rPr>
      </w:pPr>
      <w:r>
        <w:rPr>
          <w:rFonts w:ascii="Arial" w:eastAsia="Calibri" w:hAnsi="Arial" w:cs="Arial"/>
          <w:i/>
          <w:sz w:val="26"/>
          <w:szCs w:val="26"/>
        </w:rPr>
        <w:t xml:space="preserve">Más aun la actora afirma que el día 15 de enero de 2025 a las 19:00 horas se presentó a laborar “después de haber </w:t>
      </w:r>
      <w:r w:rsidR="002D19D6">
        <w:rPr>
          <w:rFonts w:ascii="Arial" w:eastAsia="Calibri" w:hAnsi="Arial" w:cs="Arial"/>
          <w:i/>
          <w:sz w:val="26"/>
          <w:szCs w:val="26"/>
        </w:rPr>
        <w:t>laborado</w:t>
      </w:r>
      <w:r>
        <w:rPr>
          <w:rFonts w:ascii="Arial" w:eastAsia="Calibri" w:hAnsi="Arial" w:cs="Arial"/>
          <w:i/>
          <w:sz w:val="26"/>
          <w:szCs w:val="26"/>
        </w:rPr>
        <w:t xml:space="preserve"> el día anterior y descansar las 24 horas” que le correspondían. Es decir, si en el apartado 2 de “antecedentes” de la demanda, la atora reconoce que laboraba 12 horas por 24 horas de descanso, entonces, según lo afirmado en el correlativo que se contesta, el día 14 de enero de 2025 supuestamente laboró de las 7:00 horas a las 19:00 horas y posteriormente descansó 24 horas y que por ello se presentó a laborar a las 19:00 horas del día 15 de enero de 2025, afirmaciones que </w:t>
      </w:r>
      <w:r w:rsidR="00E42478">
        <w:rPr>
          <w:rFonts w:ascii="Arial" w:eastAsia="Calibri" w:hAnsi="Arial" w:cs="Arial"/>
          <w:i/>
          <w:sz w:val="26"/>
          <w:szCs w:val="26"/>
        </w:rPr>
        <w:t>resultan</w:t>
      </w:r>
      <w:r>
        <w:rPr>
          <w:rFonts w:ascii="Arial" w:eastAsia="Calibri" w:hAnsi="Arial" w:cs="Arial"/>
          <w:i/>
          <w:sz w:val="26"/>
          <w:szCs w:val="26"/>
        </w:rPr>
        <w:t xml:space="preserve"> falsas por lo siguiente:</w:t>
      </w:r>
    </w:p>
    <w:p w:rsidR="00E72D20" w:rsidRDefault="00E42478" w:rsidP="00386E97">
      <w:pPr>
        <w:spacing w:after="120" w:line="360" w:lineRule="auto"/>
        <w:ind w:firstLine="708"/>
        <w:jc w:val="both"/>
        <w:rPr>
          <w:rFonts w:ascii="Arial" w:eastAsia="Calibri" w:hAnsi="Arial" w:cs="Arial"/>
          <w:i/>
          <w:sz w:val="26"/>
          <w:szCs w:val="26"/>
        </w:rPr>
      </w:pPr>
      <w:r>
        <w:rPr>
          <w:rFonts w:ascii="Arial" w:eastAsia="Calibri" w:hAnsi="Arial" w:cs="Arial"/>
          <w:i/>
          <w:sz w:val="26"/>
          <w:szCs w:val="26"/>
        </w:rPr>
        <w:t>A la actora le correspondía laborar de las 19:00 horas del 14 de enero de 2025 a las 7:00 horas del día 15 d</w:t>
      </w:r>
      <w:r w:rsidR="002D19D6">
        <w:rPr>
          <w:rFonts w:ascii="Arial" w:eastAsia="Calibri" w:hAnsi="Arial" w:cs="Arial"/>
          <w:i/>
          <w:sz w:val="26"/>
          <w:szCs w:val="26"/>
        </w:rPr>
        <w:t>e</w:t>
      </w:r>
      <w:r>
        <w:rPr>
          <w:rFonts w:ascii="Arial" w:eastAsia="Calibri" w:hAnsi="Arial" w:cs="Arial"/>
          <w:i/>
          <w:sz w:val="26"/>
          <w:szCs w:val="26"/>
        </w:rPr>
        <w:t xml:space="preserve"> enero de 2025 y su descanso iniciaba precisamente a partir de la terminación de su jornada, es decir, a partir de las 7:00 horas del día 15 de enero de 2025. Sin embargo, la actora no se presentó a laborar ni el día 14 de enero ni el día 15 de enero, ambos del año 2025.</w:t>
      </w:r>
      <w:r w:rsidR="002D19D6">
        <w:rPr>
          <w:rFonts w:ascii="Arial" w:eastAsia="Calibri" w:hAnsi="Arial" w:cs="Arial"/>
          <w:i/>
          <w:sz w:val="26"/>
          <w:szCs w:val="26"/>
        </w:rPr>
        <w:t>”</w:t>
      </w:r>
    </w:p>
    <w:p w:rsidR="00ED426E" w:rsidRDefault="00ED426E" w:rsidP="00386E97">
      <w:pPr>
        <w:spacing w:after="120" w:line="360" w:lineRule="auto"/>
        <w:ind w:firstLine="708"/>
        <w:jc w:val="both"/>
        <w:rPr>
          <w:rFonts w:ascii="Arial" w:eastAsia="Calibri" w:hAnsi="Arial" w:cs="Arial"/>
          <w:i/>
          <w:sz w:val="26"/>
          <w:szCs w:val="26"/>
        </w:rPr>
      </w:pPr>
    </w:p>
    <w:p w:rsidR="00386E97" w:rsidRDefault="00386E97" w:rsidP="00F82AAE">
      <w:pPr>
        <w:spacing w:line="360" w:lineRule="auto"/>
        <w:ind w:firstLine="709"/>
        <w:jc w:val="both"/>
        <w:rPr>
          <w:rFonts w:ascii="Arial" w:eastAsia="Calibri" w:hAnsi="Arial" w:cs="Arial"/>
          <w:sz w:val="26"/>
          <w:szCs w:val="26"/>
        </w:rPr>
      </w:pPr>
      <w:r w:rsidRPr="00563DFB">
        <w:rPr>
          <w:rFonts w:ascii="Arial" w:eastAsia="Calibri" w:hAnsi="Arial" w:cs="Arial"/>
          <w:sz w:val="26"/>
          <w:szCs w:val="26"/>
        </w:rPr>
        <w:t>Ahora bien, en relación a lo anterior, es necesario precisar la carga probatoria en el presente asunto, la cual en el caso concreto les corresponde a las autoridades demandadas, en virtud de que l</w:t>
      </w:r>
      <w:r w:rsidR="002D19D6">
        <w:rPr>
          <w:rFonts w:ascii="Arial" w:eastAsia="Calibri" w:hAnsi="Arial" w:cs="Arial"/>
          <w:sz w:val="26"/>
          <w:szCs w:val="26"/>
        </w:rPr>
        <w:t>a</w:t>
      </w:r>
      <w:r w:rsidRPr="00563DFB">
        <w:rPr>
          <w:rFonts w:ascii="Arial" w:eastAsia="Calibri" w:hAnsi="Arial" w:cs="Arial"/>
          <w:sz w:val="26"/>
          <w:szCs w:val="26"/>
        </w:rPr>
        <w:t xml:space="preserve"> actor</w:t>
      </w:r>
      <w:r w:rsidR="002D19D6">
        <w:rPr>
          <w:rFonts w:ascii="Arial" w:eastAsia="Calibri" w:hAnsi="Arial" w:cs="Arial"/>
          <w:sz w:val="26"/>
          <w:szCs w:val="26"/>
        </w:rPr>
        <w:t>a</w:t>
      </w:r>
      <w:r w:rsidRPr="00563DFB">
        <w:rPr>
          <w:rFonts w:ascii="Arial" w:eastAsia="Calibri" w:hAnsi="Arial" w:cs="Arial"/>
          <w:sz w:val="26"/>
          <w:szCs w:val="26"/>
        </w:rPr>
        <w:t xml:space="preserve"> de este juicio, les atribuyó la baja de que fue objeto y no obstante que estas, aún y cuando niegan este hecho, no se refieren a todos los hechos relacionados con sus pretensiones, por lo que en los omitidos opera la presunción legal de ser ciertos, salvo prueba en contrario, conforme al segundo párrafo del numeral 241 del Código Procesal Administrativo para el Estado de San Luis Potosí. Consecuentemente, en atención a dicho precepto legal y al diverso 274 fracción I del Código de Procedimientos Civiles del Estado, de aplicación supletoria a la ley de la materia, por lo que corresponde a las demandadas, la carga </w:t>
      </w:r>
      <w:r w:rsidRPr="00563DFB">
        <w:rPr>
          <w:rFonts w:ascii="Arial" w:eastAsia="Calibri" w:hAnsi="Arial" w:cs="Arial"/>
          <w:sz w:val="26"/>
          <w:szCs w:val="26"/>
        </w:rPr>
        <w:lastRenderedPageBreak/>
        <w:t>de probar que el actor dejó de prestar sus servicios por una causa no imputable a</w:t>
      </w:r>
      <w:r w:rsidR="00DC3D96">
        <w:rPr>
          <w:rFonts w:ascii="Arial" w:eastAsia="Calibri" w:hAnsi="Arial" w:cs="Arial"/>
          <w:sz w:val="26"/>
          <w:szCs w:val="26"/>
        </w:rPr>
        <w:t xml:space="preserve"> ellas sino, en todo caso, a él, pues si bien señalan las autoridades demandadas que la actora no se presentó a su servicio los días 14 y 15 de enero de 2025</w:t>
      </w:r>
      <w:r w:rsidR="002D19D6">
        <w:rPr>
          <w:rFonts w:ascii="Arial" w:eastAsia="Calibri" w:hAnsi="Arial" w:cs="Arial"/>
          <w:sz w:val="26"/>
          <w:szCs w:val="26"/>
        </w:rPr>
        <w:t xml:space="preserve">, cayendo en contradicción, pues por una parte señalan al producir su contestación de demanda, que el 15 de enero de 2025, correspondía su descanso y con las actas administrativas que exhibe a fojas 58 a 61 de autos, señala que en esos días no se presentó a laborar durante su turno, sin causa justificada y que estaba faltando al pase de lista de manera injustificada, por lo que se contradice lo señalado en la contestación de demanda, con los hechos que se narran en las Actas Administrativas de fecha 14 y 15 de enero de 2025, donde por una parte se afirma que correspondía a la actora el día 15 de enero de 2025, su descanso y en la narración de hechos de las Actas Administrativas que exhibe, señala que faltó la actora de manera injustificada, sin acreditar que efectivamente el día 15 de enero de 2025, </w:t>
      </w:r>
      <w:r w:rsidR="00F82AAE">
        <w:rPr>
          <w:rFonts w:ascii="Arial" w:eastAsia="Calibri" w:hAnsi="Arial" w:cs="Arial"/>
          <w:sz w:val="26"/>
          <w:szCs w:val="26"/>
        </w:rPr>
        <w:t>era su día de descanso, razón por la cual dichas pruebas no le benefician a las autoridades demandadas, por lo que no se les puede otorgar valor probatorio alguno.</w:t>
      </w:r>
    </w:p>
    <w:p w:rsidR="00386E97" w:rsidRPr="00563DFB" w:rsidRDefault="00386E97" w:rsidP="00386E97">
      <w:pPr>
        <w:spacing w:line="360" w:lineRule="auto"/>
        <w:ind w:firstLine="709"/>
        <w:jc w:val="both"/>
        <w:rPr>
          <w:rFonts w:ascii="Arial" w:eastAsia="Calibri" w:hAnsi="Arial" w:cs="Arial"/>
          <w:sz w:val="26"/>
          <w:szCs w:val="26"/>
        </w:rPr>
      </w:pPr>
    </w:p>
    <w:p w:rsidR="00386E97" w:rsidRDefault="00386E97" w:rsidP="00386E97">
      <w:pPr>
        <w:spacing w:line="360" w:lineRule="auto"/>
        <w:ind w:firstLine="709"/>
        <w:jc w:val="both"/>
        <w:rPr>
          <w:rFonts w:ascii="Arial" w:eastAsia="Calibri" w:hAnsi="Arial" w:cs="Arial"/>
          <w:sz w:val="26"/>
          <w:szCs w:val="26"/>
        </w:rPr>
      </w:pPr>
      <w:r w:rsidRPr="00563DFB">
        <w:rPr>
          <w:rFonts w:ascii="Arial" w:eastAsia="Calibri" w:hAnsi="Arial" w:cs="Arial"/>
          <w:sz w:val="26"/>
          <w:szCs w:val="26"/>
        </w:rPr>
        <w:t>Lo anterior es así, toda vez que si la negativa del acto no es simple sino calificada porque importa una afirmación, como en el caso concreto, luego entonces quien la produce sí se encuentra en la necesidad de justificarla. La regla en cuestión se encuentra prevista por el artículo 274 fracción I del Código de Procedimientos Civiles del Estado, de aplicación supletoria a</w:t>
      </w:r>
      <w:r>
        <w:rPr>
          <w:rFonts w:ascii="Arial" w:eastAsia="Calibri" w:hAnsi="Arial" w:cs="Arial"/>
          <w:sz w:val="26"/>
          <w:szCs w:val="26"/>
        </w:rPr>
        <w:t>l Código Procesal Administrativo para el Estado de San Luis Potosí</w:t>
      </w:r>
      <w:r w:rsidRPr="00563DFB">
        <w:rPr>
          <w:rFonts w:ascii="Arial" w:eastAsia="Calibri" w:hAnsi="Arial" w:cs="Arial"/>
          <w:sz w:val="26"/>
          <w:szCs w:val="26"/>
        </w:rPr>
        <w:t xml:space="preserve">, al disponer que el que niega sólo está obligado a probar, entre otras hipótesis, cuando la negación envuelva la afirmación expresa de un hecho. En tal virtud, si el acto por su naturaleza es negativo y aquella a quien se atribuye lo niega, no corresponde a su contraparte demostrar la existencia de ese acto debido a que, ciertamente, no se encuentra en la posibilidad de probar la omisión o la abstención de su contraria sino que, como la negativa expresada por ésta encierra la afirmación de que no incurrió en ellas, </w:t>
      </w:r>
      <w:r w:rsidRPr="00563DFB">
        <w:rPr>
          <w:rFonts w:ascii="Arial" w:eastAsia="Calibri" w:hAnsi="Arial" w:cs="Arial"/>
          <w:sz w:val="26"/>
          <w:szCs w:val="26"/>
        </w:rPr>
        <w:lastRenderedPageBreak/>
        <w:t>debe acreditarlo, por lo que ante la negativa del acto, es a la autoridad demandada, a quien corresponde acreditar que no incurrió en esa ilegalidad, motivo por el cual no es suficiente su afirmación en el sentido de que no dio de baja al aquí demandante, si no demuestra las causas por las cuales ya no les presta sus servicios.</w:t>
      </w:r>
    </w:p>
    <w:p w:rsidR="00386E97" w:rsidRPr="00563DFB" w:rsidRDefault="00386E97" w:rsidP="00386E97">
      <w:pPr>
        <w:spacing w:line="360" w:lineRule="auto"/>
        <w:ind w:firstLine="709"/>
        <w:jc w:val="both"/>
        <w:rPr>
          <w:rFonts w:ascii="Arial" w:eastAsia="Calibri" w:hAnsi="Arial" w:cs="Arial"/>
          <w:sz w:val="26"/>
          <w:szCs w:val="26"/>
        </w:rPr>
      </w:pPr>
    </w:p>
    <w:p w:rsidR="00386E97" w:rsidRPr="00173D45" w:rsidRDefault="00386E97" w:rsidP="00386E97">
      <w:pPr>
        <w:spacing w:line="360" w:lineRule="auto"/>
        <w:ind w:firstLine="709"/>
        <w:jc w:val="both"/>
        <w:rPr>
          <w:rFonts w:ascii="Arial" w:eastAsia="Calibri" w:hAnsi="Arial" w:cs="Arial"/>
          <w:sz w:val="26"/>
          <w:szCs w:val="26"/>
        </w:rPr>
      </w:pPr>
      <w:r w:rsidRPr="00173D45">
        <w:rPr>
          <w:rFonts w:ascii="Arial" w:eastAsia="Calibri" w:hAnsi="Arial" w:cs="Arial"/>
          <w:sz w:val="26"/>
          <w:szCs w:val="26"/>
        </w:rPr>
        <w:t>Sirve de apoyo a lo anterior, la jurisprudencia localizable en el Semanario Judicial de la Federación Tomo V, Segunda Parte-2, Enero-Junio de 1990, emitida por los Tribunales Colegiados de Circuito, Tesis: 1.3º.A. J/21, Página 660, en materia administrativa que a la letra dice:</w:t>
      </w: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w:t>
      </w:r>
      <w:r w:rsidRPr="005501AE">
        <w:rPr>
          <w:rFonts w:ascii="Arial" w:eastAsia="Calibri" w:hAnsi="Arial" w:cs="Arial"/>
          <w:b/>
          <w:i/>
        </w:rPr>
        <w:t>ACTOS RECLAMADOS. ACTO NEGATIVO Y NEGATIVA DEL ACTO. SON DOS COSAS DISTINTAS. CARGA DE LA PRUEBA.-</w:t>
      </w:r>
      <w:r w:rsidRPr="005501AE">
        <w:rPr>
          <w:rFonts w:ascii="Arial" w:eastAsia="Calibri" w:hAnsi="Arial" w:cs="Arial"/>
          <w:i/>
        </w:rPr>
        <w:t xml:space="preserve"> Todo acto, por definición, supone la existencia de una conducta ya sea activa o pasiva. Dentro de la clasificación de los actos reclamados se distinguen entre los positivos y los negativos, considerando a los primeros como los que implican un hacer y a los segundos como los que reflejan una omisión o abstención. Así, para diferenciarlos se atiende a su naturaleza y a los efectos que producen respecto de la realidad. Por otra parte, la esencia del acto negativo versa, exclusivamente, sobre su característica que denota la omisión o la abstención de aquella a quien se atribuye. La negativa del acto, por lo contrario, no atiende a la naturaleza de aquél sino que propiamente constituye sólo una expresión sobre su existencia. En ello radica precisamente la diferencia entre un acto negativo y la negativa del acto. Como no se trata de conceptos iguales, la carga de la prueba en uno y otro supuesto se distribuye en forma desigual. La negativa simple del acto libera a quien la </w:t>
      </w:r>
      <w:proofErr w:type="spellStart"/>
      <w:r w:rsidRPr="005501AE">
        <w:rPr>
          <w:rFonts w:ascii="Arial" w:eastAsia="Calibri" w:hAnsi="Arial" w:cs="Arial"/>
          <w:i/>
        </w:rPr>
        <w:t>formula</w:t>
      </w:r>
      <w:proofErr w:type="spellEnd"/>
      <w:r w:rsidRPr="005501AE">
        <w:rPr>
          <w:rFonts w:ascii="Arial" w:eastAsia="Calibri" w:hAnsi="Arial" w:cs="Arial"/>
          <w:i/>
        </w:rPr>
        <w:t xml:space="preserve"> de la necesidad de probarla, pues, lógicamente, no es factible demostrar lo que se ha negado; de tal suerte que la carga de probar recae en su contraparte. En otro orden de ideas, si la negativa del acto no es simple sino calificada porque importa una afirmación, entonces quien la produce sí se encuentra en la necesidad de justificarla. La regla en cuestión se encuentra prevista por el artículo 82 del Código Federal de Procedimientos Civiles, de aplicación supletoria a la Ley de Amparo, al disponer que el que niega sólo está obligado a probar, entre otras hipótesis, cuando la negación envuelva la afirmación expresa de un hecho. En tal virtud, si el acto por su naturaleza es negativo y aquella a quien se atribuye lo niega, no corresponde a su contraparte demostrar la existencia de ese acto debido a que, ciertamente, no se encuentra en la posibilidad de probar la omisión o la abstención de su contraria sino que, como la negativa expresada por ésta encierra la afirmación de que no incurrió en ellas, debe acreditarlo. En suma, como la manifestación respecto de la existencia del acto no modifica la naturaleza de éste, en tanto que se trata de cosas diferentes, debe concluirse que si las autoridades responsables en su informe niegan la </w:t>
      </w:r>
      <w:r w:rsidRPr="005501AE">
        <w:rPr>
          <w:rFonts w:ascii="Arial" w:eastAsia="Calibri" w:hAnsi="Arial" w:cs="Arial"/>
          <w:i/>
        </w:rPr>
        <w:lastRenderedPageBreak/>
        <w:t>existencia de los actos, esa consideración no les imprime a éstos el carácter de negativos.</w:t>
      </w: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TERCER TRIBUNAL COLEGIADO EN MATERIA ADMINISTRATIVA DEL PRIMER CIRCUITO.</w:t>
      </w: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 xml:space="preserve">Amparo en revisión 1463/88. Guadalupe Carrillo García. 2 de agosto de 1988. Unanimidad de votos. Ponente: Carlos Alfredo Soto Villaseñor. Secretaria: Margarita Yolanda Huerta </w:t>
      </w:r>
      <w:proofErr w:type="spellStart"/>
      <w:r w:rsidRPr="005501AE">
        <w:rPr>
          <w:rFonts w:ascii="Arial" w:eastAsia="Calibri" w:hAnsi="Arial" w:cs="Arial"/>
          <w:i/>
        </w:rPr>
        <w:t>Viramontes</w:t>
      </w:r>
      <w:proofErr w:type="spellEnd"/>
      <w:r w:rsidRPr="005501AE">
        <w:rPr>
          <w:rFonts w:ascii="Arial" w:eastAsia="Calibri" w:hAnsi="Arial" w:cs="Arial"/>
          <w:i/>
        </w:rPr>
        <w:t>.</w:t>
      </w: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Incidente en revisión 2583/88. Saúl Bastida Marín. 10 de enero de 1989. Unanimidad de votos. Ponente: Carlos Alfredo Soto Villaseñor. Secretario: Juan Montes Cartas.</w:t>
      </w: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 xml:space="preserve">Incidente en revisión 2603/88. Tirso Bastida Maya. 10 de enero de 1989. Unanimidad de votos. Ponente: Carlos Alfredo Soto Villaseñor. Secretaria: Margarita Yolanda Huerta </w:t>
      </w:r>
      <w:proofErr w:type="spellStart"/>
      <w:r w:rsidRPr="005501AE">
        <w:rPr>
          <w:rFonts w:ascii="Arial" w:eastAsia="Calibri" w:hAnsi="Arial" w:cs="Arial"/>
          <w:i/>
        </w:rPr>
        <w:t>Viramontes</w:t>
      </w:r>
      <w:proofErr w:type="spellEnd"/>
      <w:r w:rsidRPr="005501AE">
        <w:rPr>
          <w:rFonts w:ascii="Arial" w:eastAsia="Calibri" w:hAnsi="Arial" w:cs="Arial"/>
          <w:i/>
        </w:rPr>
        <w:t>.</w:t>
      </w: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Incidente en revisión 1893/</w:t>
      </w:r>
      <w:proofErr w:type="gramStart"/>
      <w:r w:rsidRPr="005501AE">
        <w:rPr>
          <w:rFonts w:ascii="Arial" w:eastAsia="Calibri" w:hAnsi="Arial" w:cs="Arial"/>
          <w:i/>
        </w:rPr>
        <w:t>89 .</w:t>
      </w:r>
      <w:proofErr w:type="gramEnd"/>
      <w:r w:rsidRPr="005501AE">
        <w:rPr>
          <w:rFonts w:ascii="Arial" w:eastAsia="Calibri" w:hAnsi="Arial" w:cs="Arial"/>
          <w:i/>
        </w:rPr>
        <w:t xml:space="preserve"> Agustín Ibarra López. 10 de octubre de 1989. Unanimidad de votos. Ponente: Genaro David Góngora Pimentel. Secretaria: Adriana Leticia Campuzano Gallegos.</w:t>
      </w: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Amparo en revisión 503/90. Cándido Llanos Flores y otra. 28 de marzo de 1990. Unanimidad de votos. Ponente: Fernando Lanz Cárdenas. Secretario: Juan Carlos Cruz Razo.</w:t>
      </w: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Nota: La presente tesis no fue reiterada como vigente para los efectos de la publicación del Apéndice 1917-1995, según los acuerdos a que llegó la Comisión encargada de su integración, quedando a salvo las atribuciones de los órganos judiciales federales para aplicarla, reiterarla, interrumpirla o modificarla en los términos que establecen las disposiciones constitucionales y legales.</w:t>
      </w:r>
    </w:p>
    <w:p w:rsidR="00386E97" w:rsidRPr="005501AE" w:rsidRDefault="00386E97" w:rsidP="00386E97">
      <w:pPr>
        <w:spacing w:line="360" w:lineRule="auto"/>
        <w:ind w:firstLine="709"/>
        <w:jc w:val="both"/>
        <w:rPr>
          <w:rFonts w:ascii="Arial" w:eastAsia="Calibri" w:hAnsi="Arial" w:cs="Arial"/>
          <w:i/>
        </w:rPr>
      </w:pPr>
    </w:p>
    <w:p w:rsidR="00386E97" w:rsidRPr="006902B1" w:rsidRDefault="00386E97" w:rsidP="00386E97">
      <w:pPr>
        <w:spacing w:line="360" w:lineRule="auto"/>
        <w:ind w:firstLine="709"/>
        <w:jc w:val="both"/>
        <w:rPr>
          <w:rFonts w:ascii="Arial" w:eastAsia="Calibri" w:hAnsi="Arial" w:cs="Arial"/>
          <w:sz w:val="26"/>
          <w:szCs w:val="26"/>
        </w:rPr>
      </w:pPr>
      <w:r w:rsidRPr="006902B1">
        <w:rPr>
          <w:rFonts w:ascii="Arial" w:eastAsia="Calibri" w:hAnsi="Arial" w:cs="Arial"/>
          <w:sz w:val="26"/>
          <w:szCs w:val="26"/>
        </w:rPr>
        <w:t>Y el criterio emitido por el Cuarto Tribunal Colegiado del Décimo Octavo Circuito, localizable en el Semanario Judicial de la Federación y su Gaceta Libro XXVI, Noviembre de 2013, Tomo 2, Tesis XVIII.4º.7 A (10ª.), página 1294, Instancia: Tribunales Colegiados de Circuito, que a la letra dice:</w:t>
      </w:r>
    </w:p>
    <w:p w:rsidR="00386E97" w:rsidRPr="005501AE" w:rsidRDefault="00386E97" w:rsidP="00386E97">
      <w:pPr>
        <w:spacing w:line="360" w:lineRule="auto"/>
        <w:ind w:firstLine="709"/>
        <w:jc w:val="both"/>
        <w:rPr>
          <w:rFonts w:ascii="Arial" w:eastAsia="Calibri" w:hAnsi="Arial" w:cs="Arial"/>
          <w:sz w:val="24"/>
          <w:szCs w:val="24"/>
        </w:rPr>
      </w:pP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w:t>
      </w:r>
      <w:r w:rsidRPr="005501AE">
        <w:rPr>
          <w:rFonts w:ascii="Arial" w:eastAsia="Calibri" w:hAnsi="Arial" w:cs="Arial"/>
          <w:b/>
          <w:i/>
        </w:rPr>
        <w:t xml:space="preserve">CARGA PROBATORIA EN EL JUICIO ANTE EL TRIBUNAL DE LO CONTENCIOSO ADMINISTRATIVO DEL ESTADO DE MORELOS. CORRESPONDE A LAS AUTORIDADES DEMANDADAS CUANDO EL ACTOR </w:t>
      </w:r>
      <w:r w:rsidRPr="005501AE">
        <w:rPr>
          <w:rFonts w:ascii="Arial" w:eastAsia="Calibri" w:hAnsi="Arial" w:cs="Arial"/>
          <w:b/>
          <w:i/>
        </w:rPr>
        <w:lastRenderedPageBreak/>
        <w:t>LES ATRIBUYE SU DESPIDO INJUSTIFICADO Y ÉSTAS, AUNQUE LO NIEGAN, ACEPTAN QUE EXISTIÓ UNA RELACIÓN ADMINISTRATIVA PERO NO MANIFIESTAN POR QUÉ YA NO LES PRESTA SUS SERVICIOS</w:t>
      </w:r>
      <w:r w:rsidRPr="005501AE">
        <w:rPr>
          <w:rFonts w:ascii="Arial" w:eastAsia="Calibri" w:hAnsi="Arial" w:cs="Arial"/>
          <w:i/>
        </w:rPr>
        <w:t xml:space="preserve">.- Cuando el actor en el juicio ante el Tribunal de lo Contencioso Administrativo del Estado de Morelos atribuye a las autoridades demandadas su despido injustificado, y éstas, aunque lo niegan, aceptan que existió una relación administrativa -no laboral- con aquél, pero no expresan por qué ya no les presta sus servicios, es decir, no se refieren a todos los hechos relacionados con sus pretensiones, en los omitidos opera la presunción legal de ser ciertos, salvo prueba en contrario, conforme al artículo 85 de la Ley de Justicia Administrativa de la entidad. En consecuencia, atento </w:t>
      </w:r>
      <w:proofErr w:type="gramStart"/>
      <w:r w:rsidRPr="005501AE">
        <w:rPr>
          <w:rFonts w:ascii="Arial" w:eastAsia="Calibri" w:hAnsi="Arial" w:cs="Arial"/>
          <w:i/>
        </w:rPr>
        <w:t>a</w:t>
      </w:r>
      <w:proofErr w:type="gramEnd"/>
      <w:r w:rsidRPr="005501AE">
        <w:rPr>
          <w:rFonts w:ascii="Arial" w:eastAsia="Calibri" w:hAnsi="Arial" w:cs="Arial"/>
          <w:i/>
        </w:rPr>
        <w:t xml:space="preserve"> dicho precepto y al diverso 386 del Código Procesal Civil local, de aplicación supletoria, corresponde a las demandadas la carga de probar que el actor dejó de prestar sus servicios por una causa no imputable a ellas sino, en todo caso, a él.</w:t>
      </w:r>
    </w:p>
    <w:p w:rsidR="00386E97" w:rsidRPr="005501AE" w:rsidRDefault="00386E97" w:rsidP="00386E97">
      <w:pPr>
        <w:spacing w:line="360" w:lineRule="auto"/>
        <w:ind w:firstLine="709"/>
        <w:jc w:val="both"/>
        <w:rPr>
          <w:rFonts w:ascii="Arial" w:eastAsia="Calibri" w:hAnsi="Arial" w:cs="Arial"/>
          <w:i/>
        </w:rPr>
      </w:pPr>
      <w:r w:rsidRPr="005501AE">
        <w:rPr>
          <w:rFonts w:ascii="Arial" w:eastAsia="Calibri" w:hAnsi="Arial" w:cs="Arial"/>
          <w:i/>
        </w:rPr>
        <w:t>CUARTO TRIBUNAL COLEGIADO DEL DÉCIMO OCTAVO CIRCUITO.</w:t>
      </w:r>
    </w:p>
    <w:p w:rsidR="00386E97" w:rsidRDefault="00386E97" w:rsidP="00386E97">
      <w:pPr>
        <w:spacing w:line="360" w:lineRule="auto"/>
        <w:ind w:firstLine="709"/>
        <w:jc w:val="both"/>
        <w:rPr>
          <w:rFonts w:ascii="Arial" w:eastAsia="Calibri" w:hAnsi="Arial" w:cs="Arial"/>
          <w:i/>
        </w:rPr>
      </w:pPr>
      <w:r w:rsidRPr="005501AE">
        <w:rPr>
          <w:rFonts w:ascii="Arial" w:eastAsia="Calibri" w:hAnsi="Arial" w:cs="Arial"/>
          <w:i/>
        </w:rPr>
        <w:t>Amparo directo 858/2012. Rey Toledo Trujillo. 21 de febrero de 2013. Unanimidad de votos. Ponente: Gerardo Dávila Gaona. Secretario: Hilario Bonifacio García Rivera.”</w:t>
      </w:r>
    </w:p>
    <w:p w:rsidR="00386E97" w:rsidRDefault="00386E97" w:rsidP="00F82AAE">
      <w:pPr>
        <w:spacing w:after="0" w:line="360" w:lineRule="auto"/>
        <w:ind w:firstLine="709"/>
        <w:jc w:val="both"/>
        <w:rPr>
          <w:rFonts w:ascii="Arial" w:eastAsia="Calibri" w:hAnsi="Arial" w:cs="Arial"/>
          <w:sz w:val="26"/>
          <w:szCs w:val="26"/>
        </w:rPr>
      </w:pPr>
      <w:r w:rsidRPr="00A1306E">
        <w:rPr>
          <w:rFonts w:ascii="Arial" w:eastAsia="Calibri" w:hAnsi="Arial" w:cs="Arial"/>
          <w:sz w:val="26"/>
          <w:szCs w:val="26"/>
        </w:rPr>
        <w:t>En tal virtud, resulta fundado el concepto de impugnación</w:t>
      </w:r>
      <w:r>
        <w:rPr>
          <w:rFonts w:ascii="Arial" w:eastAsia="Calibri" w:hAnsi="Arial" w:cs="Arial"/>
          <w:sz w:val="26"/>
          <w:szCs w:val="26"/>
        </w:rPr>
        <w:t xml:space="preserve"> que se analiza</w:t>
      </w:r>
      <w:r w:rsidRPr="00A1306E">
        <w:rPr>
          <w:rFonts w:ascii="Arial" w:eastAsia="Calibri" w:hAnsi="Arial" w:cs="Arial"/>
          <w:sz w:val="26"/>
          <w:szCs w:val="26"/>
        </w:rPr>
        <w:t>, tomando en cuenta que existe una separación injustificada en perjuicio de</w:t>
      </w:r>
      <w:r>
        <w:rPr>
          <w:rFonts w:ascii="Arial" w:eastAsia="Calibri" w:hAnsi="Arial" w:cs="Arial"/>
          <w:sz w:val="26"/>
          <w:szCs w:val="26"/>
        </w:rPr>
        <w:t>l</w:t>
      </w:r>
      <w:r w:rsidRPr="00A1306E">
        <w:rPr>
          <w:rFonts w:ascii="Arial" w:eastAsia="Calibri" w:hAnsi="Arial" w:cs="Arial"/>
          <w:sz w:val="26"/>
          <w:szCs w:val="26"/>
        </w:rPr>
        <w:t xml:space="preserve"> aquí actor; toda vez que se advierte de las diversas constancias y probanzas que integran este juicio, que la</w:t>
      </w:r>
      <w:r>
        <w:rPr>
          <w:rFonts w:ascii="Arial" w:eastAsia="Calibri" w:hAnsi="Arial" w:cs="Arial"/>
          <w:sz w:val="26"/>
          <w:szCs w:val="26"/>
        </w:rPr>
        <w:t>s</w:t>
      </w:r>
      <w:r w:rsidRPr="00A1306E">
        <w:rPr>
          <w:rFonts w:ascii="Arial" w:eastAsia="Calibri" w:hAnsi="Arial" w:cs="Arial"/>
          <w:sz w:val="26"/>
          <w:szCs w:val="26"/>
        </w:rPr>
        <w:t xml:space="preserve"> demandada</w:t>
      </w:r>
      <w:r>
        <w:rPr>
          <w:rFonts w:ascii="Arial" w:eastAsia="Calibri" w:hAnsi="Arial" w:cs="Arial"/>
          <w:sz w:val="26"/>
          <w:szCs w:val="26"/>
        </w:rPr>
        <w:t>s</w:t>
      </w:r>
      <w:r w:rsidRPr="00A1306E">
        <w:rPr>
          <w:rFonts w:ascii="Arial" w:eastAsia="Calibri" w:hAnsi="Arial" w:cs="Arial"/>
          <w:sz w:val="26"/>
          <w:szCs w:val="26"/>
        </w:rPr>
        <w:t xml:space="preserve"> no acredit</w:t>
      </w:r>
      <w:r>
        <w:rPr>
          <w:rFonts w:ascii="Arial" w:eastAsia="Calibri" w:hAnsi="Arial" w:cs="Arial"/>
          <w:sz w:val="26"/>
          <w:szCs w:val="26"/>
        </w:rPr>
        <w:t>aron</w:t>
      </w:r>
      <w:r w:rsidRPr="00A1306E">
        <w:rPr>
          <w:rFonts w:ascii="Arial" w:eastAsia="Calibri" w:hAnsi="Arial" w:cs="Arial"/>
          <w:sz w:val="26"/>
          <w:szCs w:val="26"/>
        </w:rPr>
        <w:t xml:space="preserve"> en este juicio, la justificación de la separación </w:t>
      </w:r>
      <w:r>
        <w:rPr>
          <w:rFonts w:ascii="Arial" w:eastAsia="Calibri" w:hAnsi="Arial" w:cs="Arial"/>
          <w:sz w:val="26"/>
          <w:szCs w:val="26"/>
        </w:rPr>
        <w:t>del cargo que venía desempeñando l</w:t>
      </w:r>
      <w:r w:rsidR="00F82AAE">
        <w:rPr>
          <w:rFonts w:ascii="Arial" w:eastAsia="Calibri" w:hAnsi="Arial" w:cs="Arial"/>
          <w:sz w:val="26"/>
          <w:szCs w:val="26"/>
        </w:rPr>
        <w:t>a</w:t>
      </w:r>
      <w:r>
        <w:rPr>
          <w:rFonts w:ascii="Arial" w:eastAsia="Calibri" w:hAnsi="Arial" w:cs="Arial"/>
          <w:sz w:val="26"/>
          <w:szCs w:val="26"/>
        </w:rPr>
        <w:t xml:space="preserve"> accionante como Policía</w:t>
      </w:r>
      <w:r w:rsidR="00F82AAE">
        <w:rPr>
          <w:rFonts w:ascii="Arial" w:eastAsia="Calibri" w:hAnsi="Arial" w:cs="Arial"/>
          <w:sz w:val="26"/>
          <w:szCs w:val="26"/>
        </w:rPr>
        <w:t xml:space="preserve"> Operativo B, en la Dirección de Seguridad Pública y Tránsito Municipal de Axtla de Terrazas, S.L.P.</w:t>
      </w:r>
      <w:r>
        <w:rPr>
          <w:rFonts w:ascii="Arial" w:eastAsia="Calibri" w:hAnsi="Arial" w:cs="Arial"/>
          <w:sz w:val="26"/>
          <w:szCs w:val="26"/>
        </w:rPr>
        <w:t xml:space="preserve">, </w:t>
      </w:r>
      <w:r w:rsidRPr="00A1306E">
        <w:rPr>
          <w:rFonts w:ascii="Arial" w:eastAsia="Calibri" w:hAnsi="Arial" w:cs="Arial"/>
          <w:sz w:val="26"/>
          <w:szCs w:val="26"/>
        </w:rPr>
        <w:t>lo cual resulta violatorio de los derechos humanos de audiencia, legalidad y seguridad jurídica, previstos en los artículos 14 y 16 Constitucionales; a virtud de que por una parte, prevalece el dicho de</w:t>
      </w:r>
      <w:r w:rsidR="00F82AAE">
        <w:rPr>
          <w:rFonts w:ascii="Arial" w:eastAsia="Calibri" w:hAnsi="Arial" w:cs="Arial"/>
          <w:sz w:val="26"/>
          <w:szCs w:val="26"/>
        </w:rPr>
        <w:t xml:space="preserve"> </w:t>
      </w:r>
      <w:r>
        <w:rPr>
          <w:rFonts w:ascii="Arial" w:eastAsia="Calibri" w:hAnsi="Arial" w:cs="Arial"/>
          <w:sz w:val="26"/>
          <w:szCs w:val="26"/>
        </w:rPr>
        <w:t>l</w:t>
      </w:r>
      <w:r w:rsidR="00F82AAE">
        <w:rPr>
          <w:rFonts w:ascii="Arial" w:eastAsia="Calibri" w:hAnsi="Arial" w:cs="Arial"/>
          <w:sz w:val="26"/>
          <w:szCs w:val="26"/>
        </w:rPr>
        <w:t>a</w:t>
      </w:r>
      <w:r w:rsidRPr="00A1306E">
        <w:rPr>
          <w:rFonts w:ascii="Arial" w:eastAsia="Calibri" w:hAnsi="Arial" w:cs="Arial"/>
          <w:sz w:val="26"/>
          <w:szCs w:val="26"/>
        </w:rPr>
        <w:t xml:space="preserve"> actor</w:t>
      </w:r>
      <w:r w:rsidR="00F82AAE">
        <w:rPr>
          <w:rFonts w:ascii="Arial" w:eastAsia="Calibri" w:hAnsi="Arial" w:cs="Arial"/>
          <w:sz w:val="26"/>
          <w:szCs w:val="26"/>
        </w:rPr>
        <w:t>a</w:t>
      </w:r>
      <w:r w:rsidRPr="00A1306E">
        <w:rPr>
          <w:rFonts w:ascii="Arial" w:eastAsia="Calibri" w:hAnsi="Arial" w:cs="Arial"/>
          <w:sz w:val="26"/>
          <w:szCs w:val="26"/>
        </w:rPr>
        <w:t xml:space="preserve"> de que desde el día </w:t>
      </w:r>
      <w:r w:rsidR="00F82AAE" w:rsidRPr="00F82AAE">
        <w:rPr>
          <w:rFonts w:ascii="Arial" w:eastAsia="Calibri" w:hAnsi="Arial" w:cs="Arial"/>
          <w:b/>
          <w:sz w:val="26"/>
          <w:szCs w:val="26"/>
        </w:rPr>
        <w:t>quin</w:t>
      </w:r>
      <w:r w:rsidR="00F82AAE">
        <w:rPr>
          <w:rFonts w:ascii="Arial" w:eastAsia="Calibri" w:hAnsi="Arial" w:cs="Arial"/>
          <w:b/>
          <w:sz w:val="26"/>
          <w:szCs w:val="26"/>
        </w:rPr>
        <w:t>c</w:t>
      </w:r>
      <w:r w:rsidR="00F82AAE" w:rsidRPr="00F82AAE">
        <w:rPr>
          <w:rFonts w:ascii="Arial" w:eastAsia="Calibri" w:hAnsi="Arial" w:cs="Arial"/>
          <w:b/>
          <w:sz w:val="26"/>
          <w:szCs w:val="26"/>
        </w:rPr>
        <w:t>e de enero de dos mil veinticinco</w:t>
      </w:r>
      <w:r w:rsidRPr="00A1306E">
        <w:rPr>
          <w:rFonts w:ascii="Arial" w:eastAsia="Calibri" w:hAnsi="Arial" w:cs="Arial"/>
          <w:sz w:val="26"/>
          <w:szCs w:val="26"/>
        </w:rPr>
        <w:t>, se encuentra separad</w:t>
      </w:r>
      <w:r>
        <w:rPr>
          <w:rFonts w:ascii="Arial" w:eastAsia="Calibri" w:hAnsi="Arial" w:cs="Arial"/>
          <w:sz w:val="26"/>
          <w:szCs w:val="26"/>
        </w:rPr>
        <w:t>o</w:t>
      </w:r>
      <w:r w:rsidRPr="00A1306E">
        <w:rPr>
          <w:rFonts w:ascii="Arial" w:eastAsia="Calibri" w:hAnsi="Arial" w:cs="Arial"/>
          <w:sz w:val="26"/>
          <w:szCs w:val="26"/>
        </w:rPr>
        <w:t xml:space="preserve"> injustificadamente de su función como elemento de seguridad y, por otro, estas </w:t>
      </w:r>
      <w:r>
        <w:rPr>
          <w:rFonts w:ascii="Arial" w:eastAsia="Calibri" w:hAnsi="Arial" w:cs="Arial"/>
          <w:sz w:val="26"/>
          <w:szCs w:val="26"/>
        </w:rPr>
        <w:t>no señalan por qué la relación administrativa que unía a las partes feneció desde el quince de julio de dos mil veinticuatro, lo que resulta insuficiente, pues se advierte que las autoridades no dan contestación a todos y cada uno de los hechos de la demanda.</w:t>
      </w:r>
    </w:p>
    <w:p w:rsidR="00386E97" w:rsidRDefault="00386E97" w:rsidP="00386E97">
      <w:pPr>
        <w:spacing w:after="0" w:line="360" w:lineRule="auto"/>
        <w:ind w:firstLine="709"/>
        <w:jc w:val="both"/>
        <w:rPr>
          <w:rFonts w:ascii="Arial" w:eastAsia="Calibri" w:hAnsi="Arial" w:cs="Arial"/>
          <w:sz w:val="26"/>
          <w:szCs w:val="26"/>
        </w:rPr>
      </w:pPr>
    </w:p>
    <w:p w:rsidR="00386E97" w:rsidRPr="00A1306E" w:rsidRDefault="00386E97" w:rsidP="00386E97">
      <w:pPr>
        <w:spacing w:after="0" w:line="360" w:lineRule="auto"/>
        <w:ind w:firstLine="709"/>
        <w:jc w:val="both"/>
        <w:rPr>
          <w:rFonts w:ascii="Arial" w:eastAsia="Calibri" w:hAnsi="Arial" w:cs="Arial"/>
          <w:sz w:val="26"/>
          <w:szCs w:val="26"/>
        </w:rPr>
      </w:pPr>
      <w:r>
        <w:rPr>
          <w:rFonts w:ascii="Arial" w:eastAsia="Calibri" w:hAnsi="Arial" w:cs="Arial"/>
          <w:sz w:val="26"/>
          <w:szCs w:val="26"/>
        </w:rPr>
        <w:t xml:space="preserve">A mayor abundamiento, las demandadas, no aportan prueba alguna donde conste el cese en sus funciones que venía </w:t>
      </w:r>
      <w:r>
        <w:rPr>
          <w:rFonts w:ascii="Arial" w:eastAsia="Calibri" w:hAnsi="Arial" w:cs="Arial"/>
          <w:sz w:val="26"/>
          <w:szCs w:val="26"/>
        </w:rPr>
        <w:lastRenderedPageBreak/>
        <w:t xml:space="preserve">desempeñando el actor, desde el quince de julio de dos mil veinticuatro, o la suspensión de actividades y salarios del actor, desde esa fecha, lo cual necesariamente tuvo que haber sido determinado, mediante el </w:t>
      </w:r>
      <w:r w:rsidRPr="00A1306E">
        <w:rPr>
          <w:rFonts w:ascii="Arial" w:eastAsia="Calibri" w:hAnsi="Arial" w:cs="Arial"/>
          <w:sz w:val="26"/>
          <w:szCs w:val="26"/>
        </w:rPr>
        <w:t xml:space="preserve">procedimiento de baja ante la Comisión de Honor y Justicia correspondiente; autoridad a la cual le corresponde decretar </w:t>
      </w:r>
      <w:r>
        <w:rPr>
          <w:rFonts w:ascii="Arial" w:eastAsia="Calibri" w:hAnsi="Arial" w:cs="Arial"/>
          <w:sz w:val="26"/>
          <w:szCs w:val="26"/>
        </w:rPr>
        <w:t>la separación del demandante</w:t>
      </w:r>
      <w:r w:rsidRPr="00A1306E">
        <w:rPr>
          <w:rFonts w:ascii="Arial" w:eastAsia="Calibri" w:hAnsi="Arial" w:cs="Arial"/>
          <w:sz w:val="26"/>
          <w:szCs w:val="26"/>
        </w:rPr>
        <w:t xml:space="preserve">, no así a cualquier otra autoridad municipal porque carece de competencia; luego entonces, al no </w:t>
      </w:r>
      <w:r>
        <w:rPr>
          <w:rFonts w:ascii="Arial" w:eastAsia="Calibri" w:hAnsi="Arial" w:cs="Arial"/>
          <w:sz w:val="26"/>
          <w:szCs w:val="26"/>
        </w:rPr>
        <w:t>justificar las autoridades demandadas, por qué la relación administrativa que las unía con el aquí actor, feneció el quince de julio de dos mil veinticuatro; sin embargo, con lo anterior, las demandadas no lograron justificar que la baja determinada a partir del quin</w:t>
      </w:r>
      <w:r w:rsidR="00F82AAE">
        <w:rPr>
          <w:rFonts w:ascii="Arial" w:eastAsia="Calibri" w:hAnsi="Arial" w:cs="Arial"/>
          <w:sz w:val="26"/>
          <w:szCs w:val="26"/>
        </w:rPr>
        <w:t>c</w:t>
      </w:r>
      <w:r>
        <w:rPr>
          <w:rFonts w:ascii="Arial" w:eastAsia="Calibri" w:hAnsi="Arial" w:cs="Arial"/>
          <w:sz w:val="26"/>
          <w:szCs w:val="26"/>
        </w:rPr>
        <w:t xml:space="preserve">e de </w:t>
      </w:r>
      <w:r w:rsidR="00F82AAE">
        <w:rPr>
          <w:rFonts w:ascii="Arial" w:eastAsia="Calibri" w:hAnsi="Arial" w:cs="Arial"/>
          <w:sz w:val="26"/>
          <w:szCs w:val="26"/>
        </w:rPr>
        <w:t>enero de dos mil veinticinco</w:t>
      </w:r>
      <w:r>
        <w:rPr>
          <w:rFonts w:ascii="Arial" w:eastAsia="Calibri" w:hAnsi="Arial" w:cs="Arial"/>
          <w:sz w:val="26"/>
          <w:szCs w:val="26"/>
        </w:rPr>
        <w:t>, es imputable a</w:t>
      </w:r>
      <w:r w:rsidR="00F82AAE">
        <w:rPr>
          <w:rFonts w:ascii="Arial" w:eastAsia="Calibri" w:hAnsi="Arial" w:cs="Arial"/>
          <w:sz w:val="26"/>
          <w:szCs w:val="26"/>
        </w:rPr>
        <w:t xml:space="preserve"> </w:t>
      </w:r>
      <w:r>
        <w:rPr>
          <w:rFonts w:ascii="Arial" w:eastAsia="Calibri" w:hAnsi="Arial" w:cs="Arial"/>
          <w:sz w:val="26"/>
          <w:szCs w:val="26"/>
        </w:rPr>
        <w:t>l</w:t>
      </w:r>
      <w:r w:rsidR="00F82AAE">
        <w:rPr>
          <w:rFonts w:ascii="Arial" w:eastAsia="Calibri" w:hAnsi="Arial" w:cs="Arial"/>
          <w:sz w:val="26"/>
          <w:szCs w:val="26"/>
        </w:rPr>
        <w:t>a</w:t>
      </w:r>
      <w:r>
        <w:rPr>
          <w:rFonts w:ascii="Arial" w:eastAsia="Calibri" w:hAnsi="Arial" w:cs="Arial"/>
          <w:sz w:val="26"/>
          <w:szCs w:val="26"/>
        </w:rPr>
        <w:t xml:space="preserve"> aquí actor</w:t>
      </w:r>
      <w:r w:rsidR="00F82AAE">
        <w:rPr>
          <w:rFonts w:ascii="Arial" w:eastAsia="Calibri" w:hAnsi="Arial" w:cs="Arial"/>
          <w:sz w:val="26"/>
          <w:szCs w:val="26"/>
        </w:rPr>
        <w:t>a</w:t>
      </w:r>
      <w:r>
        <w:rPr>
          <w:rFonts w:ascii="Arial" w:eastAsia="Calibri" w:hAnsi="Arial" w:cs="Arial"/>
          <w:sz w:val="26"/>
          <w:szCs w:val="26"/>
        </w:rPr>
        <w:t xml:space="preserve">, por lo que </w:t>
      </w:r>
      <w:r w:rsidRPr="00A1306E">
        <w:rPr>
          <w:rFonts w:ascii="Arial" w:eastAsia="Calibri" w:hAnsi="Arial" w:cs="Arial"/>
          <w:sz w:val="26"/>
          <w:szCs w:val="26"/>
        </w:rPr>
        <w:t xml:space="preserve">se </w:t>
      </w:r>
      <w:r>
        <w:rPr>
          <w:rFonts w:ascii="Arial" w:eastAsia="Calibri" w:hAnsi="Arial" w:cs="Arial"/>
          <w:sz w:val="26"/>
          <w:szCs w:val="26"/>
        </w:rPr>
        <w:t xml:space="preserve">le </w:t>
      </w:r>
      <w:r w:rsidRPr="00A1306E">
        <w:rPr>
          <w:rFonts w:ascii="Arial" w:eastAsia="Calibri" w:hAnsi="Arial" w:cs="Arial"/>
          <w:sz w:val="26"/>
          <w:szCs w:val="26"/>
        </w:rPr>
        <w:t xml:space="preserve">tiene por injustificada, </w:t>
      </w:r>
      <w:r>
        <w:rPr>
          <w:rFonts w:ascii="Arial" w:eastAsia="Calibri" w:hAnsi="Arial" w:cs="Arial"/>
          <w:sz w:val="26"/>
          <w:szCs w:val="26"/>
        </w:rPr>
        <w:t>en virtud de que</w:t>
      </w:r>
      <w:r w:rsidRPr="00A1306E">
        <w:rPr>
          <w:rFonts w:ascii="Arial" w:eastAsia="Calibri" w:hAnsi="Arial" w:cs="Arial"/>
          <w:sz w:val="26"/>
          <w:szCs w:val="26"/>
        </w:rPr>
        <w:t xml:space="preserve"> no existió el procedimiento respectivo, a fin de darle la oportunidad de exponer lo que considerara conveniente en defensa de sus intereses, ante los tribunales establecidos para ello, y con las formalidades esenciales del procedimiento, siendo en el caso que nos ocupa, ante la Comisión de Honor y Justicia, de acuerdo a la Ley del Sistema de Seguridad Pública del Estado de San Luis Potosí.</w:t>
      </w:r>
    </w:p>
    <w:p w:rsidR="00386E97" w:rsidRPr="00A1306E" w:rsidRDefault="00386E97" w:rsidP="00386E97">
      <w:pPr>
        <w:spacing w:after="0" w:line="360" w:lineRule="auto"/>
        <w:ind w:firstLine="708"/>
        <w:jc w:val="both"/>
        <w:rPr>
          <w:rFonts w:ascii="Arial" w:eastAsia="Calibri" w:hAnsi="Arial" w:cs="Arial"/>
          <w:sz w:val="26"/>
          <w:szCs w:val="26"/>
        </w:rPr>
      </w:pPr>
    </w:p>
    <w:p w:rsidR="00386E97" w:rsidRPr="00A1306E" w:rsidRDefault="00386E97" w:rsidP="00386E97">
      <w:pPr>
        <w:autoSpaceDE w:val="0"/>
        <w:autoSpaceDN w:val="0"/>
        <w:adjustRightInd w:val="0"/>
        <w:spacing w:after="0" w:line="360" w:lineRule="auto"/>
        <w:ind w:firstLine="708"/>
        <w:jc w:val="both"/>
        <w:rPr>
          <w:rFonts w:ascii="Arial" w:eastAsia="Calibri" w:hAnsi="Arial" w:cs="Arial"/>
          <w:sz w:val="26"/>
          <w:szCs w:val="26"/>
        </w:rPr>
      </w:pPr>
      <w:r w:rsidRPr="00A1306E">
        <w:rPr>
          <w:rFonts w:ascii="Arial" w:eastAsia="Calibri" w:hAnsi="Arial" w:cs="Arial"/>
          <w:sz w:val="26"/>
          <w:szCs w:val="26"/>
        </w:rPr>
        <w:t>En efecto, tratándose del cese, baja o remoción de los elementos que pertenecen a los cuerpos de seguridad pública del Estado y municipios de San Luis Potosí, compete a la Comisión de Honor y Justicia de los respectivos cuerpos de seguridad decretar dicha sanción, previo desahogo del procedimiento establecido, así se desprende de los numerales 112, 113, 114, 119 y 126 de la Ley del Sistema de Seguridad Pública del Estado de San Luis Potosí, los que establecen lo siguiente:</w:t>
      </w:r>
    </w:p>
    <w:p w:rsidR="00386E97" w:rsidRPr="00A1306E" w:rsidRDefault="00386E97" w:rsidP="00386E97">
      <w:pPr>
        <w:autoSpaceDE w:val="0"/>
        <w:autoSpaceDN w:val="0"/>
        <w:adjustRightInd w:val="0"/>
        <w:spacing w:after="0" w:line="360" w:lineRule="auto"/>
        <w:ind w:firstLine="708"/>
        <w:jc w:val="both"/>
        <w:rPr>
          <w:rFonts w:ascii="Arial" w:eastAsia="Calibri" w:hAnsi="Arial" w:cs="Arial"/>
          <w:sz w:val="26"/>
          <w:szCs w:val="26"/>
        </w:rPr>
      </w:pP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112</w:t>
      </w:r>
      <w:r w:rsidRPr="00DF50BE">
        <w:rPr>
          <w:rFonts w:ascii="Arial Narrow" w:eastAsia="Calibri" w:hAnsi="Arial Narrow" w:cs="Arial"/>
          <w:i/>
          <w:sz w:val="24"/>
          <w:szCs w:val="24"/>
        </w:rPr>
        <w:t>. Las indisciplinas o faltas cometidas por los elementos de los cuerpos de seguridad pública, serán enmendadas a través de correcciones y sanciones disciplinarias.”</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113.</w:t>
      </w:r>
      <w:r w:rsidRPr="00DF50BE">
        <w:rPr>
          <w:rFonts w:ascii="Arial Narrow" w:eastAsia="Calibri" w:hAnsi="Arial Narrow" w:cs="Arial"/>
          <w:i/>
          <w:sz w:val="24"/>
          <w:szCs w:val="24"/>
        </w:rPr>
        <w:t xml:space="preserve"> Las correcciones disciplinarias serán aplicadas a los integrantes de los cuerpos de seguridad, por los superiores jerárquicos, o por el titular de la institución.</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Las correcciones disciplinarias consistirán en apercibimiento, y arresto hasta por treinta y seis horas, con o sin perjuicio en el servicio.</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La corrección disciplinaria se registrará en el expediente personal del infractor integrante de los cuerpos de seguridad.”</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lastRenderedPageBreak/>
        <w:t>“</w:t>
      </w:r>
      <w:r w:rsidRPr="00DF50BE">
        <w:rPr>
          <w:rFonts w:ascii="Arial Narrow" w:eastAsia="Calibri" w:hAnsi="Arial Narrow" w:cs="Arial"/>
          <w:b/>
          <w:i/>
          <w:sz w:val="24"/>
          <w:szCs w:val="24"/>
        </w:rPr>
        <w:t>ARTICULO 114.</w:t>
      </w:r>
      <w:r w:rsidRPr="00DF50BE">
        <w:rPr>
          <w:rFonts w:ascii="Arial Narrow" w:eastAsia="Calibri" w:hAnsi="Arial Narrow" w:cs="Arial"/>
          <w:i/>
          <w:sz w:val="24"/>
          <w:szCs w:val="24"/>
        </w:rPr>
        <w:t xml:space="preserve"> Las sanciones disciplinarias aplicables por la Comisión de Honor y Justicia son:</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I. Amonestación;</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II. Suspensión temporal de funciones hasta por noventa días, y</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III. Remoción, o destitución del cargo.”</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119</w:t>
      </w:r>
      <w:r w:rsidRPr="00DF50BE">
        <w:rPr>
          <w:rFonts w:ascii="Arial Narrow" w:eastAsia="Calibri" w:hAnsi="Arial Narrow" w:cs="Arial"/>
          <w:i/>
          <w:sz w:val="24"/>
          <w:szCs w:val="24"/>
        </w:rPr>
        <w:t xml:space="preserve">. </w:t>
      </w:r>
      <w:r w:rsidRPr="00DF50BE">
        <w:rPr>
          <w:rFonts w:ascii="Arial Narrow" w:eastAsia="Calibri" w:hAnsi="Arial Narrow" w:cs="Arial"/>
          <w:b/>
          <w:i/>
          <w:sz w:val="24"/>
          <w:szCs w:val="24"/>
        </w:rPr>
        <w:t>La Comisión de Honor y Justicia</w:t>
      </w:r>
      <w:r w:rsidRPr="00DF50BE">
        <w:rPr>
          <w:rFonts w:ascii="Arial Narrow" w:eastAsia="Calibri" w:hAnsi="Arial Narrow" w:cs="Arial"/>
          <w:i/>
          <w:sz w:val="24"/>
          <w:szCs w:val="24"/>
        </w:rPr>
        <w:t xml:space="preserve"> es un órgano colegiado de carácter permanente, </w:t>
      </w:r>
      <w:r w:rsidRPr="00DF50BE">
        <w:rPr>
          <w:rFonts w:ascii="Arial Narrow" w:eastAsia="Calibri" w:hAnsi="Arial Narrow" w:cs="Arial"/>
          <w:b/>
          <w:i/>
          <w:sz w:val="24"/>
          <w:szCs w:val="24"/>
        </w:rPr>
        <w:t>encargado de conocer e imponer, en su caso, las sanciones correspondientes por infracciones o faltas</w:t>
      </w:r>
      <w:r w:rsidRPr="00DF50BE">
        <w:rPr>
          <w:rFonts w:ascii="Arial Narrow" w:eastAsia="Calibri" w:hAnsi="Arial Narrow" w:cs="Arial"/>
          <w:i/>
          <w:sz w:val="24"/>
          <w:szCs w:val="24"/>
        </w:rPr>
        <w:t xml:space="preserve"> previstas en la Ley, sus reglamentos, o a los ordenamientos jurídicos de la materia, cometidas por los integrantes de los cuerpos de seguridad.</w:t>
      </w:r>
    </w:p>
    <w:p w:rsidR="00386E97" w:rsidRPr="00DF50BE" w:rsidRDefault="00386E97" w:rsidP="00386E97">
      <w:pPr>
        <w:autoSpaceDE w:val="0"/>
        <w:autoSpaceDN w:val="0"/>
        <w:adjustRightInd w:val="0"/>
        <w:spacing w:after="0" w:line="240" w:lineRule="auto"/>
        <w:ind w:right="759" w:firstLine="708"/>
        <w:jc w:val="both"/>
        <w:rPr>
          <w:rFonts w:ascii="Arial Narrow" w:eastAsia="Calibri" w:hAnsi="Arial Narrow" w:cs="Arial"/>
          <w:i/>
          <w:sz w:val="24"/>
          <w:szCs w:val="24"/>
        </w:rPr>
      </w:pPr>
    </w:p>
    <w:p w:rsidR="00386E97" w:rsidRPr="00DF50BE" w:rsidRDefault="00386E97" w:rsidP="00386E97">
      <w:pPr>
        <w:autoSpaceDE w:val="0"/>
        <w:autoSpaceDN w:val="0"/>
        <w:adjustRightInd w:val="0"/>
        <w:spacing w:after="0" w:line="240" w:lineRule="auto"/>
        <w:ind w:right="759" w:firstLine="708"/>
        <w:jc w:val="both"/>
        <w:rPr>
          <w:rFonts w:ascii="Arial Narrow" w:eastAsia="Calibri" w:hAnsi="Arial Narrow" w:cs="Arial"/>
          <w:i/>
          <w:sz w:val="24"/>
          <w:szCs w:val="24"/>
        </w:rPr>
      </w:pPr>
      <w:r w:rsidRPr="00DF50BE">
        <w:rPr>
          <w:rFonts w:ascii="Arial Narrow" w:eastAsia="Calibri" w:hAnsi="Arial Narrow" w:cs="Arial"/>
          <w:i/>
          <w:sz w:val="24"/>
          <w:szCs w:val="24"/>
        </w:rPr>
        <w:t>Además, evaluar el otorgamiento de reconocimientos y condecoraciones, en su caso.”</w:t>
      </w:r>
    </w:p>
    <w:p w:rsidR="00386E97" w:rsidRPr="00DF50BE" w:rsidRDefault="00386E97" w:rsidP="00386E97">
      <w:pPr>
        <w:autoSpaceDE w:val="0"/>
        <w:autoSpaceDN w:val="0"/>
        <w:adjustRightInd w:val="0"/>
        <w:spacing w:after="0" w:line="360" w:lineRule="auto"/>
        <w:ind w:firstLine="708"/>
        <w:jc w:val="both"/>
        <w:rPr>
          <w:rFonts w:ascii="Arial Narrow" w:eastAsia="Calibri" w:hAnsi="Arial Narrow" w:cs="Arial"/>
          <w:sz w:val="28"/>
          <w:szCs w:val="28"/>
        </w:rPr>
      </w:pPr>
    </w:p>
    <w:p w:rsidR="00386E97" w:rsidRPr="00DF50BE" w:rsidRDefault="00386E97" w:rsidP="00386E97">
      <w:pPr>
        <w:autoSpaceDE w:val="0"/>
        <w:autoSpaceDN w:val="0"/>
        <w:adjustRightInd w:val="0"/>
        <w:spacing w:after="0" w:line="240" w:lineRule="auto"/>
        <w:ind w:firstLine="709"/>
        <w:jc w:val="both"/>
        <w:rPr>
          <w:rFonts w:ascii="Arial Narrow" w:eastAsia="Calibri" w:hAnsi="Arial Narrow" w:cs="Arial"/>
          <w:b/>
          <w:i/>
          <w:sz w:val="24"/>
          <w:szCs w:val="24"/>
        </w:rPr>
      </w:pPr>
      <w:r w:rsidRPr="00DF50BE">
        <w:rPr>
          <w:rFonts w:ascii="Arial Narrow" w:eastAsia="Calibri" w:hAnsi="Arial Narrow" w:cs="Arial"/>
          <w:b/>
          <w:i/>
          <w:sz w:val="24"/>
          <w:szCs w:val="24"/>
        </w:rPr>
        <w:t>“ARTICULO 126</w:t>
      </w:r>
      <w:r w:rsidRPr="00DF50BE">
        <w:rPr>
          <w:rFonts w:ascii="Arial Narrow" w:eastAsia="Calibri" w:hAnsi="Arial Narrow" w:cs="Arial"/>
          <w:sz w:val="28"/>
          <w:szCs w:val="28"/>
        </w:rPr>
        <w:t xml:space="preserve">. </w:t>
      </w:r>
      <w:r w:rsidRPr="00DF50BE">
        <w:rPr>
          <w:rFonts w:ascii="Arial Narrow" w:eastAsia="Calibri" w:hAnsi="Arial Narrow" w:cs="Arial"/>
          <w:i/>
          <w:sz w:val="24"/>
          <w:szCs w:val="24"/>
        </w:rPr>
        <w:t xml:space="preserve">En cualquier supuesto que amerite sanción, se deberá respetar en todo momento las garantías de, </w:t>
      </w:r>
      <w:r w:rsidRPr="00DF50BE">
        <w:rPr>
          <w:rFonts w:ascii="Arial Narrow" w:eastAsia="Calibri" w:hAnsi="Arial Narrow" w:cs="Arial"/>
          <w:b/>
          <w:i/>
          <w:sz w:val="24"/>
          <w:szCs w:val="24"/>
        </w:rPr>
        <w:t xml:space="preserve">audiencia, debido proceso, y principio de presunción de inocencia.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consecuencia, </w:t>
      </w:r>
      <w:r w:rsidRPr="00DF50BE">
        <w:rPr>
          <w:rFonts w:ascii="Arial Narrow" w:eastAsia="Calibri" w:hAnsi="Arial Narrow" w:cs="Arial"/>
          <w:b/>
          <w:i/>
          <w:sz w:val="24"/>
          <w:szCs w:val="24"/>
        </w:rPr>
        <w:t>cualquier infracción, ya sea que se cometa por acción u omisión, que constituya responsabilidad en el desempeño de sus funciones o incumplimiento de sus deberes,</w:t>
      </w:r>
      <w:r w:rsidRPr="00DF50BE">
        <w:rPr>
          <w:rFonts w:ascii="Arial Narrow" w:eastAsia="Calibri" w:hAnsi="Arial Narrow" w:cs="Arial"/>
          <w:i/>
          <w:sz w:val="24"/>
          <w:szCs w:val="24"/>
        </w:rPr>
        <w:t xml:space="preserve"> de acuerdo a la presente Ley, sus reglamentos, o a los ordenamientos jurídicos de la materia, </w:t>
      </w:r>
      <w:r w:rsidRPr="00DF50BE">
        <w:rPr>
          <w:rFonts w:ascii="Arial Narrow" w:eastAsia="Calibri" w:hAnsi="Arial Narrow" w:cs="Arial"/>
          <w:b/>
          <w:bCs/>
          <w:i/>
          <w:sz w:val="24"/>
          <w:szCs w:val="24"/>
        </w:rPr>
        <w:t>se someterá ante la Comisión de Honor y Justicia, conforme al siguiente procedimiento:</w:t>
      </w:r>
      <w:r w:rsidRPr="00DF50BE">
        <w:rPr>
          <w:rFonts w:ascii="Arial Narrow" w:eastAsia="Calibri" w:hAnsi="Arial Narrow" w:cs="Arial"/>
          <w:b/>
          <w:i/>
          <w:sz w:val="24"/>
          <w:szCs w:val="24"/>
        </w:rPr>
        <w:t xml:space="preserve">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 Se iniciará por solicitud escrita presentada por el titular de la Unidad de Asuntos Internos de las instituciones de seguridad pública, en los términos de sus ordenamientos.   La solicitud deberá contener lugar, fecha, y la imputación que se atribuye al probable infractor; pruebas que sustenten la imputación, motivación para su formulación, y  fundamentación de la infracción que se imputa;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el mismo acuerdo, la Comisión de Honor y Justicia, por conducto de su presidente acordará: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 Se notifique personalmente al probable infractor, y a los integrantes de la Comisión de Honor y Justicia, cuando menos con diez días de anticipación a la audiencia.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b) Que en el acto de notificación, al probable infractor se le entregue copia cotejada del escrito de solicitud, así como de las constancias y actuaciones que obren en el expediente.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c) Se apercibirá al probable infractor que la imputación se tendrá por consentida y aceptada, y por perdido el derecho de ofrecer pruebas, si no concurre a la audiencia por causa injustificada.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d) Se haga saber al presunto infractor el derecho que tiene para exponer su defensa por sí mismo; o bien, para asistirse de un abogado durante la sustanciación del procedimiento, de un abogado, así como para ofrecer las pruebas que a su derecho convenga.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 En el procedimiento ante la Comisión de Honor y Justicia no se admite la representación, por lo que el presunto responsable debe comparecer en forma personal e insustituible, a declarar sobre las imputaciones que se le hagan respecto a hechos propios, relacionados con actos u omisiones que podrían constituir infracciones a sus deberes.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f) La comparecencia podrá ser por escrito, la cual en todo caso, tendrá que ser ratificada durante la audiencia por el presunto infractor.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el escrito de comparecencia el probable infractor ofrecerá y acompañará sus pruebas, relacionándolas con los puntos controvertidos, siendo admisibles toda clase de </w:t>
      </w:r>
      <w:r w:rsidRPr="00DF50BE">
        <w:rPr>
          <w:rFonts w:ascii="Arial Narrow" w:eastAsia="Calibri" w:hAnsi="Arial Narrow" w:cs="Arial"/>
          <w:i/>
          <w:sz w:val="24"/>
          <w:szCs w:val="24"/>
        </w:rPr>
        <w:lastRenderedPageBreak/>
        <w:t xml:space="preserve">pruebas, con excepción de la confesional mediante absolución de posiciones, o aquéllas que sean contrarias a la moral o al derecho.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Los testigos, que no podrán exceder de dos por cada hecho, deberán ser presentados por el oferente, debidamente identificados mediante documento oficial con fotografía reciente. La prueba testimonial se declarará desierta si los testigos no comparecen a la audiencia.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resolución que clasifique la información como confidencial deberá estar debidamente fundada; y tal carácter no podrá ser impedimento para que dicha información sea puesta a disposición de las autoridades jurisdiccionales competentes;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IV. La notificación al probable infractor se realizará en forma personal en el domicilio oficial de la adscripción del presunto infractor, en el último que hubiera aportado, o en el lugar en el que se encuentre físicamente.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 El día y hora señalados para la celebración de la audiencia a la que se refieren las fracciones II y IV del presente artículo, se procederá conforme a lo siguiente: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 El presidente solicitará al Secretario tome lista de asistentes, para verificar el quórum para sesionar.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segundo. Acto seguido procederá a dar lectura a las constancias relativas a la imputación y datos de cargo, con la finalidad de hacer saber al presunto infractor los hechos que se le atribuyen.   b) En caso de no haber comparecido el presunto infractor, verificándose su legal emplazamiento, de oficio se hará efectivo el apercibimiento a que se refieren las fracciones II y IV del presente artículo, y seguirá el procedimiento en rebeldía.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lastRenderedPageBreak/>
        <w:t xml:space="preserve">c) A continuación se concederá el uso de la palabra al presunto infractor, para que por sí o por medio de su abogado, expongan lo que a su derecho convenga, y ofrezcan las pruebas que estimen pertinentes, o bien ratifique el contenido de su escrito de comparecencia.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g) Contra la determinación de la Comisión de Honor y Justicia, por la que se resuelva lo relativo a las pruebas, no procede medio de defensa alguno, y en todo caso, se podrá combatir dentro de los medios de defensa que procedan contra la resolución definitiva del procedimiento;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VI. Si las pruebas ofrecidas admitidas requieren preparación, el presidente establecerá un término probatorio de quince días para su desahogo. En caso contrario, se declarará agotada la instrucción y dará curso al procedimiento;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VII. En la misma audiencia y una vez desahogadas las pruebas, se concederá al probable infractor el derecho de defenderse por sí o por conducto de su abogado defensor; concluida ésta se dará por terminada la audiencia, declarándose cerrada la instrucción.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Comisión de Honor y Justicia dentro de los diez días hábiles siguientes deberá emitir la resolución, la cual se notificará personalmente al interesado, por conducto del personal que la Comisión designe expresamente en la propia resolución.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Al presunto responsable declarado en rebeldía, se le notificará por estrados, surtiendo desde ese momento sus efectos.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resolución definitiva que dicte la Comisión de Honor y Justicia deberá estar debidamente fundada y motivada; contener una relación sucinta de los hechos; así como una valoración de todas y cada una de las pruebas aportadas, y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VIII. La valoración de las pruebas se hará de acuerdo con las siguientes reglas: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b) El valor de la pericial y testimonial, así como el de las demás pruebas, quedará a la prudente y razonada apreciación de la Comisión de Honor y Justicia.” </w:t>
      </w: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p>
    <w:p w:rsidR="00386E97" w:rsidRPr="00DF50BE" w:rsidRDefault="00386E97" w:rsidP="00386E97">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[Énfasis añadido]</w:t>
      </w:r>
    </w:p>
    <w:p w:rsidR="00386E97" w:rsidRPr="00DF50BE" w:rsidRDefault="00386E97" w:rsidP="00386E97">
      <w:pPr>
        <w:autoSpaceDE w:val="0"/>
        <w:autoSpaceDN w:val="0"/>
        <w:adjustRightInd w:val="0"/>
        <w:spacing w:after="0" w:line="360" w:lineRule="auto"/>
        <w:ind w:firstLine="708"/>
        <w:jc w:val="both"/>
        <w:rPr>
          <w:rFonts w:ascii="Arial Narrow" w:eastAsia="Calibri" w:hAnsi="Arial Narrow" w:cs="Arial"/>
          <w:sz w:val="28"/>
          <w:szCs w:val="28"/>
        </w:rPr>
      </w:pPr>
    </w:p>
    <w:p w:rsidR="00386E97" w:rsidRPr="00A1306E" w:rsidRDefault="00386E97" w:rsidP="00386E97">
      <w:pPr>
        <w:autoSpaceDE w:val="0"/>
        <w:autoSpaceDN w:val="0"/>
        <w:adjustRightInd w:val="0"/>
        <w:spacing w:after="0" w:line="360" w:lineRule="auto"/>
        <w:ind w:firstLine="709"/>
        <w:jc w:val="both"/>
        <w:rPr>
          <w:rFonts w:ascii="Arial" w:eastAsia="Calibri" w:hAnsi="Arial" w:cs="Arial"/>
          <w:sz w:val="26"/>
          <w:szCs w:val="26"/>
        </w:rPr>
      </w:pPr>
      <w:r w:rsidRPr="00A1306E">
        <w:rPr>
          <w:rFonts w:ascii="Arial" w:eastAsia="Calibri" w:hAnsi="Arial" w:cs="Arial"/>
          <w:sz w:val="26"/>
          <w:szCs w:val="26"/>
        </w:rPr>
        <w:t xml:space="preserve">De lo antes transcrito, se desprende que el cese o separación es una sanción que compete únicamente a la Comisión de Honor y Justicia y que dicha Comisión, es un órgano colegiado de carácter permanente, encargado de conocer e imponer, en su caso las sanciones correspondientes por infracciones o faltas previstas en la Ley, sus reglamentos, o a los ordenamientos jurídicos de la materia, cometidas por los integrantes de los cuerpos de seguridad, así como </w:t>
      </w:r>
      <w:r w:rsidRPr="00A1306E">
        <w:rPr>
          <w:rFonts w:ascii="Arial" w:eastAsia="Calibri" w:hAnsi="Arial" w:cs="Arial"/>
          <w:sz w:val="26"/>
          <w:szCs w:val="26"/>
        </w:rPr>
        <w:lastRenderedPageBreak/>
        <w:t xml:space="preserve">de imponer las sanciones correspondientes, previo desahogo del procedimiento respectivo, en el que se deberá respetar en todo momento las garantías de, audiencia, debido proceso, y principio de presunción de inocencia. </w:t>
      </w:r>
    </w:p>
    <w:p w:rsidR="00386E97" w:rsidRPr="00A1306E" w:rsidRDefault="00386E97" w:rsidP="00386E97">
      <w:pPr>
        <w:spacing w:after="0" w:line="360" w:lineRule="auto"/>
        <w:ind w:firstLine="708"/>
        <w:jc w:val="both"/>
        <w:rPr>
          <w:rFonts w:ascii="Arial" w:eastAsia="Calibri" w:hAnsi="Arial" w:cs="Arial"/>
          <w:sz w:val="26"/>
          <w:szCs w:val="26"/>
        </w:rPr>
      </w:pPr>
    </w:p>
    <w:p w:rsidR="00386E97" w:rsidRPr="00A1306E" w:rsidRDefault="00386E97" w:rsidP="00386E97">
      <w:pPr>
        <w:spacing w:after="0" w:line="360" w:lineRule="auto"/>
        <w:ind w:firstLine="708"/>
        <w:jc w:val="both"/>
        <w:rPr>
          <w:rFonts w:ascii="Arial" w:eastAsia="Calibri" w:hAnsi="Arial" w:cs="Arial"/>
          <w:sz w:val="26"/>
          <w:szCs w:val="26"/>
        </w:rPr>
      </w:pPr>
      <w:r w:rsidRPr="00A1306E">
        <w:rPr>
          <w:rFonts w:ascii="Arial" w:eastAsia="Calibri" w:hAnsi="Arial" w:cs="Arial"/>
          <w:sz w:val="26"/>
          <w:szCs w:val="26"/>
        </w:rPr>
        <w:t>En este orden de ideas, debe tenerse por acreditado en este juicio a favor de</w:t>
      </w:r>
      <w:r>
        <w:rPr>
          <w:rFonts w:ascii="Arial" w:eastAsia="Calibri" w:hAnsi="Arial" w:cs="Arial"/>
          <w:sz w:val="26"/>
          <w:szCs w:val="26"/>
        </w:rPr>
        <w:t xml:space="preserve">l </w:t>
      </w:r>
      <w:r w:rsidRPr="00A1306E">
        <w:rPr>
          <w:rFonts w:ascii="Arial" w:eastAsia="Calibri" w:hAnsi="Arial" w:cs="Arial"/>
          <w:sz w:val="26"/>
          <w:szCs w:val="26"/>
        </w:rPr>
        <w:t xml:space="preserve">accionante la existencia de la baja o separación injustificada en el cargo que desempeñaba como </w:t>
      </w:r>
      <w:r>
        <w:rPr>
          <w:rFonts w:ascii="Arial" w:eastAsia="Calibri" w:hAnsi="Arial" w:cs="Arial"/>
          <w:sz w:val="26"/>
          <w:szCs w:val="26"/>
        </w:rPr>
        <w:t xml:space="preserve">Policía, adscrito a la Dirección de Seguridad Pública y Tránsito Municipal de </w:t>
      </w:r>
      <w:r w:rsidR="00F82AAE">
        <w:rPr>
          <w:rFonts w:ascii="Arial" w:eastAsia="Calibri" w:hAnsi="Arial" w:cs="Arial"/>
          <w:sz w:val="26"/>
          <w:szCs w:val="26"/>
        </w:rPr>
        <w:t>Axtla de Terrazas, S.L.P.</w:t>
      </w:r>
      <w:r w:rsidRPr="00A1306E">
        <w:rPr>
          <w:rFonts w:ascii="Arial" w:eastAsia="Calibri" w:hAnsi="Arial" w:cs="Arial"/>
          <w:sz w:val="26"/>
          <w:szCs w:val="26"/>
        </w:rPr>
        <w:t xml:space="preserve">, a partir de la fecha en que refiere como baja o cese, que fue el día </w:t>
      </w:r>
      <w:r w:rsidRPr="00CC3F00">
        <w:rPr>
          <w:rFonts w:ascii="Arial" w:eastAsia="Calibri" w:hAnsi="Arial" w:cs="Arial"/>
          <w:b/>
          <w:sz w:val="26"/>
          <w:szCs w:val="26"/>
        </w:rPr>
        <w:t xml:space="preserve">quince de </w:t>
      </w:r>
      <w:r w:rsidR="00F82AAE">
        <w:rPr>
          <w:rFonts w:ascii="Arial" w:eastAsia="Calibri" w:hAnsi="Arial" w:cs="Arial"/>
          <w:b/>
          <w:sz w:val="26"/>
          <w:szCs w:val="26"/>
        </w:rPr>
        <w:t>enero de dos mil veinticinco</w:t>
      </w:r>
      <w:r w:rsidRPr="00A1306E">
        <w:rPr>
          <w:rFonts w:ascii="Arial" w:eastAsia="Calibri" w:hAnsi="Arial" w:cs="Arial"/>
          <w:sz w:val="26"/>
          <w:szCs w:val="26"/>
        </w:rPr>
        <w:t>, por las razones antes expuestas; lo cual es violatorio a los derechos humanos de audiencia, legalidad, seguridad jurídica y debido proceso, previstos en los artículos 14 y 16 Constitucionales, con base en los cuales, es obligatorio que las autoridades demandadas previamente a la emisión del acto recurrido que implica la privación de derechos de la demandante, le den oportunidad para que exponga lo que considere pertinente en defensa de sus intereses, lo que resulta que ejercite el derecho de ser oída y vencida en juicio, a efecto de que conozca del acto administrativo que le afecta y en su defecto aporte las pruebas que estime pertinentes para defender sus derechos, por lo que al no respetarse esta circunstancia, es obvio que no estuvo en aptitud de defenderse, lo que se traduce en una clara violación en su perjuicio de sus derechos humanos citados, conforme lo dispuesto por los artículos 112, 113, 114, 119 y 126 de la Ley del Sistema de Seguridad Pública del Estado de San Luis Potosí.</w:t>
      </w:r>
    </w:p>
    <w:p w:rsidR="00386E97" w:rsidRPr="00A1306E" w:rsidRDefault="00386E97" w:rsidP="00386E97">
      <w:pPr>
        <w:autoSpaceDE w:val="0"/>
        <w:autoSpaceDN w:val="0"/>
        <w:adjustRightInd w:val="0"/>
        <w:spacing w:after="0" w:line="360" w:lineRule="auto"/>
        <w:ind w:firstLine="708"/>
        <w:jc w:val="both"/>
        <w:rPr>
          <w:rFonts w:ascii="Arial" w:eastAsia="Calibri" w:hAnsi="Arial" w:cs="Arial"/>
          <w:sz w:val="26"/>
          <w:szCs w:val="26"/>
        </w:rPr>
      </w:pPr>
    </w:p>
    <w:p w:rsidR="00386E97" w:rsidRPr="00A1306E" w:rsidRDefault="00386E97" w:rsidP="00386E97">
      <w:pPr>
        <w:spacing w:after="0" w:line="360" w:lineRule="auto"/>
        <w:ind w:firstLine="708"/>
        <w:jc w:val="both"/>
        <w:rPr>
          <w:rFonts w:ascii="Arial" w:eastAsia="Calibri" w:hAnsi="Arial" w:cs="Arial"/>
          <w:sz w:val="26"/>
          <w:szCs w:val="26"/>
        </w:rPr>
      </w:pPr>
      <w:r w:rsidRPr="00A1306E">
        <w:rPr>
          <w:rFonts w:ascii="Arial" w:eastAsia="Calibri" w:hAnsi="Arial" w:cs="Arial"/>
          <w:sz w:val="26"/>
          <w:szCs w:val="26"/>
        </w:rPr>
        <w:t xml:space="preserve">En ese contexto resulta ilegal la baja o separación injustificada en el cargo que desempeñaba como Policía </w:t>
      </w:r>
      <w:r>
        <w:rPr>
          <w:rFonts w:ascii="Arial" w:eastAsia="Calibri" w:hAnsi="Arial" w:cs="Arial"/>
          <w:sz w:val="26"/>
          <w:szCs w:val="26"/>
        </w:rPr>
        <w:t xml:space="preserve">adscrito a la Dirección de Seguridad Pública y Tránsito Municipal de Soledad de Graciano Sánchez, S.L.P., a partir del día quince de </w:t>
      </w:r>
      <w:r w:rsidR="00F82AAE">
        <w:rPr>
          <w:rFonts w:ascii="Arial" w:eastAsia="Calibri" w:hAnsi="Arial" w:cs="Arial"/>
          <w:sz w:val="26"/>
          <w:szCs w:val="26"/>
        </w:rPr>
        <w:t>enero</w:t>
      </w:r>
      <w:r>
        <w:rPr>
          <w:rFonts w:ascii="Arial" w:eastAsia="Calibri" w:hAnsi="Arial" w:cs="Arial"/>
          <w:sz w:val="26"/>
          <w:szCs w:val="26"/>
        </w:rPr>
        <w:t xml:space="preserve"> de dos mil veintic</w:t>
      </w:r>
      <w:r w:rsidR="00F82AAE">
        <w:rPr>
          <w:rFonts w:ascii="Arial" w:eastAsia="Calibri" w:hAnsi="Arial" w:cs="Arial"/>
          <w:sz w:val="26"/>
          <w:szCs w:val="26"/>
        </w:rPr>
        <w:t>inco</w:t>
      </w:r>
      <w:r w:rsidRPr="00A1306E">
        <w:rPr>
          <w:rFonts w:ascii="Arial" w:eastAsia="Calibri" w:hAnsi="Arial" w:cs="Arial"/>
          <w:sz w:val="26"/>
          <w:szCs w:val="26"/>
        </w:rPr>
        <w:t xml:space="preserve">, decretada por las autoridades demandadas. </w:t>
      </w:r>
    </w:p>
    <w:p w:rsidR="00386E97" w:rsidRPr="00A1306E" w:rsidRDefault="00386E97" w:rsidP="00386E97">
      <w:pPr>
        <w:spacing w:after="0" w:line="360" w:lineRule="auto"/>
        <w:ind w:firstLine="708"/>
        <w:jc w:val="both"/>
        <w:rPr>
          <w:rFonts w:ascii="Arial" w:eastAsia="Calibri" w:hAnsi="Arial" w:cs="Arial"/>
          <w:sz w:val="26"/>
          <w:szCs w:val="26"/>
        </w:rPr>
      </w:pPr>
    </w:p>
    <w:p w:rsidR="00386E97" w:rsidRPr="00A1306E" w:rsidRDefault="00386E97" w:rsidP="00386E97">
      <w:pPr>
        <w:spacing w:after="0" w:line="360" w:lineRule="auto"/>
        <w:ind w:firstLine="708"/>
        <w:jc w:val="both"/>
        <w:rPr>
          <w:rFonts w:ascii="Arial" w:eastAsia="Calibri" w:hAnsi="Arial" w:cs="Arial"/>
          <w:sz w:val="26"/>
          <w:szCs w:val="26"/>
          <w:lang w:val="es-ES_tradnl"/>
        </w:rPr>
      </w:pPr>
      <w:r w:rsidRPr="00A1306E">
        <w:rPr>
          <w:rFonts w:ascii="Arial" w:eastAsia="Times New Roman" w:hAnsi="Arial" w:cs="Arial"/>
          <w:bCs/>
          <w:sz w:val="26"/>
          <w:szCs w:val="26"/>
          <w:lang w:val="es-ES" w:eastAsia="es-ES"/>
        </w:rPr>
        <w:t xml:space="preserve">En tal virtud, esta </w:t>
      </w:r>
      <w:r w:rsidRPr="00A1306E">
        <w:rPr>
          <w:rFonts w:ascii="Arial" w:eastAsia="Times New Roman" w:hAnsi="Arial" w:cs="Arial"/>
          <w:b/>
          <w:bCs/>
          <w:sz w:val="26"/>
          <w:szCs w:val="26"/>
          <w:lang w:val="es-ES" w:eastAsia="es-ES"/>
        </w:rPr>
        <w:t>Tercera Sala Unitaria del Tribunal Estatal de Justicia Administrativa,</w:t>
      </w:r>
      <w:r w:rsidRPr="00A1306E">
        <w:rPr>
          <w:rFonts w:ascii="Arial" w:eastAsia="Times New Roman" w:hAnsi="Arial" w:cs="Arial"/>
          <w:bCs/>
          <w:sz w:val="26"/>
          <w:szCs w:val="26"/>
          <w:lang w:val="es-ES" w:eastAsia="es-ES"/>
        </w:rPr>
        <w:t xml:space="preserve"> de conformidad con lo establecido en los </w:t>
      </w:r>
      <w:r w:rsidRPr="00A1306E">
        <w:rPr>
          <w:rFonts w:ascii="Arial" w:eastAsia="Times New Roman" w:hAnsi="Arial" w:cs="Arial"/>
          <w:bCs/>
          <w:sz w:val="26"/>
          <w:szCs w:val="26"/>
          <w:lang w:val="es-ES" w:eastAsia="es-ES"/>
        </w:rPr>
        <w:lastRenderedPageBreak/>
        <w:t xml:space="preserve">numerales 250 </w:t>
      </w:r>
      <w:r w:rsidRPr="00A1306E">
        <w:rPr>
          <w:rFonts w:ascii="Arial" w:eastAsia="Calibri" w:hAnsi="Arial" w:cs="Arial"/>
          <w:sz w:val="26"/>
          <w:szCs w:val="26"/>
        </w:rPr>
        <w:t xml:space="preserve">fracciones I y II, </w:t>
      </w:r>
      <w:r w:rsidRPr="00A1306E">
        <w:rPr>
          <w:rFonts w:ascii="Arial" w:eastAsia="Times New Roman" w:hAnsi="Arial" w:cs="Arial"/>
          <w:bCs/>
          <w:sz w:val="26"/>
          <w:szCs w:val="26"/>
          <w:lang w:val="es-ES" w:eastAsia="es-ES"/>
        </w:rPr>
        <w:t xml:space="preserve"> y 251 del Código Procesal Administrativo para el Estado de San Luis Potosí, determina que lo procedente es decretar</w:t>
      </w:r>
      <w:r w:rsidRPr="00A1306E">
        <w:rPr>
          <w:rFonts w:ascii="Arial" w:eastAsia="Times New Roman" w:hAnsi="Arial" w:cs="Arial"/>
          <w:b/>
          <w:bCs/>
          <w:sz w:val="26"/>
          <w:szCs w:val="26"/>
          <w:lang w:val="es-ES" w:eastAsia="es-ES"/>
        </w:rPr>
        <w:t xml:space="preserve"> la ILEGALIDAD E INVALIDEZ </w:t>
      </w:r>
      <w:r w:rsidRPr="00A1306E">
        <w:rPr>
          <w:rFonts w:ascii="Arial" w:eastAsia="Times New Roman" w:hAnsi="Arial" w:cs="Arial"/>
          <w:bCs/>
          <w:sz w:val="26"/>
          <w:szCs w:val="26"/>
          <w:lang w:val="es-ES" w:eastAsia="es-ES"/>
        </w:rPr>
        <w:t>del acto impugnado,</w:t>
      </w:r>
      <w:r w:rsidRPr="00A1306E">
        <w:rPr>
          <w:rFonts w:ascii="Arial" w:eastAsia="Calibri" w:hAnsi="Arial" w:cs="Arial"/>
          <w:sz w:val="26"/>
          <w:szCs w:val="26"/>
        </w:rPr>
        <w:t xml:space="preserve"> consistente en: la baja o Separación Injustificada de</w:t>
      </w:r>
      <w:r>
        <w:rPr>
          <w:rFonts w:ascii="Arial" w:eastAsia="Calibri" w:hAnsi="Arial" w:cs="Arial"/>
          <w:sz w:val="26"/>
          <w:szCs w:val="26"/>
        </w:rPr>
        <w:t>l actor</w:t>
      </w:r>
      <w:r w:rsidRPr="00A1306E">
        <w:rPr>
          <w:rFonts w:ascii="Arial" w:eastAsia="Calibri" w:hAnsi="Arial" w:cs="Arial"/>
          <w:sz w:val="26"/>
          <w:szCs w:val="26"/>
        </w:rPr>
        <w:t xml:space="preserve"> en el cargo que ocupaba como elemento </w:t>
      </w:r>
      <w:r>
        <w:rPr>
          <w:rFonts w:ascii="Arial" w:eastAsia="Calibri" w:hAnsi="Arial" w:cs="Arial"/>
          <w:sz w:val="26"/>
          <w:szCs w:val="26"/>
        </w:rPr>
        <w:t>de Policía</w:t>
      </w:r>
      <w:r w:rsidR="00F82AAE">
        <w:rPr>
          <w:rFonts w:ascii="Arial" w:eastAsia="Calibri" w:hAnsi="Arial" w:cs="Arial"/>
          <w:sz w:val="26"/>
          <w:szCs w:val="26"/>
        </w:rPr>
        <w:t xml:space="preserve"> Operativo B</w:t>
      </w:r>
      <w:r>
        <w:rPr>
          <w:rFonts w:ascii="Arial" w:eastAsia="Calibri" w:hAnsi="Arial" w:cs="Arial"/>
          <w:sz w:val="26"/>
          <w:szCs w:val="26"/>
        </w:rPr>
        <w:t xml:space="preserve">, adscrito a la Dirección de Seguridad Pública y Tránsito Municipal de </w:t>
      </w:r>
      <w:r w:rsidR="00F82AAE">
        <w:rPr>
          <w:rFonts w:ascii="Arial" w:eastAsia="Calibri" w:hAnsi="Arial" w:cs="Arial"/>
          <w:sz w:val="26"/>
          <w:szCs w:val="26"/>
        </w:rPr>
        <w:t>Axtla de Terrazas, S.L.P.</w:t>
      </w:r>
      <w:r w:rsidRPr="00A1306E">
        <w:rPr>
          <w:rFonts w:ascii="Arial" w:eastAsia="Calibri" w:hAnsi="Arial" w:cs="Arial"/>
          <w:sz w:val="26"/>
          <w:szCs w:val="26"/>
        </w:rPr>
        <w:t>, por las autoridades demandadas;</w:t>
      </w:r>
      <w:r w:rsidRPr="00A1306E">
        <w:rPr>
          <w:rFonts w:ascii="Arial" w:eastAsia="Calibri" w:hAnsi="Arial" w:cs="Arial"/>
          <w:sz w:val="26"/>
          <w:szCs w:val="26"/>
          <w:lang w:val="es-ES_tradnl"/>
        </w:rPr>
        <w:t xml:space="preserve"> y en consecuencia se decreta la </w:t>
      </w:r>
      <w:r w:rsidRPr="00A1306E">
        <w:rPr>
          <w:rFonts w:ascii="Arial" w:eastAsia="Calibri" w:hAnsi="Arial" w:cs="Arial"/>
          <w:b/>
          <w:sz w:val="26"/>
          <w:szCs w:val="26"/>
          <w:lang w:val="es-ES_tradnl"/>
        </w:rPr>
        <w:t xml:space="preserve">NULIDAD </w:t>
      </w:r>
      <w:r>
        <w:rPr>
          <w:rFonts w:ascii="Arial" w:eastAsia="Calibri" w:hAnsi="Arial" w:cs="Arial"/>
          <w:b/>
          <w:sz w:val="26"/>
          <w:szCs w:val="26"/>
          <w:lang w:val="es-ES_tradnl"/>
        </w:rPr>
        <w:t>LISA y LLANA</w:t>
      </w:r>
      <w:r w:rsidRPr="00A1306E">
        <w:rPr>
          <w:rFonts w:ascii="Arial" w:eastAsia="Calibri" w:hAnsi="Arial" w:cs="Arial"/>
          <w:b/>
          <w:sz w:val="26"/>
          <w:szCs w:val="26"/>
          <w:lang w:val="es-ES_tradnl"/>
        </w:rPr>
        <w:t xml:space="preserve"> </w:t>
      </w:r>
      <w:r w:rsidRPr="00A1306E">
        <w:rPr>
          <w:rFonts w:ascii="Arial" w:eastAsia="Calibri" w:hAnsi="Arial" w:cs="Arial"/>
          <w:sz w:val="26"/>
          <w:szCs w:val="26"/>
          <w:lang w:val="es-ES_tradnl"/>
        </w:rPr>
        <w:t>de la misma, al ser afectada por la violación a los</w:t>
      </w:r>
      <w:r w:rsidRPr="00A1306E">
        <w:rPr>
          <w:rFonts w:ascii="Arial" w:eastAsia="Calibri" w:hAnsi="Arial" w:cs="Arial"/>
          <w:sz w:val="26"/>
          <w:szCs w:val="26"/>
        </w:rPr>
        <w:t xml:space="preserve"> </w:t>
      </w:r>
      <w:r w:rsidRPr="00A1306E">
        <w:rPr>
          <w:rFonts w:ascii="Arial" w:eastAsia="Calibri" w:hAnsi="Arial" w:cs="Arial"/>
          <w:sz w:val="26"/>
          <w:szCs w:val="26"/>
          <w:lang w:val="es-ES_tradnl"/>
        </w:rPr>
        <w:t xml:space="preserve">derechos humanos de audiencia, legalidad, seguridad jurídica y debido proceso, previstos en los artículos 14 y 16 Constitucionales; </w:t>
      </w:r>
      <w:r w:rsidRPr="00A1306E">
        <w:rPr>
          <w:rFonts w:ascii="Arial" w:eastAsia="Times New Roman" w:hAnsi="Arial" w:cs="Arial"/>
          <w:sz w:val="26"/>
          <w:szCs w:val="26"/>
          <w:lang w:eastAsia="es-MX"/>
        </w:rPr>
        <w:t xml:space="preserve">por lo que se le deja sin efecto legal alguno, </w:t>
      </w:r>
      <w:r w:rsidRPr="00A1306E">
        <w:rPr>
          <w:rFonts w:ascii="Arial" w:eastAsia="Calibri" w:hAnsi="Arial" w:cs="Arial"/>
          <w:sz w:val="26"/>
          <w:szCs w:val="26"/>
          <w:lang w:val="es-ES_tradnl"/>
        </w:rPr>
        <w:t>debiendo las autoridades demandadas restituir al</w:t>
      </w:r>
      <w:r>
        <w:rPr>
          <w:rFonts w:ascii="Arial" w:eastAsia="Calibri" w:hAnsi="Arial" w:cs="Arial"/>
          <w:sz w:val="26"/>
          <w:szCs w:val="26"/>
          <w:lang w:val="es-ES_tradnl"/>
        </w:rPr>
        <w:t xml:space="preserve"> </w:t>
      </w:r>
      <w:r w:rsidRPr="00A1306E">
        <w:rPr>
          <w:rFonts w:ascii="Arial" w:eastAsia="Calibri" w:hAnsi="Arial" w:cs="Arial"/>
          <w:sz w:val="26"/>
          <w:szCs w:val="26"/>
          <w:lang w:val="es-ES_tradnl"/>
        </w:rPr>
        <w:t xml:space="preserve">actor en el goce de los derechos que le hubieren sido indebidamente afectados. </w:t>
      </w:r>
    </w:p>
    <w:p w:rsidR="00386E97" w:rsidRDefault="00386E97" w:rsidP="00386E97">
      <w:pPr>
        <w:spacing w:after="0" w:line="360" w:lineRule="auto"/>
        <w:ind w:firstLine="709"/>
        <w:jc w:val="both"/>
        <w:rPr>
          <w:rFonts w:ascii="Arial" w:eastAsia="Calibri" w:hAnsi="Arial" w:cs="Arial"/>
          <w:sz w:val="26"/>
          <w:szCs w:val="26"/>
          <w:lang w:val="es-ES_tradnl"/>
        </w:rPr>
      </w:pPr>
    </w:p>
    <w:p w:rsidR="00386E97" w:rsidRPr="002D66E6" w:rsidRDefault="00386E97" w:rsidP="00386E97">
      <w:pPr>
        <w:spacing w:after="0" w:line="360" w:lineRule="auto"/>
        <w:ind w:firstLine="708"/>
        <w:jc w:val="both"/>
        <w:rPr>
          <w:rFonts w:ascii="Arial" w:eastAsia="Calibri" w:hAnsi="Arial" w:cs="Arial"/>
          <w:sz w:val="26"/>
          <w:szCs w:val="26"/>
        </w:rPr>
      </w:pPr>
      <w:r w:rsidRPr="002D66E6">
        <w:rPr>
          <w:rFonts w:ascii="Arial" w:eastAsia="Calibri" w:hAnsi="Arial" w:cs="Arial"/>
          <w:b/>
          <w:sz w:val="26"/>
          <w:szCs w:val="26"/>
        </w:rPr>
        <w:t>SÉPTIMO. -</w:t>
      </w:r>
      <w:r w:rsidRPr="002D66E6">
        <w:rPr>
          <w:rFonts w:ascii="Arial" w:eastAsia="Calibri" w:hAnsi="Arial" w:cs="Arial"/>
          <w:sz w:val="26"/>
          <w:szCs w:val="26"/>
        </w:rPr>
        <w:t xml:space="preserve"> En este orden de ideas, el artículo 252 del Código Procesal Administrativo para el Estado de San Luis Potosí, establece: </w:t>
      </w:r>
    </w:p>
    <w:p w:rsidR="00386E97" w:rsidRPr="002D66E6" w:rsidRDefault="00386E97" w:rsidP="00386E97">
      <w:pPr>
        <w:spacing w:after="0" w:line="360" w:lineRule="auto"/>
        <w:ind w:firstLine="708"/>
        <w:jc w:val="both"/>
        <w:rPr>
          <w:rFonts w:ascii="Arial" w:eastAsia="Calibri" w:hAnsi="Arial" w:cs="Arial"/>
          <w:sz w:val="26"/>
          <w:szCs w:val="26"/>
        </w:rPr>
      </w:pPr>
    </w:p>
    <w:p w:rsidR="00386E97" w:rsidRPr="00943146" w:rsidRDefault="00386E97" w:rsidP="00386E97">
      <w:pPr>
        <w:autoSpaceDE w:val="0"/>
        <w:autoSpaceDN w:val="0"/>
        <w:adjustRightInd w:val="0"/>
        <w:spacing w:after="0"/>
        <w:ind w:left="709"/>
        <w:jc w:val="both"/>
        <w:rPr>
          <w:rFonts w:ascii="Arial" w:eastAsia="Calibri" w:hAnsi="Arial" w:cs="Arial"/>
          <w:i/>
        </w:rPr>
      </w:pPr>
      <w:r w:rsidRPr="00943146">
        <w:rPr>
          <w:rFonts w:ascii="Arial" w:eastAsia="Times New Roman" w:hAnsi="Arial" w:cs="Arial"/>
          <w:iCs/>
          <w:color w:val="000000"/>
          <w:lang w:val="es-ES" w:eastAsia="es-MX"/>
        </w:rPr>
        <w:t xml:space="preserve"> </w:t>
      </w:r>
      <w:r w:rsidRPr="00943146">
        <w:rPr>
          <w:rFonts w:ascii="Arial" w:eastAsia="Calibri" w:hAnsi="Arial" w:cs="Arial"/>
          <w:b/>
          <w:i/>
        </w:rPr>
        <w:t>"Artículo 252</w:t>
      </w:r>
      <w:r w:rsidRPr="00943146">
        <w:rPr>
          <w:rFonts w:ascii="Arial" w:eastAsia="Calibri" w:hAnsi="Arial" w:cs="Arial"/>
          <w:i/>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w:t>
      </w:r>
    </w:p>
    <w:p w:rsidR="00386E97" w:rsidRDefault="00386E97" w:rsidP="00386E97">
      <w:pPr>
        <w:spacing w:after="0" w:line="360" w:lineRule="auto"/>
        <w:ind w:firstLine="708"/>
        <w:jc w:val="both"/>
        <w:rPr>
          <w:rFonts w:ascii="Arial" w:eastAsia="Calibri" w:hAnsi="Arial" w:cs="Arial"/>
          <w:sz w:val="26"/>
          <w:szCs w:val="26"/>
        </w:rPr>
      </w:pPr>
    </w:p>
    <w:p w:rsidR="00386E97" w:rsidRPr="00943146" w:rsidRDefault="00386E97" w:rsidP="00386E97">
      <w:pPr>
        <w:spacing w:after="0" w:line="360" w:lineRule="auto"/>
        <w:ind w:firstLine="708"/>
        <w:jc w:val="both"/>
        <w:rPr>
          <w:rFonts w:ascii="Arial" w:eastAsia="Calibri" w:hAnsi="Arial" w:cs="Arial"/>
          <w:sz w:val="26"/>
          <w:szCs w:val="26"/>
        </w:rPr>
      </w:pPr>
      <w:r w:rsidRPr="00943146">
        <w:rPr>
          <w:rFonts w:ascii="Arial" w:eastAsia="Calibri" w:hAnsi="Arial" w:cs="Arial"/>
          <w:sz w:val="26"/>
          <w:szCs w:val="26"/>
        </w:rPr>
        <w:t>Por consiguiente, atendiendo al dispositivo</w:t>
      </w:r>
      <w:r w:rsidRPr="00943146">
        <w:rPr>
          <w:rFonts w:ascii="Arial" w:eastAsia="Calibri" w:hAnsi="Arial" w:cs="Arial"/>
          <w:color w:val="000000"/>
          <w:sz w:val="26"/>
          <w:szCs w:val="26"/>
        </w:rPr>
        <w:t xml:space="preserve"> 123 apartado B fracción XIII de la Constitución Política de los Estados Unidos Mexicanos</w:t>
      </w:r>
      <w:r w:rsidRPr="00943146">
        <w:rPr>
          <w:rFonts w:ascii="Arial" w:eastAsia="Calibri" w:hAnsi="Arial" w:cs="Arial"/>
          <w:sz w:val="26"/>
          <w:szCs w:val="26"/>
        </w:rPr>
        <w:t>, lo procedente es que las autoridades demandadas restituyan a al aparte actora  los derechos que le fueron indebidamente privados, mediante la ilegal baja decretada, cuya ilegalidad y nulidad se ha determinado, a fin de que proceda al pago de la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w:t>
      </w:r>
      <w:r w:rsidRPr="00943146">
        <w:rPr>
          <w:rFonts w:ascii="Arial" w:eastAsia="Calibri" w:hAnsi="Arial" w:cs="Arial"/>
          <w:b/>
          <w:sz w:val="26"/>
          <w:szCs w:val="26"/>
        </w:rPr>
        <w:t>, hasta por un periodo máximo de seis meses,</w:t>
      </w:r>
      <w:r w:rsidRPr="00943146">
        <w:rPr>
          <w:rFonts w:ascii="Arial" w:eastAsia="Calibri" w:hAnsi="Arial" w:cs="Arial"/>
          <w:sz w:val="26"/>
          <w:szCs w:val="26"/>
        </w:rPr>
        <w:t xml:space="preserve"> lo que deberá hacerse conforme a las leyes especiales administrativas bajo las cuales se rige su </w:t>
      </w:r>
      <w:r w:rsidRPr="00943146">
        <w:rPr>
          <w:rFonts w:ascii="Arial" w:eastAsia="Calibri" w:hAnsi="Arial" w:cs="Arial"/>
          <w:sz w:val="26"/>
          <w:szCs w:val="26"/>
        </w:rPr>
        <w:lastRenderedPageBreak/>
        <w:t>relación con la demandada, dado que tal determinación se ha dejado sin efectos.</w:t>
      </w:r>
    </w:p>
    <w:p w:rsidR="00386E97" w:rsidRPr="00943146" w:rsidRDefault="00386E97" w:rsidP="00386E97">
      <w:pPr>
        <w:spacing w:after="0" w:line="360" w:lineRule="auto"/>
        <w:ind w:firstLine="708"/>
        <w:jc w:val="both"/>
        <w:rPr>
          <w:rFonts w:ascii="Arial" w:eastAsia="Calibri" w:hAnsi="Arial" w:cs="Arial"/>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Ahora bien, conforme al artículo 123, apartado B, fracción XIII, segundo párrafo, de la Constitución Política de los Estados Unidos Mexicanos, el Constituyente otorgó a favor de los miembros de las instituciones policiales de la Federación, el Distrito Federal (ahora Ciudad de México), los Estados y los Municipios, el derecho al pago de una indemnización en el caso de que, a través de una resolución emitida por autoridad jurisdiccional competente, se resuelva que su separación o cualquier vía de terminación del servicio de la que fue objeto resulta injustificada, lo anterior para no dejarla en estado de indefensión al existir una prohibición absoluta de reincorporarla en el servicio.</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De la propia normatividad constitucional, se advierte la obligación del legislador secundario de fijar, dentro de las leyes especiales que se emitan a nivel federal, estatal, municipal o en el Distrito Federal (ahora Ciudad de México), los montos o mecanismos de delimitación de aquellos que, por concepto de indemnización, corresponden a dichos servidores públicos ante una terminación injustificada del servicio.</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Asimismo, el Poder Legislativo del Estado en los numerales 51 y 54 de la Ley de Sistema de Seguridad Pública, estableció lo siguiente:</w:t>
      </w:r>
    </w:p>
    <w:p w:rsidR="00386E97" w:rsidRPr="00943146" w:rsidRDefault="00386E97" w:rsidP="00386E97">
      <w:pPr>
        <w:autoSpaceDE w:val="0"/>
        <w:autoSpaceDN w:val="0"/>
        <w:adjustRightInd w:val="0"/>
        <w:spacing w:after="0"/>
        <w:ind w:left="709"/>
        <w:jc w:val="both"/>
        <w:rPr>
          <w:rFonts w:ascii="Arial" w:eastAsia="Times New Roman" w:hAnsi="Arial" w:cs="Arial"/>
          <w:iCs/>
          <w:color w:val="000000"/>
          <w:sz w:val="21"/>
          <w:szCs w:val="21"/>
          <w:lang w:val="es-ES" w:eastAsia="es-MX"/>
        </w:rPr>
      </w:pPr>
    </w:p>
    <w:p w:rsidR="00386E97" w:rsidRPr="00943146" w:rsidRDefault="00386E97" w:rsidP="00386E97">
      <w:pPr>
        <w:autoSpaceDE w:val="0"/>
        <w:autoSpaceDN w:val="0"/>
        <w:adjustRightInd w:val="0"/>
        <w:spacing w:after="0"/>
        <w:ind w:left="709"/>
        <w:jc w:val="both"/>
        <w:rPr>
          <w:rFonts w:ascii="Arial" w:eastAsia="Calibri" w:hAnsi="Arial" w:cs="Arial"/>
          <w:bCs/>
          <w:i/>
          <w:color w:val="000000"/>
          <w:sz w:val="21"/>
          <w:szCs w:val="21"/>
        </w:rPr>
      </w:pPr>
      <w:r w:rsidRPr="00943146">
        <w:rPr>
          <w:rFonts w:ascii="Arial" w:eastAsia="Times New Roman" w:hAnsi="Arial" w:cs="Arial"/>
          <w:iCs/>
          <w:color w:val="000000"/>
          <w:sz w:val="21"/>
          <w:szCs w:val="21"/>
          <w:lang w:val="es-ES" w:eastAsia="es-MX"/>
        </w:rPr>
        <w:t xml:space="preserve"> </w:t>
      </w:r>
      <w:r w:rsidRPr="00943146">
        <w:rPr>
          <w:rFonts w:ascii="Arial" w:eastAsia="Calibri" w:hAnsi="Arial" w:cs="Arial"/>
          <w:b/>
          <w:bCs/>
          <w:i/>
          <w:color w:val="000000"/>
          <w:sz w:val="21"/>
          <w:szCs w:val="21"/>
        </w:rPr>
        <w:t>“ARTICULO 51.</w:t>
      </w:r>
      <w:r w:rsidRPr="00943146">
        <w:rPr>
          <w:rFonts w:ascii="Arial" w:eastAsia="Calibri" w:hAnsi="Arial" w:cs="Arial"/>
          <w:bCs/>
          <w:i/>
          <w:color w:val="000000"/>
          <w:sz w:val="21"/>
          <w:szCs w:val="21"/>
        </w:rPr>
        <w:t xml:space="preserve"> Los integrantes de las instituciones de seguridad pública en el Estado y los ayuntamientos, por la naturaleza de su función, y atendiendo a lo establecido en lo conducente por los artículos, 123 Apartado B fracción XIII de la Constitución Política de los Estados Unidos Mexicanos; y 89 de la Constitución Política del Estado Libre y Soberano de San Luis Potosí, tendrán el carácter de agentes depositarios de autoridad. Por tanto, su relación con la administración pública será de carácter administrativo, y se regirá por lo establecido en esta Ley y demás ordenamientos aplicables.</w:t>
      </w:r>
    </w:p>
    <w:p w:rsidR="00386E97" w:rsidRPr="00943146" w:rsidRDefault="00386E97" w:rsidP="00386E97">
      <w:pPr>
        <w:autoSpaceDE w:val="0"/>
        <w:autoSpaceDN w:val="0"/>
        <w:adjustRightInd w:val="0"/>
        <w:spacing w:after="0"/>
        <w:ind w:left="709"/>
        <w:jc w:val="both"/>
        <w:rPr>
          <w:rFonts w:ascii="Arial" w:eastAsia="Calibri" w:hAnsi="Arial" w:cs="Arial"/>
          <w:bCs/>
          <w:i/>
          <w:color w:val="000000"/>
          <w:sz w:val="21"/>
          <w:szCs w:val="21"/>
        </w:rPr>
      </w:pPr>
    </w:p>
    <w:p w:rsidR="00386E97" w:rsidRPr="00943146" w:rsidRDefault="00386E97" w:rsidP="00386E97">
      <w:pPr>
        <w:autoSpaceDE w:val="0"/>
        <w:autoSpaceDN w:val="0"/>
        <w:adjustRightInd w:val="0"/>
        <w:spacing w:after="0"/>
        <w:ind w:left="709"/>
        <w:jc w:val="both"/>
        <w:rPr>
          <w:rFonts w:ascii="Arial" w:eastAsia="Calibri" w:hAnsi="Arial" w:cs="Arial"/>
          <w:bCs/>
          <w:i/>
          <w:color w:val="000000"/>
          <w:sz w:val="21"/>
          <w:szCs w:val="21"/>
        </w:rPr>
      </w:pPr>
      <w:r w:rsidRPr="00943146">
        <w:rPr>
          <w:rFonts w:ascii="Arial" w:eastAsia="Calibri" w:hAnsi="Arial" w:cs="Arial"/>
          <w:bCs/>
          <w:i/>
          <w:color w:val="000000"/>
          <w:sz w:val="21"/>
          <w:szCs w:val="21"/>
        </w:rPr>
        <w:t xml:space="preserve">“Las instituciones de seguridad pública deberán garantizar para su personal, </w:t>
      </w:r>
      <w:r w:rsidRPr="00943146">
        <w:rPr>
          <w:rFonts w:ascii="Arial" w:eastAsia="Calibri" w:hAnsi="Arial" w:cs="Arial"/>
          <w:b/>
          <w:bCs/>
          <w:i/>
          <w:color w:val="000000"/>
          <w:sz w:val="21"/>
          <w:szCs w:val="21"/>
        </w:rPr>
        <w:t>al menos las prestaciones previstas para los trabajadores</w:t>
      </w:r>
      <w:r w:rsidRPr="00943146">
        <w:rPr>
          <w:rFonts w:ascii="Arial" w:eastAsia="Calibri" w:hAnsi="Arial" w:cs="Arial"/>
          <w:bCs/>
          <w:i/>
          <w:color w:val="000000"/>
          <w:sz w:val="21"/>
          <w:szCs w:val="21"/>
        </w:rPr>
        <w:t xml:space="preserve"> al servicio del Estado y municipios; </w:t>
      </w:r>
      <w:r w:rsidRPr="00943146">
        <w:rPr>
          <w:rFonts w:ascii="Arial" w:eastAsia="Calibri" w:hAnsi="Arial" w:cs="Arial"/>
          <w:b/>
          <w:bCs/>
          <w:i/>
          <w:color w:val="000000"/>
          <w:sz w:val="21"/>
          <w:szCs w:val="21"/>
        </w:rPr>
        <w:t>generarán, de acuerdo a sus necesidades y con cargo a sus presupuestos, una normatividad de régimen complementario de seguridad social y reconocimientos,</w:t>
      </w:r>
      <w:r w:rsidRPr="00943146">
        <w:rPr>
          <w:rFonts w:ascii="Arial" w:eastAsia="Calibri" w:hAnsi="Arial" w:cs="Arial"/>
          <w:bCs/>
          <w:i/>
          <w:color w:val="000000"/>
          <w:sz w:val="21"/>
          <w:szCs w:val="21"/>
        </w:rPr>
        <w:t xml:space="preserve"> de acuerdo a lo previsto en el artículo 123 apartado B fracción XIII párrafo segundo, de la Constitución Política de los Estados Unidos Mexicanos.” </w:t>
      </w:r>
    </w:p>
    <w:p w:rsidR="00386E97" w:rsidRPr="00943146" w:rsidRDefault="00386E97" w:rsidP="00386E97">
      <w:pPr>
        <w:autoSpaceDE w:val="0"/>
        <w:autoSpaceDN w:val="0"/>
        <w:adjustRightInd w:val="0"/>
        <w:spacing w:after="0"/>
        <w:ind w:left="709"/>
        <w:jc w:val="both"/>
        <w:rPr>
          <w:rFonts w:ascii="Arial" w:eastAsia="Calibri" w:hAnsi="Arial" w:cs="Arial"/>
          <w:bCs/>
          <w:i/>
          <w:color w:val="000000"/>
          <w:sz w:val="21"/>
          <w:szCs w:val="21"/>
        </w:rPr>
      </w:pPr>
    </w:p>
    <w:p w:rsidR="00386E97" w:rsidRPr="00943146" w:rsidRDefault="00386E97" w:rsidP="00386E97">
      <w:pPr>
        <w:autoSpaceDE w:val="0"/>
        <w:autoSpaceDN w:val="0"/>
        <w:adjustRightInd w:val="0"/>
        <w:spacing w:after="0"/>
        <w:ind w:left="709"/>
        <w:jc w:val="both"/>
        <w:rPr>
          <w:rFonts w:ascii="Arial" w:eastAsia="Calibri" w:hAnsi="Arial" w:cs="Arial"/>
          <w:bCs/>
          <w:i/>
          <w:color w:val="000000"/>
          <w:sz w:val="21"/>
          <w:szCs w:val="21"/>
        </w:rPr>
      </w:pPr>
      <w:r w:rsidRPr="00943146">
        <w:rPr>
          <w:rFonts w:ascii="Arial" w:eastAsia="Calibri" w:hAnsi="Arial" w:cs="Arial"/>
          <w:b/>
          <w:bCs/>
          <w:i/>
          <w:color w:val="000000"/>
          <w:sz w:val="21"/>
          <w:szCs w:val="21"/>
        </w:rPr>
        <w:t>“ARTÍCULO 54</w:t>
      </w:r>
      <w:r w:rsidRPr="00943146">
        <w:rPr>
          <w:rFonts w:ascii="Arial" w:eastAsia="Calibri" w:hAnsi="Arial" w:cs="Arial"/>
          <w:bCs/>
          <w:i/>
          <w:color w:val="000000"/>
          <w:sz w:val="21"/>
          <w:szCs w:val="21"/>
        </w:rPr>
        <w:t xml:space="preserve">. Los integrantes de las instituciones de seguridad pública podrán ser separados de su cargo si no cumplen con los requisitos de las leyes vigentes, que en el momento de la separación señalen para permanecer en dichas Instituciones, sin que en ningún caso proceda su reinstalación al servicio. </w:t>
      </w:r>
    </w:p>
    <w:p w:rsidR="00386E97" w:rsidRPr="00943146" w:rsidRDefault="00386E97" w:rsidP="00386E97">
      <w:pPr>
        <w:autoSpaceDE w:val="0"/>
        <w:autoSpaceDN w:val="0"/>
        <w:adjustRightInd w:val="0"/>
        <w:spacing w:after="0"/>
        <w:ind w:left="709"/>
        <w:jc w:val="both"/>
        <w:rPr>
          <w:rFonts w:ascii="Arial" w:eastAsia="Calibri" w:hAnsi="Arial" w:cs="Arial"/>
          <w:bCs/>
          <w:i/>
          <w:color w:val="000000"/>
          <w:sz w:val="21"/>
          <w:szCs w:val="21"/>
        </w:rPr>
      </w:pPr>
    </w:p>
    <w:p w:rsidR="00386E97" w:rsidRPr="00943146" w:rsidRDefault="00386E97" w:rsidP="00386E97">
      <w:pPr>
        <w:autoSpaceDE w:val="0"/>
        <w:autoSpaceDN w:val="0"/>
        <w:adjustRightInd w:val="0"/>
        <w:spacing w:after="0"/>
        <w:ind w:left="709"/>
        <w:jc w:val="both"/>
        <w:rPr>
          <w:rFonts w:ascii="Arial" w:eastAsia="Calibri" w:hAnsi="Arial" w:cs="Arial"/>
          <w:b/>
          <w:bCs/>
          <w:i/>
          <w:color w:val="000000"/>
          <w:sz w:val="21"/>
          <w:szCs w:val="21"/>
          <w:u w:val="single"/>
        </w:rPr>
      </w:pPr>
      <w:r w:rsidRPr="00943146">
        <w:rPr>
          <w:rFonts w:ascii="Arial" w:eastAsia="Calibri" w:hAnsi="Arial" w:cs="Arial"/>
          <w:bCs/>
          <w:i/>
          <w:color w:val="000000"/>
          <w:sz w:val="21"/>
          <w:szCs w:val="21"/>
        </w:rPr>
        <w:t xml:space="preserve"> (REFORMADO, P.O. 23 DE FEBRERO DE 2023) En caso de que la autoridad jurisdiccional resolviere que la separación, remoción, baja, cese o cualquier forma de terminación del servicio fue injustificada, las instituciones de seguridad pública deberán pagar a los cuerpos de seguridad pública,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w:t>
      </w:r>
      <w:r w:rsidRPr="00943146">
        <w:rPr>
          <w:rFonts w:ascii="Arial" w:eastAsia="Calibri" w:hAnsi="Arial" w:cs="Arial"/>
          <w:b/>
          <w:bCs/>
          <w:i/>
          <w:color w:val="000000"/>
          <w:sz w:val="21"/>
          <w:szCs w:val="21"/>
          <w:u w:val="single"/>
        </w:rPr>
        <w:t>o cualquier otro concepto que percibía el servidor público por la prestación de su servicio, hasta por un periodo máximo de seis meses. “</w:t>
      </w:r>
    </w:p>
    <w:p w:rsidR="00386E97" w:rsidRPr="00943146" w:rsidRDefault="00386E97" w:rsidP="00386E97">
      <w:pPr>
        <w:autoSpaceDE w:val="0"/>
        <w:autoSpaceDN w:val="0"/>
        <w:adjustRightInd w:val="0"/>
        <w:spacing w:after="0"/>
        <w:ind w:left="709"/>
        <w:jc w:val="both"/>
        <w:rPr>
          <w:rFonts w:ascii="Arial" w:eastAsia="Calibri" w:hAnsi="Arial" w:cs="Arial"/>
          <w:b/>
          <w:bCs/>
          <w:i/>
          <w:color w:val="000000"/>
          <w:sz w:val="21"/>
          <w:szCs w:val="21"/>
          <w:u w:val="single"/>
        </w:rPr>
      </w:pPr>
      <w:r w:rsidRPr="00943146">
        <w:rPr>
          <w:rFonts w:ascii="Arial" w:eastAsia="Calibri" w:hAnsi="Arial" w:cs="Arial"/>
          <w:bCs/>
          <w:i/>
          <w:color w:val="000000"/>
          <w:sz w:val="21"/>
          <w:szCs w:val="21"/>
        </w:rPr>
        <w:t>(</w:t>
      </w:r>
      <w:proofErr w:type="gramStart"/>
      <w:r w:rsidRPr="00943146">
        <w:rPr>
          <w:rFonts w:ascii="Arial" w:eastAsia="Calibri" w:hAnsi="Arial" w:cs="Arial"/>
          <w:bCs/>
          <w:i/>
          <w:color w:val="000000"/>
          <w:sz w:val="21"/>
          <w:szCs w:val="21"/>
        </w:rPr>
        <w:t>lo</w:t>
      </w:r>
      <w:proofErr w:type="gramEnd"/>
      <w:r w:rsidRPr="00943146">
        <w:rPr>
          <w:rFonts w:ascii="Arial" w:eastAsia="Calibri" w:hAnsi="Arial" w:cs="Arial"/>
          <w:bCs/>
          <w:i/>
          <w:color w:val="000000"/>
          <w:sz w:val="21"/>
          <w:szCs w:val="21"/>
        </w:rPr>
        <w:t xml:space="preserve"> resaltado es nuestro)</w:t>
      </w:r>
    </w:p>
    <w:p w:rsidR="00386E97" w:rsidRPr="00943146" w:rsidRDefault="00386E97" w:rsidP="00386E97">
      <w:pPr>
        <w:autoSpaceDE w:val="0"/>
        <w:autoSpaceDN w:val="0"/>
        <w:adjustRightInd w:val="0"/>
        <w:spacing w:after="0"/>
        <w:ind w:left="709"/>
        <w:jc w:val="both"/>
        <w:rPr>
          <w:rFonts w:ascii="Arial" w:eastAsia="Calibri" w:hAnsi="Arial" w:cs="Arial"/>
          <w:color w:val="000000"/>
          <w:sz w:val="24"/>
          <w:szCs w:val="24"/>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bCs/>
          <w:color w:val="000000"/>
          <w:sz w:val="26"/>
          <w:szCs w:val="26"/>
        </w:rPr>
      </w:pPr>
      <w:r w:rsidRPr="00943146">
        <w:rPr>
          <w:rFonts w:ascii="Arial" w:eastAsia="Calibri" w:hAnsi="Arial" w:cs="Arial"/>
          <w:color w:val="000000"/>
          <w:sz w:val="26"/>
          <w:szCs w:val="26"/>
        </w:rPr>
        <w:t>De acuerdo con los numerales transcritos, se establece que las instituciones de seguridad pública deberán garantizar para su personal, al menos las prestaciones previstas para los trabajadores al servicio del Estado y Municipios; y que, tendrán derecho</w:t>
      </w:r>
      <w:r w:rsidRPr="00943146">
        <w:rPr>
          <w:rFonts w:ascii="Arial" w:eastAsia="Calibri" w:hAnsi="Arial" w:cs="Arial"/>
          <w:sz w:val="26"/>
          <w:szCs w:val="26"/>
          <w:lang w:val="es-ES"/>
        </w:rPr>
        <w:t xml:space="preserve"> </w:t>
      </w:r>
      <w:r w:rsidRPr="00943146">
        <w:rPr>
          <w:rFonts w:ascii="Arial" w:eastAsia="Calibri" w:hAnsi="Arial" w:cs="Arial"/>
          <w:color w:val="000000"/>
          <w:sz w:val="26"/>
          <w:szCs w:val="26"/>
        </w:rPr>
        <w:t xml:space="preserve">a una indemnización </w:t>
      </w:r>
      <w:r w:rsidRPr="00943146">
        <w:rPr>
          <w:rFonts w:ascii="Arial" w:eastAsia="Calibri" w:hAnsi="Arial" w:cs="Arial"/>
          <w:bCs/>
          <w:color w:val="000000"/>
          <w:sz w:val="26"/>
          <w:szCs w:val="26"/>
        </w:rPr>
        <w:t xml:space="preserve">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w:t>
      </w:r>
      <w:r w:rsidRPr="00943146">
        <w:rPr>
          <w:rFonts w:ascii="Arial" w:eastAsia="Calibri" w:hAnsi="Arial" w:cs="Arial"/>
          <w:b/>
          <w:bCs/>
          <w:color w:val="000000"/>
          <w:sz w:val="26"/>
          <w:szCs w:val="26"/>
        </w:rPr>
        <w:t>por la prestación de su servicio, hasta por un periodo máximo de seis meses</w:t>
      </w:r>
      <w:r w:rsidRPr="00943146">
        <w:rPr>
          <w:rFonts w:ascii="Arial" w:eastAsia="Calibri" w:hAnsi="Arial" w:cs="Arial"/>
          <w:bCs/>
          <w:color w:val="000000"/>
          <w:sz w:val="26"/>
          <w:szCs w:val="26"/>
        </w:rPr>
        <w:t xml:space="preserve">.  </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bCs/>
          <w:i/>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bCs/>
          <w:i/>
          <w:color w:val="000000"/>
          <w:sz w:val="26"/>
          <w:szCs w:val="26"/>
        </w:rPr>
      </w:pPr>
      <w:r w:rsidRPr="00943146">
        <w:rPr>
          <w:rFonts w:ascii="Arial" w:eastAsia="Calibri" w:hAnsi="Arial" w:cs="Arial"/>
          <w:color w:val="000000"/>
          <w:sz w:val="26"/>
          <w:szCs w:val="26"/>
        </w:rPr>
        <w:t>También se advierte, la obligación para las instituciones de seguridad pública de generar, conforme a sus necesidades y con cargo a sus presupuestos, una normatividad de régimen complementario de seguridad social y reconocimientos, de acuerdo a lo previsto en el artículo 123 apartado B fracción XIII párrafo segundo, de la Ley Suprema.</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bCs/>
          <w:i/>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bCs/>
          <w:i/>
          <w:color w:val="000000"/>
          <w:sz w:val="26"/>
          <w:szCs w:val="26"/>
        </w:rPr>
      </w:pPr>
      <w:r w:rsidRPr="00943146">
        <w:rPr>
          <w:rFonts w:ascii="Arial" w:eastAsia="Calibri" w:hAnsi="Arial" w:cs="Arial"/>
          <w:color w:val="000000"/>
          <w:sz w:val="26"/>
          <w:szCs w:val="26"/>
        </w:rPr>
        <w:t xml:space="preserve">Asimismo, se reconoce a favor del personal de las instituciones de seguridad pública, que éstas les garanticen al menos las prestaciones previstas para los trabajadores al servicio del Estado y municipios; coetáneo del derecho de exigir al Estado el pago de esas prestaciones, cuyo respeto no puede considerarse postergado o sujeto a la condición suspensiva de que la propia autoridad administrativa </w:t>
      </w:r>
      <w:r w:rsidRPr="00943146">
        <w:rPr>
          <w:rFonts w:ascii="Arial" w:eastAsia="Calibri" w:hAnsi="Arial" w:cs="Arial"/>
          <w:color w:val="000000"/>
          <w:sz w:val="26"/>
          <w:szCs w:val="26"/>
        </w:rPr>
        <w:lastRenderedPageBreak/>
        <w:t>emita la normatividad correspondiente que reglamente las hipótesis en las que operarán los derechos respectivos, puesto que, en principio, ante la vigencia de la disposición legal relativa, la protección del derecho garantizado es inmediata, ya que, en tal hipótesis, no se requieren medios legales diferentes al existente para que la autoridad cumpla cabalmente y desde luego, con el mandato legal de hacer efectivo el derecho de los miembros de las instituciones de seguridad pública cesados injustificadamente, de que le sean cubiertas al menos las prestaciones previstas para los trabajadores al servicio del Estado y Municipios.</w:t>
      </w:r>
    </w:p>
    <w:p w:rsidR="00386E97" w:rsidRPr="00943146" w:rsidRDefault="00386E97" w:rsidP="00386E97">
      <w:pPr>
        <w:autoSpaceDE w:val="0"/>
        <w:autoSpaceDN w:val="0"/>
        <w:adjustRightInd w:val="0"/>
        <w:spacing w:after="0" w:line="360" w:lineRule="auto"/>
        <w:jc w:val="both"/>
        <w:rPr>
          <w:rFonts w:ascii="Arial" w:eastAsia="Calibri" w:hAnsi="Arial" w:cs="Arial"/>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Por consiguiente, </w:t>
      </w:r>
      <w:r w:rsidRPr="00943146">
        <w:rPr>
          <w:rFonts w:ascii="Arial" w:eastAsia="Calibri" w:hAnsi="Arial" w:cs="Arial"/>
          <w:b/>
          <w:color w:val="000000"/>
          <w:sz w:val="26"/>
          <w:szCs w:val="26"/>
        </w:rPr>
        <w:t>la ausencia de la normatividad</w:t>
      </w:r>
      <w:r w:rsidRPr="00943146">
        <w:rPr>
          <w:rFonts w:ascii="Arial" w:eastAsia="Calibri" w:hAnsi="Arial" w:cs="Arial"/>
          <w:color w:val="000000"/>
          <w:sz w:val="26"/>
          <w:szCs w:val="26"/>
        </w:rPr>
        <w:t xml:space="preserve"> emitida por las propias instituciones de seguridad pública para hacer efectivo ese derecho, </w:t>
      </w:r>
      <w:r w:rsidRPr="00943146">
        <w:rPr>
          <w:rFonts w:ascii="Arial" w:eastAsia="Calibri" w:hAnsi="Arial" w:cs="Arial"/>
          <w:b/>
          <w:color w:val="000000"/>
          <w:sz w:val="26"/>
          <w:szCs w:val="26"/>
        </w:rPr>
        <w:t>no impide su cumplimiento, dado que al concederlo el legislador estatal,</w:t>
      </w:r>
      <w:r w:rsidRPr="00943146">
        <w:rPr>
          <w:rFonts w:ascii="Arial" w:eastAsia="Calibri" w:hAnsi="Arial" w:cs="Arial"/>
          <w:color w:val="000000"/>
          <w:sz w:val="26"/>
          <w:szCs w:val="26"/>
        </w:rPr>
        <w:t xml:space="preserve"> en el citado artículo 51 de la Ley del Sistema de Seguridad Pública, permite exigir su cumplimiento, pues arribar a una postura contraria, sería tanto como desconocer la existencia del mencionado derecho instituido a favor de los miembros de las instituciones de seguridad pública.</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En otras palabras, no es la normatividad que al efecto emitan las instituciones de seguridad pública la que condiciona que se garanticen para su personal, al menos las prestaciones previstas para los trabajadores al servicio del Estado y municipios, sino el propio texto de la legislación de seguridad pública estatal en consulta es lo que permite que esas prestaciones mínimas sean garantizadas.</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386E97" w:rsidRPr="00943146" w:rsidRDefault="00386E97" w:rsidP="00386E97">
      <w:pPr>
        <w:autoSpaceDE w:val="0"/>
        <w:autoSpaceDN w:val="0"/>
        <w:adjustRightInd w:val="0"/>
        <w:spacing w:after="0"/>
        <w:ind w:left="709"/>
        <w:jc w:val="both"/>
        <w:rPr>
          <w:rFonts w:ascii="Arial" w:eastAsia="Times New Roman" w:hAnsi="Arial" w:cs="Arial"/>
          <w:b/>
          <w:bCs/>
          <w:i/>
          <w:color w:val="000000"/>
          <w:lang w:eastAsia="es-MX"/>
        </w:rPr>
      </w:pPr>
    </w:p>
    <w:p w:rsidR="00386E97" w:rsidRPr="00943146" w:rsidRDefault="00386E97" w:rsidP="00386E97">
      <w:pPr>
        <w:autoSpaceDE w:val="0"/>
        <w:autoSpaceDN w:val="0"/>
        <w:adjustRightInd w:val="0"/>
        <w:spacing w:after="0"/>
        <w:ind w:left="709"/>
        <w:jc w:val="both"/>
        <w:rPr>
          <w:rFonts w:ascii="Arial" w:eastAsia="Times New Roman" w:hAnsi="Arial" w:cs="Arial"/>
          <w:i/>
          <w:color w:val="000000"/>
          <w:sz w:val="21"/>
          <w:szCs w:val="21"/>
          <w:lang w:eastAsia="es-MX"/>
        </w:rPr>
      </w:pPr>
      <w:r w:rsidRPr="00943146">
        <w:rPr>
          <w:rFonts w:ascii="Arial" w:eastAsia="Times New Roman" w:hAnsi="Arial" w:cs="Arial"/>
          <w:b/>
          <w:bCs/>
          <w:i/>
          <w:color w:val="000000"/>
          <w:sz w:val="21"/>
          <w:szCs w:val="21"/>
          <w:lang w:eastAsia="es-MX"/>
        </w:rPr>
        <w:t xml:space="preserve">“MIEMBROS DE LAS INSTITUCIONES POLICIALES. EL DERECHO A LA INDEMNIZACIÓN CON MOTIVO DE CUALQUIER FORMA DE TERMINACIÓN INJUSTIFICADA DE SU RELACIÓN ADMINISTRATIVA CON EL ESTADO, </w:t>
      </w:r>
      <w:r w:rsidRPr="00943146">
        <w:rPr>
          <w:rFonts w:ascii="Arial" w:eastAsia="Times New Roman" w:hAnsi="Arial" w:cs="Arial"/>
          <w:b/>
          <w:bCs/>
          <w:i/>
          <w:color w:val="000000"/>
          <w:sz w:val="21"/>
          <w:szCs w:val="21"/>
          <w:lang w:eastAsia="es-MX"/>
        </w:rPr>
        <w:lastRenderedPageBreak/>
        <w:t xml:space="preserve">COMPRENDE EL PAGO DE TRES MESES DE SUELDO Y </w:t>
      </w:r>
      <w:r w:rsidRPr="00943146">
        <w:rPr>
          <w:rFonts w:ascii="Arial" w:eastAsia="Times New Roman" w:hAnsi="Arial" w:cs="Arial"/>
          <w:b/>
          <w:bCs/>
          <w:i/>
          <w:sz w:val="21"/>
          <w:szCs w:val="21"/>
          <w:lang w:eastAsia="es-MX"/>
        </w:rPr>
        <w:t xml:space="preserve">VEINTE DÍAS POR AÑO </w:t>
      </w:r>
      <w:r w:rsidRPr="00943146">
        <w:rPr>
          <w:rFonts w:ascii="Arial" w:eastAsia="Times New Roman" w:hAnsi="Arial" w:cs="Arial"/>
          <w:b/>
          <w:bCs/>
          <w:i/>
          <w:color w:val="000000"/>
          <w:sz w:val="21"/>
          <w:szCs w:val="21"/>
          <w:lang w:eastAsia="es-MX"/>
        </w:rPr>
        <w:t xml:space="preserve">LABORADO (APLICACIÓN ANALÓGICA DE LA FRACCIÓN XXII DEL APARTADO A DEL ARTÍCULO 123 DE LA CONSTITUCIÓN FEDERAL). </w:t>
      </w:r>
      <w:r w:rsidRPr="00943146">
        <w:rPr>
          <w:rFonts w:ascii="Arial" w:eastAsia="Times New Roman" w:hAnsi="Arial" w:cs="Arial"/>
          <w:i/>
          <w:color w:val="000000"/>
          <w:sz w:val="21"/>
          <w:szCs w:val="21"/>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r w:rsidRPr="00943146">
        <w:rPr>
          <w:rFonts w:ascii="Arial" w:eastAsia="Times New Roman" w:hAnsi="Arial" w:cs="Arial"/>
          <w:bCs/>
          <w:i/>
          <w:sz w:val="21"/>
          <w:szCs w:val="21"/>
          <w:lang w:eastAsia="es-MX"/>
        </w:rPr>
        <w:t>por</w:t>
      </w:r>
      <w:r w:rsidRPr="00943146">
        <w:rPr>
          <w:rFonts w:ascii="Arial" w:eastAsia="Times New Roman" w:hAnsi="Arial" w:cs="Arial"/>
          <w:i/>
          <w:sz w:val="21"/>
          <w:szCs w:val="21"/>
          <w:lang w:eastAsia="es-MX"/>
        </w:rPr>
        <w:t xml:space="preserve"> </w:t>
      </w:r>
      <w:r w:rsidRPr="00943146">
        <w:rPr>
          <w:rFonts w:ascii="Arial" w:eastAsia="Times New Roman" w:hAnsi="Arial" w:cs="Arial"/>
          <w:i/>
          <w:color w:val="000000"/>
          <w:sz w:val="21"/>
          <w:szCs w:val="21"/>
          <w:lang w:eastAsia="es-MX"/>
        </w:rPr>
        <w:t>analogía,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disposición legal, tres meses de salario y </w:t>
      </w:r>
      <w:r w:rsidRPr="00943146">
        <w:rPr>
          <w:rFonts w:ascii="Arial" w:eastAsia="Times New Roman" w:hAnsi="Arial" w:cs="Arial"/>
          <w:bCs/>
          <w:i/>
          <w:sz w:val="21"/>
          <w:szCs w:val="21"/>
          <w:lang w:eastAsia="es-MX"/>
        </w:rPr>
        <w:t>veinte</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días</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por</w:t>
      </w:r>
      <w:r w:rsidRPr="00943146">
        <w:rPr>
          <w:rFonts w:ascii="Arial" w:eastAsia="Times New Roman" w:hAnsi="Arial" w:cs="Arial"/>
          <w:i/>
          <w:sz w:val="21"/>
          <w:szCs w:val="21"/>
          <w:lang w:eastAsia="es-MX"/>
        </w:rPr>
        <w:t xml:space="preserve"> cada </w:t>
      </w:r>
      <w:r w:rsidRPr="00943146">
        <w:rPr>
          <w:rFonts w:ascii="Arial" w:eastAsia="Times New Roman" w:hAnsi="Arial" w:cs="Arial"/>
          <w:bCs/>
          <w:i/>
          <w:sz w:val="21"/>
          <w:szCs w:val="21"/>
          <w:lang w:eastAsia="es-MX"/>
        </w:rPr>
        <w:t xml:space="preserve">año </w:t>
      </w:r>
      <w:r w:rsidRPr="00943146">
        <w:rPr>
          <w:rFonts w:ascii="Arial" w:eastAsia="Times New Roman" w:hAnsi="Arial" w:cs="Arial"/>
          <w:i/>
          <w:sz w:val="21"/>
          <w:szCs w:val="21"/>
          <w:lang w:eastAsia="es-MX"/>
        </w:rPr>
        <w:t xml:space="preserve">laborado, puesto que es el mínimo suficiente para indemnizar al trabajador de los daños y perjuicios que se le provocaron con el despido ilegal.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la reinstalación debe aplicarse,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analogía, la fracción XXII del apartado A citada, en el sentido de que la indemnización que debe cubrir el Estado incluye el pago de tres meses de sueldo, más </w:t>
      </w:r>
      <w:r w:rsidRPr="00943146">
        <w:rPr>
          <w:rFonts w:ascii="Arial" w:eastAsia="Times New Roman" w:hAnsi="Arial" w:cs="Arial"/>
          <w:bCs/>
          <w:i/>
          <w:sz w:val="21"/>
          <w:szCs w:val="21"/>
          <w:lang w:eastAsia="es-MX"/>
        </w:rPr>
        <w:t>veinte días</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por</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año</w:t>
      </w:r>
      <w:r w:rsidRPr="00943146">
        <w:rPr>
          <w:rFonts w:ascii="Arial" w:eastAsia="Times New Roman" w:hAnsi="Arial" w:cs="Arial"/>
          <w:i/>
          <w:sz w:val="21"/>
          <w:szCs w:val="21"/>
          <w:lang w:eastAsia="es-MX"/>
        </w:rPr>
        <w:t xml:space="preserve"> efectivo de servicios, salvo que exista una norma específica en el ordenamiento federal o local, según correspond</w:t>
      </w:r>
      <w:r w:rsidRPr="00943146">
        <w:rPr>
          <w:rFonts w:ascii="Arial" w:eastAsia="Times New Roman" w:hAnsi="Arial" w:cs="Arial"/>
          <w:i/>
          <w:color w:val="000000"/>
          <w:sz w:val="21"/>
          <w:szCs w:val="21"/>
          <w:lang w:eastAsia="es-MX"/>
        </w:rPr>
        <w:t>a, que estatuya una indemnización mayor ...”</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4"/>
          <w:szCs w:val="24"/>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En las relatadas condiciones, en el caso concreto, a efecto de determinar el monto que corresponde a los servidores públicos sujetos al régimen constitucional de excepción contenido en el artículo 123, apartado B, fracción XIII, segundo párrafo, de la Carta Magna, resulta aplicable como mínimo, el monto establecido deriva por la remisión que hace el artículo 54 de la Ley del Sistema de Seguridad Pública, así como de los parámetros a los que el propio Constituyente refirió al permitir fuese la normatividad secundaria la que los delimitara. En </w:t>
      </w:r>
      <w:r w:rsidRPr="00943146">
        <w:rPr>
          <w:rFonts w:ascii="Arial" w:eastAsia="Calibri" w:hAnsi="Arial" w:cs="Arial"/>
          <w:color w:val="000000"/>
          <w:sz w:val="26"/>
          <w:szCs w:val="26"/>
        </w:rPr>
        <w:lastRenderedPageBreak/>
        <w:t xml:space="preserve">consecuencia, </w:t>
      </w:r>
      <w:r w:rsidRPr="00943146">
        <w:rPr>
          <w:rFonts w:ascii="Arial" w:eastAsia="Calibri" w:hAnsi="Arial" w:cs="Arial"/>
          <w:b/>
          <w:color w:val="000000"/>
          <w:sz w:val="26"/>
          <w:szCs w:val="26"/>
        </w:rPr>
        <w:t>dicha indemnización de tres meses de salario, también engloba el pago de veinte días por cada año de servicio</w:t>
      </w:r>
      <w:r w:rsidRPr="00943146">
        <w:rPr>
          <w:rFonts w:ascii="Arial" w:eastAsia="Calibri" w:hAnsi="Arial" w:cs="Arial"/>
          <w:color w:val="000000"/>
          <w:sz w:val="26"/>
          <w:szCs w:val="26"/>
        </w:rPr>
        <w:t>.</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Por último, se aclara que con el criterio adoptado, no se contraviene la jurisprudencia 2ª/J. 119/2011, de rubro: </w:t>
      </w:r>
      <w:r w:rsidRPr="00943146">
        <w:rPr>
          <w:rFonts w:ascii="Arial" w:eastAsia="Calibri" w:hAnsi="Arial" w:cs="Arial"/>
          <w:bCs/>
          <w:i/>
          <w:color w:val="000000"/>
          <w:sz w:val="26"/>
          <w:szCs w:val="26"/>
        </w:rPr>
        <w:t>“SEGURIDAD PUBLICA. PARA DETERMINAR LOS CONCEPTOS QUE DEBEN INTEGRAR LA INDEMNIZACIÓN ESTABLECIDA EN EL ARTICULO 123, APARTADO B, FRACCIÓN XIII, DE LA CONSTITUCIÓN POLÍTICA DE LOS ESTADOS UNIDOS MEXICANOS, NO ES APLICABLE, NI AUN SUPLETORIAMENTE, LA LEY FEDERAL DEL TRABAJO.”;</w:t>
      </w:r>
      <w:r w:rsidRPr="00943146">
        <w:rPr>
          <w:rFonts w:ascii="Arial" w:eastAsia="Calibri" w:hAnsi="Arial" w:cs="Arial"/>
          <w:i/>
          <w:color w:val="000000"/>
          <w:sz w:val="26"/>
          <w:szCs w:val="26"/>
        </w:rPr>
        <w:t xml:space="preserve"> </w:t>
      </w:r>
      <w:r w:rsidRPr="00943146">
        <w:rPr>
          <w:rFonts w:ascii="Arial" w:eastAsia="Calibri" w:hAnsi="Arial" w:cs="Arial"/>
          <w:color w:val="000000"/>
          <w:sz w:val="26"/>
          <w:szCs w:val="26"/>
        </w:rPr>
        <w:t>toda vez que de su texto se colige que para determinar los conceptos que deben integrar la indemnización prevista en el citado precepto constitucional ha de estarse a lo dispuesto en la propia Constitución y, en su caso, en las leyes administrativas correspondientes; de ahí que, si como ha quedado de manifiesto, la Ley del Sistema de Seguridad Pública del Estado es la que permite la aplicación de la Ley Burocrática local, es válido acudir a esta última para integrar la indemnización de que se trata.</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En consecuencia, </w:t>
      </w:r>
      <w:r w:rsidRPr="00943146">
        <w:rPr>
          <w:rFonts w:ascii="Arial" w:eastAsia="Calibri" w:hAnsi="Arial" w:cs="Arial"/>
          <w:b/>
          <w:color w:val="000000"/>
          <w:sz w:val="26"/>
          <w:szCs w:val="26"/>
        </w:rPr>
        <w:t>se ordena la restitución de la parte actora</w:t>
      </w:r>
      <w:r w:rsidRPr="00943146">
        <w:rPr>
          <w:rFonts w:ascii="Arial" w:eastAsia="Calibri" w:hAnsi="Arial" w:cs="Arial"/>
          <w:color w:val="000000"/>
          <w:sz w:val="26"/>
          <w:szCs w:val="26"/>
        </w:rPr>
        <w:t xml:space="preserve"> en los derechos que le fueron indebidamente privados con el acto impugnado, </w:t>
      </w:r>
      <w:r w:rsidRPr="00943146">
        <w:rPr>
          <w:rFonts w:ascii="Arial" w:eastAsia="Calibri" w:hAnsi="Arial" w:cs="Arial"/>
          <w:b/>
          <w:color w:val="000000"/>
          <w:sz w:val="26"/>
          <w:szCs w:val="26"/>
        </w:rPr>
        <w:t xml:space="preserve">consistente en: </w:t>
      </w:r>
      <w:r w:rsidRPr="00943146">
        <w:rPr>
          <w:rFonts w:ascii="Arial" w:eastAsia="Calibri" w:hAnsi="Arial" w:cs="Arial"/>
          <w:color w:val="000000"/>
          <w:sz w:val="26"/>
          <w:szCs w:val="26"/>
        </w:rPr>
        <w:t xml:space="preserve">el pago de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943146">
        <w:rPr>
          <w:rFonts w:ascii="Arial" w:eastAsia="Calibri" w:hAnsi="Arial" w:cs="Arial"/>
          <w:b/>
          <w:color w:val="000000"/>
          <w:sz w:val="26"/>
          <w:szCs w:val="26"/>
          <w:u w:val="single"/>
        </w:rPr>
        <w:t>hasta por un periodo máximo de seis meses</w:t>
      </w:r>
      <w:r w:rsidRPr="00943146">
        <w:rPr>
          <w:rFonts w:ascii="Arial" w:eastAsia="Calibri" w:hAnsi="Arial" w:cs="Arial"/>
          <w:color w:val="000000"/>
          <w:sz w:val="26"/>
          <w:szCs w:val="26"/>
        </w:rPr>
        <w:t xml:space="preserve">, </w:t>
      </w:r>
      <w:r w:rsidRPr="00943146">
        <w:rPr>
          <w:rFonts w:ascii="Arial" w:eastAsia="Calibri" w:hAnsi="Arial" w:cs="Arial"/>
          <w:iCs/>
          <w:color w:val="000000"/>
          <w:sz w:val="26"/>
          <w:szCs w:val="26"/>
        </w:rPr>
        <w:t>en cumplimiento de esta sentencia</w:t>
      </w:r>
      <w:r w:rsidRPr="00943146">
        <w:rPr>
          <w:rFonts w:ascii="Arial" w:eastAsia="Calibri" w:hAnsi="Arial" w:cs="Arial"/>
          <w:i/>
          <w:iCs/>
          <w:color w:val="000000"/>
          <w:sz w:val="26"/>
          <w:szCs w:val="26"/>
        </w:rPr>
        <w:t xml:space="preserve">, </w:t>
      </w:r>
      <w:r w:rsidRPr="00943146">
        <w:rPr>
          <w:rFonts w:ascii="Arial" w:eastAsia="Calibri" w:hAnsi="Arial" w:cs="Arial"/>
          <w:color w:val="000000"/>
          <w:sz w:val="26"/>
          <w:szCs w:val="26"/>
        </w:rPr>
        <w:t>lo que deberá hacerse conforme a la Constitución, legislación y reglamentos estatales y municipales, y criterios Jurisprudenciales que prevén expresamente el monto por indemnización para estos casos.</w:t>
      </w:r>
    </w:p>
    <w:p w:rsidR="00386E97" w:rsidRPr="00943146" w:rsidRDefault="00386E97" w:rsidP="00386E97">
      <w:pPr>
        <w:autoSpaceDE w:val="0"/>
        <w:autoSpaceDN w:val="0"/>
        <w:adjustRightInd w:val="0"/>
        <w:spacing w:after="0" w:line="360" w:lineRule="auto"/>
        <w:jc w:val="both"/>
        <w:rPr>
          <w:rFonts w:ascii="Arial" w:eastAsia="Calibri" w:hAnsi="Arial" w:cs="Arial"/>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b/>
          <w:color w:val="000000"/>
          <w:sz w:val="26"/>
          <w:szCs w:val="26"/>
        </w:rPr>
      </w:pPr>
      <w:r w:rsidRPr="00943146">
        <w:rPr>
          <w:rFonts w:ascii="Arial" w:eastAsia="Calibri" w:hAnsi="Arial" w:cs="Arial"/>
          <w:color w:val="000000"/>
          <w:sz w:val="26"/>
          <w:szCs w:val="26"/>
        </w:rPr>
        <w:lastRenderedPageBreak/>
        <w:t xml:space="preserve">Por lo que, con fundamento en el artículo 252 del </w:t>
      </w:r>
      <w:r w:rsidRPr="00943146">
        <w:rPr>
          <w:rFonts w:ascii="Arial" w:eastAsia="Times New Roman" w:hAnsi="Arial" w:cs="Arial"/>
          <w:bCs/>
          <w:color w:val="000000"/>
          <w:sz w:val="26"/>
          <w:szCs w:val="26"/>
          <w:lang w:val="es-ES" w:eastAsia="es-ES"/>
        </w:rPr>
        <w:t>Código Procesal Administrativo para el Estado de San Luis Potosí,</w:t>
      </w:r>
      <w:r w:rsidRPr="00943146">
        <w:rPr>
          <w:rFonts w:ascii="Arial" w:eastAsia="Calibri" w:hAnsi="Arial" w:cs="Arial"/>
          <w:color w:val="000000"/>
          <w:sz w:val="26"/>
          <w:szCs w:val="26"/>
        </w:rPr>
        <w:t xml:space="preserve"> concatenados con el precepto 123 apartado B fracción XIII de la Constitución Política de los Estados Unidos Mexicanos, y numerales 51 y 54 de la Ley del Sistema de Seguridad Pública del Estado; </w:t>
      </w:r>
      <w:r w:rsidRPr="00943146">
        <w:rPr>
          <w:rFonts w:ascii="Arial" w:eastAsia="Calibri" w:hAnsi="Arial" w:cs="Arial"/>
          <w:b/>
          <w:color w:val="000000"/>
          <w:sz w:val="26"/>
          <w:szCs w:val="26"/>
        </w:rPr>
        <w:t>la autoridad demandada deberá pagar a la actora lo siguiente:</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b/>
          <w:bCs/>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bCs/>
          <w:color w:val="000000"/>
          <w:sz w:val="26"/>
          <w:szCs w:val="26"/>
        </w:rPr>
      </w:pPr>
      <w:r w:rsidRPr="00943146">
        <w:rPr>
          <w:rFonts w:ascii="Arial" w:eastAsia="Calibri" w:hAnsi="Arial" w:cs="Arial"/>
          <w:b/>
          <w:bCs/>
          <w:color w:val="000000"/>
          <w:sz w:val="26"/>
          <w:szCs w:val="26"/>
        </w:rPr>
        <w:t xml:space="preserve">a) </w:t>
      </w:r>
      <w:r w:rsidRPr="00943146">
        <w:rPr>
          <w:rFonts w:ascii="Arial" w:eastAsia="Calibri" w:hAnsi="Arial" w:cs="Arial"/>
          <w:b/>
          <w:color w:val="000000"/>
          <w:sz w:val="26"/>
          <w:szCs w:val="26"/>
        </w:rPr>
        <w:t xml:space="preserve">La </w:t>
      </w:r>
      <w:r w:rsidRPr="00943146">
        <w:rPr>
          <w:rFonts w:ascii="Arial" w:eastAsia="Calibri" w:hAnsi="Arial" w:cs="Arial"/>
          <w:b/>
          <w:bCs/>
          <w:color w:val="000000"/>
          <w:sz w:val="26"/>
          <w:szCs w:val="26"/>
          <w:u w:val="single"/>
        </w:rPr>
        <w:t>indemnización</w:t>
      </w:r>
      <w:r w:rsidRPr="00943146">
        <w:rPr>
          <w:rFonts w:ascii="Arial" w:eastAsia="Calibri" w:hAnsi="Arial" w:cs="Arial"/>
          <w:color w:val="000000"/>
          <w:sz w:val="26"/>
          <w:szCs w:val="26"/>
        </w:rPr>
        <w:t xml:space="preserve"> a que se refiere el artículo 123 apartado B fracción XIII, segundo párrafo, de la Constitución Política de los Estados Unidos Mexicanos, misma que debe ser un importe igual a </w:t>
      </w:r>
      <w:r w:rsidRPr="00943146">
        <w:rPr>
          <w:rFonts w:ascii="Arial" w:eastAsia="Calibri" w:hAnsi="Arial" w:cs="Arial"/>
          <w:b/>
          <w:bCs/>
          <w:color w:val="000000"/>
          <w:sz w:val="26"/>
          <w:szCs w:val="26"/>
          <w:u w:val="single"/>
        </w:rPr>
        <w:t>tres meses</w:t>
      </w:r>
      <w:r w:rsidRPr="00943146">
        <w:rPr>
          <w:rFonts w:ascii="Arial" w:eastAsia="Calibri" w:hAnsi="Arial" w:cs="Arial"/>
          <w:b/>
          <w:bCs/>
          <w:color w:val="000000"/>
          <w:sz w:val="26"/>
          <w:szCs w:val="26"/>
        </w:rPr>
        <w:t xml:space="preserve"> de los últimos haberes percibidos, debidamente integrados;</w:t>
      </w:r>
      <w:r w:rsidRPr="00943146">
        <w:rPr>
          <w:rFonts w:ascii="Arial" w:eastAsia="Calibri" w:hAnsi="Arial" w:cs="Arial"/>
          <w:color w:val="000000"/>
          <w:sz w:val="26"/>
          <w:szCs w:val="26"/>
        </w:rPr>
        <w:t xml:space="preserve"> y además,</w:t>
      </w:r>
      <w:r w:rsidRPr="00943146">
        <w:rPr>
          <w:rFonts w:ascii="Arial" w:eastAsia="Calibri" w:hAnsi="Arial" w:cs="Arial"/>
          <w:b/>
          <w:bCs/>
          <w:color w:val="000000"/>
          <w:sz w:val="26"/>
          <w:szCs w:val="26"/>
        </w:rPr>
        <w:t xml:space="preserve"> </w:t>
      </w:r>
      <w:r w:rsidRPr="00943146">
        <w:rPr>
          <w:rFonts w:ascii="Arial" w:eastAsia="Calibri" w:hAnsi="Arial" w:cs="Arial"/>
          <w:b/>
          <w:bCs/>
          <w:color w:val="000000"/>
          <w:sz w:val="26"/>
          <w:szCs w:val="26"/>
          <w:u w:val="single"/>
        </w:rPr>
        <w:t>veinte días</w:t>
      </w:r>
      <w:r w:rsidRPr="00943146">
        <w:rPr>
          <w:rFonts w:ascii="Arial" w:eastAsia="Calibri" w:hAnsi="Arial" w:cs="Arial"/>
          <w:b/>
          <w:bCs/>
          <w:color w:val="000000"/>
          <w:sz w:val="26"/>
          <w:szCs w:val="26"/>
        </w:rPr>
        <w:t xml:space="preserve"> por cada año de servicio. </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bCs/>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b/>
          <w:iCs/>
          <w:color w:val="000000"/>
          <w:sz w:val="26"/>
          <w:szCs w:val="26"/>
        </w:rPr>
      </w:pPr>
      <w:r w:rsidRPr="00943146">
        <w:rPr>
          <w:rFonts w:ascii="Arial" w:eastAsia="Calibri" w:hAnsi="Arial" w:cs="Arial"/>
          <w:b/>
          <w:bCs/>
          <w:color w:val="000000"/>
          <w:sz w:val="26"/>
          <w:szCs w:val="26"/>
        </w:rPr>
        <w:t>b) L</w:t>
      </w:r>
      <w:r w:rsidRPr="00943146">
        <w:rPr>
          <w:rFonts w:ascii="Arial" w:eastAsia="Calibri" w:hAnsi="Arial" w:cs="Arial"/>
          <w:b/>
          <w:color w:val="000000"/>
          <w:sz w:val="26"/>
          <w:szCs w:val="26"/>
        </w:rPr>
        <w:t xml:space="preserve">as </w:t>
      </w:r>
      <w:r w:rsidRPr="00943146">
        <w:rPr>
          <w:rFonts w:ascii="Arial" w:eastAsia="Calibri" w:hAnsi="Arial" w:cs="Arial"/>
          <w:b/>
          <w:bCs/>
          <w:color w:val="000000"/>
          <w:sz w:val="26"/>
          <w:szCs w:val="26"/>
          <w:u w:val="single"/>
        </w:rPr>
        <w:t>prestaciones a que tiene derecho</w:t>
      </w:r>
      <w:r w:rsidRPr="00943146">
        <w:rPr>
          <w:rFonts w:ascii="Arial" w:eastAsia="Calibri" w:hAnsi="Arial" w:cs="Arial"/>
          <w:b/>
          <w:bCs/>
          <w:color w:val="000000"/>
          <w:sz w:val="26"/>
          <w:szCs w:val="26"/>
        </w:rPr>
        <w:t>,</w:t>
      </w:r>
      <w:r w:rsidRPr="00943146">
        <w:rPr>
          <w:rFonts w:ascii="Arial" w:eastAsia="Calibri" w:hAnsi="Arial" w:cs="Arial"/>
          <w:color w:val="000000"/>
          <w:sz w:val="26"/>
          <w:szCs w:val="26"/>
        </w:rPr>
        <w:t xml:space="preserve"> </w:t>
      </w:r>
      <w:r w:rsidRPr="00943146">
        <w:rPr>
          <w:rFonts w:ascii="Arial" w:eastAsia="Calibri" w:hAnsi="Arial" w:cs="Arial"/>
          <w:iCs/>
          <w:color w:val="000000"/>
          <w:sz w:val="26"/>
          <w:szCs w:val="26"/>
        </w:rPr>
        <w:t xml:space="preserve">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943146">
        <w:rPr>
          <w:rFonts w:ascii="Arial" w:eastAsia="Calibri" w:hAnsi="Arial" w:cs="Arial"/>
          <w:b/>
          <w:iCs/>
          <w:color w:val="000000"/>
          <w:sz w:val="26"/>
          <w:szCs w:val="26"/>
          <w:u w:val="single"/>
        </w:rPr>
        <w:t>hasta por un periodo máximo de seis meses</w:t>
      </w:r>
      <w:r w:rsidRPr="00943146">
        <w:rPr>
          <w:rFonts w:ascii="Arial" w:eastAsia="Calibri" w:hAnsi="Arial" w:cs="Arial"/>
          <w:b/>
          <w:iCs/>
          <w:color w:val="000000"/>
          <w:sz w:val="26"/>
          <w:szCs w:val="26"/>
        </w:rPr>
        <w:t xml:space="preserve">.  </w:t>
      </w:r>
    </w:p>
    <w:p w:rsidR="00386E97" w:rsidRPr="00943146" w:rsidRDefault="00386E97" w:rsidP="00386E97">
      <w:pPr>
        <w:autoSpaceDE w:val="0"/>
        <w:autoSpaceDN w:val="0"/>
        <w:adjustRightInd w:val="0"/>
        <w:spacing w:after="0" w:line="360" w:lineRule="auto"/>
        <w:ind w:firstLine="708"/>
        <w:jc w:val="both"/>
        <w:rPr>
          <w:rFonts w:ascii="Arial" w:eastAsia="Calibri" w:hAnsi="Arial" w:cs="Arial"/>
          <w:iCs/>
          <w:color w:val="000000"/>
          <w:sz w:val="26"/>
          <w:szCs w:val="26"/>
        </w:rPr>
      </w:pPr>
    </w:p>
    <w:p w:rsidR="00386E97" w:rsidRPr="00943146" w:rsidRDefault="00386E97" w:rsidP="00386E97">
      <w:pPr>
        <w:autoSpaceDE w:val="0"/>
        <w:autoSpaceDN w:val="0"/>
        <w:adjustRightInd w:val="0"/>
        <w:spacing w:after="0" w:line="360" w:lineRule="auto"/>
        <w:ind w:firstLine="708"/>
        <w:jc w:val="both"/>
        <w:rPr>
          <w:rFonts w:ascii="Arial" w:eastAsia="Calibri" w:hAnsi="Arial" w:cs="Arial"/>
          <w:sz w:val="26"/>
          <w:szCs w:val="26"/>
        </w:rPr>
      </w:pPr>
      <w:r w:rsidRPr="00943146">
        <w:rPr>
          <w:rFonts w:ascii="Arial" w:eastAsia="Calibri" w:hAnsi="Arial" w:cs="Arial"/>
          <w:b/>
          <w:color w:val="000000"/>
          <w:sz w:val="26"/>
          <w:szCs w:val="26"/>
        </w:rPr>
        <w:t xml:space="preserve">d) Se ordena también a las autoridades demandadas </w:t>
      </w:r>
      <w:r w:rsidRPr="00943146">
        <w:rPr>
          <w:rFonts w:ascii="Arial" w:eastAsia="Calibri" w:hAnsi="Arial" w:cs="Arial"/>
          <w:sz w:val="26"/>
          <w:szCs w:val="26"/>
        </w:rPr>
        <w:t>con la finalidad de resarcir  integralmente a  la actora</w:t>
      </w:r>
      <w:r w:rsidRPr="00943146">
        <w:rPr>
          <w:rFonts w:ascii="Arial" w:eastAsia="Calibri" w:hAnsi="Arial" w:cs="Arial"/>
          <w:color w:val="000000"/>
          <w:sz w:val="26"/>
          <w:szCs w:val="26"/>
        </w:rPr>
        <w:t xml:space="preserve"> en los derechos que le fueron indebidamente privados con el acto impugnado que se declaró ilegal, </w:t>
      </w:r>
      <w:r w:rsidRPr="00943146">
        <w:rPr>
          <w:rFonts w:ascii="Arial" w:eastAsia="Calibri" w:hAnsi="Arial" w:cs="Arial"/>
          <w:sz w:val="26"/>
          <w:szCs w:val="26"/>
        </w:rPr>
        <w:t xml:space="preserve">lo siguiente:  </w:t>
      </w:r>
      <w:r w:rsidRPr="00943146">
        <w:rPr>
          <w:rFonts w:ascii="Arial" w:eastAsia="Calibri" w:hAnsi="Arial" w:cs="Arial"/>
          <w:b/>
          <w:sz w:val="26"/>
          <w:szCs w:val="26"/>
        </w:rPr>
        <w:t xml:space="preserve">Hacer la anotación en el expediente personal del actor, así como en el Registro Nacional de Seguridad Pública, de que fue separado, destituido o cesado de manera injustificada, </w:t>
      </w:r>
      <w:r w:rsidRPr="00943146">
        <w:rPr>
          <w:rFonts w:ascii="Arial" w:eastAsia="Calibri" w:hAnsi="Arial" w:cs="Arial"/>
          <w:sz w:val="26"/>
          <w:szCs w:val="26"/>
        </w:rPr>
        <w:t>pero que derivado de la restricción constitucional establecida en la fracción XIII, apartado B, del artículo 123 de la Constitución Política de los Estados Unidos Mexicanos, no fue posible reinstalarla en su cargo.</w:t>
      </w:r>
    </w:p>
    <w:p w:rsidR="00386E97" w:rsidRPr="00943146" w:rsidRDefault="00386E97" w:rsidP="00386E97">
      <w:pPr>
        <w:spacing w:after="0" w:line="360" w:lineRule="auto"/>
        <w:ind w:firstLine="709"/>
        <w:jc w:val="both"/>
        <w:rPr>
          <w:rFonts w:ascii="Arial" w:eastAsia="Calibri" w:hAnsi="Arial" w:cs="Arial"/>
          <w:sz w:val="26"/>
          <w:szCs w:val="26"/>
        </w:rPr>
      </w:pPr>
    </w:p>
    <w:p w:rsidR="00386E97" w:rsidRPr="00943146" w:rsidRDefault="00386E97" w:rsidP="00386E97">
      <w:pPr>
        <w:spacing w:after="0" w:line="360" w:lineRule="auto"/>
        <w:ind w:firstLine="708"/>
        <w:jc w:val="both"/>
        <w:rPr>
          <w:rFonts w:ascii="Arial" w:eastAsia="Calibri" w:hAnsi="Arial" w:cs="Arial"/>
          <w:sz w:val="26"/>
          <w:szCs w:val="26"/>
        </w:rPr>
      </w:pPr>
      <w:r w:rsidRPr="00943146">
        <w:rPr>
          <w:rFonts w:ascii="Arial" w:eastAsia="Calibri" w:hAnsi="Arial" w:cs="Arial"/>
          <w:sz w:val="26"/>
          <w:szCs w:val="26"/>
        </w:rPr>
        <w:t>Ello, ante el cese injustificado del actor que se decr</w:t>
      </w:r>
      <w:r>
        <w:rPr>
          <w:rFonts w:ascii="Arial" w:eastAsia="Calibri" w:hAnsi="Arial" w:cs="Arial"/>
          <w:sz w:val="26"/>
          <w:szCs w:val="26"/>
        </w:rPr>
        <w:t>etó por esta Sala, debiendo ser</w:t>
      </w:r>
      <w:r w:rsidRPr="00943146">
        <w:rPr>
          <w:rFonts w:ascii="Arial" w:eastAsia="Calibri" w:hAnsi="Arial" w:cs="Arial"/>
          <w:b/>
          <w:sz w:val="26"/>
          <w:szCs w:val="26"/>
        </w:rPr>
        <w:t xml:space="preserve"> reparado integralmente el derecho violado</w:t>
      </w:r>
      <w:r w:rsidRPr="00943146">
        <w:rPr>
          <w:rFonts w:ascii="Arial" w:eastAsia="Calibri" w:hAnsi="Arial" w:cs="Arial"/>
          <w:sz w:val="26"/>
          <w:szCs w:val="26"/>
        </w:rPr>
        <w:t>, lo que se logra, además del pago de la indemnización correspondiente y de las prestaciones a que tiene derecho, con la anotación en su expediente, resguardado en el Registro Nacional y Estatal de Personal de Seguridad Pública, de que fue separad</w:t>
      </w:r>
      <w:r w:rsidRPr="00BC3101">
        <w:rPr>
          <w:rFonts w:ascii="Arial" w:eastAsia="Calibri" w:hAnsi="Arial" w:cs="Arial"/>
          <w:sz w:val="26"/>
          <w:szCs w:val="26"/>
        </w:rPr>
        <w:t>o</w:t>
      </w:r>
      <w:r w:rsidRPr="00943146">
        <w:rPr>
          <w:rFonts w:ascii="Arial" w:eastAsia="Calibri" w:hAnsi="Arial" w:cs="Arial"/>
          <w:sz w:val="26"/>
          <w:szCs w:val="26"/>
        </w:rPr>
        <w:t>, destitu</w:t>
      </w:r>
      <w:r w:rsidRPr="00BC3101">
        <w:rPr>
          <w:rFonts w:ascii="Arial" w:eastAsia="Calibri" w:hAnsi="Arial" w:cs="Arial"/>
          <w:sz w:val="26"/>
          <w:szCs w:val="26"/>
        </w:rPr>
        <w:t>ido</w:t>
      </w:r>
      <w:r w:rsidRPr="00943146">
        <w:rPr>
          <w:rFonts w:ascii="Arial" w:eastAsia="Calibri" w:hAnsi="Arial" w:cs="Arial"/>
          <w:sz w:val="26"/>
          <w:szCs w:val="26"/>
        </w:rPr>
        <w:t xml:space="preserve"> o cesad</w:t>
      </w:r>
      <w:r w:rsidRPr="00BC3101">
        <w:rPr>
          <w:rFonts w:ascii="Arial" w:eastAsia="Calibri" w:hAnsi="Arial" w:cs="Arial"/>
          <w:sz w:val="26"/>
          <w:szCs w:val="26"/>
        </w:rPr>
        <w:t>o</w:t>
      </w:r>
      <w:r w:rsidRPr="00943146">
        <w:rPr>
          <w:rFonts w:ascii="Arial" w:eastAsia="Calibri" w:hAnsi="Arial" w:cs="Arial"/>
          <w:sz w:val="26"/>
          <w:szCs w:val="26"/>
        </w:rPr>
        <w:t xml:space="preserve"> de manera injustificada, pero</w:t>
      </w:r>
      <w:r w:rsidRPr="00BC3101">
        <w:rPr>
          <w:rFonts w:ascii="Arial" w:eastAsia="Calibri" w:hAnsi="Arial" w:cs="Arial"/>
          <w:sz w:val="26"/>
          <w:szCs w:val="26"/>
        </w:rPr>
        <w:t xml:space="preserve"> que no fue posible reinstalarlo</w:t>
      </w:r>
      <w:r w:rsidRPr="00943146">
        <w:rPr>
          <w:rFonts w:ascii="Arial" w:eastAsia="Calibri" w:hAnsi="Arial" w:cs="Arial"/>
          <w:sz w:val="26"/>
          <w:szCs w:val="26"/>
        </w:rPr>
        <w:t xml:space="preserve"> en su cargo, </w:t>
      </w:r>
      <w:r w:rsidRPr="00943146">
        <w:rPr>
          <w:rFonts w:ascii="Arial" w:eastAsia="Calibri" w:hAnsi="Arial" w:cs="Arial"/>
          <w:sz w:val="26"/>
          <w:szCs w:val="26"/>
        </w:rPr>
        <w:lastRenderedPageBreak/>
        <w:t>derivado de la restricción constitucional establecida en la fracción XIII, apartado B, del artículo 123 de la Constitución Política de los Estados Unidos Mexicanos.</w:t>
      </w:r>
    </w:p>
    <w:p w:rsidR="00386E97" w:rsidRPr="00943146" w:rsidRDefault="00386E97" w:rsidP="00386E97">
      <w:pPr>
        <w:spacing w:after="0" w:line="360" w:lineRule="auto"/>
        <w:ind w:firstLine="708"/>
        <w:jc w:val="both"/>
        <w:rPr>
          <w:rFonts w:ascii="Arial" w:eastAsia="Calibri" w:hAnsi="Arial" w:cs="Arial"/>
          <w:sz w:val="26"/>
          <w:szCs w:val="26"/>
        </w:rPr>
      </w:pPr>
    </w:p>
    <w:p w:rsidR="00386E97" w:rsidRPr="00943146" w:rsidRDefault="00386E97" w:rsidP="00386E97">
      <w:pPr>
        <w:spacing w:after="0" w:line="360" w:lineRule="auto"/>
        <w:jc w:val="both"/>
        <w:rPr>
          <w:rFonts w:ascii="Arial" w:eastAsia="Calibri" w:hAnsi="Arial" w:cs="Arial"/>
          <w:sz w:val="26"/>
          <w:szCs w:val="26"/>
        </w:rPr>
      </w:pPr>
      <w:r w:rsidRPr="00943146">
        <w:rPr>
          <w:rFonts w:ascii="Arial" w:eastAsia="Calibri" w:hAnsi="Arial" w:cs="Arial"/>
          <w:sz w:val="26"/>
          <w:szCs w:val="26"/>
        </w:rPr>
        <w:tab/>
        <w:t>Sirve de apoyo a lo anterior la Tesis de Jurisprudencia Época: Décima Época, Registro: 2012722,  Instancia: Segunda Sala,  Fuente: Gaceta del Semanario Judicial de la Federación, Libro 35, Octubre de 2016, Tomo I, Materia(s): Común, Administrativa, Tesis: 2a</w:t>
      </w:r>
      <w:proofErr w:type="gramStart"/>
      <w:r w:rsidRPr="00943146">
        <w:rPr>
          <w:rFonts w:ascii="Arial" w:eastAsia="Calibri" w:hAnsi="Arial" w:cs="Arial"/>
          <w:sz w:val="26"/>
          <w:szCs w:val="26"/>
        </w:rPr>
        <w:t>./</w:t>
      </w:r>
      <w:proofErr w:type="gramEnd"/>
      <w:r w:rsidRPr="00943146">
        <w:rPr>
          <w:rFonts w:ascii="Arial" w:eastAsia="Calibri" w:hAnsi="Arial" w:cs="Arial"/>
          <w:sz w:val="26"/>
          <w:szCs w:val="26"/>
        </w:rPr>
        <w:t xml:space="preserve">J. 117/2016 (10a.), Página: 897, que dice: </w:t>
      </w:r>
    </w:p>
    <w:p w:rsidR="00386E97" w:rsidRPr="00943146" w:rsidRDefault="00386E97" w:rsidP="00386E97">
      <w:pPr>
        <w:spacing w:after="0" w:line="240" w:lineRule="auto"/>
        <w:ind w:firstLine="708"/>
        <w:jc w:val="both"/>
        <w:rPr>
          <w:rFonts w:ascii="Arial" w:eastAsia="Calibri" w:hAnsi="Arial" w:cs="Arial"/>
          <w:sz w:val="24"/>
          <w:szCs w:val="24"/>
        </w:rPr>
      </w:pPr>
    </w:p>
    <w:p w:rsidR="00386E97" w:rsidRPr="00943146" w:rsidRDefault="00386E97" w:rsidP="00386E97">
      <w:pPr>
        <w:autoSpaceDE w:val="0"/>
        <w:autoSpaceDN w:val="0"/>
        <w:adjustRightInd w:val="0"/>
        <w:spacing w:after="0"/>
        <w:ind w:left="709"/>
        <w:jc w:val="both"/>
        <w:rPr>
          <w:rFonts w:ascii="Arial" w:eastAsia="Calibri" w:hAnsi="Arial" w:cs="Arial"/>
          <w:i/>
          <w:sz w:val="21"/>
          <w:szCs w:val="21"/>
        </w:rPr>
      </w:pPr>
      <w:r w:rsidRPr="00943146">
        <w:rPr>
          <w:rFonts w:ascii="Arial" w:eastAsia="Calibri" w:hAnsi="Arial" w:cs="Arial"/>
          <w:b/>
          <w:i/>
          <w:sz w:val="21"/>
          <w:szCs w:val="21"/>
        </w:rPr>
        <w:t>“MIEMBROS DE LAS INSTITUCIONES POLICIALES. EFECTOS DE LA CONCESIÓN DEL AMPARO DIRECTO CONTRA LA SENTENCIA DICTADA EN SEDE JURISDICCIONAL CUANDO SE ADVIERTAN VIOLACIONES PROCESALES, FORMALES O DE FONDO EN LA RESOLUCIÓN DEFINITIVA DICTADA EN SEDE ADMINISTRATIVA QUE DECIDE SEPARARLOS, DESTITUIRLOS O CESARLOS.-</w:t>
      </w:r>
      <w:r w:rsidRPr="00943146">
        <w:rPr>
          <w:rFonts w:ascii="Arial" w:eastAsia="Calibri" w:hAnsi="Arial" w:cs="Arial"/>
          <w:i/>
          <w:sz w:val="21"/>
          <w:szCs w:val="21"/>
        </w:rPr>
        <w:t xml:space="preserve"> Conforme a lo establecido por la Segunda Sala de la Suprema Corte de Justicia de la Nación en la jurisprudencia 2a./J. 103/2012 (10a.) (*), </w:t>
      </w:r>
      <w:proofErr w:type="gramStart"/>
      <w:r w:rsidRPr="00943146">
        <w:rPr>
          <w:rFonts w:ascii="Arial" w:eastAsia="Calibri" w:hAnsi="Arial" w:cs="Arial"/>
          <w:i/>
          <w:sz w:val="21"/>
          <w:szCs w:val="21"/>
        </w:rPr>
        <w:t>de</w:t>
      </w:r>
      <w:proofErr w:type="gramEnd"/>
      <w:r w:rsidRPr="00943146">
        <w:rPr>
          <w:rFonts w:ascii="Arial" w:eastAsia="Calibri" w:hAnsi="Arial" w:cs="Arial"/>
          <w:i/>
          <w:sz w:val="21"/>
          <w:szCs w:val="21"/>
        </w:rPr>
        <w:t xml:space="preserve"> rubro: "SEGURIDAD PÚBLICA. LA SENTENCIA EN LA QUE SE CONCEDE EL AMPARO CONTRA LA SEPARACIÓN, REMOCIÓN, BAJA, CESE O CUALQUIER OTRA FORMA DE TERMINACIÓN DEL SERVICIO DE MIEMBROS DE LAS INSTITUCIONES POLICIALES, POR VIOLACIÓN AL DERECHO DE AUDIENCIA, DEBE CONSTREÑIR A LA AUTORIDAD RESPONSABLE A PAGAR LA INDEMNIZACIÓN CORRESPONDIENTE Y LAS DEMÁS PRESTACIONES A QUE EL QUEJOSO TENGA DERECHO.", cuando el quejoso impugne en amparo directo la ilegalidad de la resolución definitiva, mediante la cual haya sido separado del cargo que desempeñaba como servidor público de una institución policial, por violaciones procesales, formales o de fondo en el procedimiento administrativo de separación; tomando en cuenta la imposibilidad de regresar las cosas al estado en el que se encontraban previo a la violación, por existir una restricción constitucional expresa, no debe ordenarse la reposición del procedimiento, sino que el efecto de la concesión del amparo </w:t>
      </w:r>
      <w:r w:rsidRPr="00943146">
        <w:rPr>
          <w:rFonts w:ascii="Arial" w:eastAsia="Calibri" w:hAnsi="Arial" w:cs="Arial"/>
          <w:b/>
          <w:i/>
          <w:sz w:val="21"/>
          <w:szCs w:val="21"/>
          <w:u w:val="single"/>
        </w:rPr>
        <w:t>debe ser de constreñir a la autoridad responsable a resarcir integralmente el derecho del que se vio privado el quejoso</w:t>
      </w:r>
      <w:r w:rsidRPr="00943146">
        <w:rPr>
          <w:rFonts w:ascii="Arial" w:eastAsia="Calibri" w:hAnsi="Arial" w:cs="Arial"/>
          <w:i/>
          <w:sz w:val="21"/>
          <w:szCs w:val="21"/>
        </w:rPr>
        <w:t xml:space="preserve">. En estos casos, la reparación integral consiste en ordenar a la autoridad administrativa: a) el pago de la indemnización correspondiente y demás prestaciones a que tenga derecho, </w:t>
      </w:r>
      <w:r w:rsidRPr="00943146">
        <w:rPr>
          <w:rFonts w:ascii="Arial" w:eastAsia="Calibri" w:hAnsi="Arial" w:cs="Arial"/>
          <w:b/>
          <w:i/>
          <w:sz w:val="21"/>
          <w:szCs w:val="21"/>
          <w:u w:val="single"/>
        </w:rPr>
        <w:t>y b) la anotación en el expediente personal del servidor público, así como en el Registro Nacional de Seguridad Pública, de que éste fue separado o destituido de manera injustificada</w:t>
      </w:r>
      <w:r w:rsidRPr="00943146">
        <w:rPr>
          <w:rFonts w:ascii="Arial" w:eastAsia="Calibri" w:hAnsi="Arial" w:cs="Arial"/>
          <w:i/>
          <w:sz w:val="21"/>
          <w:szCs w:val="21"/>
        </w:rPr>
        <w:t xml:space="preserve">.” </w:t>
      </w:r>
    </w:p>
    <w:p w:rsidR="00386E97" w:rsidRPr="00943146" w:rsidRDefault="00386E97" w:rsidP="00386E97">
      <w:pPr>
        <w:spacing w:after="0" w:line="240" w:lineRule="auto"/>
        <w:ind w:firstLine="709"/>
        <w:jc w:val="both"/>
        <w:rPr>
          <w:rFonts w:ascii="Arial" w:eastAsia="Calibri" w:hAnsi="Arial" w:cs="Arial"/>
          <w:i/>
          <w:sz w:val="21"/>
          <w:szCs w:val="21"/>
        </w:rPr>
      </w:pPr>
    </w:p>
    <w:p w:rsidR="00386E97" w:rsidRPr="00943146" w:rsidRDefault="00386E97" w:rsidP="00386E97">
      <w:pPr>
        <w:spacing w:after="0" w:line="240" w:lineRule="auto"/>
        <w:ind w:firstLine="709"/>
        <w:jc w:val="both"/>
        <w:rPr>
          <w:rFonts w:ascii="Arial" w:eastAsia="Calibri" w:hAnsi="Arial" w:cs="Arial"/>
          <w:b/>
          <w:i/>
          <w:sz w:val="21"/>
          <w:szCs w:val="21"/>
        </w:rPr>
      </w:pPr>
      <w:r w:rsidRPr="00943146">
        <w:rPr>
          <w:rFonts w:ascii="Arial" w:eastAsia="Calibri" w:hAnsi="Arial" w:cs="Arial"/>
          <w:i/>
          <w:sz w:val="21"/>
          <w:szCs w:val="21"/>
        </w:rPr>
        <w:t xml:space="preserve"> [Énfasis añadido]</w:t>
      </w:r>
    </w:p>
    <w:p w:rsidR="00386E97" w:rsidRPr="00943146" w:rsidRDefault="00386E97" w:rsidP="00386E97">
      <w:pPr>
        <w:spacing w:after="0" w:line="240" w:lineRule="auto"/>
        <w:ind w:firstLine="709"/>
        <w:jc w:val="both"/>
        <w:rPr>
          <w:rFonts w:ascii="Arial" w:eastAsia="Calibri" w:hAnsi="Arial" w:cs="Arial"/>
          <w:i/>
          <w:sz w:val="24"/>
          <w:szCs w:val="24"/>
        </w:rPr>
      </w:pPr>
    </w:p>
    <w:p w:rsidR="00386E97" w:rsidRPr="00943146" w:rsidRDefault="00386E97" w:rsidP="00386E97">
      <w:pPr>
        <w:spacing w:after="0" w:line="360" w:lineRule="auto"/>
        <w:ind w:firstLine="709"/>
        <w:jc w:val="both"/>
        <w:rPr>
          <w:rFonts w:ascii="Arial" w:eastAsia="Times New Roman" w:hAnsi="Arial" w:cs="Arial"/>
          <w:sz w:val="26"/>
          <w:szCs w:val="26"/>
          <w:lang w:eastAsia="es-ES"/>
        </w:rPr>
      </w:pPr>
      <w:r w:rsidRPr="00943146">
        <w:rPr>
          <w:rFonts w:ascii="Arial" w:eastAsia="Calibri" w:hAnsi="Arial" w:cs="Arial"/>
          <w:sz w:val="26"/>
          <w:szCs w:val="26"/>
          <w:lang w:val="es-ES"/>
        </w:rPr>
        <w:t xml:space="preserve">En consecuencia, con fundamento en lo dispuesto en los artículos 255 y 256 del Código Procesal Administrativo para el Estado de San Luis Potosí, </w:t>
      </w:r>
      <w:r w:rsidRPr="00943146">
        <w:rPr>
          <w:rFonts w:ascii="Arial" w:eastAsia="Times New Roman" w:hAnsi="Arial" w:cs="Arial"/>
          <w:b/>
          <w:sz w:val="26"/>
          <w:szCs w:val="26"/>
          <w:u w:val="single"/>
          <w:lang w:eastAsia="es-ES"/>
        </w:rPr>
        <w:t>dígase</w:t>
      </w:r>
      <w:r w:rsidRPr="00943146">
        <w:rPr>
          <w:rFonts w:ascii="Arial" w:eastAsia="Times New Roman" w:hAnsi="Arial" w:cs="Arial"/>
          <w:b/>
          <w:sz w:val="26"/>
          <w:szCs w:val="26"/>
          <w:lang w:eastAsia="es-ES"/>
        </w:rPr>
        <w:t xml:space="preserve"> a las autoridades demandadas que una vez que cause ejecutoria la presente sentencia,</w:t>
      </w:r>
      <w:r w:rsidRPr="00943146">
        <w:rPr>
          <w:rFonts w:ascii="Arial" w:eastAsia="Times New Roman" w:hAnsi="Arial" w:cs="Arial"/>
          <w:sz w:val="26"/>
          <w:szCs w:val="26"/>
          <w:lang w:eastAsia="es-ES"/>
        </w:rPr>
        <w:t xml:space="preserve"> esta Tercera Sala Unitaria </w:t>
      </w:r>
      <w:r w:rsidRPr="00943146">
        <w:rPr>
          <w:rFonts w:ascii="Arial" w:eastAsia="Times New Roman" w:hAnsi="Arial" w:cs="Arial"/>
          <w:b/>
          <w:sz w:val="26"/>
          <w:szCs w:val="26"/>
          <w:lang w:eastAsia="es-ES"/>
        </w:rPr>
        <w:t xml:space="preserve">las </w:t>
      </w:r>
      <w:r w:rsidRPr="00943146">
        <w:rPr>
          <w:rFonts w:ascii="Arial" w:eastAsia="Times New Roman" w:hAnsi="Arial" w:cs="Arial"/>
          <w:b/>
          <w:sz w:val="26"/>
          <w:szCs w:val="26"/>
          <w:u w:val="single"/>
          <w:lang w:eastAsia="es-ES"/>
        </w:rPr>
        <w:t>prevendrá</w:t>
      </w:r>
      <w:r w:rsidRPr="00943146">
        <w:rPr>
          <w:rFonts w:ascii="Arial" w:eastAsia="Times New Roman" w:hAnsi="Arial" w:cs="Arial"/>
          <w:b/>
          <w:sz w:val="26"/>
          <w:szCs w:val="26"/>
          <w:lang w:eastAsia="es-ES"/>
        </w:rPr>
        <w:t xml:space="preserve"> por el cumplimiento de lo ordenado en los considerandos Sexto y Séptimo de la misma, o en su caso, las </w:t>
      </w:r>
      <w:r w:rsidRPr="00943146">
        <w:rPr>
          <w:rFonts w:ascii="Arial" w:eastAsia="Times New Roman" w:hAnsi="Arial" w:cs="Arial"/>
          <w:b/>
          <w:sz w:val="26"/>
          <w:szCs w:val="26"/>
          <w:u w:val="single"/>
          <w:lang w:eastAsia="es-ES"/>
        </w:rPr>
        <w:lastRenderedPageBreak/>
        <w:t>requerirá</w:t>
      </w:r>
      <w:r w:rsidRPr="00943146">
        <w:rPr>
          <w:rFonts w:ascii="Arial" w:eastAsia="Times New Roman" w:hAnsi="Arial" w:cs="Arial"/>
          <w:b/>
          <w:sz w:val="26"/>
          <w:szCs w:val="26"/>
          <w:lang w:eastAsia="es-ES"/>
        </w:rPr>
        <w:t xml:space="preserve"> por su ejecución,</w:t>
      </w:r>
      <w:r w:rsidRPr="00943146">
        <w:rPr>
          <w:rFonts w:ascii="Arial" w:eastAsia="Times New Roman" w:hAnsi="Arial" w:cs="Arial"/>
          <w:sz w:val="26"/>
          <w:szCs w:val="26"/>
          <w:lang w:eastAsia="es-ES"/>
        </w:rPr>
        <w:t xml:space="preserve"> </w:t>
      </w:r>
      <w:r w:rsidRPr="00943146">
        <w:rPr>
          <w:rFonts w:ascii="Arial" w:eastAsia="Calibri" w:hAnsi="Arial" w:cs="Arial"/>
          <w:b/>
          <w:color w:val="000000"/>
          <w:sz w:val="26"/>
          <w:szCs w:val="26"/>
          <w:u w:val="single"/>
          <w:lang w:val="es-ES"/>
        </w:rPr>
        <w:t>apercibidas</w:t>
      </w:r>
      <w:r w:rsidRPr="00943146">
        <w:rPr>
          <w:rFonts w:ascii="Arial" w:eastAsia="Calibri" w:hAnsi="Arial" w:cs="Arial"/>
          <w:b/>
          <w:color w:val="000000"/>
          <w:sz w:val="26"/>
          <w:szCs w:val="26"/>
          <w:lang w:val="es-ES"/>
        </w:rPr>
        <w:t xml:space="preserve"> </w:t>
      </w:r>
      <w:r w:rsidRPr="00943146">
        <w:rPr>
          <w:rFonts w:ascii="Arial" w:eastAsia="Calibri" w:hAnsi="Arial" w:cs="Arial"/>
          <w:color w:val="000000"/>
          <w:sz w:val="26"/>
          <w:szCs w:val="26"/>
          <w:lang w:val="es-ES"/>
        </w:rPr>
        <w:t xml:space="preserve">que de no hacerlo, se continuará con la ejecución de la sentencia y se aplicarán </w:t>
      </w:r>
      <w:r w:rsidRPr="00943146">
        <w:rPr>
          <w:rFonts w:ascii="Arial" w:eastAsia="Calibri" w:hAnsi="Arial" w:cs="Arial"/>
          <w:b/>
          <w:color w:val="000000"/>
          <w:sz w:val="26"/>
          <w:szCs w:val="26"/>
          <w:lang w:val="es-ES"/>
        </w:rPr>
        <w:t>multa, destitución</w:t>
      </w:r>
      <w:r w:rsidRPr="00943146">
        <w:rPr>
          <w:rFonts w:ascii="Arial" w:eastAsia="Calibri" w:hAnsi="Arial" w:cs="Arial"/>
          <w:color w:val="000000"/>
          <w:sz w:val="26"/>
          <w:szCs w:val="26"/>
          <w:lang w:val="es-ES"/>
        </w:rPr>
        <w:t xml:space="preserve"> y demás medidas procedentes.</w:t>
      </w:r>
    </w:p>
    <w:p w:rsidR="00386E97" w:rsidRPr="00943146" w:rsidRDefault="00386E97" w:rsidP="00386E97">
      <w:pPr>
        <w:spacing w:after="0" w:line="360" w:lineRule="auto"/>
        <w:ind w:firstLine="709"/>
        <w:jc w:val="both"/>
        <w:rPr>
          <w:rFonts w:ascii="Arial" w:eastAsia="Times New Roman" w:hAnsi="Arial" w:cs="Arial"/>
          <w:sz w:val="26"/>
          <w:szCs w:val="26"/>
          <w:lang w:eastAsia="es-ES"/>
        </w:rPr>
      </w:pPr>
    </w:p>
    <w:p w:rsidR="00386E97" w:rsidRPr="00943146" w:rsidRDefault="00386E97" w:rsidP="00386E97">
      <w:pPr>
        <w:spacing w:after="0" w:line="360" w:lineRule="auto"/>
        <w:ind w:firstLine="709"/>
        <w:jc w:val="both"/>
        <w:rPr>
          <w:rFonts w:ascii="Arial" w:eastAsia="Calibri" w:hAnsi="Arial" w:cs="Arial"/>
          <w:sz w:val="26"/>
          <w:szCs w:val="26"/>
          <w:lang w:val="es-ES"/>
        </w:rPr>
      </w:pPr>
      <w:r w:rsidRPr="00943146">
        <w:rPr>
          <w:rFonts w:ascii="Arial" w:eastAsia="Times New Roman" w:hAnsi="Arial" w:cs="Arial"/>
          <w:sz w:val="26"/>
          <w:szCs w:val="26"/>
          <w:lang w:eastAsia="es-ES"/>
        </w:rPr>
        <w:t>En el entendido de que al informar</w:t>
      </w:r>
      <w:r w:rsidRPr="00943146">
        <w:rPr>
          <w:rFonts w:ascii="Arial" w:eastAsia="Calibri" w:hAnsi="Arial" w:cs="Arial"/>
          <w:sz w:val="26"/>
          <w:szCs w:val="26"/>
          <w:lang w:val="es-ES"/>
        </w:rPr>
        <w:t xml:space="preserve"> a esta Sala Unitaria sobre su cumplimiento, deberán acompañar para acreditarlo las copias certificadas de los documentos correspondientes, inclusive las constancias de notificación al actor de lo proveído para su cumplimiento, así como </w:t>
      </w:r>
      <w:r w:rsidRPr="00943146">
        <w:rPr>
          <w:rFonts w:ascii="Arial" w:eastAsia="Calibri" w:hAnsi="Arial" w:cs="Arial"/>
          <w:b/>
          <w:sz w:val="26"/>
          <w:szCs w:val="26"/>
          <w:lang w:val="es-ES"/>
        </w:rPr>
        <w:t>los informes detallados de los cálculos y operaciones</w:t>
      </w:r>
      <w:r w:rsidRPr="00943146">
        <w:rPr>
          <w:rFonts w:ascii="Arial" w:eastAsia="Calibri" w:hAnsi="Arial" w:cs="Arial"/>
          <w:sz w:val="26"/>
          <w:szCs w:val="26"/>
          <w:lang w:val="es-ES"/>
        </w:rPr>
        <w:t xml:space="preserve"> que se tomen en cuenta para determinar los montos susceptibles del pago de indemnización y haberes. </w:t>
      </w:r>
    </w:p>
    <w:p w:rsidR="00386E97" w:rsidRPr="00943146" w:rsidRDefault="00386E97" w:rsidP="00386E97">
      <w:pPr>
        <w:spacing w:after="0" w:line="360" w:lineRule="auto"/>
        <w:ind w:firstLine="709"/>
        <w:jc w:val="both"/>
        <w:rPr>
          <w:rFonts w:ascii="Arial" w:eastAsia="Calibri" w:hAnsi="Arial" w:cs="Arial"/>
          <w:sz w:val="26"/>
          <w:szCs w:val="26"/>
          <w:lang w:val="es-ES"/>
        </w:rPr>
      </w:pPr>
    </w:p>
    <w:p w:rsidR="00386E97" w:rsidRPr="00943146" w:rsidRDefault="00386E97" w:rsidP="00386E97">
      <w:pPr>
        <w:spacing w:after="0" w:line="360" w:lineRule="auto"/>
        <w:ind w:firstLine="708"/>
        <w:jc w:val="both"/>
        <w:rPr>
          <w:rFonts w:ascii="Arial" w:eastAsia="Calibri" w:hAnsi="Arial" w:cs="Arial"/>
          <w:sz w:val="26"/>
          <w:szCs w:val="26"/>
          <w:lang w:val="es-ES"/>
        </w:rPr>
      </w:pPr>
      <w:r w:rsidRPr="00943146">
        <w:rPr>
          <w:rFonts w:ascii="Arial" w:eastAsia="Calibri" w:hAnsi="Arial" w:cs="Arial"/>
          <w:sz w:val="26"/>
          <w:szCs w:val="26"/>
          <w:lang w:val="es-ES"/>
        </w:rPr>
        <w:t xml:space="preserve">Por lo expuesto, fundado </w:t>
      </w:r>
      <w:r w:rsidRPr="00943146">
        <w:rPr>
          <w:rFonts w:ascii="Arial" w:eastAsia="Times New Roman" w:hAnsi="Arial" w:cs="Arial"/>
          <w:sz w:val="26"/>
          <w:szCs w:val="26"/>
          <w:lang w:val="es-ES" w:eastAsia="es-ES"/>
        </w:rPr>
        <w:t xml:space="preserve">en términos de los artículos 123 de la Constitución Política del Estado de San Luis Potosí, 7º, 9º fracción III, 24, 25, 26, 28, 29, 30, 33, 34, 35, 36, 37, y Transitorio Quinto </w:t>
      </w:r>
      <w:r w:rsidRPr="00943146">
        <w:rPr>
          <w:rFonts w:ascii="Arial" w:eastAsia="Calibri" w:hAnsi="Arial" w:cs="Arial"/>
          <w:sz w:val="26"/>
          <w:szCs w:val="26"/>
          <w:lang w:val="es-ES"/>
        </w:rPr>
        <w:t xml:space="preserve">de la Ley Orgánica del Tribunal Estatal de Justicia Administrativa de San Luis Potosí; 250, 251, 252 y el </w:t>
      </w:r>
      <w:r w:rsidRPr="00943146">
        <w:rPr>
          <w:rFonts w:ascii="Arial" w:eastAsia="Times New Roman" w:hAnsi="Arial" w:cs="Arial"/>
          <w:sz w:val="26"/>
          <w:szCs w:val="26"/>
          <w:lang w:val="es-ES" w:eastAsia="es-ES"/>
        </w:rPr>
        <w:t xml:space="preserve">Transitorio Segundo del Código Procesal Administrativo para el Estado de San Luis Potosí; </w:t>
      </w:r>
      <w:r w:rsidRPr="00943146">
        <w:rPr>
          <w:rFonts w:ascii="Arial" w:eastAsia="Calibri" w:hAnsi="Arial" w:cs="Arial"/>
          <w:sz w:val="26"/>
          <w:szCs w:val="26"/>
          <w:lang w:val="es-ES"/>
        </w:rPr>
        <w:t>es de resolverse y se,</w:t>
      </w:r>
    </w:p>
    <w:p w:rsidR="00386E97" w:rsidRPr="00943146" w:rsidRDefault="00386E97" w:rsidP="00386E97">
      <w:pPr>
        <w:spacing w:after="0" w:line="360" w:lineRule="auto"/>
        <w:ind w:firstLine="708"/>
        <w:jc w:val="both"/>
        <w:rPr>
          <w:rFonts w:ascii="Arial" w:eastAsia="Calibri" w:hAnsi="Arial" w:cs="Arial"/>
          <w:sz w:val="26"/>
          <w:szCs w:val="26"/>
          <w:lang w:val="es-ES"/>
        </w:rPr>
      </w:pPr>
    </w:p>
    <w:p w:rsidR="00386E97" w:rsidRPr="00943146" w:rsidRDefault="00386E97" w:rsidP="00386E97">
      <w:pPr>
        <w:spacing w:after="0" w:line="360" w:lineRule="auto"/>
        <w:jc w:val="center"/>
        <w:rPr>
          <w:rFonts w:ascii="Arial" w:eastAsia="Times New Roman" w:hAnsi="Arial" w:cs="Arial"/>
          <w:b/>
          <w:sz w:val="26"/>
          <w:szCs w:val="26"/>
          <w:lang w:val="es-ES" w:eastAsia="es-ES"/>
        </w:rPr>
      </w:pPr>
      <w:r w:rsidRPr="00943146">
        <w:rPr>
          <w:rFonts w:ascii="Arial" w:eastAsia="Times New Roman" w:hAnsi="Arial" w:cs="Arial"/>
          <w:b/>
          <w:sz w:val="26"/>
          <w:szCs w:val="26"/>
          <w:lang w:val="es-ES" w:eastAsia="es-ES"/>
        </w:rPr>
        <w:t>R E S U E L V E:</w:t>
      </w:r>
    </w:p>
    <w:p w:rsidR="00386E97" w:rsidRPr="00943146" w:rsidRDefault="00386E97" w:rsidP="00386E97">
      <w:pPr>
        <w:spacing w:after="0" w:line="360" w:lineRule="auto"/>
        <w:jc w:val="center"/>
        <w:rPr>
          <w:rFonts w:ascii="Arial" w:eastAsia="Times New Roman" w:hAnsi="Arial" w:cs="Arial"/>
          <w:b/>
          <w:sz w:val="26"/>
          <w:szCs w:val="26"/>
          <w:lang w:val="es-ES" w:eastAsia="es-ES"/>
        </w:rPr>
      </w:pPr>
    </w:p>
    <w:p w:rsidR="00386E97" w:rsidRPr="00943146" w:rsidRDefault="00386E97" w:rsidP="00386E97">
      <w:pPr>
        <w:spacing w:after="0" w:line="360" w:lineRule="auto"/>
        <w:ind w:firstLine="709"/>
        <w:jc w:val="both"/>
        <w:rPr>
          <w:rFonts w:ascii="Arial" w:eastAsia="Calibri" w:hAnsi="Arial" w:cs="Arial"/>
          <w:sz w:val="26"/>
          <w:szCs w:val="26"/>
        </w:rPr>
      </w:pPr>
      <w:r w:rsidRPr="00943146">
        <w:rPr>
          <w:rFonts w:ascii="Arial" w:eastAsia="Times New Roman" w:hAnsi="Arial" w:cs="Arial"/>
          <w:b/>
          <w:sz w:val="26"/>
          <w:szCs w:val="26"/>
          <w:lang w:val="es-ES" w:eastAsia="es-ES"/>
        </w:rPr>
        <w:t>PRIMERO</w:t>
      </w:r>
      <w:r w:rsidRPr="00943146">
        <w:rPr>
          <w:rFonts w:ascii="Arial" w:eastAsia="Times New Roman" w:hAnsi="Arial" w:cs="Arial"/>
          <w:sz w:val="26"/>
          <w:szCs w:val="26"/>
          <w:lang w:val="es-ES" w:eastAsia="es-ES"/>
        </w:rPr>
        <w:t xml:space="preserve">. - </w:t>
      </w:r>
      <w:r w:rsidRPr="00943146">
        <w:rPr>
          <w:rFonts w:ascii="Arial" w:eastAsia="Calibri" w:hAnsi="Arial" w:cs="Arial"/>
          <w:sz w:val="26"/>
          <w:szCs w:val="26"/>
        </w:rPr>
        <w:t xml:space="preserve">Esta </w:t>
      </w:r>
      <w:r w:rsidRPr="00943146">
        <w:rPr>
          <w:rFonts w:ascii="Arial" w:eastAsia="Calibri" w:hAnsi="Arial" w:cs="Arial"/>
          <w:b/>
          <w:sz w:val="26"/>
          <w:szCs w:val="26"/>
        </w:rPr>
        <w:t>Tercera Sala Unitaria del Tribunal Estatal de Justicia Administrativa de San Luis Potosí</w:t>
      </w:r>
      <w:r w:rsidRPr="00943146">
        <w:rPr>
          <w:rFonts w:ascii="Arial" w:eastAsia="Calibri" w:hAnsi="Arial" w:cs="Arial"/>
          <w:sz w:val="26"/>
          <w:szCs w:val="26"/>
        </w:rPr>
        <w:t>, resultó competente para conocer y resolver la presente controversia.</w:t>
      </w:r>
    </w:p>
    <w:p w:rsidR="00386E97" w:rsidRPr="00943146" w:rsidRDefault="00386E97" w:rsidP="00386E97">
      <w:pPr>
        <w:spacing w:after="0" w:line="360" w:lineRule="auto"/>
        <w:ind w:firstLine="708"/>
        <w:jc w:val="both"/>
        <w:rPr>
          <w:rFonts w:ascii="Arial" w:eastAsia="Times New Roman" w:hAnsi="Arial" w:cs="Arial"/>
          <w:sz w:val="26"/>
          <w:szCs w:val="26"/>
          <w:lang w:val="es-ES" w:eastAsia="es-ES"/>
        </w:rPr>
      </w:pPr>
    </w:p>
    <w:p w:rsidR="00386E97" w:rsidRPr="00943146" w:rsidRDefault="00386E97" w:rsidP="00386E97">
      <w:pPr>
        <w:spacing w:after="0" w:line="360" w:lineRule="auto"/>
        <w:ind w:firstLine="709"/>
        <w:jc w:val="both"/>
        <w:rPr>
          <w:rFonts w:ascii="Arial" w:eastAsia="Calibri" w:hAnsi="Arial" w:cs="Arial"/>
          <w:sz w:val="26"/>
          <w:szCs w:val="26"/>
        </w:rPr>
      </w:pPr>
      <w:r w:rsidRPr="00943146">
        <w:rPr>
          <w:rFonts w:ascii="Arial" w:eastAsia="Times New Roman" w:hAnsi="Arial" w:cs="Arial"/>
          <w:b/>
          <w:sz w:val="26"/>
          <w:szCs w:val="26"/>
          <w:lang w:val="es-ES" w:eastAsia="es-ES"/>
        </w:rPr>
        <w:t>SEGUNDO</w:t>
      </w:r>
      <w:r w:rsidRPr="00943146">
        <w:rPr>
          <w:rFonts w:ascii="Arial" w:eastAsia="Times New Roman" w:hAnsi="Arial" w:cs="Arial"/>
          <w:sz w:val="26"/>
          <w:szCs w:val="26"/>
          <w:lang w:val="es-ES" w:eastAsia="es-ES"/>
        </w:rPr>
        <w:t xml:space="preserve">. - </w:t>
      </w:r>
      <w:r w:rsidRPr="00943146">
        <w:rPr>
          <w:rFonts w:ascii="Arial" w:eastAsia="Calibri" w:hAnsi="Arial" w:cs="Arial"/>
          <w:sz w:val="26"/>
          <w:szCs w:val="26"/>
        </w:rPr>
        <w:t xml:space="preserve">Se decreta la </w:t>
      </w:r>
      <w:r w:rsidRPr="00943146">
        <w:rPr>
          <w:rFonts w:ascii="Arial" w:eastAsia="Calibri" w:hAnsi="Arial" w:cs="Arial"/>
          <w:b/>
          <w:sz w:val="26"/>
          <w:szCs w:val="26"/>
        </w:rPr>
        <w:t xml:space="preserve">ILEGALIDAD E INVALIDEZ </w:t>
      </w:r>
      <w:r w:rsidRPr="00943146">
        <w:rPr>
          <w:rFonts w:ascii="Arial" w:eastAsia="Times New Roman" w:hAnsi="Arial" w:cs="Arial"/>
          <w:sz w:val="26"/>
          <w:szCs w:val="26"/>
          <w:lang w:val="es-ES" w:eastAsia="es-ES"/>
        </w:rPr>
        <w:t>del acto reclamado y, por consecuencia, l</w:t>
      </w:r>
      <w:r w:rsidRPr="00943146">
        <w:rPr>
          <w:rFonts w:ascii="Arial" w:eastAsia="Calibri" w:hAnsi="Arial" w:cs="Arial"/>
          <w:sz w:val="26"/>
          <w:szCs w:val="26"/>
        </w:rPr>
        <w:t>a</w:t>
      </w:r>
      <w:r w:rsidRPr="00943146">
        <w:rPr>
          <w:rFonts w:ascii="Arial" w:eastAsia="Calibri" w:hAnsi="Arial" w:cs="Arial"/>
          <w:b/>
          <w:sz w:val="26"/>
          <w:szCs w:val="26"/>
        </w:rPr>
        <w:t xml:space="preserve"> NULIDAD  LISA Y LLANA  </w:t>
      </w:r>
      <w:r w:rsidRPr="00943146">
        <w:rPr>
          <w:rFonts w:ascii="Arial" w:eastAsia="Calibri" w:hAnsi="Arial" w:cs="Arial"/>
          <w:sz w:val="26"/>
          <w:szCs w:val="26"/>
        </w:rPr>
        <w:t xml:space="preserve">del mismo, </w:t>
      </w:r>
      <w:r w:rsidRPr="00943146">
        <w:rPr>
          <w:rFonts w:ascii="Arial" w:eastAsia="Times New Roman" w:hAnsi="Arial" w:cs="Arial"/>
          <w:sz w:val="26"/>
          <w:szCs w:val="26"/>
          <w:lang w:val="es-ES" w:eastAsia="es-ES"/>
        </w:rPr>
        <w:t xml:space="preserve">de acuerdo con los razonamientos y para los efectos precisados en los considerandos </w:t>
      </w:r>
      <w:r w:rsidRPr="00BC3101">
        <w:rPr>
          <w:rFonts w:ascii="Arial" w:eastAsia="Times New Roman" w:hAnsi="Arial" w:cs="Arial"/>
          <w:sz w:val="26"/>
          <w:szCs w:val="26"/>
          <w:lang w:val="es-ES" w:eastAsia="es-ES"/>
        </w:rPr>
        <w:t>s</w:t>
      </w:r>
      <w:r w:rsidRPr="00943146">
        <w:rPr>
          <w:rFonts w:ascii="Arial" w:eastAsia="Times New Roman" w:hAnsi="Arial" w:cs="Arial"/>
          <w:sz w:val="26"/>
          <w:szCs w:val="26"/>
          <w:lang w:val="es-ES" w:eastAsia="es-ES"/>
        </w:rPr>
        <w:t xml:space="preserve">exto y </w:t>
      </w:r>
      <w:r w:rsidRPr="00BC3101">
        <w:rPr>
          <w:rFonts w:ascii="Arial" w:eastAsia="Times New Roman" w:hAnsi="Arial" w:cs="Arial"/>
          <w:sz w:val="26"/>
          <w:szCs w:val="26"/>
          <w:lang w:val="es-ES" w:eastAsia="es-ES"/>
        </w:rPr>
        <w:t>s</w:t>
      </w:r>
      <w:r w:rsidRPr="00943146">
        <w:rPr>
          <w:rFonts w:ascii="Arial" w:eastAsia="Times New Roman" w:hAnsi="Arial" w:cs="Arial"/>
          <w:sz w:val="26"/>
          <w:szCs w:val="26"/>
          <w:lang w:val="es-ES" w:eastAsia="es-ES"/>
        </w:rPr>
        <w:t>éptimo de la presente sentencia.</w:t>
      </w:r>
      <w:r w:rsidRPr="00943146">
        <w:rPr>
          <w:rFonts w:ascii="Arial" w:eastAsia="Calibri" w:hAnsi="Arial" w:cs="Arial"/>
          <w:sz w:val="26"/>
          <w:szCs w:val="26"/>
        </w:rPr>
        <w:t xml:space="preserve"> </w:t>
      </w:r>
    </w:p>
    <w:p w:rsidR="00386E97" w:rsidRPr="00943146" w:rsidRDefault="00386E97" w:rsidP="00386E97">
      <w:pPr>
        <w:spacing w:after="0" w:line="360" w:lineRule="auto"/>
        <w:ind w:firstLine="709"/>
        <w:jc w:val="both"/>
        <w:rPr>
          <w:rFonts w:ascii="Arial" w:eastAsia="Calibri" w:hAnsi="Arial" w:cs="Arial"/>
          <w:sz w:val="26"/>
          <w:szCs w:val="26"/>
        </w:rPr>
      </w:pPr>
    </w:p>
    <w:p w:rsidR="00386E97" w:rsidRPr="00943146" w:rsidRDefault="00386E97" w:rsidP="00386E97">
      <w:pPr>
        <w:spacing w:after="0" w:line="360" w:lineRule="auto"/>
        <w:ind w:firstLine="709"/>
        <w:jc w:val="both"/>
        <w:rPr>
          <w:rFonts w:ascii="Arial" w:eastAsia="Calibri" w:hAnsi="Arial" w:cs="Arial"/>
          <w:sz w:val="26"/>
          <w:szCs w:val="26"/>
        </w:rPr>
      </w:pPr>
      <w:r w:rsidRPr="00943146">
        <w:rPr>
          <w:rFonts w:ascii="Arial" w:eastAsia="Times New Roman" w:hAnsi="Arial" w:cs="Arial"/>
          <w:b/>
          <w:sz w:val="26"/>
          <w:szCs w:val="26"/>
          <w:lang w:eastAsia="es-MX"/>
        </w:rPr>
        <w:t>TERCERO.-</w:t>
      </w:r>
      <w:r w:rsidRPr="00943146">
        <w:rPr>
          <w:rFonts w:ascii="Arial" w:eastAsia="Times New Roman" w:hAnsi="Arial" w:cs="Arial"/>
          <w:sz w:val="26"/>
          <w:szCs w:val="26"/>
          <w:lang w:eastAsia="es-MX"/>
        </w:rPr>
        <w:t xml:space="preserve"> C</w:t>
      </w:r>
      <w:r w:rsidRPr="00943146">
        <w:rPr>
          <w:rFonts w:ascii="Arial" w:eastAsia="Calibri" w:hAnsi="Arial" w:cs="Arial"/>
          <w:sz w:val="26"/>
          <w:szCs w:val="26"/>
        </w:rPr>
        <w:t>on copia autorizada de esta resolución, notifíquese personalmente a la parte actora y por oficio a las autoridades demandadas.</w:t>
      </w:r>
    </w:p>
    <w:p w:rsidR="00386E97" w:rsidRDefault="00386E97" w:rsidP="00386E97">
      <w:pPr>
        <w:spacing w:after="0" w:line="360" w:lineRule="auto"/>
        <w:ind w:firstLine="709"/>
        <w:jc w:val="both"/>
        <w:rPr>
          <w:rFonts w:ascii="Arial" w:eastAsia="Calibri" w:hAnsi="Arial" w:cs="Arial"/>
          <w:sz w:val="26"/>
          <w:szCs w:val="26"/>
        </w:rPr>
      </w:pPr>
    </w:p>
    <w:p w:rsidR="00386E97" w:rsidRPr="00BC3101" w:rsidRDefault="00386E97" w:rsidP="00386E97">
      <w:pPr>
        <w:spacing w:after="0" w:line="360" w:lineRule="auto"/>
        <w:ind w:firstLine="709"/>
        <w:jc w:val="both"/>
        <w:rPr>
          <w:rFonts w:ascii="Arial" w:eastAsia="Calibri" w:hAnsi="Arial" w:cs="Arial"/>
          <w:sz w:val="26"/>
          <w:szCs w:val="26"/>
        </w:rPr>
      </w:pPr>
    </w:p>
    <w:p w:rsidR="00386E97" w:rsidRDefault="00386E97" w:rsidP="00386E97">
      <w:pPr>
        <w:spacing w:line="360" w:lineRule="auto"/>
        <w:ind w:firstLine="708"/>
        <w:contextualSpacing/>
        <w:jc w:val="both"/>
        <w:rPr>
          <w:rFonts w:ascii="Arial" w:eastAsia="Calibri" w:hAnsi="Arial" w:cs="Arial"/>
          <w:sz w:val="26"/>
          <w:szCs w:val="26"/>
        </w:rPr>
      </w:pPr>
      <w:r w:rsidRPr="003872AC">
        <w:rPr>
          <w:rFonts w:ascii="Arial" w:eastAsia="Calibri" w:hAnsi="Arial" w:cs="Arial"/>
          <w:sz w:val="26"/>
          <w:szCs w:val="26"/>
        </w:rPr>
        <w:lastRenderedPageBreak/>
        <w:t xml:space="preserve">Así lo resolvió y firma, el Magistrado Titular de la Tercera Sala Unitaria del Tribunal Estatal de Justicia Administrativa de San Luis Potosí, </w:t>
      </w:r>
      <w:r w:rsidRPr="003872AC">
        <w:rPr>
          <w:rFonts w:ascii="Arial" w:eastAsia="Calibri" w:hAnsi="Arial" w:cs="Arial"/>
          <w:b/>
          <w:sz w:val="26"/>
          <w:szCs w:val="26"/>
        </w:rPr>
        <w:t>Licenciado Jorge Alejandro Vera Noyola,</w:t>
      </w:r>
      <w:r w:rsidRPr="003872AC">
        <w:rPr>
          <w:rFonts w:ascii="Arial" w:eastAsia="Calibri" w:hAnsi="Arial" w:cs="Arial"/>
          <w:sz w:val="26"/>
          <w:szCs w:val="26"/>
        </w:rPr>
        <w:t xml:space="preserve"> quien actúa con Secretario de Acuerdos, </w:t>
      </w:r>
      <w:r w:rsidRPr="003872AC">
        <w:rPr>
          <w:rFonts w:ascii="Arial" w:eastAsia="Calibri" w:hAnsi="Arial" w:cs="Arial"/>
          <w:b/>
          <w:sz w:val="26"/>
          <w:szCs w:val="26"/>
        </w:rPr>
        <w:t>Licenciado Ismael Méndez Hernández,</w:t>
      </w:r>
      <w:r w:rsidRPr="003872AC">
        <w:rPr>
          <w:rFonts w:ascii="Arial" w:eastAsia="Calibri" w:hAnsi="Arial" w:cs="Arial"/>
          <w:sz w:val="26"/>
          <w:szCs w:val="26"/>
        </w:rPr>
        <w:t xml:space="preserve"> que autoriza y da fe</w:t>
      </w:r>
      <w:r>
        <w:rPr>
          <w:rFonts w:ascii="Arial" w:eastAsia="Calibri" w:hAnsi="Arial" w:cs="Arial"/>
          <w:sz w:val="26"/>
          <w:szCs w:val="26"/>
        </w:rPr>
        <w:t>.</w:t>
      </w:r>
    </w:p>
    <w:p w:rsidR="00386E97" w:rsidRDefault="00386E97" w:rsidP="00386E97">
      <w:pPr>
        <w:spacing w:line="360" w:lineRule="auto"/>
        <w:ind w:firstLine="708"/>
        <w:contextualSpacing/>
        <w:jc w:val="both"/>
        <w:rPr>
          <w:rFonts w:ascii="Arial" w:eastAsia="Calibri" w:hAnsi="Arial" w:cs="Arial"/>
          <w:sz w:val="26"/>
          <w:szCs w:val="26"/>
        </w:rPr>
      </w:pPr>
    </w:p>
    <w:p w:rsidR="005A4BD2" w:rsidRPr="003738E0" w:rsidRDefault="005A4BD2" w:rsidP="005A4BD2">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C37CF2" w:rsidRDefault="00C37CF2">
      <w:bookmarkStart w:id="0" w:name="_GoBack"/>
      <w:bookmarkEnd w:id="0"/>
    </w:p>
    <w:sectPr w:rsidR="00C37CF2" w:rsidSect="003C66E3">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9A7" w:rsidRDefault="002479A7" w:rsidP="00757E56">
      <w:pPr>
        <w:spacing w:after="0" w:line="240" w:lineRule="auto"/>
      </w:pPr>
      <w:r>
        <w:separator/>
      </w:r>
    </w:p>
  </w:endnote>
  <w:endnote w:type="continuationSeparator" w:id="0">
    <w:p w:rsidR="002479A7" w:rsidRDefault="002479A7" w:rsidP="00757E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EFF" w:usb1="F9DFFFFF" w:usb2="0000007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9A7" w:rsidRDefault="002479A7" w:rsidP="00757E56">
      <w:pPr>
        <w:spacing w:after="0" w:line="240" w:lineRule="auto"/>
      </w:pPr>
      <w:r>
        <w:separator/>
      </w:r>
    </w:p>
  </w:footnote>
  <w:footnote w:type="continuationSeparator" w:id="0">
    <w:p w:rsidR="002479A7" w:rsidRDefault="002479A7" w:rsidP="00757E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9D6" w:rsidRDefault="002D19D6" w:rsidP="00E3578F">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2D19D6" w:rsidRPr="006C0427" w:rsidRDefault="002D19D6" w:rsidP="00E3578F">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5A4BD2">
      <w:rPr>
        <w:rStyle w:val="Nmerodepgina"/>
        <w:noProof/>
        <w:color w:val="FFFFFF"/>
      </w:rPr>
      <w:t>5</w:t>
    </w:r>
    <w:r w:rsidRPr="006C0427">
      <w:rPr>
        <w:rStyle w:val="Nmerodepgina"/>
        <w:color w:val="FFFFFF"/>
      </w:rPr>
      <w:fldChar w:fldCharType="end"/>
    </w:r>
    <w:r w:rsidRPr="006C0427">
      <w:rPr>
        <w:rStyle w:val="Nmerodepgina"/>
        <w:color w:val="FFFFFF"/>
      </w:rPr>
      <w:t xml:space="preserve"> </w:t>
    </w:r>
  </w:p>
  <w:bookmarkEnd w:id="1"/>
  <w:p w:rsidR="002D19D6" w:rsidRPr="00364AFE" w:rsidRDefault="002D19D6" w:rsidP="00E3578F">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5A4BD2">
      <w:rPr>
        <w:rFonts w:ascii="Arial Narrow" w:hAnsi="Arial Narrow"/>
        <w:noProof/>
      </w:rPr>
      <w:t>3</w:t>
    </w:r>
    <w:r w:rsidRPr="00364AFE">
      <w:rPr>
        <w:rFonts w:ascii="Arial Narrow" w:hAnsi="Arial Narrow"/>
      </w:rPr>
      <w:fldChar w:fldCharType="end"/>
    </w:r>
    <w:r>
      <w:rPr>
        <w:rFonts w:ascii="Arial Narrow" w:hAnsi="Arial Narrow"/>
      </w:rPr>
      <w:t>.-</w:t>
    </w:r>
  </w:p>
  <w:p w:rsidR="002D19D6" w:rsidRPr="00364AFE" w:rsidRDefault="002D19D6" w:rsidP="00E3578F">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2AB737D5" wp14:editId="51E5B713">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D19D6" w:rsidRDefault="002D19D6" w:rsidP="00E3578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C0A39B9" wp14:editId="2F556E56">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D19D6" w:rsidRPr="00B23B9D" w:rsidRDefault="002D19D6" w:rsidP="00E3578F">
                          <w:pPr>
                            <w:pStyle w:val="Sinespaciado"/>
                            <w:jc w:val="center"/>
                            <w:rPr>
                              <w:rFonts w:ascii="Microsoft Sans Serif" w:eastAsia="SimHei" w:hAnsi="Microsoft Sans Serif" w:cs="Microsoft Sans Serif"/>
                              <w:b/>
                              <w:sz w:val="14"/>
                              <w:szCs w:val="14"/>
                            </w:rPr>
                          </w:pPr>
                        </w:p>
                        <w:p w:rsidR="002D19D6" w:rsidRPr="00B23B9D" w:rsidRDefault="002D19D6" w:rsidP="00E3578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2D19D6" w:rsidRDefault="002D19D6" w:rsidP="00E3578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C0A39B9" wp14:editId="2F556E56">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D19D6" w:rsidRPr="00B23B9D" w:rsidRDefault="002D19D6" w:rsidP="00E3578F">
                    <w:pPr>
                      <w:pStyle w:val="Sinespaciado"/>
                      <w:jc w:val="center"/>
                      <w:rPr>
                        <w:rFonts w:ascii="Microsoft Sans Serif" w:eastAsia="SimHei" w:hAnsi="Microsoft Sans Serif" w:cs="Microsoft Sans Serif"/>
                        <w:b/>
                        <w:sz w:val="14"/>
                        <w:szCs w:val="14"/>
                      </w:rPr>
                    </w:pPr>
                  </w:p>
                  <w:p w:rsidR="002D19D6" w:rsidRPr="00B23B9D" w:rsidRDefault="002D19D6" w:rsidP="00E3578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223</w:t>
    </w:r>
    <w:r w:rsidRPr="00364AFE">
      <w:rPr>
        <w:rFonts w:ascii="Arial Narrow" w:hAnsi="Arial Narrow"/>
      </w:rPr>
      <w:t>/20</w:t>
    </w:r>
    <w:r>
      <w:rPr>
        <w:rFonts w:ascii="Arial Narrow" w:hAnsi="Arial Narrow"/>
      </w:rPr>
      <w:t>25</w:t>
    </w:r>
    <w:r w:rsidRPr="00364AFE">
      <w:rPr>
        <w:rFonts w:ascii="Arial Narrow" w:hAnsi="Arial Narrow"/>
      </w:rPr>
      <w:t xml:space="preserve">-3 </w:t>
    </w:r>
  </w:p>
  <w:p w:rsidR="002D19D6" w:rsidRPr="00E47A61" w:rsidRDefault="002D19D6" w:rsidP="00E3578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9D6" w:rsidRPr="004A456E" w:rsidRDefault="002D19D6" w:rsidP="00E3578F">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74AD45CA" wp14:editId="365B5A2F">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D19D6" w:rsidRDefault="002D19D6" w:rsidP="00E3578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E443036" wp14:editId="78FA6593">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D19D6" w:rsidRPr="00B23B9D" w:rsidRDefault="002D19D6" w:rsidP="00E3578F">
                          <w:pPr>
                            <w:pStyle w:val="Sinespaciado"/>
                            <w:jc w:val="center"/>
                            <w:rPr>
                              <w:rFonts w:ascii="Microsoft Sans Serif" w:eastAsia="SimHei" w:hAnsi="Microsoft Sans Serif" w:cs="Microsoft Sans Serif"/>
                              <w:b/>
                              <w:sz w:val="14"/>
                              <w:szCs w:val="14"/>
                            </w:rPr>
                          </w:pPr>
                        </w:p>
                        <w:p w:rsidR="002D19D6" w:rsidRPr="00B23B9D" w:rsidRDefault="002D19D6" w:rsidP="00E3578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2D19D6" w:rsidRDefault="002D19D6" w:rsidP="00E3578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E443036" wp14:editId="78FA6593">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D19D6" w:rsidRPr="00B23B9D" w:rsidRDefault="002D19D6" w:rsidP="00E3578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D19D6" w:rsidRPr="00B23B9D" w:rsidRDefault="002D19D6" w:rsidP="00E3578F">
                    <w:pPr>
                      <w:pStyle w:val="Sinespaciado"/>
                      <w:jc w:val="center"/>
                      <w:rPr>
                        <w:rFonts w:ascii="Microsoft Sans Serif" w:eastAsia="SimHei" w:hAnsi="Microsoft Sans Serif" w:cs="Microsoft Sans Serif"/>
                        <w:b/>
                        <w:sz w:val="14"/>
                        <w:szCs w:val="14"/>
                      </w:rPr>
                    </w:pPr>
                  </w:p>
                  <w:p w:rsidR="002D19D6" w:rsidRPr="00B23B9D" w:rsidRDefault="002D19D6" w:rsidP="00E3578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E97"/>
    <w:rsid w:val="000538B4"/>
    <w:rsid w:val="002479A7"/>
    <w:rsid w:val="0025251C"/>
    <w:rsid w:val="00280DDC"/>
    <w:rsid w:val="002D19D6"/>
    <w:rsid w:val="00386E97"/>
    <w:rsid w:val="003C66E3"/>
    <w:rsid w:val="00503C25"/>
    <w:rsid w:val="005A4BD2"/>
    <w:rsid w:val="00713033"/>
    <w:rsid w:val="00757E56"/>
    <w:rsid w:val="007A088F"/>
    <w:rsid w:val="009F30DF"/>
    <w:rsid w:val="00A12766"/>
    <w:rsid w:val="00B32C80"/>
    <w:rsid w:val="00C11275"/>
    <w:rsid w:val="00C32771"/>
    <w:rsid w:val="00C37CF2"/>
    <w:rsid w:val="00DC3D96"/>
    <w:rsid w:val="00E3578F"/>
    <w:rsid w:val="00E42478"/>
    <w:rsid w:val="00E72D20"/>
    <w:rsid w:val="00ED426E"/>
    <w:rsid w:val="00F82AA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E9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386E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86E97"/>
  </w:style>
  <w:style w:type="character" w:styleId="Nmerodepgina">
    <w:name w:val="page number"/>
    <w:basedOn w:val="Fuentedeprrafopredeter"/>
    <w:rsid w:val="00386E97"/>
  </w:style>
  <w:style w:type="paragraph" w:styleId="Sinespaciado">
    <w:name w:val="No Spacing"/>
    <w:link w:val="SinespaciadoCar"/>
    <w:uiPriority w:val="1"/>
    <w:qFormat/>
    <w:rsid w:val="00386E97"/>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386E97"/>
    <w:rPr>
      <w:rFonts w:ascii="Calibri" w:eastAsia="Calibri" w:hAnsi="Calibri" w:cs="Times New Roman"/>
    </w:rPr>
  </w:style>
  <w:style w:type="paragraph" w:customStyle="1" w:styleId="Style1">
    <w:name w:val="Style 1"/>
    <w:basedOn w:val="Normal"/>
    <w:uiPriority w:val="99"/>
    <w:rsid w:val="00386E9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386E9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86E97"/>
    <w:rPr>
      <w:rFonts w:ascii="Tahoma" w:hAnsi="Tahoma" w:cs="Tahoma"/>
      <w:sz w:val="16"/>
      <w:szCs w:val="16"/>
    </w:rPr>
  </w:style>
  <w:style w:type="paragraph" w:styleId="Piedepgina">
    <w:name w:val="footer"/>
    <w:basedOn w:val="Normal"/>
    <w:link w:val="PiedepginaCar"/>
    <w:uiPriority w:val="99"/>
    <w:unhideWhenUsed/>
    <w:rsid w:val="00757E5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7E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E9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386E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86E97"/>
  </w:style>
  <w:style w:type="character" w:styleId="Nmerodepgina">
    <w:name w:val="page number"/>
    <w:basedOn w:val="Fuentedeprrafopredeter"/>
    <w:rsid w:val="00386E97"/>
  </w:style>
  <w:style w:type="paragraph" w:styleId="Sinespaciado">
    <w:name w:val="No Spacing"/>
    <w:link w:val="SinespaciadoCar"/>
    <w:uiPriority w:val="1"/>
    <w:qFormat/>
    <w:rsid w:val="00386E97"/>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386E97"/>
    <w:rPr>
      <w:rFonts w:ascii="Calibri" w:eastAsia="Calibri" w:hAnsi="Calibri" w:cs="Times New Roman"/>
    </w:rPr>
  </w:style>
  <w:style w:type="paragraph" w:customStyle="1" w:styleId="Style1">
    <w:name w:val="Style 1"/>
    <w:basedOn w:val="Normal"/>
    <w:uiPriority w:val="99"/>
    <w:rsid w:val="00386E9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386E9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86E97"/>
    <w:rPr>
      <w:rFonts w:ascii="Tahoma" w:hAnsi="Tahoma" w:cs="Tahoma"/>
      <w:sz w:val="16"/>
      <w:szCs w:val="16"/>
    </w:rPr>
  </w:style>
  <w:style w:type="paragraph" w:styleId="Piedepgina">
    <w:name w:val="footer"/>
    <w:basedOn w:val="Normal"/>
    <w:link w:val="PiedepginaCar"/>
    <w:uiPriority w:val="99"/>
    <w:unhideWhenUsed/>
    <w:rsid w:val="00757E5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7E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27</Pages>
  <Words>10338</Words>
  <Characters>56859</Characters>
  <Application>Microsoft Office Word</Application>
  <DocSecurity>0</DocSecurity>
  <Lines>473</Lines>
  <Paragraphs>134</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67063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15</cp:revision>
  <cp:lastPrinted>2026-01-23T19:09:00Z</cp:lastPrinted>
  <dcterms:created xsi:type="dcterms:W3CDTF">2026-01-23T15:53:00Z</dcterms:created>
  <dcterms:modified xsi:type="dcterms:W3CDTF">2026-02-10T17:24:00Z</dcterms:modified>
</cp:coreProperties>
</file>