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E39D1">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3F378D">
        <w:rPr>
          <w:rFonts w:ascii="Arial" w:hAnsi="Arial" w:cs="Arial"/>
          <w:b/>
          <w:sz w:val="24"/>
          <w:szCs w:val="24"/>
        </w:rPr>
        <w:t>mayo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3F378D">
        <w:rPr>
          <w:rFonts w:ascii="Arial" w:hAnsi="Arial" w:cs="Arial"/>
          <w:b/>
          <w:sz w:val="24"/>
          <w:szCs w:val="24"/>
        </w:rPr>
        <w:t>quinta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1C5B35">
        <w:rPr>
          <w:rFonts w:ascii="Arial" w:hAnsi="Arial" w:cs="Arial"/>
          <w:sz w:val="24"/>
          <w:szCs w:val="24"/>
        </w:rPr>
        <w:t>,</w:t>
      </w:r>
      <w:r w:rsidRPr="00115CE3">
        <w:rPr>
          <w:rFonts w:ascii="Arial" w:hAnsi="Arial" w:cs="Arial"/>
          <w:sz w:val="24"/>
          <w:szCs w:val="24"/>
        </w:rPr>
        <w:t xml:space="preserve"> mediante oficio</w:t>
      </w:r>
      <w:r w:rsidR="004E1EAB">
        <w:rPr>
          <w:rFonts w:ascii="Arial" w:hAnsi="Arial" w:cs="Arial"/>
          <w:sz w:val="24"/>
          <w:szCs w:val="24"/>
        </w:rPr>
        <w:t xml:space="preserve"> </w:t>
      </w:r>
      <w:r w:rsidR="00CD69B4" w:rsidRPr="006E39D1">
        <w:rPr>
          <w:rFonts w:ascii="Arial" w:hAnsi="Arial" w:cs="Arial"/>
          <w:b/>
          <w:sz w:val="24"/>
          <w:szCs w:val="24"/>
        </w:rPr>
        <w:t>DGA</w:t>
      </w:r>
      <w:r w:rsidR="00CD69B4">
        <w:rPr>
          <w:rFonts w:ascii="Arial" w:hAnsi="Arial" w:cs="Arial"/>
          <w:b/>
          <w:sz w:val="24"/>
          <w:szCs w:val="24"/>
        </w:rPr>
        <w:t>/</w:t>
      </w:r>
      <w:r w:rsidR="003F378D">
        <w:rPr>
          <w:rFonts w:ascii="Arial" w:hAnsi="Arial" w:cs="Arial"/>
          <w:b/>
          <w:sz w:val="24"/>
          <w:szCs w:val="24"/>
        </w:rPr>
        <w:t>DRH/1246</w:t>
      </w:r>
      <w:r w:rsidR="004E1EAB" w:rsidRPr="004E1EAB">
        <w:rPr>
          <w:rFonts w:ascii="Arial" w:hAnsi="Arial" w:cs="Arial"/>
          <w:b/>
          <w:sz w:val="24"/>
          <w:szCs w:val="24"/>
        </w:rPr>
        <w:t>/2026</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w:t>
      </w:r>
      <w:r w:rsidR="006E39D1">
        <w:rPr>
          <w:rFonts w:ascii="Arial" w:hAnsi="Arial" w:cs="Arial"/>
          <w:b/>
          <w:sz w:val="24"/>
          <w:szCs w:val="24"/>
        </w:rPr>
        <w:t>2</w:t>
      </w:r>
      <w:r w:rsidR="003F378D">
        <w:rPr>
          <w:rFonts w:ascii="Arial" w:hAnsi="Arial" w:cs="Arial"/>
          <w:b/>
          <w:sz w:val="24"/>
          <w:szCs w:val="24"/>
        </w:rPr>
        <w:t>7</w:t>
      </w:r>
      <w:r w:rsidR="001C5B35">
        <w:rPr>
          <w:rFonts w:ascii="Arial" w:hAnsi="Arial" w:cs="Arial"/>
          <w:b/>
          <w:sz w:val="24"/>
          <w:szCs w:val="24"/>
        </w:rPr>
        <w:t xml:space="preserve"> de </w:t>
      </w:r>
      <w:r w:rsidR="003F378D">
        <w:rPr>
          <w:rFonts w:ascii="Arial" w:hAnsi="Arial" w:cs="Arial"/>
          <w:b/>
          <w:sz w:val="24"/>
          <w:szCs w:val="24"/>
        </w:rPr>
        <w:t>abril</w:t>
      </w:r>
      <w:r w:rsidR="001C5B35">
        <w:rPr>
          <w:rFonts w:ascii="Arial" w:hAnsi="Arial" w:cs="Arial"/>
          <w:b/>
          <w:sz w:val="24"/>
          <w:szCs w:val="24"/>
        </w:rPr>
        <w:t xml:space="preserve">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6E39D1">
        <w:rPr>
          <w:rFonts w:ascii="Arial" w:hAnsi="Arial" w:cs="Arial"/>
          <w:b/>
          <w:sz w:val="24"/>
          <w:szCs w:val="24"/>
        </w:rPr>
        <w:t>parcial</w:t>
      </w:r>
      <w:r w:rsidR="00CD69B4">
        <w:rPr>
          <w:rFonts w:ascii="Arial" w:hAnsi="Arial" w:cs="Arial"/>
          <w:b/>
          <w:sz w:val="24"/>
          <w:szCs w:val="24"/>
        </w:rPr>
        <w:t xml:space="preserve"> AR/0</w:t>
      </w:r>
      <w:r w:rsidR="003F378D">
        <w:rPr>
          <w:rFonts w:ascii="Arial" w:hAnsi="Arial" w:cs="Arial"/>
          <w:b/>
          <w:sz w:val="24"/>
          <w:szCs w:val="24"/>
        </w:rPr>
        <w:t>2</w:t>
      </w:r>
      <w:r w:rsidR="003F2181">
        <w:rPr>
          <w:rFonts w:ascii="Arial" w:hAnsi="Arial" w:cs="Arial"/>
          <w:b/>
          <w:sz w:val="24"/>
          <w:szCs w:val="24"/>
        </w:rPr>
        <w:t>6</w:t>
      </w:r>
      <w:r w:rsidR="004E1EAB">
        <w:rPr>
          <w:rFonts w:ascii="Arial" w:hAnsi="Arial" w:cs="Arial"/>
          <w:b/>
          <w:sz w:val="24"/>
          <w:szCs w:val="24"/>
        </w:rPr>
        <w:t>/2026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3F378D">
        <w:rPr>
          <w:rFonts w:ascii="Arial" w:hAnsi="Arial" w:cs="Arial"/>
          <w:b/>
          <w:sz w:val="24"/>
          <w:szCs w:val="24"/>
        </w:rPr>
        <w:t>133</w:t>
      </w:r>
      <w:r w:rsidR="0053156B" w:rsidRPr="00115CE3">
        <w:rPr>
          <w:rFonts w:ascii="Arial" w:hAnsi="Arial" w:cs="Arial"/>
          <w:sz w:val="24"/>
          <w:szCs w:val="24"/>
        </w:rPr>
        <w:t>-24046982</w:t>
      </w:r>
      <w:r w:rsidR="00102849">
        <w:rPr>
          <w:rFonts w:ascii="Arial" w:hAnsi="Arial" w:cs="Arial"/>
          <w:sz w:val="24"/>
          <w:szCs w:val="24"/>
        </w:rPr>
        <w:t>6</w:t>
      </w:r>
      <w:r w:rsidR="0053156B" w:rsidRPr="00115CE3">
        <w:rPr>
          <w:rFonts w:ascii="Arial" w:hAnsi="Arial" w:cs="Arial"/>
          <w:sz w:val="24"/>
          <w:szCs w:val="24"/>
        </w:rPr>
        <w:t>00</w:t>
      </w:r>
      <w:r w:rsidR="003F378D" w:rsidRPr="003F378D">
        <w:rPr>
          <w:rFonts w:ascii="Arial" w:hAnsi="Arial" w:cs="Arial"/>
          <w:b/>
          <w:sz w:val="24"/>
          <w:szCs w:val="24"/>
        </w:rPr>
        <w:t>133</w:t>
      </w:r>
      <w:r w:rsidR="0053156B" w:rsidRPr="00115CE3">
        <w:rPr>
          <w:rFonts w:ascii="Arial" w:hAnsi="Arial" w:cs="Arial"/>
          <w:sz w:val="24"/>
          <w:szCs w:val="24"/>
        </w:rPr>
        <w:t>-202</w:t>
      </w:r>
      <w:r w:rsidR="00102849">
        <w:rPr>
          <w:rFonts w:ascii="Arial" w:hAnsi="Arial" w:cs="Arial"/>
          <w:sz w:val="24"/>
          <w:szCs w:val="24"/>
        </w:rPr>
        <w:t>6</w:t>
      </w:r>
      <w:r w:rsidR="0053156B" w:rsidRPr="00115CE3">
        <w:rPr>
          <w:rFonts w:ascii="Arial" w:hAnsi="Arial" w:cs="Arial"/>
          <w:sz w:val="24"/>
          <w:szCs w:val="24"/>
        </w:rPr>
        <w:t xml:space="preserve"> realizada por</w:t>
      </w:r>
      <w:r w:rsidR="003F378D">
        <w:rPr>
          <w:rFonts w:ascii="Arial" w:hAnsi="Arial" w:cs="Arial"/>
          <w:sz w:val="24"/>
          <w:szCs w:val="24"/>
        </w:rPr>
        <w:t xml:space="preserve"> </w:t>
      </w:r>
      <w:r w:rsidR="003F378D">
        <w:rPr>
          <w:rFonts w:ascii="Arial" w:hAnsi="Arial" w:cs="Arial"/>
          <w:b/>
          <w:sz w:val="24"/>
          <w:szCs w:val="24"/>
        </w:rPr>
        <w:t>Impunidad Cero.</w:t>
      </w:r>
      <w:r w:rsidR="000C23C7">
        <w:rPr>
          <w:rFonts w:ascii="Arial" w:hAnsi="Arial" w:cs="Arial"/>
          <w:sz w:val="24"/>
          <w:szCs w:val="24"/>
        </w:rPr>
        <w:t>, quien manifiesta su deseo de acceder a la siguiente información:</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Respecto a las investigaciones iniciadas con motivo de la comisión de hechos presuntamente constitutivos del delito de feminicidio, se requiere la siguiente información para el período comprendido del 01 de enero de 2020 al 31 de diciembre de 2026.</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 ¿La institución cuenta con una Fiscalía especializada en investigación del delito de feminicidio?</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2.- ¿Con qué fecha entró en labores?</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3.- ¿Cuál es su ubicación?</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4.- ¿La institución cuenta con personal designado específicamente para atender las carpetas de investigación por el delito de feminicidio? En caso positivo, favor de especificar la cantidad de personas ministeriales, periciales y policiales asignadas a estas labores</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5.- ¿La institución cuenta con protocolo especializado y con un área de análisis de contexto, para investigar el delito de feminicidio? en caso positivo, favor de especificar lo siguiente:</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a) Fecha de publicación</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b) Fecha de última actualización</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c) Dirección electrónica en donde puede consultarse</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 xml:space="preserve">6.- ¿Los fiscales y agentes del ministerio público, así como los policías de investigación reciben capacitaciones para atender el delito de feminicidio? En caso positivo, especificar cada </w:t>
      </w:r>
      <w:proofErr w:type="gramStart"/>
      <w:r w:rsidRPr="003F378D">
        <w:rPr>
          <w:rFonts w:ascii="Arial" w:hAnsi="Arial" w:cs="Arial"/>
          <w:sz w:val="20"/>
          <w:szCs w:val="20"/>
        </w:rPr>
        <w:t>cuándo</w:t>
      </w:r>
      <w:proofErr w:type="gramEnd"/>
      <w:r w:rsidRPr="003F378D">
        <w:rPr>
          <w:rFonts w:ascii="Arial" w:hAnsi="Arial" w:cs="Arial"/>
          <w:sz w:val="20"/>
          <w:szCs w:val="20"/>
        </w:rPr>
        <w:t xml:space="preserve"> así como favor adjuntar alguna evidencia.</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7.- ¿La institución cuenta con un sistema informático para el registro de carpetas de investigación por el delito de feminicidio? De ser el caso favor de responder.</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a)</w:t>
      </w:r>
      <w:r w:rsidRPr="003F378D">
        <w:rPr>
          <w:rFonts w:ascii="Arial" w:hAnsi="Arial" w:cs="Arial"/>
          <w:sz w:val="20"/>
          <w:szCs w:val="20"/>
        </w:rPr>
        <w:tab/>
        <w:t>Nombre del sistema informático y año en el que comenzó a operar</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8.- ¿Qué información registra?</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lastRenderedPageBreak/>
        <w:t>9.- ¿El sistema informático asigna un número único de casos?</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10.- ¿Todos los ministerios públicos y policías de investigación cuentan con acceso al sistema informático?</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 xml:space="preserve">11.- ¿El sistema informático permite </w:t>
      </w:r>
      <w:proofErr w:type="gramStart"/>
      <w:r w:rsidRPr="003F378D">
        <w:rPr>
          <w:rFonts w:ascii="Arial" w:hAnsi="Arial" w:cs="Arial"/>
          <w:sz w:val="20"/>
          <w:szCs w:val="20"/>
        </w:rPr>
        <w:t>darle</w:t>
      </w:r>
      <w:proofErr w:type="gramEnd"/>
      <w:r w:rsidRPr="003F378D">
        <w:rPr>
          <w:rFonts w:ascii="Arial" w:hAnsi="Arial" w:cs="Arial"/>
          <w:sz w:val="20"/>
          <w:szCs w:val="20"/>
        </w:rPr>
        <w:t xml:space="preserve"> seguimiento a los actos de investigación?</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12.- ¿El sistema informático permite que las víctimas e imputados o su defensa tengan acceso a su carpeta de investigación?</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13.- ¿El sistema informático permite el intercambio de información entre autoridades ministeriales, periciales y policiales?</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14.- ¿Todos los ministerios públicos, policías de investigación y peritos asignados a la investigación del delito de feminicidio, cuentan con equipo de cómputo y acceso a internet? Favor de especificar.</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15.- ¿La institución cuenta con alguna Dirección de Tecnologías o Sistemas Informáticos? Favor de proporcionar documentación que lo soporte.</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16.- ¿La institución cuenta con centros de atención a víctimas para el delito de feminicidio?, en caso positivo</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favor de especificar lo siguiente:</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a)</w:t>
      </w:r>
      <w:r w:rsidRPr="003F378D">
        <w:rPr>
          <w:rFonts w:ascii="Arial" w:hAnsi="Arial" w:cs="Arial"/>
          <w:sz w:val="20"/>
          <w:szCs w:val="20"/>
        </w:rPr>
        <w:tab/>
        <w:t>¿Cuáles son sus servicios?</w:t>
      </w: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b)</w:t>
      </w:r>
      <w:r w:rsidRPr="003F378D">
        <w:rPr>
          <w:rFonts w:ascii="Arial" w:hAnsi="Arial" w:cs="Arial"/>
          <w:sz w:val="20"/>
          <w:szCs w:val="20"/>
        </w:rPr>
        <w:tab/>
        <w:t>¿Cuál es el tiempo de atención hacia las víctimas?</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 xml:space="preserve">17.- ¿La fiscalía ha adoptado un modelo de atención a la ciudadanía que denuncia el delito de feminicidio, para </w:t>
      </w:r>
      <w:proofErr w:type="spellStart"/>
      <w:r w:rsidRPr="003F378D">
        <w:rPr>
          <w:rFonts w:ascii="Arial" w:hAnsi="Arial" w:cs="Arial"/>
          <w:sz w:val="20"/>
          <w:szCs w:val="20"/>
        </w:rPr>
        <w:t>eficientar</w:t>
      </w:r>
      <w:proofErr w:type="spellEnd"/>
      <w:r w:rsidRPr="003F378D">
        <w:rPr>
          <w:rFonts w:ascii="Arial" w:hAnsi="Arial" w:cs="Arial"/>
          <w:sz w:val="20"/>
          <w:szCs w:val="20"/>
        </w:rPr>
        <w:t xml:space="preserve"> las cargas de trabajo? De ser así, favor de anexar copia digital del programa de modelo de atención vigente.</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18.- ¿La fiscalía ha realizado una evaluación del modelo de atención a la ciudadanía que denuncia el delito de feminicidio? De ser así, favor de adjuntar copia digital de los últimos dos reportes de evaluación.</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19.- ¿La fiscalía cuenta con un modelo de investigación para guiar las diligencias y coordinación entre ministerios públicos, policías de investigación y personal pericial, que intervienen en la investigación del delito de feminicidio? De ser así, anexar copia digital del modelo de investigación vigente.</w:t>
      </w:r>
    </w:p>
    <w:p w:rsidR="003F378D" w:rsidRPr="003F378D" w:rsidRDefault="003F378D" w:rsidP="003F378D">
      <w:pPr>
        <w:spacing w:after="0" w:line="240" w:lineRule="auto"/>
        <w:jc w:val="both"/>
        <w:rPr>
          <w:rFonts w:ascii="Arial" w:hAnsi="Arial" w:cs="Arial"/>
          <w:sz w:val="20"/>
          <w:szCs w:val="20"/>
        </w:rPr>
      </w:pPr>
    </w:p>
    <w:p w:rsidR="003F378D" w:rsidRPr="003F378D" w:rsidRDefault="003F378D" w:rsidP="003F378D">
      <w:pPr>
        <w:spacing w:after="0" w:line="240" w:lineRule="auto"/>
        <w:jc w:val="both"/>
        <w:rPr>
          <w:rFonts w:ascii="Arial" w:hAnsi="Arial" w:cs="Arial"/>
          <w:sz w:val="20"/>
          <w:szCs w:val="20"/>
        </w:rPr>
      </w:pPr>
      <w:r w:rsidRPr="003F378D">
        <w:rPr>
          <w:rFonts w:ascii="Arial" w:hAnsi="Arial" w:cs="Arial"/>
          <w:sz w:val="20"/>
          <w:szCs w:val="20"/>
        </w:rPr>
        <w:t>20.- ¿La fiscalía ha realizado una evaluación de la implementación del modelo de investigación para el delito de feminicidio descrito en la pregunta anterior? De ser así, favor de adjuntar copia digital de los últimos dos reportes de evaluación.</w:t>
      </w:r>
    </w:p>
    <w:p w:rsidR="003F378D" w:rsidRPr="003F378D" w:rsidRDefault="003F378D" w:rsidP="003F378D">
      <w:pPr>
        <w:spacing w:after="0" w:line="240" w:lineRule="auto"/>
        <w:jc w:val="both"/>
        <w:rPr>
          <w:rFonts w:ascii="Arial" w:hAnsi="Arial" w:cs="Arial"/>
          <w:sz w:val="20"/>
          <w:szCs w:val="20"/>
        </w:rPr>
      </w:pPr>
    </w:p>
    <w:p w:rsidR="00102849" w:rsidRDefault="003F378D" w:rsidP="003F378D">
      <w:pPr>
        <w:spacing w:after="0" w:line="240" w:lineRule="auto"/>
        <w:jc w:val="both"/>
        <w:rPr>
          <w:rFonts w:ascii="Arial" w:hAnsi="Arial" w:cs="Arial"/>
          <w:sz w:val="20"/>
          <w:szCs w:val="20"/>
        </w:rPr>
      </w:pPr>
      <w:r w:rsidRPr="003F378D">
        <w:rPr>
          <w:rFonts w:ascii="Arial" w:hAnsi="Arial" w:cs="Arial"/>
          <w:sz w:val="20"/>
          <w:szCs w:val="20"/>
        </w:rPr>
        <w:t>21.- Finalmente, se solicita proporcionar la información estadística descrita en el archivo anexo en formato XLS (el cual fue enviado al correo institucional)</w:t>
      </w:r>
      <w:r w:rsidR="00775249" w:rsidRPr="00775249">
        <w:rPr>
          <w:rFonts w:ascii="Arial" w:hAnsi="Arial" w:cs="Arial"/>
          <w:sz w:val="20"/>
          <w:szCs w:val="20"/>
        </w:rPr>
        <w:t>.</w:t>
      </w:r>
      <w:r w:rsidR="00775249">
        <w:rPr>
          <w:rFonts w:ascii="Arial" w:hAnsi="Arial" w:cs="Arial"/>
          <w:sz w:val="20"/>
          <w:szCs w:val="20"/>
        </w:rPr>
        <w:t xml:space="preserve"> </w:t>
      </w:r>
      <w:r w:rsidR="00775249" w:rsidRPr="00775249">
        <w:rPr>
          <w:rFonts w:ascii="Arial" w:hAnsi="Arial" w:cs="Arial"/>
          <w:sz w:val="20"/>
          <w:szCs w:val="20"/>
        </w:rPr>
        <w:t xml:space="preserve"> </w:t>
      </w:r>
      <w:r w:rsidR="00102849">
        <w:rPr>
          <w:rFonts w:ascii="Arial" w:hAnsi="Arial" w:cs="Arial"/>
          <w:sz w:val="20"/>
          <w:szCs w:val="20"/>
        </w:rPr>
        <w:t>[SIC]</w:t>
      </w:r>
    </w:p>
    <w:p w:rsidR="00102849" w:rsidRDefault="00102849" w:rsidP="00102849">
      <w:pPr>
        <w:spacing w:after="0" w:line="240" w:lineRule="auto"/>
        <w:jc w:val="both"/>
        <w:rPr>
          <w:rFonts w:ascii="Arial" w:hAnsi="Arial" w:cs="Arial"/>
          <w:b/>
          <w:sz w:val="24"/>
          <w:szCs w:val="24"/>
        </w:rPr>
      </w:pPr>
    </w:p>
    <w:p w:rsidR="00BF3665" w:rsidRDefault="009819AE" w:rsidP="00102849">
      <w:pPr>
        <w:spacing w:after="0"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6E39D1">
        <w:rPr>
          <w:rFonts w:ascii="Arial" w:hAnsi="Arial" w:cs="Arial"/>
          <w:b/>
          <w:sz w:val="24"/>
          <w:szCs w:val="24"/>
        </w:rPr>
        <w:t>parcialmente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3F378D">
        <w:rPr>
          <w:rFonts w:ascii="Arial" w:hAnsi="Arial" w:cs="Arial"/>
          <w:sz w:val="24"/>
          <w:szCs w:val="24"/>
        </w:rPr>
        <w:t>ones I y</w:t>
      </w:r>
      <w:r w:rsidR="00D63EFF">
        <w:rPr>
          <w:rFonts w:ascii="Arial" w:hAnsi="Arial" w:cs="Arial"/>
          <w:sz w:val="24"/>
          <w:szCs w:val="24"/>
        </w:rPr>
        <w:t xml:space="preserve"> </w:t>
      </w:r>
      <w:r w:rsidR="005160BF" w:rsidRPr="00115CE3">
        <w:rPr>
          <w:rFonts w:ascii="Arial" w:hAnsi="Arial" w:cs="Arial"/>
          <w:sz w:val="24"/>
          <w:szCs w:val="24"/>
        </w:rPr>
        <w:t>X</w:t>
      </w:r>
      <w:r w:rsidR="003F378D">
        <w:rPr>
          <w:rFonts w:ascii="Arial" w:hAnsi="Arial" w:cs="Arial"/>
          <w:sz w:val="24"/>
          <w:szCs w:val="24"/>
        </w:rPr>
        <w:t>I</w:t>
      </w:r>
      <w:r w:rsidR="005160BF" w:rsidRPr="00115CE3">
        <w:rPr>
          <w:rFonts w:ascii="Arial" w:hAnsi="Arial" w:cs="Arial"/>
          <w:sz w:val="24"/>
          <w:szCs w:val="24"/>
        </w:rPr>
        <w:t>I</w:t>
      </w:r>
      <w:r w:rsidRPr="00115CE3">
        <w:rPr>
          <w:rFonts w:ascii="Arial" w:hAnsi="Arial" w:cs="Arial"/>
          <w:sz w:val="24"/>
          <w:szCs w:val="24"/>
        </w:rPr>
        <w:t xml:space="preserve"> de la LTAIPSLP.</w:t>
      </w:r>
    </w:p>
    <w:p w:rsidR="0056548A" w:rsidRDefault="0056548A" w:rsidP="00102849">
      <w:pPr>
        <w:spacing w:after="0"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6E39D1">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D69B4">
        <w:rPr>
          <w:rFonts w:ascii="Arial" w:hAnsi="Arial" w:cs="Arial"/>
          <w:b/>
          <w:sz w:val="24"/>
          <w:szCs w:val="24"/>
        </w:rPr>
        <w:t>AR/0</w:t>
      </w:r>
      <w:r w:rsidR="003F378D">
        <w:rPr>
          <w:rFonts w:ascii="Arial" w:hAnsi="Arial" w:cs="Arial"/>
          <w:b/>
          <w:sz w:val="24"/>
          <w:szCs w:val="24"/>
        </w:rPr>
        <w:t>2</w:t>
      </w:r>
      <w:r w:rsidR="00FA347A">
        <w:rPr>
          <w:rFonts w:ascii="Arial" w:hAnsi="Arial" w:cs="Arial"/>
          <w:b/>
          <w:sz w:val="24"/>
          <w:szCs w:val="24"/>
        </w:rPr>
        <w:t>6</w:t>
      </w:r>
      <w:r w:rsidR="00CD69B4">
        <w:rPr>
          <w:rFonts w:ascii="Arial" w:hAnsi="Arial" w:cs="Arial"/>
          <w:b/>
          <w:sz w:val="24"/>
          <w:szCs w:val="24"/>
        </w:rPr>
        <w:t>/2026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6E39D1">
        <w:rPr>
          <w:rFonts w:ascii="Arial" w:hAnsi="Arial" w:cs="Arial"/>
          <w:b/>
          <w:sz w:val="24"/>
          <w:szCs w:val="24"/>
        </w:rPr>
        <w:t>parcial</w:t>
      </w:r>
      <w:r w:rsidR="00CD69B4">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3F378D">
        <w:rPr>
          <w:rFonts w:ascii="Arial" w:hAnsi="Arial" w:cs="Arial"/>
          <w:b/>
          <w:sz w:val="24"/>
          <w:szCs w:val="24"/>
        </w:rPr>
        <w:t>2</w:t>
      </w:r>
      <w:r w:rsidR="003F2181">
        <w:rPr>
          <w:rFonts w:ascii="Arial" w:hAnsi="Arial" w:cs="Arial"/>
          <w:b/>
          <w:sz w:val="24"/>
          <w:szCs w:val="24"/>
        </w:rPr>
        <w:t>6</w:t>
      </w:r>
      <w:r w:rsidR="00CD69B4">
        <w:rPr>
          <w:rFonts w:ascii="Arial" w:hAnsi="Arial" w:cs="Arial"/>
          <w:b/>
          <w:sz w:val="24"/>
          <w:szCs w:val="24"/>
        </w:rPr>
        <w:t>/2026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6E39D1">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3F378D">
        <w:rPr>
          <w:rFonts w:ascii="Arial" w:hAnsi="Arial" w:cs="Arial"/>
          <w:b/>
          <w:sz w:val="24"/>
          <w:szCs w:val="24"/>
        </w:rPr>
        <w:t>26</w:t>
      </w:r>
      <w:r w:rsidR="00CD69B4">
        <w:rPr>
          <w:rFonts w:ascii="Arial" w:hAnsi="Arial" w:cs="Arial"/>
          <w:b/>
          <w:sz w:val="24"/>
          <w:szCs w:val="24"/>
        </w:rPr>
        <w:t>/2026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3F2181" w:rsidRDefault="003F2181" w:rsidP="003358AA">
      <w:pPr>
        <w:autoSpaceDE w:val="0"/>
        <w:autoSpaceDN w:val="0"/>
        <w:adjustRightInd w:val="0"/>
        <w:spacing w:line="240" w:lineRule="auto"/>
        <w:jc w:val="both"/>
        <w:rPr>
          <w:rFonts w:ascii="Arial" w:hAnsi="Arial" w:cs="Arial"/>
          <w:sz w:val="24"/>
          <w:szCs w:val="24"/>
          <w:u w:val="single"/>
        </w:rPr>
      </w:pPr>
    </w:p>
    <w:p w:rsidR="003358AA" w:rsidRDefault="007336C3" w:rsidP="00635CCD">
      <w:pPr>
        <w:autoSpaceDE w:val="0"/>
        <w:autoSpaceDN w:val="0"/>
        <w:adjustRightInd w:val="0"/>
        <w:spacing w:after="0" w:line="240" w:lineRule="auto"/>
        <w:jc w:val="both"/>
        <w:rPr>
          <w:rFonts w:ascii="Arial" w:hAnsi="Arial" w:cs="Arial"/>
          <w:sz w:val="24"/>
          <w:szCs w:val="24"/>
        </w:rPr>
      </w:pPr>
      <w:r w:rsidRPr="00115CE3">
        <w:rPr>
          <w:rFonts w:ascii="Arial" w:hAnsi="Arial" w:cs="Arial"/>
          <w:sz w:val="24"/>
          <w:szCs w:val="24"/>
          <w:u w:val="single"/>
        </w:rPr>
        <w:t>Motivación</w:t>
      </w:r>
      <w:r w:rsidRPr="006E39D1">
        <w:rPr>
          <w:rFonts w:ascii="Arial" w:hAnsi="Arial" w:cs="Arial"/>
          <w:sz w:val="24"/>
          <w:szCs w:val="24"/>
        </w:rPr>
        <w:t>.</w:t>
      </w:r>
      <w:r w:rsidR="006E39D1" w:rsidRPr="006E39D1">
        <w:t xml:space="preserve"> </w:t>
      </w:r>
      <w:r w:rsidR="003F378D" w:rsidRPr="00635CCD">
        <w:rPr>
          <w:rFonts w:ascii="Arial" w:hAnsi="Arial" w:cs="Arial"/>
          <w:sz w:val="24"/>
          <w:szCs w:val="24"/>
        </w:rPr>
        <w:t xml:space="preserve">Como es el caso de la Solicitud de Acceso a la Información No. UT-SI-P-133-240469826000133-2026, es procedente puesto que el dar a conocer la información respecto a, Del período comprendido del 01 de noviembre de 2020 al 02 de octubre de 2022 de la Unidad Especializada en Delitos de Homicidio y Feminicidio, del 03 de octubre de 2022 al 12 de enero de 2023 de la Unidad Especializada en Feminicidios y del 13 de enero de 2023 al 22 de abril de 2026, en la Fiscalía Especializada en Feminicidios, la cantidad de personas ministeriales, periciales y policiales asignadas,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w:t>
      </w:r>
      <w:r w:rsidR="003F378D" w:rsidRPr="00635CCD">
        <w:rPr>
          <w:rFonts w:ascii="Arial" w:hAnsi="Arial" w:cs="Arial"/>
          <w:sz w:val="24"/>
          <w:szCs w:val="24"/>
        </w:rPr>
        <w:lastRenderedPageBreak/>
        <w:t>que sean acordes con las bases, principios y disposiciones establecidos en esta Ley y no la contravengan; así como las previstas en tratados internacionales.”</w:t>
      </w:r>
    </w:p>
    <w:p w:rsidR="00635CCD" w:rsidRPr="00635CCD" w:rsidRDefault="00635CCD" w:rsidP="00635CCD">
      <w:pPr>
        <w:autoSpaceDE w:val="0"/>
        <w:autoSpaceDN w:val="0"/>
        <w:adjustRightInd w:val="0"/>
        <w:spacing w:after="0" w:line="240" w:lineRule="auto"/>
        <w:jc w:val="both"/>
        <w:rPr>
          <w:rFonts w:ascii="Arial" w:hAnsi="Arial" w:cs="Arial"/>
          <w:sz w:val="24"/>
          <w:szCs w:val="24"/>
        </w:rPr>
      </w:pPr>
    </w:p>
    <w:p w:rsid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r w:rsidRPr="00635CCD">
        <w:rPr>
          <w:rFonts w:ascii="Arial" w:eastAsiaTheme="minorHAnsi" w:hAnsi="Arial" w:cs="Arial"/>
          <w:color w:val="000000"/>
          <w:sz w:val="24"/>
          <w:szCs w:val="24"/>
          <w:lang w:eastAsia="en-US"/>
        </w:rPr>
        <w:t xml:space="preserve">El personal que se encuentra dentro de </w:t>
      </w:r>
      <w:r w:rsidRPr="00635CCD">
        <w:rPr>
          <w:rFonts w:ascii="Arial" w:eastAsiaTheme="minorHAnsi" w:hAnsi="Arial" w:cs="Arial"/>
          <w:b/>
          <w:color w:val="000000"/>
          <w:sz w:val="24"/>
          <w:szCs w:val="24"/>
          <w:lang w:eastAsia="en-US"/>
        </w:rPr>
        <w:t>las Unidades especializadas para conocer de investigaciones iniciadas con motivo de la privación de la vida a una mujer por razones de género</w:t>
      </w:r>
      <w:r w:rsidRPr="00635CCD">
        <w:rPr>
          <w:rFonts w:ascii="Arial" w:eastAsiaTheme="minorHAnsi" w:hAnsi="Arial" w:cs="Arial"/>
          <w:color w:val="000000"/>
          <w:sz w:val="24"/>
          <w:szCs w:val="24"/>
          <w:lang w:eastAsia="en-US"/>
        </w:rPr>
        <w:t xml:space="preserve"> atendiendo de forma directa víctimas directas o indirectas, asesores jurídicos, el conocimiento del hecho delictivo, los medios y datos de pruebas ofrecidas por esta Fiscalía, siendo servidores públicos estratégicos de la construcción de la Teoría del Delito que se plantea de acuerdo a la naturaleza de la noticia criminal, así como las personas a las que se formula imputación y sus defensores jurídicos.</w:t>
      </w:r>
    </w:p>
    <w:p w:rsidR="00635CCD" w:rsidRP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p>
    <w:p w:rsidR="00635CCD" w:rsidRP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r w:rsidRPr="00635CCD">
        <w:rPr>
          <w:rFonts w:ascii="Arial" w:eastAsiaTheme="minorHAnsi" w:hAnsi="Arial" w:cs="Arial"/>
          <w:color w:val="000000"/>
          <w:sz w:val="24"/>
          <w:szCs w:val="24"/>
          <w:lang w:eastAsia="en-US"/>
        </w:rPr>
        <w:t>Por lo cual, el develar la información de interés, expone una parte porcentual de la capacidad de reacción de esta Institución, y la capacidad total de reacción y operativa de toda un eslabón de esta Institución, como lo son las unidades y/o Fiscalía especializada para conocer del ilícito que nos ocupa, en el punto específico de la persecución de delitos y dejándolos vulnerables ante cualquier evento frente a personas con fines ilícitos, y en desventaja en operativos y</w:t>
      </w:r>
      <w:r w:rsidRPr="00635CCD">
        <w:rPr>
          <w:rFonts w:ascii="Arial" w:hAnsi="Arial" w:cs="Arial"/>
          <w:sz w:val="24"/>
          <w:szCs w:val="24"/>
        </w:rPr>
        <w:t xml:space="preserve"> </w:t>
      </w:r>
      <w:r w:rsidRPr="00635CCD">
        <w:rPr>
          <w:rFonts w:ascii="Arial" w:eastAsiaTheme="minorHAnsi" w:hAnsi="Arial" w:cs="Arial"/>
          <w:color w:val="000000"/>
          <w:sz w:val="24"/>
          <w:szCs w:val="24"/>
          <w:lang w:eastAsia="en-US"/>
        </w:rPr>
        <w:t>programas de vigilancia, por lo que implica un compromiso de orden prioritario salvaguardar la seguridad del personal de investigación, toda vez que la difusión puede poner en riesgo la vida, la seguridad  y salud del personal en cita, al ser entregada la información a un tercero podría llegar a ser del conocimiento de los grupos delincuenciales y estos obstaculizar las investigaciones, estrategias y acciones, afectando el orden público y la seguridad estatal.</w:t>
      </w:r>
    </w:p>
    <w:p w:rsidR="00635CCD" w:rsidRPr="00635CCD" w:rsidRDefault="00635CCD" w:rsidP="00635CCD">
      <w:pPr>
        <w:autoSpaceDE w:val="0"/>
        <w:autoSpaceDN w:val="0"/>
        <w:adjustRightInd w:val="0"/>
        <w:spacing w:after="0" w:line="240" w:lineRule="auto"/>
        <w:ind w:firstLine="360"/>
        <w:jc w:val="both"/>
        <w:rPr>
          <w:rFonts w:ascii="Arial" w:eastAsiaTheme="minorHAnsi" w:hAnsi="Arial" w:cs="Arial"/>
          <w:color w:val="000000"/>
          <w:sz w:val="24"/>
          <w:szCs w:val="24"/>
          <w:lang w:eastAsia="en-US"/>
        </w:rPr>
      </w:pPr>
    </w:p>
    <w:p w:rsid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r w:rsidRPr="00635CCD">
        <w:rPr>
          <w:rFonts w:ascii="Arial" w:eastAsiaTheme="minorHAnsi" w:hAnsi="Arial" w:cs="Arial"/>
          <w:color w:val="000000"/>
          <w:sz w:val="24"/>
          <w:szCs w:val="24"/>
          <w:lang w:eastAsia="en-US"/>
        </w:rPr>
        <w:t xml:space="preserve">A sabiendas que la información de interés, la función pública a la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635CCD" w:rsidRP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p>
    <w:p w:rsidR="00635CCD" w:rsidRDefault="00635CCD" w:rsidP="00635CCD">
      <w:pPr>
        <w:autoSpaceDE w:val="0"/>
        <w:autoSpaceDN w:val="0"/>
        <w:adjustRightInd w:val="0"/>
        <w:spacing w:after="0" w:line="240" w:lineRule="auto"/>
        <w:jc w:val="both"/>
        <w:rPr>
          <w:rFonts w:ascii="Arial" w:eastAsiaTheme="minorHAnsi" w:hAnsi="Arial" w:cs="Arial"/>
          <w:i/>
          <w:color w:val="000000"/>
          <w:sz w:val="24"/>
          <w:szCs w:val="24"/>
          <w:lang w:eastAsia="en-US"/>
        </w:rPr>
      </w:pPr>
      <w:r w:rsidRPr="00635CCD">
        <w:rPr>
          <w:rFonts w:ascii="Arial" w:eastAsiaTheme="minorHAnsi" w:hAnsi="Arial" w:cs="Arial"/>
          <w:color w:val="000000"/>
          <w:sz w:val="24"/>
          <w:szCs w:val="24"/>
          <w:lang w:eastAsia="en-US"/>
        </w:rPr>
        <w:t>Caso especial, de las unidades y/o Fiscalía especializada para conocer</w:t>
      </w:r>
      <w:r w:rsidRPr="00635CCD">
        <w:rPr>
          <w:rFonts w:ascii="Arial" w:eastAsiaTheme="minorHAnsi" w:hAnsi="Arial" w:cs="Arial"/>
          <w:color w:val="FF0000"/>
          <w:sz w:val="24"/>
          <w:szCs w:val="24"/>
          <w:lang w:eastAsia="en-US"/>
        </w:rPr>
        <w:t xml:space="preserve"> </w:t>
      </w:r>
      <w:r w:rsidRPr="00635CCD">
        <w:rPr>
          <w:rFonts w:ascii="Arial" w:eastAsiaTheme="minorHAnsi" w:hAnsi="Arial" w:cs="Arial"/>
          <w:color w:val="000000"/>
          <w:sz w:val="24"/>
          <w:szCs w:val="24"/>
          <w:lang w:eastAsia="en-US"/>
        </w:rPr>
        <w:t xml:space="preserve">de los hechos relacionados con la privación de la vida a una mujer por razones de género, quien para la investigación e integración de las indagatorias que son de su competencia, deben cumplir con un alto estándar de profesionalismo y las condiciones óptimas para su operatividad, en la medida de las capacidades presupuestales, coincidiendo plenamente en lo establecido en el referido Protocolo Latinoamericano de Investigación de las Muertes Violentas de Mujeres por Razones de Género, elaborado por la Oficina Regional para América Central del Alto Comisionado de las Naciones Unidas para los Derechos Humanos, define el término “feminicidio”, como la muerte violenta de mujeres por razones de género, ya sea que tenga lugar dentro de la familia, unidad doméstica o en cualquier otra relación interpersonal, en la </w:t>
      </w:r>
      <w:r w:rsidRPr="00635CCD">
        <w:rPr>
          <w:rFonts w:ascii="Arial" w:eastAsiaTheme="minorHAnsi" w:hAnsi="Arial" w:cs="Arial"/>
          <w:color w:val="000000"/>
          <w:sz w:val="24"/>
          <w:szCs w:val="24"/>
          <w:lang w:eastAsia="en-US"/>
        </w:rPr>
        <w:lastRenderedPageBreak/>
        <w:t>comunidad, por parte de cualquier persona, o que sea perpetrada o tolerada por el Estado y sus agentes, por acción u omisión. Mismo que en su apartado</w:t>
      </w:r>
      <w:r w:rsidRPr="00635CCD">
        <w:rPr>
          <w:rFonts w:ascii="Arial" w:hAnsi="Arial" w:cs="Arial"/>
          <w:sz w:val="24"/>
          <w:szCs w:val="24"/>
        </w:rPr>
        <w:t xml:space="preserve"> </w:t>
      </w:r>
      <w:r w:rsidRPr="00635CCD">
        <w:rPr>
          <w:rFonts w:ascii="Arial" w:eastAsiaTheme="minorHAnsi" w:hAnsi="Arial" w:cs="Arial"/>
          <w:color w:val="000000"/>
          <w:sz w:val="24"/>
          <w:szCs w:val="24"/>
          <w:lang w:eastAsia="en-US"/>
        </w:rPr>
        <w:t>donde refiere que</w:t>
      </w:r>
      <w:r w:rsidRPr="00635CCD">
        <w:rPr>
          <w:rFonts w:ascii="Arial" w:hAnsi="Arial" w:cs="Arial"/>
          <w:sz w:val="24"/>
          <w:szCs w:val="24"/>
        </w:rPr>
        <w:t xml:space="preserve"> </w:t>
      </w:r>
      <w:r w:rsidRPr="00635CCD">
        <w:rPr>
          <w:rFonts w:ascii="Arial" w:eastAsiaTheme="minorHAnsi" w:hAnsi="Arial" w:cs="Arial"/>
          <w:i/>
          <w:color w:val="000000"/>
          <w:sz w:val="24"/>
          <w:szCs w:val="24"/>
          <w:lang w:eastAsia="en-US"/>
        </w:rPr>
        <w:t>“la investigación debe ser realizada por profesionales competentes, empleando los procedimientos apropiados y utilizando de manera efectiva todos los recursos a su disposición y con el apoyo de personal técnico y administrativo idóneo. El deber de investigar con seriedad las violencias contra las mujeres requiere contar con profesionales capaces de identificar los factores necesarios para conceptualizar e indagar sobre la existencia de violencia de género, conforme a los tratados y estándares internacionales. Cuando las investigaciones no son llevadas a cabo por autoridades apropiadas y sensibilizadas en materia de género se registran retrasos y vacíos claves en las investigaciones, que afectan negativamente el futuro procesal del caso”</w:t>
      </w:r>
      <w:r>
        <w:rPr>
          <w:rFonts w:ascii="Arial" w:eastAsiaTheme="minorHAnsi" w:hAnsi="Arial" w:cs="Arial"/>
          <w:i/>
          <w:color w:val="000000"/>
          <w:sz w:val="24"/>
          <w:szCs w:val="24"/>
          <w:lang w:eastAsia="en-US"/>
        </w:rPr>
        <w:t>.</w:t>
      </w:r>
    </w:p>
    <w:p w:rsidR="00635CCD" w:rsidRPr="00635CCD" w:rsidRDefault="00635CCD" w:rsidP="00635CCD">
      <w:pPr>
        <w:autoSpaceDE w:val="0"/>
        <w:autoSpaceDN w:val="0"/>
        <w:adjustRightInd w:val="0"/>
        <w:spacing w:after="0" w:line="240" w:lineRule="auto"/>
        <w:jc w:val="both"/>
        <w:rPr>
          <w:rFonts w:ascii="Arial" w:hAnsi="Arial" w:cs="Arial"/>
          <w:sz w:val="24"/>
          <w:szCs w:val="24"/>
          <w:lang w:eastAsia="es-ES"/>
        </w:rPr>
      </w:pPr>
    </w:p>
    <w:p w:rsidR="00635CCD" w:rsidRPr="00635CCD" w:rsidRDefault="00635CCD" w:rsidP="00635CCD">
      <w:pPr>
        <w:autoSpaceDE w:val="0"/>
        <w:autoSpaceDN w:val="0"/>
        <w:adjustRightInd w:val="0"/>
        <w:spacing w:after="0" w:line="240" w:lineRule="auto"/>
        <w:jc w:val="both"/>
        <w:rPr>
          <w:rFonts w:ascii="Arial" w:eastAsiaTheme="minorHAnsi" w:hAnsi="Arial" w:cs="Arial"/>
          <w:color w:val="000000"/>
          <w:sz w:val="24"/>
          <w:szCs w:val="24"/>
          <w:lang w:eastAsia="en-US"/>
        </w:rPr>
      </w:pPr>
      <w:r w:rsidRPr="00635CCD">
        <w:rPr>
          <w:rFonts w:ascii="Arial" w:eastAsiaTheme="minorHAnsi" w:hAnsi="Arial" w:cs="Arial"/>
          <w:color w:val="000000"/>
          <w:sz w:val="24"/>
          <w:szCs w:val="24"/>
          <w:lang w:eastAsia="en-US"/>
        </w:rPr>
        <w:t xml:space="preserve">Esta razón es que el brindar la información de interés, deja al descubierto los datos que hacen identificables a quienes participan dejando registro de su experticia, nombres, apellidos y adscripciones en los documentos de las indagatorias y detenciones, información que establece como reservada los artículos 3°, 5° 56 fracción XXVI, 93, 93 bis,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la Resolución de la Suprema Corte de Justicia de la Nación emitida dentro de la Controversia Constitucional Numero 325/2019; </w:t>
      </w:r>
    </w:p>
    <w:p w:rsidR="00635CCD" w:rsidRPr="00635CCD" w:rsidRDefault="00635CCD" w:rsidP="00635CCD">
      <w:pPr>
        <w:pStyle w:val="Default"/>
        <w:ind w:firstLine="360"/>
        <w:jc w:val="both"/>
      </w:pPr>
    </w:p>
    <w:p w:rsidR="00635CCD" w:rsidRPr="00635CCD" w:rsidRDefault="00635CCD" w:rsidP="00635CCD">
      <w:pPr>
        <w:spacing w:after="0" w:line="240" w:lineRule="auto"/>
        <w:jc w:val="both"/>
        <w:rPr>
          <w:rFonts w:ascii="Arial" w:eastAsiaTheme="minorHAnsi" w:hAnsi="Arial" w:cs="Arial"/>
          <w:color w:val="000000"/>
          <w:sz w:val="24"/>
          <w:szCs w:val="24"/>
          <w:lang w:eastAsia="en-US"/>
        </w:rPr>
      </w:pPr>
      <w:r w:rsidRPr="00635CCD">
        <w:rPr>
          <w:rFonts w:ascii="Arial" w:eastAsiaTheme="minorHAnsi" w:hAnsi="Arial" w:cs="Arial"/>
          <w:color w:val="000000"/>
          <w:sz w:val="24"/>
          <w:szCs w:val="24"/>
          <w:lang w:eastAsia="en-US"/>
        </w:rPr>
        <w:t xml:space="preserve">En suma, se advierte que el realizar la divulgación de la información referente a: </w:t>
      </w:r>
      <w:r w:rsidRPr="00D72202">
        <w:rPr>
          <w:rFonts w:ascii="Arial" w:hAnsi="Arial" w:cs="Arial"/>
          <w:bCs/>
          <w:i/>
          <w:sz w:val="24"/>
          <w:szCs w:val="24"/>
        </w:rPr>
        <w:t>Del período comprendido del 01 de noviembre de 2020 al 02 de octubre de 2022 de la Unidad Especializada en Delitos de Homicidio y Feminicidio, del 03 de octubre de 2022 al 12 de enero de 2023 de la Unidad Especializada en Feminicidios y del 13 de enero de 2023 al 22 de abril de 2026, en la Fiscalía Especializada en Feminicidios, la cantidad de personas ministeriales, periciales y policiales asignadas</w:t>
      </w:r>
      <w:r w:rsidRPr="00D72202">
        <w:rPr>
          <w:rFonts w:ascii="Arial" w:eastAsiaTheme="minorHAnsi" w:hAnsi="Arial" w:cs="Arial"/>
          <w:color w:val="000000"/>
          <w:sz w:val="24"/>
          <w:szCs w:val="24"/>
          <w:lang w:eastAsia="en-US"/>
        </w:rPr>
        <w:t xml:space="preserve">, </w:t>
      </w:r>
      <w:r w:rsidRPr="00635CCD">
        <w:rPr>
          <w:rFonts w:ascii="Arial" w:eastAsiaTheme="minorHAnsi" w:hAnsi="Arial" w:cs="Arial"/>
          <w:color w:val="000000"/>
          <w:sz w:val="24"/>
          <w:szCs w:val="24"/>
          <w:lang w:eastAsia="en-US"/>
        </w:rPr>
        <w:t>correspondiente a esta Fiscalía General del Estado dejaría en estado de vulnerabilidad ante hechos delictivos y ante la delincuencia organizada, y por qué no, incluso exponer a los servidores públicos a corrupción, toda vez que se daría a conocer una parte porcentual de la capacidad de reacción que tiene la Fiscalía General del Estado</w:t>
      </w:r>
      <w:r w:rsidRPr="00635CCD">
        <w:rPr>
          <w:rFonts w:ascii="Arial" w:hAnsi="Arial" w:cs="Arial"/>
          <w:sz w:val="24"/>
          <w:szCs w:val="24"/>
        </w:rPr>
        <w:t xml:space="preserve"> </w:t>
      </w:r>
      <w:r w:rsidRPr="00635CCD">
        <w:rPr>
          <w:rFonts w:ascii="Arial" w:eastAsiaTheme="minorHAnsi" w:hAnsi="Arial" w:cs="Arial"/>
          <w:b/>
          <w:color w:val="000000"/>
          <w:sz w:val="24"/>
          <w:szCs w:val="24"/>
          <w:lang w:eastAsia="en-US"/>
        </w:rPr>
        <w:t>y de forma general la capacidad de reacción y operaria de las Unidades y/o Fiscalía Especializada en Feminicidios</w:t>
      </w:r>
      <w:r w:rsidRPr="00635CCD">
        <w:rPr>
          <w:rFonts w:ascii="Arial" w:eastAsiaTheme="minorHAnsi" w:hAnsi="Arial" w:cs="Arial"/>
          <w:color w:val="000000"/>
          <w:sz w:val="24"/>
          <w:szCs w:val="24"/>
          <w:lang w:eastAsia="en-US"/>
        </w:rPr>
        <w:t>, que la propia reglamentación señala que esta consulta es exclusiva de las instituciones de seguridad pública que estén facultadas en cada caso, a través de los servidores públicos que cada institución designe, por lo que el</w:t>
      </w:r>
      <w:r w:rsidRPr="00635CCD">
        <w:rPr>
          <w:rFonts w:ascii="Arial" w:hAnsi="Arial" w:cs="Arial"/>
          <w:i/>
          <w:sz w:val="24"/>
          <w:szCs w:val="24"/>
        </w:rPr>
        <w:t xml:space="preserve"> </w:t>
      </w:r>
      <w:r w:rsidRPr="00635CCD">
        <w:rPr>
          <w:rFonts w:ascii="Arial" w:eastAsiaTheme="minorHAnsi" w:hAnsi="Arial" w:cs="Arial"/>
          <w:b/>
          <w:i/>
          <w:color w:val="000000"/>
          <w:sz w:val="24"/>
          <w:szCs w:val="24"/>
          <w:lang w:eastAsia="en-US"/>
        </w:rPr>
        <w:t>público no tendrá acceso a la información que en ellos se contenga</w:t>
      </w:r>
      <w:r w:rsidRPr="00635CCD">
        <w:rPr>
          <w:rFonts w:ascii="Arial" w:hAnsi="Arial" w:cs="Arial"/>
          <w:sz w:val="24"/>
          <w:szCs w:val="24"/>
        </w:rPr>
        <w:t xml:space="preserve">”. </w:t>
      </w:r>
      <w:r w:rsidRPr="00635CCD">
        <w:rPr>
          <w:rFonts w:ascii="Arial" w:eastAsiaTheme="minorHAnsi" w:hAnsi="Arial" w:cs="Arial"/>
          <w:color w:val="000000"/>
          <w:sz w:val="24"/>
          <w:szCs w:val="24"/>
          <w:lang w:eastAsia="en-US"/>
        </w:rPr>
        <w:t>Pues, se establece que el personal de esta Institución es adscrito a puntos estratégicos, con la finalidad de garantizar los derechos humanos consagrados en el numera 20 fracción I, aparado A) apegándose a diversos principios de corte político criminal, establece que el proceso penal será acusatorio y oral en México tendrá como objeto:</w:t>
      </w:r>
    </w:p>
    <w:p w:rsidR="00635CCD" w:rsidRPr="00635CCD" w:rsidRDefault="00635CCD" w:rsidP="00635CCD">
      <w:pPr>
        <w:pStyle w:val="Prrafodelista"/>
        <w:numPr>
          <w:ilvl w:val="0"/>
          <w:numId w:val="9"/>
        </w:numPr>
        <w:jc w:val="both"/>
        <w:rPr>
          <w:rFonts w:ascii="Arial" w:eastAsiaTheme="minorHAnsi" w:hAnsi="Arial" w:cs="Arial"/>
          <w:color w:val="000000"/>
          <w:lang w:eastAsia="en-US"/>
        </w:rPr>
      </w:pPr>
      <w:r w:rsidRPr="00635CCD">
        <w:rPr>
          <w:rFonts w:ascii="Arial" w:eastAsiaTheme="minorHAnsi" w:hAnsi="Arial" w:cs="Arial"/>
          <w:color w:val="000000"/>
          <w:lang w:eastAsia="en-US"/>
        </w:rPr>
        <w:lastRenderedPageBreak/>
        <w:t>El esclarecimiento de los hechos.</w:t>
      </w:r>
    </w:p>
    <w:p w:rsidR="00635CCD" w:rsidRPr="00635CCD" w:rsidRDefault="00635CCD" w:rsidP="00635CCD">
      <w:pPr>
        <w:pStyle w:val="Prrafodelista"/>
        <w:numPr>
          <w:ilvl w:val="0"/>
          <w:numId w:val="9"/>
        </w:numPr>
        <w:jc w:val="both"/>
        <w:rPr>
          <w:rFonts w:ascii="Arial" w:eastAsiaTheme="minorHAnsi" w:hAnsi="Arial" w:cs="Arial"/>
          <w:color w:val="000000"/>
          <w:lang w:eastAsia="en-US"/>
        </w:rPr>
      </w:pPr>
      <w:r w:rsidRPr="00635CCD">
        <w:rPr>
          <w:rFonts w:ascii="Arial" w:eastAsiaTheme="minorHAnsi" w:hAnsi="Arial" w:cs="Arial"/>
          <w:color w:val="000000"/>
          <w:lang w:eastAsia="en-US"/>
        </w:rPr>
        <w:t>Proteger al inocente.</w:t>
      </w:r>
    </w:p>
    <w:p w:rsidR="00635CCD" w:rsidRPr="00635CCD" w:rsidRDefault="00635CCD" w:rsidP="00635CCD">
      <w:pPr>
        <w:pStyle w:val="Prrafodelista"/>
        <w:numPr>
          <w:ilvl w:val="0"/>
          <w:numId w:val="9"/>
        </w:numPr>
        <w:jc w:val="both"/>
        <w:rPr>
          <w:rFonts w:ascii="Arial" w:eastAsiaTheme="minorHAnsi" w:hAnsi="Arial" w:cs="Arial"/>
          <w:color w:val="000000"/>
          <w:lang w:eastAsia="en-US"/>
        </w:rPr>
      </w:pPr>
      <w:r w:rsidRPr="00635CCD">
        <w:rPr>
          <w:rFonts w:ascii="Arial" w:eastAsiaTheme="minorHAnsi" w:hAnsi="Arial" w:cs="Arial"/>
          <w:color w:val="000000"/>
          <w:lang w:eastAsia="en-US"/>
        </w:rPr>
        <w:t>Procurar que el culpable no quede impune.</w:t>
      </w:r>
    </w:p>
    <w:p w:rsidR="00635CCD" w:rsidRPr="00635CCD" w:rsidRDefault="00635CCD" w:rsidP="00635CCD">
      <w:pPr>
        <w:pStyle w:val="Prrafodelista"/>
        <w:numPr>
          <w:ilvl w:val="0"/>
          <w:numId w:val="9"/>
        </w:numPr>
        <w:jc w:val="both"/>
        <w:rPr>
          <w:rFonts w:ascii="Arial" w:hAnsi="Arial" w:cs="Arial"/>
        </w:rPr>
      </w:pPr>
      <w:r w:rsidRPr="00635CCD">
        <w:rPr>
          <w:rFonts w:ascii="Arial" w:eastAsiaTheme="minorHAnsi" w:hAnsi="Arial" w:cs="Arial"/>
          <w:color w:val="000000"/>
          <w:lang w:eastAsia="en-US"/>
        </w:rPr>
        <w:t>Que los daños causados por el delito se reparen</w:t>
      </w:r>
      <w:r w:rsidRPr="00635CCD">
        <w:rPr>
          <w:rFonts w:ascii="Arial" w:hAnsi="Arial" w:cs="Arial"/>
        </w:rPr>
        <w:t>.</w:t>
      </w:r>
    </w:p>
    <w:p w:rsidR="00635CCD" w:rsidRPr="003F2181" w:rsidRDefault="00635CCD" w:rsidP="003F378D">
      <w:pPr>
        <w:autoSpaceDE w:val="0"/>
        <w:autoSpaceDN w:val="0"/>
        <w:adjustRightInd w:val="0"/>
        <w:spacing w:line="240" w:lineRule="auto"/>
        <w:jc w:val="both"/>
        <w:rPr>
          <w:rFonts w:ascii="Arial" w:eastAsia="Times New Roman" w:hAnsi="Arial" w:cs="Arial"/>
          <w:sz w:val="24"/>
          <w:szCs w:val="24"/>
        </w:rPr>
      </w:pPr>
    </w:p>
    <w:p w:rsidR="00F97B38" w:rsidRDefault="00045C57" w:rsidP="00775249">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56548A">
        <w:rPr>
          <w:rFonts w:ascii="Arial" w:hAnsi="Arial" w:cs="Arial"/>
          <w:sz w:val="24"/>
          <w:szCs w:val="24"/>
        </w:rPr>
        <w:t xml:space="preserve">ón </w:t>
      </w:r>
      <w:r w:rsidR="00635CCD">
        <w:rPr>
          <w:rFonts w:ascii="Arial" w:hAnsi="Arial" w:cs="Arial"/>
          <w:sz w:val="24"/>
          <w:szCs w:val="24"/>
        </w:rPr>
        <w:t xml:space="preserve">I y </w:t>
      </w:r>
      <w:r w:rsidR="00F36F63">
        <w:rPr>
          <w:rFonts w:ascii="Arial" w:hAnsi="Arial" w:cs="Arial"/>
          <w:sz w:val="24"/>
          <w:szCs w:val="24"/>
        </w:rPr>
        <w:t>XI</w:t>
      </w:r>
      <w:r w:rsidR="00635CCD">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56548A">
        <w:rPr>
          <w:rFonts w:ascii="Arial" w:hAnsi="Arial" w:cs="Arial"/>
          <w:sz w:val="24"/>
          <w:szCs w:val="24"/>
        </w:rPr>
        <w:t xml:space="preserve"> </w:t>
      </w:r>
      <w:r w:rsidR="00635CCD">
        <w:rPr>
          <w:rFonts w:ascii="Arial" w:hAnsi="Arial" w:cs="Arial"/>
          <w:sz w:val="24"/>
          <w:szCs w:val="24"/>
        </w:rPr>
        <w:t>Décimo octavo y Trigésimo segundo</w:t>
      </w:r>
      <w:r w:rsidR="00551990" w:rsidRPr="00115CE3">
        <w:rPr>
          <w:rFonts w:ascii="Arial" w:hAnsi="Arial" w:cs="Arial"/>
          <w:sz w:val="24"/>
          <w:szCs w:val="24"/>
        </w:rPr>
        <w:t xml:space="preserve">,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w:t>
      </w:r>
      <w:r w:rsidR="003F2181">
        <w:rPr>
          <w:rFonts w:ascii="Arial" w:hAnsi="Arial" w:cs="Arial"/>
          <w:sz w:val="24"/>
          <w:szCs w:val="24"/>
        </w:rPr>
        <w:t xml:space="preserve">que </w:t>
      </w:r>
      <w:r w:rsidR="00635CCD">
        <w:rPr>
          <w:rFonts w:ascii="Arial" w:hAnsi="Arial" w:cs="Arial"/>
          <w:sz w:val="24"/>
          <w:szCs w:val="24"/>
        </w:rPr>
        <w:t xml:space="preserve">comprometa la seguridad pública y aquella que otra Ley así lo determine.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56548A">
        <w:rPr>
          <w:rFonts w:ascii="Arial" w:hAnsi="Arial" w:cs="Arial"/>
          <w:sz w:val="24"/>
          <w:szCs w:val="24"/>
        </w:rPr>
        <w:t xml:space="preserve">17, 88, 122 BIS, de la Constitución Política del Estado de San Luis Potosí, 3º, 5º, 22, I, d), 56, XXVI, 93, 93 BIS, 98, 99, I, III, y 107 de la Ley del </w:t>
      </w:r>
      <w:r w:rsidR="00635CCD">
        <w:rPr>
          <w:rFonts w:ascii="Arial" w:hAnsi="Arial" w:cs="Arial"/>
          <w:sz w:val="24"/>
          <w:szCs w:val="24"/>
        </w:rPr>
        <w:t>S</w:t>
      </w:r>
      <w:r w:rsidR="0056548A">
        <w:rPr>
          <w:rFonts w:ascii="Arial" w:hAnsi="Arial" w:cs="Arial"/>
          <w:sz w:val="24"/>
          <w:szCs w:val="24"/>
        </w:rPr>
        <w:t>istema de Seguridad Pública del Estado de San Luis Potosí</w:t>
      </w:r>
      <w:r>
        <w:rPr>
          <w:rFonts w:ascii="Arial" w:hAnsi="Arial" w:cs="Arial"/>
          <w:sz w:val="24"/>
          <w:szCs w:val="24"/>
        </w:rPr>
        <w:t xml:space="preserve">,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lastRenderedPageBreak/>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Default="00DB7A5A" w:rsidP="00C25A0E">
      <w:pPr>
        <w:spacing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B9260F">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36BB2" w:rsidRP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Default="00036BB2" w:rsidP="00036BB2">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F2181" w:rsidRPr="00FA347A" w:rsidRDefault="003F2181" w:rsidP="00FA347A">
      <w:pPr>
        <w:pStyle w:val="Default"/>
        <w:jc w:val="both"/>
      </w:pPr>
      <w:r w:rsidRPr="00FA347A">
        <w:lastRenderedPageBreak/>
        <w:t xml:space="preserve">La </w:t>
      </w:r>
      <w:r w:rsidRPr="00FA347A">
        <w:rPr>
          <w:b/>
        </w:rPr>
        <w:t>Dirección General de Administración</w:t>
      </w:r>
      <w:r w:rsidRPr="00FA347A">
        <w:t xml:space="preserve"> a través de la </w:t>
      </w:r>
      <w:r w:rsidRPr="00FA347A">
        <w:rPr>
          <w:b/>
        </w:rPr>
        <w:t xml:space="preserve">Dirección de </w:t>
      </w:r>
      <w:r w:rsidR="00635CCD">
        <w:rPr>
          <w:b/>
        </w:rPr>
        <w:t>Recursos Humanos</w:t>
      </w:r>
      <w:r w:rsidRPr="00FA347A">
        <w:t xml:space="preserve">, procede a acordar la </w:t>
      </w:r>
      <w:r w:rsidR="00FA347A" w:rsidRPr="00FA347A">
        <w:rPr>
          <w:b/>
        </w:rPr>
        <w:t xml:space="preserve">reserva parcial </w:t>
      </w:r>
      <w:r w:rsidRPr="00FA347A">
        <w:t xml:space="preserve">de la información que se requiere para dar atención a la </w:t>
      </w:r>
      <w:r w:rsidRPr="00FA347A">
        <w:rPr>
          <w:b/>
        </w:rPr>
        <w:t>Solicitud de Acceso a la Información No. UT-SI-P-</w:t>
      </w:r>
      <w:r w:rsidR="00635CCD">
        <w:rPr>
          <w:b/>
        </w:rPr>
        <w:t>133</w:t>
      </w:r>
      <w:r w:rsidRPr="00FA347A">
        <w:rPr>
          <w:b/>
        </w:rPr>
        <w:t>-240469826000</w:t>
      </w:r>
      <w:r w:rsidR="00635CCD">
        <w:rPr>
          <w:b/>
        </w:rPr>
        <w:t>133</w:t>
      </w:r>
      <w:r w:rsidRPr="00FA347A">
        <w:rPr>
          <w:b/>
        </w:rPr>
        <w:t>-2026</w:t>
      </w:r>
      <w:r w:rsidRPr="00FA347A">
        <w:t>, únicamente lo correspondiente a:</w:t>
      </w:r>
    </w:p>
    <w:p w:rsidR="00635CCD" w:rsidRDefault="00635CCD" w:rsidP="00635CCD">
      <w:pPr>
        <w:pStyle w:val="Default"/>
        <w:jc w:val="both"/>
      </w:pPr>
    </w:p>
    <w:p w:rsidR="00635CCD" w:rsidRPr="00FA347A" w:rsidRDefault="00635CCD" w:rsidP="00635CCD">
      <w:pPr>
        <w:pStyle w:val="Default"/>
        <w:jc w:val="both"/>
      </w:pPr>
      <w:r w:rsidRPr="00635CCD">
        <w:t>Del período comprendido del 01 de noviembre de 2020 al 02 de octubre de 2022 de la Unidad Especializada en Delitos de Homicidio y Feminicidio, del 03 de octubre de 2022 al 12 de enero de 2023 de la Unidad Especializada en Feminicidios y del 13 de enero de 2023 al 22 de abril de 2026, en la Fiscalía Especializada en Feminicidios, la cantidad de personas ministeriales, periciales y policiales asignadas.</w:t>
      </w:r>
    </w:p>
    <w:p w:rsidR="00635CCD" w:rsidRPr="00635CCD" w:rsidRDefault="00635CCD" w:rsidP="00635CCD">
      <w:pPr>
        <w:pStyle w:val="Prrafodelista"/>
        <w:ind w:left="1080"/>
        <w:jc w:val="both"/>
        <w:rPr>
          <w:rFonts w:ascii="Arial" w:hAnsi="Arial" w:cs="Arial"/>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358A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635CCD">
        <w:rPr>
          <w:rFonts w:ascii="Arial" w:eastAsia="Times New Roman" w:hAnsi="Arial" w:cs="Arial"/>
          <w:b/>
          <w:sz w:val="24"/>
          <w:szCs w:val="24"/>
        </w:rPr>
        <w:t>mayo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635CCD" w:rsidP="00C25A0E">
      <w:pPr>
        <w:spacing w:line="240" w:lineRule="auto"/>
        <w:jc w:val="both"/>
        <w:rPr>
          <w:rFonts w:ascii="Arial" w:hAnsi="Arial" w:cs="Arial"/>
          <w:sz w:val="24"/>
          <w:szCs w:val="24"/>
        </w:rPr>
      </w:pPr>
      <w:r>
        <w:rPr>
          <w:rFonts w:ascii="Arial" w:hAnsi="Arial" w:cs="Arial"/>
          <w:sz w:val="24"/>
          <w:szCs w:val="24"/>
        </w:rPr>
        <w:t>No se realizan versiones públicas.</w:t>
      </w:r>
      <w:r w:rsidR="001E22D9" w:rsidRPr="000E378A">
        <w:rPr>
          <w:rFonts w:ascii="Arial" w:hAnsi="Arial" w:cs="Arial"/>
          <w:sz w:val="24"/>
          <w:szCs w:val="24"/>
        </w:rPr>
        <w:t xml:space="preserve">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3358AA">
        <w:rPr>
          <w:rFonts w:ascii="Arial" w:hAnsi="Arial" w:cs="Arial"/>
          <w:b/>
          <w:sz w:val="24"/>
          <w:szCs w:val="24"/>
        </w:rPr>
        <w:t>parcial</w:t>
      </w:r>
      <w:r w:rsidR="00A15922">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635CCD">
        <w:rPr>
          <w:rFonts w:ascii="Arial" w:hAnsi="Arial" w:cs="Arial"/>
          <w:b/>
          <w:sz w:val="24"/>
          <w:szCs w:val="24"/>
        </w:rPr>
        <w:t>2</w:t>
      </w:r>
      <w:r w:rsidR="005C5CF9">
        <w:rPr>
          <w:rFonts w:ascii="Arial" w:hAnsi="Arial" w:cs="Arial"/>
          <w:b/>
          <w:sz w:val="24"/>
          <w:szCs w:val="24"/>
        </w:rPr>
        <w:t>6</w:t>
      </w:r>
      <w:r w:rsidR="00CD69B4">
        <w:rPr>
          <w:rFonts w:ascii="Arial" w:hAnsi="Arial" w:cs="Arial"/>
          <w:b/>
          <w:sz w:val="24"/>
          <w:szCs w:val="24"/>
        </w:rPr>
        <w:t>/2026</w:t>
      </w:r>
      <w:r w:rsidR="00CD69B4"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B9260F">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635CCD" w:rsidRDefault="00635CCD" w:rsidP="00C25A0E">
      <w:pPr>
        <w:spacing w:line="240" w:lineRule="auto"/>
        <w:jc w:val="both"/>
        <w:rPr>
          <w:rFonts w:ascii="Arial" w:hAnsi="Arial" w:cs="Arial"/>
          <w:sz w:val="24"/>
          <w:szCs w:val="24"/>
        </w:rPr>
      </w:pPr>
      <w:r>
        <w:rPr>
          <w:rFonts w:ascii="Arial" w:hAnsi="Arial" w:cs="Arial"/>
          <w:sz w:val="24"/>
          <w:szCs w:val="24"/>
        </w:rPr>
        <w:t>Se instruye al director General de Administración, para que de respuesta en tiempo y forma a la solicitud de acceso que dio origen al presente acuerdo.</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25844823"/>
      <w:bookmarkStart w:id="2" w:name="_Hlk207360276"/>
      <w:bookmarkStart w:id="3"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3358A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635CCD">
        <w:rPr>
          <w:rFonts w:ascii="Arial" w:hAnsi="Arial" w:cs="Arial"/>
          <w:b/>
          <w:sz w:val="24"/>
          <w:szCs w:val="24"/>
        </w:rPr>
        <w:t>2</w:t>
      </w:r>
      <w:r w:rsidR="005C5CF9">
        <w:rPr>
          <w:rFonts w:ascii="Arial" w:hAnsi="Arial" w:cs="Arial"/>
          <w:b/>
          <w:sz w:val="24"/>
          <w:szCs w:val="24"/>
        </w:rPr>
        <w:t>6</w:t>
      </w:r>
      <w:r w:rsidR="00CD69B4">
        <w:rPr>
          <w:rFonts w:ascii="Arial" w:hAnsi="Arial" w:cs="Arial"/>
          <w:b/>
          <w:sz w:val="24"/>
          <w:szCs w:val="24"/>
        </w:rPr>
        <w:t>/2026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B9260F">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w:t>
      </w:r>
      <w:r w:rsidR="00B9260F">
        <w:rPr>
          <w:rFonts w:ascii="Arial" w:hAnsi="Arial" w:cs="Arial"/>
          <w:sz w:val="24"/>
          <w:szCs w:val="24"/>
        </w:rPr>
        <w:t>Director General de Administración, Cesar Isidro Cruz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DD3D30" w:rsidRDefault="00476EF2" w:rsidP="00DD3D3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DD3D30" w:rsidRPr="00115CE3">
        <w:rPr>
          <w:rFonts w:ascii="Arial" w:hAnsi="Arial" w:cs="Arial"/>
          <w:sz w:val="24"/>
          <w:szCs w:val="24"/>
        </w:rPr>
        <w:t>Se instruye</w:t>
      </w:r>
      <w:r w:rsidR="00DD3D30">
        <w:rPr>
          <w:rFonts w:ascii="Arial" w:hAnsi="Arial" w:cs="Arial"/>
          <w:sz w:val="24"/>
          <w:szCs w:val="24"/>
        </w:rPr>
        <w:t xml:space="preserve"> al</w:t>
      </w:r>
      <w:r w:rsidR="00DD3D30" w:rsidRPr="00115CE3">
        <w:rPr>
          <w:rFonts w:ascii="Arial" w:hAnsi="Arial" w:cs="Arial"/>
          <w:sz w:val="24"/>
          <w:szCs w:val="24"/>
        </w:rPr>
        <w:t xml:space="preserve"> </w:t>
      </w:r>
      <w:r w:rsidR="00DD3D30">
        <w:rPr>
          <w:rFonts w:ascii="Arial" w:hAnsi="Arial" w:cs="Arial"/>
          <w:sz w:val="24"/>
          <w:szCs w:val="24"/>
        </w:rPr>
        <w:t>Director General de Administración, Cesar Isidro Cruz</w:t>
      </w:r>
      <w:r w:rsidR="00DD3D30" w:rsidRPr="00115CE3">
        <w:rPr>
          <w:rFonts w:ascii="Arial" w:hAnsi="Arial" w:cs="Arial"/>
          <w:sz w:val="24"/>
          <w:szCs w:val="24"/>
        </w:rPr>
        <w:t xml:space="preserve">, para que dé cumplimiento a los efectos de la presente resolución establecidos en el considerando </w:t>
      </w:r>
      <w:r w:rsidR="00DD3D30" w:rsidRPr="00115CE3">
        <w:rPr>
          <w:rFonts w:ascii="Arial" w:hAnsi="Arial" w:cs="Arial"/>
          <w:i/>
          <w:sz w:val="24"/>
          <w:szCs w:val="24"/>
        </w:rPr>
        <w:t>tercero</w:t>
      </w:r>
      <w:r w:rsidR="00DD3D30" w:rsidRPr="00115CE3">
        <w:rPr>
          <w:rFonts w:ascii="Arial" w:hAnsi="Arial" w:cs="Arial"/>
          <w:sz w:val="24"/>
          <w:szCs w:val="24"/>
        </w:rPr>
        <w:t xml:space="preserve"> fracción V.</w:t>
      </w:r>
    </w:p>
    <w:bookmarkEnd w:id="1"/>
    <w:p w:rsidR="00DD3D30" w:rsidRDefault="00DD3D30" w:rsidP="00C25A0E">
      <w:pPr>
        <w:spacing w:after="0" w:line="240" w:lineRule="auto"/>
        <w:jc w:val="both"/>
        <w:rPr>
          <w:rFonts w:ascii="Arial" w:hAnsi="Arial" w:cs="Arial"/>
          <w:sz w:val="24"/>
          <w:szCs w:val="24"/>
        </w:rPr>
      </w:pPr>
    </w:p>
    <w:bookmarkEnd w:id="2"/>
    <w:p w:rsidR="003358AA" w:rsidRPr="005C5CF9" w:rsidRDefault="009819AE" w:rsidP="003358AA">
      <w:pPr>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635CCD">
        <w:rPr>
          <w:rFonts w:ascii="Arial" w:hAnsi="Arial" w:cs="Arial"/>
          <w:b/>
          <w:sz w:val="24"/>
          <w:szCs w:val="24"/>
        </w:rPr>
        <w:t>88</w:t>
      </w:r>
      <w:r w:rsidRPr="00115CE3">
        <w:rPr>
          <w:rFonts w:ascii="Arial" w:hAnsi="Arial" w:cs="Arial"/>
          <w:b/>
          <w:sz w:val="24"/>
          <w:szCs w:val="24"/>
        </w:rPr>
        <w:t>-202</w:t>
      </w:r>
      <w:r w:rsidR="00F042CD">
        <w:rPr>
          <w:rFonts w:ascii="Arial" w:hAnsi="Arial" w:cs="Arial"/>
          <w:b/>
          <w:sz w:val="24"/>
          <w:szCs w:val="24"/>
        </w:rPr>
        <w:t>6</w:t>
      </w:r>
      <w:r w:rsidR="00635CCD">
        <w:rPr>
          <w:rFonts w:ascii="Arial" w:hAnsi="Arial" w:cs="Arial"/>
          <w:b/>
          <w:sz w:val="24"/>
          <w:szCs w:val="24"/>
        </w:rPr>
        <w:t xml:space="preserve">. </w:t>
      </w:r>
    </w:p>
    <w:bookmarkEnd w:id="3"/>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FA347A" w:rsidRDefault="00FA347A" w:rsidP="00EF1D58">
      <w:pPr>
        <w:spacing w:after="0"/>
        <w:jc w:val="both"/>
        <w:rPr>
          <w:rFonts w:ascii="Arial" w:hAnsi="Arial" w:cs="Arial"/>
          <w:sz w:val="24"/>
          <w:szCs w:val="24"/>
          <w:highlight w:val="yellow"/>
        </w:rPr>
      </w:pPr>
    </w:p>
    <w:p w:rsidR="007C48B7" w:rsidRDefault="007C48B7"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FA347A" w:rsidRDefault="00FA347A"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FA347A" w:rsidRDefault="00FA347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1656" w:rsidRDefault="002E1656">
      <w:r>
        <w:separator/>
      </w:r>
    </w:p>
  </w:endnote>
  <w:endnote w:type="continuationSeparator" w:id="0">
    <w:p w:rsidR="002E1656" w:rsidRDefault="002E1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43F7" w:rsidRDefault="007943F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43F7" w:rsidRDefault="007943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1656" w:rsidRDefault="002E1656">
      <w:r>
        <w:separator/>
      </w:r>
    </w:p>
  </w:footnote>
  <w:footnote w:type="continuationSeparator" w:id="0">
    <w:p w:rsidR="002E1656" w:rsidRDefault="002E16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43F7" w:rsidRDefault="007943F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569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7943F7">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569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5752A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3F378D">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3F378D">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5752AE">
            <w:rPr>
              <w:rFonts w:ascii="Arial" w:hAnsi="Arial" w:cs="Arial"/>
              <w:color w:val="FFFFFF" w:themeColor="background1"/>
              <w:sz w:val="18"/>
              <w:szCs w:val="18"/>
              <w:lang w:val="es-ES"/>
            </w:rPr>
            <w:t xml:space="preserve">parcial </w:t>
          </w:r>
          <w:r w:rsidR="00B9260F">
            <w:rPr>
              <w:rFonts w:ascii="Arial" w:hAnsi="Arial" w:cs="Arial"/>
              <w:b/>
              <w:color w:val="FFFFFF" w:themeColor="background1"/>
              <w:sz w:val="18"/>
              <w:szCs w:val="18"/>
              <w:lang w:val="es-ES"/>
            </w:rPr>
            <w:t>AR/0</w:t>
          </w:r>
          <w:r w:rsidR="003F378D">
            <w:rPr>
              <w:rFonts w:ascii="Arial" w:hAnsi="Arial" w:cs="Arial"/>
              <w:b/>
              <w:color w:val="FFFFFF" w:themeColor="background1"/>
              <w:sz w:val="18"/>
              <w:szCs w:val="18"/>
              <w:lang w:val="es-ES"/>
            </w:rPr>
            <w:t>2</w:t>
          </w:r>
          <w:r w:rsidR="003F2181">
            <w:rPr>
              <w:rFonts w:ascii="Arial" w:hAnsi="Arial" w:cs="Arial"/>
              <w:b/>
              <w:color w:val="FFFFFF" w:themeColor="background1"/>
              <w:sz w:val="18"/>
              <w:szCs w:val="18"/>
              <w:lang w:val="es-ES"/>
            </w:rPr>
            <w:t>6</w:t>
          </w:r>
          <w:r w:rsidR="00B9260F">
            <w:rPr>
              <w:rFonts w:ascii="Arial" w:hAnsi="Arial" w:cs="Arial"/>
              <w:b/>
              <w:color w:val="FFFFFF" w:themeColor="background1"/>
              <w:sz w:val="18"/>
              <w:szCs w:val="18"/>
              <w:lang w:val="es-ES"/>
            </w:rPr>
            <w:t>/2026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B9260F">
            <w:rPr>
              <w:rFonts w:ascii="Arial" w:hAnsi="Arial" w:cs="Arial"/>
              <w:color w:val="FFFFFF" w:themeColor="background1"/>
              <w:sz w:val="18"/>
              <w:szCs w:val="18"/>
              <w:lang w:val="es-ES"/>
            </w:rPr>
            <w:t>Director General de Administración</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43F7" w:rsidRDefault="007943F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569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64656"/>
    <w:multiLevelType w:val="hybridMultilevel"/>
    <w:tmpl w:val="4D9A9D32"/>
    <w:lvl w:ilvl="0" w:tplc="080A0001">
      <w:start w:val="1"/>
      <w:numFmt w:val="bullet"/>
      <w:lvlText w:val=""/>
      <w:lvlJc w:val="left"/>
      <w:pPr>
        <w:ind w:left="1428" w:hanging="360"/>
      </w:pPr>
      <w:rPr>
        <w:rFonts w:ascii="Symbol" w:hAnsi="Symbol" w:hint="default"/>
      </w:rPr>
    </w:lvl>
    <w:lvl w:ilvl="1" w:tplc="080A000F">
      <w:start w:val="1"/>
      <w:numFmt w:val="decimal"/>
      <w:lvlText w:val="%2."/>
      <w:lvlJc w:val="left"/>
      <w:pPr>
        <w:ind w:left="2148" w:hanging="360"/>
      </w:pPr>
      <w:rPr>
        <w:rFonts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DE23FCD"/>
    <w:multiLevelType w:val="hybridMultilevel"/>
    <w:tmpl w:val="F8E02EC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C97115"/>
    <w:multiLevelType w:val="multilevel"/>
    <w:tmpl w:val="E64A5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1853B9F"/>
    <w:multiLevelType w:val="hybridMultilevel"/>
    <w:tmpl w:val="91C8262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1"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3"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5"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DCC085E"/>
    <w:multiLevelType w:val="hybridMultilevel"/>
    <w:tmpl w:val="CF9E94D0"/>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4EF496C"/>
    <w:multiLevelType w:val="multilevel"/>
    <w:tmpl w:val="D26C0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1"/>
  </w:num>
  <w:num w:numId="2">
    <w:abstractNumId w:val="9"/>
  </w:num>
  <w:num w:numId="3">
    <w:abstractNumId w:val="22"/>
  </w:num>
  <w:num w:numId="4">
    <w:abstractNumId w:val="17"/>
  </w:num>
  <w:num w:numId="5">
    <w:abstractNumId w:val="19"/>
  </w:num>
  <w:num w:numId="6">
    <w:abstractNumId w:val="6"/>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10"/>
  </w:num>
  <w:num w:numId="13">
    <w:abstractNumId w:val="4"/>
  </w:num>
  <w:num w:numId="14">
    <w:abstractNumId w:val="15"/>
  </w:num>
  <w:num w:numId="15">
    <w:abstractNumId w:val="16"/>
  </w:num>
  <w:num w:numId="16">
    <w:abstractNumId w:val="5"/>
  </w:num>
  <w:num w:numId="17">
    <w:abstractNumId w:val="20"/>
  </w:num>
  <w:num w:numId="18">
    <w:abstractNumId w:val="24"/>
  </w:num>
  <w:num w:numId="19">
    <w:abstractNumId w:val="14"/>
  </w:num>
  <w:num w:numId="20">
    <w:abstractNumId w:val="13"/>
  </w:num>
  <w:num w:numId="21">
    <w:abstractNumId w:val="3"/>
  </w:num>
  <w:num w:numId="22">
    <w:abstractNumId w:val="23"/>
  </w:num>
  <w:num w:numId="23">
    <w:abstractNumId w:val="21"/>
  </w:num>
  <w:num w:numId="24">
    <w:abstractNumId w:val="0"/>
  </w:num>
  <w:num w:numId="25">
    <w:abstractNumId w:val="8"/>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6101"/>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5F8"/>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3033"/>
    <w:rsid w:val="00244AD2"/>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656"/>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8AA"/>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B1A45"/>
    <w:rsid w:val="003C1381"/>
    <w:rsid w:val="003C17BE"/>
    <w:rsid w:val="003C1914"/>
    <w:rsid w:val="003C2D3B"/>
    <w:rsid w:val="003C7D26"/>
    <w:rsid w:val="003D24D7"/>
    <w:rsid w:val="003D3322"/>
    <w:rsid w:val="003D379C"/>
    <w:rsid w:val="003D6E37"/>
    <w:rsid w:val="003D721A"/>
    <w:rsid w:val="003E03FF"/>
    <w:rsid w:val="003E59C5"/>
    <w:rsid w:val="003E74F2"/>
    <w:rsid w:val="003F2181"/>
    <w:rsid w:val="003F378D"/>
    <w:rsid w:val="003F4311"/>
    <w:rsid w:val="003F5F79"/>
    <w:rsid w:val="003F62EE"/>
    <w:rsid w:val="003F7702"/>
    <w:rsid w:val="00400739"/>
    <w:rsid w:val="004019BE"/>
    <w:rsid w:val="00402430"/>
    <w:rsid w:val="00404637"/>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2AE"/>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5CF9"/>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CCD"/>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39D1"/>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5249"/>
    <w:rsid w:val="007768CC"/>
    <w:rsid w:val="00781D2F"/>
    <w:rsid w:val="007863F5"/>
    <w:rsid w:val="00791B8A"/>
    <w:rsid w:val="0079307C"/>
    <w:rsid w:val="0079342F"/>
    <w:rsid w:val="0079403F"/>
    <w:rsid w:val="007943F7"/>
    <w:rsid w:val="0079645E"/>
    <w:rsid w:val="007A18C2"/>
    <w:rsid w:val="007A28F6"/>
    <w:rsid w:val="007A292F"/>
    <w:rsid w:val="007B27EF"/>
    <w:rsid w:val="007B43AD"/>
    <w:rsid w:val="007C1D7B"/>
    <w:rsid w:val="007C4303"/>
    <w:rsid w:val="007C48B7"/>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3EC0"/>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2E79"/>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5437"/>
    <w:rsid w:val="00AF62D8"/>
    <w:rsid w:val="00AF7A5D"/>
    <w:rsid w:val="00B00015"/>
    <w:rsid w:val="00B0559D"/>
    <w:rsid w:val="00B06822"/>
    <w:rsid w:val="00B115D6"/>
    <w:rsid w:val="00B11FCD"/>
    <w:rsid w:val="00B147E2"/>
    <w:rsid w:val="00B219F9"/>
    <w:rsid w:val="00B22B99"/>
    <w:rsid w:val="00B243B5"/>
    <w:rsid w:val="00B245B6"/>
    <w:rsid w:val="00B3003C"/>
    <w:rsid w:val="00B32A02"/>
    <w:rsid w:val="00B34B1F"/>
    <w:rsid w:val="00B368C8"/>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BB7"/>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2202"/>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3D30"/>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347A"/>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38443">
      <w:bodyDiv w:val="1"/>
      <w:marLeft w:val="0"/>
      <w:marRight w:val="0"/>
      <w:marTop w:val="0"/>
      <w:marBottom w:val="0"/>
      <w:divBdr>
        <w:top w:val="none" w:sz="0" w:space="0" w:color="auto"/>
        <w:left w:val="none" w:sz="0" w:space="0" w:color="auto"/>
        <w:bottom w:val="none" w:sz="0" w:space="0" w:color="auto"/>
        <w:right w:val="none" w:sz="0" w:space="0" w:color="auto"/>
      </w:divBdr>
    </w:div>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77556093">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182861735">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 w:id="18757265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BC5D8-109F-41F1-A5EC-AFB90BE3B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9</Pages>
  <Words>3664</Words>
  <Characters>20156</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2025-12-23T21:40:00Z</cp:lastPrinted>
  <dcterms:created xsi:type="dcterms:W3CDTF">2026-03-31T17:18:00Z</dcterms:created>
  <dcterms:modified xsi:type="dcterms:W3CDTF">2026-05-19T16:04:00Z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