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186B1" w14:textId="77777777" w:rsidR="001554FB" w:rsidRDefault="001554FB"/>
    <w:p w14:paraId="0811772C" w14:textId="77777777" w:rsidR="001554FB" w:rsidRDefault="001554FB"/>
    <w:p w14:paraId="7D6FF266" w14:textId="117A406D" w:rsidR="001554FB" w:rsidRPr="001554FB" w:rsidRDefault="001554FB" w:rsidP="001554FB">
      <w:r w:rsidRPr="001554FB">
        <w:drawing>
          <wp:inline distT="0" distB="0" distL="0" distR="0" wp14:anchorId="2B9B3C95" wp14:editId="1531DAB8">
            <wp:extent cx="2719449" cy="1059717"/>
            <wp:effectExtent l="0" t="0" r="5080" b="7620"/>
            <wp:docPr id="78196813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399" cy="1079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19F89" w14:textId="77777777" w:rsidR="001554FB" w:rsidRDefault="001554FB"/>
    <w:p w14:paraId="267B636D" w14:textId="77777777" w:rsidR="001554FB" w:rsidRDefault="001554FB"/>
    <w:p w14:paraId="75926964" w14:textId="77777777" w:rsidR="001554FB" w:rsidRDefault="001554FB"/>
    <w:p w14:paraId="682D7F61" w14:textId="52342250" w:rsidR="001554FB" w:rsidRPr="001554FB" w:rsidRDefault="001554FB">
      <w:pPr>
        <w:rPr>
          <w:b/>
          <w:bCs/>
        </w:rPr>
      </w:pPr>
      <w:r w:rsidRPr="001554FB">
        <w:rPr>
          <w:b/>
          <w:bCs/>
        </w:rPr>
        <w:t xml:space="preserve">                                                                          </w:t>
      </w:r>
      <w:r w:rsidRPr="001554FB">
        <w:rPr>
          <w:b/>
          <w:bCs/>
        </w:rPr>
        <w:t>LTAIPSLP85IM10</w:t>
      </w:r>
    </w:p>
    <w:p w14:paraId="2DB3DF71" w14:textId="16635DF5" w:rsidR="001554FB" w:rsidRPr="001554FB" w:rsidRDefault="001554FB">
      <w:pPr>
        <w:rPr>
          <w:b/>
          <w:bCs/>
        </w:rPr>
      </w:pPr>
      <w:r w:rsidRPr="001554FB">
        <w:rPr>
          <w:b/>
          <w:bCs/>
        </w:rPr>
        <w:t xml:space="preserve">                                     </w:t>
      </w:r>
      <w:r w:rsidRPr="001554FB">
        <w:rPr>
          <w:b/>
          <w:bCs/>
        </w:rPr>
        <w:t xml:space="preserve"> Criterios de degradación en el Estado de San Luis Potosí</w:t>
      </w:r>
    </w:p>
    <w:p w14:paraId="02813ADD" w14:textId="608226E1" w:rsidR="004019BE" w:rsidRDefault="001554FB">
      <w:r w:rsidRPr="001554FB">
        <w:t xml:space="preserve"> 1. Los asentamientos humanos 2. Las infraestructuras utilizadas para el transporte entre los asentamientos o para la explotación industrial de los recursos naturales. Constituían indicios de presencia de infraestructuras los caminos (salvo las sendas sin asfaltar). 3. Las plantaciones agrícolas y forestales; 4. Las actividades industriales realizadas durante los últimos 30 a 70 años, tales como la explotación maderera, la minería, la exploración y extracción de gas y petróleo y la extracción de turba. 5. Las zonas afectadas por incendios seguidos de regeneración en los últimos 30 a</w:t>
      </w:r>
      <w:r>
        <w:t xml:space="preserve"> 70 años.</w:t>
      </w:r>
    </w:p>
    <w:sectPr w:rsidR="004019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4FB"/>
    <w:rsid w:val="001554FB"/>
    <w:rsid w:val="004019BE"/>
    <w:rsid w:val="00654F15"/>
    <w:rsid w:val="006C588A"/>
    <w:rsid w:val="008D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318C6"/>
  <w15:chartTrackingRefBased/>
  <w15:docId w15:val="{4A1A993E-662F-49EE-8538-8B2CFE48A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554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554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554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554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554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554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554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554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554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554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554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554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554F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554F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554F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554F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554F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554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554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554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554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554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554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554F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554F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554F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554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554F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554F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669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2026-02-06T18:59:00Z</dcterms:created>
  <dcterms:modified xsi:type="dcterms:W3CDTF">2026-02-06T19:01:00Z</dcterms:modified>
</cp:coreProperties>
</file>