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3B554C" w:rsidRDefault="00C246B2" w:rsidP="002F6CEE">
      <w:pPr>
        <w:spacing w:line="240" w:lineRule="auto"/>
        <w:jc w:val="both"/>
        <w:rPr>
          <w:rFonts w:ascii="Arial" w:hAnsi="Arial" w:cs="Arial"/>
        </w:rPr>
      </w:pPr>
      <w:bookmarkStart w:id="0" w:name="_GoBack"/>
      <w:bookmarkEnd w:id="0"/>
      <w:r w:rsidRPr="003B554C">
        <w:rPr>
          <w:rFonts w:ascii="Arial" w:hAnsi="Arial" w:cs="Arial"/>
        </w:rPr>
        <w:t>En la ciudad de San Luis Potosí, San Luis Potosí</w:t>
      </w:r>
      <w:r w:rsidR="007F24DE" w:rsidRPr="003B554C">
        <w:rPr>
          <w:rFonts w:ascii="Arial" w:hAnsi="Arial" w:cs="Arial"/>
        </w:rPr>
        <w:t xml:space="preserve"> a los </w:t>
      </w:r>
      <w:r w:rsidR="00C502DF" w:rsidRPr="003B554C">
        <w:rPr>
          <w:rFonts w:ascii="Arial" w:hAnsi="Arial" w:cs="Arial"/>
          <w:b/>
        </w:rPr>
        <w:t>cinco</w:t>
      </w:r>
      <w:r w:rsidR="0053156B" w:rsidRPr="003B554C">
        <w:rPr>
          <w:rFonts w:ascii="Arial" w:hAnsi="Arial" w:cs="Arial"/>
          <w:b/>
        </w:rPr>
        <w:t xml:space="preserve"> </w:t>
      </w:r>
      <w:r w:rsidR="007F24DE" w:rsidRPr="003B554C">
        <w:rPr>
          <w:rFonts w:ascii="Arial" w:hAnsi="Arial" w:cs="Arial"/>
        </w:rPr>
        <w:t xml:space="preserve">días del mes de </w:t>
      </w:r>
      <w:r w:rsidR="00F35821" w:rsidRPr="003B554C">
        <w:rPr>
          <w:rFonts w:ascii="Arial" w:hAnsi="Arial" w:cs="Arial"/>
          <w:b/>
        </w:rPr>
        <w:t>marzo</w:t>
      </w:r>
      <w:r w:rsidR="00C502DF" w:rsidRPr="003B554C">
        <w:rPr>
          <w:rFonts w:ascii="Arial" w:hAnsi="Arial" w:cs="Arial"/>
          <w:b/>
        </w:rPr>
        <w:t xml:space="preserve"> </w:t>
      </w:r>
      <w:r w:rsidR="007F24DE" w:rsidRPr="003B554C">
        <w:rPr>
          <w:rFonts w:ascii="Arial" w:hAnsi="Arial" w:cs="Arial"/>
          <w:b/>
        </w:rPr>
        <w:t>202</w:t>
      </w:r>
      <w:r w:rsidR="000D70CF" w:rsidRPr="003B554C">
        <w:rPr>
          <w:rFonts w:ascii="Arial" w:hAnsi="Arial" w:cs="Arial"/>
          <w:b/>
        </w:rPr>
        <w:t>6</w:t>
      </w:r>
      <w:r w:rsidRPr="003B554C">
        <w:rPr>
          <w:rFonts w:ascii="Arial" w:hAnsi="Arial" w:cs="Arial"/>
        </w:rPr>
        <w:t>, en</w:t>
      </w:r>
      <w:r w:rsidR="009819AE" w:rsidRPr="003B554C">
        <w:rPr>
          <w:rFonts w:ascii="Arial" w:hAnsi="Arial" w:cs="Arial"/>
        </w:rPr>
        <w:t xml:space="preserve"> cumplimiento al acuerdo emitido por el Comité de Transparencia de la Fiscalía General, en </w:t>
      </w:r>
      <w:r w:rsidRPr="003B554C">
        <w:rPr>
          <w:rFonts w:ascii="Arial" w:hAnsi="Arial" w:cs="Arial"/>
        </w:rPr>
        <w:t xml:space="preserve">su </w:t>
      </w:r>
      <w:r w:rsidR="00F35821" w:rsidRPr="003B554C">
        <w:rPr>
          <w:rFonts w:ascii="Arial" w:hAnsi="Arial" w:cs="Arial"/>
          <w:b/>
        </w:rPr>
        <w:t>tercera</w:t>
      </w:r>
      <w:r w:rsidR="009819AE" w:rsidRPr="003B554C">
        <w:rPr>
          <w:rFonts w:ascii="Arial" w:hAnsi="Arial" w:cs="Arial"/>
          <w:b/>
        </w:rPr>
        <w:t xml:space="preserve"> </w:t>
      </w:r>
      <w:r w:rsidRPr="003B554C">
        <w:rPr>
          <w:rFonts w:ascii="Arial" w:hAnsi="Arial" w:cs="Arial"/>
          <w:bCs/>
        </w:rPr>
        <w:t>s</w:t>
      </w:r>
      <w:r w:rsidR="009819AE" w:rsidRPr="003B554C">
        <w:rPr>
          <w:rFonts w:ascii="Arial" w:hAnsi="Arial" w:cs="Arial"/>
        </w:rPr>
        <w:t xml:space="preserve">esión </w:t>
      </w:r>
      <w:r w:rsidR="007F24DE" w:rsidRPr="003B554C">
        <w:rPr>
          <w:rFonts w:ascii="Arial" w:hAnsi="Arial" w:cs="Arial"/>
          <w:b/>
          <w:bCs/>
        </w:rPr>
        <w:t>ordinaria</w:t>
      </w:r>
      <w:r w:rsidR="009819AE" w:rsidRPr="003B554C">
        <w:rPr>
          <w:rFonts w:ascii="Arial" w:hAnsi="Arial" w:cs="Arial"/>
          <w:b/>
          <w:bCs/>
        </w:rPr>
        <w:t xml:space="preserve"> </w:t>
      </w:r>
      <w:r w:rsidR="009819AE" w:rsidRPr="003B554C">
        <w:rPr>
          <w:rFonts w:ascii="Arial" w:hAnsi="Arial" w:cs="Arial"/>
          <w:b/>
        </w:rPr>
        <w:t>202</w:t>
      </w:r>
      <w:r w:rsidR="000D70CF" w:rsidRPr="003B554C">
        <w:rPr>
          <w:rFonts w:ascii="Arial" w:hAnsi="Arial" w:cs="Arial"/>
          <w:b/>
        </w:rPr>
        <w:t>6</w:t>
      </w:r>
      <w:r w:rsidR="009819AE" w:rsidRPr="003B554C">
        <w:rPr>
          <w:rFonts w:ascii="Arial" w:hAnsi="Arial" w:cs="Arial"/>
        </w:rPr>
        <w:t xml:space="preserve">, </w:t>
      </w:r>
      <w:r w:rsidRPr="003B554C">
        <w:rPr>
          <w:rFonts w:ascii="Arial" w:hAnsi="Arial" w:cs="Arial"/>
        </w:rPr>
        <w:t xml:space="preserve">y </w:t>
      </w:r>
      <w:r w:rsidR="009819AE" w:rsidRPr="003B554C">
        <w:rPr>
          <w:rFonts w:ascii="Arial" w:hAnsi="Arial" w:cs="Arial"/>
        </w:rPr>
        <w:t xml:space="preserve">en términos de lo dispuesto por los artículos 51, 52 fracción II, 127 de la </w:t>
      </w:r>
      <w:r w:rsidR="001771BC" w:rsidRPr="003B554C">
        <w:rPr>
          <w:rFonts w:ascii="Arial" w:hAnsi="Arial" w:cs="Arial"/>
        </w:rPr>
        <w:t>l</w:t>
      </w:r>
      <w:r w:rsidR="009819AE" w:rsidRPr="003B554C">
        <w:rPr>
          <w:rFonts w:ascii="Arial" w:hAnsi="Arial" w:cs="Arial"/>
        </w:rPr>
        <w:t xml:space="preserve">ey de Transparencia y Acceso a la Información Pública del </w:t>
      </w:r>
      <w:r w:rsidR="001771BC" w:rsidRPr="003B554C">
        <w:rPr>
          <w:rFonts w:ascii="Arial" w:hAnsi="Arial" w:cs="Arial"/>
        </w:rPr>
        <w:t>e</w:t>
      </w:r>
      <w:r w:rsidR="009819AE" w:rsidRPr="003B554C">
        <w:rPr>
          <w:rFonts w:ascii="Arial" w:hAnsi="Arial" w:cs="Arial"/>
        </w:rPr>
        <w:t xml:space="preserve">stado de San Luis Potosí </w:t>
      </w:r>
      <w:r w:rsidR="001771BC" w:rsidRPr="003B554C">
        <w:rPr>
          <w:rFonts w:ascii="Arial" w:hAnsi="Arial" w:cs="Arial"/>
        </w:rPr>
        <w:t>-</w:t>
      </w:r>
      <w:r w:rsidR="009819AE" w:rsidRPr="003B554C">
        <w:rPr>
          <w:rFonts w:ascii="Arial" w:hAnsi="Arial" w:cs="Arial"/>
        </w:rPr>
        <w:t>LTAIPSLP</w:t>
      </w:r>
      <w:r w:rsidR="001771BC" w:rsidRPr="003B554C">
        <w:rPr>
          <w:rFonts w:ascii="Arial" w:hAnsi="Arial" w:cs="Arial"/>
        </w:rPr>
        <w:t>-</w:t>
      </w:r>
      <w:r w:rsidR="009819AE" w:rsidRPr="003B554C">
        <w:rPr>
          <w:rFonts w:ascii="Arial" w:hAnsi="Arial" w:cs="Arial"/>
        </w:rPr>
        <w:t xml:space="preserve">, lineamiento </w:t>
      </w:r>
      <w:r w:rsidR="005B0E50" w:rsidRPr="003B554C">
        <w:rPr>
          <w:rFonts w:ascii="Arial" w:hAnsi="Arial" w:cs="Arial"/>
        </w:rPr>
        <w:t>q</w:t>
      </w:r>
      <w:r w:rsidR="009819AE" w:rsidRPr="003B554C">
        <w:rPr>
          <w:rFonts w:ascii="Arial" w:hAnsi="Arial" w:cs="Arial"/>
        </w:rPr>
        <w:t xml:space="preserve">uincuagésimo </w:t>
      </w:r>
      <w:r w:rsidR="001771BC" w:rsidRPr="003B554C">
        <w:rPr>
          <w:rFonts w:ascii="Arial" w:hAnsi="Arial" w:cs="Arial"/>
        </w:rPr>
        <w:t>p</w:t>
      </w:r>
      <w:r w:rsidR="009819AE" w:rsidRPr="003B554C">
        <w:rPr>
          <w:rFonts w:ascii="Arial" w:hAnsi="Arial" w:cs="Arial"/>
        </w:rPr>
        <w:t xml:space="preserve">rimero de los Lineamientos Generales para la Clasificación y Desclasificación de la Información, así como para la </w:t>
      </w:r>
      <w:r w:rsidR="001771BC" w:rsidRPr="003B554C">
        <w:rPr>
          <w:rFonts w:ascii="Arial" w:hAnsi="Arial" w:cs="Arial"/>
        </w:rPr>
        <w:t>e</w:t>
      </w:r>
      <w:r w:rsidR="009819AE" w:rsidRPr="003B554C">
        <w:rPr>
          <w:rFonts w:ascii="Arial" w:hAnsi="Arial" w:cs="Arial"/>
        </w:rPr>
        <w:t>laboración de Versiones Públicas</w:t>
      </w:r>
      <w:r w:rsidR="003C7D26" w:rsidRPr="003B554C">
        <w:rPr>
          <w:rFonts w:ascii="Arial" w:hAnsi="Arial" w:cs="Arial"/>
        </w:rPr>
        <w:t xml:space="preserve"> </w:t>
      </w:r>
      <w:r w:rsidR="001771BC" w:rsidRPr="003B554C">
        <w:rPr>
          <w:rFonts w:ascii="Arial" w:hAnsi="Arial" w:cs="Arial"/>
        </w:rPr>
        <w:t>-</w:t>
      </w:r>
      <w:r w:rsidR="009819AE" w:rsidRPr="003B554C">
        <w:rPr>
          <w:rFonts w:ascii="Arial" w:hAnsi="Arial" w:cs="Arial"/>
        </w:rPr>
        <w:t>LG</w:t>
      </w:r>
      <w:r w:rsidR="00C502DF" w:rsidRPr="003B554C">
        <w:rPr>
          <w:rFonts w:ascii="Arial" w:hAnsi="Arial" w:cs="Arial"/>
        </w:rPr>
        <w:t>M</w:t>
      </w:r>
      <w:r w:rsidR="009819AE" w:rsidRPr="003B554C">
        <w:rPr>
          <w:rFonts w:ascii="Arial" w:hAnsi="Arial" w:cs="Arial"/>
        </w:rPr>
        <w:t>CDIEVP</w:t>
      </w:r>
      <w:r w:rsidR="001771BC" w:rsidRPr="003B554C">
        <w:rPr>
          <w:rFonts w:ascii="Arial" w:hAnsi="Arial" w:cs="Arial"/>
        </w:rPr>
        <w:t>-</w:t>
      </w:r>
      <w:r w:rsidR="009819AE" w:rsidRPr="003B554C">
        <w:rPr>
          <w:rFonts w:ascii="Arial" w:hAnsi="Arial" w:cs="Arial"/>
        </w:rPr>
        <w:t xml:space="preserve">, se procede a emitir la siguiente </w:t>
      </w:r>
      <w:r w:rsidR="001771BC" w:rsidRPr="003B554C">
        <w:rPr>
          <w:rFonts w:ascii="Arial" w:hAnsi="Arial" w:cs="Arial"/>
        </w:rPr>
        <w:t>r</w:t>
      </w:r>
      <w:r w:rsidR="009819AE" w:rsidRPr="003B554C">
        <w:rPr>
          <w:rFonts w:ascii="Arial" w:hAnsi="Arial" w:cs="Arial"/>
        </w:rPr>
        <w:t xml:space="preserve">esolución. </w:t>
      </w:r>
    </w:p>
    <w:p w:rsidR="00BF3665" w:rsidRPr="003B554C" w:rsidRDefault="009819AE" w:rsidP="002F6CEE">
      <w:pPr>
        <w:spacing w:line="240" w:lineRule="auto"/>
        <w:jc w:val="center"/>
        <w:rPr>
          <w:rFonts w:ascii="Arial" w:hAnsi="Arial" w:cs="Arial"/>
          <w:b/>
        </w:rPr>
      </w:pPr>
      <w:r w:rsidRPr="003B554C">
        <w:rPr>
          <w:rFonts w:ascii="Arial" w:hAnsi="Arial" w:cs="Arial"/>
          <w:b/>
        </w:rPr>
        <w:t>RESULTANDO</w:t>
      </w:r>
    </w:p>
    <w:p w:rsidR="000C23C7" w:rsidRPr="003B554C" w:rsidRDefault="009819AE" w:rsidP="002F6CEE">
      <w:pPr>
        <w:spacing w:line="240" w:lineRule="auto"/>
        <w:jc w:val="both"/>
        <w:rPr>
          <w:rFonts w:ascii="Arial" w:hAnsi="Arial" w:cs="Arial"/>
        </w:rPr>
      </w:pPr>
      <w:r w:rsidRPr="003B554C">
        <w:rPr>
          <w:rFonts w:ascii="Arial" w:hAnsi="Arial" w:cs="Arial"/>
          <w:b/>
        </w:rPr>
        <w:t>I</w:t>
      </w:r>
      <w:r w:rsidRPr="003B554C">
        <w:rPr>
          <w:rFonts w:ascii="Arial" w:hAnsi="Arial" w:cs="Arial"/>
        </w:rPr>
        <w:t xml:space="preserve">. </w:t>
      </w:r>
      <w:r w:rsidR="00D5202E" w:rsidRPr="003B554C">
        <w:rPr>
          <w:rFonts w:ascii="Arial" w:hAnsi="Arial" w:cs="Arial"/>
        </w:rPr>
        <w:t xml:space="preserve">El </w:t>
      </w:r>
      <w:r w:rsidR="00024F43" w:rsidRPr="003B554C">
        <w:rPr>
          <w:rFonts w:ascii="Arial" w:hAnsi="Arial" w:cs="Arial"/>
        </w:rPr>
        <w:t>Visitador, Carlos Gustavo Rodríguez Cruz</w:t>
      </w:r>
      <w:r w:rsidR="001C5B35" w:rsidRPr="003B554C">
        <w:rPr>
          <w:rFonts w:ascii="Arial" w:hAnsi="Arial" w:cs="Arial"/>
        </w:rPr>
        <w:t>,</w:t>
      </w:r>
      <w:r w:rsidRPr="003B554C">
        <w:rPr>
          <w:rFonts w:ascii="Arial" w:hAnsi="Arial" w:cs="Arial"/>
        </w:rPr>
        <w:t xml:space="preserve"> mediante oficio</w:t>
      </w:r>
      <w:r w:rsidR="004E1EAB" w:rsidRPr="003B554C">
        <w:rPr>
          <w:rFonts w:ascii="Arial" w:hAnsi="Arial" w:cs="Arial"/>
        </w:rPr>
        <w:t xml:space="preserve"> </w:t>
      </w:r>
      <w:r w:rsidR="007A0EA8" w:rsidRPr="003B554C">
        <w:rPr>
          <w:rFonts w:ascii="Arial" w:hAnsi="Arial" w:cs="Arial"/>
          <w:b/>
        </w:rPr>
        <w:t>VG/</w:t>
      </w:r>
      <w:r w:rsidR="000E74A1">
        <w:rPr>
          <w:rFonts w:ascii="Arial" w:hAnsi="Arial" w:cs="Arial"/>
          <w:b/>
        </w:rPr>
        <w:t>499</w:t>
      </w:r>
      <w:r w:rsidR="007A0EA8" w:rsidRPr="003B554C">
        <w:rPr>
          <w:rFonts w:ascii="Arial" w:hAnsi="Arial" w:cs="Arial"/>
          <w:b/>
        </w:rPr>
        <w:t>/2025</w:t>
      </w:r>
      <w:r w:rsidRPr="003B554C">
        <w:rPr>
          <w:rFonts w:ascii="Arial" w:hAnsi="Arial" w:cs="Arial"/>
        </w:rPr>
        <w:t xml:space="preserve"> </w:t>
      </w:r>
      <w:r w:rsidR="004E1EAB" w:rsidRPr="003B554C">
        <w:rPr>
          <w:rFonts w:ascii="Arial" w:hAnsi="Arial" w:cs="Arial"/>
        </w:rPr>
        <w:t>el</w:t>
      </w:r>
      <w:r w:rsidR="004E1EAB" w:rsidRPr="003B554C">
        <w:rPr>
          <w:rFonts w:ascii="Arial" w:hAnsi="Arial" w:cs="Arial"/>
          <w:b/>
        </w:rPr>
        <w:t xml:space="preserve"> </w:t>
      </w:r>
      <w:r w:rsidR="000E74A1">
        <w:rPr>
          <w:rFonts w:ascii="Arial" w:hAnsi="Arial" w:cs="Arial"/>
          <w:b/>
        </w:rPr>
        <w:t>02</w:t>
      </w:r>
      <w:r w:rsidR="001C5B35" w:rsidRPr="003B554C">
        <w:rPr>
          <w:rFonts w:ascii="Arial" w:hAnsi="Arial" w:cs="Arial"/>
          <w:b/>
        </w:rPr>
        <w:t xml:space="preserve"> de </w:t>
      </w:r>
      <w:r w:rsidR="000E74A1">
        <w:rPr>
          <w:rFonts w:ascii="Arial" w:hAnsi="Arial" w:cs="Arial"/>
          <w:b/>
        </w:rPr>
        <w:t>marzo</w:t>
      </w:r>
      <w:r w:rsidR="00F35821" w:rsidRPr="003B554C">
        <w:rPr>
          <w:rFonts w:ascii="Arial" w:hAnsi="Arial" w:cs="Arial"/>
          <w:b/>
        </w:rPr>
        <w:t xml:space="preserve"> </w:t>
      </w:r>
      <w:r w:rsidR="001C5B35" w:rsidRPr="003B554C">
        <w:rPr>
          <w:rFonts w:ascii="Arial" w:hAnsi="Arial" w:cs="Arial"/>
          <w:b/>
        </w:rPr>
        <w:t>2026</w:t>
      </w:r>
      <w:r w:rsidR="00C03933" w:rsidRPr="003B554C">
        <w:rPr>
          <w:rFonts w:ascii="Arial" w:hAnsi="Arial" w:cs="Arial"/>
          <w:b/>
        </w:rPr>
        <w:t xml:space="preserve"> </w:t>
      </w:r>
      <w:r w:rsidR="00C03933" w:rsidRPr="003B554C">
        <w:rPr>
          <w:rFonts w:ascii="Arial" w:hAnsi="Arial" w:cs="Arial"/>
        </w:rPr>
        <w:t>hace llegar el acuerdo de reserva</w:t>
      </w:r>
      <w:r w:rsidR="00E8129C" w:rsidRPr="003B554C">
        <w:rPr>
          <w:rFonts w:ascii="Arial" w:hAnsi="Arial" w:cs="Arial"/>
        </w:rPr>
        <w:t xml:space="preserve"> </w:t>
      </w:r>
      <w:r w:rsidR="000E74A1">
        <w:rPr>
          <w:rFonts w:ascii="Arial" w:hAnsi="Arial" w:cs="Arial"/>
          <w:b/>
        </w:rPr>
        <w:t>total</w:t>
      </w:r>
      <w:r w:rsidR="00CD69B4" w:rsidRPr="003B554C">
        <w:rPr>
          <w:rFonts w:ascii="Arial" w:hAnsi="Arial" w:cs="Arial"/>
          <w:b/>
        </w:rPr>
        <w:t xml:space="preserve"> AR/</w:t>
      </w:r>
      <w:r w:rsidR="007A0EA8" w:rsidRPr="003B554C">
        <w:rPr>
          <w:rFonts w:ascii="Arial" w:hAnsi="Arial" w:cs="Arial"/>
          <w:b/>
        </w:rPr>
        <w:t>0</w:t>
      </w:r>
      <w:r w:rsidR="000E74A1">
        <w:rPr>
          <w:rFonts w:ascii="Arial" w:hAnsi="Arial" w:cs="Arial"/>
          <w:b/>
        </w:rPr>
        <w:t>3</w:t>
      </w:r>
      <w:r w:rsidR="004E1EAB" w:rsidRPr="003B554C">
        <w:rPr>
          <w:rFonts w:ascii="Arial" w:hAnsi="Arial" w:cs="Arial"/>
          <w:b/>
        </w:rPr>
        <w:t>/2026</w:t>
      </w:r>
      <w:r w:rsidR="00C03933" w:rsidRPr="003B554C">
        <w:rPr>
          <w:rFonts w:ascii="Arial" w:hAnsi="Arial" w:cs="Arial"/>
        </w:rPr>
        <w:t xml:space="preserve"> al Órgano Colegiado</w:t>
      </w:r>
      <w:r w:rsidR="00EF1D58" w:rsidRPr="003B554C">
        <w:rPr>
          <w:rFonts w:ascii="Arial" w:hAnsi="Arial" w:cs="Arial"/>
        </w:rPr>
        <w:t xml:space="preserve"> manifestando </w:t>
      </w:r>
      <w:r w:rsidRPr="003B554C">
        <w:rPr>
          <w:rFonts w:ascii="Arial" w:hAnsi="Arial" w:cs="Arial"/>
        </w:rPr>
        <w:t xml:space="preserve">encontrarse en el supuesto del artículo </w:t>
      </w:r>
      <w:r w:rsidR="00376B01" w:rsidRPr="003B554C">
        <w:rPr>
          <w:rFonts w:ascii="Arial" w:hAnsi="Arial" w:cs="Arial"/>
        </w:rPr>
        <w:t>120</w:t>
      </w:r>
      <w:r w:rsidRPr="003B554C">
        <w:rPr>
          <w:rFonts w:ascii="Arial" w:hAnsi="Arial" w:cs="Arial"/>
        </w:rPr>
        <w:t xml:space="preserve"> fracción</w:t>
      </w:r>
      <w:r w:rsidR="00376B01" w:rsidRPr="003B554C">
        <w:rPr>
          <w:rFonts w:ascii="Arial" w:hAnsi="Arial" w:cs="Arial"/>
        </w:rPr>
        <w:t xml:space="preserve"> </w:t>
      </w:r>
      <w:r w:rsidR="00434058" w:rsidRPr="003B554C">
        <w:rPr>
          <w:rFonts w:ascii="Arial" w:hAnsi="Arial" w:cs="Arial"/>
        </w:rPr>
        <w:t>I</w:t>
      </w:r>
      <w:r w:rsidRPr="003B554C">
        <w:rPr>
          <w:rFonts w:ascii="Arial" w:hAnsi="Arial" w:cs="Arial"/>
        </w:rPr>
        <w:t xml:space="preserve"> de la LTAIPSLP, es decir, </w:t>
      </w:r>
      <w:r w:rsidR="0053156B" w:rsidRPr="003B554C">
        <w:rPr>
          <w:rFonts w:ascii="Arial" w:hAnsi="Arial" w:cs="Arial"/>
        </w:rPr>
        <w:t>recibió la solicitud de acceso a la información número UT-SI-P-</w:t>
      </w:r>
      <w:r w:rsidR="00F35821" w:rsidRPr="003B554C">
        <w:rPr>
          <w:rFonts w:ascii="Arial" w:hAnsi="Arial" w:cs="Arial"/>
          <w:b/>
        </w:rPr>
        <w:t>0</w:t>
      </w:r>
      <w:r w:rsidR="000E74A1">
        <w:rPr>
          <w:rFonts w:ascii="Arial" w:hAnsi="Arial" w:cs="Arial"/>
          <w:b/>
        </w:rPr>
        <w:t>89</w:t>
      </w:r>
      <w:r w:rsidR="0053156B" w:rsidRPr="003B554C">
        <w:rPr>
          <w:rFonts w:ascii="Arial" w:hAnsi="Arial" w:cs="Arial"/>
        </w:rPr>
        <w:t>-24046982</w:t>
      </w:r>
      <w:r w:rsidR="00102849" w:rsidRPr="003B554C">
        <w:rPr>
          <w:rFonts w:ascii="Arial" w:hAnsi="Arial" w:cs="Arial"/>
        </w:rPr>
        <w:t>6</w:t>
      </w:r>
      <w:r w:rsidR="0053156B" w:rsidRPr="003B554C">
        <w:rPr>
          <w:rFonts w:ascii="Arial" w:hAnsi="Arial" w:cs="Arial"/>
        </w:rPr>
        <w:t>000</w:t>
      </w:r>
      <w:r w:rsidR="000E74A1">
        <w:rPr>
          <w:rFonts w:ascii="Arial" w:hAnsi="Arial" w:cs="Arial"/>
          <w:b/>
        </w:rPr>
        <w:t>89</w:t>
      </w:r>
      <w:r w:rsidR="0053156B" w:rsidRPr="003B554C">
        <w:rPr>
          <w:rFonts w:ascii="Arial" w:hAnsi="Arial" w:cs="Arial"/>
        </w:rPr>
        <w:t>-202</w:t>
      </w:r>
      <w:r w:rsidR="00102849" w:rsidRPr="003B554C">
        <w:rPr>
          <w:rFonts w:ascii="Arial" w:hAnsi="Arial" w:cs="Arial"/>
        </w:rPr>
        <w:t>6</w:t>
      </w:r>
      <w:r w:rsidR="0053156B" w:rsidRPr="003B554C">
        <w:rPr>
          <w:rFonts w:ascii="Arial" w:hAnsi="Arial" w:cs="Arial"/>
        </w:rPr>
        <w:t xml:space="preserve"> realizada por </w:t>
      </w:r>
      <w:r w:rsidR="004E1EAB" w:rsidRPr="003B554C">
        <w:rPr>
          <w:rFonts w:ascii="Arial" w:hAnsi="Arial" w:cs="Arial"/>
        </w:rPr>
        <w:t xml:space="preserve">un usuario </w:t>
      </w:r>
      <w:r w:rsidR="000E74A1" w:rsidRPr="000E74A1">
        <w:rPr>
          <w:rFonts w:ascii="Arial" w:hAnsi="Arial" w:cs="Arial"/>
          <w:b/>
        </w:rPr>
        <w:t>Héctor Miguel Medina Ocejo</w:t>
      </w:r>
      <w:r w:rsidR="000C23C7" w:rsidRPr="003B554C">
        <w:rPr>
          <w:rFonts w:ascii="Arial" w:hAnsi="Arial" w:cs="Arial"/>
        </w:rPr>
        <w:t>, quien manifiesta su deseo de acceder a la siguiente información:</w:t>
      </w:r>
    </w:p>
    <w:p w:rsidR="000E74A1" w:rsidRPr="000E74A1" w:rsidRDefault="000E74A1" w:rsidP="002F6CEE">
      <w:pPr>
        <w:spacing w:after="0" w:line="240" w:lineRule="auto"/>
        <w:jc w:val="both"/>
        <w:rPr>
          <w:rFonts w:ascii="Arial" w:hAnsi="Arial" w:cs="Arial"/>
        </w:rPr>
      </w:pPr>
      <w:proofErr w:type="gramStart"/>
      <w:r w:rsidRPr="000E74A1">
        <w:rPr>
          <w:rFonts w:ascii="Arial" w:hAnsi="Arial" w:cs="Arial"/>
        </w:rPr>
        <w:t>Que precise detalladamente a que fiscales o agentes del ministerio público de toda la fiscalía general del</w:t>
      </w:r>
      <w:r>
        <w:rPr>
          <w:rFonts w:ascii="Arial" w:hAnsi="Arial" w:cs="Arial"/>
        </w:rPr>
        <w:t xml:space="preserve"> </w:t>
      </w:r>
      <w:r w:rsidRPr="000E74A1">
        <w:rPr>
          <w:rFonts w:ascii="Arial" w:hAnsi="Arial" w:cs="Arial"/>
        </w:rPr>
        <w:t xml:space="preserve">estado de </w:t>
      </w:r>
      <w:proofErr w:type="spellStart"/>
      <w:r w:rsidRPr="000E74A1">
        <w:rPr>
          <w:rFonts w:ascii="Arial" w:hAnsi="Arial" w:cs="Arial"/>
        </w:rPr>
        <w:t>slp</w:t>
      </w:r>
      <w:proofErr w:type="spellEnd"/>
      <w:r w:rsidRPr="000E74A1">
        <w:rPr>
          <w:rFonts w:ascii="Arial" w:hAnsi="Arial" w:cs="Arial"/>
        </w:rPr>
        <w:t xml:space="preserve"> han sido denunciados penalmente?</w:t>
      </w:r>
      <w:proofErr w:type="gramEnd"/>
    </w:p>
    <w:p w:rsidR="000E74A1" w:rsidRDefault="000E74A1" w:rsidP="002F6CEE">
      <w:pPr>
        <w:spacing w:after="0" w:line="240" w:lineRule="auto"/>
        <w:jc w:val="both"/>
        <w:rPr>
          <w:rFonts w:ascii="Arial" w:hAnsi="Arial" w:cs="Arial"/>
        </w:rPr>
      </w:pPr>
    </w:p>
    <w:p w:rsidR="000E74A1" w:rsidRPr="000E74A1" w:rsidRDefault="000E74A1" w:rsidP="002F6CEE">
      <w:pPr>
        <w:spacing w:after="0" w:line="240" w:lineRule="auto"/>
        <w:jc w:val="both"/>
        <w:rPr>
          <w:rFonts w:ascii="Arial" w:hAnsi="Arial" w:cs="Arial"/>
        </w:rPr>
      </w:pPr>
      <w:proofErr w:type="gramStart"/>
      <w:r w:rsidRPr="000E74A1">
        <w:rPr>
          <w:rFonts w:ascii="Arial" w:hAnsi="Arial" w:cs="Arial"/>
        </w:rPr>
        <w:t>Que precise detalladamente a que fiscales o agentes del ministerio público de toda la fiscalía general del</w:t>
      </w:r>
      <w:r>
        <w:rPr>
          <w:rFonts w:ascii="Arial" w:hAnsi="Arial" w:cs="Arial"/>
        </w:rPr>
        <w:t xml:space="preserve"> </w:t>
      </w:r>
      <w:r w:rsidRPr="000E74A1">
        <w:rPr>
          <w:rFonts w:ascii="Arial" w:hAnsi="Arial" w:cs="Arial"/>
        </w:rPr>
        <w:t xml:space="preserve">estado de </w:t>
      </w:r>
      <w:proofErr w:type="spellStart"/>
      <w:r w:rsidRPr="000E74A1">
        <w:rPr>
          <w:rFonts w:ascii="Arial" w:hAnsi="Arial" w:cs="Arial"/>
        </w:rPr>
        <w:t>slp</w:t>
      </w:r>
      <w:proofErr w:type="spellEnd"/>
      <w:r w:rsidRPr="000E74A1">
        <w:rPr>
          <w:rFonts w:ascii="Arial" w:hAnsi="Arial" w:cs="Arial"/>
        </w:rPr>
        <w:t xml:space="preserve"> se les ha presentado querella penal?</w:t>
      </w:r>
      <w:proofErr w:type="gramEnd"/>
    </w:p>
    <w:p w:rsidR="000E74A1" w:rsidRDefault="000E74A1" w:rsidP="002F6CEE">
      <w:pPr>
        <w:spacing w:after="0" w:line="240" w:lineRule="auto"/>
        <w:jc w:val="both"/>
        <w:rPr>
          <w:rFonts w:ascii="Arial" w:hAnsi="Arial" w:cs="Arial"/>
        </w:rPr>
      </w:pPr>
    </w:p>
    <w:p w:rsidR="000E74A1" w:rsidRPr="000E74A1" w:rsidRDefault="000E74A1" w:rsidP="002F6CEE">
      <w:pPr>
        <w:spacing w:after="0" w:line="240" w:lineRule="auto"/>
        <w:jc w:val="both"/>
        <w:rPr>
          <w:rFonts w:ascii="Arial" w:hAnsi="Arial" w:cs="Arial"/>
        </w:rPr>
      </w:pPr>
      <w:r w:rsidRPr="000E74A1">
        <w:rPr>
          <w:rFonts w:ascii="Arial" w:hAnsi="Arial" w:cs="Arial"/>
        </w:rPr>
        <w:t>En ambos supuestos antes mencionados, que precise porque hechos de apariencia de delito se les ha</w:t>
      </w:r>
    </w:p>
    <w:p w:rsidR="000E74A1" w:rsidRPr="000E74A1" w:rsidRDefault="000E74A1" w:rsidP="002F6CEE">
      <w:pPr>
        <w:spacing w:after="0" w:line="240" w:lineRule="auto"/>
        <w:jc w:val="both"/>
        <w:rPr>
          <w:rFonts w:ascii="Arial" w:hAnsi="Arial" w:cs="Arial"/>
        </w:rPr>
      </w:pPr>
      <w:r w:rsidRPr="000E74A1">
        <w:rPr>
          <w:rFonts w:ascii="Arial" w:hAnsi="Arial" w:cs="Arial"/>
        </w:rPr>
        <w:t>atribuido a los fiscales o agentes del ministerio público?</w:t>
      </w:r>
    </w:p>
    <w:p w:rsidR="000E74A1" w:rsidRDefault="000E74A1" w:rsidP="002F6CEE">
      <w:pPr>
        <w:spacing w:after="0" w:line="240" w:lineRule="auto"/>
        <w:jc w:val="both"/>
        <w:rPr>
          <w:rFonts w:ascii="Arial" w:hAnsi="Arial" w:cs="Arial"/>
        </w:rPr>
      </w:pPr>
    </w:p>
    <w:p w:rsidR="000E74A1" w:rsidRPr="000E74A1" w:rsidRDefault="000E74A1" w:rsidP="002F6CEE">
      <w:pPr>
        <w:spacing w:after="0" w:line="240" w:lineRule="auto"/>
        <w:jc w:val="both"/>
        <w:rPr>
          <w:rFonts w:ascii="Arial" w:hAnsi="Arial" w:cs="Arial"/>
        </w:rPr>
      </w:pPr>
      <w:r w:rsidRPr="000E74A1">
        <w:rPr>
          <w:rFonts w:ascii="Arial" w:hAnsi="Arial" w:cs="Arial"/>
        </w:rPr>
        <w:t>Que precise a que fiscales o agentes del ministerio público de toda la fiscalía han sido objeto de un</w:t>
      </w:r>
    </w:p>
    <w:p w:rsidR="00102849" w:rsidRPr="003B554C" w:rsidRDefault="000E74A1" w:rsidP="002F6CEE">
      <w:pPr>
        <w:spacing w:after="0" w:line="240" w:lineRule="auto"/>
        <w:jc w:val="both"/>
        <w:rPr>
          <w:rFonts w:ascii="Arial" w:hAnsi="Arial" w:cs="Arial"/>
        </w:rPr>
      </w:pPr>
      <w:r w:rsidRPr="000E74A1">
        <w:rPr>
          <w:rFonts w:ascii="Arial" w:hAnsi="Arial" w:cs="Arial"/>
        </w:rPr>
        <w:t xml:space="preserve">procedimiento interno y que sanción se les ha aplicado? </w:t>
      </w:r>
      <w:r w:rsidR="00102849" w:rsidRPr="003B554C">
        <w:rPr>
          <w:rFonts w:ascii="Arial" w:hAnsi="Arial" w:cs="Arial"/>
        </w:rPr>
        <w:t>[SIC]</w:t>
      </w:r>
    </w:p>
    <w:p w:rsidR="00102849" w:rsidRPr="003B554C" w:rsidRDefault="00102849" w:rsidP="002F6CEE">
      <w:pPr>
        <w:spacing w:after="0" w:line="240" w:lineRule="auto"/>
        <w:jc w:val="both"/>
        <w:rPr>
          <w:rFonts w:ascii="Arial" w:hAnsi="Arial" w:cs="Arial"/>
          <w:b/>
        </w:rPr>
      </w:pPr>
    </w:p>
    <w:p w:rsidR="00BF3665" w:rsidRPr="003B554C" w:rsidRDefault="009819AE" w:rsidP="002F6CEE">
      <w:pPr>
        <w:spacing w:after="0" w:line="240" w:lineRule="auto"/>
        <w:jc w:val="both"/>
        <w:rPr>
          <w:rFonts w:ascii="Arial" w:hAnsi="Arial" w:cs="Arial"/>
        </w:rPr>
      </w:pPr>
      <w:r w:rsidRPr="003B554C">
        <w:rPr>
          <w:rFonts w:ascii="Arial" w:hAnsi="Arial" w:cs="Arial"/>
          <w:b/>
        </w:rPr>
        <w:t>II.</w:t>
      </w:r>
      <w:r w:rsidRPr="003B554C">
        <w:rPr>
          <w:rFonts w:ascii="Arial" w:hAnsi="Arial" w:cs="Arial"/>
        </w:rPr>
        <w:t xml:space="preserve"> </w:t>
      </w:r>
      <w:r w:rsidR="00D5202E" w:rsidRPr="003B554C">
        <w:rPr>
          <w:rFonts w:ascii="Arial" w:hAnsi="Arial" w:cs="Arial"/>
        </w:rPr>
        <w:t xml:space="preserve">El </w:t>
      </w:r>
      <w:r w:rsidR="00024F43" w:rsidRPr="003B554C">
        <w:rPr>
          <w:rFonts w:ascii="Arial" w:hAnsi="Arial" w:cs="Arial"/>
        </w:rPr>
        <w:t>Visitador, Carlos Gustavo Rodríguez Cruz</w:t>
      </w:r>
      <w:r w:rsidR="00672FE8" w:rsidRPr="003B554C">
        <w:rPr>
          <w:rFonts w:ascii="Arial" w:hAnsi="Arial" w:cs="Arial"/>
        </w:rPr>
        <w:t>,</w:t>
      </w:r>
      <w:r w:rsidR="00590B9B" w:rsidRPr="003B554C">
        <w:rPr>
          <w:rFonts w:ascii="Arial" w:hAnsi="Arial" w:cs="Arial"/>
        </w:rPr>
        <w:t xml:space="preserve"> </w:t>
      </w:r>
      <w:r w:rsidRPr="003B554C">
        <w:rPr>
          <w:rFonts w:ascii="Arial" w:hAnsi="Arial" w:cs="Arial"/>
        </w:rPr>
        <w:t xml:space="preserve">al realizar el estudio de la </w:t>
      </w:r>
      <w:r w:rsidR="00C71D2F" w:rsidRPr="003B554C">
        <w:rPr>
          <w:rFonts w:ascii="Arial" w:hAnsi="Arial" w:cs="Arial"/>
          <w:i/>
        </w:rPr>
        <w:t>solicitud</w:t>
      </w:r>
      <w:r w:rsidRPr="003B554C">
        <w:rPr>
          <w:rFonts w:ascii="Arial" w:hAnsi="Arial" w:cs="Arial"/>
        </w:rPr>
        <w:t xml:space="preserve"> advierte que la información </w:t>
      </w:r>
      <w:r w:rsidR="00590B9B" w:rsidRPr="003B554C">
        <w:rPr>
          <w:rFonts w:ascii="Arial" w:hAnsi="Arial" w:cs="Arial"/>
        </w:rPr>
        <w:t xml:space="preserve">a la que desea acceder </w:t>
      </w:r>
      <w:r w:rsidR="00035BE7" w:rsidRPr="003B554C">
        <w:rPr>
          <w:rFonts w:ascii="Arial" w:hAnsi="Arial" w:cs="Arial"/>
        </w:rPr>
        <w:t xml:space="preserve">el solicitante, </w:t>
      </w:r>
      <w:r w:rsidRPr="003B554C">
        <w:rPr>
          <w:rFonts w:ascii="Arial" w:hAnsi="Arial" w:cs="Arial"/>
        </w:rPr>
        <w:t>es susceptible de clasificar</w:t>
      </w:r>
      <w:r w:rsidR="008D7FD6" w:rsidRPr="003B554C">
        <w:rPr>
          <w:rFonts w:ascii="Arial" w:hAnsi="Arial" w:cs="Arial"/>
        </w:rPr>
        <w:t>se</w:t>
      </w:r>
      <w:r w:rsidRPr="003B554C">
        <w:rPr>
          <w:rFonts w:ascii="Arial" w:hAnsi="Arial" w:cs="Arial"/>
        </w:rPr>
        <w:t xml:space="preserve"> como </w:t>
      </w:r>
      <w:r w:rsidR="000E74A1">
        <w:rPr>
          <w:rFonts w:ascii="Arial" w:hAnsi="Arial" w:cs="Arial"/>
          <w:b/>
        </w:rPr>
        <w:t>tota</w:t>
      </w:r>
      <w:r w:rsidR="00955434" w:rsidRPr="003B554C">
        <w:rPr>
          <w:rFonts w:ascii="Arial" w:hAnsi="Arial" w:cs="Arial"/>
          <w:b/>
        </w:rPr>
        <w:t>lmente</w:t>
      </w:r>
      <w:r w:rsidR="00C71D2F" w:rsidRPr="003B554C">
        <w:rPr>
          <w:rFonts w:ascii="Arial" w:hAnsi="Arial" w:cs="Arial"/>
        </w:rPr>
        <w:t xml:space="preserve"> </w:t>
      </w:r>
      <w:r w:rsidRPr="003B554C">
        <w:rPr>
          <w:rFonts w:ascii="Arial" w:hAnsi="Arial" w:cs="Arial"/>
        </w:rPr>
        <w:t>reservada, de conformidad con el ar</w:t>
      </w:r>
      <w:r w:rsidR="007D4996" w:rsidRPr="003B554C">
        <w:rPr>
          <w:rFonts w:ascii="Arial" w:hAnsi="Arial" w:cs="Arial"/>
        </w:rPr>
        <w:t xml:space="preserve">tículo 129 </w:t>
      </w:r>
      <w:r w:rsidR="005B0E50" w:rsidRPr="003B554C">
        <w:rPr>
          <w:rFonts w:ascii="Arial" w:hAnsi="Arial" w:cs="Arial"/>
        </w:rPr>
        <w:t>fracci</w:t>
      </w:r>
      <w:r w:rsidR="0056548A" w:rsidRPr="003B554C">
        <w:rPr>
          <w:rFonts w:ascii="Arial" w:hAnsi="Arial" w:cs="Arial"/>
        </w:rPr>
        <w:t>ón</w:t>
      </w:r>
      <w:r w:rsidR="00D63EFF" w:rsidRPr="003B554C">
        <w:rPr>
          <w:rFonts w:ascii="Arial" w:hAnsi="Arial" w:cs="Arial"/>
        </w:rPr>
        <w:t xml:space="preserve"> </w:t>
      </w:r>
      <w:r w:rsidR="005160BF" w:rsidRPr="003B554C">
        <w:rPr>
          <w:rFonts w:ascii="Arial" w:hAnsi="Arial" w:cs="Arial"/>
        </w:rPr>
        <w:t>XII</w:t>
      </w:r>
      <w:r w:rsidRPr="003B554C">
        <w:rPr>
          <w:rFonts w:ascii="Arial" w:hAnsi="Arial" w:cs="Arial"/>
        </w:rPr>
        <w:t xml:space="preserve"> de la LTAIPSLP.</w:t>
      </w:r>
    </w:p>
    <w:p w:rsidR="0056548A" w:rsidRPr="003B554C" w:rsidRDefault="0056548A" w:rsidP="002F6CEE">
      <w:pPr>
        <w:spacing w:after="0" w:line="240" w:lineRule="auto"/>
        <w:jc w:val="both"/>
        <w:rPr>
          <w:rFonts w:ascii="Arial" w:hAnsi="Arial" w:cs="Arial"/>
        </w:rPr>
      </w:pPr>
    </w:p>
    <w:p w:rsidR="00BF3665" w:rsidRPr="003B554C" w:rsidRDefault="009819AE" w:rsidP="002F6CEE">
      <w:pPr>
        <w:spacing w:line="240" w:lineRule="auto"/>
        <w:jc w:val="both"/>
        <w:rPr>
          <w:rFonts w:ascii="Arial" w:hAnsi="Arial" w:cs="Arial"/>
          <w:b/>
        </w:rPr>
      </w:pPr>
      <w:r w:rsidRPr="003B554C">
        <w:rPr>
          <w:rFonts w:ascii="Arial" w:hAnsi="Arial" w:cs="Arial"/>
          <w:b/>
        </w:rPr>
        <w:t>III.</w:t>
      </w:r>
      <w:r w:rsidRPr="003B554C">
        <w:rPr>
          <w:rFonts w:ascii="Arial" w:hAnsi="Arial" w:cs="Arial"/>
        </w:rPr>
        <w:t xml:space="preserve"> </w:t>
      </w:r>
      <w:r w:rsidR="00D5202E" w:rsidRPr="003B554C">
        <w:rPr>
          <w:rFonts w:ascii="Arial" w:hAnsi="Arial" w:cs="Arial"/>
        </w:rPr>
        <w:t xml:space="preserve">El </w:t>
      </w:r>
      <w:r w:rsidR="00024F43" w:rsidRPr="003B554C">
        <w:rPr>
          <w:rFonts w:ascii="Arial" w:hAnsi="Arial" w:cs="Arial"/>
        </w:rPr>
        <w:t>Visitador, Carlos Gustavo Rodríguez Cruz</w:t>
      </w:r>
      <w:r w:rsidR="00672FE8" w:rsidRPr="003B554C">
        <w:rPr>
          <w:rFonts w:ascii="Arial" w:hAnsi="Arial" w:cs="Arial"/>
        </w:rPr>
        <w:t xml:space="preserve">, </w:t>
      </w:r>
      <w:r w:rsidR="00682B93" w:rsidRPr="003B554C">
        <w:rPr>
          <w:rFonts w:ascii="Arial" w:hAnsi="Arial" w:cs="Arial"/>
        </w:rPr>
        <w:t>a efecto de estar en posibilidades de dar respuesta a la solicitud que le fue turnada</w:t>
      </w:r>
      <w:r w:rsidR="00042CDD" w:rsidRPr="003B554C">
        <w:rPr>
          <w:rFonts w:ascii="Arial" w:hAnsi="Arial" w:cs="Arial"/>
        </w:rPr>
        <w:t>,</w:t>
      </w:r>
      <w:r w:rsidR="00682B93" w:rsidRPr="003B554C">
        <w:rPr>
          <w:rFonts w:ascii="Arial" w:hAnsi="Arial" w:cs="Arial"/>
        </w:rPr>
        <w:t xml:space="preserve"> emite el acuerdo de reserva </w:t>
      </w:r>
      <w:r w:rsidR="000E74A1">
        <w:rPr>
          <w:rFonts w:ascii="Arial" w:hAnsi="Arial" w:cs="Arial"/>
          <w:b/>
        </w:rPr>
        <w:t>total</w:t>
      </w:r>
      <w:r w:rsidR="00682B93" w:rsidRPr="003B554C">
        <w:rPr>
          <w:rFonts w:ascii="Arial" w:hAnsi="Arial" w:cs="Arial"/>
          <w:b/>
        </w:rPr>
        <w:t xml:space="preserve"> </w:t>
      </w:r>
      <w:r w:rsidR="00682B93" w:rsidRPr="003B554C">
        <w:rPr>
          <w:rFonts w:ascii="Arial" w:hAnsi="Arial" w:cs="Arial"/>
        </w:rPr>
        <w:t xml:space="preserve">número </w:t>
      </w:r>
      <w:r w:rsidR="00CD69B4" w:rsidRPr="003B554C">
        <w:rPr>
          <w:rFonts w:ascii="Arial" w:hAnsi="Arial" w:cs="Arial"/>
          <w:b/>
        </w:rPr>
        <w:t>AR/0</w:t>
      </w:r>
      <w:r w:rsidR="000E74A1">
        <w:rPr>
          <w:rFonts w:ascii="Arial" w:hAnsi="Arial" w:cs="Arial"/>
          <w:b/>
        </w:rPr>
        <w:t>3</w:t>
      </w:r>
      <w:r w:rsidR="00CD69B4" w:rsidRPr="003B554C">
        <w:rPr>
          <w:rFonts w:ascii="Arial" w:hAnsi="Arial" w:cs="Arial"/>
          <w:b/>
        </w:rPr>
        <w:t>/2026</w:t>
      </w:r>
      <w:r w:rsidR="00682B93" w:rsidRPr="003B554C">
        <w:rPr>
          <w:rFonts w:ascii="Arial" w:hAnsi="Arial" w:cs="Arial"/>
          <w:b/>
        </w:rPr>
        <w:t xml:space="preserve">. </w:t>
      </w:r>
    </w:p>
    <w:p w:rsidR="00BF3665" w:rsidRPr="003B554C" w:rsidRDefault="009819AE" w:rsidP="002F6CEE">
      <w:pPr>
        <w:spacing w:line="240" w:lineRule="auto"/>
        <w:jc w:val="center"/>
        <w:rPr>
          <w:rFonts w:ascii="Arial" w:hAnsi="Arial" w:cs="Arial"/>
          <w:b/>
        </w:rPr>
      </w:pPr>
      <w:r w:rsidRPr="003B554C">
        <w:rPr>
          <w:rFonts w:ascii="Arial" w:hAnsi="Arial" w:cs="Arial"/>
          <w:b/>
        </w:rPr>
        <w:t>CONSIDERANDO</w:t>
      </w:r>
    </w:p>
    <w:p w:rsidR="00BF3665" w:rsidRPr="003B554C" w:rsidRDefault="009819AE" w:rsidP="002F6CEE">
      <w:pPr>
        <w:spacing w:line="240" w:lineRule="auto"/>
        <w:jc w:val="both"/>
        <w:rPr>
          <w:rFonts w:ascii="Arial" w:hAnsi="Arial" w:cs="Arial"/>
        </w:rPr>
      </w:pPr>
      <w:r w:rsidRPr="003B554C">
        <w:rPr>
          <w:rFonts w:ascii="Arial" w:hAnsi="Arial" w:cs="Arial"/>
          <w:b/>
        </w:rPr>
        <w:t>PRIMERO.</w:t>
      </w:r>
      <w:r w:rsidRPr="003B554C">
        <w:rPr>
          <w:rFonts w:ascii="Arial" w:hAnsi="Arial" w:cs="Arial"/>
        </w:rPr>
        <w:t xml:space="preserve"> </w:t>
      </w:r>
      <w:r w:rsidRPr="003B554C">
        <w:rPr>
          <w:rFonts w:ascii="Arial" w:hAnsi="Arial" w:cs="Arial"/>
          <w:b/>
        </w:rPr>
        <w:t>Competencia.</w:t>
      </w:r>
      <w:r w:rsidRPr="003B554C">
        <w:rPr>
          <w:rFonts w:ascii="Arial" w:hAnsi="Arial" w:cs="Arial"/>
        </w:rPr>
        <w:t xml:space="preserve"> </w:t>
      </w:r>
    </w:p>
    <w:p w:rsidR="00BF3665" w:rsidRPr="003B554C" w:rsidRDefault="009819AE" w:rsidP="002F6CEE">
      <w:pPr>
        <w:spacing w:line="240" w:lineRule="auto"/>
        <w:jc w:val="both"/>
        <w:rPr>
          <w:rFonts w:ascii="Arial" w:hAnsi="Arial" w:cs="Arial"/>
        </w:rPr>
      </w:pPr>
      <w:r w:rsidRPr="003B554C">
        <w:rPr>
          <w:rFonts w:ascii="Arial" w:hAnsi="Arial" w:cs="Arial"/>
        </w:rPr>
        <w:t>E</w:t>
      </w:r>
      <w:r w:rsidR="00995ED3" w:rsidRPr="003B554C">
        <w:rPr>
          <w:rFonts w:ascii="Arial" w:hAnsi="Arial" w:cs="Arial"/>
        </w:rPr>
        <w:t>l</w:t>
      </w:r>
      <w:r w:rsidRPr="003B554C">
        <w:rPr>
          <w:rFonts w:ascii="Arial" w:hAnsi="Arial" w:cs="Arial"/>
        </w:rPr>
        <w:t xml:space="preserve"> Comité de Transparencia es competente para determinar sobre la confirmación, modificación o revocación del </w:t>
      </w:r>
      <w:r w:rsidR="00376B01" w:rsidRPr="003B554C">
        <w:rPr>
          <w:rFonts w:ascii="Arial" w:hAnsi="Arial" w:cs="Arial"/>
        </w:rPr>
        <w:t>a</w:t>
      </w:r>
      <w:r w:rsidRPr="003B554C">
        <w:rPr>
          <w:rFonts w:ascii="Arial" w:hAnsi="Arial" w:cs="Arial"/>
        </w:rPr>
        <w:t xml:space="preserve">cuerdo de </w:t>
      </w:r>
      <w:r w:rsidR="00376B01" w:rsidRPr="003B554C">
        <w:rPr>
          <w:rFonts w:ascii="Arial" w:hAnsi="Arial" w:cs="Arial"/>
        </w:rPr>
        <w:t>r</w:t>
      </w:r>
      <w:r w:rsidRPr="003B554C">
        <w:rPr>
          <w:rFonts w:ascii="Arial" w:hAnsi="Arial" w:cs="Arial"/>
        </w:rPr>
        <w:t>eserva</w:t>
      </w:r>
      <w:r w:rsidRPr="003B554C">
        <w:rPr>
          <w:rFonts w:ascii="Arial" w:hAnsi="Arial" w:cs="Arial"/>
          <w:b/>
        </w:rPr>
        <w:t xml:space="preserve"> </w:t>
      </w:r>
      <w:r w:rsidR="000E74A1">
        <w:rPr>
          <w:rFonts w:ascii="Arial" w:hAnsi="Arial" w:cs="Arial"/>
          <w:b/>
        </w:rPr>
        <w:t>total</w:t>
      </w:r>
      <w:r w:rsidR="00F35821" w:rsidRPr="003B554C">
        <w:rPr>
          <w:rFonts w:ascii="Arial" w:hAnsi="Arial" w:cs="Arial"/>
          <w:b/>
        </w:rPr>
        <w:t xml:space="preserve"> AR/0</w:t>
      </w:r>
      <w:r w:rsidR="000E74A1">
        <w:rPr>
          <w:rFonts w:ascii="Arial" w:hAnsi="Arial" w:cs="Arial"/>
          <w:b/>
        </w:rPr>
        <w:t>3</w:t>
      </w:r>
      <w:r w:rsidR="00F35821" w:rsidRPr="003B554C">
        <w:rPr>
          <w:rFonts w:ascii="Arial" w:hAnsi="Arial" w:cs="Arial"/>
          <w:b/>
        </w:rPr>
        <w:t>/2026</w:t>
      </w:r>
      <w:r w:rsidRPr="003B554C">
        <w:rPr>
          <w:rFonts w:ascii="Arial" w:hAnsi="Arial" w:cs="Arial"/>
          <w:b/>
        </w:rPr>
        <w:t>,</w:t>
      </w:r>
      <w:r w:rsidRPr="003B554C">
        <w:rPr>
          <w:rFonts w:ascii="Arial" w:hAnsi="Arial" w:cs="Arial"/>
        </w:rPr>
        <w:t xml:space="preserve"> por lo que se </w:t>
      </w:r>
      <w:r w:rsidR="00376B01" w:rsidRPr="003B554C">
        <w:rPr>
          <w:rFonts w:ascii="Arial" w:hAnsi="Arial" w:cs="Arial"/>
        </w:rPr>
        <w:t>sometió</w:t>
      </w:r>
      <w:r w:rsidRPr="003B554C">
        <w:rPr>
          <w:rFonts w:ascii="Arial" w:hAnsi="Arial" w:cs="Arial"/>
        </w:rPr>
        <w:t xml:space="preserve"> a consideración</w:t>
      </w:r>
      <w:r w:rsidR="00376B01" w:rsidRPr="003B554C">
        <w:rPr>
          <w:rFonts w:ascii="Arial" w:hAnsi="Arial" w:cs="Arial"/>
        </w:rPr>
        <w:t xml:space="preserve"> del </w:t>
      </w:r>
      <w:r w:rsidR="008D7FD6" w:rsidRPr="003B554C">
        <w:rPr>
          <w:rFonts w:ascii="Arial" w:hAnsi="Arial" w:cs="Arial"/>
        </w:rPr>
        <w:t>c</w:t>
      </w:r>
      <w:r w:rsidR="00376B01" w:rsidRPr="003B554C">
        <w:rPr>
          <w:rFonts w:ascii="Arial" w:hAnsi="Arial" w:cs="Arial"/>
        </w:rPr>
        <w:t>olegiado</w:t>
      </w:r>
      <w:r w:rsidRPr="003B554C">
        <w:rPr>
          <w:rFonts w:ascii="Arial" w:hAnsi="Arial" w:cs="Arial"/>
        </w:rPr>
        <w:t xml:space="preserve"> en términos de lo dispuesto por los artículos 51, 52, fracción II de la LTAIPSLP, </w:t>
      </w:r>
      <w:r w:rsidR="008D7FD6" w:rsidRPr="003B554C">
        <w:rPr>
          <w:rFonts w:ascii="Arial" w:hAnsi="Arial" w:cs="Arial"/>
        </w:rPr>
        <w:t>l</w:t>
      </w:r>
      <w:r w:rsidRPr="003B554C">
        <w:rPr>
          <w:rFonts w:ascii="Arial" w:hAnsi="Arial" w:cs="Arial"/>
        </w:rPr>
        <w:t xml:space="preserve">ineamiento </w:t>
      </w:r>
      <w:r w:rsidR="008D7FD6" w:rsidRPr="003B554C">
        <w:rPr>
          <w:rFonts w:ascii="Arial" w:hAnsi="Arial" w:cs="Arial"/>
        </w:rPr>
        <w:t>s</w:t>
      </w:r>
      <w:r w:rsidRPr="003B554C">
        <w:rPr>
          <w:rFonts w:ascii="Arial" w:hAnsi="Arial" w:cs="Arial"/>
        </w:rPr>
        <w:t xml:space="preserve">egundo fracción III de los LGCDIEVP, artículo </w:t>
      </w:r>
      <w:r w:rsidR="008D7FD6" w:rsidRPr="003B554C">
        <w:rPr>
          <w:rFonts w:ascii="Arial" w:hAnsi="Arial" w:cs="Arial"/>
        </w:rPr>
        <w:t>t</w:t>
      </w:r>
      <w:r w:rsidRPr="003B554C">
        <w:rPr>
          <w:rFonts w:ascii="Arial" w:hAnsi="Arial" w:cs="Arial"/>
        </w:rPr>
        <w:t xml:space="preserve">ercero del </w:t>
      </w:r>
      <w:r w:rsidR="005B0E50" w:rsidRPr="003B554C">
        <w:rPr>
          <w:rFonts w:ascii="Arial" w:hAnsi="Arial" w:cs="Arial"/>
        </w:rPr>
        <w:t>a</w:t>
      </w:r>
      <w:r w:rsidRPr="003B554C">
        <w:rPr>
          <w:rFonts w:ascii="Arial" w:hAnsi="Arial" w:cs="Arial"/>
        </w:rPr>
        <w:t xml:space="preserve">cuerdo </w:t>
      </w:r>
      <w:r w:rsidR="005B0E50" w:rsidRPr="003B554C">
        <w:rPr>
          <w:rFonts w:ascii="Arial" w:hAnsi="Arial" w:cs="Arial"/>
        </w:rPr>
        <w:t>g</w:t>
      </w:r>
      <w:r w:rsidRPr="003B554C">
        <w:rPr>
          <w:rFonts w:ascii="Arial" w:hAnsi="Arial" w:cs="Arial"/>
        </w:rPr>
        <w:t>eneral número AG/003/2023, así como</w:t>
      </w:r>
      <w:r w:rsidR="008D7FD6" w:rsidRPr="003B554C">
        <w:rPr>
          <w:rFonts w:ascii="Arial" w:hAnsi="Arial" w:cs="Arial"/>
        </w:rPr>
        <w:t>,</w:t>
      </w:r>
      <w:r w:rsidRPr="003B554C">
        <w:rPr>
          <w:rFonts w:ascii="Arial" w:hAnsi="Arial" w:cs="Arial"/>
        </w:rPr>
        <w:t xml:space="preserve"> acuerdo general AG/011/2020.</w:t>
      </w:r>
    </w:p>
    <w:p w:rsidR="005117B5" w:rsidRPr="003B554C" w:rsidRDefault="005117B5" w:rsidP="002F6CEE">
      <w:pPr>
        <w:spacing w:line="240" w:lineRule="auto"/>
        <w:jc w:val="both"/>
        <w:rPr>
          <w:rFonts w:ascii="Arial" w:hAnsi="Arial" w:cs="Arial"/>
          <w:b/>
        </w:rPr>
      </w:pPr>
      <w:r w:rsidRPr="003B554C">
        <w:rPr>
          <w:rFonts w:ascii="Arial" w:hAnsi="Arial" w:cs="Arial"/>
          <w:b/>
        </w:rPr>
        <w:t xml:space="preserve">SEGUNDO. Análisis. </w:t>
      </w:r>
    </w:p>
    <w:p w:rsidR="005117B5" w:rsidRPr="003B554C" w:rsidRDefault="005117B5" w:rsidP="002F6CEE">
      <w:pPr>
        <w:spacing w:line="240" w:lineRule="auto"/>
        <w:jc w:val="both"/>
        <w:rPr>
          <w:rFonts w:ascii="Arial" w:hAnsi="Arial" w:cs="Arial"/>
        </w:rPr>
      </w:pPr>
      <w:r w:rsidRPr="003B554C">
        <w:rPr>
          <w:rFonts w:ascii="Arial" w:hAnsi="Arial" w:cs="Arial"/>
        </w:rPr>
        <w:lastRenderedPageBreak/>
        <w:t xml:space="preserve">Del </w:t>
      </w:r>
      <w:r w:rsidR="00DA4A66" w:rsidRPr="003B554C">
        <w:rPr>
          <w:rFonts w:ascii="Arial" w:hAnsi="Arial" w:cs="Arial"/>
        </w:rPr>
        <w:t>acuerdo de reserva</w:t>
      </w:r>
      <w:r w:rsidR="00DA4A66" w:rsidRPr="003B554C">
        <w:rPr>
          <w:rFonts w:ascii="Arial" w:hAnsi="Arial" w:cs="Arial"/>
          <w:b/>
        </w:rPr>
        <w:t xml:space="preserve"> </w:t>
      </w:r>
      <w:r w:rsidR="000E74A1">
        <w:rPr>
          <w:rFonts w:ascii="Arial" w:hAnsi="Arial" w:cs="Arial"/>
          <w:b/>
        </w:rPr>
        <w:t>total</w:t>
      </w:r>
      <w:r w:rsidR="00F35821" w:rsidRPr="003B554C">
        <w:rPr>
          <w:rFonts w:ascii="Arial" w:hAnsi="Arial" w:cs="Arial"/>
          <w:b/>
        </w:rPr>
        <w:t xml:space="preserve"> AR/0</w:t>
      </w:r>
      <w:r w:rsidR="000E74A1">
        <w:rPr>
          <w:rFonts w:ascii="Arial" w:hAnsi="Arial" w:cs="Arial"/>
          <w:b/>
        </w:rPr>
        <w:t>3</w:t>
      </w:r>
      <w:r w:rsidR="00F35821" w:rsidRPr="003B554C">
        <w:rPr>
          <w:rFonts w:ascii="Arial" w:hAnsi="Arial" w:cs="Arial"/>
          <w:b/>
        </w:rPr>
        <w:t>/2026</w:t>
      </w:r>
      <w:r w:rsidRPr="003B554C">
        <w:rPr>
          <w:rFonts w:ascii="Arial" w:hAnsi="Arial" w:cs="Arial"/>
        </w:rPr>
        <w:t xml:space="preserve">, se advierte que el mismo contiene los requisitos mínimos establecidos por el artículo 128 de LTAIPSLP, y que a sabed son: </w:t>
      </w:r>
    </w:p>
    <w:p w:rsidR="005117B5" w:rsidRPr="002F6CEE" w:rsidRDefault="005117B5" w:rsidP="002F6CEE">
      <w:pPr>
        <w:pStyle w:val="Prrafodelista"/>
        <w:numPr>
          <w:ilvl w:val="0"/>
          <w:numId w:val="1"/>
        </w:numPr>
        <w:jc w:val="both"/>
        <w:rPr>
          <w:rFonts w:ascii="Arial" w:hAnsi="Arial" w:cs="Arial"/>
          <w:sz w:val="20"/>
          <w:szCs w:val="20"/>
        </w:rPr>
      </w:pPr>
      <w:r w:rsidRPr="002F6CEE">
        <w:rPr>
          <w:rFonts w:ascii="Arial" w:hAnsi="Arial" w:cs="Arial"/>
          <w:sz w:val="20"/>
          <w:szCs w:val="20"/>
        </w:rPr>
        <w:t>La fuente y el archivo donde se encuentra la información;</w:t>
      </w:r>
    </w:p>
    <w:p w:rsidR="005117B5" w:rsidRPr="002F6CEE" w:rsidRDefault="005117B5" w:rsidP="002F6CEE">
      <w:pPr>
        <w:pStyle w:val="Prrafodelista"/>
        <w:numPr>
          <w:ilvl w:val="0"/>
          <w:numId w:val="1"/>
        </w:numPr>
        <w:jc w:val="both"/>
        <w:rPr>
          <w:rFonts w:ascii="Arial" w:hAnsi="Arial" w:cs="Arial"/>
          <w:sz w:val="20"/>
          <w:szCs w:val="20"/>
        </w:rPr>
      </w:pPr>
      <w:r w:rsidRPr="002F6CEE">
        <w:rPr>
          <w:rFonts w:ascii="Arial" w:hAnsi="Arial" w:cs="Arial"/>
          <w:sz w:val="20"/>
          <w:szCs w:val="20"/>
        </w:rPr>
        <w:t>La fundamentación y motivación del acuerdo;</w:t>
      </w:r>
    </w:p>
    <w:p w:rsidR="005117B5" w:rsidRPr="002F6CEE" w:rsidRDefault="005117B5" w:rsidP="002F6CEE">
      <w:pPr>
        <w:pStyle w:val="Prrafodelista"/>
        <w:numPr>
          <w:ilvl w:val="0"/>
          <w:numId w:val="1"/>
        </w:numPr>
        <w:jc w:val="both"/>
        <w:rPr>
          <w:rFonts w:ascii="Arial" w:hAnsi="Arial" w:cs="Arial"/>
          <w:sz w:val="20"/>
          <w:szCs w:val="20"/>
        </w:rPr>
      </w:pPr>
      <w:r w:rsidRPr="002F6CEE">
        <w:rPr>
          <w:rFonts w:ascii="Arial" w:hAnsi="Arial" w:cs="Arial"/>
          <w:sz w:val="20"/>
          <w:szCs w:val="20"/>
        </w:rPr>
        <w:t xml:space="preserve">El documento, la parte o las partes de los mismos, que se reservan; </w:t>
      </w:r>
    </w:p>
    <w:p w:rsidR="005117B5" w:rsidRPr="002F6CEE" w:rsidRDefault="005117B5" w:rsidP="002F6CEE">
      <w:pPr>
        <w:pStyle w:val="Prrafodelista"/>
        <w:numPr>
          <w:ilvl w:val="0"/>
          <w:numId w:val="1"/>
        </w:numPr>
        <w:jc w:val="both"/>
        <w:rPr>
          <w:rFonts w:ascii="Arial" w:hAnsi="Arial" w:cs="Arial"/>
          <w:sz w:val="20"/>
          <w:szCs w:val="20"/>
        </w:rPr>
      </w:pPr>
      <w:r w:rsidRPr="002F6CEE">
        <w:rPr>
          <w:rFonts w:ascii="Arial" w:hAnsi="Arial" w:cs="Arial"/>
          <w:sz w:val="20"/>
          <w:szCs w:val="20"/>
        </w:rPr>
        <w:t xml:space="preserve">El plazo por el que se reserva la información; </w:t>
      </w:r>
    </w:p>
    <w:p w:rsidR="005117B5" w:rsidRPr="002F6CEE" w:rsidRDefault="005117B5" w:rsidP="002F6CEE">
      <w:pPr>
        <w:pStyle w:val="Prrafodelista"/>
        <w:numPr>
          <w:ilvl w:val="0"/>
          <w:numId w:val="1"/>
        </w:numPr>
        <w:jc w:val="both"/>
        <w:rPr>
          <w:rFonts w:ascii="Arial" w:hAnsi="Arial" w:cs="Arial"/>
          <w:sz w:val="20"/>
          <w:szCs w:val="20"/>
        </w:rPr>
      </w:pPr>
      <w:r w:rsidRPr="002F6CEE">
        <w:rPr>
          <w:rFonts w:ascii="Arial" w:hAnsi="Arial" w:cs="Arial"/>
          <w:sz w:val="20"/>
          <w:szCs w:val="20"/>
        </w:rPr>
        <w:t>La designación de la autoridad responsable de su protección;</w:t>
      </w:r>
    </w:p>
    <w:p w:rsidR="005117B5" w:rsidRPr="002F6CEE" w:rsidRDefault="005117B5" w:rsidP="002F6CEE">
      <w:pPr>
        <w:pStyle w:val="Prrafodelista"/>
        <w:numPr>
          <w:ilvl w:val="0"/>
          <w:numId w:val="1"/>
        </w:numPr>
        <w:jc w:val="both"/>
        <w:rPr>
          <w:rFonts w:ascii="Arial" w:hAnsi="Arial" w:cs="Arial"/>
          <w:sz w:val="20"/>
          <w:szCs w:val="20"/>
        </w:rPr>
      </w:pPr>
      <w:r w:rsidRPr="002F6CEE">
        <w:rPr>
          <w:rFonts w:ascii="Arial" w:hAnsi="Arial" w:cs="Arial"/>
          <w:sz w:val="20"/>
          <w:szCs w:val="20"/>
        </w:rPr>
        <w:t xml:space="preserve">Número de identificación del acuerdo de reserva; </w:t>
      </w:r>
    </w:p>
    <w:p w:rsidR="005117B5" w:rsidRPr="002F6CEE" w:rsidRDefault="005117B5" w:rsidP="002F6CEE">
      <w:pPr>
        <w:pStyle w:val="Prrafodelista"/>
        <w:numPr>
          <w:ilvl w:val="0"/>
          <w:numId w:val="1"/>
        </w:numPr>
        <w:jc w:val="both"/>
        <w:rPr>
          <w:rFonts w:ascii="Arial" w:hAnsi="Arial" w:cs="Arial"/>
          <w:sz w:val="20"/>
          <w:szCs w:val="20"/>
        </w:rPr>
      </w:pPr>
      <w:r w:rsidRPr="002F6CEE">
        <w:rPr>
          <w:rFonts w:ascii="Arial" w:hAnsi="Arial" w:cs="Arial"/>
          <w:sz w:val="20"/>
          <w:szCs w:val="20"/>
        </w:rPr>
        <w:t xml:space="preserve">La aplicación de la prueba del daño; </w:t>
      </w:r>
    </w:p>
    <w:p w:rsidR="005117B5" w:rsidRPr="002F6CEE" w:rsidRDefault="005117B5" w:rsidP="002F6CEE">
      <w:pPr>
        <w:pStyle w:val="Prrafodelista"/>
        <w:numPr>
          <w:ilvl w:val="0"/>
          <w:numId w:val="1"/>
        </w:numPr>
        <w:jc w:val="both"/>
        <w:rPr>
          <w:rFonts w:ascii="Arial" w:hAnsi="Arial" w:cs="Arial"/>
          <w:sz w:val="20"/>
          <w:szCs w:val="20"/>
        </w:rPr>
      </w:pPr>
      <w:r w:rsidRPr="002F6CEE">
        <w:rPr>
          <w:rFonts w:ascii="Arial" w:hAnsi="Arial" w:cs="Arial"/>
          <w:sz w:val="20"/>
          <w:szCs w:val="20"/>
        </w:rPr>
        <w:t>Fecha del acuerdo de clasificación.</w:t>
      </w:r>
    </w:p>
    <w:p w:rsidR="00D53B1B" w:rsidRPr="003B554C" w:rsidRDefault="00D53B1B" w:rsidP="002F6CEE">
      <w:pPr>
        <w:spacing w:after="0" w:line="240" w:lineRule="auto"/>
        <w:jc w:val="both"/>
        <w:rPr>
          <w:rFonts w:ascii="Arial" w:hAnsi="Arial" w:cs="Arial"/>
        </w:rPr>
      </w:pPr>
    </w:p>
    <w:p w:rsidR="00E17D56" w:rsidRPr="003B554C" w:rsidRDefault="00842F00" w:rsidP="002F6CEE">
      <w:pPr>
        <w:spacing w:line="240" w:lineRule="auto"/>
        <w:jc w:val="both"/>
        <w:rPr>
          <w:rFonts w:ascii="Arial" w:hAnsi="Arial" w:cs="Arial"/>
        </w:rPr>
      </w:pPr>
      <w:r w:rsidRPr="003B554C">
        <w:rPr>
          <w:rFonts w:ascii="Arial" w:hAnsi="Arial" w:cs="Arial"/>
        </w:rPr>
        <w:t xml:space="preserve">Dichos requisitos se encuentran concatenados a los lineamientos </w:t>
      </w:r>
      <w:r w:rsidR="008D7FD6" w:rsidRPr="003B554C">
        <w:rPr>
          <w:rFonts w:ascii="Arial" w:hAnsi="Arial" w:cs="Arial"/>
        </w:rPr>
        <w:t>o</w:t>
      </w:r>
      <w:r w:rsidRPr="003B554C">
        <w:rPr>
          <w:rFonts w:ascii="Arial" w:hAnsi="Arial" w:cs="Arial"/>
        </w:rPr>
        <w:t xml:space="preserve">ctavo, </w:t>
      </w:r>
      <w:r w:rsidR="008D7FD6" w:rsidRPr="003B554C">
        <w:rPr>
          <w:rFonts w:ascii="Arial" w:hAnsi="Arial" w:cs="Arial"/>
        </w:rPr>
        <w:t>d</w:t>
      </w:r>
      <w:r w:rsidRPr="003B554C">
        <w:rPr>
          <w:rFonts w:ascii="Arial" w:hAnsi="Arial" w:cs="Arial"/>
        </w:rPr>
        <w:t xml:space="preserve">écimo </w:t>
      </w:r>
      <w:r w:rsidR="008D7FD6" w:rsidRPr="003B554C">
        <w:rPr>
          <w:rFonts w:ascii="Arial" w:hAnsi="Arial" w:cs="Arial"/>
        </w:rPr>
        <w:t>s</w:t>
      </w:r>
      <w:r w:rsidRPr="003B554C">
        <w:rPr>
          <w:rFonts w:ascii="Arial" w:hAnsi="Arial" w:cs="Arial"/>
        </w:rPr>
        <w:t>éptimo</w:t>
      </w:r>
      <w:r w:rsidR="008D7FD6" w:rsidRPr="003B554C">
        <w:rPr>
          <w:rFonts w:ascii="Arial" w:hAnsi="Arial" w:cs="Arial"/>
        </w:rPr>
        <w:t>,</w:t>
      </w:r>
      <w:r w:rsidRPr="003B554C">
        <w:rPr>
          <w:rFonts w:ascii="Arial" w:hAnsi="Arial" w:cs="Arial"/>
        </w:rPr>
        <w:t xml:space="preserve"> </w:t>
      </w:r>
      <w:r w:rsidR="008D7FD6" w:rsidRPr="003B554C">
        <w:rPr>
          <w:rFonts w:ascii="Arial" w:hAnsi="Arial" w:cs="Arial"/>
        </w:rPr>
        <w:t>t</w:t>
      </w:r>
      <w:r w:rsidRPr="003B554C">
        <w:rPr>
          <w:rFonts w:ascii="Arial" w:hAnsi="Arial" w:cs="Arial"/>
        </w:rPr>
        <w:t xml:space="preserve">rigésimo </w:t>
      </w:r>
      <w:r w:rsidR="008D7FD6" w:rsidRPr="003B554C">
        <w:rPr>
          <w:rFonts w:ascii="Arial" w:hAnsi="Arial" w:cs="Arial"/>
        </w:rPr>
        <w:t>t</w:t>
      </w:r>
      <w:r w:rsidRPr="003B554C">
        <w:rPr>
          <w:rFonts w:ascii="Arial" w:hAnsi="Arial" w:cs="Arial"/>
        </w:rPr>
        <w:t xml:space="preserve">ercero, y </w:t>
      </w:r>
      <w:r w:rsidR="008D7FD6" w:rsidRPr="003B554C">
        <w:rPr>
          <w:rFonts w:ascii="Arial" w:hAnsi="Arial" w:cs="Arial"/>
        </w:rPr>
        <w:t>t</w:t>
      </w:r>
      <w:r w:rsidRPr="003B554C">
        <w:rPr>
          <w:rFonts w:ascii="Arial" w:hAnsi="Arial" w:cs="Arial"/>
        </w:rPr>
        <w:t xml:space="preserve">rigésimo </w:t>
      </w:r>
      <w:r w:rsidR="008D7FD6" w:rsidRPr="003B554C">
        <w:rPr>
          <w:rFonts w:ascii="Arial" w:hAnsi="Arial" w:cs="Arial"/>
        </w:rPr>
        <w:t>c</w:t>
      </w:r>
      <w:r w:rsidRPr="003B554C">
        <w:rPr>
          <w:rFonts w:ascii="Arial" w:hAnsi="Arial" w:cs="Arial"/>
        </w:rPr>
        <w:t>uarto de los LGCDIEVP.</w:t>
      </w:r>
    </w:p>
    <w:p w:rsidR="00BF3665" w:rsidRPr="003B554C" w:rsidRDefault="009819AE" w:rsidP="002F6CEE">
      <w:pPr>
        <w:spacing w:line="240" w:lineRule="auto"/>
        <w:jc w:val="both"/>
        <w:rPr>
          <w:rFonts w:ascii="Arial" w:hAnsi="Arial" w:cs="Arial"/>
          <w:b/>
        </w:rPr>
      </w:pPr>
      <w:r w:rsidRPr="003B554C">
        <w:rPr>
          <w:rFonts w:ascii="Arial" w:hAnsi="Arial" w:cs="Arial"/>
          <w:b/>
        </w:rPr>
        <w:t>TERCERO. Sentido de la resolución.</w:t>
      </w:r>
    </w:p>
    <w:p w:rsidR="00BF3665" w:rsidRPr="003B554C" w:rsidRDefault="009819AE" w:rsidP="002F6CEE">
      <w:pPr>
        <w:pStyle w:val="Prrafodelista"/>
        <w:numPr>
          <w:ilvl w:val="0"/>
          <w:numId w:val="2"/>
        </w:numPr>
        <w:jc w:val="both"/>
        <w:rPr>
          <w:rFonts w:ascii="Arial" w:hAnsi="Arial" w:cs="Arial"/>
          <w:b/>
          <w:sz w:val="22"/>
          <w:szCs w:val="22"/>
        </w:rPr>
      </w:pPr>
      <w:r w:rsidRPr="003B554C">
        <w:rPr>
          <w:rFonts w:ascii="Arial" w:hAnsi="Arial" w:cs="Arial"/>
          <w:b/>
          <w:sz w:val="22"/>
          <w:szCs w:val="22"/>
        </w:rPr>
        <w:t>Los motivos y razonamientos que sustenten la confirmación o modificación de la prueba de daño.</w:t>
      </w:r>
    </w:p>
    <w:p w:rsidR="00A80343" w:rsidRPr="003B554C" w:rsidRDefault="00A80343" w:rsidP="002F6CEE">
      <w:pPr>
        <w:pStyle w:val="Prrafodelista"/>
        <w:ind w:left="1080"/>
        <w:jc w:val="both"/>
        <w:rPr>
          <w:rFonts w:ascii="Arial" w:hAnsi="Arial" w:cs="Arial"/>
          <w:b/>
          <w:sz w:val="22"/>
          <w:szCs w:val="22"/>
        </w:rPr>
      </w:pPr>
    </w:p>
    <w:p w:rsidR="00967420" w:rsidRPr="00967420" w:rsidRDefault="007336C3" w:rsidP="002F6CEE">
      <w:pPr>
        <w:autoSpaceDE w:val="0"/>
        <w:autoSpaceDN w:val="0"/>
        <w:adjustRightInd w:val="0"/>
        <w:spacing w:line="240" w:lineRule="auto"/>
        <w:jc w:val="both"/>
        <w:rPr>
          <w:rFonts w:ascii="Arial" w:hAnsi="Arial" w:cs="Arial"/>
        </w:rPr>
      </w:pPr>
      <w:r w:rsidRPr="003B554C">
        <w:rPr>
          <w:rFonts w:ascii="Arial" w:hAnsi="Arial" w:cs="Arial"/>
          <w:u w:val="single"/>
        </w:rPr>
        <w:t>Motivación.</w:t>
      </w:r>
      <w:r w:rsidR="0056548A" w:rsidRPr="003B554C">
        <w:rPr>
          <w:rFonts w:ascii="Arial" w:hAnsi="Arial" w:cs="Arial"/>
        </w:rPr>
        <w:t xml:space="preserve"> </w:t>
      </w:r>
      <w:r w:rsidR="00967420">
        <w:rPr>
          <w:rFonts w:ascii="Arial" w:hAnsi="Arial" w:cs="Arial"/>
        </w:rPr>
        <w:t>S</w:t>
      </w:r>
      <w:r w:rsidR="00967420" w:rsidRPr="00967420">
        <w:rPr>
          <w:rFonts w:ascii="Arial" w:hAnsi="Arial" w:cs="Arial"/>
        </w:rPr>
        <w:t>e considera que se está ante información solicitada no corresponde a un dato estadístico genérico, ya que se refiere a personas identificables al interior de una institución concreta (la Fiscalía), y además acotada a quienes fueron denunciados por hechos posiblemente constitutivos de delito en el ejercicio de sus funciones. Así mismo, al tratarse de datos que implican imputaciones penales, su divulgación afecta directamente la presunción de inocencia, el derecho al honor y la vida privada de las personas servidoras públicas posiblemente involucradas.</w:t>
      </w:r>
    </w:p>
    <w:p w:rsidR="00967420" w:rsidRPr="00967420" w:rsidRDefault="00967420" w:rsidP="002F6CEE">
      <w:pPr>
        <w:autoSpaceDE w:val="0"/>
        <w:autoSpaceDN w:val="0"/>
        <w:adjustRightInd w:val="0"/>
        <w:spacing w:line="240" w:lineRule="auto"/>
        <w:jc w:val="both"/>
        <w:rPr>
          <w:rFonts w:ascii="Arial" w:hAnsi="Arial" w:cs="Arial"/>
        </w:rPr>
      </w:pPr>
      <w:r w:rsidRPr="00967420">
        <w:rPr>
          <w:rFonts w:ascii="Arial" w:hAnsi="Arial" w:cs="Arial"/>
        </w:rPr>
        <w:t>Se considera información confidencial de acuerdo con lo establecido en el artículo 3 fracción XI de la Ley de Transparencia, ya que permite identificar directa o indirectamente a personas físicas, por su contexto, cargo, y naturaleza de la acusación.</w:t>
      </w:r>
    </w:p>
    <w:p w:rsidR="00C502DF" w:rsidRDefault="00967420" w:rsidP="002F6CEE">
      <w:pPr>
        <w:autoSpaceDE w:val="0"/>
        <w:autoSpaceDN w:val="0"/>
        <w:adjustRightInd w:val="0"/>
        <w:spacing w:line="240" w:lineRule="auto"/>
        <w:jc w:val="both"/>
        <w:rPr>
          <w:rFonts w:ascii="Arial" w:hAnsi="Arial" w:cs="Arial"/>
        </w:rPr>
      </w:pPr>
      <w:r w:rsidRPr="00967420">
        <w:rPr>
          <w:rFonts w:ascii="Arial" w:hAnsi="Arial" w:cs="Arial"/>
        </w:rPr>
        <w:t>Como es el caso de la Solicitud de Acceso a la Información No. UT-SI-P-089-240469825000089-2026, es procedente puesto que el darla a conocer contraviene lo dispuesto en el Artículo 129 fracciones XI y XII, de la Ley de Transparencia y Acceso a la Información Pública del Estado, en el que se considera: “Articulo 129. Como información reservada podrá clasificarse aquella cuya publicación, XI. Se encuentre contenida dentro de las investigaciones de hechos que la ley señale como delitos y se tramiten ante el Ministerio Público; y XII. Las que por disposición expresa de una ley tengan tal carácter, siempre que sean acordes con las bases, principios y disposiciones establecidos en esta Ley y no la contravengan; así como las previstas en tratados internacionales.”</w:t>
      </w:r>
    </w:p>
    <w:p w:rsidR="00967420" w:rsidRPr="00967420" w:rsidRDefault="00967420" w:rsidP="002F6CEE">
      <w:pPr>
        <w:autoSpaceDE w:val="0"/>
        <w:autoSpaceDN w:val="0"/>
        <w:adjustRightInd w:val="0"/>
        <w:spacing w:line="240" w:lineRule="auto"/>
        <w:jc w:val="both"/>
        <w:rPr>
          <w:rFonts w:ascii="Arial" w:hAnsi="Arial" w:cs="Arial"/>
        </w:rPr>
      </w:pPr>
      <w:r w:rsidRPr="00967420">
        <w:rPr>
          <w:rFonts w:ascii="Arial" w:hAnsi="Arial" w:cs="Arial"/>
        </w:rPr>
        <w:t>Atendiendo a que la seguridad pública es un bien jurídico tutelado por el Estado, de la mayor prioridad en su agenda. La obligación gubernamental de proveer a los ciudadanos de seguridad, tranquilidad y certeza sobre su integridad personal, patrimonial y social, es un deber no sólo alusivo a los fines deseables que debe cumplir todo orden social, sino más profundamente, se reconoce como una precondición fundacional de los estados modernos y, la base esencial, sobre la cual pueden ejercerse la totalidad de los derechos.</w:t>
      </w:r>
    </w:p>
    <w:p w:rsidR="00967420" w:rsidRDefault="00967420" w:rsidP="002F6CEE">
      <w:pPr>
        <w:autoSpaceDE w:val="0"/>
        <w:autoSpaceDN w:val="0"/>
        <w:adjustRightInd w:val="0"/>
        <w:spacing w:line="240" w:lineRule="auto"/>
        <w:jc w:val="both"/>
        <w:rPr>
          <w:rFonts w:ascii="Arial" w:hAnsi="Arial" w:cs="Arial"/>
        </w:rPr>
      </w:pPr>
      <w:r w:rsidRPr="00967420">
        <w:rPr>
          <w:rFonts w:ascii="Arial" w:hAnsi="Arial" w:cs="Arial"/>
        </w:rPr>
        <w:lastRenderedPageBreak/>
        <w:t>De lo cual se desprende que la Fiscalía General del Estado de San Luis Potosí, de conformidad con lo señalado en el numeral 21 de nuestra Carta Magna y 3° de la Ley del Sistema de Seguridad Pública del Estado de San Luis Potosí, integra al Sistema Nacional de Seguridad Pública; método único que por mandato constitucional, tiene por objeto para su integración, organización y funcionamiento, establecer una clara distribución de competencias y bases de coordinación entre la Federación, el Estado y los municipios, que se regula en esta Ley con las atribuciones de las instancias a nivel estatal y municipal que habrán de establecer los instrumentos, políticas, acciones y servicios tendientes a cumplir los fines de dicho tópico.</w:t>
      </w:r>
    </w:p>
    <w:p w:rsidR="00967420" w:rsidRPr="00967420" w:rsidRDefault="00967420" w:rsidP="002F6CEE">
      <w:pPr>
        <w:autoSpaceDE w:val="0"/>
        <w:autoSpaceDN w:val="0"/>
        <w:adjustRightInd w:val="0"/>
        <w:spacing w:line="240" w:lineRule="auto"/>
        <w:jc w:val="both"/>
        <w:rPr>
          <w:rFonts w:ascii="Arial" w:hAnsi="Arial" w:cs="Arial"/>
        </w:rPr>
      </w:pPr>
      <w:r w:rsidRPr="00967420">
        <w:rPr>
          <w:rFonts w:ascii="Arial" w:hAnsi="Arial" w:cs="Arial"/>
        </w:rPr>
        <w:t>Si bien es verdad toda aquella persona a la cual se le eroga un recurso público, es considerada un servidor público pues presta un trabajo subordinado físico o intelectual, con las condiciones establecidas como mínimas por la ley, y se presume la existencia de la relación de servicio público entre el particular que presta un trabajo personal y la Entidad Pública que lo recibe.</w:t>
      </w:r>
    </w:p>
    <w:p w:rsidR="00967420" w:rsidRPr="00967420" w:rsidRDefault="00967420" w:rsidP="002F6CEE">
      <w:pPr>
        <w:autoSpaceDE w:val="0"/>
        <w:autoSpaceDN w:val="0"/>
        <w:adjustRightInd w:val="0"/>
        <w:spacing w:line="240" w:lineRule="auto"/>
        <w:jc w:val="both"/>
        <w:rPr>
          <w:rFonts w:ascii="Arial" w:hAnsi="Arial" w:cs="Arial"/>
        </w:rPr>
      </w:pPr>
      <w:r w:rsidRPr="00967420">
        <w:rPr>
          <w:rFonts w:ascii="Arial" w:hAnsi="Arial" w:cs="Arial"/>
        </w:rPr>
        <w:t>Pues, esta información es considerada pública con base a la calidad que ostenta como prestador de un trabajo físico o intelectual a las Entidades Públicas, y con ello establecer las directrices del desempeño de un servidor público, y permite discutir, criticar, evaluar y tener los argumentos para poder exigir al servidor público la rendición de cuentas sobre sus actos y gestión, y poder denunciar cualquier arbitrariedad al respecto, así como también poder reconocer lo que se está haciendo bien.</w:t>
      </w:r>
    </w:p>
    <w:p w:rsidR="00967420" w:rsidRPr="00967420" w:rsidRDefault="00967420" w:rsidP="002F6CEE">
      <w:pPr>
        <w:autoSpaceDE w:val="0"/>
        <w:autoSpaceDN w:val="0"/>
        <w:adjustRightInd w:val="0"/>
        <w:spacing w:line="240" w:lineRule="auto"/>
        <w:jc w:val="both"/>
        <w:rPr>
          <w:rFonts w:ascii="Arial" w:hAnsi="Arial" w:cs="Arial"/>
        </w:rPr>
      </w:pPr>
      <w:r w:rsidRPr="00967420">
        <w:rPr>
          <w:rFonts w:ascii="Arial" w:hAnsi="Arial" w:cs="Arial"/>
        </w:rPr>
        <w:t>En este sentido, a mayor vigilancia y propuesta ciudadana, los gobiernos están sujetos a tener que cumplir sus funciones con menos posibilidades de corrupción, o violación de derechos humanos.</w:t>
      </w:r>
    </w:p>
    <w:p w:rsidR="00967420" w:rsidRPr="00967420" w:rsidRDefault="00967420" w:rsidP="002F6CEE">
      <w:pPr>
        <w:autoSpaceDE w:val="0"/>
        <w:autoSpaceDN w:val="0"/>
        <w:adjustRightInd w:val="0"/>
        <w:spacing w:line="240" w:lineRule="auto"/>
        <w:jc w:val="both"/>
        <w:rPr>
          <w:rFonts w:ascii="Arial" w:hAnsi="Arial" w:cs="Arial"/>
        </w:rPr>
      </w:pPr>
      <w:r w:rsidRPr="00967420">
        <w:rPr>
          <w:rFonts w:ascii="Arial" w:hAnsi="Arial" w:cs="Arial"/>
        </w:rPr>
        <w:t>Siendo así, uno de los principales objetivos de la transparencia el poder generar confianza por parte del ciudadano hacia el sistema gubernamental, ya que al participar, escuchar, analizar y exigir a la autoridad, se genera y nutre un círculo virtuoso, es decir, si el gobierno informa a la ciudadanía sobre todas las actividades del quehacer gubernamental y como se ejercen los recursos públicos, dando como resultado una mayor confianza entre la ciudadanía, favoreciendo así el pago de impuestos, ya que los ciudadanos saben el destino y buen uso de esos recursos públicos.</w:t>
      </w:r>
    </w:p>
    <w:p w:rsidR="00967420" w:rsidRPr="00967420" w:rsidRDefault="00967420" w:rsidP="002F6CEE">
      <w:pPr>
        <w:autoSpaceDE w:val="0"/>
        <w:autoSpaceDN w:val="0"/>
        <w:adjustRightInd w:val="0"/>
        <w:spacing w:line="240" w:lineRule="auto"/>
        <w:jc w:val="both"/>
        <w:rPr>
          <w:rFonts w:ascii="Arial" w:hAnsi="Arial" w:cs="Arial"/>
        </w:rPr>
      </w:pPr>
      <w:r w:rsidRPr="00967420">
        <w:rPr>
          <w:rFonts w:ascii="Arial" w:hAnsi="Arial" w:cs="Arial"/>
        </w:rPr>
        <w:t>Sin embargo, la entrega de información de interés deja al descubierto de la delincuencia organizada la capacidad de reacción de la Fiscalía General del Estado, al revelar datos de sus elementos y las funciones que realizan dentro de la estructura, es de observar la relevancia de los asuntos que atienden, de acuerdo a lo consagrado en la propia Ley Orgánica</w:t>
      </w:r>
      <w:r>
        <w:rPr>
          <w:rFonts w:ascii="Arial" w:hAnsi="Arial" w:cs="Arial"/>
        </w:rPr>
        <w:t>:</w:t>
      </w:r>
    </w:p>
    <w:p w:rsidR="00967420" w:rsidRPr="00967420" w:rsidRDefault="00967420" w:rsidP="00597860">
      <w:pPr>
        <w:autoSpaceDE w:val="0"/>
        <w:autoSpaceDN w:val="0"/>
        <w:adjustRightInd w:val="0"/>
        <w:spacing w:after="0" w:line="240" w:lineRule="auto"/>
        <w:jc w:val="both"/>
        <w:rPr>
          <w:rFonts w:ascii="Arial" w:hAnsi="Arial" w:cs="Arial"/>
        </w:rPr>
      </w:pPr>
      <w:r w:rsidRPr="00967420">
        <w:rPr>
          <w:rFonts w:ascii="Arial" w:hAnsi="Arial" w:cs="Arial"/>
        </w:rPr>
        <w:t xml:space="preserve">“• Atribuciones de la institución. </w:t>
      </w:r>
    </w:p>
    <w:p w:rsidR="00967420" w:rsidRPr="00967420" w:rsidRDefault="00967420" w:rsidP="00597860">
      <w:pPr>
        <w:autoSpaceDE w:val="0"/>
        <w:autoSpaceDN w:val="0"/>
        <w:adjustRightInd w:val="0"/>
        <w:spacing w:after="0" w:line="240" w:lineRule="auto"/>
        <w:jc w:val="both"/>
        <w:rPr>
          <w:rFonts w:ascii="Arial" w:hAnsi="Arial" w:cs="Arial"/>
        </w:rPr>
      </w:pPr>
      <w:r w:rsidRPr="00967420">
        <w:rPr>
          <w:rFonts w:ascii="Arial" w:hAnsi="Arial" w:cs="Arial"/>
        </w:rPr>
        <w:t>Se establece, entre otras, que las atribuciones de la Fiscalía General será el actuar con base en la buena fe, de forma única, indivisible y funcionalmente independiente. A la Fiscalía General corresponderá la conducción jurídica de la investigación que será realizada por los cuerpos policiales, y la persecución ante los tribunales, de los delitos de su competencia. De igual forma, velará por la legalidad y participará en el diseño, implementación y evaluación de la política Criminal del Estado, de esta forma se fortalecerá el Estado democrático de Derecho, lo que conllevará a la percepción de una institución con un componente relevante enfocado en la planeación, así como el agente social que contribuya a concebir los cambios ordenados y previstos, a través de estas adecuaciones en la legislación estatal que continúen la consolidación del nuevo sistema de justicia que contribuya a abatir la impunidad, esclarecer los hechos delictivos, proteger al inocente, y reparar los daños causados por el delito” (sic)</w:t>
      </w:r>
    </w:p>
    <w:p w:rsidR="00967420" w:rsidRPr="00967420" w:rsidRDefault="00967420" w:rsidP="002F6CEE">
      <w:pPr>
        <w:autoSpaceDE w:val="0"/>
        <w:autoSpaceDN w:val="0"/>
        <w:adjustRightInd w:val="0"/>
        <w:spacing w:line="240" w:lineRule="auto"/>
        <w:jc w:val="both"/>
        <w:rPr>
          <w:rFonts w:ascii="Arial" w:hAnsi="Arial" w:cs="Arial"/>
        </w:rPr>
      </w:pPr>
      <w:r w:rsidRPr="00967420">
        <w:rPr>
          <w:rFonts w:ascii="Arial" w:hAnsi="Arial" w:cs="Arial"/>
        </w:rPr>
        <w:lastRenderedPageBreak/>
        <w:t>Análogo a esto es que, si bien es verdad la Visitaduría General de la Fiscalía del Estado, es considerada como un Órgano Estratégico, de esta Institución, es de observar la relevancia de los asuntos que atienden, pues es el órgano encargado de planear, organizar, coordinar y ejecutar las normas y programas para la evaluación técnico-jurídica, de las actividades realizadas por las áreas tácticas operativas de la Fiscalía General del Estado. Al frente de la Visitaduría General estará un Visitador General quien será nombrado y removido libremente por el Fiscal General, quien para el correcto desempeño de su función contará con las facultades que le otorga la Ley Orgánica.</w:t>
      </w:r>
    </w:p>
    <w:p w:rsidR="00F97B38" w:rsidRPr="003B554C" w:rsidRDefault="00045C57" w:rsidP="002F6CEE">
      <w:pPr>
        <w:autoSpaceDE w:val="0"/>
        <w:autoSpaceDN w:val="0"/>
        <w:adjustRightInd w:val="0"/>
        <w:spacing w:line="240" w:lineRule="auto"/>
        <w:jc w:val="both"/>
        <w:rPr>
          <w:rFonts w:ascii="Arial" w:hAnsi="Arial" w:cs="Arial"/>
        </w:rPr>
      </w:pPr>
      <w:r w:rsidRPr="003B554C">
        <w:rPr>
          <w:rFonts w:ascii="Arial" w:hAnsi="Arial" w:cs="Arial"/>
          <w:u w:val="single"/>
        </w:rPr>
        <w:t>Fundamentación.</w:t>
      </w:r>
      <w:r w:rsidR="00551990" w:rsidRPr="003B554C">
        <w:rPr>
          <w:rFonts w:ascii="Arial" w:hAnsi="Arial" w:cs="Arial"/>
        </w:rPr>
        <w:t xml:space="preserve"> L</w:t>
      </w:r>
      <w:r w:rsidR="00F97B38" w:rsidRPr="003B554C">
        <w:rPr>
          <w:rFonts w:ascii="Arial" w:hAnsi="Arial" w:cs="Arial"/>
        </w:rPr>
        <w:t xml:space="preserve">a ley de Transparencia en el </w:t>
      </w:r>
      <w:r w:rsidR="00551990" w:rsidRPr="003B554C">
        <w:rPr>
          <w:rFonts w:ascii="Arial" w:hAnsi="Arial" w:cs="Arial"/>
        </w:rPr>
        <w:t>E</w:t>
      </w:r>
      <w:r w:rsidR="00F97B38" w:rsidRPr="003B554C">
        <w:rPr>
          <w:rFonts w:ascii="Arial" w:hAnsi="Arial" w:cs="Arial"/>
        </w:rPr>
        <w:t>stado señala como excepciones a</w:t>
      </w:r>
      <w:r w:rsidR="00551990" w:rsidRPr="003B554C">
        <w:rPr>
          <w:rFonts w:ascii="Arial" w:hAnsi="Arial" w:cs="Arial"/>
        </w:rPr>
        <w:t xml:space="preserve">l derecho de acceso a la información, los supuestos de </w:t>
      </w:r>
      <w:r w:rsidR="00F97B38" w:rsidRPr="003B554C">
        <w:rPr>
          <w:rFonts w:ascii="Arial" w:hAnsi="Arial" w:cs="Arial"/>
        </w:rPr>
        <w:t>reserva e información confidencial, y en el caso que nos ocupa, se aplica la reserva de información</w:t>
      </w:r>
      <w:r w:rsidR="00551990" w:rsidRPr="003B554C">
        <w:rPr>
          <w:rFonts w:ascii="Arial" w:hAnsi="Arial" w:cs="Arial"/>
        </w:rPr>
        <w:t>,</w:t>
      </w:r>
      <w:r w:rsidR="00F97B38" w:rsidRPr="003B554C">
        <w:rPr>
          <w:rFonts w:ascii="Arial" w:hAnsi="Arial" w:cs="Arial"/>
        </w:rPr>
        <w:t xml:space="preserve"> para ello dicha normativa prevé </w:t>
      </w:r>
      <w:r w:rsidR="00551990" w:rsidRPr="003B554C">
        <w:rPr>
          <w:rFonts w:ascii="Arial" w:hAnsi="Arial" w:cs="Arial"/>
        </w:rPr>
        <w:t>en</w:t>
      </w:r>
      <w:r w:rsidR="00F97B38" w:rsidRPr="003B554C">
        <w:rPr>
          <w:rFonts w:ascii="Arial" w:hAnsi="Arial" w:cs="Arial"/>
        </w:rPr>
        <w:t xml:space="preserve"> el artículo 129 fracci</w:t>
      </w:r>
      <w:r w:rsidR="0056548A" w:rsidRPr="003B554C">
        <w:rPr>
          <w:rFonts w:ascii="Arial" w:hAnsi="Arial" w:cs="Arial"/>
        </w:rPr>
        <w:t xml:space="preserve">ón </w:t>
      </w:r>
      <w:r w:rsidR="00F36F63" w:rsidRPr="003B554C">
        <w:rPr>
          <w:rFonts w:ascii="Arial" w:hAnsi="Arial" w:cs="Arial"/>
        </w:rPr>
        <w:t>XII</w:t>
      </w:r>
      <w:r w:rsidR="00F97B38" w:rsidRPr="003B554C">
        <w:rPr>
          <w:rFonts w:ascii="Arial" w:hAnsi="Arial" w:cs="Arial"/>
        </w:rPr>
        <w:t xml:space="preserve">, </w:t>
      </w:r>
      <w:r w:rsidR="00551990" w:rsidRPr="003B554C">
        <w:rPr>
          <w:rFonts w:ascii="Arial" w:hAnsi="Arial" w:cs="Arial"/>
        </w:rPr>
        <w:t>concatenados a lineamiento</w:t>
      </w:r>
      <w:r w:rsidR="0056548A" w:rsidRPr="003B554C">
        <w:rPr>
          <w:rFonts w:ascii="Arial" w:hAnsi="Arial" w:cs="Arial"/>
        </w:rPr>
        <w:t xml:space="preserve"> </w:t>
      </w:r>
      <w:r w:rsidR="00D63EFF" w:rsidRPr="003B554C">
        <w:rPr>
          <w:rFonts w:ascii="Arial" w:hAnsi="Arial" w:cs="Arial"/>
        </w:rPr>
        <w:t>Trigésimo</w:t>
      </w:r>
      <w:r w:rsidR="00551990" w:rsidRPr="003B554C">
        <w:rPr>
          <w:rFonts w:ascii="Arial" w:hAnsi="Arial" w:cs="Arial"/>
        </w:rPr>
        <w:t xml:space="preserve"> segundo, de los </w:t>
      </w:r>
      <w:r w:rsidR="00C502DF" w:rsidRPr="003B554C">
        <w:rPr>
          <w:rFonts w:ascii="Arial" w:hAnsi="Arial" w:cs="Arial"/>
        </w:rPr>
        <w:t>LGMCDIEVP</w:t>
      </w:r>
      <w:r w:rsidR="00551990" w:rsidRPr="003B554C">
        <w:rPr>
          <w:rFonts w:ascii="Arial" w:hAnsi="Arial" w:cs="Arial"/>
        </w:rPr>
        <w:t xml:space="preserve">, que se considera información reservada, aquella </w:t>
      </w:r>
      <w:r w:rsidR="00F97B38" w:rsidRPr="003B554C">
        <w:rPr>
          <w:rFonts w:ascii="Arial" w:hAnsi="Arial" w:cs="Arial"/>
        </w:rPr>
        <w:t xml:space="preserve">por disposición expresa de una ley le den tal carácter. </w:t>
      </w:r>
    </w:p>
    <w:p w:rsidR="00F97B38" w:rsidRPr="003B554C" w:rsidRDefault="00551990" w:rsidP="002F6CEE">
      <w:pPr>
        <w:autoSpaceDE w:val="0"/>
        <w:autoSpaceDN w:val="0"/>
        <w:adjustRightInd w:val="0"/>
        <w:spacing w:line="240" w:lineRule="auto"/>
        <w:jc w:val="both"/>
        <w:rPr>
          <w:rFonts w:ascii="Arial" w:hAnsi="Arial" w:cs="Arial"/>
        </w:rPr>
      </w:pPr>
      <w:r w:rsidRPr="003B554C">
        <w:rPr>
          <w:rFonts w:ascii="Arial" w:hAnsi="Arial" w:cs="Arial"/>
        </w:rPr>
        <w:t xml:space="preserve">Concatenado a lo anterior, los </w:t>
      </w:r>
      <w:r w:rsidR="00F97B38" w:rsidRPr="003B554C">
        <w:rPr>
          <w:rFonts w:ascii="Arial" w:hAnsi="Arial" w:cs="Arial"/>
        </w:rPr>
        <w:t>artículo</w:t>
      </w:r>
      <w:r w:rsidRPr="003B554C">
        <w:rPr>
          <w:rFonts w:ascii="Arial" w:hAnsi="Arial" w:cs="Arial"/>
        </w:rPr>
        <w:t>s</w:t>
      </w:r>
      <w:r w:rsidR="00F97B38" w:rsidRPr="003B554C">
        <w:rPr>
          <w:rFonts w:ascii="Arial" w:hAnsi="Arial" w:cs="Arial"/>
        </w:rPr>
        <w:t xml:space="preserve"> </w:t>
      </w:r>
      <w:r w:rsidR="0056548A" w:rsidRPr="003B554C">
        <w:rPr>
          <w:rFonts w:ascii="Arial" w:hAnsi="Arial" w:cs="Arial"/>
        </w:rPr>
        <w:t>17, 88, 122 BIS, de la Constitución Política del Estado de San Luis Potosí, 3º, 5º, 22, I, d), 56, XXVI, 93, 93 BIS, 98, 99, I, III, y 107 de la Ley del sistema de Seguridad Pública del Estado de San Luis Potosí</w:t>
      </w:r>
      <w:r w:rsidRPr="003B554C">
        <w:rPr>
          <w:rFonts w:ascii="Arial" w:hAnsi="Arial" w:cs="Arial"/>
        </w:rPr>
        <w:t>, esta información es estrictamente</w:t>
      </w:r>
      <w:r w:rsidR="00F97B38" w:rsidRPr="003B554C">
        <w:rPr>
          <w:rFonts w:ascii="Arial" w:hAnsi="Arial" w:cs="Arial"/>
        </w:rPr>
        <w:t xml:space="preserve"> reservad</w:t>
      </w:r>
      <w:r w:rsidRPr="003B554C">
        <w:rPr>
          <w:rFonts w:ascii="Arial" w:hAnsi="Arial" w:cs="Arial"/>
        </w:rPr>
        <w:t>a</w:t>
      </w:r>
      <w:r w:rsidR="00F97B38" w:rsidRPr="003B554C">
        <w:rPr>
          <w:rFonts w:ascii="Arial" w:hAnsi="Arial" w:cs="Arial"/>
        </w:rPr>
        <w:t>.</w:t>
      </w:r>
    </w:p>
    <w:p w:rsidR="00BF3665" w:rsidRPr="003B554C" w:rsidRDefault="007336C3" w:rsidP="002F6CEE">
      <w:pPr>
        <w:spacing w:line="240" w:lineRule="auto"/>
        <w:jc w:val="both"/>
        <w:rPr>
          <w:rFonts w:ascii="Arial" w:hAnsi="Arial" w:cs="Arial"/>
        </w:rPr>
      </w:pPr>
      <w:r w:rsidRPr="003B554C">
        <w:rPr>
          <w:rFonts w:ascii="Arial" w:hAnsi="Arial" w:cs="Arial"/>
          <w:u w:val="single"/>
        </w:rPr>
        <w:t>Razonamiento.</w:t>
      </w:r>
      <w:r w:rsidRPr="003B554C">
        <w:rPr>
          <w:rFonts w:ascii="Arial" w:hAnsi="Arial" w:cs="Arial"/>
        </w:rPr>
        <w:t xml:space="preserve"> </w:t>
      </w:r>
      <w:r w:rsidR="00D53B1B" w:rsidRPr="003B554C">
        <w:rPr>
          <w:rFonts w:ascii="Arial" w:hAnsi="Arial" w:cs="Arial"/>
        </w:rPr>
        <w:t xml:space="preserve">El </w:t>
      </w:r>
      <w:r w:rsidR="00024F43" w:rsidRPr="003B554C">
        <w:rPr>
          <w:rFonts w:ascii="Arial" w:hAnsi="Arial" w:cs="Arial"/>
        </w:rPr>
        <w:t>Visitador, Carlos Gustavo Rodríguez Cruz</w:t>
      </w:r>
      <w:r w:rsidR="00672FE8" w:rsidRPr="003B554C">
        <w:rPr>
          <w:rFonts w:ascii="Arial" w:hAnsi="Arial" w:cs="Arial"/>
        </w:rPr>
        <w:t xml:space="preserve">, </w:t>
      </w:r>
      <w:r w:rsidR="009819AE" w:rsidRPr="003B554C">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3B554C">
        <w:rPr>
          <w:rFonts w:ascii="Arial" w:hAnsi="Arial" w:cs="Arial"/>
        </w:rPr>
        <w:t>t</w:t>
      </w:r>
      <w:r w:rsidR="009819AE" w:rsidRPr="003B554C">
        <w:rPr>
          <w:rFonts w:ascii="Arial" w:hAnsi="Arial" w:cs="Arial"/>
        </w:rPr>
        <w:t>rigésimo tercero de los LG</w:t>
      </w:r>
      <w:r w:rsidR="00C502DF" w:rsidRPr="003B554C">
        <w:rPr>
          <w:rFonts w:ascii="Arial" w:hAnsi="Arial" w:cs="Arial"/>
        </w:rPr>
        <w:t>M</w:t>
      </w:r>
      <w:r w:rsidR="009819AE" w:rsidRPr="003B554C">
        <w:rPr>
          <w:rFonts w:ascii="Arial" w:hAnsi="Arial" w:cs="Arial"/>
        </w:rPr>
        <w:t>CDIEVP, los que a la letra establecen;</w:t>
      </w:r>
    </w:p>
    <w:p w:rsidR="00BF3665" w:rsidRPr="002F6CEE" w:rsidRDefault="009819AE" w:rsidP="002F6CEE">
      <w:pPr>
        <w:spacing w:line="240" w:lineRule="auto"/>
        <w:ind w:right="-93"/>
        <w:jc w:val="both"/>
        <w:rPr>
          <w:rFonts w:ascii="Arial" w:hAnsi="Arial" w:cs="Arial"/>
          <w:i/>
          <w:sz w:val="20"/>
          <w:szCs w:val="20"/>
        </w:rPr>
      </w:pPr>
      <w:r w:rsidRPr="002F6CEE">
        <w:rPr>
          <w:rFonts w:ascii="Arial" w:hAnsi="Arial" w:cs="Arial"/>
          <w:b/>
          <w:i/>
          <w:sz w:val="20"/>
          <w:szCs w:val="20"/>
        </w:rPr>
        <w:t>Artículo 118.</w:t>
      </w:r>
      <w:r w:rsidRPr="002F6CEE">
        <w:rPr>
          <w:rFonts w:ascii="Arial" w:hAnsi="Arial" w:cs="Arial"/>
          <w:i/>
          <w:sz w:val="20"/>
          <w:szCs w:val="20"/>
        </w:rPr>
        <w:t xml:space="preserve"> En la aplicación de la prueba de daño, el sujeto obligado deberá justificar que:</w:t>
      </w:r>
    </w:p>
    <w:p w:rsidR="00BF3665" w:rsidRPr="002F6CEE" w:rsidRDefault="009819AE" w:rsidP="002F6CEE">
      <w:pPr>
        <w:spacing w:after="0" w:line="240" w:lineRule="auto"/>
        <w:ind w:right="-93"/>
        <w:jc w:val="both"/>
        <w:rPr>
          <w:rFonts w:ascii="Arial" w:hAnsi="Arial" w:cs="Arial"/>
          <w:i/>
          <w:sz w:val="20"/>
          <w:szCs w:val="20"/>
        </w:rPr>
      </w:pPr>
      <w:r w:rsidRPr="002F6CEE">
        <w:rPr>
          <w:rFonts w:ascii="Arial" w:hAnsi="Arial" w:cs="Arial"/>
          <w:i/>
          <w:sz w:val="20"/>
          <w:szCs w:val="20"/>
        </w:rPr>
        <w:t>I. La divulgación de la información representa un riesgo real, demostrable e identificable de perjuicio significativo al interés público;</w:t>
      </w:r>
    </w:p>
    <w:p w:rsidR="00BF3665" w:rsidRPr="002F6CEE" w:rsidRDefault="009819AE" w:rsidP="002F6CEE">
      <w:pPr>
        <w:spacing w:after="0" w:line="240" w:lineRule="auto"/>
        <w:ind w:right="-93"/>
        <w:jc w:val="both"/>
        <w:rPr>
          <w:rFonts w:ascii="Arial" w:hAnsi="Arial" w:cs="Arial"/>
          <w:i/>
          <w:sz w:val="20"/>
          <w:szCs w:val="20"/>
        </w:rPr>
      </w:pPr>
      <w:r w:rsidRPr="002F6CEE">
        <w:rPr>
          <w:rFonts w:ascii="Arial" w:hAnsi="Arial" w:cs="Arial"/>
          <w:i/>
          <w:sz w:val="20"/>
          <w:szCs w:val="20"/>
        </w:rPr>
        <w:t>II. El riesgo de perjuicio que supondría la divulgación supera el interés público general de que se difunda, y</w:t>
      </w:r>
    </w:p>
    <w:p w:rsidR="00BF3665" w:rsidRPr="002F6CEE" w:rsidRDefault="009819AE" w:rsidP="002F6CEE">
      <w:pPr>
        <w:spacing w:after="0" w:line="240" w:lineRule="auto"/>
        <w:ind w:right="-93"/>
        <w:jc w:val="both"/>
        <w:rPr>
          <w:rFonts w:ascii="Arial" w:hAnsi="Arial" w:cs="Arial"/>
          <w:i/>
          <w:sz w:val="20"/>
          <w:szCs w:val="20"/>
        </w:rPr>
      </w:pPr>
      <w:r w:rsidRPr="002F6CEE">
        <w:rPr>
          <w:rFonts w:ascii="Arial" w:hAnsi="Arial" w:cs="Arial"/>
          <w:i/>
          <w:sz w:val="20"/>
          <w:szCs w:val="20"/>
        </w:rPr>
        <w:t>III. La limitación se adecua al principio de proporcionalidad y representa el medio menos restrictivo disponible para evitar el perjuicio.</w:t>
      </w:r>
    </w:p>
    <w:p w:rsidR="003474AB" w:rsidRPr="002F6CEE" w:rsidRDefault="003474AB" w:rsidP="002F6CEE">
      <w:pPr>
        <w:spacing w:after="0" w:line="240" w:lineRule="auto"/>
        <w:ind w:right="-93"/>
        <w:jc w:val="both"/>
        <w:rPr>
          <w:rFonts w:ascii="Arial" w:hAnsi="Arial" w:cs="Arial"/>
          <w:b/>
          <w:i/>
          <w:sz w:val="20"/>
          <w:szCs w:val="20"/>
        </w:rPr>
      </w:pPr>
    </w:p>
    <w:p w:rsidR="00BF3665" w:rsidRPr="002F6CEE" w:rsidRDefault="009819AE" w:rsidP="002F6CEE">
      <w:pPr>
        <w:spacing w:line="240" w:lineRule="auto"/>
        <w:ind w:right="-93"/>
        <w:jc w:val="both"/>
        <w:rPr>
          <w:rFonts w:ascii="Arial" w:hAnsi="Arial" w:cs="Arial"/>
          <w:i/>
          <w:sz w:val="20"/>
          <w:szCs w:val="20"/>
        </w:rPr>
      </w:pPr>
      <w:r w:rsidRPr="002F6CEE">
        <w:rPr>
          <w:rFonts w:ascii="Arial" w:hAnsi="Arial" w:cs="Arial"/>
          <w:b/>
          <w:i/>
          <w:sz w:val="20"/>
          <w:szCs w:val="20"/>
        </w:rPr>
        <w:t>Trigésimo tercero</w:t>
      </w:r>
      <w:r w:rsidRPr="002F6CEE">
        <w:rPr>
          <w:rFonts w:ascii="Arial" w:hAnsi="Arial" w:cs="Arial"/>
          <w:i/>
          <w:sz w:val="20"/>
          <w:szCs w:val="20"/>
        </w:rPr>
        <w:t>. Para la aplicación de la prueba de daño a la que hace referencia el artículo 104 de la Ley General, los sujetos obligados atenderán lo siguiente:</w:t>
      </w:r>
    </w:p>
    <w:p w:rsidR="00BF3665" w:rsidRPr="002F6CEE" w:rsidRDefault="009819AE" w:rsidP="002F6CEE">
      <w:pPr>
        <w:pStyle w:val="Prrafodelista"/>
        <w:numPr>
          <w:ilvl w:val="0"/>
          <w:numId w:val="3"/>
        </w:numPr>
        <w:ind w:left="142" w:right="-93" w:firstLine="0"/>
        <w:jc w:val="both"/>
        <w:rPr>
          <w:rFonts w:ascii="Arial" w:hAnsi="Arial" w:cs="Arial"/>
          <w:i/>
          <w:sz w:val="20"/>
          <w:szCs w:val="20"/>
        </w:rPr>
      </w:pPr>
      <w:r w:rsidRPr="002F6CEE">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2F6CEE" w:rsidRDefault="009819AE" w:rsidP="002F6CEE">
      <w:pPr>
        <w:pStyle w:val="Prrafodelista"/>
        <w:numPr>
          <w:ilvl w:val="0"/>
          <w:numId w:val="3"/>
        </w:numPr>
        <w:ind w:left="142" w:right="-93" w:firstLine="0"/>
        <w:jc w:val="both"/>
        <w:rPr>
          <w:rFonts w:ascii="Arial" w:hAnsi="Arial" w:cs="Arial"/>
          <w:i/>
          <w:sz w:val="20"/>
          <w:szCs w:val="20"/>
        </w:rPr>
      </w:pPr>
      <w:r w:rsidRPr="002F6CEE">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2F6CEE" w:rsidRDefault="009819AE" w:rsidP="002F6CEE">
      <w:pPr>
        <w:pStyle w:val="Prrafodelista"/>
        <w:numPr>
          <w:ilvl w:val="0"/>
          <w:numId w:val="3"/>
        </w:numPr>
        <w:ind w:left="142" w:right="-93" w:firstLine="0"/>
        <w:jc w:val="both"/>
        <w:rPr>
          <w:rFonts w:ascii="Arial" w:hAnsi="Arial" w:cs="Arial"/>
          <w:i/>
          <w:sz w:val="20"/>
          <w:szCs w:val="20"/>
        </w:rPr>
      </w:pPr>
      <w:r w:rsidRPr="002F6CEE">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2F6CEE" w:rsidRDefault="009819AE" w:rsidP="002F6CEE">
      <w:pPr>
        <w:pStyle w:val="Prrafodelista"/>
        <w:numPr>
          <w:ilvl w:val="0"/>
          <w:numId w:val="3"/>
        </w:numPr>
        <w:ind w:left="142" w:right="-93" w:firstLine="0"/>
        <w:jc w:val="both"/>
        <w:rPr>
          <w:rFonts w:ascii="Arial" w:hAnsi="Arial" w:cs="Arial"/>
          <w:i/>
          <w:sz w:val="20"/>
          <w:szCs w:val="20"/>
        </w:rPr>
      </w:pPr>
      <w:r w:rsidRPr="002F6CEE">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2F6CEE" w:rsidRDefault="009819AE" w:rsidP="002F6CEE">
      <w:pPr>
        <w:pStyle w:val="Prrafodelista"/>
        <w:numPr>
          <w:ilvl w:val="0"/>
          <w:numId w:val="3"/>
        </w:numPr>
        <w:ind w:left="142" w:right="-93" w:firstLine="0"/>
        <w:jc w:val="both"/>
        <w:rPr>
          <w:rFonts w:ascii="Arial" w:hAnsi="Arial" w:cs="Arial"/>
          <w:i/>
          <w:sz w:val="20"/>
          <w:szCs w:val="20"/>
        </w:rPr>
      </w:pPr>
      <w:r w:rsidRPr="002F6CEE">
        <w:rPr>
          <w:rFonts w:ascii="Arial" w:hAnsi="Arial" w:cs="Arial"/>
          <w:i/>
          <w:sz w:val="20"/>
          <w:szCs w:val="20"/>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2F6CEE" w:rsidRDefault="009819AE" w:rsidP="002F6CEE">
      <w:pPr>
        <w:pStyle w:val="Prrafodelista"/>
        <w:numPr>
          <w:ilvl w:val="0"/>
          <w:numId w:val="3"/>
        </w:numPr>
        <w:ind w:left="142" w:right="-93" w:firstLine="0"/>
        <w:jc w:val="both"/>
        <w:rPr>
          <w:rFonts w:ascii="Arial" w:hAnsi="Arial" w:cs="Arial"/>
          <w:i/>
          <w:sz w:val="20"/>
          <w:szCs w:val="20"/>
        </w:rPr>
      </w:pPr>
      <w:r w:rsidRPr="002F6CEE">
        <w:rPr>
          <w:rFonts w:ascii="Arial" w:hAnsi="Arial" w:cs="Arial"/>
          <w:i/>
          <w:sz w:val="20"/>
          <w:szCs w:val="20"/>
        </w:rPr>
        <w:lastRenderedPageBreak/>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B7A5A" w:rsidRPr="002F6CEE" w:rsidRDefault="00DB7A5A" w:rsidP="002F6CEE">
      <w:pPr>
        <w:spacing w:line="240" w:lineRule="auto"/>
        <w:jc w:val="both"/>
        <w:rPr>
          <w:rFonts w:ascii="Arial" w:eastAsia="Times New Roman" w:hAnsi="Arial" w:cs="Arial"/>
          <w:sz w:val="20"/>
          <w:szCs w:val="20"/>
          <w:lang w:val="es-ES"/>
        </w:rPr>
      </w:pPr>
    </w:p>
    <w:p w:rsidR="000C4F3A" w:rsidRPr="003B554C" w:rsidRDefault="007336C3" w:rsidP="002F6CEE">
      <w:pPr>
        <w:spacing w:line="240" w:lineRule="auto"/>
        <w:jc w:val="both"/>
        <w:rPr>
          <w:rFonts w:ascii="Arial" w:eastAsia="Times New Roman" w:hAnsi="Arial" w:cs="Arial"/>
          <w:lang w:val="es-ES"/>
        </w:rPr>
      </w:pPr>
      <w:r w:rsidRPr="003B554C">
        <w:rPr>
          <w:rFonts w:ascii="Arial" w:eastAsia="Times New Roman" w:hAnsi="Arial" w:cs="Arial"/>
          <w:lang w:val="es-ES"/>
        </w:rPr>
        <w:t>Con el ánimo de evitar repeticiones innecesarias se tienen aquí por reproducido el desarrollo de cada una de las hipótesis</w:t>
      </w:r>
      <w:r w:rsidR="000C4F3A" w:rsidRPr="003B554C">
        <w:rPr>
          <w:rFonts w:ascii="Arial" w:eastAsia="Times New Roman" w:hAnsi="Arial" w:cs="Arial"/>
          <w:lang w:val="es-ES"/>
        </w:rPr>
        <w:t xml:space="preserve"> establecidas por </w:t>
      </w:r>
      <w:r w:rsidR="00D5202E" w:rsidRPr="003B554C">
        <w:rPr>
          <w:rFonts w:ascii="Arial" w:hAnsi="Arial" w:cs="Arial"/>
          <w:lang w:val="es-ES"/>
        </w:rPr>
        <w:t>e</w:t>
      </w:r>
      <w:r w:rsidR="00D5202E" w:rsidRPr="003B554C">
        <w:rPr>
          <w:rFonts w:ascii="Arial" w:hAnsi="Arial" w:cs="Arial"/>
        </w:rPr>
        <w:t xml:space="preserve">l </w:t>
      </w:r>
      <w:r w:rsidR="00024F43" w:rsidRPr="003B554C">
        <w:rPr>
          <w:rFonts w:ascii="Arial" w:hAnsi="Arial" w:cs="Arial"/>
        </w:rPr>
        <w:t>Visitador, Carlos Gustavo Rodríguez Cruz</w:t>
      </w:r>
      <w:r w:rsidR="00B9260F" w:rsidRPr="003B554C">
        <w:rPr>
          <w:rFonts w:ascii="Arial" w:hAnsi="Arial" w:cs="Arial"/>
        </w:rPr>
        <w:t xml:space="preserve">, </w:t>
      </w:r>
      <w:r w:rsidR="00DD5EE4" w:rsidRPr="003B554C">
        <w:rPr>
          <w:rFonts w:ascii="Arial" w:hAnsi="Arial" w:cs="Arial"/>
        </w:rPr>
        <w:t>como si se insertarán a la letra</w:t>
      </w:r>
      <w:r w:rsidRPr="003B554C">
        <w:rPr>
          <w:rFonts w:ascii="Arial" w:eastAsia="Times New Roman" w:hAnsi="Arial" w:cs="Arial"/>
          <w:lang w:val="es-ES"/>
        </w:rPr>
        <w:t xml:space="preserve">, </w:t>
      </w:r>
      <w:r w:rsidR="00C8519A" w:rsidRPr="003B554C">
        <w:rPr>
          <w:rFonts w:ascii="Arial" w:eastAsia="Times New Roman" w:hAnsi="Arial" w:cs="Arial"/>
          <w:lang w:val="es-ES"/>
        </w:rPr>
        <w:t xml:space="preserve">de dicha </w:t>
      </w:r>
      <w:r w:rsidR="002503C3" w:rsidRPr="003B554C">
        <w:rPr>
          <w:rFonts w:ascii="Arial" w:eastAsia="Times New Roman" w:hAnsi="Arial" w:cs="Arial"/>
          <w:lang w:val="es-ES"/>
        </w:rPr>
        <w:t>relatoría</w:t>
      </w:r>
      <w:r w:rsidR="000C4F3A" w:rsidRPr="003B554C">
        <w:rPr>
          <w:rFonts w:ascii="Arial" w:eastAsia="Times New Roman" w:hAnsi="Arial" w:cs="Arial"/>
          <w:lang w:val="es-ES"/>
        </w:rPr>
        <w:t xml:space="preserve">, es </w:t>
      </w:r>
      <w:r w:rsidR="00C8519A" w:rsidRPr="003B554C">
        <w:rPr>
          <w:rFonts w:ascii="Arial" w:eastAsia="Times New Roman" w:hAnsi="Arial" w:cs="Arial"/>
          <w:lang w:val="es-ES"/>
        </w:rPr>
        <w:t>proporcional la restricción</w:t>
      </w:r>
      <w:r w:rsidR="000C4F3A" w:rsidRPr="003B554C">
        <w:rPr>
          <w:rFonts w:ascii="Arial" w:eastAsia="Times New Roman" w:hAnsi="Arial" w:cs="Arial"/>
          <w:lang w:val="es-ES"/>
        </w:rPr>
        <w:t xml:space="preserve"> que realiza</w:t>
      </w:r>
      <w:r w:rsidR="00C8519A" w:rsidRPr="003B554C">
        <w:rPr>
          <w:rFonts w:ascii="Arial" w:eastAsia="Times New Roman" w:hAnsi="Arial" w:cs="Arial"/>
          <w:lang w:val="es-ES"/>
        </w:rPr>
        <w:t xml:space="preserve"> en virtud de que  existe una adecuada ponderación entre los principios en juego, ósea, entre el derecho de acceso a la información pública y el fin y objetivo que busca su restricción, relativo al interés</w:t>
      </w:r>
      <w:r w:rsidR="000774A6" w:rsidRPr="003B554C">
        <w:rPr>
          <w:rFonts w:ascii="Arial" w:eastAsia="Times New Roman" w:hAnsi="Arial" w:cs="Arial"/>
          <w:lang w:val="es-ES"/>
        </w:rPr>
        <w:t xml:space="preserve"> </w:t>
      </w:r>
      <w:r w:rsidR="00C8519A" w:rsidRPr="003B554C">
        <w:rPr>
          <w:rFonts w:ascii="Arial" w:eastAsia="Times New Roman" w:hAnsi="Arial" w:cs="Arial"/>
          <w:lang w:val="es-ES"/>
        </w:rPr>
        <w:t>público o general inmerso en la función pública de investigación y persecución de los delitos</w:t>
      </w:r>
      <w:r w:rsidR="000C4F3A" w:rsidRPr="003B554C">
        <w:rPr>
          <w:rFonts w:ascii="Arial" w:eastAsia="Times New Roman" w:hAnsi="Arial" w:cs="Arial"/>
          <w:lang w:val="es-ES"/>
        </w:rPr>
        <w:t xml:space="preserve">. </w:t>
      </w:r>
      <w:r w:rsidR="000774A6" w:rsidRPr="003B554C">
        <w:rPr>
          <w:rFonts w:ascii="Arial" w:eastAsia="Times New Roman" w:hAnsi="Arial" w:cs="Arial"/>
          <w:lang w:val="es-ES"/>
        </w:rPr>
        <w:t xml:space="preserve"> </w:t>
      </w:r>
    </w:p>
    <w:p w:rsidR="00036BB2" w:rsidRPr="003B554C" w:rsidRDefault="00036BB2" w:rsidP="002F6CEE">
      <w:pPr>
        <w:spacing w:after="0" w:line="240" w:lineRule="auto"/>
        <w:ind w:right="-93"/>
        <w:jc w:val="both"/>
        <w:rPr>
          <w:rFonts w:ascii="Arial" w:hAnsi="Arial" w:cs="Arial"/>
        </w:rPr>
      </w:pPr>
      <w:r w:rsidRPr="003B554C">
        <w:rPr>
          <w:rFonts w:ascii="Arial" w:hAnsi="Arial" w:cs="Arial"/>
        </w:rPr>
        <w:t>En esta conjetura, precisa que podrá considerarse como información reservada aquella cuya difusión ponga en peligro las funciones de seguridad pública, al revelar datos que permitan conocer capacidades de reacción, estructuras operativas, planes, estrategias, tecnología, organización interna, sistemas de comunicación o coordinación interinstitucional de las instituciones encargadas de preservar el orden público y la seguridad.</w:t>
      </w:r>
    </w:p>
    <w:p w:rsidR="00036BB2" w:rsidRPr="003B554C" w:rsidRDefault="00036BB2" w:rsidP="002F6CEE">
      <w:pPr>
        <w:spacing w:after="0" w:line="240" w:lineRule="auto"/>
        <w:ind w:right="-93"/>
        <w:jc w:val="both"/>
        <w:rPr>
          <w:rFonts w:ascii="Arial" w:hAnsi="Arial" w:cs="Arial"/>
        </w:rPr>
      </w:pPr>
    </w:p>
    <w:p w:rsidR="00036BB2" w:rsidRPr="003B554C" w:rsidRDefault="00036BB2" w:rsidP="002F6CEE">
      <w:pPr>
        <w:spacing w:after="0" w:line="240" w:lineRule="auto"/>
        <w:ind w:right="-93"/>
        <w:jc w:val="both"/>
        <w:rPr>
          <w:rFonts w:ascii="Arial" w:hAnsi="Arial" w:cs="Arial"/>
        </w:rPr>
      </w:pPr>
      <w:r w:rsidRPr="003B554C">
        <w:rPr>
          <w:rFonts w:ascii="Arial" w:hAnsi="Arial" w:cs="Arial"/>
        </w:rPr>
        <w:t>En el caso concreto, la información solicitada, referida al personal de Seguridad y Custodia, y personal adscrito a órganos táctico-operativos de la Fiscalía General del Estado de San Luis Potosí, desagregada por número total, sexo, edad, escolaridad, antigüedad, adscripción, estado civil, condiciones de salud, accidentes, fallecimientos, ingresos, funciones específicas y localización administrativa, permite construir un perfil detallado de la capacidad operativa y funcional de esta Fiscalía.</w:t>
      </w:r>
    </w:p>
    <w:p w:rsidR="00036BB2" w:rsidRPr="003B554C" w:rsidRDefault="00036BB2" w:rsidP="002F6CEE">
      <w:pPr>
        <w:spacing w:after="0" w:line="240" w:lineRule="auto"/>
        <w:ind w:right="-93"/>
        <w:jc w:val="both"/>
        <w:rPr>
          <w:rFonts w:ascii="Arial" w:hAnsi="Arial" w:cs="Arial"/>
        </w:rPr>
      </w:pPr>
    </w:p>
    <w:p w:rsidR="00036BB2" w:rsidRPr="003B554C" w:rsidRDefault="00036BB2" w:rsidP="002F6CEE">
      <w:pPr>
        <w:spacing w:after="0" w:line="240" w:lineRule="auto"/>
        <w:ind w:right="-93"/>
        <w:jc w:val="both"/>
        <w:rPr>
          <w:rFonts w:ascii="Arial" w:hAnsi="Arial" w:cs="Arial"/>
        </w:rPr>
      </w:pPr>
      <w:r w:rsidRPr="003B554C">
        <w:rPr>
          <w:rFonts w:ascii="Arial" w:hAnsi="Arial" w:cs="Arial"/>
        </w:rPr>
        <w:t>Tal nivel de desagregación representa un riesgo real, identificable y demostrable de perjuicio significativo al interés público, al facilitar que terceros, incluidos grupos delictivos, puedan inferir la estructura, fuerza operativa, vulnerabilidades, patrones de actuación y capacidad de respuesta institucional, afectando directamente la seguridad pública, la eficacia de los actos de investigación, la persecución de los delitos y el cumplimiento de mandamientos judiciales.</w:t>
      </w:r>
    </w:p>
    <w:p w:rsidR="00036BB2" w:rsidRPr="003B554C" w:rsidRDefault="00036BB2" w:rsidP="002F6CEE">
      <w:pPr>
        <w:spacing w:after="0" w:line="240" w:lineRule="auto"/>
        <w:ind w:right="-93"/>
        <w:jc w:val="both"/>
        <w:rPr>
          <w:rFonts w:ascii="Arial" w:hAnsi="Arial" w:cs="Arial"/>
        </w:rPr>
      </w:pPr>
    </w:p>
    <w:p w:rsidR="00036BB2" w:rsidRPr="003B554C" w:rsidRDefault="00036BB2" w:rsidP="002F6CEE">
      <w:pPr>
        <w:spacing w:after="0" w:line="240" w:lineRule="auto"/>
        <w:ind w:right="-93"/>
        <w:jc w:val="both"/>
        <w:rPr>
          <w:rFonts w:ascii="Arial" w:hAnsi="Arial" w:cs="Arial"/>
        </w:rPr>
      </w:pPr>
      <w:r w:rsidRPr="003B554C">
        <w:rPr>
          <w:rFonts w:ascii="Arial" w:hAnsi="Arial" w:cs="Arial"/>
        </w:rPr>
        <w:t>En consecuencia, la divulgación de esta información comprometería gravemente la seguridad del Estado y de la sociedad, al colocar en situación de vulnerabilidad tanto a la institución como al personal que participa directa o indirectamente en labores de procuración de justicia, investigación penal, inteligencia, atención a víctimas.</w:t>
      </w:r>
    </w:p>
    <w:p w:rsidR="00036BB2" w:rsidRPr="003B554C" w:rsidRDefault="00036BB2" w:rsidP="002F6CEE">
      <w:pPr>
        <w:spacing w:after="0" w:line="240" w:lineRule="auto"/>
        <w:ind w:right="-93"/>
        <w:jc w:val="both"/>
        <w:rPr>
          <w:rFonts w:ascii="Arial" w:hAnsi="Arial" w:cs="Arial"/>
        </w:rPr>
      </w:pPr>
    </w:p>
    <w:p w:rsidR="00036BB2" w:rsidRPr="003B554C" w:rsidRDefault="00036BB2" w:rsidP="002F6CEE">
      <w:pPr>
        <w:spacing w:after="0" w:line="240" w:lineRule="auto"/>
        <w:ind w:right="-93"/>
        <w:jc w:val="both"/>
        <w:rPr>
          <w:rFonts w:ascii="Arial" w:hAnsi="Arial" w:cs="Arial"/>
        </w:rPr>
      </w:pPr>
      <w:r w:rsidRPr="003B554C">
        <w:rPr>
          <w:rFonts w:ascii="Arial" w:hAnsi="Arial" w:cs="Arial"/>
        </w:rPr>
        <w:t>Adicionalmente, esta autoridad estima aplicable la doctrina conocida como “efecto mosaico”, conforme a la cual incluso información aparentemente aislada o inocua, al ser difundida de manera sistemática y desagregada, permite reconstruir patrones estratégicos, identificar actores clave y revelar capacidades institucionales, lo que justifica su reserva.</w:t>
      </w:r>
    </w:p>
    <w:p w:rsidR="00036BB2" w:rsidRPr="003B554C" w:rsidRDefault="00036BB2" w:rsidP="002F6CEE">
      <w:pPr>
        <w:spacing w:after="0" w:line="240" w:lineRule="auto"/>
        <w:ind w:right="-93"/>
        <w:jc w:val="both"/>
        <w:rPr>
          <w:rFonts w:ascii="Arial" w:hAnsi="Arial" w:cs="Arial"/>
        </w:rPr>
      </w:pPr>
    </w:p>
    <w:p w:rsidR="00036BB2" w:rsidRPr="003B554C" w:rsidRDefault="00036BB2" w:rsidP="002F6CEE">
      <w:pPr>
        <w:spacing w:after="0" w:line="240" w:lineRule="auto"/>
        <w:ind w:right="-93"/>
        <w:jc w:val="both"/>
        <w:rPr>
          <w:rFonts w:ascii="Arial" w:hAnsi="Arial" w:cs="Arial"/>
        </w:rPr>
      </w:pPr>
      <w:r w:rsidRPr="003B554C">
        <w:rPr>
          <w:rFonts w:ascii="Arial" w:hAnsi="Arial" w:cs="Arial"/>
        </w:rPr>
        <w:t>En este sentido, resulta pertinente destacar que las autoridades encargadas de la seguridad pública y procuración de justicia cuentan con pericia técnica especializada para evaluar los riesgos que implica la divulgación de determinada información, criterio que ha sido reconocido por la Suprema Corte de Justicia de la Nación, particularmente en la Controversia Constitucional número 325/2019, al sostener que la revelación de datos funcionales del personal permite conocer su organización y dinámica operativa, así como sujeta a cambios constantes de adscripción.</w:t>
      </w:r>
    </w:p>
    <w:p w:rsidR="00036BB2" w:rsidRPr="003B554C" w:rsidRDefault="00036BB2" w:rsidP="002F6CEE">
      <w:pPr>
        <w:spacing w:after="0" w:line="240" w:lineRule="auto"/>
        <w:ind w:right="-93"/>
        <w:jc w:val="both"/>
        <w:rPr>
          <w:rFonts w:ascii="Arial" w:hAnsi="Arial" w:cs="Arial"/>
        </w:rPr>
      </w:pPr>
    </w:p>
    <w:p w:rsidR="00036BB2" w:rsidRPr="003B554C" w:rsidRDefault="00036BB2" w:rsidP="002F6CEE">
      <w:pPr>
        <w:spacing w:after="0" w:line="240" w:lineRule="auto"/>
        <w:ind w:right="-93"/>
        <w:jc w:val="both"/>
        <w:rPr>
          <w:rFonts w:ascii="Arial" w:hAnsi="Arial" w:cs="Arial"/>
        </w:rPr>
      </w:pPr>
      <w:r w:rsidRPr="003B554C">
        <w:rPr>
          <w:rFonts w:ascii="Arial" w:hAnsi="Arial" w:cs="Arial"/>
        </w:rPr>
        <w:lastRenderedPageBreak/>
        <w:t xml:space="preserve">Respecto a la Fracción XII, del artículo 129 de la Ley de Transparencia y Acceso a la Información Pública del Estado de San Luis Potosí: “XII. Las que por disposición expresa de una ley tengan tal carácter, siempre que sean acordes con las bases, principios y disposiciones establecidos en esta Ley y no la contravengan; así como las previstas en tratados internacionales.” Vinculado al Lineamiento Trigésimo segundo, que a la letra dice “Trigésimo segundo. De conformidad con el artículo 113, fracción XIII de la Ley General, podrá considerarse como información reservada, aquella que por disposición expresa de una ley le otorgue tal carácter siempre que no se contravengan las bases, principios y disposiciones establecidas en la Ley General o las previstas en los tratados internacionales de los que el Estado mexicano sea parte. Para que se actualice este supuesto de reserva, los sujetos obligados deberán fundar y motivar la clasificación de la información, señalando de manera específica el supuesto normativo que expresamente le otorga ese carácter y acreditar la afectación que la divulgación de la información traería a los fines por los que se reserva la información”. </w:t>
      </w:r>
    </w:p>
    <w:p w:rsidR="00A80343" w:rsidRPr="003B554C" w:rsidRDefault="00A80343" w:rsidP="002F6CEE">
      <w:pPr>
        <w:spacing w:after="0" w:line="240" w:lineRule="auto"/>
        <w:ind w:right="-93"/>
        <w:jc w:val="both"/>
        <w:rPr>
          <w:rFonts w:ascii="Arial" w:hAnsi="Arial" w:cs="Arial"/>
        </w:rPr>
      </w:pPr>
    </w:p>
    <w:p w:rsidR="00036BB2" w:rsidRPr="003B554C" w:rsidRDefault="00036BB2" w:rsidP="002F6CEE">
      <w:pPr>
        <w:spacing w:after="0" w:line="240" w:lineRule="auto"/>
        <w:ind w:right="-93"/>
        <w:jc w:val="both"/>
        <w:rPr>
          <w:rFonts w:ascii="Arial" w:hAnsi="Arial" w:cs="Arial"/>
        </w:rPr>
      </w:pPr>
      <w:r w:rsidRPr="003B554C">
        <w:rPr>
          <w:rFonts w:ascii="Arial" w:hAnsi="Arial" w:cs="Arial"/>
        </w:rPr>
        <w:t>En particular, la información solicitada forma parte de bases de datos e instrumentos del Sistema Nacional de Seguridad Pública, del Sistema Estatal de Seguridad Pública y de la propia Fiscalía, protegidas expresamente por los artículos 93, 93 Bis, 98 y 99, fracciones I y III, de la Ley del Sistema de Seguridad Pública del Estado de San Luis Potosí, los cuales restringen su divulgación para evitar afectaciones a la seguridad pública y a las funciones estratégicas del Estado.</w:t>
      </w:r>
    </w:p>
    <w:p w:rsidR="00036BB2" w:rsidRPr="003B554C" w:rsidRDefault="00036BB2" w:rsidP="002F6CEE">
      <w:pPr>
        <w:spacing w:after="0" w:line="240" w:lineRule="auto"/>
        <w:ind w:right="-93"/>
        <w:jc w:val="both"/>
        <w:rPr>
          <w:rFonts w:ascii="Arial" w:hAnsi="Arial" w:cs="Arial"/>
        </w:rPr>
      </w:pPr>
    </w:p>
    <w:p w:rsidR="00036BB2" w:rsidRPr="003B554C" w:rsidRDefault="00036BB2" w:rsidP="002F6CEE">
      <w:pPr>
        <w:spacing w:after="0" w:line="240" w:lineRule="auto"/>
        <w:ind w:right="-93"/>
        <w:jc w:val="both"/>
        <w:rPr>
          <w:rFonts w:ascii="Arial" w:hAnsi="Arial" w:cs="Arial"/>
        </w:rPr>
      </w:pPr>
      <w:r w:rsidRPr="003B554C">
        <w:rPr>
          <w:rFonts w:ascii="Arial" w:hAnsi="Arial" w:cs="Arial"/>
        </w:rPr>
        <w:t>La revelación de la información solicitada permitiría identificar no solo al personal sustantivo y operativo, sino también sus funciones específicas, adscripciones, participación en investigaciones, e intervención en carpetas de investigación, exponiéndolos a riesgos de amenaza, coacción o represalias, y comprometiendo la integridad de los procedimientos penales.</w:t>
      </w:r>
    </w:p>
    <w:p w:rsidR="00036BB2" w:rsidRPr="003B554C" w:rsidRDefault="00036BB2" w:rsidP="002F6CEE">
      <w:pPr>
        <w:spacing w:after="0" w:line="240" w:lineRule="auto"/>
        <w:ind w:right="-93"/>
        <w:jc w:val="both"/>
        <w:rPr>
          <w:rFonts w:ascii="Arial" w:hAnsi="Arial" w:cs="Arial"/>
        </w:rPr>
      </w:pPr>
    </w:p>
    <w:p w:rsidR="00036BB2" w:rsidRPr="003B554C" w:rsidRDefault="00036BB2" w:rsidP="002F6CEE">
      <w:pPr>
        <w:spacing w:after="0" w:line="240" w:lineRule="auto"/>
        <w:ind w:right="-93"/>
        <w:jc w:val="both"/>
        <w:rPr>
          <w:rFonts w:ascii="Arial" w:hAnsi="Arial" w:cs="Arial"/>
        </w:rPr>
      </w:pPr>
      <w:r w:rsidRPr="003B554C">
        <w:rPr>
          <w:rFonts w:ascii="Arial" w:hAnsi="Arial" w:cs="Arial"/>
        </w:rPr>
        <w:t>El daño derivado de dicha divulgación sería grave e irreparable, al afectar bienes jurídicos tutelados como la seguridad pública, la procuración de justicia y la integridad institucional, respecto de los cuales el Estado tiene la obligación constitucional de protección y salvaguarda.</w:t>
      </w:r>
    </w:p>
    <w:p w:rsidR="00036BB2" w:rsidRPr="003B554C" w:rsidRDefault="00036BB2" w:rsidP="002F6CEE">
      <w:pPr>
        <w:spacing w:after="0" w:line="240" w:lineRule="auto"/>
        <w:ind w:right="-93"/>
        <w:jc w:val="both"/>
        <w:rPr>
          <w:rFonts w:ascii="Arial" w:hAnsi="Arial" w:cs="Arial"/>
        </w:rPr>
      </w:pPr>
    </w:p>
    <w:p w:rsidR="00036BB2" w:rsidRPr="003B554C" w:rsidRDefault="00036BB2" w:rsidP="002F6CEE">
      <w:pPr>
        <w:spacing w:after="0" w:line="240" w:lineRule="auto"/>
        <w:ind w:right="-93"/>
        <w:jc w:val="both"/>
        <w:rPr>
          <w:rFonts w:ascii="Arial" w:hAnsi="Arial" w:cs="Arial"/>
        </w:rPr>
      </w:pPr>
      <w:r w:rsidRPr="003B554C">
        <w:rPr>
          <w:rFonts w:ascii="Arial" w:hAnsi="Arial" w:cs="Arial"/>
        </w:rPr>
        <w:t xml:space="preserve">Por lo expuesto, esta Fiscalía General del Estado acredita que la información </w:t>
      </w:r>
      <w:r w:rsidR="000E74A1">
        <w:rPr>
          <w:rFonts w:ascii="Arial" w:hAnsi="Arial" w:cs="Arial"/>
        </w:rPr>
        <w:t>requerida</w:t>
      </w:r>
      <w:r w:rsidRPr="003B554C">
        <w:rPr>
          <w:rFonts w:ascii="Arial" w:hAnsi="Arial" w:cs="Arial"/>
        </w:rPr>
        <w:t xml:space="preserve"> en la Solicitud de Acceso a la Información UT-SI-P-0</w:t>
      </w:r>
      <w:r w:rsidR="000E74A1" w:rsidRPr="000E74A1">
        <w:rPr>
          <w:rFonts w:ascii="Arial" w:hAnsi="Arial" w:cs="Arial"/>
          <w:b/>
        </w:rPr>
        <w:t>89</w:t>
      </w:r>
      <w:r w:rsidRPr="003B554C">
        <w:rPr>
          <w:rFonts w:ascii="Arial" w:hAnsi="Arial" w:cs="Arial"/>
        </w:rPr>
        <w:t>-2404698260000</w:t>
      </w:r>
      <w:r w:rsidR="000E74A1" w:rsidRPr="000E74A1">
        <w:rPr>
          <w:rFonts w:ascii="Arial" w:hAnsi="Arial" w:cs="Arial"/>
          <w:b/>
        </w:rPr>
        <w:t>89</w:t>
      </w:r>
      <w:r w:rsidRPr="003B554C">
        <w:rPr>
          <w:rFonts w:ascii="Arial" w:hAnsi="Arial" w:cs="Arial"/>
        </w:rPr>
        <w:t>-2026 actualiza plenamente los supuestos de reserva previstos en la legislación aplicable, satisfaciendo los requisitos del Lineamiento Trigésimo Tercero, fracción I, al existir un riesgo real, demostrable y jurídicamente sustentado de afectación al interés público, por lo que resulta procedente clasificar dicha información como reservada.</w:t>
      </w:r>
    </w:p>
    <w:p w:rsidR="00036BB2" w:rsidRPr="003B554C" w:rsidRDefault="00036BB2" w:rsidP="002F6CEE">
      <w:pPr>
        <w:spacing w:after="0" w:line="240" w:lineRule="auto"/>
        <w:ind w:right="-93"/>
        <w:jc w:val="both"/>
        <w:rPr>
          <w:rFonts w:ascii="Arial" w:hAnsi="Arial" w:cs="Arial"/>
        </w:rPr>
      </w:pPr>
    </w:p>
    <w:p w:rsidR="00C42F42" w:rsidRDefault="00036BB2" w:rsidP="002F6CEE">
      <w:pPr>
        <w:spacing w:after="0" w:line="240" w:lineRule="auto"/>
        <w:ind w:right="-93"/>
        <w:jc w:val="both"/>
        <w:rPr>
          <w:rFonts w:ascii="Arial" w:hAnsi="Arial" w:cs="Arial"/>
        </w:rPr>
      </w:pPr>
      <w:r w:rsidRPr="003B554C">
        <w:rPr>
          <w:rFonts w:ascii="Arial" w:hAnsi="Arial" w:cs="Arial"/>
        </w:rPr>
        <w:t xml:space="preserve">Lineamiento Trigésimo tercero fracción II.- “Se deberá motivar la clasificación, señalando las circunstancias de modo, tiempo y lugar que acrediten </w:t>
      </w:r>
      <w:r w:rsidR="003F7702" w:rsidRPr="003B554C">
        <w:rPr>
          <w:rFonts w:ascii="Arial" w:hAnsi="Arial" w:cs="Arial"/>
          <w:i/>
        </w:rPr>
        <w:t>La limitación se adecua al principio de proporcionalidad y representa el medio menos restrictivo disponible para evitar el perjuicio</w:t>
      </w:r>
      <w:r w:rsidR="003F7702" w:rsidRPr="003B554C">
        <w:rPr>
          <w:rFonts w:ascii="Arial" w:hAnsi="Arial" w:cs="Arial"/>
        </w:rPr>
        <w:t>.</w:t>
      </w:r>
      <w:r w:rsidR="00C42F42" w:rsidRPr="003B554C">
        <w:rPr>
          <w:rFonts w:ascii="Arial" w:hAnsi="Arial" w:cs="Arial"/>
        </w:rPr>
        <w:t xml:space="preserve"> Mantener la confidencialidad de la investigación es adecuado para proteger la integridad de la investigación o la seguridad de las personas implicadas.</w:t>
      </w:r>
    </w:p>
    <w:p w:rsidR="00C76B07" w:rsidRPr="003B554C" w:rsidRDefault="00C76B07" w:rsidP="002F6CEE">
      <w:pPr>
        <w:spacing w:after="0" w:line="240" w:lineRule="auto"/>
        <w:ind w:right="-93"/>
        <w:jc w:val="both"/>
        <w:rPr>
          <w:rFonts w:ascii="Arial" w:hAnsi="Arial" w:cs="Arial"/>
        </w:rPr>
      </w:pPr>
    </w:p>
    <w:p w:rsidR="00C42F42" w:rsidRPr="003B554C" w:rsidRDefault="00C42F42" w:rsidP="002F6CEE">
      <w:pPr>
        <w:autoSpaceDE w:val="0"/>
        <w:autoSpaceDN w:val="0"/>
        <w:adjustRightInd w:val="0"/>
        <w:spacing w:line="240" w:lineRule="auto"/>
        <w:jc w:val="both"/>
        <w:rPr>
          <w:rFonts w:ascii="Arial" w:hAnsi="Arial" w:cs="Arial"/>
        </w:rPr>
      </w:pPr>
      <w:r w:rsidRPr="003B554C">
        <w:rPr>
          <w:rFonts w:ascii="Arial" w:hAnsi="Arial" w:cs="Arial"/>
        </w:rPr>
        <w:t xml:space="preserve">No existen otras alternativas menos restrictivas para proteger el daño, pues la divulgación completa de la información puede generar un daño irreparable, por lo que no se puede considerar una medida menos invasivas, </w:t>
      </w:r>
      <w:r w:rsidRPr="000E74A1">
        <w:rPr>
          <w:rFonts w:ascii="Arial" w:hAnsi="Arial" w:cs="Arial"/>
          <w:i/>
        </w:rPr>
        <w:t>ni proporcionar de manera parcial la información</w:t>
      </w:r>
      <w:r w:rsidRPr="003B554C">
        <w:rPr>
          <w:rFonts w:ascii="Arial" w:hAnsi="Arial" w:cs="Arial"/>
        </w:rPr>
        <w:t xml:space="preserve">, pues de acuerdo a la teoría del mosaico, en la que </w:t>
      </w:r>
      <w:r w:rsidRPr="000E74A1">
        <w:rPr>
          <w:rFonts w:ascii="Arial" w:hAnsi="Arial" w:cs="Arial"/>
        </w:rPr>
        <w:t>una serie de datos que, al ser combinados, revelan una imagen más completa y detallada</w:t>
      </w:r>
      <w:r w:rsidRPr="003B554C">
        <w:rPr>
          <w:rFonts w:ascii="Arial" w:hAnsi="Arial" w:cs="Arial"/>
        </w:rPr>
        <w:t xml:space="preserve">, por lo que las personas que no tienen un propósito genuino con la rendición de cuentas, pueden utilizar la información para entorpecer de manera inequívoca el procedimiento de la </w:t>
      </w:r>
      <w:r w:rsidRPr="003B554C">
        <w:rPr>
          <w:rFonts w:ascii="Arial" w:hAnsi="Arial" w:cs="Arial"/>
        </w:rPr>
        <w:lastRenderedPageBreak/>
        <w:t xml:space="preserve">investigación, o bien con la información obtenida realizar actos  </w:t>
      </w:r>
      <w:r w:rsidR="000C3B69" w:rsidRPr="003B554C">
        <w:rPr>
          <w:rFonts w:ascii="Arial" w:hAnsi="Arial" w:cs="Arial"/>
        </w:rPr>
        <w:t xml:space="preserve">tendientes a </w:t>
      </w:r>
      <w:r w:rsidRPr="003B554C">
        <w:rPr>
          <w:rFonts w:ascii="Arial" w:hAnsi="Arial" w:cs="Arial"/>
        </w:rPr>
        <w:t>lograr un resultado favorable a sus intereses particulares.</w:t>
      </w:r>
    </w:p>
    <w:p w:rsidR="00427CA6" w:rsidRPr="003B554C" w:rsidRDefault="00B115D6" w:rsidP="002F6CEE">
      <w:pPr>
        <w:autoSpaceDE w:val="0"/>
        <w:autoSpaceDN w:val="0"/>
        <w:adjustRightInd w:val="0"/>
        <w:spacing w:line="240" w:lineRule="auto"/>
        <w:jc w:val="both"/>
        <w:rPr>
          <w:rFonts w:ascii="Arial" w:hAnsi="Arial" w:cs="Arial"/>
        </w:rPr>
      </w:pPr>
      <w:r w:rsidRPr="003B554C">
        <w:rPr>
          <w:rFonts w:ascii="Arial" w:hAnsi="Arial" w:cs="Arial"/>
        </w:rPr>
        <w:t xml:space="preserve">Consecuentemente </w:t>
      </w:r>
      <w:r w:rsidR="000C4F3A" w:rsidRPr="003B554C">
        <w:rPr>
          <w:rFonts w:ascii="Arial" w:hAnsi="Arial" w:cs="Arial"/>
        </w:rPr>
        <w:t>se estima razonable la restricción al derecho humano de acceso a la información</w:t>
      </w:r>
      <w:r w:rsidRPr="003B554C">
        <w:rPr>
          <w:rFonts w:ascii="Arial" w:hAnsi="Arial" w:cs="Arial"/>
        </w:rPr>
        <w:t>, ponderando el interés público o general contenido en la función de orden público consistente en la investigación y persecución de los delitos atribuida al Ministerio Público</w:t>
      </w:r>
      <w:r w:rsidR="000C4F3A" w:rsidRPr="003B554C">
        <w:rPr>
          <w:rFonts w:ascii="Arial" w:hAnsi="Arial" w:cs="Arial"/>
        </w:rPr>
        <w:t>.</w:t>
      </w:r>
    </w:p>
    <w:p w:rsidR="00BF3665" w:rsidRPr="003B554C" w:rsidRDefault="001E22D9" w:rsidP="002F6CEE">
      <w:pPr>
        <w:spacing w:line="240" w:lineRule="auto"/>
        <w:ind w:left="284"/>
        <w:jc w:val="both"/>
        <w:rPr>
          <w:rFonts w:ascii="Arial" w:hAnsi="Arial" w:cs="Arial"/>
          <w:b/>
        </w:rPr>
      </w:pPr>
      <w:r w:rsidRPr="003B554C">
        <w:rPr>
          <w:rFonts w:ascii="Arial" w:hAnsi="Arial" w:cs="Arial"/>
          <w:b/>
        </w:rPr>
        <w:t xml:space="preserve">II. </w:t>
      </w:r>
      <w:r w:rsidR="009819AE" w:rsidRPr="003B554C">
        <w:rPr>
          <w:rFonts w:ascii="Arial" w:hAnsi="Arial" w:cs="Arial"/>
          <w:b/>
        </w:rPr>
        <w:t>Descripción de las partes o secciones reservadas, en caso de clasificación parcial;</w:t>
      </w:r>
    </w:p>
    <w:p w:rsidR="000E74A1" w:rsidRDefault="000E74A1" w:rsidP="002F6CEE">
      <w:pPr>
        <w:spacing w:after="0" w:line="240" w:lineRule="auto"/>
        <w:ind w:right="49"/>
        <w:jc w:val="both"/>
        <w:rPr>
          <w:rFonts w:ascii="Arial" w:hAnsi="Arial" w:cs="Arial"/>
          <w:bCs/>
          <w:color w:val="000000" w:themeColor="text1"/>
        </w:rPr>
      </w:pPr>
      <w:r w:rsidRPr="000E74A1">
        <w:rPr>
          <w:rFonts w:ascii="Arial" w:hAnsi="Arial" w:cs="Arial"/>
          <w:bCs/>
          <w:color w:val="000000" w:themeColor="text1"/>
        </w:rPr>
        <w:t xml:space="preserve">La Visitaduría General procede a acordar la </w:t>
      </w:r>
      <w:r w:rsidR="00967420" w:rsidRPr="00967420">
        <w:rPr>
          <w:rFonts w:ascii="Arial" w:hAnsi="Arial" w:cs="Arial"/>
          <w:b/>
          <w:bCs/>
          <w:color w:val="000000" w:themeColor="text1"/>
        </w:rPr>
        <w:t>reserva total</w:t>
      </w:r>
      <w:r w:rsidR="00967420" w:rsidRPr="000E74A1">
        <w:rPr>
          <w:rFonts w:ascii="Arial" w:hAnsi="Arial" w:cs="Arial"/>
          <w:bCs/>
          <w:color w:val="000000" w:themeColor="text1"/>
        </w:rPr>
        <w:t xml:space="preserve"> </w:t>
      </w:r>
      <w:r w:rsidRPr="000E74A1">
        <w:rPr>
          <w:rFonts w:ascii="Arial" w:hAnsi="Arial" w:cs="Arial"/>
          <w:bCs/>
          <w:color w:val="000000" w:themeColor="text1"/>
        </w:rPr>
        <w:t xml:space="preserve">de la información que se requiere para dar atención a la Solicitud de Acceso a la Información No. UT-SI-P-089-240469825000089-2026, recurrida por HECTOR MIGUEL MEDINA OCEJO consistente en: </w:t>
      </w:r>
    </w:p>
    <w:p w:rsidR="000E74A1" w:rsidRPr="000E74A1" w:rsidRDefault="000E74A1" w:rsidP="002F6CEE">
      <w:pPr>
        <w:spacing w:after="0" w:line="240" w:lineRule="auto"/>
        <w:ind w:right="49"/>
        <w:jc w:val="both"/>
        <w:rPr>
          <w:rFonts w:ascii="Arial" w:hAnsi="Arial" w:cs="Arial"/>
          <w:bCs/>
          <w:color w:val="000000" w:themeColor="text1"/>
        </w:rPr>
      </w:pPr>
    </w:p>
    <w:p w:rsidR="000E74A1" w:rsidRPr="000E74A1" w:rsidRDefault="000E74A1" w:rsidP="002F6CEE">
      <w:pPr>
        <w:spacing w:after="0" w:line="240" w:lineRule="auto"/>
        <w:ind w:right="49"/>
        <w:jc w:val="both"/>
        <w:rPr>
          <w:rFonts w:ascii="Arial" w:hAnsi="Arial" w:cs="Arial"/>
          <w:bCs/>
          <w:color w:val="000000" w:themeColor="text1"/>
        </w:rPr>
      </w:pPr>
      <w:r w:rsidRPr="000E74A1">
        <w:rPr>
          <w:rFonts w:ascii="Arial" w:hAnsi="Arial" w:cs="Arial"/>
          <w:bCs/>
          <w:color w:val="000000" w:themeColor="text1"/>
        </w:rPr>
        <w:t xml:space="preserve">1. Que precise detalladamente a que fiscales o agentes del ministerio público de toda la fiscalía general del </w:t>
      </w:r>
      <w:r w:rsidR="00967420">
        <w:rPr>
          <w:rFonts w:ascii="Arial" w:hAnsi="Arial" w:cs="Arial"/>
          <w:bCs/>
          <w:color w:val="000000" w:themeColor="text1"/>
        </w:rPr>
        <w:t>E</w:t>
      </w:r>
      <w:r w:rsidRPr="000E74A1">
        <w:rPr>
          <w:rFonts w:ascii="Arial" w:hAnsi="Arial" w:cs="Arial"/>
          <w:bCs/>
          <w:color w:val="000000" w:themeColor="text1"/>
        </w:rPr>
        <w:t xml:space="preserve">stado de </w:t>
      </w:r>
      <w:r w:rsidR="00967420">
        <w:rPr>
          <w:rFonts w:ascii="Arial" w:hAnsi="Arial" w:cs="Arial"/>
          <w:bCs/>
          <w:color w:val="000000" w:themeColor="text1"/>
        </w:rPr>
        <w:t>San Luis Potosí</w:t>
      </w:r>
      <w:r w:rsidRPr="000E74A1">
        <w:rPr>
          <w:rFonts w:ascii="Arial" w:hAnsi="Arial" w:cs="Arial"/>
          <w:bCs/>
          <w:color w:val="000000" w:themeColor="text1"/>
        </w:rPr>
        <w:t xml:space="preserve"> han sido denunciados penalmente?</w:t>
      </w:r>
    </w:p>
    <w:p w:rsidR="00967420" w:rsidRDefault="00967420" w:rsidP="002F6CEE">
      <w:pPr>
        <w:spacing w:after="0" w:line="240" w:lineRule="auto"/>
        <w:ind w:right="49"/>
        <w:jc w:val="both"/>
        <w:rPr>
          <w:rFonts w:ascii="Arial" w:hAnsi="Arial" w:cs="Arial"/>
          <w:bCs/>
          <w:color w:val="000000" w:themeColor="text1"/>
        </w:rPr>
      </w:pPr>
    </w:p>
    <w:p w:rsidR="000E74A1" w:rsidRPr="000E74A1" w:rsidRDefault="000E74A1" w:rsidP="002F6CEE">
      <w:pPr>
        <w:spacing w:after="0" w:line="240" w:lineRule="auto"/>
        <w:ind w:right="49"/>
        <w:jc w:val="both"/>
        <w:rPr>
          <w:rFonts w:ascii="Arial" w:hAnsi="Arial" w:cs="Arial"/>
          <w:bCs/>
          <w:color w:val="000000" w:themeColor="text1"/>
        </w:rPr>
      </w:pPr>
      <w:r w:rsidRPr="000E74A1">
        <w:rPr>
          <w:rFonts w:ascii="Arial" w:hAnsi="Arial" w:cs="Arial"/>
          <w:bCs/>
          <w:color w:val="000000" w:themeColor="text1"/>
        </w:rPr>
        <w:t xml:space="preserve">2. Que precise detalladamente a que fiscales o agentes del ministerio público de toda la fiscalía general del </w:t>
      </w:r>
      <w:r w:rsidR="00967420">
        <w:rPr>
          <w:rFonts w:ascii="Arial" w:hAnsi="Arial" w:cs="Arial"/>
          <w:bCs/>
          <w:color w:val="000000" w:themeColor="text1"/>
        </w:rPr>
        <w:t>E</w:t>
      </w:r>
      <w:r w:rsidRPr="000E74A1">
        <w:rPr>
          <w:rFonts w:ascii="Arial" w:hAnsi="Arial" w:cs="Arial"/>
          <w:bCs/>
          <w:color w:val="000000" w:themeColor="text1"/>
        </w:rPr>
        <w:t xml:space="preserve">stado de </w:t>
      </w:r>
      <w:r w:rsidR="00967420">
        <w:rPr>
          <w:rFonts w:ascii="Arial" w:hAnsi="Arial" w:cs="Arial"/>
          <w:bCs/>
          <w:color w:val="000000" w:themeColor="text1"/>
        </w:rPr>
        <w:t>San Luis Potosí</w:t>
      </w:r>
      <w:r w:rsidRPr="000E74A1">
        <w:rPr>
          <w:rFonts w:ascii="Arial" w:hAnsi="Arial" w:cs="Arial"/>
          <w:bCs/>
          <w:color w:val="000000" w:themeColor="text1"/>
        </w:rPr>
        <w:t xml:space="preserve"> se les ha presentado querella penal?</w:t>
      </w:r>
    </w:p>
    <w:p w:rsidR="00967420" w:rsidRDefault="00967420" w:rsidP="002F6CEE">
      <w:pPr>
        <w:spacing w:after="0" w:line="240" w:lineRule="auto"/>
        <w:ind w:right="49"/>
        <w:jc w:val="both"/>
        <w:rPr>
          <w:rFonts w:ascii="Arial" w:hAnsi="Arial" w:cs="Arial"/>
          <w:bCs/>
          <w:color w:val="000000" w:themeColor="text1"/>
        </w:rPr>
      </w:pPr>
    </w:p>
    <w:p w:rsidR="000E74A1" w:rsidRPr="000E74A1" w:rsidRDefault="000E74A1" w:rsidP="002F6CEE">
      <w:pPr>
        <w:spacing w:after="0" w:line="240" w:lineRule="auto"/>
        <w:ind w:right="49"/>
        <w:jc w:val="both"/>
        <w:rPr>
          <w:rFonts w:ascii="Arial" w:hAnsi="Arial" w:cs="Arial"/>
          <w:bCs/>
          <w:color w:val="000000" w:themeColor="text1"/>
        </w:rPr>
      </w:pPr>
      <w:r w:rsidRPr="000E74A1">
        <w:rPr>
          <w:rFonts w:ascii="Arial" w:hAnsi="Arial" w:cs="Arial"/>
          <w:bCs/>
          <w:color w:val="000000" w:themeColor="text1"/>
        </w:rPr>
        <w:t>3. En ambos supuestos antes mencionados, ¿que precise porque hechos de apariencia de delito se les ha atribuido a los fiscales o agentes del ministerio público?</w:t>
      </w:r>
    </w:p>
    <w:p w:rsidR="00967420" w:rsidRDefault="00967420" w:rsidP="002F6CEE">
      <w:pPr>
        <w:spacing w:after="0" w:line="240" w:lineRule="auto"/>
        <w:ind w:right="49"/>
        <w:jc w:val="both"/>
        <w:rPr>
          <w:rFonts w:ascii="Arial" w:hAnsi="Arial" w:cs="Arial"/>
          <w:bCs/>
          <w:color w:val="000000" w:themeColor="text1"/>
        </w:rPr>
      </w:pPr>
    </w:p>
    <w:p w:rsidR="009B2CA7" w:rsidRDefault="000E74A1" w:rsidP="002F6CEE">
      <w:pPr>
        <w:spacing w:after="0" w:line="240" w:lineRule="auto"/>
        <w:ind w:right="49"/>
        <w:jc w:val="both"/>
        <w:rPr>
          <w:rFonts w:ascii="Arial" w:hAnsi="Arial" w:cs="Arial"/>
          <w:bCs/>
          <w:color w:val="000000" w:themeColor="text1"/>
        </w:rPr>
      </w:pPr>
      <w:r w:rsidRPr="000E74A1">
        <w:rPr>
          <w:rFonts w:ascii="Arial" w:hAnsi="Arial" w:cs="Arial"/>
          <w:bCs/>
          <w:color w:val="000000" w:themeColor="text1"/>
        </w:rPr>
        <w:t>4. Que precise a que fiscales o agentes del ministerio público de toda la fiscalía han sido objeto de un procedimiento interno y que sanción se les ha aplicado?</w:t>
      </w:r>
    </w:p>
    <w:p w:rsidR="00967420" w:rsidRPr="003B554C" w:rsidRDefault="00967420" w:rsidP="002F6CEE">
      <w:pPr>
        <w:spacing w:after="0" w:line="240" w:lineRule="auto"/>
        <w:ind w:right="49"/>
        <w:jc w:val="both"/>
        <w:rPr>
          <w:rFonts w:ascii="Arial" w:hAnsi="Arial" w:cs="Arial"/>
          <w:bCs/>
          <w:color w:val="000000" w:themeColor="text1"/>
        </w:rPr>
      </w:pPr>
    </w:p>
    <w:p w:rsidR="00BF3665" w:rsidRPr="003B554C" w:rsidRDefault="009819AE" w:rsidP="002F6CEE">
      <w:pPr>
        <w:pStyle w:val="Prrafodelista"/>
        <w:numPr>
          <w:ilvl w:val="0"/>
          <w:numId w:val="17"/>
        </w:numPr>
        <w:jc w:val="both"/>
        <w:rPr>
          <w:rFonts w:ascii="Arial" w:hAnsi="Arial" w:cs="Arial"/>
          <w:sz w:val="22"/>
          <w:szCs w:val="22"/>
        </w:rPr>
      </w:pPr>
      <w:r w:rsidRPr="003B554C">
        <w:rPr>
          <w:rFonts w:ascii="Arial" w:hAnsi="Arial" w:cs="Arial"/>
          <w:b/>
          <w:sz w:val="22"/>
          <w:szCs w:val="22"/>
        </w:rPr>
        <w:t>El período por el que mantendrá su clasificación y fecha de expedición;</w:t>
      </w:r>
    </w:p>
    <w:p w:rsidR="00BF3665" w:rsidRPr="003B554C" w:rsidRDefault="009819AE" w:rsidP="002F6CEE">
      <w:pPr>
        <w:spacing w:after="0" w:line="240" w:lineRule="auto"/>
        <w:jc w:val="both"/>
        <w:rPr>
          <w:rFonts w:ascii="Arial" w:hAnsi="Arial" w:cs="Arial"/>
        </w:rPr>
      </w:pPr>
      <w:r w:rsidRPr="003B554C">
        <w:rPr>
          <w:rFonts w:ascii="Arial" w:hAnsi="Arial" w:cs="Arial"/>
        </w:rPr>
        <w:t>Período. 5 años.</w:t>
      </w:r>
    </w:p>
    <w:p w:rsidR="000C23C7" w:rsidRPr="003B554C" w:rsidRDefault="000C23C7" w:rsidP="002F6CEE">
      <w:pPr>
        <w:spacing w:after="0" w:line="240" w:lineRule="auto"/>
        <w:jc w:val="both"/>
        <w:rPr>
          <w:rFonts w:ascii="Arial" w:hAnsi="Arial" w:cs="Arial"/>
        </w:rPr>
      </w:pPr>
    </w:p>
    <w:p w:rsidR="00BF3665" w:rsidRPr="003B554C" w:rsidRDefault="00F6015F" w:rsidP="002F6CEE">
      <w:pPr>
        <w:spacing w:line="240" w:lineRule="auto"/>
        <w:jc w:val="both"/>
        <w:rPr>
          <w:rFonts w:ascii="Arial" w:eastAsia="Times New Roman" w:hAnsi="Arial" w:cs="Arial"/>
        </w:rPr>
      </w:pPr>
      <w:r w:rsidRPr="003B554C">
        <w:rPr>
          <w:rFonts w:ascii="Arial" w:eastAsia="Times New Roman" w:hAnsi="Arial" w:cs="Arial"/>
        </w:rPr>
        <w:t xml:space="preserve">Fecha de expiración: </w:t>
      </w:r>
      <w:r w:rsidR="007F24DE" w:rsidRPr="003B554C">
        <w:rPr>
          <w:rFonts w:ascii="Arial" w:eastAsia="Times New Roman" w:hAnsi="Arial" w:cs="Arial"/>
          <w:b/>
        </w:rPr>
        <w:t>0</w:t>
      </w:r>
      <w:r w:rsidR="00D566DC" w:rsidRPr="003B554C">
        <w:rPr>
          <w:rFonts w:ascii="Arial" w:eastAsia="Times New Roman" w:hAnsi="Arial" w:cs="Arial"/>
          <w:b/>
        </w:rPr>
        <w:t>5</w:t>
      </w:r>
      <w:r w:rsidR="009F136E" w:rsidRPr="003B554C">
        <w:rPr>
          <w:rFonts w:ascii="Arial" w:eastAsia="Times New Roman" w:hAnsi="Arial" w:cs="Arial"/>
          <w:b/>
        </w:rPr>
        <w:t xml:space="preserve"> de </w:t>
      </w:r>
      <w:r w:rsidR="00A80343" w:rsidRPr="003B554C">
        <w:rPr>
          <w:rFonts w:ascii="Arial" w:eastAsia="Times New Roman" w:hAnsi="Arial" w:cs="Arial"/>
          <w:b/>
        </w:rPr>
        <w:t>marzo</w:t>
      </w:r>
      <w:r w:rsidR="009819AE" w:rsidRPr="003B554C">
        <w:rPr>
          <w:rFonts w:ascii="Arial" w:eastAsia="Times New Roman" w:hAnsi="Arial" w:cs="Arial"/>
          <w:b/>
        </w:rPr>
        <w:t xml:space="preserve"> 20</w:t>
      </w:r>
      <w:r w:rsidR="005E66F3" w:rsidRPr="003B554C">
        <w:rPr>
          <w:rFonts w:ascii="Arial" w:eastAsia="Times New Roman" w:hAnsi="Arial" w:cs="Arial"/>
          <w:b/>
        </w:rPr>
        <w:t>3</w:t>
      </w:r>
      <w:r w:rsidR="00F042CD" w:rsidRPr="003B554C">
        <w:rPr>
          <w:rFonts w:ascii="Arial" w:eastAsia="Times New Roman" w:hAnsi="Arial" w:cs="Arial"/>
          <w:b/>
        </w:rPr>
        <w:t>1</w:t>
      </w:r>
      <w:r w:rsidR="009819AE" w:rsidRPr="003B554C">
        <w:rPr>
          <w:rFonts w:ascii="Arial" w:eastAsia="Times New Roman" w:hAnsi="Arial" w:cs="Arial"/>
        </w:rPr>
        <w:t xml:space="preserve">. Que cumple con lo establecido por el lineamiento </w:t>
      </w:r>
      <w:r w:rsidR="00481D63" w:rsidRPr="003B554C">
        <w:rPr>
          <w:rFonts w:ascii="Arial" w:eastAsia="Times New Roman" w:hAnsi="Arial" w:cs="Arial"/>
        </w:rPr>
        <w:t>t</w:t>
      </w:r>
      <w:r w:rsidR="009819AE" w:rsidRPr="003B554C">
        <w:rPr>
          <w:rFonts w:ascii="Arial" w:eastAsia="Times New Roman" w:hAnsi="Arial" w:cs="Arial"/>
        </w:rPr>
        <w:t>rigésimo cuarto de los LG</w:t>
      </w:r>
      <w:r w:rsidR="00D566DC" w:rsidRPr="003B554C">
        <w:rPr>
          <w:rFonts w:ascii="Arial" w:eastAsia="Times New Roman" w:hAnsi="Arial" w:cs="Arial"/>
        </w:rPr>
        <w:t>M</w:t>
      </w:r>
      <w:r w:rsidR="009819AE" w:rsidRPr="003B554C">
        <w:rPr>
          <w:rFonts w:ascii="Arial" w:eastAsia="Times New Roman" w:hAnsi="Arial" w:cs="Arial"/>
        </w:rPr>
        <w:t>CDIEVP. Señalando las razones por las cuales se estableció el plazo de reserva determinado, mismas que están relacionadas y sustentadas con la prueba de daño.</w:t>
      </w:r>
    </w:p>
    <w:p w:rsidR="001E22D9" w:rsidRPr="003B554C" w:rsidRDefault="001E22D9" w:rsidP="002F6CEE">
      <w:pPr>
        <w:pStyle w:val="Prrafodelista"/>
        <w:numPr>
          <w:ilvl w:val="0"/>
          <w:numId w:val="17"/>
        </w:numPr>
        <w:jc w:val="both"/>
        <w:rPr>
          <w:rFonts w:ascii="Arial" w:hAnsi="Arial" w:cs="Arial"/>
          <w:b/>
          <w:sz w:val="22"/>
          <w:szCs w:val="22"/>
        </w:rPr>
      </w:pPr>
      <w:r w:rsidRPr="003B554C">
        <w:rPr>
          <w:rFonts w:ascii="Arial" w:hAnsi="Arial" w:cs="Arial"/>
          <w:b/>
          <w:sz w:val="22"/>
          <w:szCs w:val="22"/>
        </w:rPr>
        <w:t>El nombre del titular o área encargada de realizar la revisión pública del documento, en su caso.</w:t>
      </w:r>
    </w:p>
    <w:p w:rsidR="001E22D9" w:rsidRPr="003B554C" w:rsidRDefault="00A15922" w:rsidP="002F6CEE">
      <w:pPr>
        <w:spacing w:line="240" w:lineRule="auto"/>
        <w:jc w:val="both"/>
        <w:rPr>
          <w:rFonts w:ascii="Arial" w:hAnsi="Arial" w:cs="Arial"/>
        </w:rPr>
      </w:pPr>
      <w:r w:rsidRPr="003B554C">
        <w:rPr>
          <w:rFonts w:ascii="Arial" w:hAnsi="Arial" w:cs="Arial"/>
        </w:rPr>
        <w:t>N</w:t>
      </w:r>
      <w:r w:rsidR="001E22D9" w:rsidRPr="003B554C">
        <w:rPr>
          <w:rFonts w:ascii="Arial" w:hAnsi="Arial" w:cs="Arial"/>
        </w:rPr>
        <w:t xml:space="preserve">o se realizará versión pública. </w:t>
      </w:r>
    </w:p>
    <w:p w:rsidR="00BF3665" w:rsidRPr="003B554C" w:rsidRDefault="009819AE" w:rsidP="002F6CEE">
      <w:pPr>
        <w:pStyle w:val="Prrafodelista"/>
        <w:numPr>
          <w:ilvl w:val="0"/>
          <w:numId w:val="17"/>
        </w:numPr>
        <w:jc w:val="both"/>
        <w:rPr>
          <w:rFonts w:ascii="Arial" w:hAnsi="Arial" w:cs="Arial"/>
          <w:b/>
          <w:sz w:val="22"/>
          <w:szCs w:val="22"/>
        </w:rPr>
      </w:pPr>
      <w:r w:rsidRPr="003B554C">
        <w:rPr>
          <w:rFonts w:ascii="Arial" w:hAnsi="Arial" w:cs="Arial"/>
          <w:b/>
          <w:sz w:val="22"/>
          <w:szCs w:val="22"/>
        </w:rPr>
        <w:t>Efectos de la resolución.</w:t>
      </w:r>
    </w:p>
    <w:p w:rsidR="00FF1B19" w:rsidRPr="003B554C" w:rsidRDefault="00FF1B19" w:rsidP="002F6CEE">
      <w:pPr>
        <w:spacing w:line="240" w:lineRule="auto"/>
        <w:jc w:val="both"/>
        <w:rPr>
          <w:rFonts w:ascii="Arial" w:hAnsi="Arial" w:cs="Arial"/>
        </w:rPr>
      </w:pPr>
      <w:r w:rsidRPr="003B554C">
        <w:rPr>
          <w:rFonts w:ascii="Arial" w:hAnsi="Arial" w:cs="Arial"/>
        </w:rPr>
        <w:t xml:space="preserve">El Comité de Transparencia en Pleno determinó procedente confirmar el </w:t>
      </w:r>
      <w:r w:rsidR="008565C9" w:rsidRPr="003B554C">
        <w:rPr>
          <w:rFonts w:ascii="Arial" w:hAnsi="Arial" w:cs="Arial"/>
        </w:rPr>
        <w:t xml:space="preserve">acuerdo de reserva </w:t>
      </w:r>
      <w:r w:rsidR="00967420">
        <w:rPr>
          <w:rFonts w:ascii="Arial" w:hAnsi="Arial" w:cs="Arial"/>
          <w:b/>
        </w:rPr>
        <w:t xml:space="preserve">total </w:t>
      </w:r>
      <w:r w:rsidR="00F35821" w:rsidRPr="003B554C">
        <w:rPr>
          <w:rFonts w:ascii="Arial" w:hAnsi="Arial" w:cs="Arial"/>
          <w:b/>
        </w:rPr>
        <w:t>AR/0</w:t>
      </w:r>
      <w:r w:rsidR="00967420">
        <w:rPr>
          <w:rFonts w:ascii="Arial" w:hAnsi="Arial" w:cs="Arial"/>
          <w:b/>
        </w:rPr>
        <w:t>3</w:t>
      </w:r>
      <w:r w:rsidR="00F35821" w:rsidRPr="003B554C">
        <w:rPr>
          <w:rFonts w:ascii="Arial" w:hAnsi="Arial" w:cs="Arial"/>
          <w:b/>
        </w:rPr>
        <w:t>/2026</w:t>
      </w:r>
      <w:r w:rsidR="00F35821" w:rsidRPr="003B554C">
        <w:rPr>
          <w:rFonts w:ascii="Arial" w:hAnsi="Arial" w:cs="Arial"/>
        </w:rPr>
        <w:t xml:space="preserve"> </w:t>
      </w:r>
      <w:r w:rsidRPr="003B554C">
        <w:rPr>
          <w:rFonts w:ascii="Arial" w:hAnsi="Arial" w:cs="Arial"/>
        </w:rPr>
        <w:t>emitido por</w:t>
      </w:r>
      <w:r w:rsidR="007F24DE" w:rsidRPr="003B554C">
        <w:rPr>
          <w:rFonts w:ascii="Arial" w:hAnsi="Arial" w:cs="Arial"/>
        </w:rPr>
        <w:t xml:space="preserve"> </w:t>
      </w:r>
      <w:r w:rsidR="00D5202E" w:rsidRPr="003B554C">
        <w:rPr>
          <w:rFonts w:ascii="Arial" w:hAnsi="Arial" w:cs="Arial"/>
        </w:rPr>
        <w:t xml:space="preserve">el </w:t>
      </w:r>
      <w:r w:rsidR="00024F43" w:rsidRPr="003B554C">
        <w:rPr>
          <w:rFonts w:ascii="Arial" w:hAnsi="Arial" w:cs="Arial"/>
        </w:rPr>
        <w:t>Visitador, Carlos Gustavo Rodríguez Cruz</w:t>
      </w:r>
      <w:r w:rsidR="002E085B" w:rsidRPr="003B554C">
        <w:rPr>
          <w:rFonts w:ascii="Arial" w:hAnsi="Arial" w:cs="Arial"/>
        </w:rPr>
        <w:t>.</w:t>
      </w:r>
      <w:r w:rsidR="001E24B3" w:rsidRPr="003B554C">
        <w:rPr>
          <w:rFonts w:ascii="Arial" w:hAnsi="Arial" w:cs="Arial"/>
        </w:rPr>
        <w:t xml:space="preserve"> </w:t>
      </w:r>
    </w:p>
    <w:p w:rsidR="00FF1B19" w:rsidRPr="003B554C" w:rsidRDefault="00FF1B19" w:rsidP="002F6CEE">
      <w:pPr>
        <w:spacing w:line="240" w:lineRule="auto"/>
        <w:jc w:val="both"/>
        <w:rPr>
          <w:rFonts w:ascii="Arial" w:hAnsi="Arial" w:cs="Arial"/>
        </w:rPr>
      </w:pPr>
      <w:r w:rsidRPr="003B554C">
        <w:rPr>
          <w:rFonts w:ascii="Arial" w:hAnsi="Arial" w:cs="Arial"/>
        </w:rPr>
        <w:t xml:space="preserve">Se instruye </w:t>
      </w:r>
      <w:r w:rsidR="00375ED0" w:rsidRPr="003B554C">
        <w:rPr>
          <w:rFonts w:ascii="Arial" w:hAnsi="Arial" w:cs="Arial"/>
        </w:rPr>
        <w:t>a</w:t>
      </w:r>
      <w:r w:rsidR="00D5202E" w:rsidRPr="003B554C">
        <w:rPr>
          <w:rFonts w:ascii="Arial" w:hAnsi="Arial" w:cs="Arial"/>
        </w:rPr>
        <w:t xml:space="preserve">l </w:t>
      </w:r>
      <w:r w:rsidR="00024F43" w:rsidRPr="003B554C">
        <w:rPr>
          <w:rFonts w:ascii="Arial" w:hAnsi="Arial" w:cs="Arial"/>
        </w:rPr>
        <w:t>Visitador, Carlos Gustavo Rodríguez Cruz</w:t>
      </w:r>
      <w:r w:rsidR="00672FE8" w:rsidRPr="003B554C">
        <w:rPr>
          <w:rFonts w:ascii="Arial" w:hAnsi="Arial" w:cs="Arial"/>
        </w:rPr>
        <w:t xml:space="preserve">, </w:t>
      </w:r>
      <w:r w:rsidR="00FD350E" w:rsidRPr="003B554C">
        <w:rPr>
          <w:rFonts w:ascii="Arial" w:hAnsi="Arial" w:cs="Arial"/>
        </w:rPr>
        <w:t xml:space="preserve">para </w:t>
      </w:r>
      <w:r w:rsidRPr="003B554C">
        <w:rPr>
          <w:rFonts w:ascii="Arial" w:hAnsi="Arial" w:cs="Arial"/>
        </w:rPr>
        <w:t xml:space="preserve">que notifique a los </w:t>
      </w:r>
      <w:r w:rsidR="00DA4A66" w:rsidRPr="003B554C">
        <w:rPr>
          <w:rFonts w:ascii="Arial" w:hAnsi="Arial" w:cs="Arial"/>
        </w:rPr>
        <w:t>t</w:t>
      </w:r>
      <w:r w:rsidRPr="003B554C">
        <w:rPr>
          <w:rFonts w:ascii="Arial" w:hAnsi="Arial" w:cs="Arial"/>
        </w:rPr>
        <w:t xml:space="preserve">itulares de las diversas áreas de la </w:t>
      </w:r>
      <w:r w:rsidR="00481D63" w:rsidRPr="003B554C">
        <w:rPr>
          <w:rFonts w:ascii="Arial" w:hAnsi="Arial" w:cs="Arial"/>
        </w:rPr>
        <w:t>i</w:t>
      </w:r>
      <w:r w:rsidRPr="003B554C">
        <w:rPr>
          <w:rFonts w:ascii="Arial" w:hAnsi="Arial" w:cs="Arial"/>
        </w:rPr>
        <w:t>nstitución que deberán de conocer esta resolución.</w:t>
      </w:r>
    </w:p>
    <w:p w:rsidR="00BF3665" w:rsidRPr="003B554C" w:rsidRDefault="009819AE" w:rsidP="002F6CEE">
      <w:pPr>
        <w:spacing w:line="240" w:lineRule="auto"/>
        <w:jc w:val="both"/>
        <w:rPr>
          <w:rFonts w:ascii="Arial" w:hAnsi="Arial" w:cs="Arial"/>
        </w:rPr>
      </w:pPr>
      <w:r w:rsidRPr="003B554C">
        <w:rPr>
          <w:rFonts w:ascii="Arial" w:hAnsi="Arial" w:cs="Arial"/>
        </w:rPr>
        <w:t>Se instruye</w:t>
      </w:r>
      <w:r w:rsidR="00E8129C" w:rsidRPr="003B554C">
        <w:rPr>
          <w:rFonts w:ascii="Arial" w:hAnsi="Arial" w:cs="Arial"/>
        </w:rPr>
        <w:t xml:space="preserve"> </w:t>
      </w:r>
      <w:r w:rsidR="00C63668" w:rsidRPr="003B554C">
        <w:rPr>
          <w:rFonts w:ascii="Arial" w:hAnsi="Arial" w:cs="Arial"/>
        </w:rPr>
        <w:t>a</w:t>
      </w:r>
      <w:r w:rsidR="00D5202E" w:rsidRPr="003B554C">
        <w:rPr>
          <w:rFonts w:ascii="Arial" w:hAnsi="Arial" w:cs="Arial"/>
        </w:rPr>
        <w:t xml:space="preserve">l </w:t>
      </w:r>
      <w:r w:rsidR="00024F43" w:rsidRPr="003B554C">
        <w:rPr>
          <w:rFonts w:ascii="Arial" w:hAnsi="Arial" w:cs="Arial"/>
        </w:rPr>
        <w:t>Visitador, Carlos Gustavo Rodríguez Cruz</w:t>
      </w:r>
      <w:r w:rsidR="00672FE8" w:rsidRPr="003B554C">
        <w:rPr>
          <w:rFonts w:ascii="Arial" w:hAnsi="Arial" w:cs="Arial"/>
        </w:rPr>
        <w:t xml:space="preserve">, </w:t>
      </w:r>
      <w:r w:rsidRPr="003B554C">
        <w:rPr>
          <w:rFonts w:ascii="Arial" w:hAnsi="Arial" w:cs="Arial"/>
        </w:rPr>
        <w:t xml:space="preserve">a que realice las anotaciones correspondientes en los documentos clasificados como reservados, de conformidad con el artículo 121 de la LTAIPSLP, concatenado con el lineamiento </w:t>
      </w:r>
      <w:r w:rsidR="002E085B" w:rsidRPr="003B554C">
        <w:rPr>
          <w:rFonts w:ascii="Arial" w:hAnsi="Arial" w:cs="Arial"/>
        </w:rPr>
        <w:t>q</w:t>
      </w:r>
      <w:r w:rsidRPr="003B554C">
        <w:rPr>
          <w:rFonts w:ascii="Arial" w:hAnsi="Arial" w:cs="Arial"/>
        </w:rPr>
        <w:t xml:space="preserve">uincuagésimo </w:t>
      </w:r>
      <w:r w:rsidR="002E085B" w:rsidRPr="003B554C">
        <w:rPr>
          <w:rFonts w:ascii="Arial" w:hAnsi="Arial" w:cs="Arial"/>
        </w:rPr>
        <w:t>p</w:t>
      </w:r>
      <w:r w:rsidRPr="003B554C">
        <w:rPr>
          <w:rFonts w:ascii="Arial" w:hAnsi="Arial" w:cs="Arial"/>
        </w:rPr>
        <w:t xml:space="preserve">rimero de los LGCDIEVP. </w:t>
      </w:r>
    </w:p>
    <w:p w:rsidR="00BF3665" w:rsidRPr="003B554C" w:rsidRDefault="009819AE" w:rsidP="002F6CEE">
      <w:pPr>
        <w:spacing w:line="240" w:lineRule="auto"/>
        <w:jc w:val="both"/>
        <w:rPr>
          <w:rFonts w:ascii="Arial" w:hAnsi="Arial" w:cs="Arial"/>
        </w:rPr>
      </w:pPr>
      <w:r w:rsidRPr="003B554C">
        <w:rPr>
          <w:rFonts w:ascii="Arial" w:hAnsi="Arial" w:cs="Arial"/>
        </w:rPr>
        <w:lastRenderedPageBreak/>
        <w:t>Por lo anteriormente expuesto, y fundado por los artículos 51, 52, fracción II y demás relativos aplicables de la LTAIPSLP</w:t>
      </w:r>
      <w:r w:rsidR="002E085B" w:rsidRPr="003B554C">
        <w:rPr>
          <w:rFonts w:ascii="Arial" w:hAnsi="Arial" w:cs="Arial"/>
        </w:rPr>
        <w:t>,</w:t>
      </w:r>
      <w:r w:rsidRPr="003B554C">
        <w:rPr>
          <w:rFonts w:ascii="Arial" w:hAnsi="Arial" w:cs="Arial"/>
        </w:rPr>
        <w:t xml:space="preserve"> y el artículo tercero del </w:t>
      </w:r>
      <w:r w:rsidR="002E085B" w:rsidRPr="003B554C">
        <w:rPr>
          <w:rFonts w:ascii="Arial" w:hAnsi="Arial" w:cs="Arial"/>
        </w:rPr>
        <w:t>a</w:t>
      </w:r>
      <w:r w:rsidRPr="003B554C">
        <w:rPr>
          <w:rFonts w:ascii="Arial" w:hAnsi="Arial" w:cs="Arial"/>
        </w:rPr>
        <w:t xml:space="preserve">cuerdo </w:t>
      </w:r>
      <w:r w:rsidR="002E085B" w:rsidRPr="003B554C">
        <w:rPr>
          <w:rFonts w:ascii="Arial" w:hAnsi="Arial" w:cs="Arial"/>
        </w:rPr>
        <w:t>g</w:t>
      </w:r>
      <w:r w:rsidRPr="003B554C">
        <w:rPr>
          <w:rFonts w:ascii="Arial" w:hAnsi="Arial" w:cs="Arial"/>
        </w:rPr>
        <w:t>eneral número AG/011/2020 se:</w:t>
      </w:r>
    </w:p>
    <w:p w:rsidR="00BF3665" w:rsidRPr="003B554C" w:rsidRDefault="009819AE" w:rsidP="002F6CEE">
      <w:pPr>
        <w:spacing w:line="240" w:lineRule="auto"/>
        <w:jc w:val="center"/>
        <w:rPr>
          <w:rFonts w:ascii="Arial" w:hAnsi="Arial" w:cs="Arial"/>
          <w:b/>
        </w:rPr>
      </w:pPr>
      <w:r w:rsidRPr="003B554C">
        <w:rPr>
          <w:rFonts w:ascii="Arial" w:hAnsi="Arial" w:cs="Arial"/>
          <w:b/>
        </w:rPr>
        <w:t>RESUELVE POR UNANIMIDAD:</w:t>
      </w:r>
    </w:p>
    <w:p w:rsidR="00476EF2" w:rsidRPr="003B554C" w:rsidRDefault="00476EF2" w:rsidP="002F6CEE">
      <w:pPr>
        <w:spacing w:after="0" w:line="240" w:lineRule="auto"/>
        <w:jc w:val="both"/>
        <w:rPr>
          <w:rFonts w:ascii="Arial" w:hAnsi="Arial" w:cs="Arial"/>
        </w:rPr>
      </w:pPr>
      <w:bookmarkStart w:id="1" w:name="_Hlk207360276"/>
      <w:bookmarkStart w:id="2" w:name="_Hlk179366539"/>
      <w:r w:rsidRPr="003B554C">
        <w:rPr>
          <w:rFonts w:ascii="Arial" w:hAnsi="Arial" w:cs="Arial"/>
          <w:b/>
        </w:rPr>
        <w:t>PRIMERO.</w:t>
      </w:r>
      <w:r w:rsidRPr="003B554C">
        <w:rPr>
          <w:rFonts w:ascii="Arial" w:hAnsi="Arial" w:cs="Arial"/>
        </w:rPr>
        <w:t xml:space="preserve"> Se </w:t>
      </w:r>
      <w:r w:rsidRPr="003B554C">
        <w:rPr>
          <w:rFonts w:ascii="Arial" w:hAnsi="Arial" w:cs="Arial"/>
          <w:b/>
        </w:rPr>
        <w:t>confirma</w:t>
      </w:r>
      <w:r w:rsidRPr="003B554C">
        <w:rPr>
          <w:rFonts w:ascii="Arial" w:hAnsi="Arial" w:cs="Arial"/>
        </w:rPr>
        <w:t xml:space="preserve"> y adopta el </w:t>
      </w:r>
      <w:r w:rsidR="001E24B3" w:rsidRPr="003B554C">
        <w:rPr>
          <w:rFonts w:ascii="Arial" w:hAnsi="Arial" w:cs="Arial"/>
        </w:rPr>
        <w:t xml:space="preserve">acuerdo de reserva </w:t>
      </w:r>
      <w:r w:rsidR="00967420">
        <w:rPr>
          <w:rFonts w:ascii="Arial" w:hAnsi="Arial" w:cs="Arial"/>
          <w:b/>
        </w:rPr>
        <w:t>total</w:t>
      </w:r>
      <w:r w:rsidR="00F35821" w:rsidRPr="003B554C">
        <w:rPr>
          <w:rFonts w:ascii="Arial" w:hAnsi="Arial" w:cs="Arial"/>
          <w:b/>
        </w:rPr>
        <w:t xml:space="preserve"> AR/0</w:t>
      </w:r>
      <w:r w:rsidR="00967420">
        <w:rPr>
          <w:rFonts w:ascii="Arial" w:hAnsi="Arial" w:cs="Arial"/>
          <w:b/>
        </w:rPr>
        <w:t>3</w:t>
      </w:r>
      <w:r w:rsidR="00F35821" w:rsidRPr="003B554C">
        <w:rPr>
          <w:rFonts w:ascii="Arial" w:hAnsi="Arial" w:cs="Arial"/>
          <w:b/>
        </w:rPr>
        <w:t>/2026</w:t>
      </w:r>
      <w:r w:rsidRPr="003B554C">
        <w:rPr>
          <w:rFonts w:ascii="Arial" w:hAnsi="Arial" w:cs="Arial"/>
        </w:rPr>
        <w:t>,</w:t>
      </w:r>
      <w:r w:rsidRPr="003B554C">
        <w:rPr>
          <w:rFonts w:ascii="Arial" w:hAnsi="Arial" w:cs="Arial"/>
          <w:b/>
        </w:rPr>
        <w:t xml:space="preserve"> </w:t>
      </w:r>
      <w:r w:rsidRPr="003B554C">
        <w:rPr>
          <w:rFonts w:ascii="Arial" w:hAnsi="Arial" w:cs="Arial"/>
        </w:rPr>
        <w:t xml:space="preserve">emitido por </w:t>
      </w:r>
      <w:r w:rsidR="00D5202E" w:rsidRPr="003B554C">
        <w:rPr>
          <w:rFonts w:ascii="Arial" w:hAnsi="Arial" w:cs="Arial"/>
        </w:rPr>
        <w:t xml:space="preserve">el </w:t>
      </w:r>
      <w:r w:rsidR="00024F43" w:rsidRPr="003B554C">
        <w:rPr>
          <w:rFonts w:ascii="Arial" w:hAnsi="Arial" w:cs="Arial"/>
        </w:rPr>
        <w:t>Visitador, Carlos Gustavo Rodríguez Cruz</w:t>
      </w:r>
      <w:r w:rsidR="00672FE8" w:rsidRPr="003B554C">
        <w:rPr>
          <w:rFonts w:ascii="Arial" w:hAnsi="Arial" w:cs="Arial"/>
        </w:rPr>
        <w:t xml:space="preserve">, </w:t>
      </w:r>
      <w:r w:rsidRPr="003B554C">
        <w:rPr>
          <w:rFonts w:ascii="Arial" w:hAnsi="Arial" w:cs="Arial"/>
        </w:rPr>
        <w:t xml:space="preserve">por las razones y fundamentos expuestos en el considerando </w:t>
      </w:r>
      <w:r w:rsidR="001E24B3" w:rsidRPr="003B554C">
        <w:rPr>
          <w:rFonts w:ascii="Arial" w:hAnsi="Arial" w:cs="Arial"/>
          <w:i/>
        </w:rPr>
        <w:t>tercero</w:t>
      </w:r>
      <w:r w:rsidRPr="003B554C">
        <w:rPr>
          <w:rFonts w:ascii="Arial" w:hAnsi="Arial" w:cs="Arial"/>
        </w:rPr>
        <w:t xml:space="preserve"> de la presente resolución. </w:t>
      </w:r>
    </w:p>
    <w:p w:rsidR="007E043D" w:rsidRPr="003B554C" w:rsidRDefault="007E043D" w:rsidP="002F6CEE">
      <w:pPr>
        <w:spacing w:after="0" w:line="240" w:lineRule="auto"/>
        <w:jc w:val="both"/>
        <w:rPr>
          <w:rFonts w:ascii="Arial" w:hAnsi="Arial" w:cs="Arial"/>
          <w:b/>
        </w:rPr>
      </w:pPr>
    </w:p>
    <w:p w:rsidR="000940CE" w:rsidRPr="003B554C" w:rsidRDefault="00476EF2" w:rsidP="002F6CEE">
      <w:pPr>
        <w:spacing w:after="0" w:line="240" w:lineRule="auto"/>
        <w:jc w:val="both"/>
        <w:rPr>
          <w:rFonts w:ascii="Arial" w:hAnsi="Arial" w:cs="Arial"/>
        </w:rPr>
      </w:pPr>
      <w:r w:rsidRPr="003B554C">
        <w:rPr>
          <w:rFonts w:ascii="Arial" w:hAnsi="Arial" w:cs="Arial"/>
          <w:b/>
        </w:rPr>
        <w:t xml:space="preserve">SEGUNDO. </w:t>
      </w:r>
      <w:r w:rsidR="000940CE" w:rsidRPr="003B554C">
        <w:rPr>
          <w:rFonts w:ascii="Arial" w:hAnsi="Arial" w:cs="Arial"/>
        </w:rPr>
        <w:t xml:space="preserve">El </w:t>
      </w:r>
      <w:r w:rsidR="00024F43" w:rsidRPr="003B554C">
        <w:rPr>
          <w:rFonts w:ascii="Arial" w:hAnsi="Arial" w:cs="Arial"/>
        </w:rPr>
        <w:t>Visitador, Carlos Gustavo Rodríguez Cruz</w:t>
      </w:r>
      <w:r w:rsidR="000940CE" w:rsidRPr="003B554C">
        <w:rPr>
          <w:rFonts w:ascii="Arial" w:hAnsi="Arial" w:cs="Arial"/>
        </w:rPr>
        <w:t xml:space="preserve">, debe solicitar la desclasificación una vez que hayan fenecido las causas que dieron origen a la reserva o haya concluido el plazo establecido en el considerando </w:t>
      </w:r>
      <w:r w:rsidR="000940CE" w:rsidRPr="003B554C">
        <w:rPr>
          <w:rFonts w:ascii="Arial" w:hAnsi="Arial" w:cs="Arial"/>
          <w:i/>
        </w:rPr>
        <w:t>tercero</w:t>
      </w:r>
      <w:r w:rsidR="000940CE" w:rsidRPr="003B554C">
        <w:rPr>
          <w:rFonts w:ascii="Arial" w:hAnsi="Arial" w:cs="Arial"/>
        </w:rPr>
        <w:t xml:space="preserve"> fracción III de la presente resolución.</w:t>
      </w:r>
    </w:p>
    <w:p w:rsidR="007E043D" w:rsidRPr="003B554C" w:rsidRDefault="007E043D" w:rsidP="002F6CEE">
      <w:pPr>
        <w:spacing w:after="0" w:line="240" w:lineRule="auto"/>
        <w:jc w:val="both"/>
        <w:rPr>
          <w:rFonts w:ascii="Arial" w:hAnsi="Arial" w:cs="Arial"/>
          <w:b/>
        </w:rPr>
      </w:pPr>
    </w:p>
    <w:p w:rsidR="000940CE" w:rsidRPr="003B554C" w:rsidRDefault="00476EF2" w:rsidP="002F6CEE">
      <w:pPr>
        <w:spacing w:after="0" w:line="240" w:lineRule="auto"/>
        <w:jc w:val="both"/>
        <w:rPr>
          <w:rFonts w:ascii="Arial" w:hAnsi="Arial" w:cs="Arial"/>
        </w:rPr>
      </w:pPr>
      <w:r w:rsidRPr="003B554C">
        <w:rPr>
          <w:rFonts w:ascii="Arial" w:hAnsi="Arial" w:cs="Arial"/>
          <w:b/>
        </w:rPr>
        <w:t xml:space="preserve">TERCERO. </w:t>
      </w:r>
      <w:r w:rsidR="000940CE" w:rsidRPr="003B554C">
        <w:rPr>
          <w:rFonts w:ascii="Arial" w:hAnsi="Arial" w:cs="Arial"/>
        </w:rPr>
        <w:t xml:space="preserve">Se instruye al </w:t>
      </w:r>
      <w:r w:rsidR="00024F43" w:rsidRPr="003B554C">
        <w:rPr>
          <w:rFonts w:ascii="Arial" w:hAnsi="Arial" w:cs="Arial"/>
        </w:rPr>
        <w:t>Visitador, Carlos Gustavo Rodríguez Cruz</w:t>
      </w:r>
      <w:r w:rsidR="000940CE" w:rsidRPr="003B554C">
        <w:rPr>
          <w:rFonts w:ascii="Arial" w:hAnsi="Arial" w:cs="Arial"/>
        </w:rPr>
        <w:t xml:space="preserve">, para que dé cumplimiento a los efectos de la presente resolución establecidos en el considerando </w:t>
      </w:r>
      <w:r w:rsidR="000940CE" w:rsidRPr="003B554C">
        <w:rPr>
          <w:rFonts w:ascii="Arial" w:hAnsi="Arial" w:cs="Arial"/>
          <w:i/>
        </w:rPr>
        <w:t>tercero</w:t>
      </w:r>
      <w:r w:rsidR="000940CE" w:rsidRPr="003B554C">
        <w:rPr>
          <w:rFonts w:ascii="Arial" w:hAnsi="Arial" w:cs="Arial"/>
        </w:rPr>
        <w:t xml:space="preserve"> fracción V.</w:t>
      </w:r>
    </w:p>
    <w:bookmarkEnd w:id="1"/>
    <w:p w:rsidR="00315C9C" w:rsidRPr="003B554C" w:rsidRDefault="00315C9C" w:rsidP="002F6CEE">
      <w:pPr>
        <w:spacing w:after="0" w:line="240" w:lineRule="auto"/>
        <w:jc w:val="both"/>
        <w:rPr>
          <w:rFonts w:ascii="Arial" w:hAnsi="Arial" w:cs="Arial"/>
        </w:rPr>
      </w:pPr>
    </w:p>
    <w:p w:rsidR="0064745D" w:rsidRPr="003B554C" w:rsidRDefault="009819AE" w:rsidP="002F6CEE">
      <w:pPr>
        <w:spacing w:after="0" w:line="240" w:lineRule="auto"/>
        <w:jc w:val="both"/>
        <w:rPr>
          <w:rFonts w:ascii="Arial" w:hAnsi="Arial" w:cs="Arial"/>
          <w:b/>
        </w:rPr>
      </w:pPr>
      <w:r w:rsidRPr="003B554C">
        <w:rPr>
          <w:rFonts w:ascii="Arial" w:hAnsi="Arial" w:cs="Arial"/>
        </w:rPr>
        <w:t xml:space="preserve">Es preciso dejar asentado que, con el fin de que el Comité de Transparencia lleve un control interno de todas y cada una de las resoluciones que emite, se le asigna el consecutivo </w:t>
      </w:r>
      <w:r w:rsidR="00F64080" w:rsidRPr="003B554C">
        <w:rPr>
          <w:rFonts w:ascii="Arial" w:hAnsi="Arial" w:cs="Arial"/>
          <w:b/>
        </w:rPr>
        <w:t>FGE-CT-AR-</w:t>
      </w:r>
      <w:r w:rsidR="00967420">
        <w:rPr>
          <w:rFonts w:ascii="Arial" w:hAnsi="Arial" w:cs="Arial"/>
          <w:b/>
        </w:rPr>
        <w:t>56</w:t>
      </w:r>
      <w:r w:rsidRPr="003B554C">
        <w:rPr>
          <w:rFonts w:ascii="Arial" w:hAnsi="Arial" w:cs="Arial"/>
          <w:b/>
        </w:rPr>
        <w:t>-202</w:t>
      </w:r>
      <w:r w:rsidR="00F042CD" w:rsidRPr="003B554C">
        <w:rPr>
          <w:rFonts w:ascii="Arial" w:hAnsi="Arial" w:cs="Arial"/>
          <w:b/>
        </w:rPr>
        <w:t>6</w:t>
      </w:r>
      <w:r w:rsidR="00FD350E" w:rsidRPr="003B554C">
        <w:rPr>
          <w:rFonts w:ascii="Arial" w:hAnsi="Arial" w:cs="Arial"/>
          <w:b/>
        </w:rPr>
        <w:t xml:space="preserve">. </w:t>
      </w:r>
    </w:p>
    <w:bookmarkEnd w:id="2"/>
    <w:p w:rsidR="00315C9C" w:rsidRPr="003B554C" w:rsidRDefault="00315C9C" w:rsidP="002F6CEE">
      <w:pPr>
        <w:spacing w:after="0" w:line="240" w:lineRule="auto"/>
        <w:jc w:val="both"/>
        <w:rPr>
          <w:rFonts w:ascii="Arial" w:hAnsi="Arial" w:cs="Arial"/>
        </w:rPr>
      </w:pPr>
    </w:p>
    <w:p w:rsidR="00BF3665" w:rsidRPr="003B554C" w:rsidRDefault="009819AE" w:rsidP="002F6CEE">
      <w:pPr>
        <w:spacing w:after="0" w:line="240" w:lineRule="auto"/>
        <w:jc w:val="both"/>
        <w:rPr>
          <w:rFonts w:ascii="Arial" w:hAnsi="Arial" w:cs="Arial"/>
        </w:rPr>
      </w:pPr>
      <w:r w:rsidRPr="003B554C">
        <w:rPr>
          <w:rFonts w:ascii="Arial" w:hAnsi="Arial" w:cs="Arial"/>
        </w:rPr>
        <w:t xml:space="preserve">En cumplimiento a lo establecido por el artículo 128 fracción IX, de la LTAIPSLP, así como el </w:t>
      </w:r>
      <w:r w:rsidR="00481D63" w:rsidRPr="003B554C">
        <w:rPr>
          <w:rFonts w:ascii="Arial" w:hAnsi="Arial" w:cs="Arial"/>
        </w:rPr>
        <w:t>l</w:t>
      </w:r>
      <w:r w:rsidRPr="003B554C">
        <w:rPr>
          <w:rFonts w:ascii="Arial" w:hAnsi="Arial" w:cs="Arial"/>
        </w:rPr>
        <w:t xml:space="preserve">ineamiento </w:t>
      </w:r>
      <w:r w:rsidR="00481D63" w:rsidRPr="003B554C">
        <w:rPr>
          <w:rFonts w:ascii="Arial" w:hAnsi="Arial" w:cs="Arial"/>
        </w:rPr>
        <w:t>q</w:t>
      </w:r>
      <w:r w:rsidRPr="003B554C">
        <w:rPr>
          <w:rFonts w:ascii="Arial" w:hAnsi="Arial" w:cs="Arial"/>
        </w:rPr>
        <w:t>uincuagésimo primero, fracción V de los LGPCDIEVP, se procede a rubricar la presente resolución.</w:t>
      </w:r>
    </w:p>
    <w:p w:rsidR="00600426" w:rsidRDefault="00600426" w:rsidP="00EF1D58">
      <w:pPr>
        <w:spacing w:after="0"/>
        <w:jc w:val="both"/>
        <w:rPr>
          <w:rFonts w:ascii="Arial" w:hAnsi="Arial" w:cs="Arial"/>
          <w:highlight w:val="yellow"/>
        </w:rPr>
      </w:pPr>
    </w:p>
    <w:p w:rsidR="00597860" w:rsidRPr="003B554C" w:rsidRDefault="00597860" w:rsidP="00EF1D58">
      <w:pPr>
        <w:spacing w:after="0"/>
        <w:jc w:val="both"/>
        <w:rPr>
          <w:rFonts w:ascii="Arial" w:hAnsi="Arial" w:cs="Arial"/>
          <w:highlight w:val="yellow"/>
        </w:rPr>
      </w:pPr>
    </w:p>
    <w:p w:rsidR="00DB7A5A" w:rsidRPr="003B554C" w:rsidRDefault="00DB7A5A" w:rsidP="00EF1D58">
      <w:pPr>
        <w:spacing w:after="0"/>
        <w:jc w:val="both"/>
        <w:rPr>
          <w:rFonts w:ascii="Arial" w:hAnsi="Arial" w:cs="Arial"/>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597860" w:rsidRDefault="00597860" w:rsidP="00EF1D58">
      <w:pPr>
        <w:tabs>
          <w:tab w:val="left" w:pos="8998"/>
          <w:tab w:val="left" w:pos="9932"/>
        </w:tabs>
        <w:spacing w:before="20" w:after="0"/>
        <w:rPr>
          <w:rFonts w:ascii="Arial" w:eastAsia="Arial" w:hAnsi="Arial" w:cs="Arial"/>
          <w:b/>
          <w:sz w:val="24"/>
          <w:szCs w:val="24"/>
        </w:rPr>
      </w:pPr>
    </w:p>
    <w:p w:rsidR="00600426" w:rsidRDefault="00600426"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30234D" w:rsidRDefault="0030234D" w:rsidP="00EF1D58">
      <w:pPr>
        <w:spacing w:after="0"/>
        <w:rPr>
          <w:rFonts w:ascii="Arial" w:hAnsi="Arial" w:cs="Arial"/>
          <w:b/>
          <w:sz w:val="24"/>
          <w:szCs w:val="24"/>
        </w:rPr>
      </w:pPr>
    </w:p>
    <w:p w:rsidR="00597860" w:rsidRDefault="00597860"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946C13">
      <w:headerReference w:type="even" r:id="rId9"/>
      <w:headerReference w:type="default" r:id="rId10"/>
      <w:footerReference w:type="even" r:id="rId11"/>
      <w:footerReference w:type="default" r:id="rId12"/>
      <w:headerReference w:type="first" r:id="rId13"/>
      <w:footerReference w:type="first" r:id="rId14"/>
      <w:pgSz w:w="12240" w:h="15840"/>
      <w:pgMar w:top="929"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D184C" w:rsidRDefault="006D184C">
      <w:r>
        <w:separator/>
      </w:r>
    </w:p>
  </w:endnote>
  <w:endnote w:type="continuationSeparator" w:id="0">
    <w:p w:rsidR="006D184C" w:rsidRDefault="006D18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3F92" w:rsidRDefault="00E93F92">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3F92" w:rsidRDefault="00E93F9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D184C" w:rsidRDefault="006D184C">
      <w:r>
        <w:separator/>
      </w:r>
    </w:p>
  </w:footnote>
  <w:footnote w:type="continuationSeparator" w:id="0">
    <w:p w:rsidR="006D184C" w:rsidRDefault="006D18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3F92" w:rsidRDefault="00E93F92">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6047047"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293" w:rsidRDefault="00E93F92">
    <w:pPr>
      <w:pStyle w:val="Encabezado"/>
      <w:tabs>
        <w:tab w:val="clear" w:pos="4419"/>
        <w:tab w:val="clear" w:pos="8838"/>
        <w:tab w:val="left" w:pos="812"/>
        <w:tab w:val="left" w:pos="9200"/>
      </w:tabs>
      <w:rPr>
        <w:noProof/>
        <w:lang w:eastAsia="es-MX"/>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6047048"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CB2293">
      <w:rPr>
        <w:noProof/>
        <w:lang w:eastAsia="es-MX"/>
      </w:rPr>
      <w:drawing>
        <wp:anchor distT="0" distB="0" distL="114300" distR="114300" simplePos="0" relativeHeight="251662336" behindDoc="1" locked="0" layoutInCell="1" allowOverlap="1">
          <wp:simplePos x="0" y="0"/>
          <wp:positionH relativeFrom="page">
            <wp:posOffset>23854</wp:posOffset>
          </wp:positionH>
          <wp:positionV relativeFrom="paragraph">
            <wp:posOffset>-472191</wp:posOffset>
          </wp:positionV>
          <wp:extent cx="7772400" cy="10045700"/>
          <wp:effectExtent l="0" t="0" r="0" b="0"/>
          <wp:wrapNone/>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p>
  <w:p w:rsidR="00CB2293" w:rsidRDefault="00CB2293" w:rsidP="00CB2293">
    <w:pPr>
      <w:pStyle w:val="Encabezado"/>
      <w:tabs>
        <w:tab w:val="clear" w:pos="4419"/>
        <w:tab w:val="clear" w:pos="8838"/>
        <w:tab w:val="left" w:pos="1540"/>
      </w:tabs>
      <w:rPr>
        <w:noProof/>
        <w:lang w:eastAsia="es-MX"/>
      </w:rPr>
    </w:pPr>
    <w:r>
      <w:rPr>
        <w:noProof/>
        <w:lang w:eastAsia="es-MX"/>
      </w:rPr>
      <w:tab/>
    </w:r>
  </w:p>
  <w:p w:rsidR="00CB2293" w:rsidRDefault="00CB2293">
    <w:pPr>
      <w:pStyle w:val="Encabezado"/>
      <w:tabs>
        <w:tab w:val="clear" w:pos="4419"/>
        <w:tab w:val="clear" w:pos="8838"/>
        <w:tab w:val="left" w:pos="812"/>
        <w:tab w:val="left" w:pos="9200"/>
      </w:tabs>
      <w:rPr>
        <w:noProof/>
        <w:lang w:eastAsia="es-MX"/>
      </w:rPr>
    </w:pPr>
  </w:p>
  <w:p w:rsidR="00BF3665" w:rsidRDefault="009819AE">
    <w:pPr>
      <w:pStyle w:val="Encabezado"/>
      <w:tabs>
        <w:tab w:val="clear" w:pos="4419"/>
        <w:tab w:val="clear" w:pos="8838"/>
        <w:tab w:val="left" w:pos="812"/>
        <w:tab w:val="left" w:pos="9200"/>
      </w:tabs>
    </w:pPr>
    <w:r>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Pr>
        <w:lang w:eastAsia="es-MX"/>
      </w:rPr>
      <w:t xml:space="preserve"> </w:t>
    </w:r>
    <w:r>
      <w:tab/>
    </w:r>
    <w:r>
      <w:tab/>
    </w:r>
  </w:p>
  <w:tbl>
    <w:tblPr>
      <w:tblStyle w:val="Tablaconcuadrcula"/>
      <w:tblW w:w="0" w:type="auto"/>
      <w:tblLook w:val="04A0" w:firstRow="1" w:lastRow="0" w:firstColumn="1" w:lastColumn="0" w:noHBand="0" w:noVBand="1"/>
    </w:tblPr>
    <w:tblGrid>
      <w:gridCol w:w="9962"/>
    </w:tblGrid>
    <w:tr w:rsidR="00CB2293" w:rsidTr="00946C13">
      <w:trPr>
        <w:trHeight w:val="410"/>
      </w:trPr>
      <w:tc>
        <w:tcPr>
          <w:tcW w:w="9962" w:type="dxa"/>
          <w:shd w:val="clear" w:color="auto" w:fill="000000" w:themeFill="text1"/>
        </w:tcPr>
        <w:p w:rsidR="00CB2293" w:rsidRPr="00CB2293" w:rsidRDefault="00CB2293" w:rsidP="001C5B35">
          <w:pPr>
            <w:spacing w:after="0"/>
            <w:jc w:val="both"/>
            <w:rPr>
              <w:lang w:val="es-ES"/>
            </w:rPr>
          </w:pPr>
          <w:r>
            <w:rPr>
              <w:rFonts w:ascii="Arial" w:hAnsi="Arial" w:cs="Arial"/>
              <w:color w:val="FFFFFF" w:themeColor="background1"/>
              <w:sz w:val="18"/>
              <w:szCs w:val="18"/>
              <w:lang w:val="es-ES"/>
            </w:rPr>
            <w:t>0</w:t>
          </w:r>
          <w:r w:rsidR="00C502DF">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F35821">
            <w:rPr>
              <w:rFonts w:ascii="Arial" w:hAnsi="Arial" w:cs="Arial"/>
              <w:color w:val="FFFFFF" w:themeColor="background1"/>
              <w:sz w:val="18"/>
              <w:szCs w:val="18"/>
              <w:lang w:val="es-ES"/>
            </w:rPr>
            <w:t>marzo</w:t>
          </w:r>
          <w:r>
            <w:rPr>
              <w:rFonts w:ascii="Arial" w:hAnsi="Arial" w:cs="Arial"/>
              <w:color w:val="FFFFFF" w:themeColor="background1"/>
              <w:sz w:val="18"/>
              <w:szCs w:val="18"/>
              <w:lang w:val="es-ES"/>
            </w:rPr>
            <w:t xml:space="preserve"> 202</w:t>
          </w:r>
          <w:r w:rsidR="000D70C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F35821">
            <w:rPr>
              <w:rFonts w:ascii="Arial" w:hAnsi="Arial" w:cs="Arial"/>
              <w:color w:val="FFFFFF" w:themeColor="background1"/>
              <w:sz w:val="18"/>
              <w:szCs w:val="18"/>
            </w:rPr>
            <w:t>Tercera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0D70C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sidR="000E74A1">
            <w:rPr>
              <w:rFonts w:ascii="Arial" w:hAnsi="Arial" w:cs="Arial"/>
              <w:color w:val="FFFFFF" w:themeColor="background1"/>
              <w:sz w:val="18"/>
              <w:szCs w:val="18"/>
              <w:lang w:val="es-ES"/>
            </w:rPr>
            <w:t>total</w:t>
          </w:r>
          <w:r w:rsidR="00CD69B4">
            <w:rPr>
              <w:rFonts w:ascii="Arial" w:hAnsi="Arial" w:cs="Arial"/>
              <w:color w:val="FFFFFF" w:themeColor="background1"/>
              <w:sz w:val="18"/>
              <w:szCs w:val="18"/>
              <w:lang w:val="es-ES"/>
            </w:rPr>
            <w:t xml:space="preserve"> </w:t>
          </w:r>
          <w:r w:rsidR="00B9260F">
            <w:rPr>
              <w:rFonts w:ascii="Arial" w:hAnsi="Arial" w:cs="Arial"/>
              <w:b/>
              <w:color w:val="FFFFFF" w:themeColor="background1"/>
              <w:sz w:val="18"/>
              <w:szCs w:val="18"/>
              <w:lang w:val="es-ES"/>
            </w:rPr>
            <w:t>AR/0</w:t>
          </w:r>
          <w:r w:rsidR="000E74A1">
            <w:rPr>
              <w:rFonts w:ascii="Arial" w:hAnsi="Arial" w:cs="Arial"/>
              <w:b/>
              <w:color w:val="FFFFFF" w:themeColor="background1"/>
              <w:sz w:val="18"/>
              <w:szCs w:val="18"/>
              <w:lang w:val="es-ES"/>
            </w:rPr>
            <w:t>3</w:t>
          </w:r>
          <w:r w:rsidR="00B9260F">
            <w:rPr>
              <w:rFonts w:ascii="Arial" w:hAnsi="Arial" w:cs="Arial"/>
              <w:b/>
              <w:color w:val="FFFFFF" w:themeColor="background1"/>
              <w:sz w:val="18"/>
              <w:szCs w:val="18"/>
              <w:lang w:val="es-ES"/>
            </w:rPr>
            <w:t>/2026</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 xml:space="preserve">el </w:t>
          </w:r>
          <w:r w:rsidR="00024F43">
            <w:rPr>
              <w:rFonts w:ascii="Arial" w:hAnsi="Arial" w:cs="Arial"/>
              <w:color w:val="FFFFFF" w:themeColor="background1"/>
              <w:sz w:val="18"/>
              <w:szCs w:val="18"/>
              <w:lang w:val="es-ES"/>
            </w:rPr>
            <w:t>Visitador</w:t>
          </w:r>
          <w:r w:rsidRPr="00D338A0">
            <w:rPr>
              <w:rFonts w:ascii="Arial" w:hAnsi="Arial" w:cs="Arial"/>
              <w:color w:val="FFFFFF" w:themeColor="background1"/>
              <w:sz w:val="18"/>
              <w:szCs w:val="18"/>
              <w:lang w:val="es-ES"/>
            </w:rPr>
            <w:t xml:space="preserve">. </w:t>
          </w:r>
        </w:p>
      </w:tc>
    </w:tr>
  </w:tbl>
  <w:p w:rsidR="00BF3665" w:rsidRDefault="00BF3665" w:rsidP="00946C13">
    <w:pPr>
      <w:spacing w:after="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3F92" w:rsidRDefault="00E93F92">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6047046"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C119B2"/>
    <w:multiLevelType w:val="hybridMultilevel"/>
    <w:tmpl w:val="DB0E47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5"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7"/>
  </w:num>
  <w:num w:numId="4">
    <w:abstractNumId w:val="13"/>
  </w:num>
  <w:num w:numId="5">
    <w:abstractNumId w:val="15"/>
  </w:num>
  <w:num w:numId="6">
    <w:abstractNumId w:val="3"/>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1"/>
  </w:num>
  <w:num w:numId="15">
    <w:abstractNumId w:val="12"/>
  </w:num>
  <w:num w:numId="16">
    <w:abstractNumId w:val="2"/>
  </w:num>
  <w:num w:numId="17">
    <w:abstractNumId w:val="16"/>
  </w:num>
  <w:num w:numId="18">
    <w:abstractNumId w:val="18"/>
  </w:num>
  <w:num w:numId="19">
    <w:abstractNumId w:val="10"/>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24F43"/>
    <w:rsid w:val="000302D4"/>
    <w:rsid w:val="000316F8"/>
    <w:rsid w:val="00031EC3"/>
    <w:rsid w:val="000348C6"/>
    <w:rsid w:val="00035BE7"/>
    <w:rsid w:val="00036762"/>
    <w:rsid w:val="00036BB2"/>
    <w:rsid w:val="00042CDD"/>
    <w:rsid w:val="00043EA6"/>
    <w:rsid w:val="00044847"/>
    <w:rsid w:val="00045C57"/>
    <w:rsid w:val="0004691F"/>
    <w:rsid w:val="00047BEE"/>
    <w:rsid w:val="000501A3"/>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F"/>
    <w:rsid w:val="000E151A"/>
    <w:rsid w:val="000E28C2"/>
    <w:rsid w:val="000E33F8"/>
    <w:rsid w:val="000E378A"/>
    <w:rsid w:val="000E6129"/>
    <w:rsid w:val="000E66E7"/>
    <w:rsid w:val="000E6D81"/>
    <w:rsid w:val="000E74A1"/>
    <w:rsid w:val="000F1388"/>
    <w:rsid w:val="000F25C5"/>
    <w:rsid w:val="000F34F2"/>
    <w:rsid w:val="000F7924"/>
    <w:rsid w:val="00102849"/>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274"/>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35"/>
    <w:rsid w:val="001C5BA9"/>
    <w:rsid w:val="001C5BFD"/>
    <w:rsid w:val="001C60C7"/>
    <w:rsid w:val="001C73C0"/>
    <w:rsid w:val="001D6257"/>
    <w:rsid w:val="001D6269"/>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57444"/>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6CEE"/>
    <w:rsid w:val="002F7281"/>
    <w:rsid w:val="003003C1"/>
    <w:rsid w:val="0030234D"/>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B554C"/>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253B"/>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1BC"/>
    <w:rsid w:val="004C5296"/>
    <w:rsid w:val="004C6394"/>
    <w:rsid w:val="004D49ED"/>
    <w:rsid w:val="004D7C2D"/>
    <w:rsid w:val="004E1EAB"/>
    <w:rsid w:val="004E4283"/>
    <w:rsid w:val="004E497E"/>
    <w:rsid w:val="004E75F9"/>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548A"/>
    <w:rsid w:val="00566BE4"/>
    <w:rsid w:val="00570815"/>
    <w:rsid w:val="005753B3"/>
    <w:rsid w:val="00581A7F"/>
    <w:rsid w:val="0058247A"/>
    <w:rsid w:val="00582BE7"/>
    <w:rsid w:val="00584602"/>
    <w:rsid w:val="00590B9B"/>
    <w:rsid w:val="005962DD"/>
    <w:rsid w:val="00597860"/>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D184C"/>
    <w:rsid w:val="006E21D7"/>
    <w:rsid w:val="006E6D1D"/>
    <w:rsid w:val="006F077F"/>
    <w:rsid w:val="006F086E"/>
    <w:rsid w:val="006F0E03"/>
    <w:rsid w:val="006F6522"/>
    <w:rsid w:val="006F7D0F"/>
    <w:rsid w:val="007007EE"/>
    <w:rsid w:val="00702907"/>
    <w:rsid w:val="0070291D"/>
    <w:rsid w:val="0070568F"/>
    <w:rsid w:val="0070596D"/>
    <w:rsid w:val="00710C84"/>
    <w:rsid w:val="00711658"/>
    <w:rsid w:val="007136AC"/>
    <w:rsid w:val="00714D40"/>
    <w:rsid w:val="00717045"/>
    <w:rsid w:val="00717CF8"/>
    <w:rsid w:val="00720254"/>
    <w:rsid w:val="00723AF7"/>
    <w:rsid w:val="00723C7B"/>
    <w:rsid w:val="007248BE"/>
    <w:rsid w:val="007336C3"/>
    <w:rsid w:val="007359E9"/>
    <w:rsid w:val="00740F43"/>
    <w:rsid w:val="0074193F"/>
    <w:rsid w:val="0074476D"/>
    <w:rsid w:val="007450C6"/>
    <w:rsid w:val="007460DC"/>
    <w:rsid w:val="0074687D"/>
    <w:rsid w:val="00746A7A"/>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0EA8"/>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2FC5"/>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6C13"/>
    <w:rsid w:val="00951002"/>
    <w:rsid w:val="00952023"/>
    <w:rsid w:val="009527D5"/>
    <w:rsid w:val="00953594"/>
    <w:rsid w:val="00954944"/>
    <w:rsid w:val="00955434"/>
    <w:rsid w:val="00956609"/>
    <w:rsid w:val="0095660D"/>
    <w:rsid w:val="00956A56"/>
    <w:rsid w:val="00961F3B"/>
    <w:rsid w:val="00967420"/>
    <w:rsid w:val="00967709"/>
    <w:rsid w:val="0097170D"/>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2CA7"/>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4776"/>
    <w:rsid w:val="00A773A3"/>
    <w:rsid w:val="00A8034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6367"/>
    <w:rsid w:val="00AE70C4"/>
    <w:rsid w:val="00AF3283"/>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263"/>
    <w:rsid w:val="00B43764"/>
    <w:rsid w:val="00B45B80"/>
    <w:rsid w:val="00B47C27"/>
    <w:rsid w:val="00B502A7"/>
    <w:rsid w:val="00B51013"/>
    <w:rsid w:val="00B5198B"/>
    <w:rsid w:val="00B52651"/>
    <w:rsid w:val="00B5443B"/>
    <w:rsid w:val="00B54D6F"/>
    <w:rsid w:val="00B553A3"/>
    <w:rsid w:val="00B55F32"/>
    <w:rsid w:val="00B579E5"/>
    <w:rsid w:val="00B60909"/>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260F"/>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1CBE"/>
    <w:rsid w:val="00C2217A"/>
    <w:rsid w:val="00C246B2"/>
    <w:rsid w:val="00C25A0E"/>
    <w:rsid w:val="00C25E50"/>
    <w:rsid w:val="00C269D1"/>
    <w:rsid w:val="00C30E5F"/>
    <w:rsid w:val="00C320BA"/>
    <w:rsid w:val="00C35708"/>
    <w:rsid w:val="00C40442"/>
    <w:rsid w:val="00C42AC3"/>
    <w:rsid w:val="00C42F42"/>
    <w:rsid w:val="00C44251"/>
    <w:rsid w:val="00C4433F"/>
    <w:rsid w:val="00C45988"/>
    <w:rsid w:val="00C502DF"/>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B07"/>
    <w:rsid w:val="00C76C0B"/>
    <w:rsid w:val="00C8519A"/>
    <w:rsid w:val="00C90D83"/>
    <w:rsid w:val="00C925F3"/>
    <w:rsid w:val="00C946CC"/>
    <w:rsid w:val="00C96F2F"/>
    <w:rsid w:val="00CA1236"/>
    <w:rsid w:val="00CA32D1"/>
    <w:rsid w:val="00CB2293"/>
    <w:rsid w:val="00CB2DB5"/>
    <w:rsid w:val="00CB380F"/>
    <w:rsid w:val="00CB78A0"/>
    <w:rsid w:val="00CB7ADB"/>
    <w:rsid w:val="00CD08A9"/>
    <w:rsid w:val="00CD106D"/>
    <w:rsid w:val="00CD259B"/>
    <w:rsid w:val="00CD3222"/>
    <w:rsid w:val="00CD3676"/>
    <w:rsid w:val="00CD69B4"/>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27601"/>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566DC"/>
    <w:rsid w:val="00D60FCE"/>
    <w:rsid w:val="00D6323B"/>
    <w:rsid w:val="00D63EFF"/>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B7A5A"/>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3F9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42CD"/>
    <w:rsid w:val="00F052CF"/>
    <w:rsid w:val="00F06897"/>
    <w:rsid w:val="00F0748B"/>
    <w:rsid w:val="00F104DC"/>
    <w:rsid w:val="00F113DD"/>
    <w:rsid w:val="00F114D5"/>
    <w:rsid w:val="00F1577E"/>
    <w:rsid w:val="00F2285F"/>
    <w:rsid w:val="00F251D7"/>
    <w:rsid w:val="00F25244"/>
    <w:rsid w:val="00F30B7B"/>
    <w:rsid w:val="00F31137"/>
    <w:rsid w:val="00F32008"/>
    <w:rsid w:val="00F35821"/>
    <w:rsid w:val="00F36F63"/>
    <w:rsid w:val="00F40511"/>
    <w:rsid w:val="00F42B2F"/>
    <w:rsid w:val="00F434DE"/>
    <w:rsid w:val="00F44815"/>
    <w:rsid w:val="00F45354"/>
    <w:rsid w:val="00F46007"/>
    <w:rsid w:val="00F466A4"/>
    <w:rsid w:val="00F4731A"/>
    <w:rsid w:val="00F47D67"/>
    <w:rsid w:val="00F52044"/>
    <w:rsid w:val="00F53DFF"/>
    <w:rsid w:val="00F57D2A"/>
    <w:rsid w:val="00F6015F"/>
    <w:rsid w:val="00F60BAA"/>
    <w:rsid w:val="00F623FE"/>
    <w:rsid w:val="00F62491"/>
    <w:rsid w:val="00F62C18"/>
    <w:rsid w:val="00F64080"/>
    <w:rsid w:val="00F66C46"/>
    <w:rsid w:val="00F678C6"/>
    <w:rsid w:val="00F75163"/>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CB22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1F85FE-37D5-4A7F-A380-14486717D6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8</Pages>
  <Words>3824</Words>
  <Characters>21035</Characters>
  <Application>Microsoft Office Word</Application>
  <DocSecurity>0</DocSecurity>
  <Lines>175</Lines>
  <Paragraphs>49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24810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6</cp:revision>
  <cp:lastPrinted>2025-12-23T21:40:00Z</cp:lastPrinted>
  <dcterms:created xsi:type="dcterms:W3CDTF">2026-03-04T15:11:00Z</dcterms:created>
  <dcterms:modified xsi:type="dcterms:W3CDTF">2026-03-17T20:14:00Z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