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034"/>
      </w:tblGrid>
      <w:tr w:rsidR="005475F3" w:rsidRPr="005475F3" w14:paraId="506927C9"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53441E" w14:textId="36020672" w:rsidR="00137098" w:rsidRPr="005475F3" w:rsidRDefault="00137098" w:rsidP="00137098">
            <w:pPr>
              <w:spacing w:line="360" w:lineRule="auto"/>
              <w:ind w:left="-108"/>
              <w:jc w:val="both"/>
              <w:rPr>
                <w:rFonts w:ascii="Arial" w:hAnsi="Arial" w:cs="Arial"/>
                <w:sz w:val="24"/>
                <w:szCs w:val="24"/>
                <w:lang w:eastAsia="es-ES"/>
              </w:rPr>
            </w:pPr>
            <w:bookmarkStart w:id="0" w:name="_Hlk520393671"/>
            <w:r w:rsidRPr="005475F3">
              <w:rPr>
                <w:rFonts w:ascii="Arial" w:hAnsi="Arial" w:cs="Arial"/>
                <w:b/>
                <w:sz w:val="24"/>
                <w:szCs w:val="24"/>
                <w:lang w:eastAsia="es-ES"/>
              </w:rPr>
              <w:t xml:space="preserve">RECURSO DE REVISIÓN: </w:t>
            </w:r>
            <w:r w:rsidR="00E06D1B">
              <w:rPr>
                <w:rFonts w:ascii="Arial" w:hAnsi="Arial" w:cs="Arial"/>
                <w:sz w:val="24"/>
                <w:szCs w:val="24"/>
                <w:lang w:eastAsia="es-ES"/>
              </w:rPr>
              <w:t>RR-584</w:t>
            </w:r>
            <w:r w:rsidRPr="005475F3">
              <w:rPr>
                <w:rFonts w:ascii="Arial" w:hAnsi="Arial" w:cs="Arial"/>
                <w:sz w:val="24"/>
                <w:szCs w:val="24"/>
                <w:lang w:eastAsia="es-ES"/>
              </w:rPr>
              <w:t>/2026-3</w:t>
            </w:r>
            <w:r w:rsidR="00C03649">
              <w:rPr>
                <w:rFonts w:ascii="Arial" w:hAnsi="Arial" w:cs="Arial"/>
                <w:sz w:val="24"/>
                <w:szCs w:val="24"/>
                <w:lang w:eastAsia="es-ES"/>
              </w:rPr>
              <w:t xml:space="preserve"> </w:t>
            </w:r>
          </w:p>
        </w:tc>
      </w:tr>
      <w:tr w:rsidR="005475F3" w:rsidRPr="005475F3" w14:paraId="3A0568CC"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831A5" w14:textId="63B6F786" w:rsidR="00137098" w:rsidRPr="005475F3" w:rsidRDefault="00137098" w:rsidP="00E06D1B">
            <w:pPr>
              <w:spacing w:line="360" w:lineRule="auto"/>
              <w:ind w:left="-108"/>
              <w:jc w:val="both"/>
              <w:rPr>
                <w:rFonts w:ascii="Arial" w:hAnsi="Arial" w:cs="Arial"/>
                <w:b/>
                <w:sz w:val="24"/>
                <w:szCs w:val="24"/>
                <w:lang w:eastAsia="es-ES"/>
              </w:rPr>
            </w:pPr>
            <w:r w:rsidRPr="005475F3">
              <w:rPr>
                <w:rFonts w:ascii="Arial" w:hAnsi="Arial" w:cs="Arial"/>
                <w:b/>
                <w:sz w:val="24"/>
                <w:szCs w:val="24"/>
                <w:lang w:eastAsia="es-ES"/>
              </w:rPr>
              <w:t xml:space="preserve">SUJETO OBLIGADO: </w:t>
            </w:r>
            <w:r w:rsidR="00E06D1B">
              <w:rPr>
                <w:rFonts w:ascii="Arial" w:hAnsi="Arial" w:cs="Arial"/>
                <w:sz w:val="24"/>
                <w:szCs w:val="24"/>
                <w:lang w:eastAsia="es-ES"/>
              </w:rPr>
              <w:t>CONTRALORÍA GENERAL DEL ESTADO.</w:t>
            </w:r>
          </w:p>
        </w:tc>
      </w:tr>
      <w:tr w:rsidR="00137098" w:rsidRPr="005475F3" w14:paraId="112D33F3"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923CA3" w14:textId="0B519953" w:rsidR="00137098" w:rsidRPr="005475F3" w:rsidRDefault="00624B15" w:rsidP="00137098">
            <w:pPr>
              <w:spacing w:line="360" w:lineRule="auto"/>
              <w:ind w:left="-108"/>
              <w:jc w:val="both"/>
              <w:rPr>
                <w:rFonts w:ascii="Arial" w:hAnsi="Arial" w:cs="Arial"/>
                <w:sz w:val="24"/>
                <w:szCs w:val="24"/>
                <w:lang w:eastAsia="es-ES"/>
              </w:rPr>
            </w:pPr>
            <w:r>
              <w:rPr>
                <w:rFonts w:ascii="Arial" w:hAnsi="Arial" w:cs="Arial"/>
                <w:b/>
                <w:sz w:val="24"/>
                <w:szCs w:val="24"/>
                <w:lang w:eastAsia="es-ES"/>
              </w:rPr>
              <w:t>COMISIONADA</w:t>
            </w:r>
            <w:r w:rsidR="00137098" w:rsidRPr="005475F3">
              <w:rPr>
                <w:rFonts w:ascii="Arial" w:hAnsi="Arial" w:cs="Arial"/>
                <w:b/>
                <w:sz w:val="24"/>
                <w:szCs w:val="24"/>
                <w:lang w:eastAsia="es-ES"/>
              </w:rPr>
              <w:t xml:space="preserve"> PONENTE: </w:t>
            </w:r>
            <w:r w:rsidR="00137098" w:rsidRPr="005475F3">
              <w:rPr>
                <w:rFonts w:ascii="Arial" w:hAnsi="Arial" w:cs="Arial"/>
                <w:sz w:val="24"/>
                <w:szCs w:val="24"/>
                <w:lang w:eastAsia="es-ES"/>
              </w:rPr>
              <w:t>ANA CRISTINA GARCÍA NALES.</w:t>
            </w:r>
          </w:p>
        </w:tc>
      </w:tr>
    </w:tbl>
    <w:p w14:paraId="0E2EB923" w14:textId="77777777" w:rsidR="00137098" w:rsidRPr="005475F3" w:rsidRDefault="00137098" w:rsidP="00137098">
      <w:pPr>
        <w:spacing w:after="0" w:line="360" w:lineRule="auto"/>
        <w:jc w:val="both"/>
        <w:rPr>
          <w:rFonts w:ascii="Arial" w:eastAsia="Times New Roman" w:hAnsi="Arial" w:cs="Arial"/>
          <w:b/>
          <w:sz w:val="24"/>
          <w:szCs w:val="24"/>
          <w:lang w:eastAsia="es-ES"/>
        </w:rPr>
      </w:pPr>
    </w:p>
    <w:p w14:paraId="31812E9C" w14:textId="77777777" w:rsidR="00137098" w:rsidRPr="005475F3" w:rsidRDefault="00137098" w:rsidP="00137098">
      <w:pPr>
        <w:spacing w:after="0" w:line="360" w:lineRule="auto"/>
        <w:ind w:firstLine="708"/>
        <w:jc w:val="both"/>
        <w:rPr>
          <w:rFonts w:ascii="Arial" w:eastAsia="Arial Unicode MS" w:hAnsi="Arial" w:cs="Arial"/>
          <w:sz w:val="24"/>
          <w:szCs w:val="24"/>
          <w:lang w:eastAsia="es-ES"/>
        </w:rPr>
      </w:pPr>
    </w:p>
    <w:p w14:paraId="43E5E7AB" w14:textId="04AF513C" w:rsidR="00137098" w:rsidRPr="005475F3" w:rsidRDefault="00137098" w:rsidP="00137098">
      <w:pPr>
        <w:spacing w:after="0" w:line="360" w:lineRule="auto"/>
        <w:ind w:firstLine="708"/>
        <w:jc w:val="both"/>
        <w:rPr>
          <w:rFonts w:ascii="Arial" w:eastAsia="BatangChe" w:hAnsi="Arial" w:cs="Arial"/>
          <w:sz w:val="24"/>
          <w:szCs w:val="24"/>
          <w:lang w:eastAsia="es-ES"/>
        </w:rPr>
      </w:pPr>
      <w:r w:rsidRPr="005475F3">
        <w:rPr>
          <w:rFonts w:ascii="Arial" w:eastAsia="Arial Unicode MS" w:hAnsi="Arial" w:cs="Arial"/>
          <w:sz w:val="24"/>
          <w:szCs w:val="24"/>
          <w:lang w:eastAsia="es-ES"/>
        </w:rPr>
        <w:t xml:space="preserve">San Luis Potosí, San Luis Potosí, </w:t>
      </w:r>
      <w:r w:rsidRPr="005475F3">
        <w:rPr>
          <w:rFonts w:ascii="Arial" w:eastAsia="BatangChe" w:hAnsi="Arial" w:cs="Arial"/>
          <w:sz w:val="24"/>
          <w:szCs w:val="24"/>
          <w:lang w:eastAsia="es-ES"/>
        </w:rPr>
        <w:t xml:space="preserve">Sesión </w:t>
      </w:r>
      <w:r w:rsidR="000E2DF5">
        <w:rPr>
          <w:rFonts w:ascii="Arial" w:eastAsia="BatangChe" w:hAnsi="Arial" w:cs="Arial"/>
          <w:sz w:val="24"/>
          <w:szCs w:val="24"/>
          <w:lang w:eastAsia="es-ES"/>
        </w:rPr>
        <w:t>O</w:t>
      </w:r>
      <w:r w:rsidR="00D75D83">
        <w:rPr>
          <w:rFonts w:ascii="Arial" w:eastAsia="BatangChe" w:hAnsi="Arial" w:cs="Arial"/>
          <w:sz w:val="24"/>
          <w:szCs w:val="24"/>
          <w:lang w:eastAsia="es-ES"/>
        </w:rPr>
        <w:t xml:space="preserve">rdinaria </w:t>
      </w:r>
      <w:r w:rsidRPr="005475F3">
        <w:rPr>
          <w:rFonts w:ascii="Arial" w:eastAsia="BatangChe" w:hAnsi="Arial" w:cs="Arial"/>
          <w:sz w:val="24"/>
          <w:szCs w:val="24"/>
          <w:lang w:eastAsia="es-ES"/>
        </w:rPr>
        <w:t>del Pleno de la Comisión Estatal de Garantía de Acceso a la I</w:t>
      </w:r>
      <w:r w:rsidR="00692242">
        <w:rPr>
          <w:rFonts w:ascii="Arial" w:eastAsia="BatangChe" w:hAnsi="Arial" w:cs="Arial"/>
          <w:sz w:val="24"/>
          <w:szCs w:val="24"/>
          <w:lang w:eastAsia="es-ES"/>
        </w:rPr>
        <w:t xml:space="preserve">nformación Pública, de </w:t>
      </w:r>
      <w:r w:rsidR="00624B15">
        <w:rPr>
          <w:rFonts w:ascii="Arial" w:eastAsia="BatangChe" w:hAnsi="Arial" w:cs="Arial"/>
          <w:sz w:val="24"/>
          <w:szCs w:val="24"/>
          <w:lang w:eastAsia="es-ES"/>
        </w:rPr>
        <w:t xml:space="preserve">08 ocho de septiembre </w:t>
      </w:r>
      <w:r w:rsidR="00933F44">
        <w:rPr>
          <w:rFonts w:ascii="Arial" w:eastAsia="BatangChe" w:hAnsi="Arial" w:cs="Arial"/>
          <w:sz w:val="24"/>
          <w:szCs w:val="24"/>
          <w:lang w:eastAsia="es-ES"/>
        </w:rPr>
        <w:t xml:space="preserve">de 2026 </w:t>
      </w:r>
      <w:r w:rsidRPr="005475F3">
        <w:rPr>
          <w:rFonts w:ascii="Arial" w:eastAsia="BatangChe" w:hAnsi="Arial" w:cs="Arial"/>
          <w:sz w:val="24"/>
          <w:szCs w:val="24"/>
          <w:lang w:eastAsia="es-ES"/>
        </w:rPr>
        <w:t xml:space="preserve">dos mil veintiséis. </w:t>
      </w:r>
    </w:p>
    <w:p w14:paraId="65F57285" w14:textId="77777777" w:rsidR="00137098" w:rsidRPr="005475F3" w:rsidRDefault="00137098" w:rsidP="00137098">
      <w:pPr>
        <w:spacing w:after="0" w:line="360" w:lineRule="auto"/>
        <w:jc w:val="both"/>
        <w:rPr>
          <w:rFonts w:ascii="Arial" w:eastAsia="Arial Unicode MS" w:hAnsi="Arial" w:cs="Arial"/>
          <w:sz w:val="24"/>
          <w:szCs w:val="24"/>
          <w:lang w:eastAsia="es-ES"/>
        </w:rPr>
      </w:pPr>
    </w:p>
    <w:p w14:paraId="14374BA2"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bCs/>
          <w:sz w:val="24"/>
          <w:szCs w:val="24"/>
          <w:lang w:eastAsia="es-ES"/>
        </w:rPr>
        <w:t>VISTOS</w:t>
      </w:r>
      <w:r w:rsidRPr="005475F3">
        <w:rPr>
          <w:rFonts w:ascii="Arial" w:eastAsia="Arial Unicode MS" w:hAnsi="Arial" w:cs="Arial"/>
          <w:sz w:val="24"/>
          <w:szCs w:val="24"/>
          <w:lang w:eastAsia="es-ES"/>
        </w:rPr>
        <w:t>, para resolver los autos que conforman el expediente citado al rubro;</w:t>
      </w:r>
      <w:r w:rsidRPr="005475F3">
        <w:rPr>
          <w:rFonts w:ascii="Arial" w:eastAsia="Arial Unicode MS" w:hAnsi="Arial" w:cs="Arial"/>
          <w:b/>
          <w:sz w:val="24"/>
          <w:szCs w:val="24"/>
          <w:lang w:eastAsia="es-ES"/>
        </w:rPr>
        <w:t xml:space="preserve"> </w:t>
      </w:r>
      <w:r w:rsidRPr="005475F3">
        <w:rPr>
          <w:rFonts w:ascii="Arial" w:eastAsia="Arial Unicode MS" w:hAnsi="Arial" w:cs="Arial"/>
          <w:sz w:val="24"/>
          <w:szCs w:val="24"/>
          <w:lang w:eastAsia="es-ES"/>
        </w:rPr>
        <w:t>y</w:t>
      </w:r>
      <w:r w:rsidRPr="005475F3">
        <w:rPr>
          <w:rFonts w:ascii="Arial" w:eastAsia="Arial Unicode MS" w:hAnsi="Arial" w:cs="Arial"/>
          <w:b/>
          <w:sz w:val="24"/>
          <w:szCs w:val="24"/>
          <w:lang w:eastAsia="es-ES"/>
        </w:rPr>
        <w:t xml:space="preserve">  </w:t>
      </w:r>
    </w:p>
    <w:p w14:paraId="285D4E3C"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p>
    <w:p w14:paraId="1E8F191C"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r w:rsidRPr="005475F3">
        <w:rPr>
          <w:rFonts w:ascii="Arial" w:eastAsia="Arial Unicode MS" w:hAnsi="Arial" w:cs="Arial"/>
          <w:b/>
          <w:sz w:val="24"/>
          <w:szCs w:val="24"/>
          <w:lang w:val="pt-BR" w:eastAsia="es-ES"/>
        </w:rPr>
        <w:t>R E S U L T A N D O:</w:t>
      </w:r>
    </w:p>
    <w:p w14:paraId="72C2FB52"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p>
    <w:p w14:paraId="3D3062D0" w14:textId="4F9978E3" w:rsidR="00137098" w:rsidRPr="005475F3" w:rsidRDefault="00137098" w:rsidP="00137098">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PRIMERO.</w:t>
      </w: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Solicitud de acceso a la información pública.</w:t>
      </w:r>
      <w:r w:rsidRPr="005475F3">
        <w:rPr>
          <w:rFonts w:ascii="Arial" w:eastAsia="Arial Unicode MS" w:hAnsi="Arial" w:cs="Arial"/>
          <w:sz w:val="24"/>
          <w:szCs w:val="24"/>
          <w:lang w:eastAsia="es-ES"/>
        </w:rPr>
        <w:t xml:space="preserve"> El </w:t>
      </w:r>
      <w:r w:rsidR="00E06D1B">
        <w:rPr>
          <w:rFonts w:ascii="Arial" w:eastAsia="Arial Unicode MS" w:hAnsi="Arial" w:cs="Arial"/>
          <w:sz w:val="24"/>
          <w:szCs w:val="24"/>
          <w:lang w:eastAsia="es-ES"/>
        </w:rPr>
        <w:t xml:space="preserve">27 veintisiete </w:t>
      </w:r>
      <w:r w:rsidR="00C03649">
        <w:rPr>
          <w:rFonts w:ascii="Arial" w:eastAsia="Arial Unicode MS" w:hAnsi="Arial" w:cs="Arial"/>
          <w:sz w:val="24"/>
          <w:szCs w:val="24"/>
          <w:lang w:eastAsia="es-ES"/>
        </w:rPr>
        <w:t>de julio</w:t>
      </w:r>
      <w:r w:rsidR="00C46B57">
        <w:rPr>
          <w:rFonts w:ascii="Arial" w:eastAsia="Arial Unicode MS" w:hAnsi="Arial" w:cs="Arial"/>
          <w:sz w:val="24"/>
          <w:szCs w:val="24"/>
          <w:lang w:eastAsia="es-ES"/>
        </w:rPr>
        <w:t xml:space="preserve"> </w:t>
      </w:r>
      <w:r w:rsidR="00933F44">
        <w:rPr>
          <w:rFonts w:ascii="Arial" w:eastAsia="Arial Unicode MS" w:hAnsi="Arial" w:cs="Arial"/>
          <w:sz w:val="24"/>
          <w:szCs w:val="24"/>
          <w:lang w:eastAsia="es-ES"/>
        </w:rPr>
        <w:t>de 2026 dos mil veintiséis</w:t>
      </w:r>
      <w:r w:rsidRPr="005475F3">
        <w:rPr>
          <w:rFonts w:ascii="Arial" w:eastAsia="Arial Unicode MS" w:hAnsi="Arial" w:cs="Arial"/>
          <w:sz w:val="24"/>
          <w:szCs w:val="24"/>
          <w:lang w:eastAsia="es-ES"/>
        </w:rPr>
        <w:t>, la persona recurrente presentó una solicitud de acceso a la información</w:t>
      </w:r>
      <w:r w:rsidR="00933F44">
        <w:rPr>
          <w:rFonts w:ascii="Arial" w:eastAsia="Arial Unicode MS" w:hAnsi="Arial" w:cs="Arial"/>
          <w:sz w:val="24"/>
          <w:szCs w:val="24"/>
          <w:lang w:eastAsia="es-ES"/>
        </w:rPr>
        <w:t xml:space="preserve">, </w:t>
      </w:r>
      <w:r w:rsidR="00D75D83">
        <w:rPr>
          <w:rFonts w:ascii="Arial" w:eastAsia="Arial Unicode MS" w:hAnsi="Arial" w:cs="Arial"/>
          <w:sz w:val="24"/>
          <w:szCs w:val="24"/>
          <w:lang w:eastAsia="es-ES"/>
        </w:rPr>
        <w:t xml:space="preserve">al Sujeto Obligado denominado </w:t>
      </w:r>
      <w:r w:rsidR="00E06D1B">
        <w:rPr>
          <w:rFonts w:ascii="Arial" w:eastAsia="Arial Unicode MS" w:hAnsi="Arial" w:cs="Arial"/>
          <w:b/>
          <w:sz w:val="24"/>
          <w:szCs w:val="24"/>
          <w:lang w:eastAsia="es-ES"/>
        </w:rPr>
        <w:t>CONTRALORÍA GENERAL DEL ESTADO</w:t>
      </w:r>
      <w:r w:rsidR="00D75D83">
        <w:rPr>
          <w:rFonts w:ascii="Arial" w:eastAsia="Arial Unicode MS" w:hAnsi="Arial" w:cs="Arial"/>
          <w:b/>
          <w:sz w:val="24"/>
          <w:szCs w:val="24"/>
          <w:lang w:eastAsia="es-ES"/>
        </w:rPr>
        <w:t xml:space="preserve">, </w:t>
      </w:r>
      <w:r w:rsidR="00933F44">
        <w:rPr>
          <w:rFonts w:ascii="Arial" w:eastAsia="Arial Unicode MS" w:hAnsi="Arial" w:cs="Arial"/>
          <w:sz w:val="24"/>
          <w:szCs w:val="24"/>
          <w:lang w:eastAsia="es-ES"/>
        </w:rPr>
        <w:t xml:space="preserve">a través de la Plataforma Nacional de Transparencia, a la que se le asignó el número de folio </w:t>
      </w:r>
      <w:r w:rsidR="00E06D1B">
        <w:rPr>
          <w:rFonts w:ascii="Arial" w:eastAsia="Arial Unicode MS" w:hAnsi="Arial" w:cs="Arial"/>
          <w:sz w:val="24"/>
          <w:szCs w:val="24"/>
          <w:lang w:eastAsia="es-ES"/>
        </w:rPr>
        <w:t>240467926000052</w:t>
      </w:r>
      <w:r w:rsidR="00D30CCA">
        <w:rPr>
          <w:rFonts w:ascii="Arial" w:eastAsia="Arial Unicode MS" w:hAnsi="Arial" w:cs="Arial"/>
          <w:sz w:val="24"/>
          <w:szCs w:val="24"/>
          <w:lang w:eastAsia="es-ES"/>
        </w:rPr>
        <w:t xml:space="preserve">, </w:t>
      </w:r>
      <w:r w:rsidRPr="005475F3">
        <w:rPr>
          <w:rFonts w:ascii="Arial" w:eastAsia="Arial Unicode MS" w:hAnsi="Arial" w:cs="Arial"/>
          <w:sz w:val="24"/>
          <w:szCs w:val="24"/>
          <w:lang w:eastAsia="es-ES"/>
        </w:rPr>
        <w:t xml:space="preserve">en la que se requirió: </w:t>
      </w:r>
    </w:p>
    <w:p w14:paraId="044BA04E" w14:textId="77777777" w:rsidR="00137098" w:rsidRPr="005475F3" w:rsidRDefault="00137098" w:rsidP="00137098">
      <w:pPr>
        <w:spacing w:after="0" w:line="360" w:lineRule="auto"/>
        <w:ind w:firstLine="709"/>
        <w:jc w:val="both"/>
        <w:rPr>
          <w:rFonts w:ascii="Arial" w:eastAsia="Arial Unicode MS" w:hAnsi="Arial" w:cs="Arial"/>
          <w:sz w:val="24"/>
          <w:szCs w:val="24"/>
          <w:lang w:eastAsia="es-ES"/>
        </w:rPr>
      </w:pPr>
    </w:p>
    <w:p w14:paraId="3B3C057D" w14:textId="77777777" w:rsidR="00E06D1B" w:rsidRPr="00E06D1B" w:rsidRDefault="00D30CCA" w:rsidP="00E06D1B">
      <w:pPr>
        <w:pStyle w:val="Prrafodelista"/>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w:t>
      </w:r>
      <w:r w:rsidR="00E06D1B" w:rsidRPr="00E06D1B">
        <w:rPr>
          <w:rFonts w:ascii="Arial" w:eastAsia="Arial Unicode MS" w:hAnsi="Arial" w:cs="Arial"/>
          <w:lang w:eastAsia="es-ES"/>
        </w:rPr>
        <w:t>Solicito los protocolos, lineamientos y procedimientos autorizados para el despido de personal del Gobierno del Estado de noviembre de 2021 a la fecha, así como el número de quejas o denuncias presentadas por despido injustificado o acoso laboral en el mismo periodo.</w:t>
      </w:r>
    </w:p>
    <w:p w14:paraId="2CDE656C" w14:textId="77777777" w:rsidR="00E06D1B" w:rsidRPr="00E06D1B" w:rsidRDefault="00E06D1B" w:rsidP="00E06D1B">
      <w:pPr>
        <w:pStyle w:val="Prrafodelista"/>
        <w:spacing w:after="0" w:line="240" w:lineRule="auto"/>
        <w:ind w:left="1134" w:right="1185"/>
        <w:jc w:val="both"/>
        <w:rPr>
          <w:rFonts w:ascii="Arial" w:eastAsia="Arial Unicode MS" w:hAnsi="Arial" w:cs="Arial"/>
          <w:lang w:eastAsia="es-ES"/>
        </w:rPr>
      </w:pPr>
    </w:p>
    <w:p w14:paraId="6AE5A697" w14:textId="77777777" w:rsidR="00E06D1B" w:rsidRPr="00E06D1B" w:rsidRDefault="00E06D1B" w:rsidP="00E06D1B">
      <w:pPr>
        <w:pStyle w:val="Prrafodelista"/>
        <w:spacing w:after="0" w:line="240" w:lineRule="auto"/>
        <w:ind w:left="1134" w:right="1185"/>
        <w:jc w:val="both"/>
        <w:rPr>
          <w:rFonts w:ascii="Arial" w:eastAsia="Arial Unicode MS" w:hAnsi="Arial" w:cs="Arial"/>
          <w:lang w:eastAsia="es-ES"/>
        </w:rPr>
      </w:pPr>
      <w:r w:rsidRPr="00E06D1B">
        <w:rPr>
          <w:rFonts w:ascii="Arial" w:eastAsia="Arial Unicode MS" w:hAnsi="Arial" w:cs="Arial"/>
          <w:lang w:eastAsia="es-ES"/>
        </w:rPr>
        <w:t>Atentamente:</w:t>
      </w:r>
    </w:p>
    <w:p w14:paraId="0734DE34" w14:textId="77777777" w:rsidR="00E06D1B" w:rsidRPr="00E06D1B" w:rsidRDefault="00E06D1B" w:rsidP="00E06D1B">
      <w:pPr>
        <w:pStyle w:val="Prrafodelista"/>
        <w:spacing w:after="0" w:line="240" w:lineRule="auto"/>
        <w:ind w:left="1134" w:right="1185"/>
        <w:jc w:val="both"/>
        <w:rPr>
          <w:rFonts w:ascii="Arial" w:eastAsia="Arial Unicode MS" w:hAnsi="Arial" w:cs="Arial"/>
          <w:lang w:eastAsia="es-ES"/>
        </w:rPr>
      </w:pPr>
    </w:p>
    <w:p w14:paraId="443B4E3D" w14:textId="7D39F907" w:rsidR="00137098" w:rsidRDefault="00E06D1B" w:rsidP="00E06D1B">
      <w:pPr>
        <w:pStyle w:val="Prrafodelista"/>
        <w:spacing w:after="0" w:line="240" w:lineRule="auto"/>
        <w:ind w:left="1134" w:right="1185"/>
        <w:jc w:val="both"/>
        <w:rPr>
          <w:rFonts w:ascii="Arial" w:eastAsia="Arial Unicode MS" w:hAnsi="Arial" w:cs="Arial"/>
          <w:lang w:eastAsia="es-ES"/>
        </w:rPr>
      </w:pPr>
      <w:r w:rsidRPr="00E06D1B">
        <w:rPr>
          <w:rFonts w:ascii="Arial" w:eastAsia="Arial Unicode MS" w:hAnsi="Arial" w:cs="Arial"/>
          <w:lang w:eastAsia="es-ES"/>
        </w:rPr>
        <w:t>BURÓC</w:t>
      </w:r>
      <w:r w:rsidR="00FC671B">
        <w:rPr>
          <w:rFonts w:ascii="Arial" w:eastAsia="Arial Unicode MS" w:hAnsi="Arial" w:cs="Arial"/>
          <w:lang w:eastAsia="es-ES"/>
        </w:rPr>
        <w:t>RATAS UNIDOS DEL GOBIERNO S.L.P</w:t>
      </w:r>
      <w:r w:rsidR="007111A0">
        <w:rPr>
          <w:rFonts w:ascii="Arial" w:eastAsia="Arial Unicode MS" w:hAnsi="Arial" w:cs="Arial"/>
          <w:lang w:eastAsia="es-ES"/>
        </w:rPr>
        <w:t>.</w:t>
      </w:r>
      <w:r w:rsidR="000E2DF5" w:rsidRPr="000E2DF5">
        <w:rPr>
          <w:rFonts w:ascii="Arial" w:eastAsia="Arial Unicode MS" w:hAnsi="Arial" w:cs="Arial"/>
          <w:lang w:eastAsia="es-ES"/>
        </w:rPr>
        <w:t>”</w:t>
      </w:r>
    </w:p>
    <w:p w14:paraId="791FA374" w14:textId="78CCE8BF" w:rsidR="00C03649" w:rsidRDefault="00C03649" w:rsidP="00C03649">
      <w:pPr>
        <w:pStyle w:val="Prrafodelista"/>
        <w:spacing w:after="0" w:line="240" w:lineRule="auto"/>
        <w:ind w:left="1134" w:right="1185"/>
        <w:jc w:val="both"/>
        <w:rPr>
          <w:rFonts w:ascii="Arial" w:eastAsia="Arial Unicode MS" w:hAnsi="Arial" w:cs="Arial"/>
          <w:lang w:eastAsia="es-ES"/>
        </w:rPr>
      </w:pPr>
    </w:p>
    <w:p w14:paraId="5E0E51ED" w14:textId="5CBCA408" w:rsidR="00035E7E" w:rsidRDefault="0093057A" w:rsidP="00035E7E">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SEGUNDO. Respuesta a la solicitud de acceso a la información pública. </w:t>
      </w:r>
      <w:r w:rsidRPr="005475F3">
        <w:rPr>
          <w:rFonts w:ascii="Arial" w:eastAsia="Arial Unicode MS" w:hAnsi="Arial" w:cs="Arial"/>
          <w:sz w:val="24"/>
          <w:szCs w:val="24"/>
          <w:lang w:eastAsia="es-ES"/>
        </w:rPr>
        <w:t xml:space="preserve">El </w:t>
      </w:r>
      <w:r w:rsidR="00E06D1B">
        <w:rPr>
          <w:rFonts w:ascii="Arial" w:eastAsia="Arial Unicode MS" w:hAnsi="Arial" w:cs="Arial"/>
          <w:sz w:val="24"/>
          <w:szCs w:val="24"/>
          <w:lang w:eastAsia="es-ES"/>
        </w:rPr>
        <w:t>06 seis de agosto</w:t>
      </w:r>
      <w:r w:rsidR="007111A0">
        <w:rPr>
          <w:rFonts w:ascii="Arial" w:eastAsia="Arial Unicode MS" w:hAnsi="Arial" w:cs="Arial"/>
          <w:sz w:val="24"/>
          <w:szCs w:val="24"/>
          <w:lang w:eastAsia="es-ES"/>
        </w:rPr>
        <w:t xml:space="preserve"> de</w:t>
      </w:r>
      <w:r w:rsidR="00692242">
        <w:rPr>
          <w:rFonts w:ascii="Arial" w:eastAsia="Arial Unicode MS" w:hAnsi="Arial" w:cs="Arial"/>
          <w:sz w:val="24"/>
          <w:szCs w:val="24"/>
          <w:lang w:eastAsia="es-ES"/>
        </w:rPr>
        <w:t xml:space="preserve"> </w:t>
      </w:r>
      <w:r w:rsidR="00D10700">
        <w:rPr>
          <w:rFonts w:ascii="Arial" w:eastAsia="Arial Unicode MS" w:hAnsi="Arial" w:cs="Arial"/>
          <w:sz w:val="24"/>
          <w:szCs w:val="24"/>
          <w:lang w:eastAsia="es-ES"/>
        </w:rPr>
        <w:t xml:space="preserve">2026 </w:t>
      </w:r>
      <w:r w:rsidR="00692242">
        <w:rPr>
          <w:rFonts w:ascii="Arial" w:eastAsia="Arial Unicode MS" w:hAnsi="Arial" w:cs="Arial"/>
          <w:sz w:val="24"/>
          <w:szCs w:val="24"/>
          <w:lang w:eastAsia="es-ES"/>
        </w:rPr>
        <w:t>dos mil veintiséis</w:t>
      </w:r>
      <w:r w:rsidRPr="005475F3">
        <w:rPr>
          <w:rFonts w:ascii="Arial" w:eastAsia="Arial Unicode MS" w:hAnsi="Arial" w:cs="Arial"/>
          <w:sz w:val="24"/>
          <w:szCs w:val="24"/>
          <w:lang w:eastAsia="es-ES"/>
        </w:rPr>
        <w:t>, el Sujeto Obligado</w:t>
      </w:r>
      <w:r w:rsidR="00A81098" w:rsidRPr="005475F3">
        <w:rPr>
          <w:rFonts w:ascii="Arial" w:eastAsia="Arial Unicode MS" w:hAnsi="Arial" w:cs="Arial"/>
          <w:sz w:val="24"/>
          <w:szCs w:val="24"/>
          <w:lang w:eastAsia="es-ES"/>
        </w:rPr>
        <w:t>,</w:t>
      </w:r>
      <w:r w:rsidR="00AE6680" w:rsidRPr="005475F3">
        <w:rPr>
          <w:rFonts w:ascii="Arial" w:eastAsia="Arial Unicode MS" w:hAnsi="Arial" w:cs="Arial"/>
          <w:sz w:val="24"/>
          <w:szCs w:val="24"/>
          <w:lang w:eastAsia="es-ES"/>
        </w:rPr>
        <w:t xml:space="preserve"> </w:t>
      </w:r>
      <w:r w:rsidR="00035E7E" w:rsidRPr="00035E7E">
        <w:rPr>
          <w:rFonts w:ascii="Arial" w:eastAsia="Arial Unicode MS" w:hAnsi="Arial" w:cs="Arial"/>
          <w:sz w:val="24"/>
          <w:szCs w:val="24"/>
          <w:lang w:eastAsia="es-ES"/>
        </w:rPr>
        <w:t>a través de la Plataforma Nacional de Transparencia, notificó a la ahora parte recurrente, la respuesta a la solicitud de acceso a la información pública,</w:t>
      </w:r>
      <w:r w:rsidR="00035E7E">
        <w:rPr>
          <w:rFonts w:ascii="Arial" w:eastAsia="Arial Unicode MS" w:hAnsi="Arial" w:cs="Arial"/>
          <w:sz w:val="24"/>
          <w:szCs w:val="24"/>
          <w:lang w:eastAsia="es-ES"/>
        </w:rPr>
        <w:t xml:space="preserve"> en la que esencialmente señaló</w:t>
      </w:r>
      <w:r w:rsidR="00FC671B">
        <w:rPr>
          <w:rFonts w:ascii="Arial" w:eastAsia="Arial Unicode MS" w:hAnsi="Arial" w:cs="Arial"/>
          <w:sz w:val="24"/>
          <w:szCs w:val="24"/>
          <w:lang w:eastAsia="es-ES"/>
        </w:rPr>
        <w:t xml:space="preserve"> la incompetencia para poseer lo solicitado. </w:t>
      </w:r>
    </w:p>
    <w:p w14:paraId="0D777489" w14:textId="0FE1A395" w:rsidR="007F11CA" w:rsidRPr="005475F3" w:rsidRDefault="00035E7E" w:rsidP="008E4105">
      <w:pPr>
        <w:spacing w:after="0" w:line="360" w:lineRule="auto"/>
        <w:ind w:right="51" w:firstLine="708"/>
        <w:jc w:val="both"/>
        <w:rPr>
          <w:rFonts w:ascii="Arial" w:eastAsia="Times New Roman" w:hAnsi="Arial" w:cs="Arial"/>
          <w:sz w:val="24"/>
          <w:szCs w:val="24"/>
          <w:lang w:eastAsia="es-ES"/>
        </w:rPr>
      </w:pPr>
      <w:r w:rsidRPr="00035E7E">
        <w:rPr>
          <w:rFonts w:ascii="Arial" w:eastAsia="Arial Unicode MS" w:hAnsi="Arial" w:cs="Arial"/>
          <w:b/>
          <w:sz w:val="24"/>
          <w:szCs w:val="24"/>
          <w:lang w:eastAsia="es-ES"/>
        </w:rPr>
        <w:lastRenderedPageBreak/>
        <w:t>TERCERO.</w:t>
      </w:r>
      <w:r>
        <w:rPr>
          <w:rFonts w:ascii="Arial" w:eastAsia="Arial Unicode MS" w:hAnsi="Arial" w:cs="Arial"/>
          <w:b/>
          <w:sz w:val="24"/>
          <w:szCs w:val="24"/>
          <w:lang w:eastAsia="es-ES"/>
        </w:rPr>
        <w:t xml:space="preserve"> </w:t>
      </w:r>
      <w:r w:rsidR="0093057A" w:rsidRPr="005475F3">
        <w:rPr>
          <w:rFonts w:ascii="Arial" w:eastAsia="Times New Roman" w:hAnsi="Arial" w:cs="Arial"/>
          <w:b/>
          <w:bCs/>
          <w:sz w:val="24"/>
          <w:szCs w:val="24"/>
          <w:lang w:eastAsia="es-ES"/>
        </w:rPr>
        <w:t xml:space="preserve">Interposición del Recurso de Revisión. </w:t>
      </w:r>
      <w:r w:rsidR="0093057A" w:rsidRPr="005475F3">
        <w:rPr>
          <w:rFonts w:ascii="Arial" w:eastAsia="Times New Roman" w:hAnsi="Arial" w:cs="Arial"/>
          <w:sz w:val="24"/>
          <w:szCs w:val="24"/>
          <w:lang w:eastAsia="es-ES"/>
        </w:rPr>
        <w:t xml:space="preserve">El </w:t>
      </w:r>
      <w:r w:rsidR="00FC671B">
        <w:rPr>
          <w:rFonts w:ascii="Arial" w:eastAsia="Times New Roman" w:hAnsi="Arial" w:cs="Arial"/>
          <w:sz w:val="24"/>
          <w:szCs w:val="24"/>
          <w:lang w:eastAsia="es-ES"/>
        </w:rPr>
        <w:t xml:space="preserve">18 dieciocho de agosto </w:t>
      </w:r>
      <w:r w:rsidR="005D1245">
        <w:rPr>
          <w:rFonts w:ascii="Arial" w:eastAsia="Times New Roman" w:hAnsi="Arial" w:cs="Arial"/>
          <w:sz w:val="24"/>
          <w:szCs w:val="24"/>
          <w:lang w:eastAsia="es-ES"/>
        </w:rPr>
        <w:t xml:space="preserve">de </w:t>
      </w:r>
      <w:r w:rsidR="00B87D15">
        <w:rPr>
          <w:rFonts w:ascii="Arial" w:eastAsia="Times New Roman" w:hAnsi="Arial" w:cs="Arial"/>
          <w:sz w:val="24"/>
          <w:szCs w:val="24"/>
          <w:lang w:eastAsia="es-ES"/>
        </w:rPr>
        <w:t xml:space="preserve">2026 </w:t>
      </w:r>
      <w:r>
        <w:rPr>
          <w:rFonts w:ascii="Arial" w:eastAsia="Times New Roman" w:hAnsi="Arial" w:cs="Arial"/>
          <w:sz w:val="24"/>
          <w:szCs w:val="24"/>
          <w:lang w:eastAsia="es-ES"/>
        </w:rPr>
        <w:t>dos mil veintiséis</w:t>
      </w:r>
      <w:r w:rsidR="0093057A" w:rsidRPr="005475F3">
        <w:rPr>
          <w:rFonts w:ascii="Arial" w:eastAsia="Times New Roman" w:hAnsi="Arial" w:cs="Arial"/>
          <w:sz w:val="24"/>
          <w:szCs w:val="24"/>
          <w:lang w:eastAsia="es-ES"/>
        </w:rPr>
        <w:t>, este Órgano Garante recibió</w:t>
      </w:r>
      <w:r w:rsidR="005D1245">
        <w:rPr>
          <w:rFonts w:ascii="Arial" w:eastAsia="Times New Roman" w:hAnsi="Arial" w:cs="Arial"/>
          <w:sz w:val="24"/>
          <w:szCs w:val="24"/>
          <w:lang w:eastAsia="es-ES"/>
        </w:rPr>
        <w:t xml:space="preserve">, </w:t>
      </w:r>
      <w:r w:rsidR="0093057A" w:rsidRPr="005475F3">
        <w:rPr>
          <w:rFonts w:ascii="Arial" w:eastAsia="Times New Roman" w:hAnsi="Arial" w:cs="Arial"/>
          <w:sz w:val="24"/>
          <w:szCs w:val="24"/>
          <w:lang w:eastAsia="es-ES"/>
        </w:rPr>
        <w:t xml:space="preserve">el recurso de revisión interpuesto por </w:t>
      </w:r>
      <w:r w:rsidR="00486866">
        <w:rPr>
          <w:rFonts w:ascii="Arial" w:eastAsia="Times New Roman" w:hAnsi="Arial" w:cs="Arial"/>
          <w:sz w:val="24"/>
          <w:szCs w:val="24"/>
          <w:lang w:eastAsia="es-ES"/>
        </w:rPr>
        <w:t>él</w:t>
      </w:r>
      <w:r w:rsidR="0093057A" w:rsidRPr="005475F3">
        <w:rPr>
          <w:rFonts w:ascii="Arial" w:eastAsia="Times New Roman" w:hAnsi="Arial" w:cs="Arial"/>
          <w:sz w:val="24"/>
          <w:szCs w:val="24"/>
          <w:lang w:eastAsia="es-ES"/>
        </w:rPr>
        <w:t xml:space="preserve"> ahora recurrente</w:t>
      </w:r>
      <w:r w:rsidR="008E4105" w:rsidRPr="005475F3">
        <w:rPr>
          <w:rFonts w:ascii="Arial" w:eastAsia="Times New Roman" w:hAnsi="Arial" w:cs="Arial"/>
          <w:sz w:val="24"/>
          <w:szCs w:val="24"/>
          <w:lang w:eastAsia="es-ES"/>
        </w:rPr>
        <w:t>,</w:t>
      </w:r>
      <w:r w:rsidR="0093057A" w:rsidRPr="005475F3">
        <w:rPr>
          <w:rFonts w:ascii="Arial" w:eastAsia="Times New Roman" w:hAnsi="Arial" w:cs="Arial"/>
          <w:sz w:val="24"/>
          <w:szCs w:val="24"/>
          <w:lang w:eastAsia="es-ES"/>
        </w:rPr>
        <w:t xml:space="preserve"> en contra de la </w:t>
      </w:r>
      <w:r>
        <w:rPr>
          <w:rFonts w:ascii="Arial" w:eastAsia="Times New Roman" w:hAnsi="Arial" w:cs="Arial"/>
          <w:sz w:val="24"/>
          <w:szCs w:val="24"/>
          <w:lang w:eastAsia="es-ES"/>
        </w:rPr>
        <w:t>respuesta de la solicitud de información, en la que señaló</w:t>
      </w:r>
      <w:r w:rsidR="00486866">
        <w:rPr>
          <w:rFonts w:ascii="Arial" w:eastAsia="Times New Roman" w:hAnsi="Arial" w:cs="Arial"/>
          <w:sz w:val="24"/>
          <w:szCs w:val="24"/>
          <w:lang w:eastAsia="es-ES"/>
        </w:rPr>
        <w:t xml:space="preserve"> como motivos de queja</w:t>
      </w:r>
      <w:r>
        <w:rPr>
          <w:rFonts w:ascii="Arial" w:eastAsia="Times New Roman" w:hAnsi="Arial" w:cs="Arial"/>
          <w:sz w:val="24"/>
          <w:szCs w:val="24"/>
          <w:lang w:eastAsia="es-ES"/>
        </w:rPr>
        <w:t xml:space="preserve">: </w:t>
      </w:r>
    </w:p>
    <w:p w14:paraId="4455EFED" w14:textId="6D95AB6F" w:rsidR="004736C0" w:rsidRDefault="004736C0" w:rsidP="00A30399">
      <w:pPr>
        <w:spacing w:after="0" w:line="240" w:lineRule="auto"/>
        <w:ind w:left="1134" w:right="1183"/>
        <w:jc w:val="both"/>
        <w:rPr>
          <w:rFonts w:ascii="Arial" w:eastAsia="Arial Unicode MS" w:hAnsi="Arial" w:cs="Arial"/>
          <w:iCs/>
          <w:lang w:eastAsia="es-ES"/>
        </w:rPr>
      </w:pPr>
    </w:p>
    <w:p w14:paraId="19C55423"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r>
        <w:rPr>
          <w:rFonts w:ascii="Arial" w:eastAsia="Arial Unicode MS" w:hAnsi="Arial" w:cs="Arial"/>
          <w:iCs/>
          <w:lang w:eastAsia="es-ES"/>
        </w:rPr>
        <w:t>[…]</w:t>
      </w:r>
    </w:p>
    <w:p w14:paraId="506E4C09" w14:textId="77777777" w:rsidR="000809BC" w:rsidRDefault="000809BC" w:rsidP="00A15869">
      <w:pPr>
        <w:pStyle w:val="Prrafodelista"/>
        <w:spacing w:after="0" w:line="240" w:lineRule="auto"/>
        <w:ind w:left="1854" w:right="1183"/>
        <w:jc w:val="both"/>
        <w:rPr>
          <w:rFonts w:ascii="Arial" w:eastAsia="Arial Unicode MS" w:hAnsi="Arial" w:cs="Arial"/>
          <w:iCs/>
          <w:lang w:eastAsia="es-ES"/>
        </w:rPr>
      </w:pPr>
    </w:p>
    <w:p w14:paraId="49FBD37F" w14:textId="7A5C0396" w:rsidR="000809BC" w:rsidRDefault="00FC671B" w:rsidP="00A15869">
      <w:pPr>
        <w:pStyle w:val="Prrafodelista"/>
        <w:spacing w:after="0" w:line="240" w:lineRule="auto"/>
        <w:ind w:left="1854" w:right="1183"/>
        <w:jc w:val="both"/>
        <w:rPr>
          <w:rFonts w:ascii="Arial" w:eastAsia="Arial Unicode MS" w:hAnsi="Arial" w:cs="Arial"/>
          <w:iCs/>
          <w:lang w:eastAsia="es-ES"/>
        </w:rPr>
      </w:pPr>
      <w:r w:rsidRPr="00FC671B">
        <w:rPr>
          <w:rFonts w:ascii="Arial" w:eastAsia="Arial Unicode MS" w:hAnsi="Arial" w:cs="Arial"/>
          <w:iCs/>
          <w:lang w:eastAsia="es-ES"/>
        </w:rPr>
        <w:t>¿1. INCOMPETENCIA PARCIAL INDEBIDA: La Contraloría General del Estado declara notoria incompetencia de forma generalizada. Sin embargo, en la solicitud se requirió expresamente el "número de quejas o denuncias presentadas por despido injustificado o acoso laboral". La recepción y registro de quejas o denuncias por faltas administrativas y acoso laboral contra servidores públicos es competencia directa de este Órgano de Control Estatal y sus Órganos Internos de Control. ¿2. INCUMPLIMIENTO DEL ARTÍCULO 54 DE LA LEY DE TRANSPARENCIA LOCAL: Al declararse incompetente respecto a los protocolos o procedimientos de despido de personal, la Unidad de Transparencia omitió su obligación legal de orientar de manera precisa y/o turnar la solicitud a la Oficialía Mayor del Ejecutivo Estatal, vulnerando el derecho de acceso a la información. ¿PETICIÓN: &gt; Solicito a la CEGAIP revocar la declaración de incompetencia, ordenar a la Contraloría General del Estado entregar la información sobre las quejas y denuncias por acoso laboral que obren en sus archivos, y reorientar el punto correspondiente a Oficialía Mayor.</w:t>
      </w:r>
    </w:p>
    <w:p w14:paraId="1B5BFB89" w14:textId="77777777" w:rsidR="00FC671B" w:rsidRDefault="00FC671B" w:rsidP="00A15869">
      <w:pPr>
        <w:pStyle w:val="Prrafodelista"/>
        <w:spacing w:after="0" w:line="240" w:lineRule="auto"/>
        <w:ind w:left="1854" w:right="1183"/>
        <w:jc w:val="both"/>
        <w:rPr>
          <w:rFonts w:ascii="Arial" w:eastAsia="Arial Unicode MS" w:hAnsi="Arial" w:cs="Arial"/>
          <w:iCs/>
          <w:lang w:eastAsia="es-ES"/>
        </w:rPr>
      </w:pPr>
    </w:p>
    <w:p w14:paraId="3F8C21E4" w14:textId="4C8EBFAC" w:rsidR="00A15869" w:rsidRDefault="00A15869" w:rsidP="00A15869">
      <w:pPr>
        <w:pStyle w:val="Prrafodelista"/>
        <w:spacing w:after="0" w:line="240" w:lineRule="auto"/>
        <w:ind w:left="1854" w:right="1183"/>
        <w:jc w:val="both"/>
        <w:rPr>
          <w:rFonts w:ascii="Arial" w:eastAsia="Arial Unicode MS" w:hAnsi="Arial" w:cs="Arial"/>
          <w:iCs/>
          <w:lang w:eastAsia="es-ES"/>
        </w:rPr>
      </w:pPr>
      <w:r>
        <w:rPr>
          <w:rFonts w:ascii="Arial" w:eastAsia="Arial Unicode MS" w:hAnsi="Arial" w:cs="Arial"/>
          <w:iCs/>
          <w:lang w:eastAsia="es-ES"/>
        </w:rPr>
        <w:t>[…]”.</w:t>
      </w:r>
    </w:p>
    <w:p w14:paraId="23BE55F0" w14:textId="77777777" w:rsidR="00A15869" w:rsidRPr="00A15869" w:rsidRDefault="00A15869" w:rsidP="00A15869">
      <w:pPr>
        <w:spacing w:after="0" w:line="240" w:lineRule="auto"/>
        <w:ind w:right="1183"/>
        <w:jc w:val="both"/>
        <w:rPr>
          <w:rFonts w:ascii="Arial" w:eastAsia="Arial Unicode MS" w:hAnsi="Arial" w:cs="Arial"/>
          <w:iCs/>
          <w:lang w:eastAsia="es-ES"/>
        </w:rPr>
      </w:pPr>
    </w:p>
    <w:p w14:paraId="60528A6E" w14:textId="77777777" w:rsidR="005D1245" w:rsidRPr="005475F3" w:rsidRDefault="005D1245" w:rsidP="00A30399">
      <w:pPr>
        <w:spacing w:after="0" w:line="240" w:lineRule="auto"/>
        <w:ind w:left="1134" w:right="1183"/>
        <w:jc w:val="both"/>
        <w:rPr>
          <w:rFonts w:ascii="Arial" w:eastAsia="Arial Unicode MS" w:hAnsi="Arial" w:cs="Arial"/>
          <w:iCs/>
          <w:lang w:eastAsia="es-ES"/>
        </w:rPr>
      </w:pPr>
    </w:p>
    <w:p w14:paraId="7DE4CBD6" w14:textId="7C2DB266" w:rsidR="0093057A" w:rsidRPr="005475F3" w:rsidRDefault="0093057A" w:rsidP="0093057A">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CUARTO.</w:t>
      </w:r>
      <w:r w:rsidRPr="005475F3">
        <w:rPr>
          <w:rFonts w:ascii="Arial" w:eastAsia="Times New Roman" w:hAnsi="Arial" w:cs="Arial"/>
          <w:sz w:val="24"/>
          <w:szCs w:val="24"/>
          <w:lang w:eastAsia="es-ES"/>
        </w:rPr>
        <w:t xml:space="preserve"> </w:t>
      </w:r>
      <w:r w:rsidRPr="005475F3">
        <w:rPr>
          <w:rFonts w:ascii="Arial" w:eastAsia="Times New Roman" w:hAnsi="Arial" w:cs="Arial"/>
          <w:b/>
          <w:bCs/>
          <w:sz w:val="24"/>
          <w:szCs w:val="24"/>
          <w:lang w:eastAsia="es-ES"/>
        </w:rPr>
        <w:t>Turno.</w:t>
      </w:r>
      <w:r w:rsidRPr="005475F3">
        <w:rPr>
          <w:rFonts w:ascii="Arial" w:eastAsia="Times New Roman" w:hAnsi="Arial" w:cs="Arial"/>
          <w:sz w:val="24"/>
          <w:szCs w:val="24"/>
          <w:lang w:eastAsia="es-ES"/>
        </w:rPr>
        <w:t xml:space="preserve"> El </w:t>
      </w:r>
      <w:r w:rsidR="00FC671B">
        <w:rPr>
          <w:rFonts w:ascii="Arial" w:eastAsia="Times New Roman" w:hAnsi="Arial" w:cs="Arial"/>
          <w:sz w:val="24"/>
          <w:szCs w:val="24"/>
          <w:lang w:eastAsia="es-ES"/>
        </w:rPr>
        <w:t xml:space="preserve">19 diecinueve </w:t>
      </w:r>
      <w:r w:rsidR="000105B5">
        <w:rPr>
          <w:rFonts w:ascii="Arial" w:eastAsia="Times New Roman" w:hAnsi="Arial" w:cs="Arial"/>
          <w:sz w:val="24"/>
          <w:szCs w:val="24"/>
          <w:lang w:eastAsia="es-ES"/>
        </w:rPr>
        <w:t xml:space="preserve">de agosto </w:t>
      </w:r>
      <w:r w:rsidR="002433CA">
        <w:rPr>
          <w:rFonts w:ascii="Arial" w:eastAsia="Times New Roman" w:hAnsi="Arial" w:cs="Arial"/>
          <w:sz w:val="24"/>
          <w:szCs w:val="24"/>
          <w:lang w:eastAsia="es-ES"/>
        </w:rPr>
        <w:t xml:space="preserve">de </w:t>
      </w:r>
      <w:r w:rsidR="00B87D15">
        <w:rPr>
          <w:rFonts w:ascii="Arial" w:eastAsia="Times New Roman" w:hAnsi="Arial" w:cs="Arial"/>
          <w:sz w:val="24"/>
          <w:szCs w:val="24"/>
          <w:lang w:eastAsia="es-ES"/>
        </w:rPr>
        <w:t>2026</w:t>
      </w:r>
      <w:r w:rsidR="00137098" w:rsidRPr="005475F3">
        <w:rPr>
          <w:rFonts w:ascii="Arial" w:eastAsia="Times New Roman" w:hAnsi="Arial" w:cs="Arial"/>
          <w:sz w:val="24"/>
          <w:szCs w:val="24"/>
          <w:lang w:eastAsia="es-ES"/>
        </w:rPr>
        <w:t xml:space="preserve"> </w:t>
      </w:r>
      <w:r w:rsidR="008E4105" w:rsidRPr="005475F3">
        <w:rPr>
          <w:rFonts w:ascii="Arial" w:eastAsia="Times New Roman" w:hAnsi="Arial" w:cs="Arial"/>
          <w:sz w:val="24"/>
          <w:szCs w:val="24"/>
          <w:lang w:eastAsia="es-ES"/>
        </w:rPr>
        <w:t>dos mil veinti</w:t>
      </w:r>
      <w:r w:rsidR="00137098" w:rsidRPr="005475F3">
        <w:rPr>
          <w:rFonts w:ascii="Arial" w:eastAsia="Times New Roman" w:hAnsi="Arial" w:cs="Arial"/>
          <w:sz w:val="24"/>
          <w:szCs w:val="24"/>
          <w:lang w:eastAsia="es-ES"/>
        </w:rPr>
        <w:t>séis</w:t>
      </w:r>
      <w:r w:rsidR="008E4105" w:rsidRPr="005475F3">
        <w:rPr>
          <w:rFonts w:ascii="Arial" w:eastAsia="Times New Roman" w:hAnsi="Arial" w:cs="Arial"/>
          <w:sz w:val="24"/>
          <w:szCs w:val="24"/>
          <w:lang w:eastAsia="es-ES"/>
        </w:rPr>
        <w:t>,</w:t>
      </w:r>
      <w:r w:rsidRPr="005475F3">
        <w:rPr>
          <w:rFonts w:ascii="Arial" w:eastAsia="Times New Roman" w:hAnsi="Arial" w:cs="Arial"/>
          <w:sz w:val="24"/>
          <w:szCs w:val="24"/>
          <w:lang w:eastAsia="es-ES"/>
        </w:rPr>
        <w:t xml:space="preserve"> de conformidad con el artículo 174, fracción I de la Ley de Transparencia y Acceso a la Información Pública del Estado, el Recurso de Revisió</w:t>
      </w:r>
      <w:r w:rsidR="008E4105" w:rsidRPr="005475F3">
        <w:rPr>
          <w:rFonts w:ascii="Arial" w:eastAsia="Times New Roman" w:hAnsi="Arial" w:cs="Arial"/>
          <w:sz w:val="24"/>
          <w:szCs w:val="24"/>
          <w:lang w:eastAsia="es-ES"/>
        </w:rPr>
        <w:t>n que se resuelve fue turnado a</w:t>
      </w:r>
      <w:r w:rsidR="002433CA">
        <w:rPr>
          <w:rFonts w:ascii="Arial" w:eastAsia="Times New Roman" w:hAnsi="Arial" w:cs="Arial"/>
          <w:sz w:val="24"/>
          <w:szCs w:val="24"/>
          <w:lang w:eastAsia="es-ES"/>
        </w:rPr>
        <w:t xml:space="preserve"> </w:t>
      </w:r>
      <w:r w:rsidRPr="005475F3">
        <w:rPr>
          <w:rFonts w:ascii="Arial" w:eastAsia="Times New Roman" w:hAnsi="Arial" w:cs="Arial"/>
          <w:sz w:val="24"/>
          <w:szCs w:val="24"/>
          <w:lang w:eastAsia="es-ES"/>
        </w:rPr>
        <w:t>l</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Comisionad</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Ponente, para el análisis de su admisión o desechamiento. </w:t>
      </w:r>
    </w:p>
    <w:p w14:paraId="4D6CD6B7" w14:textId="77777777" w:rsidR="0093057A" w:rsidRPr="005475F3" w:rsidRDefault="0093057A" w:rsidP="0093057A">
      <w:pPr>
        <w:spacing w:after="0" w:line="360" w:lineRule="auto"/>
        <w:jc w:val="both"/>
        <w:rPr>
          <w:rFonts w:ascii="Arial" w:eastAsia="Times New Roman" w:hAnsi="Arial" w:cs="Arial"/>
          <w:b/>
          <w:sz w:val="24"/>
          <w:szCs w:val="24"/>
          <w:lang w:eastAsia="es-ES"/>
        </w:rPr>
      </w:pPr>
    </w:p>
    <w:p w14:paraId="6375FBA0" w14:textId="05335A28" w:rsidR="0093057A" w:rsidRPr="005475F3" w:rsidRDefault="0093057A" w:rsidP="00CB0B39">
      <w:pPr>
        <w:spacing w:after="0" w:line="360" w:lineRule="auto"/>
        <w:ind w:firstLine="708"/>
        <w:jc w:val="both"/>
        <w:rPr>
          <w:rFonts w:ascii="Arial" w:eastAsia="Times New Roman" w:hAnsi="Arial" w:cs="Arial"/>
          <w:b/>
          <w:bCs/>
          <w:sz w:val="24"/>
          <w:szCs w:val="24"/>
          <w:lang w:eastAsia="es-ES"/>
        </w:rPr>
      </w:pPr>
      <w:r w:rsidRPr="005475F3">
        <w:rPr>
          <w:rFonts w:ascii="Arial" w:eastAsia="Times New Roman" w:hAnsi="Arial" w:cs="Arial"/>
          <w:b/>
          <w:sz w:val="24"/>
          <w:szCs w:val="24"/>
          <w:lang w:eastAsia="es-ES"/>
        </w:rPr>
        <w:t>QUINTO.</w:t>
      </w:r>
      <w:r w:rsidRPr="005475F3">
        <w:rPr>
          <w:rFonts w:ascii="Arial" w:eastAsia="Times New Roman" w:hAnsi="Arial" w:cs="Arial"/>
          <w:sz w:val="24"/>
          <w:szCs w:val="24"/>
          <w:lang w:eastAsia="es-ES"/>
        </w:rPr>
        <w:t xml:space="preserve"> </w:t>
      </w:r>
      <w:r w:rsidR="00363337" w:rsidRPr="005475F3">
        <w:rPr>
          <w:rFonts w:ascii="Arial" w:eastAsia="Times New Roman" w:hAnsi="Arial" w:cs="Arial"/>
          <w:b/>
          <w:bCs/>
          <w:sz w:val="24"/>
          <w:szCs w:val="24"/>
          <w:lang w:eastAsia="es-ES"/>
        </w:rPr>
        <w:t>A</w:t>
      </w:r>
      <w:r w:rsidRPr="005475F3">
        <w:rPr>
          <w:rFonts w:ascii="Arial" w:eastAsia="Times New Roman" w:hAnsi="Arial" w:cs="Arial"/>
          <w:b/>
          <w:bCs/>
          <w:sz w:val="24"/>
          <w:szCs w:val="24"/>
          <w:lang w:eastAsia="es-ES"/>
        </w:rPr>
        <w:t xml:space="preserve">dmisión y trámite. </w:t>
      </w:r>
      <w:r w:rsidRPr="005475F3">
        <w:rPr>
          <w:rFonts w:ascii="Arial" w:eastAsia="Times New Roman" w:hAnsi="Arial" w:cs="Arial"/>
          <w:sz w:val="24"/>
          <w:szCs w:val="24"/>
          <w:lang w:eastAsia="es-ES"/>
        </w:rPr>
        <w:t xml:space="preserve">El </w:t>
      </w:r>
      <w:r w:rsidR="000105B5">
        <w:rPr>
          <w:rFonts w:ascii="Arial" w:eastAsia="Times New Roman" w:hAnsi="Arial" w:cs="Arial"/>
          <w:sz w:val="24"/>
          <w:szCs w:val="24"/>
          <w:lang w:eastAsia="es-ES"/>
        </w:rPr>
        <w:t>1</w:t>
      </w:r>
      <w:r w:rsidR="00FC671B">
        <w:rPr>
          <w:rFonts w:ascii="Arial" w:eastAsia="Times New Roman" w:hAnsi="Arial" w:cs="Arial"/>
          <w:sz w:val="24"/>
          <w:szCs w:val="24"/>
          <w:lang w:eastAsia="es-ES"/>
        </w:rPr>
        <w:t xml:space="preserve">9 diecinueve </w:t>
      </w:r>
      <w:r w:rsidR="000105B5">
        <w:rPr>
          <w:rFonts w:ascii="Arial" w:eastAsia="Times New Roman" w:hAnsi="Arial" w:cs="Arial"/>
          <w:sz w:val="24"/>
          <w:szCs w:val="24"/>
          <w:lang w:eastAsia="es-ES"/>
        </w:rPr>
        <w:t>de agosto</w:t>
      </w:r>
      <w:r w:rsidR="000B47F3">
        <w:rPr>
          <w:rFonts w:ascii="Arial" w:eastAsia="Times New Roman" w:hAnsi="Arial" w:cs="Arial"/>
          <w:sz w:val="24"/>
          <w:szCs w:val="24"/>
          <w:lang w:eastAsia="es-ES"/>
        </w:rPr>
        <w:t xml:space="preserve"> </w:t>
      </w:r>
      <w:r w:rsidR="0007486E">
        <w:rPr>
          <w:rFonts w:ascii="Arial" w:eastAsia="Times New Roman" w:hAnsi="Arial" w:cs="Arial"/>
          <w:sz w:val="24"/>
          <w:szCs w:val="24"/>
          <w:lang w:eastAsia="es-ES"/>
        </w:rPr>
        <w:t>de 2026</w:t>
      </w:r>
      <w:r w:rsidR="0007486E" w:rsidRPr="005475F3">
        <w:rPr>
          <w:rFonts w:ascii="Arial" w:eastAsia="Times New Roman" w:hAnsi="Arial" w:cs="Arial"/>
          <w:sz w:val="24"/>
          <w:szCs w:val="24"/>
          <w:lang w:eastAsia="es-ES"/>
        </w:rPr>
        <w:t xml:space="preserve"> dos mil veintiséis,</w:t>
      </w:r>
      <w:r w:rsidRPr="005475F3">
        <w:rPr>
          <w:rFonts w:ascii="Arial" w:eastAsia="Times New Roman" w:hAnsi="Arial" w:cs="Arial"/>
          <w:sz w:val="24"/>
          <w:szCs w:val="24"/>
          <w:lang w:eastAsia="es-ES"/>
        </w:rPr>
        <w:t xml:space="preserve"> </w:t>
      </w:r>
      <w:r w:rsidR="00CB0B39" w:rsidRPr="005475F3">
        <w:rPr>
          <w:rFonts w:ascii="Arial" w:eastAsia="Times New Roman" w:hAnsi="Arial" w:cs="Arial"/>
          <w:sz w:val="24"/>
          <w:szCs w:val="24"/>
          <w:lang w:eastAsia="es-ES"/>
        </w:rPr>
        <w:t>se</w:t>
      </w:r>
      <w:r w:rsidRPr="005475F3">
        <w:rPr>
          <w:rFonts w:ascii="Arial" w:eastAsia="Times New Roman" w:hAnsi="Arial" w:cs="Arial"/>
          <w:sz w:val="24"/>
          <w:szCs w:val="24"/>
          <w:lang w:eastAsia="es-ES"/>
        </w:rPr>
        <w:t xml:space="preserve"> admitió el presente medio de impugnación por actualizarse la hipótesis </w:t>
      </w:r>
      <w:r w:rsidR="008E4105" w:rsidRPr="005475F3">
        <w:rPr>
          <w:rFonts w:ascii="Arial" w:eastAsia="Times New Roman" w:hAnsi="Arial" w:cs="Arial"/>
          <w:sz w:val="24"/>
          <w:szCs w:val="24"/>
          <w:lang w:eastAsia="es-ES"/>
        </w:rPr>
        <w:t>contemplada en</w:t>
      </w:r>
      <w:r w:rsidR="000B47F3">
        <w:rPr>
          <w:rFonts w:ascii="Arial" w:eastAsia="Times New Roman" w:hAnsi="Arial" w:cs="Arial"/>
          <w:sz w:val="24"/>
          <w:szCs w:val="24"/>
          <w:lang w:eastAsia="es-ES"/>
        </w:rPr>
        <w:t xml:space="preserve"> la fracci</w:t>
      </w:r>
      <w:r w:rsidR="002433CA">
        <w:rPr>
          <w:rFonts w:ascii="Arial" w:eastAsia="Times New Roman" w:hAnsi="Arial" w:cs="Arial"/>
          <w:sz w:val="24"/>
          <w:szCs w:val="24"/>
          <w:lang w:eastAsia="es-ES"/>
        </w:rPr>
        <w:t>ón I</w:t>
      </w:r>
      <w:r w:rsidR="00FC671B">
        <w:rPr>
          <w:rFonts w:ascii="Arial" w:eastAsia="Times New Roman" w:hAnsi="Arial" w:cs="Arial"/>
          <w:sz w:val="24"/>
          <w:szCs w:val="24"/>
          <w:lang w:eastAsia="es-ES"/>
        </w:rPr>
        <w:t>II</w:t>
      </w:r>
      <w:r w:rsidR="002433CA">
        <w:rPr>
          <w:rFonts w:ascii="Arial" w:eastAsia="Times New Roman" w:hAnsi="Arial" w:cs="Arial"/>
          <w:sz w:val="24"/>
          <w:szCs w:val="24"/>
          <w:lang w:eastAsia="es-ES"/>
        </w:rPr>
        <w:t xml:space="preserve"> </w:t>
      </w:r>
      <w:r w:rsidRPr="005475F3">
        <w:rPr>
          <w:rFonts w:ascii="Arial" w:eastAsia="Times New Roman" w:hAnsi="Arial" w:cs="Arial"/>
          <w:sz w:val="24"/>
          <w:szCs w:val="24"/>
          <w:lang w:eastAsia="es-ES"/>
        </w:rPr>
        <w:t xml:space="preserve">del artículo 167 de la Ley de Transparencia y Acceso a la Información Pública del Estado, </w:t>
      </w:r>
      <w:r w:rsidR="00CB0B39" w:rsidRPr="005475F3">
        <w:rPr>
          <w:rFonts w:ascii="Arial" w:eastAsia="Times New Roman" w:hAnsi="Arial" w:cs="Arial"/>
          <w:sz w:val="24"/>
          <w:szCs w:val="24"/>
          <w:lang w:eastAsia="es-ES"/>
        </w:rPr>
        <w:t>asimismo se</w:t>
      </w:r>
      <w:r w:rsidRPr="005475F3">
        <w:rPr>
          <w:rFonts w:ascii="Arial" w:eastAsia="Times New Roman" w:hAnsi="Arial" w:cs="Arial"/>
          <w:sz w:val="24"/>
          <w:szCs w:val="24"/>
          <w:lang w:eastAsia="es-ES"/>
        </w:rPr>
        <w:t xml:space="preserve"> puso</w:t>
      </w:r>
      <w:r w:rsidR="00CB0B39" w:rsidRPr="005475F3">
        <w:rPr>
          <w:rFonts w:ascii="Arial" w:eastAsia="Times New Roman" w:hAnsi="Arial" w:cs="Arial"/>
          <w:sz w:val="24"/>
          <w:szCs w:val="24"/>
          <w:lang w:eastAsia="es-ES"/>
        </w:rPr>
        <w:t xml:space="preserve"> el expediente</w:t>
      </w:r>
      <w:r w:rsidRPr="005475F3">
        <w:rPr>
          <w:rFonts w:ascii="Arial" w:eastAsia="Times New Roman" w:hAnsi="Arial" w:cs="Arial"/>
          <w:sz w:val="24"/>
          <w:szCs w:val="24"/>
          <w:lang w:eastAsia="es-ES"/>
        </w:rPr>
        <w:t xml:space="preserve"> a disposición de las partes para que en el plazo que reconoce la ley manifestaran lo que a su derecho conviniera y ofrecieran las pruebas que </w:t>
      </w:r>
      <w:r w:rsidRPr="005475F3">
        <w:rPr>
          <w:rFonts w:ascii="Arial" w:eastAsia="Times New Roman" w:hAnsi="Arial" w:cs="Arial"/>
          <w:sz w:val="24"/>
          <w:szCs w:val="24"/>
          <w:lang w:eastAsia="es-ES"/>
        </w:rPr>
        <w:lastRenderedPageBreak/>
        <w:t xml:space="preserve">consideraran pertinentes, esto según lo dispuesto en la fracción II y III del artículo 174 de la Ley de Transparencia Local. </w:t>
      </w:r>
    </w:p>
    <w:p w14:paraId="40431E77" w14:textId="77777777" w:rsidR="0093057A" w:rsidRPr="005475F3" w:rsidRDefault="0093057A" w:rsidP="0093057A">
      <w:pPr>
        <w:spacing w:after="0" w:line="360" w:lineRule="auto"/>
        <w:ind w:firstLine="708"/>
        <w:jc w:val="both"/>
        <w:rPr>
          <w:rFonts w:ascii="Arial" w:eastAsia="Times New Roman" w:hAnsi="Arial" w:cs="Arial"/>
          <w:sz w:val="24"/>
          <w:szCs w:val="24"/>
          <w:lang w:eastAsia="es-ES"/>
        </w:rPr>
      </w:pPr>
    </w:p>
    <w:p w14:paraId="212FAE96" w14:textId="5D284208" w:rsidR="000105B5" w:rsidRDefault="008E4105" w:rsidP="00ED2CEE">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SEXTO</w:t>
      </w:r>
      <w:r w:rsidR="0093057A" w:rsidRPr="005475F3">
        <w:rPr>
          <w:rFonts w:ascii="Arial" w:eastAsia="Times New Roman" w:hAnsi="Arial" w:cs="Arial"/>
          <w:b/>
          <w:sz w:val="24"/>
          <w:szCs w:val="24"/>
          <w:lang w:eastAsia="es-ES"/>
        </w:rPr>
        <w:t xml:space="preserve">. </w:t>
      </w:r>
      <w:r w:rsidR="0093057A" w:rsidRPr="005475F3">
        <w:rPr>
          <w:rFonts w:ascii="Arial" w:eastAsia="Times New Roman" w:hAnsi="Arial" w:cs="Arial"/>
          <w:b/>
          <w:bCs/>
          <w:sz w:val="24"/>
          <w:szCs w:val="24"/>
          <w:lang w:eastAsia="es-ES"/>
        </w:rPr>
        <w:t>Manifestaci</w:t>
      </w:r>
      <w:r w:rsidR="00FE3C7E" w:rsidRPr="005475F3">
        <w:rPr>
          <w:rFonts w:ascii="Arial" w:eastAsia="Times New Roman" w:hAnsi="Arial" w:cs="Arial"/>
          <w:b/>
          <w:bCs/>
          <w:sz w:val="24"/>
          <w:szCs w:val="24"/>
          <w:lang w:eastAsia="es-ES"/>
        </w:rPr>
        <w:t>ón</w:t>
      </w:r>
      <w:r w:rsidR="0093057A" w:rsidRPr="005475F3">
        <w:rPr>
          <w:rFonts w:ascii="Arial" w:eastAsia="Times New Roman" w:hAnsi="Arial" w:cs="Arial"/>
          <w:b/>
          <w:bCs/>
          <w:sz w:val="24"/>
          <w:szCs w:val="24"/>
          <w:lang w:eastAsia="es-ES"/>
        </w:rPr>
        <w:t xml:space="preserve"> de las partes. </w:t>
      </w:r>
      <w:r w:rsidR="00035E7E" w:rsidRPr="00B80685">
        <w:rPr>
          <w:rFonts w:ascii="Arial" w:eastAsia="Times New Roman" w:hAnsi="Arial" w:cs="Arial"/>
          <w:bCs/>
          <w:sz w:val="24"/>
          <w:szCs w:val="24"/>
          <w:lang w:eastAsia="es-ES"/>
        </w:rPr>
        <w:t xml:space="preserve">El </w:t>
      </w:r>
      <w:r w:rsidR="00FC671B">
        <w:rPr>
          <w:rFonts w:ascii="Arial" w:eastAsia="Times New Roman" w:hAnsi="Arial" w:cs="Arial"/>
          <w:bCs/>
          <w:sz w:val="24"/>
          <w:szCs w:val="24"/>
          <w:lang w:eastAsia="es-ES"/>
        </w:rPr>
        <w:t>03 tres</w:t>
      </w:r>
      <w:r w:rsidR="000105B5">
        <w:rPr>
          <w:rFonts w:ascii="Arial" w:eastAsia="Times New Roman" w:hAnsi="Arial" w:cs="Arial"/>
          <w:bCs/>
          <w:sz w:val="24"/>
          <w:szCs w:val="24"/>
          <w:lang w:eastAsia="es-ES"/>
        </w:rPr>
        <w:t xml:space="preserve"> de septiembre </w:t>
      </w:r>
      <w:r w:rsidR="000B47F3" w:rsidRPr="00B80685">
        <w:rPr>
          <w:rFonts w:ascii="Arial" w:eastAsia="Times New Roman" w:hAnsi="Arial" w:cs="Arial"/>
          <w:bCs/>
          <w:sz w:val="24"/>
          <w:szCs w:val="24"/>
          <w:lang w:eastAsia="es-ES"/>
        </w:rPr>
        <w:t>de</w:t>
      </w:r>
      <w:r w:rsidR="0007486E" w:rsidRPr="00B80685">
        <w:rPr>
          <w:rFonts w:ascii="Arial" w:eastAsia="Times New Roman" w:hAnsi="Arial" w:cs="Arial"/>
          <w:bCs/>
          <w:sz w:val="24"/>
          <w:szCs w:val="24"/>
          <w:lang w:eastAsia="es-ES"/>
        </w:rPr>
        <w:t xml:space="preserve"> 2026 dos</w:t>
      </w:r>
      <w:r w:rsidR="00137098" w:rsidRPr="00B80685">
        <w:rPr>
          <w:rFonts w:ascii="Arial" w:eastAsia="Times New Roman" w:hAnsi="Arial" w:cs="Arial"/>
          <w:sz w:val="24"/>
          <w:szCs w:val="24"/>
          <w:lang w:eastAsia="es-ES"/>
        </w:rPr>
        <w:t xml:space="preserve"> mil veintiséis</w:t>
      </w:r>
      <w:r w:rsidR="0093057A" w:rsidRPr="00B80685">
        <w:rPr>
          <w:rFonts w:ascii="Arial" w:eastAsia="Times New Roman" w:hAnsi="Arial" w:cs="Arial"/>
          <w:sz w:val="24"/>
          <w:szCs w:val="24"/>
          <w:lang w:eastAsia="es-ES"/>
        </w:rPr>
        <w:t xml:space="preserve">, </w:t>
      </w:r>
      <w:r w:rsidR="00035E7E" w:rsidRPr="00B80685">
        <w:rPr>
          <w:rFonts w:ascii="Arial" w:eastAsia="Times New Roman" w:hAnsi="Arial" w:cs="Arial"/>
          <w:sz w:val="24"/>
          <w:szCs w:val="24"/>
          <w:lang w:eastAsia="es-ES"/>
        </w:rPr>
        <w:t xml:space="preserve">se dictó un proveído en el que se </w:t>
      </w:r>
      <w:r w:rsidR="0093057A" w:rsidRPr="00B80685">
        <w:rPr>
          <w:rFonts w:ascii="Arial" w:eastAsia="Times New Roman" w:hAnsi="Arial" w:cs="Arial"/>
          <w:sz w:val="24"/>
          <w:szCs w:val="24"/>
          <w:lang w:eastAsia="es-ES"/>
        </w:rPr>
        <w:t>tuvo por recibido el oficio</w:t>
      </w:r>
      <w:r w:rsidR="000B47F3" w:rsidRPr="00B80685">
        <w:rPr>
          <w:rFonts w:ascii="Arial" w:eastAsia="Times New Roman" w:hAnsi="Arial" w:cs="Arial"/>
          <w:sz w:val="24"/>
          <w:szCs w:val="24"/>
          <w:lang w:eastAsia="es-ES"/>
        </w:rPr>
        <w:t xml:space="preserve"> </w:t>
      </w:r>
      <w:r w:rsidR="00FC671B">
        <w:rPr>
          <w:rFonts w:ascii="Arial" w:eastAsia="Times New Roman" w:hAnsi="Arial" w:cs="Arial"/>
          <w:sz w:val="24"/>
          <w:szCs w:val="24"/>
          <w:lang w:eastAsia="es-ES"/>
        </w:rPr>
        <w:t xml:space="preserve">CGE/UT-0087/2026, suscrito por la Encargada de la Unidad de Transparencia de la Contraloría General del Estado, </w:t>
      </w:r>
      <w:r w:rsidR="006D4436" w:rsidRPr="00B80685">
        <w:rPr>
          <w:rFonts w:ascii="Arial" w:eastAsia="Times New Roman" w:hAnsi="Arial" w:cs="Arial"/>
          <w:sz w:val="24"/>
          <w:szCs w:val="24"/>
          <w:lang w:eastAsia="es-ES"/>
        </w:rPr>
        <w:t xml:space="preserve">por el cual, </w:t>
      </w:r>
      <w:r w:rsidR="000105B5">
        <w:rPr>
          <w:rFonts w:ascii="Arial" w:eastAsia="Times New Roman" w:hAnsi="Arial" w:cs="Arial"/>
          <w:sz w:val="24"/>
          <w:szCs w:val="24"/>
          <w:lang w:eastAsia="es-ES"/>
        </w:rPr>
        <w:t xml:space="preserve">señaló conforme a su derecho; en lo que respecta a la parte recurrente, se asentó que no rindió manifestación alguna en la instrucción del presente procedimiento. </w:t>
      </w:r>
    </w:p>
    <w:p w14:paraId="267BF88D" w14:textId="77777777" w:rsidR="000105B5" w:rsidRDefault="000105B5" w:rsidP="0093057A">
      <w:pPr>
        <w:spacing w:after="0" w:line="360" w:lineRule="auto"/>
        <w:ind w:firstLine="708"/>
        <w:jc w:val="both"/>
        <w:rPr>
          <w:rFonts w:ascii="Arial" w:eastAsia="Times New Roman" w:hAnsi="Arial" w:cs="Arial"/>
          <w:bCs/>
          <w:sz w:val="24"/>
          <w:szCs w:val="24"/>
          <w:lang w:eastAsia="es-ES"/>
        </w:rPr>
      </w:pPr>
    </w:p>
    <w:p w14:paraId="170F0257" w14:textId="34C93827" w:rsidR="0093057A" w:rsidRPr="005475F3" w:rsidRDefault="00BB4692" w:rsidP="0093057A">
      <w:pPr>
        <w:spacing w:after="0" w:line="360" w:lineRule="auto"/>
        <w:ind w:firstLine="708"/>
        <w:jc w:val="both"/>
        <w:rPr>
          <w:rFonts w:ascii="Arial" w:hAnsi="Arial" w:cs="Arial"/>
          <w:b/>
          <w:sz w:val="24"/>
          <w:szCs w:val="24"/>
        </w:rPr>
      </w:pPr>
      <w:r>
        <w:rPr>
          <w:rFonts w:ascii="Arial" w:eastAsia="Times New Roman" w:hAnsi="Arial" w:cs="Arial"/>
          <w:bCs/>
          <w:sz w:val="24"/>
          <w:szCs w:val="24"/>
          <w:lang w:eastAsia="es-ES"/>
        </w:rPr>
        <w:t>Finalmente</w:t>
      </w:r>
      <w:r w:rsidR="0093057A" w:rsidRPr="005475F3">
        <w:rPr>
          <w:rFonts w:ascii="Arial" w:eastAsia="Times New Roman" w:hAnsi="Arial" w:cs="Arial"/>
          <w:bCs/>
          <w:sz w:val="24"/>
          <w:szCs w:val="24"/>
          <w:lang w:eastAsia="es-ES"/>
        </w:rPr>
        <w:t xml:space="preserve">, en el acuerdo de referencia, </w:t>
      </w:r>
      <w:r w:rsidR="0093057A" w:rsidRPr="005475F3">
        <w:rPr>
          <w:rFonts w:ascii="Arial" w:hAnsi="Arial" w:cs="Arial"/>
          <w:sz w:val="24"/>
          <w:szCs w:val="24"/>
        </w:rPr>
        <w:t>se decretó el Cierre de Instrucción del expediente formado con motivo del presente recurso de revisión, a fin de que la ponente presentara el proyecto de resolución correspondiente.</w:t>
      </w:r>
      <w:r w:rsidR="0093057A" w:rsidRPr="005475F3">
        <w:rPr>
          <w:rFonts w:ascii="Arial" w:hAnsi="Arial" w:cs="Arial"/>
          <w:b/>
          <w:sz w:val="24"/>
          <w:szCs w:val="24"/>
        </w:rPr>
        <w:t xml:space="preserve"> </w:t>
      </w:r>
    </w:p>
    <w:p w14:paraId="78D01291" w14:textId="3D660D08" w:rsidR="00904021" w:rsidRPr="005475F3" w:rsidRDefault="00904021" w:rsidP="0093057A">
      <w:pPr>
        <w:spacing w:after="0" w:line="360" w:lineRule="auto"/>
        <w:ind w:firstLine="708"/>
        <w:jc w:val="both"/>
        <w:rPr>
          <w:rFonts w:ascii="Arial" w:hAnsi="Arial" w:cs="Arial"/>
          <w:b/>
          <w:sz w:val="24"/>
          <w:szCs w:val="24"/>
        </w:rPr>
      </w:pPr>
    </w:p>
    <w:p w14:paraId="11E529EF" w14:textId="0D293BFF" w:rsidR="00904021" w:rsidRPr="005475F3" w:rsidRDefault="00904021" w:rsidP="00904021">
      <w:pPr>
        <w:spacing w:after="0" w:line="360" w:lineRule="auto"/>
        <w:ind w:firstLine="708"/>
        <w:jc w:val="both"/>
        <w:rPr>
          <w:rFonts w:ascii="Arial" w:hAnsi="Arial" w:cs="Arial"/>
          <w:sz w:val="24"/>
          <w:szCs w:val="24"/>
        </w:rPr>
      </w:pPr>
      <w:r w:rsidRPr="005475F3">
        <w:rPr>
          <w:rFonts w:ascii="Arial" w:hAnsi="Arial" w:cs="Arial"/>
          <w:sz w:val="24"/>
          <w:szCs w:val="24"/>
        </w:rPr>
        <w:t xml:space="preserve">En razón de que fue debidamente sustanciado el expediente y no existe diligencia pendiente de desahogo, se emite la Resolución </w:t>
      </w:r>
      <w:r w:rsidR="00C94280" w:rsidRPr="005475F3">
        <w:rPr>
          <w:rFonts w:ascii="Arial" w:hAnsi="Arial" w:cs="Arial"/>
          <w:sz w:val="24"/>
          <w:szCs w:val="24"/>
        </w:rPr>
        <w:t xml:space="preserve">conforme los siguientes: </w:t>
      </w:r>
    </w:p>
    <w:p w14:paraId="3D69BEB0" w14:textId="77777777" w:rsidR="00904021" w:rsidRPr="005475F3" w:rsidRDefault="00904021" w:rsidP="006D3B1C">
      <w:pPr>
        <w:spacing w:after="0" w:line="360" w:lineRule="auto"/>
        <w:jc w:val="center"/>
        <w:outlineLvl w:val="0"/>
        <w:rPr>
          <w:rFonts w:ascii="Arial" w:eastAsia="Times New Roman" w:hAnsi="Arial" w:cs="Arial"/>
          <w:b/>
          <w:sz w:val="24"/>
          <w:szCs w:val="24"/>
          <w:lang w:val="pt-BR" w:eastAsia="es-ES"/>
        </w:rPr>
      </w:pPr>
    </w:p>
    <w:p w14:paraId="468F1B19" w14:textId="6FA9891D"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r w:rsidRPr="005475F3">
        <w:rPr>
          <w:rFonts w:ascii="Arial" w:eastAsia="Times New Roman" w:hAnsi="Arial" w:cs="Arial"/>
          <w:b/>
          <w:sz w:val="24"/>
          <w:szCs w:val="24"/>
          <w:lang w:val="pt-BR" w:eastAsia="es-ES"/>
        </w:rPr>
        <w:t>C O N S I D E R A N D O</w:t>
      </w:r>
      <w:r w:rsidR="00C94280" w:rsidRPr="005475F3">
        <w:rPr>
          <w:rFonts w:ascii="Arial" w:eastAsia="Times New Roman" w:hAnsi="Arial" w:cs="Arial"/>
          <w:b/>
          <w:sz w:val="24"/>
          <w:szCs w:val="24"/>
          <w:lang w:val="pt-BR" w:eastAsia="es-ES"/>
        </w:rPr>
        <w:t xml:space="preserve"> S</w:t>
      </w:r>
    </w:p>
    <w:p w14:paraId="7B0F7089" w14:textId="77777777"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p>
    <w:p w14:paraId="2B91BD00" w14:textId="0EAC4648" w:rsidR="00ED2CEE" w:rsidRDefault="006D3B1C" w:rsidP="00ED2CEE">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PRIMERO.</w:t>
      </w:r>
      <w:r w:rsidRPr="005475F3">
        <w:rPr>
          <w:rFonts w:ascii="Arial" w:eastAsia="Arial Unicode MS" w:hAnsi="Arial" w:cs="Arial"/>
          <w:b/>
          <w:sz w:val="24"/>
          <w:szCs w:val="24"/>
          <w:lang w:eastAsia="es-ES"/>
        </w:rPr>
        <w:t> </w:t>
      </w:r>
      <w:r w:rsidRPr="005475F3">
        <w:rPr>
          <w:rFonts w:ascii="Arial" w:eastAsia="Arial Unicode MS" w:hAnsi="Arial" w:cs="Arial"/>
          <w:b/>
          <w:bCs/>
          <w:sz w:val="24"/>
          <w:szCs w:val="24"/>
          <w:lang w:eastAsia="es-ES"/>
        </w:rPr>
        <w:t>Competencia.</w:t>
      </w:r>
      <w:r w:rsidRPr="005475F3">
        <w:rPr>
          <w:rFonts w:ascii="Arial" w:eastAsia="Arial Unicode MS" w:hAnsi="Arial" w:cs="Arial"/>
          <w:b/>
          <w:sz w:val="24"/>
          <w:szCs w:val="24"/>
          <w:lang w:eastAsia="es-ES"/>
        </w:rPr>
        <w:t> </w:t>
      </w:r>
      <w:r w:rsidR="00ED2CEE">
        <w:rPr>
          <w:rFonts w:ascii="Arial" w:eastAsia="Arial Unicode MS" w:hAnsi="Arial" w:cs="Arial"/>
          <w:sz w:val="24"/>
          <w:szCs w:val="24"/>
          <w:lang w:eastAsia="es-ES"/>
        </w:rPr>
        <w:t xml:space="preserve"> </w:t>
      </w:r>
      <w:r w:rsidR="00ED2CEE" w:rsidRPr="00ED2CEE">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 el Transitorio OCTAVO</w:t>
      </w:r>
      <w:r w:rsidR="009F1E9E">
        <w:rPr>
          <w:rFonts w:ascii="Arial" w:eastAsia="Arial Unicode MS" w:hAnsi="Arial" w:cs="Arial"/>
          <w:sz w:val="24"/>
          <w:szCs w:val="24"/>
          <w:lang w:eastAsia="es-ES"/>
        </w:rPr>
        <w:t xml:space="preserve"> y NOVENO</w:t>
      </w:r>
      <w:r w:rsidR="00ED2CEE" w:rsidRPr="00ED2CEE">
        <w:rPr>
          <w:rFonts w:ascii="Arial" w:eastAsia="Arial Unicode MS" w:hAnsi="Arial" w:cs="Arial"/>
          <w:sz w:val="24"/>
          <w:szCs w:val="24"/>
          <w:lang w:eastAsia="es-ES"/>
        </w:rPr>
        <w:t xml:space="preserve"> del DECRETO 0506, publicado en la edición extraordinaria del miércoles 01 primero de abril de 2026 dos mil veintiséis, del Periódico Oficial del Estado de San Luis Potosí; </w:t>
      </w:r>
      <w:r w:rsidR="009F1E9E">
        <w:rPr>
          <w:rFonts w:ascii="Arial" w:eastAsia="Arial Unicode MS" w:hAnsi="Arial" w:cs="Arial"/>
          <w:sz w:val="24"/>
          <w:szCs w:val="24"/>
          <w:lang w:eastAsia="es-ES"/>
        </w:rPr>
        <w:t xml:space="preserve">así como su reforma publicada el 29 veintinueve de junio de 2026 dos mil veintiséis, por el mismo medio; </w:t>
      </w:r>
      <w:r w:rsidR="00ED2CEE" w:rsidRPr="00ED2CEE">
        <w:rPr>
          <w:rFonts w:ascii="Arial" w:eastAsia="Arial Unicode MS" w:hAnsi="Arial" w:cs="Arial"/>
          <w:sz w:val="24"/>
          <w:szCs w:val="24"/>
          <w:lang w:eastAsia="es-ES"/>
        </w:rPr>
        <w:t>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20B8B078" w14:textId="0EE62296" w:rsidR="009F1E9E" w:rsidRDefault="009F1E9E" w:rsidP="00ED2CEE">
      <w:pPr>
        <w:spacing w:after="0" w:line="360" w:lineRule="auto"/>
        <w:ind w:firstLine="708"/>
        <w:jc w:val="both"/>
        <w:rPr>
          <w:rFonts w:ascii="Arial" w:eastAsia="Arial Unicode MS" w:hAnsi="Arial" w:cs="Arial"/>
          <w:sz w:val="24"/>
          <w:szCs w:val="24"/>
          <w:lang w:eastAsia="es-ES"/>
        </w:rPr>
      </w:pPr>
    </w:p>
    <w:p w14:paraId="02C3D91A" w14:textId="77777777" w:rsidR="009439B3" w:rsidRPr="00F9028F" w:rsidRDefault="006D3B1C" w:rsidP="009439B3">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sz w:val="24"/>
          <w:szCs w:val="24"/>
          <w:lang w:eastAsia="es-ES"/>
        </w:rPr>
        <w:t xml:space="preserve">SEGUNDO. Legitimidad. </w:t>
      </w:r>
      <w:r w:rsidR="009439B3" w:rsidRPr="00F9028F">
        <w:rPr>
          <w:rFonts w:ascii="Arial" w:eastAsia="Arial Unicode MS" w:hAnsi="Arial" w:cs="Arial"/>
          <w:bCs/>
          <w:sz w:val="24"/>
          <w:szCs w:val="24"/>
          <w:lang w:eastAsia="es-ES"/>
        </w:rPr>
        <w:t xml:space="preserve">El Recurso de Revisión fue interpuesto por la parte legitimada, ya que la impugnación que se examina fue realizada </w:t>
      </w:r>
      <w:r w:rsidR="009439B3">
        <w:rPr>
          <w:rFonts w:ascii="Arial" w:eastAsia="Arial Unicode MS" w:hAnsi="Arial" w:cs="Arial"/>
          <w:bCs/>
          <w:sz w:val="24"/>
          <w:szCs w:val="24"/>
          <w:lang w:eastAsia="es-ES"/>
        </w:rPr>
        <w:t xml:space="preserve">por la persona particular que presentó la solicitud de acceso a la información pública, </w:t>
      </w:r>
      <w:r w:rsidR="009439B3" w:rsidRPr="008E2C6E">
        <w:rPr>
          <w:rFonts w:ascii="Arial" w:eastAsia="Arial Unicode MS" w:hAnsi="Arial" w:cs="Arial"/>
          <w:bCs/>
          <w:sz w:val="24"/>
          <w:szCs w:val="24"/>
          <w:lang w:eastAsia="es-ES"/>
        </w:rPr>
        <w:lastRenderedPageBreak/>
        <w:t>circunstancia que se equipara</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al principio de instancia de parte agraviada porque garantiza la identidad de</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quien promueve el presente recurso de revisión.</w:t>
      </w:r>
    </w:p>
    <w:p w14:paraId="77928AF3" w14:textId="38870AF4" w:rsidR="006D3B1C" w:rsidRPr="005475F3" w:rsidRDefault="006D3B1C" w:rsidP="009439B3">
      <w:pPr>
        <w:spacing w:after="0" w:line="360" w:lineRule="auto"/>
        <w:ind w:firstLine="708"/>
        <w:jc w:val="both"/>
        <w:rPr>
          <w:rFonts w:ascii="Arial" w:eastAsia="Arial Unicode MS" w:hAnsi="Arial" w:cs="Arial"/>
          <w:bCs/>
          <w:sz w:val="24"/>
          <w:szCs w:val="24"/>
          <w:lang w:eastAsia="es-ES"/>
        </w:rPr>
      </w:pPr>
    </w:p>
    <w:p w14:paraId="1AC3A37D" w14:textId="77777777" w:rsidR="00FA5019" w:rsidRPr="005475F3" w:rsidRDefault="00FA5019" w:rsidP="00FA5019">
      <w:pPr>
        <w:spacing w:after="0" w:line="360" w:lineRule="auto"/>
        <w:ind w:firstLine="708"/>
        <w:jc w:val="both"/>
        <w:rPr>
          <w:rFonts w:ascii="Arial" w:eastAsia="Arial Unicode MS" w:hAnsi="Arial" w:cs="Arial"/>
          <w:iCs/>
          <w:sz w:val="24"/>
          <w:szCs w:val="24"/>
          <w:lang w:eastAsia="es-ES"/>
        </w:rPr>
      </w:pPr>
      <w:bookmarkStart w:id="1" w:name="_Hlk111068002"/>
      <w:r w:rsidRPr="005475F3">
        <w:rPr>
          <w:rFonts w:ascii="Arial" w:eastAsia="Arial Unicode MS" w:hAnsi="Arial" w:cs="Arial"/>
          <w:b/>
          <w:sz w:val="24"/>
          <w:szCs w:val="24"/>
          <w:lang w:eastAsia="es-ES"/>
        </w:rPr>
        <w:t xml:space="preserve">TERCERO. Improcedencia. </w:t>
      </w:r>
      <w:r w:rsidRPr="005475F3">
        <w:rPr>
          <w:rFonts w:ascii="Arial" w:eastAsia="Arial Unicode MS" w:hAnsi="Arial" w:cs="Arial"/>
          <w:sz w:val="24"/>
          <w:szCs w:val="24"/>
          <w:lang w:eastAsia="es-ES"/>
        </w:rPr>
        <w:t>Por cuestión de técnica jurídica y previo al análisis de fondo del presente recurso de revisión, esta Comisión realizará un estudio de oficio respecto de las causales de improcedencia, aún y cuando el sujeto obligado no las haya hecho valer, toda vez que debe tomarse en consideración que dichas causales están relacionadas con aspectos necesarios para la válida constitución de un proceso y, al tratarse de una cuestión de orden público, su estudio debe ser preferente; sirve de apoyo a lo anterior, la jurisprudencia que por analogía resulta aplicable y que a la letra señala:</w:t>
      </w:r>
    </w:p>
    <w:p w14:paraId="5E63A669"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sz w:val="24"/>
          <w:szCs w:val="24"/>
          <w:lang w:eastAsia="es-ES"/>
        </w:rPr>
        <w:tab/>
      </w:r>
    </w:p>
    <w:p w14:paraId="2FF3E63C" w14:textId="77777777" w:rsidR="00FA5019" w:rsidRPr="005475F3" w:rsidRDefault="00FA5019" w:rsidP="00FA5019">
      <w:pPr>
        <w:spacing w:after="0" w:line="240" w:lineRule="auto"/>
        <w:ind w:left="1134" w:right="1183"/>
        <w:jc w:val="both"/>
        <w:rPr>
          <w:rFonts w:ascii="Arial" w:eastAsia="Arial Unicode MS" w:hAnsi="Arial" w:cs="Arial"/>
          <w:iCs/>
          <w:lang w:val="es-ES_tradnl" w:eastAsia="es-ES"/>
        </w:rPr>
      </w:pPr>
      <w:r w:rsidRPr="005475F3">
        <w:rPr>
          <w:rFonts w:ascii="Arial" w:eastAsia="Arial Unicode MS" w:hAnsi="Arial" w:cs="Arial"/>
          <w:iCs/>
          <w:lang w:eastAsia="es-ES"/>
        </w:rPr>
        <w:t>“</w:t>
      </w:r>
      <w:r w:rsidRPr="005475F3">
        <w:rPr>
          <w:rFonts w:ascii="Arial" w:eastAsia="Arial Unicode MS" w:hAnsi="Arial" w:cs="Arial"/>
          <w:b/>
          <w:iCs/>
          <w:lang w:eastAsia="es-ES"/>
        </w:rPr>
        <w:t>IMPROCEDENCIA.</w:t>
      </w:r>
      <w:r w:rsidRPr="005475F3">
        <w:rPr>
          <w:rFonts w:ascii="Arial" w:eastAsia="Arial Unicode MS" w:hAnsi="Arial" w:cs="Arial"/>
          <w:iCs/>
          <w:lang w:eastAsia="es-ES"/>
        </w:rPr>
        <w:t xml:space="preserve"> Sea que las partes la aleguen o no, debe examinarse previamente la procedencia del juicio de amparo, por ser esa cuestión de orden público en el juicio de garantías</w:t>
      </w:r>
      <w:r w:rsidRPr="005475F3">
        <w:rPr>
          <w:rFonts w:ascii="Arial" w:eastAsia="Arial Unicode MS" w:hAnsi="Arial" w:cs="Arial"/>
          <w:iCs/>
          <w:vertAlign w:val="superscript"/>
          <w:lang w:val="es-ES_tradnl" w:eastAsia="es-ES"/>
        </w:rPr>
        <w:footnoteReference w:id="1"/>
      </w:r>
      <w:r w:rsidRPr="005475F3">
        <w:rPr>
          <w:rFonts w:ascii="Arial" w:eastAsia="Arial Unicode MS" w:hAnsi="Arial" w:cs="Arial"/>
          <w:iCs/>
          <w:lang w:val="es-ES_tradnl" w:eastAsia="es-ES"/>
        </w:rPr>
        <w:t xml:space="preserve">”. </w:t>
      </w:r>
    </w:p>
    <w:p w14:paraId="3AD44857" w14:textId="77777777" w:rsidR="00FA5019" w:rsidRPr="005475F3" w:rsidRDefault="00FA5019" w:rsidP="00FA5019">
      <w:pPr>
        <w:spacing w:after="0" w:line="360" w:lineRule="auto"/>
        <w:ind w:firstLine="708"/>
        <w:jc w:val="both"/>
        <w:rPr>
          <w:rFonts w:ascii="Arial" w:eastAsia="Arial Unicode MS" w:hAnsi="Arial" w:cs="Arial"/>
          <w:b/>
          <w:sz w:val="24"/>
          <w:szCs w:val="24"/>
          <w:lang w:val="es-ES_tradnl" w:eastAsia="es-ES"/>
        </w:rPr>
      </w:pPr>
    </w:p>
    <w:p w14:paraId="7CE80273"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En relación a las causales de improcedencia, el artículo 179 de la Ley de Transparencia y Acceso a la Información Pública del Estado de San Luis Potosí, establece lo siguiente:</w:t>
      </w:r>
    </w:p>
    <w:p w14:paraId="6BB2F59A"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p>
    <w:p w14:paraId="4B8510A7" w14:textId="77777777" w:rsidR="00FA5019" w:rsidRPr="005475F3" w:rsidRDefault="00FA5019" w:rsidP="00FA5019">
      <w:pPr>
        <w:spacing w:after="0" w:line="240" w:lineRule="auto"/>
        <w:ind w:left="1134" w:right="1183"/>
        <w:jc w:val="both"/>
        <w:rPr>
          <w:rFonts w:ascii="Arial" w:eastAsia="Arial Unicode MS" w:hAnsi="Arial" w:cs="Arial"/>
          <w:lang w:eastAsia="es-ES"/>
        </w:rPr>
      </w:pPr>
      <w:r w:rsidRPr="005475F3">
        <w:rPr>
          <w:rFonts w:ascii="Arial" w:eastAsia="Arial Unicode MS" w:hAnsi="Arial" w:cs="Arial"/>
          <w:b/>
          <w:lang w:eastAsia="es-ES"/>
        </w:rPr>
        <w:t>ARTÍCULO 179.</w:t>
      </w:r>
      <w:r w:rsidRPr="005475F3">
        <w:rPr>
          <w:rFonts w:ascii="Arial" w:eastAsia="Arial Unicode MS" w:hAnsi="Arial" w:cs="Arial"/>
          <w:lang w:eastAsia="es-ES"/>
        </w:rPr>
        <w:t xml:space="preserve"> El recurso será desechado por improcedente cuando: </w:t>
      </w:r>
    </w:p>
    <w:p w14:paraId="4ADCAC50"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Sea extemporáneo por haber transcurrido el plazo establecido en el artículo 166 de la presente Ley; </w:t>
      </w:r>
    </w:p>
    <w:p w14:paraId="0ECB4425"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el Poder Judicial algún recurso o medio de defensa interpuesto por el recurrente; </w:t>
      </w:r>
    </w:p>
    <w:p w14:paraId="2701F312"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la CEGAIP algún recurso de revisión por el mismo quejoso en los mismos términos; </w:t>
      </w:r>
    </w:p>
    <w:p w14:paraId="10D6B2CA"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actualice alguno de los supuestos previstos en el artículo 167 de la presente Ley; </w:t>
      </w:r>
    </w:p>
    <w:p w14:paraId="17959A2B"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se haya desahogado la prevención en los términos establecidos en el artículo 168 de la presente Ley; </w:t>
      </w:r>
    </w:p>
    <w:p w14:paraId="61483298"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impugne la veracidad de la información proporcionada; </w:t>
      </w:r>
    </w:p>
    <w:p w14:paraId="29C9DC4B"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trate de una consulta, o </w:t>
      </w:r>
    </w:p>
    <w:p w14:paraId="4014F260" w14:textId="77777777" w:rsidR="00FA5019" w:rsidRPr="005475F3" w:rsidRDefault="00FA5019" w:rsidP="00586028">
      <w:pPr>
        <w:pStyle w:val="Prrafodelista"/>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El recurrente amplíe su solicitud en el recurso de revisión, únicamente respecto de los nuevos contenidos.</w:t>
      </w:r>
    </w:p>
    <w:p w14:paraId="642586F2" w14:textId="77777777" w:rsidR="00373E6F" w:rsidRDefault="00373E6F" w:rsidP="00FA5019">
      <w:pPr>
        <w:spacing w:after="0" w:line="360" w:lineRule="auto"/>
        <w:ind w:firstLine="708"/>
        <w:jc w:val="both"/>
        <w:rPr>
          <w:rFonts w:ascii="Arial" w:eastAsia="Arial Unicode MS" w:hAnsi="Arial" w:cs="Arial"/>
          <w:sz w:val="24"/>
          <w:szCs w:val="24"/>
          <w:lang w:eastAsia="es-ES"/>
        </w:rPr>
      </w:pPr>
    </w:p>
    <w:p w14:paraId="55AEF987" w14:textId="1C64DAAB"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Es así que, a continuación, se analizará cada una de las hipótesis que prevé el precepto referido: </w:t>
      </w:r>
    </w:p>
    <w:p w14:paraId="34A79DF7" w14:textId="77777777" w:rsidR="00FA5019" w:rsidRPr="005475F3" w:rsidRDefault="00FA5019" w:rsidP="00FA5019">
      <w:pPr>
        <w:spacing w:after="0" w:line="360" w:lineRule="auto"/>
        <w:ind w:firstLine="708"/>
        <w:jc w:val="both"/>
        <w:rPr>
          <w:rFonts w:ascii="Arial" w:eastAsia="Arial Unicode MS" w:hAnsi="Arial" w:cs="Arial"/>
          <w:b/>
          <w:bCs/>
          <w:sz w:val="24"/>
          <w:szCs w:val="24"/>
          <w:lang w:eastAsia="es-ES"/>
        </w:rPr>
      </w:pPr>
    </w:p>
    <w:p w14:paraId="1D63D21E"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 Oportunidad. </w:t>
      </w:r>
      <w:r w:rsidRPr="005475F3">
        <w:rPr>
          <w:rFonts w:ascii="Arial" w:eastAsia="Arial Unicode MS" w:hAnsi="Arial" w:cs="Arial"/>
          <w:sz w:val="24"/>
          <w:szCs w:val="24"/>
          <w:lang w:eastAsia="es-ES"/>
        </w:rPr>
        <w:t xml:space="preserve">Tal y como se desprende de las constancias que obran en el expediente en el que se actúa, el recurso de revisión fue presentado en tiempo y forma, por lo que se encuentra dentro del plazo establecido por el artículo 166 de la Ley de Transparencia y Acceso a la Información Pública del Estado de San Luis Potosí, para la interposición del recurso de revisión, el cual resulta ser de 15 días hábiles. </w:t>
      </w:r>
    </w:p>
    <w:p w14:paraId="19808405"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7255735A"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II. Litispendencia. </w:t>
      </w:r>
      <w:r w:rsidRPr="005475F3">
        <w:rPr>
          <w:rFonts w:ascii="Arial" w:eastAsia="Arial Unicode MS" w:hAnsi="Arial" w:cs="Arial"/>
          <w:sz w:val="24"/>
          <w:szCs w:val="24"/>
          <w:lang w:eastAsia="es-ES"/>
        </w:rPr>
        <w:t>Esta Comisión no tiene conocimiento de la existencia de algún recurso o medio de defensa en trámite ante los tribunales del Poder Judicial Federal por parte de la persona recurrente, razón por la cual la hipótesis prevista en la fracción II del precepto legal en cuestión no cobra vigencia.</w:t>
      </w:r>
    </w:p>
    <w:p w14:paraId="53374518" w14:textId="77777777" w:rsidR="00FA5019" w:rsidRPr="005475F3" w:rsidRDefault="00FA5019" w:rsidP="00373E6F">
      <w:pPr>
        <w:spacing w:after="0" w:line="360" w:lineRule="auto"/>
        <w:ind w:firstLine="708"/>
        <w:jc w:val="both"/>
        <w:rPr>
          <w:rFonts w:ascii="Arial" w:eastAsia="Arial Unicode MS" w:hAnsi="Arial" w:cs="Arial"/>
          <w:b/>
          <w:sz w:val="24"/>
          <w:szCs w:val="24"/>
          <w:lang w:eastAsia="es-ES"/>
        </w:rPr>
      </w:pPr>
    </w:p>
    <w:p w14:paraId="0A629E3C" w14:textId="3E9ECA98" w:rsidR="00FA5019" w:rsidRDefault="00FA5019" w:rsidP="00373E6F">
      <w:pPr>
        <w:spacing w:after="0" w:line="360" w:lineRule="auto"/>
        <w:ind w:firstLine="708"/>
        <w:jc w:val="both"/>
        <w:rPr>
          <w:rFonts w:ascii="Arial" w:eastAsia="Arial Unicode MS" w:hAnsi="Arial" w:cs="Arial"/>
          <w:sz w:val="24"/>
          <w:szCs w:val="24"/>
        </w:rPr>
      </w:pPr>
      <w:r w:rsidRPr="005475F3">
        <w:rPr>
          <w:rFonts w:ascii="Arial" w:eastAsia="Arial Unicode MS" w:hAnsi="Arial" w:cs="Arial"/>
          <w:b/>
          <w:bCs/>
          <w:sz w:val="24"/>
          <w:szCs w:val="24"/>
        </w:rPr>
        <w:t xml:space="preserve">III. Cosa Juzgada. </w:t>
      </w:r>
      <w:r w:rsidRPr="005475F3">
        <w:rPr>
          <w:rFonts w:ascii="Arial" w:eastAsia="Arial Unicode MS" w:hAnsi="Arial" w:cs="Arial"/>
          <w:sz w:val="24"/>
          <w:szCs w:val="24"/>
        </w:rPr>
        <w:t>Al respecto, se realizó una búsqueda dentro de las bases de datos internas con las que cuenta esta Comisión, advirtiendo que no existe antecedente en el que se haya resuelto en definitiva algún recurso de revisión que versara sobre la misma solicitud de acceso, por lo que no se actualiza la causal de improcedencia establecida en la fracción III del precepto legal que se analiza.</w:t>
      </w:r>
    </w:p>
    <w:p w14:paraId="6CCF08D3" w14:textId="77777777" w:rsidR="00373E6F" w:rsidRPr="005475F3" w:rsidRDefault="00373E6F" w:rsidP="00373E6F">
      <w:pPr>
        <w:spacing w:after="0" w:line="360" w:lineRule="auto"/>
        <w:ind w:firstLine="708"/>
        <w:jc w:val="both"/>
        <w:rPr>
          <w:rFonts w:ascii="Arial" w:eastAsia="Arial Unicode MS" w:hAnsi="Arial" w:cs="Arial"/>
          <w:sz w:val="24"/>
          <w:szCs w:val="24"/>
        </w:rPr>
      </w:pPr>
    </w:p>
    <w:p w14:paraId="045D2896" w14:textId="71D1DF20"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IV. Procedencia. </w:t>
      </w:r>
      <w:r w:rsidRPr="005475F3">
        <w:rPr>
          <w:rFonts w:ascii="Arial" w:eastAsia="Arial Unicode MS" w:hAnsi="Arial" w:cs="Arial"/>
          <w:sz w:val="24"/>
          <w:szCs w:val="24"/>
          <w:lang w:eastAsia="es-ES"/>
        </w:rPr>
        <w:t>Asimismo, se advierte que el presente recurso de revisión actualiza el supuesto de proced</w:t>
      </w:r>
      <w:r w:rsidR="004600CF">
        <w:rPr>
          <w:rFonts w:ascii="Arial" w:eastAsia="Arial Unicode MS" w:hAnsi="Arial" w:cs="Arial"/>
          <w:sz w:val="24"/>
          <w:szCs w:val="24"/>
          <w:lang w:eastAsia="es-ES"/>
        </w:rPr>
        <w:t>encia previsto en la fracción IV</w:t>
      </w:r>
      <w:r w:rsidRPr="005475F3">
        <w:rPr>
          <w:rFonts w:ascii="Arial" w:eastAsia="Arial Unicode MS" w:hAnsi="Arial" w:cs="Arial"/>
          <w:sz w:val="24"/>
          <w:szCs w:val="24"/>
          <w:lang w:eastAsia="es-ES"/>
        </w:rPr>
        <w:t xml:space="preserve"> del artículo 167 de la Ley de Transparencia y Acceso a la Información Pública del Estado, ya que, la persona recurrente aduce </w:t>
      </w:r>
      <w:r w:rsidR="004600CF">
        <w:rPr>
          <w:rFonts w:ascii="Arial" w:eastAsia="Arial Unicode MS" w:hAnsi="Arial" w:cs="Arial"/>
          <w:sz w:val="24"/>
          <w:szCs w:val="24"/>
          <w:lang w:eastAsia="es-ES"/>
        </w:rPr>
        <w:t>la entrega de información incompleta</w:t>
      </w:r>
      <w:r w:rsidRPr="005475F3">
        <w:rPr>
          <w:rFonts w:ascii="Arial" w:eastAsia="Arial Unicode MS" w:hAnsi="Arial" w:cs="Arial"/>
          <w:sz w:val="24"/>
          <w:szCs w:val="24"/>
          <w:lang w:eastAsia="es-ES"/>
        </w:rPr>
        <w:t xml:space="preserve">. </w:t>
      </w:r>
    </w:p>
    <w:p w14:paraId="04EAAC3B"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B93CF16"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 Prevención. </w:t>
      </w:r>
      <w:r w:rsidRPr="005475F3">
        <w:rPr>
          <w:rFonts w:ascii="Arial" w:eastAsia="Arial Unicode MS" w:hAnsi="Arial" w:cs="Arial"/>
          <w:sz w:val="24"/>
          <w:szCs w:val="24"/>
          <w:lang w:eastAsia="es-ES"/>
        </w:rPr>
        <w:t xml:space="preserve">De un análisis de las constancias que obran en el expediente en el que se actúa, no consta que se haya efectuado requerimiento alguno a la parte recurrente. </w:t>
      </w:r>
    </w:p>
    <w:p w14:paraId="0033F053" w14:textId="77777777" w:rsidR="00843E8B" w:rsidRDefault="00843E8B" w:rsidP="00373E6F">
      <w:pPr>
        <w:spacing w:after="0" w:line="360" w:lineRule="auto"/>
        <w:ind w:firstLine="708"/>
        <w:jc w:val="both"/>
        <w:rPr>
          <w:rFonts w:ascii="Arial" w:eastAsia="Arial Unicode MS" w:hAnsi="Arial" w:cs="Arial"/>
          <w:b/>
          <w:sz w:val="24"/>
          <w:szCs w:val="24"/>
          <w:lang w:eastAsia="es-ES"/>
        </w:rPr>
      </w:pPr>
    </w:p>
    <w:p w14:paraId="2AEA91C3" w14:textId="1D91DF65"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VI. Veracidad. </w:t>
      </w:r>
      <w:r w:rsidRPr="005475F3">
        <w:rPr>
          <w:rFonts w:ascii="Arial" w:eastAsia="Arial Unicode MS" w:hAnsi="Arial" w:cs="Arial"/>
          <w:sz w:val="24"/>
          <w:szCs w:val="24"/>
          <w:lang w:eastAsia="es-ES"/>
        </w:rPr>
        <w:t xml:space="preserve">De los motivos de agravio esgrimidos, no se evidencia que la intención de la persona recurrente tenga como finalidad controvertir la legalidad de la repuesta otorgada. </w:t>
      </w:r>
    </w:p>
    <w:p w14:paraId="03E6B964"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4562D2BF"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lastRenderedPageBreak/>
        <w:t xml:space="preserve"> </w:t>
      </w:r>
      <w:r w:rsidRPr="005475F3">
        <w:rPr>
          <w:rFonts w:ascii="Arial" w:eastAsia="Arial Unicode MS" w:hAnsi="Arial" w:cs="Arial"/>
          <w:b/>
          <w:sz w:val="24"/>
          <w:szCs w:val="24"/>
          <w:lang w:eastAsia="es-ES"/>
        </w:rPr>
        <w:t xml:space="preserve">VII. Consulta. </w:t>
      </w:r>
      <w:r w:rsidRPr="005475F3">
        <w:rPr>
          <w:rFonts w:ascii="Arial" w:eastAsia="Arial Unicode MS" w:hAnsi="Arial" w:cs="Arial"/>
          <w:sz w:val="24"/>
          <w:szCs w:val="24"/>
          <w:lang w:eastAsia="es-ES"/>
        </w:rPr>
        <w:t xml:space="preserve">Del contenido de la solicitud de información, se tiene que lo requerido atiende al acceso de documentos previamente elaborados por el Sujeto Obligado y no así, a la generación de un documento para satisfacer la petición del particular. </w:t>
      </w:r>
    </w:p>
    <w:p w14:paraId="7B3BC3AC"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ECE98F7"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VIII. Ampliación. </w:t>
      </w:r>
      <w:r w:rsidRPr="005475F3">
        <w:rPr>
          <w:rFonts w:ascii="Arial" w:eastAsia="Arial Unicode MS" w:hAnsi="Arial" w:cs="Arial"/>
          <w:sz w:val="24"/>
          <w:szCs w:val="24"/>
          <w:lang w:eastAsia="es-ES"/>
        </w:rPr>
        <w:t xml:space="preserve">Asimismo, del contraste de la solicitud de acceso a la información con el recurso de revisión que fue interpuesto en contra de la respuesta proporcionada por el sujeto obligado, esta Comisión no advierte que la persona recurrente haya ampliado su solicitud de acceso. Por tal motivo no se actualiza la hipótesis de improcedencia establecida en la fracción VIII del artículo en análisis. </w:t>
      </w:r>
    </w:p>
    <w:p w14:paraId="16CF22C2"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23753CF4" w14:textId="77777777" w:rsidR="00FA5019" w:rsidRPr="005475F3" w:rsidRDefault="00FA5019" w:rsidP="00373E6F">
      <w:pPr>
        <w:spacing w:after="0" w:line="360" w:lineRule="auto"/>
        <w:ind w:firstLine="709"/>
        <w:jc w:val="both"/>
        <w:rPr>
          <w:rFonts w:ascii="Arial" w:eastAsia="Arial Unicode MS" w:hAnsi="Arial" w:cs="Arial"/>
          <w:sz w:val="24"/>
          <w:szCs w:val="24"/>
          <w:lang w:eastAsia="es-ES"/>
        </w:rPr>
      </w:pPr>
      <w:bookmarkStart w:id="2" w:name="_Toc209010496"/>
      <w:r w:rsidRPr="005475F3">
        <w:rPr>
          <w:rFonts w:ascii="Arial" w:eastAsia="Arial Unicode MS" w:hAnsi="Arial" w:cs="Arial"/>
          <w:b/>
          <w:sz w:val="24"/>
          <w:szCs w:val="24"/>
          <w:lang w:eastAsia="es-ES"/>
        </w:rPr>
        <w:t>CUARTO. Sobreseimiento.</w:t>
      </w:r>
      <w:bookmarkEnd w:id="2"/>
      <w:r w:rsidRPr="005475F3">
        <w:rPr>
          <w:rFonts w:ascii="Arial" w:eastAsia="Arial Unicode MS" w:hAnsi="Arial" w:cs="Arial"/>
          <w:b/>
          <w:sz w:val="24"/>
          <w:szCs w:val="24"/>
          <w:lang w:eastAsia="es-ES"/>
        </w:rPr>
        <w:t xml:space="preserve"> </w:t>
      </w:r>
      <w:r w:rsidRPr="005475F3">
        <w:rPr>
          <w:rFonts w:ascii="Arial" w:eastAsia="Arial Unicode MS" w:hAnsi="Arial" w:cs="Arial"/>
          <w:bCs/>
          <w:sz w:val="24"/>
          <w:szCs w:val="24"/>
          <w:lang w:eastAsia="es-ES"/>
        </w:rPr>
        <w:t>La figura jurídica del sobreseimiento</w:t>
      </w:r>
      <w:r w:rsidRPr="005475F3">
        <w:rPr>
          <w:rStyle w:val="Refdenotaalpie"/>
          <w:rFonts w:ascii="Arial" w:eastAsia="Arial Unicode MS" w:hAnsi="Arial" w:cs="Arial"/>
          <w:bCs/>
          <w:sz w:val="24"/>
          <w:szCs w:val="24"/>
          <w:lang w:eastAsia="es-ES"/>
        </w:rPr>
        <w:footnoteReference w:id="2"/>
      </w:r>
      <w:r w:rsidRPr="005475F3">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es decir, porque se haya actualizado alguno de los supuestos que establece el artículo 180 de la Ley de Transparencia y Acceso a la Información Pública del Estado, por lo que al ser una cuestión de </w:t>
      </w:r>
      <w:r w:rsidRPr="005475F3">
        <w:rPr>
          <w:rFonts w:ascii="Arial" w:eastAsia="Arial Unicode MS" w:hAnsi="Arial" w:cs="Arial"/>
          <w:sz w:val="24"/>
          <w:szCs w:val="24"/>
          <w:lang w:eastAsia="es-ES"/>
        </w:rPr>
        <w:t xml:space="preserve">previo y especial pronunciamiento, esta Comisión analiza si se actualiza alguna </w:t>
      </w:r>
      <w:r w:rsidRPr="005475F3">
        <w:rPr>
          <w:rFonts w:ascii="Arial" w:eastAsia="Arial Unicode MS" w:hAnsi="Arial" w:cs="Arial"/>
          <w:bCs/>
          <w:sz w:val="24"/>
          <w:szCs w:val="24"/>
          <w:lang w:eastAsia="es-ES"/>
        </w:rPr>
        <w:t xml:space="preserve">causal </w:t>
      </w:r>
      <w:r w:rsidRPr="005475F3">
        <w:rPr>
          <w:rFonts w:ascii="Arial" w:eastAsia="Arial Unicode MS" w:hAnsi="Arial" w:cs="Arial"/>
          <w:sz w:val="24"/>
          <w:szCs w:val="24"/>
          <w:lang w:eastAsia="es-ES"/>
        </w:rPr>
        <w:t xml:space="preserve">de </w:t>
      </w:r>
      <w:r w:rsidRPr="005475F3">
        <w:rPr>
          <w:rFonts w:ascii="Arial" w:eastAsia="Arial Unicode MS" w:hAnsi="Arial" w:cs="Arial"/>
          <w:bCs/>
          <w:sz w:val="24"/>
          <w:szCs w:val="24"/>
          <w:lang w:eastAsia="es-ES"/>
        </w:rPr>
        <w:t>sobreseimiento</w:t>
      </w:r>
      <w:r w:rsidRPr="005475F3">
        <w:rPr>
          <w:rFonts w:ascii="Arial" w:eastAsia="Arial Unicode MS" w:hAnsi="Arial" w:cs="Arial"/>
          <w:sz w:val="24"/>
          <w:szCs w:val="24"/>
          <w:lang w:eastAsia="es-ES"/>
        </w:rPr>
        <w:t xml:space="preserve">. </w:t>
      </w:r>
    </w:p>
    <w:p w14:paraId="63B01343" w14:textId="77777777" w:rsidR="00FA5019" w:rsidRPr="005475F3" w:rsidRDefault="00FA5019" w:rsidP="00373E6F">
      <w:pPr>
        <w:spacing w:after="0" w:line="360" w:lineRule="auto"/>
        <w:ind w:firstLine="709"/>
        <w:jc w:val="both"/>
        <w:rPr>
          <w:rFonts w:ascii="Arial" w:eastAsia="Arial Unicode MS" w:hAnsi="Arial" w:cs="Arial"/>
          <w:b/>
          <w:sz w:val="24"/>
          <w:szCs w:val="24"/>
          <w:lang w:eastAsia="es-ES"/>
        </w:rPr>
      </w:pPr>
    </w:p>
    <w:p w14:paraId="74DFDB23" w14:textId="77777777" w:rsidR="00FA5019" w:rsidRPr="005475F3" w:rsidRDefault="00FA5019" w:rsidP="00FA5019">
      <w:pPr>
        <w:spacing w:after="0" w:line="240" w:lineRule="auto"/>
        <w:ind w:left="1134" w:right="1183"/>
        <w:jc w:val="both"/>
        <w:rPr>
          <w:rFonts w:ascii="Arial" w:eastAsia="Arial Unicode MS" w:hAnsi="Arial" w:cs="Arial"/>
          <w:bCs/>
          <w:lang w:eastAsia="es-ES"/>
        </w:rPr>
      </w:pPr>
      <w:r w:rsidRPr="005475F3">
        <w:rPr>
          <w:rFonts w:ascii="Arial" w:eastAsia="Arial Unicode MS" w:hAnsi="Arial" w:cs="Arial"/>
          <w:b/>
          <w:bCs/>
          <w:lang w:eastAsia="es-ES"/>
        </w:rPr>
        <w:t>ARTÍCULO 180.</w:t>
      </w:r>
      <w:r w:rsidRPr="005475F3">
        <w:rPr>
          <w:rFonts w:ascii="Arial" w:eastAsia="Arial Unicode MS" w:hAnsi="Arial" w:cs="Arial"/>
          <w:bCs/>
          <w:lang w:eastAsia="es-ES"/>
        </w:rPr>
        <w:t xml:space="preserve"> El recurso será sobreseído, en todo o en parte, cuando, una vez admitido, se actualicen alguno de los siguientes supuestos: </w:t>
      </w:r>
    </w:p>
    <w:p w14:paraId="4AE6B9D6"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se desista; </w:t>
      </w:r>
    </w:p>
    <w:p w14:paraId="107424C8"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fallezca; </w:t>
      </w:r>
    </w:p>
    <w:p w14:paraId="52B3BE8F"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sujeto obligado responsable del acto lo modifique o revoque de tal manera que el recurso de revisión quede sin materia, o </w:t>
      </w:r>
    </w:p>
    <w:p w14:paraId="54A24CBD" w14:textId="77777777" w:rsidR="00FA5019" w:rsidRPr="005475F3" w:rsidRDefault="00FA5019" w:rsidP="00586028">
      <w:pPr>
        <w:pStyle w:val="Prrafodelista"/>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Admitido el recurso de revisión, aparezca alguna causal de improcedencia en los términos del presente Capítulo.</w:t>
      </w:r>
    </w:p>
    <w:p w14:paraId="7166D1DD" w14:textId="77777777" w:rsidR="00FA5019" w:rsidRPr="005475F3" w:rsidRDefault="00FA5019" w:rsidP="00FA5019">
      <w:pPr>
        <w:spacing w:after="0" w:line="360" w:lineRule="auto"/>
        <w:ind w:firstLine="709"/>
        <w:jc w:val="both"/>
        <w:rPr>
          <w:rFonts w:ascii="Arial" w:eastAsia="Arial Unicode MS" w:hAnsi="Arial" w:cs="Arial"/>
          <w:b/>
          <w:sz w:val="24"/>
          <w:szCs w:val="24"/>
          <w:lang w:eastAsia="es-ES"/>
        </w:rPr>
      </w:pPr>
    </w:p>
    <w:p w14:paraId="108DF802"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Cs/>
          <w:sz w:val="24"/>
          <w:lang w:val="es-ES_tradnl"/>
        </w:rPr>
        <w:t>B</w:t>
      </w:r>
      <w:r w:rsidRPr="005475F3">
        <w:rPr>
          <w:rFonts w:ascii="Arial" w:eastAsia="Arial Unicode MS" w:hAnsi="Arial" w:cs="Arial"/>
          <w:bCs/>
          <w:sz w:val="24"/>
          <w:szCs w:val="24"/>
          <w:lang w:eastAsia="es-ES"/>
        </w:rPr>
        <w:t>ajo las condiciones anotadas, de las constancias que integran el expediente citado al rubro, no se actualizan hipótesis a través de las cuales a este Órgano Garante se le permita arribar a la convicción de que se configure un supuesto de sobreseimiento.</w:t>
      </w:r>
    </w:p>
    <w:p w14:paraId="31702DC8"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p>
    <w:p w14:paraId="37992F51"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bCs/>
          <w:sz w:val="24"/>
          <w:szCs w:val="24"/>
          <w:lang w:eastAsia="es-ES"/>
        </w:rPr>
        <w:lastRenderedPageBreak/>
        <w:t xml:space="preserve">QUINTO. Valoración de las pruebas. </w:t>
      </w:r>
      <w:r w:rsidRPr="005475F3">
        <w:rPr>
          <w:rFonts w:ascii="Arial" w:eastAsia="Arial Unicode MS" w:hAnsi="Arial" w:cs="Arial"/>
          <w:bCs/>
          <w:sz w:val="24"/>
          <w:szCs w:val="24"/>
          <w:lang w:eastAsia="es-ES"/>
        </w:rPr>
        <w:t>De las documentales que obran en el expediente materia de la presente resolución, debe precisarse que la instrumental de actuaciones, constituye todo lo que obra en el expediente y es obligatorio para quien resuelve tomarlo en cuenta para dictar la presente determinación, ello con la finalidad de cumplir con los principios de congruencia y exhaustividad en las determinaciones materialmente jurisdiccionales, con lo cual se logra dar respuesta a todos los planteamientos formulados por las partes.</w:t>
      </w:r>
    </w:p>
    <w:p w14:paraId="0AB91237"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p>
    <w:p w14:paraId="78FC8F02" w14:textId="77777777" w:rsidR="00FA5019" w:rsidRPr="005475F3" w:rsidRDefault="00FA5019" w:rsidP="00FA5019">
      <w:pPr>
        <w:spacing w:after="0" w:line="360" w:lineRule="auto"/>
        <w:ind w:firstLine="709"/>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t>En razón de lo anterior, se tiene que de las documentales que obran en el presente sumario, se desahogan por su propia y especial naturaleza y a las cuales se les concede valor probatorio de conformidad con lo establecido en los</w:t>
      </w:r>
    </w:p>
    <w:p w14:paraId="0C07476D" w14:textId="77777777" w:rsidR="00FA5019" w:rsidRPr="005475F3" w:rsidRDefault="00FA5019" w:rsidP="00FA5019">
      <w:pPr>
        <w:spacing w:after="0" w:line="360" w:lineRule="auto"/>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t>artículos 72 fracción I, 74, 75 y 76 del Código Procesal Administrativo del Estado aplicado de manera supletoria a la Ley de Transparencia de conformidad con el artículo 1º de esta.</w:t>
      </w:r>
    </w:p>
    <w:p w14:paraId="0E4BD247" w14:textId="77777777" w:rsidR="00FA5019" w:rsidRPr="005475F3" w:rsidRDefault="00FA5019" w:rsidP="00FA5019">
      <w:pPr>
        <w:spacing w:after="0" w:line="360" w:lineRule="auto"/>
        <w:jc w:val="both"/>
        <w:rPr>
          <w:rFonts w:ascii="Arial" w:eastAsia="Arial Unicode MS" w:hAnsi="Arial" w:cs="Arial"/>
          <w:bCs/>
          <w:sz w:val="24"/>
          <w:szCs w:val="24"/>
          <w:lang w:eastAsia="es-ES"/>
        </w:rPr>
      </w:pPr>
    </w:p>
    <w:p w14:paraId="15EC8FC7" w14:textId="77777777" w:rsidR="00FC671B" w:rsidRDefault="003C0AF6" w:rsidP="0060729C">
      <w:pPr>
        <w:autoSpaceDE w:val="0"/>
        <w:autoSpaceDN w:val="0"/>
        <w:adjustRightInd w:val="0"/>
        <w:spacing w:after="0" w:line="360" w:lineRule="auto"/>
        <w:ind w:firstLine="708"/>
        <w:jc w:val="both"/>
        <w:rPr>
          <w:rFonts w:ascii="Arial" w:hAnsi="Arial" w:cs="Arial"/>
          <w:sz w:val="24"/>
          <w:szCs w:val="24"/>
        </w:rPr>
      </w:pPr>
      <w:r w:rsidRPr="006C3BD5">
        <w:rPr>
          <w:rFonts w:ascii="Arial" w:hAnsi="Arial" w:cs="Arial"/>
          <w:b/>
          <w:sz w:val="24"/>
          <w:szCs w:val="24"/>
        </w:rPr>
        <w:t xml:space="preserve">SEXTO. </w:t>
      </w:r>
      <w:r w:rsidR="006506E4" w:rsidRPr="006C3BD5">
        <w:rPr>
          <w:rFonts w:ascii="Arial" w:hAnsi="Arial" w:cs="Arial"/>
          <w:b/>
          <w:sz w:val="24"/>
          <w:szCs w:val="24"/>
        </w:rPr>
        <w:t xml:space="preserve">Caso concreto. </w:t>
      </w:r>
      <w:r w:rsidR="006506E4" w:rsidRPr="006C3BD5">
        <w:rPr>
          <w:rFonts w:ascii="Arial" w:hAnsi="Arial" w:cs="Arial"/>
          <w:sz w:val="24"/>
          <w:szCs w:val="24"/>
        </w:rPr>
        <w:t xml:space="preserve">De las constancias que obran en autos, se advierte que la persona recurrente requirió que se le </w:t>
      </w:r>
      <w:r w:rsidR="00FC671B">
        <w:rPr>
          <w:rFonts w:ascii="Arial" w:hAnsi="Arial" w:cs="Arial"/>
          <w:sz w:val="24"/>
          <w:szCs w:val="24"/>
        </w:rPr>
        <w:t xml:space="preserve">proporcionaran los </w:t>
      </w:r>
      <w:r w:rsidR="00FC671B" w:rsidRPr="00FC671B">
        <w:rPr>
          <w:rFonts w:ascii="Arial" w:hAnsi="Arial" w:cs="Arial"/>
          <w:sz w:val="24"/>
          <w:szCs w:val="24"/>
        </w:rPr>
        <w:t xml:space="preserve">protocolos, lineamientos y procedimientos autorizados para el despido de personal del Gobierno del Estado de noviembre de 2021 a la fecha, así como el número de quejas o denuncias presentadas por despido injustificado o acoso laboral en el mismo periodo. </w:t>
      </w:r>
    </w:p>
    <w:p w14:paraId="358DA9A0" w14:textId="77777777" w:rsidR="00FC671B" w:rsidRDefault="00FC671B" w:rsidP="0060729C">
      <w:pPr>
        <w:autoSpaceDE w:val="0"/>
        <w:autoSpaceDN w:val="0"/>
        <w:adjustRightInd w:val="0"/>
        <w:spacing w:after="0" w:line="360" w:lineRule="auto"/>
        <w:ind w:firstLine="708"/>
        <w:jc w:val="both"/>
        <w:rPr>
          <w:rFonts w:ascii="Arial" w:hAnsi="Arial" w:cs="Arial"/>
          <w:sz w:val="24"/>
          <w:szCs w:val="24"/>
        </w:rPr>
      </w:pPr>
    </w:p>
    <w:p w14:paraId="45D04EC5" w14:textId="37F10616" w:rsidR="0060729C" w:rsidRDefault="006506E4" w:rsidP="006506E4">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En atención a su solicitud de información, el sujeto obligado indicó que </w:t>
      </w:r>
      <w:r w:rsidR="0060729C" w:rsidRPr="0060729C">
        <w:rPr>
          <w:rFonts w:ascii="Arial" w:hAnsi="Arial" w:cs="Arial"/>
          <w:sz w:val="24"/>
          <w:szCs w:val="24"/>
        </w:rPr>
        <w:t xml:space="preserve">la </w:t>
      </w:r>
      <w:r w:rsidR="00FC671B">
        <w:rPr>
          <w:rFonts w:ascii="Arial" w:hAnsi="Arial" w:cs="Arial"/>
          <w:sz w:val="24"/>
          <w:szCs w:val="24"/>
        </w:rPr>
        <w:t xml:space="preserve">Contraloría General del Estado, </w:t>
      </w:r>
      <w:r w:rsidR="00771268">
        <w:rPr>
          <w:rFonts w:ascii="Arial" w:hAnsi="Arial" w:cs="Arial"/>
          <w:sz w:val="24"/>
          <w:szCs w:val="24"/>
        </w:rPr>
        <w:t>conforme a sus atribuciones, facultades y competencias, resultaba incompetente para atender la solicitud de información formulada.</w:t>
      </w:r>
    </w:p>
    <w:p w14:paraId="52A580A0" w14:textId="77777777" w:rsidR="00771268" w:rsidRDefault="00771268" w:rsidP="006506E4">
      <w:pPr>
        <w:autoSpaceDE w:val="0"/>
        <w:autoSpaceDN w:val="0"/>
        <w:adjustRightInd w:val="0"/>
        <w:spacing w:after="0" w:line="360" w:lineRule="auto"/>
        <w:ind w:firstLine="708"/>
        <w:jc w:val="both"/>
        <w:rPr>
          <w:rFonts w:ascii="Arial" w:hAnsi="Arial" w:cs="Arial"/>
          <w:sz w:val="24"/>
          <w:szCs w:val="24"/>
        </w:rPr>
      </w:pPr>
    </w:p>
    <w:p w14:paraId="3F58E50E" w14:textId="77777777" w:rsidR="00771268" w:rsidRDefault="006506E4" w:rsidP="001C7DCD">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Inconforme con la respuesta proporcionada, el recurrente interpuso recurso de revisión ante esta Comisión</w:t>
      </w:r>
      <w:r w:rsidR="0060729C">
        <w:rPr>
          <w:rFonts w:ascii="Arial" w:hAnsi="Arial" w:cs="Arial"/>
          <w:sz w:val="24"/>
          <w:szCs w:val="24"/>
        </w:rPr>
        <w:t xml:space="preserve"> y señaló como motivo de queja que, a su consideración, </w:t>
      </w:r>
      <w:r w:rsidR="00771268">
        <w:rPr>
          <w:rFonts w:ascii="Arial" w:hAnsi="Arial" w:cs="Arial"/>
          <w:sz w:val="24"/>
          <w:szCs w:val="24"/>
        </w:rPr>
        <w:t xml:space="preserve">el sujeto obligado si resultaba competente para atender la petitoria y, además, se debería redirigir la solicitud al sujeto obligado denominado oficialía mayor. </w:t>
      </w:r>
    </w:p>
    <w:p w14:paraId="2CCB9C57" w14:textId="77777777" w:rsidR="00771268" w:rsidRDefault="00771268" w:rsidP="001C7DCD">
      <w:pPr>
        <w:autoSpaceDE w:val="0"/>
        <w:autoSpaceDN w:val="0"/>
        <w:adjustRightInd w:val="0"/>
        <w:spacing w:after="0" w:line="360" w:lineRule="auto"/>
        <w:ind w:firstLine="708"/>
        <w:jc w:val="both"/>
        <w:rPr>
          <w:rFonts w:ascii="Arial" w:hAnsi="Arial" w:cs="Arial"/>
          <w:sz w:val="24"/>
          <w:szCs w:val="24"/>
        </w:rPr>
      </w:pPr>
    </w:p>
    <w:p w14:paraId="36450738" w14:textId="7C503FDA" w:rsidR="00F83025" w:rsidRPr="00F83025" w:rsidRDefault="006506E4" w:rsidP="00F83025">
      <w:pPr>
        <w:pStyle w:val="Estilo"/>
        <w:spacing w:line="360" w:lineRule="auto"/>
        <w:ind w:firstLine="709"/>
        <w:rPr>
          <w:rFonts w:cs="Arial"/>
          <w:i/>
          <w:szCs w:val="24"/>
        </w:rPr>
      </w:pPr>
      <w:r w:rsidRPr="00442C4D">
        <w:rPr>
          <w:rFonts w:cs="Arial"/>
          <w:szCs w:val="24"/>
        </w:rPr>
        <w:t xml:space="preserve">Entonces, </w:t>
      </w:r>
      <w:r>
        <w:rPr>
          <w:rFonts w:cs="Arial"/>
          <w:szCs w:val="24"/>
        </w:rPr>
        <w:t>la litis en el presente asunt</w:t>
      </w:r>
      <w:r w:rsidR="002B1396">
        <w:rPr>
          <w:rFonts w:cs="Arial"/>
          <w:szCs w:val="24"/>
        </w:rPr>
        <w:t>o se fija conforme a la causal de procedencia que actualiza</w:t>
      </w:r>
      <w:r>
        <w:rPr>
          <w:rFonts w:cs="Arial"/>
          <w:szCs w:val="24"/>
        </w:rPr>
        <w:t xml:space="preserve"> los motivos de inconformidad formulados por la ahora </w:t>
      </w:r>
      <w:r>
        <w:rPr>
          <w:rFonts w:cs="Arial"/>
          <w:szCs w:val="24"/>
        </w:rPr>
        <w:lastRenderedPageBreak/>
        <w:t xml:space="preserve">parte recurrente, esto es: </w:t>
      </w:r>
      <w:r w:rsidRPr="00F35BFA">
        <w:rPr>
          <w:rFonts w:cs="Arial"/>
          <w:i/>
          <w:szCs w:val="24"/>
        </w:rPr>
        <w:t>(</w:t>
      </w:r>
      <w:r>
        <w:rPr>
          <w:rFonts w:cs="Arial"/>
          <w:i/>
          <w:szCs w:val="24"/>
        </w:rPr>
        <w:t>i</w:t>
      </w:r>
      <w:r w:rsidRPr="00F35BFA">
        <w:rPr>
          <w:rFonts w:cs="Arial"/>
          <w:i/>
          <w:szCs w:val="24"/>
        </w:rPr>
        <w:t>)</w:t>
      </w:r>
      <w:r w:rsidR="002B1396">
        <w:rPr>
          <w:rFonts w:cs="Arial"/>
          <w:i/>
          <w:szCs w:val="24"/>
        </w:rPr>
        <w:t xml:space="preserve"> </w:t>
      </w:r>
      <w:r w:rsidR="00771268" w:rsidRPr="00771268">
        <w:rPr>
          <w:rFonts w:cs="Arial"/>
          <w:i/>
          <w:szCs w:val="24"/>
        </w:rPr>
        <w:t>III. La declaración de incom</w:t>
      </w:r>
      <w:r w:rsidR="00771268">
        <w:rPr>
          <w:rFonts w:cs="Arial"/>
          <w:i/>
          <w:szCs w:val="24"/>
        </w:rPr>
        <w:t>petencia por el sujeto obligado</w:t>
      </w:r>
      <w:r w:rsidR="002B1396">
        <w:rPr>
          <w:rFonts w:cs="Arial"/>
          <w:i/>
          <w:szCs w:val="24"/>
        </w:rPr>
        <w:t>.</w:t>
      </w:r>
    </w:p>
    <w:p w14:paraId="69D8027F" w14:textId="77777777" w:rsidR="00F83025" w:rsidRDefault="00F83025" w:rsidP="006506E4">
      <w:pPr>
        <w:pStyle w:val="Estilo"/>
        <w:spacing w:line="360" w:lineRule="auto"/>
        <w:ind w:firstLine="709"/>
        <w:rPr>
          <w:rFonts w:cs="Arial"/>
          <w:i/>
          <w:szCs w:val="24"/>
        </w:rPr>
      </w:pPr>
    </w:p>
    <w:p w14:paraId="4C2674DF" w14:textId="60361FCA" w:rsidR="006506E4" w:rsidRDefault="00552FC8" w:rsidP="006506E4">
      <w:pPr>
        <w:spacing w:after="0" w:line="360" w:lineRule="auto"/>
        <w:ind w:firstLine="709"/>
        <w:jc w:val="both"/>
        <w:rPr>
          <w:rFonts w:ascii="Arial" w:eastAsia="Arial Unicode MS" w:hAnsi="Arial" w:cs="Arial"/>
          <w:sz w:val="24"/>
          <w:szCs w:val="24"/>
          <w:lang w:eastAsia="es-ES"/>
        </w:rPr>
      </w:pPr>
      <w:r w:rsidRPr="00035D9B">
        <w:rPr>
          <w:rFonts w:ascii="Arial" w:eastAsia="Arial Unicode MS" w:hAnsi="Arial" w:cs="Arial"/>
          <w:b/>
          <w:bCs/>
          <w:sz w:val="24"/>
          <w:szCs w:val="24"/>
          <w:lang w:eastAsia="es-ES"/>
        </w:rPr>
        <w:t>SÉPTIMO</w:t>
      </w:r>
      <w:r w:rsidR="00CF1ACC" w:rsidRPr="00035D9B">
        <w:rPr>
          <w:rFonts w:ascii="Arial" w:eastAsia="Arial Unicode MS" w:hAnsi="Arial" w:cs="Arial"/>
          <w:b/>
          <w:bCs/>
          <w:sz w:val="24"/>
          <w:szCs w:val="24"/>
          <w:lang w:eastAsia="es-ES"/>
        </w:rPr>
        <w:t xml:space="preserve">. </w:t>
      </w:r>
      <w:r w:rsidR="00CF1ACC" w:rsidRPr="00035D9B">
        <w:rPr>
          <w:rFonts w:ascii="Arial" w:eastAsia="Arial Unicode MS" w:hAnsi="Arial" w:cs="Arial"/>
          <w:b/>
          <w:sz w:val="24"/>
          <w:szCs w:val="24"/>
          <w:lang w:eastAsia="es-ES"/>
        </w:rPr>
        <w:t>Estudio</w:t>
      </w:r>
      <w:r w:rsidR="00035D9B">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Esta Comisión procede, con fundamento en el artículo 174 fracción VII de la Ley de Transparencia y Acceso a la Información Pública del Estado, al estudio de la inconformidad planteada por el recurrente, la cual deviene</w:t>
      </w:r>
      <w:r w:rsidR="006506E4">
        <w:rPr>
          <w:rFonts w:ascii="Arial" w:eastAsia="Arial Unicode MS" w:hAnsi="Arial" w:cs="Arial"/>
          <w:sz w:val="24"/>
          <w:szCs w:val="24"/>
          <w:lang w:eastAsia="es-ES"/>
        </w:rPr>
        <w:t xml:space="preserve"> </w:t>
      </w:r>
      <w:r w:rsidR="00771268">
        <w:rPr>
          <w:rFonts w:ascii="Arial" w:eastAsia="Arial Unicode MS" w:hAnsi="Arial" w:cs="Arial"/>
          <w:sz w:val="24"/>
          <w:szCs w:val="24"/>
          <w:u w:val="single"/>
          <w:lang w:eastAsia="es-ES"/>
        </w:rPr>
        <w:t>in</w:t>
      </w:r>
      <w:r w:rsidR="006506E4" w:rsidRPr="006506E4">
        <w:rPr>
          <w:rFonts w:ascii="Arial" w:eastAsia="Arial Unicode MS" w:hAnsi="Arial" w:cs="Arial"/>
          <w:sz w:val="24"/>
          <w:szCs w:val="24"/>
          <w:u w:val="single"/>
          <w:lang w:eastAsia="es-ES"/>
        </w:rPr>
        <w:t>fundada</w:t>
      </w:r>
      <w:r w:rsidR="006506E4" w:rsidRPr="006506E4">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por las razones que se patentizan a continuación.</w:t>
      </w:r>
    </w:p>
    <w:p w14:paraId="2DF58283" w14:textId="0DC148A4" w:rsidR="00934D45" w:rsidRDefault="00934D45" w:rsidP="006506E4">
      <w:pPr>
        <w:spacing w:after="0" w:line="360" w:lineRule="auto"/>
        <w:ind w:firstLine="709"/>
        <w:jc w:val="both"/>
        <w:rPr>
          <w:rFonts w:ascii="Arial" w:eastAsia="Arial Unicode MS" w:hAnsi="Arial" w:cs="Arial"/>
          <w:sz w:val="24"/>
          <w:szCs w:val="24"/>
          <w:lang w:eastAsia="es-ES"/>
        </w:rPr>
      </w:pPr>
    </w:p>
    <w:p w14:paraId="29853909" w14:textId="571D15CD"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Conforme la Ley de la materia, el acceso a la información pública comprende el derecho fundamental a solicitar, investigar, difundir, buscar y recibir información</w:t>
      </w:r>
      <w:r>
        <w:rPr>
          <w:rFonts w:ascii="Arial" w:eastAsia="Arial Unicode MS" w:hAnsi="Arial" w:cs="Arial"/>
          <w:sz w:val="24"/>
          <w:szCs w:val="24"/>
          <w:vertAlign w:val="superscript"/>
          <w:lang w:eastAsia="es-ES"/>
        </w:rPr>
        <w:footnoteReference w:id="3"/>
      </w:r>
      <w:r>
        <w:rPr>
          <w:rFonts w:ascii="Arial" w:eastAsia="Arial Unicode MS" w:hAnsi="Arial" w:cs="Arial"/>
          <w:sz w:val="24"/>
          <w:szCs w:val="24"/>
          <w:lang w:eastAsia="es-ES"/>
        </w:rPr>
        <w:t xml:space="preserve"> que se encuentre integrada en documentos que registren el ejercicio de las facultades, funciones y competencias de los sujetos obligados, lo que conlleva a las dependencias y entidades a documentar</w:t>
      </w:r>
      <w:r>
        <w:rPr>
          <w:rFonts w:ascii="Arial" w:eastAsia="Arial Unicode MS" w:hAnsi="Arial" w:cs="Arial"/>
          <w:sz w:val="24"/>
          <w:szCs w:val="24"/>
          <w:vertAlign w:val="superscript"/>
          <w:lang w:eastAsia="es-ES"/>
        </w:rPr>
        <w:footnoteReference w:id="4"/>
      </w:r>
      <w:r>
        <w:rPr>
          <w:rFonts w:ascii="Arial" w:eastAsia="Arial Unicode MS" w:hAnsi="Arial" w:cs="Arial"/>
          <w:sz w:val="24"/>
          <w:szCs w:val="24"/>
          <w:lang w:eastAsia="es-ES"/>
        </w:rPr>
        <w:t xml:space="preserve"> todo lo relativo a éstas y presume su existencia.</w:t>
      </w:r>
      <w:r>
        <w:rPr>
          <w:rFonts w:ascii="Arial" w:eastAsia="Arial Unicode MS" w:hAnsi="Arial" w:cs="Arial"/>
          <w:sz w:val="24"/>
          <w:szCs w:val="24"/>
          <w:vertAlign w:val="superscript"/>
          <w:lang w:eastAsia="es-ES"/>
        </w:rPr>
        <w:footnoteReference w:id="5"/>
      </w:r>
      <w:r>
        <w:rPr>
          <w:rFonts w:ascii="Arial" w:eastAsia="Arial Unicode MS" w:hAnsi="Arial" w:cs="Arial"/>
          <w:sz w:val="24"/>
          <w:szCs w:val="24"/>
          <w:lang w:eastAsia="es-ES"/>
        </w:rPr>
        <w:t xml:space="preserve"> </w:t>
      </w:r>
    </w:p>
    <w:p w14:paraId="76E9CF01"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02B7572C" w14:textId="77777777"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En este sentido, cabe recordar que, los Sujetos Obligados deben garantizar que las solicitudes de información sean turnadas a todas las áreas administrativas que, de acuerdo a sus atribuciones pudieran atender dichos requerimientos, efectuando para ello una búsqueda exhaustiva y razonable</w:t>
      </w:r>
      <w:r>
        <w:rPr>
          <w:rStyle w:val="Refdenotaalpie"/>
          <w:rFonts w:ascii="Arial" w:eastAsia="Arial Unicode MS" w:hAnsi="Arial" w:cs="Arial"/>
          <w:sz w:val="24"/>
          <w:szCs w:val="24"/>
          <w:lang w:eastAsia="es-ES"/>
        </w:rPr>
        <w:footnoteReference w:id="6"/>
      </w:r>
      <w:r>
        <w:rPr>
          <w:rFonts w:ascii="Arial" w:eastAsia="Arial Unicode MS" w:hAnsi="Arial" w:cs="Arial"/>
          <w:sz w:val="24"/>
          <w:szCs w:val="24"/>
          <w:lang w:eastAsia="es-ES"/>
        </w:rPr>
        <w:t xml:space="preserve">. </w:t>
      </w:r>
    </w:p>
    <w:p w14:paraId="4E97E58F"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344E9018" w14:textId="77777777"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Asimismo, se prevé que cuando las Unidades de Transparencia determinen la notoria incompetencia por parte de los sujetos obligados, es decir, no puedan atender y dar trámite a una solicitud de información por no contar con atribuciones, facultades ni competencia prevista en el ordenamiento legal que rige al Sujeto Obligado, se deberá comunicar al solicitante, dentro de los tres días posteriores a la recepción de la solicitud y, en caso de poderlo determinar, señalar al solicitante el o los sujetos obligados competentes</w:t>
      </w:r>
      <w:r>
        <w:rPr>
          <w:rStyle w:val="Refdenotaalpie"/>
          <w:rFonts w:ascii="Arial" w:eastAsia="Arial Unicode MS" w:hAnsi="Arial" w:cs="Arial"/>
          <w:sz w:val="24"/>
          <w:szCs w:val="24"/>
          <w:lang w:eastAsia="es-ES"/>
        </w:rPr>
        <w:footnoteReference w:id="7"/>
      </w:r>
      <w:r>
        <w:rPr>
          <w:rFonts w:ascii="Arial" w:eastAsia="Arial Unicode MS" w:hAnsi="Arial" w:cs="Arial"/>
          <w:sz w:val="24"/>
          <w:szCs w:val="24"/>
          <w:lang w:eastAsia="es-ES"/>
        </w:rPr>
        <w:t>.</w:t>
      </w:r>
    </w:p>
    <w:p w14:paraId="6251A1C4" w14:textId="02C68E42"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lastRenderedPageBreak/>
        <w:t xml:space="preserve">Atendiendo la solicitud de información folio </w:t>
      </w:r>
      <w:r w:rsidRPr="00E94A44">
        <w:rPr>
          <w:rFonts w:ascii="Arial" w:eastAsia="Arial Unicode MS" w:hAnsi="Arial" w:cs="Arial"/>
          <w:sz w:val="24"/>
          <w:szCs w:val="24"/>
          <w:lang w:eastAsia="es-ES"/>
        </w:rPr>
        <w:t>240467926000052</w:t>
      </w:r>
      <w:r>
        <w:rPr>
          <w:rFonts w:ascii="Arial" w:eastAsia="Arial Unicode MS" w:hAnsi="Arial" w:cs="Arial"/>
          <w:sz w:val="24"/>
          <w:szCs w:val="24"/>
          <w:lang w:eastAsia="es-ES"/>
        </w:rPr>
        <w:t xml:space="preserve">, resulta necesario traer a contexto la Ley Orgánica de la Administración Pública del Estado de San Luis Potosí, que en la parte que aquí interesa, señalan lo siguiente: </w:t>
      </w:r>
    </w:p>
    <w:p w14:paraId="70B7D309"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5728039E" w14:textId="77777777" w:rsidR="00E94A44" w:rsidRDefault="00E94A44" w:rsidP="00E94A44">
      <w:pPr>
        <w:spacing w:after="0" w:line="240" w:lineRule="auto"/>
        <w:ind w:left="1134" w:right="1183"/>
        <w:jc w:val="both"/>
        <w:rPr>
          <w:rFonts w:ascii="Arial" w:eastAsia="Arial" w:hAnsi="Arial" w:cs="Arial"/>
        </w:rPr>
      </w:pPr>
      <w:r>
        <w:rPr>
          <w:rFonts w:ascii="Arial" w:eastAsia="Arial" w:hAnsi="Arial" w:cs="Arial"/>
          <w:b/>
        </w:rPr>
        <w:t>“ARTICULO 2o.</w:t>
      </w:r>
      <w:r>
        <w:rPr>
          <w:rFonts w:ascii="Arial" w:eastAsia="Arial" w:hAnsi="Arial" w:cs="Arial"/>
        </w:rPr>
        <w:t xml:space="preserve"> El ejercicio del Poder Ejecutivo se deposita en un solo individuo denominado Gobernador Constitucional del Estado, quien tendrá las funciones y atribuciones que le confieren la Constitución Política de los Estados Unidos Mexicanos, la Constitución Política del Estado, la presente ley, y las demás disposiciones jurídicas que de ellas emanen.”</w:t>
      </w:r>
    </w:p>
    <w:p w14:paraId="351FAE46" w14:textId="77777777" w:rsidR="00E94A44" w:rsidRDefault="00E94A44" w:rsidP="00E94A44">
      <w:pPr>
        <w:spacing w:after="0" w:line="240" w:lineRule="auto"/>
        <w:ind w:left="1134" w:right="1183"/>
        <w:jc w:val="both"/>
        <w:rPr>
          <w:rFonts w:ascii="Arial" w:eastAsia="Arial" w:hAnsi="Arial" w:cs="Arial"/>
        </w:rPr>
      </w:pPr>
    </w:p>
    <w:p w14:paraId="1B6D8029" w14:textId="77777777" w:rsidR="00E94A44" w:rsidRDefault="00E94A44" w:rsidP="00E94A44">
      <w:pPr>
        <w:spacing w:after="0" w:line="240" w:lineRule="auto"/>
        <w:ind w:left="1134" w:right="1183"/>
        <w:jc w:val="both"/>
        <w:rPr>
          <w:rFonts w:ascii="Arial" w:eastAsia="Arial" w:hAnsi="Arial" w:cs="Arial"/>
        </w:rPr>
      </w:pPr>
      <w:r>
        <w:rPr>
          <w:rFonts w:ascii="Arial" w:eastAsia="Arial" w:hAnsi="Arial" w:cs="Arial"/>
          <w:b/>
        </w:rPr>
        <w:t>“ARTICULO 3o.</w:t>
      </w:r>
      <w:r>
        <w:rPr>
          <w:rFonts w:ascii="Arial" w:eastAsia="Arial" w:hAnsi="Arial" w:cs="Arial"/>
        </w:rPr>
        <w:t xml:space="preserve"> Para el despacho de los asuntos que competen al Poder Ejecutivo, el Gobernador del Estado se auxiliará de las dependencias y entidades que conforman la administración pública del Estado, la cual será:</w:t>
      </w:r>
    </w:p>
    <w:p w14:paraId="52DA585F" w14:textId="77777777" w:rsidR="00E94A44" w:rsidRDefault="00E94A44" w:rsidP="00E94A44">
      <w:pPr>
        <w:spacing w:after="0" w:line="240" w:lineRule="auto"/>
        <w:ind w:left="1134" w:right="1183"/>
        <w:jc w:val="both"/>
        <w:rPr>
          <w:rFonts w:ascii="Arial" w:eastAsia="Arial" w:hAnsi="Arial" w:cs="Arial"/>
        </w:rPr>
      </w:pPr>
    </w:p>
    <w:p w14:paraId="1D7D0630" w14:textId="77777777" w:rsidR="00E94A44" w:rsidRDefault="00E94A44" w:rsidP="00E94A44">
      <w:pPr>
        <w:spacing w:after="0" w:line="240" w:lineRule="auto"/>
        <w:ind w:left="1134" w:right="1183"/>
        <w:jc w:val="both"/>
        <w:rPr>
          <w:rFonts w:ascii="Arial" w:eastAsia="Arial" w:hAnsi="Arial" w:cs="Arial"/>
        </w:rPr>
      </w:pPr>
      <w:r>
        <w:rPr>
          <w:rFonts w:ascii="Arial" w:eastAsia="Arial" w:hAnsi="Arial" w:cs="Arial"/>
        </w:rPr>
        <w:t xml:space="preserve">I. Centralizada, la que se integrará por las siguientes dependencias: </w:t>
      </w:r>
    </w:p>
    <w:p w14:paraId="60631276" w14:textId="77777777" w:rsidR="00E94A44" w:rsidRDefault="00E94A44" w:rsidP="00E94A44">
      <w:pPr>
        <w:spacing w:after="0" w:line="240" w:lineRule="auto"/>
        <w:ind w:left="1134" w:right="1183"/>
        <w:jc w:val="both"/>
        <w:rPr>
          <w:rFonts w:ascii="Arial" w:eastAsia="Arial" w:hAnsi="Arial" w:cs="Arial"/>
        </w:rPr>
      </w:pPr>
    </w:p>
    <w:p w14:paraId="53C82D74" w14:textId="391A4B76" w:rsidR="00E94A44" w:rsidRDefault="00E94A44" w:rsidP="00E94A44">
      <w:pPr>
        <w:spacing w:after="0" w:line="240" w:lineRule="auto"/>
        <w:ind w:left="1134" w:right="1183"/>
        <w:jc w:val="both"/>
        <w:rPr>
          <w:rFonts w:ascii="Arial" w:eastAsia="Arial" w:hAnsi="Arial" w:cs="Arial"/>
        </w:rPr>
      </w:pPr>
      <w:r>
        <w:rPr>
          <w:rFonts w:ascii="Arial" w:eastAsia="Arial" w:hAnsi="Arial" w:cs="Arial"/>
        </w:rPr>
        <w:t xml:space="preserve">a) Las Secretarías del Despacho; </w:t>
      </w:r>
    </w:p>
    <w:p w14:paraId="40CDBF8A" w14:textId="201E7DFC"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b) La Oficialía Mayor;</w:t>
      </w:r>
    </w:p>
    <w:p w14:paraId="2F95EB99" w14:textId="281F3FB1"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c) (DEROGADO, P.O. 20 DE AGOSTO DE 2018)</w:t>
      </w:r>
    </w:p>
    <w:p w14:paraId="4CD3E50B" w14:textId="466BC5F4"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d) La Contraloría General del Estado, y</w:t>
      </w:r>
    </w:p>
    <w:p w14:paraId="4184AD42" w14:textId="77777777" w:rsidR="00E94A44" w:rsidRDefault="00E94A44" w:rsidP="00E94A44">
      <w:pPr>
        <w:spacing w:after="0" w:line="240" w:lineRule="auto"/>
        <w:ind w:left="1134" w:right="1183"/>
        <w:jc w:val="both"/>
        <w:rPr>
          <w:rFonts w:ascii="Arial" w:eastAsia="Arial" w:hAnsi="Arial" w:cs="Arial"/>
        </w:rPr>
      </w:pPr>
    </w:p>
    <w:p w14:paraId="19F788F5" w14:textId="77777777" w:rsidR="00E94A44" w:rsidRDefault="00E94A44" w:rsidP="00E94A44">
      <w:pPr>
        <w:spacing w:after="0" w:line="240" w:lineRule="auto"/>
        <w:ind w:left="1134" w:right="1183"/>
        <w:jc w:val="both"/>
        <w:rPr>
          <w:rFonts w:ascii="Arial" w:eastAsia="Arial" w:hAnsi="Arial" w:cs="Arial"/>
        </w:rPr>
      </w:pPr>
      <w:r>
        <w:rPr>
          <w:rFonts w:ascii="Arial" w:eastAsia="Arial" w:hAnsi="Arial" w:cs="Arial"/>
        </w:rPr>
        <w:t>[…]”.</w:t>
      </w:r>
    </w:p>
    <w:p w14:paraId="484DD986" w14:textId="77777777" w:rsidR="00E94A44" w:rsidRDefault="00E94A44" w:rsidP="00E94A44">
      <w:pPr>
        <w:spacing w:after="0" w:line="240" w:lineRule="auto"/>
        <w:ind w:left="1134" w:right="1183"/>
        <w:jc w:val="both"/>
        <w:rPr>
          <w:rFonts w:ascii="Arial" w:eastAsia="Arial" w:hAnsi="Arial" w:cs="Arial"/>
        </w:rPr>
      </w:pPr>
    </w:p>
    <w:p w14:paraId="65BE3973" w14:textId="77777777" w:rsidR="00E94A44" w:rsidRDefault="00E94A44" w:rsidP="00E94A44">
      <w:pPr>
        <w:spacing w:after="0" w:line="240" w:lineRule="auto"/>
        <w:ind w:left="1134" w:right="1183"/>
        <w:jc w:val="both"/>
        <w:rPr>
          <w:rFonts w:ascii="Arial" w:eastAsia="Arial" w:hAnsi="Arial" w:cs="Arial"/>
        </w:rPr>
      </w:pPr>
      <w:r>
        <w:rPr>
          <w:rFonts w:ascii="Arial" w:eastAsia="Arial" w:hAnsi="Arial" w:cs="Arial"/>
          <w:b/>
        </w:rPr>
        <w:t>“ARTICULO 31.</w:t>
      </w:r>
      <w:r>
        <w:rPr>
          <w:rFonts w:ascii="Arial" w:eastAsia="Arial" w:hAnsi="Arial" w:cs="Arial"/>
        </w:rPr>
        <w:t xml:space="preserve"> Para el estudio, planeación y despacho de los asuntos y negocios de la administración pública estatal, el Ejecutivo contará con las siguientes dependencias:</w:t>
      </w:r>
    </w:p>
    <w:p w14:paraId="4DAEDE8C" w14:textId="77777777" w:rsidR="00E94A44" w:rsidRDefault="00E94A44" w:rsidP="00E94A44">
      <w:pPr>
        <w:spacing w:after="0" w:line="240" w:lineRule="auto"/>
        <w:ind w:left="1134" w:right="1183"/>
        <w:jc w:val="both"/>
        <w:rPr>
          <w:rFonts w:ascii="Arial" w:eastAsia="Arial" w:hAnsi="Arial" w:cs="Arial"/>
        </w:rPr>
      </w:pPr>
    </w:p>
    <w:p w14:paraId="489C7EAB" w14:textId="77777777" w:rsidR="00E94A44" w:rsidRDefault="00E94A44" w:rsidP="00E94A44">
      <w:pPr>
        <w:spacing w:after="0" w:line="240" w:lineRule="auto"/>
        <w:ind w:left="1134" w:right="1183"/>
        <w:jc w:val="both"/>
        <w:rPr>
          <w:rFonts w:ascii="Arial" w:eastAsia="Arial" w:hAnsi="Arial" w:cs="Arial"/>
        </w:rPr>
      </w:pPr>
      <w:r>
        <w:rPr>
          <w:rFonts w:ascii="Arial" w:eastAsia="Arial" w:hAnsi="Arial" w:cs="Arial"/>
        </w:rPr>
        <w:t>“[...]</w:t>
      </w:r>
    </w:p>
    <w:p w14:paraId="36B44FD9" w14:textId="77777777" w:rsidR="00E94A44" w:rsidRDefault="00E94A44" w:rsidP="00E94A44">
      <w:pPr>
        <w:spacing w:after="0" w:line="240" w:lineRule="auto"/>
        <w:ind w:left="1134" w:right="1183"/>
        <w:jc w:val="both"/>
        <w:rPr>
          <w:rFonts w:ascii="Arial" w:eastAsia="Arial" w:hAnsi="Arial" w:cs="Arial"/>
        </w:rPr>
      </w:pPr>
    </w:p>
    <w:p w14:paraId="365E4F43" w14:textId="28461FAC"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XIV. Oficialía Mayor;</w:t>
      </w:r>
    </w:p>
    <w:p w14:paraId="356D13D8" w14:textId="77777777" w:rsidR="00E94A44" w:rsidRDefault="00E94A44" w:rsidP="00E94A44">
      <w:pPr>
        <w:spacing w:after="0" w:line="240" w:lineRule="auto"/>
        <w:ind w:left="1134" w:right="1183"/>
        <w:jc w:val="both"/>
        <w:rPr>
          <w:rFonts w:ascii="Arial" w:eastAsia="Arial" w:hAnsi="Arial" w:cs="Arial"/>
        </w:rPr>
      </w:pPr>
    </w:p>
    <w:p w14:paraId="10B8B6FE" w14:textId="77777777" w:rsidR="00EC29C5" w:rsidRDefault="00E94A44" w:rsidP="00E94A44">
      <w:pPr>
        <w:spacing w:after="0" w:line="240" w:lineRule="auto"/>
        <w:ind w:left="1134" w:right="1183"/>
        <w:jc w:val="both"/>
        <w:rPr>
          <w:rFonts w:ascii="Arial" w:eastAsia="Arial" w:hAnsi="Arial" w:cs="Arial"/>
        </w:rPr>
      </w:pPr>
      <w:r>
        <w:rPr>
          <w:rFonts w:ascii="Arial" w:eastAsia="Arial" w:hAnsi="Arial" w:cs="Arial"/>
        </w:rPr>
        <w:t>[...]</w:t>
      </w:r>
    </w:p>
    <w:p w14:paraId="1CC2901C" w14:textId="77777777" w:rsidR="00EC29C5" w:rsidRDefault="00EC29C5" w:rsidP="00E94A44">
      <w:pPr>
        <w:spacing w:after="0" w:line="240" w:lineRule="auto"/>
        <w:ind w:left="1134" w:right="1183"/>
        <w:jc w:val="both"/>
        <w:rPr>
          <w:rFonts w:ascii="Arial" w:eastAsia="Arial" w:hAnsi="Arial" w:cs="Arial"/>
        </w:rPr>
      </w:pPr>
    </w:p>
    <w:p w14:paraId="349F1664" w14:textId="218FFE50" w:rsidR="00E94A44" w:rsidRDefault="00EC29C5" w:rsidP="00EC29C5">
      <w:pPr>
        <w:spacing w:after="0" w:line="240" w:lineRule="auto"/>
        <w:ind w:left="1134" w:right="1183"/>
        <w:jc w:val="both"/>
        <w:rPr>
          <w:rFonts w:ascii="Arial" w:eastAsia="Arial" w:hAnsi="Arial" w:cs="Arial"/>
        </w:rPr>
      </w:pPr>
      <w:r w:rsidRPr="00EC29C5">
        <w:rPr>
          <w:rFonts w:ascii="Arial" w:eastAsia="Arial" w:hAnsi="Arial" w:cs="Arial"/>
        </w:rPr>
        <w:t>XVI. Con</w:t>
      </w:r>
      <w:r>
        <w:rPr>
          <w:rFonts w:ascii="Arial" w:eastAsia="Arial" w:hAnsi="Arial" w:cs="Arial"/>
        </w:rPr>
        <w:t>traloría General del Estado.</w:t>
      </w:r>
      <w:r w:rsidR="00E94A44">
        <w:rPr>
          <w:rFonts w:ascii="Arial" w:eastAsia="Arial" w:hAnsi="Arial" w:cs="Arial"/>
        </w:rPr>
        <w:t>”</w:t>
      </w:r>
    </w:p>
    <w:p w14:paraId="562ADAC3" w14:textId="77777777" w:rsidR="00E94A44" w:rsidRDefault="00E94A44" w:rsidP="00E94A44">
      <w:pPr>
        <w:spacing w:after="0" w:line="240" w:lineRule="auto"/>
        <w:ind w:left="1134" w:right="1183"/>
        <w:jc w:val="both"/>
        <w:rPr>
          <w:rFonts w:ascii="Arial" w:eastAsia="Arial" w:hAnsi="Arial" w:cs="Arial"/>
        </w:rPr>
      </w:pPr>
    </w:p>
    <w:p w14:paraId="45173BEA" w14:textId="77777777" w:rsidR="00E94A44" w:rsidRDefault="00E94A44" w:rsidP="00E94A44">
      <w:pPr>
        <w:spacing w:after="0" w:line="240" w:lineRule="auto"/>
        <w:ind w:left="1134" w:right="1183"/>
        <w:jc w:val="both"/>
        <w:rPr>
          <w:rFonts w:ascii="Arial" w:eastAsia="Arial" w:hAnsi="Arial" w:cs="Arial"/>
        </w:rPr>
      </w:pPr>
    </w:p>
    <w:p w14:paraId="4276F6E6"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b/>
        </w:rPr>
        <w:t xml:space="preserve">ARTICULO 44. </w:t>
      </w:r>
      <w:r w:rsidRPr="00EC29C5">
        <w:rPr>
          <w:rFonts w:ascii="Arial" w:eastAsia="Arial" w:hAnsi="Arial" w:cs="Arial"/>
        </w:rPr>
        <w:t xml:space="preserve">Para efecto de lo establecido en el artículo inmediato anterior, el Gobernador del Estado contará con la Contraloría General del Estado, a la que le corresponde el derecho de los siguientes asuntos: </w:t>
      </w:r>
    </w:p>
    <w:p w14:paraId="35ED0E8B"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I. Desarrollar y coordinar el Sistema Estatal de Control Interno de la administración pública estatal; </w:t>
      </w:r>
    </w:p>
    <w:p w14:paraId="58A482D6"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II. Establecer y vigilar el cumplimiento de las normas de control, fiscalización y auditoría que deban observar las dependencias y entidades de la administración pública estatal; </w:t>
      </w:r>
    </w:p>
    <w:p w14:paraId="09E17E2F"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III. Expedir las normas que regulen los instrumentos y procedimientos de control interno de la Administración Pública Estatal, para lo cual podrá requerir de las dependencias competentes la expedición de normas complementarias para el </w:t>
      </w:r>
      <w:r w:rsidRPr="00EC29C5">
        <w:rPr>
          <w:rFonts w:ascii="Arial" w:eastAsia="Arial" w:hAnsi="Arial" w:cs="Arial"/>
        </w:rPr>
        <w:lastRenderedPageBreak/>
        <w:t xml:space="preserve">ejercicio del control administrativo. Lo anterior, sin menoscabo de las bases y principios de coordinación y recomendaciones emitidas por el Comité Coordinador de los Sistemas, Nacional y Estatal Anticorrupción; </w:t>
      </w:r>
    </w:p>
    <w:p w14:paraId="3B35FC2C"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IV. Vigilar, en colaboración con las autoridades que integren el Comité Coordinador del Sistema Estatal Anticorrupción, el cumplimiento de las normas de control interno y fiscalización, así como asesorar y apoyar a las dependencias y entidades de la Administración Pública Estatal, por si o a través los órganos internos de control, en la promoción de su cumplimiento; </w:t>
      </w:r>
    </w:p>
    <w:p w14:paraId="5CC33C11"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V. Inspeccionar el ejercicio del gasto público estatal y la obtención de los ingresos, y su apego y congruencia a las respectivas leyes, reglamentos, reglas y lineamientos aplicables; VI. Coordinar y supervisar el sistema de control interno, establecer las bases generales para la realización de revisiones y auditorías internas, transversales y externas; expedir las normas que regulen los instrumentos y procedimientos de dichas materias en las dependencias y entidades de la Administración Pública Federal y en la Fiscalía General del Estado, así como realizar las auditorias que se requieran en éstas, en sustitución o apoyo de sus propios órganos internos de control; </w:t>
      </w:r>
    </w:p>
    <w:p w14:paraId="12B880B7"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VII. Opinar sobre la idoneidad de los sistemas y normas de registro y contabilidad, de administración de recursos humanos, materiales y financieros, de contratación de obra pública, de adquisición de bienes, de contratación de servicios, de contratación de deuda pública y de manejo de fondos y valores. VIII. Comprobar por si o a través de los órganos internos de control, el cumplimiento por parte de las dependencias y entidades de la administración pública estatal de las obligaciones derivadas de las disposiciones en materia de planeación, presupuestación, ingresos, egresos, financiamiento e inversión; adquisiciones, obra pública, servicios; deuda, sistema de registro y contabilidad, personal, arrendamiento, conservación, uso, destino, afectación, enajenación y baja de muebles e inmuebles y demás activos y recursos materiales; fondos y valores de la propiedad o al cuidado del Ejecutivo del Estado; </w:t>
      </w:r>
    </w:p>
    <w:p w14:paraId="1D60496A"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IX. Coordinar acciones y, en su caso, celebrar convenios con la Auditoria Superior del Estado para el cumplimiento de sus funciones; </w:t>
      </w:r>
    </w:p>
    <w:p w14:paraId="79DD3BB2" w14:textId="371E383D" w:rsidR="00EC29C5" w:rsidRP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 Percibir de forma dual con el Auditor Superior del Estado, el Comité Rector del Sistema Estatal de Fiscalización; </w:t>
      </w:r>
    </w:p>
    <w:p w14:paraId="57750F08"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XI. Participar en el Sistema Nacional de Fiscalización, en términos de lo previsto por la Ley General del Sistema Nacional Anticorrupción; </w:t>
      </w:r>
    </w:p>
    <w:p w14:paraId="7D083287"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XII. Intervenir en los convenios de concertación con el órgano interno de control de la Federación y con las contralorías municipales en relación a recursos federales, así como vigilar su ejecución y cumplimiento; </w:t>
      </w:r>
    </w:p>
    <w:p w14:paraId="39AEA167"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XIII. Informar a la ciudadanía, y publicar en el Periódico Oficial del Estado, por lo menos una vez al año, el resultado final de la evaluación, fiscalización y auditoría de las dependencias y entidades de la administración pública, así como de la recepción, seguimiento y avance o resolución de los asuntos a que se refiere la fracción XI de este artículo; </w:t>
      </w:r>
    </w:p>
    <w:p w14:paraId="4F5C1B1D"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lastRenderedPageBreak/>
        <w:t xml:space="preserve">XIV. Recibir y registrar las declaraciones patrimoniales, la constancia de presentación de declaración fiscal y la declaración de intereses que deban presentar, así como verificar su contenido mediante las investigaciones que resulten pertinentes de acuerdo con las disposiciones aplicables; </w:t>
      </w:r>
    </w:p>
    <w:p w14:paraId="4977F4E2"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XV. Atender las quejas y denuncias que presente la ciudadanía derivada de las actuaciones de los servidores públicos del Ejecutivo del Estado; </w:t>
      </w:r>
    </w:p>
    <w:p w14:paraId="6B26F56F" w14:textId="6F1D133D" w:rsidR="00EC29C5" w:rsidRP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XVI.- Conocer e investigar las conductas de los servidores públicos de la Administración Pública Estatal y de los particulares, que pudieran constituir responsabilidades administrativas; así como substanciar los procedimientos correspondientes conforme a lo establecido en la Ley de Responsabilidades Administrativas del Estado de San Luis Potosí, por sí, o por conducto de los órganos internos de control que correspondan a cada área de la Administración Pública Estatal; para lo cual podrán aplicar las sanciones que correspondan en los casos que no sean de la competencia del Tribunal Estatal de Justicia Administrativa y, cuando se trate de faltas administrativas graves o de faltas administrativas de particulares, emitir el informe de presunta responsabilidad administrativa y ejercer la acción que corresponda ante ese Tribunal o ante la Auditoría Superior del Estado; así como presentar las denuncias correspondientes ante la Fiscalía Especializada en materia de Delitos Relacionados con Hechos de Corrupción y ante otras autoridades competentes, en términos de las disposiciones aplicables;</w:t>
      </w:r>
    </w:p>
    <w:p w14:paraId="4FBFB921"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XVII. Llevar en la administración pública estatal, el registro de los servidores públicos sujetos a procedimientos administrativos instaurados, de los sancionados e inhabilitados, de los recursos e impugnaciones que se hayan hecho valer y, en su caso, las resoluciones por las que se dejen sin efectos las resoluciones dictadas; para lo cual deberá realizar la captura, así como el envío oportuno y veraz de la información a la Secretaría Ejecutiva del Sistema Estatal Anticorrupción, en términos de lo previsto por la Ley del Sistema Estatal Anticorrupción, y de la Ley de Responsabilidades Administrativas del Estado y Municipios de San Luis Potosí. </w:t>
      </w:r>
    </w:p>
    <w:p w14:paraId="067EE2A6"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XVIII. Fiscalizar de manera coordinada con el Órgano Interno de Control de la Federación, la obra pública federal programada para el Estado, en los términos de los convenios, acuerdos o programas conjuntos de trabajo; </w:t>
      </w:r>
    </w:p>
    <w:p w14:paraId="489A74EB"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XIX. Apoyar a los ayuntamientos en la implementación de sistemas y órganos de control y evaluación municipal, en el marco del Sistema Estatal de Fiscalización y los convenios particulares que se establezcan; </w:t>
      </w:r>
    </w:p>
    <w:p w14:paraId="2B7AF064" w14:textId="5B1826EF" w:rsidR="00EC29C5" w:rsidRP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XX. Inspeccionar y vigilar la aplicación de los subsidios y fondos que el Estado otorgue mediante convenio a los municipios, dependencias y entidades de la administración pública estatal; y en su caso los que otorgue la federación, previo acuerdo con ésta;</w:t>
      </w:r>
    </w:p>
    <w:p w14:paraId="721342C7"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XXI. Intervenir por sí o a través de los órganos internos de control, en los procesos de entrega y recepción de las oficinas de las dependencias y entidades de la administración pública estatal, a efecto de verificar el procedimiento a seguir y conocer de las incidencias que pudieran resultar en faltas administrativas; </w:t>
      </w:r>
      <w:r w:rsidRPr="00EC29C5">
        <w:rPr>
          <w:rFonts w:ascii="Arial" w:eastAsia="Arial" w:hAnsi="Arial" w:cs="Arial"/>
        </w:rPr>
        <w:lastRenderedPageBreak/>
        <w:t xml:space="preserve">XXII. Auxiliar a las dependencias y entidades de la administración pública en la prevención de irregularidades en los procesos administrativos; </w:t>
      </w:r>
    </w:p>
    <w:p w14:paraId="4C3C4EFA"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XXIII. Normar, coordinar y evaluar el desempeño de los órganos internos de control de las dependencias y entidades de la Administración Pública Estatal y de la Fiscalía General del Estado; </w:t>
      </w:r>
    </w:p>
    <w:p w14:paraId="46BF9939"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XXIV. Designar y remover libremente a los titulares de los órganos internos de control de las dependencias y entidades de la Administración Pública Estatal y de la Fiscalía General del Estado, quienes dependerán jerárquica y funcionalmente de la Contraloría General del Estado; asimismo, designar y remover libremente a los titulares de las áreas de auditoría, quejas y responsabilidades de los citados órganos internos de control, quienes tendrán el carácter de autoridad y realizarán la defensa jurídica de las resoluciones que emitan en la esfera administrativa y ante los Tribunales, representando al titular de dicha Contraloría General. </w:t>
      </w:r>
    </w:p>
    <w:p w14:paraId="72E4EA4F"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XXV. Designar y remover para el mejor desarrollo del Sistema Estatal de Control Interno de la Gestión Gubernamental, delegados de la propia Contraloría ante las dependencias y órganos desconcentrados de la Administración Pública Estatal centralizada y comisarios públicos de los órganos de gobierno o vigilancia de las entidades de la Administración Pública Paraestatal y de la Fiscalía General del Estado; así como normar y controlar el desempeño; </w:t>
      </w:r>
    </w:p>
    <w:p w14:paraId="479B8B3E" w14:textId="5762585E" w:rsidR="00EC29C5" w:rsidRP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XXVI. Designar y remover a los auditores externos de las entidades de la administración pública paraestatal, así como normar y controlar su desempeño.</w:t>
      </w:r>
    </w:p>
    <w:p w14:paraId="405B6671"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XXVII. Promover la innovación gubernamental y la mejora de la gestión pública en las dependencias y entidades de la Administración Pública Estatal, bajo los principios de participación ciudadana, transparencia, rendición de cuentas e innovación, y con criterios de eficacia, legalidad, eficiencia y simplificación administrativa, para lo cual podrá emitir normas, lineamientos específicos y manuales; así mismo, realizar o encomendar las investigaciones, estudios y análisis necesarios sobre estas materias; </w:t>
      </w:r>
    </w:p>
    <w:p w14:paraId="10054D2C"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XXVIII. En base a la política y lineamientos para la administración de los recursos humanos que expida la Oficialía Mayor del Poder Ejecutivo, desarrollar y aplicar mecanismos de verificación, certificación y evaluación de conocimientos, competencias y cumplimiento de metas individuales de los servidores públicos de la administración pública estatal; </w:t>
      </w:r>
    </w:p>
    <w:p w14:paraId="10DB2F6E" w14:textId="0077D3CF" w:rsidR="00EC29C5" w:rsidRP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XXIX. Colaborar en el marco de los Sistemas Nacionales Anticorrupción y de Fiscalización, así como con los correspondientes en la Entidad, en el establecimiento de las bases y principios de coordinación necesarios que permitan el mejor cumplimiento de las responsabilidades de sus integrantes; XXX. Implementar las acciones que acuerde el Sistema Estatal Anticorrupción; en términos de las disposiciones aplicables; XXXI. Suspender de acuerdo a lo establecido en la normatividad aplicable, en el manejo, custodia o administración de recursos y valores de la propiedad o al cuidado del Gobierno del Estado, a los servidores públicos responsables de irregularidades, interviniendo los recursos y valores correspondientes, dando </w:t>
      </w:r>
      <w:r w:rsidRPr="00EC29C5">
        <w:rPr>
          <w:rFonts w:ascii="Arial" w:eastAsia="Arial" w:hAnsi="Arial" w:cs="Arial"/>
        </w:rPr>
        <w:lastRenderedPageBreak/>
        <w:t>aviso de ello al titular de la dependencia o ente de que se trate y, en su caso, a la Secretaría de Finanzas para la sustitución correspondiente;</w:t>
      </w:r>
    </w:p>
    <w:p w14:paraId="21ED3DE5" w14:textId="77777777" w:rsidR="00EC29C5" w:rsidRDefault="00EC29C5" w:rsidP="00EC29C5">
      <w:pPr>
        <w:spacing w:after="0" w:line="240" w:lineRule="auto"/>
        <w:ind w:left="1134" w:right="1183"/>
        <w:jc w:val="both"/>
        <w:rPr>
          <w:rFonts w:ascii="Arial" w:eastAsia="Arial" w:hAnsi="Arial" w:cs="Arial"/>
        </w:rPr>
      </w:pPr>
      <w:r w:rsidRPr="00EC29C5">
        <w:rPr>
          <w:rFonts w:ascii="Arial" w:eastAsia="Arial" w:hAnsi="Arial" w:cs="Arial"/>
        </w:rPr>
        <w:t xml:space="preserve">XXXII. Informar periódicamente al Comité Coordinador del Sistema Estatal Anticorrupción, así como al ejecutivo Estatal, sobre el resultado de la evaluación respecto de la gestión de las dependencias y entidades de la Administración Pública Estatal y de la Fiscalía General del Estado, así como del resultado de la revisión del ingreso, manejo, custodia y ejercicio de recursos públicos estatales, y promover ante las autoridades competentes las acciones que procedan para corregir las irregularidades detectadas. (REFORMADA, P.O. 5 DE NOVIEMBRE DE 2020) XXXIII. Definir la política de gobierno digital, gobierno abierto y datos abiertos en el ámbito de las dependencias y entidades de la Administración Pública Estatal, promoviendo el ahorro en consumibles e insumos, fomentando, a su vez, el uso de cero papeles; </w:t>
      </w:r>
    </w:p>
    <w:p w14:paraId="0716E071" w14:textId="77777777" w:rsidR="00EC29C5" w:rsidRDefault="00EC29C5" w:rsidP="00EC29C5">
      <w:pPr>
        <w:spacing w:after="0" w:line="240" w:lineRule="auto"/>
        <w:ind w:left="1134" w:right="1183"/>
        <w:jc w:val="both"/>
        <w:rPr>
          <w:rFonts w:ascii="Arial" w:eastAsia="Arial" w:hAnsi="Arial" w:cs="Arial"/>
        </w:rPr>
      </w:pPr>
      <w:r w:rsidRPr="00EC29C5">
        <w:rPr>
          <w:rFonts w:ascii="Arial" w:eastAsia="Arial" w:hAnsi="Arial" w:cs="Arial"/>
        </w:rPr>
        <w:t xml:space="preserve">XXXIV. Formular y conducir en apego y de conformidad con las bases de coordinación que establezca el Comité Coordinador del Sistema Estatal Anticorrupción, la política general de la Administración Pública Estatal para establecer acciones que propicien la integridad y la transparencia en la gestión pública, la rendición de cuentas y el acceso por parte de los particulares a la información que aquella genere; así como promover dichas acciones hacia la sociedad; </w:t>
      </w:r>
    </w:p>
    <w:p w14:paraId="464FB283" w14:textId="77777777" w:rsidR="00EC29C5" w:rsidRDefault="00EC29C5" w:rsidP="00EC29C5">
      <w:pPr>
        <w:spacing w:after="0" w:line="240" w:lineRule="auto"/>
        <w:ind w:left="1134" w:right="1183"/>
        <w:jc w:val="both"/>
        <w:rPr>
          <w:rFonts w:ascii="Arial" w:eastAsia="Arial" w:hAnsi="Arial" w:cs="Arial"/>
        </w:rPr>
      </w:pPr>
      <w:r w:rsidRPr="00EC29C5">
        <w:rPr>
          <w:rFonts w:ascii="Arial" w:eastAsia="Arial" w:hAnsi="Arial" w:cs="Arial"/>
        </w:rPr>
        <w:t xml:space="preserve">XXXV. Implementar las políticas de coordinación que promueva el Comité Coordinador del Sistema Nacional Anticorrupción, en materia de combate a la corrupción en la Administración Pública Estatal; </w:t>
      </w:r>
    </w:p>
    <w:p w14:paraId="7466F10C" w14:textId="77777777" w:rsidR="00EC29C5" w:rsidRDefault="00EC29C5" w:rsidP="00EC29C5">
      <w:pPr>
        <w:spacing w:after="0" w:line="240" w:lineRule="auto"/>
        <w:ind w:left="1134" w:right="1183"/>
        <w:jc w:val="both"/>
        <w:rPr>
          <w:rFonts w:ascii="Arial" w:eastAsia="Arial" w:hAnsi="Arial" w:cs="Arial"/>
        </w:rPr>
      </w:pPr>
      <w:r w:rsidRPr="00EC29C5">
        <w:rPr>
          <w:rFonts w:ascii="Arial" w:eastAsia="Arial" w:hAnsi="Arial" w:cs="Arial"/>
        </w:rPr>
        <w:t xml:space="preserve">XXXVI. Establecer un sistema para seleccionar a los integrantes de los órganos internos de control sujetos a su designación, que garantice la igualdad de oportunidades en el acceso a la función pública, atrayendo a los mejores candidatos para ocupar los puestos, a través de procedimientos transparentes, objetivos y equitativos. </w:t>
      </w:r>
    </w:p>
    <w:p w14:paraId="30A997F7" w14:textId="73B4A691" w:rsidR="00EC29C5" w:rsidRPr="00EC29C5" w:rsidRDefault="00EC29C5" w:rsidP="00EC29C5">
      <w:pPr>
        <w:spacing w:after="0" w:line="240" w:lineRule="auto"/>
        <w:ind w:left="1134" w:right="1183"/>
        <w:jc w:val="both"/>
        <w:rPr>
          <w:rFonts w:ascii="Arial" w:eastAsia="Arial" w:hAnsi="Arial" w:cs="Arial"/>
        </w:rPr>
      </w:pPr>
      <w:r w:rsidRPr="00EC29C5">
        <w:rPr>
          <w:rFonts w:ascii="Arial" w:eastAsia="Arial" w:hAnsi="Arial" w:cs="Arial"/>
        </w:rPr>
        <w:t>XXXVII. Emitir el Código de Ética de los servidores públicos de la administración pública estatal y las Reglas de Integridad para el ejercicio de la función pública;</w:t>
      </w:r>
    </w:p>
    <w:p w14:paraId="4EB3C63B"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XXXVIII. Ordenar la realización de visitas de inspección en las dependencias y entidades de la administración pública estatal y en la Fiscalía; con el objeto de prevenir, detectar e inhibir prácticas de corrupción y conflictos de interés de los servidores públicos, así como cuando sean necesarias para la investigación de faltas administrativas; </w:t>
      </w:r>
    </w:p>
    <w:p w14:paraId="18998EC5" w14:textId="77777777" w:rsid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 xml:space="preserve">XXXIX. Recibir, tramitar y resolver las inconformidades o impugnaciones que formulen los particulares con motivo de los actos realizados por los servidores públicos de las dependencias y entidades de la administración pública estatal, en materia de adquisiciones, arrendamientos, obras públicas y servicios relacionados con las mismas, y </w:t>
      </w:r>
    </w:p>
    <w:p w14:paraId="30E84E0A" w14:textId="76CFAFD6" w:rsidR="00EC29C5" w:rsidRPr="00EC29C5" w:rsidRDefault="00EC29C5" w:rsidP="00E94A44">
      <w:pPr>
        <w:spacing w:after="0" w:line="240" w:lineRule="auto"/>
        <w:ind w:left="1134" w:right="1183"/>
        <w:jc w:val="both"/>
        <w:rPr>
          <w:rFonts w:ascii="Arial" w:eastAsia="Arial" w:hAnsi="Arial" w:cs="Arial"/>
        </w:rPr>
      </w:pPr>
      <w:r w:rsidRPr="00EC29C5">
        <w:rPr>
          <w:rFonts w:ascii="Arial" w:eastAsia="Arial" w:hAnsi="Arial" w:cs="Arial"/>
        </w:rPr>
        <w:t>XL. Las demás que le encomienden expresamente las leyes y reglamentos;</w:t>
      </w:r>
    </w:p>
    <w:p w14:paraId="39B8A385" w14:textId="5A5DF010" w:rsidR="00E94A44" w:rsidRDefault="00E94A44" w:rsidP="00EC29C5">
      <w:pPr>
        <w:spacing w:after="0" w:line="240" w:lineRule="auto"/>
        <w:ind w:right="1183"/>
        <w:jc w:val="both"/>
        <w:rPr>
          <w:rFonts w:ascii="Arial" w:eastAsia="Arial" w:hAnsi="Arial" w:cs="Arial"/>
        </w:rPr>
      </w:pPr>
    </w:p>
    <w:p w14:paraId="11308EB0" w14:textId="107B83CC" w:rsidR="00E94A44" w:rsidRDefault="00E94A44" w:rsidP="00E94A44">
      <w:pPr>
        <w:spacing w:after="0" w:line="240" w:lineRule="auto"/>
        <w:ind w:left="1134" w:right="1183"/>
        <w:jc w:val="both"/>
        <w:rPr>
          <w:rFonts w:ascii="Arial" w:eastAsia="Arial" w:hAnsi="Arial" w:cs="Arial"/>
        </w:rPr>
      </w:pPr>
      <w:r>
        <w:rPr>
          <w:rFonts w:ascii="Arial" w:eastAsia="Arial" w:hAnsi="Arial" w:cs="Arial"/>
        </w:rPr>
        <w:t>[…]</w:t>
      </w:r>
    </w:p>
    <w:p w14:paraId="324F570C" w14:textId="54CDDBFF" w:rsidR="00E94A44" w:rsidRDefault="00E94A44" w:rsidP="00E94A44">
      <w:pPr>
        <w:spacing w:after="0" w:line="240" w:lineRule="auto"/>
        <w:ind w:left="1134" w:right="1183"/>
        <w:jc w:val="right"/>
        <w:rPr>
          <w:rFonts w:ascii="Arial" w:eastAsia="Arial" w:hAnsi="Arial" w:cs="Arial"/>
        </w:rPr>
      </w:pPr>
    </w:p>
    <w:p w14:paraId="787DB4D4" w14:textId="5B9A1C23"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b/>
        </w:rPr>
        <w:lastRenderedPageBreak/>
        <w:t>ARTICULO 41.</w:t>
      </w:r>
      <w:r w:rsidRPr="00E94A44">
        <w:rPr>
          <w:rFonts w:ascii="Arial" w:eastAsia="Arial" w:hAnsi="Arial" w:cs="Arial"/>
        </w:rPr>
        <w:t xml:space="preserve"> A la Oficialía Mayor corresponde el despacho de los siguientes asuntos:</w:t>
      </w:r>
    </w:p>
    <w:p w14:paraId="42364B86" w14:textId="779C02C3" w:rsidR="00E94A44" w:rsidRDefault="00E94A44" w:rsidP="00E94A44">
      <w:pPr>
        <w:spacing w:after="0" w:line="240" w:lineRule="auto"/>
        <w:ind w:left="1134" w:right="1183"/>
        <w:jc w:val="both"/>
        <w:rPr>
          <w:rFonts w:ascii="Arial" w:eastAsia="Arial" w:hAnsi="Arial" w:cs="Arial"/>
        </w:rPr>
      </w:pPr>
    </w:p>
    <w:p w14:paraId="56C6BA2E"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I. Proponer e instrumentar la política de administración de recursos humanos, adquisiciones, prestación de servicios generales, y patrimonio inmobiliario del Ejecutivo del Estado, conforme a las disposiciones jurídicas aplicables; </w:t>
      </w:r>
    </w:p>
    <w:p w14:paraId="6800ABF5"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II. Llevar la administración de sueldos de los trabajadores al servicio del Poder Ejecutivo estatal, estableciendo los lineamientos generales, políticas y programas relativos a los nombramientos, desarrollo, transferencia y separación del personal, con base en las disposiciones legales aplicables; </w:t>
      </w:r>
    </w:p>
    <w:p w14:paraId="249998D1"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III. Coadyuvar con las diversas dependencias del Ejecutivo, en la elaboración de sus manuales de organización y de procedimientos, así como auxiliarlas en la formulación de sus proyectos de reglamentos interiores; </w:t>
      </w:r>
    </w:p>
    <w:p w14:paraId="263FE432"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IV. Tramitar los nombramientos, remociones, renuncias, licencias y jubilaciones de los funcionarios y trabajadores de la administración pública estatal, a excepción de los titulares de las dependencias; </w:t>
      </w:r>
    </w:p>
    <w:p w14:paraId="4DCFBEC3"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V. Promover la capacitación y el adiestramiento del personal de la administración pública estatal; </w:t>
      </w:r>
    </w:p>
    <w:p w14:paraId="57ACB89F"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VI. Conducir las relaciones con los representantes de los trabajadores y vigilar el cumplimiento de las disposiciones que rigen las relaciones laborales entre el Poder Ejecutivo y sus trabajadores, así como coadyuvar con los titulares de las dependencias en los procesos laborales, ante el Tribunal Estatal de Conciliación y Arbitraje para los trabajadores al servicio de las instituciones públicas del Estado; </w:t>
      </w:r>
    </w:p>
    <w:p w14:paraId="657C8576"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VII. Mantener actualizado el escalafón de los trabajadores y vigilar la adecuada difusión de los movimientos y procesos escalafonarios; </w:t>
      </w:r>
    </w:p>
    <w:p w14:paraId="73AA8019"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VIII. Ejecutar los acuerdos de los titulares de las dependencias, relativos a la imposición, reducción y revocación de las sanciones administrativas, de acuerdo a la Ley de los Trabajadores al Servicio de las Instituciones Públicas del Estado, a que se hagan acreedores los trabajadores de la administración pública estatal, sin perjuicio de las que compete imponer a la Contraloría General del Estado; </w:t>
      </w:r>
    </w:p>
    <w:p w14:paraId="2F9705E2"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IX. Proporcionar y administrar las prestaciones económicas y los servicios que correspondan al personal de la administración pública estatal; </w:t>
      </w:r>
    </w:p>
    <w:p w14:paraId="3722E87A" w14:textId="410D2025"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X. Expedir los acuerdos e instructivos de las condiciones generales de trabajo, así como difundir y vigilar su cumplimiento entre el personal de la administración pública estatal;</w:t>
      </w:r>
    </w:p>
    <w:p w14:paraId="2DEFB284"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XI. Atender las necesidades de los servicios médicos, asistenciales, sociales y culturales del personal al servicio del Gobierno del Estado, a través de las instituciones con las cuales se conviniere su prestación; </w:t>
      </w:r>
    </w:p>
    <w:p w14:paraId="4CEB0D38"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XII. Aplicar las políticas y normas para la adquisición de bienes y servicios que requiera el funcionamiento de la administración pública estatal; </w:t>
      </w:r>
    </w:p>
    <w:p w14:paraId="5833837B"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XIII. Realizar las adquisiciones de los bienes y contratar los servicios que requieran las dependencias de la administración pública estatal, con apego a la normatividad aplicable; </w:t>
      </w:r>
    </w:p>
    <w:p w14:paraId="3E3E44BC"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lastRenderedPageBreak/>
        <w:t xml:space="preserve">XIV. Proveer oportunamente a las dependencias del Ejecutivo del Estado de los elementos necesarios para el desarrollo de sus funciones; </w:t>
      </w:r>
    </w:p>
    <w:p w14:paraId="4A0A8277"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XV. Levantar y tener al corriente el inventario de los bienes muebles e inmuebles propiedad del Gobierno del Estado; </w:t>
      </w:r>
    </w:p>
    <w:p w14:paraId="70923120"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XVI. Administrar los bienes muebles e inmuebles propiedad del Gobierno del Estado, cuidando su mantenimiento, conservación y acondicionamiento. En el caso de los bienes inmuebles, la conservación y acondicionamiento lo encargará a la Secretaría de Desarrollo Urbano, Comunicaciones y Obras Públicas; </w:t>
      </w:r>
    </w:p>
    <w:p w14:paraId="1D59F244"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XVII. Administrar, controlar y vigilar los almacenes generales del Ejecutivo del Estado; </w:t>
      </w:r>
    </w:p>
    <w:p w14:paraId="32427C63"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XVIII. Normar, coordinar y evaluar la actuación de las coordinaciones administrativas de las dependencias de la administración pública estatal, así como asesorar y apoyar el desempeño de las áreas administrativas de las entidades paraestatales; </w:t>
      </w:r>
    </w:p>
    <w:p w14:paraId="5718A421" w14:textId="7D048A81"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XIX. Celebrar y ejecutar actos de dominio y administración sobre bienes muebles e inmuebles propiedad del Estado, excepto la enajenación de éstos últimos, en los términos que determine la Constitución Política del Estado y las leyes aplicables;</w:t>
      </w:r>
    </w:p>
    <w:p w14:paraId="0B661B59"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XX. Organizar, dirigir y controlar los servicios de vigilancia e intendencia de las dependencias de la administración pública estatal; </w:t>
      </w:r>
    </w:p>
    <w:p w14:paraId="3252E141"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XXI. Resolver los conflictos administrativos, cuyo conocimiento le corresponda según lo determinen las leyes; </w:t>
      </w:r>
    </w:p>
    <w:p w14:paraId="0C7A621E"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XXII. (DEROGADA, P.O. 20 DE FEBRERO DE 2024) </w:t>
      </w:r>
    </w:p>
    <w:p w14:paraId="545B707A"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XXIII. Coordinar y supervisar, junto con las demás dependencias interesadas, la edición de publicaciones oficiales del Ejecutivo del Estado; </w:t>
      </w:r>
    </w:p>
    <w:p w14:paraId="0ED24FBF"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XXIV. Llevar el control administrativo de las dependencias del Ejecutivo; </w:t>
      </w:r>
    </w:p>
    <w:p w14:paraId="243983D3" w14:textId="77777777"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 xml:space="preserve">XXV. Atender y dar seguimiento a los diferentes juicios, procesos o trámites administrativos, de aquellos asuntos que competen a la Oficialía Mayor, para lo cual podrá otorgar poderes o mandatos a servidores públicos subalternos o a particulares; XXVI. Expedir certificaciones y constancias respecto de los documentos o datos que obren en sus archivos; y </w:t>
      </w:r>
    </w:p>
    <w:p w14:paraId="432C4C06" w14:textId="30861DFF"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XXVII. Las demás que le señalen las leyes y reglamentos vigentes en el Estado</w:t>
      </w:r>
      <w:r>
        <w:rPr>
          <w:rFonts w:ascii="Arial" w:eastAsia="Arial" w:hAnsi="Arial" w:cs="Arial"/>
        </w:rPr>
        <w:t>.</w:t>
      </w:r>
    </w:p>
    <w:p w14:paraId="1A6E489D" w14:textId="7E386920" w:rsidR="00E94A44" w:rsidRDefault="00E94A44" w:rsidP="00E94A44">
      <w:pPr>
        <w:spacing w:after="0" w:line="240" w:lineRule="auto"/>
        <w:ind w:left="1134" w:right="1183"/>
        <w:jc w:val="both"/>
        <w:rPr>
          <w:rFonts w:ascii="Arial" w:eastAsia="Arial" w:hAnsi="Arial" w:cs="Arial"/>
        </w:rPr>
      </w:pPr>
      <w:r w:rsidRPr="00E94A44">
        <w:rPr>
          <w:rFonts w:ascii="Arial" w:eastAsia="Arial" w:hAnsi="Arial" w:cs="Arial"/>
        </w:rPr>
        <w:t>(ADICIONADO, P.O. 13 DE SEPTIEMBRE DE 2003)</w:t>
      </w:r>
    </w:p>
    <w:p w14:paraId="1128C828"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649368FE" w14:textId="77777777"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De los preceptos normativos transcritos, se colige que el ejercicio del Poder Ejecutivo se encuentra depositado en una sola persona denominada Gobernador Constitucional del Estado, quien asume las facultades que le confieren los diversos ordenamientos jurídicos aplicables.</w:t>
      </w:r>
    </w:p>
    <w:p w14:paraId="062FB689"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6F7A6C93" w14:textId="77777777"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t xml:space="preserve">Que para efecto de conocer de los asuntos que le competen al Poder Ejecutivo, el Gobernador se auxilia de diversas dependencias y entidades que conforman la administración pública del Estado. </w:t>
      </w:r>
    </w:p>
    <w:p w14:paraId="46A43631"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24BFDA22" w14:textId="77777777" w:rsidR="00E94A44" w:rsidRDefault="00E94A44" w:rsidP="00E94A4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lastRenderedPageBreak/>
        <w:t xml:space="preserve">Que la administración pública del Estado será: centralizada y paraestatal; la administración centralizada se encuentra conformada por las secretarías de despacho, la oficialía mayor, la contraloría general del Estado y la Consejería Jurídica del Estado; por su parte, la administración pública paraestatal se integra por los organismos descentralizados, las empresas de participación mayoritaria y los fideicomisos. </w:t>
      </w:r>
    </w:p>
    <w:p w14:paraId="6F200624" w14:textId="77777777" w:rsidR="00E94A44" w:rsidRDefault="00E94A44" w:rsidP="00E94A44">
      <w:pPr>
        <w:spacing w:after="0" w:line="360" w:lineRule="auto"/>
        <w:ind w:firstLine="709"/>
        <w:jc w:val="both"/>
        <w:rPr>
          <w:rFonts w:ascii="Arial" w:eastAsia="Arial Unicode MS" w:hAnsi="Arial" w:cs="Arial"/>
          <w:sz w:val="24"/>
          <w:szCs w:val="24"/>
          <w:lang w:eastAsia="es-ES"/>
        </w:rPr>
      </w:pPr>
    </w:p>
    <w:p w14:paraId="67895651" w14:textId="1ECDBAB4" w:rsidR="00EC29C5" w:rsidRPr="00EC29C5" w:rsidRDefault="00A153CB" w:rsidP="00E46A8C">
      <w:pPr>
        <w:spacing w:after="0" w:line="360" w:lineRule="auto"/>
        <w:ind w:firstLine="709"/>
        <w:jc w:val="both"/>
        <w:rPr>
          <w:rFonts w:ascii="Arial" w:eastAsia="Arial" w:hAnsi="Arial" w:cs="Arial"/>
          <w:sz w:val="24"/>
          <w:szCs w:val="24"/>
        </w:rPr>
      </w:pPr>
      <w:r>
        <w:rPr>
          <w:rFonts w:ascii="Arial" w:eastAsia="Arial Unicode MS" w:hAnsi="Arial" w:cs="Arial"/>
          <w:sz w:val="24"/>
          <w:szCs w:val="24"/>
          <w:lang w:eastAsia="es-ES"/>
        </w:rPr>
        <w:t xml:space="preserve">Conforme la normativa </w:t>
      </w:r>
      <w:r w:rsidRPr="00EC29C5">
        <w:rPr>
          <w:rFonts w:ascii="Arial" w:eastAsia="Arial Unicode MS" w:hAnsi="Arial" w:cs="Arial"/>
          <w:sz w:val="24"/>
          <w:szCs w:val="24"/>
          <w:lang w:eastAsia="es-ES"/>
        </w:rPr>
        <w:t xml:space="preserve">citada, se desprende que corresponde a la </w:t>
      </w:r>
      <w:r w:rsidR="00EC29C5" w:rsidRPr="00EC29C5">
        <w:rPr>
          <w:rFonts w:ascii="Arial" w:eastAsia="Arial Unicode MS" w:hAnsi="Arial" w:cs="Arial"/>
          <w:b/>
          <w:sz w:val="24"/>
          <w:szCs w:val="24"/>
          <w:u w:val="single"/>
          <w:lang w:eastAsia="es-ES"/>
        </w:rPr>
        <w:t>Contraloría</w:t>
      </w:r>
      <w:r w:rsidR="00E94A44" w:rsidRPr="00EC29C5">
        <w:rPr>
          <w:rFonts w:ascii="Arial" w:eastAsia="Arial Unicode MS" w:hAnsi="Arial" w:cs="Arial"/>
          <w:b/>
          <w:sz w:val="24"/>
          <w:szCs w:val="24"/>
          <w:u w:val="single"/>
          <w:lang w:eastAsia="es-ES"/>
        </w:rPr>
        <w:t xml:space="preserve"> General de</w:t>
      </w:r>
      <w:r w:rsidR="00EC29C5" w:rsidRPr="00EC29C5">
        <w:rPr>
          <w:rFonts w:ascii="Arial" w:eastAsia="Arial Unicode MS" w:hAnsi="Arial" w:cs="Arial"/>
          <w:b/>
          <w:sz w:val="24"/>
          <w:szCs w:val="24"/>
          <w:u w:val="single"/>
          <w:lang w:eastAsia="es-ES"/>
        </w:rPr>
        <w:t>l Estado</w:t>
      </w:r>
      <w:r w:rsidR="00E94A44" w:rsidRPr="00EC29C5">
        <w:rPr>
          <w:rFonts w:ascii="Arial" w:eastAsia="Arial Unicode MS" w:hAnsi="Arial" w:cs="Arial"/>
          <w:sz w:val="24"/>
          <w:szCs w:val="24"/>
          <w:lang w:eastAsia="es-ES"/>
        </w:rPr>
        <w:t xml:space="preserve">, </w:t>
      </w:r>
      <w:r w:rsidR="00EC29C5" w:rsidRPr="00EC29C5">
        <w:rPr>
          <w:rFonts w:ascii="Arial" w:eastAsia="Arial Unicode MS" w:hAnsi="Arial" w:cs="Arial"/>
          <w:sz w:val="24"/>
          <w:szCs w:val="24"/>
          <w:lang w:eastAsia="es-ES"/>
        </w:rPr>
        <w:t>d</w:t>
      </w:r>
      <w:r w:rsidR="00EC29C5" w:rsidRPr="00EC29C5">
        <w:rPr>
          <w:rFonts w:ascii="Arial" w:eastAsia="Arial" w:hAnsi="Arial" w:cs="Arial"/>
          <w:sz w:val="24"/>
          <w:szCs w:val="24"/>
        </w:rPr>
        <w:t xml:space="preserve">esarrollar y coordinar el Sistema Estatal de Control Interno de la administración pública estatal; </w:t>
      </w:r>
      <w:r w:rsidR="00EC29C5">
        <w:rPr>
          <w:rFonts w:ascii="Arial" w:eastAsia="Arial" w:hAnsi="Arial" w:cs="Arial"/>
          <w:sz w:val="24"/>
          <w:szCs w:val="24"/>
        </w:rPr>
        <w:t>e</w:t>
      </w:r>
      <w:r w:rsidR="00EC29C5" w:rsidRPr="00EC29C5">
        <w:rPr>
          <w:rFonts w:ascii="Arial" w:eastAsia="Arial" w:hAnsi="Arial" w:cs="Arial"/>
          <w:sz w:val="24"/>
          <w:szCs w:val="24"/>
        </w:rPr>
        <w:t xml:space="preserve">stablecer y vigilar el cumplimiento de las normas de control, fiscalización y auditoría que deban observar las dependencias y entidades de la administración pública estatal; </w:t>
      </w:r>
      <w:r w:rsidR="00EC29C5">
        <w:rPr>
          <w:rFonts w:ascii="Arial" w:eastAsia="Arial" w:hAnsi="Arial" w:cs="Arial"/>
          <w:sz w:val="24"/>
          <w:szCs w:val="24"/>
        </w:rPr>
        <w:t>v</w:t>
      </w:r>
      <w:r w:rsidR="00EC29C5" w:rsidRPr="00EC29C5">
        <w:rPr>
          <w:rFonts w:ascii="Arial" w:eastAsia="Arial" w:hAnsi="Arial" w:cs="Arial"/>
          <w:sz w:val="24"/>
          <w:szCs w:val="24"/>
        </w:rPr>
        <w:t>igilar, en colaboración con las autoridades que integren el Comité Coordinador del Sistema Estatal Anticorrupción, el cumplimiento de las normas de control interno y fiscalización, así como asesorar y apoyar a las dependencias y entidades de la Administración Pública Estatal, por si o a través los órganos internos de control, en la promoción de su cumplimiento; Inspeccionar el ejercicio del gasto público estatal y la obtención de los ingresos, y su apego y congruencia a las respectivas leyes, reglamentos, re</w:t>
      </w:r>
      <w:r w:rsidR="00EC29C5">
        <w:rPr>
          <w:rFonts w:ascii="Arial" w:eastAsia="Arial" w:hAnsi="Arial" w:cs="Arial"/>
          <w:sz w:val="24"/>
          <w:szCs w:val="24"/>
        </w:rPr>
        <w:t>glas y lineamientos aplicables; c</w:t>
      </w:r>
      <w:r w:rsidR="00EC29C5" w:rsidRPr="00EC29C5">
        <w:rPr>
          <w:rFonts w:ascii="Arial" w:eastAsia="Arial" w:hAnsi="Arial" w:cs="Arial"/>
          <w:sz w:val="24"/>
          <w:szCs w:val="24"/>
        </w:rPr>
        <w:t xml:space="preserve">omprobar por si o a través de los órganos internos de control, el cumplimiento por parte de las dependencias y entidades de la administración pública estatal de las obligaciones derivadas de las disposiciones en materia de planeación, presupuestación, ingresos, egresos, financiamiento e inversión; adquisiciones, obra pública, servicios; deuda, sistema de registro y contabilidad, personal, arrendamiento, conservación, uso, destino, afectación, enajenación y baja de muebles e inmuebles y demás activos y recursos materiales; fondos y valores de la propiedad o al cuidado del Ejecutivo del Estado; </w:t>
      </w:r>
      <w:r w:rsidR="00E46A8C">
        <w:rPr>
          <w:rFonts w:ascii="Arial" w:eastAsia="Arial" w:hAnsi="Arial" w:cs="Arial"/>
          <w:sz w:val="24"/>
          <w:szCs w:val="24"/>
        </w:rPr>
        <w:t>r</w:t>
      </w:r>
      <w:r w:rsidR="00EC29C5" w:rsidRPr="00EC29C5">
        <w:rPr>
          <w:rFonts w:ascii="Arial" w:eastAsia="Arial" w:hAnsi="Arial" w:cs="Arial"/>
          <w:sz w:val="24"/>
          <w:szCs w:val="24"/>
        </w:rPr>
        <w:t xml:space="preserve">ecibir y registrar las declaraciones patrimoniales, la constancia de presentación de declaración fiscal y la declaración de intereses que deban presentar, así como verificar su contenido mediante las investigaciones que resulten pertinentes de acuerdo con las disposiciones aplicables; </w:t>
      </w:r>
      <w:r w:rsidR="00E46A8C">
        <w:rPr>
          <w:rFonts w:ascii="Arial" w:eastAsia="Arial" w:hAnsi="Arial" w:cs="Arial"/>
          <w:sz w:val="24"/>
          <w:szCs w:val="24"/>
        </w:rPr>
        <w:t>a</w:t>
      </w:r>
      <w:r w:rsidR="00EC29C5" w:rsidRPr="00EC29C5">
        <w:rPr>
          <w:rFonts w:ascii="Arial" w:eastAsia="Arial" w:hAnsi="Arial" w:cs="Arial"/>
          <w:sz w:val="24"/>
          <w:szCs w:val="24"/>
        </w:rPr>
        <w:t xml:space="preserve">tender las quejas y denuncias que presente la ciudadanía derivada de las actuaciones de los servidores públicos del Ejecutivo del Estado; </w:t>
      </w:r>
      <w:r w:rsidR="00E46A8C">
        <w:rPr>
          <w:rFonts w:ascii="Arial" w:eastAsia="Arial" w:hAnsi="Arial" w:cs="Arial"/>
          <w:sz w:val="24"/>
          <w:szCs w:val="24"/>
        </w:rPr>
        <w:t>c</w:t>
      </w:r>
      <w:r w:rsidR="00EC29C5" w:rsidRPr="00EC29C5">
        <w:rPr>
          <w:rFonts w:ascii="Arial" w:eastAsia="Arial" w:hAnsi="Arial" w:cs="Arial"/>
          <w:sz w:val="24"/>
          <w:szCs w:val="24"/>
        </w:rPr>
        <w:t xml:space="preserve">onocer e investigar las conductas de los servidores públicos de la Administración Pública Estatal y de los particulares, que pudieran constituir responsabilidades administrativas; así como substanciar los procedimientos </w:t>
      </w:r>
      <w:r w:rsidR="00EC29C5" w:rsidRPr="00EC29C5">
        <w:rPr>
          <w:rFonts w:ascii="Arial" w:eastAsia="Arial" w:hAnsi="Arial" w:cs="Arial"/>
          <w:sz w:val="24"/>
          <w:szCs w:val="24"/>
        </w:rPr>
        <w:lastRenderedPageBreak/>
        <w:t xml:space="preserve">correspondientes conforme a lo establecido en la Ley de Responsabilidades Administrativas del Estado de San Luis Potosí, por sí, o por conducto de los órganos internos de control que correspondan a cada área de la Administración Pública Estatal; para lo cual podrán aplicar las sanciones que correspondan en los casos que no sean de la competencia del Tribunal Estatal de Justicia Administrativa y, cuando se trate de faltas administrativas graves o de faltas administrativas de particulares, emitir el informe de presunta responsabilidad administrativa y ejercer la acción que corresponda ante ese Tribunal o ante la Auditoría Superior del Estado; así como presentar las denuncias correspondientes ante la Fiscalía Especializada en materia de Delitos Relacionados con Hechos de Corrupción y ante otras autoridades competentes, en términos </w:t>
      </w:r>
      <w:r w:rsidR="00E46A8C">
        <w:rPr>
          <w:rFonts w:ascii="Arial" w:eastAsia="Arial" w:hAnsi="Arial" w:cs="Arial"/>
          <w:sz w:val="24"/>
          <w:szCs w:val="24"/>
        </w:rPr>
        <w:t>de las disposiciones aplicables; l</w:t>
      </w:r>
      <w:r w:rsidR="00EC29C5" w:rsidRPr="00EC29C5">
        <w:rPr>
          <w:rFonts w:ascii="Arial" w:eastAsia="Arial" w:hAnsi="Arial" w:cs="Arial"/>
          <w:sz w:val="24"/>
          <w:szCs w:val="24"/>
        </w:rPr>
        <w:t xml:space="preserve">levar en la administración pública estatal, el registro de los servidores públicos sujetos a procedimientos administrativos instaurados, de los sancionados e inhabilitados, de los recursos e impugnaciones que se hayan hecho valer y, en su caso, las resoluciones por las que se dejen sin efectos las resoluciones dictadas; para lo cual deberá realizar la captura, así como el envío oportuno y veraz de la información a la Secretaría Ejecutiva del Sistema Estatal Anticorrupción, en términos de lo previsto por la Ley del Sistema Estatal Anticorrupción, y de la Ley de Responsabilidades Administrativas del Estado y Municipios de San Luis Potosí. </w:t>
      </w:r>
    </w:p>
    <w:p w14:paraId="56187726" w14:textId="5FE4DE03" w:rsidR="00A153CB" w:rsidRDefault="00A153CB" w:rsidP="00A153CB">
      <w:pPr>
        <w:spacing w:after="0" w:line="360" w:lineRule="auto"/>
        <w:ind w:firstLine="709"/>
        <w:jc w:val="both"/>
        <w:rPr>
          <w:rFonts w:ascii="Arial" w:eastAsia="Arial" w:hAnsi="Arial" w:cs="Arial"/>
          <w:sz w:val="24"/>
          <w:szCs w:val="24"/>
        </w:rPr>
      </w:pPr>
    </w:p>
    <w:p w14:paraId="2C1B0BE3" w14:textId="77777777" w:rsidR="00727643" w:rsidRDefault="00A153CB" w:rsidP="00727643">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Por su parte, corresponde a la </w:t>
      </w:r>
      <w:r w:rsidRPr="00EC29C5">
        <w:rPr>
          <w:rFonts w:ascii="Arial" w:eastAsia="Arial" w:hAnsi="Arial" w:cs="Arial"/>
          <w:b/>
          <w:sz w:val="24"/>
          <w:szCs w:val="24"/>
          <w:u w:val="single"/>
        </w:rPr>
        <w:t>Oficialía Mayor</w:t>
      </w:r>
      <w:r>
        <w:rPr>
          <w:rFonts w:ascii="Arial" w:eastAsia="Arial" w:hAnsi="Arial" w:cs="Arial"/>
          <w:sz w:val="24"/>
          <w:szCs w:val="24"/>
        </w:rPr>
        <w:t xml:space="preserve">, </w:t>
      </w:r>
      <w:r w:rsidR="00727643">
        <w:rPr>
          <w:rFonts w:ascii="Arial" w:eastAsia="Arial" w:hAnsi="Arial" w:cs="Arial"/>
          <w:sz w:val="24"/>
          <w:szCs w:val="24"/>
        </w:rPr>
        <w:t xml:space="preserve">instrumentar la política de la administración de recursos humanos, adquisiciones, prestación de servicios generales, y patrimonio inmobiliario del Ejecutivo del Estado; llevar la administración de sueldos de los trabajadores al servicio del Poder Ejecutivo Estatal, estableciendo lineamientos generales, políticas y programas relativos a los nombramientos, desarrollo, transferencia y separación de personal; tramitar los nombramientos, remociones, </w:t>
      </w:r>
      <w:r w:rsidR="00727643" w:rsidRPr="00727643">
        <w:rPr>
          <w:rFonts w:ascii="Arial" w:eastAsia="Arial" w:hAnsi="Arial" w:cs="Arial"/>
          <w:sz w:val="24"/>
          <w:szCs w:val="24"/>
        </w:rPr>
        <w:t>renuncias, licencias y jubilaciones de los funcionarios y trabajadores de la administración pública estatal, a excepción de los titulares; c</w:t>
      </w:r>
      <w:r w:rsidR="00E94A44" w:rsidRPr="00727643">
        <w:rPr>
          <w:rFonts w:ascii="Arial" w:eastAsia="Arial" w:hAnsi="Arial" w:cs="Arial"/>
          <w:sz w:val="24"/>
          <w:szCs w:val="24"/>
        </w:rPr>
        <w:t>onducir las relaciones con los representantes de los trabajadores y vigilar el cumplimiento de las disposiciones que rigen las relaciones laborales entre el Poder Ejecutivo y sus trabajadores, así como coadyuvar con los titulares de las dependencias en los procesos laborales, ante el Tribunal Estatal de Conciliación y Arbitraje para los trabajadores al servicio de las ins</w:t>
      </w:r>
      <w:r w:rsidR="00727643" w:rsidRPr="00727643">
        <w:rPr>
          <w:rFonts w:ascii="Arial" w:eastAsia="Arial" w:hAnsi="Arial" w:cs="Arial"/>
          <w:sz w:val="24"/>
          <w:szCs w:val="24"/>
        </w:rPr>
        <w:t xml:space="preserve">tituciones públicas del Estado; </w:t>
      </w:r>
      <w:r w:rsidR="00727643" w:rsidRPr="00727643">
        <w:rPr>
          <w:rFonts w:ascii="Arial" w:eastAsia="Arial" w:hAnsi="Arial" w:cs="Arial"/>
          <w:b/>
          <w:sz w:val="24"/>
          <w:szCs w:val="24"/>
        </w:rPr>
        <w:t>e</w:t>
      </w:r>
      <w:r w:rsidR="00E94A44" w:rsidRPr="00727643">
        <w:rPr>
          <w:rFonts w:ascii="Arial" w:eastAsia="Arial" w:hAnsi="Arial" w:cs="Arial"/>
          <w:b/>
          <w:sz w:val="24"/>
          <w:szCs w:val="24"/>
        </w:rPr>
        <w:t xml:space="preserve">jecutar los acuerdos de los titulares de las </w:t>
      </w:r>
      <w:r w:rsidR="00E94A44" w:rsidRPr="00727643">
        <w:rPr>
          <w:rFonts w:ascii="Arial" w:eastAsia="Arial" w:hAnsi="Arial" w:cs="Arial"/>
          <w:b/>
          <w:sz w:val="24"/>
          <w:szCs w:val="24"/>
        </w:rPr>
        <w:lastRenderedPageBreak/>
        <w:t xml:space="preserve">dependencias, relativos a la imposición, reducción y revocación de las sanciones administrativas, de acuerdo a la Ley de los Trabajadores al Servicio de las Instituciones Públicas del Estado, a que se hagan acreedores los trabajadores de la administración pública estatal, </w:t>
      </w:r>
      <w:r w:rsidR="00E94A44" w:rsidRPr="00727643">
        <w:rPr>
          <w:rFonts w:ascii="Arial" w:eastAsia="Arial" w:hAnsi="Arial" w:cs="Arial"/>
          <w:sz w:val="24"/>
          <w:szCs w:val="24"/>
        </w:rPr>
        <w:t xml:space="preserve">sin perjuicio de las que compete imponer a la Contraloría General del Estado; </w:t>
      </w:r>
      <w:r w:rsidR="00727643" w:rsidRPr="00727643">
        <w:rPr>
          <w:rFonts w:ascii="Arial" w:eastAsia="Arial" w:hAnsi="Arial" w:cs="Arial"/>
          <w:sz w:val="24"/>
          <w:szCs w:val="24"/>
        </w:rPr>
        <w:t>a</w:t>
      </w:r>
      <w:r w:rsidR="00E94A44" w:rsidRPr="00727643">
        <w:rPr>
          <w:rFonts w:ascii="Arial" w:eastAsia="Arial" w:hAnsi="Arial" w:cs="Arial"/>
          <w:sz w:val="24"/>
          <w:szCs w:val="24"/>
        </w:rPr>
        <w:t>tender y dar seguimiento a los diferentes juicios, procesos o trámites administrativos, de aquellos asuntos que competen a la Oficialía Mayor, para lo cual podrá otorgar poderes o mandatos a servidores públicos subalternos o a particulares</w:t>
      </w:r>
      <w:r w:rsidR="00727643">
        <w:rPr>
          <w:rFonts w:ascii="Arial" w:eastAsia="Arial" w:hAnsi="Arial" w:cs="Arial"/>
          <w:sz w:val="24"/>
          <w:szCs w:val="24"/>
        </w:rPr>
        <w:t>.</w:t>
      </w:r>
    </w:p>
    <w:p w14:paraId="1B6E0273" w14:textId="0EA65D97" w:rsidR="00E94A44" w:rsidRDefault="00E94A44">
      <w:pPr>
        <w:rPr>
          <w:rFonts w:ascii="Arial" w:eastAsia="Arial Unicode MS" w:hAnsi="Arial" w:cs="Arial"/>
          <w:sz w:val="24"/>
          <w:szCs w:val="24"/>
          <w:lang w:eastAsia="es-ES"/>
        </w:rPr>
      </w:pPr>
    </w:p>
    <w:p w14:paraId="782D7ED1" w14:textId="77777777" w:rsidR="00E46A8C" w:rsidRPr="00E46A8C" w:rsidRDefault="00E46A8C" w:rsidP="00E46A8C">
      <w:pPr>
        <w:autoSpaceDE w:val="0"/>
        <w:autoSpaceDN w:val="0"/>
        <w:adjustRightInd w:val="0"/>
        <w:spacing w:after="0" w:line="360" w:lineRule="auto"/>
        <w:ind w:firstLine="708"/>
        <w:jc w:val="both"/>
        <w:rPr>
          <w:rFonts w:ascii="Arial" w:eastAsia="Calibri" w:hAnsi="Arial" w:cs="Arial"/>
          <w:bCs/>
          <w:sz w:val="24"/>
          <w:lang w:val="es-ES"/>
        </w:rPr>
      </w:pPr>
      <w:r w:rsidRPr="00E46A8C">
        <w:rPr>
          <w:rFonts w:ascii="Arial" w:eastAsia="Calibri" w:hAnsi="Arial" w:cs="Arial"/>
          <w:bCs/>
          <w:sz w:val="24"/>
          <w:lang w:val="es-ES"/>
        </w:rPr>
        <w:t>En este tenor, es importante mencionar que las uni</w:t>
      </w:r>
      <w:r w:rsidRPr="00E46A8C">
        <w:rPr>
          <w:rFonts w:ascii="Arial" w:eastAsia="Calibri" w:hAnsi="Arial" w:cs="Arial"/>
          <w:bCs/>
          <w:sz w:val="24"/>
          <w:lang w:val="es-ES"/>
        </w:rPr>
        <w:softHyphen/>
        <w:t>dades de transparencia de los sujetos obligados son el interlocutor entre las áreas responsables y los comités, para que los procedimientos sean fluidos y apegados a la normatividad en la materia, por tanto, el papel de interlocución de las unidades de transparencia para la efectiva ejecución de las figuras jurídicas mencionadas, es trascendente y al respecto es importante se propongan los procedimientos internos que lleven a una óptima garantía del derecho en cita</w:t>
      </w:r>
      <w:r w:rsidRPr="00E46A8C">
        <w:rPr>
          <w:rFonts w:ascii="Arial" w:eastAsia="Calibri" w:hAnsi="Arial" w:cs="Arial"/>
          <w:bCs/>
          <w:sz w:val="24"/>
          <w:vertAlign w:val="superscript"/>
          <w:lang w:val="es-ES"/>
        </w:rPr>
        <w:footnoteReference w:id="8"/>
      </w:r>
      <w:r w:rsidRPr="00E46A8C">
        <w:rPr>
          <w:rFonts w:ascii="Arial" w:eastAsia="Calibri" w:hAnsi="Arial" w:cs="Arial"/>
          <w:bCs/>
          <w:sz w:val="24"/>
          <w:lang w:val="es-ES"/>
        </w:rPr>
        <w:t>.</w:t>
      </w:r>
    </w:p>
    <w:p w14:paraId="04671E0E" w14:textId="77777777" w:rsidR="00E46A8C" w:rsidRPr="00E46A8C" w:rsidRDefault="00E46A8C" w:rsidP="00E46A8C">
      <w:pPr>
        <w:autoSpaceDE w:val="0"/>
        <w:autoSpaceDN w:val="0"/>
        <w:adjustRightInd w:val="0"/>
        <w:spacing w:after="0" w:line="360" w:lineRule="auto"/>
        <w:ind w:firstLine="708"/>
        <w:jc w:val="both"/>
        <w:rPr>
          <w:rFonts w:ascii="Arial" w:eastAsia="Calibri" w:hAnsi="Arial" w:cs="Arial"/>
          <w:bCs/>
          <w:sz w:val="24"/>
          <w:lang w:val="es-ES"/>
        </w:rPr>
      </w:pPr>
    </w:p>
    <w:p w14:paraId="61F78073" w14:textId="2B9A4CBC" w:rsidR="00E46A8C" w:rsidRPr="00E46A8C" w:rsidRDefault="00E46A8C" w:rsidP="00E46A8C">
      <w:pPr>
        <w:autoSpaceDE w:val="0"/>
        <w:autoSpaceDN w:val="0"/>
        <w:adjustRightInd w:val="0"/>
        <w:spacing w:after="0" w:line="360" w:lineRule="auto"/>
        <w:ind w:firstLine="708"/>
        <w:jc w:val="both"/>
        <w:rPr>
          <w:rFonts w:ascii="Arial" w:eastAsia="Calibri" w:hAnsi="Arial" w:cs="Arial"/>
          <w:b/>
          <w:bCs/>
          <w:sz w:val="24"/>
          <w:u w:val="single"/>
        </w:rPr>
      </w:pPr>
      <w:r w:rsidRPr="00E46A8C">
        <w:rPr>
          <w:rFonts w:ascii="Arial" w:eastAsia="Calibri" w:hAnsi="Arial" w:cs="Arial"/>
          <w:bCs/>
          <w:sz w:val="24"/>
        </w:rPr>
        <w:t xml:space="preserve">En el caso concreto, del análisis de la normatividad transcrita en párrafos anteriores, se concluye que, contrario a lo señalado por el recurrente, </w:t>
      </w:r>
      <w:r>
        <w:rPr>
          <w:rFonts w:ascii="Arial" w:eastAsia="Calibri" w:hAnsi="Arial" w:cs="Arial"/>
          <w:bCs/>
          <w:sz w:val="24"/>
        </w:rPr>
        <w:t xml:space="preserve">la Contraloría General del Estado, resulta incompetente para atender la solicitud de información del aquí recurrente, puesto que como se ha revisado, la petitoria debe formularse ante un sujeto obligado distinto que resulta ser la Oficialía Mayor del Estado, </w:t>
      </w:r>
      <w:r w:rsidRPr="00E46A8C">
        <w:rPr>
          <w:rFonts w:ascii="Arial" w:eastAsia="Calibri" w:hAnsi="Arial" w:cs="Arial"/>
          <w:bCs/>
          <w:sz w:val="24"/>
        </w:rPr>
        <w:t>conforme lo señalado en los artículos 18 y 19 de la Ley de Transparencia Local, ya que, dentro de las facultades, competencias y funciones que los ordenamientos jurídicos aplicabl</w:t>
      </w:r>
      <w:r>
        <w:rPr>
          <w:rFonts w:ascii="Arial" w:eastAsia="Calibri" w:hAnsi="Arial" w:cs="Arial"/>
          <w:bCs/>
          <w:sz w:val="24"/>
        </w:rPr>
        <w:t xml:space="preserve">es le otorgan a dicha autoridad. </w:t>
      </w:r>
      <w:r w:rsidRPr="00E46A8C">
        <w:rPr>
          <w:rFonts w:ascii="Arial" w:eastAsia="Calibri" w:hAnsi="Arial" w:cs="Arial"/>
          <w:bCs/>
          <w:sz w:val="24"/>
        </w:rPr>
        <w:t xml:space="preserve"> </w:t>
      </w:r>
      <w:r>
        <w:rPr>
          <w:rFonts w:ascii="Arial" w:eastAsia="Calibri" w:hAnsi="Arial" w:cs="Arial"/>
          <w:bCs/>
          <w:sz w:val="24"/>
        </w:rPr>
        <w:t>P</w:t>
      </w:r>
      <w:r>
        <w:rPr>
          <w:rFonts w:ascii="Arial" w:eastAsia="Arial Unicode MS" w:hAnsi="Arial" w:cs="Arial"/>
          <w:bCs/>
          <w:sz w:val="24"/>
          <w:szCs w:val="24"/>
          <w:lang w:eastAsia="es-ES"/>
        </w:rPr>
        <w:t xml:space="preserve">or lo que </w:t>
      </w:r>
      <w:r>
        <w:rPr>
          <w:rFonts w:ascii="Arial" w:eastAsia="Arial Unicode MS" w:hAnsi="Arial" w:cs="Arial"/>
          <w:bCs/>
          <w:sz w:val="24"/>
          <w:szCs w:val="24"/>
          <w:lang w:val="es-ES_tradnl" w:eastAsia="es-ES"/>
        </w:rPr>
        <w:t xml:space="preserve">resulta procedente </w:t>
      </w:r>
      <w:r>
        <w:rPr>
          <w:rFonts w:ascii="Arial" w:eastAsia="Arial Unicode MS" w:hAnsi="Arial" w:cs="Arial"/>
          <w:b/>
          <w:bCs/>
          <w:i/>
          <w:sz w:val="24"/>
          <w:szCs w:val="24"/>
          <w:lang w:val="es-ES_tradnl" w:eastAsia="es-ES"/>
        </w:rPr>
        <w:t>confirmar</w:t>
      </w:r>
      <w:r>
        <w:rPr>
          <w:rFonts w:ascii="Arial" w:eastAsia="Arial Unicode MS" w:hAnsi="Arial" w:cs="Arial"/>
          <w:bCs/>
          <w:sz w:val="24"/>
          <w:szCs w:val="24"/>
          <w:lang w:val="es-ES_tradnl" w:eastAsia="es-ES"/>
        </w:rPr>
        <w:t xml:space="preserve"> la respuesta que el Sujeto Obligado otorgó a la solicitud de acceso a la información pública presentada.</w:t>
      </w:r>
    </w:p>
    <w:p w14:paraId="6F079577" w14:textId="77777777" w:rsidR="00E46A8C" w:rsidRDefault="00E46A8C" w:rsidP="00E46A8C">
      <w:pPr>
        <w:spacing w:after="0" w:line="360" w:lineRule="auto"/>
        <w:ind w:firstLine="708"/>
        <w:jc w:val="both"/>
        <w:rPr>
          <w:rFonts w:ascii="Arial" w:eastAsia="Arial Unicode MS" w:hAnsi="Arial" w:cs="Arial"/>
          <w:b/>
          <w:bCs/>
          <w:sz w:val="24"/>
          <w:szCs w:val="24"/>
          <w:lang w:eastAsia="es-ES"/>
        </w:rPr>
      </w:pPr>
    </w:p>
    <w:p w14:paraId="10FDE055" w14:textId="77777777" w:rsidR="00E46A8C" w:rsidRDefault="00E46A8C" w:rsidP="00E46A8C">
      <w:pPr>
        <w:autoSpaceDE w:val="0"/>
        <w:autoSpaceDN w:val="0"/>
        <w:adjustRightInd w:val="0"/>
        <w:spacing w:after="0" w:line="360" w:lineRule="auto"/>
        <w:ind w:firstLine="708"/>
        <w:jc w:val="both"/>
        <w:rPr>
          <w:rFonts w:ascii="Arial" w:hAnsi="Arial" w:cs="Arial"/>
          <w:sz w:val="24"/>
          <w:szCs w:val="24"/>
        </w:rPr>
      </w:pPr>
      <w:r>
        <w:rPr>
          <w:rFonts w:ascii="Arial" w:hAnsi="Arial" w:cs="Arial"/>
          <w:b/>
          <w:sz w:val="24"/>
          <w:szCs w:val="24"/>
        </w:rPr>
        <w:t>OCTAVO. Precisiones de esta resolución.</w:t>
      </w:r>
      <w:r>
        <w:rPr>
          <w:rFonts w:ascii="Arial" w:hAnsi="Arial" w:cs="Arial"/>
          <w:sz w:val="24"/>
          <w:szCs w:val="24"/>
        </w:rPr>
        <w:t xml:space="preserve"> Por lo anteriormente expuesto, esta Comisión, con fundamento en lo dispuesto por el artículo 175 </w:t>
      </w:r>
      <w:r>
        <w:rPr>
          <w:rFonts w:ascii="Arial" w:hAnsi="Arial" w:cs="Arial"/>
          <w:sz w:val="24"/>
          <w:szCs w:val="24"/>
        </w:rPr>
        <w:lastRenderedPageBreak/>
        <w:t xml:space="preserve">fracción II, de la Ley de Transparencia y Acceso a la Información Pública del Estado, se </w:t>
      </w:r>
      <w:r>
        <w:rPr>
          <w:rFonts w:ascii="Arial" w:hAnsi="Arial" w:cs="Arial"/>
          <w:b/>
          <w:bCs/>
          <w:sz w:val="24"/>
          <w:szCs w:val="24"/>
        </w:rPr>
        <w:t>CONFIRMA</w:t>
      </w:r>
      <w:r>
        <w:rPr>
          <w:rFonts w:ascii="Arial" w:hAnsi="Arial" w:cs="Arial"/>
          <w:b/>
          <w:sz w:val="24"/>
          <w:szCs w:val="24"/>
        </w:rPr>
        <w:t xml:space="preserve"> </w:t>
      </w:r>
      <w:r>
        <w:rPr>
          <w:rFonts w:ascii="Arial" w:hAnsi="Arial" w:cs="Arial"/>
          <w:sz w:val="24"/>
          <w:szCs w:val="24"/>
        </w:rPr>
        <w:t xml:space="preserve">la respuesta proporcionada por el Sujeto Obligado. </w:t>
      </w:r>
    </w:p>
    <w:p w14:paraId="7693D825" w14:textId="77777777" w:rsidR="00E46A8C" w:rsidRDefault="00E46A8C" w:rsidP="00E46A8C">
      <w:pPr>
        <w:spacing w:after="0" w:line="360" w:lineRule="auto"/>
        <w:ind w:firstLine="708"/>
        <w:jc w:val="both"/>
        <w:rPr>
          <w:rFonts w:ascii="Arial" w:hAnsi="Arial" w:cs="Arial"/>
          <w:sz w:val="24"/>
          <w:szCs w:val="24"/>
        </w:rPr>
      </w:pPr>
    </w:p>
    <w:p w14:paraId="20D7F748" w14:textId="77777777" w:rsidR="00E46A8C" w:rsidRDefault="00E46A8C" w:rsidP="00E46A8C">
      <w:pPr>
        <w:spacing w:after="0" w:line="360" w:lineRule="auto"/>
        <w:jc w:val="both"/>
        <w:rPr>
          <w:rFonts w:ascii="Arial" w:hAnsi="Arial" w:cs="Arial"/>
          <w:sz w:val="24"/>
          <w:szCs w:val="24"/>
        </w:rPr>
      </w:pPr>
      <w:r>
        <w:rPr>
          <w:rFonts w:ascii="Arial" w:hAnsi="Arial" w:cs="Arial"/>
          <w:b/>
          <w:sz w:val="24"/>
          <w:szCs w:val="24"/>
        </w:rPr>
        <w:tab/>
        <w:t xml:space="preserve">8.1. Medio de impugnación. </w:t>
      </w:r>
      <w:r>
        <w:rPr>
          <w:rFonts w:ascii="Arial" w:hAnsi="Arial" w:cs="Arial"/>
          <w:sz w:val="24"/>
          <w:szCs w:val="24"/>
        </w:rPr>
        <w:t>Se hace de conocimiento del Recurrente que, en caso de no estar de acuerdo con los términos de la resolución dictada por este Organismo Autónomo, podrá optar por acudir ante el Poder Judicial de la Federación.</w:t>
      </w:r>
    </w:p>
    <w:p w14:paraId="1836581B" w14:textId="77777777" w:rsidR="00E46A8C" w:rsidRDefault="00E46A8C" w:rsidP="00E46A8C">
      <w:pPr>
        <w:spacing w:after="0" w:line="360" w:lineRule="auto"/>
        <w:jc w:val="both"/>
        <w:rPr>
          <w:rFonts w:ascii="Arial" w:hAnsi="Arial" w:cs="Arial"/>
          <w:sz w:val="24"/>
          <w:szCs w:val="24"/>
        </w:rPr>
      </w:pPr>
    </w:p>
    <w:p w14:paraId="77DEBA34" w14:textId="77777777" w:rsidR="00E46A8C" w:rsidRDefault="00E46A8C" w:rsidP="00E46A8C">
      <w:pPr>
        <w:spacing w:after="0" w:line="360" w:lineRule="auto"/>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8.2. Definitividad. </w:t>
      </w:r>
      <w:r>
        <w:rPr>
          <w:rFonts w:ascii="Arial" w:hAnsi="Arial" w:cs="Arial"/>
          <w:sz w:val="24"/>
          <w:szCs w:val="24"/>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369A5826" w14:textId="77777777" w:rsidR="00E46A8C" w:rsidRDefault="00E46A8C" w:rsidP="00E46A8C">
      <w:pPr>
        <w:spacing w:after="0" w:line="360" w:lineRule="auto"/>
        <w:jc w:val="both"/>
        <w:rPr>
          <w:rFonts w:ascii="Arial" w:hAnsi="Arial" w:cs="Arial"/>
          <w:sz w:val="24"/>
          <w:szCs w:val="24"/>
        </w:rPr>
      </w:pPr>
      <w:r>
        <w:rPr>
          <w:rFonts w:ascii="Arial" w:hAnsi="Arial" w:cs="Arial"/>
          <w:sz w:val="24"/>
          <w:szCs w:val="24"/>
        </w:rPr>
        <w:tab/>
      </w:r>
    </w:p>
    <w:p w14:paraId="5A347C00" w14:textId="77777777" w:rsidR="00E46A8C" w:rsidRDefault="00E46A8C" w:rsidP="00E46A8C">
      <w:pPr>
        <w:spacing w:after="0" w:line="360" w:lineRule="auto"/>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8.3. Ejecutoría. </w:t>
      </w:r>
      <w:r>
        <w:rPr>
          <w:rFonts w:ascii="Arial" w:hAnsi="Arial" w:cs="Arial"/>
          <w:sz w:val="24"/>
          <w:szCs w:val="24"/>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2A85EFCE" w14:textId="77777777" w:rsidR="00E46A8C" w:rsidRDefault="00E46A8C" w:rsidP="00E46A8C">
      <w:pPr>
        <w:spacing w:after="0" w:line="360" w:lineRule="auto"/>
        <w:jc w:val="both"/>
        <w:rPr>
          <w:rFonts w:ascii="Arial" w:hAnsi="Arial" w:cs="Arial"/>
          <w:sz w:val="24"/>
          <w:szCs w:val="24"/>
        </w:rPr>
      </w:pPr>
    </w:p>
    <w:p w14:paraId="6F4D8993" w14:textId="77777777" w:rsidR="00E46A8C" w:rsidRDefault="00E46A8C" w:rsidP="00E46A8C">
      <w:pPr>
        <w:spacing w:after="0" w:line="360" w:lineRule="auto"/>
        <w:jc w:val="both"/>
        <w:rPr>
          <w:rFonts w:ascii="Arial" w:hAnsi="Arial" w:cs="Arial"/>
          <w:b/>
          <w:sz w:val="24"/>
          <w:szCs w:val="24"/>
          <w:u w:val="single"/>
        </w:rPr>
      </w:pPr>
      <w:r>
        <w:rPr>
          <w:rFonts w:ascii="Arial" w:hAnsi="Arial" w:cs="Arial"/>
          <w:sz w:val="24"/>
          <w:szCs w:val="24"/>
        </w:rPr>
        <w:tab/>
      </w:r>
      <w:r>
        <w:rPr>
          <w:rFonts w:ascii="Arial" w:hAnsi="Arial" w:cs="Arial"/>
          <w:b/>
          <w:sz w:val="24"/>
          <w:szCs w:val="24"/>
        </w:rPr>
        <w:t xml:space="preserve">8.4. Archivo. </w:t>
      </w:r>
      <w:r>
        <w:rPr>
          <w:rFonts w:ascii="Arial" w:hAnsi="Arial" w:cs="Arial"/>
          <w:sz w:val="24"/>
          <w:szCs w:val="24"/>
        </w:rPr>
        <w:t xml:space="preserve">Una vez que el presente asunto cause estado, con fundamento en los artículos 2 fracción XII y 9 de los Lineamientos para la Gestión de Archivos Administrativos y Resguardo de la Información Pública del Estado de San Luis Potosí, emitidos por esta Comisión, </w:t>
      </w:r>
      <w:r>
        <w:rPr>
          <w:rFonts w:ascii="Arial" w:hAnsi="Arial" w:cs="Arial"/>
          <w:b/>
          <w:sz w:val="24"/>
          <w:szCs w:val="24"/>
          <w:u w:val="single"/>
        </w:rPr>
        <w:t>remítase el presente asunto al Archivo de Concentración de este Órgano Garante, como asunto concluido.</w:t>
      </w:r>
    </w:p>
    <w:p w14:paraId="0CA3C125" w14:textId="77777777" w:rsidR="00E46A8C" w:rsidRDefault="00E46A8C" w:rsidP="00E46A8C">
      <w:pPr>
        <w:rPr>
          <w:sz w:val="24"/>
          <w:szCs w:val="24"/>
        </w:rPr>
      </w:pPr>
    </w:p>
    <w:p w14:paraId="01355BEC" w14:textId="77777777" w:rsidR="00E46A8C" w:rsidRDefault="00E46A8C" w:rsidP="00E46A8C">
      <w:pPr>
        <w:spacing w:after="0" w:line="360" w:lineRule="auto"/>
        <w:rPr>
          <w:rFonts w:ascii="Arial" w:hAnsi="Arial" w:cs="Arial"/>
          <w:sz w:val="24"/>
          <w:szCs w:val="24"/>
        </w:rPr>
      </w:pPr>
      <w:r>
        <w:rPr>
          <w:rFonts w:ascii="Arial" w:hAnsi="Arial" w:cs="Arial"/>
          <w:sz w:val="24"/>
          <w:szCs w:val="24"/>
        </w:rPr>
        <w:tab/>
        <w:t xml:space="preserve">Por lo anteriormente expuesto y fundado, este Pleno: </w:t>
      </w:r>
    </w:p>
    <w:p w14:paraId="7714180A" w14:textId="77777777" w:rsidR="00E46A8C" w:rsidRDefault="00E46A8C" w:rsidP="00E46A8C">
      <w:pPr>
        <w:autoSpaceDE w:val="0"/>
        <w:autoSpaceDN w:val="0"/>
        <w:adjustRightInd w:val="0"/>
        <w:spacing w:after="0" w:line="360" w:lineRule="auto"/>
        <w:ind w:firstLine="709"/>
        <w:jc w:val="both"/>
        <w:rPr>
          <w:rFonts w:ascii="Arial" w:hAnsi="Arial" w:cs="Arial"/>
          <w:sz w:val="24"/>
          <w:szCs w:val="24"/>
        </w:rPr>
      </w:pPr>
    </w:p>
    <w:p w14:paraId="58EB3763" w14:textId="77777777" w:rsidR="00E46A8C" w:rsidRDefault="00E46A8C" w:rsidP="00E46A8C">
      <w:pPr>
        <w:autoSpaceDE w:val="0"/>
        <w:autoSpaceDN w:val="0"/>
        <w:adjustRightInd w:val="0"/>
        <w:spacing w:after="0" w:line="360" w:lineRule="auto"/>
        <w:ind w:firstLine="709"/>
        <w:jc w:val="center"/>
        <w:rPr>
          <w:rFonts w:ascii="Arial" w:hAnsi="Arial" w:cs="Arial"/>
          <w:b/>
          <w:sz w:val="24"/>
          <w:szCs w:val="24"/>
        </w:rPr>
      </w:pPr>
      <w:r>
        <w:rPr>
          <w:rFonts w:ascii="Arial" w:hAnsi="Arial" w:cs="Arial"/>
          <w:b/>
          <w:sz w:val="24"/>
          <w:szCs w:val="24"/>
        </w:rPr>
        <w:t>RESUELVE:</w:t>
      </w:r>
    </w:p>
    <w:p w14:paraId="52B8AACE" w14:textId="77777777" w:rsidR="00E46A8C" w:rsidRDefault="00E46A8C" w:rsidP="00E46A8C">
      <w:pPr>
        <w:autoSpaceDE w:val="0"/>
        <w:autoSpaceDN w:val="0"/>
        <w:adjustRightInd w:val="0"/>
        <w:spacing w:after="0" w:line="360" w:lineRule="auto"/>
        <w:ind w:firstLine="709"/>
        <w:jc w:val="center"/>
        <w:rPr>
          <w:rFonts w:ascii="Arial" w:hAnsi="Arial" w:cs="Arial"/>
          <w:b/>
          <w:sz w:val="24"/>
          <w:szCs w:val="24"/>
        </w:rPr>
      </w:pPr>
    </w:p>
    <w:p w14:paraId="117D7283" w14:textId="77777777" w:rsidR="00E46A8C" w:rsidRDefault="00E46A8C" w:rsidP="00E46A8C">
      <w:pPr>
        <w:autoSpaceDE w:val="0"/>
        <w:autoSpaceDN w:val="0"/>
        <w:adjustRightInd w:val="0"/>
        <w:spacing w:after="0" w:line="360" w:lineRule="auto"/>
        <w:ind w:firstLine="709"/>
        <w:jc w:val="both"/>
        <w:rPr>
          <w:rFonts w:ascii="Arial" w:hAnsi="Arial" w:cs="Arial"/>
          <w:b/>
          <w:sz w:val="24"/>
          <w:szCs w:val="24"/>
        </w:rPr>
      </w:pPr>
      <w:r>
        <w:rPr>
          <w:rFonts w:ascii="Arial" w:hAnsi="Arial" w:cs="Arial"/>
          <w:b/>
          <w:sz w:val="24"/>
          <w:szCs w:val="24"/>
        </w:rPr>
        <w:t xml:space="preserve">ÚNICO. </w:t>
      </w:r>
      <w:r>
        <w:rPr>
          <w:rFonts w:ascii="Arial" w:hAnsi="Arial" w:cs="Arial"/>
          <w:sz w:val="24"/>
          <w:szCs w:val="24"/>
        </w:rPr>
        <w:t xml:space="preserve">Es </w:t>
      </w:r>
      <w:r>
        <w:rPr>
          <w:rFonts w:ascii="Arial" w:hAnsi="Arial" w:cs="Arial"/>
          <w:b/>
          <w:sz w:val="24"/>
          <w:szCs w:val="24"/>
        </w:rPr>
        <w:t>INFUNDADO</w:t>
      </w:r>
      <w:r>
        <w:rPr>
          <w:rFonts w:ascii="Arial" w:hAnsi="Arial" w:cs="Arial"/>
          <w:sz w:val="24"/>
          <w:szCs w:val="24"/>
        </w:rPr>
        <w:t xml:space="preserve"> el motivo de inconformidad hecho valer por la parte Recurrente, por ende, en términos de los argumentos señalados en el considerando </w:t>
      </w:r>
      <w:r>
        <w:rPr>
          <w:rFonts w:ascii="Arial" w:hAnsi="Arial" w:cs="Arial"/>
          <w:b/>
          <w:sz w:val="24"/>
          <w:szCs w:val="24"/>
        </w:rPr>
        <w:t>SÉPTIMO</w:t>
      </w:r>
      <w:r>
        <w:rPr>
          <w:rFonts w:ascii="Arial" w:hAnsi="Arial" w:cs="Arial"/>
          <w:sz w:val="24"/>
          <w:szCs w:val="24"/>
        </w:rPr>
        <w:t xml:space="preserve"> de la presente resolución, se </w:t>
      </w:r>
      <w:r>
        <w:rPr>
          <w:rFonts w:ascii="Arial" w:hAnsi="Arial" w:cs="Arial"/>
          <w:b/>
          <w:sz w:val="24"/>
          <w:szCs w:val="24"/>
        </w:rPr>
        <w:t>CONFIRMA</w:t>
      </w:r>
      <w:r>
        <w:rPr>
          <w:rFonts w:ascii="Arial" w:hAnsi="Arial" w:cs="Arial"/>
          <w:sz w:val="24"/>
          <w:szCs w:val="24"/>
        </w:rPr>
        <w:t xml:space="preserve"> la respuesta del Sujeto Obligado.</w:t>
      </w:r>
    </w:p>
    <w:p w14:paraId="149EBE9E" w14:textId="77777777" w:rsidR="00E46A8C" w:rsidRDefault="00E46A8C" w:rsidP="00E46A8C">
      <w:pPr>
        <w:autoSpaceDE w:val="0"/>
        <w:autoSpaceDN w:val="0"/>
        <w:adjustRightInd w:val="0"/>
        <w:spacing w:after="0" w:line="360" w:lineRule="auto"/>
        <w:ind w:firstLine="709"/>
        <w:jc w:val="both"/>
        <w:rPr>
          <w:rFonts w:ascii="Arial" w:hAnsi="Arial" w:cs="Arial"/>
          <w:b/>
          <w:sz w:val="24"/>
          <w:szCs w:val="24"/>
        </w:rPr>
      </w:pPr>
    </w:p>
    <w:p w14:paraId="290381A0" w14:textId="77777777" w:rsidR="00E46A8C" w:rsidRDefault="00E46A8C" w:rsidP="00E46A8C">
      <w:pPr>
        <w:autoSpaceDE w:val="0"/>
        <w:autoSpaceDN w:val="0"/>
        <w:adjustRightInd w:val="0"/>
        <w:spacing w:after="0" w:line="360" w:lineRule="auto"/>
        <w:ind w:firstLine="709"/>
        <w:jc w:val="both"/>
        <w:rPr>
          <w:rFonts w:ascii="Arial" w:hAnsi="Arial" w:cs="Arial"/>
          <w:sz w:val="24"/>
          <w:szCs w:val="24"/>
        </w:rPr>
      </w:pPr>
      <w:r>
        <w:rPr>
          <w:rFonts w:ascii="Arial" w:hAnsi="Arial" w:cs="Arial"/>
          <w:b/>
          <w:bCs/>
          <w:sz w:val="24"/>
          <w:szCs w:val="24"/>
        </w:rPr>
        <w:lastRenderedPageBreak/>
        <w:t>Notifíquese</w:t>
      </w:r>
      <w:r>
        <w:rPr>
          <w:rFonts w:ascii="Arial" w:hAnsi="Arial" w:cs="Arial"/>
          <w:sz w:val="24"/>
          <w:szCs w:val="24"/>
        </w:rPr>
        <w:t>; por oficio al Sujeto Obligado y, al recurrente por el medio que designó.</w:t>
      </w:r>
    </w:p>
    <w:p w14:paraId="0690A2E2" w14:textId="77777777" w:rsidR="00E46A8C" w:rsidRDefault="00E46A8C" w:rsidP="00E46A8C">
      <w:pPr>
        <w:spacing w:after="0" w:line="360" w:lineRule="auto"/>
        <w:ind w:firstLine="709"/>
        <w:jc w:val="both"/>
        <w:rPr>
          <w:rFonts w:ascii="Arial" w:eastAsia="Arial Unicode MS" w:hAnsi="Arial" w:cs="Arial"/>
          <w:sz w:val="24"/>
          <w:szCs w:val="24"/>
          <w:lang w:eastAsia="es-ES"/>
        </w:rPr>
      </w:pPr>
    </w:p>
    <w:p w14:paraId="75C55DB6" w14:textId="0F1AB991" w:rsidR="00E46A8C" w:rsidRDefault="00E46A8C" w:rsidP="00E46A8C">
      <w:pPr>
        <w:spacing w:after="0" w:line="360" w:lineRule="auto"/>
        <w:jc w:val="both"/>
        <w:rPr>
          <w:rFonts w:ascii="Arial" w:hAnsi="Arial" w:cs="Arial"/>
          <w:i/>
          <w:sz w:val="24"/>
        </w:rPr>
      </w:pPr>
      <w:r>
        <w:rPr>
          <w:rFonts w:ascii="Arial" w:hAnsi="Arial" w:cs="Arial"/>
          <w:sz w:val="24"/>
          <w:szCs w:val="24"/>
        </w:rPr>
        <w:tab/>
      </w:r>
      <w:r>
        <w:rPr>
          <w:rFonts w:ascii="Arial" w:hAnsi="Arial" w:cs="Arial"/>
          <w:sz w:val="24"/>
        </w:rPr>
        <w:t>Así lo resuelve, por mayoría de votos, el Pleno de la Comisión Estatal de Garantía de Acceso a la Información Pública, conformado por los Comisionados José Gerardo Navarro Alviso y Ana Cristina García Nales, siendo ponente la última de los nombrados, en la Sesión Ordinaria celebrada el 08 ocho de septiembre de 2026 dos mil veintiséis, ante la Secretaria de Pleno, Rosa María Motilla Gar</w:t>
      </w:r>
      <w:r w:rsidR="00741BA3">
        <w:rPr>
          <w:rFonts w:ascii="Arial" w:hAnsi="Arial" w:cs="Arial"/>
          <w:sz w:val="24"/>
        </w:rPr>
        <w:t xml:space="preserve">cía, quién da fé. </w:t>
      </w:r>
      <w:r w:rsidR="00741BA3">
        <w:rPr>
          <w:rFonts w:ascii="Arial" w:hAnsi="Arial" w:cs="Arial"/>
          <w:i/>
          <w:sz w:val="24"/>
        </w:rPr>
        <w:t>(Rúbricas).</w:t>
      </w:r>
    </w:p>
    <w:p w14:paraId="7037479B" w14:textId="21F2DBA2" w:rsidR="00741BA3" w:rsidRDefault="00741BA3" w:rsidP="00741BA3">
      <w:pPr>
        <w:spacing w:after="0" w:line="360" w:lineRule="auto"/>
        <w:jc w:val="both"/>
        <w:rPr>
          <w:rFonts w:ascii="Arial" w:hAnsi="Arial" w:cs="Arial"/>
          <w:sz w:val="18"/>
          <w:szCs w:val="18"/>
        </w:rPr>
      </w:pPr>
      <w:r>
        <w:rPr>
          <w:rFonts w:ascii="Arial" w:hAnsi="Arial" w:cs="Arial"/>
          <w:sz w:val="18"/>
          <w:szCs w:val="18"/>
        </w:rPr>
        <w:t>ADRIANA BERENICE CAPETILLO REYES, PROYECTISTA ADSCRITA A LA PONENCIA TRES DE LA COMISIÓN ESTATAL DE GARANTÍA DE ACCESO A LA INFORMACIÓN PÚBLICA DE SAN LUIS POTOSI - - - - - - - - - - - - - - - - - - - - - - - - - - - - - C E R T I F I C A - - - - - - - - - - -  - - - - - - - - - - - - - - - - - - - - - - - - QUE LA PRESE</w:t>
      </w:r>
      <w:r>
        <w:rPr>
          <w:rFonts w:ascii="Arial" w:hAnsi="Arial" w:cs="Arial"/>
          <w:sz w:val="18"/>
          <w:szCs w:val="18"/>
        </w:rPr>
        <w:t>NTE IMPRESIÓN QUE CONSTA DE CINCO</w:t>
      </w:r>
      <w:r>
        <w:rPr>
          <w:rFonts w:ascii="Arial" w:hAnsi="Arial" w:cs="Arial"/>
          <w:sz w:val="18"/>
          <w:szCs w:val="18"/>
        </w:rPr>
        <w:t xml:space="preserve"> FOJAS ÚTILES POR ANVERSO Y REVERSO, LAS CUALES SON COPIA FIEL EN CONTENIDO, DE LA RESOLUCIÓN EMITIDA EN SESIÓN ORDINARIA DE PLENO DE LA COMISIÓN ESTATAL DE GARANTÍA DE ACCESO A LA INFORMACIÓN PÚBLICA, CELEBRADA EL 08 OCHO</w:t>
      </w:r>
      <w:bookmarkStart w:id="3" w:name="_GoBack"/>
      <w:bookmarkEnd w:id="3"/>
      <w:r>
        <w:rPr>
          <w:rFonts w:ascii="Arial" w:hAnsi="Arial" w:cs="Arial"/>
          <w:sz w:val="18"/>
          <w:szCs w:val="18"/>
        </w:rPr>
        <w:t xml:space="preserve"> DE SEPTIEMBRE DE 2026 DOS MIL VEINTISÉIS; POR LA CUAL SE </w:t>
      </w:r>
      <w:r>
        <w:rPr>
          <w:rFonts w:ascii="Arial" w:hAnsi="Arial" w:cs="Arial"/>
          <w:sz w:val="18"/>
          <w:szCs w:val="18"/>
        </w:rPr>
        <w:t>CONFIRMA</w:t>
      </w:r>
      <w:r>
        <w:rPr>
          <w:rFonts w:ascii="Arial" w:hAnsi="Arial" w:cs="Arial"/>
          <w:sz w:val="18"/>
          <w:szCs w:val="18"/>
        </w:rPr>
        <w:t xml:space="preserve"> EL ACTO IMPUGNADO, DENTRO DE LOS AUTOS RELATIVOS AL R</w:t>
      </w:r>
      <w:r>
        <w:rPr>
          <w:rFonts w:ascii="Arial" w:hAnsi="Arial" w:cs="Arial"/>
          <w:sz w:val="18"/>
          <w:szCs w:val="18"/>
        </w:rPr>
        <w:t>ECURSO DE REVISIÓN NÚMERO RR-584</w:t>
      </w:r>
      <w:r>
        <w:rPr>
          <w:rFonts w:ascii="Arial" w:hAnsi="Arial" w:cs="Arial"/>
          <w:sz w:val="18"/>
          <w:szCs w:val="18"/>
        </w:rPr>
        <w:t xml:space="preserve">/2026-3; LO ANTERIOR, CON FUNDAMENTO EN LO DISPUESTO POR EL 51 FRACCIÓN XIII, DEL REGLAMENTO INTERIOR DE LA COMISIÓN ESTATAL DE GARANTÍA DE ACCESO A LA INFORMACIÓN PÚBLICA DE SAN LUIS POTOSÍ, EN LA CIUDAD DE SAN LUIS POTOSÍ, S.L.P., 08 OCHO DE SEPTIEMBRE DE 2026 DOS MIL VEINTISÉIS. </w:t>
      </w:r>
      <w:r>
        <w:rPr>
          <w:rFonts w:ascii="Arial" w:hAnsi="Arial" w:cs="Arial"/>
          <w:i/>
          <w:sz w:val="18"/>
          <w:szCs w:val="18"/>
        </w:rPr>
        <w:t>Conste.</w:t>
      </w:r>
    </w:p>
    <w:bookmarkEnd w:id="0"/>
    <w:bookmarkEnd w:id="1"/>
    <w:p w14:paraId="7735A0F7" w14:textId="50EA86A9" w:rsidR="00741BA3" w:rsidRDefault="00741BA3" w:rsidP="00E46A8C">
      <w:pPr>
        <w:spacing w:after="0" w:line="360" w:lineRule="auto"/>
        <w:jc w:val="both"/>
        <w:rPr>
          <w:rFonts w:ascii="Arial" w:hAnsi="Arial" w:cs="Arial"/>
          <w:i/>
          <w:sz w:val="24"/>
        </w:rPr>
      </w:pPr>
    </w:p>
    <w:sectPr w:rsidR="00741BA3" w:rsidSect="00F25EED">
      <w:headerReference w:type="default" r:id="rId8"/>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1F7F9" w14:textId="77777777" w:rsidR="00175434" w:rsidRDefault="00175434" w:rsidP="00BB58C4">
      <w:pPr>
        <w:spacing w:after="0" w:line="240" w:lineRule="auto"/>
      </w:pPr>
      <w:r>
        <w:separator/>
      </w:r>
    </w:p>
  </w:endnote>
  <w:endnote w:type="continuationSeparator" w:id="0">
    <w:p w14:paraId="45590B11" w14:textId="77777777" w:rsidR="00175434" w:rsidRDefault="00175434"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981DF" w14:textId="77777777" w:rsidR="00175434" w:rsidRDefault="00175434" w:rsidP="00BB58C4">
      <w:pPr>
        <w:spacing w:after="0" w:line="240" w:lineRule="auto"/>
      </w:pPr>
      <w:r>
        <w:separator/>
      </w:r>
    </w:p>
  </w:footnote>
  <w:footnote w:type="continuationSeparator" w:id="0">
    <w:p w14:paraId="03EFDF52" w14:textId="77777777" w:rsidR="00175434" w:rsidRDefault="00175434" w:rsidP="00BB58C4">
      <w:pPr>
        <w:spacing w:after="0" w:line="240" w:lineRule="auto"/>
      </w:pPr>
      <w:r>
        <w:continuationSeparator/>
      </w:r>
    </w:p>
  </w:footnote>
  <w:footnote w:id="1">
    <w:p w14:paraId="0DCEB1AE" w14:textId="77777777" w:rsidR="00E94A44" w:rsidRPr="007A18D6" w:rsidRDefault="00E94A44" w:rsidP="00FA5019">
      <w:pPr>
        <w:jc w:val="both"/>
        <w:rPr>
          <w:rFonts w:ascii="Arial" w:hAnsi="Arial" w:cs="Arial"/>
          <w:sz w:val="16"/>
          <w:szCs w:val="16"/>
        </w:rPr>
      </w:pPr>
      <w:r w:rsidRPr="007A18D6">
        <w:rPr>
          <w:rStyle w:val="Refdenotaalpie"/>
          <w:rFonts w:ascii="Arial" w:hAnsi="Arial" w:cs="Arial"/>
          <w:sz w:val="16"/>
          <w:szCs w:val="16"/>
        </w:rPr>
        <w:footnoteRef/>
      </w:r>
      <w:r w:rsidRPr="007A18D6">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 </w:t>
      </w:r>
    </w:p>
  </w:footnote>
  <w:footnote w:id="2">
    <w:p w14:paraId="4D83296A" w14:textId="77777777" w:rsidR="00E94A44" w:rsidRPr="007A18D6" w:rsidRDefault="00E94A44" w:rsidP="00FA5019">
      <w:pPr>
        <w:spacing w:after="0" w:line="240" w:lineRule="auto"/>
        <w:jc w:val="both"/>
        <w:rPr>
          <w:rFonts w:ascii="Arial" w:eastAsia="Arial Unicode MS" w:hAnsi="Arial" w:cs="Arial"/>
          <w:bCs/>
          <w:sz w:val="16"/>
          <w:szCs w:val="16"/>
          <w:lang w:eastAsia="es-ES"/>
        </w:rPr>
      </w:pPr>
      <w:r w:rsidRPr="007A18D6">
        <w:rPr>
          <w:rStyle w:val="Refdenotaalpie"/>
          <w:rFonts w:ascii="Arial" w:hAnsi="Arial" w:cs="Arial"/>
          <w:sz w:val="16"/>
          <w:szCs w:val="16"/>
        </w:rPr>
        <w:footnoteRef/>
      </w:r>
      <w:r w:rsidRPr="007A18D6">
        <w:rPr>
          <w:rFonts w:ascii="Arial" w:hAnsi="Arial" w:cs="Arial"/>
          <w:sz w:val="16"/>
          <w:szCs w:val="16"/>
        </w:rPr>
        <w:t xml:space="preserve"> </w:t>
      </w:r>
      <w:r w:rsidRPr="007A18D6">
        <w:rPr>
          <w:rFonts w:ascii="Arial" w:eastAsia="Arial Unicode MS" w:hAnsi="Arial" w:cs="Arial"/>
          <w:bCs/>
          <w:sz w:val="16"/>
          <w:szCs w:val="16"/>
          <w:lang w:eastAsia="es-ES"/>
        </w:rPr>
        <w:t xml:space="preserve">El Diccionario Jurídico Mexicano del Instituto de Investigaciones Jurídicas, Editorial Porrúa, Octava Edición, México 1995, página 2637, en relación con el sobreseimiento señala: </w:t>
      </w:r>
      <w:r w:rsidRPr="007A18D6">
        <w:rPr>
          <w:rFonts w:ascii="Arial" w:eastAsia="Arial Unicode MS" w:hAnsi="Arial" w:cs="Arial"/>
          <w:bCs/>
          <w:i/>
          <w:iCs/>
          <w:sz w:val="16"/>
          <w:szCs w:val="16"/>
          <w:lang w:eastAsia="es-ES"/>
        </w:rPr>
        <w:t>"Sobreseimiento. I. (Del latín supercedere; cesar, desistir)</w:t>
      </w:r>
      <w:r w:rsidRPr="007A18D6">
        <w:rPr>
          <w:rFonts w:ascii="Arial" w:eastAsia="Arial Unicode MS" w:hAnsi="Arial" w:cs="Arial"/>
          <w:bCs/>
          <w:sz w:val="16"/>
          <w:szCs w:val="16"/>
          <w:lang w:eastAsia="es-ES"/>
        </w:rPr>
        <w:t>. Es la resolución judicial por la cual se declara que existe un obstáculo jurídico o de hecho que impide la decisión sobre el fondo de la controversia".</w:t>
      </w:r>
    </w:p>
  </w:footnote>
  <w:footnote w:id="3">
    <w:p w14:paraId="37F33A77" w14:textId="77777777" w:rsidR="00E94A44" w:rsidRDefault="00E94A44" w:rsidP="00E94A44">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ARTÍCULO 4°. El derecho humano de acceso a la información comprende solicitar, investigar, difundir, buscar y recibir información.</w:t>
      </w:r>
    </w:p>
  </w:footnote>
  <w:footnote w:id="4">
    <w:p w14:paraId="0916A93F" w14:textId="77777777" w:rsidR="00E94A44" w:rsidRDefault="00E94A44" w:rsidP="00E94A44">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ARTÍCULO 18. Los sujetos obligados deberán documentar todo acto que derive del ejercicio de sus facultades, competencias o funciones.</w:t>
      </w:r>
    </w:p>
  </w:footnote>
  <w:footnote w:id="5">
    <w:p w14:paraId="45678A56" w14:textId="77777777" w:rsidR="00E94A44" w:rsidRDefault="00E94A44" w:rsidP="00E94A44">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w:t>
      </w:r>
    </w:p>
  </w:footnote>
  <w:footnote w:id="6">
    <w:p w14:paraId="3032E4C7" w14:textId="77777777" w:rsidR="00E94A44" w:rsidRDefault="00E94A44" w:rsidP="00E94A44">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7">
    <w:p w14:paraId="2B7F7079" w14:textId="77777777" w:rsidR="00E94A44" w:rsidRDefault="00E94A44" w:rsidP="00E94A44">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ARTÍCULO 158.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Si los sujetos obligados son competentes para atender parcialmente la solicitud de acceso a la información, deberá dar respuesta respecto de dicha parte. Respecto de la información sobre la cual es incompetente se procederá conforme lo señala el párrafo anterior.</w:t>
      </w:r>
    </w:p>
  </w:footnote>
  <w:footnote w:id="8">
    <w:p w14:paraId="6347543E" w14:textId="77777777" w:rsidR="00E46A8C" w:rsidRDefault="00E46A8C" w:rsidP="00E46A8C">
      <w:pPr>
        <w:pStyle w:val="Textonotapie"/>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bCs/>
          <w:sz w:val="16"/>
          <w:szCs w:val="16"/>
        </w:rPr>
        <w:t xml:space="preserve">LEY GENERAL </w:t>
      </w:r>
      <w:r>
        <w:rPr>
          <w:rFonts w:ascii="Arial" w:hAnsi="Arial" w:cs="Arial"/>
          <w:sz w:val="16"/>
          <w:szCs w:val="16"/>
        </w:rPr>
        <w:t xml:space="preserve">DE TRANSPARENCIA Y ACCESO A LA INFORMACIÓN PÚBLICA, </w:t>
      </w:r>
      <w:r>
        <w:rPr>
          <w:rFonts w:ascii="Arial" w:hAnsi="Arial" w:cs="Arial"/>
          <w:bCs/>
          <w:sz w:val="16"/>
          <w:szCs w:val="16"/>
        </w:rPr>
        <w:t xml:space="preserve">Comentada, </w:t>
      </w:r>
      <w:r>
        <w:rPr>
          <w:rFonts w:ascii="Arial" w:hAnsi="Arial" w:cs="Arial"/>
          <w:sz w:val="16"/>
          <w:szCs w:val="16"/>
        </w:rPr>
        <w:t>Jorge Islas López, Instituto Nacional De Transparencia, Acceso A La Información Y Protección De Datos Personales, Primera Edición, Noviembre De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6E81746B" w:rsidR="00E94A44" w:rsidRDefault="00E94A44">
    <w:pPr>
      <w:pStyle w:val="Encabezado"/>
      <w:jc w:val="center"/>
    </w:pPr>
    <w:r>
      <w:rPr>
        <w:noProof/>
        <w:lang w:eastAsia="es-MX"/>
      </w:rPr>
      <w:drawing>
        <wp:anchor distT="0" distB="0" distL="114300" distR="114300" simplePos="0" relativeHeight="251659264" behindDoc="1" locked="0" layoutInCell="1" allowOverlap="1" wp14:anchorId="03EFB77B" wp14:editId="58CF992C">
          <wp:simplePos x="0" y="0"/>
          <wp:positionH relativeFrom="page">
            <wp:posOffset>20955</wp:posOffset>
          </wp:positionH>
          <wp:positionV relativeFrom="paragraph">
            <wp:posOffset>-526415</wp:posOffset>
          </wp:positionV>
          <wp:extent cx="8182335" cy="12877800"/>
          <wp:effectExtent l="0" t="0" r="9525"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r>
          <w:fldChar w:fldCharType="begin"/>
        </w:r>
        <w:r>
          <w:instrText>PAGE   \* MERGEFORMAT</w:instrText>
        </w:r>
        <w:r>
          <w:fldChar w:fldCharType="separate"/>
        </w:r>
        <w:r w:rsidR="00741BA3">
          <w:rPr>
            <w:noProof/>
          </w:rPr>
          <w:t>19</w:t>
        </w:r>
        <w:r>
          <w:fldChar w:fldCharType="end"/>
        </w:r>
      </w:sdtContent>
    </w:sdt>
  </w:p>
  <w:p w14:paraId="73B62FEB" w14:textId="18370400" w:rsidR="00E94A44" w:rsidRDefault="00E94A44">
    <w:pPr>
      <w:pStyle w:val="Encabezado"/>
      <w:jc w:val="center"/>
    </w:pPr>
  </w:p>
  <w:p w14:paraId="11A12D19" w14:textId="2D6FFD7A" w:rsidR="00E94A44" w:rsidRDefault="00E94A44">
    <w:pPr>
      <w:pStyle w:val="Encabezado"/>
      <w:jc w:val="center"/>
    </w:pPr>
  </w:p>
  <w:p w14:paraId="3C5C0923" w14:textId="7B0FF51F" w:rsidR="00E94A44" w:rsidRDefault="00E94A44">
    <w:pPr>
      <w:pStyle w:val="Encabezado"/>
      <w:jc w:val="center"/>
    </w:pPr>
  </w:p>
  <w:p w14:paraId="167ADC62" w14:textId="77777777" w:rsidR="00E94A44" w:rsidRDefault="00E94A44" w:rsidP="00E25AE4">
    <w:pPr>
      <w:pStyle w:val="Encabezado"/>
      <w:tabs>
        <w:tab w:val="left" w:pos="5954"/>
      </w:tabs>
      <w:jc w:val="right"/>
      <w:rPr>
        <w:sz w:val="20"/>
        <w:szCs w:val="20"/>
      </w:rPr>
    </w:pPr>
  </w:p>
  <w:p w14:paraId="2E3B98D4" w14:textId="77777777" w:rsidR="00E94A44" w:rsidRDefault="00E94A44">
    <w:pPr>
      <w:pStyle w:val="Encabezado"/>
      <w:jc w:val="center"/>
    </w:pPr>
  </w:p>
  <w:p w14:paraId="4E5FFEF8" w14:textId="46E567DF" w:rsidR="00E94A44" w:rsidRDefault="00E94A4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233D6"/>
    <w:multiLevelType w:val="hybridMultilevel"/>
    <w:tmpl w:val="BB345306"/>
    <w:lvl w:ilvl="0" w:tplc="521C4FEC">
      <w:start w:val="1"/>
      <w:numFmt w:val="lowerLetter"/>
      <w:lvlText w:val="%1)"/>
      <w:lvlJc w:val="left"/>
      <w:pPr>
        <w:ind w:left="1494" w:hanging="360"/>
      </w:pPr>
      <w:rPr>
        <w:rFonts w:hint="default"/>
      </w:rPr>
    </w:lvl>
    <w:lvl w:ilvl="1" w:tplc="080A000B">
      <w:start w:val="1"/>
      <w:numFmt w:val="bullet"/>
      <w:lvlText w:val=""/>
      <w:lvlJc w:val="left"/>
      <w:pPr>
        <w:ind w:left="2214" w:hanging="360"/>
      </w:pPr>
      <w:rPr>
        <w:rFonts w:ascii="Wingdings" w:hAnsi="Wingdings" w:hint="default"/>
      </w:r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271A4604"/>
    <w:multiLevelType w:val="hybridMultilevel"/>
    <w:tmpl w:val="AFB41D68"/>
    <w:lvl w:ilvl="0" w:tplc="40F2F88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15:restartNumberingAfterBreak="0">
    <w:nsid w:val="4A7647FB"/>
    <w:multiLevelType w:val="hybridMultilevel"/>
    <w:tmpl w:val="DC6EE6E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 w15:restartNumberingAfterBreak="0">
    <w:nsid w:val="5B5A50E7"/>
    <w:multiLevelType w:val="hybridMultilevel"/>
    <w:tmpl w:val="D248BB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F27307F"/>
    <w:multiLevelType w:val="hybridMultilevel"/>
    <w:tmpl w:val="737CF25A"/>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15:restartNumberingAfterBreak="0">
    <w:nsid w:val="74842C6F"/>
    <w:multiLevelType w:val="hybridMultilevel"/>
    <w:tmpl w:val="B06A414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num w:numId="1">
    <w:abstractNumId w:val="5"/>
  </w:num>
  <w:num w:numId="2">
    <w:abstractNumId w:val="1"/>
  </w:num>
  <w:num w:numId="3">
    <w:abstractNumId w:val="3"/>
  </w:num>
  <w:num w:numId="4">
    <w:abstractNumId w:val="0"/>
  </w:num>
  <w:num w:numId="5">
    <w:abstractNumId w:val="2"/>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26CB"/>
    <w:rsid w:val="00006E2A"/>
    <w:rsid w:val="000105B5"/>
    <w:rsid w:val="00010D66"/>
    <w:rsid w:val="000124BC"/>
    <w:rsid w:val="00016245"/>
    <w:rsid w:val="00017BD8"/>
    <w:rsid w:val="00025290"/>
    <w:rsid w:val="00027381"/>
    <w:rsid w:val="000301FF"/>
    <w:rsid w:val="00031333"/>
    <w:rsid w:val="000336AF"/>
    <w:rsid w:val="000344D7"/>
    <w:rsid w:val="00035D9B"/>
    <w:rsid w:val="00035E7E"/>
    <w:rsid w:val="00037320"/>
    <w:rsid w:val="00040FD8"/>
    <w:rsid w:val="00042328"/>
    <w:rsid w:val="00043C35"/>
    <w:rsid w:val="00046E7E"/>
    <w:rsid w:val="00053526"/>
    <w:rsid w:val="000538E6"/>
    <w:rsid w:val="000571B3"/>
    <w:rsid w:val="000655EE"/>
    <w:rsid w:val="000677D9"/>
    <w:rsid w:val="00070AC0"/>
    <w:rsid w:val="000726B3"/>
    <w:rsid w:val="00072F3D"/>
    <w:rsid w:val="00073158"/>
    <w:rsid w:val="0007486E"/>
    <w:rsid w:val="00077AAF"/>
    <w:rsid w:val="000809BC"/>
    <w:rsid w:val="0008377E"/>
    <w:rsid w:val="00084EFD"/>
    <w:rsid w:val="00087DF6"/>
    <w:rsid w:val="00090994"/>
    <w:rsid w:val="0009731F"/>
    <w:rsid w:val="000A1D2F"/>
    <w:rsid w:val="000A264B"/>
    <w:rsid w:val="000A7739"/>
    <w:rsid w:val="000B47F3"/>
    <w:rsid w:val="000B6AD7"/>
    <w:rsid w:val="000C198E"/>
    <w:rsid w:val="000C36C0"/>
    <w:rsid w:val="000C3D5B"/>
    <w:rsid w:val="000C786C"/>
    <w:rsid w:val="000D4FD1"/>
    <w:rsid w:val="000D6D87"/>
    <w:rsid w:val="000E016B"/>
    <w:rsid w:val="000E2DF5"/>
    <w:rsid w:val="000E34A3"/>
    <w:rsid w:val="000E40C4"/>
    <w:rsid w:val="000E6056"/>
    <w:rsid w:val="000E6F0C"/>
    <w:rsid w:val="000F1090"/>
    <w:rsid w:val="000F2744"/>
    <w:rsid w:val="000F3069"/>
    <w:rsid w:val="000F38EE"/>
    <w:rsid w:val="000F3F91"/>
    <w:rsid w:val="000F7309"/>
    <w:rsid w:val="0010128F"/>
    <w:rsid w:val="00102018"/>
    <w:rsid w:val="0010230D"/>
    <w:rsid w:val="00103099"/>
    <w:rsid w:val="0010669C"/>
    <w:rsid w:val="00113311"/>
    <w:rsid w:val="00116052"/>
    <w:rsid w:val="00116558"/>
    <w:rsid w:val="00117D8F"/>
    <w:rsid w:val="00120E40"/>
    <w:rsid w:val="001223E7"/>
    <w:rsid w:val="00123D10"/>
    <w:rsid w:val="001300D8"/>
    <w:rsid w:val="00130183"/>
    <w:rsid w:val="00131B97"/>
    <w:rsid w:val="001324A5"/>
    <w:rsid w:val="00132635"/>
    <w:rsid w:val="0013403E"/>
    <w:rsid w:val="00136AF9"/>
    <w:rsid w:val="00137098"/>
    <w:rsid w:val="0013733B"/>
    <w:rsid w:val="00142DE9"/>
    <w:rsid w:val="00144720"/>
    <w:rsid w:val="00146A2F"/>
    <w:rsid w:val="0015065F"/>
    <w:rsid w:val="001515C7"/>
    <w:rsid w:val="00151DB1"/>
    <w:rsid w:val="001527F4"/>
    <w:rsid w:val="001538C2"/>
    <w:rsid w:val="00154235"/>
    <w:rsid w:val="001545B5"/>
    <w:rsid w:val="001556D1"/>
    <w:rsid w:val="0015714F"/>
    <w:rsid w:val="00163669"/>
    <w:rsid w:val="001653FC"/>
    <w:rsid w:val="001656DD"/>
    <w:rsid w:val="00167759"/>
    <w:rsid w:val="001727BD"/>
    <w:rsid w:val="001729CA"/>
    <w:rsid w:val="00175434"/>
    <w:rsid w:val="00177240"/>
    <w:rsid w:val="00177C7B"/>
    <w:rsid w:val="00180183"/>
    <w:rsid w:val="00185BD2"/>
    <w:rsid w:val="00194ABA"/>
    <w:rsid w:val="00197707"/>
    <w:rsid w:val="001A4540"/>
    <w:rsid w:val="001B063A"/>
    <w:rsid w:val="001B1295"/>
    <w:rsid w:val="001B1BF6"/>
    <w:rsid w:val="001B27D5"/>
    <w:rsid w:val="001C055B"/>
    <w:rsid w:val="001C2C4E"/>
    <w:rsid w:val="001C4908"/>
    <w:rsid w:val="001C7DCD"/>
    <w:rsid w:val="001D72F3"/>
    <w:rsid w:val="001D7A79"/>
    <w:rsid w:val="001D7B5F"/>
    <w:rsid w:val="001E43FD"/>
    <w:rsid w:val="001E5ECD"/>
    <w:rsid w:val="001E6781"/>
    <w:rsid w:val="001E68C6"/>
    <w:rsid w:val="001F0211"/>
    <w:rsid w:val="001F257A"/>
    <w:rsid w:val="001F2A31"/>
    <w:rsid w:val="001F3F21"/>
    <w:rsid w:val="001F4BD0"/>
    <w:rsid w:val="001F56EE"/>
    <w:rsid w:val="002020A1"/>
    <w:rsid w:val="00202ADF"/>
    <w:rsid w:val="00203923"/>
    <w:rsid w:val="002042AA"/>
    <w:rsid w:val="002047AC"/>
    <w:rsid w:val="00204E4D"/>
    <w:rsid w:val="00206731"/>
    <w:rsid w:val="00211156"/>
    <w:rsid w:val="00212545"/>
    <w:rsid w:val="00216656"/>
    <w:rsid w:val="00217BB5"/>
    <w:rsid w:val="00217EF2"/>
    <w:rsid w:val="00220D5B"/>
    <w:rsid w:val="002231F8"/>
    <w:rsid w:val="00225E5A"/>
    <w:rsid w:val="00226920"/>
    <w:rsid w:val="00226D01"/>
    <w:rsid w:val="002270DD"/>
    <w:rsid w:val="00230FDA"/>
    <w:rsid w:val="0023277F"/>
    <w:rsid w:val="00233756"/>
    <w:rsid w:val="00240A2D"/>
    <w:rsid w:val="002410CE"/>
    <w:rsid w:val="002433CA"/>
    <w:rsid w:val="0025007D"/>
    <w:rsid w:val="00250696"/>
    <w:rsid w:val="00252377"/>
    <w:rsid w:val="00254470"/>
    <w:rsid w:val="00257EF4"/>
    <w:rsid w:val="0026070F"/>
    <w:rsid w:val="00260AA1"/>
    <w:rsid w:val="00262115"/>
    <w:rsid w:val="0026510F"/>
    <w:rsid w:val="00266708"/>
    <w:rsid w:val="00267DA5"/>
    <w:rsid w:val="00267E5B"/>
    <w:rsid w:val="0027021F"/>
    <w:rsid w:val="0028125F"/>
    <w:rsid w:val="002818ED"/>
    <w:rsid w:val="00282125"/>
    <w:rsid w:val="00283772"/>
    <w:rsid w:val="002840C0"/>
    <w:rsid w:val="00286345"/>
    <w:rsid w:val="002903C0"/>
    <w:rsid w:val="00292C7D"/>
    <w:rsid w:val="002969BA"/>
    <w:rsid w:val="00296D60"/>
    <w:rsid w:val="002976DB"/>
    <w:rsid w:val="002A1989"/>
    <w:rsid w:val="002A4FB3"/>
    <w:rsid w:val="002A620F"/>
    <w:rsid w:val="002A64CA"/>
    <w:rsid w:val="002A6D06"/>
    <w:rsid w:val="002B1396"/>
    <w:rsid w:val="002B5A9F"/>
    <w:rsid w:val="002B6DF6"/>
    <w:rsid w:val="002C0E23"/>
    <w:rsid w:val="002C2E4E"/>
    <w:rsid w:val="002C72AE"/>
    <w:rsid w:val="002D790F"/>
    <w:rsid w:val="002E0CAE"/>
    <w:rsid w:val="002E463A"/>
    <w:rsid w:val="002E59EC"/>
    <w:rsid w:val="002F00EE"/>
    <w:rsid w:val="003002FF"/>
    <w:rsid w:val="0030142D"/>
    <w:rsid w:val="0031250F"/>
    <w:rsid w:val="0031482E"/>
    <w:rsid w:val="00315962"/>
    <w:rsid w:val="003177A7"/>
    <w:rsid w:val="003258AD"/>
    <w:rsid w:val="0033042C"/>
    <w:rsid w:val="0033349C"/>
    <w:rsid w:val="00334132"/>
    <w:rsid w:val="00337919"/>
    <w:rsid w:val="003424A4"/>
    <w:rsid w:val="00342730"/>
    <w:rsid w:val="00350E0B"/>
    <w:rsid w:val="00351C82"/>
    <w:rsid w:val="0035474C"/>
    <w:rsid w:val="00355714"/>
    <w:rsid w:val="003624C0"/>
    <w:rsid w:val="00363337"/>
    <w:rsid w:val="00364609"/>
    <w:rsid w:val="003659A3"/>
    <w:rsid w:val="00366D05"/>
    <w:rsid w:val="00372B1B"/>
    <w:rsid w:val="00372F75"/>
    <w:rsid w:val="00373E6F"/>
    <w:rsid w:val="00376A0E"/>
    <w:rsid w:val="00380565"/>
    <w:rsid w:val="0038759F"/>
    <w:rsid w:val="003878E6"/>
    <w:rsid w:val="00397C34"/>
    <w:rsid w:val="003A0202"/>
    <w:rsid w:val="003A5D68"/>
    <w:rsid w:val="003A69A3"/>
    <w:rsid w:val="003A751F"/>
    <w:rsid w:val="003A7898"/>
    <w:rsid w:val="003B3FED"/>
    <w:rsid w:val="003B5957"/>
    <w:rsid w:val="003C0806"/>
    <w:rsid w:val="003C0AF6"/>
    <w:rsid w:val="003C1533"/>
    <w:rsid w:val="003C3FED"/>
    <w:rsid w:val="003C4D24"/>
    <w:rsid w:val="003D02B7"/>
    <w:rsid w:val="003D22C9"/>
    <w:rsid w:val="003D4630"/>
    <w:rsid w:val="003D723F"/>
    <w:rsid w:val="003D777C"/>
    <w:rsid w:val="003E184E"/>
    <w:rsid w:val="003E1CE4"/>
    <w:rsid w:val="003E38F9"/>
    <w:rsid w:val="003E3A7C"/>
    <w:rsid w:val="003E3E83"/>
    <w:rsid w:val="003E4197"/>
    <w:rsid w:val="003E4F47"/>
    <w:rsid w:val="003E5B72"/>
    <w:rsid w:val="003F12A7"/>
    <w:rsid w:val="003F371B"/>
    <w:rsid w:val="004006AC"/>
    <w:rsid w:val="00404429"/>
    <w:rsid w:val="00407E40"/>
    <w:rsid w:val="00411979"/>
    <w:rsid w:val="00414916"/>
    <w:rsid w:val="004246C0"/>
    <w:rsid w:val="00426412"/>
    <w:rsid w:val="00427129"/>
    <w:rsid w:val="00431F8E"/>
    <w:rsid w:val="00431F90"/>
    <w:rsid w:val="0043351E"/>
    <w:rsid w:val="004413F0"/>
    <w:rsid w:val="00443E18"/>
    <w:rsid w:val="00446628"/>
    <w:rsid w:val="00455FA3"/>
    <w:rsid w:val="004566E9"/>
    <w:rsid w:val="004600CF"/>
    <w:rsid w:val="00460288"/>
    <w:rsid w:val="004629E7"/>
    <w:rsid w:val="00463C97"/>
    <w:rsid w:val="0047142F"/>
    <w:rsid w:val="0047238C"/>
    <w:rsid w:val="00472463"/>
    <w:rsid w:val="004736C0"/>
    <w:rsid w:val="00475298"/>
    <w:rsid w:val="004800A0"/>
    <w:rsid w:val="00480233"/>
    <w:rsid w:val="00480BE0"/>
    <w:rsid w:val="00485272"/>
    <w:rsid w:val="00486866"/>
    <w:rsid w:val="00492953"/>
    <w:rsid w:val="00495229"/>
    <w:rsid w:val="004965FC"/>
    <w:rsid w:val="004A2E68"/>
    <w:rsid w:val="004A7263"/>
    <w:rsid w:val="004B4DD1"/>
    <w:rsid w:val="004C17FF"/>
    <w:rsid w:val="004C3E2D"/>
    <w:rsid w:val="004C70F9"/>
    <w:rsid w:val="004D0694"/>
    <w:rsid w:val="004D2C9A"/>
    <w:rsid w:val="004E2B2F"/>
    <w:rsid w:val="004E2B8F"/>
    <w:rsid w:val="004E37A0"/>
    <w:rsid w:val="004F6EE5"/>
    <w:rsid w:val="0050010E"/>
    <w:rsid w:val="00503156"/>
    <w:rsid w:val="00504AE0"/>
    <w:rsid w:val="00504B28"/>
    <w:rsid w:val="00505F4B"/>
    <w:rsid w:val="00510D26"/>
    <w:rsid w:val="00511ADB"/>
    <w:rsid w:val="005155ED"/>
    <w:rsid w:val="00517022"/>
    <w:rsid w:val="00522594"/>
    <w:rsid w:val="005234AE"/>
    <w:rsid w:val="00523AA1"/>
    <w:rsid w:val="00523BDD"/>
    <w:rsid w:val="00526678"/>
    <w:rsid w:val="00533B9E"/>
    <w:rsid w:val="00534B46"/>
    <w:rsid w:val="0053511D"/>
    <w:rsid w:val="0053744C"/>
    <w:rsid w:val="0054471F"/>
    <w:rsid w:val="00545F96"/>
    <w:rsid w:val="005475F3"/>
    <w:rsid w:val="00547D80"/>
    <w:rsid w:val="00552FC8"/>
    <w:rsid w:val="00564B53"/>
    <w:rsid w:val="00566190"/>
    <w:rsid w:val="00573797"/>
    <w:rsid w:val="0058178A"/>
    <w:rsid w:val="00582F0A"/>
    <w:rsid w:val="00583179"/>
    <w:rsid w:val="00586028"/>
    <w:rsid w:val="00592770"/>
    <w:rsid w:val="0059752F"/>
    <w:rsid w:val="00597598"/>
    <w:rsid w:val="005A42FC"/>
    <w:rsid w:val="005C7441"/>
    <w:rsid w:val="005D0AE8"/>
    <w:rsid w:val="005D1245"/>
    <w:rsid w:val="005D3D3E"/>
    <w:rsid w:val="005D62D1"/>
    <w:rsid w:val="005E35EB"/>
    <w:rsid w:val="005E68AB"/>
    <w:rsid w:val="005F11A3"/>
    <w:rsid w:val="005F2E5B"/>
    <w:rsid w:val="005F4721"/>
    <w:rsid w:val="005F4C19"/>
    <w:rsid w:val="005F50EE"/>
    <w:rsid w:val="005F65C1"/>
    <w:rsid w:val="006002F6"/>
    <w:rsid w:val="00600B83"/>
    <w:rsid w:val="0060122A"/>
    <w:rsid w:val="0060272A"/>
    <w:rsid w:val="00602E0A"/>
    <w:rsid w:val="0060729C"/>
    <w:rsid w:val="00612F87"/>
    <w:rsid w:val="00613F4D"/>
    <w:rsid w:val="00615B5E"/>
    <w:rsid w:val="00621CB8"/>
    <w:rsid w:val="00622512"/>
    <w:rsid w:val="00624B15"/>
    <w:rsid w:val="006250BF"/>
    <w:rsid w:val="006262D8"/>
    <w:rsid w:val="006272E4"/>
    <w:rsid w:val="00627823"/>
    <w:rsid w:val="00631115"/>
    <w:rsid w:val="00631C3C"/>
    <w:rsid w:val="0063300E"/>
    <w:rsid w:val="00643C55"/>
    <w:rsid w:val="00646191"/>
    <w:rsid w:val="006506E4"/>
    <w:rsid w:val="00652872"/>
    <w:rsid w:val="00654DB9"/>
    <w:rsid w:val="00656423"/>
    <w:rsid w:val="00656495"/>
    <w:rsid w:val="006568D7"/>
    <w:rsid w:val="00657800"/>
    <w:rsid w:val="00664695"/>
    <w:rsid w:val="00664E03"/>
    <w:rsid w:val="00667350"/>
    <w:rsid w:val="00674D40"/>
    <w:rsid w:val="006772DF"/>
    <w:rsid w:val="00680439"/>
    <w:rsid w:val="00685483"/>
    <w:rsid w:val="00687DE0"/>
    <w:rsid w:val="00692242"/>
    <w:rsid w:val="006938ED"/>
    <w:rsid w:val="006A0C3F"/>
    <w:rsid w:val="006A2E9D"/>
    <w:rsid w:val="006A5FC8"/>
    <w:rsid w:val="006B1BE3"/>
    <w:rsid w:val="006B5235"/>
    <w:rsid w:val="006C3288"/>
    <w:rsid w:val="006C3BD5"/>
    <w:rsid w:val="006C3F7A"/>
    <w:rsid w:val="006D04A1"/>
    <w:rsid w:val="006D0A2F"/>
    <w:rsid w:val="006D108C"/>
    <w:rsid w:val="006D3B1C"/>
    <w:rsid w:val="006D4351"/>
    <w:rsid w:val="006D4436"/>
    <w:rsid w:val="006D5F42"/>
    <w:rsid w:val="006D6953"/>
    <w:rsid w:val="006D7F4D"/>
    <w:rsid w:val="006E3DCA"/>
    <w:rsid w:val="006E4B3A"/>
    <w:rsid w:val="006E5101"/>
    <w:rsid w:val="006E58BB"/>
    <w:rsid w:val="006F66FC"/>
    <w:rsid w:val="006F70A4"/>
    <w:rsid w:val="0070456E"/>
    <w:rsid w:val="007048C8"/>
    <w:rsid w:val="007072EE"/>
    <w:rsid w:val="00710A16"/>
    <w:rsid w:val="007111A0"/>
    <w:rsid w:val="007144E3"/>
    <w:rsid w:val="00714BE5"/>
    <w:rsid w:val="0071639F"/>
    <w:rsid w:val="0072093A"/>
    <w:rsid w:val="00720F5B"/>
    <w:rsid w:val="00721350"/>
    <w:rsid w:val="00721565"/>
    <w:rsid w:val="00727643"/>
    <w:rsid w:val="00735406"/>
    <w:rsid w:val="0074000D"/>
    <w:rsid w:val="007404B0"/>
    <w:rsid w:val="00741B77"/>
    <w:rsid w:val="00741BA3"/>
    <w:rsid w:val="00741C15"/>
    <w:rsid w:val="0074223C"/>
    <w:rsid w:val="0074393C"/>
    <w:rsid w:val="0074480B"/>
    <w:rsid w:val="00745A63"/>
    <w:rsid w:val="00746F0C"/>
    <w:rsid w:val="00751A2B"/>
    <w:rsid w:val="00761056"/>
    <w:rsid w:val="00767258"/>
    <w:rsid w:val="00771268"/>
    <w:rsid w:val="00773A23"/>
    <w:rsid w:val="00776105"/>
    <w:rsid w:val="007824BC"/>
    <w:rsid w:val="00785FA6"/>
    <w:rsid w:val="007901A2"/>
    <w:rsid w:val="007902E0"/>
    <w:rsid w:val="0079131A"/>
    <w:rsid w:val="00793EC5"/>
    <w:rsid w:val="00795313"/>
    <w:rsid w:val="007953BC"/>
    <w:rsid w:val="00797E8E"/>
    <w:rsid w:val="007A00FF"/>
    <w:rsid w:val="007A0851"/>
    <w:rsid w:val="007A18D6"/>
    <w:rsid w:val="007A1D5F"/>
    <w:rsid w:val="007A3DFF"/>
    <w:rsid w:val="007B1A9B"/>
    <w:rsid w:val="007B1C17"/>
    <w:rsid w:val="007B42FD"/>
    <w:rsid w:val="007B43B8"/>
    <w:rsid w:val="007C0712"/>
    <w:rsid w:val="007C161A"/>
    <w:rsid w:val="007C6199"/>
    <w:rsid w:val="007C65B4"/>
    <w:rsid w:val="007D0819"/>
    <w:rsid w:val="007D15CB"/>
    <w:rsid w:val="007D39E8"/>
    <w:rsid w:val="007D6C37"/>
    <w:rsid w:val="007D759F"/>
    <w:rsid w:val="007E145D"/>
    <w:rsid w:val="007E5D2A"/>
    <w:rsid w:val="007E7010"/>
    <w:rsid w:val="007F11CA"/>
    <w:rsid w:val="007F44CA"/>
    <w:rsid w:val="00800DEA"/>
    <w:rsid w:val="0080586F"/>
    <w:rsid w:val="00807CD1"/>
    <w:rsid w:val="0081028A"/>
    <w:rsid w:val="00820BA6"/>
    <w:rsid w:val="00821AFA"/>
    <w:rsid w:val="008256D8"/>
    <w:rsid w:val="00831013"/>
    <w:rsid w:val="00843E8B"/>
    <w:rsid w:val="008444D4"/>
    <w:rsid w:val="008509D1"/>
    <w:rsid w:val="008516EC"/>
    <w:rsid w:val="00853B00"/>
    <w:rsid w:val="00857A08"/>
    <w:rsid w:val="00860069"/>
    <w:rsid w:val="00861372"/>
    <w:rsid w:val="008636AE"/>
    <w:rsid w:val="00864397"/>
    <w:rsid w:val="008652D2"/>
    <w:rsid w:val="008659B3"/>
    <w:rsid w:val="00866359"/>
    <w:rsid w:val="00867FF4"/>
    <w:rsid w:val="008716A7"/>
    <w:rsid w:val="00872F9F"/>
    <w:rsid w:val="0088237E"/>
    <w:rsid w:val="00884105"/>
    <w:rsid w:val="008871B5"/>
    <w:rsid w:val="00890178"/>
    <w:rsid w:val="00893A6B"/>
    <w:rsid w:val="0089640A"/>
    <w:rsid w:val="008A172E"/>
    <w:rsid w:val="008A2984"/>
    <w:rsid w:val="008A484F"/>
    <w:rsid w:val="008A50B0"/>
    <w:rsid w:val="008A7C1B"/>
    <w:rsid w:val="008B0CD9"/>
    <w:rsid w:val="008B13B7"/>
    <w:rsid w:val="008B432F"/>
    <w:rsid w:val="008B4F50"/>
    <w:rsid w:val="008B5AC0"/>
    <w:rsid w:val="008B6E0E"/>
    <w:rsid w:val="008C5D30"/>
    <w:rsid w:val="008D142C"/>
    <w:rsid w:val="008D329D"/>
    <w:rsid w:val="008D69FD"/>
    <w:rsid w:val="008D6B24"/>
    <w:rsid w:val="008E3926"/>
    <w:rsid w:val="008E4105"/>
    <w:rsid w:val="008E4215"/>
    <w:rsid w:val="008E7E4C"/>
    <w:rsid w:val="008F0B57"/>
    <w:rsid w:val="008F189E"/>
    <w:rsid w:val="008F277C"/>
    <w:rsid w:val="008F48A9"/>
    <w:rsid w:val="008F56B8"/>
    <w:rsid w:val="00904021"/>
    <w:rsid w:val="0090625B"/>
    <w:rsid w:val="00910225"/>
    <w:rsid w:val="00911049"/>
    <w:rsid w:val="009126CA"/>
    <w:rsid w:val="009132DC"/>
    <w:rsid w:val="009145B0"/>
    <w:rsid w:val="00914CC1"/>
    <w:rsid w:val="00917490"/>
    <w:rsid w:val="00921825"/>
    <w:rsid w:val="00922E1A"/>
    <w:rsid w:val="00927A9E"/>
    <w:rsid w:val="0093057A"/>
    <w:rsid w:val="00932B52"/>
    <w:rsid w:val="00933F44"/>
    <w:rsid w:val="00934D45"/>
    <w:rsid w:val="0094274E"/>
    <w:rsid w:val="009439B3"/>
    <w:rsid w:val="00947841"/>
    <w:rsid w:val="00947B46"/>
    <w:rsid w:val="009519C2"/>
    <w:rsid w:val="00961BEA"/>
    <w:rsid w:val="00962316"/>
    <w:rsid w:val="009627BC"/>
    <w:rsid w:val="00963B0B"/>
    <w:rsid w:val="00972359"/>
    <w:rsid w:val="00980E19"/>
    <w:rsid w:val="00984130"/>
    <w:rsid w:val="00984ED1"/>
    <w:rsid w:val="00993A23"/>
    <w:rsid w:val="00995AA0"/>
    <w:rsid w:val="00997453"/>
    <w:rsid w:val="00997D9B"/>
    <w:rsid w:val="009A07B7"/>
    <w:rsid w:val="009A23FF"/>
    <w:rsid w:val="009A266D"/>
    <w:rsid w:val="009A4001"/>
    <w:rsid w:val="009A44D7"/>
    <w:rsid w:val="009A6A1A"/>
    <w:rsid w:val="009B1A81"/>
    <w:rsid w:val="009B4AFE"/>
    <w:rsid w:val="009B6897"/>
    <w:rsid w:val="009B7559"/>
    <w:rsid w:val="009C41D1"/>
    <w:rsid w:val="009D18E4"/>
    <w:rsid w:val="009D29C4"/>
    <w:rsid w:val="009D5E48"/>
    <w:rsid w:val="009D772A"/>
    <w:rsid w:val="009E0446"/>
    <w:rsid w:val="009E09E8"/>
    <w:rsid w:val="009E0BA7"/>
    <w:rsid w:val="009E0C00"/>
    <w:rsid w:val="009E11EC"/>
    <w:rsid w:val="009E2B97"/>
    <w:rsid w:val="009E63D5"/>
    <w:rsid w:val="009F1E9E"/>
    <w:rsid w:val="009F46E5"/>
    <w:rsid w:val="009F49AF"/>
    <w:rsid w:val="009F6B4D"/>
    <w:rsid w:val="00A0577F"/>
    <w:rsid w:val="00A0642B"/>
    <w:rsid w:val="00A1443B"/>
    <w:rsid w:val="00A153CB"/>
    <w:rsid w:val="00A15869"/>
    <w:rsid w:val="00A16DFB"/>
    <w:rsid w:val="00A234B9"/>
    <w:rsid w:val="00A24E66"/>
    <w:rsid w:val="00A30399"/>
    <w:rsid w:val="00A351D3"/>
    <w:rsid w:val="00A42363"/>
    <w:rsid w:val="00A46234"/>
    <w:rsid w:val="00A512AC"/>
    <w:rsid w:val="00A55918"/>
    <w:rsid w:val="00A56E15"/>
    <w:rsid w:val="00A609C8"/>
    <w:rsid w:val="00A658DC"/>
    <w:rsid w:val="00A67ACC"/>
    <w:rsid w:val="00A72695"/>
    <w:rsid w:val="00A7581B"/>
    <w:rsid w:val="00A80D96"/>
    <w:rsid w:val="00A81098"/>
    <w:rsid w:val="00A81866"/>
    <w:rsid w:val="00A86040"/>
    <w:rsid w:val="00A86EAF"/>
    <w:rsid w:val="00A91AC3"/>
    <w:rsid w:val="00AA2412"/>
    <w:rsid w:val="00AB18DC"/>
    <w:rsid w:val="00AB3CED"/>
    <w:rsid w:val="00AB4516"/>
    <w:rsid w:val="00AC0390"/>
    <w:rsid w:val="00AC129A"/>
    <w:rsid w:val="00AC335F"/>
    <w:rsid w:val="00AC48FA"/>
    <w:rsid w:val="00AD0240"/>
    <w:rsid w:val="00AD25A6"/>
    <w:rsid w:val="00AD3385"/>
    <w:rsid w:val="00AD52A2"/>
    <w:rsid w:val="00AE0D52"/>
    <w:rsid w:val="00AE17AD"/>
    <w:rsid w:val="00AE24B6"/>
    <w:rsid w:val="00AE452E"/>
    <w:rsid w:val="00AE6680"/>
    <w:rsid w:val="00AE6EA3"/>
    <w:rsid w:val="00AE6EED"/>
    <w:rsid w:val="00AE7345"/>
    <w:rsid w:val="00AE7B3C"/>
    <w:rsid w:val="00AF1783"/>
    <w:rsid w:val="00AF1E38"/>
    <w:rsid w:val="00AF29F8"/>
    <w:rsid w:val="00AF5841"/>
    <w:rsid w:val="00B0272F"/>
    <w:rsid w:val="00B05D90"/>
    <w:rsid w:val="00B0679B"/>
    <w:rsid w:val="00B13CA3"/>
    <w:rsid w:val="00B224C2"/>
    <w:rsid w:val="00B238D1"/>
    <w:rsid w:val="00B26846"/>
    <w:rsid w:val="00B2726D"/>
    <w:rsid w:val="00B332B8"/>
    <w:rsid w:val="00B35C7D"/>
    <w:rsid w:val="00B367EE"/>
    <w:rsid w:val="00B4223C"/>
    <w:rsid w:val="00B43012"/>
    <w:rsid w:val="00B444DD"/>
    <w:rsid w:val="00B6163E"/>
    <w:rsid w:val="00B61E78"/>
    <w:rsid w:val="00B63221"/>
    <w:rsid w:val="00B66AEF"/>
    <w:rsid w:val="00B66CD3"/>
    <w:rsid w:val="00B705C8"/>
    <w:rsid w:val="00B7234C"/>
    <w:rsid w:val="00B72448"/>
    <w:rsid w:val="00B72B31"/>
    <w:rsid w:val="00B734D7"/>
    <w:rsid w:val="00B74607"/>
    <w:rsid w:val="00B76AF1"/>
    <w:rsid w:val="00B80685"/>
    <w:rsid w:val="00B80C24"/>
    <w:rsid w:val="00B80D26"/>
    <w:rsid w:val="00B83671"/>
    <w:rsid w:val="00B853A9"/>
    <w:rsid w:val="00B86114"/>
    <w:rsid w:val="00B87D15"/>
    <w:rsid w:val="00B9342C"/>
    <w:rsid w:val="00B934BF"/>
    <w:rsid w:val="00BA12A5"/>
    <w:rsid w:val="00BA7B7E"/>
    <w:rsid w:val="00BB4439"/>
    <w:rsid w:val="00BB4692"/>
    <w:rsid w:val="00BB51BC"/>
    <w:rsid w:val="00BB58C4"/>
    <w:rsid w:val="00BB76BC"/>
    <w:rsid w:val="00BC051E"/>
    <w:rsid w:val="00BC2D4D"/>
    <w:rsid w:val="00BC6DB5"/>
    <w:rsid w:val="00BD0A56"/>
    <w:rsid w:val="00BD1FDC"/>
    <w:rsid w:val="00BD2839"/>
    <w:rsid w:val="00BD2B59"/>
    <w:rsid w:val="00BD412E"/>
    <w:rsid w:val="00BD4586"/>
    <w:rsid w:val="00BE3561"/>
    <w:rsid w:val="00BE57D5"/>
    <w:rsid w:val="00BF0403"/>
    <w:rsid w:val="00BF0F17"/>
    <w:rsid w:val="00BF1BCF"/>
    <w:rsid w:val="00BF2B7E"/>
    <w:rsid w:val="00BF2E83"/>
    <w:rsid w:val="00BF4212"/>
    <w:rsid w:val="00BF5D40"/>
    <w:rsid w:val="00BF76BC"/>
    <w:rsid w:val="00C03649"/>
    <w:rsid w:val="00C03987"/>
    <w:rsid w:val="00C133CA"/>
    <w:rsid w:val="00C13C7C"/>
    <w:rsid w:val="00C1710E"/>
    <w:rsid w:val="00C22141"/>
    <w:rsid w:val="00C22D53"/>
    <w:rsid w:val="00C22E74"/>
    <w:rsid w:val="00C240B8"/>
    <w:rsid w:val="00C27A47"/>
    <w:rsid w:val="00C30B2F"/>
    <w:rsid w:val="00C31133"/>
    <w:rsid w:val="00C338D0"/>
    <w:rsid w:val="00C3560D"/>
    <w:rsid w:val="00C35ADA"/>
    <w:rsid w:val="00C37D11"/>
    <w:rsid w:val="00C43FD1"/>
    <w:rsid w:val="00C46B57"/>
    <w:rsid w:val="00C56811"/>
    <w:rsid w:val="00C6078B"/>
    <w:rsid w:val="00C60C6C"/>
    <w:rsid w:val="00C61723"/>
    <w:rsid w:val="00C62CA9"/>
    <w:rsid w:val="00C62DC3"/>
    <w:rsid w:val="00C66906"/>
    <w:rsid w:val="00C70877"/>
    <w:rsid w:val="00C741DB"/>
    <w:rsid w:val="00C74940"/>
    <w:rsid w:val="00C74D95"/>
    <w:rsid w:val="00C8255A"/>
    <w:rsid w:val="00C862C0"/>
    <w:rsid w:val="00C913A0"/>
    <w:rsid w:val="00C92ADE"/>
    <w:rsid w:val="00C94280"/>
    <w:rsid w:val="00C94B34"/>
    <w:rsid w:val="00C95AB7"/>
    <w:rsid w:val="00C95B29"/>
    <w:rsid w:val="00CA4586"/>
    <w:rsid w:val="00CA6AD2"/>
    <w:rsid w:val="00CB0B39"/>
    <w:rsid w:val="00CB23D1"/>
    <w:rsid w:val="00CB37E1"/>
    <w:rsid w:val="00CC56CD"/>
    <w:rsid w:val="00CC74BD"/>
    <w:rsid w:val="00CD1307"/>
    <w:rsid w:val="00CF01EA"/>
    <w:rsid w:val="00CF14E2"/>
    <w:rsid w:val="00CF15B8"/>
    <w:rsid w:val="00CF1ACC"/>
    <w:rsid w:val="00CF3079"/>
    <w:rsid w:val="00D10700"/>
    <w:rsid w:val="00D11B17"/>
    <w:rsid w:val="00D12106"/>
    <w:rsid w:val="00D12B58"/>
    <w:rsid w:val="00D13CEC"/>
    <w:rsid w:val="00D23541"/>
    <w:rsid w:val="00D23888"/>
    <w:rsid w:val="00D30CCA"/>
    <w:rsid w:val="00D3256E"/>
    <w:rsid w:val="00D32BD5"/>
    <w:rsid w:val="00D3311D"/>
    <w:rsid w:val="00D370D5"/>
    <w:rsid w:val="00D400A4"/>
    <w:rsid w:val="00D42945"/>
    <w:rsid w:val="00D439D9"/>
    <w:rsid w:val="00D474F1"/>
    <w:rsid w:val="00D506DD"/>
    <w:rsid w:val="00D52309"/>
    <w:rsid w:val="00D55C75"/>
    <w:rsid w:val="00D64C7E"/>
    <w:rsid w:val="00D64FCC"/>
    <w:rsid w:val="00D65CEF"/>
    <w:rsid w:val="00D67A32"/>
    <w:rsid w:val="00D7055B"/>
    <w:rsid w:val="00D73737"/>
    <w:rsid w:val="00D746C9"/>
    <w:rsid w:val="00D74DC2"/>
    <w:rsid w:val="00D75D83"/>
    <w:rsid w:val="00D77857"/>
    <w:rsid w:val="00D80679"/>
    <w:rsid w:val="00D82007"/>
    <w:rsid w:val="00D830B0"/>
    <w:rsid w:val="00D8333F"/>
    <w:rsid w:val="00D87E97"/>
    <w:rsid w:val="00D90381"/>
    <w:rsid w:val="00D92734"/>
    <w:rsid w:val="00D935FA"/>
    <w:rsid w:val="00D979D7"/>
    <w:rsid w:val="00DB0379"/>
    <w:rsid w:val="00DB19BB"/>
    <w:rsid w:val="00DB3740"/>
    <w:rsid w:val="00DB5F8E"/>
    <w:rsid w:val="00DC0D44"/>
    <w:rsid w:val="00DC1C0A"/>
    <w:rsid w:val="00DC4860"/>
    <w:rsid w:val="00DC5C10"/>
    <w:rsid w:val="00DD07BA"/>
    <w:rsid w:val="00DD226C"/>
    <w:rsid w:val="00DD2BA2"/>
    <w:rsid w:val="00DE370C"/>
    <w:rsid w:val="00DE4F67"/>
    <w:rsid w:val="00DE7713"/>
    <w:rsid w:val="00DF2CC8"/>
    <w:rsid w:val="00DF4D4A"/>
    <w:rsid w:val="00DF5287"/>
    <w:rsid w:val="00DF53A5"/>
    <w:rsid w:val="00E014D4"/>
    <w:rsid w:val="00E067B5"/>
    <w:rsid w:val="00E06C27"/>
    <w:rsid w:val="00E06D1B"/>
    <w:rsid w:val="00E07E62"/>
    <w:rsid w:val="00E118F1"/>
    <w:rsid w:val="00E11E76"/>
    <w:rsid w:val="00E134F5"/>
    <w:rsid w:val="00E15983"/>
    <w:rsid w:val="00E15CA7"/>
    <w:rsid w:val="00E2201B"/>
    <w:rsid w:val="00E25AE4"/>
    <w:rsid w:val="00E264AC"/>
    <w:rsid w:val="00E30026"/>
    <w:rsid w:val="00E31C4D"/>
    <w:rsid w:val="00E320CD"/>
    <w:rsid w:val="00E32947"/>
    <w:rsid w:val="00E33DFE"/>
    <w:rsid w:val="00E342A6"/>
    <w:rsid w:val="00E361CE"/>
    <w:rsid w:val="00E362CD"/>
    <w:rsid w:val="00E4294E"/>
    <w:rsid w:val="00E44932"/>
    <w:rsid w:val="00E46A8C"/>
    <w:rsid w:val="00E4739F"/>
    <w:rsid w:val="00E515A3"/>
    <w:rsid w:val="00E54AE5"/>
    <w:rsid w:val="00E61CD8"/>
    <w:rsid w:val="00E630FC"/>
    <w:rsid w:val="00E63B14"/>
    <w:rsid w:val="00E66ABC"/>
    <w:rsid w:val="00E70C64"/>
    <w:rsid w:val="00E72F41"/>
    <w:rsid w:val="00E73683"/>
    <w:rsid w:val="00E7509F"/>
    <w:rsid w:val="00E835DD"/>
    <w:rsid w:val="00E843F2"/>
    <w:rsid w:val="00E86952"/>
    <w:rsid w:val="00E87B4C"/>
    <w:rsid w:val="00E91E7D"/>
    <w:rsid w:val="00E92722"/>
    <w:rsid w:val="00E92C9A"/>
    <w:rsid w:val="00E94A44"/>
    <w:rsid w:val="00E97FC1"/>
    <w:rsid w:val="00EA43AF"/>
    <w:rsid w:val="00EA6A97"/>
    <w:rsid w:val="00EA6BAA"/>
    <w:rsid w:val="00EA79E2"/>
    <w:rsid w:val="00EB3DFA"/>
    <w:rsid w:val="00EC29C5"/>
    <w:rsid w:val="00EC39F4"/>
    <w:rsid w:val="00EC3EC5"/>
    <w:rsid w:val="00ED099F"/>
    <w:rsid w:val="00ED2CEE"/>
    <w:rsid w:val="00ED3CC4"/>
    <w:rsid w:val="00ED4552"/>
    <w:rsid w:val="00ED6B74"/>
    <w:rsid w:val="00EE1ED0"/>
    <w:rsid w:val="00EE5AAB"/>
    <w:rsid w:val="00EE5ADF"/>
    <w:rsid w:val="00EE70D5"/>
    <w:rsid w:val="00EE7AF6"/>
    <w:rsid w:val="00EF0332"/>
    <w:rsid w:val="00EF0945"/>
    <w:rsid w:val="00EF12FF"/>
    <w:rsid w:val="00EF24FB"/>
    <w:rsid w:val="00EF5104"/>
    <w:rsid w:val="00EF685D"/>
    <w:rsid w:val="00F06187"/>
    <w:rsid w:val="00F062BD"/>
    <w:rsid w:val="00F07E4A"/>
    <w:rsid w:val="00F10AD6"/>
    <w:rsid w:val="00F117E0"/>
    <w:rsid w:val="00F12CE3"/>
    <w:rsid w:val="00F13448"/>
    <w:rsid w:val="00F14F93"/>
    <w:rsid w:val="00F24D61"/>
    <w:rsid w:val="00F25088"/>
    <w:rsid w:val="00F25EED"/>
    <w:rsid w:val="00F268FE"/>
    <w:rsid w:val="00F276AD"/>
    <w:rsid w:val="00F27887"/>
    <w:rsid w:val="00F3006C"/>
    <w:rsid w:val="00F3096A"/>
    <w:rsid w:val="00F35CAB"/>
    <w:rsid w:val="00F43687"/>
    <w:rsid w:val="00F44775"/>
    <w:rsid w:val="00F45B92"/>
    <w:rsid w:val="00F460D8"/>
    <w:rsid w:val="00F466F2"/>
    <w:rsid w:val="00F47B79"/>
    <w:rsid w:val="00F47FC3"/>
    <w:rsid w:val="00F61D24"/>
    <w:rsid w:val="00F725B7"/>
    <w:rsid w:val="00F72AFB"/>
    <w:rsid w:val="00F75BF0"/>
    <w:rsid w:val="00F75FE9"/>
    <w:rsid w:val="00F77BEB"/>
    <w:rsid w:val="00F80F75"/>
    <w:rsid w:val="00F821B0"/>
    <w:rsid w:val="00F83025"/>
    <w:rsid w:val="00F84FA8"/>
    <w:rsid w:val="00F92628"/>
    <w:rsid w:val="00F9430F"/>
    <w:rsid w:val="00F9451E"/>
    <w:rsid w:val="00F94925"/>
    <w:rsid w:val="00FA34E5"/>
    <w:rsid w:val="00FA3B9E"/>
    <w:rsid w:val="00FA3D21"/>
    <w:rsid w:val="00FA5019"/>
    <w:rsid w:val="00FA63F8"/>
    <w:rsid w:val="00FA783E"/>
    <w:rsid w:val="00FA7E83"/>
    <w:rsid w:val="00FB22A7"/>
    <w:rsid w:val="00FB2909"/>
    <w:rsid w:val="00FB2913"/>
    <w:rsid w:val="00FB6615"/>
    <w:rsid w:val="00FC546B"/>
    <w:rsid w:val="00FC671B"/>
    <w:rsid w:val="00FC7411"/>
    <w:rsid w:val="00FD3669"/>
    <w:rsid w:val="00FD4776"/>
    <w:rsid w:val="00FD5162"/>
    <w:rsid w:val="00FD6675"/>
    <w:rsid w:val="00FD67CD"/>
    <w:rsid w:val="00FE2A7F"/>
    <w:rsid w:val="00FE33F8"/>
    <w:rsid w:val="00FE39F3"/>
    <w:rsid w:val="00FE3C7E"/>
    <w:rsid w:val="00FE63C3"/>
    <w:rsid w:val="00FE78E9"/>
    <w:rsid w:val="00FF12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docId w15:val="{2D9AB3DE-A645-4E6E-8AE6-0710331B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57A"/>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table" w:styleId="Tablaconcuadrcula">
    <w:name w:val="Table Grid"/>
    <w:basedOn w:val="Tabla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link w:val="4GChar"/>
    <w:uiPriority w:val="99"/>
    <w:unhideWhenUsed/>
    <w:qFormat/>
    <w:rsid w:val="0093057A"/>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3057A"/>
    <w:rPr>
      <w:rFonts w:eastAsia="Times New Roman" w:cs="Times New Roman"/>
      <w:sz w:val="20"/>
      <w:szCs w:val="20"/>
      <w:lang w:val="es-MX"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93057A"/>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93057A"/>
    <w:rPr>
      <w:lang w:val="es-MX"/>
    </w:rPr>
  </w:style>
  <w:style w:type="character" w:styleId="Hipervnculo">
    <w:name w:val="Hyperlink"/>
    <w:basedOn w:val="Fuentedeprrafopredeter"/>
    <w:uiPriority w:val="99"/>
    <w:unhideWhenUsed/>
    <w:rsid w:val="000124BC"/>
    <w:rPr>
      <w:color w:val="0563C1" w:themeColor="hyperlink"/>
      <w:u w:val="single"/>
    </w:rPr>
  </w:style>
  <w:style w:type="paragraph" w:customStyle="1" w:styleId="xmsonormal">
    <w:name w:val="xmsonormal"/>
    <w:basedOn w:val="Normal"/>
    <w:rsid w:val="00D400A4"/>
    <w:pPr>
      <w:spacing w:before="100" w:beforeAutospacing="1" w:after="100" w:afterAutospacing="1" w:line="240" w:lineRule="auto"/>
    </w:pPr>
    <w:rPr>
      <w:rFonts w:ascii="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AC129A"/>
    <w:pPr>
      <w:spacing w:after="120"/>
    </w:pPr>
  </w:style>
  <w:style w:type="character" w:customStyle="1" w:styleId="TextoindependienteCar">
    <w:name w:val="Texto independiente Car"/>
    <w:basedOn w:val="Fuentedeprrafopredeter"/>
    <w:link w:val="Textoindependiente"/>
    <w:uiPriority w:val="99"/>
    <w:semiHidden/>
    <w:rsid w:val="00AC129A"/>
    <w:rPr>
      <w:lang w:val="es-MX"/>
    </w:rPr>
  </w:style>
  <w:style w:type="paragraph" w:styleId="Textoindependienteprimerasangra">
    <w:name w:val="Body Text First Indent"/>
    <w:basedOn w:val="Textoindependiente"/>
    <w:link w:val="TextoindependienteprimerasangraCar"/>
    <w:rsid w:val="00AC129A"/>
    <w:pPr>
      <w:spacing w:line="360" w:lineRule="auto"/>
      <w:ind w:firstLine="210"/>
      <w:jc w:val="both"/>
    </w:pPr>
    <w:rPr>
      <w:rFonts w:eastAsia="Times New Roman" w:cs="Times New Roman"/>
      <w:sz w:val="26"/>
      <w:szCs w:val="24"/>
      <w:lang w:eastAsia="es-ES"/>
    </w:rPr>
  </w:style>
  <w:style w:type="character" w:customStyle="1" w:styleId="TextoindependienteprimerasangraCar">
    <w:name w:val="Texto independiente primera sangría Car"/>
    <w:basedOn w:val="TextoindependienteCar"/>
    <w:link w:val="Textoindependienteprimerasangra"/>
    <w:rsid w:val="00AC129A"/>
    <w:rPr>
      <w:rFonts w:eastAsia="Times New Roman" w:cs="Times New Roman"/>
      <w:sz w:val="26"/>
      <w:szCs w:val="24"/>
      <w:lang w:val="es-MX" w:eastAsia="es-ES"/>
    </w:rPr>
  </w:style>
  <w:style w:type="paragraph" w:styleId="Textodeglobo">
    <w:name w:val="Balloon Text"/>
    <w:basedOn w:val="Normal"/>
    <w:link w:val="TextodegloboCar"/>
    <w:uiPriority w:val="99"/>
    <w:semiHidden/>
    <w:unhideWhenUsed/>
    <w:rsid w:val="007F44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44CA"/>
    <w:rPr>
      <w:rFonts w:ascii="Segoe UI" w:hAnsi="Segoe UI" w:cs="Segoe UI"/>
      <w:sz w:val="18"/>
      <w:szCs w:val="18"/>
      <w:lang w:val="es-MX"/>
    </w:rPr>
  </w:style>
  <w:style w:type="paragraph" w:styleId="NormalWeb">
    <w:name w:val="Normal (Web)"/>
    <w:basedOn w:val="Normal"/>
    <w:uiPriority w:val="99"/>
    <w:unhideWhenUsed/>
    <w:rsid w:val="00F9451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orte4fondo">
    <w:name w:val="corte4 fondo"/>
    <w:basedOn w:val="Normal"/>
    <w:link w:val="corte4fondoCar1"/>
    <w:qFormat/>
    <w:rsid w:val="00566190"/>
    <w:pPr>
      <w:spacing w:after="0" w:line="360" w:lineRule="auto"/>
      <w:ind w:firstLine="709"/>
      <w:jc w:val="both"/>
    </w:pPr>
    <w:rPr>
      <w:rFonts w:ascii="Arial" w:eastAsia="Times New Roman" w:hAnsi="Arial" w:cs="Times New Roman"/>
      <w:sz w:val="30"/>
      <w:szCs w:val="20"/>
      <w:lang w:val="x-none" w:eastAsia="es-MX"/>
    </w:rPr>
  </w:style>
  <w:style w:type="character" w:customStyle="1" w:styleId="corte4fondoCar1">
    <w:name w:val="corte4 fondo Car1"/>
    <w:link w:val="corte4fondo"/>
    <w:rsid w:val="00566190"/>
    <w:rPr>
      <w:rFonts w:ascii="Arial" w:eastAsia="Times New Roman" w:hAnsi="Arial" w:cs="Times New Roman"/>
      <w:sz w:val="30"/>
      <w:szCs w:val="20"/>
      <w:lang w:val="x-none" w:eastAsia="es-MX"/>
    </w:rPr>
  </w:style>
  <w:style w:type="paragraph" w:customStyle="1" w:styleId="Estilo">
    <w:name w:val="Estilo"/>
    <w:basedOn w:val="Sinespaciado"/>
    <w:link w:val="EstiloCar"/>
    <w:qFormat/>
    <w:rsid w:val="007E7010"/>
    <w:pPr>
      <w:jc w:val="both"/>
    </w:pPr>
    <w:rPr>
      <w:rFonts w:ascii="Arial" w:hAnsi="Arial"/>
      <w:sz w:val="24"/>
    </w:rPr>
  </w:style>
  <w:style w:type="character" w:customStyle="1" w:styleId="EstiloCar">
    <w:name w:val="Estilo Car"/>
    <w:basedOn w:val="Fuentedeprrafopredeter"/>
    <w:link w:val="Estilo"/>
    <w:rsid w:val="007E7010"/>
    <w:rPr>
      <w:rFonts w:ascii="Arial" w:hAnsi="Arial"/>
      <w:sz w:val="24"/>
      <w:lang w:val="es-MX"/>
    </w:rPr>
  </w:style>
  <w:style w:type="paragraph" w:styleId="Sinespaciado">
    <w:name w:val="No Spacing"/>
    <w:uiPriority w:val="1"/>
    <w:qFormat/>
    <w:rsid w:val="007E7010"/>
    <w:pPr>
      <w:spacing w:after="0" w:line="240" w:lineRule="auto"/>
    </w:pPr>
    <w:rPr>
      <w:lang w:val="es-MX"/>
    </w:rPr>
  </w:style>
  <w:style w:type="character" w:customStyle="1" w:styleId="text-justify">
    <w:name w:val="text-justify"/>
    <w:basedOn w:val="Fuentedeprrafopredeter"/>
    <w:rsid w:val="00E134F5"/>
  </w:style>
  <w:style w:type="character" w:customStyle="1" w:styleId="ng-star-inserted">
    <w:name w:val="ng-star-inserted"/>
    <w:basedOn w:val="Fuentedeprrafopredeter"/>
    <w:rsid w:val="00F10AD6"/>
  </w:style>
  <w:style w:type="table" w:styleId="Tabladecuadrcula1clara">
    <w:name w:val="Grid Table 1 Light"/>
    <w:basedOn w:val="Tablanormal"/>
    <w:uiPriority w:val="46"/>
    <w:rsid w:val="006938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nfasis5">
    <w:name w:val="Grid Table 4 Accent 5"/>
    <w:basedOn w:val="Tablanormal"/>
    <w:uiPriority w:val="49"/>
    <w:rsid w:val="006938E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Refdecomentario">
    <w:name w:val="annotation reference"/>
    <w:basedOn w:val="Fuentedeprrafopredeter"/>
    <w:uiPriority w:val="99"/>
    <w:semiHidden/>
    <w:unhideWhenUsed/>
    <w:rsid w:val="001515C7"/>
    <w:rPr>
      <w:sz w:val="16"/>
      <w:szCs w:val="16"/>
    </w:rPr>
  </w:style>
  <w:style w:type="paragraph" w:styleId="Textocomentario">
    <w:name w:val="annotation text"/>
    <w:basedOn w:val="Normal"/>
    <w:link w:val="TextocomentarioCar"/>
    <w:uiPriority w:val="99"/>
    <w:semiHidden/>
    <w:unhideWhenUsed/>
    <w:rsid w:val="001515C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15C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515C7"/>
    <w:rPr>
      <w:b/>
      <w:bCs/>
    </w:rPr>
  </w:style>
  <w:style w:type="character" w:customStyle="1" w:styleId="AsuntodelcomentarioCar">
    <w:name w:val="Asunto del comentario Car"/>
    <w:basedOn w:val="TextocomentarioCar"/>
    <w:link w:val="Asuntodelcomentario"/>
    <w:uiPriority w:val="99"/>
    <w:semiHidden/>
    <w:rsid w:val="001515C7"/>
    <w:rPr>
      <w:b/>
      <w:bCs/>
      <w:sz w:val="20"/>
      <w:szCs w:val="20"/>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FA5019"/>
    <w:pPr>
      <w:spacing w:after="0" w:line="240" w:lineRule="auto"/>
      <w:jc w:val="both"/>
    </w:pPr>
    <w:rPr>
      <w:vertAlign w:val="superscript"/>
      <w:lang w:val="es-ES"/>
    </w:rPr>
  </w:style>
  <w:style w:type="table" w:styleId="Tabladecuadrcula4-nfasis3">
    <w:name w:val="Grid Table 4 Accent 3"/>
    <w:basedOn w:val="Tablanormal"/>
    <w:uiPriority w:val="49"/>
    <w:rsid w:val="004246C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
    <w:name w:val="Texto"/>
    <w:basedOn w:val="Normal"/>
    <w:link w:val="TextoCar"/>
    <w:qFormat/>
    <w:rsid w:val="007B43B8"/>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locked/>
    <w:rsid w:val="007B43B8"/>
    <w:rPr>
      <w:rFonts w:ascii="Arial" w:eastAsia="Times New Roman" w:hAnsi="Arial" w:cs="Arial"/>
      <w:sz w:val="18"/>
      <w:szCs w:val="20"/>
    </w:rPr>
  </w:style>
  <w:style w:type="character" w:styleId="Textoennegrita">
    <w:name w:val="Strong"/>
    <w:basedOn w:val="Fuentedeprrafopredeter"/>
    <w:uiPriority w:val="22"/>
    <w:qFormat/>
    <w:rsid w:val="007B43B8"/>
    <w:rPr>
      <w:b/>
      <w:bCs/>
    </w:rPr>
  </w:style>
  <w:style w:type="paragraph" w:customStyle="1" w:styleId="Default">
    <w:name w:val="Default"/>
    <w:rsid w:val="00142DE9"/>
    <w:pPr>
      <w:autoSpaceDE w:val="0"/>
      <w:autoSpaceDN w:val="0"/>
      <w:adjustRightInd w:val="0"/>
      <w:spacing w:after="0" w:line="240" w:lineRule="auto"/>
    </w:pPr>
    <w:rPr>
      <w:rFonts w:ascii="Arial" w:hAnsi="Arial" w:cs="Arial"/>
      <w:color w:val="000000"/>
      <w:sz w:val="24"/>
      <w:szCs w:val="24"/>
      <w:lang w:val="es-MX"/>
    </w:rPr>
  </w:style>
  <w:style w:type="table" w:styleId="Tablanormal4">
    <w:name w:val="Plain Table 4"/>
    <w:basedOn w:val="Tablanormal"/>
    <w:uiPriority w:val="44"/>
    <w:rsid w:val="003159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B806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52863">
      <w:bodyDiv w:val="1"/>
      <w:marLeft w:val="0"/>
      <w:marRight w:val="0"/>
      <w:marTop w:val="0"/>
      <w:marBottom w:val="0"/>
      <w:divBdr>
        <w:top w:val="none" w:sz="0" w:space="0" w:color="auto"/>
        <w:left w:val="none" w:sz="0" w:space="0" w:color="auto"/>
        <w:bottom w:val="none" w:sz="0" w:space="0" w:color="auto"/>
        <w:right w:val="none" w:sz="0" w:space="0" w:color="auto"/>
      </w:divBdr>
    </w:div>
    <w:div w:id="68890575">
      <w:bodyDiv w:val="1"/>
      <w:marLeft w:val="0"/>
      <w:marRight w:val="0"/>
      <w:marTop w:val="0"/>
      <w:marBottom w:val="0"/>
      <w:divBdr>
        <w:top w:val="none" w:sz="0" w:space="0" w:color="auto"/>
        <w:left w:val="none" w:sz="0" w:space="0" w:color="auto"/>
        <w:bottom w:val="none" w:sz="0" w:space="0" w:color="auto"/>
        <w:right w:val="none" w:sz="0" w:space="0" w:color="auto"/>
      </w:divBdr>
    </w:div>
    <w:div w:id="250630463">
      <w:bodyDiv w:val="1"/>
      <w:marLeft w:val="0"/>
      <w:marRight w:val="0"/>
      <w:marTop w:val="0"/>
      <w:marBottom w:val="0"/>
      <w:divBdr>
        <w:top w:val="none" w:sz="0" w:space="0" w:color="auto"/>
        <w:left w:val="none" w:sz="0" w:space="0" w:color="auto"/>
        <w:bottom w:val="none" w:sz="0" w:space="0" w:color="auto"/>
        <w:right w:val="none" w:sz="0" w:space="0" w:color="auto"/>
      </w:divBdr>
    </w:div>
    <w:div w:id="254635781">
      <w:bodyDiv w:val="1"/>
      <w:marLeft w:val="0"/>
      <w:marRight w:val="0"/>
      <w:marTop w:val="0"/>
      <w:marBottom w:val="0"/>
      <w:divBdr>
        <w:top w:val="none" w:sz="0" w:space="0" w:color="auto"/>
        <w:left w:val="none" w:sz="0" w:space="0" w:color="auto"/>
        <w:bottom w:val="none" w:sz="0" w:space="0" w:color="auto"/>
        <w:right w:val="none" w:sz="0" w:space="0" w:color="auto"/>
      </w:divBdr>
    </w:div>
    <w:div w:id="331955087">
      <w:bodyDiv w:val="1"/>
      <w:marLeft w:val="0"/>
      <w:marRight w:val="0"/>
      <w:marTop w:val="0"/>
      <w:marBottom w:val="0"/>
      <w:divBdr>
        <w:top w:val="none" w:sz="0" w:space="0" w:color="auto"/>
        <w:left w:val="none" w:sz="0" w:space="0" w:color="auto"/>
        <w:bottom w:val="none" w:sz="0" w:space="0" w:color="auto"/>
        <w:right w:val="none" w:sz="0" w:space="0" w:color="auto"/>
      </w:divBdr>
      <w:divsChild>
        <w:div w:id="501549421">
          <w:marLeft w:val="0"/>
          <w:marRight w:val="0"/>
          <w:marTop w:val="0"/>
          <w:marBottom w:val="0"/>
          <w:divBdr>
            <w:top w:val="none" w:sz="0" w:space="0" w:color="auto"/>
            <w:left w:val="none" w:sz="0" w:space="0" w:color="auto"/>
            <w:bottom w:val="none" w:sz="0" w:space="0" w:color="auto"/>
            <w:right w:val="none" w:sz="0" w:space="0" w:color="auto"/>
          </w:divBdr>
          <w:divsChild>
            <w:div w:id="1454786249">
              <w:marLeft w:val="0"/>
              <w:marRight w:val="0"/>
              <w:marTop w:val="0"/>
              <w:marBottom w:val="0"/>
              <w:divBdr>
                <w:top w:val="none" w:sz="0" w:space="0" w:color="auto"/>
                <w:left w:val="none" w:sz="0" w:space="0" w:color="auto"/>
                <w:bottom w:val="none" w:sz="0" w:space="0" w:color="auto"/>
                <w:right w:val="none" w:sz="0" w:space="0" w:color="auto"/>
              </w:divBdr>
            </w:div>
          </w:divsChild>
        </w:div>
        <w:div w:id="977681719">
          <w:marLeft w:val="0"/>
          <w:marRight w:val="0"/>
          <w:marTop w:val="0"/>
          <w:marBottom w:val="0"/>
          <w:divBdr>
            <w:top w:val="none" w:sz="0" w:space="0" w:color="auto"/>
            <w:left w:val="none" w:sz="0" w:space="0" w:color="auto"/>
            <w:bottom w:val="none" w:sz="0" w:space="0" w:color="auto"/>
            <w:right w:val="none" w:sz="0" w:space="0" w:color="auto"/>
          </w:divBdr>
          <w:divsChild>
            <w:div w:id="930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10295">
      <w:bodyDiv w:val="1"/>
      <w:marLeft w:val="0"/>
      <w:marRight w:val="0"/>
      <w:marTop w:val="0"/>
      <w:marBottom w:val="0"/>
      <w:divBdr>
        <w:top w:val="none" w:sz="0" w:space="0" w:color="auto"/>
        <w:left w:val="none" w:sz="0" w:space="0" w:color="auto"/>
        <w:bottom w:val="none" w:sz="0" w:space="0" w:color="auto"/>
        <w:right w:val="none" w:sz="0" w:space="0" w:color="auto"/>
      </w:divBdr>
    </w:div>
    <w:div w:id="437452917">
      <w:bodyDiv w:val="1"/>
      <w:marLeft w:val="0"/>
      <w:marRight w:val="0"/>
      <w:marTop w:val="0"/>
      <w:marBottom w:val="0"/>
      <w:divBdr>
        <w:top w:val="none" w:sz="0" w:space="0" w:color="auto"/>
        <w:left w:val="none" w:sz="0" w:space="0" w:color="auto"/>
        <w:bottom w:val="none" w:sz="0" w:space="0" w:color="auto"/>
        <w:right w:val="none" w:sz="0" w:space="0" w:color="auto"/>
      </w:divBdr>
    </w:div>
    <w:div w:id="464271948">
      <w:bodyDiv w:val="1"/>
      <w:marLeft w:val="0"/>
      <w:marRight w:val="0"/>
      <w:marTop w:val="0"/>
      <w:marBottom w:val="0"/>
      <w:divBdr>
        <w:top w:val="none" w:sz="0" w:space="0" w:color="auto"/>
        <w:left w:val="none" w:sz="0" w:space="0" w:color="auto"/>
        <w:bottom w:val="none" w:sz="0" w:space="0" w:color="auto"/>
        <w:right w:val="none" w:sz="0" w:space="0" w:color="auto"/>
      </w:divBdr>
    </w:div>
    <w:div w:id="471874108">
      <w:bodyDiv w:val="1"/>
      <w:marLeft w:val="0"/>
      <w:marRight w:val="0"/>
      <w:marTop w:val="0"/>
      <w:marBottom w:val="0"/>
      <w:divBdr>
        <w:top w:val="none" w:sz="0" w:space="0" w:color="auto"/>
        <w:left w:val="none" w:sz="0" w:space="0" w:color="auto"/>
        <w:bottom w:val="none" w:sz="0" w:space="0" w:color="auto"/>
        <w:right w:val="none" w:sz="0" w:space="0" w:color="auto"/>
      </w:divBdr>
    </w:div>
    <w:div w:id="473376901">
      <w:bodyDiv w:val="1"/>
      <w:marLeft w:val="0"/>
      <w:marRight w:val="0"/>
      <w:marTop w:val="0"/>
      <w:marBottom w:val="0"/>
      <w:divBdr>
        <w:top w:val="none" w:sz="0" w:space="0" w:color="auto"/>
        <w:left w:val="none" w:sz="0" w:space="0" w:color="auto"/>
        <w:bottom w:val="none" w:sz="0" w:space="0" w:color="auto"/>
        <w:right w:val="none" w:sz="0" w:space="0" w:color="auto"/>
      </w:divBdr>
    </w:div>
    <w:div w:id="586155656">
      <w:bodyDiv w:val="1"/>
      <w:marLeft w:val="0"/>
      <w:marRight w:val="0"/>
      <w:marTop w:val="0"/>
      <w:marBottom w:val="0"/>
      <w:divBdr>
        <w:top w:val="none" w:sz="0" w:space="0" w:color="auto"/>
        <w:left w:val="none" w:sz="0" w:space="0" w:color="auto"/>
        <w:bottom w:val="none" w:sz="0" w:space="0" w:color="auto"/>
        <w:right w:val="none" w:sz="0" w:space="0" w:color="auto"/>
      </w:divBdr>
    </w:div>
    <w:div w:id="680740131">
      <w:bodyDiv w:val="1"/>
      <w:marLeft w:val="0"/>
      <w:marRight w:val="0"/>
      <w:marTop w:val="0"/>
      <w:marBottom w:val="0"/>
      <w:divBdr>
        <w:top w:val="none" w:sz="0" w:space="0" w:color="auto"/>
        <w:left w:val="none" w:sz="0" w:space="0" w:color="auto"/>
        <w:bottom w:val="none" w:sz="0" w:space="0" w:color="auto"/>
        <w:right w:val="none" w:sz="0" w:space="0" w:color="auto"/>
      </w:divBdr>
    </w:div>
    <w:div w:id="726689731">
      <w:bodyDiv w:val="1"/>
      <w:marLeft w:val="0"/>
      <w:marRight w:val="0"/>
      <w:marTop w:val="0"/>
      <w:marBottom w:val="0"/>
      <w:divBdr>
        <w:top w:val="none" w:sz="0" w:space="0" w:color="auto"/>
        <w:left w:val="none" w:sz="0" w:space="0" w:color="auto"/>
        <w:bottom w:val="none" w:sz="0" w:space="0" w:color="auto"/>
        <w:right w:val="none" w:sz="0" w:space="0" w:color="auto"/>
      </w:divBdr>
    </w:div>
    <w:div w:id="786243763">
      <w:bodyDiv w:val="1"/>
      <w:marLeft w:val="0"/>
      <w:marRight w:val="0"/>
      <w:marTop w:val="0"/>
      <w:marBottom w:val="0"/>
      <w:divBdr>
        <w:top w:val="none" w:sz="0" w:space="0" w:color="auto"/>
        <w:left w:val="none" w:sz="0" w:space="0" w:color="auto"/>
        <w:bottom w:val="none" w:sz="0" w:space="0" w:color="auto"/>
        <w:right w:val="none" w:sz="0" w:space="0" w:color="auto"/>
      </w:divBdr>
    </w:div>
    <w:div w:id="843279727">
      <w:bodyDiv w:val="1"/>
      <w:marLeft w:val="0"/>
      <w:marRight w:val="0"/>
      <w:marTop w:val="0"/>
      <w:marBottom w:val="0"/>
      <w:divBdr>
        <w:top w:val="none" w:sz="0" w:space="0" w:color="auto"/>
        <w:left w:val="none" w:sz="0" w:space="0" w:color="auto"/>
        <w:bottom w:val="none" w:sz="0" w:space="0" w:color="auto"/>
        <w:right w:val="none" w:sz="0" w:space="0" w:color="auto"/>
      </w:divBdr>
    </w:div>
    <w:div w:id="852888477">
      <w:bodyDiv w:val="1"/>
      <w:marLeft w:val="0"/>
      <w:marRight w:val="0"/>
      <w:marTop w:val="0"/>
      <w:marBottom w:val="0"/>
      <w:divBdr>
        <w:top w:val="none" w:sz="0" w:space="0" w:color="auto"/>
        <w:left w:val="none" w:sz="0" w:space="0" w:color="auto"/>
        <w:bottom w:val="none" w:sz="0" w:space="0" w:color="auto"/>
        <w:right w:val="none" w:sz="0" w:space="0" w:color="auto"/>
      </w:divBdr>
    </w:div>
    <w:div w:id="864054430">
      <w:bodyDiv w:val="1"/>
      <w:marLeft w:val="0"/>
      <w:marRight w:val="0"/>
      <w:marTop w:val="0"/>
      <w:marBottom w:val="0"/>
      <w:divBdr>
        <w:top w:val="none" w:sz="0" w:space="0" w:color="auto"/>
        <w:left w:val="none" w:sz="0" w:space="0" w:color="auto"/>
        <w:bottom w:val="none" w:sz="0" w:space="0" w:color="auto"/>
        <w:right w:val="none" w:sz="0" w:space="0" w:color="auto"/>
      </w:divBdr>
    </w:div>
    <w:div w:id="1018198031">
      <w:bodyDiv w:val="1"/>
      <w:marLeft w:val="0"/>
      <w:marRight w:val="0"/>
      <w:marTop w:val="0"/>
      <w:marBottom w:val="0"/>
      <w:divBdr>
        <w:top w:val="none" w:sz="0" w:space="0" w:color="auto"/>
        <w:left w:val="none" w:sz="0" w:space="0" w:color="auto"/>
        <w:bottom w:val="none" w:sz="0" w:space="0" w:color="auto"/>
        <w:right w:val="none" w:sz="0" w:space="0" w:color="auto"/>
      </w:divBdr>
    </w:div>
    <w:div w:id="1022560108">
      <w:bodyDiv w:val="1"/>
      <w:marLeft w:val="0"/>
      <w:marRight w:val="0"/>
      <w:marTop w:val="0"/>
      <w:marBottom w:val="0"/>
      <w:divBdr>
        <w:top w:val="none" w:sz="0" w:space="0" w:color="auto"/>
        <w:left w:val="none" w:sz="0" w:space="0" w:color="auto"/>
        <w:bottom w:val="none" w:sz="0" w:space="0" w:color="auto"/>
        <w:right w:val="none" w:sz="0" w:space="0" w:color="auto"/>
      </w:divBdr>
    </w:div>
    <w:div w:id="1064373552">
      <w:bodyDiv w:val="1"/>
      <w:marLeft w:val="0"/>
      <w:marRight w:val="0"/>
      <w:marTop w:val="0"/>
      <w:marBottom w:val="0"/>
      <w:divBdr>
        <w:top w:val="none" w:sz="0" w:space="0" w:color="auto"/>
        <w:left w:val="none" w:sz="0" w:space="0" w:color="auto"/>
        <w:bottom w:val="none" w:sz="0" w:space="0" w:color="auto"/>
        <w:right w:val="none" w:sz="0" w:space="0" w:color="auto"/>
      </w:divBdr>
    </w:div>
    <w:div w:id="1092124201">
      <w:bodyDiv w:val="1"/>
      <w:marLeft w:val="0"/>
      <w:marRight w:val="0"/>
      <w:marTop w:val="0"/>
      <w:marBottom w:val="0"/>
      <w:divBdr>
        <w:top w:val="none" w:sz="0" w:space="0" w:color="auto"/>
        <w:left w:val="none" w:sz="0" w:space="0" w:color="auto"/>
        <w:bottom w:val="none" w:sz="0" w:space="0" w:color="auto"/>
        <w:right w:val="none" w:sz="0" w:space="0" w:color="auto"/>
      </w:divBdr>
    </w:div>
    <w:div w:id="1142455705">
      <w:bodyDiv w:val="1"/>
      <w:marLeft w:val="0"/>
      <w:marRight w:val="0"/>
      <w:marTop w:val="0"/>
      <w:marBottom w:val="0"/>
      <w:divBdr>
        <w:top w:val="none" w:sz="0" w:space="0" w:color="auto"/>
        <w:left w:val="none" w:sz="0" w:space="0" w:color="auto"/>
        <w:bottom w:val="none" w:sz="0" w:space="0" w:color="auto"/>
        <w:right w:val="none" w:sz="0" w:space="0" w:color="auto"/>
      </w:divBdr>
      <w:divsChild>
        <w:div w:id="2043089825">
          <w:marLeft w:val="0"/>
          <w:marRight w:val="0"/>
          <w:marTop w:val="0"/>
          <w:marBottom w:val="101"/>
          <w:divBdr>
            <w:top w:val="none" w:sz="0" w:space="0" w:color="auto"/>
            <w:left w:val="none" w:sz="0" w:space="0" w:color="auto"/>
            <w:bottom w:val="none" w:sz="0" w:space="0" w:color="auto"/>
            <w:right w:val="none" w:sz="0" w:space="0" w:color="auto"/>
          </w:divBdr>
        </w:div>
        <w:div w:id="588151979">
          <w:marLeft w:val="0"/>
          <w:marRight w:val="0"/>
          <w:marTop w:val="0"/>
          <w:marBottom w:val="101"/>
          <w:divBdr>
            <w:top w:val="none" w:sz="0" w:space="0" w:color="auto"/>
            <w:left w:val="none" w:sz="0" w:space="0" w:color="auto"/>
            <w:bottom w:val="none" w:sz="0" w:space="0" w:color="auto"/>
            <w:right w:val="none" w:sz="0" w:space="0" w:color="auto"/>
          </w:divBdr>
        </w:div>
        <w:div w:id="1350252672">
          <w:marLeft w:val="0"/>
          <w:marRight w:val="0"/>
          <w:marTop w:val="0"/>
          <w:marBottom w:val="101"/>
          <w:divBdr>
            <w:top w:val="none" w:sz="0" w:space="0" w:color="auto"/>
            <w:left w:val="none" w:sz="0" w:space="0" w:color="auto"/>
            <w:bottom w:val="none" w:sz="0" w:space="0" w:color="auto"/>
            <w:right w:val="none" w:sz="0" w:space="0" w:color="auto"/>
          </w:divBdr>
        </w:div>
        <w:div w:id="680086474">
          <w:marLeft w:val="0"/>
          <w:marRight w:val="0"/>
          <w:marTop w:val="0"/>
          <w:marBottom w:val="101"/>
          <w:divBdr>
            <w:top w:val="none" w:sz="0" w:space="0" w:color="auto"/>
            <w:left w:val="none" w:sz="0" w:space="0" w:color="auto"/>
            <w:bottom w:val="none" w:sz="0" w:space="0" w:color="auto"/>
            <w:right w:val="none" w:sz="0" w:space="0" w:color="auto"/>
          </w:divBdr>
        </w:div>
        <w:div w:id="639924901">
          <w:marLeft w:val="0"/>
          <w:marRight w:val="0"/>
          <w:marTop w:val="0"/>
          <w:marBottom w:val="101"/>
          <w:divBdr>
            <w:top w:val="none" w:sz="0" w:space="0" w:color="auto"/>
            <w:left w:val="none" w:sz="0" w:space="0" w:color="auto"/>
            <w:bottom w:val="none" w:sz="0" w:space="0" w:color="auto"/>
            <w:right w:val="none" w:sz="0" w:space="0" w:color="auto"/>
          </w:divBdr>
        </w:div>
        <w:div w:id="1266159693">
          <w:marLeft w:val="0"/>
          <w:marRight w:val="0"/>
          <w:marTop w:val="0"/>
          <w:marBottom w:val="101"/>
          <w:divBdr>
            <w:top w:val="none" w:sz="0" w:space="0" w:color="auto"/>
            <w:left w:val="none" w:sz="0" w:space="0" w:color="auto"/>
            <w:bottom w:val="none" w:sz="0" w:space="0" w:color="auto"/>
            <w:right w:val="none" w:sz="0" w:space="0" w:color="auto"/>
          </w:divBdr>
        </w:div>
        <w:div w:id="1484002790">
          <w:marLeft w:val="0"/>
          <w:marRight w:val="0"/>
          <w:marTop w:val="0"/>
          <w:marBottom w:val="101"/>
          <w:divBdr>
            <w:top w:val="none" w:sz="0" w:space="0" w:color="auto"/>
            <w:left w:val="none" w:sz="0" w:space="0" w:color="auto"/>
            <w:bottom w:val="none" w:sz="0" w:space="0" w:color="auto"/>
            <w:right w:val="none" w:sz="0" w:space="0" w:color="auto"/>
          </w:divBdr>
        </w:div>
        <w:div w:id="348485495">
          <w:marLeft w:val="0"/>
          <w:marRight w:val="0"/>
          <w:marTop w:val="0"/>
          <w:marBottom w:val="101"/>
          <w:divBdr>
            <w:top w:val="none" w:sz="0" w:space="0" w:color="auto"/>
            <w:left w:val="none" w:sz="0" w:space="0" w:color="auto"/>
            <w:bottom w:val="none" w:sz="0" w:space="0" w:color="auto"/>
            <w:right w:val="none" w:sz="0" w:space="0" w:color="auto"/>
          </w:divBdr>
        </w:div>
      </w:divsChild>
    </w:div>
    <w:div w:id="1159466538">
      <w:bodyDiv w:val="1"/>
      <w:marLeft w:val="0"/>
      <w:marRight w:val="0"/>
      <w:marTop w:val="0"/>
      <w:marBottom w:val="0"/>
      <w:divBdr>
        <w:top w:val="none" w:sz="0" w:space="0" w:color="auto"/>
        <w:left w:val="none" w:sz="0" w:space="0" w:color="auto"/>
        <w:bottom w:val="none" w:sz="0" w:space="0" w:color="auto"/>
        <w:right w:val="none" w:sz="0" w:space="0" w:color="auto"/>
      </w:divBdr>
    </w:div>
    <w:div w:id="1477916859">
      <w:bodyDiv w:val="1"/>
      <w:marLeft w:val="0"/>
      <w:marRight w:val="0"/>
      <w:marTop w:val="0"/>
      <w:marBottom w:val="0"/>
      <w:divBdr>
        <w:top w:val="none" w:sz="0" w:space="0" w:color="auto"/>
        <w:left w:val="none" w:sz="0" w:space="0" w:color="auto"/>
        <w:bottom w:val="none" w:sz="0" w:space="0" w:color="auto"/>
        <w:right w:val="none" w:sz="0" w:space="0" w:color="auto"/>
      </w:divBdr>
    </w:div>
    <w:div w:id="1515608624">
      <w:bodyDiv w:val="1"/>
      <w:marLeft w:val="0"/>
      <w:marRight w:val="0"/>
      <w:marTop w:val="0"/>
      <w:marBottom w:val="0"/>
      <w:divBdr>
        <w:top w:val="none" w:sz="0" w:space="0" w:color="auto"/>
        <w:left w:val="none" w:sz="0" w:space="0" w:color="auto"/>
        <w:bottom w:val="none" w:sz="0" w:space="0" w:color="auto"/>
        <w:right w:val="none" w:sz="0" w:space="0" w:color="auto"/>
      </w:divBdr>
    </w:div>
    <w:div w:id="1568110301">
      <w:bodyDiv w:val="1"/>
      <w:marLeft w:val="0"/>
      <w:marRight w:val="0"/>
      <w:marTop w:val="0"/>
      <w:marBottom w:val="0"/>
      <w:divBdr>
        <w:top w:val="none" w:sz="0" w:space="0" w:color="auto"/>
        <w:left w:val="none" w:sz="0" w:space="0" w:color="auto"/>
        <w:bottom w:val="none" w:sz="0" w:space="0" w:color="auto"/>
        <w:right w:val="none" w:sz="0" w:space="0" w:color="auto"/>
      </w:divBdr>
    </w:div>
    <w:div w:id="1632782996">
      <w:bodyDiv w:val="1"/>
      <w:marLeft w:val="0"/>
      <w:marRight w:val="0"/>
      <w:marTop w:val="0"/>
      <w:marBottom w:val="0"/>
      <w:divBdr>
        <w:top w:val="none" w:sz="0" w:space="0" w:color="auto"/>
        <w:left w:val="none" w:sz="0" w:space="0" w:color="auto"/>
        <w:bottom w:val="none" w:sz="0" w:space="0" w:color="auto"/>
        <w:right w:val="none" w:sz="0" w:space="0" w:color="auto"/>
      </w:divBdr>
    </w:div>
    <w:div w:id="1636906173">
      <w:bodyDiv w:val="1"/>
      <w:marLeft w:val="0"/>
      <w:marRight w:val="0"/>
      <w:marTop w:val="0"/>
      <w:marBottom w:val="0"/>
      <w:divBdr>
        <w:top w:val="none" w:sz="0" w:space="0" w:color="auto"/>
        <w:left w:val="none" w:sz="0" w:space="0" w:color="auto"/>
        <w:bottom w:val="none" w:sz="0" w:space="0" w:color="auto"/>
        <w:right w:val="none" w:sz="0" w:space="0" w:color="auto"/>
      </w:divBdr>
    </w:div>
    <w:div w:id="1867324091">
      <w:bodyDiv w:val="1"/>
      <w:marLeft w:val="0"/>
      <w:marRight w:val="0"/>
      <w:marTop w:val="0"/>
      <w:marBottom w:val="0"/>
      <w:divBdr>
        <w:top w:val="none" w:sz="0" w:space="0" w:color="auto"/>
        <w:left w:val="none" w:sz="0" w:space="0" w:color="auto"/>
        <w:bottom w:val="none" w:sz="0" w:space="0" w:color="auto"/>
        <w:right w:val="none" w:sz="0" w:space="0" w:color="auto"/>
      </w:divBdr>
    </w:div>
    <w:div w:id="2121145299">
      <w:bodyDiv w:val="1"/>
      <w:marLeft w:val="0"/>
      <w:marRight w:val="0"/>
      <w:marTop w:val="0"/>
      <w:marBottom w:val="0"/>
      <w:divBdr>
        <w:top w:val="none" w:sz="0" w:space="0" w:color="auto"/>
        <w:left w:val="none" w:sz="0" w:space="0" w:color="auto"/>
        <w:bottom w:val="none" w:sz="0" w:space="0" w:color="auto"/>
        <w:right w:val="none" w:sz="0" w:space="0" w:color="auto"/>
      </w:divBdr>
    </w:div>
    <w:div w:id="21260771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D02C-1147-4405-879B-79C6C9A85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6991</Words>
  <Characters>38454</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Ponencia3</cp:lastModifiedBy>
  <cp:revision>5</cp:revision>
  <cp:lastPrinted>2026-09-08T17:17:00Z</cp:lastPrinted>
  <dcterms:created xsi:type="dcterms:W3CDTF">2026-09-07T15:41:00Z</dcterms:created>
  <dcterms:modified xsi:type="dcterms:W3CDTF">2026-09-08T17:19:00Z</dcterms:modified>
</cp:coreProperties>
</file>