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622" w:rsidRPr="00615264" w:rsidRDefault="00D21622" w:rsidP="00D21622">
      <w:pPr>
        <w:jc w:val="both"/>
        <w:rPr>
          <w:rFonts w:ascii="Century Gothic" w:hAnsi="Century Gothic"/>
          <w:b/>
          <w:color w:val="000000" w:themeColor="text1"/>
          <w:sz w:val="26"/>
          <w:szCs w:val="26"/>
        </w:rPr>
      </w:pPr>
      <w:r>
        <w:rPr>
          <w:rFonts w:ascii="Century Gothic" w:hAnsi="Century Gothic"/>
          <w:b/>
          <w:color w:val="000000" w:themeColor="text1"/>
          <w:sz w:val="26"/>
          <w:szCs w:val="26"/>
        </w:rPr>
        <w:t xml:space="preserve">La persona 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 xml:space="preserve">servidor 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público no se encuentra obligada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 xml:space="preserve"> a presentar l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a constancia de Declaración F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iscal de confor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midad con lo establecido en el A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rtículo 108 de la Constitución Política de los Estados Unidos Mexicanos, 124 de la Constitución Política del Estado Libre y Soberano de San Luis Potosí, 32 de la Ley de Responsabilidades Administrativas del Estado y Municipios de San Luis Potosí, en rel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ación con lo preceptuado en la N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orma Decimosegunda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 xml:space="preserve"> del Anexo S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egundo del Acuer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do por el que se modifican los Anexos Primero y S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 xml:space="preserve">egundo del Acuerdo 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 xml:space="preserve">emitido 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por el que el Comité Coordinador del Sistema Na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cional Anticorrupción mediante el cual emitió el Formato de Declaraciones: de Situación Patrimonial y de Intereses; y expide las N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o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rmas e I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nstructivo para su llenado y presentación, publicado en el Diario Oficial de la Federación en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 xml:space="preserve"> fecha 23 de septiembre de 2019;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 xml:space="preserve"> 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 xml:space="preserve">y Punto 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Tercero del Acuerdo media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nte el cual se establecen  los L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ineamien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tos para la presentación de la Declaración Inicial de S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>it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uación Patrimonial, así como la de Conflicto de Intereses y la Constancia de Situación F</w:t>
      </w:r>
      <w:r w:rsidRPr="00615264">
        <w:rPr>
          <w:rFonts w:ascii="Century Gothic" w:hAnsi="Century Gothic"/>
          <w:b/>
          <w:color w:val="000000" w:themeColor="text1"/>
          <w:sz w:val="26"/>
          <w:szCs w:val="26"/>
        </w:rPr>
        <w:t xml:space="preserve">iscal para los servidores públicos de la Fiscalía General del Estado de San Luis Potosí, publicado en el Periódico Oficial del Estado el día </w:t>
      </w:r>
      <w:r>
        <w:rPr>
          <w:rFonts w:ascii="Century Gothic" w:hAnsi="Century Gothic"/>
          <w:b/>
          <w:color w:val="000000" w:themeColor="text1"/>
          <w:sz w:val="26"/>
          <w:szCs w:val="26"/>
        </w:rPr>
        <w:t>30 de abril de 2026</w:t>
      </w:r>
      <w:bookmarkStart w:id="0" w:name="_GoBack"/>
      <w:bookmarkEnd w:id="0"/>
      <w:r>
        <w:rPr>
          <w:rFonts w:ascii="Century Gothic" w:hAnsi="Century Gothic"/>
          <w:b/>
          <w:color w:val="000000" w:themeColor="text1"/>
          <w:sz w:val="26"/>
          <w:szCs w:val="26"/>
        </w:rPr>
        <w:t>.</w:t>
      </w:r>
    </w:p>
    <w:p w:rsidR="009F543D" w:rsidRDefault="009F543D"/>
    <w:sectPr w:rsidR="009F54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22"/>
    <w:rsid w:val="009F543D"/>
    <w:rsid w:val="00D2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CDA2"/>
  <w15:chartTrackingRefBased/>
  <w15:docId w15:val="{3648CEF0-950C-484F-8141-A6553760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622"/>
    <w:pPr>
      <w:spacing w:line="256" w:lineRule="auto"/>
    </w:pPr>
    <w:rPr>
      <w:rFonts w:eastAsiaTheme="minorEastAsia"/>
      <w:kern w:val="2"/>
      <w:lang w:val="es-US" w:eastAsia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FGESLP CONTRALORIA</dc:creator>
  <cp:keywords/>
  <dc:description/>
  <cp:lastModifiedBy>FGESLP CONTRALORIA</cp:lastModifiedBy>
  <cp:revision>1</cp:revision>
  <dcterms:created xsi:type="dcterms:W3CDTF">2026-05-26T01:58:00Z</dcterms:created>
  <dcterms:modified xsi:type="dcterms:W3CDTF">2026-05-26T01:59:00Z</dcterms:modified>
</cp:coreProperties>
</file>