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E94239" w:rsidRDefault="00DE6732" w:rsidP="00DE6732">
      <w:pPr>
        <w:spacing w:after="0" w:line="240" w:lineRule="auto"/>
        <w:ind w:left="3969"/>
        <w:jc w:val="both"/>
        <w:rPr>
          <w:rFonts w:ascii="Arial" w:eastAsia="Arial Unicode MS" w:hAnsi="Arial" w:cs="Arial"/>
          <w:b/>
          <w:sz w:val="24"/>
          <w:szCs w:val="24"/>
        </w:rPr>
      </w:pPr>
      <w:r w:rsidRPr="00E94239">
        <w:rPr>
          <w:rFonts w:ascii="Arial" w:eastAsia="Arial Unicode MS" w:hAnsi="Arial" w:cs="Arial"/>
          <w:b/>
          <w:sz w:val="24"/>
          <w:szCs w:val="24"/>
        </w:rPr>
        <w:t>TRIBUNAL ESTATAL DE JUSTICIA ADMINISTRATIVA</w:t>
      </w:r>
    </w:p>
    <w:p w:rsidR="00DE6732" w:rsidRPr="00E94239" w:rsidRDefault="00DE6732" w:rsidP="00DE6732">
      <w:pPr>
        <w:spacing w:after="0" w:line="240" w:lineRule="auto"/>
        <w:ind w:left="3969"/>
        <w:jc w:val="both"/>
        <w:rPr>
          <w:rFonts w:ascii="Arial" w:eastAsia="Arial Unicode MS" w:hAnsi="Arial" w:cs="Arial"/>
          <w:b/>
          <w:sz w:val="24"/>
          <w:szCs w:val="24"/>
        </w:rPr>
      </w:pPr>
    </w:p>
    <w:p w:rsidR="00DE6732" w:rsidRPr="00E94239" w:rsidRDefault="00DE6732" w:rsidP="00DE6732">
      <w:pPr>
        <w:spacing w:after="0" w:line="240" w:lineRule="auto"/>
        <w:ind w:left="3969"/>
        <w:jc w:val="both"/>
        <w:rPr>
          <w:rFonts w:ascii="Arial" w:eastAsia="Arial Unicode MS" w:hAnsi="Arial" w:cs="Arial"/>
          <w:b/>
          <w:sz w:val="24"/>
          <w:szCs w:val="24"/>
        </w:rPr>
      </w:pPr>
      <w:r w:rsidRPr="00E94239">
        <w:rPr>
          <w:rFonts w:ascii="Arial" w:eastAsia="Arial Unicode MS" w:hAnsi="Arial" w:cs="Arial"/>
          <w:b/>
          <w:sz w:val="24"/>
          <w:szCs w:val="24"/>
        </w:rPr>
        <w:t>TERCERA SALA UNITARIA</w:t>
      </w:r>
    </w:p>
    <w:p w:rsidR="00DE6732" w:rsidRPr="00E94239" w:rsidRDefault="00DE6732" w:rsidP="00DE6732">
      <w:pPr>
        <w:spacing w:after="0" w:line="240" w:lineRule="auto"/>
        <w:ind w:left="3969"/>
        <w:jc w:val="both"/>
        <w:rPr>
          <w:rFonts w:ascii="Arial" w:eastAsia="Arial Unicode MS" w:hAnsi="Arial" w:cs="Arial"/>
          <w:b/>
          <w:sz w:val="24"/>
          <w:szCs w:val="24"/>
        </w:rPr>
      </w:pPr>
    </w:p>
    <w:p w:rsidR="00DE6732" w:rsidRPr="00E94239" w:rsidRDefault="00DE6732" w:rsidP="00DE6732">
      <w:pPr>
        <w:spacing w:after="0" w:line="240" w:lineRule="auto"/>
        <w:ind w:left="3969"/>
        <w:jc w:val="both"/>
        <w:rPr>
          <w:rFonts w:ascii="Arial" w:eastAsia="Arial Unicode MS" w:hAnsi="Arial" w:cs="Arial"/>
          <w:b/>
          <w:color w:val="002060"/>
          <w:sz w:val="24"/>
          <w:szCs w:val="24"/>
        </w:rPr>
      </w:pPr>
      <w:r w:rsidRPr="00E94239">
        <w:rPr>
          <w:rFonts w:ascii="Arial" w:eastAsia="Arial Unicode MS" w:hAnsi="Arial" w:cs="Arial"/>
          <w:b/>
          <w:sz w:val="24"/>
          <w:szCs w:val="24"/>
        </w:rPr>
        <w:t xml:space="preserve">EXPEDIENTE: </w:t>
      </w:r>
      <w:r w:rsidR="00C54FF7" w:rsidRPr="00E94239">
        <w:rPr>
          <w:rFonts w:ascii="Arial" w:eastAsia="Arial Unicode MS" w:hAnsi="Arial" w:cs="Arial"/>
          <w:b/>
          <w:sz w:val="24"/>
          <w:szCs w:val="24"/>
        </w:rPr>
        <w:t>416/2025/3</w:t>
      </w:r>
    </w:p>
    <w:p w:rsidR="00DE6732" w:rsidRPr="00E94239" w:rsidRDefault="00DE6732" w:rsidP="00DE6732">
      <w:pPr>
        <w:spacing w:after="0" w:line="240" w:lineRule="auto"/>
        <w:ind w:left="3969"/>
        <w:jc w:val="both"/>
        <w:rPr>
          <w:rFonts w:ascii="Arial" w:eastAsia="Arial Unicode MS" w:hAnsi="Arial" w:cs="Arial"/>
          <w:b/>
          <w:sz w:val="24"/>
          <w:szCs w:val="24"/>
        </w:rPr>
      </w:pPr>
    </w:p>
    <w:p w:rsidR="00DE6732" w:rsidRPr="00E94239" w:rsidRDefault="009C2ABF" w:rsidP="00DE6732">
      <w:pPr>
        <w:spacing w:after="0" w:line="240" w:lineRule="auto"/>
        <w:ind w:left="3969"/>
        <w:jc w:val="both"/>
        <w:rPr>
          <w:rFonts w:ascii="Arial" w:eastAsia="Arial Unicode MS" w:hAnsi="Arial" w:cs="Arial"/>
          <w:b/>
          <w:sz w:val="24"/>
          <w:szCs w:val="24"/>
        </w:rPr>
      </w:pPr>
      <w:r w:rsidRPr="00E94239">
        <w:rPr>
          <w:rFonts w:ascii="Arial" w:eastAsia="Arial Unicode MS" w:hAnsi="Arial" w:cs="Arial"/>
          <w:b/>
          <w:sz w:val="24"/>
          <w:szCs w:val="24"/>
        </w:rPr>
        <w:t>ACTOR:</w:t>
      </w:r>
    </w:p>
    <w:p w:rsidR="002D60E5" w:rsidRPr="00E94239" w:rsidRDefault="00E00248"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E94239" w:rsidRDefault="009C2ABF" w:rsidP="00DE6732">
      <w:pPr>
        <w:spacing w:after="0" w:line="240" w:lineRule="auto"/>
        <w:ind w:left="3969"/>
        <w:jc w:val="both"/>
        <w:rPr>
          <w:rFonts w:ascii="Arial" w:eastAsia="Arial Unicode MS" w:hAnsi="Arial" w:cs="Arial"/>
          <w:b/>
          <w:sz w:val="24"/>
          <w:szCs w:val="24"/>
        </w:rPr>
      </w:pPr>
      <w:r w:rsidRPr="00E94239">
        <w:rPr>
          <w:rFonts w:ascii="Arial" w:eastAsia="Arial Unicode MS" w:hAnsi="Arial" w:cs="Arial"/>
          <w:b/>
          <w:sz w:val="24"/>
          <w:szCs w:val="24"/>
        </w:rPr>
        <w:t>MAGISTRADO:</w:t>
      </w:r>
    </w:p>
    <w:p w:rsidR="00DE6732" w:rsidRPr="00E94239" w:rsidRDefault="00DE6732" w:rsidP="00DE6732">
      <w:pPr>
        <w:spacing w:after="0" w:line="240" w:lineRule="auto"/>
        <w:ind w:left="3969"/>
        <w:jc w:val="both"/>
        <w:rPr>
          <w:rFonts w:ascii="Arial" w:eastAsia="Arial Unicode MS" w:hAnsi="Arial" w:cs="Arial"/>
          <w:sz w:val="24"/>
          <w:szCs w:val="24"/>
        </w:rPr>
      </w:pPr>
      <w:r w:rsidRPr="00E94239">
        <w:rPr>
          <w:rFonts w:ascii="Arial" w:eastAsia="Arial Unicode MS" w:hAnsi="Arial" w:cs="Arial"/>
          <w:sz w:val="24"/>
          <w:szCs w:val="24"/>
        </w:rPr>
        <w:t>LICENCIADO JORGE ALEJANDRO VERA NOYOLA</w:t>
      </w:r>
    </w:p>
    <w:p w:rsidR="00DE6732" w:rsidRPr="00E94239" w:rsidRDefault="00DE6732" w:rsidP="00DE6732">
      <w:pPr>
        <w:spacing w:after="0" w:line="240" w:lineRule="auto"/>
        <w:jc w:val="both"/>
        <w:rPr>
          <w:rFonts w:ascii="Arial" w:eastAsia="Arial Unicode MS" w:hAnsi="Arial" w:cs="Arial"/>
          <w:sz w:val="24"/>
          <w:szCs w:val="24"/>
        </w:rPr>
      </w:pPr>
    </w:p>
    <w:p w:rsidR="00C00FA9" w:rsidRPr="00E94239" w:rsidRDefault="00C00FA9" w:rsidP="00DE6732">
      <w:pPr>
        <w:spacing w:after="0" w:line="240" w:lineRule="auto"/>
        <w:jc w:val="both"/>
        <w:rPr>
          <w:rFonts w:ascii="Arial" w:eastAsia="Arial Unicode MS" w:hAnsi="Arial" w:cs="Arial"/>
          <w:sz w:val="24"/>
          <w:szCs w:val="24"/>
        </w:rPr>
      </w:pPr>
    </w:p>
    <w:p w:rsidR="00C54FF7" w:rsidRPr="00E94239" w:rsidRDefault="00C54FF7" w:rsidP="00DE6732">
      <w:pPr>
        <w:spacing w:after="0" w:line="240" w:lineRule="auto"/>
        <w:jc w:val="both"/>
        <w:rPr>
          <w:rFonts w:ascii="Arial" w:eastAsia="Arial Unicode MS" w:hAnsi="Arial" w:cs="Arial"/>
          <w:sz w:val="24"/>
          <w:szCs w:val="24"/>
        </w:rPr>
      </w:pPr>
    </w:p>
    <w:p w:rsidR="00DE6732" w:rsidRPr="00E94239" w:rsidRDefault="00DE6732"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 xml:space="preserve">San Luis Potosí, S.L.P., a </w:t>
      </w:r>
      <w:r w:rsidR="008A6114" w:rsidRPr="00E94239">
        <w:rPr>
          <w:rFonts w:ascii="Arial" w:eastAsia="Arial Unicode MS" w:hAnsi="Arial" w:cs="Arial"/>
          <w:sz w:val="24"/>
          <w:szCs w:val="24"/>
        </w:rPr>
        <w:t>veintitrés</w:t>
      </w:r>
      <w:r w:rsidR="002D60E5" w:rsidRPr="00E94239">
        <w:rPr>
          <w:rFonts w:ascii="Arial" w:eastAsia="Arial Unicode MS" w:hAnsi="Arial" w:cs="Arial"/>
          <w:sz w:val="24"/>
          <w:szCs w:val="24"/>
        </w:rPr>
        <w:t xml:space="preserve"> de </w:t>
      </w:r>
      <w:r w:rsidR="00C54FF7" w:rsidRPr="00E94239">
        <w:rPr>
          <w:rFonts w:ascii="Arial" w:eastAsia="Arial Unicode MS" w:hAnsi="Arial" w:cs="Arial"/>
          <w:sz w:val="24"/>
          <w:szCs w:val="24"/>
        </w:rPr>
        <w:t>enero de dos mil veintiséis</w:t>
      </w:r>
      <w:r w:rsidRPr="00E94239">
        <w:rPr>
          <w:rFonts w:ascii="Arial" w:eastAsia="Arial Unicode MS" w:hAnsi="Arial" w:cs="Arial"/>
          <w:sz w:val="24"/>
          <w:szCs w:val="24"/>
        </w:rPr>
        <w:t>.</w:t>
      </w:r>
    </w:p>
    <w:p w:rsidR="00DE6732" w:rsidRPr="00E94239" w:rsidRDefault="00DE6732" w:rsidP="00DE6732">
      <w:pPr>
        <w:spacing w:after="0" w:line="360" w:lineRule="auto"/>
        <w:ind w:firstLine="709"/>
        <w:jc w:val="both"/>
        <w:rPr>
          <w:rFonts w:ascii="Arial" w:eastAsia="Arial Unicode MS" w:hAnsi="Arial" w:cs="Arial"/>
          <w:b/>
          <w:sz w:val="24"/>
          <w:szCs w:val="24"/>
        </w:rPr>
      </w:pPr>
    </w:p>
    <w:p w:rsidR="00DE6732" w:rsidRPr="00E94239" w:rsidRDefault="00DE6732"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b/>
          <w:sz w:val="24"/>
          <w:szCs w:val="24"/>
        </w:rPr>
        <w:t>V I S T O S</w:t>
      </w:r>
      <w:r w:rsidRPr="00E94239">
        <w:rPr>
          <w:rFonts w:ascii="Arial" w:eastAsia="Arial Unicode MS" w:hAnsi="Arial" w:cs="Arial"/>
          <w:sz w:val="24"/>
          <w:szCs w:val="24"/>
        </w:rPr>
        <w:t xml:space="preserve"> para resolver en definitiva los autos del Juicio Contencioso Administrativo </w:t>
      </w:r>
      <w:r w:rsidR="00C54FF7" w:rsidRPr="00E94239">
        <w:rPr>
          <w:rFonts w:ascii="Arial" w:eastAsia="Arial Unicode MS" w:hAnsi="Arial" w:cs="Arial"/>
          <w:b/>
          <w:sz w:val="24"/>
          <w:szCs w:val="24"/>
        </w:rPr>
        <w:t>416/2025/3</w:t>
      </w:r>
      <w:r w:rsidRPr="00E94239">
        <w:rPr>
          <w:rFonts w:ascii="Arial" w:eastAsia="Arial Unicode MS" w:hAnsi="Arial" w:cs="Arial"/>
          <w:b/>
          <w:sz w:val="24"/>
          <w:szCs w:val="24"/>
        </w:rPr>
        <w:t xml:space="preserve"> </w:t>
      </w:r>
      <w:r w:rsidRPr="00E94239">
        <w:rPr>
          <w:rFonts w:ascii="Arial" w:eastAsia="Arial Unicode MS" w:hAnsi="Arial" w:cs="Arial"/>
          <w:sz w:val="24"/>
          <w:szCs w:val="24"/>
        </w:rPr>
        <w:t>promovido por</w:t>
      </w:r>
      <w:r w:rsidRPr="00E94239">
        <w:rPr>
          <w:rFonts w:ascii="Arial" w:eastAsia="Arial Unicode MS" w:hAnsi="Arial" w:cs="Arial"/>
          <w:b/>
          <w:sz w:val="24"/>
          <w:szCs w:val="24"/>
        </w:rPr>
        <w:t xml:space="preserve"> </w:t>
      </w:r>
      <w:r w:rsidR="00C54FF7" w:rsidRPr="00E94239">
        <w:rPr>
          <w:rFonts w:ascii="Arial" w:eastAsia="Arial Unicode MS" w:hAnsi="Arial" w:cs="Arial"/>
          <w:b/>
          <w:sz w:val="24"/>
          <w:szCs w:val="24"/>
        </w:rPr>
        <w:t>NITROBLOCK DEL CENTRO, S.A. DE C.V.</w:t>
      </w:r>
      <w:r w:rsidRPr="00E94239">
        <w:rPr>
          <w:rFonts w:ascii="Arial" w:eastAsia="Arial Unicode MS" w:hAnsi="Arial" w:cs="Arial"/>
          <w:b/>
          <w:sz w:val="24"/>
          <w:szCs w:val="24"/>
        </w:rPr>
        <w:t>,</w:t>
      </w:r>
      <w:r w:rsidRPr="00E94239">
        <w:rPr>
          <w:rFonts w:ascii="Arial" w:eastAsia="Arial Unicode MS" w:hAnsi="Arial" w:cs="Arial"/>
          <w:sz w:val="24"/>
          <w:szCs w:val="24"/>
        </w:rPr>
        <w:t xml:space="preserve"> contra actos de</w:t>
      </w:r>
      <w:r w:rsidR="00C54FF7" w:rsidRPr="00E94239">
        <w:rPr>
          <w:rFonts w:ascii="Arial" w:eastAsia="Arial Unicode MS" w:hAnsi="Arial" w:cs="Arial"/>
          <w:sz w:val="24"/>
          <w:szCs w:val="24"/>
        </w:rPr>
        <w:t xml:space="preserve"> la</w:t>
      </w:r>
      <w:r w:rsidR="00AA14F2" w:rsidRPr="00E94239">
        <w:rPr>
          <w:rFonts w:ascii="Arial" w:eastAsia="Arial Unicode MS" w:hAnsi="Arial" w:cs="Arial"/>
          <w:sz w:val="24"/>
          <w:szCs w:val="24"/>
        </w:rPr>
        <w:t xml:space="preserve"> </w:t>
      </w:r>
      <w:r w:rsidR="00C54FF7" w:rsidRPr="00E94239">
        <w:rPr>
          <w:rFonts w:ascii="Arial" w:eastAsia="Arial Unicode MS" w:hAnsi="Arial" w:cs="Arial"/>
          <w:sz w:val="24"/>
          <w:szCs w:val="24"/>
        </w:rPr>
        <w:t>Secretaria de Ecología y Gestión Ambiental del Gobierno del Estado de San Luis Potosí</w:t>
      </w:r>
      <w:r w:rsidRPr="00E94239">
        <w:rPr>
          <w:rFonts w:ascii="Arial" w:eastAsia="Arial Unicode MS" w:hAnsi="Arial" w:cs="Arial"/>
          <w:b/>
          <w:sz w:val="24"/>
          <w:szCs w:val="24"/>
        </w:rPr>
        <w:t>;</w:t>
      </w:r>
      <w:r w:rsidRPr="00E94239">
        <w:rPr>
          <w:rFonts w:ascii="Arial" w:eastAsia="Arial Unicode MS" w:hAnsi="Arial" w:cs="Arial"/>
          <w:sz w:val="24"/>
          <w:szCs w:val="24"/>
        </w:rPr>
        <w:t xml:space="preserve"> </w:t>
      </w:r>
      <w:r w:rsidRPr="00E94239">
        <w:rPr>
          <w:rFonts w:ascii="Arial" w:eastAsia="Arial Unicode MS" w:hAnsi="Arial" w:cs="Arial"/>
          <w:b/>
          <w:sz w:val="24"/>
          <w:szCs w:val="24"/>
        </w:rPr>
        <w:t xml:space="preserve"> </w:t>
      </w:r>
      <w:r w:rsidRPr="00E94239">
        <w:rPr>
          <w:rFonts w:ascii="Arial" w:eastAsia="Arial Unicode MS" w:hAnsi="Arial" w:cs="Arial"/>
          <w:sz w:val="24"/>
          <w:szCs w:val="24"/>
        </w:rPr>
        <w:t>y,</w:t>
      </w:r>
    </w:p>
    <w:p w:rsidR="002D60E5" w:rsidRPr="00E94239" w:rsidRDefault="002D60E5" w:rsidP="00DE6732">
      <w:pPr>
        <w:spacing w:after="0" w:line="360" w:lineRule="auto"/>
        <w:ind w:firstLine="709"/>
        <w:jc w:val="both"/>
        <w:rPr>
          <w:rFonts w:ascii="Arial" w:eastAsia="Arial Unicode MS" w:hAnsi="Arial" w:cs="Arial"/>
          <w:sz w:val="24"/>
          <w:szCs w:val="24"/>
        </w:rPr>
      </w:pPr>
    </w:p>
    <w:p w:rsidR="00C54FF7" w:rsidRPr="00E94239" w:rsidRDefault="00C54FF7" w:rsidP="00DE6732">
      <w:pPr>
        <w:spacing w:after="0" w:line="360" w:lineRule="auto"/>
        <w:ind w:firstLine="709"/>
        <w:jc w:val="both"/>
        <w:rPr>
          <w:rFonts w:ascii="Arial" w:eastAsia="Arial Unicode MS" w:hAnsi="Arial" w:cs="Arial"/>
          <w:sz w:val="24"/>
          <w:szCs w:val="24"/>
        </w:rPr>
      </w:pPr>
    </w:p>
    <w:p w:rsidR="00DE6732" w:rsidRPr="00E94239" w:rsidRDefault="00DE6732" w:rsidP="00DE6732">
      <w:pPr>
        <w:spacing w:after="0" w:line="360" w:lineRule="auto"/>
        <w:jc w:val="center"/>
        <w:rPr>
          <w:rFonts w:ascii="Arial" w:eastAsia="Arial Unicode MS" w:hAnsi="Arial" w:cs="Arial"/>
          <w:b/>
          <w:sz w:val="24"/>
          <w:szCs w:val="24"/>
        </w:rPr>
      </w:pPr>
      <w:r w:rsidRPr="00E94239">
        <w:rPr>
          <w:rFonts w:ascii="Arial" w:eastAsia="Arial Unicode MS" w:hAnsi="Arial" w:cs="Arial"/>
          <w:b/>
          <w:sz w:val="24"/>
          <w:szCs w:val="24"/>
        </w:rPr>
        <w:t>R E S U L T A N D O</w:t>
      </w:r>
    </w:p>
    <w:p w:rsidR="00C54FF7" w:rsidRPr="00E94239" w:rsidRDefault="00C54FF7" w:rsidP="00DE6732">
      <w:pPr>
        <w:spacing w:after="0" w:line="360" w:lineRule="auto"/>
        <w:ind w:firstLine="709"/>
        <w:jc w:val="both"/>
        <w:rPr>
          <w:rFonts w:ascii="Arial" w:eastAsia="Arial Unicode MS" w:hAnsi="Arial" w:cs="Arial"/>
          <w:sz w:val="24"/>
          <w:szCs w:val="24"/>
        </w:rPr>
      </w:pPr>
    </w:p>
    <w:p w:rsidR="00DE6732" w:rsidRPr="00E94239" w:rsidRDefault="003D7B14" w:rsidP="00C54FF7">
      <w:pPr>
        <w:spacing w:after="0" w:line="360" w:lineRule="auto"/>
        <w:ind w:firstLine="709"/>
        <w:jc w:val="both"/>
        <w:rPr>
          <w:rFonts w:ascii="Arial" w:eastAsia="Arial Unicode MS" w:hAnsi="Arial" w:cs="Arial"/>
          <w:sz w:val="24"/>
          <w:szCs w:val="24"/>
        </w:rPr>
      </w:pPr>
      <w:r w:rsidRPr="00E94239">
        <w:rPr>
          <w:rFonts w:ascii="Arial" w:eastAsia="Arial Unicode MS" w:hAnsi="Arial" w:cs="Arial"/>
          <w:b/>
          <w:sz w:val="24"/>
          <w:szCs w:val="24"/>
        </w:rPr>
        <w:t>I.-</w:t>
      </w:r>
      <w:r w:rsidR="00F80F15" w:rsidRPr="00E94239">
        <w:rPr>
          <w:rFonts w:ascii="Arial" w:eastAsia="Arial Unicode MS" w:hAnsi="Arial" w:cs="Arial"/>
          <w:sz w:val="24"/>
          <w:szCs w:val="24"/>
        </w:rPr>
        <w:t xml:space="preserve"> Por auto de fecha </w:t>
      </w:r>
      <w:r w:rsidR="00C54FF7" w:rsidRPr="00E94239">
        <w:rPr>
          <w:rFonts w:ascii="Arial" w:eastAsia="Arial Unicode MS" w:hAnsi="Arial" w:cs="Arial"/>
          <w:sz w:val="24"/>
          <w:szCs w:val="24"/>
        </w:rPr>
        <w:t>trece</w:t>
      </w:r>
      <w:r w:rsidR="00AA14F2" w:rsidRPr="00E94239">
        <w:rPr>
          <w:rFonts w:ascii="Arial" w:eastAsia="Arial Unicode MS" w:hAnsi="Arial" w:cs="Arial"/>
          <w:sz w:val="24"/>
          <w:szCs w:val="24"/>
        </w:rPr>
        <w:t xml:space="preserve"> de mayo de dos mil veinticinco</w:t>
      </w:r>
      <w:r w:rsidR="00F80F15" w:rsidRPr="00E94239">
        <w:rPr>
          <w:rFonts w:ascii="Arial" w:eastAsia="Arial Unicode MS" w:hAnsi="Arial" w:cs="Arial"/>
          <w:sz w:val="24"/>
          <w:szCs w:val="24"/>
        </w:rPr>
        <w:t>, se tuvo por admitida la demanda de</w:t>
      </w:r>
      <w:r w:rsidR="00C54FF7" w:rsidRPr="00E94239">
        <w:rPr>
          <w:rFonts w:ascii="Arial" w:eastAsia="Arial Unicode MS" w:hAnsi="Arial" w:cs="Arial"/>
          <w:sz w:val="24"/>
          <w:szCs w:val="24"/>
        </w:rPr>
        <w:t xml:space="preserve"> la</w:t>
      </w:r>
      <w:r w:rsidR="00AA14F2" w:rsidRPr="00E94239">
        <w:rPr>
          <w:rFonts w:ascii="Arial" w:eastAsia="Arial Unicode MS" w:hAnsi="Arial" w:cs="Arial"/>
          <w:sz w:val="24"/>
          <w:szCs w:val="24"/>
        </w:rPr>
        <w:t xml:space="preserve"> actor</w:t>
      </w:r>
      <w:r w:rsidR="00C54FF7" w:rsidRPr="00E94239">
        <w:rPr>
          <w:rFonts w:ascii="Arial" w:eastAsia="Arial Unicode MS" w:hAnsi="Arial" w:cs="Arial"/>
          <w:sz w:val="24"/>
          <w:szCs w:val="24"/>
        </w:rPr>
        <w:t>a</w:t>
      </w:r>
      <w:r w:rsidR="00F80F15" w:rsidRPr="00E94239">
        <w:rPr>
          <w:rFonts w:ascii="Arial" w:eastAsia="Arial Unicode MS" w:hAnsi="Arial" w:cs="Arial"/>
          <w:sz w:val="24"/>
          <w:szCs w:val="24"/>
        </w:rPr>
        <w:t xml:space="preserve"> </w:t>
      </w:r>
      <w:r w:rsidR="00E00248">
        <w:rPr>
          <w:rFonts w:ascii="Arial" w:eastAsia="Arial Unicode MS" w:hAnsi="Arial" w:cs="Arial"/>
          <w:b/>
          <w:color w:val="FF0000"/>
          <w:sz w:val="24"/>
          <w:szCs w:val="24"/>
        </w:rPr>
        <w:t>**********</w:t>
      </w:r>
      <w:r w:rsidR="00F80F15" w:rsidRPr="00E94239">
        <w:rPr>
          <w:rFonts w:ascii="Arial" w:eastAsia="Arial Unicode MS" w:hAnsi="Arial" w:cs="Arial"/>
          <w:sz w:val="24"/>
          <w:szCs w:val="24"/>
        </w:rPr>
        <w:t>, en contra de</w:t>
      </w:r>
      <w:r w:rsidR="00AA14F2" w:rsidRPr="00E94239">
        <w:rPr>
          <w:rFonts w:ascii="Arial" w:eastAsia="Arial Unicode MS" w:hAnsi="Arial" w:cs="Arial"/>
          <w:sz w:val="24"/>
          <w:szCs w:val="24"/>
        </w:rPr>
        <w:t>l acto impugnado</w:t>
      </w:r>
      <w:r w:rsidR="00F80F15" w:rsidRPr="00E94239">
        <w:rPr>
          <w:rFonts w:ascii="Arial" w:eastAsia="Arial Unicode MS" w:hAnsi="Arial" w:cs="Arial"/>
          <w:sz w:val="24"/>
          <w:szCs w:val="24"/>
        </w:rPr>
        <w:t xml:space="preserve">, </w:t>
      </w:r>
      <w:r w:rsidR="00AA14F2" w:rsidRPr="00E94239">
        <w:rPr>
          <w:rFonts w:ascii="Arial" w:eastAsia="Arial Unicode MS" w:hAnsi="Arial" w:cs="Arial"/>
          <w:sz w:val="24"/>
          <w:szCs w:val="24"/>
        </w:rPr>
        <w:t xml:space="preserve">resolución </w:t>
      </w:r>
      <w:r w:rsidR="00F80F15" w:rsidRPr="00E94239">
        <w:rPr>
          <w:rFonts w:ascii="Arial" w:eastAsia="Arial Unicode MS" w:hAnsi="Arial" w:cs="Arial"/>
          <w:sz w:val="24"/>
          <w:szCs w:val="24"/>
        </w:rPr>
        <w:t xml:space="preserve">de fecha </w:t>
      </w:r>
      <w:r w:rsidR="00C54FF7" w:rsidRPr="00E94239">
        <w:rPr>
          <w:rFonts w:ascii="Arial" w:eastAsia="Arial Unicode MS" w:hAnsi="Arial" w:cs="Arial"/>
          <w:sz w:val="24"/>
          <w:szCs w:val="24"/>
        </w:rPr>
        <w:t>10</w:t>
      </w:r>
      <w:r w:rsidR="00F80F15" w:rsidRPr="00E94239">
        <w:rPr>
          <w:rFonts w:ascii="Arial" w:eastAsia="Arial Unicode MS" w:hAnsi="Arial" w:cs="Arial"/>
          <w:sz w:val="24"/>
          <w:szCs w:val="24"/>
        </w:rPr>
        <w:t xml:space="preserve"> de </w:t>
      </w:r>
      <w:r w:rsidR="00C54FF7" w:rsidRPr="00E94239">
        <w:rPr>
          <w:rFonts w:ascii="Arial" w:eastAsia="Arial Unicode MS" w:hAnsi="Arial" w:cs="Arial"/>
          <w:sz w:val="24"/>
          <w:szCs w:val="24"/>
        </w:rPr>
        <w:t>marzo</w:t>
      </w:r>
      <w:r w:rsidR="00AA14F2" w:rsidRPr="00E94239">
        <w:rPr>
          <w:rFonts w:ascii="Arial" w:eastAsia="Arial Unicode MS" w:hAnsi="Arial" w:cs="Arial"/>
          <w:sz w:val="24"/>
          <w:szCs w:val="24"/>
        </w:rPr>
        <w:t xml:space="preserve"> de 2025</w:t>
      </w:r>
      <w:r w:rsidR="00F80F15" w:rsidRPr="00E94239">
        <w:rPr>
          <w:rFonts w:ascii="Arial" w:eastAsia="Arial Unicode MS" w:hAnsi="Arial" w:cs="Arial"/>
          <w:sz w:val="24"/>
          <w:szCs w:val="24"/>
        </w:rPr>
        <w:t xml:space="preserve">, </w:t>
      </w:r>
      <w:r w:rsidR="00C54FF7" w:rsidRPr="00E94239">
        <w:rPr>
          <w:rFonts w:ascii="Arial" w:eastAsia="Arial Unicode MS" w:hAnsi="Arial" w:cs="Arial"/>
          <w:sz w:val="24"/>
          <w:szCs w:val="24"/>
        </w:rPr>
        <w:t xml:space="preserve">contenida en el oficio </w:t>
      </w:r>
      <w:r w:rsidR="00E00248">
        <w:rPr>
          <w:rFonts w:ascii="Arial" w:eastAsia="Arial Unicode MS" w:hAnsi="Arial" w:cs="Arial"/>
          <w:color w:val="FF0000"/>
          <w:sz w:val="24"/>
          <w:szCs w:val="24"/>
        </w:rPr>
        <w:t>**********</w:t>
      </w:r>
      <w:r w:rsidR="00C54FF7" w:rsidRPr="00E94239">
        <w:rPr>
          <w:rFonts w:ascii="Arial" w:eastAsia="Arial Unicode MS" w:hAnsi="Arial" w:cs="Arial"/>
          <w:sz w:val="24"/>
          <w:szCs w:val="24"/>
        </w:rPr>
        <w:t xml:space="preserve">, </w:t>
      </w:r>
      <w:r w:rsidR="00AA14F2" w:rsidRPr="00E94239">
        <w:rPr>
          <w:rFonts w:ascii="Arial" w:eastAsia="Arial Unicode MS" w:hAnsi="Arial" w:cs="Arial"/>
          <w:sz w:val="24"/>
          <w:szCs w:val="24"/>
        </w:rPr>
        <w:t xml:space="preserve">la cual resuelve el Recurso de </w:t>
      </w:r>
      <w:r w:rsidR="00C54FF7" w:rsidRPr="00E94239">
        <w:rPr>
          <w:rFonts w:ascii="Arial" w:eastAsia="Arial Unicode MS" w:hAnsi="Arial" w:cs="Arial"/>
          <w:sz w:val="24"/>
          <w:szCs w:val="24"/>
        </w:rPr>
        <w:t>Revisión</w:t>
      </w:r>
      <w:r w:rsidR="00AA14F2" w:rsidRPr="00E94239">
        <w:rPr>
          <w:rFonts w:ascii="Arial" w:eastAsia="Arial Unicode MS" w:hAnsi="Arial" w:cs="Arial"/>
          <w:sz w:val="24"/>
          <w:szCs w:val="24"/>
        </w:rPr>
        <w:t xml:space="preserve"> interpuesto en contra de la resolución </w:t>
      </w:r>
      <w:r w:rsidR="00C54FF7" w:rsidRPr="00E94239">
        <w:rPr>
          <w:rFonts w:ascii="Arial" w:eastAsia="Arial Unicode MS" w:hAnsi="Arial" w:cs="Arial"/>
          <w:sz w:val="24"/>
          <w:szCs w:val="24"/>
        </w:rPr>
        <w:t xml:space="preserve">dictada dentro del expediente </w:t>
      </w:r>
      <w:r w:rsidR="00E00248">
        <w:rPr>
          <w:rFonts w:ascii="Arial" w:eastAsia="Arial Unicode MS" w:hAnsi="Arial" w:cs="Arial"/>
          <w:color w:val="FF0000"/>
          <w:sz w:val="24"/>
          <w:szCs w:val="24"/>
        </w:rPr>
        <w:t>**********</w:t>
      </w:r>
      <w:r w:rsidR="00C54FF7" w:rsidRPr="00E94239">
        <w:rPr>
          <w:rFonts w:ascii="Arial" w:eastAsia="Arial Unicode MS" w:hAnsi="Arial" w:cs="Arial"/>
          <w:sz w:val="24"/>
          <w:szCs w:val="24"/>
        </w:rPr>
        <w:t>, donde se negó el permiso de operación de fuentes fijas</w:t>
      </w:r>
      <w:r w:rsidR="00F80F15" w:rsidRPr="00E94239">
        <w:rPr>
          <w:rFonts w:ascii="Arial" w:eastAsia="Arial Unicode MS" w:hAnsi="Arial" w:cs="Arial"/>
          <w:sz w:val="24"/>
          <w:szCs w:val="24"/>
        </w:rPr>
        <w:t xml:space="preserve">; </w:t>
      </w:r>
      <w:r w:rsidR="00F80F15" w:rsidRPr="00E94239">
        <w:rPr>
          <w:rFonts w:ascii="Arial" w:eastAsia="Calibri" w:hAnsi="Arial" w:cs="Arial"/>
          <w:sz w:val="24"/>
          <w:szCs w:val="24"/>
          <w:lang w:val="es-ES"/>
        </w:rPr>
        <w:t>ordenándose correrle tr</w:t>
      </w:r>
      <w:r w:rsidR="00C54FF7" w:rsidRPr="00E94239">
        <w:rPr>
          <w:rFonts w:ascii="Arial" w:eastAsia="Calibri" w:hAnsi="Arial" w:cs="Arial"/>
          <w:sz w:val="24"/>
          <w:szCs w:val="24"/>
          <w:lang w:val="es-ES"/>
        </w:rPr>
        <w:t>aslado a la autoridad demandada para que contestara</w:t>
      </w:r>
      <w:r w:rsidR="00F80F15" w:rsidRPr="00E94239">
        <w:rPr>
          <w:rFonts w:ascii="Arial" w:eastAsia="Calibri" w:hAnsi="Arial" w:cs="Arial"/>
          <w:sz w:val="24"/>
          <w:szCs w:val="24"/>
          <w:lang w:val="es-ES"/>
        </w:rPr>
        <w:t xml:space="preserve"> lo que a su de</w:t>
      </w:r>
      <w:r w:rsidR="00C54FF7" w:rsidRPr="00E94239">
        <w:rPr>
          <w:rFonts w:ascii="Arial" w:eastAsia="Calibri" w:hAnsi="Arial" w:cs="Arial"/>
          <w:sz w:val="24"/>
          <w:szCs w:val="24"/>
          <w:lang w:val="es-ES"/>
        </w:rPr>
        <w:t>recho correspondiera, ofreciera, exhibiera las pruebas que estimara convenientes y expresara</w:t>
      </w:r>
      <w:r w:rsidR="00F80F15" w:rsidRPr="00E94239">
        <w:rPr>
          <w:rFonts w:ascii="Arial" w:eastAsia="Calibri" w:hAnsi="Arial" w:cs="Arial"/>
          <w:sz w:val="24"/>
          <w:szCs w:val="24"/>
          <w:lang w:val="es-ES"/>
        </w:rPr>
        <w:t xml:space="preserve"> los hechos con que se encontraran relacionados.</w:t>
      </w:r>
    </w:p>
    <w:p w:rsidR="00F80F15" w:rsidRPr="00E94239" w:rsidRDefault="00F80F15" w:rsidP="00DE6732">
      <w:pPr>
        <w:spacing w:after="0" w:line="360" w:lineRule="auto"/>
        <w:ind w:firstLine="709"/>
        <w:jc w:val="both"/>
        <w:rPr>
          <w:rFonts w:ascii="Arial" w:eastAsia="Calibri" w:hAnsi="Arial" w:cs="Arial"/>
          <w:sz w:val="24"/>
          <w:szCs w:val="24"/>
          <w:lang w:val="es-ES"/>
        </w:rPr>
      </w:pPr>
    </w:p>
    <w:p w:rsidR="00F80F15" w:rsidRPr="00E94239" w:rsidRDefault="00F80F15" w:rsidP="00DE6732">
      <w:pPr>
        <w:spacing w:after="0" w:line="360" w:lineRule="auto"/>
        <w:ind w:firstLine="709"/>
        <w:jc w:val="both"/>
        <w:rPr>
          <w:rFonts w:ascii="Arial" w:eastAsia="Calibri" w:hAnsi="Arial" w:cs="Arial"/>
          <w:sz w:val="24"/>
          <w:szCs w:val="24"/>
          <w:lang w:val="es-ES"/>
        </w:rPr>
      </w:pPr>
      <w:r w:rsidRPr="00E94239">
        <w:rPr>
          <w:rFonts w:ascii="Arial" w:eastAsia="Calibri" w:hAnsi="Arial" w:cs="Arial"/>
          <w:b/>
          <w:sz w:val="24"/>
          <w:szCs w:val="24"/>
          <w:lang w:val="es-ES"/>
        </w:rPr>
        <w:t>II.-</w:t>
      </w:r>
      <w:r w:rsidRPr="00E94239">
        <w:rPr>
          <w:rFonts w:ascii="Arial" w:eastAsia="Calibri" w:hAnsi="Arial" w:cs="Arial"/>
          <w:sz w:val="24"/>
          <w:szCs w:val="24"/>
          <w:lang w:val="es-ES"/>
        </w:rPr>
        <w:t xml:space="preserve"> Por auto de fecha </w:t>
      </w:r>
      <w:r w:rsidR="005E6BA3" w:rsidRPr="00E94239">
        <w:rPr>
          <w:rFonts w:ascii="Arial" w:eastAsia="Calibri" w:hAnsi="Arial" w:cs="Arial"/>
          <w:sz w:val="24"/>
          <w:szCs w:val="24"/>
          <w:lang w:val="es-ES"/>
        </w:rPr>
        <w:t>diez</w:t>
      </w:r>
      <w:r w:rsidR="00FC4AB3" w:rsidRPr="00E94239">
        <w:rPr>
          <w:rFonts w:ascii="Arial" w:eastAsia="Calibri" w:hAnsi="Arial" w:cs="Arial"/>
          <w:sz w:val="24"/>
          <w:szCs w:val="24"/>
          <w:lang w:val="es-ES"/>
        </w:rPr>
        <w:t xml:space="preserve"> de </w:t>
      </w:r>
      <w:r w:rsidR="005E6BA3" w:rsidRPr="00E94239">
        <w:rPr>
          <w:rFonts w:ascii="Arial" w:eastAsia="Calibri" w:hAnsi="Arial" w:cs="Arial"/>
          <w:sz w:val="24"/>
          <w:szCs w:val="24"/>
          <w:lang w:val="es-ES"/>
        </w:rPr>
        <w:t>noviembre</w:t>
      </w:r>
      <w:r w:rsidRPr="00E94239">
        <w:rPr>
          <w:rFonts w:ascii="Arial" w:eastAsia="Calibri" w:hAnsi="Arial" w:cs="Arial"/>
          <w:sz w:val="24"/>
          <w:szCs w:val="24"/>
          <w:lang w:val="es-ES"/>
        </w:rPr>
        <w:t xml:space="preserve"> de dos mi</w:t>
      </w:r>
      <w:r w:rsidR="005E6BA3" w:rsidRPr="00E94239">
        <w:rPr>
          <w:rFonts w:ascii="Arial" w:eastAsia="Calibri" w:hAnsi="Arial" w:cs="Arial"/>
          <w:sz w:val="24"/>
          <w:szCs w:val="24"/>
          <w:lang w:val="es-ES"/>
        </w:rPr>
        <w:t>l veinticinco, se tuvo a la autoridad demandada</w:t>
      </w:r>
      <w:r w:rsidR="00C00FA9" w:rsidRPr="00E94239">
        <w:rPr>
          <w:rFonts w:ascii="Arial" w:eastAsia="Calibri" w:hAnsi="Arial" w:cs="Arial"/>
          <w:sz w:val="24"/>
          <w:szCs w:val="24"/>
          <w:lang w:val="es-ES"/>
        </w:rPr>
        <w:t>, por contestando la demanda; por lo que se ordenó correr traslado a la parte actora, para lo</w:t>
      </w:r>
      <w:r w:rsidR="005E6BA3" w:rsidRPr="00E94239">
        <w:rPr>
          <w:rFonts w:ascii="Arial" w:eastAsia="Calibri" w:hAnsi="Arial" w:cs="Arial"/>
          <w:sz w:val="24"/>
          <w:szCs w:val="24"/>
          <w:lang w:val="es-ES"/>
        </w:rPr>
        <w:t xml:space="preserve">s efectos legales consiguientes; </w:t>
      </w:r>
      <w:r w:rsidR="006462E8" w:rsidRPr="00E94239">
        <w:rPr>
          <w:rFonts w:ascii="Arial" w:eastAsia="Calibri" w:hAnsi="Arial" w:cs="Arial"/>
          <w:sz w:val="24"/>
          <w:szCs w:val="24"/>
          <w:lang w:val="es-ES"/>
        </w:rPr>
        <w:t>señalándose las once horas del día nueve de diciembre de dos mil veinticinco para la celebración de la audiencia a que se refiere el artículo 246 del Código Procesal Administrativo para el Estado de San Luis Potosí.</w:t>
      </w:r>
    </w:p>
    <w:p w:rsidR="00C00FA9" w:rsidRPr="00E94239" w:rsidRDefault="00C00FA9" w:rsidP="00DE6732">
      <w:pPr>
        <w:spacing w:after="0" w:line="360" w:lineRule="auto"/>
        <w:ind w:firstLine="709"/>
        <w:jc w:val="both"/>
        <w:rPr>
          <w:rFonts w:ascii="Arial" w:eastAsia="Calibri" w:hAnsi="Arial" w:cs="Arial"/>
          <w:sz w:val="24"/>
          <w:szCs w:val="24"/>
          <w:lang w:val="es-ES"/>
        </w:rPr>
      </w:pPr>
    </w:p>
    <w:p w:rsidR="00407161" w:rsidRPr="00E94239" w:rsidRDefault="00C00FA9" w:rsidP="00DE6732">
      <w:pPr>
        <w:spacing w:after="0" w:line="360" w:lineRule="auto"/>
        <w:ind w:firstLine="709"/>
        <w:jc w:val="both"/>
        <w:rPr>
          <w:rFonts w:ascii="Arial" w:eastAsia="Calibri" w:hAnsi="Arial" w:cs="Arial"/>
          <w:sz w:val="24"/>
          <w:szCs w:val="24"/>
          <w:lang w:val="es-ES"/>
        </w:rPr>
      </w:pPr>
      <w:r w:rsidRPr="00E94239">
        <w:rPr>
          <w:rFonts w:ascii="Arial" w:eastAsia="Calibri" w:hAnsi="Arial" w:cs="Arial"/>
          <w:b/>
          <w:sz w:val="24"/>
          <w:szCs w:val="24"/>
          <w:lang w:val="es-ES"/>
        </w:rPr>
        <w:t>III.-</w:t>
      </w:r>
      <w:r w:rsidRPr="00E94239">
        <w:rPr>
          <w:rFonts w:ascii="Arial" w:eastAsia="Calibri" w:hAnsi="Arial" w:cs="Arial"/>
          <w:sz w:val="24"/>
          <w:szCs w:val="24"/>
          <w:lang w:val="es-ES"/>
        </w:rPr>
        <w:t xml:space="preserve"> </w:t>
      </w:r>
      <w:r w:rsidR="00407161" w:rsidRPr="00E94239">
        <w:rPr>
          <w:rFonts w:ascii="Arial" w:eastAsia="Calibri" w:hAnsi="Arial" w:cs="Arial"/>
          <w:sz w:val="24"/>
          <w:szCs w:val="24"/>
          <w:lang w:val="es-ES"/>
        </w:rPr>
        <w:t xml:space="preserve">En la fecha y hora señaladas se llevó a cabo la audiencia de ley, sin la asistencia de las partes; en el desahogo de la misma, el Secretario de </w:t>
      </w:r>
      <w:r w:rsidR="00407161" w:rsidRPr="00E94239">
        <w:rPr>
          <w:rFonts w:ascii="Arial" w:eastAsia="Calibri" w:hAnsi="Arial" w:cs="Arial"/>
          <w:sz w:val="24"/>
          <w:szCs w:val="24"/>
          <w:lang w:val="es-ES"/>
        </w:rPr>
        <w:lastRenderedPageBreak/>
        <w:t xml:space="preserve">Acuerdos dio cuenta con las constancias de autos, posteriormente en la etapa de pruebas, se tuvieron por desahogadas todas y cada una de las pruebas admitidas a las partes dada su propia y especial naturaleza. </w:t>
      </w:r>
      <w:r w:rsidR="00047DCF" w:rsidRPr="00E94239">
        <w:rPr>
          <w:rFonts w:ascii="Arial" w:eastAsia="Calibri" w:hAnsi="Arial" w:cs="Arial"/>
          <w:sz w:val="24"/>
          <w:szCs w:val="24"/>
          <w:lang w:val="es-ES"/>
        </w:rPr>
        <w:t xml:space="preserve">  </w:t>
      </w:r>
      <w:r w:rsidR="00407161" w:rsidRPr="00E94239">
        <w:rPr>
          <w:rFonts w:ascii="Arial" w:eastAsia="Calibri" w:hAnsi="Arial" w:cs="Arial"/>
          <w:sz w:val="24"/>
          <w:szCs w:val="24"/>
          <w:lang w:val="es-ES"/>
        </w:rPr>
        <w:t>Enseguida, en el período de alegatos, se hizo constar que no se formularon alegatos por las partes, dándose por concluida la audiencia y finalmente se citó para resolver en definitiva.</w:t>
      </w:r>
    </w:p>
    <w:p w:rsidR="00DE6732" w:rsidRPr="00E94239" w:rsidRDefault="00DE6732" w:rsidP="00DE6732">
      <w:pPr>
        <w:spacing w:after="0" w:line="360" w:lineRule="auto"/>
        <w:jc w:val="center"/>
        <w:rPr>
          <w:rFonts w:ascii="Arial" w:eastAsia="Arial Unicode MS" w:hAnsi="Arial" w:cs="Arial"/>
          <w:b/>
          <w:sz w:val="24"/>
          <w:szCs w:val="24"/>
        </w:rPr>
      </w:pPr>
    </w:p>
    <w:p w:rsidR="00554A90" w:rsidRPr="00E94239" w:rsidRDefault="00554A90" w:rsidP="00DE6732">
      <w:pPr>
        <w:spacing w:after="0" w:line="360" w:lineRule="auto"/>
        <w:jc w:val="center"/>
        <w:rPr>
          <w:rFonts w:ascii="Arial" w:eastAsia="Arial Unicode MS" w:hAnsi="Arial" w:cs="Arial"/>
          <w:b/>
          <w:sz w:val="24"/>
          <w:szCs w:val="24"/>
        </w:rPr>
      </w:pPr>
    </w:p>
    <w:p w:rsidR="00DE6732" w:rsidRPr="00E94239" w:rsidRDefault="00DE6732" w:rsidP="00DE6732">
      <w:pPr>
        <w:spacing w:after="0" w:line="360" w:lineRule="auto"/>
        <w:jc w:val="center"/>
        <w:rPr>
          <w:rFonts w:ascii="Arial" w:eastAsia="Arial Unicode MS" w:hAnsi="Arial" w:cs="Arial"/>
          <w:b/>
          <w:sz w:val="24"/>
          <w:szCs w:val="24"/>
        </w:rPr>
      </w:pPr>
      <w:r w:rsidRPr="00E94239">
        <w:rPr>
          <w:rFonts w:ascii="Arial" w:eastAsia="Arial Unicode MS" w:hAnsi="Arial" w:cs="Arial"/>
          <w:b/>
          <w:sz w:val="24"/>
          <w:szCs w:val="24"/>
        </w:rPr>
        <w:t>C O N S I D E R A N D O</w:t>
      </w:r>
    </w:p>
    <w:p w:rsidR="00DE6732" w:rsidRPr="00E94239" w:rsidRDefault="00DE6732" w:rsidP="00DE6732">
      <w:pPr>
        <w:tabs>
          <w:tab w:val="left" w:pos="5821"/>
        </w:tabs>
        <w:spacing w:after="0" w:line="360" w:lineRule="auto"/>
        <w:ind w:firstLine="709"/>
        <w:rPr>
          <w:rFonts w:ascii="Arial" w:eastAsia="Arial Unicode MS" w:hAnsi="Arial" w:cs="Arial"/>
          <w:sz w:val="24"/>
          <w:szCs w:val="24"/>
        </w:rPr>
      </w:pPr>
    </w:p>
    <w:p w:rsidR="006855C1" w:rsidRPr="00E94239" w:rsidRDefault="00DE6732"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b/>
          <w:sz w:val="24"/>
          <w:szCs w:val="24"/>
        </w:rPr>
        <w:t>PRIMERO.-</w:t>
      </w:r>
      <w:r w:rsidRPr="00E94239">
        <w:rPr>
          <w:rFonts w:ascii="Arial" w:eastAsia="Arial Unicode MS" w:hAnsi="Arial" w:cs="Arial"/>
          <w:sz w:val="24"/>
          <w:szCs w:val="24"/>
        </w:rPr>
        <w:t xml:space="preserve"> Esta Tercera Sala Unitaria del Tribunal Estatal de Justicia administrativa, corresponde conocer, substanciar y resolver los juicios de su competencia, en términos de los artículos 123 de la Constitución Política del Estado de San Luis Potosí, y </w:t>
      </w:r>
      <w:r w:rsidR="007422BC" w:rsidRPr="00E94239">
        <w:rPr>
          <w:rFonts w:ascii="Arial" w:eastAsia="Calibri" w:hAnsi="Arial" w:cs="Arial"/>
          <w:sz w:val="24"/>
          <w:szCs w:val="24"/>
        </w:rPr>
        <w:t>1º, 2º,</w:t>
      </w:r>
      <w:r w:rsidR="006855C1" w:rsidRPr="00E94239">
        <w:rPr>
          <w:rFonts w:ascii="Arial" w:eastAsia="Calibri" w:hAnsi="Arial" w:cs="Arial"/>
          <w:sz w:val="24"/>
          <w:szCs w:val="24"/>
        </w:rPr>
        <w:t xml:space="preserve"> </w:t>
      </w:r>
      <w:r w:rsidRPr="00E94239">
        <w:rPr>
          <w:rFonts w:ascii="Arial" w:eastAsia="Arial Unicode MS" w:hAnsi="Arial" w:cs="Arial"/>
          <w:sz w:val="24"/>
          <w:szCs w:val="24"/>
        </w:rPr>
        <w:t>7°</w:t>
      </w:r>
      <w:r w:rsidR="007422BC" w:rsidRPr="00E94239">
        <w:rPr>
          <w:rFonts w:ascii="Arial" w:eastAsia="Calibri" w:hAnsi="Arial" w:cs="Arial"/>
          <w:sz w:val="24"/>
          <w:szCs w:val="24"/>
        </w:rPr>
        <w:t xml:space="preserve"> </w:t>
      </w:r>
      <w:r w:rsidR="00662D57" w:rsidRPr="00E94239">
        <w:rPr>
          <w:rFonts w:ascii="Arial" w:eastAsia="Calibri" w:hAnsi="Arial" w:cs="Arial"/>
          <w:sz w:val="24"/>
          <w:szCs w:val="24"/>
        </w:rPr>
        <w:t>fracci</w:t>
      </w:r>
      <w:r w:rsidR="006855C1" w:rsidRPr="00E94239">
        <w:rPr>
          <w:rFonts w:ascii="Arial" w:eastAsia="Calibri" w:hAnsi="Arial" w:cs="Arial"/>
          <w:sz w:val="24"/>
          <w:szCs w:val="24"/>
        </w:rPr>
        <w:t xml:space="preserve">ón </w:t>
      </w:r>
      <w:r w:rsidR="007422BC" w:rsidRPr="00E94239">
        <w:rPr>
          <w:rFonts w:ascii="Arial" w:eastAsia="Calibri" w:hAnsi="Arial" w:cs="Arial"/>
          <w:sz w:val="24"/>
          <w:szCs w:val="24"/>
        </w:rPr>
        <w:t>I</w:t>
      </w:r>
      <w:r w:rsidRPr="00E94239">
        <w:rPr>
          <w:rFonts w:ascii="Arial" w:eastAsia="Arial Unicode MS" w:hAnsi="Arial" w:cs="Arial"/>
          <w:sz w:val="24"/>
          <w:szCs w:val="24"/>
        </w:rPr>
        <w:t>, 9° fracción III, 24, 33, 35</w:t>
      </w:r>
      <w:r w:rsidR="007422BC" w:rsidRPr="00E94239">
        <w:rPr>
          <w:rFonts w:ascii="Arial" w:eastAsia="Arial Unicode MS" w:hAnsi="Arial" w:cs="Arial"/>
          <w:sz w:val="24"/>
          <w:szCs w:val="24"/>
        </w:rPr>
        <w:t xml:space="preserve"> </w:t>
      </w:r>
      <w:r w:rsidR="007422BC" w:rsidRPr="00E94239">
        <w:rPr>
          <w:rFonts w:ascii="Arial" w:eastAsia="Calibri" w:hAnsi="Arial" w:cs="Arial"/>
          <w:sz w:val="24"/>
          <w:szCs w:val="24"/>
        </w:rPr>
        <w:t>fracción VIII</w:t>
      </w:r>
      <w:r w:rsidRPr="00E94239">
        <w:rPr>
          <w:rFonts w:ascii="Arial" w:eastAsia="Arial Unicode MS" w:hAnsi="Arial" w:cs="Arial"/>
          <w:sz w:val="24"/>
          <w:szCs w:val="24"/>
        </w:rPr>
        <w:t>, y 37</w:t>
      </w:r>
      <w:r w:rsidR="006855C1" w:rsidRPr="00E94239">
        <w:rPr>
          <w:rFonts w:ascii="Arial" w:eastAsia="Arial Unicode MS" w:hAnsi="Arial" w:cs="Arial"/>
          <w:sz w:val="24"/>
          <w:szCs w:val="24"/>
        </w:rPr>
        <w:t>, fracción II</w:t>
      </w:r>
      <w:r w:rsidRPr="00E94239">
        <w:rPr>
          <w:rFonts w:ascii="Arial" w:eastAsia="Arial Unicode MS" w:hAnsi="Arial" w:cs="Arial"/>
          <w:sz w:val="24"/>
          <w:szCs w:val="24"/>
        </w:rPr>
        <w:t xml:space="preserve">, de la Ley Orgánica del Tribunal Estatal de Justicia Administrativa de San Luis Potosí, ya que se trata de una controversia </w:t>
      </w:r>
      <w:r w:rsidR="006855C1" w:rsidRPr="00E94239">
        <w:rPr>
          <w:rFonts w:ascii="Arial" w:eastAsia="Arial Unicode MS" w:hAnsi="Arial" w:cs="Arial"/>
          <w:sz w:val="24"/>
          <w:szCs w:val="24"/>
        </w:rPr>
        <w:t xml:space="preserve">de carácter administrativo derivada de una resolución definitiva, como lo es el recurso de </w:t>
      </w:r>
      <w:r w:rsidR="009E5909" w:rsidRPr="00E94239">
        <w:rPr>
          <w:rFonts w:ascii="Arial" w:eastAsia="Arial Unicode MS" w:hAnsi="Arial" w:cs="Arial"/>
          <w:sz w:val="24"/>
          <w:szCs w:val="24"/>
        </w:rPr>
        <w:t>revisión</w:t>
      </w:r>
      <w:r w:rsidR="006855C1" w:rsidRPr="00E94239">
        <w:rPr>
          <w:rFonts w:ascii="Arial" w:eastAsia="Arial Unicode MS" w:hAnsi="Arial" w:cs="Arial"/>
          <w:sz w:val="24"/>
          <w:szCs w:val="24"/>
        </w:rPr>
        <w:t xml:space="preserve">, dictada por una autoridad </w:t>
      </w:r>
      <w:r w:rsidR="009E5909" w:rsidRPr="00E94239">
        <w:rPr>
          <w:rFonts w:ascii="Arial" w:eastAsia="Arial Unicode MS" w:hAnsi="Arial" w:cs="Arial"/>
          <w:sz w:val="24"/>
          <w:szCs w:val="24"/>
        </w:rPr>
        <w:t>del Poder Ejecutivo Estatal</w:t>
      </w:r>
      <w:r w:rsidR="006855C1" w:rsidRPr="00E94239">
        <w:rPr>
          <w:rFonts w:ascii="Arial" w:eastAsia="Arial Unicode MS" w:hAnsi="Arial" w:cs="Arial"/>
          <w:sz w:val="24"/>
          <w:szCs w:val="24"/>
        </w:rPr>
        <w:t xml:space="preserve"> en agravio de un particular.</w:t>
      </w:r>
    </w:p>
    <w:p w:rsidR="00DE6732" w:rsidRPr="00E94239" w:rsidRDefault="00DE6732" w:rsidP="00DE6732">
      <w:pPr>
        <w:spacing w:after="0" w:line="360" w:lineRule="auto"/>
        <w:ind w:firstLine="709"/>
        <w:jc w:val="both"/>
        <w:rPr>
          <w:rFonts w:ascii="Arial" w:eastAsia="Arial Unicode MS" w:hAnsi="Arial" w:cs="Arial"/>
          <w:sz w:val="24"/>
          <w:szCs w:val="24"/>
        </w:rPr>
      </w:pPr>
    </w:p>
    <w:p w:rsidR="009E5909" w:rsidRPr="00E94239" w:rsidRDefault="00DE6732" w:rsidP="009E5909">
      <w:pPr>
        <w:autoSpaceDE w:val="0"/>
        <w:autoSpaceDN w:val="0"/>
        <w:adjustRightInd w:val="0"/>
        <w:spacing w:after="0" w:line="360" w:lineRule="auto"/>
        <w:ind w:firstLine="709"/>
        <w:jc w:val="both"/>
        <w:rPr>
          <w:rFonts w:ascii="Arial" w:eastAsia="Times New Roman" w:hAnsi="Arial" w:cs="Arial"/>
          <w:sz w:val="24"/>
          <w:szCs w:val="24"/>
          <w:lang w:eastAsia="es-ES"/>
        </w:rPr>
      </w:pPr>
      <w:r w:rsidRPr="00E94239">
        <w:rPr>
          <w:rFonts w:ascii="Arial" w:hAnsi="Arial" w:cs="Arial"/>
          <w:b/>
          <w:sz w:val="24"/>
          <w:szCs w:val="24"/>
        </w:rPr>
        <w:t>SEGUNDO.-</w:t>
      </w:r>
      <w:r w:rsidRPr="00E94239">
        <w:rPr>
          <w:rFonts w:ascii="Arial" w:hAnsi="Arial" w:cs="Arial"/>
          <w:sz w:val="24"/>
          <w:szCs w:val="24"/>
        </w:rPr>
        <w:t xml:space="preserve"> </w:t>
      </w:r>
      <w:r w:rsidR="009E5909" w:rsidRPr="00E94239">
        <w:rPr>
          <w:rFonts w:ascii="Arial" w:eastAsia="Times New Roman" w:hAnsi="Arial" w:cs="Arial"/>
          <w:sz w:val="24"/>
          <w:szCs w:val="24"/>
          <w:lang w:eastAsia="es-ES"/>
        </w:rPr>
        <w:t xml:space="preserve">De acuerdo con lo que precisa el artículo 221 del Código Procesal Administrativo para el Estado, esta </w:t>
      </w:r>
      <w:r w:rsidR="00D45F1B" w:rsidRPr="00E94239">
        <w:rPr>
          <w:rFonts w:ascii="Arial" w:eastAsia="Times New Roman" w:hAnsi="Arial" w:cs="Arial"/>
          <w:sz w:val="24"/>
          <w:szCs w:val="24"/>
          <w:lang w:eastAsia="es-ES"/>
        </w:rPr>
        <w:t xml:space="preserve">Tercera </w:t>
      </w:r>
      <w:r w:rsidR="009E5909" w:rsidRPr="00E94239">
        <w:rPr>
          <w:rFonts w:ascii="Arial" w:eastAsia="Times New Roman" w:hAnsi="Arial" w:cs="Arial"/>
          <w:sz w:val="24"/>
          <w:szCs w:val="24"/>
          <w:lang w:eastAsia="es-ES"/>
        </w:rPr>
        <w:t>Sala Unitaria procede a analizar la personalidad y legitimación de los comparecientes a este juicio.</w:t>
      </w:r>
    </w:p>
    <w:p w:rsidR="009E5909" w:rsidRPr="00E94239" w:rsidRDefault="009E5909" w:rsidP="009E5909">
      <w:pPr>
        <w:autoSpaceDE w:val="0"/>
        <w:autoSpaceDN w:val="0"/>
        <w:adjustRightInd w:val="0"/>
        <w:spacing w:after="0" w:line="360" w:lineRule="auto"/>
        <w:ind w:firstLine="709"/>
        <w:jc w:val="both"/>
        <w:rPr>
          <w:rFonts w:ascii="Arial" w:eastAsia="Times New Roman" w:hAnsi="Arial" w:cs="Arial"/>
          <w:sz w:val="24"/>
          <w:szCs w:val="24"/>
          <w:lang w:eastAsia="es-ES"/>
        </w:rPr>
      </w:pPr>
    </w:p>
    <w:p w:rsidR="009E5909" w:rsidRPr="00E94239" w:rsidRDefault="009E5909" w:rsidP="009E5909">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 xml:space="preserve">La personalidad del representante legal de la persona moral actora, </w:t>
      </w:r>
      <w:r w:rsidR="00E00248">
        <w:rPr>
          <w:rFonts w:ascii="Arial" w:eastAsia="Arial Unicode MS" w:hAnsi="Arial" w:cs="Arial"/>
          <w:b/>
          <w:color w:val="FF0000"/>
          <w:sz w:val="24"/>
          <w:szCs w:val="24"/>
        </w:rPr>
        <w:t>**********</w:t>
      </w:r>
      <w:r w:rsidR="00D45F1B" w:rsidRPr="00E94239">
        <w:rPr>
          <w:rFonts w:ascii="Arial" w:eastAsia="Arial Unicode MS" w:hAnsi="Arial" w:cs="Arial"/>
          <w:sz w:val="24"/>
          <w:szCs w:val="24"/>
        </w:rPr>
        <w:t xml:space="preserve">, </w:t>
      </w:r>
      <w:r w:rsidRPr="00E94239">
        <w:rPr>
          <w:rFonts w:ascii="Arial" w:eastAsia="Arial Unicode MS" w:hAnsi="Arial" w:cs="Arial"/>
          <w:sz w:val="24"/>
          <w:szCs w:val="24"/>
        </w:rPr>
        <w:t xml:space="preserve">se tiene por acreditada conforme al segundo párrafo del numeral 219 del Código Procesal Administrativo para el Estado de San Luis Potosí, con la copia certificada del Instrumento Notarial otorgado por la sociedad actora, protocolizado ante la fe del Notario Público </w:t>
      </w:r>
      <w:r w:rsidR="00936746" w:rsidRPr="00E94239">
        <w:rPr>
          <w:rFonts w:ascii="Arial" w:eastAsia="Arial Unicode MS" w:hAnsi="Arial" w:cs="Arial"/>
          <w:sz w:val="24"/>
          <w:szCs w:val="24"/>
        </w:rPr>
        <w:t xml:space="preserve">adscrito a la Notaria Pública </w:t>
      </w:r>
      <w:r w:rsidRPr="00E94239">
        <w:rPr>
          <w:rFonts w:ascii="Arial" w:eastAsia="Arial Unicode MS" w:hAnsi="Arial" w:cs="Arial"/>
          <w:sz w:val="24"/>
          <w:szCs w:val="24"/>
        </w:rPr>
        <w:t xml:space="preserve">número </w:t>
      </w:r>
      <w:r w:rsidR="00E00248">
        <w:rPr>
          <w:rFonts w:ascii="Arial" w:eastAsia="Arial Unicode MS" w:hAnsi="Arial" w:cs="Arial"/>
          <w:color w:val="FF0000"/>
          <w:sz w:val="24"/>
          <w:szCs w:val="24"/>
        </w:rPr>
        <w:t>**********</w:t>
      </w:r>
      <w:r w:rsidRPr="00E94239">
        <w:rPr>
          <w:rFonts w:ascii="Arial" w:eastAsia="Arial Unicode MS" w:hAnsi="Arial" w:cs="Arial"/>
          <w:sz w:val="24"/>
          <w:szCs w:val="24"/>
        </w:rPr>
        <w:t xml:space="preserve">, con ejercicio en el </w:t>
      </w:r>
      <w:r w:rsidR="00E00248">
        <w:rPr>
          <w:rFonts w:ascii="Arial" w:eastAsia="Arial Unicode MS" w:hAnsi="Arial" w:cs="Arial"/>
          <w:color w:val="FF0000"/>
          <w:sz w:val="24"/>
          <w:szCs w:val="24"/>
        </w:rPr>
        <w:t>**********</w:t>
      </w:r>
      <w:r w:rsidRPr="00E94239">
        <w:rPr>
          <w:rFonts w:ascii="Arial" w:eastAsia="Arial Unicode MS" w:hAnsi="Arial" w:cs="Arial"/>
          <w:sz w:val="24"/>
          <w:szCs w:val="24"/>
        </w:rPr>
        <w:t xml:space="preserve">, documental que obra en foja de la </w:t>
      </w:r>
      <w:r w:rsidR="00D45F1B" w:rsidRPr="00E94239">
        <w:rPr>
          <w:rFonts w:ascii="Arial" w:eastAsia="Arial Unicode MS" w:hAnsi="Arial" w:cs="Arial"/>
          <w:sz w:val="24"/>
          <w:szCs w:val="24"/>
        </w:rPr>
        <w:t>72</w:t>
      </w:r>
      <w:r w:rsidRPr="00E94239">
        <w:rPr>
          <w:rFonts w:ascii="Arial" w:eastAsia="Arial Unicode MS" w:hAnsi="Arial" w:cs="Arial"/>
          <w:sz w:val="24"/>
          <w:szCs w:val="24"/>
        </w:rPr>
        <w:t xml:space="preserve"> a la </w:t>
      </w:r>
      <w:r w:rsidR="00936746" w:rsidRPr="00E94239">
        <w:rPr>
          <w:rFonts w:ascii="Arial" w:eastAsia="Arial Unicode MS" w:hAnsi="Arial" w:cs="Arial"/>
          <w:sz w:val="24"/>
          <w:szCs w:val="24"/>
        </w:rPr>
        <w:t>77</w:t>
      </w:r>
      <w:r w:rsidRPr="00E94239">
        <w:rPr>
          <w:rFonts w:ascii="Arial" w:eastAsia="Arial Unicode MS" w:hAnsi="Arial" w:cs="Arial"/>
          <w:sz w:val="24"/>
          <w:szCs w:val="24"/>
        </w:rPr>
        <w:t xml:space="preserve"> del expediente en que se actúa; asimismo, acreditó su interés jurídico, en términos del artículo 231 del Código Procesal Administrativo en consulta, con </w:t>
      </w:r>
      <w:r w:rsidR="00936746" w:rsidRPr="00E94239">
        <w:rPr>
          <w:rFonts w:ascii="Arial" w:eastAsia="Arial Unicode MS" w:hAnsi="Arial" w:cs="Arial"/>
          <w:sz w:val="24"/>
          <w:szCs w:val="24"/>
        </w:rPr>
        <w:t xml:space="preserve">el oficio </w:t>
      </w:r>
      <w:r w:rsidR="00936746" w:rsidRPr="001361BF">
        <w:rPr>
          <w:rFonts w:ascii="Arial" w:eastAsia="Arial Unicode MS" w:hAnsi="Arial" w:cs="Arial"/>
          <w:sz w:val="24"/>
          <w:szCs w:val="24"/>
        </w:rPr>
        <w:t xml:space="preserve">SEGAM/DESP/067-2025 que </w:t>
      </w:r>
      <w:r w:rsidR="00936746" w:rsidRPr="00E94239">
        <w:rPr>
          <w:rFonts w:ascii="Arial" w:eastAsia="Arial Unicode MS" w:hAnsi="Arial" w:cs="Arial"/>
          <w:sz w:val="24"/>
          <w:szCs w:val="24"/>
        </w:rPr>
        <w:t xml:space="preserve">contiene </w:t>
      </w:r>
      <w:r w:rsidRPr="00E94239">
        <w:rPr>
          <w:rFonts w:ascii="Arial" w:eastAsia="Arial Unicode MS" w:hAnsi="Arial" w:cs="Arial"/>
          <w:sz w:val="24"/>
          <w:szCs w:val="24"/>
        </w:rPr>
        <w:t xml:space="preserve">el acto impugnado, visible en fojas de </w:t>
      </w:r>
      <w:r w:rsidR="00936746" w:rsidRPr="00E94239">
        <w:rPr>
          <w:rFonts w:ascii="Arial" w:eastAsia="Arial Unicode MS" w:hAnsi="Arial" w:cs="Arial"/>
          <w:sz w:val="24"/>
          <w:szCs w:val="24"/>
        </w:rPr>
        <w:t>21</w:t>
      </w:r>
      <w:r w:rsidRPr="00E94239">
        <w:rPr>
          <w:rFonts w:ascii="Arial" w:eastAsia="Arial Unicode MS" w:hAnsi="Arial" w:cs="Arial"/>
          <w:sz w:val="24"/>
          <w:szCs w:val="24"/>
        </w:rPr>
        <w:t xml:space="preserve"> a la </w:t>
      </w:r>
      <w:r w:rsidR="00936746" w:rsidRPr="00E94239">
        <w:rPr>
          <w:rFonts w:ascii="Arial" w:eastAsia="Arial Unicode MS" w:hAnsi="Arial" w:cs="Arial"/>
          <w:sz w:val="24"/>
          <w:szCs w:val="24"/>
        </w:rPr>
        <w:t>36</w:t>
      </w:r>
      <w:r w:rsidRPr="00E94239">
        <w:rPr>
          <w:rFonts w:ascii="Arial" w:eastAsia="Arial Unicode MS" w:hAnsi="Arial" w:cs="Arial"/>
          <w:sz w:val="24"/>
          <w:szCs w:val="24"/>
        </w:rPr>
        <w:t xml:space="preserve"> de este sumario.</w:t>
      </w:r>
    </w:p>
    <w:p w:rsidR="009E5909" w:rsidRPr="00E94239" w:rsidRDefault="009E5909" w:rsidP="009E5909">
      <w:pPr>
        <w:spacing w:after="0" w:line="360" w:lineRule="auto"/>
        <w:ind w:firstLine="709"/>
        <w:jc w:val="both"/>
        <w:rPr>
          <w:rFonts w:ascii="Arial" w:eastAsia="Arial Unicode MS" w:hAnsi="Arial" w:cs="Arial"/>
          <w:sz w:val="24"/>
          <w:szCs w:val="24"/>
        </w:rPr>
      </w:pPr>
    </w:p>
    <w:p w:rsidR="009E5909" w:rsidRPr="00E94239" w:rsidRDefault="009E5909" w:rsidP="009E5909">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 xml:space="preserve">La personalidad </w:t>
      </w:r>
      <w:r w:rsidR="00936746" w:rsidRPr="00E94239">
        <w:rPr>
          <w:rFonts w:ascii="Arial" w:eastAsia="Arial Unicode MS" w:hAnsi="Arial" w:cs="Arial"/>
          <w:sz w:val="24"/>
          <w:szCs w:val="24"/>
        </w:rPr>
        <w:t>de la autoridad demandada, quedó</w:t>
      </w:r>
      <w:r w:rsidRPr="00E94239">
        <w:rPr>
          <w:rFonts w:ascii="Arial" w:eastAsia="Arial Unicode MS" w:hAnsi="Arial" w:cs="Arial"/>
          <w:sz w:val="24"/>
          <w:szCs w:val="24"/>
        </w:rPr>
        <w:t xml:space="preserve"> acreditada a través del nombramiento expedido a su favor que obra en fojas </w:t>
      </w:r>
      <w:r w:rsidR="00936746" w:rsidRPr="00E94239">
        <w:rPr>
          <w:rFonts w:ascii="Arial" w:eastAsia="Arial Unicode MS" w:hAnsi="Arial" w:cs="Arial"/>
          <w:sz w:val="24"/>
          <w:szCs w:val="24"/>
        </w:rPr>
        <w:t>116 a 117</w:t>
      </w:r>
      <w:r w:rsidRPr="00E94239">
        <w:rPr>
          <w:rFonts w:ascii="Arial" w:eastAsia="Arial Unicode MS" w:hAnsi="Arial" w:cs="Arial"/>
          <w:sz w:val="24"/>
          <w:szCs w:val="24"/>
        </w:rPr>
        <w:t xml:space="preserve"> del </w:t>
      </w:r>
      <w:r w:rsidRPr="00E94239">
        <w:rPr>
          <w:rFonts w:ascii="Arial" w:eastAsia="Arial Unicode MS" w:hAnsi="Arial" w:cs="Arial"/>
          <w:sz w:val="24"/>
          <w:szCs w:val="24"/>
        </w:rPr>
        <w:lastRenderedPageBreak/>
        <w:t>expediente en el que se actúa, de conformidad con lo dispuesto por el artículo 220 del Código Procesal Administrativo para el Estado.</w:t>
      </w:r>
    </w:p>
    <w:p w:rsidR="009E5909" w:rsidRPr="00E94239" w:rsidRDefault="009E5909" w:rsidP="009E5909">
      <w:pPr>
        <w:spacing w:after="0" w:line="360" w:lineRule="auto"/>
        <w:ind w:firstLine="709"/>
        <w:jc w:val="both"/>
        <w:rPr>
          <w:rFonts w:ascii="Arial" w:eastAsia="Arial Unicode MS" w:hAnsi="Arial" w:cs="Arial"/>
          <w:sz w:val="24"/>
          <w:szCs w:val="24"/>
        </w:rPr>
      </w:pPr>
    </w:p>
    <w:p w:rsidR="009E5909" w:rsidRPr="00E94239" w:rsidRDefault="009E5909" w:rsidP="009E5909">
      <w:pPr>
        <w:tabs>
          <w:tab w:val="left" w:pos="2835"/>
        </w:tabs>
        <w:spacing w:after="0" w:line="360" w:lineRule="auto"/>
        <w:ind w:firstLine="709"/>
        <w:jc w:val="both"/>
        <w:rPr>
          <w:rFonts w:ascii="Arial" w:eastAsia="Times New Roman" w:hAnsi="Arial" w:cs="Arial"/>
          <w:sz w:val="24"/>
          <w:szCs w:val="24"/>
          <w:lang w:val="es-ES" w:eastAsia="es-ES"/>
        </w:rPr>
      </w:pPr>
      <w:r w:rsidRPr="00E94239">
        <w:rPr>
          <w:rFonts w:ascii="Arial" w:hAnsi="Arial" w:cs="Arial"/>
          <w:sz w:val="24"/>
          <w:szCs w:val="24"/>
        </w:rPr>
        <w:t xml:space="preserve">Las documentales </w:t>
      </w:r>
      <w:r w:rsidRPr="00E94239">
        <w:rPr>
          <w:rFonts w:ascii="Arial" w:eastAsia="Times New Roman" w:hAnsi="Arial" w:cs="Arial"/>
          <w:sz w:val="24"/>
          <w:szCs w:val="24"/>
          <w:lang w:val="es-ES" w:eastAsia="es-ES"/>
        </w:rPr>
        <w:t xml:space="preserve">anteriormente referidas, adquieren </w:t>
      </w:r>
      <w:r w:rsidRPr="00E94239">
        <w:rPr>
          <w:rFonts w:ascii="Arial" w:hAnsi="Arial" w:cs="Arial"/>
          <w:sz w:val="24"/>
          <w:szCs w:val="24"/>
        </w:rPr>
        <w:t xml:space="preserve">valor probatorio pleno de acuerdo con </w:t>
      </w:r>
      <w:r w:rsidRPr="00E94239">
        <w:rPr>
          <w:rFonts w:ascii="Arial" w:eastAsia="Times New Roman" w:hAnsi="Arial" w:cs="Arial"/>
          <w:sz w:val="24"/>
          <w:szCs w:val="24"/>
          <w:lang w:val="es-ES" w:eastAsia="es-ES"/>
        </w:rPr>
        <w:t>los artículos 72 fracción I, 74 y 91 del Código Procesal Administrativo para el Estado, por tratarse de documentos públicos expedidos por servidor y fedatario públicos, en el desempeño de sus respectivas funciones.</w:t>
      </w:r>
    </w:p>
    <w:p w:rsidR="00FE1570" w:rsidRPr="00E94239" w:rsidRDefault="00FE1570" w:rsidP="00DE6732">
      <w:pPr>
        <w:tabs>
          <w:tab w:val="left" w:pos="2835"/>
        </w:tabs>
        <w:spacing w:after="0" w:line="360" w:lineRule="auto"/>
        <w:ind w:firstLine="709"/>
        <w:jc w:val="both"/>
        <w:rPr>
          <w:rFonts w:ascii="Arial" w:eastAsia="Calibri" w:hAnsi="Arial" w:cs="Arial"/>
          <w:sz w:val="24"/>
          <w:szCs w:val="24"/>
        </w:rPr>
      </w:pPr>
    </w:p>
    <w:p w:rsidR="00936746" w:rsidRPr="00E94239" w:rsidRDefault="00936746" w:rsidP="00DE6732">
      <w:pPr>
        <w:tabs>
          <w:tab w:val="left" w:pos="2835"/>
        </w:tabs>
        <w:spacing w:after="0" w:line="360" w:lineRule="auto"/>
        <w:ind w:firstLine="709"/>
        <w:jc w:val="both"/>
        <w:rPr>
          <w:rFonts w:ascii="Arial" w:eastAsia="Calibri" w:hAnsi="Arial" w:cs="Arial"/>
          <w:sz w:val="24"/>
          <w:szCs w:val="24"/>
        </w:rPr>
      </w:pPr>
    </w:p>
    <w:p w:rsidR="00DE6732" w:rsidRPr="00E94239" w:rsidRDefault="00DE6732" w:rsidP="00786AA8">
      <w:pPr>
        <w:spacing w:after="0" w:line="360" w:lineRule="auto"/>
        <w:ind w:firstLine="709"/>
        <w:jc w:val="both"/>
        <w:rPr>
          <w:rFonts w:ascii="Arial" w:eastAsia="Calibri" w:hAnsi="Arial" w:cs="Arial"/>
          <w:sz w:val="24"/>
          <w:szCs w:val="24"/>
        </w:rPr>
      </w:pPr>
      <w:r w:rsidRPr="00E94239">
        <w:rPr>
          <w:rFonts w:ascii="Arial" w:eastAsia="Arial Unicode MS" w:hAnsi="Arial" w:cs="Arial"/>
          <w:b/>
          <w:sz w:val="24"/>
          <w:szCs w:val="24"/>
        </w:rPr>
        <w:t>TERCERO.-</w:t>
      </w:r>
      <w:r w:rsidRPr="00E94239">
        <w:rPr>
          <w:rFonts w:ascii="Arial" w:eastAsia="Arial Unicode MS" w:hAnsi="Arial" w:cs="Arial"/>
          <w:sz w:val="24"/>
          <w:szCs w:val="24"/>
        </w:rPr>
        <w:t xml:space="preserve"> </w:t>
      </w:r>
      <w:r w:rsidRPr="00E94239">
        <w:rPr>
          <w:rFonts w:ascii="Arial" w:eastAsia="Calibri" w:hAnsi="Arial" w:cs="Arial"/>
          <w:sz w:val="24"/>
          <w:szCs w:val="24"/>
        </w:rPr>
        <w:t xml:space="preserve">La </w:t>
      </w:r>
      <w:proofErr w:type="spellStart"/>
      <w:r w:rsidRPr="00E94239">
        <w:rPr>
          <w:rFonts w:ascii="Arial" w:eastAsia="Calibri" w:hAnsi="Arial" w:cs="Arial"/>
          <w:sz w:val="24"/>
          <w:szCs w:val="24"/>
        </w:rPr>
        <w:t>litis</w:t>
      </w:r>
      <w:proofErr w:type="spellEnd"/>
      <w:r w:rsidRPr="00E94239">
        <w:rPr>
          <w:rFonts w:ascii="Arial" w:eastAsia="Calibri" w:hAnsi="Arial" w:cs="Arial"/>
          <w:sz w:val="24"/>
          <w:szCs w:val="24"/>
        </w:rPr>
        <w:t xml:space="preserve"> de la presente controversia, consiste en determinar la legalidad o ilegalidad de </w:t>
      </w:r>
      <w:r w:rsidR="00786AA8" w:rsidRPr="00E94239">
        <w:rPr>
          <w:rFonts w:ascii="Arial" w:eastAsia="Calibri" w:hAnsi="Arial" w:cs="Arial"/>
          <w:sz w:val="24"/>
          <w:szCs w:val="24"/>
        </w:rPr>
        <w:t xml:space="preserve">la </w:t>
      </w:r>
      <w:r w:rsidR="00786AA8" w:rsidRPr="00E94239">
        <w:rPr>
          <w:rFonts w:ascii="Arial" w:eastAsia="Arial Unicode MS" w:hAnsi="Arial" w:cs="Arial"/>
          <w:sz w:val="24"/>
          <w:szCs w:val="24"/>
        </w:rPr>
        <w:t xml:space="preserve">resolución de fecha 10 de marzo de 2025, </w:t>
      </w:r>
      <w:r w:rsidR="00786AA8" w:rsidRPr="001361BF">
        <w:rPr>
          <w:rFonts w:ascii="Arial" w:eastAsia="Arial Unicode MS" w:hAnsi="Arial" w:cs="Arial"/>
          <w:sz w:val="24"/>
          <w:szCs w:val="24"/>
        </w:rPr>
        <w:t>contenida en el oficio SEGAM/DESP/067-2025, la cual resuelve el Recurso de Revisión interpuesto en contra de la resolución dictada dentro del expediente SEGAM.AYS.02.021/2018, donde se negó el permiso de operación de fuentes fijas</w:t>
      </w:r>
      <w:r w:rsidRPr="001361BF">
        <w:rPr>
          <w:rFonts w:ascii="Arial" w:eastAsia="Arial Unicode MS" w:hAnsi="Arial" w:cs="Arial"/>
          <w:sz w:val="24"/>
          <w:szCs w:val="24"/>
        </w:rPr>
        <w:t xml:space="preserve">; </w:t>
      </w:r>
      <w:r w:rsidR="00471BF1" w:rsidRPr="001361BF">
        <w:rPr>
          <w:rFonts w:ascii="Arial" w:eastAsia="Arial Unicode MS" w:hAnsi="Arial" w:cs="Arial"/>
          <w:sz w:val="24"/>
          <w:szCs w:val="24"/>
        </w:rPr>
        <w:t xml:space="preserve">exhibiendo </w:t>
      </w:r>
      <w:r w:rsidR="00471BF1" w:rsidRPr="001361BF">
        <w:rPr>
          <w:rFonts w:ascii="Arial" w:eastAsia="Calibri" w:hAnsi="Arial" w:cs="Arial"/>
          <w:sz w:val="24"/>
          <w:szCs w:val="24"/>
        </w:rPr>
        <w:t xml:space="preserve">la parte </w:t>
      </w:r>
      <w:r w:rsidR="00471BF1" w:rsidRPr="00E94239">
        <w:rPr>
          <w:rFonts w:ascii="Arial" w:eastAsia="Calibri" w:hAnsi="Arial" w:cs="Arial"/>
          <w:sz w:val="24"/>
          <w:szCs w:val="24"/>
        </w:rPr>
        <w:t xml:space="preserve">actora </w:t>
      </w:r>
      <w:r w:rsidR="00471BF1" w:rsidRPr="00E94239">
        <w:rPr>
          <w:rFonts w:ascii="Arial" w:eastAsia="Arial Unicode MS" w:hAnsi="Arial" w:cs="Arial"/>
          <w:sz w:val="24"/>
          <w:szCs w:val="24"/>
        </w:rPr>
        <w:t xml:space="preserve">con su demanda </w:t>
      </w:r>
      <w:r w:rsidR="00471BF1" w:rsidRPr="00E94239">
        <w:rPr>
          <w:rFonts w:ascii="Arial" w:eastAsia="Calibri" w:hAnsi="Arial" w:cs="Arial"/>
          <w:sz w:val="24"/>
          <w:szCs w:val="24"/>
        </w:rPr>
        <w:t>el documento en que consta la resolución impugnada</w:t>
      </w:r>
      <w:r w:rsidRPr="00E94239">
        <w:rPr>
          <w:rFonts w:ascii="Arial" w:eastAsia="Calibri" w:hAnsi="Arial" w:cs="Arial"/>
          <w:sz w:val="24"/>
          <w:szCs w:val="24"/>
        </w:rPr>
        <w:t>, conforme lo dispuesto por los numerales 233 fracción IV</w:t>
      </w:r>
      <w:r w:rsidR="00540083" w:rsidRPr="00E94239">
        <w:rPr>
          <w:rFonts w:ascii="Arial" w:eastAsia="Calibri" w:hAnsi="Arial" w:cs="Arial"/>
          <w:sz w:val="24"/>
          <w:szCs w:val="24"/>
        </w:rPr>
        <w:t>,</w:t>
      </w:r>
      <w:r w:rsidRPr="00E94239">
        <w:rPr>
          <w:rFonts w:ascii="Arial" w:eastAsia="Calibri" w:hAnsi="Arial" w:cs="Arial"/>
          <w:sz w:val="24"/>
          <w:szCs w:val="24"/>
        </w:rPr>
        <w:t xml:space="preserve"> y 234 fracción II</w:t>
      </w:r>
      <w:r w:rsidR="00540083" w:rsidRPr="00E94239">
        <w:rPr>
          <w:rFonts w:ascii="Arial" w:eastAsia="Calibri" w:hAnsi="Arial" w:cs="Arial"/>
          <w:sz w:val="24"/>
          <w:szCs w:val="24"/>
        </w:rPr>
        <w:t>,</w:t>
      </w:r>
      <w:r w:rsidRPr="00E94239">
        <w:rPr>
          <w:rFonts w:ascii="Arial" w:eastAsia="Calibri" w:hAnsi="Arial" w:cs="Arial"/>
          <w:sz w:val="24"/>
          <w:szCs w:val="24"/>
        </w:rPr>
        <w:t xml:space="preserve"> del Código Procesal Administrativo para el Estado</w:t>
      </w:r>
      <w:r w:rsidRPr="00E94239">
        <w:rPr>
          <w:rFonts w:ascii="Arial" w:eastAsia="Times New Roman" w:hAnsi="Arial" w:cs="Arial"/>
          <w:sz w:val="24"/>
          <w:szCs w:val="24"/>
          <w:lang w:val="es-ES" w:eastAsia="es-ES"/>
        </w:rPr>
        <w:t>,</w:t>
      </w:r>
      <w:r w:rsidRPr="00E94239">
        <w:rPr>
          <w:rFonts w:ascii="Arial" w:eastAsia="Arial Unicode MS" w:hAnsi="Arial" w:cs="Arial"/>
          <w:sz w:val="24"/>
          <w:szCs w:val="24"/>
        </w:rPr>
        <w:t xml:space="preserve"> con el valor probatorio que le concede la Ley de la materia.</w:t>
      </w:r>
    </w:p>
    <w:p w:rsidR="00540083" w:rsidRPr="00E94239" w:rsidRDefault="00540083" w:rsidP="00540083">
      <w:pPr>
        <w:spacing w:after="0" w:line="360" w:lineRule="auto"/>
        <w:ind w:firstLine="709"/>
        <w:jc w:val="both"/>
        <w:rPr>
          <w:rFonts w:ascii="Arial" w:eastAsia="Arial Unicode MS" w:hAnsi="Arial" w:cs="Arial"/>
          <w:sz w:val="24"/>
          <w:szCs w:val="24"/>
        </w:rPr>
      </w:pPr>
    </w:p>
    <w:p w:rsidR="00786AA8" w:rsidRPr="00E94239" w:rsidRDefault="00786AA8" w:rsidP="00540083">
      <w:pPr>
        <w:spacing w:after="0" w:line="360" w:lineRule="auto"/>
        <w:ind w:firstLine="709"/>
        <w:jc w:val="both"/>
        <w:rPr>
          <w:rFonts w:ascii="Arial" w:eastAsia="Arial Unicode MS" w:hAnsi="Arial" w:cs="Arial"/>
          <w:sz w:val="24"/>
          <w:szCs w:val="24"/>
        </w:rPr>
      </w:pPr>
    </w:p>
    <w:p w:rsidR="0012255E" w:rsidRPr="00E94239" w:rsidRDefault="00DE6732" w:rsidP="0012255E">
      <w:pPr>
        <w:spacing w:after="0" w:line="360" w:lineRule="auto"/>
        <w:ind w:firstLine="708"/>
        <w:jc w:val="both"/>
        <w:rPr>
          <w:rFonts w:ascii="Arial" w:hAnsi="Arial" w:cs="Arial"/>
          <w:sz w:val="24"/>
          <w:szCs w:val="24"/>
        </w:rPr>
      </w:pPr>
      <w:r w:rsidRPr="00E94239">
        <w:rPr>
          <w:rFonts w:ascii="Arial" w:eastAsia="Arial Unicode MS" w:hAnsi="Arial" w:cs="Arial"/>
          <w:b/>
          <w:sz w:val="24"/>
          <w:szCs w:val="24"/>
        </w:rPr>
        <w:t>CUARTO.-</w:t>
      </w:r>
      <w:r w:rsidRPr="00E94239">
        <w:rPr>
          <w:rFonts w:ascii="Arial" w:eastAsia="Arial Unicode MS" w:hAnsi="Arial" w:cs="Arial"/>
          <w:sz w:val="24"/>
          <w:szCs w:val="24"/>
        </w:rPr>
        <w:t xml:space="preserve"> </w:t>
      </w:r>
      <w:r w:rsidR="0012255E" w:rsidRPr="00E94239">
        <w:rPr>
          <w:rFonts w:ascii="Arial" w:hAnsi="Arial" w:cs="Arial"/>
          <w:sz w:val="24"/>
          <w:szCs w:val="24"/>
        </w:rPr>
        <w:t xml:space="preserve">Previo a entrar al estudio de los conceptos de impugnación vertidos por la accionante en su escrito inicial de demanda, es necesario establecer si en el presente juicio se actualiza alguna de las causales de improcedencia o sobreseimiento a que se refieren los artículos 228 y 229, </w:t>
      </w:r>
      <w:r w:rsidR="0012255E" w:rsidRPr="00E94239">
        <w:rPr>
          <w:rFonts w:ascii="Arial" w:hAnsi="Arial" w:cs="Arial"/>
          <w:sz w:val="24"/>
          <w:szCs w:val="24"/>
          <w:lang w:val="es-ES"/>
        </w:rPr>
        <w:t>del Código Procesal Administrativo para el Estado de San Luis Potosí</w:t>
      </w:r>
      <w:r w:rsidR="0012255E" w:rsidRPr="00E94239">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2255E" w:rsidRPr="00E94239" w:rsidRDefault="0012255E" w:rsidP="0012255E">
      <w:pPr>
        <w:spacing w:after="0" w:line="360" w:lineRule="auto"/>
        <w:ind w:firstLine="708"/>
        <w:jc w:val="both"/>
        <w:rPr>
          <w:rFonts w:ascii="Arial" w:hAnsi="Arial" w:cs="Arial"/>
          <w:sz w:val="24"/>
          <w:szCs w:val="24"/>
        </w:rPr>
      </w:pPr>
    </w:p>
    <w:p w:rsidR="00DE6732" w:rsidRPr="00E94239" w:rsidRDefault="00DE6732" w:rsidP="00DE6732">
      <w:pPr>
        <w:spacing w:after="0" w:line="360" w:lineRule="auto"/>
        <w:ind w:firstLine="709"/>
        <w:jc w:val="both"/>
        <w:rPr>
          <w:rFonts w:ascii="Arial" w:eastAsia="Calibri" w:hAnsi="Arial" w:cs="Arial"/>
          <w:sz w:val="24"/>
          <w:szCs w:val="24"/>
        </w:rPr>
      </w:pPr>
      <w:r w:rsidRPr="00E94239">
        <w:rPr>
          <w:rFonts w:ascii="Arial" w:eastAsia="Calibri" w:hAnsi="Arial" w:cs="Arial"/>
          <w:sz w:val="24"/>
          <w:szCs w:val="24"/>
        </w:rPr>
        <w:t xml:space="preserve">Advirtiéndose por esta </w:t>
      </w:r>
      <w:r w:rsidR="00E31DEF" w:rsidRPr="00E94239">
        <w:rPr>
          <w:rFonts w:ascii="Arial" w:eastAsia="Calibri" w:hAnsi="Arial" w:cs="Arial"/>
          <w:sz w:val="24"/>
          <w:szCs w:val="24"/>
        </w:rPr>
        <w:t xml:space="preserve">Tercera </w:t>
      </w:r>
      <w:r w:rsidRPr="00E94239">
        <w:rPr>
          <w:rFonts w:ascii="Arial" w:eastAsia="Calibri" w:hAnsi="Arial" w:cs="Arial"/>
          <w:sz w:val="24"/>
          <w:szCs w:val="24"/>
        </w:rPr>
        <w:t xml:space="preserve">Sala Unitaria, que no existen </w:t>
      </w:r>
      <w:r w:rsidRPr="00E94239">
        <w:rPr>
          <w:rFonts w:ascii="Arial" w:eastAsia="Calibri" w:hAnsi="Arial" w:cs="Arial"/>
          <w:b/>
          <w:sz w:val="24"/>
          <w:szCs w:val="24"/>
        </w:rPr>
        <w:t>causales de improcedencia o sobreseimiento que deba estudiar de oficio</w:t>
      </w:r>
      <w:r w:rsidR="00613D63" w:rsidRPr="00E94239">
        <w:rPr>
          <w:rFonts w:ascii="Arial" w:eastAsia="Calibri" w:hAnsi="Arial" w:cs="Arial"/>
          <w:b/>
          <w:sz w:val="24"/>
          <w:szCs w:val="24"/>
        </w:rPr>
        <w:t xml:space="preserve"> o que haya sido valer por las partes</w:t>
      </w:r>
      <w:r w:rsidRPr="00E94239">
        <w:rPr>
          <w:rFonts w:ascii="Arial" w:eastAsia="Calibri" w:hAnsi="Arial" w:cs="Arial"/>
          <w:b/>
          <w:sz w:val="24"/>
          <w:szCs w:val="24"/>
        </w:rPr>
        <w:t>, ni incidentes planteados</w:t>
      </w:r>
      <w:r w:rsidRPr="00E94239">
        <w:rPr>
          <w:rFonts w:ascii="Arial" w:eastAsia="Calibri" w:hAnsi="Arial" w:cs="Arial"/>
          <w:sz w:val="24"/>
          <w:szCs w:val="24"/>
        </w:rPr>
        <w:t>; por tanto, se procede al estudio de fondo de la controversia.</w:t>
      </w:r>
    </w:p>
    <w:p w:rsidR="00DE6732" w:rsidRPr="00E94239" w:rsidRDefault="00DE6732" w:rsidP="00DE6732">
      <w:pPr>
        <w:spacing w:after="0" w:line="360" w:lineRule="auto"/>
        <w:ind w:firstLine="709"/>
        <w:jc w:val="both"/>
        <w:rPr>
          <w:rFonts w:ascii="Arial" w:eastAsia="Arial Unicode MS" w:hAnsi="Arial" w:cs="Arial"/>
          <w:sz w:val="24"/>
          <w:szCs w:val="24"/>
        </w:rPr>
      </w:pPr>
    </w:p>
    <w:p w:rsidR="00E31DEF" w:rsidRPr="00E94239" w:rsidRDefault="00E31DEF" w:rsidP="00DE6732">
      <w:pPr>
        <w:spacing w:after="0" w:line="360" w:lineRule="auto"/>
        <w:ind w:firstLine="709"/>
        <w:jc w:val="both"/>
        <w:rPr>
          <w:rFonts w:ascii="Arial" w:eastAsia="Arial Unicode MS" w:hAnsi="Arial" w:cs="Arial"/>
          <w:sz w:val="24"/>
          <w:szCs w:val="24"/>
        </w:rPr>
      </w:pPr>
    </w:p>
    <w:p w:rsidR="00DE6732" w:rsidRPr="00E94239" w:rsidRDefault="00DE6732" w:rsidP="00FF2879">
      <w:pPr>
        <w:spacing w:after="0" w:line="360" w:lineRule="auto"/>
        <w:ind w:firstLine="709"/>
        <w:jc w:val="both"/>
        <w:rPr>
          <w:rFonts w:ascii="Arial" w:eastAsia="Arial Unicode MS" w:hAnsi="Arial" w:cs="Arial"/>
          <w:sz w:val="24"/>
          <w:szCs w:val="24"/>
        </w:rPr>
      </w:pPr>
      <w:r w:rsidRPr="00E94239">
        <w:rPr>
          <w:rFonts w:ascii="Arial" w:eastAsia="Arial Unicode MS" w:hAnsi="Arial" w:cs="Arial"/>
          <w:b/>
          <w:sz w:val="24"/>
          <w:szCs w:val="24"/>
        </w:rPr>
        <w:lastRenderedPageBreak/>
        <w:t>QUINTO.-</w:t>
      </w:r>
      <w:r w:rsidRPr="00E94239">
        <w:rPr>
          <w:rFonts w:ascii="Arial" w:eastAsia="Arial Unicode MS" w:hAnsi="Arial" w:cs="Arial"/>
          <w:sz w:val="24"/>
          <w:szCs w:val="24"/>
        </w:rPr>
        <w:t xml:space="preserve"> </w:t>
      </w:r>
      <w:r w:rsidR="00FF2879" w:rsidRPr="00E94239">
        <w:rPr>
          <w:rFonts w:ascii="Arial" w:eastAsia="Arial Unicode MS" w:hAnsi="Arial" w:cs="Arial"/>
          <w:sz w:val="24"/>
          <w:szCs w:val="24"/>
        </w:rPr>
        <w:t>Los conceptos de impugnación que plantea la parte actora en su escrito inicial de demanda, se encuentra</w:t>
      </w:r>
      <w:r w:rsidR="00E31DEF" w:rsidRPr="00E94239">
        <w:rPr>
          <w:rFonts w:ascii="Arial" w:eastAsia="Arial Unicode MS" w:hAnsi="Arial" w:cs="Arial"/>
          <w:sz w:val="24"/>
          <w:szCs w:val="24"/>
        </w:rPr>
        <w:t>n localizados en las fojas 9 a 15</w:t>
      </w:r>
      <w:r w:rsidR="00613D63" w:rsidRPr="00E94239">
        <w:rPr>
          <w:rFonts w:ascii="Arial" w:eastAsia="Arial Unicode MS" w:hAnsi="Arial" w:cs="Arial"/>
          <w:sz w:val="24"/>
          <w:szCs w:val="24"/>
        </w:rPr>
        <w:t xml:space="preserve"> del expediente en que se actúa</w:t>
      </w:r>
      <w:r w:rsidR="00FF2879" w:rsidRPr="00E94239">
        <w:rPr>
          <w:rFonts w:ascii="Arial" w:eastAsia="Arial Unicode MS" w:hAnsi="Arial" w:cs="Arial"/>
          <w:sz w:val="24"/>
          <w:szCs w:val="24"/>
        </w:rPr>
        <w:t xml:space="preserve">; </w:t>
      </w:r>
      <w:r w:rsidRPr="00E94239">
        <w:rPr>
          <w:rFonts w:ascii="Arial" w:eastAsia="Arial Unicode MS" w:hAnsi="Arial" w:cs="Arial"/>
          <w:sz w:val="24"/>
          <w:szCs w:val="24"/>
        </w:rPr>
        <w:t>argumentos que</w:t>
      </w:r>
      <w:r w:rsidR="00FF2879" w:rsidRPr="00E94239">
        <w:rPr>
          <w:rFonts w:ascii="Arial" w:eastAsia="Arial Unicode MS" w:hAnsi="Arial" w:cs="Arial"/>
          <w:sz w:val="24"/>
          <w:szCs w:val="24"/>
        </w:rPr>
        <w:t>, por economía procesal</w:t>
      </w:r>
      <w:r w:rsidR="00BD4AD5" w:rsidRPr="00E94239">
        <w:rPr>
          <w:rFonts w:ascii="Arial" w:eastAsia="Arial Unicode MS" w:hAnsi="Arial" w:cs="Arial"/>
          <w:sz w:val="24"/>
          <w:szCs w:val="24"/>
        </w:rPr>
        <w:t>,</w:t>
      </w:r>
      <w:r w:rsidRPr="00E94239">
        <w:rPr>
          <w:rFonts w:ascii="Arial" w:eastAsia="Arial Unicode MS" w:hAnsi="Arial" w:cs="Arial"/>
          <w:sz w:val="24"/>
          <w:szCs w:val="24"/>
        </w:rPr>
        <w:t xml:space="preserve"> no se trascriben y se tienen</w:t>
      </w:r>
      <w:r w:rsidR="00BD4AD5" w:rsidRPr="00E94239">
        <w:rPr>
          <w:rFonts w:ascii="Arial" w:eastAsia="Arial Unicode MS" w:hAnsi="Arial" w:cs="Arial"/>
          <w:sz w:val="24"/>
          <w:szCs w:val="24"/>
        </w:rPr>
        <w:t xml:space="preserve"> aquí </w:t>
      </w:r>
      <w:r w:rsidRPr="00E94239">
        <w:rPr>
          <w:rFonts w:ascii="Arial" w:eastAsia="Arial Unicode MS" w:hAnsi="Arial" w:cs="Arial"/>
          <w:sz w:val="24"/>
          <w:szCs w:val="24"/>
        </w:rPr>
        <w:t xml:space="preserve">por </w:t>
      </w:r>
      <w:r w:rsidR="00BD4AD5" w:rsidRPr="00E94239">
        <w:rPr>
          <w:rFonts w:ascii="Arial" w:eastAsia="Arial Unicode MS" w:hAnsi="Arial" w:cs="Arial"/>
          <w:sz w:val="24"/>
          <w:szCs w:val="24"/>
        </w:rPr>
        <w:t xml:space="preserve">íntegramente </w:t>
      </w:r>
      <w:r w:rsidRPr="00E94239">
        <w:rPr>
          <w:rFonts w:ascii="Arial" w:eastAsia="Arial Unicode MS" w:hAnsi="Arial" w:cs="Arial"/>
          <w:sz w:val="24"/>
          <w:szCs w:val="24"/>
        </w:rPr>
        <w:t>reproducidos</w:t>
      </w:r>
      <w:r w:rsidR="00BD4AD5" w:rsidRPr="00E94239">
        <w:rPr>
          <w:rFonts w:ascii="Arial" w:eastAsia="Arial Unicode MS" w:hAnsi="Arial" w:cs="Arial"/>
          <w:sz w:val="24"/>
          <w:szCs w:val="24"/>
        </w:rPr>
        <w:t>,</w:t>
      </w:r>
      <w:r w:rsidRPr="00E94239">
        <w:rPr>
          <w:rFonts w:ascii="Arial" w:eastAsia="Arial Unicode MS" w:hAnsi="Arial" w:cs="Arial"/>
          <w:sz w:val="24"/>
          <w:szCs w:val="24"/>
        </w:rPr>
        <w:t xml:space="preserve"> como si a la letra</w:t>
      </w:r>
      <w:r w:rsidR="00BD4AD5" w:rsidRPr="00E94239">
        <w:rPr>
          <w:rFonts w:ascii="Arial" w:eastAsia="Arial Unicode MS" w:hAnsi="Arial" w:cs="Arial"/>
          <w:sz w:val="24"/>
          <w:szCs w:val="24"/>
        </w:rPr>
        <w:t xml:space="preserve"> se insertaran</w:t>
      </w:r>
      <w:r w:rsidRPr="00E94239">
        <w:rPr>
          <w:rFonts w:ascii="Arial" w:eastAsia="Arial Unicode MS" w:hAnsi="Arial" w:cs="Arial"/>
          <w:sz w:val="24"/>
          <w:szCs w:val="24"/>
        </w:rPr>
        <w:t>, para que surtan sus efectos legales a que haya lugar.</w:t>
      </w:r>
    </w:p>
    <w:p w:rsidR="00DE6732" w:rsidRPr="00E94239" w:rsidRDefault="00DE6732" w:rsidP="00DE6732">
      <w:pPr>
        <w:spacing w:after="0" w:line="360" w:lineRule="auto"/>
        <w:ind w:firstLine="709"/>
        <w:jc w:val="both"/>
        <w:rPr>
          <w:rFonts w:ascii="Arial" w:eastAsia="Arial Unicode MS" w:hAnsi="Arial" w:cs="Arial"/>
          <w:sz w:val="24"/>
          <w:szCs w:val="24"/>
        </w:rPr>
      </w:pPr>
    </w:p>
    <w:p w:rsidR="00DE6732" w:rsidRPr="00E94239" w:rsidRDefault="00DE6732" w:rsidP="00DE6732">
      <w:pPr>
        <w:spacing w:after="0" w:line="360" w:lineRule="auto"/>
        <w:ind w:firstLine="709"/>
        <w:jc w:val="both"/>
        <w:rPr>
          <w:rFonts w:ascii="Arial" w:eastAsia="Calibri" w:hAnsi="Arial" w:cs="Arial"/>
          <w:sz w:val="24"/>
          <w:szCs w:val="24"/>
        </w:rPr>
      </w:pPr>
      <w:r w:rsidRPr="00E94239">
        <w:rPr>
          <w:rFonts w:ascii="Arial" w:eastAsia="Calibri" w:hAnsi="Arial" w:cs="Arial"/>
          <w:sz w:val="24"/>
          <w:szCs w:val="24"/>
        </w:rPr>
        <w:t>Resu</w:t>
      </w:r>
      <w:r w:rsidR="005B6196" w:rsidRPr="00E94239">
        <w:rPr>
          <w:rFonts w:ascii="Arial" w:eastAsia="Calibri" w:hAnsi="Arial" w:cs="Arial"/>
          <w:sz w:val="24"/>
          <w:szCs w:val="24"/>
        </w:rPr>
        <w:t>lta aplicable por analogía, la t</w:t>
      </w:r>
      <w:r w:rsidRPr="00E94239">
        <w:rPr>
          <w:rFonts w:ascii="Arial" w:eastAsia="Calibri" w:hAnsi="Arial" w:cs="Arial"/>
          <w:sz w:val="24"/>
          <w:szCs w:val="24"/>
        </w:rPr>
        <w:t>e</w:t>
      </w:r>
      <w:r w:rsidR="005B6196" w:rsidRPr="00E94239">
        <w:rPr>
          <w:rFonts w:ascii="Arial" w:eastAsia="Calibri" w:hAnsi="Arial" w:cs="Arial"/>
          <w:sz w:val="24"/>
          <w:szCs w:val="24"/>
        </w:rPr>
        <w:t>sis de Jurisprudencia de la Novena Época, registro digital</w:t>
      </w:r>
      <w:r w:rsidRPr="00E94239">
        <w:rPr>
          <w:rFonts w:ascii="Arial" w:eastAsia="Calibri" w:hAnsi="Arial" w:cs="Arial"/>
          <w:sz w:val="24"/>
          <w:szCs w:val="24"/>
        </w:rPr>
        <w:t xml:space="preserve"> 164618, Segunda Sala, Semanario Judicial de la Federación y su Gaceta, Tomo XXXI, Mayo de 2010, </w:t>
      </w:r>
      <w:r w:rsidR="005B6196" w:rsidRPr="00E94239">
        <w:rPr>
          <w:rFonts w:ascii="Arial" w:eastAsia="Calibri" w:hAnsi="Arial" w:cs="Arial"/>
          <w:sz w:val="24"/>
          <w:szCs w:val="24"/>
        </w:rPr>
        <w:t>Tesis</w:t>
      </w:r>
      <w:r w:rsidRPr="00E94239">
        <w:rPr>
          <w:rFonts w:ascii="Arial" w:eastAsia="Calibri" w:hAnsi="Arial" w:cs="Arial"/>
          <w:sz w:val="24"/>
          <w:szCs w:val="24"/>
        </w:rPr>
        <w:t xml:space="preserve"> 2a./J. 5</w:t>
      </w:r>
      <w:r w:rsidR="00BD4AD5" w:rsidRPr="00E94239">
        <w:rPr>
          <w:rFonts w:ascii="Arial" w:eastAsia="Calibri" w:hAnsi="Arial" w:cs="Arial"/>
          <w:sz w:val="24"/>
          <w:szCs w:val="24"/>
        </w:rPr>
        <w:t>8/2010, Página: 830, que dice:</w:t>
      </w:r>
    </w:p>
    <w:p w:rsidR="00D10049" w:rsidRPr="00E94239" w:rsidRDefault="00D10049" w:rsidP="00DE6732">
      <w:pPr>
        <w:spacing w:after="0" w:line="360" w:lineRule="auto"/>
        <w:ind w:firstLine="709"/>
        <w:jc w:val="both"/>
        <w:rPr>
          <w:rFonts w:ascii="Arial" w:eastAsia="Calibri" w:hAnsi="Arial" w:cs="Arial"/>
          <w:sz w:val="24"/>
          <w:szCs w:val="24"/>
        </w:rPr>
      </w:pPr>
    </w:p>
    <w:p w:rsidR="00DE6732" w:rsidRPr="00E94239" w:rsidRDefault="00DE6732" w:rsidP="00D10049">
      <w:pPr>
        <w:spacing w:after="0" w:line="240" w:lineRule="auto"/>
        <w:ind w:left="567" w:right="618"/>
        <w:jc w:val="both"/>
        <w:rPr>
          <w:rFonts w:ascii="Arial" w:eastAsia="Calibri" w:hAnsi="Arial" w:cs="Arial"/>
          <w:sz w:val="20"/>
          <w:szCs w:val="20"/>
        </w:rPr>
      </w:pPr>
      <w:r w:rsidRPr="00E94239">
        <w:rPr>
          <w:rFonts w:ascii="Arial" w:eastAsia="Calibri" w:hAnsi="Arial" w:cs="Arial"/>
          <w:b/>
          <w:sz w:val="20"/>
          <w:szCs w:val="20"/>
        </w:rPr>
        <w:t>CONCEPTOS DE VIOLACIÓN O AGRAVIOS. PARA CUMPLIR CON LOS PRINCIPIOS DE CONGRUENCIA Y EXHAUSTIVIDAD EN LAS SENTENCIAS DE AMPARO ES INNECESARIA SU TRANSCRIPCIÓN.</w:t>
      </w:r>
      <w:r w:rsidRPr="00E94239">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E94239">
        <w:rPr>
          <w:rFonts w:ascii="Arial" w:eastAsia="Calibri" w:hAnsi="Arial" w:cs="Arial"/>
          <w:sz w:val="20"/>
          <w:szCs w:val="20"/>
        </w:rPr>
        <w:t>litis</w:t>
      </w:r>
      <w:proofErr w:type="spellEnd"/>
      <w:r w:rsidRPr="00E94239">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E94239">
        <w:rPr>
          <w:rFonts w:ascii="Arial" w:eastAsia="Calibri" w:hAnsi="Arial" w:cs="Arial"/>
          <w:sz w:val="20"/>
          <w:szCs w:val="20"/>
        </w:rPr>
        <w:t>se estudien los planteamientos.</w:t>
      </w:r>
    </w:p>
    <w:p w:rsidR="00DE6732" w:rsidRPr="00E94239" w:rsidRDefault="00DE6732" w:rsidP="00DE6732">
      <w:pPr>
        <w:spacing w:before="120" w:after="120" w:line="360" w:lineRule="auto"/>
        <w:ind w:right="51" w:firstLine="709"/>
        <w:jc w:val="both"/>
        <w:rPr>
          <w:rFonts w:ascii="Arial" w:eastAsia="Arial Unicode MS" w:hAnsi="Arial" w:cs="Arial"/>
          <w:sz w:val="24"/>
          <w:szCs w:val="24"/>
        </w:rPr>
      </w:pPr>
    </w:p>
    <w:p w:rsidR="005B6196" w:rsidRPr="00E94239" w:rsidRDefault="005B6196" w:rsidP="00DE6732">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 xml:space="preserve">De igual forma, sirve de apoyo por las razones en que se sustenta, la jurisprudencia del Segundo Tribunal Colegiado del Sexto Circuito, visible en la página 599, tomo VI, abril de 1998, del Semanario Judicial de la Federación y su Gaceta, Novena Época, </w:t>
      </w:r>
      <w:proofErr w:type="gramStart"/>
      <w:r w:rsidRPr="00E94239">
        <w:rPr>
          <w:rFonts w:ascii="Arial" w:eastAsia="Arial Unicode MS" w:hAnsi="Arial" w:cs="Arial"/>
          <w:sz w:val="24"/>
          <w:szCs w:val="24"/>
        </w:rPr>
        <w:t>registro</w:t>
      </w:r>
      <w:proofErr w:type="gramEnd"/>
      <w:r w:rsidRPr="00E94239">
        <w:rPr>
          <w:rFonts w:ascii="Arial" w:eastAsia="Arial Unicode MS" w:hAnsi="Arial" w:cs="Arial"/>
          <w:sz w:val="24"/>
          <w:szCs w:val="24"/>
        </w:rPr>
        <w:t xml:space="preserve"> digital 196477, Tesis VI.2o. J/129, que establece:</w:t>
      </w:r>
    </w:p>
    <w:p w:rsidR="005B6196" w:rsidRPr="00E94239" w:rsidRDefault="005B6196" w:rsidP="005B6196">
      <w:pPr>
        <w:spacing w:before="120" w:after="120" w:line="360" w:lineRule="auto"/>
        <w:ind w:right="51" w:firstLine="709"/>
        <w:jc w:val="both"/>
        <w:rPr>
          <w:rFonts w:ascii="Arial" w:eastAsia="Arial Unicode MS" w:hAnsi="Arial" w:cs="Arial"/>
          <w:sz w:val="24"/>
          <w:szCs w:val="24"/>
        </w:rPr>
      </w:pPr>
    </w:p>
    <w:p w:rsidR="005B6196" w:rsidRPr="00E94239" w:rsidRDefault="005B6196" w:rsidP="005B6196">
      <w:pPr>
        <w:spacing w:after="0" w:line="240" w:lineRule="auto"/>
        <w:ind w:left="567" w:right="618"/>
        <w:jc w:val="both"/>
        <w:rPr>
          <w:rFonts w:ascii="Arial" w:eastAsia="Arial Unicode MS" w:hAnsi="Arial" w:cs="Arial"/>
          <w:sz w:val="20"/>
          <w:szCs w:val="20"/>
        </w:rPr>
      </w:pPr>
      <w:r w:rsidRPr="00E94239">
        <w:rPr>
          <w:rFonts w:ascii="Arial" w:eastAsia="Arial Unicode MS" w:hAnsi="Arial" w:cs="Arial"/>
          <w:b/>
          <w:sz w:val="20"/>
          <w:szCs w:val="20"/>
        </w:rPr>
        <w:t xml:space="preserve">CONCEPTOS DE VIOLACIÓN. EL JUEZ NO ESTÁ OBLIGADO A TRANSCRIBIRLOS.   </w:t>
      </w:r>
      <w:r w:rsidRPr="00E94239">
        <w:rPr>
          <w:rFonts w:ascii="Arial" w:eastAsia="Arial Unicode MS" w:hAnsi="Arial" w:cs="Arial"/>
          <w:sz w:val="20"/>
          <w:szCs w:val="20"/>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EE6108" w:rsidRPr="00E94239" w:rsidRDefault="00BD4AD5" w:rsidP="005545A2">
      <w:pPr>
        <w:autoSpaceDE w:val="0"/>
        <w:autoSpaceDN w:val="0"/>
        <w:adjustRightInd w:val="0"/>
        <w:spacing w:after="0" w:line="360" w:lineRule="auto"/>
        <w:ind w:firstLine="708"/>
        <w:jc w:val="both"/>
        <w:rPr>
          <w:rFonts w:ascii="Arial" w:eastAsia="Arial Unicode MS" w:hAnsi="Arial" w:cs="Arial"/>
          <w:sz w:val="24"/>
          <w:szCs w:val="24"/>
        </w:rPr>
      </w:pPr>
      <w:r w:rsidRPr="00E94239">
        <w:rPr>
          <w:rFonts w:ascii="Arial" w:eastAsia="Arial Unicode MS" w:hAnsi="Arial" w:cs="Arial"/>
          <w:b/>
          <w:sz w:val="24"/>
          <w:szCs w:val="24"/>
        </w:rPr>
        <w:t>SEXTO.-</w:t>
      </w:r>
      <w:r w:rsidRPr="00E94239">
        <w:rPr>
          <w:rFonts w:ascii="Arial" w:eastAsia="Arial Unicode MS" w:hAnsi="Arial" w:cs="Arial"/>
          <w:sz w:val="24"/>
          <w:szCs w:val="24"/>
        </w:rPr>
        <w:t xml:space="preserve"> </w:t>
      </w:r>
      <w:r w:rsidR="00117F9C" w:rsidRPr="00E94239">
        <w:rPr>
          <w:rFonts w:ascii="Arial" w:eastAsia="Arial Unicode MS" w:hAnsi="Arial" w:cs="Arial"/>
          <w:sz w:val="24"/>
          <w:szCs w:val="24"/>
        </w:rPr>
        <w:t>No actualizándose ninguna causa de improcedencia o sobreseimiento, se procede al estudio y resolución de fondo de los argumentos que integran el concepto de impugnación que hace valer el promovente</w:t>
      </w:r>
      <w:r w:rsidR="005545A2" w:rsidRPr="00E94239">
        <w:rPr>
          <w:rFonts w:ascii="Arial" w:eastAsia="Arial Unicode MS" w:hAnsi="Arial" w:cs="Arial"/>
          <w:sz w:val="24"/>
          <w:szCs w:val="24"/>
        </w:rPr>
        <w:t xml:space="preserve"> </w:t>
      </w:r>
      <w:r w:rsidR="0035337F" w:rsidRPr="00E94239">
        <w:rPr>
          <w:rFonts w:ascii="Arial" w:hAnsi="Arial" w:cs="Arial"/>
          <w:sz w:val="24"/>
          <w:szCs w:val="24"/>
          <w:lang w:val="es-ES"/>
        </w:rPr>
        <w:t xml:space="preserve">en su escrito de demanda, el cual se examina en concatenación </w:t>
      </w:r>
      <w:r w:rsidR="0035337F" w:rsidRPr="00E94239">
        <w:rPr>
          <w:rFonts w:ascii="Arial" w:hAnsi="Arial" w:cs="Arial"/>
          <w:sz w:val="24"/>
          <w:szCs w:val="24"/>
          <w:lang w:val="es-ES"/>
        </w:rPr>
        <w:lastRenderedPageBreak/>
        <w:t>con las diversas constancias y probanzas que fueron ofrecidas por las partes, y que obran en autos de este sumario.</w:t>
      </w:r>
    </w:p>
    <w:p w:rsidR="0035337F" w:rsidRPr="00E94239" w:rsidRDefault="0035337F" w:rsidP="00D71D76">
      <w:pPr>
        <w:spacing w:before="120" w:after="120" w:line="360" w:lineRule="auto"/>
        <w:ind w:right="51" w:firstLine="709"/>
        <w:jc w:val="both"/>
        <w:rPr>
          <w:rFonts w:ascii="Arial" w:hAnsi="Arial" w:cs="Arial"/>
          <w:sz w:val="24"/>
          <w:szCs w:val="24"/>
          <w:lang w:val="es-ES"/>
        </w:rPr>
      </w:pPr>
    </w:p>
    <w:p w:rsidR="0035337F" w:rsidRPr="00E94239" w:rsidRDefault="0035337F" w:rsidP="0035337F">
      <w:pPr>
        <w:autoSpaceDE w:val="0"/>
        <w:autoSpaceDN w:val="0"/>
        <w:adjustRightInd w:val="0"/>
        <w:spacing w:after="0" w:line="360" w:lineRule="auto"/>
        <w:ind w:firstLine="708"/>
        <w:jc w:val="both"/>
        <w:rPr>
          <w:rFonts w:ascii="Arial" w:hAnsi="Arial" w:cs="Arial"/>
          <w:sz w:val="24"/>
          <w:szCs w:val="24"/>
        </w:rPr>
      </w:pPr>
      <w:r w:rsidRPr="00E94239">
        <w:rPr>
          <w:rFonts w:ascii="Arial" w:hAnsi="Arial" w:cs="Arial"/>
          <w:sz w:val="24"/>
          <w:szCs w:val="24"/>
        </w:rPr>
        <w:t>Señalándose que el concepto de impugnación se analizará a la luz del</w:t>
      </w:r>
      <w:r w:rsidRPr="00E94239">
        <w:rPr>
          <w:rFonts w:ascii="Arial" w:hAnsi="Arial" w:cs="Arial"/>
          <w:b/>
          <w:sz w:val="24"/>
          <w:szCs w:val="24"/>
        </w:rPr>
        <w:t xml:space="preserve"> </w:t>
      </w:r>
      <w:r w:rsidRPr="00E94239">
        <w:rPr>
          <w:rFonts w:ascii="Arial" w:hAnsi="Arial" w:cs="Arial"/>
          <w:i/>
          <w:sz w:val="24"/>
          <w:szCs w:val="24"/>
        </w:rPr>
        <w:t xml:space="preserve">Principio de Litis Abierta, </w:t>
      </w:r>
      <w:r w:rsidRPr="00E94239">
        <w:rPr>
          <w:rFonts w:ascii="Arial" w:eastAsia="Times New Roman" w:hAnsi="Arial" w:cs="Arial"/>
          <w:sz w:val="24"/>
          <w:szCs w:val="24"/>
          <w:lang w:val="es-ES" w:eastAsia="es-ES"/>
        </w:rPr>
        <w:t>atento a lo dispuesto por el artículo 217</w:t>
      </w:r>
      <w:r w:rsidR="0008217A" w:rsidRPr="00E94239">
        <w:rPr>
          <w:rFonts w:ascii="Arial" w:eastAsia="Times New Roman" w:hAnsi="Arial" w:cs="Arial"/>
          <w:sz w:val="24"/>
          <w:szCs w:val="24"/>
          <w:lang w:val="es-ES" w:eastAsia="es-ES"/>
        </w:rPr>
        <w:t>, párrafo tercero,</w:t>
      </w:r>
      <w:r w:rsidRPr="00E94239">
        <w:rPr>
          <w:rFonts w:ascii="Arial" w:eastAsia="Times New Roman" w:hAnsi="Arial" w:cs="Arial"/>
          <w:sz w:val="24"/>
          <w:szCs w:val="24"/>
          <w:lang w:val="es-ES" w:eastAsia="es-ES"/>
        </w:rPr>
        <w:t xml:space="preserve"> del Código Procesal Administrativo </w:t>
      </w:r>
      <w:r w:rsidRPr="00E94239">
        <w:rPr>
          <w:rFonts w:ascii="Arial" w:hAnsi="Arial" w:cs="Arial"/>
          <w:sz w:val="24"/>
          <w:szCs w:val="24"/>
        </w:rPr>
        <w:t xml:space="preserve">para el Estado; </w:t>
      </w:r>
      <w:r w:rsidRPr="00E94239">
        <w:rPr>
          <w:rFonts w:ascii="Arial" w:eastAsia="Times New Roman" w:hAnsi="Arial" w:cs="Arial"/>
          <w:sz w:val="24"/>
          <w:szCs w:val="24"/>
          <w:lang w:val="es-ES" w:eastAsia="es-ES"/>
        </w:rPr>
        <w:t xml:space="preserve">conforme a dicho principio de interpretación, en el juicio contencioso administrativo local, debe entenderse que la parte actora puede formular conceptos de impugnación en contra de la resolución del Recurso de Revisión y de </w:t>
      </w:r>
      <w:r w:rsidR="0008217A" w:rsidRPr="00E94239">
        <w:rPr>
          <w:rFonts w:ascii="Arial" w:eastAsia="Times New Roman" w:hAnsi="Arial" w:cs="Arial"/>
          <w:sz w:val="24"/>
          <w:szCs w:val="24"/>
          <w:lang w:val="es-ES" w:eastAsia="es-ES"/>
        </w:rPr>
        <w:t>los actos recurridos materia de dicho</w:t>
      </w:r>
      <w:r w:rsidRPr="00E94239">
        <w:rPr>
          <w:rFonts w:ascii="Arial" w:eastAsia="Times New Roman" w:hAnsi="Arial" w:cs="Arial"/>
          <w:sz w:val="24"/>
          <w:szCs w:val="24"/>
          <w:lang w:val="es-ES" w:eastAsia="es-ES"/>
        </w:rPr>
        <w:t xml:space="preserve"> recurso,</w:t>
      </w:r>
      <w:r w:rsidRPr="00E94239">
        <w:rPr>
          <w:rFonts w:ascii="Arial" w:eastAsia="Times New Roman" w:hAnsi="Arial" w:cs="Arial"/>
          <w:b/>
          <w:sz w:val="24"/>
          <w:szCs w:val="24"/>
          <w:lang w:val="es-ES" w:eastAsia="es-ES"/>
        </w:rPr>
        <w:t xml:space="preserve"> </w:t>
      </w:r>
      <w:r w:rsidRPr="00E94239">
        <w:rPr>
          <w:rFonts w:ascii="Arial" w:eastAsia="Times New Roman" w:hAnsi="Arial" w:cs="Arial"/>
          <w:sz w:val="24"/>
          <w:szCs w:val="24"/>
          <w:lang w:val="es-ES" w:eastAsia="es-ES"/>
        </w:rPr>
        <w:t xml:space="preserve">aunque parezcan novedosos; habida cuenta que, el principio de </w:t>
      </w:r>
      <w:proofErr w:type="spellStart"/>
      <w:r w:rsidRPr="00E94239">
        <w:rPr>
          <w:rFonts w:ascii="Arial" w:eastAsia="Times New Roman" w:hAnsi="Arial" w:cs="Arial"/>
          <w:sz w:val="24"/>
          <w:szCs w:val="24"/>
          <w:lang w:val="es-ES" w:eastAsia="es-ES"/>
        </w:rPr>
        <w:t>litis</w:t>
      </w:r>
      <w:proofErr w:type="spellEnd"/>
      <w:r w:rsidRPr="00E94239">
        <w:rPr>
          <w:rFonts w:ascii="Arial" w:eastAsia="Times New Roman" w:hAnsi="Arial" w:cs="Arial"/>
          <w:sz w:val="24"/>
          <w:szCs w:val="24"/>
          <w:lang w:val="es-ES" w:eastAsia="es-ES"/>
        </w:rPr>
        <w:t xml:space="preserve"> abierta es una institución que permite la</w:t>
      </w:r>
      <w:r w:rsidRPr="00E94239">
        <w:rPr>
          <w:rFonts w:ascii="Arial" w:eastAsia="Times New Roman" w:hAnsi="Arial" w:cs="Arial"/>
          <w:b/>
          <w:sz w:val="24"/>
          <w:szCs w:val="24"/>
          <w:lang w:val="es-ES" w:eastAsia="es-ES"/>
        </w:rPr>
        <w:t xml:space="preserve"> </w:t>
      </w:r>
      <w:r w:rsidRPr="00E94239">
        <w:rPr>
          <w:rFonts w:ascii="Arial" w:eastAsia="Times New Roman" w:hAnsi="Arial" w:cs="Arial"/>
          <w:sz w:val="24"/>
          <w:szCs w:val="24"/>
          <w:lang w:val="es-ES" w:eastAsia="es-ES"/>
        </w:rPr>
        <w:t>libre expresión de argumentos en el juicio contencioso administrativo, inclusive de los</w:t>
      </w:r>
      <w:r w:rsidRPr="00E94239">
        <w:rPr>
          <w:rFonts w:ascii="Arial" w:eastAsia="Times New Roman" w:hAnsi="Arial" w:cs="Arial"/>
          <w:b/>
          <w:sz w:val="24"/>
          <w:szCs w:val="24"/>
          <w:lang w:val="es-ES" w:eastAsia="es-ES"/>
        </w:rPr>
        <w:t xml:space="preserve"> </w:t>
      </w:r>
      <w:r w:rsidRPr="00E94239">
        <w:rPr>
          <w:rFonts w:ascii="Arial" w:eastAsia="Times New Roman" w:hAnsi="Arial" w:cs="Arial"/>
          <w:sz w:val="24"/>
          <w:szCs w:val="24"/>
          <w:lang w:val="es-ES" w:eastAsia="es-ES"/>
        </w:rPr>
        <w:t xml:space="preserve">no planteados en el recurso administrativo, lo que implica, además, que pueda señalarse como acto impugnado, simultáneamente a la resolución recaída al recurso, la recurrida en sede administrativa. </w:t>
      </w:r>
      <w:r w:rsidR="0008217A" w:rsidRPr="00E94239">
        <w:rPr>
          <w:rFonts w:ascii="Arial" w:eastAsia="Times New Roman" w:hAnsi="Arial" w:cs="Arial"/>
          <w:sz w:val="24"/>
          <w:szCs w:val="24"/>
          <w:lang w:val="es-ES" w:eastAsia="es-ES"/>
        </w:rPr>
        <w:t xml:space="preserve">  </w:t>
      </w:r>
      <w:r w:rsidRPr="00E94239">
        <w:rPr>
          <w:rFonts w:ascii="Arial" w:eastAsia="Times New Roman" w:hAnsi="Arial" w:cs="Arial"/>
          <w:sz w:val="24"/>
          <w:szCs w:val="24"/>
          <w:lang w:val="es-ES" w:eastAsia="es-ES"/>
        </w:rPr>
        <w:t>Y además, lo expuesto en los conceptos de impugnación, debe concatenarse con lo expresado en cualquier apartado de su escrito de demanda, con el objeto de realizar su estudio integral y ubicar la causa de pedir</w:t>
      </w:r>
      <w:r w:rsidR="0008217A" w:rsidRPr="00E94239">
        <w:rPr>
          <w:rFonts w:ascii="Arial" w:eastAsia="Times New Roman" w:hAnsi="Arial" w:cs="Arial"/>
          <w:sz w:val="24"/>
          <w:szCs w:val="24"/>
          <w:lang w:val="es-ES" w:eastAsia="es-ES"/>
        </w:rPr>
        <w:t xml:space="preserve">.   El citado </w:t>
      </w:r>
      <w:r w:rsidR="0008217A" w:rsidRPr="00E94239">
        <w:rPr>
          <w:rFonts w:ascii="Arial" w:hAnsi="Arial" w:cs="Arial"/>
          <w:sz w:val="24"/>
          <w:szCs w:val="24"/>
        </w:rPr>
        <w:t>numeral, en la parte invocada,</w:t>
      </w:r>
      <w:r w:rsidRPr="00E94239">
        <w:rPr>
          <w:rFonts w:ascii="Arial" w:hAnsi="Arial" w:cs="Arial"/>
          <w:sz w:val="24"/>
          <w:szCs w:val="24"/>
        </w:rPr>
        <w:t xml:space="preserve"> a la letra refiere: </w:t>
      </w:r>
    </w:p>
    <w:p w:rsidR="0035337F" w:rsidRPr="00E94239" w:rsidRDefault="0035337F" w:rsidP="0035337F">
      <w:pPr>
        <w:autoSpaceDE w:val="0"/>
        <w:autoSpaceDN w:val="0"/>
        <w:adjustRightInd w:val="0"/>
        <w:spacing w:after="0" w:line="360" w:lineRule="auto"/>
        <w:ind w:firstLine="708"/>
        <w:jc w:val="both"/>
        <w:rPr>
          <w:rFonts w:ascii="Arial" w:hAnsi="Arial" w:cs="Arial"/>
        </w:rPr>
      </w:pPr>
    </w:p>
    <w:p w:rsidR="00743AB6" w:rsidRPr="00E94239" w:rsidRDefault="00743AB6" w:rsidP="0035337F">
      <w:pPr>
        <w:autoSpaceDE w:val="0"/>
        <w:autoSpaceDN w:val="0"/>
        <w:adjustRightInd w:val="0"/>
        <w:spacing w:after="0" w:line="360" w:lineRule="auto"/>
        <w:ind w:firstLine="708"/>
        <w:jc w:val="both"/>
        <w:rPr>
          <w:rFonts w:ascii="Arial" w:hAnsi="Arial" w:cs="Arial"/>
        </w:rPr>
      </w:pPr>
    </w:p>
    <w:p w:rsidR="0035337F" w:rsidRPr="00E94239" w:rsidRDefault="0008217A" w:rsidP="0008217A">
      <w:pPr>
        <w:autoSpaceDE w:val="0"/>
        <w:autoSpaceDN w:val="0"/>
        <w:adjustRightInd w:val="0"/>
        <w:spacing w:after="0" w:line="240" w:lineRule="auto"/>
        <w:ind w:left="567" w:right="618"/>
        <w:jc w:val="both"/>
        <w:rPr>
          <w:rFonts w:ascii="Arial" w:hAnsi="Arial" w:cs="Arial"/>
          <w:sz w:val="20"/>
          <w:szCs w:val="20"/>
        </w:rPr>
      </w:pPr>
      <w:r w:rsidRPr="00E94239">
        <w:rPr>
          <w:rFonts w:ascii="Arial" w:hAnsi="Arial" w:cs="Arial"/>
          <w:b/>
          <w:bCs/>
          <w:sz w:val="20"/>
          <w:szCs w:val="20"/>
        </w:rPr>
        <w:t xml:space="preserve">ARTÍCULO </w:t>
      </w:r>
      <w:r w:rsidR="0035337F" w:rsidRPr="00E94239">
        <w:rPr>
          <w:rFonts w:ascii="Arial" w:hAnsi="Arial" w:cs="Arial"/>
          <w:b/>
          <w:bCs/>
          <w:sz w:val="20"/>
          <w:szCs w:val="20"/>
        </w:rPr>
        <w:t xml:space="preserve">217. </w:t>
      </w:r>
      <w:r w:rsidR="0035337F" w:rsidRPr="00E94239">
        <w:rPr>
          <w:rFonts w:ascii="Arial" w:hAnsi="Arial" w:cs="Arial"/>
          <w:sz w:val="20"/>
          <w:szCs w:val="20"/>
        </w:rPr>
        <w:t>Los juicios que se promuevan ante el Tribunal, se substanciarán y resolverán de acuerdo a las disposicion</w:t>
      </w:r>
      <w:r w:rsidRPr="00E94239">
        <w:rPr>
          <w:rFonts w:ascii="Arial" w:hAnsi="Arial" w:cs="Arial"/>
          <w:sz w:val="20"/>
          <w:szCs w:val="20"/>
        </w:rPr>
        <w:t>es establecidas en este Código.</w:t>
      </w:r>
    </w:p>
    <w:p w:rsidR="0035337F" w:rsidRPr="00E94239" w:rsidRDefault="0035337F" w:rsidP="0008217A">
      <w:pPr>
        <w:autoSpaceDE w:val="0"/>
        <w:autoSpaceDN w:val="0"/>
        <w:adjustRightInd w:val="0"/>
        <w:spacing w:after="0" w:line="240" w:lineRule="auto"/>
        <w:ind w:left="567" w:right="618"/>
        <w:jc w:val="both"/>
        <w:rPr>
          <w:rFonts w:ascii="Arial" w:hAnsi="Arial" w:cs="Arial"/>
          <w:sz w:val="20"/>
          <w:szCs w:val="20"/>
        </w:rPr>
      </w:pPr>
    </w:p>
    <w:p w:rsidR="0035337F" w:rsidRPr="00E94239" w:rsidRDefault="0008217A" w:rsidP="0008217A">
      <w:pPr>
        <w:autoSpaceDE w:val="0"/>
        <w:autoSpaceDN w:val="0"/>
        <w:adjustRightInd w:val="0"/>
        <w:spacing w:after="0" w:line="240" w:lineRule="auto"/>
        <w:ind w:left="567" w:right="618"/>
        <w:jc w:val="both"/>
        <w:rPr>
          <w:rFonts w:ascii="Arial" w:hAnsi="Arial" w:cs="Arial"/>
          <w:sz w:val="20"/>
          <w:szCs w:val="20"/>
        </w:rPr>
      </w:pPr>
      <w:r w:rsidRPr="00E94239">
        <w:rPr>
          <w:rFonts w:ascii="Arial" w:hAnsi="Arial" w:cs="Arial"/>
          <w:sz w:val="20"/>
          <w:szCs w:val="20"/>
        </w:rPr>
        <w:t>[…]</w:t>
      </w:r>
    </w:p>
    <w:p w:rsidR="0035337F" w:rsidRPr="00E94239" w:rsidRDefault="0035337F" w:rsidP="0008217A">
      <w:pPr>
        <w:autoSpaceDE w:val="0"/>
        <w:autoSpaceDN w:val="0"/>
        <w:adjustRightInd w:val="0"/>
        <w:spacing w:after="0" w:line="240" w:lineRule="auto"/>
        <w:ind w:left="567" w:right="618"/>
        <w:jc w:val="both"/>
        <w:rPr>
          <w:rFonts w:ascii="Arial" w:hAnsi="Arial" w:cs="Arial"/>
          <w:sz w:val="20"/>
          <w:szCs w:val="20"/>
        </w:rPr>
      </w:pPr>
    </w:p>
    <w:p w:rsidR="0035337F" w:rsidRPr="00E94239" w:rsidRDefault="0035337F" w:rsidP="0008217A">
      <w:pPr>
        <w:autoSpaceDE w:val="0"/>
        <w:autoSpaceDN w:val="0"/>
        <w:adjustRightInd w:val="0"/>
        <w:spacing w:after="0" w:line="240" w:lineRule="auto"/>
        <w:ind w:left="567" w:right="618"/>
        <w:jc w:val="both"/>
        <w:rPr>
          <w:rFonts w:ascii="Arial" w:hAnsi="Arial" w:cs="Arial"/>
          <w:sz w:val="20"/>
          <w:szCs w:val="20"/>
        </w:rPr>
      </w:pPr>
      <w:r w:rsidRPr="00E94239">
        <w:rPr>
          <w:rFonts w:ascii="Arial" w:hAnsi="Arial" w:cs="Arial"/>
          <w:sz w:val="20"/>
          <w:szCs w:val="20"/>
        </w:rPr>
        <w:t>Cuando la resolución recaída a un recurso administrativo, no satisfaga el interés jurídico del recurrente, y éste la controvierta en el juicio contencioso administrativo, se entenderá que simultáneamente impugna la resolución recurrida en la parte que continúa afectándolo, pudiendo hacer valer conceptos de impugnación no planteados en el recurso.</w:t>
      </w:r>
    </w:p>
    <w:p w:rsidR="0035337F" w:rsidRPr="00E94239" w:rsidRDefault="0035337F" w:rsidP="0008217A">
      <w:pPr>
        <w:autoSpaceDE w:val="0"/>
        <w:autoSpaceDN w:val="0"/>
        <w:adjustRightInd w:val="0"/>
        <w:spacing w:after="0" w:line="240" w:lineRule="auto"/>
        <w:ind w:left="567" w:right="618"/>
        <w:jc w:val="both"/>
        <w:rPr>
          <w:rFonts w:ascii="Arial" w:hAnsi="Arial" w:cs="Arial"/>
          <w:sz w:val="20"/>
          <w:szCs w:val="20"/>
        </w:rPr>
      </w:pPr>
    </w:p>
    <w:p w:rsidR="0035337F" w:rsidRPr="00E94239" w:rsidRDefault="0008217A" w:rsidP="0008217A">
      <w:pPr>
        <w:autoSpaceDE w:val="0"/>
        <w:autoSpaceDN w:val="0"/>
        <w:adjustRightInd w:val="0"/>
        <w:spacing w:after="0" w:line="240" w:lineRule="auto"/>
        <w:ind w:left="567" w:right="618"/>
        <w:jc w:val="both"/>
        <w:rPr>
          <w:rFonts w:ascii="Arial" w:hAnsi="Arial" w:cs="Arial"/>
          <w:sz w:val="20"/>
          <w:szCs w:val="20"/>
        </w:rPr>
      </w:pPr>
      <w:r w:rsidRPr="00E94239">
        <w:rPr>
          <w:rFonts w:ascii="Arial" w:hAnsi="Arial" w:cs="Arial"/>
          <w:sz w:val="20"/>
          <w:szCs w:val="20"/>
        </w:rPr>
        <w:t>[…]</w:t>
      </w:r>
    </w:p>
    <w:p w:rsidR="0035337F" w:rsidRPr="00E94239" w:rsidRDefault="0035337F" w:rsidP="0035337F">
      <w:pPr>
        <w:autoSpaceDE w:val="0"/>
        <w:autoSpaceDN w:val="0"/>
        <w:adjustRightInd w:val="0"/>
        <w:spacing w:after="0" w:line="360" w:lineRule="auto"/>
        <w:ind w:firstLine="708"/>
        <w:jc w:val="both"/>
        <w:rPr>
          <w:rFonts w:ascii="Arial" w:hAnsi="Arial" w:cs="Arial"/>
          <w:sz w:val="24"/>
          <w:szCs w:val="24"/>
        </w:rPr>
      </w:pPr>
    </w:p>
    <w:p w:rsidR="00655449" w:rsidRPr="00E94239" w:rsidRDefault="00655449" w:rsidP="0035337F">
      <w:pPr>
        <w:autoSpaceDE w:val="0"/>
        <w:autoSpaceDN w:val="0"/>
        <w:adjustRightInd w:val="0"/>
        <w:spacing w:after="0" w:line="360" w:lineRule="auto"/>
        <w:ind w:firstLine="708"/>
        <w:jc w:val="both"/>
        <w:rPr>
          <w:rFonts w:ascii="Arial" w:hAnsi="Arial" w:cs="Arial"/>
          <w:sz w:val="24"/>
          <w:szCs w:val="24"/>
        </w:rPr>
      </w:pPr>
      <w:r w:rsidRPr="00E94239">
        <w:rPr>
          <w:rFonts w:ascii="Arial" w:hAnsi="Arial" w:cs="Arial"/>
          <w:sz w:val="24"/>
          <w:szCs w:val="24"/>
        </w:rPr>
        <w:t xml:space="preserve">Asimismo, dado que la acción ejercitada involucra una licencia de uso de suelo relacionada con el medio ambiente, la controversia se resolverá con perspectiva de medio ambiente, lo cual significa integrar la sostenibilidad en la toma de decisiones, priorizando la salud de los ecosistemas y el derecho a un ambiente sano para todos, a través de una administración de justicia ambiental en que se apliquen los </w:t>
      </w:r>
      <w:r w:rsidRPr="00E94239">
        <w:rPr>
          <w:rFonts w:ascii="Arial" w:hAnsi="Arial" w:cs="Arial"/>
          <w:b/>
          <w:sz w:val="24"/>
          <w:szCs w:val="24"/>
        </w:rPr>
        <w:t>principios</w:t>
      </w:r>
      <w:r w:rsidRPr="00E94239">
        <w:rPr>
          <w:rFonts w:ascii="Arial" w:hAnsi="Arial" w:cs="Arial"/>
          <w:sz w:val="24"/>
          <w:szCs w:val="24"/>
        </w:rPr>
        <w:t xml:space="preserve"> de </w:t>
      </w:r>
      <w:r w:rsidRPr="00E94239">
        <w:rPr>
          <w:rFonts w:ascii="Arial" w:hAnsi="Arial" w:cs="Arial"/>
          <w:b/>
          <w:i/>
          <w:sz w:val="24"/>
          <w:szCs w:val="24"/>
        </w:rPr>
        <w:t>prevención</w:t>
      </w:r>
      <w:r w:rsidR="00BF6602" w:rsidRPr="00E94239">
        <w:rPr>
          <w:rFonts w:ascii="Arial" w:hAnsi="Arial" w:cs="Arial"/>
          <w:b/>
          <w:i/>
          <w:sz w:val="24"/>
          <w:szCs w:val="24"/>
        </w:rPr>
        <w:t>, precaución</w:t>
      </w:r>
      <w:r w:rsidRPr="00E94239">
        <w:rPr>
          <w:rFonts w:ascii="Arial" w:hAnsi="Arial" w:cs="Arial"/>
          <w:sz w:val="24"/>
          <w:szCs w:val="24"/>
        </w:rPr>
        <w:t xml:space="preserve"> </w:t>
      </w:r>
      <w:r w:rsidR="00BF6602" w:rsidRPr="00E94239">
        <w:rPr>
          <w:rFonts w:ascii="Arial" w:hAnsi="Arial" w:cs="Arial"/>
          <w:sz w:val="24"/>
          <w:szCs w:val="24"/>
        </w:rPr>
        <w:t>e</w:t>
      </w:r>
      <w:r w:rsidRPr="00E94239">
        <w:rPr>
          <w:rFonts w:ascii="Arial" w:hAnsi="Arial" w:cs="Arial"/>
          <w:sz w:val="24"/>
          <w:szCs w:val="24"/>
        </w:rPr>
        <w:t xml:space="preserve"> </w:t>
      </w:r>
      <w:r w:rsidRPr="00E94239">
        <w:rPr>
          <w:rFonts w:ascii="Arial" w:hAnsi="Arial" w:cs="Arial"/>
          <w:b/>
          <w:i/>
          <w:sz w:val="24"/>
          <w:szCs w:val="24"/>
        </w:rPr>
        <w:t>in dubio pro natura</w:t>
      </w:r>
      <w:r w:rsidRPr="00E94239">
        <w:rPr>
          <w:rFonts w:ascii="Arial" w:hAnsi="Arial" w:cs="Arial"/>
          <w:sz w:val="24"/>
          <w:szCs w:val="24"/>
        </w:rPr>
        <w:t>.</w:t>
      </w:r>
    </w:p>
    <w:p w:rsidR="00655449" w:rsidRPr="00E94239" w:rsidRDefault="00655449" w:rsidP="0035337F">
      <w:pPr>
        <w:autoSpaceDE w:val="0"/>
        <w:autoSpaceDN w:val="0"/>
        <w:adjustRightInd w:val="0"/>
        <w:spacing w:after="0" w:line="360" w:lineRule="auto"/>
        <w:ind w:firstLine="708"/>
        <w:jc w:val="both"/>
        <w:rPr>
          <w:rFonts w:ascii="Arial" w:hAnsi="Arial" w:cs="Arial"/>
          <w:sz w:val="24"/>
          <w:szCs w:val="24"/>
          <w:lang w:val="es-ES"/>
        </w:rPr>
      </w:pPr>
    </w:p>
    <w:p w:rsidR="00765591" w:rsidRPr="00E94239" w:rsidRDefault="00765591" w:rsidP="00765591">
      <w:pPr>
        <w:autoSpaceDE w:val="0"/>
        <w:autoSpaceDN w:val="0"/>
        <w:adjustRightInd w:val="0"/>
        <w:spacing w:after="0" w:line="360" w:lineRule="auto"/>
        <w:ind w:firstLine="708"/>
        <w:jc w:val="both"/>
        <w:rPr>
          <w:rFonts w:ascii="Arial" w:hAnsi="Arial" w:cs="Arial"/>
          <w:sz w:val="24"/>
          <w:szCs w:val="24"/>
          <w:lang w:val="es-ES"/>
        </w:rPr>
      </w:pPr>
      <w:r w:rsidRPr="00E94239">
        <w:rPr>
          <w:rFonts w:ascii="Arial" w:hAnsi="Arial" w:cs="Arial"/>
          <w:sz w:val="24"/>
          <w:szCs w:val="24"/>
          <w:lang w:val="es-ES"/>
        </w:rPr>
        <w:lastRenderedPageBreak/>
        <w:t>El derecho ambiental es una disciplina jurídica en pleno desarrollo y evolución, catalogado como de tercera y cuarta generaciones.   Su propósito es conservar o preservar los recursos naturales, así como mantener el equilibrio natural y optimizar la calidad de vida de las personas en el presente y en el futuro, bajo normas regulatorias de relaciones de derecho público o privado regidas por principios de observancia y aplicación obligatoria, como son: a) prevención, b) precaución, c) equidad intergeneracional, d) progresividad, e) responsabilidad, f) sustentabilidad y g) congruencia, tendientes a disciplinar las conductas en orden al uso racional y de conservación del medio ambiente.</w:t>
      </w:r>
    </w:p>
    <w:p w:rsidR="00765591" w:rsidRPr="00E94239" w:rsidRDefault="00765591" w:rsidP="00765591">
      <w:pPr>
        <w:autoSpaceDE w:val="0"/>
        <w:autoSpaceDN w:val="0"/>
        <w:adjustRightInd w:val="0"/>
        <w:spacing w:after="0" w:line="360" w:lineRule="auto"/>
        <w:ind w:firstLine="708"/>
        <w:jc w:val="both"/>
        <w:rPr>
          <w:rFonts w:ascii="Arial" w:hAnsi="Arial" w:cs="Arial"/>
          <w:sz w:val="24"/>
          <w:szCs w:val="24"/>
          <w:lang w:val="es-ES"/>
        </w:rPr>
      </w:pPr>
    </w:p>
    <w:p w:rsidR="00765591" w:rsidRPr="00E94239" w:rsidRDefault="00765591" w:rsidP="00765591">
      <w:pPr>
        <w:autoSpaceDE w:val="0"/>
        <w:autoSpaceDN w:val="0"/>
        <w:adjustRightInd w:val="0"/>
        <w:spacing w:after="0" w:line="360" w:lineRule="auto"/>
        <w:ind w:firstLine="708"/>
        <w:jc w:val="both"/>
        <w:rPr>
          <w:rFonts w:ascii="Arial" w:hAnsi="Arial" w:cs="Arial"/>
          <w:sz w:val="24"/>
          <w:szCs w:val="24"/>
          <w:lang w:val="es-ES"/>
        </w:rPr>
      </w:pPr>
      <w:r w:rsidRPr="00E94239">
        <w:rPr>
          <w:rFonts w:ascii="Arial" w:hAnsi="Arial" w:cs="Arial"/>
          <w:sz w:val="24"/>
          <w:szCs w:val="24"/>
          <w:lang w:val="es-ES"/>
        </w:rPr>
        <w:t>En sede nacional, dichos principios se incorporaron al artículo 4o., párrafo quinto, de la Constitución Política de los Estados Unidos Mexicanos, que reconoce la protección al medio ambiente sano, lo cual revela un inescindible vínculo con los derechos humanos, al prever que toda persona tiene derecho a su conservación y preservación moderada y racional para su desarrollo y bienestar, irradiando con ello todo el ordenamiento jurídico de manera transversal, al establecer la obligación del Estado de proteger dicha prerrogativa y disponer que sus agentes deben garantizar su respeto y determinar consecuencias para quien provoque su deterioro.</w:t>
      </w:r>
    </w:p>
    <w:p w:rsidR="00655449" w:rsidRPr="00E94239" w:rsidRDefault="00655449" w:rsidP="0035337F">
      <w:pPr>
        <w:autoSpaceDE w:val="0"/>
        <w:autoSpaceDN w:val="0"/>
        <w:adjustRightInd w:val="0"/>
        <w:spacing w:after="0" w:line="360" w:lineRule="auto"/>
        <w:ind w:firstLine="708"/>
        <w:jc w:val="both"/>
        <w:rPr>
          <w:rFonts w:ascii="Arial" w:hAnsi="Arial" w:cs="Arial"/>
          <w:sz w:val="24"/>
          <w:szCs w:val="24"/>
          <w:lang w:val="es-ES"/>
        </w:rPr>
      </w:pPr>
    </w:p>
    <w:p w:rsidR="00655449" w:rsidRPr="00E94239" w:rsidRDefault="00743AB6" w:rsidP="0035337F">
      <w:pPr>
        <w:autoSpaceDE w:val="0"/>
        <w:autoSpaceDN w:val="0"/>
        <w:adjustRightInd w:val="0"/>
        <w:spacing w:after="0" w:line="360" w:lineRule="auto"/>
        <w:ind w:firstLine="708"/>
        <w:jc w:val="both"/>
        <w:rPr>
          <w:rFonts w:ascii="Arial" w:hAnsi="Arial" w:cs="Arial"/>
          <w:sz w:val="24"/>
          <w:szCs w:val="24"/>
          <w:lang w:val="es-ES"/>
        </w:rPr>
      </w:pPr>
      <w:r w:rsidRPr="00E94239">
        <w:rPr>
          <w:rFonts w:ascii="Arial" w:hAnsi="Arial" w:cs="Arial"/>
          <w:sz w:val="24"/>
          <w:szCs w:val="24"/>
          <w:lang w:val="es-ES"/>
        </w:rPr>
        <w:t>El derecho a un medio ambiente sano impone a las autoridades materialmente jurisdiccionales la obligación de adoptar, dentro del ámbito de su competencia, todas aquellas medidas necesarias para la protección del ambiente.</w:t>
      </w:r>
    </w:p>
    <w:p w:rsidR="00743AB6" w:rsidRPr="00E94239" w:rsidRDefault="00743AB6" w:rsidP="0035337F">
      <w:pPr>
        <w:autoSpaceDE w:val="0"/>
        <w:autoSpaceDN w:val="0"/>
        <w:adjustRightInd w:val="0"/>
        <w:spacing w:after="0" w:line="360" w:lineRule="auto"/>
        <w:ind w:firstLine="708"/>
        <w:jc w:val="both"/>
        <w:rPr>
          <w:rFonts w:ascii="Arial" w:hAnsi="Arial" w:cs="Arial"/>
          <w:sz w:val="24"/>
          <w:szCs w:val="24"/>
          <w:lang w:val="es-ES"/>
        </w:rPr>
      </w:pPr>
    </w:p>
    <w:p w:rsidR="00743AB6" w:rsidRPr="00E94239" w:rsidRDefault="00743AB6" w:rsidP="0035337F">
      <w:pPr>
        <w:autoSpaceDE w:val="0"/>
        <w:autoSpaceDN w:val="0"/>
        <w:adjustRightInd w:val="0"/>
        <w:spacing w:after="0" w:line="360" w:lineRule="auto"/>
        <w:ind w:firstLine="708"/>
        <w:jc w:val="both"/>
        <w:rPr>
          <w:rFonts w:ascii="Arial" w:hAnsi="Arial" w:cs="Arial"/>
          <w:sz w:val="24"/>
          <w:szCs w:val="24"/>
          <w:lang w:val="es-ES"/>
        </w:rPr>
      </w:pPr>
      <w:r w:rsidRPr="00E94239">
        <w:rPr>
          <w:rFonts w:ascii="Arial" w:hAnsi="Arial" w:cs="Arial"/>
          <w:sz w:val="24"/>
          <w:szCs w:val="24"/>
          <w:lang w:val="es-ES"/>
        </w:rPr>
        <w:t xml:space="preserve">Sobre el particular, es aplicable el criterio de la Primera Sala de la Suprema Corte de Justicia de la Nación, contenido en la </w:t>
      </w:r>
      <w:r w:rsidRPr="00E94239">
        <w:rPr>
          <w:rFonts w:ascii="Arial" w:hAnsi="Arial" w:cs="Arial"/>
          <w:sz w:val="24"/>
          <w:szCs w:val="24"/>
        </w:rPr>
        <w:t>Tesis 1a. CCXLVIII/2017 (10a.), Décima Época, Gaceta del Semanario Judicial de la Federación. Libro 49, Diciembre de 2017, Tomo I, página 411, registro digital 2015825, de rubro y texto siguientes:</w:t>
      </w:r>
    </w:p>
    <w:p w:rsidR="00655449" w:rsidRPr="00E94239" w:rsidRDefault="00655449" w:rsidP="0035337F">
      <w:pPr>
        <w:autoSpaceDE w:val="0"/>
        <w:autoSpaceDN w:val="0"/>
        <w:adjustRightInd w:val="0"/>
        <w:spacing w:after="0" w:line="360" w:lineRule="auto"/>
        <w:ind w:firstLine="708"/>
        <w:jc w:val="both"/>
        <w:rPr>
          <w:rFonts w:ascii="Arial" w:hAnsi="Arial" w:cs="Arial"/>
          <w:sz w:val="24"/>
          <w:szCs w:val="24"/>
          <w:lang w:val="es-ES"/>
        </w:rPr>
      </w:pPr>
    </w:p>
    <w:p w:rsidR="00743AB6" w:rsidRPr="00E94239" w:rsidRDefault="00743AB6" w:rsidP="0035337F">
      <w:pPr>
        <w:autoSpaceDE w:val="0"/>
        <w:autoSpaceDN w:val="0"/>
        <w:adjustRightInd w:val="0"/>
        <w:spacing w:after="0" w:line="360" w:lineRule="auto"/>
        <w:ind w:firstLine="708"/>
        <w:jc w:val="both"/>
        <w:rPr>
          <w:rFonts w:ascii="Arial" w:hAnsi="Arial" w:cs="Arial"/>
          <w:sz w:val="24"/>
          <w:szCs w:val="24"/>
          <w:lang w:val="es-ES"/>
        </w:rPr>
      </w:pPr>
    </w:p>
    <w:p w:rsidR="00655449" w:rsidRPr="00E94239" w:rsidRDefault="00743AB6" w:rsidP="00743AB6">
      <w:pPr>
        <w:autoSpaceDE w:val="0"/>
        <w:autoSpaceDN w:val="0"/>
        <w:adjustRightInd w:val="0"/>
        <w:spacing w:after="0" w:line="240" w:lineRule="auto"/>
        <w:ind w:left="567" w:right="618"/>
        <w:jc w:val="both"/>
        <w:rPr>
          <w:rFonts w:ascii="Arial" w:hAnsi="Arial" w:cs="Arial"/>
          <w:sz w:val="20"/>
          <w:szCs w:val="20"/>
        </w:rPr>
      </w:pPr>
      <w:r w:rsidRPr="00E94239">
        <w:rPr>
          <w:rFonts w:ascii="Arial" w:hAnsi="Arial" w:cs="Arial"/>
          <w:b/>
          <w:sz w:val="20"/>
          <w:szCs w:val="20"/>
        </w:rPr>
        <w:t xml:space="preserve">DERECHO HUMANO A UN MEDIO AMBIENTE SANO. SU CONTENIDO.   </w:t>
      </w:r>
      <w:r w:rsidRPr="00E94239">
        <w:rPr>
          <w:rFonts w:ascii="Arial" w:hAnsi="Arial" w:cs="Arial"/>
          <w:sz w:val="20"/>
          <w:szCs w:val="20"/>
        </w:rPr>
        <w:t xml:space="preserve">El derecho a un medio ambiente sano está reconocido en el artículo 4o. de la Constitución Política de los Estados Unidos Mexicanos y en el ámbito internacional, en el Protocolo adicional a la Convención Americana sobre Derechos Humanos en materia de Derechos Económicos, Sociales y Culturales, también llamado "Protocolo de San Salvador", en la Declaración de las Naciones Unidas sobre el Medio Ambiente de 1972 (Conferencia de las Naciones Unidas sobre el Medio Humano) y en la Declaración de Río sobre el Medio Ambiente y el Desarrollo de 1992. Del contenido de este derecho </w:t>
      </w:r>
      <w:r w:rsidRPr="00E94239">
        <w:rPr>
          <w:rFonts w:ascii="Arial" w:hAnsi="Arial" w:cs="Arial"/>
          <w:sz w:val="20"/>
          <w:szCs w:val="20"/>
        </w:rPr>
        <w:lastRenderedPageBreak/>
        <w:t>humano se desprende la obligación de todas las autoridades del Estado de garantizar la existencia de un medio ambiente sano y propicio para el desarrollo humano y el bienestar de las personas. Tal mandato vincula tanto a los gobernados como a todas las autoridades legislativas, administrativas y judiciales, quienes deben adoptar, en el marco de sus competencias, todas aquellas medidas necesarias para la protección del ambiente.</w:t>
      </w:r>
    </w:p>
    <w:p w:rsidR="00655449" w:rsidRPr="00E94239" w:rsidRDefault="00655449" w:rsidP="0035337F">
      <w:pPr>
        <w:autoSpaceDE w:val="0"/>
        <w:autoSpaceDN w:val="0"/>
        <w:adjustRightInd w:val="0"/>
        <w:spacing w:after="0" w:line="360" w:lineRule="auto"/>
        <w:ind w:firstLine="708"/>
        <w:jc w:val="both"/>
        <w:rPr>
          <w:rFonts w:ascii="Arial" w:hAnsi="Arial" w:cs="Arial"/>
          <w:sz w:val="24"/>
          <w:szCs w:val="24"/>
        </w:rPr>
      </w:pPr>
    </w:p>
    <w:p w:rsidR="002561FC" w:rsidRPr="00E94239" w:rsidRDefault="002561FC" w:rsidP="0035337F">
      <w:pPr>
        <w:autoSpaceDE w:val="0"/>
        <w:autoSpaceDN w:val="0"/>
        <w:adjustRightInd w:val="0"/>
        <w:spacing w:after="0" w:line="360" w:lineRule="auto"/>
        <w:ind w:firstLine="708"/>
        <w:jc w:val="both"/>
        <w:rPr>
          <w:rFonts w:ascii="Arial" w:hAnsi="Arial" w:cs="Arial"/>
          <w:sz w:val="24"/>
          <w:szCs w:val="24"/>
        </w:rPr>
      </w:pPr>
    </w:p>
    <w:p w:rsidR="0050445B" w:rsidRPr="00E94239" w:rsidRDefault="003E0491"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r w:rsidRPr="00E94239">
        <w:rPr>
          <w:rFonts w:ascii="Arial" w:hAnsi="Arial" w:cs="Arial"/>
          <w:sz w:val="24"/>
          <w:szCs w:val="24"/>
        </w:rPr>
        <w:t xml:space="preserve">El principio </w:t>
      </w:r>
      <w:r w:rsidRPr="00E94239">
        <w:rPr>
          <w:rFonts w:ascii="Arial" w:hAnsi="Arial" w:cs="Arial"/>
          <w:i/>
          <w:sz w:val="24"/>
          <w:szCs w:val="24"/>
        </w:rPr>
        <w:t>in dubio pro natura</w:t>
      </w:r>
      <w:r w:rsidRPr="00E94239">
        <w:rPr>
          <w:rFonts w:ascii="Arial" w:hAnsi="Arial" w:cs="Arial"/>
          <w:sz w:val="24"/>
          <w:szCs w:val="24"/>
        </w:rPr>
        <w:t xml:space="preserve"> es un mandato que obliga a los órganos jurisdiccionales a resolver, en conflictos que impliquen el derecho a un medio ambiente sano, tomando en cuenta el daño ambiental o los posibles daños ambientales que pudieran producirse, prefiriendo aquella interpretación de la normatividad que favorezca la conservación del medio ambiente; dicho principio ha sido reconocido por la Primera Sala de la Suprema Corte de Justicia de la Nación en la tesis de jurisprudencia </w:t>
      </w:r>
      <w:r w:rsidRPr="00E94239">
        <w:rPr>
          <w:rStyle w:val="vkekvd"/>
          <w:rFonts w:ascii="Arial" w:hAnsi="Arial" w:cs="Arial"/>
          <w:color w:val="0A0A0A"/>
          <w:sz w:val="24"/>
          <w:szCs w:val="24"/>
          <w:shd w:val="clear" w:color="auto" w:fill="FFFFFF"/>
        </w:rPr>
        <w:t xml:space="preserve">1a./J. 135/2025 (11a.), Undécima Época, Gaceta del Semanario Judicial de la Federación. Libro 52, Agosto de 2025, Tomo II, Volumen 1, página 243, </w:t>
      </w:r>
      <w:proofErr w:type="gramStart"/>
      <w:r w:rsidRPr="00E94239">
        <w:rPr>
          <w:rStyle w:val="vkekvd"/>
          <w:rFonts w:ascii="Arial" w:hAnsi="Arial" w:cs="Arial"/>
          <w:color w:val="0A0A0A"/>
          <w:sz w:val="24"/>
          <w:szCs w:val="24"/>
          <w:shd w:val="clear" w:color="auto" w:fill="FFFFFF"/>
        </w:rPr>
        <w:t>registro</w:t>
      </w:r>
      <w:proofErr w:type="gramEnd"/>
      <w:r w:rsidRPr="00E94239">
        <w:rPr>
          <w:rStyle w:val="vkekvd"/>
          <w:rFonts w:ascii="Arial" w:hAnsi="Arial" w:cs="Arial"/>
          <w:color w:val="0A0A0A"/>
          <w:sz w:val="24"/>
          <w:szCs w:val="24"/>
          <w:shd w:val="clear" w:color="auto" w:fill="FFFFFF"/>
        </w:rPr>
        <w:t xml:space="preserve"> digital: 2030863, que reza:</w:t>
      </w:r>
    </w:p>
    <w:p w:rsidR="003E0491" w:rsidRPr="00E94239" w:rsidRDefault="003E0491"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2561FC" w:rsidRPr="00E94239" w:rsidRDefault="002561FC"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3E0491" w:rsidRPr="00E94239" w:rsidRDefault="003E0491" w:rsidP="003E0491">
      <w:pPr>
        <w:spacing w:after="0" w:line="240" w:lineRule="auto"/>
        <w:ind w:left="567" w:right="618"/>
        <w:jc w:val="both"/>
        <w:rPr>
          <w:rStyle w:val="vkekvd"/>
          <w:rFonts w:ascii="Arial" w:hAnsi="Arial" w:cs="Arial"/>
          <w:b/>
          <w:color w:val="0A0A0A"/>
          <w:sz w:val="20"/>
          <w:szCs w:val="20"/>
          <w:shd w:val="clear" w:color="auto" w:fill="FFFFFF"/>
        </w:rPr>
      </w:pPr>
      <w:r w:rsidRPr="00E94239">
        <w:rPr>
          <w:rStyle w:val="vkekvd"/>
          <w:rFonts w:ascii="Arial" w:hAnsi="Arial" w:cs="Arial"/>
          <w:b/>
          <w:color w:val="0A0A0A"/>
          <w:sz w:val="20"/>
          <w:szCs w:val="20"/>
          <w:shd w:val="clear" w:color="auto" w:fill="FFFFFF"/>
        </w:rPr>
        <w:t>PRINCIPIO IN DUBIO PRO NATURA. SU CONTENIDO Y ALCANCE EN LOS JUICIOS EN LOS QUE SE RECLAMA UNA VULNERACIÓN AL MEDIO AMBIENTE.</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Hechos:</w:t>
      </w:r>
      <w:r w:rsidRPr="00E94239">
        <w:rPr>
          <w:rStyle w:val="vkekvd"/>
          <w:rFonts w:ascii="Arial" w:hAnsi="Arial" w:cs="Arial"/>
          <w:color w:val="0A0A0A"/>
          <w:sz w:val="20"/>
          <w:szCs w:val="20"/>
          <w:shd w:val="clear" w:color="auto" w:fill="FFFFFF"/>
        </w:rPr>
        <w:t xml:space="preserve"> Un hombre reclamó la responsabilidad ambiental de una empresa que es propietaria de un rastro que colinda con su domicilio por los daños provocados al medio ambiente por el indebido manejo de residuos peligrosos que genera y por el incumplimiento de diversas normas ambientales.</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El Juez civil determinó que no había pruebas suficientes para acreditar que existió un acto u omisión ilícitos que hubieran generado un daño ambiental, porque con ellas no se podía evaluar el supuesto daño provocado a partir de la producción de residuos y la descarga de aguas residuales en la red de alcantarillado municipal; decisión que fue confirmada en apelación. En su resolución, el Tribunal de apelación determinó que, para acreditar el daño ambiental, era necesario que se aportara evidencia de que los residuos generados en la operación del rastro provocaron una afectación concreta en el ecosistema.</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Inconforme, el actor promovió un juicio de amparo en el que planteó que, ante la ausencia de alguna prueba que acreditara que la empresa había manejado debidamente los desechos peligrosos y las aguas residuales derivadas de su operación, debía tenerse por acreditado el daño al medio ambiente. La Primera Sala de la Suprema Corte de Justicia de la Nación decidió ejercer su facultad de atracción para conocer y resolver el juicio de amparo.</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Criterio jurídico:</w:t>
      </w:r>
      <w:r w:rsidRPr="00E94239">
        <w:rPr>
          <w:rStyle w:val="vkekvd"/>
          <w:rFonts w:ascii="Arial" w:hAnsi="Arial" w:cs="Arial"/>
          <w:color w:val="0A0A0A"/>
          <w:sz w:val="20"/>
          <w:szCs w:val="20"/>
          <w:shd w:val="clear" w:color="auto" w:fill="FFFFFF"/>
        </w:rPr>
        <w:t xml:space="preserve"> El principio in dubio pro natura debe entenderse como un mandato que obliga a la autoridad judicial a preferir aquella interpretación que favorezca la conservación del medio ambiente, así como a tomar todas las medidas necesarias para su protección, frente a cualquier conflicto ambiental en el que los daños o riesgos no puedan dilucidarse por falta de información.</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 xml:space="preserve">Esto implica que la persona juzgadora debe tomar en cuenta que el daño ambiental no es un proceso único con un daño y efectos únicos. Por el contrario, los daños ambientales pueden generarse por una o varias acciones a lo largo del tiempo en un espacio no necesariamente delimitado. Por lo tanto, si se advierten indicios razonables de que se han producido daños continuos, </w:t>
      </w:r>
      <w:r w:rsidRPr="00E94239">
        <w:rPr>
          <w:rStyle w:val="vkekvd"/>
          <w:rFonts w:ascii="Arial" w:hAnsi="Arial" w:cs="Arial"/>
          <w:color w:val="0A0A0A"/>
          <w:sz w:val="20"/>
          <w:szCs w:val="20"/>
          <w:shd w:val="clear" w:color="auto" w:fill="FFFFFF"/>
        </w:rPr>
        <w:lastRenderedPageBreak/>
        <w:t>permanentes y progresivos, puede determinarse la responsabilidad del agente contaminante a la luz de este principio.</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Justificación: El principio in dubio pro natura es uno de los principios rectores que derivan del derecho humano al medio ambiente sano. Este principio se traduce en un mandato interpretativo que obliga a la autoridad judicial a que, si en un proceso existe una colisión entre el medio ambiente y otros intereses, deba tomar una decisión que proteja al ecosistema, a los seres vivos que lo habitan y a la comunidad adyacente que se beneficia de sus servicios ambientales.</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En ese sentido, aunque se encuentra estrechamente vinculado con otros principios, como el precautorio y el de prevención, tiene una mayor amplitud. Mientras que el principio precautorio implica actuar ante la duda de si una actividad puede ser o no riesgosa para el medio ambiente y el principio de prevención opera ante la certeza del riesgo, el principio in dubio pro natura es aplicable independientemente del conocimiento o desconocimiento de la situación de peligro que se desprenda de la información científica, por lo que, ante la duda, siempre debe resolverse a favor de la naturaleza.</w:t>
      </w: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p>
    <w:p w:rsidR="003E0491" w:rsidRPr="00E94239" w:rsidRDefault="003E0491" w:rsidP="003E0491">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color w:val="0A0A0A"/>
          <w:sz w:val="20"/>
          <w:szCs w:val="20"/>
          <w:shd w:val="clear" w:color="auto" w:fill="FFFFFF"/>
        </w:rPr>
        <w:t>Por lo tanto, en estos casos, para efectos de establecer la responsabilidad ambiental correspondiente, la persona juzgadora deberá analizar si existen indicios que razonablemente puedan llevarla a considerar que se ha generado un daño de forma continua y progresiva, que se ha prolongado en el tiempo y que no se delimita a un espacio geográfico particular.</w:t>
      </w:r>
    </w:p>
    <w:p w:rsidR="003E0491" w:rsidRPr="00E94239" w:rsidRDefault="003E0491"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420CB1" w:rsidRPr="00E94239" w:rsidRDefault="00420CB1"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3E0491" w:rsidRPr="00E94239" w:rsidRDefault="00420CB1" w:rsidP="0035337F">
      <w:pPr>
        <w:autoSpaceDE w:val="0"/>
        <w:autoSpaceDN w:val="0"/>
        <w:adjustRightInd w:val="0"/>
        <w:spacing w:after="0" w:line="360" w:lineRule="auto"/>
        <w:ind w:firstLine="708"/>
        <w:jc w:val="both"/>
        <w:rPr>
          <w:rFonts w:ascii="Arial" w:hAnsi="Arial" w:cs="Arial"/>
          <w:sz w:val="24"/>
          <w:szCs w:val="24"/>
        </w:rPr>
      </w:pPr>
      <w:r w:rsidRPr="00E94239">
        <w:rPr>
          <w:rStyle w:val="vkekvd"/>
          <w:rFonts w:ascii="Arial" w:hAnsi="Arial" w:cs="Arial"/>
          <w:color w:val="0A0A0A"/>
          <w:sz w:val="24"/>
          <w:szCs w:val="24"/>
          <w:shd w:val="clear" w:color="auto" w:fill="FFFFFF"/>
        </w:rPr>
        <w:t xml:space="preserve">El </w:t>
      </w:r>
      <w:r w:rsidRPr="00E94239">
        <w:rPr>
          <w:rStyle w:val="vkekvd"/>
          <w:rFonts w:ascii="Arial" w:hAnsi="Arial" w:cs="Arial"/>
          <w:b/>
          <w:color w:val="0A0A0A"/>
          <w:sz w:val="24"/>
          <w:szCs w:val="24"/>
          <w:shd w:val="clear" w:color="auto" w:fill="FFFFFF"/>
        </w:rPr>
        <w:t xml:space="preserve">principio de </w:t>
      </w:r>
      <w:r w:rsidR="006D7087" w:rsidRPr="00E94239">
        <w:rPr>
          <w:rStyle w:val="vkekvd"/>
          <w:rFonts w:ascii="Arial" w:hAnsi="Arial" w:cs="Arial"/>
          <w:b/>
          <w:color w:val="0A0A0A"/>
          <w:sz w:val="24"/>
          <w:szCs w:val="24"/>
          <w:shd w:val="clear" w:color="auto" w:fill="FFFFFF"/>
        </w:rPr>
        <w:t>precaución</w:t>
      </w:r>
      <w:r w:rsidRPr="00E94239">
        <w:rPr>
          <w:rStyle w:val="vkekvd"/>
          <w:rFonts w:ascii="Arial" w:hAnsi="Arial" w:cs="Arial"/>
          <w:color w:val="0A0A0A"/>
          <w:sz w:val="24"/>
          <w:szCs w:val="24"/>
          <w:shd w:val="clear" w:color="auto" w:fill="FFFFFF"/>
        </w:rPr>
        <w:t xml:space="preserve"> impone como obligación de todo juzgador, al momento de resolver controversias que implican el derecho ambiental, a decidir el conflicto asegurándose que las actividades o actos sometidos a su jurisdicción no perjudiquen o puedan perjudicar al medio ambiente, bastando para ello la </w:t>
      </w:r>
      <w:r w:rsidR="002561FC" w:rsidRPr="00E94239">
        <w:rPr>
          <w:rStyle w:val="vkekvd"/>
          <w:rFonts w:ascii="Arial" w:hAnsi="Arial" w:cs="Arial"/>
          <w:color w:val="0A0A0A"/>
          <w:sz w:val="24"/>
          <w:szCs w:val="24"/>
          <w:shd w:val="clear" w:color="auto" w:fill="FFFFFF"/>
        </w:rPr>
        <w:t>sola probabilidad de un riesgo;</w:t>
      </w:r>
      <w:r w:rsidRPr="00E94239">
        <w:rPr>
          <w:rStyle w:val="vkekvd"/>
          <w:rFonts w:ascii="Arial" w:hAnsi="Arial" w:cs="Arial"/>
          <w:color w:val="0A0A0A"/>
          <w:sz w:val="24"/>
          <w:szCs w:val="24"/>
          <w:shd w:val="clear" w:color="auto" w:fill="FFFFFF"/>
        </w:rPr>
        <w:t xml:space="preserve"> este principio ha sido reconocido por el Tercer Tribunal Colegiado en Materia Administrativa del Primer Circuito, en la tesis aislada </w:t>
      </w:r>
      <w:r w:rsidRPr="00E94239">
        <w:rPr>
          <w:rFonts w:ascii="Arial" w:hAnsi="Arial" w:cs="Arial"/>
          <w:sz w:val="24"/>
          <w:szCs w:val="24"/>
        </w:rPr>
        <w:t xml:space="preserve">I.3o.A.17 A (10a.), Décima Época, Gaceta del Semanario Judicial de la Federación. Libro 29, Abril de 2016, Tomo III, página 2507, </w:t>
      </w:r>
      <w:proofErr w:type="gramStart"/>
      <w:r w:rsidRPr="00E94239">
        <w:rPr>
          <w:rFonts w:ascii="Arial" w:hAnsi="Arial" w:cs="Arial"/>
          <w:sz w:val="24"/>
          <w:szCs w:val="24"/>
        </w:rPr>
        <w:t>registro</w:t>
      </w:r>
      <w:proofErr w:type="gramEnd"/>
      <w:r w:rsidRPr="00E94239">
        <w:rPr>
          <w:rFonts w:ascii="Arial" w:hAnsi="Arial" w:cs="Arial"/>
          <w:sz w:val="24"/>
          <w:szCs w:val="24"/>
        </w:rPr>
        <w:t xml:space="preserve"> digital: 2011357, de rubro y texto siguiente:</w:t>
      </w:r>
    </w:p>
    <w:p w:rsidR="00420CB1" w:rsidRPr="00E94239" w:rsidRDefault="00420CB1" w:rsidP="0035337F">
      <w:pPr>
        <w:autoSpaceDE w:val="0"/>
        <w:autoSpaceDN w:val="0"/>
        <w:adjustRightInd w:val="0"/>
        <w:spacing w:after="0" w:line="360" w:lineRule="auto"/>
        <w:ind w:firstLine="708"/>
        <w:jc w:val="both"/>
        <w:rPr>
          <w:rFonts w:ascii="Arial" w:hAnsi="Arial" w:cs="Arial"/>
          <w:sz w:val="24"/>
          <w:szCs w:val="24"/>
        </w:rPr>
      </w:pPr>
    </w:p>
    <w:p w:rsidR="00420CB1" w:rsidRPr="00E94239" w:rsidRDefault="00420CB1" w:rsidP="0035337F">
      <w:pPr>
        <w:autoSpaceDE w:val="0"/>
        <w:autoSpaceDN w:val="0"/>
        <w:adjustRightInd w:val="0"/>
        <w:spacing w:after="0" w:line="360" w:lineRule="auto"/>
        <w:ind w:firstLine="708"/>
        <w:jc w:val="both"/>
        <w:rPr>
          <w:rFonts w:ascii="Arial" w:hAnsi="Arial" w:cs="Arial"/>
          <w:sz w:val="24"/>
          <w:szCs w:val="24"/>
        </w:rPr>
      </w:pPr>
    </w:p>
    <w:p w:rsidR="00420CB1" w:rsidRPr="00E94239" w:rsidRDefault="00420CB1" w:rsidP="00420CB1">
      <w:pPr>
        <w:spacing w:after="0" w:line="240" w:lineRule="auto"/>
        <w:ind w:left="567" w:right="618"/>
        <w:jc w:val="both"/>
        <w:rPr>
          <w:rFonts w:ascii="Arial" w:hAnsi="Arial" w:cs="Arial"/>
          <w:sz w:val="20"/>
          <w:szCs w:val="20"/>
        </w:rPr>
      </w:pPr>
      <w:r w:rsidRPr="00E94239">
        <w:rPr>
          <w:rFonts w:ascii="Arial" w:hAnsi="Arial" w:cs="Arial"/>
          <w:b/>
          <w:sz w:val="20"/>
          <w:szCs w:val="20"/>
        </w:rPr>
        <w:t xml:space="preserve">MEDIO AMBIENTE. CARACTERÍSTICAS DE LOS PRINCIPIOS DE PREVENCIÓN Y PRECAUTORIO, APLICABLES A LOS RIESGOS EN ESA MATERIA.   </w:t>
      </w:r>
      <w:r w:rsidRPr="00E94239">
        <w:rPr>
          <w:rFonts w:ascii="Arial" w:hAnsi="Arial" w:cs="Arial"/>
          <w:sz w:val="20"/>
          <w:szCs w:val="20"/>
        </w:rPr>
        <w:t>El principio de prevención conduce a un accionar destinado a evitar o disminuir riesgos ciertos; hay identificación plena del factor que produce el daño y de éste; en cambio, el principio precautorio se aplica a los riesgos inciertos, es decir, se desarrolla dentro de un espectro de incertidumbre en cuanto a la existencia y consecuencias de una conducta o actividad determinada en el medio ambiente, por lo que la elección de las acciones preventivas se lleva a cabo a partir de la evidencia científica existente sobre los posibles impactos de aquélla.</w:t>
      </w:r>
    </w:p>
    <w:p w:rsidR="00420CB1" w:rsidRPr="00E94239" w:rsidRDefault="00420CB1"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3E0491" w:rsidRPr="00E94239" w:rsidRDefault="006D7087"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r w:rsidRPr="00E94239">
        <w:rPr>
          <w:rStyle w:val="vkekvd"/>
          <w:rFonts w:ascii="Arial" w:hAnsi="Arial" w:cs="Arial"/>
          <w:color w:val="0A0A0A"/>
          <w:sz w:val="24"/>
          <w:szCs w:val="24"/>
          <w:shd w:val="clear" w:color="auto" w:fill="FFFFFF"/>
        </w:rPr>
        <w:t xml:space="preserve">Por lo tanto, a continuación se procederá a realizar el estudio de fondo, atendiendo a los principios rectores del derecho ambiental, especialmente los de precaución e </w:t>
      </w:r>
      <w:proofErr w:type="spellStart"/>
      <w:r w:rsidRPr="00E94239">
        <w:rPr>
          <w:rStyle w:val="vkekvd"/>
          <w:rFonts w:ascii="Arial" w:hAnsi="Arial" w:cs="Arial"/>
          <w:i/>
          <w:color w:val="0A0A0A"/>
          <w:sz w:val="24"/>
          <w:szCs w:val="24"/>
          <w:shd w:val="clear" w:color="auto" w:fill="FFFFFF"/>
        </w:rPr>
        <w:t>indubio</w:t>
      </w:r>
      <w:proofErr w:type="spellEnd"/>
      <w:r w:rsidRPr="00E94239">
        <w:rPr>
          <w:rStyle w:val="vkekvd"/>
          <w:rFonts w:ascii="Arial" w:hAnsi="Arial" w:cs="Arial"/>
          <w:i/>
          <w:color w:val="0A0A0A"/>
          <w:sz w:val="24"/>
          <w:szCs w:val="24"/>
          <w:shd w:val="clear" w:color="auto" w:fill="FFFFFF"/>
        </w:rPr>
        <w:t xml:space="preserve"> pro natura</w:t>
      </w:r>
      <w:r w:rsidRPr="00E94239">
        <w:rPr>
          <w:rStyle w:val="vkekvd"/>
          <w:rFonts w:ascii="Arial" w:hAnsi="Arial" w:cs="Arial"/>
          <w:color w:val="0A0A0A"/>
          <w:sz w:val="24"/>
          <w:szCs w:val="24"/>
          <w:shd w:val="clear" w:color="auto" w:fill="FFFFFF"/>
        </w:rPr>
        <w:t xml:space="preserve">, dado que la controversia implica la negativa de un permiso de operación de fuentes fijas </w:t>
      </w:r>
      <w:r w:rsidRPr="00E94239">
        <w:rPr>
          <w:rStyle w:val="vkekvd"/>
          <w:rFonts w:ascii="Arial" w:hAnsi="Arial" w:cs="Arial"/>
          <w:color w:val="0A0A0A"/>
          <w:sz w:val="24"/>
          <w:szCs w:val="24"/>
          <w:shd w:val="clear" w:color="auto" w:fill="FFFFFF"/>
        </w:rPr>
        <w:lastRenderedPageBreak/>
        <w:t>por falta de licencia de uso de suelo legalmente expedida por autoridad competente.</w:t>
      </w:r>
    </w:p>
    <w:p w:rsidR="006D7087" w:rsidRPr="00E94239" w:rsidRDefault="006D7087"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6D7087" w:rsidRPr="00E94239" w:rsidRDefault="006D7087"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r w:rsidRPr="00E94239">
        <w:rPr>
          <w:rStyle w:val="vkekvd"/>
          <w:rFonts w:ascii="Arial" w:hAnsi="Arial" w:cs="Arial"/>
          <w:color w:val="0A0A0A"/>
          <w:sz w:val="24"/>
          <w:szCs w:val="24"/>
          <w:shd w:val="clear" w:color="auto" w:fill="FFFFFF"/>
        </w:rPr>
        <w:t xml:space="preserve">Sirve de apoyo para ello la tesis .3o.C.7 CS (11a.), Undécima Época, Gaceta del Semanario Judicial de la Federación. Libro 48, Abril de 2025, Tomo II, Volumen 2, página 1068, </w:t>
      </w:r>
      <w:proofErr w:type="gramStart"/>
      <w:r w:rsidRPr="00E94239">
        <w:rPr>
          <w:rStyle w:val="vkekvd"/>
          <w:rFonts w:ascii="Arial" w:hAnsi="Arial" w:cs="Arial"/>
          <w:color w:val="0A0A0A"/>
          <w:sz w:val="24"/>
          <w:szCs w:val="24"/>
          <w:shd w:val="clear" w:color="auto" w:fill="FFFFFF"/>
        </w:rPr>
        <w:t>registro</w:t>
      </w:r>
      <w:proofErr w:type="gramEnd"/>
      <w:r w:rsidRPr="00E94239">
        <w:rPr>
          <w:rStyle w:val="vkekvd"/>
          <w:rFonts w:ascii="Arial" w:hAnsi="Arial" w:cs="Arial"/>
          <w:color w:val="0A0A0A"/>
          <w:sz w:val="24"/>
          <w:szCs w:val="24"/>
          <w:shd w:val="clear" w:color="auto" w:fill="FFFFFF"/>
        </w:rPr>
        <w:t xml:space="preserve"> digital: 2030240, que establece:</w:t>
      </w:r>
    </w:p>
    <w:p w:rsidR="006D7087" w:rsidRPr="00E94239" w:rsidRDefault="006D7087"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6D7087" w:rsidRPr="00E94239" w:rsidRDefault="006D7087" w:rsidP="006D7087">
      <w:pPr>
        <w:spacing w:after="0" w:line="240" w:lineRule="auto"/>
        <w:ind w:left="567" w:right="618"/>
        <w:jc w:val="both"/>
        <w:rPr>
          <w:rStyle w:val="vkekvd"/>
          <w:rFonts w:ascii="Arial" w:hAnsi="Arial" w:cs="Arial"/>
          <w:b/>
          <w:color w:val="0A0A0A"/>
          <w:sz w:val="20"/>
          <w:szCs w:val="20"/>
          <w:shd w:val="clear" w:color="auto" w:fill="FFFFFF"/>
        </w:rPr>
      </w:pPr>
      <w:r w:rsidRPr="00E94239">
        <w:rPr>
          <w:rStyle w:val="vkekvd"/>
          <w:rFonts w:ascii="Arial" w:hAnsi="Arial" w:cs="Arial"/>
          <w:b/>
          <w:color w:val="0A0A0A"/>
          <w:sz w:val="20"/>
          <w:szCs w:val="20"/>
          <w:shd w:val="clear" w:color="auto" w:fill="FFFFFF"/>
        </w:rPr>
        <w:t>DERECHO A UN MEDIO AMBIENTE SANO. PARA SU DEFENSA LAS AUTORIDADES JURISDICCIONALES DE LOS DIVERSOS FUEROS Y MATERIAS DEBEN RESOLVER ATENDIENDO A SUS PRINCIPIOS RECTORES, AL SER UN DERECHO TRANSVERSAL Y ESTAR EN RIESGO LA SUPERVIVENCIA DE TODA FORMA DE VIDA.</w:t>
      </w: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Hechos:</w:t>
      </w:r>
      <w:r w:rsidRPr="00E94239">
        <w:rPr>
          <w:rStyle w:val="vkekvd"/>
          <w:rFonts w:ascii="Arial" w:hAnsi="Arial" w:cs="Arial"/>
          <w:color w:val="0A0A0A"/>
          <w:sz w:val="20"/>
          <w:szCs w:val="20"/>
          <w:shd w:val="clear" w:color="auto" w:fill="FFFFFF"/>
        </w:rPr>
        <w:t xml:space="preserve"> Dentro de una controversia de arrendamiento inmobiliario en la que se demandó el pago de pensiones rentísticas, la parte actora –arrendadora– solicitó entre otras prestaciones, el pago del adeudo por uso del servicio de energía eléctrica; se dictó sentencia a su favor y contra dicho fallo el demandado promovió recurso de apelación declarándose infundado y firme aquélla. Dicha resolución es la que constituye el acto reclamado en el amparo directo, en el cual, previamente al estudio del fondo del asunto, se consideró que se debe priorizar un uso adecuado de la energía eléctrica, tomando en cuenta que existe una corresponsabilidad por parte de quien se beneficia directamente de ese bien.</w:t>
      </w: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Criterio jurídico:</w:t>
      </w:r>
      <w:r w:rsidRPr="00E94239">
        <w:rPr>
          <w:rStyle w:val="vkekvd"/>
          <w:rFonts w:ascii="Arial" w:hAnsi="Arial" w:cs="Arial"/>
          <w:color w:val="0A0A0A"/>
          <w:sz w:val="20"/>
          <w:szCs w:val="20"/>
          <w:shd w:val="clear" w:color="auto" w:fill="FFFFFF"/>
        </w:rPr>
        <w:t xml:space="preserve"> Este Tribunal Colegiado de Circuito determina que para la defensa del derecho humano a un medio ambiente sano, las autoridades jurisdiccionales de los diversos fueros y materias deben resolver atendiendo a sus principios rectores, al ser un derecho transversal cuya afectación irrumpe en todas las áreas y circunstancias de la vida de las personas y estar en riesgo la supervivencia de toda forma de vida.</w:t>
      </w: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p>
    <w:p w:rsidR="006D7087" w:rsidRPr="00E94239" w:rsidRDefault="006D7087" w:rsidP="006D7087">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Justificación:</w:t>
      </w:r>
      <w:r w:rsidRPr="00E94239">
        <w:rPr>
          <w:rStyle w:val="vkekvd"/>
          <w:rFonts w:ascii="Arial" w:hAnsi="Arial" w:cs="Arial"/>
          <w:color w:val="0A0A0A"/>
          <w:sz w:val="20"/>
          <w:szCs w:val="20"/>
          <w:shd w:val="clear" w:color="auto" w:fill="FFFFFF"/>
        </w:rPr>
        <w:t xml:space="preserve"> Lo anterior, porque las personas juzgadoras tienen la obligación, a través de sus fallos, de actuar ante un posible riesgo al deterioro del medio ambiente o ante la imposibilidad de reparar los daños ambientales causados, al entenderlo de máximo interés para el orden público y el interés social y buscando, en la medida de lo posible, la mitigación de la crisis climática. Por tanto, es responsabilidad del Estado Mexicano y de todos los poderes públicos que lo integran, acatar los principios ambientales para garantizar que se respete el derecho a un medio ambiente sano previsto tanto en el artículo 4o. de la Constitución General, como en el artículo 11 del Protocolo Adicional a la Convención Americana sobre Derechos Humanos en Materia de Derechos Económicos, Sociales y Culturales "Protocolo de San Salvador", así como los compromisos pactados por el Estado Mexicano en el Protocolo de Kioto [reducción de gases de efecto invernadero (GEI)], el Acuerdo de París (combate al cambio climático) y los principios de la Declaración de Río de Janeiro sobre el Medio Ambiente y el Desarrollo, pues la lucha por la sobrevivencia de la vida sobre el planeta tierra debe ser un esfuerzo conjunto en el que todas las autoridades, de todos los niveles, se sumen para generar las condiciones necesarias a efecto de revertir y detener las condiciones adversas provocadas por el cambio climático.</w:t>
      </w:r>
    </w:p>
    <w:p w:rsidR="006D7087" w:rsidRPr="00E94239" w:rsidRDefault="006D7087"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p>
    <w:p w:rsidR="003E0491" w:rsidRPr="00E94239" w:rsidRDefault="006E5B9C" w:rsidP="0035337F">
      <w:pPr>
        <w:autoSpaceDE w:val="0"/>
        <w:autoSpaceDN w:val="0"/>
        <w:adjustRightInd w:val="0"/>
        <w:spacing w:after="0" w:line="360" w:lineRule="auto"/>
        <w:ind w:firstLine="708"/>
        <w:jc w:val="both"/>
        <w:rPr>
          <w:rStyle w:val="vkekvd"/>
          <w:rFonts w:ascii="Arial" w:hAnsi="Arial" w:cs="Arial"/>
          <w:color w:val="0A0A0A"/>
          <w:sz w:val="24"/>
          <w:szCs w:val="24"/>
          <w:shd w:val="clear" w:color="auto" w:fill="FFFFFF"/>
        </w:rPr>
      </w:pPr>
      <w:r w:rsidRPr="00E94239">
        <w:rPr>
          <w:rFonts w:ascii="Arial" w:hAnsi="Arial" w:cs="Arial"/>
          <w:sz w:val="24"/>
          <w:szCs w:val="24"/>
        </w:rPr>
        <w:t xml:space="preserve">Así como la </w:t>
      </w:r>
      <w:r w:rsidR="00014834" w:rsidRPr="00E94239">
        <w:rPr>
          <w:rFonts w:ascii="Arial" w:hAnsi="Arial" w:cs="Arial"/>
          <w:sz w:val="24"/>
          <w:szCs w:val="24"/>
        </w:rPr>
        <w:t xml:space="preserve">jurisprudencia de la Primera Sala de la Suprema Corte de Justicia de la Nación, tesis </w:t>
      </w:r>
      <w:r w:rsidR="00014834" w:rsidRPr="00E94239">
        <w:rPr>
          <w:rStyle w:val="vkekvd"/>
          <w:rFonts w:ascii="Arial" w:hAnsi="Arial" w:cs="Arial"/>
          <w:color w:val="0A0A0A"/>
          <w:sz w:val="24"/>
          <w:szCs w:val="24"/>
          <w:shd w:val="clear" w:color="auto" w:fill="FFFFFF"/>
        </w:rPr>
        <w:t>1a</w:t>
      </w:r>
      <w:proofErr w:type="gramStart"/>
      <w:r w:rsidR="00014834" w:rsidRPr="00E94239">
        <w:rPr>
          <w:rStyle w:val="vkekvd"/>
          <w:rFonts w:ascii="Arial" w:hAnsi="Arial" w:cs="Arial"/>
          <w:color w:val="0A0A0A"/>
          <w:sz w:val="24"/>
          <w:szCs w:val="24"/>
          <w:shd w:val="clear" w:color="auto" w:fill="FFFFFF"/>
        </w:rPr>
        <w:t>./</w:t>
      </w:r>
      <w:proofErr w:type="gramEnd"/>
      <w:r w:rsidR="00014834" w:rsidRPr="00E94239">
        <w:rPr>
          <w:rStyle w:val="vkekvd"/>
          <w:rFonts w:ascii="Arial" w:hAnsi="Arial" w:cs="Arial"/>
          <w:color w:val="0A0A0A"/>
          <w:sz w:val="24"/>
          <w:szCs w:val="24"/>
          <w:shd w:val="clear" w:color="auto" w:fill="FFFFFF"/>
        </w:rPr>
        <w:t xml:space="preserve">J. 10/2022 (11a.), Undécima Época, Gaceta del Semanario Judicial de la Federación. Libro 12, Abril de 2022, Tomo II, página 843, </w:t>
      </w:r>
      <w:proofErr w:type="gramStart"/>
      <w:r w:rsidR="00014834" w:rsidRPr="00E94239">
        <w:rPr>
          <w:rStyle w:val="vkekvd"/>
          <w:rFonts w:ascii="Arial" w:hAnsi="Arial" w:cs="Arial"/>
          <w:color w:val="0A0A0A"/>
          <w:sz w:val="24"/>
          <w:szCs w:val="24"/>
          <w:shd w:val="clear" w:color="auto" w:fill="FFFFFF"/>
        </w:rPr>
        <w:t>registro</w:t>
      </w:r>
      <w:proofErr w:type="gramEnd"/>
      <w:r w:rsidR="00014834" w:rsidRPr="00E94239">
        <w:rPr>
          <w:rStyle w:val="vkekvd"/>
          <w:rFonts w:ascii="Arial" w:hAnsi="Arial" w:cs="Arial"/>
          <w:color w:val="0A0A0A"/>
          <w:sz w:val="24"/>
          <w:szCs w:val="24"/>
          <w:shd w:val="clear" w:color="auto" w:fill="FFFFFF"/>
        </w:rPr>
        <w:t xml:space="preserve"> digital: 2024376, que dispone:</w:t>
      </w:r>
    </w:p>
    <w:p w:rsidR="00014834" w:rsidRPr="00E94239" w:rsidRDefault="00014834" w:rsidP="0035337F">
      <w:pPr>
        <w:autoSpaceDE w:val="0"/>
        <w:autoSpaceDN w:val="0"/>
        <w:adjustRightInd w:val="0"/>
        <w:spacing w:after="0" w:line="360" w:lineRule="auto"/>
        <w:ind w:firstLine="708"/>
        <w:jc w:val="both"/>
        <w:rPr>
          <w:rFonts w:ascii="Arial" w:hAnsi="Arial" w:cs="Arial"/>
          <w:sz w:val="24"/>
          <w:szCs w:val="24"/>
        </w:rPr>
      </w:pPr>
    </w:p>
    <w:p w:rsidR="00014834" w:rsidRPr="00E94239" w:rsidRDefault="00014834" w:rsidP="00014834">
      <w:pPr>
        <w:spacing w:after="0" w:line="240" w:lineRule="auto"/>
        <w:ind w:left="567" w:right="618"/>
        <w:jc w:val="both"/>
        <w:rPr>
          <w:rStyle w:val="vkekvd"/>
          <w:rFonts w:ascii="Arial" w:hAnsi="Arial" w:cs="Arial"/>
          <w:b/>
          <w:color w:val="0A0A0A"/>
          <w:sz w:val="20"/>
          <w:szCs w:val="20"/>
          <w:shd w:val="clear" w:color="auto" w:fill="FFFFFF"/>
        </w:rPr>
      </w:pPr>
      <w:r w:rsidRPr="00E94239">
        <w:rPr>
          <w:rStyle w:val="vkekvd"/>
          <w:rFonts w:ascii="Arial" w:hAnsi="Arial" w:cs="Arial"/>
          <w:b/>
          <w:color w:val="0A0A0A"/>
          <w:sz w:val="20"/>
          <w:szCs w:val="20"/>
          <w:shd w:val="clear" w:color="auto" w:fill="FFFFFF"/>
        </w:rPr>
        <w:t xml:space="preserve">DERECHO HUMANO A UN MEDIO AMBIENTE SANO. POR VIRTUD DEL PRINCIPIO DE PRECAUCIÓN, RESULTA CONSTITUCIONAL ADOPTAR </w:t>
      </w:r>
      <w:r w:rsidRPr="00E94239">
        <w:rPr>
          <w:rStyle w:val="vkekvd"/>
          <w:rFonts w:ascii="Arial" w:hAnsi="Arial" w:cs="Arial"/>
          <w:b/>
          <w:color w:val="0A0A0A"/>
          <w:sz w:val="20"/>
          <w:szCs w:val="20"/>
          <w:shd w:val="clear" w:color="auto" w:fill="FFFFFF"/>
        </w:rPr>
        <w:lastRenderedPageBreak/>
        <w:t>DECISIONES JURISDICCIONALES EN SITUACIONES QUE PUEDAN PRODUCIR RIESGOS AMBIENTALES, INCLUSO ANTE LA FALTA DE CERTEZA CIENTÍFICA O TÉCNICA AL RESPECTO.</w:t>
      </w: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Hechos:</w:t>
      </w:r>
      <w:r w:rsidRPr="00E94239">
        <w:rPr>
          <w:rStyle w:val="vkekvd"/>
          <w:rFonts w:ascii="Arial" w:hAnsi="Arial" w:cs="Arial"/>
          <w:color w:val="0A0A0A"/>
          <w:sz w:val="20"/>
          <w:szCs w:val="20"/>
          <w:shd w:val="clear" w:color="auto" w:fill="FFFFFF"/>
        </w:rPr>
        <w:t xml:space="preserve"> Dos personas físicas promovieron juicio de amparo indirecto en el que reclamaron diversos actos y omisiones destinadas a autorizar y realizar el proyecto de ampliación del Puerto de Veracruz, aduciendo que no se había garantizado, bajo el estándar más alto de protección, su derecho humano a un medio ambiente sano. El Juez de Distrito sobreseyó en el juicio al considerar que las quejosas no tenían interés legítimo, en contra de esta resolución se interpuso recurso de revisión.</w:t>
      </w: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Criterio jurídico:</w:t>
      </w:r>
      <w:r w:rsidRPr="00E94239">
        <w:rPr>
          <w:rStyle w:val="vkekvd"/>
          <w:rFonts w:ascii="Arial" w:hAnsi="Arial" w:cs="Arial"/>
          <w:color w:val="0A0A0A"/>
          <w:sz w:val="20"/>
          <w:szCs w:val="20"/>
          <w:shd w:val="clear" w:color="auto" w:fill="FFFFFF"/>
        </w:rPr>
        <w:t xml:space="preserve"> La Primera Sala de la Suprema Corte de Justicia de la Nación considera que, atendiendo al principio de precaución, es constitucionalmente válida la toma de decisiones jurisdiccionales ante situaciones o actividades que puedan producir riesgos ambientales, aunque no se tenga certeza científica o técnica al respecto, pues una vez identificado el riesgo, la falta de pruebas científicas o técnicas no es motivo para no tomar las medidas necesarias para salvaguardar el medio ambiente.</w:t>
      </w: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p>
    <w:p w:rsidR="00014834" w:rsidRPr="00E94239" w:rsidRDefault="00014834" w:rsidP="00014834">
      <w:pPr>
        <w:spacing w:after="0" w:line="240" w:lineRule="auto"/>
        <w:ind w:left="567" w:right="618"/>
        <w:jc w:val="both"/>
        <w:rPr>
          <w:rStyle w:val="vkekvd"/>
          <w:rFonts w:ascii="Arial" w:hAnsi="Arial" w:cs="Arial"/>
          <w:color w:val="0A0A0A"/>
          <w:sz w:val="20"/>
          <w:szCs w:val="20"/>
          <w:shd w:val="clear" w:color="auto" w:fill="FFFFFF"/>
        </w:rPr>
      </w:pPr>
      <w:r w:rsidRPr="00E94239">
        <w:rPr>
          <w:rStyle w:val="vkekvd"/>
          <w:rFonts w:ascii="Arial" w:hAnsi="Arial" w:cs="Arial"/>
          <w:b/>
          <w:color w:val="0A0A0A"/>
          <w:sz w:val="20"/>
          <w:szCs w:val="20"/>
          <w:shd w:val="clear" w:color="auto" w:fill="FFFFFF"/>
        </w:rPr>
        <w:t>Justificación:</w:t>
      </w:r>
      <w:r w:rsidRPr="00E94239">
        <w:rPr>
          <w:rStyle w:val="vkekvd"/>
          <w:rFonts w:ascii="Arial" w:hAnsi="Arial" w:cs="Arial"/>
          <w:color w:val="0A0A0A"/>
          <w:sz w:val="20"/>
          <w:szCs w:val="20"/>
          <w:shd w:val="clear" w:color="auto" w:fill="FFFFFF"/>
        </w:rPr>
        <w:t xml:space="preserve"> El principio 15 de la Declaración de Río sobre el Medio Ambiente y el Desarrollo prevé que, con el fin de proteger el medio ambiente, los Estados deberán aplicar ampliamente el criterio de precaución conforme a sus capacidades y, cuando haya peligro de daño grave o irreversible, la falta de certeza científica absoluta no deberá utilizarse como razón para postergar la adopción de medidas eficaces en función de los costos para impedir la degradación del medio ambiente. En este sentido, el principio de precaución constituye una herramienta fundamental para resolver aquellas situaciones de incertidumbre, particularmente, incertidumbre científica que plantea el derecho ambiental. Así, conforme al principio referido, cuando la experiencia empírica refleja que una actividad es riesgosa para el medio ambiente, resulta necesario adoptar todas las medidas necesarias para evitarlo o mitigarlo, aun cuando no exista certidumbre sobre el daño ambiental. El principio de precaución tiene diferentes alcances: opera como pauta interpretativa ante las limitaciones de la ciencia para establecer con absoluta certeza los riesgos a los que se enfrenta la naturaleza y, en relación con la administración pública, implica el deber de advertir, regular, controlar, vigilar o restringir ciertas actividades que son riesgosas para el medio ambiente. De esta forma, dicho principio puede fungir como motivación para aquellas decisiones que, de otra manera, serían contrarias al principio de legalidad o de seguridad jurídica, mientras que para el operador jurídico la precaución exige incorporar el carácter incierto del conocimiento científico a sus decisiones. Finalmente, es importante mencionar que la información sobre los riesgos o daños ambientales puede ser incierta por diversos motivos (el contexto, la elección de los indicadores, los parámetros utilizados, errores estadísticos, la contradicción de teorías, entre otros); no obstante, a la luz del principio de precaución, se reconoce la posibilidad de revertir la carga de la prueba a cargo del agente potencialmente responsable, es decir, en virtud de este principio, el juzgador cuenta con dicha herramienta a efecto de allegarse de todos los elementos probatorios necesarios para identificar el riesgo o el daño al medio ambiente.</w:t>
      </w:r>
    </w:p>
    <w:p w:rsidR="0050445B" w:rsidRPr="00E94239" w:rsidRDefault="0050445B" w:rsidP="0035337F">
      <w:pPr>
        <w:autoSpaceDE w:val="0"/>
        <w:autoSpaceDN w:val="0"/>
        <w:adjustRightInd w:val="0"/>
        <w:spacing w:after="0" w:line="360" w:lineRule="auto"/>
        <w:ind w:firstLine="708"/>
        <w:jc w:val="both"/>
        <w:rPr>
          <w:rFonts w:ascii="Arial" w:hAnsi="Arial" w:cs="Arial"/>
          <w:sz w:val="24"/>
          <w:szCs w:val="24"/>
        </w:rPr>
      </w:pPr>
    </w:p>
    <w:p w:rsidR="0050445B" w:rsidRPr="00E94239" w:rsidRDefault="0050445B" w:rsidP="0035337F">
      <w:pPr>
        <w:autoSpaceDE w:val="0"/>
        <w:autoSpaceDN w:val="0"/>
        <w:adjustRightInd w:val="0"/>
        <w:spacing w:after="0" w:line="360" w:lineRule="auto"/>
        <w:ind w:firstLine="708"/>
        <w:jc w:val="both"/>
        <w:rPr>
          <w:rFonts w:ascii="Arial" w:hAnsi="Arial" w:cs="Arial"/>
          <w:sz w:val="24"/>
          <w:szCs w:val="24"/>
        </w:rPr>
      </w:pPr>
    </w:p>
    <w:p w:rsidR="0035337F" w:rsidRPr="00E94239" w:rsidRDefault="0008217A" w:rsidP="0035337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La parte actora, en su c</w:t>
      </w:r>
      <w:r w:rsidR="0035337F" w:rsidRPr="00E94239">
        <w:rPr>
          <w:rFonts w:ascii="Arial" w:eastAsia="Arial Unicode MS" w:hAnsi="Arial" w:cs="Arial"/>
          <w:sz w:val="24"/>
          <w:szCs w:val="24"/>
        </w:rPr>
        <w:t>oncepto de impugnación</w:t>
      </w:r>
      <w:r w:rsidRPr="00E94239">
        <w:rPr>
          <w:rFonts w:ascii="Arial" w:eastAsia="Arial Unicode MS" w:hAnsi="Arial" w:cs="Arial"/>
          <w:sz w:val="24"/>
          <w:szCs w:val="24"/>
        </w:rPr>
        <w:t xml:space="preserve">, esencialmente señala que, </w:t>
      </w:r>
      <w:r w:rsidRPr="00E94239">
        <w:rPr>
          <w:rFonts w:ascii="Arial" w:eastAsia="Calibri" w:hAnsi="Arial" w:cs="Arial"/>
          <w:sz w:val="24"/>
          <w:szCs w:val="24"/>
        </w:rPr>
        <w:t xml:space="preserve">la </w:t>
      </w:r>
      <w:r w:rsidRPr="00E94239">
        <w:rPr>
          <w:rFonts w:ascii="Arial" w:eastAsia="Arial Unicode MS" w:hAnsi="Arial" w:cs="Arial"/>
          <w:sz w:val="24"/>
          <w:szCs w:val="24"/>
        </w:rPr>
        <w:t xml:space="preserve">resolución de fecha 10 de marzo de 2025, contenida en el </w:t>
      </w:r>
      <w:r w:rsidRPr="001361BF">
        <w:rPr>
          <w:rFonts w:ascii="Arial" w:eastAsia="Arial Unicode MS" w:hAnsi="Arial" w:cs="Arial"/>
          <w:sz w:val="24"/>
          <w:szCs w:val="24"/>
        </w:rPr>
        <w:t xml:space="preserve">oficio SEGAM/DESP/067-2025, la cual resuelve el Recurso de Revisión interpuesto en contra de la resolución dictada dentro del expediente SEGAM.AYS.02.021/2018, donde se negó el permiso </w:t>
      </w:r>
      <w:r w:rsidRPr="00E94239">
        <w:rPr>
          <w:rFonts w:ascii="Arial" w:eastAsia="Arial Unicode MS" w:hAnsi="Arial" w:cs="Arial"/>
          <w:sz w:val="24"/>
          <w:szCs w:val="24"/>
        </w:rPr>
        <w:t xml:space="preserve">de operación de fuentes fijas, cuya nulidad se demanda a la Secretaria de Ecología y Gestión Ambiental del Gobierno del Estado de San Luis Potosí, </w:t>
      </w:r>
      <w:r w:rsidR="008C0D5B" w:rsidRPr="00E94239">
        <w:rPr>
          <w:rFonts w:ascii="Arial" w:eastAsia="Arial Unicode MS" w:hAnsi="Arial" w:cs="Arial"/>
          <w:sz w:val="24"/>
          <w:szCs w:val="24"/>
        </w:rPr>
        <w:t xml:space="preserve">a su criterio </w:t>
      </w:r>
      <w:r w:rsidRPr="00E94239">
        <w:rPr>
          <w:rFonts w:ascii="Arial" w:eastAsia="Arial Unicode MS" w:hAnsi="Arial" w:cs="Arial"/>
          <w:sz w:val="24"/>
          <w:szCs w:val="24"/>
        </w:rPr>
        <w:t xml:space="preserve">carece de los elementos del acto administrativo contemplados en el artículo 164, </w:t>
      </w:r>
      <w:r w:rsidRPr="00E94239">
        <w:rPr>
          <w:rFonts w:ascii="Arial" w:eastAsia="Arial Unicode MS" w:hAnsi="Arial" w:cs="Arial"/>
          <w:sz w:val="24"/>
          <w:szCs w:val="24"/>
        </w:rPr>
        <w:lastRenderedPageBreak/>
        <w:t>fracciones II y V, del Código Procesal Administrativo</w:t>
      </w:r>
      <w:r w:rsidR="008C0D5B" w:rsidRPr="00E94239">
        <w:rPr>
          <w:rFonts w:ascii="Arial" w:eastAsia="Arial Unicode MS" w:hAnsi="Arial" w:cs="Arial"/>
          <w:sz w:val="24"/>
          <w:szCs w:val="24"/>
        </w:rPr>
        <w:t>, al estar indebidamente fundado y motivado</w:t>
      </w:r>
      <w:r w:rsidR="00FD7BCD" w:rsidRPr="00E94239">
        <w:rPr>
          <w:rFonts w:ascii="Arial" w:eastAsia="Arial Unicode MS" w:hAnsi="Arial" w:cs="Arial"/>
          <w:sz w:val="24"/>
          <w:szCs w:val="24"/>
        </w:rPr>
        <w:t>.</w:t>
      </w:r>
    </w:p>
    <w:p w:rsidR="00FD7BCD" w:rsidRPr="00E94239" w:rsidRDefault="00FD7BCD" w:rsidP="0035337F">
      <w:pPr>
        <w:spacing w:before="120" w:after="120" w:line="360" w:lineRule="auto"/>
        <w:ind w:right="51" w:firstLine="709"/>
        <w:jc w:val="both"/>
        <w:rPr>
          <w:rFonts w:ascii="Arial" w:eastAsia="Arial Unicode MS" w:hAnsi="Arial" w:cs="Arial"/>
          <w:sz w:val="24"/>
          <w:szCs w:val="24"/>
        </w:rPr>
      </w:pPr>
    </w:p>
    <w:p w:rsidR="00FD7BCD" w:rsidRPr="00E94239" w:rsidRDefault="004915E8" w:rsidP="0035337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 xml:space="preserve">Cabe </w:t>
      </w:r>
      <w:r w:rsidR="00934E56" w:rsidRPr="00E94239">
        <w:rPr>
          <w:rFonts w:ascii="Arial" w:eastAsia="Arial Unicode MS" w:hAnsi="Arial" w:cs="Arial"/>
          <w:sz w:val="24"/>
          <w:szCs w:val="24"/>
        </w:rPr>
        <w:t>precisar</w:t>
      </w:r>
      <w:r w:rsidRPr="00E94239">
        <w:rPr>
          <w:rFonts w:ascii="Arial" w:eastAsia="Arial Unicode MS" w:hAnsi="Arial" w:cs="Arial"/>
          <w:sz w:val="24"/>
          <w:szCs w:val="24"/>
        </w:rPr>
        <w:t xml:space="preserve"> que, si bien es cierto que el actor alude a la fracción II del artículo 164 del Código Procesal Administrativo para el Estado de San Luis Potosí, también lo es que, no expresa razonamiento alguno al elemento del acto administrativo consistente en que su objeto esté previsto por el ordenamiento jurídico aplicable, determinado o determinable y preciso en cuanto a las circunstancias de tiempo y lugar, con relación a la resolución impugnada, sin que, del análisis del contenido del acto impugnado esta Sala Unitaria advierta una omisión o irregularidad de dicho elemento, por lo que el concepto de impugnación que se hace valer por el impugnante atenderá a la causa de pedir del mismo, que se traduce en la indebida fundamentación y motivación de la resolución impugnada de que se duele el accionante.</w:t>
      </w:r>
    </w:p>
    <w:p w:rsidR="00EE6108" w:rsidRPr="00E94239" w:rsidRDefault="00EE6108" w:rsidP="00DE6732">
      <w:pPr>
        <w:spacing w:before="120" w:after="120" w:line="360" w:lineRule="auto"/>
        <w:ind w:right="51" w:firstLine="709"/>
        <w:jc w:val="both"/>
        <w:rPr>
          <w:rFonts w:ascii="Arial" w:eastAsia="Arial Unicode MS" w:hAnsi="Arial" w:cs="Arial"/>
          <w:sz w:val="24"/>
          <w:szCs w:val="24"/>
        </w:rPr>
      </w:pPr>
    </w:p>
    <w:p w:rsidR="00FC2246" w:rsidRPr="00E94239" w:rsidRDefault="00FC2246" w:rsidP="00FC2246">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Los artículos 164, fracción V, y 165, fracción II, del Código Procesal Administrativo para el Estado de San Luis Potosí, señalan:</w:t>
      </w: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FC2246" w:rsidRPr="00E94239" w:rsidRDefault="00FC2246" w:rsidP="00FC2246">
      <w:pPr>
        <w:pStyle w:val="Default"/>
        <w:ind w:left="567" w:right="618"/>
        <w:jc w:val="both"/>
        <w:rPr>
          <w:color w:val="auto"/>
          <w:sz w:val="20"/>
          <w:szCs w:val="20"/>
        </w:rPr>
      </w:pPr>
      <w:r w:rsidRPr="00E94239">
        <w:rPr>
          <w:b/>
          <w:color w:val="auto"/>
          <w:sz w:val="20"/>
          <w:szCs w:val="20"/>
        </w:rPr>
        <w:t>ARTICULO 164.</w:t>
      </w:r>
      <w:r w:rsidRPr="00E94239">
        <w:rPr>
          <w:color w:val="auto"/>
          <w:sz w:val="20"/>
          <w:szCs w:val="20"/>
        </w:rPr>
        <w:t xml:space="preserve"> Son elementos del acto administrativo:</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b/>
          <w:color w:val="auto"/>
          <w:sz w:val="20"/>
          <w:szCs w:val="20"/>
        </w:rPr>
      </w:pPr>
      <w:r w:rsidRPr="00E94239">
        <w:rPr>
          <w:b/>
          <w:color w:val="auto"/>
          <w:sz w:val="20"/>
          <w:szCs w:val="20"/>
        </w:rPr>
        <w:t>[…]</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color w:val="auto"/>
          <w:sz w:val="20"/>
          <w:szCs w:val="20"/>
        </w:rPr>
      </w:pPr>
      <w:r w:rsidRPr="00E94239">
        <w:rPr>
          <w:b/>
          <w:color w:val="auto"/>
          <w:sz w:val="20"/>
          <w:szCs w:val="20"/>
        </w:rPr>
        <w:t>V.</w:t>
      </w:r>
      <w:r w:rsidRPr="00E94239">
        <w:rPr>
          <w:color w:val="auto"/>
          <w:sz w:val="20"/>
          <w:szCs w:val="20"/>
        </w:rPr>
        <w:t xml:space="preserve"> Estar fundado y motivado;</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color w:val="auto"/>
          <w:sz w:val="20"/>
          <w:szCs w:val="20"/>
        </w:rPr>
      </w:pPr>
      <w:r w:rsidRPr="00E94239">
        <w:rPr>
          <w:color w:val="auto"/>
          <w:sz w:val="20"/>
          <w:szCs w:val="20"/>
        </w:rPr>
        <w:t>[…]</w:t>
      </w:r>
    </w:p>
    <w:p w:rsidR="00FC2246" w:rsidRPr="00E94239" w:rsidRDefault="00FC2246" w:rsidP="00FC2246">
      <w:pPr>
        <w:spacing w:after="0" w:line="240" w:lineRule="auto"/>
        <w:ind w:left="567" w:right="618"/>
        <w:jc w:val="both"/>
        <w:rPr>
          <w:rFonts w:ascii="Arial" w:hAnsi="Arial" w:cs="Arial"/>
          <w:sz w:val="20"/>
          <w:szCs w:val="20"/>
        </w:rPr>
      </w:pPr>
    </w:p>
    <w:p w:rsidR="00FC2246" w:rsidRPr="00E94239" w:rsidRDefault="00FC2246" w:rsidP="00FC2246">
      <w:pPr>
        <w:spacing w:after="0" w:line="240" w:lineRule="auto"/>
        <w:ind w:left="567" w:right="618"/>
        <w:jc w:val="both"/>
        <w:rPr>
          <w:rFonts w:ascii="Arial" w:hAnsi="Arial" w:cs="Arial"/>
          <w:sz w:val="20"/>
          <w:szCs w:val="20"/>
        </w:rPr>
      </w:pPr>
    </w:p>
    <w:p w:rsidR="00FC2246" w:rsidRPr="00E94239" w:rsidRDefault="00FC2246" w:rsidP="00FC2246">
      <w:pPr>
        <w:spacing w:after="0" w:line="240" w:lineRule="auto"/>
        <w:ind w:left="567" w:right="618"/>
        <w:jc w:val="both"/>
        <w:rPr>
          <w:rFonts w:ascii="Arial" w:hAnsi="Arial" w:cs="Arial"/>
          <w:sz w:val="20"/>
          <w:szCs w:val="20"/>
        </w:rPr>
      </w:pPr>
    </w:p>
    <w:p w:rsidR="00FC2246" w:rsidRPr="00E94239" w:rsidRDefault="00FC2246" w:rsidP="00FC2246">
      <w:pPr>
        <w:pStyle w:val="Default"/>
        <w:ind w:left="567" w:right="618"/>
        <w:jc w:val="both"/>
        <w:rPr>
          <w:color w:val="auto"/>
          <w:sz w:val="20"/>
          <w:szCs w:val="20"/>
        </w:rPr>
      </w:pPr>
      <w:r w:rsidRPr="00E94239">
        <w:rPr>
          <w:b/>
          <w:color w:val="auto"/>
          <w:sz w:val="20"/>
          <w:szCs w:val="20"/>
        </w:rPr>
        <w:t>ARTICULO 165.</w:t>
      </w:r>
      <w:r w:rsidRPr="00E94239">
        <w:rPr>
          <w:color w:val="auto"/>
          <w:sz w:val="20"/>
          <w:szCs w:val="20"/>
        </w:rPr>
        <w:t xml:space="preserve"> Son requisitos del acto administrativo:</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b/>
          <w:color w:val="auto"/>
          <w:sz w:val="20"/>
          <w:szCs w:val="20"/>
        </w:rPr>
      </w:pPr>
      <w:r w:rsidRPr="00E94239">
        <w:rPr>
          <w:b/>
          <w:color w:val="auto"/>
          <w:sz w:val="20"/>
          <w:szCs w:val="20"/>
        </w:rPr>
        <w:t>[…]</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color w:val="auto"/>
          <w:sz w:val="20"/>
          <w:szCs w:val="20"/>
        </w:rPr>
      </w:pPr>
      <w:r w:rsidRPr="00E94239">
        <w:rPr>
          <w:b/>
          <w:color w:val="auto"/>
          <w:sz w:val="20"/>
          <w:szCs w:val="20"/>
        </w:rPr>
        <w:t>II.</w:t>
      </w:r>
      <w:r w:rsidRPr="00E94239">
        <w:rPr>
          <w:color w:val="auto"/>
          <w:sz w:val="20"/>
          <w:szCs w:val="20"/>
        </w:rPr>
        <w:t xml:space="preserve"> Que se encuentre adecuadamente fundado y motivado;</w:t>
      </w:r>
    </w:p>
    <w:p w:rsidR="00FC2246" w:rsidRPr="00E94239" w:rsidRDefault="00FC2246" w:rsidP="00FC2246">
      <w:pPr>
        <w:pStyle w:val="Default"/>
        <w:ind w:left="567" w:right="618"/>
        <w:jc w:val="both"/>
        <w:rPr>
          <w:color w:val="auto"/>
          <w:sz w:val="20"/>
          <w:szCs w:val="20"/>
        </w:rPr>
      </w:pPr>
    </w:p>
    <w:p w:rsidR="00FC2246" w:rsidRPr="00E94239" w:rsidRDefault="00FC2246" w:rsidP="00FC2246">
      <w:pPr>
        <w:pStyle w:val="Default"/>
        <w:ind w:left="567" w:right="618"/>
        <w:jc w:val="both"/>
        <w:rPr>
          <w:color w:val="auto"/>
          <w:sz w:val="20"/>
          <w:szCs w:val="20"/>
        </w:rPr>
      </w:pPr>
      <w:r w:rsidRPr="00E94239">
        <w:rPr>
          <w:color w:val="auto"/>
          <w:sz w:val="20"/>
          <w:szCs w:val="20"/>
        </w:rPr>
        <w:t>[…]</w:t>
      </w: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FC2246" w:rsidRPr="00E94239" w:rsidRDefault="00FC2246" w:rsidP="00FC2246">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El párrafo primero del artículo 16 de la Constitución Política de los Estados Unidos Mexicanos, establece terminantemente:</w:t>
      </w: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4C0C9B" w:rsidRPr="00E94239" w:rsidRDefault="004C0C9B" w:rsidP="00FC2246">
      <w:pPr>
        <w:spacing w:before="120" w:after="120" w:line="360" w:lineRule="auto"/>
        <w:ind w:right="51" w:firstLine="709"/>
        <w:jc w:val="both"/>
        <w:rPr>
          <w:rFonts w:ascii="Arial" w:hAnsi="Arial" w:cs="Arial"/>
          <w:sz w:val="24"/>
          <w:szCs w:val="24"/>
          <w:lang w:eastAsia="es-MX"/>
        </w:rPr>
      </w:pPr>
    </w:p>
    <w:p w:rsidR="00FC2246" w:rsidRPr="00E94239" w:rsidRDefault="00FC2246" w:rsidP="00FC2246">
      <w:pPr>
        <w:spacing w:after="0" w:line="240" w:lineRule="auto"/>
        <w:ind w:left="567" w:right="618"/>
        <w:jc w:val="both"/>
        <w:rPr>
          <w:rFonts w:ascii="Arial" w:hAnsi="Arial" w:cs="Arial"/>
          <w:sz w:val="20"/>
          <w:szCs w:val="20"/>
          <w:lang w:eastAsia="es-MX"/>
        </w:rPr>
      </w:pPr>
      <w:r w:rsidRPr="00E94239">
        <w:rPr>
          <w:rFonts w:ascii="Arial" w:hAnsi="Arial" w:cs="Arial"/>
          <w:b/>
          <w:sz w:val="20"/>
          <w:szCs w:val="20"/>
        </w:rPr>
        <w:lastRenderedPageBreak/>
        <w:t>Artículo 16.</w:t>
      </w:r>
      <w:r w:rsidRPr="00E94239">
        <w:rPr>
          <w:rFonts w:ascii="Arial" w:hAnsi="Arial" w:cs="Arial"/>
          <w:sz w:val="20"/>
          <w:szCs w:val="20"/>
        </w:rPr>
        <w:t xml:space="preserve"> Nadie puede ser molestado en su persona, familia, domicilio, papeles o posesiones, sino en virtud de mandamiento escrito de la autoridad competente, que funde y motive la causa legal del procedimiento. En los juicios y procedimientos seguidos en forma de juicio en los que se establezca como regla la oralidad, bastará con que quede constancia de ellos en cualquier medio que dé certeza de su contenido y del cumplimiento de lo previsto en este párrafo.</w:t>
      </w:r>
    </w:p>
    <w:p w:rsidR="00FC2246" w:rsidRPr="00E94239" w:rsidRDefault="00FC2246" w:rsidP="00FC2246">
      <w:pPr>
        <w:spacing w:before="120" w:after="120" w:line="360" w:lineRule="auto"/>
        <w:ind w:right="51" w:firstLine="709"/>
        <w:jc w:val="both"/>
        <w:rPr>
          <w:rFonts w:ascii="Arial" w:hAnsi="Arial" w:cs="Arial"/>
          <w:sz w:val="24"/>
          <w:szCs w:val="24"/>
          <w:lang w:eastAsia="es-MX"/>
        </w:rPr>
      </w:pPr>
    </w:p>
    <w:p w:rsidR="004C0C9B" w:rsidRPr="00E94239" w:rsidRDefault="004C0C9B" w:rsidP="00FC2246">
      <w:pPr>
        <w:spacing w:before="120" w:after="120" w:line="360" w:lineRule="auto"/>
        <w:ind w:right="51" w:firstLine="709"/>
        <w:jc w:val="both"/>
        <w:rPr>
          <w:rFonts w:ascii="Arial" w:hAnsi="Arial" w:cs="Arial"/>
          <w:sz w:val="24"/>
          <w:szCs w:val="24"/>
          <w:lang w:eastAsia="es-MX"/>
        </w:rPr>
      </w:pPr>
    </w:p>
    <w:p w:rsidR="00752FD6" w:rsidRPr="00E94239" w:rsidRDefault="00752FD6" w:rsidP="00752FD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En ese sentido, el imperativo de fundar un acto o determinación se traduce en el deber, por parte de la autoridad emisora, de expresar con claridad y precisión los preceptos legales aplicables al caso concreto; es decir, citar las disposiciones normativas que rigen la medida adoptada, toda vez que debe existir adecuación entre las razones expuestas y las normas aplicables.</w:t>
      </w:r>
    </w:p>
    <w:p w:rsidR="00752FD6" w:rsidRPr="00E94239" w:rsidRDefault="00752FD6" w:rsidP="00752FD6">
      <w:pPr>
        <w:spacing w:before="120" w:after="120" w:line="360" w:lineRule="auto"/>
        <w:ind w:right="51" w:firstLine="709"/>
        <w:jc w:val="both"/>
        <w:rPr>
          <w:rFonts w:ascii="Arial" w:eastAsia="Arial Unicode MS" w:hAnsi="Arial" w:cs="Arial"/>
          <w:sz w:val="24"/>
          <w:szCs w:val="24"/>
        </w:rPr>
      </w:pPr>
    </w:p>
    <w:p w:rsidR="00752FD6" w:rsidRPr="00E94239" w:rsidRDefault="00752FD6" w:rsidP="00752FD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Por su parte, la motivación es la exposición de las causas materiales o de hecho que hayan dado lugar a la emisión del acto, indicándose las circunstancias especiales, las razones particulares o las causas inmediatas que sirvan de sustento para su emisión, con lo cual se tiende a demostrar, racionalmente, que determinada situación de hecho produce la actualización de los supuestos contenidos en los preceptos invocados en ese acto de autoridad.</w:t>
      </w:r>
    </w:p>
    <w:p w:rsidR="00752FD6" w:rsidRPr="00E94239" w:rsidRDefault="00752FD6" w:rsidP="00752FD6">
      <w:pPr>
        <w:spacing w:before="120" w:after="120" w:line="360" w:lineRule="auto"/>
        <w:ind w:right="51" w:firstLine="709"/>
        <w:jc w:val="both"/>
        <w:rPr>
          <w:rFonts w:ascii="Arial" w:eastAsia="Arial Unicode MS" w:hAnsi="Arial" w:cs="Arial"/>
          <w:sz w:val="24"/>
          <w:szCs w:val="24"/>
        </w:rPr>
      </w:pPr>
    </w:p>
    <w:p w:rsidR="00A55FCF" w:rsidRPr="00E94239" w:rsidRDefault="00752FD6" w:rsidP="00752FD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Así, las autoridades cumplen con la exigencia de fundamentación y motivación, cuando a lo largo del fallo se expresan las razones y motivos que conducen a adoptar determinada solución jurídica a un caso sometido a su competencia y jurisdicción, señalando con precisión los preceptos constitucionales y legales que sustenten la determinación que adopta.</w:t>
      </w:r>
    </w:p>
    <w:p w:rsidR="004C0C9B" w:rsidRPr="00E94239" w:rsidRDefault="004C0C9B" w:rsidP="00752FD6">
      <w:pPr>
        <w:spacing w:before="120" w:after="120" w:line="360" w:lineRule="auto"/>
        <w:ind w:right="51" w:firstLine="709"/>
        <w:jc w:val="both"/>
        <w:rPr>
          <w:rFonts w:ascii="Arial" w:eastAsia="Arial Unicode MS" w:hAnsi="Arial" w:cs="Arial"/>
          <w:sz w:val="24"/>
          <w:szCs w:val="24"/>
        </w:rPr>
      </w:pPr>
    </w:p>
    <w:p w:rsidR="004C0C9B" w:rsidRPr="00E94239" w:rsidRDefault="004C0C9B" w:rsidP="004C0C9B">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Sirve de apoyo a las consideraciones expuestas, la jurisprudencia 260, de la Segunda Sala de la Suprema Corte de Justicia de la Nación, consultable en la séptima época, con número de registro 394216, fuente apéndice de 1995, tomo VI, parte SCJN, materia común, página 175, que literalmente dispone:</w:t>
      </w:r>
    </w:p>
    <w:p w:rsidR="004C0C9B" w:rsidRPr="00E94239" w:rsidRDefault="004C0C9B" w:rsidP="004C0C9B">
      <w:pPr>
        <w:spacing w:before="120" w:after="120" w:line="360" w:lineRule="auto"/>
        <w:ind w:right="51" w:firstLine="709"/>
        <w:jc w:val="both"/>
        <w:rPr>
          <w:rFonts w:ascii="Arial" w:hAnsi="Arial" w:cs="Arial"/>
          <w:sz w:val="24"/>
          <w:szCs w:val="24"/>
          <w:lang w:eastAsia="es-MX"/>
        </w:rPr>
      </w:pPr>
    </w:p>
    <w:p w:rsidR="004C0C9B" w:rsidRPr="00E94239" w:rsidRDefault="004C0C9B" w:rsidP="004C0C9B">
      <w:pPr>
        <w:spacing w:after="0" w:line="240" w:lineRule="auto"/>
        <w:ind w:left="567" w:right="618"/>
        <w:jc w:val="both"/>
        <w:rPr>
          <w:rFonts w:ascii="Arial" w:hAnsi="Arial" w:cs="Arial"/>
          <w:sz w:val="20"/>
          <w:szCs w:val="20"/>
          <w:lang w:eastAsia="es-MX"/>
        </w:rPr>
      </w:pPr>
      <w:r w:rsidRPr="00E94239">
        <w:rPr>
          <w:rFonts w:ascii="Arial" w:hAnsi="Arial" w:cs="Arial"/>
          <w:b/>
          <w:sz w:val="20"/>
          <w:szCs w:val="20"/>
          <w:lang w:eastAsia="es-MX"/>
        </w:rPr>
        <w:t xml:space="preserve">FUNDAMENTACION Y MOTIVACION.   </w:t>
      </w:r>
      <w:r w:rsidRPr="00E94239">
        <w:rPr>
          <w:rFonts w:ascii="Arial" w:hAnsi="Arial" w:cs="Arial"/>
          <w:sz w:val="20"/>
          <w:szCs w:val="20"/>
          <w:lang w:eastAsia="es-MX"/>
        </w:rPr>
        <w:t xml:space="preserve">De acuerdo con el artículo 16 de la Constitución Federal todo acto de autoridad debe estar adecuada y suficientemente fundado y motivado, entendiéndose por lo primero que ha de </w:t>
      </w:r>
      <w:r w:rsidRPr="00E94239">
        <w:rPr>
          <w:rFonts w:ascii="Arial" w:hAnsi="Arial" w:cs="Arial"/>
          <w:sz w:val="20"/>
          <w:szCs w:val="20"/>
          <w:lang w:eastAsia="es-MX"/>
        </w:rPr>
        <w:lastRenderedPageBreak/>
        <w:t>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rsidR="00EE6108" w:rsidRPr="00E94239" w:rsidRDefault="00EE6108" w:rsidP="00A55FCF">
      <w:pPr>
        <w:spacing w:before="120" w:after="120" w:line="360" w:lineRule="auto"/>
        <w:ind w:right="51" w:firstLine="709"/>
        <w:jc w:val="both"/>
        <w:rPr>
          <w:rFonts w:ascii="Arial" w:eastAsia="Arial Unicode MS" w:hAnsi="Arial" w:cs="Arial"/>
          <w:sz w:val="24"/>
          <w:szCs w:val="24"/>
        </w:rPr>
      </w:pPr>
    </w:p>
    <w:p w:rsidR="009D2226" w:rsidRPr="00E94239" w:rsidRDefault="009D2226" w:rsidP="009D222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Atento a ello, debe distinguirse entre la falta y la indebida fundamentación y motivación, siendo distintos los efectos que generan la inexistencia de una u otra.</w:t>
      </w:r>
    </w:p>
    <w:p w:rsidR="009D2226" w:rsidRPr="00E94239" w:rsidRDefault="009D2226" w:rsidP="009D2226">
      <w:pPr>
        <w:spacing w:before="120" w:after="120" w:line="360" w:lineRule="auto"/>
        <w:ind w:right="51" w:firstLine="709"/>
        <w:jc w:val="both"/>
        <w:rPr>
          <w:rFonts w:ascii="Arial" w:eastAsia="Arial Unicode MS" w:hAnsi="Arial" w:cs="Arial"/>
          <w:sz w:val="24"/>
          <w:szCs w:val="24"/>
        </w:rPr>
      </w:pPr>
    </w:p>
    <w:p w:rsidR="009D2226" w:rsidRPr="00E94239" w:rsidRDefault="009D2226" w:rsidP="009D222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Así, se produce la falta de fundamentación y motivación, ante la ausencia total de la norma en que se apoya una resolución y de las circunstancias especiales o razones particulares que se tuvieron en cuenta para su emisión; esto es, cuando se omite expresar el dispositivo legal aplicable al asunto y las razones que se hayan considerado para estimar que el caso puede subsumirse en la hipótesis prevista en esa norma jurídica.   Estos casos resultaría aplicable lo dispuesto en los artículos 164, fracción V, y 167 del Código Procesal Administrativo para el Estado de San Luis Potosí.</w:t>
      </w:r>
    </w:p>
    <w:p w:rsidR="009D2226" w:rsidRPr="00E94239" w:rsidRDefault="009D2226" w:rsidP="009D2226">
      <w:pPr>
        <w:spacing w:before="120" w:after="120" w:line="360" w:lineRule="auto"/>
        <w:ind w:right="51" w:firstLine="709"/>
        <w:jc w:val="both"/>
        <w:rPr>
          <w:rFonts w:ascii="Arial" w:eastAsia="Arial Unicode MS" w:hAnsi="Arial" w:cs="Arial"/>
          <w:sz w:val="24"/>
          <w:szCs w:val="24"/>
        </w:rPr>
      </w:pPr>
    </w:p>
    <w:p w:rsidR="009D2226" w:rsidRPr="00E94239" w:rsidRDefault="009D2226" w:rsidP="009D2226">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En cambio, se habla de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de que sí se indican las razones que tuvo en consideración la autoridad para emitir el acto, pero aquellas no corresponden al caso específico, objeto de decisión, o bien, cuando están en disonancia los motivos invocados por la autoridad y la normas aplicables.   En estos casos se estaría incumpliendo con lo previsto en el artículo 165, fracción II, del Código Procesal Administrativo para el Estado de San Luis Potosí.</w:t>
      </w:r>
    </w:p>
    <w:p w:rsidR="0008217A" w:rsidRPr="00E94239" w:rsidRDefault="0008217A" w:rsidP="00A55FCF">
      <w:pPr>
        <w:spacing w:before="120" w:after="120" w:line="360" w:lineRule="auto"/>
        <w:ind w:right="51" w:firstLine="709"/>
        <w:jc w:val="both"/>
        <w:rPr>
          <w:rFonts w:ascii="Arial" w:eastAsia="Arial Unicode MS" w:hAnsi="Arial" w:cs="Arial"/>
          <w:sz w:val="24"/>
          <w:szCs w:val="24"/>
        </w:rPr>
      </w:pPr>
    </w:p>
    <w:p w:rsidR="0008217A" w:rsidRPr="00E94239" w:rsidRDefault="00F77D32"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Es aplicable al efecto, la jurisprudencia, Tesis I.6o.C. J/52, Semanario Judicial de la Federación y su Gaceta. Tomo XXV, Enero de 2007, página 2127, registro digital 173565, que reza:</w:t>
      </w:r>
    </w:p>
    <w:p w:rsidR="00F77D32" w:rsidRPr="00E94239" w:rsidRDefault="00F77D32" w:rsidP="00A55FCF">
      <w:pPr>
        <w:spacing w:before="120" w:after="120" w:line="360" w:lineRule="auto"/>
        <w:ind w:right="51" w:firstLine="709"/>
        <w:jc w:val="both"/>
        <w:rPr>
          <w:rFonts w:ascii="Arial" w:eastAsia="Arial Unicode MS" w:hAnsi="Arial" w:cs="Arial"/>
          <w:sz w:val="24"/>
          <w:szCs w:val="24"/>
        </w:rPr>
      </w:pPr>
    </w:p>
    <w:p w:rsidR="00014834" w:rsidRPr="00E94239" w:rsidRDefault="00014834" w:rsidP="00A55FCF">
      <w:pPr>
        <w:spacing w:before="120" w:after="120" w:line="360" w:lineRule="auto"/>
        <w:ind w:right="51" w:firstLine="709"/>
        <w:jc w:val="both"/>
        <w:rPr>
          <w:rFonts w:ascii="Arial" w:eastAsia="Arial Unicode MS" w:hAnsi="Arial" w:cs="Arial"/>
          <w:sz w:val="24"/>
          <w:szCs w:val="24"/>
        </w:rPr>
      </w:pPr>
    </w:p>
    <w:p w:rsidR="00F77D32" w:rsidRPr="00E94239" w:rsidRDefault="00F77D32" w:rsidP="00F77D32">
      <w:pPr>
        <w:spacing w:after="0" w:line="240" w:lineRule="auto"/>
        <w:ind w:left="567" w:right="618"/>
        <w:jc w:val="both"/>
        <w:rPr>
          <w:rFonts w:ascii="Arial" w:eastAsia="Arial Unicode MS" w:hAnsi="Arial" w:cs="Arial"/>
          <w:sz w:val="20"/>
          <w:szCs w:val="20"/>
        </w:rPr>
      </w:pPr>
      <w:r w:rsidRPr="00E94239">
        <w:rPr>
          <w:rFonts w:ascii="Arial" w:eastAsia="Arial Unicode MS" w:hAnsi="Arial" w:cs="Arial"/>
          <w:b/>
          <w:sz w:val="20"/>
          <w:szCs w:val="20"/>
        </w:rPr>
        <w:t xml:space="preserve">FUNDAMENTACIÓN Y MOTIVACIÓN. SU DISTINCIÓN ENTRE SU FALTA Y CUANDO ES INDEBIDA.   </w:t>
      </w:r>
      <w:r w:rsidRPr="00E94239">
        <w:rPr>
          <w:rFonts w:ascii="Arial" w:eastAsia="Arial Unicode MS" w:hAnsi="Arial" w:cs="Arial"/>
          <w:sz w:val="20"/>
          <w:szCs w:val="20"/>
        </w:rPr>
        <w:t xml:space="preserve">Debe distinguirse entre la falta y la indebida fundamentación y motivación; toda vez que por lo primero se entiende la </w:t>
      </w:r>
      <w:r w:rsidRPr="00E94239">
        <w:rPr>
          <w:rFonts w:ascii="Arial" w:eastAsia="Arial Unicode MS" w:hAnsi="Arial" w:cs="Arial"/>
          <w:sz w:val="20"/>
          <w:szCs w:val="20"/>
        </w:rPr>
        <w:lastRenderedPageBreak/>
        <w:t>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exponen las razones que la autoridad tuvo para dictar la resolución, pero no corresponden al caso específico, objeto de decisión, o bien, cuando no existe adecuación entre los motivos invocados en el acto de autoridad y las normas aplicables a éste.</w:t>
      </w:r>
    </w:p>
    <w:p w:rsidR="00F77D32" w:rsidRPr="00E94239" w:rsidRDefault="00F77D32" w:rsidP="00A55FCF">
      <w:pPr>
        <w:spacing w:before="120" w:after="120" w:line="360" w:lineRule="auto"/>
        <w:ind w:right="51" w:firstLine="709"/>
        <w:jc w:val="both"/>
        <w:rPr>
          <w:rFonts w:ascii="Arial" w:eastAsia="Arial Unicode MS" w:hAnsi="Arial" w:cs="Arial"/>
          <w:sz w:val="24"/>
          <w:szCs w:val="24"/>
        </w:rPr>
      </w:pPr>
    </w:p>
    <w:p w:rsidR="00014834" w:rsidRPr="00E94239" w:rsidRDefault="00014834" w:rsidP="00A55FCF">
      <w:pPr>
        <w:spacing w:before="120" w:after="120" w:line="360" w:lineRule="auto"/>
        <w:ind w:right="51" w:firstLine="709"/>
        <w:jc w:val="both"/>
        <w:rPr>
          <w:rFonts w:ascii="Arial" w:eastAsia="Arial Unicode MS" w:hAnsi="Arial" w:cs="Arial"/>
          <w:sz w:val="24"/>
          <w:szCs w:val="24"/>
        </w:rPr>
      </w:pPr>
    </w:p>
    <w:p w:rsidR="0008217A" w:rsidRPr="00E94239" w:rsidRDefault="000B61E7"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Para garantizar el cumplimiento al principio de exhaustividad en el análisis de los conceptos de impugnación, conviene hacer referencia a los antecedentes de la resolución impugnada.</w:t>
      </w:r>
    </w:p>
    <w:p w:rsidR="000B61E7" w:rsidRPr="00E94239" w:rsidRDefault="000B61E7" w:rsidP="00A55FCF">
      <w:pPr>
        <w:spacing w:before="120" w:after="120" w:line="360" w:lineRule="auto"/>
        <w:ind w:right="51" w:firstLine="709"/>
        <w:jc w:val="both"/>
        <w:rPr>
          <w:rFonts w:ascii="Arial" w:eastAsia="Arial Unicode MS" w:hAnsi="Arial" w:cs="Arial"/>
          <w:sz w:val="24"/>
          <w:szCs w:val="24"/>
        </w:rPr>
      </w:pPr>
    </w:p>
    <w:p w:rsidR="000B61E7" w:rsidRPr="00E94239" w:rsidRDefault="00D833DA"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 xml:space="preserve">Mediante escrito fechado veinte de noviembre de dos mil veinticuatro, suscrito por </w:t>
      </w:r>
      <w:r w:rsidR="00E00248">
        <w:rPr>
          <w:rFonts w:ascii="Arial" w:eastAsia="Arial Unicode MS" w:hAnsi="Arial" w:cs="Arial"/>
          <w:b/>
          <w:color w:val="FF0000"/>
          <w:sz w:val="24"/>
          <w:szCs w:val="24"/>
        </w:rPr>
        <w:t>**********</w:t>
      </w:r>
      <w:r w:rsidRPr="00E94239">
        <w:rPr>
          <w:rFonts w:ascii="Arial" w:eastAsia="Arial Unicode MS" w:hAnsi="Arial" w:cs="Arial"/>
          <w:sz w:val="24"/>
          <w:szCs w:val="24"/>
        </w:rPr>
        <w:t xml:space="preserve">, en su carácter de representante legal de la persona moral </w:t>
      </w:r>
      <w:r w:rsidR="00E00248">
        <w:rPr>
          <w:rFonts w:ascii="Arial" w:eastAsia="Arial Unicode MS" w:hAnsi="Arial" w:cs="Arial"/>
          <w:color w:val="FF0000"/>
          <w:sz w:val="24"/>
          <w:szCs w:val="24"/>
        </w:rPr>
        <w:t>**********</w:t>
      </w:r>
      <w:r w:rsidRPr="00E94239">
        <w:rPr>
          <w:rFonts w:ascii="Arial" w:eastAsia="Arial Unicode MS" w:hAnsi="Arial" w:cs="Arial"/>
          <w:sz w:val="24"/>
          <w:szCs w:val="24"/>
        </w:rPr>
        <w:t xml:space="preserve">, recibido el veinte de noviembre de dos mil veinticuatro en la Secretaría de Ecología y Gestión Ambiental, el cual obra a fojas 51 a 99 de este expediente, </w:t>
      </w:r>
      <w:r w:rsidR="00BC3FDA" w:rsidRPr="00E94239">
        <w:rPr>
          <w:rFonts w:ascii="Arial" w:eastAsia="Arial Unicode MS" w:hAnsi="Arial" w:cs="Arial"/>
          <w:sz w:val="24"/>
          <w:szCs w:val="24"/>
        </w:rPr>
        <w:t>y al cual se le otorga valor probatorio pleno, de conformidad con los artículos 75 y 91 del Código Procesal Administrativo para el Estado de San Luis Potosí, dado que se trata de un documento privado que resulta fiable, confiable y coherente con la verdad de los hechos que refleja y no haber sido objetada, entre ella “</w:t>
      </w:r>
      <w:r w:rsidR="00BC3FDA" w:rsidRPr="00E94239">
        <w:rPr>
          <w:rFonts w:ascii="Arial" w:eastAsia="Arial Unicode MS" w:hAnsi="Arial" w:cs="Arial"/>
          <w:i/>
          <w:sz w:val="24"/>
          <w:szCs w:val="24"/>
        </w:rPr>
        <w:t xml:space="preserve">Copia simple de la LICENCIA DE CAMBIO DE </w:t>
      </w:r>
      <w:r w:rsidR="001361BF" w:rsidRPr="001361BF">
        <w:rPr>
          <w:rFonts w:ascii="Arial" w:eastAsia="Arial Unicode MS" w:hAnsi="Arial" w:cs="Arial"/>
          <w:sz w:val="24"/>
          <w:szCs w:val="24"/>
        </w:rPr>
        <w:t>por las partes, en atención al oficio ECO.03.8735/2024, dentro del expediente SEGAM.AYS.02.021/2018, compareció ante el Director de Gestión Ambiental para desahogar el requerimiento que dicha autoridad le había realizado, anexando diversa documentación</w:t>
      </w:r>
      <w:r w:rsidR="001361BF">
        <w:rPr>
          <w:rFonts w:ascii="Arial" w:eastAsia="Arial Unicode MS" w:hAnsi="Arial" w:cs="Arial"/>
          <w:sz w:val="24"/>
          <w:szCs w:val="24"/>
        </w:rPr>
        <w:t xml:space="preserve"> </w:t>
      </w:r>
      <w:r w:rsidR="00BC3FDA" w:rsidRPr="00E94239">
        <w:rPr>
          <w:rFonts w:ascii="Arial" w:eastAsia="Arial Unicode MS" w:hAnsi="Arial" w:cs="Arial"/>
          <w:i/>
          <w:sz w:val="24"/>
          <w:szCs w:val="24"/>
        </w:rPr>
        <w:t>USO DE SUELO</w:t>
      </w:r>
      <w:r w:rsidR="00FD53F8" w:rsidRPr="00E94239">
        <w:rPr>
          <w:rFonts w:ascii="Arial" w:eastAsia="Arial Unicode MS" w:hAnsi="Arial" w:cs="Arial"/>
          <w:i/>
          <w:sz w:val="24"/>
          <w:szCs w:val="24"/>
        </w:rPr>
        <w:t xml:space="preserve"> emitida por el departamento de Obras Públicas del H. Ayuntamiento de Cerro de San Pedro, S.L.P. con fecha de 14 de agosto de 2018”</w:t>
      </w:r>
      <w:r w:rsidR="00FD53F8" w:rsidRPr="00E94239">
        <w:rPr>
          <w:rFonts w:ascii="Arial" w:eastAsia="Arial Unicode MS" w:hAnsi="Arial" w:cs="Arial"/>
          <w:sz w:val="24"/>
          <w:szCs w:val="24"/>
        </w:rPr>
        <w:t>.</w:t>
      </w:r>
    </w:p>
    <w:p w:rsidR="00FD53F8" w:rsidRPr="00E94239" w:rsidRDefault="00FD53F8" w:rsidP="00A55FCF">
      <w:pPr>
        <w:spacing w:before="120" w:after="120" w:line="360" w:lineRule="auto"/>
        <w:ind w:right="51" w:firstLine="709"/>
        <w:jc w:val="both"/>
        <w:rPr>
          <w:rFonts w:ascii="Arial" w:eastAsia="Arial Unicode MS" w:hAnsi="Arial" w:cs="Arial"/>
          <w:sz w:val="24"/>
          <w:szCs w:val="24"/>
        </w:rPr>
      </w:pPr>
    </w:p>
    <w:p w:rsidR="00FD53F8" w:rsidRPr="00E94239" w:rsidRDefault="00706913"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Ahora bien, de</w:t>
      </w:r>
      <w:r w:rsidR="00FD53F8" w:rsidRPr="00E94239">
        <w:rPr>
          <w:rFonts w:ascii="Arial" w:eastAsia="Arial Unicode MS" w:hAnsi="Arial" w:cs="Arial"/>
          <w:sz w:val="24"/>
          <w:szCs w:val="24"/>
        </w:rPr>
        <w:t xml:space="preserve"> la citada documental, la cual obra a foja 54 del presente sumario, se advierte que la “LICENCIA DE CAMBIO DE USO DE SUELO”, suscrita por </w:t>
      </w:r>
      <w:r w:rsidR="00FD53F8" w:rsidRPr="001361BF">
        <w:rPr>
          <w:rFonts w:ascii="Arial" w:eastAsia="Arial Unicode MS" w:hAnsi="Arial" w:cs="Arial"/>
          <w:b/>
          <w:sz w:val="24"/>
          <w:szCs w:val="24"/>
        </w:rPr>
        <w:t>JOSÉ PAULINO TOVAR VIÑA</w:t>
      </w:r>
      <w:r w:rsidR="00FD53F8" w:rsidRPr="00E94239">
        <w:rPr>
          <w:rFonts w:ascii="Arial" w:eastAsia="Arial Unicode MS" w:hAnsi="Arial" w:cs="Arial"/>
          <w:sz w:val="24"/>
          <w:szCs w:val="24"/>
        </w:rPr>
        <w:t xml:space="preserve">, en su carácter de Director de Obras Públicas de Cerro de San Pedro, S.L.P., con fecha de expedición 14 de agosto de 2018, </w:t>
      </w:r>
      <w:r w:rsidRPr="00E94239">
        <w:rPr>
          <w:rFonts w:ascii="Arial" w:eastAsia="Arial Unicode MS" w:hAnsi="Arial" w:cs="Arial"/>
          <w:sz w:val="24"/>
          <w:szCs w:val="24"/>
        </w:rPr>
        <w:t xml:space="preserve">se advierte que </w:t>
      </w:r>
      <w:r w:rsidR="00FD53F8" w:rsidRPr="00E94239">
        <w:rPr>
          <w:rFonts w:ascii="Arial" w:eastAsia="Arial Unicode MS" w:hAnsi="Arial" w:cs="Arial"/>
          <w:sz w:val="24"/>
          <w:szCs w:val="24"/>
        </w:rPr>
        <w:t xml:space="preserve">sólo contiene los datos del propietario y del predio, sin embargo, no está fundado y motivado, por lo que al omitir los elementos establecidos en el artículo 164, fracción V, del Código Procesal Administrativo para el Estado de San Luis Potosí, al estar afectado de nulidad, conforme al artículo 167, párrafo primero, del Código Procesal Administrativo, </w:t>
      </w:r>
      <w:r w:rsidR="006C773F" w:rsidRPr="00E94239">
        <w:rPr>
          <w:rFonts w:ascii="Arial" w:eastAsia="Arial Unicode MS" w:hAnsi="Arial" w:cs="Arial"/>
          <w:sz w:val="24"/>
          <w:szCs w:val="24"/>
        </w:rPr>
        <w:t xml:space="preserve">y estar controvertido por las autoridades demandadas en las </w:t>
      </w:r>
      <w:r w:rsidR="006C773F" w:rsidRPr="00E94239">
        <w:rPr>
          <w:rFonts w:ascii="Arial" w:eastAsia="Arial Unicode MS" w:hAnsi="Arial" w:cs="Arial"/>
          <w:sz w:val="24"/>
          <w:szCs w:val="24"/>
        </w:rPr>
        <w:lastRenderedPageBreak/>
        <w:t xml:space="preserve">resoluciones que se les reclaman, </w:t>
      </w:r>
      <w:r w:rsidR="00FD53F8" w:rsidRPr="00E94239">
        <w:rPr>
          <w:rFonts w:ascii="Arial" w:eastAsia="Arial Unicode MS" w:hAnsi="Arial" w:cs="Arial"/>
          <w:sz w:val="24"/>
          <w:szCs w:val="24"/>
        </w:rPr>
        <w:t>no se le otorga valor probatorio alguno</w:t>
      </w:r>
      <w:r w:rsidRPr="00E94239">
        <w:rPr>
          <w:rFonts w:ascii="Arial" w:eastAsia="Arial Unicode MS" w:hAnsi="Arial" w:cs="Arial"/>
          <w:sz w:val="24"/>
          <w:szCs w:val="24"/>
        </w:rPr>
        <w:t xml:space="preserve">; sin que pase por desapercibido que, su solicitante estuvo en aptitud de interponer en su contra el recurso ordinario correspondiente o interponer juicio de nulidad o juicio de amparo en su caso, para que dicha licencia cumpliera con los requisitos exigidos por el artículo 16 de la Constitución Política de los Estados Unidos Mexicanos y el artículo 164 del Código Procesal Administrativo, por tratarse de un imperativo constitucional y legal; por lo que si no se hizo así, el solicitante consintió dicha irregularidad y asumió los efectos </w:t>
      </w:r>
      <w:r w:rsidR="00AB7DEC" w:rsidRPr="00E94239">
        <w:rPr>
          <w:rFonts w:ascii="Arial" w:eastAsia="Arial Unicode MS" w:hAnsi="Arial" w:cs="Arial"/>
          <w:sz w:val="24"/>
          <w:szCs w:val="24"/>
        </w:rPr>
        <w:t xml:space="preserve">negativos </w:t>
      </w:r>
      <w:r w:rsidRPr="00E94239">
        <w:rPr>
          <w:rFonts w:ascii="Arial" w:eastAsia="Arial Unicode MS" w:hAnsi="Arial" w:cs="Arial"/>
          <w:sz w:val="24"/>
          <w:szCs w:val="24"/>
        </w:rPr>
        <w:t>sobre su alcance y valor probatorio.</w:t>
      </w:r>
    </w:p>
    <w:p w:rsidR="006C773F" w:rsidRPr="00E94239" w:rsidRDefault="006C773F" w:rsidP="00A55FCF">
      <w:pPr>
        <w:spacing w:before="120" w:after="120" w:line="360" w:lineRule="auto"/>
        <w:ind w:right="51" w:firstLine="709"/>
        <w:jc w:val="both"/>
        <w:rPr>
          <w:rFonts w:ascii="Arial" w:eastAsia="Arial Unicode MS" w:hAnsi="Arial" w:cs="Arial"/>
          <w:sz w:val="24"/>
          <w:szCs w:val="24"/>
        </w:rPr>
      </w:pPr>
    </w:p>
    <w:p w:rsidR="006C773F" w:rsidRPr="00E94239" w:rsidRDefault="006C773F"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Sirve de apoyo, por los razonamientos en que se sustenta, la Tesis I.3o.C.55 C (10a.), que se transcribe y cuyo resaltado en negritas de su texto es propio, Semanario Judicial de la Federación y su Gaceta. Libro XIV, Noviembre de 2012, Tomo 3, página 1851, Registro digital 2002132:</w:t>
      </w:r>
    </w:p>
    <w:p w:rsidR="006C773F" w:rsidRPr="00E94239" w:rsidRDefault="006C773F" w:rsidP="006C773F">
      <w:pPr>
        <w:spacing w:before="120" w:after="120" w:line="360" w:lineRule="auto"/>
        <w:ind w:right="51" w:firstLine="709"/>
        <w:jc w:val="both"/>
        <w:rPr>
          <w:rFonts w:ascii="Arial" w:eastAsia="Arial Unicode MS" w:hAnsi="Arial" w:cs="Arial"/>
          <w:sz w:val="24"/>
          <w:szCs w:val="24"/>
        </w:rPr>
      </w:pPr>
    </w:p>
    <w:p w:rsidR="006C773F" w:rsidRPr="00E94239" w:rsidRDefault="006C773F" w:rsidP="006C773F">
      <w:pPr>
        <w:spacing w:before="120" w:after="120" w:line="360" w:lineRule="auto"/>
        <w:ind w:right="51" w:firstLine="709"/>
        <w:jc w:val="both"/>
        <w:rPr>
          <w:rFonts w:ascii="Arial" w:eastAsia="Arial Unicode MS" w:hAnsi="Arial" w:cs="Arial"/>
          <w:sz w:val="24"/>
          <w:szCs w:val="24"/>
        </w:rPr>
      </w:pPr>
    </w:p>
    <w:p w:rsidR="006C773F" w:rsidRPr="00E94239" w:rsidRDefault="006C773F" w:rsidP="006C773F">
      <w:pPr>
        <w:spacing w:after="0" w:line="240" w:lineRule="auto"/>
        <w:ind w:left="567" w:right="618"/>
        <w:jc w:val="both"/>
        <w:rPr>
          <w:rFonts w:ascii="Arial" w:eastAsia="Arial Unicode MS" w:hAnsi="Arial" w:cs="Arial"/>
          <w:sz w:val="20"/>
          <w:szCs w:val="20"/>
        </w:rPr>
      </w:pPr>
      <w:r w:rsidRPr="00E94239">
        <w:rPr>
          <w:rFonts w:ascii="Arial" w:eastAsia="Arial Unicode MS" w:hAnsi="Arial" w:cs="Arial"/>
          <w:b/>
          <w:sz w:val="20"/>
          <w:szCs w:val="20"/>
        </w:rPr>
        <w:t xml:space="preserve">COPIA FOTOSTÁTICA SIMPLE. SU EFICACIA PROBATORIA NO DEPENDE DE SU OBJECIÓN FORMAL.   </w:t>
      </w:r>
      <w:r w:rsidRPr="00E94239">
        <w:rPr>
          <w:rFonts w:ascii="Arial" w:eastAsia="Arial Unicode MS" w:hAnsi="Arial" w:cs="Arial"/>
          <w:sz w:val="20"/>
          <w:szCs w:val="20"/>
        </w:rPr>
        <w:t xml:space="preserve">Dada la naturaleza contenciosa del proceso civil, el legislador tomó como fuente de prueba la </w:t>
      </w:r>
      <w:r w:rsidRPr="00E94239">
        <w:rPr>
          <w:rFonts w:ascii="Arial" w:eastAsia="Arial Unicode MS" w:hAnsi="Arial" w:cs="Arial"/>
          <w:b/>
          <w:sz w:val="20"/>
          <w:szCs w:val="20"/>
        </w:rPr>
        <w:t>copia fotostática</w:t>
      </w:r>
      <w:r w:rsidRPr="00E94239">
        <w:rPr>
          <w:rFonts w:ascii="Arial" w:eastAsia="Arial Unicode MS" w:hAnsi="Arial" w:cs="Arial"/>
          <w:sz w:val="20"/>
          <w:szCs w:val="20"/>
        </w:rPr>
        <w:t xml:space="preserve"> y reconoció el hecho de que si el documento se aleja de la verdad por la facilidad de su alteración o unilateral confección, la parte a quien pueda perjudicar puede objetarlo o bien de probar en contrario, salvo que se trate de </w:t>
      </w:r>
      <w:r w:rsidRPr="00E94239">
        <w:rPr>
          <w:rFonts w:ascii="Arial" w:eastAsia="Arial Unicode MS" w:hAnsi="Arial" w:cs="Arial"/>
          <w:b/>
          <w:sz w:val="20"/>
          <w:szCs w:val="20"/>
        </w:rPr>
        <w:t>una cuestión de interés público</w:t>
      </w:r>
      <w:r w:rsidRPr="00E94239">
        <w:rPr>
          <w:rFonts w:ascii="Arial" w:eastAsia="Arial Unicode MS" w:hAnsi="Arial" w:cs="Arial"/>
          <w:sz w:val="20"/>
          <w:szCs w:val="20"/>
        </w:rPr>
        <w:t xml:space="preserve"> en cuyo caso, </w:t>
      </w:r>
      <w:r w:rsidRPr="00E94239">
        <w:rPr>
          <w:rFonts w:ascii="Arial" w:eastAsia="Arial Unicode MS" w:hAnsi="Arial" w:cs="Arial"/>
          <w:b/>
          <w:sz w:val="20"/>
          <w:szCs w:val="20"/>
        </w:rPr>
        <w:t>atendiendo al bien jurídico tutelado, el Juez podrá enjuiciar críticamente su naturaleza y alcance probatorio y la idoneidad de la prueba para acreditar un hecho determinado</w:t>
      </w:r>
      <w:r w:rsidRPr="00E94239">
        <w:rPr>
          <w:rFonts w:ascii="Arial" w:eastAsia="Arial Unicode MS" w:hAnsi="Arial" w:cs="Arial"/>
          <w:sz w:val="20"/>
          <w:szCs w:val="20"/>
        </w:rPr>
        <w:t xml:space="preserve">. Sin embargo, no basta que el documento sea ofrecido en copia fotostática para que por ese motivo inicialmente se le cuestione su valor, sino que </w:t>
      </w:r>
      <w:r w:rsidRPr="00E94239">
        <w:rPr>
          <w:rFonts w:ascii="Arial" w:eastAsia="Arial Unicode MS" w:hAnsi="Arial" w:cs="Arial"/>
          <w:b/>
          <w:sz w:val="20"/>
          <w:szCs w:val="20"/>
        </w:rPr>
        <w:t>debe atenderse a lo que se trata de demostrar con el mismo, es decir, a su idoneidad, y al reconocimiento de su contenido y alcance por el contrario</w:t>
      </w:r>
      <w:r w:rsidRPr="00E94239">
        <w:rPr>
          <w:rFonts w:ascii="Arial" w:eastAsia="Arial Unicode MS" w:hAnsi="Arial" w:cs="Arial"/>
          <w:sz w:val="20"/>
          <w:szCs w:val="20"/>
        </w:rPr>
        <w:t>, porque si sucede lo primero el hecho estará probado sin controversia y si acontece lo segundo, le corresponderá al Juez valorar conforme a las reglas de la lógica y la experiencia; de ahí que sea necesario que en la objeción correspondiente se indique cuál es el aspecto que no se reconoce del documento o porque no puede ser valorado positivamente por el Juez porque este último establezca si es idóneo o no para resolver un punto de hecho. Estos aspectos constituyen los estándares sobre los que se asienta la naturaleza probatoria de la copia simple fotostática y suponen el respeto irrestricto del principio de buena fe procesal por parte del Juez y del reconocimiento de que en caso de que una de las partes ofrezca un documento alterado o confeccionado, pueda reprimirse con rigor dicha conducta por los canales que el propio ordenamiento jurídico establece. Por lo tanto para desvirtuar la existencia de tales actuaciones así como su verosimilitud, no basta la simple objeción formal de dicha prueba, sino que es necesario señalar las razones concretas en que se apoya la objeción, mismas que tenderán a invalidar la fuerza probatoria de la copia fotostática.</w:t>
      </w:r>
    </w:p>
    <w:p w:rsidR="0008217A" w:rsidRPr="00E94239" w:rsidRDefault="0008217A" w:rsidP="00A55FCF">
      <w:pPr>
        <w:spacing w:before="120" w:after="120" w:line="360" w:lineRule="auto"/>
        <w:ind w:right="51" w:firstLine="709"/>
        <w:jc w:val="both"/>
        <w:rPr>
          <w:rFonts w:ascii="Arial" w:eastAsia="Arial Unicode MS" w:hAnsi="Arial" w:cs="Arial"/>
          <w:sz w:val="24"/>
          <w:szCs w:val="24"/>
        </w:rPr>
      </w:pPr>
    </w:p>
    <w:p w:rsidR="00014834" w:rsidRPr="00E94239" w:rsidRDefault="00014834" w:rsidP="00A55FCF">
      <w:pPr>
        <w:spacing w:before="120" w:after="120" w:line="360" w:lineRule="auto"/>
        <w:ind w:right="51" w:firstLine="709"/>
        <w:jc w:val="both"/>
        <w:rPr>
          <w:rFonts w:ascii="Arial" w:eastAsia="Arial Unicode MS" w:hAnsi="Arial" w:cs="Arial"/>
          <w:sz w:val="24"/>
          <w:szCs w:val="24"/>
        </w:rPr>
      </w:pPr>
    </w:p>
    <w:p w:rsidR="0008217A" w:rsidRPr="00E94239" w:rsidRDefault="00706913"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 xml:space="preserve">Obra a fojas 46 a </w:t>
      </w:r>
      <w:r w:rsidR="00AB7DEC" w:rsidRPr="00E94239">
        <w:rPr>
          <w:rFonts w:ascii="Arial" w:eastAsia="Arial Unicode MS" w:hAnsi="Arial" w:cs="Arial"/>
          <w:sz w:val="24"/>
          <w:szCs w:val="24"/>
        </w:rPr>
        <w:t xml:space="preserve">49 del presente sumario, copia del oficio </w:t>
      </w:r>
      <w:r w:rsidR="00E00248">
        <w:rPr>
          <w:rFonts w:ascii="Arial" w:eastAsia="Arial Unicode MS" w:hAnsi="Arial" w:cs="Arial"/>
          <w:color w:val="FF0000"/>
          <w:sz w:val="24"/>
          <w:szCs w:val="24"/>
        </w:rPr>
        <w:t>**********</w:t>
      </w:r>
      <w:r w:rsidR="00AB7DEC" w:rsidRPr="00E94239">
        <w:rPr>
          <w:rFonts w:ascii="Arial" w:eastAsia="Arial Unicode MS" w:hAnsi="Arial" w:cs="Arial"/>
          <w:sz w:val="24"/>
          <w:szCs w:val="24"/>
        </w:rPr>
        <w:t xml:space="preserve">, que contiene la resolución dictada el veintiocho de noviembre de dos mil </w:t>
      </w:r>
      <w:r w:rsidR="00AB7DEC" w:rsidRPr="00E94239">
        <w:rPr>
          <w:rFonts w:ascii="Arial" w:eastAsia="Arial Unicode MS" w:hAnsi="Arial" w:cs="Arial"/>
          <w:sz w:val="24"/>
          <w:szCs w:val="24"/>
        </w:rPr>
        <w:lastRenderedPageBreak/>
        <w:t xml:space="preserve">veinticuatro por el </w:t>
      </w:r>
      <w:r w:rsidR="00AB7DEC" w:rsidRPr="001361BF">
        <w:rPr>
          <w:rFonts w:ascii="Arial" w:eastAsia="Arial Unicode MS" w:hAnsi="Arial" w:cs="Arial"/>
          <w:sz w:val="24"/>
          <w:szCs w:val="24"/>
        </w:rPr>
        <w:t xml:space="preserve">Lic. </w:t>
      </w:r>
      <w:r w:rsidR="00AB7DEC" w:rsidRPr="001361BF">
        <w:rPr>
          <w:rFonts w:ascii="Arial" w:eastAsia="Arial Unicode MS" w:hAnsi="Arial" w:cs="Arial"/>
          <w:b/>
          <w:sz w:val="24"/>
          <w:szCs w:val="24"/>
        </w:rPr>
        <w:t>ALDO HERNÁN JUÁREZ FERNÁNDEZ</w:t>
      </w:r>
      <w:r w:rsidR="00AB7DEC" w:rsidRPr="001361BF">
        <w:rPr>
          <w:rFonts w:ascii="Arial" w:eastAsia="Arial Unicode MS" w:hAnsi="Arial" w:cs="Arial"/>
          <w:sz w:val="24"/>
          <w:szCs w:val="24"/>
        </w:rPr>
        <w:t>, en su carácter de Director de Gestión Ambiental, a la cual se le otorga valor probatorio pleno, de conformidad a los artículos 74</w:t>
      </w:r>
      <w:r w:rsidR="00AB7DEC" w:rsidRPr="00E94239">
        <w:rPr>
          <w:rFonts w:ascii="Arial" w:eastAsia="Arial Unicode MS" w:hAnsi="Arial" w:cs="Arial"/>
          <w:sz w:val="24"/>
          <w:szCs w:val="24"/>
        </w:rPr>
        <w:t xml:space="preserve">, 76 y 91 del Código Procesal Administrativo para el Estado de San Luis Potosí, al tratarse de la reproducción de un documento público por un medio científico o producto del avance de la ciencia y no haber sido objetado por las partes, mediante la cual se niega el Permiso de Operación de Fuentes Fijas a la persona moral </w:t>
      </w:r>
      <w:r w:rsidR="00E00248">
        <w:rPr>
          <w:rFonts w:ascii="Arial" w:eastAsia="Arial Unicode MS" w:hAnsi="Arial" w:cs="Arial"/>
          <w:b/>
          <w:color w:val="FF0000"/>
          <w:sz w:val="24"/>
          <w:szCs w:val="24"/>
        </w:rPr>
        <w:t>**********</w:t>
      </w:r>
      <w:r w:rsidR="00D300EB" w:rsidRPr="00E94239">
        <w:rPr>
          <w:rFonts w:ascii="Arial" w:eastAsia="Arial Unicode MS" w:hAnsi="Arial" w:cs="Arial"/>
          <w:sz w:val="24"/>
          <w:szCs w:val="24"/>
        </w:rPr>
        <w:t xml:space="preserve">; en el CONIDERANDO II de dicha resolución se advierte que el argumento toral para negar el permiso consistió: </w:t>
      </w:r>
      <w:r w:rsidR="00D300EB" w:rsidRPr="00E94239">
        <w:rPr>
          <w:rFonts w:ascii="Arial" w:eastAsia="Arial Unicode MS" w:hAnsi="Arial" w:cs="Arial"/>
          <w:i/>
          <w:sz w:val="24"/>
          <w:szCs w:val="24"/>
        </w:rPr>
        <w:t xml:space="preserve">“[…] se procede al análisis del documento presentado como ‘Licencia de Cambio de Uso de Suelo’ signado por </w:t>
      </w:r>
      <w:r w:rsidR="00E00248">
        <w:rPr>
          <w:rFonts w:ascii="Arial" w:eastAsia="Arial Unicode MS" w:hAnsi="Arial" w:cs="Arial"/>
          <w:b/>
          <w:i/>
          <w:color w:val="FF0000"/>
          <w:sz w:val="24"/>
          <w:szCs w:val="24"/>
        </w:rPr>
        <w:t>**********</w:t>
      </w:r>
      <w:r w:rsidR="00D300EB" w:rsidRPr="00E94239">
        <w:rPr>
          <w:rFonts w:ascii="Arial" w:eastAsia="Arial Unicode MS" w:hAnsi="Arial" w:cs="Arial"/>
          <w:i/>
          <w:sz w:val="24"/>
          <w:szCs w:val="24"/>
        </w:rPr>
        <w:t xml:space="preserve"> Director de Obras Públicas de Cerro de San Pedro advirtiendo que su expedición carece de fundamentación y motivación toda vez que no señala restricciones, ocupación </w:t>
      </w:r>
      <w:proofErr w:type="spellStart"/>
      <w:r w:rsidR="00D300EB" w:rsidRPr="00E94239">
        <w:rPr>
          <w:rFonts w:ascii="Arial" w:eastAsia="Arial Unicode MS" w:hAnsi="Arial" w:cs="Arial"/>
          <w:i/>
          <w:sz w:val="24"/>
          <w:szCs w:val="24"/>
        </w:rPr>
        <w:t>etc</w:t>
      </w:r>
      <w:proofErr w:type="spellEnd"/>
      <w:r w:rsidR="00D300EB" w:rsidRPr="00E94239">
        <w:rPr>
          <w:rFonts w:ascii="Arial" w:eastAsia="Arial Unicode MS" w:hAnsi="Arial" w:cs="Arial"/>
          <w:i/>
          <w:sz w:val="24"/>
          <w:szCs w:val="24"/>
        </w:rPr>
        <w:t>, ni se inserta en la modificación al uso de suelo publicada en el Periódico Oficial del Estado y en la Gaceta Municipal; atendiendo a lo anterior, esta Secretaría no tiene certeza si el documento fue otorgado con las formalidades señaladas en los citados numerales, por  lo que se tiene al promovente por no solventando la información consistente en presentar la licencia de uso de suelo vigente y requerida […]</w:t>
      </w:r>
      <w:r w:rsidR="00726005" w:rsidRPr="00E94239">
        <w:rPr>
          <w:rFonts w:ascii="Arial" w:eastAsia="Arial Unicode MS" w:hAnsi="Arial" w:cs="Arial"/>
          <w:sz w:val="24"/>
          <w:szCs w:val="24"/>
        </w:rPr>
        <w:t>”.   Es pues inconcuso que, la negativa se debió al hecho de que, el documento exhibido por el solicitante como “Licencia de Cambio de Uso de Suelo”, no se encuentra fundad</w:t>
      </w:r>
      <w:r w:rsidR="00736E8E" w:rsidRPr="00E94239">
        <w:rPr>
          <w:rFonts w:ascii="Arial" w:eastAsia="Arial Unicode MS" w:hAnsi="Arial" w:cs="Arial"/>
          <w:sz w:val="24"/>
          <w:szCs w:val="24"/>
        </w:rPr>
        <w:t>a</w:t>
      </w:r>
      <w:r w:rsidR="00726005" w:rsidRPr="00E94239">
        <w:rPr>
          <w:rFonts w:ascii="Arial" w:eastAsia="Arial Unicode MS" w:hAnsi="Arial" w:cs="Arial"/>
          <w:sz w:val="24"/>
          <w:szCs w:val="24"/>
        </w:rPr>
        <w:t xml:space="preserve"> y motivad</w:t>
      </w:r>
      <w:r w:rsidR="00736E8E" w:rsidRPr="00E94239">
        <w:rPr>
          <w:rFonts w:ascii="Arial" w:eastAsia="Arial Unicode MS" w:hAnsi="Arial" w:cs="Arial"/>
          <w:sz w:val="24"/>
          <w:szCs w:val="24"/>
        </w:rPr>
        <w:t>a</w:t>
      </w:r>
      <w:r w:rsidR="00726005" w:rsidRPr="00E94239">
        <w:rPr>
          <w:rFonts w:ascii="Arial" w:eastAsia="Arial Unicode MS" w:hAnsi="Arial" w:cs="Arial"/>
          <w:sz w:val="24"/>
          <w:szCs w:val="24"/>
        </w:rPr>
        <w:t xml:space="preserve">, como lo exige el artículo 16 de la Constitución Política de los Estados Unidos Mexicanos, </w:t>
      </w:r>
      <w:r w:rsidR="000C4E79" w:rsidRPr="00E94239">
        <w:rPr>
          <w:rFonts w:ascii="Arial" w:eastAsia="Arial Unicode MS" w:hAnsi="Arial" w:cs="Arial"/>
          <w:sz w:val="24"/>
          <w:szCs w:val="24"/>
        </w:rPr>
        <w:t xml:space="preserve">en relación con el artículo 3, fracción XXXVIII, de la Ley Ambiental del Estado de San Luis Potosí, </w:t>
      </w:r>
      <w:r w:rsidR="00B868AA" w:rsidRPr="00E94239">
        <w:rPr>
          <w:rFonts w:ascii="Arial" w:eastAsia="Arial Unicode MS" w:hAnsi="Arial" w:cs="Arial"/>
          <w:sz w:val="24"/>
          <w:szCs w:val="24"/>
        </w:rPr>
        <w:t>l</w:t>
      </w:r>
      <w:r w:rsidR="000C4E79" w:rsidRPr="00E94239">
        <w:rPr>
          <w:rFonts w:ascii="Arial" w:eastAsia="Arial Unicode MS" w:hAnsi="Arial" w:cs="Arial"/>
          <w:sz w:val="24"/>
          <w:szCs w:val="24"/>
        </w:rPr>
        <w:t>os cuales</w:t>
      </w:r>
      <w:r w:rsidR="00726005" w:rsidRPr="00E94239">
        <w:rPr>
          <w:rFonts w:ascii="Arial" w:eastAsia="Arial Unicode MS" w:hAnsi="Arial" w:cs="Arial"/>
          <w:sz w:val="24"/>
          <w:szCs w:val="24"/>
        </w:rPr>
        <w:t xml:space="preserve"> invoca como apoyo el Director de Gestión Ambiental en dicha resolución.</w:t>
      </w:r>
    </w:p>
    <w:p w:rsidR="00726005" w:rsidRPr="00E94239" w:rsidRDefault="00726005" w:rsidP="00A55FCF">
      <w:pPr>
        <w:spacing w:before="120" w:after="120" w:line="360" w:lineRule="auto"/>
        <w:ind w:right="51" w:firstLine="709"/>
        <w:jc w:val="both"/>
        <w:rPr>
          <w:rFonts w:ascii="Arial" w:eastAsia="Arial Unicode MS" w:hAnsi="Arial" w:cs="Arial"/>
          <w:sz w:val="24"/>
          <w:szCs w:val="24"/>
        </w:rPr>
      </w:pPr>
    </w:p>
    <w:p w:rsidR="00014834" w:rsidRPr="00E94239" w:rsidRDefault="00014834" w:rsidP="00A55FCF">
      <w:pPr>
        <w:spacing w:before="120" w:after="120" w:line="360" w:lineRule="auto"/>
        <w:ind w:right="51" w:firstLine="709"/>
        <w:jc w:val="both"/>
        <w:rPr>
          <w:rFonts w:ascii="Arial" w:eastAsia="Arial Unicode MS" w:hAnsi="Arial" w:cs="Arial"/>
          <w:sz w:val="24"/>
          <w:szCs w:val="24"/>
        </w:rPr>
      </w:pPr>
    </w:p>
    <w:p w:rsidR="00726005" w:rsidRPr="00E94239" w:rsidRDefault="00736E8E" w:rsidP="00A55FCF">
      <w:pPr>
        <w:spacing w:before="120" w:after="120" w:line="360" w:lineRule="auto"/>
        <w:ind w:right="51" w:firstLine="709"/>
        <w:jc w:val="both"/>
        <w:rPr>
          <w:rFonts w:ascii="Arial" w:eastAsia="Arial Unicode MS" w:hAnsi="Arial" w:cs="Arial"/>
          <w:sz w:val="24"/>
          <w:szCs w:val="24"/>
        </w:rPr>
      </w:pPr>
      <w:r w:rsidRPr="00E94239">
        <w:rPr>
          <w:rFonts w:ascii="Arial" w:eastAsia="Arial Unicode MS" w:hAnsi="Arial" w:cs="Arial"/>
          <w:sz w:val="24"/>
          <w:szCs w:val="24"/>
        </w:rPr>
        <w:t xml:space="preserve">A fojas 37 a </w:t>
      </w:r>
      <w:r w:rsidR="009A4749" w:rsidRPr="00E94239">
        <w:rPr>
          <w:rFonts w:ascii="Arial" w:eastAsia="Arial Unicode MS" w:hAnsi="Arial" w:cs="Arial"/>
          <w:sz w:val="24"/>
          <w:szCs w:val="24"/>
        </w:rPr>
        <w:t xml:space="preserve">44 del presente sumario, obra escrito firmado y sellado en original, fechado y recibido el treinta y uno de enero de dos mil veinticinco, suscrito por </w:t>
      </w:r>
      <w:r w:rsidR="009A4749" w:rsidRPr="001361BF">
        <w:rPr>
          <w:rFonts w:ascii="Arial" w:eastAsia="Arial Unicode MS" w:hAnsi="Arial" w:cs="Arial"/>
          <w:b/>
          <w:sz w:val="24"/>
          <w:szCs w:val="24"/>
        </w:rPr>
        <w:t>ANDRÉS DÍAZ INFANTE MARTÍN ALBA</w:t>
      </w:r>
      <w:r w:rsidR="009A4749" w:rsidRPr="001361BF">
        <w:rPr>
          <w:rFonts w:ascii="Arial" w:eastAsia="Arial Unicode MS" w:hAnsi="Arial" w:cs="Arial"/>
          <w:sz w:val="24"/>
          <w:szCs w:val="24"/>
        </w:rPr>
        <w:t xml:space="preserve">, en su carácter </w:t>
      </w:r>
      <w:r w:rsidR="009A4749" w:rsidRPr="00E94239">
        <w:rPr>
          <w:rFonts w:ascii="Arial" w:eastAsia="Arial Unicode MS" w:hAnsi="Arial" w:cs="Arial"/>
          <w:sz w:val="24"/>
          <w:szCs w:val="24"/>
        </w:rPr>
        <w:t xml:space="preserve">de Secretario del Consejo de Administración y Apoderado General para Pleitos y Cobranzas y Actos de Administración de la persona moral </w:t>
      </w:r>
      <w:r w:rsidR="00E00248">
        <w:rPr>
          <w:rFonts w:ascii="Arial" w:eastAsia="Arial Unicode MS" w:hAnsi="Arial" w:cs="Arial"/>
          <w:b/>
          <w:color w:val="FF0000"/>
          <w:sz w:val="24"/>
          <w:szCs w:val="24"/>
        </w:rPr>
        <w:t>**********</w:t>
      </w:r>
      <w:r w:rsidR="009A4749" w:rsidRPr="00E94239">
        <w:rPr>
          <w:rFonts w:ascii="Arial" w:eastAsia="Arial Unicode MS" w:hAnsi="Arial" w:cs="Arial"/>
          <w:sz w:val="24"/>
          <w:szCs w:val="24"/>
        </w:rPr>
        <w:t xml:space="preserve">, mediante el cual interpone recurso de revisión en contra de la resolución del 28 de noviembre de 2024 con número de oficio </w:t>
      </w:r>
      <w:r w:rsidR="009A4749" w:rsidRPr="001361BF">
        <w:rPr>
          <w:rFonts w:ascii="Arial" w:eastAsia="Arial Unicode MS" w:hAnsi="Arial" w:cs="Arial"/>
          <w:sz w:val="24"/>
          <w:szCs w:val="24"/>
        </w:rPr>
        <w:t xml:space="preserve">ECO.03.9082/2024 dentro del expediente SEGA.AYS.02.021/2018, suscrito por el Director de Gestión Ambiental de la Secretaría de Ecología y Gestión </w:t>
      </w:r>
      <w:r w:rsidR="009A4749" w:rsidRPr="00E94239">
        <w:rPr>
          <w:rFonts w:ascii="Arial" w:eastAsia="Arial Unicode MS" w:hAnsi="Arial" w:cs="Arial"/>
          <w:sz w:val="24"/>
          <w:szCs w:val="24"/>
        </w:rPr>
        <w:t>Ambiental del Estado de San Luis Poto</w:t>
      </w:r>
      <w:r w:rsidR="00450D6A" w:rsidRPr="00E94239">
        <w:rPr>
          <w:rFonts w:ascii="Arial" w:eastAsia="Arial Unicode MS" w:hAnsi="Arial" w:cs="Arial"/>
          <w:sz w:val="24"/>
          <w:szCs w:val="24"/>
        </w:rPr>
        <w:t>sí; documento privado al cual s</w:t>
      </w:r>
      <w:r w:rsidR="009A4749" w:rsidRPr="00E94239">
        <w:rPr>
          <w:rFonts w:ascii="Arial" w:eastAsia="Arial Unicode MS" w:hAnsi="Arial" w:cs="Arial"/>
          <w:sz w:val="24"/>
          <w:szCs w:val="24"/>
        </w:rPr>
        <w:t>e</w:t>
      </w:r>
      <w:r w:rsidR="00450D6A" w:rsidRPr="00E94239">
        <w:rPr>
          <w:rFonts w:ascii="Arial" w:eastAsia="Arial Unicode MS" w:hAnsi="Arial" w:cs="Arial"/>
          <w:sz w:val="24"/>
          <w:szCs w:val="24"/>
        </w:rPr>
        <w:t xml:space="preserve"> </w:t>
      </w:r>
      <w:r w:rsidR="009A4749" w:rsidRPr="00E94239">
        <w:rPr>
          <w:rFonts w:ascii="Arial" w:eastAsia="Arial Unicode MS" w:hAnsi="Arial" w:cs="Arial"/>
          <w:sz w:val="24"/>
          <w:szCs w:val="24"/>
        </w:rPr>
        <w:t xml:space="preserve">le otorga valor probatorio </w:t>
      </w:r>
      <w:r w:rsidR="009A4749" w:rsidRPr="00E94239">
        <w:rPr>
          <w:rFonts w:ascii="Arial" w:eastAsia="Arial Unicode MS" w:hAnsi="Arial" w:cs="Arial"/>
          <w:sz w:val="24"/>
          <w:szCs w:val="24"/>
        </w:rPr>
        <w:lastRenderedPageBreak/>
        <w:t>pleno, de conformidad con los artículos 75 y 91 del Código Procesal Administrativo para el Estado de San Luis Potosí, toda vez que a juicio de esta Sala Unitaria, resulta fiable y coherente con la verdad conocida y el recto raciocinio de la realidad que guarda con los hechos en la misma reflejados</w:t>
      </w:r>
      <w:r w:rsidR="00450D6A" w:rsidRPr="00E94239">
        <w:rPr>
          <w:rFonts w:ascii="Arial" w:eastAsia="Arial Unicode MS" w:hAnsi="Arial" w:cs="Arial"/>
          <w:sz w:val="24"/>
          <w:szCs w:val="24"/>
        </w:rPr>
        <w:t>.   Los argumentos torales de los agravios esgrimidos en dicho recurso se hicieron consistir en lo siguiente:</w:t>
      </w:r>
    </w:p>
    <w:p w:rsidR="00B64D28" w:rsidRPr="00E94239" w:rsidRDefault="00B64D28" w:rsidP="00DE6732">
      <w:pPr>
        <w:spacing w:before="120" w:after="120" w:line="360" w:lineRule="auto"/>
        <w:ind w:right="51" w:firstLine="709"/>
        <w:jc w:val="both"/>
        <w:rPr>
          <w:rFonts w:ascii="Arial" w:eastAsia="Arial Unicode MS" w:hAnsi="Arial" w:cs="Arial"/>
          <w:sz w:val="24"/>
          <w:szCs w:val="24"/>
        </w:rPr>
      </w:pPr>
    </w:p>
    <w:p w:rsidR="00EE6108" w:rsidRPr="00E94239" w:rsidRDefault="00450D6A"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ÚNICO.- La negativa de otorgar el permiso de Operaciones de Fuentes Fijas solicitada por mi representada, a pesar de haber cumplido con los requisitos impuestos en el artículo 11 del Reglamento de la Ley Ambiental del Estado de San Luis Potosí en materia de Prevención y Control de la Contaminación.</w:t>
      </w:r>
    </w:p>
    <w:p w:rsidR="00450D6A" w:rsidRPr="00E94239" w:rsidRDefault="00450D6A" w:rsidP="00450D6A">
      <w:pPr>
        <w:spacing w:after="0" w:line="240" w:lineRule="auto"/>
        <w:ind w:left="567" w:right="618"/>
        <w:jc w:val="both"/>
        <w:rPr>
          <w:rFonts w:ascii="Arial" w:hAnsi="Arial" w:cs="Arial"/>
          <w:sz w:val="20"/>
          <w:szCs w:val="20"/>
          <w:lang w:eastAsia="es-MX"/>
        </w:rPr>
      </w:pPr>
    </w:p>
    <w:p w:rsidR="00450D6A" w:rsidRPr="00E94239" w:rsidRDefault="00450D6A"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w:t>
      </w:r>
    </w:p>
    <w:p w:rsidR="00450D6A" w:rsidRPr="00E94239" w:rsidRDefault="00450D6A" w:rsidP="00450D6A">
      <w:pPr>
        <w:spacing w:after="0" w:line="240" w:lineRule="auto"/>
        <w:ind w:left="567" w:right="618"/>
        <w:jc w:val="both"/>
        <w:rPr>
          <w:rFonts w:ascii="Arial" w:hAnsi="Arial" w:cs="Arial"/>
          <w:sz w:val="20"/>
          <w:szCs w:val="20"/>
          <w:lang w:eastAsia="es-MX"/>
        </w:rPr>
      </w:pPr>
    </w:p>
    <w:p w:rsidR="00450D6A" w:rsidRPr="00E94239" w:rsidRDefault="000C4E79"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 xml:space="preserve">[…] la negativa de otorgar el permiso solicitado, devino, no en una cuestión de mi representada, sino que esta Secretaría consideró que la licencia expedida por el Director de Obra Públicas del municipio de Cerro de San Pedro no cumple con las formalidades previstas en el artículo tercero fracción XXXVIII de la Ley Ambiental del Estado de San Luis Potosí, niega el permiso no por una omisión de mi mandante, sino que fue </w:t>
      </w:r>
      <w:proofErr w:type="spellStart"/>
      <w:r w:rsidRPr="00E94239">
        <w:rPr>
          <w:rFonts w:ascii="Arial" w:hAnsi="Arial" w:cs="Arial"/>
          <w:sz w:val="20"/>
          <w:szCs w:val="20"/>
          <w:lang w:eastAsia="es-MX"/>
        </w:rPr>
        <w:t>por que</w:t>
      </w:r>
      <w:proofErr w:type="spellEnd"/>
      <w:r w:rsidRPr="00E94239">
        <w:rPr>
          <w:rFonts w:ascii="Arial" w:hAnsi="Arial" w:cs="Arial"/>
          <w:sz w:val="20"/>
          <w:szCs w:val="20"/>
          <w:lang w:eastAsia="es-MX"/>
        </w:rPr>
        <w:t xml:space="preserve"> considero que la licencia de </w:t>
      </w:r>
      <w:proofErr w:type="spellStart"/>
      <w:r w:rsidRPr="00E94239">
        <w:rPr>
          <w:rFonts w:ascii="Arial" w:hAnsi="Arial" w:cs="Arial"/>
          <w:sz w:val="20"/>
          <w:szCs w:val="20"/>
          <w:lang w:eastAsia="es-MX"/>
        </w:rPr>
        <w:t>suo</w:t>
      </w:r>
      <w:proofErr w:type="spellEnd"/>
      <w:r w:rsidRPr="00E94239">
        <w:rPr>
          <w:rFonts w:ascii="Arial" w:hAnsi="Arial" w:cs="Arial"/>
          <w:sz w:val="20"/>
          <w:szCs w:val="20"/>
          <w:lang w:eastAsia="es-MX"/>
        </w:rPr>
        <w:t xml:space="preserve"> de suelo expedida por el referido Ayuntamiento no satisface los requerimientos de la ley de la materia.</w:t>
      </w:r>
    </w:p>
    <w:p w:rsidR="000C4E79" w:rsidRPr="00E94239" w:rsidRDefault="000C4E79" w:rsidP="00450D6A">
      <w:pPr>
        <w:spacing w:after="0" w:line="240" w:lineRule="auto"/>
        <w:ind w:left="567" w:right="618"/>
        <w:jc w:val="both"/>
        <w:rPr>
          <w:rFonts w:ascii="Arial" w:hAnsi="Arial" w:cs="Arial"/>
          <w:sz w:val="20"/>
          <w:szCs w:val="20"/>
          <w:lang w:eastAsia="es-MX"/>
        </w:rPr>
      </w:pPr>
    </w:p>
    <w:p w:rsidR="000C4E79" w:rsidRPr="00E94239" w:rsidRDefault="000C4E79"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w:t>
      </w:r>
    </w:p>
    <w:p w:rsidR="000C4E79" w:rsidRPr="00E94239" w:rsidRDefault="000C4E79" w:rsidP="00450D6A">
      <w:pPr>
        <w:spacing w:after="0" w:line="240" w:lineRule="auto"/>
        <w:ind w:left="567" w:right="618"/>
        <w:jc w:val="both"/>
        <w:rPr>
          <w:rFonts w:ascii="Arial" w:hAnsi="Arial" w:cs="Arial"/>
          <w:sz w:val="20"/>
          <w:szCs w:val="20"/>
          <w:lang w:eastAsia="es-MX"/>
        </w:rPr>
      </w:pPr>
    </w:p>
    <w:p w:rsidR="000C4E79" w:rsidRPr="00E94239" w:rsidRDefault="000C4E79"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Una vez esclarecida la motivación de esta Secretaría para</w:t>
      </w:r>
      <w:r w:rsidR="00C57793" w:rsidRPr="00E94239">
        <w:rPr>
          <w:rFonts w:ascii="Arial" w:hAnsi="Arial" w:cs="Arial"/>
          <w:sz w:val="20"/>
          <w:szCs w:val="20"/>
          <w:lang w:eastAsia="es-MX"/>
        </w:rPr>
        <w:t xml:space="preserve"> dar la negativa del permiso </w:t>
      </w:r>
      <w:r w:rsidRPr="00E94239">
        <w:rPr>
          <w:rFonts w:ascii="Arial" w:hAnsi="Arial" w:cs="Arial"/>
          <w:sz w:val="20"/>
          <w:szCs w:val="20"/>
          <w:lang w:eastAsia="es-MX"/>
        </w:rPr>
        <w:t xml:space="preserve">solicitado, tenemos que se encuentra imponiendo a mi mandante una carga que no se encuentra contemplada en la Ley de la materia, aunado a que, mi representada se encuentra imposibilitada material y jurídicamente para que la Dirección de Obras Públicas del municipio de Cerro de San Pedro modifique la manera en que </w:t>
      </w:r>
      <w:r w:rsidR="00C57793" w:rsidRPr="00E94239">
        <w:rPr>
          <w:rFonts w:ascii="Arial" w:hAnsi="Arial" w:cs="Arial"/>
          <w:sz w:val="20"/>
          <w:szCs w:val="20"/>
          <w:lang w:eastAsia="es-MX"/>
        </w:rPr>
        <w:t>expiden las licencias de uso suelo, ya que dicha circunstancia es facultad del citado Ayuntamiento.</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 se nos niega el permiso por una causa totalmente ajena a mi mandante, pues está no puede obligar al municipio de Cerro de San Pedro que expida una licencia de uso de suelo de manera distinta a como lo viene haciendo, pues se reitera que dicha circunstancia es facultad propia del municipio.</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 se aporta a este procedimiento la licencia de uso de suelo de fecha 28 de enero de 2024, donde esta Secretaría podrá constatar que el municipio sigue expidiendo las licencias de uso de suelo de la misma manera que hace cinco años.</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 xml:space="preserve">Ahora bien, conforme al criterio emitido por esta Secretaría, estamos ante el supuesto que ningún </w:t>
      </w:r>
      <w:proofErr w:type="spellStart"/>
      <w:proofErr w:type="gramStart"/>
      <w:r w:rsidRPr="00E94239">
        <w:rPr>
          <w:rFonts w:ascii="Arial" w:hAnsi="Arial" w:cs="Arial"/>
          <w:sz w:val="20"/>
          <w:szCs w:val="20"/>
          <w:lang w:eastAsia="es-MX"/>
        </w:rPr>
        <w:t>tramite</w:t>
      </w:r>
      <w:proofErr w:type="spellEnd"/>
      <w:proofErr w:type="gramEnd"/>
      <w:r w:rsidRPr="00E94239">
        <w:rPr>
          <w:rFonts w:ascii="Arial" w:hAnsi="Arial" w:cs="Arial"/>
          <w:sz w:val="20"/>
          <w:szCs w:val="20"/>
          <w:lang w:eastAsia="es-MX"/>
        </w:rPr>
        <w:t xml:space="preserve"> que se necesite la licencia de uso de suelo del municipio d Cerro de San Pedro se le podrá acordar de conformidad su solicitud, por dicha omisión del municipio […]</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 mi mandante dio cabal cumplimiento a lo dispuesto en la legislación de la materia al exhibir la licencia de uso de suelo requerida. Sin que pase desapercibido, lo señalado por esta Secretaría de que la licencia de uso de suelo no cumple con lo necesario pero cómo se señaló en párrafos anteriores la expedición de dicha licencia compete al municipio […]</w:t>
      </w:r>
    </w:p>
    <w:p w:rsidR="00162E95" w:rsidRPr="00E94239" w:rsidRDefault="00162E95" w:rsidP="00450D6A">
      <w:pPr>
        <w:spacing w:after="0" w:line="240" w:lineRule="auto"/>
        <w:ind w:left="567" w:right="618"/>
        <w:jc w:val="both"/>
        <w:rPr>
          <w:rFonts w:ascii="Arial" w:hAnsi="Arial" w:cs="Arial"/>
          <w:sz w:val="20"/>
          <w:szCs w:val="20"/>
          <w:lang w:eastAsia="es-MX"/>
        </w:rPr>
      </w:pPr>
    </w:p>
    <w:p w:rsidR="00162E95" w:rsidRPr="00E94239" w:rsidRDefault="00162E95" w:rsidP="00450D6A">
      <w:pPr>
        <w:spacing w:after="0" w:line="240" w:lineRule="auto"/>
        <w:ind w:left="567" w:right="618"/>
        <w:jc w:val="both"/>
        <w:rPr>
          <w:rFonts w:ascii="Arial" w:hAnsi="Arial" w:cs="Arial"/>
          <w:sz w:val="20"/>
          <w:szCs w:val="20"/>
          <w:lang w:eastAsia="es-MX"/>
        </w:rPr>
      </w:pPr>
      <w:r w:rsidRPr="00E94239">
        <w:rPr>
          <w:rFonts w:ascii="Arial" w:hAnsi="Arial" w:cs="Arial"/>
          <w:sz w:val="20"/>
          <w:szCs w:val="20"/>
          <w:lang w:eastAsia="es-MX"/>
        </w:rPr>
        <w:t>[…]</w:t>
      </w:r>
    </w:p>
    <w:p w:rsidR="00450D6A" w:rsidRPr="00E94239" w:rsidRDefault="00450D6A" w:rsidP="00DE6732">
      <w:pPr>
        <w:spacing w:before="120" w:after="120" w:line="360" w:lineRule="auto"/>
        <w:ind w:right="51" w:firstLine="709"/>
        <w:jc w:val="both"/>
        <w:rPr>
          <w:rFonts w:ascii="Arial" w:hAnsi="Arial" w:cs="Arial"/>
          <w:sz w:val="24"/>
          <w:szCs w:val="24"/>
          <w:lang w:eastAsia="es-MX"/>
        </w:rPr>
      </w:pPr>
    </w:p>
    <w:p w:rsidR="00FB2F47" w:rsidRPr="00E94239" w:rsidRDefault="00FB2F47" w:rsidP="00DE6732">
      <w:pPr>
        <w:spacing w:before="120" w:after="120" w:line="360" w:lineRule="auto"/>
        <w:ind w:right="51" w:firstLine="709"/>
        <w:jc w:val="both"/>
        <w:rPr>
          <w:rFonts w:ascii="Arial" w:hAnsi="Arial" w:cs="Arial"/>
          <w:sz w:val="24"/>
          <w:szCs w:val="24"/>
          <w:lang w:eastAsia="es-MX"/>
        </w:rPr>
      </w:pPr>
    </w:p>
    <w:p w:rsidR="00FB2F47" w:rsidRPr="00E94239" w:rsidRDefault="00FB2F47"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lastRenderedPageBreak/>
        <w:t xml:space="preserve">Debe dejarse precisado que, por regla general, el recurso de revisión administrativo se rige por el </w:t>
      </w:r>
      <w:r w:rsidRPr="00E94239">
        <w:rPr>
          <w:rFonts w:ascii="Arial" w:hAnsi="Arial" w:cs="Arial"/>
          <w:b/>
          <w:i/>
          <w:sz w:val="24"/>
          <w:szCs w:val="24"/>
          <w:lang w:eastAsia="es-MX"/>
        </w:rPr>
        <w:t>principio de estricto derecho</w:t>
      </w:r>
      <w:r w:rsidRPr="00E94239">
        <w:rPr>
          <w:rFonts w:ascii="Arial" w:hAnsi="Arial" w:cs="Arial"/>
          <w:sz w:val="24"/>
          <w:szCs w:val="24"/>
          <w:lang w:eastAsia="es-MX"/>
        </w:rPr>
        <w:t>, ya que conforme a lo dispuesto en el artículo 142 del Código Procesal Administrativo para el Estado de San Luis Potosí, dicho recurso tiene por objeto que la autoridad encargada de resolver confirme, revoque o modifique la resolución impugnada; máxime que, el artículo 144 del Código Procesal Administrativo, dispone que no se podrá revocar o modificar los actos administrativos en la parte no impugnada por el recurrente; y, en consecuencia, el examen de la revisión se constriñe a la resolución recurrida de frente a los razonamientos jurídicos que realice la parte recurrente en sus agravios, sin ir más allá de lo que en ellos se exponga.</w:t>
      </w:r>
    </w:p>
    <w:p w:rsidR="00FB2F47" w:rsidRPr="00E94239" w:rsidRDefault="00FB2F47" w:rsidP="00DE6732">
      <w:pPr>
        <w:spacing w:before="120" w:after="120" w:line="360" w:lineRule="auto"/>
        <w:ind w:right="51" w:firstLine="709"/>
        <w:jc w:val="both"/>
        <w:rPr>
          <w:rFonts w:ascii="Arial" w:hAnsi="Arial" w:cs="Arial"/>
          <w:sz w:val="24"/>
          <w:szCs w:val="24"/>
          <w:lang w:eastAsia="es-MX"/>
        </w:rPr>
      </w:pPr>
    </w:p>
    <w:p w:rsidR="00FB2F47" w:rsidRPr="00E94239" w:rsidRDefault="00FB2F47"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Por eso, conforme a la técnica jurídica procesal, en los agravios que formule el recurrente no solo debe precisar cuál es la parte de la resolución que le causa agravio y citar los preceptos legales que estima violados</w:t>
      </w:r>
      <w:r w:rsidR="00955F0F" w:rsidRPr="00E94239">
        <w:rPr>
          <w:rFonts w:ascii="Arial" w:hAnsi="Arial" w:cs="Arial"/>
          <w:sz w:val="24"/>
          <w:szCs w:val="24"/>
          <w:lang w:eastAsia="es-MX"/>
        </w:rPr>
        <w:t xml:space="preserve">; sino que, además, para controvertir eficazmente los puntos torales que cimientan la resolución recurrida, tiene la carga de explicar razonadamente el concepto por el que estima esgrimidos los dispositivos legales que invoque.   De no controvertir todos y cada uno de los puntos medulares, los no controvertidos continuarán incólumes y, por ende, rigiendo el sentido de la resolución recurrida, puesto que, debido a la naturaleza de la revisión, en la que rige el principio de </w:t>
      </w:r>
      <w:r w:rsidR="00955F0F" w:rsidRPr="00E94239">
        <w:rPr>
          <w:rFonts w:ascii="Arial" w:hAnsi="Arial" w:cs="Arial"/>
          <w:i/>
          <w:sz w:val="24"/>
          <w:szCs w:val="24"/>
          <w:lang w:eastAsia="es-MX"/>
        </w:rPr>
        <w:t>estricto derecho</w:t>
      </w:r>
      <w:r w:rsidR="00955F0F" w:rsidRPr="00E94239">
        <w:rPr>
          <w:rFonts w:ascii="Arial" w:hAnsi="Arial" w:cs="Arial"/>
          <w:sz w:val="24"/>
          <w:szCs w:val="24"/>
          <w:lang w:eastAsia="es-MX"/>
        </w:rPr>
        <w:t xml:space="preserve"> sólo en casos excepcionales opera la suplencia de la deficiencia en los agravios.</w:t>
      </w:r>
    </w:p>
    <w:p w:rsidR="00955F0F" w:rsidRPr="00E94239" w:rsidRDefault="00955F0F" w:rsidP="00DE6732">
      <w:pPr>
        <w:spacing w:before="120" w:after="120" w:line="360" w:lineRule="auto"/>
        <w:ind w:right="51" w:firstLine="709"/>
        <w:jc w:val="both"/>
        <w:rPr>
          <w:rFonts w:ascii="Arial" w:hAnsi="Arial" w:cs="Arial"/>
          <w:sz w:val="24"/>
          <w:szCs w:val="24"/>
          <w:lang w:eastAsia="es-MX"/>
        </w:rPr>
      </w:pPr>
    </w:p>
    <w:p w:rsidR="00014834" w:rsidRPr="00E94239" w:rsidRDefault="00014834" w:rsidP="00DE6732">
      <w:pPr>
        <w:spacing w:before="120" w:after="120" w:line="360" w:lineRule="auto"/>
        <w:ind w:right="51" w:firstLine="709"/>
        <w:jc w:val="both"/>
        <w:rPr>
          <w:rFonts w:ascii="Arial" w:hAnsi="Arial" w:cs="Arial"/>
          <w:sz w:val="24"/>
          <w:szCs w:val="24"/>
          <w:lang w:eastAsia="es-MX"/>
        </w:rPr>
      </w:pPr>
    </w:p>
    <w:p w:rsidR="00955F0F" w:rsidRPr="00E94239" w:rsidRDefault="00955F0F"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Razonamiento que se sustenta en la jurisprudencia número VII.1o.A.T. J/27, Novena Época, registro 184714, Primer Tribunal Colegiado en Materias Administrativa y de Trabajo del Séptimo Circuito, Semanario Judicial de la Federación y su Gaceta, tomo XVII, marzo de 2003, página 1409, que reza:</w:t>
      </w:r>
    </w:p>
    <w:p w:rsidR="00955F0F" w:rsidRPr="00E94239" w:rsidRDefault="00955F0F" w:rsidP="00DE6732">
      <w:pPr>
        <w:spacing w:before="120" w:after="120" w:line="360" w:lineRule="auto"/>
        <w:ind w:right="51" w:firstLine="709"/>
        <w:jc w:val="both"/>
        <w:rPr>
          <w:rFonts w:ascii="Arial" w:hAnsi="Arial" w:cs="Arial"/>
          <w:sz w:val="24"/>
          <w:szCs w:val="24"/>
          <w:lang w:eastAsia="es-MX"/>
        </w:rPr>
      </w:pPr>
    </w:p>
    <w:p w:rsidR="00955F0F" w:rsidRPr="00E94239" w:rsidRDefault="00955F0F" w:rsidP="00955F0F">
      <w:pPr>
        <w:spacing w:after="0" w:line="240" w:lineRule="auto"/>
        <w:ind w:left="567" w:right="618"/>
        <w:jc w:val="both"/>
        <w:rPr>
          <w:rFonts w:ascii="Arial" w:hAnsi="Arial" w:cs="Arial"/>
          <w:sz w:val="20"/>
          <w:szCs w:val="20"/>
          <w:lang w:eastAsia="es-MX"/>
        </w:rPr>
      </w:pPr>
      <w:r w:rsidRPr="00E94239">
        <w:rPr>
          <w:rFonts w:ascii="Arial" w:hAnsi="Arial" w:cs="Arial"/>
          <w:b/>
          <w:sz w:val="20"/>
          <w:szCs w:val="20"/>
          <w:lang w:eastAsia="es-MX"/>
        </w:rPr>
        <w:t xml:space="preserve">AGRAVIOS EN LA REVISIÓN FISCAL, SU ANÁLISIS ES DE ESTRICTO DERECHO, POR LO QUE SON INOPERANTES SI NO SE CONTROVIERTEN LAS CONSIDERACIONES DE LA SENTENCIA DICTADA POR LA SALA.   </w:t>
      </w:r>
      <w:r w:rsidRPr="00E94239">
        <w:rPr>
          <w:rFonts w:ascii="Arial" w:hAnsi="Arial" w:cs="Arial"/>
          <w:sz w:val="20"/>
          <w:szCs w:val="20"/>
          <w:lang w:eastAsia="es-MX"/>
        </w:rPr>
        <w:t xml:space="preserve">El principio de estricto derecho que impera en tratándose de revisiones fiscales, obliga a que la autoridad disconforme con una determinada resolución demuestre su ilegalidad; consecuentemente, si formula sus agravios sin controvertir las consideraciones expresadas por la Sala Fiscal en la sentencia recurrida, los mismos devienen inoperantes y, en tal virtud, ésta debe </w:t>
      </w:r>
      <w:r w:rsidRPr="00E94239">
        <w:rPr>
          <w:rFonts w:ascii="Arial" w:hAnsi="Arial" w:cs="Arial"/>
          <w:sz w:val="20"/>
          <w:szCs w:val="20"/>
          <w:lang w:eastAsia="es-MX"/>
        </w:rPr>
        <w:lastRenderedPageBreak/>
        <w:t>confirmarse, por quedar legalmente subsistentes las razones que le sirvieron de apoyo y rigen su sentido.</w:t>
      </w:r>
    </w:p>
    <w:p w:rsidR="00FB2F47" w:rsidRPr="00E94239" w:rsidRDefault="00FB2F47" w:rsidP="00DE6732">
      <w:pPr>
        <w:spacing w:before="120" w:after="120" w:line="360" w:lineRule="auto"/>
        <w:ind w:right="51" w:firstLine="709"/>
        <w:jc w:val="both"/>
        <w:rPr>
          <w:rFonts w:ascii="Arial" w:hAnsi="Arial" w:cs="Arial"/>
          <w:sz w:val="24"/>
          <w:szCs w:val="24"/>
          <w:lang w:eastAsia="es-MX"/>
        </w:rPr>
      </w:pPr>
    </w:p>
    <w:p w:rsidR="00450D6A" w:rsidRPr="00E94239" w:rsidRDefault="00623ED7" w:rsidP="00DE6732">
      <w:pPr>
        <w:spacing w:before="120" w:after="120" w:line="360" w:lineRule="auto"/>
        <w:ind w:right="51" w:firstLine="709"/>
        <w:jc w:val="both"/>
        <w:rPr>
          <w:rFonts w:ascii="Arial" w:eastAsia="Arial Unicode MS" w:hAnsi="Arial" w:cs="Arial"/>
          <w:sz w:val="24"/>
          <w:szCs w:val="24"/>
        </w:rPr>
      </w:pPr>
      <w:r w:rsidRPr="00E94239">
        <w:rPr>
          <w:rFonts w:ascii="Arial" w:hAnsi="Arial" w:cs="Arial"/>
          <w:sz w:val="24"/>
          <w:szCs w:val="24"/>
          <w:lang w:eastAsia="es-MX"/>
        </w:rPr>
        <w:t>De la lectura integral de los agravios esgrimidos por el representante de la persona moral recurrente, se advierte que en los mismos n</w:t>
      </w:r>
      <w:r w:rsidR="000C4E79" w:rsidRPr="00E94239">
        <w:rPr>
          <w:rFonts w:ascii="Arial" w:hAnsi="Arial" w:cs="Arial"/>
          <w:sz w:val="24"/>
          <w:szCs w:val="24"/>
          <w:lang w:eastAsia="es-MX"/>
        </w:rPr>
        <w:t xml:space="preserve">o </w:t>
      </w:r>
      <w:r w:rsidR="00B868AA" w:rsidRPr="00E94239">
        <w:rPr>
          <w:rFonts w:ascii="Arial" w:hAnsi="Arial" w:cs="Arial"/>
          <w:sz w:val="24"/>
          <w:szCs w:val="24"/>
          <w:lang w:eastAsia="es-MX"/>
        </w:rPr>
        <w:t xml:space="preserve">se </w:t>
      </w:r>
      <w:r w:rsidR="000C4E79" w:rsidRPr="00E94239">
        <w:rPr>
          <w:rFonts w:ascii="Arial" w:hAnsi="Arial" w:cs="Arial"/>
          <w:sz w:val="24"/>
          <w:szCs w:val="24"/>
          <w:lang w:eastAsia="es-MX"/>
        </w:rPr>
        <w:t>combate el argumento toral que rige la resolución reclamada</w:t>
      </w:r>
      <w:r w:rsidR="00B868AA" w:rsidRPr="00E94239">
        <w:rPr>
          <w:rFonts w:ascii="Arial" w:hAnsi="Arial" w:cs="Arial"/>
          <w:sz w:val="24"/>
          <w:szCs w:val="24"/>
          <w:lang w:eastAsia="es-MX"/>
        </w:rPr>
        <w:t>, consiste</w:t>
      </w:r>
      <w:r w:rsidR="00955F0F" w:rsidRPr="00E94239">
        <w:rPr>
          <w:rFonts w:ascii="Arial" w:hAnsi="Arial" w:cs="Arial"/>
          <w:sz w:val="24"/>
          <w:szCs w:val="24"/>
          <w:lang w:eastAsia="es-MX"/>
        </w:rPr>
        <w:t>nte</w:t>
      </w:r>
      <w:r w:rsidR="00B868AA" w:rsidRPr="00E94239">
        <w:rPr>
          <w:rFonts w:ascii="Arial" w:hAnsi="Arial" w:cs="Arial"/>
          <w:sz w:val="24"/>
          <w:szCs w:val="24"/>
          <w:lang w:eastAsia="es-MX"/>
        </w:rPr>
        <w:t xml:space="preserve"> en que el documento exhibido como </w:t>
      </w:r>
      <w:r w:rsidR="00B868AA" w:rsidRPr="00E94239">
        <w:rPr>
          <w:rFonts w:ascii="Arial" w:eastAsia="Arial Unicode MS" w:hAnsi="Arial" w:cs="Arial"/>
          <w:sz w:val="24"/>
          <w:szCs w:val="24"/>
        </w:rPr>
        <w:t xml:space="preserve">como “Licencia de Cambio de Uso de Suelo”, no se encuentra fundada y motivada, como lo exige el artículo 16 de la Constitución Política de los Estados Unidos Mexicanos, en relación con el artículo 3, fracción XXXVIII, de la Ley Ambiental del Estado de San Luis Potosí; por lo que, al </w:t>
      </w:r>
      <w:r w:rsidR="00955F0F" w:rsidRPr="00E94239">
        <w:rPr>
          <w:rFonts w:ascii="Arial" w:eastAsia="Arial Unicode MS" w:hAnsi="Arial" w:cs="Arial"/>
          <w:sz w:val="24"/>
          <w:szCs w:val="24"/>
        </w:rPr>
        <w:t xml:space="preserve">ser inoperantes, </w:t>
      </w:r>
      <w:r w:rsidR="006033CC" w:rsidRPr="00E94239">
        <w:rPr>
          <w:rFonts w:ascii="Arial" w:eastAsia="Arial Unicode MS" w:hAnsi="Arial" w:cs="Arial"/>
          <w:sz w:val="24"/>
          <w:szCs w:val="24"/>
        </w:rPr>
        <w:t>de</w:t>
      </w:r>
      <w:r w:rsidR="006033CC" w:rsidRPr="00E94239">
        <w:rPr>
          <w:rFonts w:ascii="Arial" w:eastAsia="Arial Unicode MS" w:hAnsi="Arial" w:cs="Arial"/>
          <w:b/>
          <w:sz w:val="24"/>
          <w:szCs w:val="24"/>
        </w:rPr>
        <w:t xml:space="preserve">be confirmarse la resolución del 28 de noviembre de 2024 con </w:t>
      </w:r>
      <w:r w:rsidR="006033CC" w:rsidRPr="001361BF">
        <w:rPr>
          <w:rFonts w:ascii="Arial" w:eastAsia="Arial Unicode MS" w:hAnsi="Arial" w:cs="Arial"/>
          <w:b/>
          <w:sz w:val="24"/>
          <w:szCs w:val="24"/>
        </w:rPr>
        <w:t xml:space="preserve">número de oficio ECO.03.9082/2024 dentro del expediente SEGA.AYS.02.021/2018, suscrito por el Director de Gestión Ambiental de la Secretaría de Ecología y Gestión </w:t>
      </w:r>
      <w:r w:rsidR="006033CC" w:rsidRPr="00E94239">
        <w:rPr>
          <w:rFonts w:ascii="Arial" w:eastAsia="Arial Unicode MS" w:hAnsi="Arial" w:cs="Arial"/>
          <w:b/>
          <w:sz w:val="24"/>
          <w:szCs w:val="24"/>
        </w:rPr>
        <w:t>Ambiental del Estado de San Luis Potosí</w:t>
      </w:r>
      <w:r w:rsidR="00564C0C" w:rsidRPr="00E94239">
        <w:rPr>
          <w:rFonts w:ascii="Arial" w:eastAsia="Arial Unicode MS" w:hAnsi="Arial" w:cs="Arial"/>
          <w:sz w:val="24"/>
          <w:szCs w:val="24"/>
        </w:rPr>
        <w:t>, como correctamente lo resolvió la autoridad demandada en la resolución materia del presente juicio de nulidad</w:t>
      </w:r>
      <w:r w:rsidR="006033CC" w:rsidRPr="00E94239">
        <w:rPr>
          <w:rFonts w:ascii="Arial" w:eastAsia="Arial Unicode MS" w:hAnsi="Arial" w:cs="Arial"/>
          <w:sz w:val="24"/>
          <w:szCs w:val="24"/>
        </w:rPr>
        <w:t>.</w:t>
      </w:r>
    </w:p>
    <w:p w:rsidR="006033CC" w:rsidRPr="00E94239" w:rsidRDefault="006033CC" w:rsidP="00DE6732">
      <w:pPr>
        <w:spacing w:before="120" w:after="120" w:line="360" w:lineRule="auto"/>
        <w:ind w:right="51" w:firstLine="709"/>
        <w:jc w:val="both"/>
        <w:rPr>
          <w:rFonts w:ascii="Arial" w:eastAsia="Arial Unicode MS" w:hAnsi="Arial" w:cs="Arial"/>
          <w:sz w:val="24"/>
          <w:szCs w:val="24"/>
        </w:rPr>
      </w:pPr>
    </w:p>
    <w:p w:rsidR="006033CC" w:rsidRPr="00E94239" w:rsidRDefault="006033CC" w:rsidP="00DE6732">
      <w:pPr>
        <w:spacing w:before="120" w:after="120" w:line="360" w:lineRule="auto"/>
        <w:ind w:right="51" w:firstLine="709"/>
        <w:jc w:val="both"/>
        <w:rPr>
          <w:rFonts w:ascii="Arial" w:hAnsi="Arial" w:cs="Arial"/>
          <w:sz w:val="24"/>
          <w:szCs w:val="24"/>
          <w:lang w:eastAsia="es-MX"/>
        </w:rPr>
      </w:pPr>
      <w:r w:rsidRPr="00E94239">
        <w:rPr>
          <w:rFonts w:ascii="Arial" w:eastAsia="Arial Unicode MS" w:hAnsi="Arial" w:cs="Arial"/>
          <w:sz w:val="24"/>
          <w:szCs w:val="24"/>
        </w:rPr>
        <w:t xml:space="preserve">Sirve de apoyo para ello, por los razonamientos en que se sustenta, la </w:t>
      </w:r>
      <w:r w:rsidRPr="00E94239">
        <w:rPr>
          <w:rFonts w:ascii="Arial" w:hAnsi="Arial" w:cs="Arial"/>
          <w:sz w:val="24"/>
          <w:szCs w:val="24"/>
          <w:lang w:eastAsia="es-MX"/>
        </w:rPr>
        <w:t>Tesis III.1o.A.7 K, Novena Época, Semanario Judicial de la Federación y su Gaceta. Tomo III, Febrero de 1996, página 396, registro digital 203189, que literalmente indica:</w:t>
      </w:r>
    </w:p>
    <w:p w:rsidR="00F72AA8" w:rsidRPr="00E94239" w:rsidRDefault="00F72AA8" w:rsidP="00F72AA8">
      <w:pPr>
        <w:spacing w:before="120" w:after="120" w:line="360" w:lineRule="auto"/>
        <w:ind w:right="51" w:firstLine="709"/>
        <w:jc w:val="both"/>
        <w:rPr>
          <w:rFonts w:ascii="Arial" w:hAnsi="Arial" w:cs="Arial"/>
          <w:sz w:val="24"/>
          <w:szCs w:val="24"/>
          <w:lang w:eastAsia="es-MX"/>
        </w:rPr>
      </w:pPr>
    </w:p>
    <w:p w:rsidR="00F72AA8" w:rsidRPr="00E94239" w:rsidRDefault="00F72AA8" w:rsidP="006033CC">
      <w:pPr>
        <w:spacing w:after="0" w:line="240" w:lineRule="auto"/>
        <w:ind w:left="567" w:right="618"/>
        <w:jc w:val="both"/>
        <w:rPr>
          <w:rFonts w:ascii="Arial" w:hAnsi="Arial" w:cs="Arial"/>
          <w:sz w:val="20"/>
          <w:szCs w:val="20"/>
          <w:lang w:eastAsia="es-MX"/>
        </w:rPr>
      </w:pPr>
      <w:r w:rsidRPr="00E94239">
        <w:rPr>
          <w:rFonts w:ascii="Arial" w:hAnsi="Arial" w:cs="Arial"/>
          <w:b/>
          <w:sz w:val="20"/>
          <w:szCs w:val="20"/>
          <w:lang w:eastAsia="es-MX"/>
        </w:rPr>
        <w:t>CONCEPTOS DE VIOLACION INEFICACES. SON LOS REFERIDOS A CUESTIONES COLATERALES AL SUSTENTO TORAL DE LA SENTENCIA RECLAMADA, QUE NO SE SUPERA.</w:t>
      </w:r>
      <w:r w:rsidR="006033CC" w:rsidRPr="00E94239">
        <w:rPr>
          <w:rFonts w:ascii="Arial" w:hAnsi="Arial" w:cs="Arial"/>
          <w:b/>
          <w:sz w:val="20"/>
          <w:szCs w:val="20"/>
          <w:lang w:eastAsia="es-MX"/>
        </w:rPr>
        <w:t xml:space="preserve">   </w:t>
      </w:r>
      <w:r w:rsidRPr="00E94239">
        <w:rPr>
          <w:rFonts w:ascii="Arial" w:hAnsi="Arial" w:cs="Arial"/>
          <w:sz w:val="20"/>
          <w:szCs w:val="20"/>
          <w:lang w:eastAsia="es-MX"/>
        </w:rPr>
        <w:t>Si el fallo reclamado se sustenta en una consideración toral que tiene por inexistente el derecho en que el quejoso basó sus pretensiones, y los conceptos de violación en lugar de ocuparse de tal consideración toral, se dirigen a tratar de evidenciar diversas violaciones procesales no determinantes de ese sustento del fallo, tales argumentos resultan ineficaces por referirse a cuestiones colaterales o ajenas a esa consideración que rige el sentido de esa resolución insuperada.</w:t>
      </w:r>
    </w:p>
    <w:p w:rsidR="00780093" w:rsidRPr="00E94239" w:rsidRDefault="00780093" w:rsidP="00DE6732">
      <w:pPr>
        <w:spacing w:before="120" w:after="120" w:line="360" w:lineRule="auto"/>
        <w:ind w:right="51" w:firstLine="709"/>
        <w:jc w:val="both"/>
        <w:rPr>
          <w:rFonts w:ascii="Arial" w:hAnsi="Arial" w:cs="Arial"/>
          <w:sz w:val="24"/>
          <w:szCs w:val="24"/>
          <w:lang w:eastAsia="es-MX"/>
        </w:rPr>
      </w:pPr>
    </w:p>
    <w:p w:rsidR="002055D1" w:rsidRPr="00E94239" w:rsidRDefault="00546A76"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En el agravio esgrimido dentro del recurso de revisión, la recurrente sostiene haber dado cumplimiento con los requisitos impuestos por el artículo 11 del Reglamento de la Ley Ambiental del Estado de San Luis Potosí en Materia de Prevención y Control de la Contaminación Atmosférica, que dispone:</w:t>
      </w:r>
    </w:p>
    <w:p w:rsidR="00546A76" w:rsidRPr="00E94239" w:rsidRDefault="00546A76" w:rsidP="00DE6732">
      <w:pPr>
        <w:spacing w:before="120" w:after="120" w:line="360" w:lineRule="auto"/>
        <w:ind w:right="51" w:firstLine="709"/>
        <w:jc w:val="both"/>
        <w:rPr>
          <w:rFonts w:ascii="Arial" w:hAnsi="Arial" w:cs="Arial"/>
          <w:sz w:val="24"/>
          <w:szCs w:val="24"/>
          <w:lang w:eastAsia="es-MX"/>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b/>
          <w:sz w:val="20"/>
          <w:szCs w:val="20"/>
        </w:rPr>
        <w:t>ARTÍCULO 11.</w:t>
      </w:r>
      <w:r w:rsidRPr="00E94239">
        <w:rPr>
          <w:rFonts w:ascii="Arial" w:hAnsi="Arial" w:cs="Arial"/>
          <w:sz w:val="20"/>
          <w:szCs w:val="20"/>
        </w:rPr>
        <w:t xml:space="preserve"> Para obtener el Permiso de Operación a que se refiere el artículo anterior, los propietarios o responsables de las fuentes fijas, deberán </w:t>
      </w:r>
      <w:r w:rsidRPr="00E94239">
        <w:rPr>
          <w:rFonts w:ascii="Arial" w:hAnsi="Arial" w:cs="Arial"/>
          <w:sz w:val="20"/>
          <w:szCs w:val="20"/>
        </w:rPr>
        <w:lastRenderedPageBreak/>
        <w:t xml:space="preserve">presentar a la Secretaría, solicitud en el formato que éste determine y en donde </w:t>
      </w:r>
      <w:proofErr w:type="spellStart"/>
      <w:r w:rsidRPr="00E94239">
        <w:rPr>
          <w:rFonts w:ascii="Arial" w:hAnsi="Arial" w:cs="Arial"/>
          <w:sz w:val="20"/>
          <w:szCs w:val="20"/>
        </w:rPr>
        <w:t>requisite</w:t>
      </w:r>
      <w:proofErr w:type="spellEnd"/>
      <w:r w:rsidRPr="00E94239">
        <w:rPr>
          <w:rFonts w:ascii="Arial" w:hAnsi="Arial" w:cs="Arial"/>
          <w:sz w:val="20"/>
          <w:szCs w:val="20"/>
        </w:rPr>
        <w:t xml:space="preserve"> y acredite con documento i</w:t>
      </w:r>
      <w:r w:rsidR="005315F5" w:rsidRPr="00E94239">
        <w:rPr>
          <w:rFonts w:ascii="Arial" w:hAnsi="Arial" w:cs="Arial"/>
          <w:sz w:val="20"/>
          <w:szCs w:val="20"/>
        </w:rPr>
        <w:t>dóneo la siguiente información:</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I. Datos Generales del S</w:t>
      </w:r>
      <w:r w:rsidR="005315F5" w:rsidRPr="00E94239">
        <w:rPr>
          <w:rFonts w:ascii="Arial" w:hAnsi="Arial" w:cs="Arial"/>
          <w:sz w:val="20"/>
          <w:szCs w:val="20"/>
        </w:rPr>
        <w:t>olicitante;</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II. Personalida</w:t>
      </w:r>
      <w:r w:rsidR="005315F5" w:rsidRPr="00E94239">
        <w:rPr>
          <w:rFonts w:ascii="Arial" w:hAnsi="Arial" w:cs="Arial"/>
          <w:sz w:val="20"/>
          <w:szCs w:val="20"/>
        </w:rPr>
        <w:t>d jurídica con la que promueve;</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III. Vínculo legal del promovente con el inmueble en donde</w:t>
      </w:r>
      <w:r w:rsidR="005315F5" w:rsidRPr="00E94239">
        <w:rPr>
          <w:rFonts w:ascii="Arial" w:hAnsi="Arial" w:cs="Arial"/>
          <w:sz w:val="20"/>
          <w:szCs w:val="20"/>
        </w:rPr>
        <w:t xml:space="preserve"> funciona o pretende funcionar;</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IV. Licencia de Uso de Suelo expedida por la autor</w:t>
      </w:r>
      <w:r w:rsidR="005315F5" w:rsidRPr="00E94239">
        <w:rPr>
          <w:rFonts w:ascii="Arial" w:hAnsi="Arial" w:cs="Arial"/>
          <w:sz w:val="20"/>
          <w:szCs w:val="20"/>
        </w:rPr>
        <w:t>idad municipal correspondiente;</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V. Registro Federal de Co</w:t>
      </w:r>
      <w:r w:rsidR="005315F5" w:rsidRPr="00E94239">
        <w:rPr>
          <w:rFonts w:ascii="Arial" w:hAnsi="Arial" w:cs="Arial"/>
          <w:sz w:val="20"/>
          <w:szCs w:val="20"/>
        </w:rPr>
        <w:t>ntribuyentes;</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VI. Plan de ubicación y croquis de localización de la fuent</w:t>
      </w:r>
      <w:r w:rsidR="005315F5" w:rsidRPr="00E94239">
        <w:rPr>
          <w:rFonts w:ascii="Arial" w:hAnsi="Arial" w:cs="Arial"/>
          <w:sz w:val="20"/>
          <w:szCs w:val="20"/>
        </w:rPr>
        <w:t>e fija, indicando colindancias;</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VII. Diagrama de Flujo y descripción detallada de sus procesos, indicando los puntos de emisión d</w:t>
      </w:r>
      <w:r w:rsidR="005315F5" w:rsidRPr="00E94239">
        <w:rPr>
          <w:rFonts w:ascii="Arial" w:hAnsi="Arial" w:cs="Arial"/>
          <w:sz w:val="20"/>
          <w:szCs w:val="20"/>
        </w:rPr>
        <w:t>e contaminantes a la atmósfera;</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VIII. Relación de materiales, materias primas y combustibles que se usen en los procesos, así como la forma d</w:t>
      </w:r>
      <w:r w:rsidR="005315F5" w:rsidRPr="00E94239">
        <w:rPr>
          <w:rFonts w:ascii="Arial" w:hAnsi="Arial" w:cs="Arial"/>
          <w:sz w:val="20"/>
          <w:szCs w:val="20"/>
        </w:rPr>
        <w:t>e almacenamiento de los mismos;</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IX. Relación de maquinaria y equipo, indicando por lo menos para cada uno: nombre, especificaciones técni</w:t>
      </w:r>
      <w:r w:rsidR="005315F5" w:rsidRPr="00E94239">
        <w:rPr>
          <w:rFonts w:ascii="Arial" w:hAnsi="Arial" w:cs="Arial"/>
          <w:sz w:val="20"/>
          <w:szCs w:val="20"/>
        </w:rPr>
        <w:t>cas, y eficiencia de operación;</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X. Relación de productos, subproductos y residuos que vayan a generars</w:t>
      </w:r>
      <w:r w:rsidR="005315F5" w:rsidRPr="00E94239">
        <w:rPr>
          <w:rFonts w:ascii="Arial" w:hAnsi="Arial" w:cs="Arial"/>
          <w:sz w:val="20"/>
          <w:szCs w:val="20"/>
        </w:rPr>
        <w:t>e y su forma de almacenamiento;</w:t>
      </w:r>
    </w:p>
    <w:p w:rsidR="005315F5" w:rsidRPr="00E94239" w:rsidRDefault="005315F5" w:rsidP="00546A76">
      <w:pPr>
        <w:spacing w:after="0" w:line="240" w:lineRule="auto"/>
        <w:ind w:left="567" w:right="618"/>
        <w:jc w:val="both"/>
        <w:rPr>
          <w:rFonts w:ascii="Arial" w:hAnsi="Arial" w:cs="Arial"/>
          <w:sz w:val="20"/>
          <w:szCs w:val="20"/>
        </w:rPr>
      </w:pPr>
    </w:p>
    <w:p w:rsidR="005315F5" w:rsidRPr="00E94239" w:rsidRDefault="00546A76" w:rsidP="00546A76">
      <w:pPr>
        <w:spacing w:after="0" w:line="240" w:lineRule="auto"/>
        <w:ind w:left="567" w:right="618"/>
        <w:jc w:val="both"/>
        <w:rPr>
          <w:rFonts w:ascii="Arial" w:hAnsi="Arial" w:cs="Arial"/>
          <w:sz w:val="20"/>
          <w:szCs w:val="20"/>
        </w:rPr>
      </w:pPr>
      <w:r w:rsidRPr="00E94239">
        <w:rPr>
          <w:rFonts w:ascii="Arial" w:hAnsi="Arial" w:cs="Arial"/>
          <w:sz w:val="20"/>
          <w:szCs w:val="20"/>
        </w:rPr>
        <w:t>XI. Equipos o sistemas de control de la contaminación a la atmósfera que vayan a utilizarse, indicando especificaciones técnicas, bases de diseño, eficiencia de ope</w:t>
      </w:r>
      <w:r w:rsidR="005315F5" w:rsidRPr="00E94239">
        <w:rPr>
          <w:rFonts w:ascii="Arial" w:hAnsi="Arial" w:cs="Arial"/>
          <w:sz w:val="20"/>
          <w:szCs w:val="20"/>
        </w:rPr>
        <w:t>ración y memorias de cálculo, y</w:t>
      </w:r>
    </w:p>
    <w:p w:rsidR="005315F5" w:rsidRPr="00E94239" w:rsidRDefault="005315F5" w:rsidP="00546A76">
      <w:pPr>
        <w:spacing w:after="0" w:line="240" w:lineRule="auto"/>
        <w:ind w:left="567" w:right="618"/>
        <w:jc w:val="both"/>
        <w:rPr>
          <w:rFonts w:ascii="Arial" w:hAnsi="Arial" w:cs="Arial"/>
          <w:sz w:val="20"/>
          <w:szCs w:val="20"/>
        </w:rPr>
      </w:pPr>
    </w:p>
    <w:p w:rsidR="006033CC" w:rsidRPr="00E94239" w:rsidRDefault="00546A76" w:rsidP="00546A76">
      <w:pPr>
        <w:spacing w:after="0" w:line="240" w:lineRule="auto"/>
        <w:ind w:left="567" w:right="618"/>
        <w:jc w:val="both"/>
        <w:rPr>
          <w:rFonts w:ascii="Arial" w:hAnsi="Arial" w:cs="Arial"/>
          <w:sz w:val="20"/>
          <w:szCs w:val="20"/>
          <w:lang w:eastAsia="es-MX"/>
        </w:rPr>
      </w:pPr>
      <w:r w:rsidRPr="00E94239">
        <w:rPr>
          <w:rFonts w:ascii="Arial" w:hAnsi="Arial" w:cs="Arial"/>
          <w:sz w:val="20"/>
          <w:szCs w:val="20"/>
        </w:rPr>
        <w:t>XII. Programa interno de contingencias, que incluya las medidas y acciones que se llevarán a cabo cuando se presenten emisiones de olores, gases, así como de partículas sólidas y líquidas extraordinarias no controladas o cualquier contingencia al interior, que pudiera originar un aumento en la emisión de contaminantes a la atmósfera.</w:t>
      </w:r>
    </w:p>
    <w:p w:rsidR="006033CC" w:rsidRPr="00E94239" w:rsidRDefault="006033CC" w:rsidP="00DE6732">
      <w:pPr>
        <w:spacing w:before="120" w:after="120" w:line="360" w:lineRule="auto"/>
        <w:ind w:right="51" w:firstLine="709"/>
        <w:jc w:val="both"/>
        <w:rPr>
          <w:rFonts w:ascii="Arial" w:hAnsi="Arial" w:cs="Arial"/>
          <w:sz w:val="24"/>
          <w:szCs w:val="24"/>
          <w:lang w:eastAsia="es-MX"/>
        </w:rPr>
      </w:pPr>
    </w:p>
    <w:p w:rsidR="006033CC" w:rsidRPr="00E94239" w:rsidRDefault="005315F5"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Sin embargo, en lo que aquí interesa, la fracción IV del precepto legal transcrito, impone como obligación de los solicitantes del permiso, acreditar con documento idóneo</w:t>
      </w:r>
      <w:r w:rsidR="007C17FA" w:rsidRPr="00E94239">
        <w:rPr>
          <w:rFonts w:ascii="Arial" w:hAnsi="Arial" w:cs="Arial"/>
          <w:sz w:val="24"/>
          <w:szCs w:val="24"/>
          <w:lang w:eastAsia="es-MX"/>
        </w:rPr>
        <w:t xml:space="preserve"> contar con Licencia de Uso de Suelo expedida por la autoridad municipal correspondiente; por lo que, dicho precepto debe relacionarse con lo establecido en el artículo 3º, fracción XXXVIII, de la Ley Ambiental del Estado de San Luis Potosí, que establece:</w:t>
      </w:r>
    </w:p>
    <w:p w:rsidR="007C17FA" w:rsidRPr="00E94239" w:rsidRDefault="007C17FA" w:rsidP="00DE6732">
      <w:pPr>
        <w:spacing w:before="120" w:after="120" w:line="360" w:lineRule="auto"/>
        <w:ind w:right="51" w:firstLine="709"/>
        <w:jc w:val="both"/>
        <w:rPr>
          <w:rFonts w:ascii="Arial" w:hAnsi="Arial" w:cs="Arial"/>
          <w:sz w:val="24"/>
          <w:szCs w:val="24"/>
          <w:lang w:eastAsia="es-MX"/>
        </w:rPr>
      </w:pPr>
    </w:p>
    <w:p w:rsidR="007C17FA" w:rsidRPr="00E94239" w:rsidRDefault="007C17FA" w:rsidP="007C17FA">
      <w:pPr>
        <w:spacing w:after="0" w:line="240" w:lineRule="auto"/>
        <w:ind w:left="567" w:right="618"/>
        <w:jc w:val="both"/>
        <w:rPr>
          <w:rFonts w:ascii="Arial" w:hAnsi="Arial" w:cs="Arial"/>
          <w:sz w:val="20"/>
          <w:szCs w:val="20"/>
        </w:rPr>
      </w:pPr>
      <w:r w:rsidRPr="00E94239">
        <w:rPr>
          <w:rFonts w:ascii="Arial" w:hAnsi="Arial" w:cs="Arial"/>
          <w:b/>
          <w:sz w:val="20"/>
          <w:szCs w:val="20"/>
        </w:rPr>
        <w:t>ARTICULO 3º.</w:t>
      </w:r>
      <w:r w:rsidRPr="00E94239">
        <w:rPr>
          <w:rFonts w:ascii="Arial" w:hAnsi="Arial" w:cs="Arial"/>
          <w:sz w:val="20"/>
          <w:szCs w:val="20"/>
        </w:rPr>
        <w:t xml:space="preserve"> Para los efectos de esta Ley se entiende por:</w:t>
      </w:r>
    </w:p>
    <w:p w:rsidR="007C17FA" w:rsidRPr="00E94239" w:rsidRDefault="007C17FA" w:rsidP="007C17FA">
      <w:pPr>
        <w:spacing w:after="0" w:line="240" w:lineRule="auto"/>
        <w:ind w:left="567" w:right="618"/>
        <w:jc w:val="both"/>
        <w:rPr>
          <w:rFonts w:ascii="Arial" w:hAnsi="Arial" w:cs="Arial"/>
          <w:sz w:val="20"/>
          <w:szCs w:val="20"/>
        </w:rPr>
      </w:pPr>
    </w:p>
    <w:p w:rsidR="007C17FA" w:rsidRPr="00E94239" w:rsidRDefault="007C17FA" w:rsidP="007C17FA">
      <w:pPr>
        <w:spacing w:after="0" w:line="240" w:lineRule="auto"/>
        <w:ind w:left="567" w:right="618"/>
        <w:jc w:val="both"/>
        <w:rPr>
          <w:rFonts w:ascii="Arial" w:hAnsi="Arial" w:cs="Arial"/>
          <w:sz w:val="20"/>
          <w:szCs w:val="20"/>
        </w:rPr>
      </w:pPr>
      <w:r w:rsidRPr="00E94239">
        <w:rPr>
          <w:rFonts w:ascii="Arial" w:hAnsi="Arial" w:cs="Arial"/>
          <w:sz w:val="20"/>
          <w:szCs w:val="20"/>
        </w:rPr>
        <w:t>[…]</w:t>
      </w:r>
    </w:p>
    <w:p w:rsidR="007C17FA" w:rsidRPr="00E94239" w:rsidRDefault="007C17FA" w:rsidP="007C17FA">
      <w:pPr>
        <w:spacing w:after="0" w:line="240" w:lineRule="auto"/>
        <w:ind w:left="567" w:right="618"/>
        <w:jc w:val="both"/>
        <w:rPr>
          <w:rFonts w:ascii="Arial" w:hAnsi="Arial" w:cs="Arial"/>
          <w:sz w:val="20"/>
          <w:szCs w:val="20"/>
        </w:rPr>
      </w:pPr>
    </w:p>
    <w:p w:rsidR="007C17FA" w:rsidRPr="00E94239" w:rsidRDefault="007C17FA" w:rsidP="007C17FA">
      <w:pPr>
        <w:spacing w:after="0" w:line="240" w:lineRule="auto"/>
        <w:ind w:left="567" w:right="618"/>
        <w:jc w:val="both"/>
        <w:rPr>
          <w:rFonts w:ascii="Arial" w:hAnsi="Arial" w:cs="Arial"/>
          <w:sz w:val="20"/>
          <w:szCs w:val="20"/>
        </w:rPr>
      </w:pPr>
      <w:r w:rsidRPr="00E94239">
        <w:rPr>
          <w:rFonts w:ascii="Arial" w:hAnsi="Arial" w:cs="Arial"/>
          <w:b/>
          <w:sz w:val="20"/>
          <w:szCs w:val="20"/>
        </w:rPr>
        <w:t>XXXVIII.</w:t>
      </w:r>
      <w:r w:rsidRPr="00E94239">
        <w:rPr>
          <w:rFonts w:ascii="Arial" w:hAnsi="Arial" w:cs="Arial"/>
          <w:sz w:val="20"/>
          <w:szCs w:val="20"/>
        </w:rPr>
        <w:t xml:space="preserve"> Licencia de Uso del Suelo: la autorización que otorguen los municipios o el Estado, en el ámbito de sus respectivas competencias, a las personas físicas o morales que lo soliciten, para ocupar o explotar un predio en los casos en que ésta ley y otros ordenamientos lo exijan, establecen para un predio determinado en su uso general, las intensidades máximas de aprovechamiento y de ocupación del suelo, señalando asimismo restricciones federales y estatales que pudieren afectarlo;</w:t>
      </w:r>
    </w:p>
    <w:p w:rsidR="007C17FA" w:rsidRPr="00E94239" w:rsidRDefault="007C17FA" w:rsidP="007C17FA">
      <w:pPr>
        <w:spacing w:after="0" w:line="240" w:lineRule="auto"/>
        <w:ind w:left="567" w:right="618"/>
        <w:jc w:val="both"/>
        <w:rPr>
          <w:rFonts w:ascii="Arial" w:hAnsi="Arial" w:cs="Arial"/>
          <w:sz w:val="20"/>
          <w:szCs w:val="20"/>
        </w:rPr>
      </w:pPr>
    </w:p>
    <w:p w:rsidR="007C17FA" w:rsidRPr="00E94239" w:rsidRDefault="007C17FA" w:rsidP="007C17FA">
      <w:pPr>
        <w:spacing w:after="0" w:line="240" w:lineRule="auto"/>
        <w:ind w:left="567" w:right="618"/>
        <w:jc w:val="both"/>
        <w:rPr>
          <w:rFonts w:ascii="Arial" w:hAnsi="Arial" w:cs="Arial"/>
          <w:sz w:val="20"/>
          <w:szCs w:val="20"/>
          <w:lang w:eastAsia="es-MX"/>
        </w:rPr>
      </w:pPr>
      <w:r w:rsidRPr="00E94239">
        <w:rPr>
          <w:rFonts w:ascii="Arial" w:hAnsi="Arial" w:cs="Arial"/>
          <w:sz w:val="20"/>
          <w:szCs w:val="20"/>
        </w:rPr>
        <w:t>[…]</w:t>
      </w:r>
    </w:p>
    <w:p w:rsidR="007C17FA" w:rsidRPr="00E94239" w:rsidRDefault="007C17FA" w:rsidP="00DE6732">
      <w:pPr>
        <w:spacing w:before="120" w:after="120" w:line="360" w:lineRule="auto"/>
        <w:ind w:right="51" w:firstLine="709"/>
        <w:jc w:val="both"/>
        <w:rPr>
          <w:rFonts w:ascii="Arial" w:hAnsi="Arial" w:cs="Arial"/>
          <w:sz w:val="24"/>
          <w:szCs w:val="24"/>
          <w:lang w:eastAsia="es-MX"/>
        </w:rPr>
      </w:pPr>
    </w:p>
    <w:p w:rsidR="007C17FA" w:rsidRPr="00E94239" w:rsidRDefault="007C17FA"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De lo que se colige que el documento que contenga la licencia de uso de suelo debe incluir en su texto el ordenamiento y precepto legal que le otorga competencia a la autoridad municipal correspondiente para expedirla, así como las intensidades máximas de aprovechamiento y de ocupación del suelo</w:t>
      </w:r>
      <w:r w:rsidR="00AE1B53" w:rsidRPr="00E94239">
        <w:rPr>
          <w:rFonts w:ascii="Arial" w:hAnsi="Arial" w:cs="Arial"/>
          <w:sz w:val="24"/>
          <w:szCs w:val="24"/>
          <w:lang w:eastAsia="es-MX"/>
        </w:rPr>
        <w:t>; máxime que el artículo 16 de la Constitución Política de los Estados Unidos Mexicanos y el artículo 164, fracción V, del Código Procesal Administrativo para el Estado de San Luis Potosí, exigen que los actos administrativos, como la mencionada licencia, esté fundado y motivado.</w:t>
      </w:r>
    </w:p>
    <w:p w:rsidR="007C17FA" w:rsidRPr="00E94239" w:rsidRDefault="007C17FA" w:rsidP="00DE6732">
      <w:pPr>
        <w:spacing w:before="120" w:after="120" w:line="360" w:lineRule="auto"/>
        <w:ind w:right="51" w:firstLine="709"/>
        <w:jc w:val="both"/>
        <w:rPr>
          <w:rFonts w:ascii="Arial" w:hAnsi="Arial" w:cs="Arial"/>
          <w:sz w:val="24"/>
          <w:szCs w:val="24"/>
          <w:lang w:eastAsia="es-MX"/>
        </w:rPr>
      </w:pPr>
    </w:p>
    <w:p w:rsidR="007C17FA" w:rsidRPr="00E94239" w:rsidRDefault="00B9729D"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Ahora bien, al imponer el artículo 11 del Reglamento de la Ley Ambiental del Estado de San Luis Potosí en Materia de Prevención y Control de la Contaminación Atmosférica, la obligación al solicitante acreditar con documento idóneo la licencia de uso de suelo expedida por la autoridad municipal competente, ello implica la carga para el interesado de verificar que dicho acto administrativo, licencia de uso de suelo, se encuentre vigente y debidamente fundada y motivada, y, de no ser así, acudir a las instancias y recursos legales que obliguen a la autoridad municipal que la haya expedido a cumplir con lo establecido en los artículos 16 de la Constitución General de la República; 3º, fracción XXXVIII, de la Ley Ambiental del Estado de San Luis Potosí, y; 164, fracción V, del Código Procesal Administrativo para el Estado de San Luis Potosí.</w:t>
      </w:r>
    </w:p>
    <w:p w:rsidR="00AE1B53" w:rsidRPr="00E94239" w:rsidRDefault="00AE1B53" w:rsidP="00DE6732">
      <w:pPr>
        <w:spacing w:before="120" w:after="120" w:line="360" w:lineRule="auto"/>
        <w:ind w:right="51" w:firstLine="709"/>
        <w:jc w:val="both"/>
        <w:rPr>
          <w:rFonts w:ascii="Arial" w:hAnsi="Arial" w:cs="Arial"/>
          <w:sz w:val="24"/>
          <w:szCs w:val="24"/>
          <w:lang w:eastAsia="es-MX"/>
        </w:rPr>
      </w:pPr>
    </w:p>
    <w:p w:rsidR="00AE1B53" w:rsidRPr="00E94239" w:rsidRDefault="007A1274"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De no cumplir con dicha carga, el interesado debe</w:t>
      </w:r>
      <w:r w:rsidR="00505910" w:rsidRPr="00E94239">
        <w:rPr>
          <w:rFonts w:ascii="Arial" w:hAnsi="Arial" w:cs="Arial"/>
          <w:sz w:val="24"/>
          <w:szCs w:val="24"/>
          <w:lang w:eastAsia="es-MX"/>
        </w:rPr>
        <w:t xml:space="preserve"> asumir las consecuencias de no impugnar la licencia de uso de suelo que no se encuentre legalmente expedida, que nulifican su valor probatorio y efectividad ante las autoridades administrativas y ambientales.</w:t>
      </w:r>
    </w:p>
    <w:p w:rsidR="00505910" w:rsidRPr="00E94239" w:rsidRDefault="00505910" w:rsidP="00DE6732">
      <w:pPr>
        <w:spacing w:before="120" w:after="120" w:line="360" w:lineRule="auto"/>
        <w:ind w:right="51" w:firstLine="709"/>
        <w:jc w:val="both"/>
        <w:rPr>
          <w:rFonts w:ascii="Arial" w:hAnsi="Arial" w:cs="Arial"/>
          <w:sz w:val="24"/>
          <w:szCs w:val="24"/>
          <w:lang w:eastAsia="es-MX"/>
        </w:rPr>
      </w:pPr>
    </w:p>
    <w:p w:rsidR="00F84794" w:rsidRPr="00E94239" w:rsidRDefault="00F84794" w:rsidP="00DE6732">
      <w:pPr>
        <w:spacing w:before="120" w:after="120" w:line="360" w:lineRule="auto"/>
        <w:ind w:right="51" w:firstLine="709"/>
        <w:jc w:val="both"/>
        <w:rPr>
          <w:rFonts w:ascii="Arial" w:hAnsi="Arial" w:cs="Arial"/>
          <w:sz w:val="24"/>
          <w:szCs w:val="24"/>
          <w:lang w:eastAsia="es-MX"/>
        </w:rPr>
      </w:pPr>
    </w:p>
    <w:p w:rsidR="00505910" w:rsidRPr="00E94239" w:rsidRDefault="009E375A"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De ahí que, contrario a lo señalado por el recurrente en los agravios esgrimidos al interponer el recurso de revisión, el Director de Gestión Ambiental no está imponiendo a la persona moral una carga que no se encuentre contemplada en la ley, pues, como se ha señalado, es el artículo 11 del Reglamento de la Ley Ambiental del Estado de San Luis Potosí en Materia de Prevención y Control de la Contaminación Atmosférica, en relación con los artículos 16 de la Constitución General de la República; 3º, </w:t>
      </w:r>
      <w:r w:rsidRPr="00E94239">
        <w:rPr>
          <w:rFonts w:ascii="Arial" w:hAnsi="Arial" w:cs="Arial"/>
          <w:sz w:val="24"/>
          <w:szCs w:val="24"/>
          <w:lang w:eastAsia="es-MX"/>
        </w:rPr>
        <w:lastRenderedPageBreak/>
        <w:t>fracción XXXVIII, de la Ley Ambiental del Estado de San Luis Potosí, y; 164, fracción V, del Código Procesal Administrativo para el Estado de San Luis Potosí, los que imponen la obligación al solicitante de presentar licencia de uso de suelo que esté fundada y motivada, y expedida por autoridad municipal competente.</w:t>
      </w:r>
    </w:p>
    <w:p w:rsidR="009E375A" w:rsidRPr="00E94239" w:rsidRDefault="009E375A" w:rsidP="00DE6732">
      <w:pPr>
        <w:spacing w:before="120" w:after="120" w:line="360" w:lineRule="auto"/>
        <w:ind w:right="51" w:firstLine="709"/>
        <w:jc w:val="both"/>
        <w:rPr>
          <w:rFonts w:ascii="Arial" w:hAnsi="Arial" w:cs="Arial"/>
          <w:sz w:val="24"/>
          <w:szCs w:val="24"/>
          <w:lang w:eastAsia="es-MX"/>
        </w:rPr>
      </w:pPr>
    </w:p>
    <w:p w:rsidR="009E375A" w:rsidRPr="00E94239" w:rsidRDefault="009E375A"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La presentación del documento idóneo de referencia no es un requisito que resulte material o jurídicamente imposible de cumplir, pues si bien es cierto que, la autoridad que debe e</w:t>
      </w:r>
      <w:r w:rsidR="003B048A" w:rsidRPr="00E94239">
        <w:rPr>
          <w:rFonts w:ascii="Arial" w:hAnsi="Arial" w:cs="Arial"/>
          <w:sz w:val="24"/>
          <w:szCs w:val="24"/>
          <w:lang w:eastAsia="es-MX"/>
        </w:rPr>
        <w:t>xpedir una licencia de uso de suelo lo es el Ayuntamiento, también lo es que, dicha facultad no es arbitraria, sino que, se debe expedir a través de la autoridad municipal que resulte competente y, estar fundada y motivada, por tratarse de un mandato constitucional, cuyo cumplimento los ciudadanos pueden ser exigido, a través de los recursos e instancias legales, entre ellos los juicios de nulidad y amparo.</w:t>
      </w:r>
    </w:p>
    <w:p w:rsidR="003B048A" w:rsidRPr="00E94239" w:rsidRDefault="003B048A" w:rsidP="00DE6732">
      <w:pPr>
        <w:spacing w:before="120" w:after="120" w:line="360" w:lineRule="auto"/>
        <w:ind w:right="51" w:firstLine="709"/>
        <w:jc w:val="both"/>
        <w:rPr>
          <w:rFonts w:ascii="Arial" w:hAnsi="Arial" w:cs="Arial"/>
          <w:sz w:val="24"/>
          <w:szCs w:val="24"/>
          <w:lang w:eastAsia="es-MX"/>
        </w:rPr>
      </w:pPr>
    </w:p>
    <w:p w:rsidR="003B048A" w:rsidRPr="00E94239" w:rsidRDefault="003B048A"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Por lo que, la negativa del permiso solicitado no se debe a una causa totalmente ajena a la persona moral recurrente, pues se debe a que el solicitante del permiso no cumplió con la obligación de presentar documento idóneo que acredite que se le ha expedido, por la autoridad municipal competente</w:t>
      </w:r>
      <w:r w:rsidR="008C4813" w:rsidRPr="00E94239">
        <w:rPr>
          <w:rFonts w:ascii="Arial" w:hAnsi="Arial" w:cs="Arial"/>
          <w:sz w:val="24"/>
          <w:szCs w:val="24"/>
          <w:lang w:eastAsia="es-MX"/>
        </w:rPr>
        <w:t>,</w:t>
      </w:r>
      <w:r w:rsidRPr="00E94239">
        <w:rPr>
          <w:rFonts w:ascii="Arial" w:hAnsi="Arial" w:cs="Arial"/>
          <w:sz w:val="24"/>
          <w:szCs w:val="24"/>
          <w:lang w:eastAsia="es-MX"/>
        </w:rPr>
        <w:t xml:space="preserve"> una licencia de uso de suelo fundada y motivada</w:t>
      </w:r>
      <w:r w:rsidR="008C4813" w:rsidRPr="00E94239">
        <w:rPr>
          <w:rFonts w:ascii="Arial" w:hAnsi="Arial" w:cs="Arial"/>
          <w:sz w:val="24"/>
          <w:szCs w:val="24"/>
          <w:lang w:eastAsia="es-MX"/>
        </w:rPr>
        <w:t>, que le impone el artículo 11 del Reglamento de la Ley Ambiental del Estado de San Luis Potosí en Materia de Prevención y Control de la Contaminación Atmosférica, en relación con los artículos 16 de la Constitución General de la República; 3º, fracción XXXVIII, de la Ley Ambiental del Estado de San Luis Potosí, y; 164, fracción V, del Código Procesal Administrativo para el Estado de San Luis Potosí.</w:t>
      </w:r>
    </w:p>
    <w:p w:rsidR="008C4813" w:rsidRPr="00E94239" w:rsidRDefault="008C4813" w:rsidP="00DE6732">
      <w:pPr>
        <w:spacing w:before="120" w:after="120" w:line="360" w:lineRule="auto"/>
        <w:ind w:right="51" w:firstLine="709"/>
        <w:jc w:val="both"/>
        <w:rPr>
          <w:rFonts w:ascii="Arial" w:hAnsi="Arial" w:cs="Arial"/>
          <w:sz w:val="24"/>
          <w:szCs w:val="24"/>
          <w:lang w:eastAsia="es-MX"/>
        </w:rPr>
      </w:pPr>
    </w:p>
    <w:p w:rsidR="008C4813" w:rsidRPr="00E94239" w:rsidRDefault="001876ED"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En cuanto al argumento de que, ningún trámite que necesite de licencia de uso de suelo del municipio de Cerro de San Pedro, podrá ser acordado de conformidad; el mismo resulta argumentativo, pues no se desprende de dato objetivo alguno, y sólo expresa la opinión del recurrente, ni tampoco refiere el precepto legal en que apoye su afirmación; por lo tanto dicho agravio resulta inoperante para revocar, modificar o anular la resolución recurrida.</w:t>
      </w:r>
    </w:p>
    <w:p w:rsidR="00F84794" w:rsidRPr="00E94239" w:rsidRDefault="00F84794" w:rsidP="00DE6732">
      <w:pPr>
        <w:spacing w:before="120" w:after="120" w:line="360" w:lineRule="auto"/>
        <w:ind w:right="51" w:firstLine="709"/>
        <w:jc w:val="both"/>
        <w:rPr>
          <w:rFonts w:ascii="Arial" w:hAnsi="Arial" w:cs="Arial"/>
          <w:sz w:val="24"/>
          <w:szCs w:val="24"/>
          <w:lang w:eastAsia="es-MX"/>
        </w:rPr>
      </w:pPr>
    </w:p>
    <w:p w:rsidR="001876ED" w:rsidRPr="00E94239" w:rsidRDefault="00DF0630"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lastRenderedPageBreak/>
        <w:t>Sostiene la recurrente que, la persona moral dio cumplimiento a lo dispuesto en la legislación de la materia al exhibir la licencia de uso de suelo, sin embargo, reconoce que, como lo señaló el Director de Gestión Ambiental al momento de emitir la resolución recurrida, “</w:t>
      </w:r>
      <w:r w:rsidRPr="00E94239">
        <w:rPr>
          <w:rFonts w:ascii="Arial" w:hAnsi="Arial" w:cs="Arial"/>
          <w:i/>
          <w:sz w:val="24"/>
          <w:szCs w:val="24"/>
          <w:lang w:eastAsia="es-MX"/>
        </w:rPr>
        <w:t>la licencia de uso de suelo no cumple con lo necesario</w:t>
      </w:r>
      <w:r w:rsidRPr="00E94239">
        <w:rPr>
          <w:rFonts w:ascii="Arial" w:hAnsi="Arial" w:cs="Arial"/>
          <w:sz w:val="24"/>
          <w:szCs w:val="24"/>
          <w:lang w:eastAsia="es-MX"/>
        </w:rPr>
        <w:t xml:space="preserve">”, por lo que es evidente que no cumplió con lo dispuesto en el artículo 11 del Reglamento de la Ley Ambiental del Estado de San Luis Potosí en Materia de Prevención y Control de la Contaminación Atmosférica, y </w:t>
      </w:r>
      <w:r w:rsidRPr="00E94239">
        <w:rPr>
          <w:rFonts w:ascii="Arial" w:hAnsi="Arial" w:cs="Arial"/>
          <w:b/>
          <w:sz w:val="24"/>
          <w:szCs w:val="24"/>
          <w:lang w:eastAsia="es-MX"/>
        </w:rPr>
        <w:t>no combate sino que corrobora el argumento toral que rigió la resolución recurrida; lo que impone confirmar lo resuelto por el Director de Gestión Ambiental y declarar infundado el recurso de revisión</w:t>
      </w:r>
      <w:r w:rsidRPr="00E94239">
        <w:rPr>
          <w:rFonts w:ascii="Arial" w:hAnsi="Arial" w:cs="Arial"/>
          <w:sz w:val="24"/>
          <w:szCs w:val="24"/>
          <w:lang w:eastAsia="es-MX"/>
        </w:rPr>
        <w:t>.</w:t>
      </w:r>
    </w:p>
    <w:p w:rsidR="00F84794" w:rsidRPr="00E94239" w:rsidRDefault="00F84794" w:rsidP="00DE6732">
      <w:pPr>
        <w:spacing w:before="120" w:after="120" w:line="360" w:lineRule="auto"/>
        <w:ind w:right="51" w:firstLine="709"/>
        <w:jc w:val="both"/>
        <w:rPr>
          <w:rFonts w:ascii="Arial" w:hAnsi="Arial" w:cs="Arial"/>
          <w:sz w:val="24"/>
          <w:szCs w:val="24"/>
          <w:lang w:eastAsia="es-MX"/>
        </w:rPr>
      </w:pPr>
    </w:p>
    <w:p w:rsidR="00AE1B53" w:rsidRPr="00E94239" w:rsidRDefault="003B0B6A"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Dejado asentado lo anterior, se procede al análisis y estudio del concepto de impugnación esgrimido en el presente juicio por la parte actora.</w:t>
      </w:r>
    </w:p>
    <w:p w:rsidR="003B0B6A" w:rsidRPr="00E94239" w:rsidRDefault="003B0B6A" w:rsidP="00DE6732">
      <w:pPr>
        <w:spacing w:before="120" w:after="120" w:line="360" w:lineRule="auto"/>
        <w:ind w:right="51" w:firstLine="709"/>
        <w:jc w:val="both"/>
        <w:rPr>
          <w:rFonts w:ascii="Arial" w:hAnsi="Arial" w:cs="Arial"/>
          <w:sz w:val="24"/>
          <w:szCs w:val="24"/>
          <w:lang w:eastAsia="es-MX"/>
        </w:rPr>
      </w:pPr>
    </w:p>
    <w:p w:rsidR="00F84794" w:rsidRPr="00E94239" w:rsidRDefault="00F84794"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Para ello, es pertinente puntualizar que, </w:t>
      </w:r>
      <w:r w:rsidR="00B6012F" w:rsidRPr="00E94239">
        <w:rPr>
          <w:rFonts w:ascii="Arial" w:hAnsi="Arial" w:cs="Arial"/>
          <w:sz w:val="24"/>
          <w:szCs w:val="24"/>
          <w:lang w:eastAsia="es-MX"/>
        </w:rPr>
        <w:t>acorde al artículo 270 de la Ley de Ordenamiento Territorial y Desarrollo Urbano del Estado de San Luis Potosí, la licencia de uso de suelo es el documento expedido por la Dirección Municipal correspondiente, con base en lo dispuesto en la Ley y demás disposiciones jurídicas aplicables, a solicitud de una persona física o moral, pública o privada, en el cual se certifica que la acción, obra, inversión o servicio que se pretenda realizar es compatible con la legislación y los programas de ordenamiento territorial y desarrollo urbano, señalando las limitaciones, restricciones, afectaciones, características y aprovechamientos de las áreas o predio materia de la misma, las que deberán acatarse por el solicitante.</w:t>
      </w:r>
    </w:p>
    <w:p w:rsidR="00B6012F" w:rsidRPr="00E94239" w:rsidRDefault="00B6012F" w:rsidP="00DE6732">
      <w:pPr>
        <w:spacing w:before="120" w:after="120" w:line="360" w:lineRule="auto"/>
        <w:ind w:right="51" w:firstLine="709"/>
        <w:jc w:val="both"/>
        <w:rPr>
          <w:rFonts w:ascii="Arial" w:hAnsi="Arial" w:cs="Arial"/>
          <w:sz w:val="24"/>
          <w:szCs w:val="24"/>
          <w:lang w:eastAsia="es-MX"/>
        </w:rPr>
      </w:pPr>
    </w:p>
    <w:p w:rsidR="00B6012F" w:rsidRPr="00E94239" w:rsidRDefault="00B6012F" w:rsidP="00DE6732">
      <w:pPr>
        <w:spacing w:before="120" w:after="120" w:line="360" w:lineRule="auto"/>
        <w:ind w:right="51" w:firstLine="709"/>
        <w:jc w:val="both"/>
        <w:rPr>
          <w:rFonts w:ascii="Arial" w:hAnsi="Arial" w:cs="Arial"/>
          <w:sz w:val="24"/>
          <w:szCs w:val="24"/>
        </w:rPr>
      </w:pPr>
      <w:r w:rsidRPr="00E94239">
        <w:rPr>
          <w:rFonts w:ascii="Arial" w:hAnsi="Arial" w:cs="Arial"/>
          <w:sz w:val="24"/>
          <w:szCs w:val="24"/>
          <w:lang w:eastAsia="es-MX"/>
        </w:rPr>
        <w:t>Por ello, al definir el artículo 3º, fracción XXXVIII, de la Ley Ambiental del Estado de San Luis Potosí, a la licencia de uso de suelo como la a</w:t>
      </w:r>
      <w:r w:rsidRPr="00E94239">
        <w:rPr>
          <w:rFonts w:ascii="Arial" w:hAnsi="Arial" w:cs="Arial"/>
          <w:sz w:val="24"/>
          <w:szCs w:val="24"/>
        </w:rPr>
        <w:t xml:space="preserve">utorización que otorguen los municipios o el Estado, en el ámbito de sus respectivas competencias, a las personas físicas o morales que lo soliciten, para ocupar o explotar un predio en los casos en que ésta ley y otros ordenamientos lo exijan, establecen para un predio determinado en su uso general, las intensidades máximas de aprovechamiento y de ocupación del suelo, señalando asimismo restricciones federales y estatales que pudieren afectarlo, debe entenderse que el documento que la contenga debe ser </w:t>
      </w:r>
      <w:r w:rsidRPr="00E94239">
        <w:rPr>
          <w:rFonts w:ascii="Arial" w:hAnsi="Arial" w:cs="Arial"/>
          <w:sz w:val="24"/>
          <w:szCs w:val="24"/>
        </w:rPr>
        <w:lastRenderedPageBreak/>
        <w:t>expedido por la autoridad municipal competente y estar fundado y motivado, como lo exigen el artículo 16 de la Constitución Política de los Estados Unidos Mexicanos y el artículo 164, fracción V, del Código Procesal Administrativo para el Estado de San Luis Potosí</w:t>
      </w:r>
      <w:r w:rsidR="00C74A10" w:rsidRPr="00E94239">
        <w:rPr>
          <w:rFonts w:ascii="Arial" w:hAnsi="Arial" w:cs="Arial"/>
          <w:sz w:val="24"/>
          <w:szCs w:val="24"/>
        </w:rPr>
        <w:t>.</w:t>
      </w:r>
    </w:p>
    <w:p w:rsidR="00C74A10" w:rsidRPr="00E94239" w:rsidRDefault="00C74A10" w:rsidP="00DE6732">
      <w:pPr>
        <w:spacing w:before="120" w:after="120" w:line="360" w:lineRule="auto"/>
        <w:ind w:right="51" w:firstLine="709"/>
        <w:jc w:val="both"/>
        <w:rPr>
          <w:rFonts w:ascii="Arial" w:hAnsi="Arial" w:cs="Arial"/>
          <w:sz w:val="24"/>
          <w:szCs w:val="24"/>
        </w:rPr>
      </w:pPr>
    </w:p>
    <w:p w:rsidR="00C74A10" w:rsidRPr="00E94239" w:rsidRDefault="005F09FF" w:rsidP="00DE6732">
      <w:pPr>
        <w:spacing w:before="120" w:after="120" w:line="360" w:lineRule="auto"/>
        <w:ind w:right="51" w:firstLine="709"/>
        <w:jc w:val="both"/>
        <w:rPr>
          <w:rFonts w:ascii="Arial" w:hAnsi="Arial" w:cs="Arial"/>
          <w:sz w:val="24"/>
          <w:szCs w:val="24"/>
        </w:rPr>
      </w:pPr>
      <w:r w:rsidRPr="00E94239">
        <w:rPr>
          <w:rFonts w:ascii="Arial" w:hAnsi="Arial" w:cs="Arial"/>
          <w:sz w:val="24"/>
          <w:szCs w:val="24"/>
          <w:lang w:eastAsia="es-MX"/>
        </w:rPr>
        <w:t>Asimismo, la finalidad de la licencia de uso de suelo es regular y autorizar qué actividades (habitacionales, comerciales, industriales, etc.) son permitidas en un terreno específico, según los planes de desarrollo urbano municipal, garantizando que el uso sea compatible con la normatividad, la infraestructura y la seguridad, proporcionando certeza jurídica al propietario o poseedor y siendo un paso previo indispensable para la construcción o cambio de giro de un negocio</w:t>
      </w:r>
      <w:r w:rsidR="00A657E3" w:rsidRPr="00E94239">
        <w:rPr>
          <w:rFonts w:ascii="Arial" w:hAnsi="Arial" w:cs="Arial"/>
          <w:sz w:val="24"/>
          <w:szCs w:val="24"/>
          <w:lang w:eastAsia="es-MX"/>
        </w:rPr>
        <w:t xml:space="preserve">; por ello, el objeto de las licencias de uso de suelo, como se puntualiza en el artículo 271 de la Ley de Ordenamiento Territorial y Desarrollo Urbano del Estado de San Luis Potosí, es </w:t>
      </w:r>
      <w:r w:rsidR="00A657E3" w:rsidRPr="00E94239">
        <w:rPr>
          <w:rFonts w:ascii="Arial" w:hAnsi="Arial" w:cs="Arial"/>
          <w:sz w:val="24"/>
          <w:szCs w:val="24"/>
        </w:rPr>
        <w:t>dar seguridad jurídica y autorizar el uso y destino de la propiedad con base en los programas de ordenamiento del territorial y desarrollo urbano, en lo que se refiere al aprovechamiento del suelo dentro de su contexto urbano; otorgando la consiguiente protección a sus titulares o poseedores, respecto de la legalidad del asentamiento humano o desarrollo inmobiliario; conservar y mejorar el patrimonio natural y cultural de los centros de población, conservando la función esencial del ambiente, protegiendo las áreas verdes y de recarga de mantos acuíferos; inducir la planeación e introducción de infraestructura, equipamiento y servicios urbanos; controlar que toda acción, obra, servicio o inversión en materia de ordenamiento del territorial, desarrollo urbano y vivienda, sea compatible con la legislación y programas aplicables, regulando y previendo su impacto urbano; señalar el aprovechamiento y aptitud del suelo de acuerdo con la legislación y programas aplicables; regular la traza urbana y el impacto urbano; impedir el establecimiento de asentamientos humanos irregulares y fraccionamientos o desarrollos habitacionales al margen de la Ley; señalar las limitaciones, restricciones o alineamientos que a cada área o predio le disponen la legislación o programas de ordenamiento del territorial y desarrollo urbano aplicables, y; la prevención y control de riesgos y contingencias ambientales y urbanas en los centros de población.</w:t>
      </w:r>
    </w:p>
    <w:p w:rsidR="00A657E3" w:rsidRPr="00E94239" w:rsidRDefault="00A657E3" w:rsidP="00DE6732">
      <w:pPr>
        <w:spacing w:before="120" w:after="120" w:line="360" w:lineRule="auto"/>
        <w:ind w:right="51" w:firstLine="709"/>
        <w:jc w:val="both"/>
        <w:rPr>
          <w:rFonts w:ascii="Arial" w:hAnsi="Arial" w:cs="Arial"/>
          <w:sz w:val="24"/>
          <w:szCs w:val="24"/>
        </w:rPr>
      </w:pPr>
    </w:p>
    <w:p w:rsidR="00A657E3" w:rsidRPr="00E94239" w:rsidRDefault="00A657E3"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rPr>
        <w:t xml:space="preserve">Así, </w:t>
      </w:r>
      <w:r w:rsidR="00126BAF" w:rsidRPr="00E94239">
        <w:rPr>
          <w:rFonts w:ascii="Arial" w:hAnsi="Arial" w:cs="Arial"/>
          <w:sz w:val="24"/>
          <w:szCs w:val="24"/>
        </w:rPr>
        <w:t xml:space="preserve">de la relación del artículo 11, fracción IV, del Reglamento de la Ley Ambiental del Estado de San Luis Potosí en Materia de Prevención y </w:t>
      </w:r>
      <w:r w:rsidR="00126BAF" w:rsidRPr="00E94239">
        <w:rPr>
          <w:rFonts w:ascii="Arial" w:hAnsi="Arial" w:cs="Arial"/>
          <w:sz w:val="24"/>
          <w:szCs w:val="24"/>
        </w:rPr>
        <w:lastRenderedPageBreak/>
        <w:t xml:space="preserve">Control de la Contaminación Ambiental, con el artículo </w:t>
      </w:r>
      <w:r w:rsidR="00126BAF" w:rsidRPr="00E94239">
        <w:rPr>
          <w:rFonts w:ascii="Arial" w:hAnsi="Arial" w:cs="Arial"/>
          <w:sz w:val="24"/>
          <w:szCs w:val="24"/>
          <w:lang w:eastAsia="es-MX"/>
        </w:rPr>
        <w:t xml:space="preserve">3º, fracción XXXVIII, de la Ley Ambiental del Estado de San Luis Potosí, se tiene que, la licencia de uso de suelo debe ser expedida por la autoridad municipal correspondiente, en el ámbito de su respectiva competencia, y al tener por objeto </w:t>
      </w:r>
      <w:r w:rsidR="00126BAF" w:rsidRPr="00E94239">
        <w:rPr>
          <w:rFonts w:ascii="Arial" w:hAnsi="Arial" w:cs="Arial"/>
          <w:sz w:val="24"/>
          <w:szCs w:val="24"/>
        </w:rPr>
        <w:t>dar seguridad jurídica a las personas físicas y morales, y autorizar la ocupa</w:t>
      </w:r>
      <w:r w:rsidR="008811D3" w:rsidRPr="00E94239">
        <w:rPr>
          <w:rFonts w:ascii="Arial" w:hAnsi="Arial" w:cs="Arial"/>
          <w:sz w:val="24"/>
          <w:szCs w:val="24"/>
        </w:rPr>
        <w:t xml:space="preserve">ción o explotación de un predio, el documento que la contenga debe contener, el predio determinado en su uso general, las intensidades máximas de aprovechamiento y de ocupación del suelo, señalando asimismo restricciones federales y estatales que pudieren afectarlo, motivando dichas circunstancias; requisitos cuanto más necesarios si se toma en cuenta que se involucra un interés social, por lo que la expedición de una licencia de uso de suelo debe garantizar que no se generará daños al medio ambiente, </w:t>
      </w:r>
      <w:r w:rsidR="00FF0DB9" w:rsidRPr="00E94239">
        <w:rPr>
          <w:rFonts w:ascii="Arial" w:hAnsi="Arial" w:cs="Arial"/>
          <w:sz w:val="24"/>
          <w:szCs w:val="24"/>
        </w:rPr>
        <w:t xml:space="preserve">debiendo estar fundada y motivada para dar seguridad jurídica en su vertiente de confianza legítima, </w:t>
      </w:r>
      <w:r w:rsidR="008811D3" w:rsidRPr="00E94239">
        <w:rPr>
          <w:rFonts w:ascii="Arial" w:hAnsi="Arial" w:cs="Arial"/>
          <w:sz w:val="24"/>
          <w:szCs w:val="24"/>
        </w:rPr>
        <w:t>atento a lo establecido por los artículos 4º y 16 de la Constitución Política de los Estados Unidos Mexicanos, los artículos 164, fracción V, y 167, párrafo primero, del Código Procesal Administrativo para el Estado de San Luis Potosí</w:t>
      </w:r>
      <w:r w:rsidR="00FF0DB9" w:rsidRPr="00E94239">
        <w:rPr>
          <w:rFonts w:ascii="Arial" w:hAnsi="Arial" w:cs="Arial"/>
          <w:sz w:val="24"/>
          <w:szCs w:val="24"/>
        </w:rPr>
        <w:t xml:space="preserve">; es ilustrativa la tesis aislada II.2o.A.61 A (11a.), Undécima Época, Gaceta del Semanario Judicial de la Federación. Libro 51, Julio de 2025, Tomo I, Volumen 1, página 932, </w:t>
      </w:r>
      <w:proofErr w:type="gramStart"/>
      <w:r w:rsidR="00FF0DB9" w:rsidRPr="00E94239">
        <w:rPr>
          <w:rFonts w:ascii="Arial" w:hAnsi="Arial" w:cs="Arial"/>
          <w:sz w:val="24"/>
          <w:szCs w:val="24"/>
        </w:rPr>
        <w:t>registro</w:t>
      </w:r>
      <w:proofErr w:type="gramEnd"/>
      <w:r w:rsidR="00FF0DB9" w:rsidRPr="00E94239">
        <w:rPr>
          <w:rFonts w:ascii="Arial" w:hAnsi="Arial" w:cs="Arial"/>
          <w:sz w:val="24"/>
          <w:szCs w:val="24"/>
        </w:rPr>
        <w:t xml:space="preserve"> digital: 2030706, que establece:</w:t>
      </w:r>
    </w:p>
    <w:p w:rsidR="00B6012F" w:rsidRPr="00E94239" w:rsidRDefault="00B6012F" w:rsidP="00DE6732">
      <w:pPr>
        <w:spacing w:before="120" w:after="120" w:line="360" w:lineRule="auto"/>
        <w:ind w:right="51" w:firstLine="709"/>
        <w:jc w:val="both"/>
        <w:rPr>
          <w:rFonts w:ascii="Arial" w:hAnsi="Arial" w:cs="Arial"/>
          <w:sz w:val="24"/>
          <w:szCs w:val="24"/>
          <w:lang w:eastAsia="es-MX"/>
        </w:rPr>
      </w:pPr>
    </w:p>
    <w:p w:rsidR="00FF0DB9" w:rsidRPr="00E94239" w:rsidRDefault="00FF0DB9" w:rsidP="00DE6732">
      <w:pPr>
        <w:spacing w:before="120" w:after="120" w:line="360" w:lineRule="auto"/>
        <w:ind w:right="51" w:firstLine="709"/>
        <w:jc w:val="both"/>
        <w:rPr>
          <w:rFonts w:ascii="Arial" w:hAnsi="Arial" w:cs="Arial"/>
          <w:sz w:val="24"/>
          <w:szCs w:val="24"/>
          <w:lang w:eastAsia="es-MX"/>
        </w:rPr>
      </w:pPr>
    </w:p>
    <w:p w:rsidR="00FF0DB9" w:rsidRPr="00E94239" w:rsidRDefault="00FF0DB9" w:rsidP="00FF0DB9">
      <w:pPr>
        <w:spacing w:after="0" w:line="240" w:lineRule="auto"/>
        <w:ind w:left="567" w:right="618"/>
        <w:jc w:val="both"/>
        <w:rPr>
          <w:rFonts w:ascii="Arial" w:hAnsi="Arial" w:cs="Arial"/>
          <w:b/>
          <w:sz w:val="20"/>
          <w:szCs w:val="20"/>
        </w:rPr>
      </w:pPr>
      <w:r w:rsidRPr="00E94239">
        <w:rPr>
          <w:rFonts w:ascii="Arial" w:hAnsi="Arial" w:cs="Arial"/>
          <w:b/>
          <w:sz w:val="20"/>
          <w:szCs w:val="20"/>
        </w:rPr>
        <w:t>LICENCIAS DE USO DE SUELO. SU REGULACIÓN Y EXPEDICIÓN NO SÓLO ESTÁ SUJETA A LOS DERECHOS A LA LEGALIDAD Y A LA SEGURIDAD JURÍDICA EN SU VERTIENTE DE CONFIANZA LEGÍTIMA, SINO QUE DEBEN ARMONIZARSE CON EL PRINCIPIO PROPTER REM Y CON LA FUNCIÓN ECOLÓGICA DE LA PROPIEDAD.</w:t>
      </w:r>
    </w:p>
    <w:p w:rsidR="00FF0DB9" w:rsidRPr="00E94239" w:rsidRDefault="00FF0DB9" w:rsidP="00FF0DB9">
      <w:pPr>
        <w:spacing w:after="0" w:line="240" w:lineRule="auto"/>
        <w:ind w:left="567" w:right="618"/>
        <w:jc w:val="both"/>
        <w:rPr>
          <w:rFonts w:ascii="Arial" w:hAnsi="Arial" w:cs="Arial"/>
          <w:sz w:val="20"/>
          <w:szCs w:val="20"/>
        </w:rPr>
      </w:pPr>
    </w:p>
    <w:p w:rsidR="00FF0DB9" w:rsidRPr="00E94239" w:rsidRDefault="00FF0DB9" w:rsidP="00FF0DB9">
      <w:pPr>
        <w:spacing w:after="0" w:line="240" w:lineRule="auto"/>
        <w:ind w:left="567" w:right="618"/>
        <w:jc w:val="both"/>
        <w:rPr>
          <w:rFonts w:ascii="Arial" w:hAnsi="Arial" w:cs="Arial"/>
          <w:sz w:val="20"/>
          <w:szCs w:val="20"/>
        </w:rPr>
      </w:pPr>
      <w:r w:rsidRPr="00E94239">
        <w:rPr>
          <w:rFonts w:ascii="Arial" w:hAnsi="Arial" w:cs="Arial"/>
          <w:b/>
          <w:sz w:val="20"/>
          <w:szCs w:val="20"/>
        </w:rPr>
        <w:t>Hechos:</w:t>
      </w:r>
      <w:r w:rsidRPr="00E94239">
        <w:rPr>
          <w:rFonts w:ascii="Arial" w:hAnsi="Arial" w:cs="Arial"/>
          <w:sz w:val="20"/>
          <w:szCs w:val="20"/>
        </w:rPr>
        <w:t xml:space="preserve"> Una persona promovió amparo indirecto contra el Programa de Manejo de Áreas de Protección de Recursos Naturales, Cuencas de los Ríos Valle de Bravo, </w:t>
      </w:r>
      <w:proofErr w:type="spellStart"/>
      <w:r w:rsidRPr="00E94239">
        <w:rPr>
          <w:rFonts w:ascii="Arial" w:hAnsi="Arial" w:cs="Arial"/>
          <w:sz w:val="20"/>
          <w:szCs w:val="20"/>
        </w:rPr>
        <w:t>Malacatepec</w:t>
      </w:r>
      <w:proofErr w:type="spellEnd"/>
      <w:r w:rsidRPr="00E94239">
        <w:rPr>
          <w:rFonts w:ascii="Arial" w:hAnsi="Arial" w:cs="Arial"/>
          <w:sz w:val="20"/>
          <w:szCs w:val="20"/>
        </w:rPr>
        <w:t xml:space="preserve">, </w:t>
      </w:r>
      <w:proofErr w:type="spellStart"/>
      <w:r w:rsidRPr="00E94239">
        <w:rPr>
          <w:rFonts w:ascii="Arial" w:hAnsi="Arial" w:cs="Arial"/>
          <w:sz w:val="20"/>
          <w:szCs w:val="20"/>
        </w:rPr>
        <w:t>Tiloxtoc</w:t>
      </w:r>
      <w:proofErr w:type="spellEnd"/>
      <w:r w:rsidRPr="00E94239">
        <w:rPr>
          <w:rFonts w:ascii="Arial" w:hAnsi="Arial" w:cs="Arial"/>
          <w:sz w:val="20"/>
          <w:szCs w:val="20"/>
        </w:rPr>
        <w:t xml:space="preserve"> y </w:t>
      </w:r>
      <w:proofErr w:type="spellStart"/>
      <w:r w:rsidRPr="00E94239">
        <w:rPr>
          <w:rFonts w:ascii="Arial" w:hAnsi="Arial" w:cs="Arial"/>
          <w:sz w:val="20"/>
          <w:szCs w:val="20"/>
        </w:rPr>
        <w:t>Temascaltepec</w:t>
      </w:r>
      <w:proofErr w:type="spellEnd"/>
      <w:r w:rsidRPr="00E94239">
        <w:rPr>
          <w:rFonts w:ascii="Arial" w:hAnsi="Arial" w:cs="Arial"/>
          <w:sz w:val="20"/>
          <w:szCs w:val="20"/>
        </w:rPr>
        <w:t>, publicado en el Diario Oficial de la Federación el 30 de noviembre de 2018, el Plan Municipal de Desarrollo Urbano de Valle de Bravo, Estado de México y el otorgamiento de una licencia de uso de suelo de un terreno de su propiedad como zona no urbanizable y área natural protegida, al estimar que se aplicó retroactivamente la ley en su perjuicio, pues no se reconocieron sus derechos adquiridos y que se violó su derecho a la seguridad jurídica en su vertiente de confianza legítima. El Juzgado de Distrito negó el amparo al considerar que el otorgamiento de la licencia no constituye derechos adquiridos ni actualiza una violación a la confianza legítima.</w:t>
      </w:r>
    </w:p>
    <w:p w:rsidR="00FF0DB9" w:rsidRPr="00E94239" w:rsidRDefault="00FF0DB9" w:rsidP="00FF0DB9">
      <w:pPr>
        <w:spacing w:after="0" w:line="240" w:lineRule="auto"/>
        <w:ind w:left="567" w:right="618"/>
        <w:jc w:val="both"/>
        <w:rPr>
          <w:rFonts w:ascii="Arial" w:hAnsi="Arial" w:cs="Arial"/>
          <w:sz w:val="20"/>
          <w:szCs w:val="20"/>
        </w:rPr>
      </w:pPr>
    </w:p>
    <w:p w:rsidR="00FF0DB9" w:rsidRPr="00E94239" w:rsidRDefault="00FF0DB9" w:rsidP="00FF0DB9">
      <w:pPr>
        <w:spacing w:after="0" w:line="240" w:lineRule="auto"/>
        <w:ind w:left="567" w:right="618"/>
        <w:jc w:val="both"/>
        <w:rPr>
          <w:rFonts w:ascii="Arial" w:hAnsi="Arial" w:cs="Arial"/>
          <w:sz w:val="20"/>
          <w:szCs w:val="20"/>
        </w:rPr>
      </w:pPr>
      <w:r w:rsidRPr="00E94239">
        <w:rPr>
          <w:rFonts w:ascii="Arial" w:hAnsi="Arial" w:cs="Arial"/>
          <w:b/>
          <w:sz w:val="20"/>
          <w:szCs w:val="20"/>
        </w:rPr>
        <w:t>Criterio jurídico:</w:t>
      </w:r>
      <w:r w:rsidRPr="00E94239">
        <w:rPr>
          <w:rFonts w:ascii="Arial" w:hAnsi="Arial" w:cs="Arial"/>
          <w:sz w:val="20"/>
          <w:szCs w:val="20"/>
        </w:rPr>
        <w:t xml:space="preserve"> Este Tribunal Colegiado de Circuito determina que la regulación y expedición de las licencias de uso de suelo no sólo se rige por los derechos a la legalidad y a la seguridad jurídica en su vertiente de confianza legítima, sino que cuando se restringe para lograr una mejor protección del ambiente, deben armonizarse con el principio </w:t>
      </w:r>
      <w:proofErr w:type="spellStart"/>
      <w:r w:rsidRPr="00E94239">
        <w:rPr>
          <w:rFonts w:ascii="Arial" w:hAnsi="Arial" w:cs="Arial"/>
          <w:sz w:val="20"/>
          <w:szCs w:val="20"/>
        </w:rPr>
        <w:t>propter</w:t>
      </w:r>
      <w:proofErr w:type="spellEnd"/>
      <w:r w:rsidRPr="00E94239">
        <w:rPr>
          <w:rFonts w:ascii="Arial" w:hAnsi="Arial" w:cs="Arial"/>
          <w:sz w:val="20"/>
          <w:szCs w:val="20"/>
        </w:rPr>
        <w:t xml:space="preserve"> rem y con la función ecológica de la propiedad.</w:t>
      </w:r>
    </w:p>
    <w:p w:rsidR="00FF0DB9" w:rsidRPr="00E94239" w:rsidRDefault="00FF0DB9" w:rsidP="00FF0DB9">
      <w:pPr>
        <w:spacing w:after="0" w:line="240" w:lineRule="auto"/>
        <w:ind w:left="567" w:right="618"/>
        <w:jc w:val="both"/>
        <w:rPr>
          <w:rFonts w:ascii="Arial" w:hAnsi="Arial" w:cs="Arial"/>
          <w:sz w:val="20"/>
          <w:szCs w:val="20"/>
        </w:rPr>
      </w:pPr>
    </w:p>
    <w:p w:rsidR="00B6012F" w:rsidRPr="00E94239" w:rsidRDefault="00FF0DB9" w:rsidP="00FF0DB9">
      <w:pPr>
        <w:spacing w:after="0" w:line="240" w:lineRule="auto"/>
        <w:ind w:left="567" w:right="618"/>
        <w:jc w:val="both"/>
        <w:rPr>
          <w:rFonts w:ascii="Arial" w:hAnsi="Arial" w:cs="Arial"/>
          <w:sz w:val="20"/>
          <w:szCs w:val="20"/>
          <w:lang w:eastAsia="es-MX"/>
        </w:rPr>
      </w:pPr>
      <w:r w:rsidRPr="00E94239">
        <w:rPr>
          <w:rFonts w:ascii="Arial" w:hAnsi="Arial" w:cs="Arial"/>
          <w:b/>
          <w:sz w:val="20"/>
          <w:szCs w:val="20"/>
        </w:rPr>
        <w:lastRenderedPageBreak/>
        <w:t>Justificación:</w:t>
      </w:r>
      <w:r w:rsidRPr="00E94239">
        <w:rPr>
          <w:rFonts w:ascii="Arial" w:hAnsi="Arial" w:cs="Arial"/>
          <w:sz w:val="20"/>
          <w:szCs w:val="20"/>
        </w:rPr>
        <w:t xml:space="preserve"> La Primera Sala de la Suprema Corte de Justicia de la Nación ha sostenido que la función ecológica de la propiedad se refiere "al deber de mantener las funciones ecológicas esenciales asociadas a los recursos naturales y a abstenerse de realizar actividades que puedan perjudicar tales funciones". Asimismo, reconoció el principio </w:t>
      </w:r>
      <w:proofErr w:type="spellStart"/>
      <w:r w:rsidRPr="00E94239">
        <w:rPr>
          <w:rFonts w:ascii="Arial" w:hAnsi="Arial" w:cs="Arial"/>
          <w:sz w:val="20"/>
          <w:szCs w:val="20"/>
        </w:rPr>
        <w:t>propter</w:t>
      </w:r>
      <w:proofErr w:type="spellEnd"/>
      <w:r w:rsidRPr="00E94239">
        <w:rPr>
          <w:rFonts w:ascii="Arial" w:hAnsi="Arial" w:cs="Arial"/>
          <w:sz w:val="20"/>
          <w:szCs w:val="20"/>
        </w:rPr>
        <w:t xml:space="preserve"> rem, del que deriva que por lo que hace a las áreas de conservación de la biodiversidad, "los propietarios, ocupantes o usuarios de los predios que las conforman tienen una responsabilidad ambiental definida por el régimen de protección y conservación específico que regula estos sitios". Si bien no se desconoce que en anualidades previas a la emisión de los instrumentos de desarrollo urbano y sustentabilidad ecológica reclamados existía el derecho de que se le concediera una licencia de uso habitacional, lo cierto es que la determinación de "área natural protegida", conlleva imponer o sujetar a la propiedad ubicada en dicha zona a las modalidades atinentes al desarrollo sustentable y la debida protección de los ecosistemas, lo que actualiza un interés social, incluso, intergeneracional, de conservar el equilibrio ecológico y los servicios ambientales que provee tal área natural. Ante esas circunstancias, no puede hablarse de aplicación retroactiva ni de confianza legítima, sino del recto cumplimiento y observancia a la función ecológica de la propiedad, como verdadero mandato constitucional; justificándose así las modificaciones o declaraciones administrativas sobre el uso de suelo y las modalidades de la propiedad de la parte quejosa. No existe un derecho adquirido para afectar indebidamente el ambiente y a los ecosistemas mediante el uso indiscriminado de la propiedad privada. La administración no puede verse "atada de manos" por decisiones o regulaciones de uso de suelo previas, cuya continuidad pudiese generar daños, incluso irreversibles al medio ambiente. De ahí que los principios de legalidad y seguridad jurídica en su vertiente de confianza legítima, y el derecho a la propiedad, no pueden entenderse de manera aislada ni incondicionada, sino que deben armonizarse a la luz del derecho humano a un medio ambiente sano, y de los principios sustantivos de la función ecológica de la propiedad y </w:t>
      </w:r>
      <w:proofErr w:type="spellStart"/>
      <w:r w:rsidRPr="00E94239">
        <w:rPr>
          <w:rFonts w:ascii="Arial" w:hAnsi="Arial" w:cs="Arial"/>
          <w:sz w:val="20"/>
          <w:szCs w:val="20"/>
        </w:rPr>
        <w:t>propter</w:t>
      </w:r>
      <w:proofErr w:type="spellEnd"/>
      <w:r w:rsidRPr="00E94239">
        <w:rPr>
          <w:rFonts w:ascii="Arial" w:hAnsi="Arial" w:cs="Arial"/>
          <w:sz w:val="20"/>
          <w:szCs w:val="20"/>
        </w:rPr>
        <w:t xml:space="preserve"> rem.</w:t>
      </w:r>
    </w:p>
    <w:p w:rsidR="00B6012F" w:rsidRPr="00E94239" w:rsidRDefault="00B6012F" w:rsidP="00DE6732">
      <w:pPr>
        <w:spacing w:before="120" w:after="120" w:line="360" w:lineRule="auto"/>
        <w:ind w:right="51" w:firstLine="709"/>
        <w:jc w:val="both"/>
        <w:rPr>
          <w:rFonts w:ascii="Arial" w:hAnsi="Arial" w:cs="Arial"/>
          <w:sz w:val="24"/>
          <w:szCs w:val="24"/>
          <w:lang w:eastAsia="es-MX"/>
        </w:rPr>
      </w:pPr>
    </w:p>
    <w:p w:rsidR="00FF0DB9" w:rsidRPr="00E94239" w:rsidRDefault="00FF0DB9" w:rsidP="00DE6732">
      <w:pPr>
        <w:spacing w:before="120" w:after="120" w:line="360" w:lineRule="auto"/>
        <w:ind w:right="51" w:firstLine="709"/>
        <w:jc w:val="both"/>
        <w:rPr>
          <w:rFonts w:ascii="Arial" w:hAnsi="Arial" w:cs="Arial"/>
          <w:sz w:val="24"/>
          <w:szCs w:val="24"/>
          <w:lang w:eastAsia="es-MX"/>
        </w:rPr>
      </w:pPr>
    </w:p>
    <w:p w:rsidR="00FF0DB9" w:rsidRPr="00E94239" w:rsidRDefault="00FF0DB9" w:rsidP="00DE6732">
      <w:pPr>
        <w:spacing w:before="120" w:after="120" w:line="360" w:lineRule="auto"/>
        <w:ind w:right="51" w:firstLine="709"/>
        <w:jc w:val="both"/>
        <w:rPr>
          <w:rFonts w:ascii="Arial" w:hAnsi="Arial" w:cs="Arial"/>
          <w:sz w:val="24"/>
          <w:szCs w:val="24"/>
          <w:lang w:eastAsia="es-MX"/>
        </w:rPr>
      </w:pPr>
    </w:p>
    <w:p w:rsidR="003B0B6A" w:rsidRPr="00E94239" w:rsidRDefault="00F40C56"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La parte actora se duele de la violación al principio de congruencia en la resolución que se impugna en el presente juicio, aduciendo que </w:t>
      </w:r>
      <w:r w:rsidR="004B06EB" w:rsidRPr="00E94239">
        <w:rPr>
          <w:rFonts w:ascii="Arial" w:hAnsi="Arial" w:cs="Arial"/>
          <w:sz w:val="24"/>
          <w:szCs w:val="24"/>
          <w:lang w:eastAsia="es-MX"/>
        </w:rPr>
        <w:t>la negativa de otorgar el permiso por parte del Director de Gestión Ambiental “</w:t>
      </w:r>
      <w:r w:rsidR="004B06EB" w:rsidRPr="00E94239">
        <w:rPr>
          <w:rFonts w:ascii="Arial" w:hAnsi="Arial" w:cs="Arial"/>
          <w:i/>
          <w:sz w:val="24"/>
          <w:szCs w:val="24"/>
          <w:lang w:eastAsia="es-MX"/>
        </w:rPr>
        <w:t>fue porque la licencia de uso de suelo no contaba con las formalidades señaladas en los numerales que invoca, UNICAMENTE POR DICHO MOTIVO</w:t>
      </w:r>
      <w:r w:rsidR="004B06EB" w:rsidRPr="00E94239">
        <w:rPr>
          <w:rFonts w:ascii="Arial" w:hAnsi="Arial" w:cs="Arial"/>
          <w:sz w:val="24"/>
          <w:szCs w:val="24"/>
          <w:lang w:eastAsia="es-MX"/>
        </w:rPr>
        <w:t>”</w:t>
      </w:r>
      <w:r w:rsidR="00B232AF" w:rsidRPr="00E94239">
        <w:rPr>
          <w:rFonts w:ascii="Arial" w:hAnsi="Arial" w:cs="Arial"/>
          <w:sz w:val="24"/>
          <w:szCs w:val="24"/>
          <w:lang w:eastAsia="es-MX"/>
        </w:rPr>
        <w:t>, y que en la resolución que resuelve el recurso de revisión se invoca un hecho novedoso, sin precisar el mismo, pus se limita la actora a transcribir parte de la resolución que impugna en el presente juicio.</w:t>
      </w:r>
    </w:p>
    <w:p w:rsidR="00B232AF" w:rsidRPr="00E94239" w:rsidRDefault="00B232AF" w:rsidP="00DE6732">
      <w:pPr>
        <w:spacing w:before="120" w:after="120" w:line="360" w:lineRule="auto"/>
        <w:ind w:right="51" w:firstLine="709"/>
        <w:jc w:val="both"/>
        <w:rPr>
          <w:rFonts w:ascii="Arial" w:hAnsi="Arial" w:cs="Arial"/>
          <w:sz w:val="24"/>
          <w:szCs w:val="24"/>
          <w:lang w:eastAsia="es-MX"/>
        </w:rPr>
      </w:pPr>
    </w:p>
    <w:p w:rsidR="00B232AF" w:rsidRPr="00E94239" w:rsidRDefault="00B232AF"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Dicho concepto de impugnación deviene en </w:t>
      </w:r>
      <w:r w:rsidRPr="00E94239">
        <w:rPr>
          <w:rFonts w:ascii="Arial" w:hAnsi="Arial" w:cs="Arial"/>
          <w:b/>
          <w:sz w:val="24"/>
          <w:szCs w:val="24"/>
          <w:lang w:eastAsia="es-MX"/>
        </w:rPr>
        <w:t>infundado</w:t>
      </w:r>
      <w:r w:rsidRPr="00E94239">
        <w:rPr>
          <w:rFonts w:ascii="Arial" w:hAnsi="Arial" w:cs="Arial"/>
          <w:sz w:val="24"/>
          <w:szCs w:val="24"/>
          <w:lang w:eastAsia="es-MX"/>
        </w:rPr>
        <w:t xml:space="preserve">, dado que, como se ha señalado, el argumento toral por el cual el Director de Gestión Ambiental negó otorgar el permiso solicitado, fue porque la solicitante </w:t>
      </w:r>
      <w:r w:rsidRPr="00E94239">
        <w:rPr>
          <w:rFonts w:ascii="Arial" w:hAnsi="Arial" w:cs="Arial"/>
          <w:b/>
          <w:sz w:val="24"/>
          <w:szCs w:val="24"/>
          <w:lang w:eastAsia="es-MX"/>
        </w:rPr>
        <w:t>no aportó el documento idóneo que acreditara cont</w:t>
      </w:r>
      <w:r w:rsidR="00ED0968" w:rsidRPr="00E94239">
        <w:rPr>
          <w:rFonts w:ascii="Arial" w:hAnsi="Arial" w:cs="Arial"/>
          <w:b/>
          <w:sz w:val="24"/>
          <w:szCs w:val="24"/>
          <w:lang w:eastAsia="es-MX"/>
        </w:rPr>
        <w:t>a</w:t>
      </w:r>
      <w:r w:rsidRPr="00E94239">
        <w:rPr>
          <w:rFonts w:ascii="Arial" w:hAnsi="Arial" w:cs="Arial"/>
          <w:b/>
          <w:sz w:val="24"/>
          <w:szCs w:val="24"/>
          <w:lang w:eastAsia="es-MX"/>
        </w:rPr>
        <w:t>ra con</w:t>
      </w:r>
      <w:r w:rsidRPr="00E94239">
        <w:rPr>
          <w:rFonts w:ascii="Arial" w:hAnsi="Arial" w:cs="Arial"/>
          <w:sz w:val="24"/>
          <w:szCs w:val="24"/>
          <w:lang w:eastAsia="es-MX"/>
        </w:rPr>
        <w:t xml:space="preserve"> </w:t>
      </w:r>
      <w:r w:rsidRPr="00E94239">
        <w:rPr>
          <w:rFonts w:ascii="Arial" w:hAnsi="Arial" w:cs="Arial"/>
          <w:b/>
          <w:sz w:val="24"/>
          <w:szCs w:val="24"/>
          <w:lang w:eastAsia="es-MX"/>
        </w:rPr>
        <w:t>licencia de uso de suelo</w:t>
      </w:r>
      <w:r w:rsidRPr="00E94239">
        <w:rPr>
          <w:rFonts w:ascii="Arial" w:hAnsi="Arial" w:cs="Arial"/>
          <w:sz w:val="24"/>
          <w:szCs w:val="24"/>
          <w:lang w:eastAsia="es-MX"/>
        </w:rPr>
        <w:t xml:space="preserve"> </w:t>
      </w:r>
      <w:r w:rsidRPr="00E94239">
        <w:rPr>
          <w:rFonts w:ascii="Arial" w:hAnsi="Arial" w:cs="Arial"/>
          <w:b/>
          <w:sz w:val="24"/>
          <w:szCs w:val="24"/>
          <w:lang w:eastAsia="es-MX"/>
        </w:rPr>
        <w:t>expedida por la autoridad municipal competente,</w:t>
      </w:r>
      <w:r w:rsidRPr="00E94239">
        <w:rPr>
          <w:rFonts w:ascii="Arial" w:hAnsi="Arial" w:cs="Arial"/>
          <w:sz w:val="24"/>
          <w:szCs w:val="24"/>
          <w:lang w:eastAsia="es-MX"/>
        </w:rPr>
        <w:t xml:space="preserve"> </w:t>
      </w:r>
      <w:r w:rsidRPr="00E94239">
        <w:rPr>
          <w:rFonts w:ascii="Arial" w:hAnsi="Arial" w:cs="Arial"/>
          <w:b/>
          <w:sz w:val="24"/>
          <w:szCs w:val="24"/>
          <w:lang w:eastAsia="es-MX"/>
        </w:rPr>
        <w:t>fundada y motivada</w:t>
      </w:r>
      <w:r w:rsidRPr="00E94239">
        <w:rPr>
          <w:rFonts w:ascii="Arial" w:hAnsi="Arial" w:cs="Arial"/>
          <w:sz w:val="24"/>
          <w:szCs w:val="24"/>
          <w:lang w:eastAsia="es-MX"/>
        </w:rPr>
        <w:t xml:space="preserve">, como consta en la parte de la resolución contenida en el oficio </w:t>
      </w:r>
      <w:r w:rsidRPr="001361BF">
        <w:rPr>
          <w:rFonts w:ascii="Arial" w:hAnsi="Arial" w:cs="Arial"/>
          <w:sz w:val="24"/>
          <w:szCs w:val="24"/>
          <w:lang w:eastAsia="es-MX"/>
        </w:rPr>
        <w:t xml:space="preserve">ECO.03.9082/2024, de fecha 28 de </w:t>
      </w:r>
      <w:r w:rsidRPr="00E94239">
        <w:rPr>
          <w:rFonts w:ascii="Arial" w:hAnsi="Arial" w:cs="Arial"/>
          <w:sz w:val="24"/>
          <w:szCs w:val="24"/>
          <w:lang w:eastAsia="es-MX"/>
        </w:rPr>
        <w:t xml:space="preserve">noviembre de 2024, que la </w:t>
      </w:r>
      <w:r w:rsidR="00FF0DB9" w:rsidRPr="00E94239">
        <w:rPr>
          <w:rFonts w:ascii="Arial" w:hAnsi="Arial" w:cs="Arial"/>
          <w:sz w:val="24"/>
          <w:szCs w:val="24"/>
          <w:lang w:eastAsia="es-MX"/>
        </w:rPr>
        <w:t xml:space="preserve">propia parte </w:t>
      </w:r>
      <w:r w:rsidRPr="00E94239">
        <w:rPr>
          <w:rFonts w:ascii="Arial" w:hAnsi="Arial" w:cs="Arial"/>
          <w:sz w:val="24"/>
          <w:szCs w:val="24"/>
          <w:lang w:eastAsia="es-MX"/>
        </w:rPr>
        <w:lastRenderedPageBreak/>
        <w:t>actora transcribe, destacando esta Sala Unitaria en negritas la parte conducente:</w:t>
      </w:r>
    </w:p>
    <w:p w:rsidR="00B232AF" w:rsidRPr="00E94239" w:rsidRDefault="00B232AF" w:rsidP="00DE6732">
      <w:pPr>
        <w:spacing w:before="120" w:after="120" w:line="360" w:lineRule="auto"/>
        <w:ind w:right="51" w:firstLine="709"/>
        <w:jc w:val="both"/>
        <w:rPr>
          <w:rFonts w:ascii="Arial" w:hAnsi="Arial" w:cs="Arial"/>
          <w:sz w:val="24"/>
          <w:szCs w:val="24"/>
          <w:lang w:eastAsia="es-MX"/>
        </w:rPr>
      </w:pPr>
    </w:p>
    <w:p w:rsidR="00B232AF" w:rsidRPr="00E94239" w:rsidRDefault="00B232AF" w:rsidP="00B232AF">
      <w:pPr>
        <w:spacing w:after="0" w:line="240" w:lineRule="auto"/>
        <w:ind w:left="567" w:right="618"/>
        <w:jc w:val="both"/>
        <w:rPr>
          <w:rFonts w:ascii="Arial" w:hAnsi="Arial" w:cs="Arial"/>
          <w:sz w:val="20"/>
          <w:szCs w:val="20"/>
          <w:lang w:eastAsia="es-MX"/>
        </w:rPr>
      </w:pPr>
      <w:r w:rsidRPr="00E94239">
        <w:rPr>
          <w:rFonts w:ascii="Arial" w:hAnsi="Arial" w:cs="Arial"/>
          <w:sz w:val="20"/>
          <w:szCs w:val="20"/>
        </w:rPr>
        <w:t>"...</w:t>
      </w:r>
      <w:r w:rsidRPr="00E94239">
        <w:rPr>
          <w:rFonts w:ascii="Arial" w:hAnsi="Arial" w:cs="Arial"/>
          <w:b/>
          <w:sz w:val="20"/>
          <w:szCs w:val="20"/>
        </w:rPr>
        <w:t>se procede al análisis del documento presentado como "“Licencia de Cambio de Uso de Suelo</w:t>
      </w:r>
      <w:r w:rsidRPr="00E94239">
        <w:rPr>
          <w:rFonts w:ascii="Arial" w:hAnsi="Arial" w:cs="Arial"/>
          <w:sz w:val="20"/>
          <w:szCs w:val="20"/>
        </w:rPr>
        <w:t xml:space="preserve">" signado por </w:t>
      </w:r>
      <w:r w:rsidRPr="001361BF">
        <w:rPr>
          <w:rFonts w:ascii="Arial" w:hAnsi="Arial" w:cs="Arial"/>
          <w:b/>
          <w:sz w:val="20"/>
          <w:szCs w:val="20"/>
        </w:rPr>
        <w:t>JOSE PAULINO TOVAR VIÑA</w:t>
      </w:r>
      <w:r w:rsidRPr="001361BF">
        <w:rPr>
          <w:rFonts w:ascii="Arial" w:hAnsi="Arial" w:cs="Arial"/>
          <w:sz w:val="20"/>
          <w:szCs w:val="20"/>
        </w:rPr>
        <w:t xml:space="preserve"> Director de Obras Públicas de Cerro de San Pedro </w:t>
      </w:r>
      <w:r w:rsidRPr="001361BF">
        <w:rPr>
          <w:rFonts w:ascii="Arial" w:hAnsi="Arial" w:cs="Arial"/>
          <w:b/>
          <w:sz w:val="20"/>
          <w:szCs w:val="20"/>
        </w:rPr>
        <w:t xml:space="preserve">advirtiendo que su expedición carece de fundamentación y motivación </w:t>
      </w:r>
      <w:r w:rsidRPr="001361BF">
        <w:rPr>
          <w:rFonts w:ascii="Arial" w:hAnsi="Arial" w:cs="Arial"/>
          <w:sz w:val="20"/>
          <w:szCs w:val="20"/>
        </w:rPr>
        <w:t xml:space="preserve">toda vez que no señala restricciones, ocupación, </w:t>
      </w:r>
      <w:proofErr w:type="spellStart"/>
      <w:r w:rsidRPr="001361BF">
        <w:rPr>
          <w:rFonts w:ascii="Arial" w:hAnsi="Arial" w:cs="Arial"/>
          <w:sz w:val="20"/>
          <w:szCs w:val="20"/>
        </w:rPr>
        <w:t>etc</w:t>
      </w:r>
      <w:proofErr w:type="spellEnd"/>
      <w:r w:rsidRPr="001361BF">
        <w:rPr>
          <w:rFonts w:ascii="Arial" w:hAnsi="Arial" w:cs="Arial"/>
          <w:sz w:val="20"/>
          <w:szCs w:val="20"/>
        </w:rPr>
        <w:t xml:space="preserve">, ni se inserta en la modificación al uso de suelo publicada en el Periódico Oficial del Estado y en la Gaceta Municipal; atendiendo a lo anterior, </w:t>
      </w:r>
      <w:r w:rsidRPr="001361BF">
        <w:rPr>
          <w:rFonts w:ascii="Arial" w:hAnsi="Arial" w:cs="Arial"/>
          <w:b/>
          <w:sz w:val="20"/>
          <w:szCs w:val="20"/>
        </w:rPr>
        <w:t>esta Secretaría no tiene certeza si el documento fue otorgado con las formalidades señaladas en los citados numérales</w:t>
      </w:r>
      <w:r w:rsidRPr="001361BF">
        <w:rPr>
          <w:rFonts w:ascii="Arial" w:hAnsi="Arial" w:cs="Arial"/>
          <w:sz w:val="20"/>
          <w:szCs w:val="20"/>
        </w:rPr>
        <w:t xml:space="preserve">, por lo que se tiene al promovente por no solventado la información consistente en presentar la licencia de uso de suelo vigente y requerida en los oficios ECO.03.1374/2018 у ECO.03.8735/2024, procediendo a desechar su trámite, en consecuencia se niega el Permiso de Operación de Fuentes Fijas </w:t>
      </w:r>
      <w:r w:rsidRPr="001361BF">
        <w:rPr>
          <w:rFonts w:ascii="Arial" w:hAnsi="Arial" w:cs="Arial"/>
          <w:b/>
          <w:sz w:val="20"/>
          <w:szCs w:val="20"/>
        </w:rPr>
        <w:t>por no cumplir con la fracción IV del numeral 11 del Reglamento de la Ley de Ambiental del Estado de San Luis Potosí en materia de Prevención y Control de la Contaminación Atmosférica</w:t>
      </w:r>
      <w:r w:rsidRPr="001361BF">
        <w:rPr>
          <w:rFonts w:ascii="Arial" w:hAnsi="Arial" w:cs="Arial"/>
          <w:sz w:val="20"/>
          <w:szCs w:val="20"/>
        </w:rPr>
        <w:t xml:space="preserve"> en relación con los ordinales 12, 13, así como el Código Procesal Administrativo de estado de San Luis Potosí </w:t>
      </w:r>
      <w:r w:rsidRPr="00E94239">
        <w:rPr>
          <w:rFonts w:ascii="Arial" w:hAnsi="Arial" w:cs="Arial"/>
          <w:sz w:val="20"/>
          <w:szCs w:val="20"/>
        </w:rPr>
        <w:t>(CPASLP) numeral 21 que señalan:..."</w:t>
      </w:r>
    </w:p>
    <w:p w:rsidR="00AE1B53" w:rsidRPr="00E94239" w:rsidRDefault="00AE1B53" w:rsidP="00DE6732">
      <w:pPr>
        <w:spacing w:before="120" w:after="120" w:line="360" w:lineRule="auto"/>
        <w:ind w:right="51" w:firstLine="709"/>
        <w:jc w:val="both"/>
        <w:rPr>
          <w:rFonts w:ascii="Arial" w:hAnsi="Arial" w:cs="Arial"/>
          <w:sz w:val="24"/>
          <w:szCs w:val="24"/>
          <w:lang w:eastAsia="es-MX"/>
        </w:rPr>
      </w:pPr>
    </w:p>
    <w:p w:rsidR="00ED0968" w:rsidRPr="00E94239" w:rsidRDefault="00EA2E72"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Siendo congruente la resolución mediante la cual se resuelve el recurso de revisión, contenida en el oficio SEGAM/DES/067-2025, con lo resuelto por el Director de Gestión Ambiental; como se aprecia de la parte de la resolución que se impugna en el presente juicio que transcribe la parte actora en su demanda:</w:t>
      </w:r>
    </w:p>
    <w:p w:rsidR="00EA2E72" w:rsidRPr="00E94239" w:rsidRDefault="00EA2E72" w:rsidP="00DE6732">
      <w:pPr>
        <w:spacing w:before="120" w:after="120" w:line="360" w:lineRule="auto"/>
        <w:ind w:right="51" w:firstLine="709"/>
        <w:jc w:val="both"/>
        <w:rPr>
          <w:rFonts w:ascii="Arial" w:hAnsi="Arial" w:cs="Arial"/>
          <w:sz w:val="24"/>
          <w:szCs w:val="24"/>
          <w:lang w:eastAsia="es-MX"/>
        </w:rPr>
      </w:pPr>
    </w:p>
    <w:p w:rsidR="006222EF" w:rsidRPr="00E94239" w:rsidRDefault="006222EF" w:rsidP="006222EF">
      <w:pPr>
        <w:spacing w:after="0" w:line="240" w:lineRule="auto"/>
        <w:ind w:left="567" w:right="618"/>
        <w:jc w:val="both"/>
        <w:rPr>
          <w:rFonts w:ascii="Arial" w:hAnsi="Arial" w:cs="Arial"/>
          <w:sz w:val="20"/>
          <w:szCs w:val="20"/>
        </w:rPr>
      </w:pPr>
      <w:r w:rsidRPr="00E94239">
        <w:rPr>
          <w:rFonts w:ascii="Arial" w:hAnsi="Arial" w:cs="Arial"/>
          <w:sz w:val="20"/>
          <w:szCs w:val="20"/>
        </w:rPr>
        <w:t xml:space="preserve">"... deviene debidamente fundada y suficientemente motivada en referente a que la "Licencia de uso de suelo" signada </w:t>
      </w:r>
      <w:r w:rsidRPr="001361BF">
        <w:rPr>
          <w:rFonts w:ascii="Arial" w:hAnsi="Arial" w:cs="Arial"/>
          <w:sz w:val="20"/>
          <w:szCs w:val="20"/>
        </w:rPr>
        <w:t xml:space="preserve">por José Paulino Tovar Viña, en su carácter de Director de Obras Públicas del Ayuntamiento de Cerro </w:t>
      </w:r>
      <w:r w:rsidRPr="00E94239">
        <w:rPr>
          <w:rFonts w:ascii="Arial" w:hAnsi="Arial" w:cs="Arial"/>
          <w:sz w:val="20"/>
          <w:szCs w:val="20"/>
        </w:rPr>
        <w:t xml:space="preserve">de San Pedro, S.L.P., carece de fundamentación y motivación, al ser expedida sin insertar en ella, la modificación al Uso de Suelo publicada en el Periódico Oficial ni en la Gaceta Municipal; por lo que, no se tiene la certeza de que dicha documental haya sido expedida por la autoridad competente en uso de sus atribuciones y con las formalidades legales suficientes y necesarias... </w:t>
      </w:r>
    </w:p>
    <w:p w:rsidR="006222EF" w:rsidRPr="00E94239" w:rsidRDefault="006222EF" w:rsidP="006222EF">
      <w:pPr>
        <w:spacing w:after="0" w:line="240" w:lineRule="auto"/>
        <w:ind w:left="567" w:right="618"/>
        <w:jc w:val="both"/>
        <w:rPr>
          <w:rFonts w:ascii="Arial" w:hAnsi="Arial" w:cs="Arial"/>
          <w:sz w:val="20"/>
          <w:szCs w:val="20"/>
        </w:rPr>
      </w:pPr>
    </w:p>
    <w:p w:rsidR="006222EF" w:rsidRPr="00E94239" w:rsidRDefault="006222EF" w:rsidP="006222EF">
      <w:pPr>
        <w:spacing w:after="0" w:line="240" w:lineRule="auto"/>
        <w:ind w:left="567" w:right="618"/>
        <w:jc w:val="both"/>
        <w:rPr>
          <w:rFonts w:ascii="Arial" w:hAnsi="Arial" w:cs="Arial"/>
          <w:sz w:val="20"/>
          <w:szCs w:val="20"/>
        </w:rPr>
      </w:pPr>
      <w:r w:rsidRPr="00E94239">
        <w:rPr>
          <w:rFonts w:ascii="Arial" w:hAnsi="Arial" w:cs="Arial"/>
          <w:sz w:val="20"/>
          <w:szCs w:val="20"/>
        </w:rPr>
        <w:t>... En este orden de ideas para esta autoridad que represento es importante entrar sal análisis de fondo en cuanto a la Titularidad de la “Licencia de Cambio de Uso de Suelo" expedida por la Dirección de Obras Públicas del municipio de Cerro de San Pedro, S.L.P., con fecha 14 de agosto de 2018, a favor del propietario "</w:t>
      </w:r>
      <w:r w:rsidR="00E00248">
        <w:rPr>
          <w:rFonts w:ascii="Arial" w:hAnsi="Arial" w:cs="Arial"/>
          <w:color w:val="FF0000"/>
          <w:sz w:val="20"/>
          <w:szCs w:val="20"/>
        </w:rPr>
        <w:t>**********</w:t>
      </w:r>
      <w:r w:rsidRPr="00E94239">
        <w:rPr>
          <w:rFonts w:ascii="Arial" w:hAnsi="Arial" w:cs="Arial"/>
          <w:sz w:val="20"/>
          <w:szCs w:val="20"/>
        </w:rPr>
        <w:t>"; se observa que no le beneficia al recurrente, ya que se advierte que la misma se encuentra a nombre de una persona moral diversa "</w:t>
      </w:r>
      <w:r w:rsidR="00E00248">
        <w:rPr>
          <w:rFonts w:ascii="Arial" w:hAnsi="Arial" w:cs="Arial"/>
          <w:color w:val="FF0000"/>
          <w:sz w:val="20"/>
          <w:szCs w:val="20"/>
        </w:rPr>
        <w:t>**********</w:t>
      </w:r>
      <w:r w:rsidRPr="00E94239">
        <w:rPr>
          <w:rFonts w:ascii="Arial" w:hAnsi="Arial" w:cs="Arial"/>
          <w:sz w:val="20"/>
          <w:szCs w:val="20"/>
        </w:rPr>
        <w:t>", y no de la persona moral promovente “</w:t>
      </w:r>
      <w:r w:rsidR="00E00248">
        <w:rPr>
          <w:rFonts w:ascii="Arial" w:hAnsi="Arial" w:cs="Arial"/>
          <w:color w:val="FF0000"/>
          <w:sz w:val="20"/>
          <w:szCs w:val="20"/>
        </w:rPr>
        <w:t>**********</w:t>
      </w:r>
      <w:r w:rsidRPr="00E94239">
        <w:rPr>
          <w:rFonts w:ascii="Arial" w:hAnsi="Arial" w:cs="Arial"/>
          <w:sz w:val="20"/>
          <w:szCs w:val="20"/>
        </w:rPr>
        <w:t xml:space="preserve">"; por lo que, resulta a todas luces infundado el AGRAVIO alegado por la recurrente del recurso de revisión en cuanto a que su representada dio cabal cumplimiento a los requisitos para la obtención del permiso solicitado. ... </w:t>
      </w:r>
    </w:p>
    <w:p w:rsidR="006222EF" w:rsidRPr="00E94239" w:rsidRDefault="006222EF" w:rsidP="006222EF">
      <w:pPr>
        <w:spacing w:after="0" w:line="240" w:lineRule="auto"/>
        <w:ind w:left="567" w:right="618"/>
        <w:jc w:val="both"/>
        <w:rPr>
          <w:rFonts w:ascii="Arial" w:hAnsi="Arial" w:cs="Arial"/>
          <w:sz w:val="20"/>
          <w:szCs w:val="20"/>
        </w:rPr>
      </w:pPr>
    </w:p>
    <w:p w:rsidR="00EA2E72" w:rsidRPr="00E94239" w:rsidRDefault="006222EF" w:rsidP="006222EF">
      <w:pPr>
        <w:spacing w:after="0" w:line="240" w:lineRule="auto"/>
        <w:ind w:left="567" w:right="618"/>
        <w:jc w:val="both"/>
        <w:rPr>
          <w:rFonts w:ascii="Arial" w:hAnsi="Arial" w:cs="Arial"/>
          <w:sz w:val="20"/>
          <w:szCs w:val="20"/>
          <w:lang w:eastAsia="es-MX"/>
        </w:rPr>
      </w:pPr>
      <w:r w:rsidRPr="00E94239">
        <w:rPr>
          <w:rFonts w:ascii="Arial" w:hAnsi="Arial" w:cs="Arial"/>
          <w:sz w:val="20"/>
          <w:szCs w:val="20"/>
        </w:rPr>
        <w:t>...Por lo que es determinante que la "Licencia de Uso Suelo" será personalísima e intransferible y no será objeto de fusión o escisión en tratándose de sociedades mercantiles legalmente constituidas inalienable; por lo que con la documental que se analiza, la persona moral denominada "</w:t>
      </w:r>
      <w:r w:rsidR="00E00248">
        <w:rPr>
          <w:rFonts w:ascii="Arial" w:hAnsi="Arial" w:cs="Arial"/>
          <w:color w:val="FF0000"/>
          <w:sz w:val="20"/>
          <w:szCs w:val="20"/>
        </w:rPr>
        <w:t>**********</w:t>
      </w:r>
      <w:r w:rsidRPr="00E94239">
        <w:rPr>
          <w:rFonts w:ascii="Arial" w:hAnsi="Arial" w:cs="Arial"/>
          <w:sz w:val="20"/>
          <w:szCs w:val="20"/>
        </w:rPr>
        <w:t>"; no acredita ser la titular de la Licencia, como lo pretende demostrar, siendo que esta se encuentra a nombre de otra persona moral. ..."</w:t>
      </w:r>
    </w:p>
    <w:p w:rsidR="00ED0968" w:rsidRPr="00E94239" w:rsidRDefault="00ED0968" w:rsidP="00DE6732">
      <w:pPr>
        <w:spacing w:before="120" w:after="120" w:line="360" w:lineRule="auto"/>
        <w:ind w:right="51" w:firstLine="709"/>
        <w:jc w:val="both"/>
        <w:rPr>
          <w:rFonts w:ascii="Arial" w:hAnsi="Arial" w:cs="Arial"/>
          <w:sz w:val="24"/>
          <w:szCs w:val="24"/>
          <w:lang w:eastAsia="es-MX"/>
        </w:rPr>
      </w:pPr>
    </w:p>
    <w:p w:rsidR="006222EF" w:rsidRPr="00E94239" w:rsidRDefault="006222EF"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lastRenderedPageBreak/>
        <w:t xml:space="preserve">Como puede advertirse, en el primer párrafo transcrito por la parte actora, la autoridad demandada al resolver el recurso de revisión </w:t>
      </w:r>
      <w:r w:rsidR="00D10D36" w:rsidRPr="00E94239">
        <w:rPr>
          <w:rFonts w:ascii="Arial" w:hAnsi="Arial" w:cs="Arial"/>
          <w:sz w:val="24"/>
          <w:szCs w:val="24"/>
          <w:lang w:eastAsia="es-MX"/>
        </w:rPr>
        <w:t>determina</w:t>
      </w:r>
      <w:r w:rsidRPr="00E94239">
        <w:rPr>
          <w:rFonts w:ascii="Arial" w:hAnsi="Arial" w:cs="Arial"/>
          <w:sz w:val="24"/>
          <w:szCs w:val="24"/>
          <w:lang w:eastAsia="es-MX"/>
        </w:rPr>
        <w:t xml:space="preserve"> que la resolución recurrida se encuentra debidamente fundada y suficientemente motivada, </w:t>
      </w:r>
      <w:r w:rsidR="00D10D36" w:rsidRPr="00E94239">
        <w:rPr>
          <w:rFonts w:ascii="Arial" w:hAnsi="Arial" w:cs="Arial"/>
          <w:sz w:val="24"/>
          <w:szCs w:val="24"/>
          <w:lang w:eastAsia="es-MX"/>
        </w:rPr>
        <w:t xml:space="preserve">expresando la razón que tuvo para ello, al señalar que la “licencia de uso de suelo” signado por </w:t>
      </w:r>
      <w:r w:rsidR="00D10D36" w:rsidRPr="001361BF">
        <w:rPr>
          <w:rFonts w:ascii="Arial" w:hAnsi="Arial" w:cs="Arial"/>
          <w:sz w:val="24"/>
          <w:szCs w:val="24"/>
          <w:lang w:eastAsia="es-MX"/>
        </w:rPr>
        <w:t>J</w:t>
      </w:r>
      <w:r w:rsidR="00D10D36" w:rsidRPr="001361BF">
        <w:rPr>
          <w:rFonts w:ascii="Arial" w:hAnsi="Arial" w:cs="Arial"/>
          <w:b/>
          <w:sz w:val="24"/>
          <w:szCs w:val="24"/>
          <w:lang w:eastAsia="es-MX"/>
        </w:rPr>
        <w:t>OSÉ PAULINO TOVAR VIÑA</w:t>
      </w:r>
      <w:r w:rsidR="00D10D36" w:rsidRPr="001361BF">
        <w:rPr>
          <w:rFonts w:ascii="Arial" w:hAnsi="Arial" w:cs="Arial"/>
          <w:sz w:val="24"/>
          <w:szCs w:val="24"/>
          <w:lang w:eastAsia="es-MX"/>
        </w:rPr>
        <w:t xml:space="preserve">, en su carácter de Director de Obras Públicas del Ayuntamiento de Cerro de </w:t>
      </w:r>
      <w:r w:rsidR="00D10D36" w:rsidRPr="00E94239">
        <w:rPr>
          <w:rFonts w:ascii="Arial" w:hAnsi="Arial" w:cs="Arial"/>
          <w:sz w:val="24"/>
          <w:szCs w:val="24"/>
          <w:lang w:eastAsia="es-MX"/>
        </w:rPr>
        <w:t xml:space="preserve">San Pedro, S.L.P., carece de fundamentación y motivación, por lo que no se tiene la certeza de que dicha documental haya sido expedida por autoridad competente en uso de sus atribuciones; por lo que </w:t>
      </w:r>
      <w:r w:rsidR="006839B1" w:rsidRPr="00E94239">
        <w:rPr>
          <w:rFonts w:ascii="Arial" w:hAnsi="Arial" w:cs="Arial"/>
          <w:sz w:val="24"/>
          <w:szCs w:val="24"/>
          <w:lang w:eastAsia="es-MX"/>
        </w:rPr>
        <w:t xml:space="preserve">el </w:t>
      </w:r>
      <w:proofErr w:type="spellStart"/>
      <w:r w:rsidR="006839B1" w:rsidRPr="00E94239">
        <w:rPr>
          <w:rFonts w:ascii="Arial" w:hAnsi="Arial" w:cs="Arial"/>
          <w:sz w:val="24"/>
          <w:szCs w:val="24"/>
          <w:lang w:eastAsia="es-MX"/>
        </w:rPr>
        <w:t>resolutor</w:t>
      </w:r>
      <w:proofErr w:type="spellEnd"/>
      <w:r w:rsidR="006839B1" w:rsidRPr="00E94239">
        <w:rPr>
          <w:rFonts w:ascii="Arial" w:hAnsi="Arial" w:cs="Arial"/>
          <w:sz w:val="24"/>
          <w:szCs w:val="24"/>
          <w:lang w:eastAsia="es-MX"/>
        </w:rPr>
        <w:t xml:space="preserve"> es congruente con el contenido de la resolución impugnada.  No debe pasar por desapercibido que, la aquí actora en su escrito de interposición del recurso de revisión no expresó argumento alguno tendiente a controvertir dicha falta de fundamentación y motivación de la licencia de uso de suelo que exhibió ante el Director de Gestión Ambiental, no obstante ello, la autoridad demandada procedió al estudio de dicha cuestión, confirmando la resolución impugnada.</w:t>
      </w:r>
    </w:p>
    <w:p w:rsidR="006839B1" w:rsidRPr="00E94239" w:rsidRDefault="006839B1" w:rsidP="00DE6732">
      <w:pPr>
        <w:spacing w:before="120" w:after="120" w:line="360" w:lineRule="auto"/>
        <w:ind w:right="51" w:firstLine="709"/>
        <w:jc w:val="both"/>
        <w:rPr>
          <w:rFonts w:ascii="Arial" w:hAnsi="Arial" w:cs="Arial"/>
          <w:sz w:val="24"/>
          <w:szCs w:val="24"/>
          <w:lang w:eastAsia="es-MX"/>
        </w:rPr>
      </w:pPr>
    </w:p>
    <w:p w:rsidR="006839B1" w:rsidRPr="00E94239" w:rsidRDefault="006839B1"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Ahora bien, en los párrafos segundo y tercero del texto de la resolución impugnada en este juicio, que transcribió la parte actora, no se advierte una cuestión novedosa, sino una actuación de la autoridad demandada, tendiente a cumplir con el principio de exhaustividad que le impone el artículo 17 de la Constitución Política de los Estados Unidos Mexicanos, al proceder a la valoración de la prueba documental aportada por el recurrente dentro del recurso de revisión, </w:t>
      </w:r>
      <w:r w:rsidR="00C64244" w:rsidRPr="00E94239">
        <w:rPr>
          <w:rFonts w:ascii="Arial" w:hAnsi="Arial" w:cs="Arial"/>
          <w:sz w:val="24"/>
          <w:szCs w:val="24"/>
          <w:lang w:eastAsia="es-MX"/>
        </w:rPr>
        <w:t xml:space="preserve">consistente en la “LICENCIA DE </w:t>
      </w:r>
      <w:r w:rsidR="00AF741E" w:rsidRPr="00E94239">
        <w:rPr>
          <w:rFonts w:ascii="Arial" w:hAnsi="Arial" w:cs="Arial"/>
          <w:sz w:val="24"/>
          <w:szCs w:val="24"/>
          <w:lang w:eastAsia="es-MX"/>
        </w:rPr>
        <w:t xml:space="preserve">CAMBIO DE </w:t>
      </w:r>
      <w:r w:rsidR="00C64244" w:rsidRPr="00E94239">
        <w:rPr>
          <w:rFonts w:ascii="Arial" w:hAnsi="Arial" w:cs="Arial"/>
          <w:sz w:val="24"/>
          <w:szCs w:val="24"/>
          <w:lang w:eastAsia="es-MX"/>
        </w:rPr>
        <w:t xml:space="preserve">USO DE SUELO”, expedida con fecha </w:t>
      </w:r>
      <w:r w:rsidR="00AF741E" w:rsidRPr="00E94239">
        <w:rPr>
          <w:rFonts w:ascii="Arial" w:hAnsi="Arial" w:cs="Arial"/>
          <w:sz w:val="24"/>
          <w:szCs w:val="24"/>
          <w:lang w:eastAsia="es-MX"/>
        </w:rPr>
        <w:t>14</w:t>
      </w:r>
      <w:r w:rsidR="00C64244" w:rsidRPr="00E94239">
        <w:rPr>
          <w:rFonts w:ascii="Arial" w:hAnsi="Arial" w:cs="Arial"/>
          <w:sz w:val="24"/>
          <w:szCs w:val="24"/>
          <w:lang w:eastAsia="es-MX"/>
        </w:rPr>
        <w:t xml:space="preserve"> de </w:t>
      </w:r>
      <w:r w:rsidR="00AF741E" w:rsidRPr="00E94239">
        <w:rPr>
          <w:rFonts w:ascii="Arial" w:hAnsi="Arial" w:cs="Arial"/>
          <w:sz w:val="24"/>
          <w:szCs w:val="24"/>
          <w:lang w:eastAsia="es-MX"/>
        </w:rPr>
        <w:t xml:space="preserve">agosto </w:t>
      </w:r>
      <w:r w:rsidR="00C64244" w:rsidRPr="00E94239">
        <w:rPr>
          <w:rFonts w:ascii="Arial" w:hAnsi="Arial" w:cs="Arial"/>
          <w:sz w:val="24"/>
          <w:szCs w:val="24"/>
          <w:lang w:eastAsia="es-MX"/>
        </w:rPr>
        <w:t>de 20</w:t>
      </w:r>
      <w:r w:rsidR="00AF741E" w:rsidRPr="00E94239">
        <w:rPr>
          <w:rFonts w:ascii="Arial" w:hAnsi="Arial" w:cs="Arial"/>
          <w:sz w:val="24"/>
          <w:szCs w:val="24"/>
          <w:lang w:eastAsia="es-MX"/>
        </w:rPr>
        <w:t>18</w:t>
      </w:r>
      <w:r w:rsidR="00C64244" w:rsidRPr="00E94239">
        <w:rPr>
          <w:rFonts w:ascii="Arial" w:hAnsi="Arial" w:cs="Arial"/>
          <w:sz w:val="24"/>
          <w:szCs w:val="24"/>
          <w:lang w:eastAsia="es-MX"/>
        </w:rPr>
        <w:t xml:space="preserve"> por el </w:t>
      </w:r>
      <w:r w:rsidR="00AF741E" w:rsidRPr="00E94239">
        <w:rPr>
          <w:rFonts w:ascii="Arial" w:hAnsi="Arial" w:cs="Arial"/>
          <w:sz w:val="24"/>
          <w:szCs w:val="24"/>
          <w:lang w:eastAsia="es-MX"/>
        </w:rPr>
        <w:t xml:space="preserve">Director </w:t>
      </w:r>
      <w:r w:rsidR="00C64244" w:rsidRPr="00E94239">
        <w:rPr>
          <w:rFonts w:ascii="Arial" w:hAnsi="Arial" w:cs="Arial"/>
          <w:sz w:val="24"/>
          <w:szCs w:val="24"/>
          <w:lang w:eastAsia="es-MX"/>
        </w:rPr>
        <w:t>de la Dirección de Obras Públicas del H. Ayuntamiento de Cerro de San Pedro, S.L.P.,</w:t>
      </w:r>
      <w:r w:rsidR="00AF741E" w:rsidRPr="00E94239">
        <w:rPr>
          <w:rFonts w:ascii="Arial" w:hAnsi="Arial" w:cs="Arial"/>
          <w:sz w:val="24"/>
          <w:szCs w:val="24"/>
          <w:lang w:eastAsia="es-MX"/>
        </w:rPr>
        <w:t xml:space="preserve"> la cual señala la autoridad demandada no le beneficia a la recurrente, aquí actora, porque le fue expedida al persona jurídica “</w:t>
      </w:r>
      <w:r w:rsidR="00E00248">
        <w:rPr>
          <w:rFonts w:ascii="Arial" w:hAnsi="Arial" w:cs="Arial"/>
          <w:b/>
          <w:color w:val="FF0000"/>
          <w:sz w:val="24"/>
          <w:szCs w:val="24"/>
          <w:lang w:eastAsia="es-MX"/>
        </w:rPr>
        <w:t>**********</w:t>
      </w:r>
      <w:r w:rsidR="00AF741E" w:rsidRPr="00E94239">
        <w:rPr>
          <w:rFonts w:ascii="Arial" w:hAnsi="Arial" w:cs="Arial"/>
          <w:sz w:val="24"/>
          <w:szCs w:val="24"/>
          <w:lang w:eastAsia="es-MX"/>
        </w:rPr>
        <w:t xml:space="preserve"> y no a la persona moral “</w:t>
      </w:r>
      <w:r w:rsidR="00E00248">
        <w:rPr>
          <w:rFonts w:ascii="Arial" w:hAnsi="Arial" w:cs="Arial"/>
          <w:b/>
          <w:color w:val="FF0000"/>
          <w:sz w:val="24"/>
          <w:szCs w:val="24"/>
          <w:lang w:eastAsia="es-MX"/>
        </w:rPr>
        <w:t>**********</w:t>
      </w:r>
      <w:r w:rsidR="00AF741E" w:rsidRPr="00E94239">
        <w:rPr>
          <w:rFonts w:ascii="Arial" w:hAnsi="Arial" w:cs="Arial"/>
          <w:sz w:val="24"/>
          <w:szCs w:val="24"/>
          <w:lang w:eastAsia="es-MX"/>
        </w:rPr>
        <w:t>”</w:t>
      </w:r>
    </w:p>
    <w:p w:rsidR="006222EF" w:rsidRPr="00E94239" w:rsidRDefault="006222EF" w:rsidP="00DE6732">
      <w:pPr>
        <w:spacing w:before="120" w:after="120" w:line="360" w:lineRule="auto"/>
        <w:ind w:right="51" w:firstLine="709"/>
        <w:jc w:val="both"/>
        <w:rPr>
          <w:rFonts w:ascii="Arial" w:hAnsi="Arial" w:cs="Arial"/>
          <w:sz w:val="24"/>
          <w:szCs w:val="24"/>
          <w:lang w:eastAsia="es-MX"/>
        </w:rPr>
      </w:pPr>
    </w:p>
    <w:p w:rsidR="00AF741E" w:rsidRPr="00E94239" w:rsidRDefault="00AF741E" w:rsidP="00DE6732">
      <w:pPr>
        <w:spacing w:before="120" w:after="120" w:line="360" w:lineRule="auto"/>
        <w:ind w:right="51" w:firstLine="709"/>
        <w:jc w:val="both"/>
        <w:rPr>
          <w:rFonts w:ascii="Arial" w:hAnsi="Arial" w:cs="Arial"/>
          <w:sz w:val="24"/>
          <w:szCs w:val="24"/>
          <w:lang w:eastAsia="es-MX"/>
        </w:rPr>
      </w:pPr>
    </w:p>
    <w:p w:rsidR="006222EF" w:rsidRPr="00E94239" w:rsidRDefault="00F550FB"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Sostiene la parte actora, en la parte que aquí interesa:</w:t>
      </w:r>
    </w:p>
    <w:p w:rsidR="00F550FB" w:rsidRPr="00E94239" w:rsidRDefault="00F550FB" w:rsidP="00DE6732">
      <w:pPr>
        <w:spacing w:before="120" w:after="120" w:line="360" w:lineRule="auto"/>
        <w:ind w:right="51" w:firstLine="709"/>
        <w:jc w:val="both"/>
        <w:rPr>
          <w:rFonts w:ascii="Arial" w:hAnsi="Arial" w:cs="Arial"/>
          <w:sz w:val="24"/>
          <w:szCs w:val="24"/>
          <w:lang w:eastAsia="es-MX"/>
        </w:rPr>
      </w:pPr>
    </w:p>
    <w:p w:rsidR="00F550FB" w:rsidRPr="00E94239" w:rsidRDefault="00F550FB" w:rsidP="00ED69E2">
      <w:pPr>
        <w:spacing w:after="0" w:line="240" w:lineRule="auto"/>
        <w:ind w:left="567" w:right="618"/>
        <w:jc w:val="both"/>
        <w:rPr>
          <w:rFonts w:ascii="Arial" w:hAnsi="Arial" w:cs="Arial"/>
          <w:sz w:val="20"/>
          <w:szCs w:val="20"/>
          <w:lang w:eastAsia="es-MX"/>
        </w:rPr>
      </w:pPr>
      <w:r w:rsidRPr="00E94239">
        <w:rPr>
          <w:rFonts w:ascii="Arial" w:hAnsi="Arial" w:cs="Arial"/>
          <w:sz w:val="20"/>
          <w:szCs w:val="20"/>
        </w:rPr>
        <w:t xml:space="preserve">[…] Ahora bien, una vez transcrito lo anterior, tenemos que la aquí demandada en la resolución que se combate, resulta ser incongruente y con falta de exhaustividad, debido a que, tenemos que la resolución de la negativa del permiso fue únicamente por que la licencia de uso de suelo exhibida no cumplía con las formalidades de la lay, y ahora resulta, que en la resolución </w:t>
      </w:r>
      <w:r w:rsidRPr="00E94239">
        <w:rPr>
          <w:rFonts w:ascii="Arial" w:hAnsi="Arial" w:cs="Arial"/>
          <w:sz w:val="20"/>
          <w:szCs w:val="20"/>
        </w:rPr>
        <w:lastRenderedPageBreak/>
        <w:t xml:space="preserve">que se combate, señalan una causas diversas a las que en primera instancia habían aducido, lo que conlleva que mi mandante se encuentra en un estado de indefensión, debido a que, el recurso de revisión interpuesto se combatió lo aducido en la primera resolución (negativa de permiso), y ahora dicen que fue por una cuestión diversa, lo que evidencia la falta de congruencia de la sentencia, al resolver cuestión que no era parte del procedimiento y que nunca se había señalado, pues tenemos que la congruencia externa de las sentencias implica que la decisión sea correspondiente y proporcional a la pretensión deducida o </w:t>
      </w:r>
      <w:proofErr w:type="spellStart"/>
      <w:r w:rsidRPr="00E94239">
        <w:rPr>
          <w:rFonts w:ascii="Arial" w:hAnsi="Arial" w:cs="Arial"/>
          <w:sz w:val="20"/>
          <w:szCs w:val="20"/>
        </w:rPr>
        <w:t>petitio</w:t>
      </w:r>
      <w:proofErr w:type="spellEnd"/>
      <w:r w:rsidRPr="00E94239">
        <w:rPr>
          <w:rFonts w:ascii="Arial" w:hAnsi="Arial" w:cs="Arial"/>
          <w:sz w:val="20"/>
          <w:szCs w:val="20"/>
        </w:rPr>
        <w:t>, y como se advierte en la especie, esta invoca y resuelve con hechos novedoso que mi mandante jamás tuvo conocimiento, razón por la cual, el acto que se combate deberá de ser declarado nulo. […]</w:t>
      </w:r>
    </w:p>
    <w:p w:rsidR="00F550FB" w:rsidRPr="00E94239" w:rsidRDefault="00F550FB" w:rsidP="00DE6732">
      <w:pPr>
        <w:spacing w:before="120" w:after="120" w:line="360" w:lineRule="auto"/>
        <w:ind w:right="51" w:firstLine="709"/>
        <w:jc w:val="both"/>
        <w:rPr>
          <w:rFonts w:ascii="Arial" w:hAnsi="Arial" w:cs="Arial"/>
          <w:sz w:val="24"/>
          <w:szCs w:val="24"/>
          <w:lang w:eastAsia="es-MX"/>
        </w:rPr>
      </w:pPr>
    </w:p>
    <w:p w:rsidR="00ED69E2" w:rsidRPr="00E94239" w:rsidRDefault="001A3E98"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Dicho concepto de impugnación deviene en </w:t>
      </w:r>
      <w:r w:rsidRPr="00E94239">
        <w:rPr>
          <w:rFonts w:ascii="Arial" w:hAnsi="Arial" w:cs="Arial"/>
          <w:b/>
          <w:sz w:val="24"/>
          <w:szCs w:val="24"/>
          <w:lang w:eastAsia="es-MX"/>
        </w:rPr>
        <w:t>infundado</w:t>
      </w:r>
      <w:r w:rsidRPr="00E94239">
        <w:rPr>
          <w:rFonts w:ascii="Arial" w:hAnsi="Arial" w:cs="Arial"/>
          <w:sz w:val="24"/>
          <w:szCs w:val="24"/>
          <w:lang w:eastAsia="es-MX"/>
        </w:rPr>
        <w:t>, toda vez que, como se ha señalado, la negativa de otorgar el permiso fue porque el documento exhibido por la persona moral solicitante no se encuentra fundado y motivado, por lo que no da certeza jurídica; dicha causa es la misma que refiere la autoridad demandada para confirmar la resolución recurrida, por lo que es evidente que se observó el principio de congruencia que le imponen los artículos 16 y 17 de la Constitución General de la República.</w:t>
      </w:r>
    </w:p>
    <w:p w:rsidR="001A3E98" w:rsidRPr="00E94239" w:rsidRDefault="001A3E98" w:rsidP="00DE6732">
      <w:pPr>
        <w:spacing w:before="120" w:after="120" w:line="360" w:lineRule="auto"/>
        <w:ind w:right="51" w:firstLine="709"/>
        <w:jc w:val="both"/>
        <w:rPr>
          <w:rFonts w:ascii="Arial" w:hAnsi="Arial" w:cs="Arial"/>
          <w:sz w:val="24"/>
          <w:szCs w:val="24"/>
          <w:lang w:eastAsia="es-MX"/>
        </w:rPr>
      </w:pPr>
    </w:p>
    <w:p w:rsidR="001A3E98" w:rsidRPr="00E94239" w:rsidRDefault="001A3E98"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Por lo que respecta a la valoración de la documental aportada por la recurrente, al señalar la autoridad demandada que la misma no beneficia a la recurrente, ello en modo alguno representa una violación al principio de congruencia, sino atiende a los principios de </w:t>
      </w:r>
      <w:r w:rsidR="00BA16DD" w:rsidRPr="00E94239">
        <w:rPr>
          <w:rFonts w:ascii="Arial" w:hAnsi="Arial" w:cs="Arial"/>
          <w:sz w:val="24"/>
          <w:szCs w:val="24"/>
          <w:lang w:eastAsia="es-MX"/>
        </w:rPr>
        <w:t>defensa, en su modalidad de valoración de prueba, y exhaustividad, en observancia a los artículos 14, 16 y 17 de la Constitución Federal.</w:t>
      </w:r>
    </w:p>
    <w:p w:rsidR="00BA16DD" w:rsidRPr="00E94239" w:rsidRDefault="00BA16DD" w:rsidP="00DE6732">
      <w:pPr>
        <w:spacing w:before="120" w:after="120" w:line="360" w:lineRule="auto"/>
        <w:ind w:right="51" w:firstLine="709"/>
        <w:jc w:val="both"/>
        <w:rPr>
          <w:rFonts w:ascii="Arial" w:hAnsi="Arial" w:cs="Arial"/>
          <w:sz w:val="24"/>
          <w:szCs w:val="24"/>
          <w:lang w:eastAsia="es-MX"/>
        </w:rPr>
      </w:pPr>
    </w:p>
    <w:p w:rsidR="00BA16DD" w:rsidRPr="00E94239" w:rsidRDefault="00BA16DD"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En cuanto a la causa por la cual le resta valor a la citada prueba, consistente en que la licencia de cambio de uso de suelo le fue expedida a una persona moral diversa a la recurrente, la parte actora no puede aducir que jamás tuvo conocimiento, pues fue la moral quejosa quien la aportó y, por lo tanto, tenía pleno conocimiento de su contenido y, por ende, que dicho documento le era ajeno y no podría beneficiar a sus pretensiones; por lo que, con su valoración no se le deja en estado de indefensión.</w:t>
      </w:r>
    </w:p>
    <w:p w:rsidR="00BA16DD" w:rsidRPr="00E94239" w:rsidRDefault="00BA16DD" w:rsidP="00DE6732">
      <w:pPr>
        <w:spacing w:before="120" w:after="120" w:line="360" w:lineRule="auto"/>
        <w:ind w:right="51" w:firstLine="709"/>
        <w:jc w:val="both"/>
        <w:rPr>
          <w:rFonts w:ascii="Arial" w:hAnsi="Arial" w:cs="Arial"/>
          <w:sz w:val="24"/>
          <w:szCs w:val="24"/>
          <w:lang w:eastAsia="es-MX"/>
        </w:rPr>
      </w:pPr>
    </w:p>
    <w:p w:rsidR="00BA16DD" w:rsidRPr="00E94239" w:rsidRDefault="00BA16DD"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Por lo tanto, la autoridad demandada no omitió analizar aspectos planteados por la parte recurrente ni rebasó el límite que el ejercicio del recurso de revisión le determina, ajustándose a lo dispuesto por el artículo 143 del Código Procesal para el Estado de San Luis Potosí, el cual </w:t>
      </w:r>
      <w:r w:rsidR="00E30AB1" w:rsidRPr="00E94239">
        <w:rPr>
          <w:rFonts w:ascii="Arial" w:hAnsi="Arial" w:cs="Arial"/>
          <w:sz w:val="24"/>
          <w:szCs w:val="24"/>
          <w:lang w:eastAsia="es-MX"/>
        </w:rPr>
        <w:t>i</w:t>
      </w:r>
      <w:r w:rsidRPr="00E94239">
        <w:rPr>
          <w:rFonts w:ascii="Arial" w:hAnsi="Arial" w:cs="Arial"/>
          <w:sz w:val="24"/>
          <w:szCs w:val="24"/>
          <w:lang w:eastAsia="es-MX"/>
        </w:rPr>
        <w:t>nclusive le reconoce a la autoridad resolutora la facultad de invocar hechos notorios</w:t>
      </w:r>
      <w:r w:rsidR="00E30AB1" w:rsidRPr="00E94239">
        <w:rPr>
          <w:rFonts w:ascii="Arial" w:hAnsi="Arial" w:cs="Arial"/>
          <w:sz w:val="24"/>
          <w:szCs w:val="24"/>
          <w:lang w:eastAsia="es-MX"/>
        </w:rPr>
        <w:t xml:space="preserve">, </w:t>
      </w:r>
      <w:r w:rsidR="00E30AB1" w:rsidRPr="00E94239">
        <w:rPr>
          <w:rFonts w:ascii="Arial" w:hAnsi="Arial" w:cs="Arial"/>
          <w:sz w:val="24"/>
          <w:szCs w:val="24"/>
          <w:lang w:eastAsia="es-MX"/>
        </w:rPr>
        <w:lastRenderedPageBreak/>
        <w:t>como lo representa el advertir que el documento exhibido no es una licencia de uso de suelo, sino una licencia de cambio de uso de suelo, o que éste se ha expedido a favor de una persona diversa la que lo presenta.</w:t>
      </w:r>
    </w:p>
    <w:p w:rsidR="00E30AB1" w:rsidRPr="00E94239" w:rsidRDefault="00E30AB1" w:rsidP="00DE6732">
      <w:pPr>
        <w:spacing w:before="120" w:after="120" w:line="360" w:lineRule="auto"/>
        <w:ind w:right="51" w:firstLine="709"/>
        <w:jc w:val="both"/>
        <w:rPr>
          <w:rFonts w:ascii="Arial" w:hAnsi="Arial" w:cs="Arial"/>
          <w:sz w:val="24"/>
          <w:szCs w:val="24"/>
          <w:lang w:eastAsia="es-MX"/>
        </w:rPr>
      </w:pPr>
    </w:p>
    <w:p w:rsidR="00E30AB1" w:rsidRPr="00E94239" w:rsidRDefault="00E30AB1"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Sostiene la parte actora reitera </w:t>
      </w:r>
      <w:r w:rsidR="002F27C9" w:rsidRPr="00E94239">
        <w:rPr>
          <w:rFonts w:ascii="Arial" w:hAnsi="Arial" w:cs="Arial"/>
          <w:sz w:val="24"/>
          <w:szCs w:val="24"/>
          <w:lang w:eastAsia="es-MX"/>
        </w:rPr>
        <w:t xml:space="preserve">en su concepto de impugnación </w:t>
      </w:r>
      <w:r w:rsidRPr="00E94239">
        <w:rPr>
          <w:rFonts w:ascii="Arial" w:hAnsi="Arial" w:cs="Arial"/>
          <w:sz w:val="24"/>
          <w:szCs w:val="24"/>
          <w:lang w:eastAsia="es-MX"/>
        </w:rPr>
        <w:t xml:space="preserve">argumentos que ya había planteado en su agravios contenidos en el escrito mediante el cual interpuso el recurso de revisión, como que se le impone una carga no contemplada en la ley y que no puede obligar a la autoridad municipal a expedir las licencias de uso de suelo conforme a la ley, por lo que los mismos resultan </w:t>
      </w:r>
      <w:r w:rsidRPr="00E94239">
        <w:rPr>
          <w:rFonts w:ascii="Arial" w:hAnsi="Arial" w:cs="Arial"/>
          <w:b/>
          <w:sz w:val="24"/>
          <w:szCs w:val="24"/>
          <w:lang w:eastAsia="es-MX"/>
        </w:rPr>
        <w:t>inoperantes</w:t>
      </w:r>
      <w:r w:rsidRPr="00E94239">
        <w:rPr>
          <w:rFonts w:ascii="Arial" w:hAnsi="Arial" w:cs="Arial"/>
          <w:sz w:val="24"/>
          <w:szCs w:val="24"/>
          <w:lang w:eastAsia="es-MX"/>
        </w:rPr>
        <w:t>.</w:t>
      </w:r>
    </w:p>
    <w:p w:rsidR="00E30AB1" w:rsidRPr="00E94239" w:rsidRDefault="00E30AB1" w:rsidP="00DE6732">
      <w:pPr>
        <w:spacing w:before="120" w:after="120" w:line="360" w:lineRule="auto"/>
        <w:ind w:right="51" w:firstLine="709"/>
        <w:jc w:val="both"/>
        <w:rPr>
          <w:rFonts w:ascii="Arial" w:hAnsi="Arial" w:cs="Arial"/>
          <w:sz w:val="24"/>
          <w:szCs w:val="24"/>
          <w:lang w:eastAsia="es-MX"/>
        </w:rPr>
      </w:pPr>
    </w:p>
    <w:p w:rsidR="00E30AB1" w:rsidRPr="00E94239" w:rsidRDefault="00E30AB1"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La parte actora en su concepto de impugnación refiere:</w:t>
      </w:r>
    </w:p>
    <w:p w:rsidR="002F27C9" w:rsidRPr="00E94239" w:rsidRDefault="002F27C9" w:rsidP="00DE6732">
      <w:pPr>
        <w:spacing w:before="120" w:after="120" w:line="360" w:lineRule="auto"/>
        <w:ind w:right="51" w:firstLine="709"/>
        <w:jc w:val="both"/>
        <w:rPr>
          <w:rFonts w:ascii="Arial" w:hAnsi="Arial" w:cs="Arial"/>
          <w:sz w:val="24"/>
          <w:szCs w:val="24"/>
          <w:lang w:eastAsia="es-MX"/>
        </w:rPr>
      </w:pPr>
    </w:p>
    <w:p w:rsidR="002F27C9" w:rsidRPr="00E94239" w:rsidRDefault="002F27C9" w:rsidP="002F27C9">
      <w:pPr>
        <w:spacing w:after="0" w:line="240" w:lineRule="auto"/>
        <w:ind w:left="567" w:right="616"/>
        <w:jc w:val="both"/>
        <w:rPr>
          <w:rFonts w:ascii="Arial" w:hAnsi="Arial" w:cs="Arial"/>
          <w:sz w:val="20"/>
          <w:szCs w:val="20"/>
        </w:rPr>
      </w:pPr>
      <w:r w:rsidRPr="00E94239">
        <w:rPr>
          <w:rFonts w:ascii="Arial" w:hAnsi="Arial" w:cs="Arial"/>
          <w:sz w:val="20"/>
          <w:szCs w:val="20"/>
        </w:rPr>
        <w:t>Con lo que respecta, al motivo señalado por la demandada, de que la licencia de uso de suelo aportada no cumple con los requisitos de ley, es necesario señalar que, para dar la negativa del permiso solicitado, tenemos que se encuentra imponiendo a mi mandante una carga que no se encuentra contemplada en la Ley de la materia, aunado a que, mi representada se encuentra imposibilitada material y jurídicamente para que la Dirección de Obras Públicas del municipio de Cerro de San Pedro modifique la manera en que expiden las licencias de uso suelo, ya que dicha circunstancia es facultad del citado Ayuntamiento.</w:t>
      </w:r>
    </w:p>
    <w:p w:rsidR="00606CA2" w:rsidRPr="00E94239" w:rsidRDefault="00606CA2" w:rsidP="002F27C9">
      <w:pPr>
        <w:spacing w:after="0" w:line="240" w:lineRule="auto"/>
        <w:ind w:left="567" w:right="616"/>
        <w:jc w:val="both"/>
        <w:rPr>
          <w:rFonts w:ascii="Arial" w:hAnsi="Arial" w:cs="Arial"/>
          <w:sz w:val="20"/>
          <w:szCs w:val="20"/>
        </w:rPr>
      </w:pPr>
    </w:p>
    <w:p w:rsidR="00606CA2" w:rsidRPr="00E94239" w:rsidRDefault="00606CA2" w:rsidP="00606CA2">
      <w:pPr>
        <w:spacing w:after="0" w:line="240" w:lineRule="auto"/>
        <w:ind w:left="567" w:right="616"/>
        <w:jc w:val="both"/>
        <w:rPr>
          <w:rFonts w:ascii="Arial" w:hAnsi="Arial" w:cs="Arial"/>
          <w:sz w:val="20"/>
          <w:szCs w:val="20"/>
        </w:rPr>
      </w:pPr>
      <w:r w:rsidRPr="00E94239">
        <w:rPr>
          <w:rFonts w:ascii="Arial" w:hAnsi="Arial" w:cs="Arial"/>
          <w:sz w:val="20"/>
          <w:szCs w:val="20"/>
        </w:rPr>
        <w:t>Derivado de lo señalado en párrafos anteriores, es necesario traer a colación el principio de derecho que señala "nadie está obligado a lo imposible”, el cual nos dice que nadie está obligado a cumplir con lo imposible, ya que, si la obligación se vuelve objetivamente imposible de cumplir, la obligación deberá de ser nula por la imposibilidad objetiva.</w:t>
      </w:r>
    </w:p>
    <w:p w:rsidR="00606CA2" w:rsidRPr="00E94239" w:rsidRDefault="00606CA2" w:rsidP="00606CA2">
      <w:pPr>
        <w:spacing w:after="0" w:line="240" w:lineRule="auto"/>
        <w:ind w:left="567" w:right="616"/>
        <w:jc w:val="both"/>
        <w:rPr>
          <w:rFonts w:ascii="Arial" w:hAnsi="Arial" w:cs="Arial"/>
          <w:sz w:val="20"/>
          <w:szCs w:val="20"/>
        </w:rPr>
      </w:pPr>
    </w:p>
    <w:p w:rsidR="00606CA2" w:rsidRPr="00E94239" w:rsidRDefault="00606CA2" w:rsidP="00606CA2">
      <w:pPr>
        <w:spacing w:after="0" w:line="240" w:lineRule="auto"/>
        <w:ind w:left="567" w:right="616"/>
        <w:jc w:val="both"/>
        <w:rPr>
          <w:rFonts w:ascii="Arial" w:hAnsi="Arial" w:cs="Arial"/>
          <w:sz w:val="20"/>
          <w:szCs w:val="20"/>
        </w:rPr>
      </w:pPr>
      <w:r w:rsidRPr="00E94239">
        <w:rPr>
          <w:rFonts w:ascii="Arial" w:hAnsi="Arial" w:cs="Arial"/>
          <w:sz w:val="20"/>
          <w:szCs w:val="20"/>
        </w:rPr>
        <w:t>Lo anterior, guarda relación con la resolución que se combate, pues tenemos que se nos niega el permiso por una causa totalmente ajena a mi mandante, pues está no puede obligar al municipio de Cerro de San Pedro que expida una licencia de uso suelo de manera distinta a como lo viene haciendo, pues se reitera que dicha circunstancia es facultad propia del municipio.</w:t>
      </w:r>
    </w:p>
    <w:p w:rsidR="00606CA2" w:rsidRPr="00E94239" w:rsidRDefault="00606CA2" w:rsidP="002F27C9">
      <w:pPr>
        <w:spacing w:after="0" w:line="240" w:lineRule="auto"/>
        <w:ind w:left="567" w:right="616"/>
        <w:jc w:val="both"/>
        <w:rPr>
          <w:rFonts w:ascii="Arial" w:hAnsi="Arial" w:cs="Arial"/>
          <w:sz w:val="20"/>
          <w:szCs w:val="20"/>
        </w:rPr>
      </w:pPr>
    </w:p>
    <w:p w:rsidR="002F27C9" w:rsidRPr="00E94239" w:rsidRDefault="002F27C9" w:rsidP="00DE6732">
      <w:pPr>
        <w:spacing w:before="120" w:after="120" w:line="360" w:lineRule="auto"/>
        <w:ind w:right="51" w:firstLine="709"/>
        <w:jc w:val="both"/>
        <w:rPr>
          <w:rFonts w:ascii="Arial" w:hAnsi="Arial" w:cs="Arial"/>
          <w:sz w:val="24"/>
          <w:szCs w:val="24"/>
          <w:lang w:eastAsia="es-MX"/>
        </w:rPr>
      </w:pPr>
    </w:p>
    <w:p w:rsidR="002F27C9" w:rsidRPr="00E94239" w:rsidRDefault="002F27C9" w:rsidP="00DE6732">
      <w:pPr>
        <w:spacing w:before="120" w:after="120" w:line="360" w:lineRule="auto"/>
        <w:ind w:right="51" w:firstLine="709"/>
        <w:jc w:val="both"/>
        <w:rPr>
          <w:rFonts w:ascii="Arial" w:hAnsi="Arial" w:cs="Arial"/>
          <w:sz w:val="24"/>
          <w:szCs w:val="24"/>
        </w:rPr>
      </w:pPr>
      <w:r w:rsidRPr="00E94239">
        <w:rPr>
          <w:rFonts w:ascii="Arial" w:hAnsi="Arial" w:cs="Arial"/>
          <w:sz w:val="24"/>
          <w:szCs w:val="24"/>
          <w:lang w:eastAsia="es-MX"/>
        </w:rPr>
        <w:t xml:space="preserve">Dicho concepto de impugnación deviene en </w:t>
      </w:r>
      <w:r w:rsidRPr="00E94239">
        <w:rPr>
          <w:rFonts w:ascii="Arial" w:hAnsi="Arial" w:cs="Arial"/>
          <w:b/>
          <w:sz w:val="24"/>
          <w:szCs w:val="24"/>
          <w:lang w:eastAsia="es-MX"/>
        </w:rPr>
        <w:t>infundado</w:t>
      </w:r>
      <w:r w:rsidRPr="00E94239">
        <w:rPr>
          <w:rFonts w:ascii="Arial" w:hAnsi="Arial" w:cs="Arial"/>
          <w:sz w:val="24"/>
          <w:szCs w:val="24"/>
          <w:lang w:eastAsia="es-MX"/>
        </w:rPr>
        <w:t xml:space="preserve">, toda vez que, no se le está imponiendo una carga que no se encuentre contemplada en la ley, pues, como se ha señalado, el artículo </w:t>
      </w:r>
      <w:r w:rsidRPr="00E94239">
        <w:rPr>
          <w:rFonts w:ascii="Arial" w:hAnsi="Arial" w:cs="Arial"/>
          <w:sz w:val="24"/>
          <w:szCs w:val="24"/>
        </w:rPr>
        <w:t xml:space="preserve">11, fracción IV, del Reglamento de la Ley Ambiental del Estado de San Luis Potosí en Materia de Prevención y Control de la Contaminación Ambiental, en relación con el artículo </w:t>
      </w:r>
      <w:r w:rsidRPr="00E94239">
        <w:rPr>
          <w:rFonts w:ascii="Arial" w:hAnsi="Arial" w:cs="Arial"/>
          <w:sz w:val="24"/>
          <w:szCs w:val="24"/>
          <w:lang w:eastAsia="es-MX"/>
        </w:rPr>
        <w:t xml:space="preserve">3º, fracción XXXVIII, de la Ley Ambiental del Estado de San Luis Potosí, </w:t>
      </w:r>
      <w:r w:rsidRPr="00E94239">
        <w:rPr>
          <w:rFonts w:ascii="Arial" w:hAnsi="Arial" w:cs="Arial"/>
          <w:sz w:val="24"/>
          <w:szCs w:val="24"/>
        </w:rPr>
        <w:t xml:space="preserve">los artículos 4º y 16 de la Constitución Política de los Estados Unidos Mexicanos, los artículos 164, fracción V, y 167, párrafo primero, del Código Procesal Administrativo para el Estado de San Luis Potosí, le imponen al </w:t>
      </w:r>
      <w:r w:rsidRPr="00E94239">
        <w:rPr>
          <w:rFonts w:ascii="Arial" w:hAnsi="Arial" w:cs="Arial"/>
          <w:sz w:val="24"/>
          <w:szCs w:val="24"/>
        </w:rPr>
        <w:lastRenderedPageBreak/>
        <w:t xml:space="preserve">solicitante de un permiso, la obligación de presentar un documento que contenga el permiso de uso de suelo, expedido por la autoridad municipal competente, fundado y motivado; lo </w:t>
      </w:r>
      <w:r w:rsidR="00606CA2" w:rsidRPr="00E94239">
        <w:rPr>
          <w:rFonts w:ascii="Arial" w:hAnsi="Arial" w:cs="Arial"/>
          <w:sz w:val="24"/>
          <w:szCs w:val="24"/>
        </w:rPr>
        <w:t>cual no aconteció en la especie, motivo por el cual se negó el permiso solicitado</w:t>
      </w:r>
    </w:p>
    <w:p w:rsidR="00606CA2" w:rsidRPr="00E94239" w:rsidRDefault="00606CA2" w:rsidP="00DE6732">
      <w:pPr>
        <w:spacing w:before="120" w:after="120" w:line="360" w:lineRule="auto"/>
        <w:ind w:right="51" w:firstLine="709"/>
        <w:jc w:val="both"/>
        <w:rPr>
          <w:rFonts w:ascii="Arial" w:hAnsi="Arial" w:cs="Arial"/>
          <w:sz w:val="24"/>
          <w:szCs w:val="24"/>
        </w:rPr>
      </w:pPr>
    </w:p>
    <w:p w:rsidR="00606CA2" w:rsidRPr="00E94239" w:rsidRDefault="00606CA2"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rPr>
        <w:t>Por otra parte, si bien es una facultad de las autoridades municipales expedir las licencias de uso de suelo, también lo es que la misma no es arbitraria, sino que debe observar los principios de fundamentación y motivación que el artículo 16 de la Carta Magna Nacional y el artículo 164, fracción V, del Código Procesal Administrativo para el Estado de San Luis Potosí, le imponen; por lo que el interesado que advierta que el citado acto administrativo no cumple con dichos elementos, está en aptitud de interponer en su contra los recursos ordinarios que prevé la ley, acudir al juicio de nulidad o promover juicio constitucional, a efecto de que la autoridad expida la licencia de uso de suelo conforme a derecho.   Sin que el ejercicio de dichos mecanismos constituya una carga excesiva o imposible de cumplir.</w:t>
      </w:r>
    </w:p>
    <w:p w:rsidR="00F550FB" w:rsidRPr="00E94239" w:rsidRDefault="00F550FB" w:rsidP="00DE6732">
      <w:pPr>
        <w:spacing w:before="120" w:after="120" w:line="360" w:lineRule="auto"/>
        <w:ind w:right="51" w:firstLine="709"/>
        <w:jc w:val="both"/>
        <w:rPr>
          <w:rFonts w:ascii="Arial" w:hAnsi="Arial" w:cs="Arial"/>
          <w:sz w:val="24"/>
          <w:szCs w:val="24"/>
          <w:lang w:eastAsia="es-MX"/>
        </w:rPr>
      </w:pPr>
    </w:p>
    <w:p w:rsidR="00606CA2" w:rsidRPr="00E94239" w:rsidRDefault="00DA3B08"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Sostiene la </w:t>
      </w:r>
      <w:r w:rsidR="001A412C" w:rsidRPr="00E94239">
        <w:rPr>
          <w:rFonts w:ascii="Arial" w:hAnsi="Arial" w:cs="Arial"/>
          <w:sz w:val="24"/>
          <w:szCs w:val="24"/>
          <w:lang w:eastAsia="es-MX"/>
        </w:rPr>
        <w:t>parte actora en su concepto de violación:</w:t>
      </w:r>
    </w:p>
    <w:p w:rsidR="001A412C" w:rsidRPr="00E94239" w:rsidRDefault="001A412C" w:rsidP="00DE6732">
      <w:pPr>
        <w:spacing w:before="120" w:after="120" w:line="360" w:lineRule="auto"/>
        <w:ind w:right="51" w:firstLine="709"/>
        <w:jc w:val="both"/>
        <w:rPr>
          <w:rFonts w:ascii="Arial" w:hAnsi="Arial" w:cs="Arial"/>
          <w:sz w:val="24"/>
          <w:szCs w:val="24"/>
          <w:lang w:eastAsia="es-MX"/>
        </w:rPr>
      </w:pPr>
    </w:p>
    <w:p w:rsidR="001A412C" w:rsidRPr="00E94239" w:rsidRDefault="001A412C" w:rsidP="001A412C">
      <w:pPr>
        <w:spacing w:after="0" w:line="240" w:lineRule="auto"/>
        <w:ind w:left="567" w:right="616"/>
        <w:jc w:val="both"/>
        <w:rPr>
          <w:rFonts w:ascii="Arial" w:hAnsi="Arial" w:cs="Arial"/>
          <w:sz w:val="20"/>
          <w:szCs w:val="20"/>
        </w:rPr>
      </w:pPr>
      <w:r w:rsidRPr="00E94239">
        <w:rPr>
          <w:rFonts w:ascii="Arial" w:hAnsi="Arial" w:cs="Arial"/>
          <w:sz w:val="20"/>
          <w:szCs w:val="20"/>
        </w:rPr>
        <w:t>Sin que pase desapercibido, que la licencia de uso suelo que se aportó en expediente administrativo data del 2018, de igual manera, se aportó a ese procedimiento (y a esta demanda) la licencia de uso de suelo de fecha 28 de enero de 2024, donde esta Tribunal podrá constatar que el municipio sigue expidiendo las licencias de uso de suelo de la misma manera que hace cinco años.</w:t>
      </w:r>
    </w:p>
    <w:p w:rsidR="001A412C" w:rsidRPr="00E94239" w:rsidRDefault="001A412C" w:rsidP="00DE6732">
      <w:pPr>
        <w:spacing w:before="120" w:after="120" w:line="360" w:lineRule="auto"/>
        <w:ind w:right="51" w:firstLine="709"/>
        <w:jc w:val="both"/>
        <w:rPr>
          <w:rFonts w:ascii="Arial" w:hAnsi="Arial" w:cs="Arial"/>
          <w:sz w:val="24"/>
          <w:szCs w:val="24"/>
          <w:lang w:eastAsia="es-MX"/>
        </w:rPr>
      </w:pPr>
    </w:p>
    <w:p w:rsidR="001A412C" w:rsidRPr="00E94239" w:rsidRDefault="00CE6F29"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Por lo que respecta a la prueba documental consistente en copia simple del </w:t>
      </w:r>
      <w:r w:rsidRPr="001361BF">
        <w:rPr>
          <w:rFonts w:ascii="Arial" w:hAnsi="Arial" w:cs="Arial"/>
          <w:sz w:val="24"/>
          <w:szCs w:val="24"/>
          <w:lang w:eastAsia="es-MX"/>
        </w:rPr>
        <w:t xml:space="preserve">oficio HACSP-DOP-011/2024, de fecha 28 de enero de 2025, expedida por el C. CESAREO OJEDA OROZCO, en su </w:t>
      </w:r>
      <w:r w:rsidRPr="00E94239">
        <w:rPr>
          <w:rFonts w:ascii="Arial" w:hAnsi="Arial" w:cs="Arial"/>
          <w:sz w:val="24"/>
          <w:szCs w:val="24"/>
          <w:lang w:eastAsia="es-MX"/>
        </w:rPr>
        <w:t xml:space="preserve">carácter de encargado de Obras Públicas, la cual obra a foja 50 de este sumario, no se le otorga valor probatorio alguno, en virtud de que, además de tratarse de una copia fotostática, de su contenido se advierte que no se encuentra fundado y motivado, por lo que no existe certeza de que haya sido expedida por un servidor público en ejercicio de sus funciones, como lo requiere el artículo 91 del Código Procesal </w:t>
      </w:r>
      <w:r w:rsidR="000907DF" w:rsidRPr="00E94239">
        <w:rPr>
          <w:rFonts w:ascii="Arial" w:hAnsi="Arial" w:cs="Arial"/>
          <w:sz w:val="24"/>
          <w:szCs w:val="24"/>
          <w:lang w:eastAsia="es-MX"/>
        </w:rPr>
        <w:t>Administrativo</w:t>
      </w:r>
      <w:r w:rsidRPr="00E94239">
        <w:rPr>
          <w:rFonts w:ascii="Arial" w:hAnsi="Arial" w:cs="Arial"/>
          <w:sz w:val="24"/>
          <w:szCs w:val="24"/>
          <w:lang w:eastAsia="es-MX"/>
        </w:rPr>
        <w:t xml:space="preserve"> para el Estado de San Luis Potosí, ni para esta Sala </w:t>
      </w:r>
      <w:r w:rsidR="000907DF" w:rsidRPr="00E94239">
        <w:rPr>
          <w:rFonts w:ascii="Arial" w:hAnsi="Arial" w:cs="Arial"/>
          <w:sz w:val="24"/>
          <w:szCs w:val="24"/>
          <w:lang w:eastAsia="es-MX"/>
        </w:rPr>
        <w:t>Unitaria</w:t>
      </w:r>
      <w:r w:rsidRPr="00E94239">
        <w:rPr>
          <w:rFonts w:ascii="Arial" w:hAnsi="Arial" w:cs="Arial"/>
          <w:sz w:val="24"/>
          <w:szCs w:val="24"/>
          <w:lang w:eastAsia="es-MX"/>
        </w:rPr>
        <w:t xml:space="preserve"> le resulta fiable</w:t>
      </w:r>
      <w:r w:rsidR="000907DF" w:rsidRPr="00E94239">
        <w:rPr>
          <w:rFonts w:ascii="Arial" w:hAnsi="Arial" w:cs="Arial"/>
          <w:sz w:val="24"/>
          <w:szCs w:val="24"/>
          <w:lang w:eastAsia="es-MX"/>
        </w:rPr>
        <w:t xml:space="preserve"> y coherente, por lo que no satisface los extremos de los artículos 74 y 75 del Código Procesal en cita, </w:t>
      </w:r>
      <w:r w:rsidR="000907DF" w:rsidRPr="00E94239">
        <w:rPr>
          <w:rFonts w:ascii="Arial" w:hAnsi="Arial" w:cs="Arial"/>
          <w:sz w:val="24"/>
          <w:szCs w:val="24"/>
          <w:lang w:eastAsia="es-MX"/>
        </w:rPr>
        <w:lastRenderedPageBreak/>
        <w:t xml:space="preserve">aunado a que al aparecer que fue expedida a </w:t>
      </w:r>
      <w:r w:rsidR="00E00248">
        <w:rPr>
          <w:rFonts w:ascii="Arial" w:hAnsi="Arial" w:cs="Arial"/>
          <w:color w:val="FF0000"/>
          <w:sz w:val="24"/>
          <w:szCs w:val="24"/>
          <w:lang w:eastAsia="es-MX"/>
        </w:rPr>
        <w:t>**********</w:t>
      </w:r>
      <w:r w:rsidR="000907DF" w:rsidRPr="00E94239">
        <w:rPr>
          <w:rFonts w:ascii="Arial" w:hAnsi="Arial" w:cs="Arial"/>
          <w:sz w:val="24"/>
          <w:szCs w:val="24"/>
          <w:lang w:eastAsia="es-MX"/>
        </w:rPr>
        <w:t>, persona moral ajena a este juicio, dicha prueba resulta impertinente para los fines de este procedimiento; y en todo caso, lo único que acreditaría es que a la persona moral que menciona se le expidió dicho documento, más no así que el citado municipio “</w:t>
      </w:r>
      <w:r w:rsidR="000907DF" w:rsidRPr="00E94239">
        <w:rPr>
          <w:rFonts w:ascii="Arial" w:hAnsi="Arial" w:cs="Arial"/>
          <w:i/>
          <w:sz w:val="24"/>
          <w:szCs w:val="24"/>
          <w:lang w:eastAsia="es-MX"/>
        </w:rPr>
        <w:t>sigue expidiendo las licencias de uso de suelo de la misma manera que hace cinco años</w:t>
      </w:r>
      <w:r w:rsidR="000907DF" w:rsidRPr="00E94239">
        <w:rPr>
          <w:rFonts w:ascii="Arial" w:hAnsi="Arial" w:cs="Arial"/>
          <w:sz w:val="24"/>
          <w:szCs w:val="24"/>
          <w:lang w:eastAsia="es-MX"/>
        </w:rPr>
        <w:t>”, pues no es un medio idóneo para ello.</w:t>
      </w:r>
    </w:p>
    <w:p w:rsidR="000907DF" w:rsidRPr="00E94239" w:rsidRDefault="000907DF" w:rsidP="00DE6732">
      <w:pPr>
        <w:spacing w:before="120" w:after="120" w:line="360" w:lineRule="auto"/>
        <w:ind w:right="51" w:firstLine="709"/>
        <w:jc w:val="both"/>
        <w:rPr>
          <w:rFonts w:ascii="Arial" w:hAnsi="Arial" w:cs="Arial"/>
          <w:sz w:val="24"/>
          <w:szCs w:val="24"/>
          <w:lang w:eastAsia="es-MX"/>
        </w:rPr>
      </w:pPr>
    </w:p>
    <w:p w:rsidR="000907DF" w:rsidRPr="00E94239" w:rsidRDefault="000907DF"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Prosigue la parte actora en su concepto de impugnación:</w:t>
      </w:r>
    </w:p>
    <w:p w:rsidR="000907DF" w:rsidRPr="00E94239" w:rsidRDefault="000907DF" w:rsidP="00DE6732">
      <w:pPr>
        <w:spacing w:before="120" w:after="120" w:line="360" w:lineRule="auto"/>
        <w:ind w:right="51" w:firstLine="709"/>
        <w:jc w:val="both"/>
        <w:rPr>
          <w:rFonts w:ascii="Arial" w:hAnsi="Arial" w:cs="Arial"/>
          <w:sz w:val="24"/>
          <w:szCs w:val="24"/>
          <w:lang w:eastAsia="es-MX"/>
        </w:rPr>
      </w:pPr>
    </w:p>
    <w:p w:rsidR="000907DF" w:rsidRPr="00E94239" w:rsidRDefault="000907DF" w:rsidP="000907DF">
      <w:pPr>
        <w:spacing w:after="0" w:line="240" w:lineRule="auto"/>
        <w:ind w:left="567" w:right="616"/>
        <w:jc w:val="both"/>
        <w:rPr>
          <w:rFonts w:ascii="Arial" w:hAnsi="Arial" w:cs="Arial"/>
          <w:sz w:val="20"/>
          <w:szCs w:val="20"/>
        </w:rPr>
      </w:pPr>
      <w:r w:rsidRPr="00E94239">
        <w:rPr>
          <w:rFonts w:ascii="Arial" w:hAnsi="Arial" w:cs="Arial"/>
          <w:sz w:val="20"/>
          <w:szCs w:val="20"/>
        </w:rPr>
        <w:t>Ahora bien, conforme al criterio emitido por la demanda, estamos ante el supuesto que ningún trámite que se necesite la licencia de uso de suelo del municipio de Cerro de San Pedro se le podrá acordar de conformidad su solicitud, por dicha omisión del municipio, lo que conlleva que no solamente se estén afectando derechos de particulares, sino de toda una colectividad de derechos, lo que ocasiona que nos encontremos ante un flagrante violación a los derechos humanos de los gobernados a su derecho de petición y de cumplimiento a las normativas (ambientales en este caso), y aun en un caso más extremo, nos encontramos que se paralice todo un bloque económico que causaría no solo perjuicio al gobernado afectado directamente sino a toda la población que integra el Estado, ya entraríamos en un bucle interminable de rechazos de permisos por una situación que no le compete al gobernado, sino que, al mismo gobierno que en este caso sería el municipio de Cerro de San Pedro.</w:t>
      </w:r>
    </w:p>
    <w:p w:rsidR="000907DF" w:rsidRPr="00E94239" w:rsidRDefault="000907DF" w:rsidP="00DE6732">
      <w:pPr>
        <w:spacing w:before="120" w:after="120" w:line="360" w:lineRule="auto"/>
        <w:ind w:right="51" w:firstLine="709"/>
        <w:jc w:val="both"/>
        <w:rPr>
          <w:rFonts w:ascii="Arial" w:hAnsi="Arial" w:cs="Arial"/>
          <w:sz w:val="24"/>
          <w:szCs w:val="24"/>
          <w:lang w:eastAsia="es-MX"/>
        </w:rPr>
      </w:pPr>
    </w:p>
    <w:p w:rsidR="000907DF" w:rsidRPr="00E94239" w:rsidRDefault="000907DF"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 xml:space="preserve">Dicho concepto de impugnación deviene </w:t>
      </w:r>
      <w:r w:rsidRPr="00E94239">
        <w:rPr>
          <w:rFonts w:ascii="Arial" w:hAnsi="Arial" w:cs="Arial"/>
          <w:b/>
          <w:sz w:val="24"/>
          <w:szCs w:val="24"/>
          <w:lang w:eastAsia="es-MX"/>
        </w:rPr>
        <w:t>inatendible</w:t>
      </w:r>
      <w:r w:rsidRPr="00E94239">
        <w:rPr>
          <w:rFonts w:ascii="Arial" w:hAnsi="Arial" w:cs="Arial"/>
          <w:sz w:val="24"/>
          <w:szCs w:val="24"/>
          <w:lang w:eastAsia="es-MX"/>
        </w:rPr>
        <w:t>, ya que se trata de una mera argumentación carente de prueba objetiva alguna, puesto que no aportó al juicio medio probatorio que acredite sus aseveracion</w:t>
      </w:r>
      <w:r w:rsidR="00D23A81" w:rsidRPr="00E94239">
        <w:rPr>
          <w:rFonts w:ascii="Arial" w:hAnsi="Arial" w:cs="Arial"/>
          <w:sz w:val="24"/>
          <w:szCs w:val="24"/>
          <w:lang w:eastAsia="es-MX"/>
        </w:rPr>
        <w:t>es.</w:t>
      </w:r>
    </w:p>
    <w:p w:rsidR="00D23A81" w:rsidRPr="00E94239" w:rsidRDefault="00D23A81" w:rsidP="00DE6732">
      <w:pPr>
        <w:spacing w:before="120" w:after="120" w:line="360" w:lineRule="auto"/>
        <w:ind w:right="51" w:firstLine="709"/>
        <w:jc w:val="both"/>
        <w:rPr>
          <w:rFonts w:ascii="Arial" w:hAnsi="Arial" w:cs="Arial"/>
          <w:sz w:val="24"/>
          <w:szCs w:val="24"/>
          <w:lang w:eastAsia="es-MX"/>
        </w:rPr>
      </w:pPr>
    </w:p>
    <w:p w:rsidR="00D23A81" w:rsidRPr="00E94239" w:rsidRDefault="00D23A81"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Señala la parte actora en su concepto de impugnación:</w:t>
      </w:r>
    </w:p>
    <w:p w:rsidR="00D23A81" w:rsidRPr="00E94239" w:rsidRDefault="00D23A81" w:rsidP="00DE6732">
      <w:pPr>
        <w:spacing w:before="120" w:after="120" w:line="360" w:lineRule="auto"/>
        <w:ind w:right="51" w:firstLine="709"/>
        <w:jc w:val="both"/>
        <w:rPr>
          <w:rFonts w:ascii="Arial" w:hAnsi="Arial" w:cs="Arial"/>
          <w:sz w:val="24"/>
          <w:szCs w:val="24"/>
          <w:lang w:eastAsia="es-MX"/>
        </w:rPr>
      </w:pPr>
    </w:p>
    <w:p w:rsidR="00D23A81" w:rsidRPr="00E94239" w:rsidRDefault="00D23A81" w:rsidP="00D23A81">
      <w:pPr>
        <w:spacing w:after="0" w:line="240" w:lineRule="auto"/>
        <w:ind w:left="567" w:right="616"/>
        <w:jc w:val="both"/>
        <w:rPr>
          <w:rFonts w:ascii="Arial" w:hAnsi="Arial" w:cs="Arial"/>
          <w:sz w:val="20"/>
          <w:szCs w:val="20"/>
          <w:lang w:eastAsia="es-MX"/>
        </w:rPr>
      </w:pPr>
      <w:r w:rsidRPr="00E94239">
        <w:rPr>
          <w:rFonts w:ascii="Arial" w:hAnsi="Arial" w:cs="Arial"/>
          <w:sz w:val="20"/>
          <w:szCs w:val="20"/>
        </w:rPr>
        <w:t xml:space="preserve">Reiterando que, la resolución que se combate es carente de motivación objetiva para confirmar la resolución donde niegan el permiso debidamente solicitado, debido a que, mi mandante dio cabal </w:t>
      </w:r>
      <w:proofErr w:type="spellStart"/>
      <w:r w:rsidRPr="00E94239">
        <w:rPr>
          <w:rFonts w:ascii="Arial" w:hAnsi="Arial" w:cs="Arial"/>
          <w:sz w:val="20"/>
          <w:szCs w:val="20"/>
        </w:rPr>
        <w:t>cumplimento</w:t>
      </w:r>
      <w:proofErr w:type="spellEnd"/>
      <w:r w:rsidRPr="00E94239">
        <w:rPr>
          <w:rFonts w:ascii="Arial" w:hAnsi="Arial" w:cs="Arial"/>
          <w:sz w:val="20"/>
          <w:szCs w:val="20"/>
        </w:rPr>
        <w:t xml:space="preserve"> a lo dispuesto en la legislación de la materia al exhibir la licencia de uso suelo </w:t>
      </w:r>
      <w:proofErr w:type="gramStart"/>
      <w:r w:rsidRPr="00E94239">
        <w:rPr>
          <w:rFonts w:ascii="Arial" w:hAnsi="Arial" w:cs="Arial"/>
          <w:sz w:val="20"/>
          <w:szCs w:val="20"/>
        </w:rPr>
        <w:t>requerida</w:t>
      </w:r>
      <w:proofErr w:type="gramEnd"/>
      <w:r w:rsidRPr="00E94239">
        <w:rPr>
          <w:rFonts w:ascii="Arial" w:hAnsi="Arial" w:cs="Arial"/>
          <w:sz w:val="20"/>
          <w:szCs w:val="20"/>
        </w:rPr>
        <w:t>. Sin que pase desapercibido, lo señalado por la demandada de que la licencia de uso de suelo no cumple con lo necesario, pero cómo se señaló en párrafos anteriores la expedición de dicha licencia compete al municipio, por lo que, no puede obligar a mi mandante a cumplir con un requisito que es imposible de realizar, y como este Tribunal podrá advertir la demandada se encuentra imponiendo a mi mandante una carga imposible.</w:t>
      </w:r>
    </w:p>
    <w:p w:rsidR="00D23A81" w:rsidRPr="00E94239" w:rsidRDefault="00D23A81" w:rsidP="00DE6732">
      <w:pPr>
        <w:spacing w:before="120" w:after="120" w:line="360" w:lineRule="auto"/>
        <w:ind w:right="51" w:firstLine="709"/>
        <w:jc w:val="both"/>
        <w:rPr>
          <w:rFonts w:ascii="Arial" w:hAnsi="Arial" w:cs="Arial"/>
          <w:sz w:val="24"/>
          <w:szCs w:val="24"/>
          <w:lang w:eastAsia="es-MX"/>
        </w:rPr>
      </w:pPr>
    </w:p>
    <w:p w:rsidR="000907DF" w:rsidRPr="00E94239" w:rsidRDefault="00D23A81" w:rsidP="00DE6732">
      <w:pPr>
        <w:spacing w:before="120" w:after="120" w:line="360" w:lineRule="auto"/>
        <w:ind w:right="51" w:firstLine="709"/>
        <w:jc w:val="both"/>
        <w:rPr>
          <w:rFonts w:ascii="Arial" w:hAnsi="Arial" w:cs="Arial"/>
          <w:sz w:val="24"/>
          <w:szCs w:val="24"/>
        </w:rPr>
      </w:pPr>
      <w:r w:rsidRPr="00E94239">
        <w:rPr>
          <w:rFonts w:ascii="Arial" w:hAnsi="Arial" w:cs="Arial"/>
          <w:sz w:val="24"/>
          <w:szCs w:val="24"/>
          <w:lang w:eastAsia="es-MX"/>
        </w:rPr>
        <w:t xml:space="preserve">Dicho concepto de impugnación deviene en </w:t>
      </w:r>
      <w:r w:rsidRPr="00E94239">
        <w:rPr>
          <w:rFonts w:ascii="Arial" w:hAnsi="Arial" w:cs="Arial"/>
          <w:b/>
          <w:sz w:val="24"/>
          <w:szCs w:val="24"/>
          <w:lang w:eastAsia="es-MX"/>
        </w:rPr>
        <w:t>infundado</w:t>
      </w:r>
      <w:r w:rsidRPr="00E94239">
        <w:rPr>
          <w:rFonts w:ascii="Arial" w:hAnsi="Arial" w:cs="Arial"/>
          <w:sz w:val="24"/>
          <w:szCs w:val="24"/>
          <w:lang w:eastAsia="es-MX"/>
        </w:rPr>
        <w:t xml:space="preserve">, toda vez que, si como refiere la propia parte actora, </w:t>
      </w:r>
      <w:r w:rsidR="00A72077" w:rsidRPr="00E94239">
        <w:rPr>
          <w:rFonts w:ascii="Arial" w:hAnsi="Arial" w:cs="Arial"/>
          <w:sz w:val="24"/>
          <w:szCs w:val="24"/>
          <w:lang w:eastAsia="es-MX"/>
        </w:rPr>
        <w:t xml:space="preserve">la licencia de uso de suelo no cumple con los elementos que todo acto administrativo debe contener, como estar fundado y motivado, y se expedida por una autoridad municipal competente </w:t>
      </w:r>
      <w:r w:rsidR="00A72077" w:rsidRPr="00E94239">
        <w:rPr>
          <w:rFonts w:ascii="Arial" w:hAnsi="Arial" w:cs="Arial"/>
          <w:sz w:val="24"/>
          <w:szCs w:val="24"/>
          <w:lang w:eastAsia="es-MX"/>
        </w:rPr>
        <w:lastRenderedPageBreak/>
        <w:t xml:space="preserve">como lo exige la ley, el documento exhibido no resultaba apto para tener por cumplido el requerimiento que le fue hecho ni satisface lo exigido por el artículo </w:t>
      </w:r>
      <w:r w:rsidR="00A72077" w:rsidRPr="00E94239">
        <w:rPr>
          <w:rFonts w:ascii="Arial" w:hAnsi="Arial" w:cs="Arial"/>
          <w:sz w:val="24"/>
          <w:szCs w:val="24"/>
        </w:rPr>
        <w:t xml:space="preserve">11, fracción IV, del Reglamento de la Ley Ambiental del Estado de San Luis Potosí en Materia de Prevención y Control de la Contaminación Ambiental, en relación con el artículo </w:t>
      </w:r>
      <w:r w:rsidR="00A72077" w:rsidRPr="00E94239">
        <w:rPr>
          <w:rFonts w:ascii="Arial" w:hAnsi="Arial" w:cs="Arial"/>
          <w:sz w:val="24"/>
          <w:szCs w:val="24"/>
          <w:lang w:eastAsia="es-MX"/>
        </w:rPr>
        <w:t xml:space="preserve">3º, fracción XXXVIII, de la Ley Ambiental del Estado de San Luis Potosí, </w:t>
      </w:r>
      <w:r w:rsidR="00A72077" w:rsidRPr="00E94239">
        <w:rPr>
          <w:rFonts w:ascii="Arial" w:hAnsi="Arial" w:cs="Arial"/>
          <w:sz w:val="24"/>
          <w:szCs w:val="24"/>
        </w:rPr>
        <w:t>los artículos 4º y 16 de la Constitución Política de los Estados Unidos Mexicanos, los artículos 164, fracción V, y 167, párrafo primero, del Código Procesal Administrativo para el Estado de San Luis Potosí.   Sin que la exigencia legal de que el solicitante presente una licencia de uso de suelo expedida por autoridad municipal competente, fundada y motivada, sea un requisito imposible de cumplir, al contar el interesado con la aptitud de activar los mecanismos legales de defensa para que la autoridad municipal expida un documento ajustado a derecho.</w:t>
      </w:r>
    </w:p>
    <w:p w:rsidR="00A72077" w:rsidRPr="00E94239" w:rsidRDefault="00A72077" w:rsidP="00DE6732">
      <w:pPr>
        <w:spacing w:before="120" w:after="120" w:line="360" w:lineRule="auto"/>
        <w:ind w:right="51" w:firstLine="709"/>
        <w:jc w:val="both"/>
        <w:rPr>
          <w:rFonts w:ascii="Arial" w:hAnsi="Arial" w:cs="Arial"/>
          <w:sz w:val="24"/>
          <w:szCs w:val="24"/>
        </w:rPr>
      </w:pPr>
    </w:p>
    <w:p w:rsidR="00A72077" w:rsidRPr="00E94239" w:rsidRDefault="00E94239" w:rsidP="00DE6732">
      <w:pPr>
        <w:spacing w:before="120" w:after="120" w:line="360" w:lineRule="auto"/>
        <w:ind w:right="51" w:firstLine="709"/>
        <w:jc w:val="both"/>
        <w:rPr>
          <w:rFonts w:ascii="Arial" w:hAnsi="Arial" w:cs="Arial"/>
          <w:sz w:val="24"/>
          <w:szCs w:val="24"/>
          <w:lang w:eastAsia="es-MX"/>
        </w:rPr>
      </w:pPr>
      <w:r w:rsidRPr="00E94239">
        <w:rPr>
          <w:rFonts w:ascii="Arial" w:hAnsi="Arial" w:cs="Arial"/>
          <w:sz w:val="24"/>
          <w:szCs w:val="24"/>
          <w:lang w:eastAsia="es-MX"/>
        </w:rPr>
        <w:t>A continuación la parte actora señala:</w:t>
      </w:r>
    </w:p>
    <w:p w:rsidR="00E94239" w:rsidRPr="00E94239" w:rsidRDefault="00E94239" w:rsidP="00DE6732">
      <w:pPr>
        <w:spacing w:before="120" w:after="120" w:line="360" w:lineRule="auto"/>
        <w:ind w:right="51" w:firstLine="709"/>
        <w:jc w:val="both"/>
        <w:rPr>
          <w:rFonts w:ascii="Arial" w:hAnsi="Arial" w:cs="Arial"/>
          <w:sz w:val="24"/>
          <w:szCs w:val="24"/>
          <w:lang w:eastAsia="es-MX"/>
        </w:rPr>
      </w:pPr>
    </w:p>
    <w:p w:rsidR="00E94239" w:rsidRPr="00E94239" w:rsidRDefault="00E94239" w:rsidP="00E94239">
      <w:pPr>
        <w:spacing w:after="0" w:line="240" w:lineRule="auto"/>
        <w:ind w:left="567" w:right="616"/>
        <w:jc w:val="both"/>
        <w:rPr>
          <w:rFonts w:ascii="Arial" w:hAnsi="Arial" w:cs="Arial"/>
          <w:sz w:val="20"/>
          <w:szCs w:val="20"/>
        </w:rPr>
      </w:pPr>
      <w:r w:rsidRPr="00E94239">
        <w:rPr>
          <w:rFonts w:ascii="Arial" w:hAnsi="Arial" w:cs="Arial"/>
          <w:sz w:val="20"/>
          <w:szCs w:val="20"/>
        </w:rPr>
        <w:t>[…] Y en relación con lo señalado a que la licencia de uso de suelo se encuentra otorgada a favor de diversa persona moral, y que, debido a dicha circunstancia, no se puede otorgar el permiso correspondiente, fundando dicha determinación en los artículos 275 y 277 de la Ley de Ordenamiento Territorial y Desarrollo Urbano del Estado de San Luis Potosí, circunstancia que es totalmente errónea e ilegal por parte de la demandada […]</w:t>
      </w:r>
    </w:p>
    <w:p w:rsidR="00E94239" w:rsidRPr="00E94239" w:rsidRDefault="00E94239" w:rsidP="00DE6732">
      <w:pPr>
        <w:spacing w:before="120" w:after="120" w:line="360" w:lineRule="auto"/>
        <w:ind w:right="51" w:firstLine="709"/>
        <w:jc w:val="both"/>
        <w:rPr>
          <w:rFonts w:ascii="Arial" w:hAnsi="Arial" w:cs="Arial"/>
          <w:sz w:val="24"/>
          <w:szCs w:val="24"/>
          <w:lang w:eastAsia="es-MX"/>
        </w:rPr>
      </w:pPr>
    </w:p>
    <w:p w:rsidR="00E94239" w:rsidRDefault="00E94239" w:rsidP="00DE6732">
      <w:pPr>
        <w:spacing w:before="120" w:after="120" w:line="360" w:lineRule="auto"/>
        <w:ind w:right="51" w:firstLine="709"/>
        <w:jc w:val="both"/>
        <w:rPr>
          <w:rFonts w:ascii="Arial" w:hAnsi="Arial" w:cs="Arial"/>
          <w:sz w:val="24"/>
          <w:szCs w:val="24"/>
        </w:rPr>
      </w:pPr>
      <w:r w:rsidRPr="00E94239">
        <w:rPr>
          <w:rFonts w:ascii="Arial" w:hAnsi="Arial" w:cs="Arial"/>
          <w:sz w:val="24"/>
          <w:szCs w:val="24"/>
          <w:lang w:eastAsia="es-MX"/>
        </w:rPr>
        <w:t xml:space="preserve">Cabe señalar al </w:t>
      </w:r>
      <w:r>
        <w:rPr>
          <w:rFonts w:ascii="Arial" w:hAnsi="Arial" w:cs="Arial"/>
          <w:sz w:val="24"/>
          <w:szCs w:val="24"/>
          <w:lang w:eastAsia="es-MX"/>
        </w:rPr>
        <w:t xml:space="preserve">accionante que, los artículos 275 y 277 de la Ley de Ordenamiento Territorial y Desarrollo Urbano sí resultan aplicables en tratándose de la licencia de uso de suelo, pues dicha ley regula </w:t>
      </w:r>
      <w:r w:rsidR="00144F76">
        <w:rPr>
          <w:rFonts w:ascii="Arial" w:hAnsi="Arial" w:cs="Arial"/>
          <w:sz w:val="24"/>
          <w:szCs w:val="24"/>
          <w:lang w:eastAsia="es-MX"/>
        </w:rPr>
        <w:t>la naturaleza y objeto de dicho documento; por lo que los citados preceptos deben relacionarse de manera sistemática y armónica con los artículos 11</w:t>
      </w:r>
      <w:r w:rsidR="00144F76" w:rsidRPr="00E94239">
        <w:rPr>
          <w:rFonts w:ascii="Arial" w:hAnsi="Arial" w:cs="Arial"/>
          <w:sz w:val="24"/>
          <w:szCs w:val="24"/>
        </w:rPr>
        <w:t>, fracción IV, del Reglamento de la Ley Ambiental del Estado de San Luis Potosí en Materia de Prevención y Control</w:t>
      </w:r>
      <w:r w:rsidR="00144F76">
        <w:rPr>
          <w:rFonts w:ascii="Arial" w:hAnsi="Arial" w:cs="Arial"/>
          <w:sz w:val="24"/>
          <w:szCs w:val="24"/>
        </w:rPr>
        <w:t xml:space="preserve"> de la Contaminación Ambiental; </w:t>
      </w:r>
      <w:r w:rsidR="00144F76" w:rsidRPr="00E94239">
        <w:rPr>
          <w:rFonts w:ascii="Arial" w:hAnsi="Arial" w:cs="Arial"/>
          <w:sz w:val="24"/>
          <w:szCs w:val="24"/>
          <w:lang w:eastAsia="es-MX"/>
        </w:rPr>
        <w:t>3º, fracción XXXVIII, de la Ley Ambienta</w:t>
      </w:r>
      <w:r w:rsidR="00144F76">
        <w:rPr>
          <w:rFonts w:ascii="Arial" w:hAnsi="Arial" w:cs="Arial"/>
          <w:sz w:val="24"/>
          <w:szCs w:val="24"/>
          <w:lang w:eastAsia="es-MX"/>
        </w:rPr>
        <w:t>l del Estado de San Luis Potosí;</w:t>
      </w:r>
      <w:r w:rsidR="00144F76" w:rsidRPr="00E94239">
        <w:rPr>
          <w:rFonts w:ascii="Arial" w:hAnsi="Arial" w:cs="Arial"/>
          <w:sz w:val="24"/>
          <w:szCs w:val="24"/>
        </w:rPr>
        <w:t xml:space="preserve"> 4º y 16 de la Constitución Política de los Estados Unidos Mexicanos, </w:t>
      </w:r>
      <w:r w:rsidR="00144F76">
        <w:rPr>
          <w:rFonts w:ascii="Arial" w:hAnsi="Arial" w:cs="Arial"/>
          <w:sz w:val="24"/>
          <w:szCs w:val="24"/>
        </w:rPr>
        <w:t>y;</w:t>
      </w:r>
      <w:r w:rsidR="00144F76" w:rsidRPr="00E94239">
        <w:rPr>
          <w:rFonts w:ascii="Arial" w:hAnsi="Arial" w:cs="Arial"/>
          <w:sz w:val="24"/>
          <w:szCs w:val="24"/>
        </w:rPr>
        <w:t xml:space="preserve"> 164, fracción V, y 167, párrafo primero, del Código Procesal Administrativo para el Estado de San Luis Potosí</w:t>
      </w:r>
      <w:r w:rsidR="00144F76">
        <w:rPr>
          <w:rFonts w:ascii="Arial" w:hAnsi="Arial" w:cs="Arial"/>
          <w:sz w:val="24"/>
          <w:szCs w:val="24"/>
        </w:rPr>
        <w:t>.</w:t>
      </w:r>
    </w:p>
    <w:p w:rsidR="00144F76" w:rsidRDefault="00144F76" w:rsidP="00DE6732">
      <w:pPr>
        <w:spacing w:before="120" w:after="120" w:line="360" w:lineRule="auto"/>
        <w:ind w:right="51" w:firstLine="709"/>
        <w:jc w:val="both"/>
        <w:rPr>
          <w:rFonts w:ascii="Arial" w:hAnsi="Arial" w:cs="Arial"/>
          <w:sz w:val="24"/>
          <w:szCs w:val="24"/>
        </w:rPr>
      </w:pPr>
    </w:p>
    <w:p w:rsidR="00144F76" w:rsidRDefault="00144F76"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Prosigue la parte actora en su concepto de impugnación:</w:t>
      </w:r>
    </w:p>
    <w:p w:rsidR="00144F76" w:rsidRDefault="00144F76" w:rsidP="00DE6732">
      <w:pPr>
        <w:spacing w:before="120" w:after="120" w:line="360" w:lineRule="auto"/>
        <w:ind w:right="51" w:firstLine="709"/>
        <w:jc w:val="both"/>
        <w:rPr>
          <w:rFonts w:ascii="Arial" w:hAnsi="Arial" w:cs="Arial"/>
          <w:sz w:val="24"/>
          <w:szCs w:val="24"/>
          <w:lang w:eastAsia="es-MX"/>
        </w:rPr>
      </w:pPr>
    </w:p>
    <w:p w:rsidR="00144F76" w:rsidRPr="00144F76" w:rsidRDefault="00144F76" w:rsidP="00144F76">
      <w:pPr>
        <w:spacing w:after="0" w:line="240" w:lineRule="auto"/>
        <w:ind w:left="567" w:right="616"/>
        <w:jc w:val="both"/>
        <w:rPr>
          <w:rFonts w:ascii="Arial" w:hAnsi="Arial" w:cs="Arial"/>
          <w:sz w:val="20"/>
          <w:szCs w:val="20"/>
        </w:rPr>
      </w:pPr>
      <w:r w:rsidRPr="00144F76">
        <w:rPr>
          <w:rFonts w:ascii="Arial" w:hAnsi="Arial" w:cs="Arial"/>
          <w:sz w:val="20"/>
          <w:szCs w:val="20"/>
        </w:rPr>
        <w:lastRenderedPageBreak/>
        <w:t xml:space="preserve">Primeramente, tenemos que la Legislación con la que pretende fundar dicha determinación no resulta aplicable al caso concreto, esto, debido a que, mi mandante solicitó a la demandada un Permiso de Operaciones de Fuentes Fijas, la cual tiene su fundamento legal en el REGLAMENTO DE LA LEY AMBIENTAL DEL ESTADO DE SAN LUIS POTOSÍ EN MATERIA DE PREVENCIÓN Y CONTROL DE LA CONTAMINACIÓN ATMOSFÉRICA, y con mayor precisión en su </w:t>
      </w:r>
      <w:proofErr w:type="spellStart"/>
      <w:r w:rsidRPr="00144F76">
        <w:rPr>
          <w:rFonts w:ascii="Arial" w:hAnsi="Arial" w:cs="Arial"/>
          <w:sz w:val="20"/>
          <w:szCs w:val="20"/>
        </w:rPr>
        <w:t>capitulo</w:t>
      </w:r>
      <w:proofErr w:type="spellEnd"/>
      <w:r w:rsidRPr="00144F76">
        <w:rPr>
          <w:rFonts w:ascii="Arial" w:hAnsi="Arial" w:cs="Arial"/>
          <w:sz w:val="20"/>
          <w:szCs w:val="20"/>
        </w:rPr>
        <w:t xml:space="preserve"> III, у donde nos dice </w:t>
      </w:r>
      <w:proofErr w:type="spellStart"/>
      <w:r w:rsidRPr="00144F76">
        <w:rPr>
          <w:rFonts w:ascii="Arial" w:hAnsi="Arial" w:cs="Arial"/>
          <w:sz w:val="20"/>
          <w:szCs w:val="20"/>
        </w:rPr>
        <w:t>quienes</w:t>
      </w:r>
      <w:proofErr w:type="spellEnd"/>
      <w:r w:rsidRPr="00144F76">
        <w:rPr>
          <w:rFonts w:ascii="Arial" w:hAnsi="Arial" w:cs="Arial"/>
          <w:sz w:val="20"/>
          <w:szCs w:val="20"/>
        </w:rPr>
        <w:t xml:space="preserve"> son los que podrán solicitar dicho permiso, y tal legislación nos señala que podrán solicitar el permiso los propietarios responsables de las fuentes fijas, es decir, no dice que podrán ser los propietarios o bien los responsables, y tenemos que mi mandante es responsable de las fuentes fijas, mas no así propietaria del inmueble lo que no es impedimento que puedan solicitar dicho permiso, a fin de un mayor entendimiento me permito transcribir los artículo 10, 11 y 16 del citado Reglamento de la Ley Ambiental del Estado en materia de prevención y control de la contaminación atmosférica […]</w:t>
      </w:r>
    </w:p>
    <w:p w:rsidR="00144F76" w:rsidRPr="00E94239" w:rsidRDefault="00144F76" w:rsidP="00DE6732">
      <w:pPr>
        <w:spacing w:before="120" w:after="120" w:line="360" w:lineRule="auto"/>
        <w:ind w:right="51" w:firstLine="709"/>
        <w:jc w:val="both"/>
        <w:rPr>
          <w:rFonts w:ascii="Arial" w:hAnsi="Arial" w:cs="Arial"/>
          <w:sz w:val="24"/>
          <w:szCs w:val="24"/>
          <w:lang w:eastAsia="es-MX"/>
        </w:rPr>
      </w:pPr>
    </w:p>
    <w:p w:rsidR="000907DF" w:rsidRDefault="00144F76"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El concepto de impugnación en esta parte resulta </w:t>
      </w:r>
      <w:r w:rsidRPr="00144F76">
        <w:rPr>
          <w:rFonts w:ascii="Arial" w:hAnsi="Arial" w:cs="Arial"/>
          <w:b/>
          <w:sz w:val="24"/>
          <w:szCs w:val="24"/>
          <w:lang w:eastAsia="es-MX"/>
        </w:rPr>
        <w:t>infundado</w:t>
      </w:r>
      <w:r>
        <w:rPr>
          <w:rFonts w:ascii="Arial" w:hAnsi="Arial" w:cs="Arial"/>
          <w:sz w:val="24"/>
          <w:szCs w:val="24"/>
          <w:lang w:eastAsia="es-MX"/>
        </w:rPr>
        <w:t xml:space="preserve"> e </w:t>
      </w:r>
      <w:r w:rsidRPr="00144F76">
        <w:rPr>
          <w:rFonts w:ascii="Arial" w:hAnsi="Arial" w:cs="Arial"/>
          <w:b/>
          <w:sz w:val="24"/>
          <w:szCs w:val="24"/>
          <w:lang w:eastAsia="es-MX"/>
        </w:rPr>
        <w:t>inoperante</w:t>
      </w:r>
      <w:r>
        <w:rPr>
          <w:rFonts w:ascii="Arial" w:hAnsi="Arial" w:cs="Arial"/>
          <w:sz w:val="24"/>
          <w:szCs w:val="24"/>
          <w:lang w:eastAsia="es-MX"/>
        </w:rPr>
        <w:t>, dado que confunde la solicitud de permiso de operación de fuentes fijas con el requisito de presentar una licencia de uso de suelo; por lo que si la materia del presente juicio es la negativa del permiso por no haberse aportado una licencia de uso de suelo expedida por autoridad municipal competente, fundada y motivada, determinar a quién compete solicitar el permiso de operación resulta irrelevante a los fines de este procedimiento</w:t>
      </w:r>
      <w:r w:rsidR="00AE5F20">
        <w:rPr>
          <w:rFonts w:ascii="Arial" w:hAnsi="Arial" w:cs="Arial"/>
          <w:sz w:val="24"/>
          <w:szCs w:val="24"/>
          <w:lang w:eastAsia="es-MX"/>
        </w:rPr>
        <w:t>.</w:t>
      </w:r>
    </w:p>
    <w:p w:rsidR="00AE5F20" w:rsidRDefault="00AE5F20" w:rsidP="00DE6732">
      <w:pPr>
        <w:spacing w:before="120" w:after="120" w:line="360" w:lineRule="auto"/>
        <w:ind w:right="51" w:firstLine="709"/>
        <w:jc w:val="both"/>
        <w:rPr>
          <w:rFonts w:ascii="Arial" w:hAnsi="Arial" w:cs="Arial"/>
          <w:sz w:val="24"/>
          <w:szCs w:val="24"/>
          <w:lang w:eastAsia="es-MX"/>
        </w:rPr>
      </w:pPr>
    </w:p>
    <w:p w:rsidR="00AE5F20" w:rsidRDefault="00AE5F20"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Finalmente, la parte actora sostiene:</w:t>
      </w:r>
    </w:p>
    <w:p w:rsidR="00AE5F20" w:rsidRDefault="00AE5F20" w:rsidP="00DE6732">
      <w:pPr>
        <w:spacing w:before="120" w:after="120" w:line="360" w:lineRule="auto"/>
        <w:ind w:right="51" w:firstLine="709"/>
        <w:jc w:val="both"/>
        <w:rPr>
          <w:rFonts w:ascii="Arial" w:hAnsi="Arial" w:cs="Arial"/>
          <w:sz w:val="24"/>
          <w:szCs w:val="24"/>
          <w:lang w:eastAsia="es-MX"/>
        </w:rPr>
      </w:pPr>
    </w:p>
    <w:p w:rsidR="00AE5F20" w:rsidRPr="00AE5F20" w:rsidRDefault="00AE5F20" w:rsidP="00AE5F20">
      <w:pPr>
        <w:spacing w:after="0" w:line="240" w:lineRule="auto"/>
        <w:ind w:left="567" w:right="616"/>
        <w:jc w:val="both"/>
        <w:rPr>
          <w:rFonts w:ascii="Arial" w:hAnsi="Arial" w:cs="Arial"/>
          <w:sz w:val="20"/>
          <w:szCs w:val="20"/>
        </w:rPr>
      </w:pPr>
      <w:r w:rsidRPr="00AE5F20">
        <w:rPr>
          <w:rFonts w:ascii="Arial" w:hAnsi="Arial" w:cs="Arial"/>
          <w:sz w:val="20"/>
          <w:szCs w:val="20"/>
        </w:rPr>
        <w:t>Como este Tribunal podrá advertir, la legislación de la materia establece que el permiso podrá ser otorgado al propietario o responsable de la fuentes fijas, y como se desprende del acto administrativo mi mandante es la responsable de las fuentes fijas, mas no del inmueble donde se encuentra ubicada la fuente fija, y toda vez que las licencias de uso de suelo se expiden a los propietarios de inmuebles, es que mi mandante no tendrá una licencia a su nombre pero si es la responsable de la fuente fija, razón por la cual, resulta erróneo e ilegal que ahora pretenda la demandada, negar un permiso por no ser el propietario del inmueble cuando la legislación es muy clara en señalar que los permisos se pueden otorgar a propietarios o responsables.</w:t>
      </w:r>
    </w:p>
    <w:p w:rsidR="00AE5F20" w:rsidRDefault="00AE5F20" w:rsidP="00DE6732">
      <w:pPr>
        <w:spacing w:before="120" w:after="120" w:line="360" w:lineRule="auto"/>
        <w:ind w:right="51" w:firstLine="709"/>
        <w:jc w:val="both"/>
        <w:rPr>
          <w:rFonts w:ascii="Arial" w:hAnsi="Arial" w:cs="Arial"/>
          <w:sz w:val="24"/>
          <w:szCs w:val="24"/>
          <w:lang w:eastAsia="es-MX"/>
        </w:rPr>
      </w:pPr>
    </w:p>
    <w:p w:rsidR="00AE5F20" w:rsidRDefault="00AE5F20"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El concepto de impugnación deviene en </w:t>
      </w:r>
      <w:r w:rsidRPr="00FE5ED0">
        <w:rPr>
          <w:rFonts w:ascii="Arial" w:hAnsi="Arial" w:cs="Arial"/>
          <w:b/>
          <w:sz w:val="24"/>
          <w:szCs w:val="24"/>
          <w:lang w:eastAsia="es-MX"/>
        </w:rPr>
        <w:t>inoperante</w:t>
      </w:r>
      <w:r>
        <w:rPr>
          <w:rFonts w:ascii="Arial" w:hAnsi="Arial" w:cs="Arial"/>
          <w:sz w:val="24"/>
          <w:szCs w:val="24"/>
          <w:lang w:eastAsia="es-MX"/>
        </w:rPr>
        <w:t>, toda vez que, la razón principal por la cual se negó el permiso solicitado, no fue porque el solicitante no sea el propietario del predio, sino porque el documento que contiene la licencia de uso de suelo no se encuentra expedido por autoridad municipal competente, fundado y motivado; cuestión que no controvierte en su</w:t>
      </w:r>
      <w:r w:rsidR="00FE5ED0">
        <w:rPr>
          <w:rFonts w:ascii="Arial" w:hAnsi="Arial" w:cs="Arial"/>
          <w:sz w:val="24"/>
          <w:szCs w:val="24"/>
          <w:lang w:eastAsia="es-MX"/>
        </w:rPr>
        <w:t xml:space="preserve"> concepto de impugnación la accionante.</w:t>
      </w:r>
    </w:p>
    <w:p w:rsidR="00AE5F20" w:rsidRDefault="00AE5F20" w:rsidP="00DE6732">
      <w:pPr>
        <w:spacing w:before="120" w:after="120" w:line="360" w:lineRule="auto"/>
        <w:ind w:right="51" w:firstLine="709"/>
        <w:jc w:val="both"/>
        <w:rPr>
          <w:rFonts w:ascii="Arial" w:hAnsi="Arial" w:cs="Arial"/>
          <w:sz w:val="24"/>
          <w:szCs w:val="24"/>
          <w:lang w:eastAsia="es-MX"/>
        </w:rPr>
      </w:pPr>
    </w:p>
    <w:p w:rsidR="00D46A8E" w:rsidRDefault="00D46A8E" w:rsidP="00DE6732">
      <w:pPr>
        <w:spacing w:before="120" w:after="120" w:line="360" w:lineRule="auto"/>
        <w:ind w:right="51" w:firstLine="709"/>
        <w:jc w:val="both"/>
        <w:rPr>
          <w:rFonts w:ascii="Arial" w:hAnsi="Arial" w:cs="Arial"/>
          <w:sz w:val="24"/>
          <w:szCs w:val="24"/>
          <w:lang w:eastAsia="es-MX"/>
        </w:rPr>
      </w:pPr>
    </w:p>
    <w:p w:rsidR="00AE5F20" w:rsidRPr="00E94239" w:rsidRDefault="00AE5F20"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lastRenderedPageBreak/>
        <w:t xml:space="preserve">Sin que pase desapercibido que, </w:t>
      </w:r>
      <w:r w:rsidR="00FE5ED0">
        <w:rPr>
          <w:rFonts w:ascii="Arial" w:hAnsi="Arial" w:cs="Arial"/>
          <w:sz w:val="24"/>
          <w:szCs w:val="24"/>
          <w:lang w:eastAsia="es-MX"/>
        </w:rPr>
        <w:t>en su concepto de impugnación, la parte actora reitera los planteamientos planteados en los agravios esgrimidos en el recurso de revisión, así como que no ataca el argumento toral por el cual se negó otorgar el permiso solicitado.</w:t>
      </w:r>
    </w:p>
    <w:p w:rsidR="00606CA2" w:rsidRPr="00E94239" w:rsidRDefault="00606CA2" w:rsidP="00DE6732">
      <w:pPr>
        <w:spacing w:before="120" w:after="120" w:line="360" w:lineRule="auto"/>
        <w:ind w:right="51" w:firstLine="709"/>
        <w:jc w:val="both"/>
        <w:rPr>
          <w:rFonts w:ascii="Arial" w:hAnsi="Arial" w:cs="Arial"/>
          <w:sz w:val="24"/>
          <w:szCs w:val="24"/>
          <w:lang w:eastAsia="es-MX"/>
        </w:rPr>
      </w:pPr>
    </w:p>
    <w:p w:rsidR="00AE1B53" w:rsidRPr="00E94239" w:rsidRDefault="00D46A8E"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A lo anterior, resulta ilustrativa la jurisprudencia </w:t>
      </w:r>
      <w:r>
        <w:rPr>
          <w:rFonts w:ascii="Arial" w:hAnsi="Arial" w:cs="Arial"/>
          <w:sz w:val="24"/>
          <w:szCs w:val="24"/>
        </w:rPr>
        <w:t>tesis</w:t>
      </w:r>
      <w:r w:rsidRPr="00425F16">
        <w:rPr>
          <w:rFonts w:ascii="Arial" w:hAnsi="Arial" w:cs="Arial"/>
          <w:sz w:val="24"/>
          <w:szCs w:val="24"/>
        </w:rPr>
        <w:t xml:space="preserve"> 1a</w:t>
      </w:r>
      <w:proofErr w:type="gramStart"/>
      <w:r w:rsidRPr="00425F16">
        <w:rPr>
          <w:rFonts w:ascii="Arial" w:hAnsi="Arial" w:cs="Arial"/>
          <w:sz w:val="24"/>
          <w:szCs w:val="24"/>
        </w:rPr>
        <w:t>./</w:t>
      </w:r>
      <w:proofErr w:type="gramEnd"/>
      <w:r w:rsidRPr="00425F16">
        <w:rPr>
          <w:rFonts w:ascii="Arial" w:hAnsi="Arial" w:cs="Arial"/>
          <w:sz w:val="24"/>
          <w:szCs w:val="24"/>
        </w:rPr>
        <w:t>J. 19/2009</w:t>
      </w:r>
      <w:r>
        <w:rPr>
          <w:rFonts w:ascii="Arial" w:hAnsi="Arial" w:cs="Arial"/>
          <w:sz w:val="24"/>
          <w:szCs w:val="24"/>
        </w:rPr>
        <w:t xml:space="preserve">, </w:t>
      </w:r>
      <w:r w:rsidRPr="00425F16">
        <w:rPr>
          <w:rFonts w:ascii="Arial" w:hAnsi="Arial" w:cs="Arial"/>
          <w:sz w:val="24"/>
          <w:szCs w:val="24"/>
        </w:rPr>
        <w:t>Novena Época</w:t>
      </w:r>
      <w:r>
        <w:rPr>
          <w:rFonts w:ascii="Arial" w:hAnsi="Arial" w:cs="Arial"/>
          <w:sz w:val="24"/>
          <w:szCs w:val="24"/>
        </w:rPr>
        <w:t xml:space="preserve">, </w:t>
      </w:r>
      <w:r w:rsidRPr="00425F16">
        <w:rPr>
          <w:rFonts w:ascii="Arial" w:hAnsi="Arial" w:cs="Arial"/>
          <w:sz w:val="24"/>
          <w:szCs w:val="24"/>
        </w:rPr>
        <w:t>Semanario Judicial de la Federación y su Gaceta. Tomo XXIX, Marzo de 2009, página 5</w:t>
      </w:r>
      <w:r>
        <w:rPr>
          <w:rFonts w:ascii="Arial" w:hAnsi="Arial" w:cs="Arial"/>
          <w:sz w:val="24"/>
          <w:szCs w:val="24"/>
        </w:rPr>
        <w:t xml:space="preserve">, </w:t>
      </w:r>
      <w:r w:rsidRPr="00425F16">
        <w:rPr>
          <w:rFonts w:ascii="Arial" w:hAnsi="Arial" w:cs="Arial"/>
          <w:sz w:val="24"/>
          <w:szCs w:val="24"/>
        </w:rPr>
        <w:t>Registro digital: 167801</w:t>
      </w:r>
      <w:r>
        <w:rPr>
          <w:rFonts w:ascii="Arial" w:hAnsi="Arial" w:cs="Arial"/>
          <w:sz w:val="24"/>
          <w:szCs w:val="24"/>
        </w:rPr>
        <w:t xml:space="preserve">, </w:t>
      </w:r>
      <w:r>
        <w:rPr>
          <w:rFonts w:ascii="Arial" w:hAnsi="Arial" w:cs="Arial"/>
          <w:sz w:val="24"/>
          <w:szCs w:val="24"/>
          <w:lang w:eastAsia="es-MX"/>
        </w:rPr>
        <w:t>que se transcribe a continuación:</w:t>
      </w:r>
    </w:p>
    <w:p w:rsidR="00AE1B53" w:rsidRDefault="00AE1B53" w:rsidP="00DE6732">
      <w:pPr>
        <w:spacing w:before="120" w:after="120" w:line="360" w:lineRule="auto"/>
        <w:ind w:right="51" w:firstLine="709"/>
        <w:jc w:val="both"/>
        <w:rPr>
          <w:rFonts w:ascii="Arial" w:hAnsi="Arial" w:cs="Arial"/>
          <w:sz w:val="24"/>
          <w:szCs w:val="24"/>
          <w:lang w:eastAsia="es-MX"/>
        </w:rPr>
      </w:pPr>
    </w:p>
    <w:p w:rsidR="00D46A8E" w:rsidRDefault="00D46A8E" w:rsidP="00DE6732">
      <w:pPr>
        <w:spacing w:before="120" w:after="120" w:line="360" w:lineRule="auto"/>
        <w:ind w:right="51" w:firstLine="709"/>
        <w:jc w:val="both"/>
        <w:rPr>
          <w:rFonts w:ascii="Arial" w:hAnsi="Arial" w:cs="Arial"/>
          <w:sz w:val="24"/>
          <w:szCs w:val="24"/>
          <w:lang w:eastAsia="es-MX"/>
        </w:rPr>
      </w:pPr>
    </w:p>
    <w:p w:rsidR="00D46A8E" w:rsidRPr="00D46A8E" w:rsidRDefault="00D46A8E" w:rsidP="00D46A8E">
      <w:pPr>
        <w:spacing w:after="0" w:line="240" w:lineRule="auto"/>
        <w:ind w:left="567" w:right="618"/>
        <w:jc w:val="both"/>
        <w:rPr>
          <w:rFonts w:ascii="Arial" w:hAnsi="Arial" w:cs="Arial"/>
          <w:sz w:val="20"/>
          <w:szCs w:val="20"/>
        </w:rPr>
      </w:pPr>
      <w:r w:rsidRPr="00D46A8E">
        <w:rPr>
          <w:rFonts w:ascii="Arial" w:hAnsi="Arial" w:cs="Arial"/>
          <w:b/>
          <w:sz w:val="20"/>
          <w:szCs w:val="20"/>
        </w:rPr>
        <w:t xml:space="preserve">AGRAVIOS INOPERANTES. LO SON AQUELLOS QUE COMBATEN ARGUMENTOS ACCESORIOS EXPRESADOS EN LA SENTENCIA RECURRIDA, MÁXIME CUANDO ÉSTOS SEAN INCOMPATIBLES CON LAS RAZONES QUE SUSTENTAN EL SENTIDO TORAL DEL FALLO.   </w:t>
      </w:r>
      <w:r w:rsidRPr="00D46A8E">
        <w:rPr>
          <w:rFonts w:ascii="Arial" w:hAnsi="Arial" w:cs="Arial"/>
          <w:sz w:val="20"/>
          <w:szCs w:val="20"/>
        </w:rPr>
        <w:t>En términos del artículo 88 de la Ley de Amparo, la parte a quien perjudica una sentencia tiene la carga procesal de demostrar su ilegalidad a través de los agravios correspondientes, lo que se cumple cuando los argumentos expresados se encaminan a combatir todas las consideraciones en que se apoya la resolución impugnada. Ahora bien, los agravios resultan inoperantes cuando tienen como finalidad controvertir argumentos expresados por el órgano de control constitucional en forma accesoria a las razones que sustentan el sentido del fallo, sobre todo cuando sean incompatibles con el sentido toral de éste, porque aunque le asistiera la razón al quejoso al combatir la consideración secundaria expresada a mayor abundamiento, ello no tendría la fuerza suficiente para que se revocara el fallo combatido, dado que seguiría rigiendo la consideración principal, en el caso la inoperancia del concepto de violación.</w:t>
      </w:r>
    </w:p>
    <w:p w:rsidR="007C17FA" w:rsidRDefault="007C17FA" w:rsidP="00DE6732">
      <w:pPr>
        <w:spacing w:before="120" w:after="120" w:line="360" w:lineRule="auto"/>
        <w:ind w:right="51" w:firstLine="709"/>
        <w:jc w:val="both"/>
        <w:rPr>
          <w:rFonts w:ascii="Arial" w:hAnsi="Arial" w:cs="Arial"/>
          <w:sz w:val="24"/>
          <w:szCs w:val="24"/>
          <w:lang w:eastAsia="es-MX"/>
        </w:rPr>
      </w:pPr>
    </w:p>
    <w:p w:rsidR="00D46A8E" w:rsidRPr="00E94239" w:rsidRDefault="00D46A8E" w:rsidP="00DE6732">
      <w:pPr>
        <w:spacing w:before="120" w:after="120" w:line="360" w:lineRule="auto"/>
        <w:ind w:right="51" w:firstLine="709"/>
        <w:jc w:val="both"/>
        <w:rPr>
          <w:rFonts w:ascii="Arial" w:hAnsi="Arial" w:cs="Arial"/>
          <w:sz w:val="24"/>
          <w:szCs w:val="24"/>
          <w:lang w:eastAsia="es-MX"/>
        </w:rPr>
      </w:pPr>
    </w:p>
    <w:p w:rsidR="006033CC" w:rsidRDefault="00D46A8E" w:rsidP="00DE6732">
      <w:pPr>
        <w:spacing w:before="120" w:after="120" w:line="360" w:lineRule="auto"/>
        <w:ind w:right="51" w:firstLine="709"/>
        <w:jc w:val="both"/>
        <w:rPr>
          <w:rFonts w:ascii="Arial" w:hAnsi="Arial" w:cs="Arial"/>
          <w:sz w:val="24"/>
          <w:szCs w:val="24"/>
          <w:lang w:eastAsia="es-MX"/>
        </w:rPr>
      </w:pPr>
      <w:r>
        <w:rPr>
          <w:rFonts w:ascii="Arial" w:hAnsi="Arial" w:cs="Arial"/>
          <w:sz w:val="24"/>
          <w:szCs w:val="24"/>
          <w:lang w:eastAsia="es-MX"/>
        </w:rPr>
        <w:t xml:space="preserve">Así como la jurisprudencia </w:t>
      </w:r>
      <w:r>
        <w:rPr>
          <w:rFonts w:ascii="Arial" w:hAnsi="Arial" w:cs="Arial"/>
          <w:sz w:val="24"/>
          <w:szCs w:val="24"/>
        </w:rPr>
        <w:t>tesis</w:t>
      </w:r>
      <w:r w:rsidRPr="00425F16">
        <w:rPr>
          <w:rFonts w:ascii="Arial" w:hAnsi="Arial" w:cs="Arial"/>
          <w:sz w:val="24"/>
          <w:szCs w:val="24"/>
        </w:rPr>
        <w:t xml:space="preserve"> VII.1o.C. J/1 K (11a.)</w:t>
      </w:r>
      <w:r>
        <w:rPr>
          <w:rFonts w:ascii="Arial" w:hAnsi="Arial" w:cs="Arial"/>
          <w:sz w:val="24"/>
          <w:szCs w:val="24"/>
        </w:rPr>
        <w:t xml:space="preserve">, </w:t>
      </w:r>
      <w:r w:rsidRPr="00425F16">
        <w:rPr>
          <w:rFonts w:ascii="Arial" w:hAnsi="Arial" w:cs="Arial"/>
          <w:sz w:val="24"/>
          <w:szCs w:val="24"/>
        </w:rPr>
        <w:t>Undécima Época</w:t>
      </w:r>
      <w:r>
        <w:rPr>
          <w:rFonts w:ascii="Arial" w:hAnsi="Arial" w:cs="Arial"/>
          <w:sz w:val="24"/>
          <w:szCs w:val="24"/>
        </w:rPr>
        <w:t xml:space="preserve">, </w:t>
      </w:r>
      <w:r w:rsidRPr="00425F16">
        <w:rPr>
          <w:rFonts w:ascii="Arial" w:hAnsi="Arial" w:cs="Arial"/>
          <w:sz w:val="24"/>
          <w:szCs w:val="24"/>
        </w:rPr>
        <w:t>Gaceta del Semanario Judicial de la Federación. Libro 20, Diciembre de 2022, Tomo III, página 2574</w:t>
      </w:r>
      <w:r>
        <w:rPr>
          <w:rFonts w:ascii="Arial" w:hAnsi="Arial" w:cs="Arial"/>
          <w:sz w:val="24"/>
          <w:szCs w:val="24"/>
        </w:rPr>
        <w:t xml:space="preserve">, </w:t>
      </w:r>
      <w:r w:rsidRPr="00425F16">
        <w:rPr>
          <w:rFonts w:ascii="Arial" w:hAnsi="Arial" w:cs="Arial"/>
          <w:sz w:val="24"/>
          <w:szCs w:val="24"/>
        </w:rPr>
        <w:t>Registro digital: 2025630</w:t>
      </w:r>
      <w:r>
        <w:rPr>
          <w:rFonts w:ascii="Arial" w:hAnsi="Arial" w:cs="Arial"/>
          <w:sz w:val="24"/>
          <w:szCs w:val="24"/>
        </w:rPr>
        <w:t xml:space="preserve">, </w:t>
      </w:r>
      <w:r>
        <w:rPr>
          <w:rFonts w:ascii="Arial" w:hAnsi="Arial" w:cs="Arial"/>
          <w:sz w:val="24"/>
          <w:szCs w:val="24"/>
          <w:lang w:eastAsia="es-MX"/>
        </w:rPr>
        <w:t>que señala:</w:t>
      </w:r>
    </w:p>
    <w:p w:rsidR="00D46A8E" w:rsidRDefault="00D46A8E" w:rsidP="00DE6732">
      <w:pPr>
        <w:spacing w:before="120" w:after="120" w:line="360" w:lineRule="auto"/>
        <w:ind w:right="51" w:firstLine="709"/>
        <w:jc w:val="both"/>
        <w:rPr>
          <w:rFonts w:ascii="Arial" w:hAnsi="Arial" w:cs="Arial"/>
          <w:sz w:val="24"/>
          <w:szCs w:val="24"/>
          <w:lang w:eastAsia="es-MX"/>
        </w:rPr>
      </w:pPr>
    </w:p>
    <w:p w:rsidR="00D46A8E" w:rsidRDefault="00D46A8E" w:rsidP="00DE6732">
      <w:pPr>
        <w:spacing w:before="120" w:after="120" w:line="360" w:lineRule="auto"/>
        <w:ind w:right="51" w:firstLine="709"/>
        <w:jc w:val="both"/>
        <w:rPr>
          <w:rFonts w:ascii="Arial" w:hAnsi="Arial" w:cs="Arial"/>
          <w:sz w:val="24"/>
          <w:szCs w:val="24"/>
          <w:lang w:eastAsia="es-MX"/>
        </w:rPr>
      </w:pPr>
    </w:p>
    <w:p w:rsidR="00D46A8E" w:rsidRPr="00D46A8E" w:rsidRDefault="00D46A8E" w:rsidP="00D46A8E">
      <w:pPr>
        <w:spacing w:after="0" w:line="240" w:lineRule="auto"/>
        <w:ind w:left="567" w:right="618"/>
        <w:jc w:val="both"/>
        <w:rPr>
          <w:rFonts w:ascii="Arial" w:hAnsi="Arial" w:cs="Arial"/>
          <w:b/>
          <w:sz w:val="20"/>
          <w:szCs w:val="20"/>
        </w:rPr>
      </w:pPr>
      <w:r w:rsidRPr="00D46A8E">
        <w:rPr>
          <w:rFonts w:ascii="Arial" w:hAnsi="Arial" w:cs="Arial"/>
          <w:b/>
          <w:sz w:val="20"/>
          <w:szCs w:val="20"/>
        </w:rPr>
        <w:t>CONCEPTOS DE VIOLACIÓN EN EL JUICIO DE AMPARO DIRECTO. SON INOPERANTES LOS QUE REITERAN TEXTUALMENTE LOS AGRAVIOS PLANTEADOS EN EL RECURSO DE APELACIÓN, AL NO CONTROVERTIR LAS CONSIDERACIONES JURÍDICAS EN QUE SE SUSTENTA LA RESOLUCIÓN DE ALZADA QUE CONSTITUYE EL ACTO RECLAMADO.</w:t>
      </w:r>
    </w:p>
    <w:p w:rsidR="00D46A8E" w:rsidRPr="00D46A8E" w:rsidRDefault="00D46A8E" w:rsidP="00D46A8E">
      <w:pPr>
        <w:spacing w:after="0" w:line="240" w:lineRule="auto"/>
        <w:ind w:left="567" w:right="618"/>
        <w:jc w:val="both"/>
        <w:rPr>
          <w:rFonts w:ascii="Arial" w:hAnsi="Arial" w:cs="Arial"/>
          <w:b/>
          <w:sz w:val="20"/>
          <w:szCs w:val="20"/>
        </w:rPr>
      </w:pPr>
    </w:p>
    <w:p w:rsidR="00D46A8E" w:rsidRPr="00D46A8E" w:rsidRDefault="00D46A8E" w:rsidP="00D46A8E">
      <w:pPr>
        <w:spacing w:after="0" w:line="240" w:lineRule="auto"/>
        <w:ind w:left="567" w:right="618"/>
        <w:jc w:val="both"/>
        <w:rPr>
          <w:rFonts w:ascii="Arial" w:hAnsi="Arial" w:cs="Arial"/>
          <w:sz w:val="20"/>
          <w:szCs w:val="20"/>
        </w:rPr>
      </w:pPr>
      <w:r w:rsidRPr="00D46A8E">
        <w:rPr>
          <w:rFonts w:ascii="Arial" w:hAnsi="Arial" w:cs="Arial"/>
          <w:b/>
          <w:sz w:val="20"/>
          <w:szCs w:val="20"/>
        </w:rPr>
        <w:t>Hechos:</w:t>
      </w:r>
      <w:r w:rsidRPr="00D46A8E">
        <w:rPr>
          <w:rFonts w:ascii="Arial" w:hAnsi="Arial" w:cs="Arial"/>
          <w:sz w:val="20"/>
          <w:szCs w:val="20"/>
        </w:rPr>
        <w:t xml:space="preserve"> Dentro de los conceptos de violación que se hicieron valer en la demanda de amparo, la quejosa se concretó a reiterar de manera textual los argumentos que expuso en sus agravios de apelación, sin controvertir las razones jurídicas que en respuesta de aquéllos sostuvo la Sala responsable al dictar la sentencia que constituye el acto reclamado.</w:t>
      </w:r>
    </w:p>
    <w:p w:rsidR="00D46A8E" w:rsidRPr="00D46A8E" w:rsidRDefault="00D46A8E" w:rsidP="00D46A8E">
      <w:pPr>
        <w:spacing w:after="0" w:line="240" w:lineRule="auto"/>
        <w:ind w:left="567" w:right="618"/>
        <w:jc w:val="both"/>
        <w:rPr>
          <w:rFonts w:ascii="Arial" w:hAnsi="Arial" w:cs="Arial"/>
          <w:sz w:val="20"/>
          <w:szCs w:val="20"/>
        </w:rPr>
      </w:pPr>
    </w:p>
    <w:p w:rsidR="00D46A8E" w:rsidRPr="00D46A8E" w:rsidRDefault="00D46A8E" w:rsidP="00D46A8E">
      <w:pPr>
        <w:spacing w:after="0" w:line="240" w:lineRule="auto"/>
        <w:ind w:left="567" w:right="618"/>
        <w:jc w:val="both"/>
        <w:rPr>
          <w:rFonts w:ascii="Arial" w:hAnsi="Arial" w:cs="Arial"/>
          <w:sz w:val="20"/>
          <w:szCs w:val="20"/>
        </w:rPr>
      </w:pPr>
      <w:r w:rsidRPr="00D46A8E">
        <w:rPr>
          <w:rFonts w:ascii="Arial" w:hAnsi="Arial" w:cs="Arial"/>
          <w:b/>
          <w:sz w:val="20"/>
          <w:szCs w:val="20"/>
        </w:rPr>
        <w:lastRenderedPageBreak/>
        <w:t>Criterio jurídico:</w:t>
      </w:r>
      <w:r w:rsidRPr="00D46A8E">
        <w:rPr>
          <w:rFonts w:ascii="Arial" w:hAnsi="Arial" w:cs="Arial"/>
          <w:sz w:val="20"/>
          <w:szCs w:val="20"/>
        </w:rPr>
        <w:t xml:space="preserve"> Este Tribunal Colegiado de Circuito determina que deben declararse inoperantes los conceptos de violación en el juicio de amparo directo, cuando reiteran textualmente los agravios vertidos en el recurso de apelación, al no controvertir las consideraciones jurídicas en que se sustenta la resolución de alzada que constituye el acto reclamado.</w:t>
      </w:r>
    </w:p>
    <w:p w:rsidR="00D46A8E" w:rsidRPr="00D46A8E" w:rsidRDefault="00D46A8E" w:rsidP="00D46A8E">
      <w:pPr>
        <w:spacing w:after="0" w:line="240" w:lineRule="auto"/>
        <w:ind w:left="567" w:right="618"/>
        <w:jc w:val="both"/>
        <w:rPr>
          <w:rFonts w:ascii="Arial" w:hAnsi="Arial" w:cs="Arial"/>
          <w:sz w:val="20"/>
          <w:szCs w:val="20"/>
        </w:rPr>
      </w:pPr>
    </w:p>
    <w:p w:rsidR="00D46A8E" w:rsidRPr="00D46A8E" w:rsidRDefault="00D46A8E" w:rsidP="00D46A8E">
      <w:pPr>
        <w:spacing w:after="0" w:line="240" w:lineRule="auto"/>
        <w:ind w:left="567" w:right="618"/>
        <w:jc w:val="both"/>
        <w:rPr>
          <w:rFonts w:ascii="Arial" w:hAnsi="Arial" w:cs="Arial"/>
          <w:sz w:val="20"/>
          <w:szCs w:val="20"/>
        </w:rPr>
      </w:pPr>
      <w:r w:rsidRPr="00D46A8E">
        <w:rPr>
          <w:rFonts w:ascii="Arial" w:hAnsi="Arial" w:cs="Arial"/>
          <w:b/>
          <w:sz w:val="20"/>
          <w:szCs w:val="20"/>
        </w:rPr>
        <w:t>Justificación:</w:t>
      </w:r>
      <w:r w:rsidRPr="00D46A8E">
        <w:rPr>
          <w:rFonts w:ascii="Arial" w:hAnsi="Arial" w:cs="Arial"/>
          <w:sz w:val="20"/>
          <w:szCs w:val="20"/>
        </w:rPr>
        <w:t xml:space="preserve"> Lo anterior, porque de conformidad con el artículo 175, fracción VII, de la Ley de Amparo, la parte quejosa debe expresar en la demanda relativa los conceptos de violación que estime pertinentes contra el acto reclamado; lo que se traduce en que tenga la carga en aquellos asuntos en que no deba suplirse la queja deficiente en términos del precepto 79 de la ley citada, de controvertir las razones y fundamentos jurídicos en que se apoya la resolución impugnada. De ahí que son inoperantes los conceptos de violación que en la demanda de amparo directo reiteran los agravios de la apelación, sin combatir las consideraciones que sostuvo la autoridad responsable para darles respuesta y soportar su criterio; hipótesis en la cual, aquéllas permanecen incólumes rigiendo en sus términos el sentido del fallo reclamado.</w:t>
      </w:r>
    </w:p>
    <w:p w:rsidR="00D46A8E" w:rsidRPr="00E94239" w:rsidRDefault="00D46A8E" w:rsidP="00DE6732">
      <w:pPr>
        <w:spacing w:before="120" w:after="120" w:line="360" w:lineRule="auto"/>
        <w:ind w:right="51" w:firstLine="709"/>
        <w:jc w:val="both"/>
        <w:rPr>
          <w:rFonts w:ascii="Arial" w:hAnsi="Arial" w:cs="Arial"/>
          <w:sz w:val="24"/>
          <w:szCs w:val="24"/>
          <w:lang w:eastAsia="es-MX"/>
        </w:rPr>
      </w:pPr>
    </w:p>
    <w:p w:rsidR="00A00FA4" w:rsidRPr="00E94239" w:rsidRDefault="00A00FA4" w:rsidP="00A00FA4">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 xml:space="preserve">En consecuencia, </w:t>
      </w:r>
      <w:r w:rsidRPr="00E94239">
        <w:rPr>
          <w:rFonts w:ascii="Arial" w:eastAsia="Arial Unicode MS" w:hAnsi="Arial" w:cs="Arial"/>
          <w:b/>
          <w:sz w:val="24"/>
          <w:szCs w:val="24"/>
        </w:rPr>
        <w:t>el concepto de impugnación en estudio es infundado</w:t>
      </w:r>
      <w:r w:rsidR="00144F76">
        <w:rPr>
          <w:rFonts w:ascii="Arial" w:eastAsia="Arial Unicode MS" w:hAnsi="Arial" w:cs="Arial"/>
          <w:b/>
          <w:sz w:val="24"/>
          <w:szCs w:val="24"/>
        </w:rPr>
        <w:t xml:space="preserve"> e inoperante</w:t>
      </w:r>
      <w:r w:rsidRPr="00E94239">
        <w:rPr>
          <w:rFonts w:ascii="Arial" w:eastAsia="Arial Unicode MS" w:hAnsi="Arial" w:cs="Arial"/>
          <w:sz w:val="24"/>
          <w:szCs w:val="24"/>
        </w:rPr>
        <w:t xml:space="preserve"> y por lo tanto, insuficiente para declarar la nulidad del acto impugnado.</w:t>
      </w:r>
    </w:p>
    <w:p w:rsidR="002055D1" w:rsidRPr="00E94239" w:rsidRDefault="002055D1" w:rsidP="00A00FA4">
      <w:pPr>
        <w:spacing w:after="0" w:line="360" w:lineRule="auto"/>
        <w:ind w:firstLine="709"/>
        <w:jc w:val="both"/>
        <w:rPr>
          <w:rFonts w:ascii="Arial" w:eastAsia="Arial Unicode MS" w:hAnsi="Arial" w:cs="Arial"/>
          <w:sz w:val="24"/>
          <w:szCs w:val="24"/>
        </w:rPr>
      </w:pPr>
    </w:p>
    <w:p w:rsidR="002055D1" w:rsidRPr="00E94239" w:rsidRDefault="002055D1" w:rsidP="002055D1">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En esa tesitura, por los razonamientos citados con antelación, no le asiste razón al actor para que proceda la nulidad del acto impugnado, el cual debe declararse que es legal y válido, al no haberse acreditado en autos de este procedimiento las acciones intentadas ante este Tribunal.</w:t>
      </w:r>
    </w:p>
    <w:p w:rsidR="002055D1" w:rsidRPr="00E94239" w:rsidRDefault="002055D1" w:rsidP="002055D1">
      <w:pPr>
        <w:spacing w:after="0" w:line="360" w:lineRule="auto"/>
        <w:ind w:firstLine="709"/>
        <w:jc w:val="both"/>
        <w:rPr>
          <w:rFonts w:ascii="Arial" w:eastAsia="Arial Unicode MS" w:hAnsi="Arial" w:cs="Arial"/>
          <w:sz w:val="24"/>
          <w:szCs w:val="24"/>
        </w:rPr>
      </w:pPr>
    </w:p>
    <w:p w:rsidR="00DE6732" w:rsidRPr="001361BF" w:rsidRDefault="002055D1"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 xml:space="preserve">En tal virtud, ante lo infundado de los argumentos expresados por el actor, con fundamento en los artículos 249, 251 y 252 del Código Procesal Administrativo para el Estado de San Luis Potosí, se declara la </w:t>
      </w:r>
      <w:r w:rsidRPr="00E94239">
        <w:rPr>
          <w:rFonts w:ascii="Arial" w:eastAsia="Arial Unicode MS" w:hAnsi="Arial" w:cs="Arial"/>
          <w:b/>
          <w:sz w:val="24"/>
          <w:szCs w:val="24"/>
        </w:rPr>
        <w:t>LEGALIDAD y VALIDEZ</w:t>
      </w:r>
      <w:r w:rsidRPr="00E94239">
        <w:rPr>
          <w:rFonts w:ascii="Arial" w:eastAsia="Arial Unicode MS" w:hAnsi="Arial" w:cs="Arial"/>
          <w:sz w:val="24"/>
          <w:szCs w:val="24"/>
        </w:rPr>
        <w:t xml:space="preserve"> del acto </w:t>
      </w:r>
      <w:r w:rsidRPr="001361BF">
        <w:rPr>
          <w:rFonts w:ascii="Arial" w:eastAsia="Arial Unicode MS" w:hAnsi="Arial" w:cs="Arial"/>
          <w:sz w:val="24"/>
          <w:szCs w:val="24"/>
        </w:rPr>
        <w:t xml:space="preserve">impugnado, consistente en </w:t>
      </w:r>
      <w:r w:rsidRPr="001361BF">
        <w:rPr>
          <w:rFonts w:ascii="Arial" w:eastAsia="Calibri" w:hAnsi="Arial" w:cs="Arial"/>
          <w:sz w:val="24"/>
          <w:szCs w:val="24"/>
        </w:rPr>
        <w:t xml:space="preserve">la </w:t>
      </w:r>
      <w:r w:rsidRPr="001361BF">
        <w:rPr>
          <w:rFonts w:ascii="Arial" w:eastAsia="Arial Unicode MS" w:hAnsi="Arial" w:cs="Arial"/>
          <w:sz w:val="24"/>
          <w:szCs w:val="24"/>
        </w:rPr>
        <w:t>resolución de fecha 10 de marzo de 2025, contenida en el oficio SEGAM/DESP/067-2025, la cual resuelve el Recurso de Revisión interpuesto en contra de la resolución dictada dentro del expediente SEGAM.AYS.02.021/2018, donde se negó el permiso de operación de fuentes fijas, de acuerdo a los razonamientos aquí expresados.</w:t>
      </w:r>
    </w:p>
    <w:p w:rsidR="000062CC" w:rsidRPr="00E94239" w:rsidRDefault="000062CC" w:rsidP="00DE6732">
      <w:pPr>
        <w:spacing w:after="0" w:line="360" w:lineRule="auto"/>
        <w:ind w:firstLine="709"/>
        <w:jc w:val="both"/>
        <w:rPr>
          <w:rFonts w:ascii="Arial" w:eastAsia="Arial Unicode MS" w:hAnsi="Arial" w:cs="Arial"/>
          <w:sz w:val="24"/>
          <w:szCs w:val="24"/>
        </w:rPr>
      </w:pPr>
    </w:p>
    <w:p w:rsidR="00DE6732" w:rsidRPr="00E94239" w:rsidRDefault="00DE6732"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sz w:val="24"/>
          <w:szCs w:val="24"/>
        </w:rPr>
        <w:t>Por lo expuesto, fundado en los términos de los artículos 123 de la Constitución Política del Estado de San Luis Potosí, y 7°</w:t>
      </w:r>
      <w:r w:rsidR="00F157B9" w:rsidRPr="00E94239">
        <w:rPr>
          <w:rFonts w:ascii="Arial" w:eastAsia="Arial Unicode MS" w:hAnsi="Arial" w:cs="Arial"/>
          <w:sz w:val="24"/>
          <w:szCs w:val="24"/>
        </w:rPr>
        <w:t xml:space="preserve"> fracciones I y III</w:t>
      </w:r>
      <w:r w:rsidRPr="00E94239">
        <w:rPr>
          <w:rFonts w:ascii="Arial" w:eastAsia="Arial Unicode MS" w:hAnsi="Arial" w:cs="Arial"/>
          <w:sz w:val="24"/>
          <w:szCs w:val="24"/>
        </w:rPr>
        <w:t>, 9° fracción III, 24, 35</w:t>
      </w:r>
      <w:r w:rsidR="00F157B9" w:rsidRPr="00E94239">
        <w:rPr>
          <w:rFonts w:ascii="Arial" w:eastAsia="Arial Unicode MS" w:hAnsi="Arial" w:cs="Arial"/>
          <w:sz w:val="24"/>
          <w:szCs w:val="24"/>
        </w:rPr>
        <w:t xml:space="preserve"> fracción VIII</w:t>
      </w:r>
      <w:r w:rsidRPr="00E94239">
        <w:rPr>
          <w:rFonts w:ascii="Arial" w:eastAsia="Arial Unicode MS" w:hAnsi="Arial" w:cs="Arial"/>
          <w:sz w:val="24"/>
          <w:szCs w:val="24"/>
        </w:rPr>
        <w:t>, 36</w:t>
      </w:r>
      <w:r w:rsidR="00F157B9" w:rsidRPr="00E94239">
        <w:rPr>
          <w:rFonts w:ascii="Arial" w:eastAsia="Arial Unicode MS" w:hAnsi="Arial" w:cs="Arial"/>
          <w:sz w:val="24"/>
          <w:szCs w:val="24"/>
        </w:rPr>
        <w:t xml:space="preserve"> fracción VII,</w:t>
      </w:r>
      <w:r w:rsidRPr="00E94239">
        <w:rPr>
          <w:rFonts w:ascii="Arial" w:eastAsia="Arial Unicode MS" w:hAnsi="Arial" w:cs="Arial"/>
          <w:sz w:val="24"/>
          <w:szCs w:val="24"/>
        </w:rPr>
        <w:t xml:space="preserve"> y 37, </w:t>
      </w:r>
      <w:r w:rsidR="0064007F" w:rsidRPr="00E94239">
        <w:rPr>
          <w:rFonts w:ascii="Arial" w:eastAsia="Arial Unicode MS" w:hAnsi="Arial" w:cs="Arial"/>
          <w:sz w:val="24"/>
          <w:szCs w:val="24"/>
        </w:rPr>
        <w:t xml:space="preserve">fracción I, </w:t>
      </w:r>
      <w:r w:rsidRPr="00E94239">
        <w:rPr>
          <w:rFonts w:ascii="Arial" w:eastAsia="Arial Unicode MS" w:hAnsi="Arial" w:cs="Arial"/>
          <w:sz w:val="24"/>
          <w:szCs w:val="24"/>
        </w:rPr>
        <w:t xml:space="preserve">de la Ley Orgánica del Tribunal Estatal de Justicia administrativa de San Luis Potosí; </w:t>
      </w:r>
      <w:r w:rsidR="0064007F" w:rsidRPr="00E94239">
        <w:rPr>
          <w:rFonts w:ascii="Arial" w:eastAsia="Times New Roman" w:hAnsi="Arial" w:cs="Arial"/>
          <w:bCs/>
          <w:color w:val="000000"/>
          <w:sz w:val="24"/>
          <w:szCs w:val="24"/>
          <w:lang w:eastAsia="es-ES"/>
        </w:rPr>
        <w:t>así como también los diversos 217, 248, 249, 250 fracción II, y 251 del Código Procesal Administrativo para el Estado de San Luis Potosí</w:t>
      </w:r>
      <w:r w:rsidR="0064007F" w:rsidRPr="00E94239">
        <w:rPr>
          <w:rFonts w:ascii="Arial" w:eastAsia="Times New Roman" w:hAnsi="Arial" w:cs="Arial"/>
          <w:color w:val="000000"/>
          <w:sz w:val="24"/>
          <w:szCs w:val="24"/>
          <w:lang w:eastAsia="es-ES"/>
        </w:rPr>
        <w:t xml:space="preserve">, </w:t>
      </w:r>
      <w:r w:rsidRPr="00E94239">
        <w:rPr>
          <w:rFonts w:ascii="Arial" w:eastAsia="Arial Unicode MS" w:hAnsi="Arial" w:cs="Arial"/>
          <w:sz w:val="24"/>
          <w:szCs w:val="24"/>
        </w:rPr>
        <w:t>es de resolverse y se,</w:t>
      </w:r>
    </w:p>
    <w:p w:rsidR="0086414A" w:rsidRPr="00E94239" w:rsidRDefault="0086414A" w:rsidP="00DE6732">
      <w:pPr>
        <w:spacing w:after="0" w:line="360" w:lineRule="auto"/>
        <w:jc w:val="center"/>
        <w:rPr>
          <w:rFonts w:ascii="Arial" w:eastAsia="Arial Unicode MS" w:hAnsi="Arial" w:cs="Arial"/>
          <w:b/>
          <w:sz w:val="24"/>
          <w:szCs w:val="24"/>
        </w:rPr>
      </w:pPr>
    </w:p>
    <w:p w:rsidR="00DE6732" w:rsidRPr="00E94239" w:rsidRDefault="00DE6732" w:rsidP="00DE6732">
      <w:pPr>
        <w:spacing w:after="0" w:line="360" w:lineRule="auto"/>
        <w:jc w:val="center"/>
        <w:rPr>
          <w:rFonts w:ascii="Arial" w:eastAsia="Arial Unicode MS" w:hAnsi="Arial" w:cs="Arial"/>
          <w:b/>
          <w:sz w:val="24"/>
          <w:szCs w:val="24"/>
        </w:rPr>
      </w:pPr>
      <w:r w:rsidRPr="00E94239">
        <w:rPr>
          <w:rFonts w:ascii="Arial" w:eastAsia="Arial Unicode MS" w:hAnsi="Arial" w:cs="Arial"/>
          <w:b/>
          <w:sz w:val="24"/>
          <w:szCs w:val="24"/>
        </w:rPr>
        <w:lastRenderedPageBreak/>
        <w:t>R E S U E L V E</w:t>
      </w:r>
    </w:p>
    <w:p w:rsidR="00DE6732" w:rsidRPr="00E94239" w:rsidRDefault="00DE6732" w:rsidP="00DE6732">
      <w:pPr>
        <w:spacing w:after="0" w:line="360" w:lineRule="auto"/>
        <w:jc w:val="center"/>
        <w:rPr>
          <w:rFonts w:ascii="Arial" w:eastAsia="Arial Unicode MS" w:hAnsi="Arial" w:cs="Arial"/>
          <w:b/>
          <w:sz w:val="24"/>
          <w:szCs w:val="24"/>
        </w:rPr>
      </w:pPr>
    </w:p>
    <w:p w:rsidR="00DE6732" w:rsidRPr="00E94239" w:rsidRDefault="00DE6732" w:rsidP="00DE6732">
      <w:pPr>
        <w:spacing w:after="0" w:line="360" w:lineRule="auto"/>
        <w:ind w:firstLine="709"/>
        <w:jc w:val="both"/>
        <w:rPr>
          <w:rFonts w:ascii="Arial" w:eastAsia="Arial Unicode MS" w:hAnsi="Arial" w:cs="Arial"/>
          <w:sz w:val="24"/>
          <w:szCs w:val="24"/>
        </w:rPr>
      </w:pPr>
      <w:r w:rsidRPr="00E94239">
        <w:rPr>
          <w:rFonts w:ascii="Arial" w:eastAsia="Arial Unicode MS" w:hAnsi="Arial" w:cs="Arial"/>
          <w:b/>
          <w:sz w:val="24"/>
          <w:szCs w:val="24"/>
        </w:rPr>
        <w:t>PRIMERO.-</w:t>
      </w:r>
      <w:r w:rsidRPr="00E94239">
        <w:rPr>
          <w:rFonts w:ascii="Arial" w:eastAsia="Arial Unicode MS" w:hAnsi="Arial" w:cs="Arial"/>
          <w:sz w:val="24"/>
          <w:szCs w:val="24"/>
        </w:rPr>
        <w:t xml:space="preserve"> Esta </w:t>
      </w:r>
      <w:r w:rsidRPr="00E94239">
        <w:rPr>
          <w:rFonts w:ascii="Arial" w:eastAsia="Arial Unicode MS" w:hAnsi="Arial" w:cs="Arial"/>
          <w:b/>
          <w:sz w:val="24"/>
          <w:szCs w:val="24"/>
        </w:rPr>
        <w:t>Sala Unitaria del Tribunal Estatal de Justicia Administrativa</w:t>
      </w:r>
      <w:r w:rsidRPr="00E94239">
        <w:rPr>
          <w:rFonts w:ascii="Arial" w:eastAsia="Arial Unicode MS" w:hAnsi="Arial" w:cs="Arial"/>
          <w:sz w:val="24"/>
          <w:szCs w:val="24"/>
        </w:rPr>
        <w:t>, resultó competente para conocer y resolver la presente controversia.</w:t>
      </w:r>
    </w:p>
    <w:p w:rsidR="0086414A" w:rsidRPr="00E94239" w:rsidRDefault="0086414A" w:rsidP="00DE6732">
      <w:pPr>
        <w:spacing w:after="0" w:line="360" w:lineRule="auto"/>
        <w:ind w:firstLine="709"/>
        <w:jc w:val="both"/>
        <w:rPr>
          <w:rFonts w:ascii="Arial" w:eastAsia="Arial Unicode MS" w:hAnsi="Arial" w:cs="Arial"/>
          <w:sz w:val="24"/>
          <w:szCs w:val="24"/>
        </w:rPr>
      </w:pPr>
    </w:p>
    <w:p w:rsidR="00DE6732" w:rsidRPr="00E94239" w:rsidRDefault="00DE6732" w:rsidP="0064007F">
      <w:pPr>
        <w:spacing w:line="360" w:lineRule="auto"/>
        <w:ind w:firstLine="708"/>
        <w:jc w:val="both"/>
        <w:rPr>
          <w:rFonts w:ascii="Arial" w:eastAsia="Arial Unicode MS" w:hAnsi="Arial" w:cs="Arial"/>
          <w:sz w:val="24"/>
          <w:szCs w:val="24"/>
        </w:rPr>
      </w:pPr>
      <w:r w:rsidRPr="00E94239">
        <w:rPr>
          <w:rFonts w:ascii="Arial" w:eastAsia="Arial Unicode MS" w:hAnsi="Arial" w:cs="Arial"/>
          <w:b/>
          <w:sz w:val="24"/>
          <w:szCs w:val="24"/>
        </w:rPr>
        <w:t>SEGUNDO.-</w:t>
      </w:r>
      <w:r w:rsidRPr="00E94239">
        <w:rPr>
          <w:rFonts w:ascii="Arial" w:eastAsia="Arial Unicode MS" w:hAnsi="Arial" w:cs="Arial"/>
          <w:sz w:val="24"/>
          <w:szCs w:val="24"/>
        </w:rPr>
        <w:t xml:space="preserve"> Se declara la </w:t>
      </w:r>
      <w:r w:rsidR="00441686" w:rsidRPr="00E94239">
        <w:rPr>
          <w:rFonts w:ascii="Arial" w:eastAsia="Arial Unicode MS" w:hAnsi="Arial" w:cs="Arial"/>
          <w:b/>
          <w:sz w:val="24"/>
          <w:szCs w:val="24"/>
        </w:rPr>
        <w:t xml:space="preserve">LEGALIDAD y </w:t>
      </w:r>
      <w:r w:rsidRPr="00E94239">
        <w:rPr>
          <w:rFonts w:ascii="Arial" w:eastAsia="Arial Unicode MS" w:hAnsi="Arial" w:cs="Arial"/>
          <w:b/>
          <w:sz w:val="24"/>
          <w:szCs w:val="24"/>
        </w:rPr>
        <w:t>VALIDEZ</w:t>
      </w:r>
      <w:r w:rsidRPr="00E94239">
        <w:rPr>
          <w:rFonts w:ascii="Arial" w:eastAsia="Arial Unicode MS" w:hAnsi="Arial" w:cs="Arial"/>
          <w:sz w:val="24"/>
          <w:szCs w:val="24"/>
        </w:rPr>
        <w:t xml:space="preserve"> </w:t>
      </w:r>
      <w:r w:rsidR="00441686" w:rsidRPr="00E94239">
        <w:rPr>
          <w:rFonts w:ascii="Arial" w:eastAsia="Arial Unicode MS" w:hAnsi="Arial" w:cs="Arial"/>
          <w:sz w:val="24"/>
          <w:szCs w:val="24"/>
        </w:rPr>
        <w:t>de la resolución impugnada</w:t>
      </w:r>
      <w:r w:rsidRPr="00E94239">
        <w:rPr>
          <w:rFonts w:ascii="Arial" w:eastAsia="Arial Unicode MS" w:hAnsi="Arial" w:cs="Arial"/>
          <w:sz w:val="24"/>
          <w:szCs w:val="24"/>
        </w:rPr>
        <w:t xml:space="preserve">, </w:t>
      </w:r>
      <w:r w:rsidR="00441686" w:rsidRPr="00E94239">
        <w:rPr>
          <w:rFonts w:ascii="Arial" w:eastAsia="Arial Unicode MS" w:hAnsi="Arial" w:cs="Arial"/>
          <w:sz w:val="24"/>
          <w:szCs w:val="24"/>
        </w:rPr>
        <w:t>de acuerdo a los razonamientos precisados</w:t>
      </w:r>
      <w:r w:rsidRPr="00E94239">
        <w:rPr>
          <w:rFonts w:ascii="Arial" w:eastAsia="Arial Unicode MS" w:hAnsi="Arial" w:cs="Arial"/>
          <w:sz w:val="24"/>
          <w:szCs w:val="24"/>
        </w:rPr>
        <w:t xml:space="preserve"> en el considerando sexto de esta sentencia.</w:t>
      </w:r>
    </w:p>
    <w:p w:rsidR="00DE6732" w:rsidRPr="00E94239" w:rsidRDefault="00DE6732" w:rsidP="00DE6732">
      <w:pPr>
        <w:spacing w:line="360" w:lineRule="auto"/>
        <w:ind w:firstLine="708"/>
        <w:jc w:val="both"/>
        <w:rPr>
          <w:rFonts w:ascii="Arial" w:eastAsia="Arial Unicode MS" w:hAnsi="Arial" w:cs="Arial"/>
          <w:sz w:val="24"/>
          <w:szCs w:val="24"/>
        </w:rPr>
      </w:pPr>
    </w:p>
    <w:p w:rsidR="008F6BA8" w:rsidRDefault="00DE6732" w:rsidP="00DE6732">
      <w:pPr>
        <w:spacing w:line="360" w:lineRule="auto"/>
        <w:ind w:firstLine="708"/>
        <w:jc w:val="both"/>
        <w:rPr>
          <w:rFonts w:ascii="Arial" w:eastAsia="Arial Unicode MS" w:hAnsi="Arial" w:cs="Arial"/>
          <w:sz w:val="24"/>
          <w:szCs w:val="24"/>
        </w:rPr>
      </w:pPr>
      <w:r w:rsidRPr="00E94239">
        <w:rPr>
          <w:rFonts w:ascii="Arial" w:eastAsia="Arial Unicode MS" w:hAnsi="Arial" w:cs="Arial"/>
          <w:b/>
          <w:sz w:val="24"/>
          <w:szCs w:val="24"/>
        </w:rPr>
        <w:t>TERCERO.-</w:t>
      </w:r>
      <w:r w:rsidRPr="00E94239">
        <w:rPr>
          <w:rFonts w:ascii="Arial" w:eastAsia="Arial Unicode MS" w:hAnsi="Arial" w:cs="Arial"/>
          <w:sz w:val="24"/>
          <w:szCs w:val="24"/>
        </w:rPr>
        <w:t xml:space="preserve"> </w:t>
      </w:r>
      <w:r w:rsidR="008F6BA8">
        <w:rPr>
          <w:rFonts w:ascii="Arial" w:eastAsia="Arial Unicode MS" w:hAnsi="Arial" w:cs="Arial"/>
          <w:sz w:val="24"/>
          <w:szCs w:val="24"/>
        </w:rPr>
        <w:t>Se dejan a salvo los derechos de la parte actora para solicitar ante la autoridad demandada se le otorgue Permiso de Operaciones de fuentes fijas, acompañando la documentación idónea que contenga la información requerida por el artículo 11 del Reglamento de la Ley Ambiental del Estado de San Luis Potosí en Materia de Prevención y Control de la Contaminación Atmosférica, entre ella la Licencia de Uso de Suelo legalmente expedida por la autoridad municipal competente correspondiente.</w:t>
      </w:r>
    </w:p>
    <w:p w:rsidR="008F6BA8" w:rsidRDefault="008F6BA8" w:rsidP="00DE6732">
      <w:pPr>
        <w:spacing w:line="360" w:lineRule="auto"/>
        <w:ind w:firstLine="708"/>
        <w:jc w:val="both"/>
        <w:rPr>
          <w:rFonts w:ascii="Arial" w:eastAsia="Arial Unicode MS" w:hAnsi="Arial" w:cs="Arial"/>
          <w:sz w:val="24"/>
          <w:szCs w:val="24"/>
        </w:rPr>
      </w:pPr>
    </w:p>
    <w:p w:rsidR="00DE6732" w:rsidRPr="00E94239" w:rsidRDefault="008F6BA8" w:rsidP="00DE6732">
      <w:pPr>
        <w:spacing w:line="360" w:lineRule="auto"/>
        <w:ind w:firstLine="708"/>
        <w:jc w:val="both"/>
        <w:rPr>
          <w:rFonts w:ascii="Arial" w:eastAsia="Calibri" w:hAnsi="Arial" w:cs="Arial"/>
          <w:sz w:val="24"/>
          <w:szCs w:val="24"/>
        </w:rPr>
      </w:pPr>
      <w:r>
        <w:rPr>
          <w:rFonts w:ascii="Arial" w:eastAsia="Arial Unicode MS" w:hAnsi="Arial" w:cs="Arial"/>
          <w:b/>
          <w:sz w:val="24"/>
          <w:szCs w:val="24"/>
        </w:rPr>
        <w:t>CUARTO.-</w:t>
      </w:r>
      <w:r>
        <w:rPr>
          <w:rFonts w:ascii="Arial" w:eastAsia="Arial Unicode MS" w:hAnsi="Arial" w:cs="Arial"/>
          <w:sz w:val="24"/>
          <w:szCs w:val="24"/>
        </w:rPr>
        <w:t xml:space="preserve"> </w:t>
      </w:r>
      <w:r w:rsidR="00DE6732" w:rsidRPr="00E94239">
        <w:rPr>
          <w:rFonts w:ascii="Arial" w:eastAsia="Calibri" w:hAnsi="Arial" w:cs="Arial"/>
          <w:sz w:val="24"/>
          <w:szCs w:val="24"/>
        </w:rPr>
        <w:t>Con copia autorizada de esta resolución, notifíquese personalmente a la parte actora y por oficio a las autoridades demandadas.</w:t>
      </w:r>
    </w:p>
    <w:p w:rsidR="0086414A" w:rsidRPr="00E94239" w:rsidRDefault="0086414A" w:rsidP="00DE6732">
      <w:pPr>
        <w:spacing w:line="360" w:lineRule="auto"/>
        <w:ind w:firstLine="708"/>
        <w:jc w:val="both"/>
        <w:rPr>
          <w:rFonts w:ascii="Arial" w:eastAsia="Calibri" w:hAnsi="Arial" w:cs="Arial"/>
          <w:sz w:val="24"/>
          <w:szCs w:val="24"/>
        </w:rPr>
      </w:pPr>
    </w:p>
    <w:p w:rsidR="00DE6732" w:rsidRPr="00E94239" w:rsidRDefault="00DE6732" w:rsidP="00DE6732">
      <w:pPr>
        <w:spacing w:after="0" w:line="360" w:lineRule="auto"/>
        <w:ind w:firstLine="709"/>
        <w:jc w:val="both"/>
        <w:rPr>
          <w:rFonts w:ascii="Arial" w:hAnsi="Arial" w:cs="Arial"/>
          <w:sz w:val="24"/>
          <w:szCs w:val="24"/>
        </w:rPr>
      </w:pPr>
      <w:r w:rsidRPr="00E94239">
        <w:rPr>
          <w:rFonts w:ascii="Arial" w:eastAsia="Calibri" w:hAnsi="Arial" w:cs="Arial"/>
          <w:sz w:val="24"/>
          <w:szCs w:val="24"/>
        </w:rPr>
        <w:t xml:space="preserve">Así lo resolvió y firma, el Magistrado Titular de la Tercera Sala Unitaria del Tribunal Estatal de Justicia Administrativa de San Luis Potosí, </w:t>
      </w:r>
      <w:r w:rsidRPr="00E94239">
        <w:rPr>
          <w:rFonts w:ascii="Arial" w:eastAsia="Calibri" w:hAnsi="Arial" w:cs="Arial"/>
          <w:b/>
          <w:sz w:val="24"/>
          <w:szCs w:val="24"/>
        </w:rPr>
        <w:t>Licenciado Jorge Alejandro Vera Noyola,</w:t>
      </w:r>
      <w:r w:rsidRPr="00E94239">
        <w:rPr>
          <w:rFonts w:ascii="Arial" w:eastAsia="Calibri" w:hAnsi="Arial" w:cs="Arial"/>
          <w:sz w:val="24"/>
          <w:szCs w:val="24"/>
        </w:rPr>
        <w:t xml:space="preserve"> quien actúa con Secretario de Acuerdos, </w:t>
      </w:r>
      <w:r w:rsidRPr="00E94239">
        <w:rPr>
          <w:rFonts w:ascii="Arial" w:eastAsia="Calibri" w:hAnsi="Arial" w:cs="Arial"/>
          <w:b/>
          <w:sz w:val="24"/>
          <w:szCs w:val="24"/>
        </w:rPr>
        <w:t>Licenciado Ismael Méndez Hernández,</w:t>
      </w:r>
      <w:r w:rsidRPr="00E94239">
        <w:rPr>
          <w:rFonts w:ascii="Arial" w:eastAsia="Calibri" w:hAnsi="Arial" w:cs="Arial"/>
          <w:sz w:val="24"/>
          <w:szCs w:val="24"/>
        </w:rPr>
        <w:t xml:space="preserve"> que autoriza y da fe.</w:t>
      </w:r>
      <w:r w:rsidRPr="00E94239">
        <w:rPr>
          <w:rFonts w:ascii="Arial" w:hAnsi="Arial" w:cs="Arial"/>
          <w:sz w:val="24"/>
          <w:szCs w:val="24"/>
        </w:rPr>
        <w:t xml:space="preserve"> </w:t>
      </w:r>
    </w:p>
    <w:p w:rsidR="00DE6732" w:rsidRPr="00E94239" w:rsidRDefault="00DE6732" w:rsidP="00DE6732">
      <w:pPr>
        <w:spacing w:line="360" w:lineRule="auto"/>
        <w:ind w:firstLine="709"/>
        <w:jc w:val="both"/>
        <w:rPr>
          <w:rFonts w:ascii="Arial" w:hAnsi="Arial" w:cs="Arial"/>
          <w:sz w:val="24"/>
          <w:szCs w:val="24"/>
        </w:rPr>
      </w:pPr>
    </w:p>
    <w:p w:rsidR="00E00248" w:rsidRPr="003738E0" w:rsidRDefault="00E00248" w:rsidP="00E00248">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BF4C78" w:rsidRPr="00E94239" w:rsidRDefault="00BF4C78" w:rsidP="00E00248">
      <w:pPr>
        <w:rPr>
          <w:rFonts w:ascii="Arial" w:hAnsi="Arial" w:cs="Arial"/>
          <w:sz w:val="24"/>
          <w:szCs w:val="24"/>
        </w:rPr>
      </w:pPr>
      <w:bookmarkStart w:id="0" w:name="_GoBack"/>
      <w:bookmarkEnd w:id="0"/>
    </w:p>
    <w:sectPr w:rsidR="00BF4C78" w:rsidRPr="00E94239" w:rsidSect="0086414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F77" w:rsidRDefault="00EF1F77" w:rsidP="00DE6732">
      <w:pPr>
        <w:spacing w:after="0" w:line="240" w:lineRule="auto"/>
      </w:pPr>
      <w:r>
        <w:separator/>
      </w:r>
    </w:p>
  </w:endnote>
  <w:endnote w:type="continuationSeparator" w:id="0">
    <w:p w:rsidR="00EF1F77" w:rsidRDefault="00EF1F77"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F77" w:rsidRDefault="00EF1F77" w:rsidP="00DE6732">
      <w:pPr>
        <w:spacing w:after="0" w:line="240" w:lineRule="auto"/>
      </w:pPr>
      <w:r>
        <w:separator/>
      </w:r>
    </w:p>
  </w:footnote>
  <w:footnote w:type="continuationSeparator" w:id="0">
    <w:p w:rsidR="00EF1F77" w:rsidRDefault="00EF1F77" w:rsidP="00DE67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4F76" w:rsidRPr="00062CBC" w:rsidRDefault="00144F76"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E00248" w:rsidRPr="00E00248">
          <w:rPr>
            <w:rFonts w:ascii="Arial Narrow" w:hAnsi="Arial Narrow"/>
            <w:noProof/>
            <w:lang w:val="es-ES"/>
          </w:rPr>
          <w:t>36</w:t>
        </w:r>
        <w:r w:rsidRPr="00062CBC">
          <w:rPr>
            <w:rFonts w:ascii="Arial Narrow" w:hAnsi="Arial Narrow"/>
          </w:rPr>
          <w:fldChar w:fldCharType="end"/>
        </w:r>
      </w:sdtContent>
    </w:sdt>
  </w:p>
  <w:p w:rsidR="00144F76" w:rsidRDefault="00144F76" w:rsidP="006C31D7">
    <w:pPr>
      <w:pStyle w:val="Encabezado"/>
      <w:jc w:val="right"/>
    </w:pPr>
    <w:proofErr w:type="spellStart"/>
    <w:r>
      <w:t>Exp</w:t>
    </w:r>
    <w:proofErr w:type="spellEnd"/>
    <w:r>
      <w:t>. 416/2025/3</w:t>
    </w:r>
  </w:p>
  <w:p w:rsidR="00144F76" w:rsidRDefault="00144F76" w:rsidP="006C31D7">
    <w:pPr>
      <w:pStyle w:val="Encabezado"/>
      <w:jc w:val="right"/>
    </w:pPr>
  </w:p>
  <w:p w:rsidR="00144F76" w:rsidRDefault="00144F76"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4F76" w:rsidRPr="00062CBC" w:rsidRDefault="00144F76">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E00248" w:rsidRPr="00E00248">
          <w:rPr>
            <w:rFonts w:ascii="Arial Narrow" w:hAnsi="Arial Narrow"/>
            <w:noProof/>
            <w:lang w:val="es-ES"/>
          </w:rPr>
          <w:t>37</w:t>
        </w:r>
        <w:r w:rsidRPr="00062CBC">
          <w:rPr>
            <w:rFonts w:ascii="Arial Narrow" w:hAnsi="Arial Narrow"/>
          </w:rPr>
          <w:fldChar w:fldCharType="end"/>
        </w:r>
      </w:sdtContent>
    </w:sdt>
  </w:p>
  <w:p w:rsidR="00144F76" w:rsidRDefault="00144F76" w:rsidP="006C31D7">
    <w:pPr>
      <w:pStyle w:val="Encabezado"/>
      <w:jc w:val="right"/>
    </w:pPr>
    <w:proofErr w:type="spellStart"/>
    <w:r>
      <w:t>Exp</w:t>
    </w:r>
    <w:proofErr w:type="spellEnd"/>
    <w:r>
      <w:t>. 416/2025/3</w:t>
    </w:r>
  </w:p>
  <w:p w:rsidR="00144F76" w:rsidRDefault="00144F76" w:rsidP="006C31D7">
    <w:pPr>
      <w:pStyle w:val="Encabezado"/>
      <w:jc w:val="right"/>
    </w:pPr>
  </w:p>
  <w:p w:rsidR="00144F76" w:rsidRPr="00062CBC" w:rsidRDefault="00144F76"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4F76" w:rsidRPr="00AA6DA7" w:rsidRDefault="00144F76"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4F76" w:rsidRDefault="00144F76" w:rsidP="006C31D7">
                          <w:pPr>
                            <w:pStyle w:val="Sinespaciado"/>
                            <w:jc w:val="center"/>
                            <w:rPr>
                              <w:rFonts w:ascii="Microsoft Sans Serif" w:hAnsi="Microsoft Sans Serif" w:cs="Microsoft Sans Serif"/>
                              <w:sz w:val="14"/>
                              <w:szCs w:val="14"/>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4F76" w:rsidRPr="00AF006C" w:rsidRDefault="00144F76" w:rsidP="006C31D7">
                          <w:pPr>
                            <w:pStyle w:val="Sinespaciado"/>
                            <w:jc w:val="center"/>
                            <w:rPr>
                              <w:rFonts w:ascii="Microsoft Sans Serif" w:hAnsi="Microsoft Sans Serif" w:cs="Microsoft Sans Serif"/>
                              <w:b/>
                              <w:sz w:val="16"/>
                              <w:szCs w:val="16"/>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144F76" w:rsidRPr="00AA6DA7" w:rsidRDefault="00144F76"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4F76" w:rsidRDefault="00144F76" w:rsidP="006C31D7">
                    <w:pPr>
                      <w:pStyle w:val="Sinespaciado"/>
                      <w:jc w:val="center"/>
                      <w:rPr>
                        <w:rFonts w:ascii="Microsoft Sans Serif" w:hAnsi="Microsoft Sans Serif" w:cs="Microsoft Sans Serif"/>
                        <w:sz w:val="14"/>
                        <w:szCs w:val="14"/>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4F76" w:rsidRPr="00AF006C" w:rsidRDefault="00144F76" w:rsidP="006C31D7">
                    <w:pPr>
                      <w:pStyle w:val="Sinespaciado"/>
                      <w:jc w:val="center"/>
                      <w:rPr>
                        <w:rFonts w:ascii="Microsoft Sans Serif" w:hAnsi="Microsoft Sans Serif" w:cs="Microsoft Sans Serif"/>
                        <w:b/>
                        <w:sz w:val="16"/>
                        <w:szCs w:val="16"/>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4F76" w:rsidRPr="004A456E" w:rsidRDefault="00144F76"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44F76" w:rsidRPr="00AA6DA7" w:rsidRDefault="00144F76"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4F76" w:rsidRDefault="00144F76" w:rsidP="006C31D7">
                          <w:pPr>
                            <w:pStyle w:val="Sinespaciado"/>
                            <w:jc w:val="center"/>
                            <w:rPr>
                              <w:rFonts w:ascii="Microsoft Sans Serif" w:hAnsi="Microsoft Sans Serif" w:cs="Microsoft Sans Serif"/>
                              <w:sz w:val="14"/>
                              <w:szCs w:val="14"/>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4F76" w:rsidRPr="00AF006C" w:rsidRDefault="00144F76" w:rsidP="006C31D7">
                          <w:pPr>
                            <w:pStyle w:val="Sinespaciado"/>
                            <w:jc w:val="center"/>
                            <w:rPr>
                              <w:rFonts w:ascii="Microsoft Sans Serif" w:hAnsi="Microsoft Sans Serif" w:cs="Microsoft Sans Serif"/>
                              <w:b/>
                              <w:sz w:val="16"/>
                              <w:szCs w:val="16"/>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144F76" w:rsidRPr="00AA6DA7" w:rsidRDefault="00144F76"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144F76" w:rsidRDefault="00144F76" w:rsidP="006C31D7">
                    <w:pPr>
                      <w:pStyle w:val="Sinespaciado"/>
                      <w:jc w:val="center"/>
                      <w:rPr>
                        <w:rFonts w:ascii="Microsoft Sans Serif" w:hAnsi="Microsoft Sans Serif" w:cs="Microsoft Sans Serif"/>
                        <w:sz w:val="14"/>
                        <w:szCs w:val="14"/>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144F76" w:rsidRPr="00AF006C" w:rsidRDefault="00144F76" w:rsidP="006C31D7">
                    <w:pPr>
                      <w:pStyle w:val="Sinespaciado"/>
                      <w:jc w:val="center"/>
                      <w:rPr>
                        <w:rFonts w:ascii="Microsoft Sans Serif" w:hAnsi="Microsoft Sans Serif" w:cs="Microsoft Sans Serif"/>
                        <w:b/>
                        <w:sz w:val="16"/>
                        <w:szCs w:val="16"/>
                      </w:rPr>
                    </w:pPr>
                  </w:p>
                  <w:p w:rsidR="00144F76" w:rsidRPr="00AF006C" w:rsidRDefault="00144F76"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3517"/>
    <w:rsid w:val="000062CC"/>
    <w:rsid w:val="00014834"/>
    <w:rsid w:val="00024A62"/>
    <w:rsid w:val="00024D3B"/>
    <w:rsid w:val="00047DCF"/>
    <w:rsid w:val="00064D81"/>
    <w:rsid w:val="0008217A"/>
    <w:rsid w:val="000907DF"/>
    <w:rsid w:val="000B61E7"/>
    <w:rsid w:val="000C1B1C"/>
    <w:rsid w:val="000C2624"/>
    <w:rsid w:val="000C4E79"/>
    <w:rsid w:val="000F563A"/>
    <w:rsid w:val="00117F9C"/>
    <w:rsid w:val="0012255E"/>
    <w:rsid w:val="0012426E"/>
    <w:rsid w:val="00126BAF"/>
    <w:rsid w:val="00132C5E"/>
    <w:rsid w:val="00134268"/>
    <w:rsid w:val="001361BF"/>
    <w:rsid w:val="001410FE"/>
    <w:rsid w:val="00144F76"/>
    <w:rsid w:val="0015348A"/>
    <w:rsid w:val="00162E95"/>
    <w:rsid w:val="001876ED"/>
    <w:rsid w:val="001A00E5"/>
    <w:rsid w:val="001A3E98"/>
    <w:rsid w:val="001A412C"/>
    <w:rsid w:val="001C30FC"/>
    <w:rsid w:val="001E44EA"/>
    <w:rsid w:val="002055D1"/>
    <w:rsid w:val="002413DB"/>
    <w:rsid w:val="00254C32"/>
    <w:rsid w:val="002561FC"/>
    <w:rsid w:val="0028063E"/>
    <w:rsid w:val="002920F1"/>
    <w:rsid w:val="002D60E5"/>
    <w:rsid w:val="002F27C9"/>
    <w:rsid w:val="003118AB"/>
    <w:rsid w:val="00320027"/>
    <w:rsid w:val="00335DBB"/>
    <w:rsid w:val="003406F6"/>
    <w:rsid w:val="00347F68"/>
    <w:rsid w:val="0035337F"/>
    <w:rsid w:val="00362AC9"/>
    <w:rsid w:val="00364C23"/>
    <w:rsid w:val="003755E6"/>
    <w:rsid w:val="003B048A"/>
    <w:rsid w:val="003B0B6A"/>
    <w:rsid w:val="003D3615"/>
    <w:rsid w:val="003D7B14"/>
    <w:rsid w:val="003E0491"/>
    <w:rsid w:val="00407161"/>
    <w:rsid w:val="00420CB1"/>
    <w:rsid w:val="004223EF"/>
    <w:rsid w:val="004271F5"/>
    <w:rsid w:val="004312C6"/>
    <w:rsid w:val="004367D7"/>
    <w:rsid w:val="00440D5B"/>
    <w:rsid w:val="00441686"/>
    <w:rsid w:val="00450D6A"/>
    <w:rsid w:val="00471BF1"/>
    <w:rsid w:val="00484D75"/>
    <w:rsid w:val="004915E8"/>
    <w:rsid w:val="004B06EB"/>
    <w:rsid w:val="004C0C9B"/>
    <w:rsid w:val="004C788C"/>
    <w:rsid w:val="004F4B85"/>
    <w:rsid w:val="0050445B"/>
    <w:rsid w:val="00505910"/>
    <w:rsid w:val="00522380"/>
    <w:rsid w:val="005315F5"/>
    <w:rsid w:val="00533425"/>
    <w:rsid w:val="00540083"/>
    <w:rsid w:val="00545B04"/>
    <w:rsid w:val="00546A76"/>
    <w:rsid w:val="005545A2"/>
    <w:rsid w:val="00554A90"/>
    <w:rsid w:val="00561576"/>
    <w:rsid w:val="00564C0C"/>
    <w:rsid w:val="00587E1A"/>
    <w:rsid w:val="00591224"/>
    <w:rsid w:val="005B6196"/>
    <w:rsid w:val="005C4C02"/>
    <w:rsid w:val="005D0CAD"/>
    <w:rsid w:val="005E21CA"/>
    <w:rsid w:val="005E6BA3"/>
    <w:rsid w:val="005F09FF"/>
    <w:rsid w:val="005F1BFC"/>
    <w:rsid w:val="006033CC"/>
    <w:rsid w:val="00606CA2"/>
    <w:rsid w:val="00613D63"/>
    <w:rsid w:val="006222EF"/>
    <w:rsid w:val="00623ED7"/>
    <w:rsid w:val="0064007F"/>
    <w:rsid w:val="00640845"/>
    <w:rsid w:val="006462E8"/>
    <w:rsid w:val="00655449"/>
    <w:rsid w:val="00662D57"/>
    <w:rsid w:val="00681E5D"/>
    <w:rsid w:val="006839B1"/>
    <w:rsid w:val="006855C1"/>
    <w:rsid w:val="00692E16"/>
    <w:rsid w:val="006A3DBA"/>
    <w:rsid w:val="006C31D7"/>
    <w:rsid w:val="006C773F"/>
    <w:rsid w:val="006D7087"/>
    <w:rsid w:val="006E5B9C"/>
    <w:rsid w:val="006E6B25"/>
    <w:rsid w:val="006F2478"/>
    <w:rsid w:val="006F7359"/>
    <w:rsid w:val="00703E0E"/>
    <w:rsid w:val="00706913"/>
    <w:rsid w:val="0071593E"/>
    <w:rsid w:val="00726005"/>
    <w:rsid w:val="00736E8E"/>
    <w:rsid w:val="007422BC"/>
    <w:rsid w:val="00743AB6"/>
    <w:rsid w:val="00752FD6"/>
    <w:rsid w:val="00765591"/>
    <w:rsid w:val="00780093"/>
    <w:rsid w:val="0078042C"/>
    <w:rsid w:val="00786AA8"/>
    <w:rsid w:val="0078764F"/>
    <w:rsid w:val="007A1274"/>
    <w:rsid w:val="007A17DF"/>
    <w:rsid w:val="007C17FA"/>
    <w:rsid w:val="007D0CE4"/>
    <w:rsid w:val="007D1C05"/>
    <w:rsid w:val="007E620F"/>
    <w:rsid w:val="00805F61"/>
    <w:rsid w:val="00811704"/>
    <w:rsid w:val="0083536B"/>
    <w:rsid w:val="0086414A"/>
    <w:rsid w:val="008677E0"/>
    <w:rsid w:val="008811D3"/>
    <w:rsid w:val="008A6114"/>
    <w:rsid w:val="008C0D5B"/>
    <w:rsid w:val="008C431B"/>
    <w:rsid w:val="008C4813"/>
    <w:rsid w:val="008E0558"/>
    <w:rsid w:val="008F46FE"/>
    <w:rsid w:val="008F47D9"/>
    <w:rsid w:val="008F6BA8"/>
    <w:rsid w:val="00934E56"/>
    <w:rsid w:val="00936746"/>
    <w:rsid w:val="00955F0F"/>
    <w:rsid w:val="009952B3"/>
    <w:rsid w:val="009A4749"/>
    <w:rsid w:val="009B080B"/>
    <w:rsid w:val="009C2ABF"/>
    <w:rsid w:val="009D2226"/>
    <w:rsid w:val="009E1199"/>
    <w:rsid w:val="009E375A"/>
    <w:rsid w:val="009E4496"/>
    <w:rsid w:val="009E5909"/>
    <w:rsid w:val="00A00FA4"/>
    <w:rsid w:val="00A15B13"/>
    <w:rsid w:val="00A2316C"/>
    <w:rsid w:val="00A55FCF"/>
    <w:rsid w:val="00A617A2"/>
    <w:rsid w:val="00A657E3"/>
    <w:rsid w:val="00A72077"/>
    <w:rsid w:val="00A720DA"/>
    <w:rsid w:val="00A94C63"/>
    <w:rsid w:val="00AA14F2"/>
    <w:rsid w:val="00AB7DEC"/>
    <w:rsid w:val="00AE1B53"/>
    <w:rsid w:val="00AE5F20"/>
    <w:rsid w:val="00AF741E"/>
    <w:rsid w:val="00B232AF"/>
    <w:rsid w:val="00B23724"/>
    <w:rsid w:val="00B34D9D"/>
    <w:rsid w:val="00B434EA"/>
    <w:rsid w:val="00B458FB"/>
    <w:rsid w:val="00B551DB"/>
    <w:rsid w:val="00B6012F"/>
    <w:rsid w:val="00B64D28"/>
    <w:rsid w:val="00B868AA"/>
    <w:rsid w:val="00B9729D"/>
    <w:rsid w:val="00BA16DD"/>
    <w:rsid w:val="00BC3FDA"/>
    <w:rsid w:val="00BD4AD5"/>
    <w:rsid w:val="00BF4C78"/>
    <w:rsid w:val="00BF6602"/>
    <w:rsid w:val="00C00FA9"/>
    <w:rsid w:val="00C058C4"/>
    <w:rsid w:val="00C37F5C"/>
    <w:rsid w:val="00C47377"/>
    <w:rsid w:val="00C54FF7"/>
    <w:rsid w:val="00C57793"/>
    <w:rsid w:val="00C64244"/>
    <w:rsid w:val="00C70000"/>
    <w:rsid w:val="00C707D0"/>
    <w:rsid w:val="00C732C6"/>
    <w:rsid w:val="00C74A10"/>
    <w:rsid w:val="00C93551"/>
    <w:rsid w:val="00CA6430"/>
    <w:rsid w:val="00CE6F29"/>
    <w:rsid w:val="00CF6FA6"/>
    <w:rsid w:val="00D10049"/>
    <w:rsid w:val="00D10D36"/>
    <w:rsid w:val="00D23A81"/>
    <w:rsid w:val="00D300EB"/>
    <w:rsid w:val="00D45F1B"/>
    <w:rsid w:val="00D46A8E"/>
    <w:rsid w:val="00D61D33"/>
    <w:rsid w:val="00D71D76"/>
    <w:rsid w:val="00D833DA"/>
    <w:rsid w:val="00DA19DF"/>
    <w:rsid w:val="00DA3B08"/>
    <w:rsid w:val="00DB53F2"/>
    <w:rsid w:val="00DE6732"/>
    <w:rsid w:val="00DF0630"/>
    <w:rsid w:val="00E00248"/>
    <w:rsid w:val="00E040D1"/>
    <w:rsid w:val="00E12EFA"/>
    <w:rsid w:val="00E14279"/>
    <w:rsid w:val="00E30AB1"/>
    <w:rsid w:val="00E31DEF"/>
    <w:rsid w:val="00E63B91"/>
    <w:rsid w:val="00E64EB7"/>
    <w:rsid w:val="00E77BF2"/>
    <w:rsid w:val="00E94239"/>
    <w:rsid w:val="00E94672"/>
    <w:rsid w:val="00EA1180"/>
    <w:rsid w:val="00EA2E72"/>
    <w:rsid w:val="00ED0968"/>
    <w:rsid w:val="00ED69E2"/>
    <w:rsid w:val="00EE4129"/>
    <w:rsid w:val="00EE6108"/>
    <w:rsid w:val="00EF07C0"/>
    <w:rsid w:val="00EF1F77"/>
    <w:rsid w:val="00F157B9"/>
    <w:rsid w:val="00F244C9"/>
    <w:rsid w:val="00F3025A"/>
    <w:rsid w:val="00F40C56"/>
    <w:rsid w:val="00F5260E"/>
    <w:rsid w:val="00F550FB"/>
    <w:rsid w:val="00F57DAC"/>
    <w:rsid w:val="00F72AA8"/>
    <w:rsid w:val="00F77D32"/>
    <w:rsid w:val="00F80F15"/>
    <w:rsid w:val="00F84794"/>
    <w:rsid w:val="00F86B60"/>
    <w:rsid w:val="00FB2F47"/>
    <w:rsid w:val="00FB752F"/>
    <w:rsid w:val="00FC2246"/>
    <w:rsid w:val="00FC4AB3"/>
    <w:rsid w:val="00FD1EF2"/>
    <w:rsid w:val="00FD53F8"/>
    <w:rsid w:val="00FD7BCD"/>
    <w:rsid w:val="00FE1570"/>
    <w:rsid w:val="00FE5ED0"/>
    <w:rsid w:val="00FF0DB9"/>
    <w:rsid w:val="00FF28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customStyle="1" w:styleId="vkekvd">
    <w:name w:val="vkekvd"/>
    <w:basedOn w:val="Fuentedeprrafopredeter"/>
    <w:rsid w:val="003E04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 w:type="character" w:customStyle="1" w:styleId="vkekvd">
    <w:name w:val="vkekvd"/>
    <w:basedOn w:val="Fuentedeprrafopredeter"/>
    <w:rsid w:val="003E0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752</TotalTime>
  <Pages>37</Pages>
  <Words>14735</Words>
  <Characters>81045</Characters>
  <Application>Microsoft Office Word</Application>
  <DocSecurity>0</DocSecurity>
  <Lines>675</Lines>
  <Paragraphs>191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95589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62</cp:revision>
  <dcterms:created xsi:type="dcterms:W3CDTF">2026-01-20T18:53:00Z</dcterms:created>
  <dcterms:modified xsi:type="dcterms:W3CDTF">2026-02-10T17:25:00Z</dcterms:modified>
</cp:coreProperties>
</file>