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502DF">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D63EFF">
        <w:rPr>
          <w:rFonts w:ascii="Arial" w:hAnsi="Arial" w:cs="Arial"/>
          <w:b/>
          <w:sz w:val="24"/>
          <w:szCs w:val="24"/>
        </w:rPr>
        <w:t>febrero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D63EFF">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C25A0E">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1C5B35">
        <w:rPr>
          <w:rFonts w:ascii="Arial" w:hAnsi="Arial" w:cs="Arial"/>
          <w:sz w:val="24"/>
          <w:szCs w:val="24"/>
        </w:rPr>
        <w:t>,</w:t>
      </w:r>
      <w:r w:rsidRPr="00115CE3">
        <w:rPr>
          <w:rFonts w:ascii="Arial" w:hAnsi="Arial" w:cs="Arial"/>
          <w:sz w:val="24"/>
          <w:szCs w:val="24"/>
        </w:rPr>
        <w:t xml:space="preserve"> mediante oficio</w:t>
      </w:r>
      <w:r w:rsidR="004E1EAB">
        <w:rPr>
          <w:rFonts w:ascii="Arial" w:hAnsi="Arial" w:cs="Arial"/>
          <w:sz w:val="24"/>
          <w:szCs w:val="24"/>
        </w:rPr>
        <w:t xml:space="preserve"> </w:t>
      </w:r>
      <w:r w:rsidR="00CD69B4">
        <w:rPr>
          <w:rFonts w:ascii="Arial" w:hAnsi="Arial" w:cs="Arial"/>
          <w:b/>
          <w:sz w:val="24"/>
          <w:szCs w:val="24"/>
        </w:rPr>
        <w:t>DGA/DRH/0193</w:t>
      </w:r>
      <w:r w:rsidR="004E1EAB" w:rsidRPr="004E1EAB">
        <w:rPr>
          <w:rFonts w:ascii="Arial" w:hAnsi="Arial" w:cs="Arial"/>
          <w:b/>
          <w:sz w:val="24"/>
          <w:szCs w:val="24"/>
        </w:rPr>
        <w:t>/2026</w:t>
      </w:r>
      <w:r w:rsidRPr="00115CE3">
        <w:rPr>
          <w:rFonts w:ascii="Arial" w:hAnsi="Arial" w:cs="Arial"/>
          <w:sz w:val="24"/>
          <w:szCs w:val="24"/>
        </w:rPr>
        <w:t xml:space="preserve"> </w:t>
      </w:r>
      <w:r w:rsidR="004E1EAB" w:rsidRPr="004E1EAB">
        <w:rPr>
          <w:rFonts w:ascii="Arial" w:hAnsi="Arial" w:cs="Arial"/>
          <w:sz w:val="24"/>
          <w:szCs w:val="24"/>
        </w:rPr>
        <w:t>el</w:t>
      </w:r>
      <w:r w:rsidR="004E1EAB">
        <w:rPr>
          <w:rFonts w:ascii="Arial" w:hAnsi="Arial" w:cs="Arial"/>
          <w:b/>
          <w:sz w:val="24"/>
          <w:szCs w:val="24"/>
        </w:rPr>
        <w:t xml:space="preserve"> </w:t>
      </w:r>
      <w:r w:rsidR="00CD69B4">
        <w:rPr>
          <w:rFonts w:ascii="Arial" w:hAnsi="Arial" w:cs="Arial"/>
          <w:b/>
          <w:sz w:val="24"/>
          <w:szCs w:val="24"/>
        </w:rPr>
        <w:t>20</w:t>
      </w:r>
      <w:r w:rsidR="001C5B35">
        <w:rPr>
          <w:rFonts w:ascii="Arial" w:hAnsi="Arial" w:cs="Arial"/>
          <w:b/>
          <w:sz w:val="24"/>
          <w:szCs w:val="24"/>
        </w:rPr>
        <w:t xml:space="preserve"> de enero 2026</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CD69B4">
        <w:rPr>
          <w:rFonts w:ascii="Arial" w:hAnsi="Arial" w:cs="Arial"/>
          <w:b/>
          <w:sz w:val="24"/>
          <w:szCs w:val="24"/>
        </w:rPr>
        <w:t>total AR/004</w:t>
      </w:r>
      <w:r w:rsidR="004E1EAB">
        <w:rPr>
          <w:rFonts w:ascii="Arial" w:hAnsi="Arial" w:cs="Arial"/>
          <w:b/>
          <w:sz w:val="24"/>
          <w:szCs w:val="24"/>
        </w:rPr>
        <w:t>/2026</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102849">
        <w:rPr>
          <w:rFonts w:ascii="Arial" w:hAnsi="Arial" w:cs="Arial"/>
          <w:b/>
          <w:sz w:val="24"/>
          <w:szCs w:val="24"/>
        </w:rPr>
        <w:t>26</w:t>
      </w:r>
      <w:r w:rsidR="0053156B" w:rsidRPr="00115CE3">
        <w:rPr>
          <w:rFonts w:ascii="Arial" w:hAnsi="Arial" w:cs="Arial"/>
          <w:sz w:val="24"/>
          <w:szCs w:val="24"/>
        </w:rPr>
        <w:t>-24046982</w:t>
      </w:r>
      <w:r w:rsidR="00102849">
        <w:rPr>
          <w:rFonts w:ascii="Arial" w:hAnsi="Arial" w:cs="Arial"/>
          <w:sz w:val="24"/>
          <w:szCs w:val="24"/>
        </w:rPr>
        <w:t>6</w:t>
      </w:r>
      <w:r w:rsidR="0053156B" w:rsidRPr="00115CE3">
        <w:rPr>
          <w:rFonts w:ascii="Arial" w:hAnsi="Arial" w:cs="Arial"/>
          <w:sz w:val="24"/>
          <w:szCs w:val="24"/>
        </w:rPr>
        <w:t>000</w:t>
      </w:r>
      <w:r w:rsidR="00102849">
        <w:rPr>
          <w:rFonts w:ascii="Arial" w:hAnsi="Arial" w:cs="Arial"/>
          <w:b/>
          <w:sz w:val="24"/>
          <w:szCs w:val="24"/>
        </w:rPr>
        <w:t>26</w:t>
      </w:r>
      <w:r w:rsidR="0053156B" w:rsidRPr="00115CE3">
        <w:rPr>
          <w:rFonts w:ascii="Arial" w:hAnsi="Arial" w:cs="Arial"/>
          <w:sz w:val="24"/>
          <w:szCs w:val="24"/>
        </w:rPr>
        <w:t>-202</w:t>
      </w:r>
      <w:r w:rsidR="00102849">
        <w:rPr>
          <w:rFonts w:ascii="Arial" w:hAnsi="Arial" w:cs="Arial"/>
          <w:sz w:val="24"/>
          <w:szCs w:val="24"/>
        </w:rPr>
        <w:t>6</w:t>
      </w:r>
      <w:r w:rsidR="0053156B" w:rsidRPr="00115CE3">
        <w:rPr>
          <w:rFonts w:ascii="Arial" w:hAnsi="Arial" w:cs="Arial"/>
          <w:sz w:val="24"/>
          <w:szCs w:val="24"/>
        </w:rPr>
        <w:t xml:space="preserve"> realizada por </w:t>
      </w:r>
      <w:r w:rsidR="004E1EAB">
        <w:rPr>
          <w:rFonts w:ascii="Arial" w:hAnsi="Arial" w:cs="Arial"/>
          <w:sz w:val="24"/>
          <w:szCs w:val="24"/>
        </w:rPr>
        <w:t xml:space="preserve">un usuario </w:t>
      </w:r>
      <w:r w:rsidR="00102849">
        <w:rPr>
          <w:rFonts w:ascii="Arial" w:hAnsi="Arial" w:cs="Arial"/>
          <w:b/>
          <w:sz w:val="24"/>
          <w:szCs w:val="24"/>
        </w:rPr>
        <w:t>Jesús López</w:t>
      </w:r>
      <w:r w:rsidR="000C23C7">
        <w:rPr>
          <w:rFonts w:ascii="Arial" w:hAnsi="Arial" w:cs="Arial"/>
          <w:sz w:val="24"/>
          <w:szCs w:val="24"/>
        </w:rPr>
        <w:t>, quien manifiesta su deseo de acceder a la siguiente información:</w:t>
      </w:r>
    </w:p>
    <w:p w:rsidR="00102849" w:rsidRPr="00102849" w:rsidRDefault="00102849" w:rsidP="00102849">
      <w:pPr>
        <w:spacing w:line="240" w:lineRule="auto"/>
        <w:jc w:val="both"/>
        <w:rPr>
          <w:rFonts w:ascii="Arial" w:hAnsi="Arial" w:cs="Arial"/>
          <w:sz w:val="20"/>
          <w:szCs w:val="20"/>
        </w:rPr>
      </w:pPr>
      <w:r w:rsidRPr="00102849">
        <w:rPr>
          <w:rFonts w:ascii="Arial" w:hAnsi="Arial" w:cs="Arial"/>
          <w:sz w:val="20"/>
          <w:szCs w:val="20"/>
        </w:rPr>
        <w:t>Les envío un afectuoso saludo, como cada año vengo a realizar el siguiente ejercicio, haciendo valer mi derecho de acceso a la información, solicito la información relacionada con su estado de fuerza, servicios de investigación, periciales, y de más servidores públicos de esta Fiscalía y/o Procuraduría, correspondientes al mes de enero a diciembre 2025.</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A). - Respecto a su Policía de Investigación, ministerial, judicial, necesito información desagregada por:</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 Número total</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 Cuantos hombres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3. Cuántas mujeres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4. Cuantos con sexo indefinido u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5. Las edades,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6. Última escolaridad (nivel),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7. Estado civil por totales de hombres y mujeres.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8. Por totales cuantos hombres y mujeres tienen hijos y cuantos no.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9. Si su última escolaridad fue concluida,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10. De que institución proceden (ejemplo; Defensa Nacional, Marina etc.),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11. Antigüedad en la Fiscalía,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12. Antigüedad en el cargo y como fue designado,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13. Cuantos se jubilaron y cuantos renunciaron,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14. Si pertenecen a algún pueblo indígena, y a cuál,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 xml:space="preserve">15. Si cuentan con alguna discapacidad, ya sea física o mental, en que consiste cada una de ellas, que impedimentos presenta para desarrollar sus actividades, es decir; para caminar, aprender, escuchar realizar sus actividades, y cualquier otra que sea relacionada, esto según el cargo y sexo. </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B</w:t>
      </w:r>
      <w:proofErr w:type="gramStart"/>
      <w:r w:rsidRPr="00102849">
        <w:rPr>
          <w:rFonts w:ascii="Arial" w:hAnsi="Arial" w:cs="Arial"/>
          <w:sz w:val="20"/>
          <w:szCs w:val="20"/>
        </w:rPr>
        <w:t>).-</w:t>
      </w:r>
      <w:proofErr w:type="gramEnd"/>
      <w:r w:rsidRPr="00102849">
        <w:rPr>
          <w:rFonts w:ascii="Arial" w:hAnsi="Arial" w:cs="Arial"/>
          <w:sz w:val="20"/>
          <w:szCs w:val="20"/>
        </w:rPr>
        <w:t xml:space="preserve"> Sobre el personal adscrito a áreas sustantivas, se desagregue la información referente a Agentes del Ministerio Público, Peritos, Personal administrativo y de apoyo adscrito a áreas sustantivas, Cuanto personal con otro cargo y/o función desempeñada, desagregado de la siguiente manera. </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 Total de cada sector mencionado, es decir, cuantos Ministerios Públicos, Peritos, etc.</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 Cuántos de ellos son hombres.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3. Cuántos de ellos son mujeres.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4. Cuántos de ellos tienen otro sexo distinto a hombre/mujer.</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lastRenderedPageBreak/>
        <w:t>5. Cuántos de ellos son de confianza, sindicalizados, eventuales, honorarios, y/o algún otro régimen,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6. A que institución de seguridad social tienen cada uno,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7. Cuántos de ellos no están adscritos a una institución de seguridad social,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8. Edad y Rango, sexo, cargo y funciones,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9. Ingresos tanto por rangos por sexo, edad, funciones y/o cargos,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10. Desglosado por totales de hombres y mujeres que se encontraban trabajando en el 2024 de acuerdo al cargo o función que desempeña, entre los cuales deberá de considerar al personal directivo, Fiscales, Agentes del Ministerio Público, Auxiliares de MP, peritos, policías ministeriales, facilitadores, analistas administrativos, siendo esta lista enunciativa más no limitativa a los cargos y funciones que se desempeñen.</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11. Nivel de escolaridad, por sexo, rango y/o función que desempeña, en grupos de niveles (ejemplo, primaria, secundaria, etc),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 xml:space="preserve">12. Si pertenecen a alguna familia lingüística, a </w:t>
      </w:r>
      <w:r w:rsidR="0056548A" w:rsidRPr="00102849">
        <w:rPr>
          <w:rFonts w:ascii="Arial" w:hAnsi="Arial" w:cs="Arial"/>
          <w:sz w:val="20"/>
          <w:szCs w:val="20"/>
        </w:rPr>
        <w:t>cuál</w:t>
      </w:r>
      <w:r w:rsidRPr="00102849">
        <w:rPr>
          <w:rFonts w:ascii="Arial" w:hAnsi="Arial" w:cs="Arial"/>
          <w:sz w:val="20"/>
          <w:szCs w:val="20"/>
        </w:rPr>
        <w:t>,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13. A qué pueblo indígena pertenecen,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14. A que Fiscalía Especializada, Vicefiscalía, Agencia del Ministerio Público, Delegación, o unidad de servicios periciales o medico foréstense se encuentran adscritos,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15. La especialidad de los peritos,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16. Qué tipo de evaluación tienen (de control y confianza, competencia básica, evaluación de desempeño, etc) y estatus de las evaluaciones (vigente no vigente etc.),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17. Cuántos de ellos tienen vigente el Certificado único Policial,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18. Cuales prestaciones laborales tienen (ejemplo aguinaldo, prima vacacional etc)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19. Cuántos de ellos han sufrido algún accidente, lesión, en el ejercicio de sus funciones, por totales, y de ellos cuantos hombres, mujeres y otro, rangos de edad, y veces lesionados, si se incapacitaron por cuanto tiempo.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20. Cuántos de ellos han fallecido, en el ejercicio de sus funciones, fuera ellas  y de los que no se tengan datos, por totales, y de ellos cuantos hombres, mujeres y otro, rango de edad, causa del fallecimiento (ejemplo, si fue homicidio, suicidio, por COVID-19, etc), cuál fue el instrumento utilizado (ejemplo; arma de fuego, arma blanca, etc), el tipo de evento asociado al fallecimiento (ejemplo; enfrentamiento con grupos delictivos, labores de investigación, persecución, etc), en que Municipio ocurrió el hecho de acuerdo al tipo del evento. Lo anterior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21. Cuantos fueron desaparecidos o no localizados, por totales, y de ellos cuantos hombres, mujeres y otro, en que Municipio fue reportado.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22. Cuantos facilitadores o quien ejerza esta función, adscritos a las áreas especializadas o unidades administrativas encargadas del ejercicio de la función de los mecanismos alternos de solución de controversias, contaban con verificación vigente. Lo anterior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23. Con cuantos, Agentes Fiscales/Agentes del Ministerio Público, cuantos peritos, cuantos policías de investigación, cuanto personal administrativo está adscrito a áreas sustantivas tiene la Fiscalía.</w:t>
      </w:r>
    </w:p>
    <w:p w:rsid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24. Se presentaron denuncias ante el Ministerio Publico, en contra del personal adscrito a la Fiscalía por delitos cometidos en el ejercicio de sus funciones, desglosado por total de hombres y mujeres.</w:t>
      </w:r>
      <w:r>
        <w:rPr>
          <w:rFonts w:ascii="Arial" w:hAnsi="Arial" w:cs="Arial"/>
          <w:sz w:val="20"/>
          <w:szCs w:val="20"/>
        </w:rPr>
        <w:t xml:space="preserve"> [SIC]</w:t>
      </w:r>
    </w:p>
    <w:p w:rsidR="00102849" w:rsidRDefault="00102849" w:rsidP="00102849">
      <w:pPr>
        <w:spacing w:after="0" w:line="240" w:lineRule="auto"/>
        <w:jc w:val="both"/>
        <w:rPr>
          <w:rFonts w:ascii="Arial" w:hAnsi="Arial" w:cs="Arial"/>
          <w:b/>
          <w:sz w:val="24"/>
          <w:szCs w:val="24"/>
        </w:rPr>
      </w:pPr>
    </w:p>
    <w:p w:rsidR="00BF3665" w:rsidRDefault="009819AE" w:rsidP="00102849">
      <w:pPr>
        <w:spacing w:after="0"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sidRPr="001D6269">
        <w:rPr>
          <w:rFonts w:ascii="Arial" w:hAnsi="Arial" w:cs="Arial"/>
          <w:i/>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955434" w:rsidRPr="00955434">
        <w:rPr>
          <w:rFonts w:ascii="Arial" w:hAnsi="Arial" w:cs="Arial"/>
          <w:b/>
          <w:sz w:val="24"/>
          <w:szCs w:val="24"/>
        </w:rPr>
        <w:t>totalmente</w:t>
      </w:r>
      <w:r w:rsidR="00C71D2F">
        <w:rPr>
          <w:rFonts w:ascii="Arial" w:hAnsi="Arial" w:cs="Arial"/>
          <w:sz w:val="24"/>
          <w:szCs w:val="24"/>
        </w:rPr>
        <w:t xml:space="preserv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56548A">
        <w:rPr>
          <w:rFonts w:ascii="Arial" w:hAnsi="Arial" w:cs="Arial"/>
          <w:sz w:val="24"/>
          <w:szCs w:val="24"/>
        </w:rPr>
        <w:t>ón</w:t>
      </w:r>
      <w:r w:rsidR="00D63EFF">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56548A" w:rsidRDefault="0056548A" w:rsidP="00102849">
      <w:pPr>
        <w:spacing w:after="0" w:line="240" w:lineRule="auto"/>
        <w:jc w:val="both"/>
        <w:rPr>
          <w:rFonts w:ascii="Arial" w:hAnsi="Arial" w:cs="Arial"/>
          <w:sz w:val="24"/>
          <w:szCs w:val="24"/>
        </w:rPr>
      </w:pP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lastRenderedPageBreak/>
        <w:t>III.</w:t>
      </w:r>
      <w:r w:rsidRPr="00115CE3">
        <w:rPr>
          <w:rFonts w:ascii="Arial" w:hAnsi="Arial" w:cs="Arial"/>
          <w:sz w:val="24"/>
          <w:szCs w:val="24"/>
        </w:rPr>
        <w:t xml:space="preserve">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CD69B4">
        <w:rPr>
          <w:rFonts w:ascii="Arial" w:hAnsi="Arial" w:cs="Arial"/>
          <w:b/>
          <w:sz w:val="24"/>
          <w:szCs w:val="24"/>
        </w:rPr>
        <w:t>total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CD69B4">
        <w:rPr>
          <w:rFonts w:ascii="Arial" w:hAnsi="Arial" w:cs="Arial"/>
          <w:b/>
          <w:sz w:val="24"/>
          <w:szCs w:val="24"/>
        </w:rPr>
        <w:t>AR/004/2026</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CD69B4">
        <w:rPr>
          <w:rFonts w:ascii="Arial" w:hAnsi="Arial" w:cs="Arial"/>
          <w:b/>
          <w:sz w:val="24"/>
          <w:szCs w:val="24"/>
        </w:rPr>
        <w:t xml:space="preserve">total </w:t>
      </w:r>
      <w:r w:rsidRPr="00115CE3">
        <w:rPr>
          <w:rFonts w:ascii="Arial" w:hAnsi="Arial" w:cs="Arial"/>
          <w:sz w:val="24"/>
          <w:szCs w:val="24"/>
        </w:rPr>
        <w:t xml:space="preserve">número </w:t>
      </w:r>
      <w:r w:rsidR="00CD69B4">
        <w:rPr>
          <w:rFonts w:ascii="Arial" w:hAnsi="Arial" w:cs="Arial"/>
          <w:b/>
          <w:sz w:val="24"/>
          <w:szCs w:val="24"/>
        </w:rPr>
        <w:t>AR/004/2026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CD69B4">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AR/004/2026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C25A0E">
      <w:pPr>
        <w:spacing w:after="0" w:line="240" w:lineRule="auto"/>
        <w:jc w:val="both"/>
        <w:rPr>
          <w:rFonts w:ascii="Arial" w:hAnsi="Arial" w:cs="Arial"/>
          <w:sz w:val="24"/>
          <w:szCs w:val="24"/>
        </w:rPr>
      </w:pP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548A" w:rsidRPr="0056548A" w:rsidRDefault="007336C3" w:rsidP="0056548A">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56548A" w:rsidRPr="0056548A">
        <w:rPr>
          <w:rFonts w:ascii="Arial" w:hAnsi="Arial" w:cs="Arial"/>
          <w:sz w:val="24"/>
          <w:szCs w:val="24"/>
        </w:rPr>
        <w:t xml:space="preserve"> La divulgación de dicha información, en los términos solicitados, permitiría a terceros reconstruir de manera indirecta pero precisa la capacidad operativa, táctica y de reacción de la Fiscalía, identificar zonas de cobertura, concentración o debilidad institucional, así como inferir patrones de operación, niveles de especialización y distribución territorial del personal encargado de funciones sensibles de investigación y persecución del delito.</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 xml:space="preserve">Es procedente puesto que el darla a conocer contraviene lo dispuesto en el artículo 129 fracción XII, de la Ley de Transparencia y Acceso a la Información Pública del Estado del Estado de San Luis Potosí, en el que se considera: “Articulo 129. Como información reservada podrá clasificarse aquella cuya publicación, XII. Las que por disposición expresa de una ley </w:t>
      </w:r>
      <w:r w:rsidRPr="0056548A">
        <w:rPr>
          <w:rFonts w:ascii="Arial" w:hAnsi="Arial" w:cs="Arial"/>
          <w:sz w:val="24"/>
          <w:szCs w:val="24"/>
        </w:rPr>
        <w:lastRenderedPageBreak/>
        <w:t>tengan tal carácter, siempre que sean acordes con las bases, principios y disposiciones establecidos en esta Ley y no la contravengan; así como las previstas en tratados internacionales.” siempre que se ajusten a los principios de legalidad y proporcionalidad.</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Debe destacarse que esta Fiscalía General del Estado forma parte del Sistema Nacional y Estatal de Seguridad Pública, conforme a lo dispuesto por el artículo 21 de la Constitución Política de los Estados Unidos Mexicanos y el artículo 3 de la Ley del Sistema de Seguridad Pública del Estado de San Luis Potosí, por lo que su organización, funcionamiento, recursos humanos y bases de datos constituyen información estratégica del Estado mexicano.</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En particular, el artículo 93 Bis de la Ley del Sistema de Seguridad Pública del Estado de San Luis Potosí establece que toda la información contenida en las bases de datos del sistema es de carácter reservado, incluyendo aquella relativa al personal de seguridad pública. A su vez, el artículo 99 del mismo ordenamiento prevé que el Registro de Personal de Seguridad Pública contiene información que permite identificar, localizar, conocer adscripciones, actividades, rangos y movimientos del personal, información que guarda una coincidencia sustancial y directa con los datos solicitados.</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La entrega de la información requerida contravendría de manera directa estas disposiciones, al permitir que datos estratégicos sobre el personal operativo y sustantivo salgan del ámbito institucional y sean potencialmente utilizados por organizaciones delictivas, ya sea para anticipar la capacidad de respuesta estatal, obstaculizar investigaciones, evadir la acción de la justicia, o ejercer actos de presión, intimidación, corrupción o violencia contra servidores públicos y sus núcleos familiares.</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Asimismo, la divulgación de información relativa a lesiones, fallecimientos, causas de muerte, instrumentos utilizados, eventos asociados y localización geográfica, permitiría correlacionar hechos operativos con capacidades institucionales, generando un mapa indirecto de riesgos, operativos y zonas de incidencia delictiva, lo cual debilitaría la función investigadora, afectaría la integración de carpetas de investigación y comprometería la eficacia de los programas y estrategias de seguridad pública.</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Desde la perspectiva de la prueba de daño, se acredita que:</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w:t>
      </w:r>
      <w:r w:rsidRPr="0056548A">
        <w:rPr>
          <w:rFonts w:ascii="Arial" w:hAnsi="Arial" w:cs="Arial"/>
          <w:sz w:val="24"/>
          <w:szCs w:val="24"/>
        </w:rPr>
        <w:tab/>
        <w:t>El daño es cierto y verificable, al tratarse de información cuya divulgación expone directamente funciones sustantivas de seguridad y procuración de justicia;</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w:t>
      </w:r>
      <w:r w:rsidRPr="0056548A">
        <w:rPr>
          <w:rFonts w:ascii="Arial" w:hAnsi="Arial" w:cs="Arial"/>
          <w:sz w:val="24"/>
          <w:szCs w:val="24"/>
        </w:rPr>
        <w:tab/>
        <w:t>El daño es específico, pues impacta de manera directa en la integridad del personal, la operatividad institucional y el orden público;</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w:t>
      </w:r>
      <w:r w:rsidRPr="0056548A">
        <w:rPr>
          <w:rFonts w:ascii="Arial" w:hAnsi="Arial" w:cs="Arial"/>
          <w:sz w:val="24"/>
          <w:szCs w:val="24"/>
        </w:rPr>
        <w:tab/>
        <w:t>El daño es mayor al interés público de divulgación, dado que la afectación a la seguridad pública y a la procuración de justicia resulta irreparable;</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w:t>
      </w:r>
      <w:r w:rsidRPr="0056548A">
        <w:rPr>
          <w:rFonts w:ascii="Arial" w:hAnsi="Arial" w:cs="Arial"/>
          <w:sz w:val="24"/>
          <w:szCs w:val="24"/>
        </w:rPr>
        <w:tab/>
        <w:t>La reserva es idónea, necesaria y proporcional, al limitarse exclusivamente a aquella información cuya difusión genera el riesgo descrito.</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lastRenderedPageBreak/>
        <w:t>Este razonamiento es acorde con el criterio sostenido por la Suprema Corte de Justicia de la Nación, particularmente en la Controversia Constitucional número 325/2019, en la que se reconoce la validez constitucional de la reserva de información vinculada a seguridad pública y procuración de justicia, cuando su divulgación compromete funciones esenciales del Estado y bienes jurídicos de máxima relevancia.</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En suma, la divulgación de la información materia del presente Acuerdo colocaría en estado de vulnerabilidad a la Fiscalía General del Estado de San Luis Potosí, comprometería la vida, integridad y seguridad de sus servidores públicos, facilitaría la actuación de la delincuencia organizada, incrementaría los riesgos de corrupción y cooptación institucional, y obstaculizaría la correcta persecución de los delitos, afectando con ello el interés público y el orden social.</w:t>
      </w:r>
    </w:p>
    <w:p w:rsidR="00C502DF"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Por las razones expuestas, resulta jurídicamente procedente, constitucionalmente válida y materialmente necesaria la clasificación como información reservada, en su modalidad de reserva total, de la información solicitada, en términos de la normatividad aplicable, salvaguardando con ello la seguridad pública, la procuración de justicia y los fines esenciales del Estado.</w:t>
      </w:r>
      <w:r w:rsidR="00B60909" w:rsidRPr="00B60909">
        <w:rPr>
          <w:rFonts w:ascii="Arial" w:hAnsi="Arial" w:cs="Arial"/>
          <w:sz w:val="24"/>
          <w:szCs w:val="24"/>
        </w:rPr>
        <w:t xml:space="preserve">     </w:t>
      </w:r>
    </w:p>
    <w:p w:rsidR="00F97B38" w:rsidRDefault="00045C57" w:rsidP="00C25A0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56548A">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w:t>
      </w:r>
      <w:r w:rsidR="0056548A">
        <w:rPr>
          <w:rFonts w:ascii="Arial" w:hAnsi="Arial" w:cs="Arial"/>
          <w:sz w:val="24"/>
          <w:szCs w:val="24"/>
        </w:rPr>
        <w:t xml:space="preserve"> </w:t>
      </w:r>
      <w:r w:rsidR="00D63EFF">
        <w:rPr>
          <w:rFonts w:ascii="Arial" w:hAnsi="Arial" w:cs="Arial"/>
          <w:sz w:val="24"/>
          <w:szCs w:val="24"/>
        </w:rPr>
        <w:t>Trigésimo</w:t>
      </w:r>
      <w:r w:rsidR="00551990" w:rsidRPr="00115CE3">
        <w:rPr>
          <w:rFonts w:ascii="Arial" w:hAnsi="Arial" w:cs="Arial"/>
          <w:sz w:val="24"/>
          <w:szCs w:val="24"/>
        </w:rPr>
        <w:t xml:space="preserve"> segundo,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w:t>
      </w:r>
      <w:r w:rsidR="00F97B38">
        <w:rPr>
          <w:rFonts w:ascii="Arial" w:hAnsi="Arial" w:cs="Arial"/>
          <w:sz w:val="24"/>
          <w:szCs w:val="24"/>
        </w:rPr>
        <w:t xml:space="preserve">por disposición expresa de una ley le den tal carácter. </w:t>
      </w:r>
    </w:p>
    <w:p w:rsidR="00F97B38" w:rsidRDefault="0055199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56548A">
        <w:rPr>
          <w:rFonts w:ascii="Arial" w:hAnsi="Arial" w:cs="Arial"/>
          <w:sz w:val="24"/>
          <w:szCs w:val="24"/>
        </w:rPr>
        <w:t>17, 88, 122 BIS, de la Constitución Política del Estado de San Luis Potosí, 3º, 5º, 22, I, d), 56</w:t>
      </w:r>
      <w:proofErr w:type="gramStart"/>
      <w:r w:rsidR="0056548A">
        <w:rPr>
          <w:rFonts w:ascii="Arial" w:hAnsi="Arial" w:cs="Arial"/>
          <w:sz w:val="24"/>
          <w:szCs w:val="24"/>
        </w:rPr>
        <w:t>, ,</w:t>
      </w:r>
      <w:proofErr w:type="gramEnd"/>
      <w:r w:rsidR="0056548A">
        <w:rPr>
          <w:rFonts w:ascii="Arial" w:hAnsi="Arial" w:cs="Arial"/>
          <w:sz w:val="24"/>
          <w:szCs w:val="24"/>
        </w:rPr>
        <w:t xml:space="preserve"> XXVI, 93, 93 BIS, 98, 99, I, III, y 107 de la Ley del sistema de Seguridad Pública del Estado de San Luis Potosí</w:t>
      </w:r>
      <w:r>
        <w:rPr>
          <w:rFonts w:ascii="Arial" w:hAnsi="Arial" w:cs="Arial"/>
          <w:sz w:val="24"/>
          <w:szCs w:val="24"/>
        </w:rPr>
        <w:t xml:space="preserve">,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w:t>
      </w:r>
      <w:r w:rsidR="00B9260F">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B7A5A" w:rsidRDefault="00DB7A5A" w:rsidP="00C25A0E">
      <w:pPr>
        <w:spacing w:line="240" w:lineRule="auto"/>
        <w:jc w:val="both"/>
        <w:rPr>
          <w:rFonts w:ascii="Arial" w:eastAsia="Times New Roman" w:hAnsi="Arial" w:cs="Arial"/>
          <w:sz w:val="24"/>
          <w:szCs w:val="24"/>
          <w:lang w:val="es-ES"/>
        </w:rPr>
      </w:pP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w:t>
      </w:r>
      <w:r w:rsidR="00B9260F">
        <w:rPr>
          <w:rFonts w:ascii="Arial" w:hAnsi="Arial" w:cs="Arial"/>
          <w:sz w:val="24"/>
          <w:szCs w:val="24"/>
        </w:rPr>
        <w:t xml:space="preserve">Director General de Administración, Cesar Isidro Cruz,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En esta conjetura, precisa que podrá considerarse como información reservada aquella cuya difusión ponga en peligro las funciones de seguridad pública, al revelar datos que permitan conocer capacidades de reacción, estructuras operativas, planes, estrategias, tecnología, organización interna, sistemas de comunicación o coordinación interinstitucional de las instituciones encargadas de preservar el orden público y la seguridad.</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 xml:space="preserve">En el caso concreto, la información solicitada, referida al personal de Seguridad y Custodia, y personal adscrito a órganos táctico-operativos de la Fiscalía General del Estado de San Luis </w:t>
      </w:r>
      <w:r w:rsidRPr="00036BB2">
        <w:rPr>
          <w:rFonts w:ascii="Arial" w:hAnsi="Arial" w:cs="Arial"/>
          <w:sz w:val="24"/>
          <w:szCs w:val="24"/>
        </w:rPr>
        <w:lastRenderedPageBreak/>
        <w:t>Potosí, desagregada por número total, sexo, edad, escolaridad, antigüedad, adscripción, estado civil, condiciones de salud, accidentes, fallecimientos, ingresos, funciones específicas y localización administrativa, permite construir un perfil detallado de la capacidad operativa y funcional de esta Fiscalía.</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Tal nivel de desagregación representa un riesgo real, identificable y demostrable de perjuicio significativo al interés público, al facilitar que terceros, incluidos grupos delictivos, puedan inferir la estructura, fuerza operativa, vulnerabilidades, patrones de actuación y capacidad de respuesta institucional, afectando directamente la seguridad pública, la eficacia de los actos de investigación, la persecución de los delitos y el cumplimiento de mandamientos judiciales.</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En consecuencia, la divulgación de esta información comprometería gravemente la seguridad del Estado y de la sociedad, al colocar en situación de vulnerabilidad tanto a la institución como al personal que participa directa o indirectamente en labores de procuración de justicia, investigación penal, inteligencia, atención a víctimas.</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Adicionalmente, esta autoridad estima aplicable la doctrina conocida como “efecto mosaico”, conforme a la cual incluso información aparentemente aislada o inocua, al ser difundida de manera sistemática y desagregada, permite reconstruir patrones estratégicos, identificar actores clave y revelar capacidades institucionales, lo que justifica su reserva.</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En este sentido, resulta pertinente destacar que las autoridades encargadas de la seguridad pública y procuración de justicia cuentan con pericia técnica especializada para evaluar los riesgos que implica la divulgación de determinada información, criterio que ha sido reconocido por la Suprema Corte de Justicia de la Nación, particularmente en la Controversia Constitucional número 325/2019, al sostener que la revelación de datos funcionales del personal permite conocer su organización y dinámica operativa, así como sujeta a cambios constantes de adscripción.</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 xml:space="preserve">Respecto a la Fracción XII, del artículo 129 de la Ley de Transparencia y Acceso a la Información Pública del Estado de San Luis Potosí: “XII. Las que por disposición expresa de una ley tengan tal carácter, siempre que sean acordes con las bases, principios y disposiciones establecidos en esta Ley y no la contravengan; así como las previstas en tratados internacionales.” Vinculado al Lineamiento Trigésimo segundo, que a la letra dice “Trigésimo segundo. De conformidad con el artículo 113, fracción XIII de la Ley General, podrá considerarse como información reservada, aquella que por disposición expresa de una ley le otorgue tal carácter siempre que no se contravengan las bases, principios y disposiciones establecidas en la Ley General o las previstas en los tratados internacionales de los que el Estado mexicano sea parte. Para que se actualice este supuesto de reserva, los sujetos obligados deberán fundar y motivar la clasificación de la información, señalando de manera específica el supuesto normativo que expresamente le otorga ese carácter y acreditar la </w:t>
      </w:r>
      <w:r w:rsidRPr="00036BB2">
        <w:rPr>
          <w:rFonts w:ascii="Arial" w:hAnsi="Arial" w:cs="Arial"/>
          <w:sz w:val="24"/>
          <w:szCs w:val="24"/>
        </w:rPr>
        <w:lastRenderedPageBreak/>
        <w:t xml:space="preserve">afectación que la divulgación de la información traería a los fines por los que se reserva la información”. </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En particular, la información solicitada forma parte de bases de datos e instrumentos del Sistema Nacional de Seguridad Pública, del Sistema Estatal de Seguridad Pública y de la propia Fiscalía, protegidas expresamente por los artículos 93, 93 Bis, 98 y 99, fracciones I y III, de la Ley del Sistema de Seguridad Pública del Estado de San Luis Potosí, los cuales restringen su divulgación para evitar afectaciones a la seguridad pública y a las funciones estratégicas del Estado.</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La revelación de la información solicitada permitiría identificar no solo al personal sustantivo y operativo, sino también sus funciones específicas, adscripciones, participación en investigaciones, e intervención en carpetas de investigación, exponiéndolos a riesgos de amenaza, coacción o represalias, y comprometiendo la integridad de los procedimientos penales.</w:t>
      </w:r>
    </w:p>
    <w:p w:rsidR="00036BB2" w:rsidRPr="00036BB2" w:rsidRDefault="00036BB2" w:rsidP="00036BB2">
      <w:pPr>
        <w:spacing w:after="0" w:line="240" w:lineRule="auto"/>
        <w:ind w:right="-93"/>
        <w:jc w:val="both"/>
        <w:rPr>
          <w:rFonts w:ascii="Arial" w:hAnsi="Arial" w:cs="Arial"/>
          <w:sz w:val="24"/>
          <w:szCs w:val="24"/>
        </w:rPr>
      </w:pPr>
    </w:p>
    <w:p w:rsidR="00036BB2" w:rsidRP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El daño derivado de dicha divulgación sería grave e irreparable, al afectar bienes jurídicos tutelados como la seguridad pública, la procuración de justicia y la integridad institucional, respecto de los cuales el Estado tiene la obligación constitucional de protección y salvaguarda.</w:t>
      </w:r>
    </w:p>
    <w:p w:rsid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Por lo expuesto, esta Fiscalía General del Estado acredita que la información solicitada en la Solicitud de Acceso a la Información No. UT-SI-P-026-240469826000026-2026 actualiza plenamente los supuestos de reserva previstos en la legislación aplicable, satisfaciendo los requisitos del Lineamiento Trigésimo Tercero, fracción I, al existir un riesgo real, demostrable y jurídicamente sustentado de afectación al interés público, por lo que resulta procedente clasificar dicha información como reservada.</w:t>
      </w:r>
    </w:p>
    <w:p w:rsidR="00036BB2" w:rsidRPr="00036BB2" w:rsidRDefault="00036BB2" w:rsidP="00036BB2">
      <w:pPr>
        <w:spacing w:after="0" w:line="240" w:lineRule="auto"/>
        <w:ind w:right="-93"/>
        <w:jc w:val="both"/>
        <w:rPr>
          <w:rFonts w:ascii="Arial" w:hAnsi="Arial" w:cs="Arial"/>
          <w:sz w:val="24"/>
          <w:szCs w:val="24"/>
        </w:rPr>
      </w:pPr>
    </w:p>
    <w:p w:rsidR="00C42F4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 xml:space="preserve">Lineamiento Trigésimo tercero fracción II.- “Se deberá motivar la clasificación, señalando las circunstancias de modo, tiempo y lugar que acrediten </w:t>
      </w:r>
      <w:r w:rsidR="003F7702" w:rsidRPr="00C42F42">
        <w:rPr>
          <w:rFonts w:ascii="Arial" w:hAnsi="Arial" w:cs="Arial"/>
          <w:i/>
          <w:sz w:val="24"/>
          <w:szCs w:val="24"/>
        </w:rPr>
        <w:t>La limitación se adecua al principio de proporcionalidad y representa el medio menos restrictivo disponible para evitar el perjuicio</w:t>
      </w:r>
      <w:r w:rsidR="003F7702"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C25A0E">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D53B1B" w:rsidRDefault="00720254" w:rsidP="009B2CA7">
      <w:pPr>
        <w:spacing w:after="0" w:line="240" w:lineRule="auto"/>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r w:rsidR="00036BB2">
        <w:rPr>
          <w:rFonts w:ascii="Arial" w:hAnsi="Arial" w:cs="Arial"/>
          <w:bCs/>
          <w:color w:val="000000" w:themeColor="text1"/>
          <w:sz w:val="24"/>
          <w:szCs w:val="24"/>
        </w:rPr>
        <w:t>Nos encontramos con una reserva Total, por lo que este supuesto no aplica.</w:t>
      </w:r>
    </w:p>
    <w:p w:rsidR="009B2CA7" w:rsidRDefault="009B2CA7" w:rsidP="009B2CA7">
      <w:pPr>
        <w:spacing w:after="0" w:line="240" w:lineRule="auto"/>
        <w:ind w:right="49"/>
        <w:jc w:val="both"/>
        <w:rPr>
          <w:rFonts w:ascii="Arial" w:hAnsi="Arial" w:cs="Arial"/>
          <w:bCs/>
          <w:color w:val="000000" w:themeColor="text1"/>
          <w:sz w:val="24"/>
          <w:szCs w:val="24"/>
        </w:rPr>
      </w:pPr>
    </w:p>
    <w:p w:rsidR="00BF3665" w:rsidRPr="005C62A1" w:rsidRDefault="009819AE" w:rsidP="00C25A0E">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C25A0E">
      <w:pPr>
        <w:spacing w:after="0" w:line="240" w:lineRule="auto"/>
        <w:jc w:val="both"/>
        <w:rPr>
          <w:rFonts w:ascii="Arial" w:hAnsi="Arial" w:cs="Arial"/>
          <w:sz w:val="24"/>
          <w:szCs w:val="24"/>
        </w:rPr>
      </w:pP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D566D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0501A3">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C25A0E">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C25A0E">
      <w:pPr>
        <w:pStyle w:val="Prrafodelista"/>
        <w:jc w:val="both"/>
        <w:rPr>
          <w:rFonts w:ascii="Arial" w:hAnsi="Arial" w:cs="Arial"/>
          <w:b/>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CD69B4">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AR/004/2026</w:t>
      </w:r>
      <w:r w:rsidR="00CD69B4"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w:t>
      </w:r>
      <w:r w:rsidR="00B9260F">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w:t>
      </w:r>
      <w:r w:rsidR="00B9260F">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C25A0E">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CD69B4">
        <w:rPr>
          <w:rFonts w:ascii="Arial" w:hAnsi="Arial" w:cs="Arial"/>
          <w:b/>
          <w:sz w:val="24"/>
          <w:szCs w:val="24"/>
        </w:rPr>
        <w:t>total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AR/004/2026</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lastRenderedPageBreak/>
        <w:t xml:space="preserve">SEGUNDO. </w:t>
      </w:r>
      <w:r w:rsidR="000940CE">
        <w:rPr>
          <w:rFonts w:ascii="Arial" w:hAnsi="Arial" w:cs="Arial"/>
          <w:sz w:val="24"/>
          <w:szCs w:val="24"/>
        </w:rPr>
        <w:t xml:space="preserve">El </w:t>
      </w:r>
      <w:r w:rsidR="00B9260F">
        <w:rPr>
          <w:rFonts w:ascii="Arial" w:hAnsi="Arial" w:cs="Arial"/>
          <w:sz w:val="24"/>
          <w:szCs w:val="24"/>
        </w:rPr>
        <w:t>Director General de Administración, Cesar Isidro Cruz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B9260F">
        <w:rPr>
          <w:rFonts w:ascii="Arial" w:hAnsi="Arial" w:cs="Arial"/>
          <w:sz w:val="24"/>
          <w:szCs w:val="24"/>
        </w:rPr>
        <w:t>Director General de Administración, Cesar Isidro Cruz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C25A0E">
      <w:pPr>
        <w:spacing w:after="0" w:line="240" w:lineRule="auto"/>
        <w:jc w:val="both"/>
        <w:rPr>
          <w:rFonts w:ascii="Arial" w:hAnsi="Arial" w:cs="Arial"/>
          <w:sz w:val="24"/>
          <w:szCs w:val="24"/>
        </w:rPr>
      </w:pPr>
    </w:p>
    <w:p w:rsidR="0064745D" w:rsidRDefault="009819AE" w:rsidP="00C25A0E">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0501A3">
        <w:rPr>
          <w:rFonts w:ascii="Arial" w:hAnsi="Arial" w:cs="Arial"/>
          <w:b/>
          <w:sz w:val="24"/>
          <w:szCs w:val="24"/>
        </w:rPr>
        <w:t>1</w:t>
      </w:r>
      <w:r w:rsidR="00B9260F">
        <w:rPr>
          <w:rFonts w:ascii="Arial" w:hAnsi="Arial" w:cs="Arial"/>
          <w:b/>
          <w:sz w:val="24"/>
          <w:szCs w:val="24"/>
        </w:rPr>
        <w:t>6</w:t>
      </w:r>
      <w:r w:rsidRPr="00115CE3">
        <w:rPr>
          <w:rFonts w:ascii="Arial" w:hAnsi="Arial" w:cs="Arial"/>
          <w:b/>
          <w:sz w:val="24"/>
          <w:szCs w:val="24"/>
        </w:rPr>
        <w:t>-202</w:t>
      </w:r>
      <w:r w:rsidR="00F042CD">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C25A0E">
      <w:pPr>
        <w:spacing w:after="0" w:line="240" w:lineRule="auto"/>
        <w:jc w:val="both"/>
        <w:rPr>
          <w:rFonts w:ascii="Arial" w:hAnsi="Arial" w:cs="Arial"/>
          <w:sz w:val="24"/>
          <w:szCs w:val="24"/>
        </w:rPr>
      </w:pPr>
    </w:p>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DB7A5A" w:rsidRDefault="00DB7A5A"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DB7A5A" w:rsidRDefault="00DB7A5A"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DB7A5A" w:rsidRDefault="00DB7A5A"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253B" w:rsidRDefault="0046253B">
      <w:r>
        <w:separator/>
      </w:r>
    </w:p>
  </w:endnote>
  <w:endnote w:type="continuationSeparator" w:id="0">
    <w:p w:rsidR="0046253B" w:rsidRDefault="004625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7866" w:rsidRDefault="008A786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7866" w:rsidRDefault="008A786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253B" w:rsidRDefault="0046253B">
      <w:r>
        <w:separator/>
      </w:r>
    </w:p>
  </w:footnote>
  <w:footnote w:type="continuationSeparator" w:id="0">
    <w:p w:rsidR="0046253B" w:rsidRDefault="004625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7866" w:rsidRDefault="008A786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960235"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8A7866">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960236"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1C5B35">
          <w:pPr>
            <w:spacing w:after="0"/>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D63EFF">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63EFF">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CD69B4">
            <w:rPr>
              <w:rFonts w:ascii="Arial" w:hAnsi="Arial" w:cs="Arial"/>
              <w:color w:val="FFFFFF" w:themeColor="background1"/>
              <w:sz w:val="18"/>
              <w:szCs w:val="18"/>
              <w:lang w:val="es-ES"/>
            </w:rPr>
            <w:t xml:space="preserve">total </w:t>
          </w:r>
          <w:r w:rsidR="00B9260F">
            <w:rPr>
              <w:rFonts w:ascii="Arial" w:hAnsi="Arial" w:cs="Arial"/>
              <w:b/>
              <w:color w:val="FFFFFF" w:themeColor="background1"/>
              <w:sz w:val="18"/>
              <w:szCs w:val="18"/>
              <w:lang w:val="es-ES"/>
            </w:rPr>
            <w:t>AR/004/2026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 xml:space="preserve">el </w:t>
          </w:r>
          <w:r w:rsidR="00B9260F">
            <w:rPr>
              <w:rFonts w:ascii="Arial" w:hAnsi="Arial" w:cs="Arial"/>
              <w:color w:val="FFFFFF" w:themeColor="background1"/>
              <w:sz w:val="18"/>
              <w:szCs w:val="18"/>
              <w:lang w:val="es-ES"/>
            </w:rPr>
            <w:t>Director General de Administración</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7866" w:rsidRDefault="008A786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960234"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36BB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2849"/>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35"/>
    <w:rsid w:val="001C5BA9"/>
    <w:rsid w:val="001C5BFD"/>
    <w:rsid w:val="001C60C7"/>
    <w:rsid w:val="001C73C0"/>
    <w:rsid w:val="001D6257"/>
    <w:rsid w:val="001D6269"/>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253B"/>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1EAB"/>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548A"/>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2FC5"/>
    <w:rsid w:val="008760A4"/>
    <w:rsid w:val="008764AA"/>
    <w:rsid w:val="00876A3D"/>
    <w:rsid w:val="008777CC"/>
    <w:rsid w:val="00885156"/>
    <w:rsid w:val="00886225"/>
    <w:rsid w:val="0089199F"/>
    <w:rsid w:val="00891BAB"/>
    <w:rsid w:val="008929DA"/>
    <w:rsid w:val="008A6D52"/>
    <w:rsid w:val="008A7866"/>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5434"/>
    <w:rsid w:val="00956609"/>
    <w:rsid w:val="0095660D"/>
    <w:rsid w:val="00956A56"/>
    <w:rsid w:val="00961F3B"/>
    <w:rsid w:val="00967709"/>
    <w:rsid w:val="0097170D"/>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2CA7"/>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6367"/>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909"/>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260F"/>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0E5F"/>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9B4"/>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23B"/>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B7A5A"/>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66A4"/>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AE781C-1F6F-43FE-902D-49416566BD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10</Pages>
  <Words>4322</Words>
  <Characters>23772</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9</cp:revision>
  <cp:lastPrinted>2025-12-23T21:40:00Z</cp:lastPrinted>
  <dcterms:created xsi:type="dcterms:W3CDTF">2026-01-22T18:22:00Z</dcterms:created>
  <dcterms:modified xsi:type="dcterms:W3CDTF">2026-02-17T18:36:00Z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