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F32F82" w14:textId="2A169033" w:rsidR="00283888" w:rsidRPr="00676C73" w:rsidRDefault="00D0308A" w:rsidP="000D6439">
      <w:pPr>
        <w:spacing w:after="120" w:line="240" w:lineRule="auto"/>
        <w:ind w:left="2835"/>
        <w:jc w:val="both"/>
        <w:rPr>
          <w:rFonts w:ascii="Arial" w:hAnsi="Arial" w:cs="Arial"/>
          <w:sz w:val="23"/>
          <w:szCs w:val="23"/>
        </w:rPr>
      </w:pPr>
      <w:r w:rsidRPr="00676C73">
        <w:rPr>
          <w:rFonts w:ascii="Arial" w:hAnsi="Arial" w:cs="Arial"/>
          <w:b/>
          <w:sz w:val="23"/>
          <w:szCs w:val="23"/>
        </w:rPr>
        <w:t>R</w:t>
      </w:r>
      <w:r w:rsidR="00283888" w:rsidRPr="00676C73">
        <w:rPr>
          <w:rFonts w:ascii="Arial" w:hAnsi="Arial" w:cs="Arial"/>
          <w:b/>
          <w:sz w:val="23"/>
          <w:szCs w:val="23"/>
        </w:rPr>
        <w:t>ECURSO DE APELACIÓN:</w:t>
      </w:r>
      <w:r w:rsidR="00283888" w:rsidRPr="00676C73">
        <w:rPr>
          <w:rFonts w:ascii="Arial" w:hAnsi="Arial" w:cs="Arial"/>
          <w:sz w:val="23"/>
          <w:szCs w:val="23"/>
        </w:rPr>
        <w:t xml:space="preserve"> </w:t>
      </w:r>
      <w:r w:rsidR="00194957">
        <w:rPr>
          <w:rFonts w:ascii="Arial" w:hAnsi="Arial" w:cs="Arial"/>
          <w:color w:val="FF0000"/>
          <w:sz w:val="23"/>
          <w:szCs w:val="23"/>
        </w:rPr>
        <w:t>******</w:t>
      </w:r>
      <w:r w:rsidR="00F27137" w:rsidRPr="00676C73">
        <w:rPr>
          <w:rFonts w:ascii="Arial" w:hAnsi="Arial" w:cs="Arial"/>
          <w:sz w:val="23"/>
          <w:szCs w:val="23"/>
        </w:rPr>
        <w:t>/2023/SS-3</w:t>
      </w:r>
      <w:r w:rsidR="00D8676A" w:rsidRPr="00676C73">
        <w:rPr>
          <w:rFonts w:ascii="Arial" w:hAnsi="Arial" w:cs="Arial"/>
          <w:sz w:val="23"/>
          <w:szCs w:val="23"/>
        </w:rPr>
        <w:t>.</w:t>
      </w:r>
    </w:p>
    <w:p w14:paraId="25266CCE" w14:textId="01524D68" w:rsidR="00F27137" w:rsidRPr="00676C73" w:rsidRDefault="00C63564" w:rsidP="00F27137">
      <w:pPr>
        <w:spacing w:after="120" w:line="240" w:lineRule="auto"/>
        <w:ind w:left="2835"/>
        <w:jc w:val="both"/>
        <w:rPr>
          <w:rFonts w:ascii="Arial" w:hAnsi="Arial" w:cs="Arial"/>
          <w:sz w:val="23"/>
          <w:szCs w:val="23"/>
        </w:rPr>
      </w:pPr>
      <w:r w:rsidRPr="00676C73">
        <w:rPr>
          <w:rFonts w:ascii="Arial" w:hAnsi="Arial" w:cs="Arial"/>
          <w:sz w:val="23"/>
          <w:szCs w:val="23"/>
        </w:rPr>
        <w:t>(RESOLUCIÓN DICTADA EN CUMPLIMIENTO AL AMPARO DIRECTO</w:t>
      </w:r>
      <w:r w:rsidR="00C15277">
        <w:rPr>
          <w:rFonts w:ascii="Arial" w:hAnsi="Arial" w:cs="Arial"/>
          <w:sz w:val="23"/>
          <w:szCs w:val="23"/>
        </w:rPr>
        <w:t xml:space="preserve"> EN MATERIA ADMINISTRATIVA</w:t>
      </w:r>
      <w:r w:rsidRPr="00676C73">
        <w:rPr>
          <w:rFonts w:ascii="Arial" w:hAnsi="Arial" w:cs="Arial"/>
          <w:sz w:val="23"/>
          <w:szCs w:val="23"/>
        </w:rPr>
        <w:t xml:space="preserve"> </w:t>
      </w:r>
      <w:r w:rsidR="00194957">
        <w:rPr>
          <w:rFonts w:ascii="Arial" w:hAnsi="Arial" w:cs="Arial"/>
          <w:color w:val="FF0000"/>
          <w:sz w:val="23"/>
          <w:szCs w:val="23"/>
        </w:rPr>
        <w:t>******</w:t>
      </w:r>
      <w:r w:rsidR="00F27137" w:rsidRPr="00676C73">
        <w:rPr>
          <w:rFonts w:ascii="Arial" w:hAnsi="Arial" w:cs="Arial"/>
          <w:sz w:val="23"/>
          <w:szCs w:val="23"/>
        </w:rPr>
        <w:t>/2024</w:t>
      </w:r>
      <w:r w:rsidRPr="00676C73">
        <w:rPr>
          <w:rFonts w:ascii="Arial" w:hAnsi="Arial" w:cs="Arial"/>
          <w:sz w:val="23"/>
          <w:szCs w:val="23"/>
        </w:rPr>
        <w:t>)</w:t>
      </w:r>
    </w:p>
    <w:p w14:paraId="7387C8CE" w14:textId="7083596F" w:rsidR="00F27137" w:rsidRPr="00676C73" w:rsidRDefault="00283888" w:rsidP="00F27137">
      <w:pPr>
        <w:spacing w:after="120" w:line="240" w:lineRule="auto"/>
        <w:ind w:left="2835"/>
        <w:jc w:val="both"/>
        <w:rPr>
          <w:rFonts w:ascii="Arial" w:hAnsi="Arial" w:cs="Arial"/>
          <w:sz w:val="23"/>
          <w:szCs w:val="23"/>
        </w:rPr>
      </w:pPr>
      <w:r w:rsidRPr="00676C73">
        <w:rPr>
          <w:rFonts w:ascii="Arial" w:hAnsi="Arial" w:cs="Arial"/>
          <w:b/>
          <w:sz w:val="23"/>
          <w:szCs w:val="23"/>
        </w:rPr>
        <w:t>JUICIO CONTENCIOSO:</w:t>
      </w:r>
      <w:r w:rsidRPr="00676C73">
        <w:rPr>
          <w:rFonts w:ascii="Arial" w:hAnsi="Arial" w:cs="Arial"/>
          <w:sz w:val="23"/>
          <w:szCs w:val="23"/>
        </w:rPr>
        <w:t xml:space="preserve"> </w:t>
      </w:r>
      <w:r w:rsidR="00194957">
        <w:rPr>
          <w:rFonts w:ascii="Arial" w:hAnsi="Arial" w:cs="Arial"/>
          <w:color w:val="FF0000"/>
          <w:sz w:val="23"/>
          <w:szCs w:val="23"/>
        </w:rPr>
        <w:t>******</w:t>
      </w:r>
      <w:r w:rsidR="00F27137" w:rsidRPr="00676C73">
        <w:rPr>
          <w:rFonts w:ascii="Arial" w:hAnsi="Arial" w:cs="Arial"/>
          <w:sz w:val="23"/>
          <w:szCs w:val="23"/>
        </w:rPr>
        <w:t>/2022/2</w:t>
      </w:r>
      <w:r w:rsidR="00F27137" w:rsidRPr="00676C73">
        <w:rPr>
          <w:rFonts w:ascii="Arial" w:hAnsi="Arial" w:cs="Arial"/>
          <w:b/>
          <w:sz w:val="23"/>
          <w:szCs w:val="23"/>
        </w:rPr>
        <w:t>.</w:t>
      </w:r>
    </w:p>
    <w:p w14:paraId="75BF3013" w14:textId="4F6383D8" w:rsidR="00F27137" w:rsidRPr="00676C73" w:rsidRDefault="00F27137" w:rsidP="008B01CF">
      <w:pPr>
        <w:spacing w:after="120" w:line="240" w:lineRule="auto"/>
        <w:ind w:left="2835"/>
        <w:jc w:val="both"/>
        <w:rPr>
          <w:rFonts w:ascii="Arial" w:hAnsi="Arial" w:cs="Arial"/>
          <w:color w:val="FF0000"/>
          <w:sz w:val="23"/>
          <w:szCs w:val="23"/>
        </w:rPr>
      </w:pPr>
      <w:r w:rsidRPr="00676C73">
        <w:rPr>
          <w:rFonts w:ascii="Arial" w:hAnsi="Arial" w:cs="Arial"/>
          <w:b/>
          <w:sz w:val="23"/>
          <w:szCs w:val="23"/>
        </w:rPr>
        <w:t xml:space="preserve">AUTORIDADES </w:t>
      </w:r>
      <w:r w:rsidR="00283888" w:rsidRPr="00676C73">
        <w:rPr>
          <w:rFonts w:ascii="Arial" w:hAnsi="Arial" w:cs="Arial"/>
          <w:b/>
          <w:sz w:val="23"/>
          <w:szCs w:val="23"/>
        </w:rPr>
        <w:t>DEMANDAD</w:t>
      </w:r>
      <w:r w:rsidR="00CF6527" w:rsidRPr="00676C73">
        <w:rPr>
          <w:rFonts w:ascii="Arial" w:hAnsi="Arial" w:cs="Arial"/>
          <w:b/>
          <w:sz w:val="23"/>
          <w:szCs w:val="23"/>
        </w:rPr>
        <w:t>A</w:t>
      </w:r>
      <w:r w:rsidR="00B13E2F" w:rsidRPr="00676C73">
        <w:rPr>
          <w:rFonts w:ascii="Arial" w:hAnsi="Arial" w:cs="Arial"/>
          <w:b/>
          <w:sz w:val="23"/>
          <w:szCs w:val="23"/>
        </w:rPr>
        <w:t>S</w:t>
      </w:r>
      <w:r w:rsidR="006A3198" w:rsidRPr="00676C73">
        <w:rPr>
          <w:rFonts w:ascii="Arial" w:hAnsi="Arial" w:cs="Arial"/>
          <w:b/>
          <w:sz w:val="23"/>
          <w:szCs w:val="23"/>
        </w:rPr>
        <w:t>:</w:t>
      </w:r>
      <w:r w:rsidR="00B13E2F" w:rsidRPr="00676C73">
        <w:rPr>
          <w:rFonts w:ascii="Arial" w:hAnsi="Arial" w:cs="Arial"/>
          <w:b/>
          <w:sz w:val="23"/>
          <w:szCs w:val="23"/>
        </w:rPr>
        <w:t xml:space="preserve"> </w:t>
      </w:r>
      <w:r w:rsidR="00194957">
        <w:rPr>
          <w:rFonts w:ascii="Arial" w:hAnsi="Arial" w:cs="Arial"/>
          <w:color w:val="FF0000"/>
          <w:sz w:val="23"/>
          <w:szCs w:val="23"/>
        </w:rPr>
        <w:t>******</w:t>
      </w:r>
    </w:p>
    <w:p w14:paraId="019287BB" w14:textId="77777777" w:rsidR="00AF0EF1" w:rsidRPr="00676C73" w:rsidRDefault="00AF0EF1" w:rsidP="00AF0EF1">
      <w:pPr>
        <w:spacing w:after="120" w:line="240" w:lineRule="auto"/>
        <w:ind w:left="2835"/>
        <w:jc w:val="both"/>
        <w:rPr>
          <w:rFonts w:ascii="Arial" w:hAnsi="Arial" w:cs="Arial"/>
          <w:b/>
          <w:sz w:val="23"/>
          <w:szCs w:val="23"/>
        </w:rPr>
      </w:pPr>
      <w:r w:rsidRPr="00676C73">
        <w:rPr>
          <w:rFonts w:ascii="Arial" w:hAnsi="Arial" w:cs="Arial"/>
          <w:b/>
          <w:sz w:val="23"/>
          <w:szCs w:val="23"/>
        </w:rPr>
        <w:t>PARTE ACTORA Y RECURRENTE:</w:t>
      </w:r>
    </w:p>
    <w:p w14:paraId="69A27E9A" w14:textId="470DC061" w:rsidR="008B01CF" w:rsidRPr="00676C73" w:rsidRDefault="00194957" w:rsidP="00AF0EF1">
      <w:pPr>
        <w:spacing w:after="120" w:line="240" w:lineRule="auto"/>
        <w:ind w:left="2835"/>
        <w:jc w:val="both"/>
        <w:rPr>
          <w:rFonts w:ascii="Arial" w:hAnsi="Arial" w:cs="Arial"/>
          <w:color w:val="FF0000"/>
          <w:sz w:val="23"/>
          <w:szCs w:val="23"/>
        </w:rPr>
      </w:pPr>
      <w:r>
        <w:rPr>
          <w:rFonts w:ascii="Arial" w:hAnsi="Arial" w:cs="Arial"/>
          <w:color w:val="FF0000"/>
          <w:sz w:val="23"/>
          <w:szCs w:val="23"/>
        </w:rPr>
        <w:t>******</w:t>
      </w:r>
      <w:r w:rsidR="00AF0EF1" w:rsidRPr="00676C73">
        <w:rPr>
          <w:rFonts w:ascii="Arial" w:hAnsi="Arial" w:cs="Arial"/>
          <w:color w:val="FF0000"/>
          <w:sz w:val="23"/>
          <w:szCs w:val="23"/>
        </w:rPr>
        <w:t>.</w:t>
      </w:r>
    </w:p>
    <w:p w14:paraId="10E00CF8" w14:textId="554279AB" w:rsidR="00283888" w:rsidRPr="00676C73" w:rsidRDefault="00283888" w:rsidP="000D6439">
      <w:pPr>
        <w:spacing w:after="120" w:line="240" w:lineRule="auto"/>
        <w:ind w:left="2835"/>
        <w:jc w:val="both"/>
        <w:rPr>
          <w:rFonts w:ascii="Arial" w:hAnsi="Arial" w:cs="Arial"/>
          <w:sz w:val="23"/>
          <w:szCs w:val="23"/>
        </w:rPr>
      </w:pPr>
      <w:r w:rsidRPr="00676C73">
        <w:rPr>
          <w:rFonts w:ascii="Arial" w:hAnsi="Arial" w:cs="Arial"/>
          <w:b/>
          <w:sz w:val="23"/>
          <w:szCs w:val="23"/>
        </w:rPr>
        <w:t xml:space="preserve">MAGISTRADO: </w:t>
      </w:r>
      <w:r w:rsidR="00782BBE" w:rsidRPr="00676C73">
        <w:rPr>
          <w:rFonts w:ascii="Arial" w:hAnsi="Arial" w:cs="Arial"/>
          <w:sz w:val="23"/>
          <w:szCs w:val="23"/>
        </w:rPr>
        <w:t>CLAUDIO ALBERTO ALVARADO BARRAGÁN</w:t>
      </w:r>
      <w:r w:rsidR="00D8676A" w:rsidRPr="00676C73">
        <w:rPr>
          <w:rFonts w:ascii="Arial" w:hAnsi="Arial" w:cs="Arial"/>
          <w:sz w:val="23"/>
          <w:szCs w:val="23"/>
        </w:rPr>
        <w:t>.</w:t>
      </w:r>
    </w:p>
    <w:p w14:paraId="7E5E2F3A" w14:textId="38F61C6C" w:rsidR="00283888" w:rsidRPr="00676C73" w:rsidRDefault="00283888" w:rsidP="000D6439">
      <w:pPr>
        <w:spacing w:after="120" w:line="240" w:lineRule="auto"/>
        <w:ind w:left="2835"/>
        <w:jc w:val="both"/>
        <w:rPr>
          <w:rFonts w:ascii="Arial" w:hAnsi="Arial" w:cs="Arial"/>
          <w:sz w:val="23"/>
          <w:szCs w:val="23"/>
        </w:rPr>
      </w:pPr>
      <w:r w:rsidRPr="00676C73">
        <w:rPr>
          <w:rFonts w:ascii="Arial" w:hAnsi="Arial" w:cs="Arial"/>
          <w:b/>
          <w:sz w:val="23"/>
          <w:szCs w:val="23"/>
        </w:rPr>
        <w:t>SECRETARI</w:t>
      </w:r>
      <w:r w:rsidR="00C63564" w:rsidRPr="00676C73">
        <w:rPr>
          <w:rFonts w:ascii="Arial" w:hAnsi="Arial" w:cs="Arial"/>
          <w:b/>
          <w:sz w:val="23"/>
          <w:szCs w:val="23"/>
        </w:rPr>
        <w:t>A</w:t>
      </w:r>
      <w:r w:rsidRPr="00676C73">
        <w:rPr>
          <w:rFonts w:ascii="Arial" w:hAnsi="Arial" w:cs="Arial"/>
          <w:b/>
          <w:sz w:val="23"/>
          <w:szCs w:val="23"/>
        </w:rPr>
        <w:t xml:space="preserve">: </w:t>
      </w:r>
      <w:r w:rsidR="008B01CF" w:rsidRPr="00676C73">
        <w:rPr>
          <w:rFonts w:ascii="Arial" w:hAnsi="Arial" w:cs="Arial"/>
          <w:sz w:val="23"/>
          <w:szCs w:val="23"/>
        </w:rPr>
        <w:t>MELISSA DEL CARMEN VEGA RAMÍREZ</w:t>
      </w:r>
      <w:r w:rsidR="00D8676A" w:rsidRPr="00676C73">
        <w:rPr>
          <w:rFonts w:ascii="Arial" w:hAnsi="Arial" w:cs="Arial"/>
          <w:sz w:val="23"/>
          <w:szCs w:val="23"/>
        </w:rPr>
        <w:t>.</w:t>
      </w:r>
    </w:p>
    <w:p w14:paraId="598F9173" w14:textId="6A88BDFB" w:rsidR="00384281" w:rsidRDefault="00384281" w:rsidP="00277E3C">
      <w:pPr>
        <w:spacing w:after="120" w:line="360" w:lineRule="auto"/>
        <w:ind w:left="2835"/>
        <w:jc w:val="both"/>
        <w:rPr>
          <w:rFonts w:ascii="Arial" w:hAnsi="Arial" w:cs="Arial"/>
          <w:sz w:val="24"/>
          <w:szCs w:val="28"/>
        </w:rPr>
      </w:pPr>
    </w:p>
    <w:p w14:paraId="7A497598" w14:textId="6B415AE4" w:rsidR="00283888" w:rsidRDefault="00283888" w:rsidP="00C63564">
      <w:pPr>
        <w:spacing w:after="0" w:line="360" w:lineRule="auto"/>
        <w:ind w:firstLine="851"/>
        <w:jc w:val="both"/>
        <w:rPr>
          <w:rFonts w:ascii="Arial" w:hAnsi="Arial" w:cs="Arial"/>
          <w:b/>
          <w:sz w:val="28"/>
          <w:szCs w:val="28"/>
        </w:rPr>
      </w:pPr>
      <w:r w:rsidRPr="00C63564">
        <w:rPr>
          <w:rFonts w:ascii="Arial" w:hAnsi="Arial" w:cs="Arial"/>
          <w:b/>
          <w:sz w:val="28"/>
          <w:szCs w:val="28"/>
        </w:rPr>
        <w:t>Sa</w:t>
      </w:r>
      <w:r w:rsidR="00F90F47">
        <w:rPr>
          <w:rFonts w:ascii="Arial" w:hAnsi="Arial" w:cs="Arial"/>
          <w:b/>
          <w:sz w:val="28"/>
          <w:szCs w:val="28"/>
        </w:rPr>
        <w:t xml:space="preserve">n Luis Potosí, San Luis Potosí, </w:t>
      </w:r>
      <w:r w:rsidR="00C672EF">
        <w:rPr>
          <w:rFonts w:ascii="Arial" w:hAnsi="Arial" w:cs="Arial"/>
          <w:b/>
          <w:sz w:val="28"/>
          <w:szCs w:val="28"/>
        </w:rPr>
        <w:t xml:space="preserve">dieciséis </w:t>
      </w:r>
      <w:r w:rsidRPr="00C63564">
        <w:rPr>
          <w:rFonts w:ascii="Arial" w:hAnsi="Arial" w:cs="Arial"/>
          <w:b/>
          <w:sz w:val="28"/>
          <w:szCs w:val="28"/>
        </w:rPr>
        <w:t xml:space="preserve">de </w:t>
      </w:r>
      <w:r w:rsidR="00AF0EF1">
        <w:rPr>
          <w:rFonts w:ascii="Arial" w:hAnsi="Arial" w:cs="Arial"/>
          <w:b/>
          <w:sz w:val="28"/>
          <w:szCs w:val="28"/>
        </w:rPr>
        <w:t>junio</w:t>
      </w:r>
      <w:r w:rsidRPr="00C63564">
        <w:rPr>
          <w:rFonts w:ascii="Arial" w:hAnsi="Arial" w:cs="Arial"/>
          <w:b/>
          <w:sz w:val="28"/>
          <w:szCs w:val="28"/>
        </w:rPr>
        <w:t xml:space="preserve"> de dos mil </w:t>
      </w:r>
      <w:r w:rsidR="00DC08F2" w:rsidRPr="00C63564">
        <w:rPr>
          <w:rFonts w:ascii="Arial" w:hAnsi="Arial" w:cs="Arial"/>
          <w:b/>
          <w:sz w:val="28"/>
          <w:szCs w:val="28"/>
        </w:rPr>
        <w:t>veinti</w:t>
      </w:r>
      <w:r w:rsidR="00DC08F2">
        <w:rPr>
          <w:rFonts w:ascii="Arial" w:hAnsi="Arial" w:cs="Arial"/>
          <w:b/>
          <w:sz w:val="28"/>
          <w:szCs w:val="28"/>
        </w:rPr>
        <w:t>séis</w:t>
      </w:r>
      <w:r w:rsidR="000D6439" w:rsidRPr="00C63564">
        <w:rPr>
          <w:rFonts w:ascii="Arial" w:hAnsi="Arial" w:cs="Arial"/>
          <w:b/>
          <w:sz w:val="28"/>
          <w:szCs w:val="28"/>
        </w:rPr>
        <w:t>.</w:t>
      </w:r>
    </w:p>
    <w:p w14:paraId="7151D9B7" w14:textId="77777777" w:rsidR="00C63564" w:rsidRDefault="00C63564" w:rsidP="00C63564">
      <w:pPr>
        <w:spacing w:after="0" w:line="360" w:lineRule="auto"/>
        <w:ind w:firstLine="851"/>
        <w:jc w:val="both"/>
        <w:rPr>
          <w:rFonts w:ascii="Arial" w:hAnsi="Arial" w:cs="Arial"/>
          <w:b/>
          <w:sz w:val="28"/>
          <w:szCs w:val="28"/>
        </w:rPr>
      </w:pPr>
    </w:p>
    <w:p w14:paraId="7537F8F8" w14:textId="26B3EFEE" w:rsidR="000D6439" w:rsidRPr="00504D9B" w:rsidRDefault="00283888" w:rsidP="00AF0EF1">
      <w:pPr>
        <w:spacing w:after="0" w:line="360" w:lineRule="auto"/>
        <w:ind w:firstLine="851"/>
        <w:jc w:val="both"/>
        <w:rPr>
          <w:rFonts w:ascii="Arial" w:hAnsi="Arial" w:cs="Arial"/>
          <w:color w:val="000000"/>
          <w:sz w:val="28"/>
          <w:szCs w:val="28"/>
          <w:lang w:val="es-ES" w:eastAsia="es-ES" w:bidi="es-ES"/>
        </w:rPr>
      </w:pPr>
      <w:r w:rsidRPr="00C63564">
        <w:rPr>
          <w:rStyle w:val="Bodytext2Spacing4pt"/>
          <w:sz w:val="28"/>
          <w:szCs w:val="28"/>
        </w:rPr>
        <w:t>VISTO</w:t>
      </w:r>
      <w:r w:rsidRPr="00C63564">
        <w:rPr>
          <w:rFonts w:ascii="Arial" w:hAnsi="Arial" w:cs="Arial"/>
          <w:color w:val="000000"/>
          <w:sz w:val="28"/>
          <w:szCs w:val="28"/>
          <w:lang w:val="es-ES" w:eastAsia="es-ES" w:bidi="es-ES"/>
        </w:rPr>
        <w:t xml:space="preserve">S para resolver los autos del Toca número </w:t>
      </w:r>
      <w:r w:rsidR="00194957">
        <w:rPr>
          <w:rFonts w:ascii="Arial" w:hAnsi="Arial" w:cs="Arial"/>
          <w:color w:val="FF0000"/>
          <w:sz w:val="23"/>
          <w:szCs w:val="23"/>
        </w:rPr>
        <w:t>******</w:t>
      </w:r>
      <w:r w:rsidR="008B01CF" w:rsidRPr="008B01CF">
        <w:rPr>
          <w:rFonts w:ascii="Arial" w:hAnsi="Arial" w:cs="Arial"/>
          <w:b/>
          <w:color w:val="FF0000"/>
          <w:sz w:val="28"/>
          <w:szCs w:val="28"/>
          <w:lang w:val="es-ES" w:eastAsia="es-ES" w:bidi="es-ES"/>
        </w:rPr>
        <w:t xml:space="preserve"> </w:t>
      </w:r>
      <w:r w:rsidRPr="00C63564">
        <w:rPr>
          <w:rFonts w:ascii="Arial" w:hAnsi="Arial" w:cs="Arial"/>
          <w:color w:val="000000"/>
          <w:sz w:val="28"/>
          <w:szCs w:val="28"/>
          <w:lang w:val="es-ES" w:eastAsia="es-ES" w:bidi="es-ES"/>
        </w:rPr>
        <w:t>formado con</w:t>
      </w:r>
      <w:r w:rsidRPr="00C63564">
        <w:rPr>
          <w:rStyle w:val="Bodytext2"/>
          <w:sz w:val="28"/>
          <w:szCs w:val="28"/>
        </w:rPr>
        <w:t xml:space="preserve"> </w:t>
      </w:r>
      <w:r w:rsidRPr="00C63564">
        <w:rPr>
          <w:rFonts w:ascii="Arial" w:hAnsi="Arial" w:cs="Arial"/>
          <w:color w:val="000000"/>
          <w:sz w:val="28"/>
          <w:szCs w:val="28"/>
          <w:lang w:val="es-ES" w:eastAsia="es-ES" w:bidi="es-ES"/>
        </w:rPr>
        <w:t>motivo de la interposición del</w:t>
      </w:r>
      <w:r w:rsidR="00AD0431" w:rsidRPr="00C63564">
        <w:rPr>
          <w:rFonts w:ascii="Arial" w:hAnsi="Arial" w:cs="Arial"/>
          <w:color w:val="000000"/>
          <w:sz w:val="28"/>
          <w:szCs w:val="28"/>
          <w:lang w:val="es-ES" w:eastAsia="es-ES" w:bidi="es-ES"/>
        </w:rPr>
        <w:t xml:space="preserve"> </w:t>
      </w:r>
      <w:r w:rsidRPr="00C63564">
        <w:rPr>
          <w:rFonts w:ascii="Arial" w:hAnsi="Arial" w:cs="Arial"/>
          <w:color w:val="000000"/>
          <w:sz w:val="28"/>
          <w:szCs w:val="28"/>
          <w:lang w:val="es-ES" w:eastAsia="es-ES" w:bidi="es-ES"/>
        </w:rPr>
        <w:t xml:space="preserve">recurso de apelación </w:t>
      </w:r>
      <w:r w:rsidR="00834307">
        <w:rPr>
          <w:rFonts w:ascii="Arial" w:hAnsi="Arial" w:cs="Arial"/>
          <w:color w:val="000000"/>
          <w:sz w:val="28"/>
          <w:szCs w:val="28"/>
          <w:lang w:val="es-ES" w:eastAsia="es-ES" w:bidi="es-ES"/>
        </w:rPr>
        <w:t xml:space="preserve">por </w:t>
      </w:r>
      <w:r w:rsidR="00194957">
        <w:rPr>
          <w:rFonts w:ascii="Arial" w:hAnsi="Arial" w:cs="Arial"/>
          <w:color w:val="FF0000"/>
          <w:sz w:val="23"/>
          <w:szCs w:val="23"/>
        </w:rPr>
        <w:t>******</w:t>
      </w:r>
      <w:r w:rsidR="00AF0EF1">
        <w:rPr>
          <w:rFonts w:ascii="Arial" w:hAnsi="Arial" w:cs="Arial"/>
          <w:sz w:val="28"/>
          <w:szCs w:val="28"/>
        </w:rPr>
        <w:t xml:space="preserve">, </w:t>
      </w:r>
      <w:r w:rsidR="004800E6">
        <w:rPr>
          <w:rFonts w:ascii="Arial" w:hAnsi="Arial" w:cs="Arial"/>
          <w:sz w:val="28"/>
          <w:szCs w:val="28"/>
        </w:rPr>
        <w:t xml:space="preserve">diversa </w:t>
      </w:r>
      <w:r w:rsidR="00AF0EF1">
        <w:rPr>
          <w:rFonts w:ascii="Arial" w:hAnsi="Arial" w:cs="Arial"/>
          <w:sz w:val="28"/>
          <w:szCs w:val="28"/>
        </w:rPr>
        <w:t xml:space="preserve">parte actora en el juicio de origen, </w:t>
      </w:r>
      <w:r w:rsidR="00AF0EF1" w:rsidRPr="00E53633">
        <w:rPr>
          <w:rFonts w:ascii="Arial" w:hAnsi="Arial" w:cs="Arial"/>
          <w:sz w:val="28"/>
          <w:szCs w:val="28"/>
        </w:rPr>
        <w:t xml:space="preserve">en </w:t>
      </w:r>
      <w:r w:rsidR="00AF0EF1" w:rsidRPr="00841873">
        <w:rPr>
          <w:rFonts w:ascii="Arial" w:hAnsi="Arial" w:cs="Arial"/>
          <w:sz w:val="28"/>
          <w:szCs w:val="28"/>
        </w:rPr>
        <w:t xml:space="preserve">contra de la resolución de </w:t>
      </w:r>
      <w:r w:rsidR="00AF0EF1" w:rsidRPr="00B93B95">
        <w:rPr>
          <w:rFonts w:ascii="Arial" w:hAnsi="Arial" w:cs="Arial"/>
          <w:b/>
          <w:color w:val="0000FF"/>
          <w:sz w:val="28"/>
          <w:szCs w:val="28"/>
        </w:rPr>
        <w:t>doce de julio de dos mil veintitrés</w:t>
      </w:r>
      <w:r w:rsidR="00AF0EF1" w:rsidRPr="00470B54">
        <w:rPr>
          <w:rFonts w:ascii="Arial" w:hAnsi="Arial" w:cs="Arial"/>
          <w:sz w:val="28"/>
          <w:szCs w:val="28"/>
        </w:rPr>
        <w:t>,</w:t>
      </w:r>
      <w:r w:rsidR="00AF0EF1">
        <w:rPr>
          <w:rFonts w:ascii="Arial" w:hAnsi="Arial" w:cs="Arial"/>
          <w:sz w:val="28"/>
          <w:szCs w:val="28"/>
        </w:rPr>
        <w:t xml:space="preserve"> </w:t>
      </w:r>
      <w:r w:rsidR="00AF0EF1" w:rsidRPr="0070037F">
        <w:rPr>
          <w:rFonts w:ascii="Arial" w:hAnsi="Arial" w:cs="Arial"/>
          <w:sz w:val="28"/>
          <w:szCs w:val="28"/>
        </w:rPr>
        <w:t xml:space="preserve">pronunciada por la </w:t>
      </w:r>
      <w:r w:rsidR="00AF0EF1" w:rsidRPr="00B93B95">
        <w:rPr>
          <w:rFonts w:ascii="Arial" w:hAnsi="Arial" w:cs="Arial"/>
          <w:color w:val="0000FF"/>
          <w:sz w:val="28"/>
          <w:szCs w:val="28"/>
        </w:rPr>
        <w:t>Segunda</w:t>
      </w:r>
      <w:r w:rsidR="00AF0EF1" w:rsidRPr="0070037F">
        <w:rPr>
          <w:rFonts w:ascii="Arial" w:hAnsi="Arial" w:cs="Arial"/>
          <w:sz w:val="28"/>
          <w:szCs w:val="28"/>
        </w:rPr>
        <w:t xml:space="preserve"> Sala Unitaria de este Tribunal </w:t>
      </w:r>
      <w:r w:rsidR="00AF0EF1">
        <w:rPr>
          <w:rFonts w:ascii="Arial" w:hAnsi="Arial" w:cs="Arial"/>
          <w:sz w:val="28"/>
          <w:szCs w:val="28"/>
        </w:rPr>
        <w:t>en</w:t>
      </w:r>
      <w:r w:rsidR="00AF0EF1" w:rsidRPr="0070037F">
        <w:rPr>
          <w:rFonts w:ascii="Arial" w:hAnsi="Arial" w:cs="Arial"/>
          <w:sz w:val="28"/>
          <w:szCs w:val="28"/>
        </w:rPr>
        <w:t xml:space="preserve"> el ju</w:t>
      </w:r>
      <w:r w:rsidR="00AF0EF1">
        <w:rPr>
          <w:rFonts w:ascii="Arial" w:hAnsi="Arial" w:cs="Arial"/>
          <w:sz w:val="28"/>
          <w:szCs w:val="28"/>
        </w:rPr>
        <w:t xml:space="preserve">icio contencioso administrativo </w:t>
      </w:r>
      <w:r w:rsidR="00194957">
        <w:rPr>
          <w:rFonts w:ascii="Arial" w:hAnsi="Arial" w:cs="Arial"/>
          <w:color w:val="FF0000"/>
          <w:sz w:val="23"/>
          <w:szCs w:val="23"/>
        </w:rPr>
        <w:t>******</w:t>
      </w:r>
      <w:r w:rsidR="00AF0EF1" w:rsidRPr="00B93B95">
        <w:rPr>
          <w:rFonts w:ascii="Arial" w:hAnsi="Arial" w:cs="Arial"/>
          <w:sz w:val="28"/>
          <w:szCs w:val="28"/>
        </w:rPr>
        <w:t>/2022/2</w:t>
      </w:r>
      <w:r w:rsidR="00D8676A" w:rsidRPr="00C63564">
        <w:rPr>
          <w:rFonts w:ascii="Arial" w:hAnsi="Arial" w:cs="Arial"/>
          <w:color w:val="000000"/>
          <w:sz w:val="28"/>
          <w:szCs w:val="28"/>
          <w:lang w:val="es-ES" w:eastAsia="es-ES" w:bidi="es-ES"/>
        </w:rPr>
        <w:t>;</w:t>
      </w:r>
      <w:r w:rsidR="000D6439" w:rsidRPr="00C63564">
        <w:rPr>
          <w:rFonts w:ascii="Arial" w:hAnsi="Arial" w:cs="Arial"/>
          <w:color w:val="000000"/>
          <w:sz w:val="28"/>
          <w:szCs w:val="28"/>
          <w:lang w:val="es-ES" w:eastAsia="es-ES" w:bidi="es-ES"/>
        </w:rPr>
        <w:t xml:space="preserve"> </w:t>
      </w:r>
      <w:r w:rsidR="000D6439" w:rsidRPr="00C63564">
        <w:rPr>
          <w:rFonts w:ascii="Arial" w:hAnsi="Arial" w:cs="Arial"/>
          <w:sz w:val="28"/>
          <w:szCs w:val="28"/>
        </w:rPr>
        <w:t>ello</w:t>
      </w:r>
      <w:r w:rsidR="00D8676A" w:rsidRPr="00C63564">
        <w:rPr>
          <w:rFonts w:ascii="Arial" w:hAnsi="Arial" w:cs="Arial"/>
          <w:sz w:val="28"/>
          <w:szCs w:val="28"/>
        </w:rPr>
        <w:t>,</w:t>
      </w:r>
      <w:r w:rsidR="000D6439" w:rsidRPr="00C63564">
        <w:rPr>
          <w:rFonts w:ascii="Arial" w:hAnsi="Arial" w:cs="Arial"/>
          <w:sz w:val="28"/>
          <w:szCs w:val="28"/>
        </w:rPr>
        <w:t xml:space="preserve"> en </w:t>
      </w:r>
      <w:r w:rsidR="0006194F">
        <w:rPr>
          <w:rFonts w:ascii="Arial" w:hAnsi="Arial" w:cs="Arial"/>
          <w:sz w:val="28"/>
          <w:szCs w:val="28"/>
        </w:rPr>
        <w:t xml:space="preserve">estricto </w:t>
      </w:r>
      <w:r w:rsidR="000D6439" w:rsidRPr="00C63564">
        <w:rPr>
          <w:rFonts w:ascii="Arial" w:hAnsi="Arial" w:cs="Arial"/>
          <w:sz w:val="28"/>
          <w:szCs w:val="28"/>
        </w:rPr>
        <w:t xml:space="preserve">cumplimiento a la ejecutoria pronunciada, en sesión ordinaria virtual el </w:t>
      </w:r>
      <w:r w:rsidR="00AF0EF1" w:rsidRPr="00AF0EF1">
        <w:rPr>
          <w:rFonts w:ascii="Arial" w:hAnsi="Arial" w:cs="Arial"/>
          <w:color w:val="0000FF"/>
          <w:sz w:val="28"/>
          <w:szCs w:val="28"/>
        </w:rPr>
        <w:t>t</w:t>
      </w:r>
      <w:r w:rsidR="00AF0EF1">
        <w:rPr>
          <w:rFonts w:ascii="Arial" w:hAnsi="Arial" w:cs="Arial"/>
          <w:color w:val="0000FF"/>
          <w:sz w:val="28"/>
          <w:szCs w:val="28"/>
        </w:rPr>
        <w:t>reinta de abril de dos mil veinti</w:t>
      </w:r>
      <w:r w:rsidR="00AF0EF1" w:rsidRPr="00AF0EF1">
        <w:rPr>
          <w:rFonts w:ascii="Arial" w:hAnsi="Arial" w:cs="Arial"/>
          <w:color w:val="0000FF"/>
          <w:sz w:val="28"/>
          <w:szCs w:val="28"/>
        </w:rPr>
        <w:t>séis</w:t>
      </w:r>
      <w:r w:rsidR="000D6439" w:rsidRPr="00C63564">
        <w:rPr>
          <w:rFonts w:ascii="Arial" w:hAnsi="Arial" w:cs="Arial"/>
          <w:sz w:val="28"/>
          <w:szCs w:val="28"/>
        </w:rPr>
        <w:t xml:space="preserve">, en el amparo directo administrativo </w:t>
      </w:r>
      <w:r w:rsidR="00194957">
        <w:rPr>
          <w:rFonts w:ascii="Arial" w:hAnsi="Arial" w:cs="Arial"/>
          <w:color w:val="FF0000"/>
          <w:sz w:val="23"/>
          <w:szCs w:val="23"/>
        </w:rPr>
        <w:t>******</w:t>
      </w:r>
      <w:r w:rsidR="000D6439" w:rsidRPr="00C63564">
        <w:rPr>
          <w:rFonts w:ascii="Arial" w:hAnsi="Arial" w:cs="Arial"/>
          <w:sz w:val="28"/>
          <w:szCs w:val="28"/>
        </w:rPr>
        <w:t>/202</w:t>
      </w:r>
      <w:r w:rsidR="00AF0EF1">
        <w:rPr>
          <w:rFonts w:ascii="Arial" w:hAnsi="Arial" w:cs="Arial"/>
          <w:sz w:val="28"/>
          <w:szCs w:val="28"/>
        </w:rPr>
        <w:t>4</w:t>
      </w:r>
      <w:r w:rsidR="000D6439" w:rsidRPr="00C63564">
        <w:rPr>
          <w:rFonts w:ascii="Arial" w:hAnsi="Arial" w:cs="Arial"/>
          <w:sz w:val="28"/>
          <w:szCs w:val="28"/>
        </w:rPr>
        <w:t xml:space="preserve">, del índice del </w:t>
      </w:r>
      <w:r w:rsidR="00AF0EF1" w:rsidRPr="00AF0EF1">
        <w:rPr>
          <w:rFonts w:ascii="Arial" w:hAnsi="Arial" w:cs="Arial"/>
          <w:color w:val="0000FF"/>
          <w:sz w:val="28"/>
          <w:szCs w:val="28"/>
        </w:rPr>
        <w:t>Primer</w:t>
      </w:r>
      <w:r w:rsidR="00AF0EF1">
        <w:rPr>
          <w:rFonts w:ascii="Arial" w:hAnsi="Arial" w:cs="Arial"/>
          <w:color w:val="0000FF"/>
          <w:sz w:val="28"/>
          <w:szCs w:val="28"/>
        </w:rPr>
        <w:t xml:space="preserve"> </w:t>
      </w:r>
      <w:r w:rsidR="00AF0EF1" w:rsidRPr="00AF0EF1">
        <w:rPr>
          <w:rFonts w:ascii="Arial" w:hAnsi="Arial" w:cs="Arial"/>
          <w:color w:val="0000FF"/>
          <w:sz w:val="28"/>
          <w:szCs w:val="28"/>
        </w:rPr>
        <w:t xml:space="preserve">Tribunal </w:t>
      </w:r>
      <w:r w:rsidR="00AF0EF1">
        <w:rPr>
          <w:rFonts w:ascii="Arial" w:hAnsi="Arial" w:cs="Arial"/>
          <w:color w:val="0000FF"/>
          <w:sz w:val="28"/>
          <w:szCs w:val="28"/>
        </w:rPr>
        <w:t>Colegiado en Materias Civil y Ad</w:t>
      </w:r>
      <w:r w:rsidR="00AF0EF1" w:rsidRPr="00AF0EF1">
        <w:rPr>
          <w:rFonts w:ascii="Arial" w:hAnsi="Arial" w:cs="Arial"/>
          <w:color w:val="0000FF"/>
          <w:sz w:val="28"/>
          <w:szCs w:val="28"/>
        </w:rPr>
        <w:t>ministrativa del</w:t>
      </w:r>
      <w:r w:rsidR="00AF0EF1">
        <w:rPr>
          <w:rFonts w:ascii="Arial" w:hAnsi="Arial" w:cs="Arial"/>
          <w:color w:val="0000FF"/>
          <w:sz w:val="28"/>
          <w:szCs w:val="28"/>
        </w:rPr>
        <w:t xml:space="preserve"> </w:t>
      </w:r>
      <w:r w:rsidR="00AF0EF1" w:rsidRPr="00AF0EF1">
        <w:rPr>
          <w:rFonts w:ascii="Arial" w:hAnsi="Arial" w:cs="Arial"/>
          <w:color w:val="0000FF"/>
          <w:sz w:val="28"/>
          <w:szCs w:val="28"/>
        </w:rPr>
        <w:t>Noveno Circuito</w:t>
      </w:r>
      <w:r w:rsidR="000D6439" w:rsidRPr="00C63564">
        <w:rPr>
          <w:rFonts w:ascii="Arial" w:hAnsi="Arial" w:cs="Arial"/>
          <w:sz w:val="28"/>
          <w:szCs w:val="28"/>
        </w:rPr>
        <w:t>.</w:t>
      </w:r>
    </w:p>
    <w:p w14:paraId="6C1A26B5" w14:textId="77777777" w:rsidR="00C63564" w:rsidRPr="009D2973" w:rsidRDefault="00C63564" w:rsidP="00C63564">
      <w:pPr>
        <w:spacing w:after="0" w:line="360" w:lineRule="auto"/>
        <w:ind w:firstLine="851"/>
        <w:jc w:val="both"/>
        <w:rPr>
          <w:rFonts w:ascii="Arial" w:hAnsi="Arial" w:cs="Arial"/>
          <w:sz w:val="10"/>
          <w:szCs w:val="10"/>
        </w:rPr>
      </w:pPr>
    </w:p>
    <w:p w14:paraId="4CF9D3EB" w14:textId="77777777" w:rsidR="00283888" w:rsidRDefault="00283888" w:rsidP="00C63564">
      <w:pPr>
        <w:spacing w:after="0" w:line="360" w:lineRule="auto"/>
        <w:jc w:val="center"/>
        <w:rPr>
          <w:rFonts w:ascii="Arial" w:hAnsi="Arial" w:cs="Arial"/>
          <w:b/>
          <w:sz w:val="28"/>
          <w:szCs w:val="28"/>
        </w:rPr>
      </w:pPr>
      <w:r w:rsidRPr="00C63564">
        <w:rPr>
          <w:rFonts w:ascii="Arial" w:hAnsi="Arial" w:cs="Arial"/>
          <w:b/>
          <w:sz w:val="28"/>
          <w:szCs w:val="28"/>
        </w:rPr>
        <w:t>R E S U L T A N D O.</w:t>
      </w:r>
    </w:p>
    <w:p w14:paraId="424BD6E1" w14:textId="77777777" w:rsidR="00C63564" w:rsidRPr="00BC1450" w:rsidRDefault="00C63564" w:rsidP="00C63564">
      <w:pPr>
        <w:spacing w:after="0" w:line="360" w:lineRule="auto"/>
        <w:jc w:val="center"/>
        <w:rPr>
          <w:rFonts w:ascii="Arial" w:hAnsi="Arial" w:cs="Arial"/>
          <w:b/>
          <w:sz w:val="10"/>
          <w:szCs w:val="10"/>
        </w:rPr>
      </w:pPr>
    </w:p>
    <w:p w14:paraId="6034BA39" w14:textId="1524C256" w:rsidR="00AE46D3" w:rsidRDefault="00AE46D3" w:rsidP="00C63564">
      <w:pPr>
        <w:spacing w:after="0" w:line="360" w:lineRule="auto"/>
        <w:ind w:right="51" w:firstLine="851"/>
        <w:jc w:val="both"/>
        <w:rPr>
          <w:rFonts w:ascii="Arial" w:hAnsi="Arial" w:cs="Arial"/>
          <w:sz w:val="28"/>
          <w:szCs w:val="28"/>
        </w:rPr>
      </w:pPr>
      <w:r w:rsidRPr="00C63564">
        <w:rPr>
          <w:rFonts w:ascii="Arial" w:hAnsi="Arial" w:cs="Arial"/>
          <w:b/>
          <w:sz w:val="28"/>
          <w:szCs w:val="28"/>
        </w:rPr>
        <w:t>I.</w:t>
      </w:r>
      <w:r w:rsidRPr="00C63564">
        <w:rPr>
          <w:rFonts w:ascii="Arial" w:hAnsi="Arial" w:cs="Arial"/>
          <w:sz w:val="28"/>
          <w:szCs w:val="28"/>
        </w:rPr>
        <w:t xml:space="preserve"> La resolución materia de apelación, concluyó con los resolutivos siguientes:</w:t>
      </w:r>
    </w:p>
    <w:p w14:paraId="102A5D2B" w14:textId="28C7EEE0" w:rsidR="00AF0EF1" w:rsidRPr="00AF0EF1" w:rsidRDefault="00AF0EF1" w:rsidP="009D2973">
      <w:pPr>
        <w:spacing w:after="0" w:line="240" w:lineRule="auto"/>
        <w:ind w:left="851" w:right="474"/>
        <w:jc w:val="both"/>
        <w:rPr>
          <w:rFonts w:ascii="Arial Narrow" w:hAnsi="Arial Narrow" w:cs="Arial"/>
          <w:b/>
          <w:bCs/>
          <w:i/>
          <w:color w:val="000000"/>
          <w:sz w:val="24"/>
          <w:szCs w:val="24"/>
        </w:rPr>
      </w:pPr>
      <w:r w:rsidRPr="00AF0EF1">
        <w:rPr>
          <w:rFonts w:ascii="Arial Narrow" w:hAnsi="Arial Narrow" w:cs="Arial"/>
          <w:b/>
          <w:bCs/>
          <w:i/>
          <w:color w:val="000000"/>
          <w:sz w:val="24"/>
          <w:szCs w:val="24"/>
        </w:rPr>
        <w:lastRenderedPageBreak/>
        <w:t xml:space="preserve">“PRIMERO.- </w:t>
      </w:r>
      <w:r w:rsidRPr="00AF0EF1">
        <w:rPr>
          <w:rFonts w:ascii="Arial Narrow" w:hAnsi="Arial Narrow" w:cs="Arial"/>
          <w:bCs/>
          <w:i/>
          <w:color w:val="000000"/>
          <w:sz w:val="24"/>
          <w:szCs w:val="24"/>
        </w:rPr>
        <w:t>Esta Segunda Sala Unitaria es competente para conocer y resolver la presente controversia.</w:t>
      </w:r>
    </w:p>
    <w:p w14:paraId="4444E64E" w14:textId="77777777" w:rsidR="00AF0EF1" w:rsidRPr="00AF0EF1" w:rsidRDefault="00AF0EF1" w:rsidP="009D2973">
      <w:pPr>
        <w:spacing w:after="0" w:line="240" w:lineRule="auto"/>
        <w:ind w:left="851" w:right="474"/>
        <w:jc w:val="both"/>
        <w:rPr>
          <w:rFonts w:ascii="Arial Narrow" w:hAnsi="Arial Narrow" w:cs="Arial"/>
          <w:b/>
          <w:bCs/>
          <w:i/>
          <w:color w:val="000000"/>
          <w:sz w:val="24"/>
          <w:szCs w:val="24"/>
        </w:rPr>
      </w:pPr>
      <w:r w:rsidRPr="00AF0EF1">
        <w:rPr>
          <w:rFonts w:ascii="Arial Narrow" w:hAnsi="Arial Narrow" w:cs="Arial"/>
          <w:b/>
          <w:bCs/>
          <w:i/>
          <w:color w:val="000000"/>
          <w:sz w:val="24"/>
          <w:szCs w:val="24"/>
        </w:rPr>
        <w:t xml:space="preserve">SEGUNDO.- </w:t>
      </w:r>
      <w:r w:rsidRPr="00AF0EF1">
        <w:rPr>
          <w:rFonts w:ascii="Arial Narrow" w:hAnsi="Arial Narrow" w:cs="Arial"/>
          <w:bCs/>
          <w:i/>
          <w:color w:val="000000"/>
          <w:sz w:val="24"/>
          <w:szCs w:val="24"/>
        </w:rPr>
        <w:t>Se decreta el</w:t>
      </w:r>
      <w:r w:rsidRPr="00AF0EF1">
        <w:rPr>
          <w:rFonts w:ascii="Arial Narrow" w:hAnsi="Arial Narrow" w:cs="Arial"/>
          <w:b/>
          <w:bCs/>
          <w:i/>
          <w:color w:val="000000"/>
          <w:sz w:val="24"/>
          <w:szCs w:val="24"/>
        </w:rPr>
        <w:t xml:space="preserve"> SOBRESEIMIENTO </w:t>
      </w:r>
      <w:r w:rsidRPr="00AF0EF1">
        <w:rPr>
          <w:rFonts w:ascii="Arial Narrow" w:hAnsi="Arial Narrow" w:cs="Arial"/>
          <w:bCs/>
          <w:i/>
          <w:color w:val="000000"/>
          <w:sz w:val="24"/>
          <w:szCs w:val="24"/>
        </w:rPr>
        <w:t>del juicio; por las razones expuestas en el considerando Segundo de la presente resolución</w:t>
      </w:r>
      <w:r w:rsidRPr="00AF0EF1">
        <w:rPr>
          <w:rFonts w:ascii="Arial Narrow" w:hAnsi="Arial Narrow" w:cs="Arial"/>
          <w:b/>
          <w:bCs/>
          <w:i/>
          <w:color w:val="000000"/>
          <w:sz w:val="24"/>
          <w:szCs w:val="24"/>
        </w:rPr>
        <w:t>.</w:t>
      </w:r>
    </w:p>
    <w:p w14:paraId="22441435" w14:textId="77777777" w:rsidR="00AF0EF1" w:rsidRPr="00AF0EF1" w:rsidRDefault="00AF0EF1" w:rsidP="009D2973">
      <w:pPr>
        <w:spacing w:after="0" w:line="240" w:lineRule="auto"/>
        <w:ind w:left="851" w:right="474"/>
        <w:jc w:val="both"/>
        <w:rPr>
          <w:rFonts w:ascii="Arial Narrow" w:hAnsi="Arial Narrow" w:cs="Arial"/>
          <w:b/>
          <w:bCs/>
          <w:i/>
          <w:color w:val="000000"/>
          <w:sz w:val="24"/>
          <w:szCs w:val="24"/>
        </w:rPr>
      </w:pPr>
      <w:r w:rsidRPr="00AF0EF1">
        <w:rPr>
          <w:rFonts w:ascii="Arial Narrow" w:hAnsi="Arial Narrow" w:cs="Arial"/>
          <w:bCs/>
          <w:i/>
          <w:color w:val="000000"/>
          <w:sz w:val="24"/>
          <w:szCs w:val="24"/>
        </w:rPr>
        <w:t>[…]”.</w:t>
      </w:r>
    </w:p>
    <w:p w14:paraId="74798FE0" w14:textId="77777777" w:rsidR="00AF0EF1" w:rsidRPr="009D2973" w:rsidRDefault="00AF0EF1" w:rsidP="0006194F">
      <w:pPr>
        <w:autoSpaceDE w:val="0"/>
        <w:autoSpaceDN w:val="0"/>
        <w:adjustRightInd w:val="0"/>
        <w:spacing w:after="0" w:line="360" w:lineRule="auto"/>
        <w:ind w:firstLine="708"/>
        <w:jc w:val="both"/>
        <w:rPr>
          <w:rFonts w:ascii="Arial" w:hAnsi="Arial" w:cs="Arial"/>
          <w:b/>
          <w:sz w:val="10"/>
          <w:szCs w:val="10"/>
        </w:rPr>
      </w:pPr>
    </w:p>
    <w:p w14:paraId="264EDAC5" w14:textId="2D9034CD" w:rsidR="00AF0EF1" w:rsidRPr="00AF0EF1" w:rsidRDefault="00AF0EF1" w:rsidP="00AF0EF1">
      <w:pPr>
        <w:spacing w:after="60" w:line="360" w:lineRule="auto"/>
        <w:ind w:firstLine="709"/>
        <w:jc w:val="both"/>
        <w:rPr>
          <w:rFonts w:ascii="Arial" w:hAnsi="Arial" w:cs="Arial"/>
          <w:sz w:val="28"/>
          <w:szCs w:val="24"/>
        </w:rPr>
      </w:pPr>
      <w:r w:rsidRPr="00AF0EF1">
        <w:rPr>
          <w:rFonts w:ascii="Arial" w:hAnsi="Arial" w:cs="Arial"/>
          <w:b/>
          <w:sz w:val="28"/>
          <w:szCs w:val="24"/>
        </w:rPr>
        <w:t>II.</w:t>
      </w:r>
      <w:r w:rsidRPr="00AF0EF1">
        <w:rPr>
          <w:rFonts w:ascii="Arial" w:hAnsi="Arial" w:cs="Arial"/>
          <w:sz w:val="28"/>
          <w:szCs w:val="24"/>
        </w:rPr>
        <w:t xml:space="preserve"> Inconforme con la referida determinación,</w:t>
      </w:r>
      <w:r w:rsidRPr="00AF0EF1">
        <w:rPr>
          <w:rFonts w:ascii="Arial" w:hAnsi="Arial" w:cs="Arial"/>
          <w:sz w:val="28"/>
          <w:szCs w:val="28"/>
        </w:rPr>
        <w:t xml:space="preserve"> </w:t>
      </w:r>
      <w:r w:rsidR="00194957">
        <w:rPr>
          <w:rFonts w:ascii="Arial" w:hAnsi="Arial" w:cs="Arial"/>
          <w:color w:val="FF0000"/>
          <w:sz w:val="23"/>
          <w:szCs w:val="23"/>
        </w:rPr>
        <w:t>******</w:t>
      </w:r>
      <w:r w:rsidRPr="00AF0EF1">
        <w:rPr>
          <w:rFonts w:ascii="Arial" w:hAnsi="Arial" w:cs="Arial"/>
          <w:sz w:val="28"/>
          <w:szCs w:val="28"/>
        </w:rPr>
        <w:t xml:space="preserve">, diversa parte actora en el juicio de origen, interpuso recurso de apelación, mediante escrito presentado el </w:t>
      </w:r>
      <w:r w:rsidRPr="00AF0EF1">
        <w:rPr>
          <w:rFonts w:ascii="Arial" w:hAnsi="Arial" w:cs="Arial"/>
          <w:color w:val="0000FF"/>
          <w:sz w:val="28"/>
          <w:szCs w:val="28"/>
        </w:rPr>
        <w:t>trece de septiembre dos mil veintitrés</w:t>
      </w:r>
      <w:r w:rsidRPr="00AF0EF1">
        <w:rPr>
          <w:rFonts w:ascii="Arial" w:hAnsi="Arial" w:cs="Arial"/>
          <w:sz w:val="28"/>
          <w:szCs w:val="28"/>
        </w:rPr>
        <w:t xml:space="preserve">, en la Oficialía de partes de este Tribunal Estatal de Justicia Administrativa y recibido en esta Sala Superior el </w:t>
      </w:r>
      <w:r w:rsidRPr="00AF0EF1">
        <w:rPr>
          <w:rFonts w:ascii="Arial" w:hAnsi="Arial" w:cs="Arial"/>
          <w:color w:val="0000FF"/>
          <w:sz w:val="28"/>
          <w:szCs w:val="28"/>
        </w:rPr>
        <w:t>veintidós de septiembre siguiente</w:t>
      </w:r>
      <w:r w:rsidRPr="00AF0EF1">
        <w:rPr>
          <w:rFonts w:ascii="Arial" w:hAnsi="Arial" w:cs="Arial"/>
          <w:sz w:val="28"/>
          <w:szCs w:val="24"/>
        </w:rPr>
        <w:t xml:space="preserve">; atendiendo a que por auto de </w:t>
      </w:r>
      <w:r w:rsidRPr="00AF0EF1">
        <w:rPr>
          <w:rFonts w:ascii="Arial" w:hAnsi="Arial" w:cs="Arial"/>
          <w:color w:val="0000FF"/>
          <w:sz w:val="28"/>
          <w:szCs w:val="24"/>
        </w:rPr>
        <w:t>dieciocho de septiembre del presente año</w:t>
      </w:r>
      <w:r w:rsidRPr="00AF0EF1">
        <w:rPr>
          <w:rFonts w:ascii="Arial" w:hAnsi="Arial" w:cs="Arial"/>
          <w:sz w:val="28"/>
          <w:szCs w:val="24"/>
          <w:vertAlign w:val="superscript"/>
        </w:rPr>
        <w:footnoteReference w:id="1"/>
      </w:r>
      <w:r w:rsidRPr="00AF0EF1">
        <w:rPr>
          <w:rFonts w:ascii="Arial" w:hAnsi="Arial" w:cs="Arial"/>
          <w:sz w:val="28"/>
          <w:szCs w:val="24"/>
        </w:rPr>
        <w:t>, con fundamento en el artículo 152, último párrafo del Código Procesal Administrativo para el Estado</w:t>
      </w:r>
      <w:r w:rsidRPr="00AF0EF1">
        <w:rPr>
          <w:rFonts w:ascii="Arial" w:hAnsi="Arial" w:cs="Arial"/>
          <w:sz w:val="28"/>
          <w:szCs w:val="24"/>
          <w:vertAlign w:val="superscript"/>
        </w:rPr>
        <w:footnoteReference w:id="2"/>
      </w:r>
      <w:r w:rsidR="009D2973">
        <w:rPr>
          <w:rFonts w:ascii="Arial" w:hAnsi="Arial" w:cs="Arial"/>
          <w:sz w:val="28"/>
          <w:szCs w:val="24"/>
        </w:rPr>
        <w:t>, la Magistrada</w:t>
      </w:r>
      <w:r w:rsidRPr="00AF0EF1">
        <w:rPr>
          <w:rFonts w:ascii="Arial" w:hAnsi="Arial" w:cs="Arial"/>
          <w:sz w:val="28"/>
          <w:szCs w:val="24"/>
        </w:rPr>
        <w:t xml:space="preserve"> de la </w:t>
      </w:r>
      <w:r w:rsidR="009D2973">
        <w:rPr>
          <w:rFonts w:ascii="Arial" w:hAnsi="Arial" w:cs="Arial"/>
          <w:sz w:val="28"/>
          <w:szCs w:val="24"/>
        </w:rPr>
        <w:t>Segunda</w:t>
      </w:r>
      <w:r w:rsidRPr="00AF0EF1">
        <w:rPr>
          <w:rFonts w:ascii="Arial" w:hAnsi="Arial" w:cs="Arial"/>
          <w:sz w:val="28"/>
          <w:szCs w:val="24"/>
        </w:rPr>
        <w:t xml:space="preserve"> Sala Unitaria, ordenó remitir a esta Sala Superior la apelación con los autos del expediente </w:t>
      </w:r>
      <w:r w:rsidR="00194957">
        <w:rPr>
          <w:rFonts w:ascii="Arial" w:hAnsi="Arial" w:cs="Arial"/>
          <w:color w:val="FF0000"/>
          <w:sz w:val="23"/>
          <w:szCs w:val="23"/>
        </w:rPr>
        <w:t>******</w:t>
      </w:r>
      <w:r w:rsidR="009D2973" w:rsidRPr="009D2973">
        <w:rPr>
          <w:rFonts w:ascii="Arial" w:hAnsi="Arial" w:cs="Arial"/>
          <w:sz w:val="28"/>
          <w:szCs w:val="24"/>
        </w:rPr>
        <w:t>/2022/2</w:t>
      </w:r>
      <w:r w:rsidRPr="00AF0EF1">
        <w:rPr>
          <w:rFonts w:ascii="Arial" w:hAnsi="Arial" w:cs="Arial"/>
          <w:sz w:val="28"/>
          <w:szCs w:val="24"/>
        </w:rPr>
        <w:t>.</w:t>
      </w:r>
    </w:p>
    <w:p w14:paraId="3A2B7F20" w14:textId="4F94E44C" w:rsidR="00AF0EF1" w:rsidRPr="00AF0EF1" w:rsidRDefault="00AF0EF1" w:rsidP="00AF0EF1">
      <w:pPr>
        <w:spacing w:after="60" w:line="360" w:lineRule="auto"/>
        <w:ind w:firstLine="709"/>
        <w:jc w:val="both"/>
        <w:rPr>
          <w:rFonts w:ascii="Arial" w:hAnsi="Arial" w:cs="Arial"/>
          <w:sz w:val="28"/>
          <w:szCs w:val="28"/>
        </w:rPr>
      </w:pPr>
      <w:r w:rsidRPr="00AF0EF1">
        <w:rPr>
          <w:rFonts w:ascii="Arial" w:hAnsi="Arial" w:cs="Arial"/>
          <w:b/>
          <w:sz w:val="28"/>
          <w:szCs w:val="28"/>
        </w:rPr>
        <w:t>III.</w:t>
      </w:r>
      <w:r w:rsidRPr="00AF0EF1">
        <w:rPr>
          <w:rFonts w:ascii="Arial" w:hAnsi="Arial" w:cs="Arial"/>
          <w:sz w:val="28"/>
          <w:szCs w:val="28"/>
        </w:rPr>
        <w:t xml:space="preserve"> Por acuerdo de </w:t>
      </w:r>
      <w:r w:rsidRPr="00AF0EF1">
        <w:rPr>
          <w:rFonts w:ascii="Arial" w:hAnsi="Arial" w:cs="Arial"/>
          <w:color w:val="0000FF"/>
          <w:sz w:val="28"/>
          <w:szCs w:val="28"/>
        </w:rPr>
        <w:t>veintisiete de septiembre de dos mil veintitrés</w:t>
      </w:r>
      <w:r w:rsidRPr="00AF0EF1">
        <w:rPr>
          <w:rFonts w:ascii="Arial" w:hAnsi="Arial" w:cs="Arial"/>
          <w:sz w:val="28"/>
          <w:szCs w:val="28"/>
          <w:vertAlign w:val="superscript"/>
        </w:rPr>
        <w:footnoteReference w:id="3"/>
      </w:r>
      <w:r w:rsidRPr="00AF0EF1">
        <w:rPr>
          <w:rFonts w:ascii="Arial" w:hAnsi="Arial" w:cs="Arial"/>
          <w:sz w:val="28"/>
          <w:szCs w:val="28"/>
        </w:rPr>
        <w:t xml:space="preserve">, </w:t>
      </w:r>
      <w:r w:rsidRPr="00AF0EF1">
        <w:rPr>
          <w:rFonts w:ascii="Arial" w:hAnsi="Arial" w:cs="Arial"/>
          <w:color w:val="000000"/>
          <w:sz w:val="28"/>
          <w:szCs w:val="28"/>
        </w:rPr>
        <w:t xml:space="preserve">se admitió a trámite el recurso de apelación, interpuesto por </w:t>
      </w:r>
      <w:r w:rsidR="00194957">
        <w:rPr>
          <w:rFonts w:ascii="Arial" w:hAnsi="Arial" w:cs="Arial"/>
          <w:color w:val="FF0000"/>
          <w:sz w:val="23"/>
          <w:szCs w:val="23"/>
        </w:rPr>
        <w:t>******</w:t>
      </w:r>
      <w:r w:rsidRPr="00AF0EF1">
        <w:rPr>
          <w:rFonts w:ascii="Arial" w:hAnsi="Arial" w:cs="Arial"/>
          <w:color w:val="000000"/>
          <w:sz w:val="28"/>
          <w:szCs w:val="28"/>
        </w:rPr>
        <w:t xml:space="preserve">; así mismo, se </w:t>
      </w:r>
      <w:r w:rsidRPr="00AF0EF1">
        <w:rPr>
          <w:rFonts w:ascii="Arial" w:hAnsi="Arial" w:cs="Arial"/>
          <w:sz w:val="28"/>
          <w:szCs w:val="28"/>
        </w:rPr>
        <w:t xml:space="preserve">ordenó notificar y dar vista con copia del escrito de mérito </w:t>
      </w:r>
      <w:r w:rsidRPr="00AF0EF1">
        <w:rPr>
          <w:rFonts w:ascii="Arial" w:hAnsi="Arial" w:cs="Arial"/>
          <w:bCs/>
          <w:sz w:val="28"/>
          <w:szCs w:val="28"/>
        </w:rPr>
        <w:t xml:space="preserve">a la diversa actora </w:t>
      </w:r>
      <w:r w:rsidR="00194957">
        <w:rPr>
          <w:rFonts w:ascii="Arial" w:hAnsi="Arial" w:cs="Arial"/>
          <w:color w:val="FF0000"/>
          <w:sz w:val="23"/>
          <w:szCs w:val="23"/>
        </w:rPr>
        <w:t>******</w:t>
      </w:r>
      <w:r w:rsidRPr="00AF0EF1">
        <w:rPr>
          <w:rFonts w:ascii="Arial" w:hAnsi="Arial" w:cs="Arial"/>
          <w:sz w:val="28"/>
          <w:szCs w:val="28"/>
        </w:rPr>
        <w:t>, así como a las</w:t>
      </w:r>
      <w:r w:rsidRPr="00AF0EF1">
        <w:rPr>
          <w:rFonts w:ascii="Arial" w:hAnsi="Arial" w:cs="Arial"/>
          <w:bCs/>
          <w:sz w:val="28"/>
          <w:szCs w:val="28"/>
        </w:rPr>
        <w:t xml:space="preserve"> autoridades demandadas,</w:t>
      </w:r>
      <w:r w:rsidRPr="00AF0EF1">
        <w:rPr>
          <w:rFonts w:ascii="Arial" w:hAnsi="Arial" w:cs="Arial"/>
          <w:sz w:val="28"/>
          <w:szCs w:val="28"/>
        </w:rPr>
        <w:t xml:space="preserve"> </w:t>
      </w:r>
      <w:r w:rsidR="00194957">
        <w:rPr>
          <w:rFonts w:ascii="Arial" w:hAnsi="Arial" w:cs="Arial"/>
          <w:color w:val="FF0000"/>
          <w:sz w:val="23"/>
          <w:szCs w:val="23"/>
        </w:rPr>
        <w:t>******</w:t>
      </w:r>
      <w:r w:rsidRPr="00AF0EF1">
        <w:rPr>
          <w:rFonts w:ascii="Arial" w:hAnsi="Arial" w:cs="Arial"/>
          <w:sz w:val="28"/>
          <w:szCs w:val="28"/>
        </w:rPr>
        <w:t xml:space="preserve">, con copia del escrito de cuenta, para que dentro del término de </w:t>
      </w:r>
      <w:r w:rsidRPr="00AF0EF1">
        <w:rPr>
          <w:rFonts w:ascii="Arial" w:hAnsi="Arial" w:cs="Arial"/>
          <w:b/>
          <w:sz w:val="28"/>
          <w:szCs w:val="28"/>
        </w:rPr>
        <w:t>tres días hábiles</w:t>
      </w:r>
      <w:r w:rsidRPr="00AF0EF1">
        <w:rPr>
          <w:rFonts w:ascii="Arial" w:hAnsi="Arial" w:cs="Arial"/>
          <w:bCs/>
          <w:sz w:val="28"/>
          <w:szCs w:val="28"/>
        </w:rPr>
        <w:t>,</w:t>
      </w:r>
      <w:r w:rsidRPr="00AF0EF1">
        <w:rPr>
          <w:rFonts w:ascii="Arial" w:hAnsi="Arial" w:cs="Arial"/>
          <w:sz w:val="28"/>
          <w:szCs w:val="28"/>
        </w:rPr>
        <w:t xml:space="preserve"> </w:t>
      </w:r>
      <w:r w:rsidRPr="00AF0EF1">
        <w:rPr>
          <w:rFonts w:ascii="Arial" w:hAnsi="Arial" w:cs="Arial"/>
          <w:sz w:val="28"/>
          <w:szCs w:val="28"/>
          <w:lang w:val="es-ES"/>
        </w:rPr>
        <w:t xml:space="preserve">manifestaran lo que a su derecho </w:t>
      </w:r>
      <w:r w:rsidRPr="00AF0EF1">
        <w:rPr>
          <w:rFonts w:ascii="Arial" w:hAnsi="Arial" w:cs="Arial"/>
          <w:sz w:val="28"/>
          <w:szCs w:val="28"/>
        </w:rPr>
        <w:t>conviniere.</w:t>
      </w:r>
    </w:p>
    <w:p w14:paraId="31B8B403" w14:textId="118B7811" w:rsidR="00AF0EF1" w:rsidRPr="00AF0EF1" w:rsidRDefault="00AF0EF1" w:rsidP="00AF0EF1">
      <w:pPr>
        <w:spacing w:after="60" w:line="360" w:lineRule="auto"/>
        <w:ind w:firstLine="709"/>
        <w:jc w:val="both"/>
        <w:rPr>
          <w:rFonts w:ascii="Arial" w:hAnsi="Arial" w:cs="Arial"/>
          <w:sz w:val="28"/>
          <w:szCs w:val="28"/>
        </w:rPr>
      </w:pPr>
      <w:r w:rsidRPr="00AF0EF1">
        <w:rPr>
          <w:rFonts w:ascii="Arial" w:hAnsi="Arial" w:cs="Arial"/>
          <w:b/>
          <w:sz w:val="28"/>
          <w:szCs w:val="28"/>
        </w:rPr>
        <w:t>IV.</w:t>
      </w:r>
      <w:r w:rsidRPr="00AF0EF1">
        <w:rPr>
          <w:rFonts w:ascii="Arial" w:hAnsi="Arial" w:cs="Arial"/>
          <w:sz w:val="28"/>
          <w:szCs w:val="28"/>
        </w:rPr>
        <w:t xml:space="preserve"> En proveído de </w:t>
      </w:r>
      <w:r w:rsidRPr="00AF0EF1">
        <w:rPr>
          <w:rFonts w:ascii="Arial" w:hAnsi="Arial" w:cs="Arial"/>
          <w:color w:val="0000FF"/>
          <w:sz w:val="28"/>
          <w:szCs w:val="28"/>
        </w:rPr>
        <w:t>dieciocho de octubre del año que transcurre</w:t>
      </w:r>
      <w:r w:rsidRPr="00AF0EF1">
        <w:rPr>
          <w:rFonts w:ascii="Arial" w:hAnsi="Arial" w:cs="Arial"/>
          <w:sz w:val="28"/>
          <w:szCs w:val="28"/>
          <w:vertAlign w:val="superscript"/>
        </w:rPr>
        <w:footnoteReference w:id="4"/>
      </w:r>
      <w:r w:rsidRPr="00AF0EF1">
        <w:rPr>
          <w:rFonts w:ascii="Arial" w:hAnsi="Arial" w:cs="Arial"/>
          <w:sz w:val="28"/>
          <w:szCs w:val="28"/>
        </w:rPr>
        <w:t xml:space="preserve">, se tuvo </w:t>
      </w:r>
      <w:r w:rsidRPr="00AF0EF1">
        <w:rPr>
          <w:rFonts w:ascii="Arial" w:hAnsi="Arial" w:cs="Arial"/>
          <w:bCs/>
          <w:sz w:val="28"/>
          <w:szCs w:val="28"/>
        </w:rPr>
        <w:t xml:space="preserve">a la diversa actora </w:t>
      </w:r>
      <w:r w:rsidR="00194957">
        <w:rPr>
          <w:rFonts w:ascii="Arial" w:hAnsi="Arial" w:cs="Arial"/>
          <w:color w:val="FF0000"/>
          <w:sz w:val="23"/>
          <w:szCs w:val="23"/>
        </w:rPr>
        <w:t>******</w:t>
      </w:r>
      <w:r w:rsidRPr="00AF0EF1">
        <w:rPr>
          <w:rFonts w:ascii="Arial" w:hAnsi="Arial" w:cs="Arial"/>
          <w:sz w:val="28"/>
          <w:szCs w:val="28"/>
        </w:rPr>
        <w:t>, así como a las</w:t>
      </w:r>
      <w:r w:rsidRPr="00AF0EF1">
        <w:rPr>
          <w:rFonts w:ascii="Arial" w:hAnsi="Arial" w:cs="Arial"/>
          <w:bCs/>
          <w:sz w:val="28"/>
          <w:szCs w:val="28"/>
        </w:rPr>
        <w:t xml:space="preserve"> autoridades demandadas,</w:t>
      </w:r>
      <w:r w:rsidRPr="00AF0EF1">
        <w:rPr>
          <w:rFonts w:ascii="Arial" w:hAnsi="Arial" w:cs="Arial"/>
          <w:sz w:val="28"/>
          <w:szCs w:val="28"/>
        </w:rPr>
        <w:t xml:space="preserve"> </w:t>
      </w:r>
      <w:r w:rsidR="00194957">
        <w:rPr>
          <w:rFonts w:ascii="Arial" w:hAnsi="Arial" w:cs="Arial"/>
          <w:color w:val="FF0000"/>
          <w:sz w:val="23"/>
          <w:szCs w:val="23"/>
        </w:rPr>
        <w:t>******</w:t>
      </w:r>
      <w:r w:rsidRPr="00AF0EF1">
        <w:rPr>
          <w:rFonts w:ascii="Arial" w:hAnsi="Arial" w:cs="Arial"/>
          <w:sz w:val="28"/>
          <w:szCs w:val="28"/>
        </w:rPr>
        <w:t xml:space="preserve">, por no desahogando la referida vista en el término otorgado; y con fundamento en lo dispuesto por el artículo 154 del Código Procesal Administrativo vigente </w:t>
      </w:r>
      <w:r w:rsidRPr="00AF0EF1">
        <w:rPr>
          <w:rFonts w:ascii="Arial" w:hAnsi="Arial" w:cs="Arial"/>
          <w:sz w:val="28"/>
          <w:szCs w:val="28"/>
        </w:rPr>
        <w:lastRenderedPageBreak/>
        <w:t>en el Estado</w:t>
      </w:r>
      <w:r w:rsidRPr="00AF0EF1">
        <w:rPr>
          <w:rFonts w:ascii="Arial" w:hAnsi="Arial" w:cs="Arial"/>
          <w:sz w:val="28"/>
          <w:szCs w:val="28"/>
          <w:vertAlign w:val="superscript"/>
        </w:rPr>
        <w:footnoteReference w:id="5"/>
      </w:r>
      <w:r w:rsidRPr="00AF0EF1">
        <w:rPr>
          <w:rFonts w:ascii="Arial" w:hAnsi="Arial" w:cs="Arial"/>
          <w:sz w:val="28"/>
          <w:szCs w:val="28"/>
        </w:rPr>
        <w:t>, se citó para resolver el presente recurso de apelación.</w:t>
      </w:r>
    </w:p>
    <w:p w14:paraId="22C6ACD6" w14:textId="0364188B" w:rsidR="00AE46D3" w:rsidRDefault="00CE1E37" w:rsidP="00C63564">
      <w:pPr>
        <w:spacing w:after="0" w:line="360" w:lineRule="auto"/>
        <w:ind w:firstLine="851"/>
        <w:jc w:val="both"/>
        <w:rPr>
          <w:rFonts w:ascii="Arial" w:hAnsi="Arial" w:cs="Arial"/>
          <w:sz w:val="28"/>
          <w:szCs w:val="28"/>
        </w:rPr>
      </w:pPr>
      <w:r>
        <w:rPr>
          <w:rFonts w:ascii="Arial" w:hAnsi="Arial" w:cs="Arial"/>
          <w:b/>
          <w:sz w:val="28"/>
          <w:szCs w:val="28"/>
        </w:rPr>
        <w:t>V</w:t>
      </w:r>
      <w:r w:rsidR="00AE46D3" w:rsidRPr="007442BF">
        <w:rPr>
          <w:rFonts w:ascii="Arial" w:hAnsi="Arial" w:cs="Arial"/>
          <w:b/>
          <w:sz w:val="28"/>
          <w:szCs w:val="28"/>
        </w:rPr>
        <w:t>.</w:t>
      </w:r>
      <w:r w:rsidR="00AE46D3" w:rsidRPr="007442BF">
        <w:rPr>
          <w:rFonts w:ascii="Arial" w:hAnsi="Arial" w:cs="Arial"/>
          <w:sz w:val="28"/>
          <w:szCs w:val="28"/>
        </w:rPr>
        <w:t xml:space="preserve"> </w:t>
      </w:r>
      <w:r w:rsidR="00277E3C">
        <w:rPr>
          <w:rFonts w:ascii="Arial" w:hAnsi="Arial" w:cs="Arial"/>
          <w:sz w:val="28"/>
          <w:szCs w:val="28"/>
        </w:rPr>
        <w:t xml:space="preserve">Posteriormente, </w:t>
      </w:r>
      <w:r w:rsidR="00277E3C" w:rsidRPr="007442BF">
        <w:rPr>
          <w:rFonts w:ascii="Arial" w:hAnsi="Arial" w:cs="Arial"/>
          <w:sz w:val="28"/>
          <w:szCs w:val="28"/>
        </w:rPr>
        <w:t xml:space="preserve">el </w:t>
      </w:r>
      <w:r>
        <w:rPr>
          <w:rFonts w:ascii="Arial" w:hAnsi="Arial" w:cs="Arial"/>
          <w:b/>
          <w:sz w:val="28"/>
          <w:szCs w:val="28"/>
        </w:rPr>
        <w:t>trece de noviembre</w:t>
      </w:r>
      <w:r w:rsidRPr="00624DF1">
        <w:rPr>
          <w:rFonts w:ascii="Arial" w:hAnsi="Arial" w:cs="Arial"/>
          <w:b/>
          <w:sz w:val="28"/>
          <w:szCs w:val="28"/>
        </w:rPr>
        <w:t xml:space="preserve"> de dos mil </w:t>
      </w:r>
      <w:r>
        <w:rPr>
          <w:rFonts w:ascii="Arial" w:hAnsi="Arial" w:cs="Arial"/>
          <w:b/>
          <w:sz w:val="28"/>
          <w:szCs w:val="28"/>
        </w:rPr>
        <w:t>veintitrés</w:t>
      </w:r>
      <w:r w:rsidR="00F90F47">
        <w:rPr>
          <w:rFonts w:ascii="Arial" w:hAnsi="Arial" w:cs="Arial"/>
          <w:color w:val="0000FF"/>
          <w:sz w:val="28"/>
          <w:szCs w:val="28"/>
        </w:rPr>
        <w:t>,</w:t>
      </w:r>
      <w:r w:rsidR="00AE46D3" w:rsidRPr="007442BF">
        <w:rPr>
          <w:rFonts w:ascii="Arial" w:hAnsi="Arial" w:cs="Arial"/>
          <w:sz w:val="28"/>
          <w:szCs w:val="28"/>
        </w:rPr>
        <w:t xml:space="preserve"> esta Sala Superior del Tribunal Estatal de Justicia Administra</w:t>
      </w:r>
      <w:r w:rsidR="00AE46D3">
        <w:rPr>
          <w:rFonts w:ascii="Arial" w:hAnsi="Arial" w:cs="Arial"/>
          <w:sz w:val="28"/>
          <w:szCs w:val="28"/>
        </w:rPr>
        <w:t>tiva</w:t>
      </w:r>
      <w:r w:rsidR="00277E3C">
        <w:rPr>
          <w:rFonts w:ascii="Arial" w:hAnsi="Arial" w:cs="Arial"/>
          <w:sz w:val="28"/>
          <w:szCs w:val="28"/>
        </w:rPr>
        <w:t>,</w:t>
      </w:r>
      <w:r w:rsidR="00AE46D3">
        <w:rPr>
          <w:rFonts w:ascii="Arial" w:hAnsi="Arial" w:cs="Arial"/>
          <w:sz w:val="28"/>
          <w:szCs w:val="28"/>
        </w:rPr>
        <w:t xml:space="preserve"> emitió resolución en el t</w:t>
      </w:r>
      <w:r w:rsidR="00AE46D3" w:rsidRPr="007442BF">
        <w:rPr>
          <w:rFonts w:ascii="Arial" w:hAnsi="Arial" w:cs="Arial"/>
          <w:sz w:val="28"/>
          <w:szCs w:val="28"/>
        </w:rPr>
        <w:t>oca en que se actúa, bajo los siguientes puntos resolutivos:</w:t>
      </w:r>
    </w:p>
    <w:p w14:paraId="1753DD8E" w14:textId="77777777" w:rsidR="00C63564" w:rsidRPr="00BC1450" w:rsidRDefault="00C63564" w:rsidP="00C63564">
      <w:pPr>
        <w:spacing w:after="0" w:line="360" w:lineRule="auto"/>
        <w:ind w:firstLine="851"/>
        <w:jc w:val="both"/>
        <w:rPr>
          <w:rFonts w:ascii="Arial" w:hAnsi="Arial" w:cs="Arial"/>
          <w:sz w:val="10"/>
          <w:szCs w:val="10"/>
        </w:rPr>
      </w:pPr>
    </w:p>
    <w:p w14:paraId="4CCEBE62" w14:textId="0F35B51B" w:rsidR="0006194F" w:rsidRPr="00CE1E37" w:rsidRDefault="00AE46D3" w:rsidP="0006194F">
      <w:pPr>
        <w:spacing w:after="0" w:line="240" w:lineRule="auto"/>
        <w:ind w:left="851" w:right="618"/>
        <w:jc w:val="both"/>
        <w:rPr>
          <w:rFonts w:ascii="Arial Narrow" w:hAnsi="Arial Narrow" w:cs="Arial"/>
          <w:i/>
          <w:sz w:val="24"/>
          <w:szCs w:val="24"/>
          <w:lang w:val="es-ES_tradnl"/>
        </w:rPr>
      </w:pPr>
      <w:r w:rsidRPr="00CE1E37">
        <w:rPr>
          <w:rFonts w:ascii="Arial Narrow" w:hAnsi="Arial Narrow" w:cs="Arial"/>
          <w:b/>
          <w:i/>
          <w:sz w:val="24"/>
          <w:szCs w:val="24"/>
        </w:rPr>
        <w:t>“</w:t>
      </w:r>
      <w:r w:rsidR="00CE1E37" w:rsidRPr="00CE1E37">
        <w:rPr>
          <w:rFonts w:ascii="Arial Narrow" w:hAnsi="Arial Narrow" w:cs="Arial"/>
          <w:b/>
          <w:i/>
          <w:sz w:val="24"/>
          <w:szCs w:val="24"/>
        </w:rPr>
        <w:t>ÚNICO</w:t>
      </w:r>
      <w:r w:rsidR="00CE1E37" w:rsidRPr="00CE1E37">
        <w:rPr>
          <w:rFonts w:ascii="Arial Narrow" w:hAnsi="Arial Narrow" w:cs="Arial"/>
          <w:b/>
          <w:i/>
          <w:sz w:val="24"/>
          <w:szCs w:val="24"/>
          <w:lang w:val="es-ES_tradnl"/>
        </w:rPr>
        <w:t>.</w:t>
      </w:r>
      <w:r w:rsidR="00CE1E37" w:rsidRPr="00CE1E37">
        <w:rPr>
          <w:rFonts w:ascii="Arial Narrow" w:hAnsi="Arial Narrow" w:cs="Arial"/>
          <w:i/>
          <w:sz w:val="24"/>
          <w:szCs w:val="24"/>
          <w:lang w:val="es-ES_tradnl"/>
        </w:rPr>
        <w:t xml:space="preserve"> Se declara </w:t>
      </w:r>
      <w:r w:rsidR="00CE1E37" w:rsidRPr="00CE1E37">
        <w:rPr>
          <w:rFonts w:ascii="Arial Narrow" w:hAnsi="Arial Narrow" w:cs="Arial"/>
          <w:b/>
          <w:i/>
          <w:sz w:val="24"/>
          <w:szCs w:val="24"/>
          <w:lang w:val="es-ES_tradnl"/>
        </w:rPr>
        <w:t>improcedente</w:t>
      </w:r>
      <w:r w:rsidR="00CE1E37" w:rsidRPr="00CE1E37">
        <w:rPr>
          <w:rFonts w:ascii="Arial Narrow" w:hAnsi="Arial Narrow" w:cs="Arial"/>
          <w:i/>
          <w:sz w:val="24"/>
          <w:szCs w:val="24"/>
          <w:lang w:val="es-ES_tradnl"/>
        </w:rPr>
        <w:t xml:space="preserve"> el recurso de apelación promovido por </w:t>
      </w:r>
      <w:r w:rsidR="00194957">
        <w:rPr>
          <w:rFonts w:ascii="Arial" w:hAnsi="Arial" w:cs="Arial"/>
          <w:color w:val="FF0000"/>
          <w:sz w:val="23"/>
          <w:szCs w:val="23"/>
        </w:rPr>
        <w:t>******</w:t>
      </w:r>
      <w:r w:rsidR="00CE1E37" w:rsidRPr="00CE1E37">
        <w:rPr>
          <w:rFonts w:ascii="Arial Narrow" w:hAnsi="Arial Narrow" w:cs="Arial"/>
          <w:i/>
          <w:sz w:val="24"/>
          <w:szCs w:val="24"/>
        </w:rPr>
        <w:t xml:space="preserve">, en su carácter de actor en el juicio de origen, en contra de la resolución de </w:t>
      </w:r>
      <w:r w:rsidR="00CE1E37" w:rsidRPr="00CE1E37">
        <w:rPr>
          <w:rFonts w:ascii="Arial Narrow" w:hAnsi="Arial Narrow" w:cs="Arial"/>
          <w:i/>
          <w:color w:val="0000FF"/>
          <w:sz w:val="24"/>
          <w:szCs w:val="24"/>
        </w:rPr>
        <w:t>trece de enero de dos mil veintitrés</w:t>
      </w:r>
      <w:r w:rsidR="00CE1E37" w:rsidRPr="00CE1E37">
        <w:rPr>
          <w:rFonts w:ascii="Arial Narrow" w:hAnsi="Arial Narrow" w:cs="Arial"/>
          <w:i/>
          <w:sz w:val="24"/>
          <w:szCs w:val="24"/>
          <w:lang w:val="es-ES_tradnl"/>
        </w:rPr>
        <w:t xml:space="preserve">, </w:t>
      </w:r>
      <w:r w:rsidR="00CE1E37" w:rsidRPr="00CE1E37">
        <w:rPr>
          <w:rFonts w:ascii="Arial Narrow" w:hAnsi="Arial Narrow" w:cs="Arial"/>
          <w:i/>
          <w:sz w:val="24"/>
          <w:szCs w:val="24"/>
        </w:rPr>
        <w:t xml:space="preserve">pronunciada por la </w:t>
      </w:r>
      <w:r w:rsidR="00CE1E37" w:rsidRPr="00CE1E37">
        <w:rPr>
          <w:rFonts w:ascii="Arial Narrow" w:hAnsi="Arial Narrow" w:cs="Arial"/>
          <w:i/>
          <w:color w:val="0000FF"/>
          <w:sz w:val="24"/>
          <w:szCs w:val="24"/>
        </w:rPr>
        <w:t>Segunda</w:t>
      </w:r>
      <w:r w:rsidR="00CE1E37" w:rsidRPr="00CE1E37">
        <w:rPr>
          <w:rFonts w:ascii="Arial Narrow" w:hAnsi="Arial Narrow" w:cs="Arial"/>
          <w:i/>
          <w:sz w:val="24"/>
          <w:szCs w:val="24"/>
        </w:rPr>
        <w:t xml:space="preserve"> Sala Unitaria de este Tribunal en el juicio de nulidad </w:t>
      </w:r>
      <w:r w:rsidR="00194957">
        <w:rPr>
          <w:rFonts w:ascii="Arial" w:hAnsi="Arial" w:cs="Arial"/>
          <w:color w:val="FF0000"/>
          <w:sz w:val="23"/>
          <w:szCs w:val="23"/>
        </w:rPr>
        <w:t>******</w:t>
      </w:r>
      <w:r w:rsidR="00CE1E37" w:rsidRPr="00CE1E37">
        <w:rPr>
          <w:rFonts w:ascii="Arial Narrow" w:hAnsi="Arial Narrow" w:cs="Arial"/>
          <w:i/>
          <w:color w:val="FF0000"/>
          <w:sz w:val="24"/>
          <w:szCs w:val="24"/>
        </w:rPr>
        <w:t>/</w:t>
      </w:r>
      <w:r w:rsidR="00CE1E37" w:rsidRPr="00CE1E37">
        <w:rPr>
          <w:rFonts w:ascii="Arial Narrow" w:hAnsi="Arial Narrow" w:cs="Arial"/>
          <w:i/>
          <w:sz w:val="24"/>
          <w:szCs w:val="24"/>
        </w:rPr>
        <w:t>2022/2,</w:t>
      </w:r>
      <w:r w:rsidR="00CE1E37" w:rsidRPr="00CE1E37">
        <w:rPr>
          <w:rFonts w:ascii="Arial Narrow" w:hAnsi="Arial Narrow" w:cs="Arial"/>
          <w:i/>
          <w:sz w:val="24"/>
          <w:szCs w:val="24"/>
          <w:lang w:val="es-ES_tradnl"/>
        </w:rPr>
        <w:t xml:space="preserve"> de acuerdo a las consideraciones y fundamentos precisados en el último considerando</w:t>
      </w:r>
      <w:r w:rsidR="00CE1E37" w:rsidRPr="00CE1E37">
        <w:rPr>
          <w:rFonts w:ascii="Arial Narrow" w:hAnsi="Arial Narrow"/>
          <w:i/>
          <w:sz w:val="24"/>
          <w:szCs w:val="24"/>
        </w:rPr>
        <w:t xml:space="preserve"> </w:t>
      </w:r>
      <w:r w:rsidR="00CE1E37" w:rsidRPr="00CE1E37">
        <w:rPr>
          <w:rFonts w:ascii="Arial Narrow" w:hAnsi="Arial Narrow" w:cs="Arial"/>
          <w:i/>
          <w:sz w:val="24"/>
          <w:szCs w:val="24"/>
          <w:lang w:val="es-ES_tradnl"/>
        </w:rPr>
        <w:t>de esta resolución</w:t>
      </w:r>
      <w:r w:rsidR="0006194F" w:rsidRPr="00CE1E37">
        <w:rPr>
          <w:rFonts w:ascii="Arial Narrow" w:hAnsi="Arial Narrow" w:cs="Arial"/>
          <w:i/>
          <w:sz w:val="24"/>
          <w:szCs w:val="24"/>
          <w:lang w:val="es-ES_tradnl"/>
        </w:rPr>
        <w:t>.”</w:t>
      </w:r>
    </w:p>
    <w:p w14:paraId="3DC80982" w14:textId="77777777" w:rsidR="00AE46D3" w:rsidRPr="00BC1450" w:rsidRDefault="00AE46D3" w:rsidP="00384281">
      <w:pPr>
        <w:spacing w:after="0" w:line="360" w:lineRule="auto"/>
        <w:ind w:firstLine="851"/>
        <w:jc w:val="both"/>
        <w:rPr>
          <w:rFonts w:ascii="Arial Narrow" w:hAnsi="Arial Narrow" w:cs="Arial"/>
          <w:i/>
          <w:sz w:val="10"/>
          <w:szCs w:val="10"/>
        </w:rPr>
      </w:pPr>
    </w:p>
    <w:p w14:paraId="6BCB45C2" w14:textId="527AEF7A" w:rsidR="00CA301E" w:rsidRDefault="00CE1E37" w:rsidP="00CE1E37">
      <w:pPr>
        <w:spacing w:after="0" w:line="360" w:lineRule="auto"/>
        <w:ind w:firstLine="851"/>
        <w:jc w:val="both"/>
        <w:rPr>
          <w:rFonts w:ascii="Arial" w:hAnsi="Arial" w:cs="Arial"/>
          <w:sz w:val="28"/>
          <w:szCs w:val="28"/>
          <w:lang w:val="es-ES_tradnl"/>
        </w:rPr>
      </w:pPr>
      <w:r>
        <w:rPr>
          <w:rFonts w:ascii="Arial" w:hAnsi="Arial" w:cs="Arial"/>
          <w:b/>
          <w:sz w:val="28"/>
          <w:szCs w:val="28"/>
          <w:lang w:val="es-ES_tradnl"/>
        </w:rPr>
        <w:t>VI</w:t>
      </w:r>
      <w:r w:rsidR="00D8676A">
        <w:rPr>
          <w:rFonts w:ascii="Arial" w:hAnsi="Arial" w:cs="Arial"/>
          <w:b/>
          <w:sz w:val="28"/>
          <w:szCs w:val="28"/>
          <w:lang w:val="es-ES_tradnl"/>
        </w:rPr>
        <w:t>.</w:t>
      </w:r>
      <w:r w:rsidR="00AE46D3">
        <w:rPr>
          <w:rFonts w:ascii="Arial" w:hAnsi="Arial" w:cs="Arial"/>
          <w:sz w:val="28"/>
          <w:szCs w:val="28"/>
          <w:lang w:val="es-ES_tradnl"/>
        </w:rPr>
        <w:t xml:space="preserve"> Contra dicha determinación,</w:t>
      </w:r>
      <w:r w:rsidR="00D8676A">
        <w:rPr>
          <w:rFonts w:ascii="Arial" w:hAnsi="Arial" w:cs="Arial"/>
          <w:sz w:val="28"/>
          <w:szCs w:val="28"/>
          <w:lang w:val="es-ES_tradnl"/>
        </w:rPr>
        <w:t xml:space="preserve"> </w:t>
      </w:r>
      <w:r>
        <w:rPr>
          <w:rFonts w:ascii="Arial" w:hAnsi="Arial" w:cs="Arial"/>
          <w:sz w:val="28"/>
          <w:szCs w:val="28"/>
        </w:rPr>
        <w:t>el</w:t>
      </w:r>
      <w:r w:rsidR="00AE1971">
        <w:rPr>
          <w:rFonts w:ascii="Arial" w:hAnsi="Arial" w:cs="Arial"/>
          <w:sz w:val="28"/>
          <w:szCs w:val="28"/>
        </w:rPr>
        <w:t xml:space="preserve"> apelante</w:t>
      </w:r>
      <w:r w:rsidR="00CA301E" w:rsidRPr="00252E42">
        <w:rPr>
          <w:rFonts w:ascii="Arial" w:hAnsi="Arial" w:cs="Arial"/>
          <w:sz w:val="28"/>
          <w:szCs w:val="28"/>
        </w:rPr>
        <w:t xml:space="preserve"> </w:t>
      </w:r>
      <w:r w:rsidR="00194957">
        <w:rPr>
          <w:rFonts w:ascii="Arial" w:hAnsi="Arial" w:cs="Arial"/>
          <w:color w:val="FF0000"/>
          <w:sz w:val="23"/>
          <w:szCs w:val="23"/>
        </w:rPr>
        <w:t>******</w:t>
      </w:r>
      <w:r w:rsidR="00D8676A">
        <w:rPr>
          <w:rFonts w:ascii="Arial" w:hAnsi="Arial" w:cs="Arial"/>
          <w:sz w:val="28"/>
          <w:szCs w:val="28"/>
          <w:lang w:val="es-ES_tradnl"/>
        </w:rPr>
        <w:t>,</w:t>
      </w:r>
      <w:r w:rsidR="00AE46D3">
        <w:rPr>
          <w:rFonts w:ascii="Arial" w:hAnsi="Arial" w:cs="Arial"/>
          <w:sz w:val="28"/>
          <w:szCs w:val="28"/>
          <w:lang w:val="es-ES_tradnl"/>
        </w:rPr>
        <w:t xml:space="preserve"> </w:t>
      </w:r>
      <w:r w:rsidR="00CA301E">
        <w:rPr>
          <w:rFonts w:ascii="Arial" w:hAnsi="Arial" w:cs="Arial"/>
          <w:sz w:val="28"/>
          <w:szCs w:val="28"/>
          <w:lang w:val="es-ES_tradnl"/>
        </w:rPr>
        <w:t xml:space="preserve">promovió juicio de amparo directo, mediante escrito presentado el </w:t>
      </w:r>
      <w:r>
        <w:rPr>
          <w:rFonts w:ascii="Arial" w:hAnsi="Arial" w:cs="Arial"/>
          <w:color w:val="0000FF"/>
          <w:sz w:val="28"/>
          <w:szCs w:val="28"/>
          <w:lang w:val="es-ES_tradnl"/>
        </w:rPr>
        <w:t>seis de diciembre de dos mil veintitrés</w:t>
      </w:r>
      <w:r w:rsidR="00CA301E">
        <w:rPr>
          <w:rFonts w:ascii="Arial" w:hAnsi="Arial" w:cs="Arial"/>
          <w:sz w:val="28"/>
          <w:szCs w:val="28"/>
          <w:lang w:val="es-ES_tradnl"/>
        </w:rPr>
        <w:t xml:space="preserve">, en la oficialía de partes de este Tribunal, del cual correspondió conocer al </w:t>
      </w:r>
      <w:r>
        <w:rPr>
          <w:rFonts w:ascii="Arial" w:hAnsi="Arial" w:cs="Arial"/>
          <w:sz w:val="28"/>
          <w:szCs w:val="28"/>
          <w:lang w:val="es-ES_tradnl"/>
        </w:rPr>
        <w:t xml:space="preserve">Primer </w:t>
      </w:r>
      <w:r w:rsidRPr="00CE1E37">
        <w:rPr>
          <w:rFonts w:ascii="Arial" w:hAnsi="Arial" w:cs="Arial"/>
          <w:sz w:val="28"/>
          <w:szCs w:val="28"/>
          <w:lang w:val="es-ES_tradnl"/>
        </w:rPr>
        <w:t>Tribunal Col</w:t>
      </w:r>
      <w:r>
        <w:rPr>
          <w:rFonts w:ascii="Arial" w:hAnsi="Arial" w:cs="Arial"/>
          <w:sz w:val="28"/>
          <w:szCs w:val="28"/>
          <w:lang w:val="es-ES_tradnl"/>
        </w:rPr>
        <w:t>egiado en Materias Civil y Ad</w:t>
      </w:r>
      <w:r w:rsidRPr="00CE1E37">
        <w:rPr>
          <w:rFonts w:ascii="Arial" w:hAnsi="Arial" w:cs="Arial"/>
          <w:sz w:val="28"/>
          <w:szCs w:val="28"/>
          <w:lang w:val="es-ES_tradnl"/>
        </w:rPr>
        <w:t>ministrativa del</w:t>
      </w:r>
      <w:r>
        <w:rPr>
          <w:rFonts w:ascii="Arial" w:hAnsi="Arial" w:cs="Arial"/>
          <w:sz w:val="28"/>
          <w:szCs w:val="28"/>
          <w:lang w:val="es-ES_tradnl"/>
        </w:rPr>
        <w:t xml:space="preserve"> </w:t>
      </w:r>
      <w:r w:rsidRPr="00CE1E37">
        <w:rPr>
          <w:rFonts w:ascii="Arial" w:hAnsi="Arial" w:cs="Arial"/>
          <w:sz w:val="28"/>
          <w:szCs w:val="28"/>
          <w:lang w:val="es-ES_tradnl"/>
        </w:rPr>
        <w:t>Noveno Circuito</w:t>
      </w:r>
      <w:r w:rsidR="00CA301E">
        <w:rPr>
          <w:rFonts w:ascii="Arial" w:hAnsi="Arial" w:cs="Arial"/>
          <w:sz w:val="28"/>
          <w:szCs w:val="28"/>
          <w:lang w:val="es-ES_tradnl"/>
        </w:rPr>
        <w:t xml:space="preserve">, quien lo admitió a trámite bajo el número </w:t>
      </w:r>
      <w:r>
        <w:rPr>
          <w:rFonts w:ascii="Arial" w:hAnsi="Arial" w:cs="Arial"/>
          <w:color w:val="FF0000"/>
          <w:sz w:val="28"/>
          <w:szCs w:val="28"/>
          <w:lang w:val="es-ES_tradnl"/>
        </w:rPr>
        <w:t>1</w:t>
      </w:r>
      <w:r>
        <w:rPr>
          <w:rFonts w:ascii="Arial" w:hAnsi="Arial" w:cs="Arial"/>
          <w:sz w:val="28"/>
          <w:szCs w:val="28"/>
          <w:lang w:val="es-ES_tradnl"/>
        </w:rPr>
        <w:t>/2024</w:t>
      </w:r>
      <w:r w:rsidR="00CA301E">
        <w:rPr>
          <w:rFonts w:ascii="Arial" w:hAnsi="Arial" w:cs="Arial"/>
          <w:sz w:val="28"/>
          <w:szCs w:val="28"/>
          <w:lang w:val="es-ES_tradnl"/>
        </w:rPr>
        <w:t>.</w:t>
      </w:r>
    </w:p>
    <w:p w14:paraId="3CA020AF" w14:textId="47037C7B" w:rsidR="00F90F47" w:rsidRPr="00BC1450" w:rsidRDefault="00F90F47" w:rsidP="00384281">
      <w:pPr>
        <w:spacing w:after="0" w:line="360" w:lineRule="auto"/>
        <w:ind w:firstLine="851"/>
        <w:jc w:val="both"/>
        <w:rPr>
          <w:rFonts w:ascii="Arial" w:hAnsi="Arial" w:cs="Arial"/>
          <w:sz w:val="10"/>
          <w:szCs w:val="10"/>
          <w:lang w:val="es-ES_tradnl"/>
        </w:rPr>
      </w:pPr>
    </w:p>
    <w:p w14:paraId="401DD606" w14:textId="5C854DF5" w:rsidR="00D8676A" w:rsidRDefault="008972B4" w:rsidP="00F90F47">
      <w:pPr>
        <w:spacing w:after="0" w:line="360" w:lineRule="auto"/>
        <w:ind w:firstLine="851"/>
        <w:jc w:val="both"/>
        <w:rPr>
          <w:rFonts w:ascii="Arial" w:hAnsi="Arial" w:cs="Arial"/>
          <w:sz w:val="28"/>
          <w:szCs w:val="28"/>
          <w:lang w:val="es-ES_tradnl"/>
        </w:rPr>
      </w:pPr>
      <w:r>
        <w:rPr>
          <w:rFonts w:ascii="Arial" w:hAnsi="Arial" w:cs="Arial"/>
          <w:sz w:val="28"/>
          <w:szCs w:val="28"/>
          <w:lang w:val="es-ES_tradnl"/>
        </w:rPr>
        <w:t xml:space="preserve"> </w:t>
      </w:r>
      <w:r w:rsidR="00F90F47">
        <w:rPr>
          <w:rFonts w:ascii="Arial" w:hAnsi="Arial" w:cs="Arial"/>
          <w:sz w:val="28"/>
          <w:szCs w:val="28"/>
          <w:lang w:val="es-ES_tradnl"/>
        </w:rPr>
        <w:t>E</w:t>
      </w:r>
      <w:r w:rsidR="00AE46D3">
        <w:rPr>
          <w:rFonts w:ascii="Arial" w:hAnsi="Arial" w:cs="Arial"/>
          <w:sz w:val="28"/>
          <w:szCs w:val="28"/>
          <w:lang w:val="es-ES_tradnl"/>
        </w:rPr>
        <w:t xml:space="preserve">n sesión ordinaria </w:t>
      </w:r>
      <w:r>
        <w:rPr>
          <w:rFonts w:ascii="ArialMT" w:eastAsiaTheme="minorHAnsi" w:hAnsi="ArialMT" w:cs="ArialMT"/>
          <w:sz w:val="30"/>
          <w:szCs w:val="30"/>
        </w:rPr>
        <w:t xml:space="preserve">virtual de </w:t>
      </w:r>
      <w:r w:rsidR="00CE1E37" w:rsidRPr="00CE1E37">
        <w:rPr>
          <w:rFonts w:ascii="Arial" w:eastAsiaTheme="minorHAnsi" w:hAnsi="Arial" w:cs="Arial"/>
          <w:color w:val="0000FF"/>
          <w:sz w:val="28"/>
          <w:szCs w:val="28"/>
        </w:rPr>
        <w:t>t</w:t>
      </w:r>
      <w:r w:rsidR="00CE1E37">
        <w:rPr>
          <w:rFonts w:ascii="Arial" w:eastAsiaTheme="minorHAnsi" w:hAnsi="Arial" w:cs="Arial"/>
          <w:color w:val="0000FF"/>
          <w:sz w:val="28"/>
          <w:szCs w:val="28"/>
        </w:rPr>
        <w:t>reinta de abril de dos mil veint</w:t>
      </w:r>
      <w:r w:rsidR="00CE1E37" w:rsidRPr="00CE1E37">
        <w:rPr>
          <w:rFonts w:ascii="Arial" w:eastAsiaTheme="minorHAnsi" w:hAnsi="Arial" w:cs="Arial"/>
          <w:color w:val="0000FF"/>
          <w:sz w:val="28"/>
          <w:szCs w:val="28"/>
        </w:rPr>
        <w:t>iséis</w:t>
      </w:r>
      <w:r w:rsidR="00AE46D3">
        <w:rPr>
          <w:rFonts w:ascii="Arial" w:hAnsi="Arial" w:cs="Arial"/>
          <w:sz w:val="28"/>
          <w:szCs w:val="28"/>
          <w:lang w:val="es-ES_tradnl"/>
        </w:rPr>
        <w:t xml:space="preserve">, </w:t>
      </w:r>
      <w:r w:rsidR="00F90F47">
        <w:rPr>
          <w:rFonts w:ascii="Arial" w:hAnsi="Arial" w:cs="Arial"/>
          <w:sz w:val="28"/>
          <w:szCs w:val="28"/>
          <w:lang w:val="es-ES_tradnl"/>
        </w:rPr>
        <w:t xml:space="preserve">dictó </w:t>
      </w:r>
      <w:r w:rsidR="00CE1E37">
        <w:rPr>
          <w:rFonts w:ascii="Arial" w:hAnsi="Arial" w:cs="Arial"/>
          <w:sz w:val="28"/>
          <w:szCs w:val="28"/>
          <w:lang w:val="es-ES_tradnl"/>
        </w:rPr>
        <w:t xml:space="preserve">fallo </w:t>
      </w:r>
      <w:proofErr w:type="spellStart"/>
      <w:r w:rsidR="00CE1E37">
        <w:rPr>
          <w:rFonts w:ascii="Arial" w:hAnsi="Arial" w:cs="Arial"/>
          <w:sz w:val="28"/>
          <w:szCs w:val="28"/>
          <w:lang w:val="es-ES_tradnl"/>
        </w:rPr>
        <w:t>amparatorio</w:t>
      </w:r>
      <w:proofErr w:type="spellEnd"/>
      <w:r w:rsidR="00CE1E37">
        <w:rPr>
          <w:rFonts w:ascii="Arial" w:hAnsi="Arial" w:cs="Arial"/>
          <w:sz w:val="28"/>
          <w:szCs w:val="28"/>
          <w:lang w:val="es-ES_tradnl"/>
        </w:rPr>
        <w:t xml:space="preserve"> en favor del quejoso</w:t>
      </w:r>
      <w:r w:rsidR="00F90F47">
        <w:rPr>
          <w:rFonts w:ascii="Arial" w:hAnsi="Arial" w:cs="Arial"/>
          <w:sz w:val="28"/>
          <w:szCs w:val="28"/>
          <w:lang w:val="es-ES_tradnl"/>
        </w:rPr>
        <w:t xml:space="preserve"> </w:t>
      </w:r>
      <w:r w:rsidR="00194957">
        <w:rPr>
          <w:rFonts w:ascii="Arial" w:hAnsi="Arial" w:cs="Arial"/>
          <w:color w:val="FF0000"/>
          <w:sz w:val="23"/>
          <w:szCs w:val="23"/>
        </w:rPr>
        <w:t>******</w:t>
      </w:r>
      <w:r w:rsidR="00032150">
        <w:rPr>
          <w:rFonts w:ascii="Arial" w:hAnsi="Arial" w:cs="Arial"/>
          <w:color w:val="FF0000"/>
          <w:sz w:val="28"/>
          <w:szCs w:val="28"/>
        </w:rPr>
        <w:t xml:space="preserve"> </w:t>
      </w:r>
      <w:r w:rsidR="00F90F47">
        <w:rPr>
          <w:rFonts w:ascii="Arial" w:hAnsi="Arial" w:cs="Arial"/>
          <w:sz w:val="28"/>
          <w:szCs w:val="28"/>
          <w:lang w:val="es-ES_tradnl"/>
        </w:rPr>
        <w:t>al tenor del siguiente punto resolutivo</w:t>
      </w:r>
      <w:r w:rsidR="00384281">
        <w:rPr>
          <w:rFonts w:ascii="Arial" w:hAnsi="Arial" w:cs="Arial"/>
          <w:sz w:val="28"/>
          <w:szCs w:val="28"/>
          <w:lang w:val="es-ES_tradnl"/>
        </w:rPr>
        <w:t>:</w:t>
      </w:r>
    </w:p>
    <w:p w14:paraId="28237885" w14:textId="77777777" w:rsidR="00F90F47" w:rsidRPr="00BC1450" w:rsidRDefault="00F90F47" w:rsidP="00F90F47">
      <w:pPr>
        <w:spacing w:after="0" w:line="360" w:lineRule="auto"/>
        <w:ind w:firstLine="851"/>
        <w:jc w:val="both"/>
        <w:rPr>
          <w:rFonts w:ascii="Arial Narrow" w:hAnsi="Arial Narrow" w:cs="Arial"/>
          <w:b/>
          <w:i/>
          <w:sz w:val="10"/>
          <w:szCs w:val="10"/>
        </w:rPr>
      </w:pPr>
    </w:p>
    <w:p w14:paraId="764FF9A1" w14:textId="669DBC33" w:rsidR="00CE1E37" w:rsidRDefault="00032150" w:rsidP="009D2973">
      <w:pPr>
        <w:spacing w:after="0" w:line="240" w:lineRule="auto"/>
        <w:ind w:left="851" w:right="618"/>
        <w:jc w:val="both"/>
        <w:rPr>
          <w:rFonts w:ascii="Arial Narrow" w:hAnsi="Arial Narrow" w:cs="Arial"/>
          <w:i/>
          <w:sz w:val="24"/>
          <w:szCs w:val="24"/>
        </w:rPr>
      </w:pPr>
      <w:r w:rsidRPr="00032150">
        <w:rPr>
          <w:rFonts w:ascii="Arial Narrow" w:hAnsi="Arial Narrow" w:cs="Arial"/>
          <w:i/>
          <w:sz w:val="24"/>
          <w:szCs w:val="24"/>
        </w:rPr>
        <w:t>"</w:t>
      </w:r>
      <w:r w:rsidRPr="00032150">
        <w:rPr>
          <w:rFonts w:ascii="Arial Narrow" w:hAnsi="Arial Narrow" w:cs="Arial"/>
          <w:b/>
          <w:i/>
          <w:sz w:val="24"/>
          <w:szCs w:val="24"/>
        </w:rPr>
        <w:t>ÚNICO</w:t>
      </w:r>
      <w:r w:rsidRPr="00032150">
        <w:rPr>
          <w:rFonts w:ascii="Arial Narrow" w:hAnsi="Arial Narrow" w:cs="Arial"/>
          <w:i/>
          <w:sz w:val="24"/>
          <w:szCs w:val="24"/>
        </w:rPr>
        <w:t xml:space="preserve">. La Justicia de la Unión ampara y protege a </w:t>
      </w:r>
      <w:r w:rsidR="00194957">
        <w:rPr>
          <w:rFonts w:ascii="Arial" w:hAnsi="Arial" w:cs="Arial"/>
          <w:color w:val="FF0000"/>
          <w:sz w:val="23"/>
          <w:szCs w:val="23"/>
        </w:rPr>
        <w:t>******</w:t>
      </w:r>
      <w:r w:rsidR="00CE1E37" w:rsidRPr="00BC1450">
        <w:rPr>
          <w:rFonts w:ascii="Arial Narrow" w:hAnsi="Arial Narrow" w:cs="Arial"/>
          <w:i/>
          <w:color w:val="000099"/>
          <w:sz w:val="24"/>
          <w:szCs w:val="24"/>
        </w:rPr>
        <w:t xml:space="preserve"> </w:t>
      </w:r>
      <w:r w:rsidR="00CE1E37">
        <w:rPr>
          <w:rFonts w:ascii="Arial Narrow" w:hAnsi="Arial Narrow" w:cs="Arial"/>
          <w:i/>
          <w:sz w:val="24"/>
          <w:szCs w:val="24"/>
        </w:rPr>
        <w:t xml:space="preserve">contra </w:t>
      </w:r>
      <w:r w:rsidRPr="00032150">
        <w:rPr>
          <w:rFonts w:ascii="Arial Narrow" w:hAnsi="Arial Narrow" w:cs="Arial"/>
          <w:i/>
          <w:sz w:val="24"/>
          <w:szCs w:val="24"/>
        </w:rPr>
        <w:t>el acto y autoridad precisados en el resultando primero de esta ejecutoria</w:t>
      </w:r>
      <w:r w:rsidR="00CE1E37" w:rsidRPr="00CE1E37">
        <w:rPr>
          <w:rFonts w:ascii="Arial" w:eastAsiaTheme="minorHAnsi" w:hAnsi="Arial" w:cs="Arial"/>
          <w:color w:val="56565A"/>
          <w:sz w:val="28"/>
          <w:szCs w:val="28"/>
        </w:rPr>
        <w:t xml:space="preserve"> </w:t>
      </w:r>
      <w:r w:rsidR="00CE1E37" w:rsidRPr="00CE1E37">
        <w:rPr>
          <w:rFonts w:ascii="Arial Narrow" w:hAnsi="Arial Narrow" w:cs="Arial"/>
          <w:i/>
          <w:sz w:val="24"/>
          <w:szCs w:val="24"/>
        </w:rPr>
        <w:t xml:space="preserve">para los efectos expresados en la parte </w:t>
      </w:r>
      <w:r w:rsidR="00CE1E37">
        <w:rPr>
          <w:rFonts w:ascii="Arial Narrow" w:hAnsi="Arial Narrow" w:cs="Arial"/>
          <w:i/>
          <w:sz w:val="24"/>
          <w:szCs w:val="24"/>
        </w:rPr>
        <w:t xml:space="preserve">final del último </w:t>
      </w:r>
      <w:r w:rsidR="00CE1E37" w:rsidRPr="00CE1E37">
        <w:rPr>
          <w:rFonts w:ascii="Arial Narrow" w:hAnsi="Arial Narrow" w:cs="Arial"/>
          <w:i/>
          <w:sz w:val="24"/>
          <w:szCs w:val="24"/>
        </w:rPr>
        <w:t>considerando de esta ejecutoria.</w:t>
      </w:r>
    </w:p>
    <w:p w14:paraId="32314B65" w14:textId="77777777" w:rsidR="00CE1E37" w:rsidRPr="00F95E19" w:rsidRDefault="00CE1E37" w:rsidP="009D2973">
      <w:pPr>
        <w:spacing w:after="0" w:line="240" w:lineRule="auto"/>
        <w:ind w:left="851" w:right="618"/>
        <w:jc w:val="both"/>
        <w:rPr>
          <w:rFonts w:ascii="Arial Narrow" w:hAnsi="Arial Narrow" w:cs="Arial"/>
          <w:i/>
          <w:sz w:val="10"/>
          <w:szCs w:val="10"/>
        </w:rPr>
      </w:pPr>
    </w:p>
    <w:p w14:paraId="74AAD071" w14:textId="75289D8E" w:rsidR="00032150" w:rsidRPr="00032150" w:rsidRDefault="00CE1E37" w:rsidP="009D2973">
      <w:pPr>
        <w:spacing w:after="0" w:line="240" w:lineRule="auto"/>
        <w:ind w:left="851" w:right="618"/>
        <w:jc w:val="both"/>
        <w:rPr>
          <w:rFonts w:ascii="Arial Narrow" w:hAnsi="Arial Narrow" w:cs="Arial"/>
          <w:i/>
          <w:sz w:val="24"/>
          <w:szCs w:val="24"/>
        </w:rPr>
      </w:pPr>
      <w:r w:rsidRPr="00CE1E37">
        <w:rPr>
          <w:rFonts w:ascii="Arial Narrow" w:hAnsi="Arial Narrow" w:cs="Arial"/>
          <w:i/>
          <w:sz w:val="24"/>
          <w:szCs w:val="24"/>
        </w:rPr>
        <w:t xml:space="preserve"> </w:t>
      </w:r>
      <w:r w:rsidR="00032150" w:rsidRPr="00032150">
        <w:rPr>
          <w:rFonts w:ascii="Arial Narrow" w:hAnsi="Arial Narrow" w:cs="Arial"/>
          <w:i/>
          <w:sz w:val="24"/>
          <w:szCs w:val="24"/>
        </w:rPr>
        <w:t xml:space="preserve">Lo anterior, para los efectos siguientes: </w:t>
      </w:r>
    </w:p>
    <w:p w14:paraId="488E7B6E" w14:textId="18620EF2" w:rsidR="00032150" w:rsidRDefault="00032150" w:rsidP="009D2973">
      <w:pPr>
        <w:spacing w:after="0" w:line="240" w:lineRule="auto"/>
        <w:ind w:left="851" w:right="618"/>
        <w:jc w:val="both"/>
        <w:rPr>
          <w:rFonts w:ascii="Arial Narrow" w:hAnsi="Arial Narrow" w:cs="Arial"/>
          <w:i/>
          <w:sz w:val="24"/>
          <w:szCs w:val="24"/>
        </w:rPr>
      </w:pPr>
      <w:r w:rsidRPr="00032150">
        <w:rPr>
          <w:rFonts w:ascii="Arial Narrow" w:hAnsi="Arial Narrow" w:cs="Arial"/>
          <w:i/>
          <w:sz w:val="24"/>
          <w:szCs w:val="24"/>
        </w:rPr>
        <w:t>“1. Deje insubs</w:t>
      </w:r>
      <w:r w:rsidR="00CE1E37">
        <w:rPr>
          <w:rFonts w:ascii="Arial Narrow" w:hAnsi="Arial Narrow" w:cs="Arial"/>
          <w:i/>
          <w:sz w:val="24"/>
          <w:szCs w:val="24"/>
        </w:rPr>
        <w:t>istente la sentencia reclamada.</w:t>
      </w:r>
    </w:p>
    <w:p w14:paraId="192E05A3" w14:textId="19BB65F7" w:rsidR="00C150E8" w:rsidRDefault="00032150" w:rsidP="009D2973">
      <w:pPr>
        <w:spacing w:after="0" w:line="240" w:lineRule="auto"/>
        <w:ind w:left="851" w:right="618"/>
        <w:jc w:val="both"/>
        <w:rPr>
          <w:rFonts w:ascii="Arial Narrow" w:hAnsi="Arial Narrow" w:cs="Arial"/>
          <w:i/>
          <w:sz w:val="24"/>
          <w:szCs w:val="24"/>
        </w:rPr>
      </w:pPr>
      <w:r w:rsidRPr="00032150">
        <w:rPr>
          <w:rFonts w:ascii="Arial Narrow" w:hAnsi="Arial Narrow" w:cs="Arial"/>
          <w:i/>
          <w:sz w:val="24"/>
          <w:szCs w:val="24"/>
        </w:rPr>
        <w:lastRenderedPageBreak/>
        <w:t xml:space="preserve">2. Emita otra en la que, prescinda de APLICAR EL ARTÍCULO 152,  fracción II del Código Procesal Administrativo para el Estado de San Luis Potosí, en la parte que exige que los asuntos sean de importancia y trascendencia y que se </w:t>
      </w:r>
      <w:r w:rsidR="00C150E8">
        <w:rPr>
          <w:rFonts w:ascii="Arial Narrow" w:hAnsi="Arial Narrow" w:cs="Arial"/>
          <w:i/>
          <w:sz w:val="24"/>
          <w:szCs w:val="24"/>
        </w:rPr>
        <w:t>justifiquen</w:t>
      </w:r>
      <w:r w:rsidRPr="00032150">
        <w:rPr>
          <w:rFonts w:ascii="Arial Narrow" w:hAnsi="Arial Narrow" w:cs="Arial"/>
          <w:i/>
          <w:sz w:val="24"/>
          <w:szCs w:val="24"/>
        </w:rPr>
        <w:t xml:space="preserve"> esas circunstancias; </w:t>
      </w:r>
    </w:p>
    <w:p w14:paraId="1D221450" w14:textId="73B33167" w:rsidR="00032150" w:rsidRPr="00032150" w:rsidRDefault="00C150E8" w:rsidP="009D2973">
      <w:pPr>
        <w:spacing w:after="0" w:line="240" w:lineRule="auto"/>
        <w:ind w:left="851" w:right="618"/>
        <w:jc w:val="both"/>
        <w:rPr>
          <w:rFonts w:ascii="Arial Narrow" w:hAnsi="Arial Narrow" w:cs="Arial"/>
          <w:i/>
          <w:sz w:val="24"/>
          <w:szCs w:val="24"/>
        </w:rPr>
      </w:pPr>
      <w:r>
        <w:rPr>
          <w:rFonts w:ascii="Arial Narrow" w:hAnsi="Arial Narrow" w:cs="Arial"/>
          <w:i/>
          <w:sz w:val="24"/>
          <w:szCs w:val="24"/>
        </w:rPr>
        <w:t>3.-H</w:t>
      </w:r>
      <w:r w:rsidR="00032150" w:rsidRPr="00032150">
        <w:rPr>
          <w:rFonts w:ascii="Arial Narrow" w:hAnsi="Arial Narrow" w:cs="Arial"/>
          <w:i/>
          <w:sz w:val="24"/>
          <w:szCs w:val="24"/>
        </w:rPr>
        <w:t xml:space="preserve">echo lo anterior, admita a trámite el recurso de apelación interpuesto por </w:t>
      </w:r>
      <w:r>
        <w:rPr>
          <w:rFonts w:ascii="Arial Narrow" w:hAnsi="Arial Narrow" w:cs="Arial"/>
          <w:i/>
          <w:sz w:val="24"/>
          <w:szCs w:val="24"/>
        </w:rPr>
        <w:t>el quejoso</w:t>
      </w:r>
      <w:r w:rsidR="00032150" w:rsidRPr="00032150">
        <w:rPr>
          <w:rFonts w:ascii="Arial Narrow" w:hAnsi="Arial Narrow" w:cs="Arial"/>
          <w:i/>
          <w:sz w:val="24"/>
          <w:szCs w:val="24"/>
        </w:rPr>
        <w:t>.</w:t>
      </w:r>
    </w:p>
    <w:p w14:paraId="6ADB635B" w14:textId="3F720360" w:rsidR="008972B4" w:rsidRPr="008972B4" w:rsidRDefault="00032150" w:rsidP="009D2973">
      <w:pPr>
        <w:spacing w:after="0" w:line="240" w:lineRule="auto"/>
        <w:ind w:left="851" w:right="618"/>
        <w:jc w:val="both"/>
        <w:rPr>
          <w:rFonts w:ascii="Arial Narrow" w:hAnsi="Arial Narrow" w:cs="Arial"/>
          <w:i/>
          <w:sz w:val="24"/>
          <w:szCs w:val="24"/>
        </w:rPr>
      </w:pPr>
      <w:r w:rsidRPr="00032150">
        <w:rPr>
          <w:rFonts w:ascii="Arial Narrow" w:hAnsi="Arial Narrow" w:cs="Arial"/>
          <w:i/>
          <w:sz w:val="24"/>
          <w:szCs w:val="24"/>
        </w:rPr>
        <w:t>En la inteligencia de que las jurisprudencias que se citaron en esta ejecutoria, en las que se interpretó la Ley de Amparo abrogada, siguen teniendo vigencia en atención a lo dispuesto en el artículo sexto transitorio de la actual Ley de Amparo, porque no se oponen a las disposiciones contenidas en esta última.”</w:t>
      </w:r>
    </w:p>
    <w:p w14:paraId="5957844A" w14:textId="77777777" w:rsidR="009A2559" w:rsidRPr="00255501" w:rsidRDefault="009A2559" w:rsidP="009D2973">
      <w:pPr>
        <w:spacing w:after="0" w:line="240" w:lineRule="auto"/>
        <w:ind w:left="851"/>
        <w:jc w:val="both"/>
        <w:rPr>
          <w:rFonts w:ascii="Arial Narrow" w:hAnsi="Arial Narrow" w:cs="Arial"/>
          <w:sz w:val="24"/>
          <w:szCs w:val="24"/>
          <w:lang w:val="es-ES_tradnl"/>
        </w:rPr>
      </w:pPr>
    </w:p>
    <w:p w14:paraId="6503BD99" w14:textId="2C1C31AF" w:rsidR="00AE46D3" w:rsidRDefault="00C150E8" w:rsidP="00255501">
      <w:pPr>
        <w:spacing w:after="0" w:line="360" w:lineRule="auto"/>
        <w:ind w:firstLine="851"/>
        <w:jc w:val="both"/>
        <w:rPr>
          <w:rFonts w:ascii="Arial" w:hAnsi="Arial" w:cs="Arial"/>
          <w:sz w:val="28"/>
          <w:szCs w:val="28"/>
          <w:lang w:val="es-ES_tradnl"/>
        </w:rPr>
      </w:pPr>
      <w:r>
        <w:rPr>
          <w:rFonts w:ascii="Arial" w:hAnsi="Arial" w:cs="Arial"/>
          <w:b/>
          <w:sz w:val="28"/>
          <w:szCs w:val="28"/>
          <w:lang w:val="es-ES_tradnl"/>
        </w:rPr>
        <w:t>VI</w:t>
      </w:r>
      <w:r w:rsidR="00B22780">
        <w:rPr>
          <w:rFonts w:ascii="Arial" w:hAnsi="Arial" w:cs="Arial"/>
          <w:b/>
          <w:sz w:val="28"/>
          <w:szCs w:val="28"/>
          <w:lang w:val="es-ES_tradnl"/>
        </w:rPr>
        <w:t>I</w:t>
      </w:r>
      <w:r w:rsidR="00AE46D3" w:rsidRPr="00C04043">
        <w:rPr>
          <w:rFonts w:ascii="Arial" w:hAnsi="Arial" w:cs="Arial"/>
          <w:b/>
          <w:sz w:val="28"/>
          <w:szCs w:val="28"/>
          <w:lang w:val="es-ES_tradnl"/>
        </w:rPr>
        <w:t>.</w:t>
      </w:r>
      <w:r w:rsidR="00AE46D3">
        <w:rPr>
          <w:rFonts w:ascii="Arial" w:hAnsi="Arial" w:cs="Arial"/>
          <w:sz w:val="28"/>
          <w:szCs w:val="28"/>
          <w:lang w:val="es-ES_tradnl"/>
        </w:rPr>
        <w:t xml:space="preserve"> Por acuerdo </w:t>
      </w:r>
      <w:r w:rsidR="00AE46D3" w:rsidRPr="00E5189D">
        <w:rPr>
          <w:rFonts w:ascii="Arial" w:hAnsi="Arial" w:cs="Arial"/>
          <w:sz w:val="28"/>
          <w:szCs w:val="28"/>
          <w:lang w:val="es-ES_tradnl"/>
        </w:rPr>
        <w:t>de</w:t>
      </w:r>
      <w:r w:rsidR="00C15277">
        <w:rPr>
          <w:rFonts w:ascii="Arial" w:hAnsi="Arial" w:cs="Arial"/>
          <w:sz w:val="28"/>
          <w:szCs w:val="28"/>
          <w:lang w:val="es-ES_tradnl"/>
        </w:rPr>
        <w:t xml:space="preserve"> </w:t>
      </w:r>
      <w:r w:rsidR="002A7F0D" w:rsidRPr="00C672EF">
        <w:rPr>
          <w:rFonts w:ascii="Arial" w:hAnsi="Arial" w:cs="Arial"/>
          <w:color w:val="0070C0"/>
          <w:sz w:val="28"/>
          <w:szCs w:val="28"/>
          <w:lang w:val="es-ES_tradnl"/>
        </w:rPr>
        <w:t>doce</w:t>
      </w:r>
      <w:r w:rsidR="00C15277" w:rsidRPr="00C672EF">
        <w:rPr>
          <w:rFonts w:ascii="Arial" w:hAnsi="Arial" w:cs="Arial"/>
          <w:color w:val="0070C0"/>
          <w:sz w:val="28"/>
          <w:szCs w:val="28"/>
          <w:lang w:val="es-ES_tradnl"/>
        </w:rPr>
        <w:t xml:space="preserve"> de junio del año que transcurre</w:t>
      </w:r>
      <w:r w:rsidR="00AE46D3">
        <w:rPr>
          <w:rFonts w:ascii="Arial" w:hAnsi="Arial" w:cs="Arial"/>
          <w:sz w:val="28"/>
          <w:szCs w:val="28"/>
          <w:lang w:val="es-ES_tradnl"/>
        </w:rPr>
        <w:t>, se dio cuenta con el ofi</w:t>
      </w:r>
      <w:r>
        <w:rPr>
          <w:rFonts w:ascii="Arial" w:hAnsi="Arial" w:cs="Arial"/>
          <w:sz w:val="28"/>
          <w:szCs w:val="28"/>
          <w:lang w:val="es-ES_tradnl"/>
        </w:rPr>
        <w:t xml:space="preserve">cio </w:t>
      </w:r>
      <w:r w:rsidR="00C15277" w:rsidRPr="00C15277">
        <w:rPr>
          <w:rFonts w:ascii="Arial" w:hAnsi="Arial" w:cs="Arial"/>
          <w:color w:val="000099"/>
          <w:sz w:val="28"/>
          <w:szCs w:val="28"/>
          <w:lang w:val="es-ES_tradnl"/>
        </w:rPr>
        <w:t xml:space="preserve">8358/2026 </w:t>
      </w:r>
      <w:r w:rsidR="00AE46D3">
        <w:rPr>
          <w:rFonts w:ascii="Arial" w:hAnsi="Arial" w:cs="Arial"/>
          <w:sz w:val="28"/>
          <w:szCs w:val="28"/>
          <w:lang w:val="es-ES_tradnl"/>
        </w:rPr>
        <w:t xml:space="preserve">que remitió el Secretario de Acuerdos del </w:t>
      </w:r>
      <w:r w:rsidR="00AE1971">
        <w:rPr>
          <w:rFonts w:ascii="Arial" w:hAnsi="Arial" w:cs="Arial"/>
          <w:color w:val="0000FF"/>
          <w:sz w:val="28"/>
          <w:szCs w:val="28"/>
          <w:lang w:val="es-ES_tradnl"/>
        </w:rPr>
        <w:t xml:space="preserve">Órgano </w:t>
      </w:r>
      <w:r w:rsidR="00AE46D3" w:rsidRPr="00932AFC">
        <w:rPr>
          <w:rFonts w:ascii="Arial" w:hAnsi="Arial" w:cs="Arial"/>
          <w:color w:val="0000FF"/>
          <w:sz w:val="28"/>
          <w:szCs w:val="28"/>
          <w:lang w:val="es-ES_tradnl"/>
        </w:rPr>
        <w:t xml:space="preserve">Colegiado en </w:t>
      </w:r>
      <w:r w:rsidR="00AE1971">
        <w:rPr>
          <w:rFonts w:ascii="Arial" w:hAnsi="Arial" w:cs="Arial"/>
          <w:color w:val="0000FF"/>
          <w:sz w:val="28"/>
          <w:szCs w:val="28"/>
          <w:lang w:val="es-ES_tradnl"/>
        </w:rPr>
        <w:t>comento</w:t>
      </w:r>
      <w:r w:rsidR="00AE46D3">
        <w:rPr>
          <w:rFonts w:ascii="Arial" w:hAnsi="Arial" w:cs="Arial"/>
          <w:sz w:val="28"/>
          <w:szCs w:val="28"/>
          <w:lang w:val="es-ES_tradnl"/>
        </w:rPr>
        <w:t>, mediante el cual</w:t>
      </w:r>
      <w:r w:rsidR="00C15277">
        <w:rPr>
          <w:rFonts w:ascii="Arial" w:hAnsi="Arial" w:cs="Arial"/>
          <w:sz w:val="28"/>
          <w:szCs w:val="28"/>
          <w:lang w:val="es-ES_tradnl"/>
        </w:rPr>
        <w:t xml:space="preserve"> señala que atento a que transcurrió el término legal para interponer el recurso de revisión contra la sentencia dictada en </w:t>
      </w:r>
      <w:r w:rsidR="00C15277" w:rsidRPr="00C63564">
        <w:rPr>
          <w:rFonts w:ascii="Arial" w:hAnsi="Arial" w:cs="Arial"/>
          <w:sz w:val="28"/>
          <w:szCs w:val="28"/>
        </w:rPr>
        <w:t xml:space="preserve">en sesión ordinaria virtual el </w:t>
      </w:r>
      <w:r w:rsidR="00C15277" w:rsidRPr="00AF0EF1">
        <w:rPr>
          <w:rFonts w:ascii="Arial" w:hAnsi="Arial" w:cs="Arial"/>
          <w:color w:val="0000FF"/>
          <w:sz w:val="28"/>
          <w:szCs w:val="28"/>
        </w:rPr>
        <w:t>t</w:t>
      </w:r>
      <w:r w:rsidR="00C15277">
        <w:rPr>
          <w:rFonts w:ascii="Arial" w:hAnsi="Arial" w:cs="Arial"/>
          <w:color w:val="0000FF"/>
          <w:sz w:val="28"/>
          <w:szCs w:val="28"/>
        </w:rPr>
        <w:t>reinta de abril de dos mil veinti</w:t>
      </w:r>
      <w:r w:rsidR="00C15277" w:rsidRPr="00AF0EF1">
        <w:rPr>
          <w:rFonts w:ascii="Arial" w:hAnsi="Arial" w:cs="Arial"/>
          <w:color w:val="0000FF"/>
          <w:sz w:val="28"/>
          <w:szCs w:val="28"/>
        </w:rPr>
        <w:t>séis</w:t>
      </w:r>
      <w:r w:rsidR="00C15277">
        <w:rPr>
          <w:rFonts w:ascii="Arial" w:hAnsi="Arial" w:cs="Arial"/>
          <w:sz w:val="28"/>
          <w:szCs w:val="28"/>
          <w:lang w:val="es-ES_tradnl"/>
        </w:rPr>
        <w:t xml:space="preserve">, que concedió el amparo, se declara que dicha resolución ha causado ejecutoria, </w:t>
      </w:r>
      <w:r w:rsidR="00271249">
        <w:rPr>
          <w:rFonts w:ascii="Arial" w:hAnsi="Arial" w:cs="Arial"/>
          <w:sz w:val="28"/>
          <w:szCs w:val="28"/>
          <w:lang w:val="es-ES_tradnl"/>
        </w:rPr>
        <w:t xml:space="preserve">por lo que devolvió el expediente y toca de origen, </w:t>
      </w:r>
      <w:r w:rsidR="00AE46D3">
        <w:rPr>
          <w:rFonts w:ascii="Arial" w:hAnsi="Arial" w:cs="Arial"/>
          <w:sz w:val="28"/>
          <w:szCs w:val="28"/>
          <w:lang w:val="es-ES_tradnl"/>
        </w:rPr>
        <w:t xml:space="preserve">y requirió a esta Alzada para que en el término de </w:t>
      </w:r>
      <w:r w:rsidR="00AE46D3" w:rsidRPr="0052753D">
        <w:rPr>
          <w:rFonts w:ascii="Arial" w:hAnsi="Arial" w:cs="Arial"/>
          <w:b/>
          <w:sz w:val="28"/>
          <w:szCs w:val="28"/>
          <w:lang w:val="es-ES_tradnl"/>
        </w:rPr>
        <w:t>tres días</w:t>
      </w:r>
      <w:r w:rsidR="00AE46D3">
        <w:rPr>
          <w:rFonts w:ascii="Arial" w:hAnsi="Arial" w:cs="Arial"/>
          <w:sz w:val="28"/>
          <w:szCs w:val="28"/>
          <w:lang w:val="es-ES_tradnl"/>
        </w:rPr>
        <w:t xml:space="preserve"> se dé cumplimiento al fallo protector.</w:t>
      </w:r>
    </w:p>
    <w:p w14:paraId="73D35118" w14:textId="77777777" w:rsidR="00F90F47" w:rsidRPr="00BC1450" w:rsidRDefault="00F90F47" w:rsidP="00255501">
      <w:pPr>
        <w:spacing w:after="0" w:line="360" w:lineRule="auto"/>
        <w:ind w:firstLine="851"/>
        <w:jc w:val="both"/>
        <w:rPr>
          <w:rFonts w:ascii="Arial" w:hAnsi="Arial" w:cs="Arial"/>
          <w:sz w:val="10"/>
          <w:szCs w:val="10"/>
          <w:lang w:val="es-ES_tradnl"/>
        </w:rPr>
      </w:pPr>
    </w:p>
    <w:p w14:paraId="60184320" w14:textId="4B55CB80" w:rsidR="00AE46D3" w:rsidRDefault="00AE46D3" w:rsidP="00255501">
      <w:pPr>
        <w:spacing w:after="0" w:line="360" w:lineRule="auto"/>
        <w:ind w:firstLine="851"/>
        <w:jc w:val="both"/>
        <w:rPr>
          <w:rFonts w:ascii="Arial" w:hAnsi="Arial" w:cs="Arial"/>
          <w:sz w:val="28"/>
          <w:szCs w:val="28"/>
          <w:lang w:val="es-ES_tradnl"/>
        </w:rPr>
      </w:pPr>
      <w:r>
        <w:rPr>
          <w:rFonts w:ascii="Arial" w:hAnsi="Arial" w:cs="Arial"/>
          <w:sz w:val="28"/>
          <w:szCs w:val="28"/>
          <w:lang w:val="es-ES_tradnl"/>
        </w:rPr>
        <w:t xml:space="preserve">En consecuencia, en ese mismo proveído </w:t>
      </w:r>
      <w:r w:rsidRPr="00A203D7">
        <w:rPr>
          <w:rFonts w:ascii="Arial" w:hAnsi="Arial" w:cs="Arial"/>
          <w:b/>
          <w:bCs/>
          <w:sz w:val="28"/>
          <w:szCs w:val="28"/>
          <w:lang w:val="es-ES_tradnl"/>
        </w:rPr>
        <w:t xml:space="preserve">se dejó insubsistente la sentencia emitida por esta Sala Superior el </w:t>
      </w:r>
      <w:r w:rsidR="00C150E8" w:rsidRPr="00C150E8">
        <w:rPr>
          <w:rFonts w:ascii="Arial" w:hAnsi="Arial" w:cs="Arial"/>
          <w:b/>
          <w:color w:val="0000FF"/>
          <w:sz w:val="28"/>
          <w:szCs w:val="28"/>
        </w:rPr>
        <w:t>trece de noviembre de dos mil veintitrés</w:t>
      </w:r>
      <w:r w:rsidR="00C150E8">
        <w:rPr>
          <w:rFonts w:ascii="Arial" w:hAnsi="Arial" w:cs="Arial"/>
          <w:b/>
          <w:color w:val="0000FF"/>
          <w:sz w:val="28"/>
          <w:szCs w:val="28"/>
        </w:rPr>
        <w:t>,</w:t>
      </w:r>
      <w:r w:rsidR="00C150E8" w:rsidRPr="00C150E8">
        <w:rPr>
          <w:rFonts w:ascii="Arial" w:hAnsi="Arial" w:cs="Arial"/>
          <w:b/>
          <w:color w:val="0000FF"/>
          <w:sz w:val="28"/>
          <w:szCs w:val="28"/>
        </w:rPr>
        <w:t xml:space="preserve"> </w:t>
      </w:r>
      <w:r>
        <w:rPr>
          <w:rFonts w:ascii="Arial" w:hAnsi="Arial" w:cs="Arial"/>
          <w:sz w:val="28"/>
          <w:szCs w:val="28"/>
          <w:lang w:val="es-ES_tradnl"/>
        </w:rPr>
        <w:t xml:space="preserve">se solicitó la ampliación del término concedido por el lapso de </w:t>
      </w:r>
      <w:r w:rsidRPr="0052753D">
        <w:rPr>
          <w:rFonts w:ascii="Arial" w:hAnsi="Arial" w:cs="Arial"/>
          <w:b/>
          <w:sz w:val="28"/>
          <w:szCs w:val="28"/>
          <w:lang w:val="es-ES_tradnl"/>
        </w:rPr>
        <w:t>diez días,</w:t>
      </w:r>
      <w:r>
        <w:rPr>
          <w:rFonts w:ascii="Arial" w:hAnsi="Arial" w:cs="Arial"/>
          <w:sz w:val="28"/>
          <w:szCs w:val="28"/>
          <w:lang w:val="es-ES_tradnl"/>
        </w:rPr>
        <w:t xml:space="preserve"> y se ordenó emitir una nueva resolución en cumplimiento a la ejecutoria de amparo.</w:t>
      </w:r>
    </w:p>
    <w:p w14:paraId="48AE002B" w14:textId="77777777" w:rsidR="00255501" w:rsidRPr="00BC1450" w:rsidRDefault="00255501" w:rsidP="00255501">
      <w:pPr>
        <w:spacing w:after="0" w:line="360" w:lineRule="auto"/>
        <w:ind w:firstLine="851"/>
        <w:jc w:val="both"/>
        <w:rPr>
          <w:rFonts w:ascii="Arial" w:hAnsi="Arial" w:cs="Arial"/>
          <w:sz w:val="10"/>
          <w:szCs w:val="10"/>
          <w:lang w:val="es-ES_tradnl"/>
        </w:rPr>
      </w:pPr>
    </w:p>
    <w:p w14:paraId="27BD422C" w14:textId="13CA4C0A" w:rsidR="00283888" w:rsidRDefault="00283888" w:rsidP="00255501">
      <w:pPr>
        <w:spacing w:after="0" w:line="360" w:lineRule="auto"/>
        <w:jc w:val="center"/>
        <w:rPr>
          <w:rFonts w:ascii="Arial" w:hAnsi="Arial" w:cs="Arial"/>
          <w:b/>
          <w:sz w:val="28"/>
          <w:szCs w:val="28"/>
        </w:rPr>
      </w:pPr>
      <w:r w:rsidRPr="00677E24">
        <w:rPr>
          <w:rFonts w:ascii="Arial" w:hAnsi="Arial" w:cs="Arial"/>
          <w:b/>
          <w:sz w:val="28"/>
          <w:szCs w:val="28"/>
        </w:rPr>
        <w:t>C O N S I D E R A N D O.</w:t>
      </w:r>
    </w:p>
    <w:p w14:paraId="56495E7E" w14:textId="77777777" w:rsidR="00255501" w:rsidRPr="00BC1450" w:rsidRDefault="00255501" w:rsidP="00255501">
      <w:pPr>
        <w:spacing w:after="0" w:line="360" w:lineRule="auto"/>
        <w:jc w:val="center"/>
        <w:rPr>
          <w:rFonts w:ascii="Arial" w:hAnsi="Arial" w:cs="Arial"/>
          <w:b/>
          <w:sz w:val="10"/>
          <w:szCs w:val="10"/>
        </w:rPr>
      </w:pPr>
    </w:p>
    <w:p w14:paraId="22A0538C" w14:textId="1E8C0824" w:rsidR="00283888" w:rsidRDefault="00283888" w:rsidP="00255501">
      <w:pPr>
        <w:spacing w:after="0" w:line="360" w:lineRule="auto"/>
        <w:ind w:firstLine="709"/>
        <w:jc w:val="both"/>
        <w:rPr>
          <w:rFonts w:ascii="Arial" w:hAnsi="Arial" w:cs="Arial"/>
          <w:sz w:val="28"/>
          <w:szCs w:val="28"/>
        </w:rPr>
      </w:pPr>
      <w:r w:rsidRPr="00DD1A70">
        <w:rPr>
          <w:rFonts w:ascii="Arial" w:hAnsi="Arial" w:cs="Arial"/>
          <w:b/>
          <w:sz w:val="28"/>
          <w:szCs w:val="28"/>
        </w:rPr>
        <w:t xml:space="preserve">PRIMERO. Competencia. </w:t>
      </w:r>
      <w:r w:rsidR="008E077D">
        <w:rPr>
          <w:rFonts w:ascii="Arial" w:hAnsi="Arial" w:cs="Arial"/>
          <w:sz w:val="28"/>
          <w:szCs w:val="28"/>
        </w:rPr>
        <w:t>Esta</w:t>
      </w:r>
      <w:r w:rsidRPr="00DD1A70">
        <w:rPr>
          <w:rFonts w:ascii="Arial" w:hAnsi="Arial" w:cs="Arial"/>
          <w:sz w:val="28"/>
          <w:szCs w:val="28"/>
        </w:rPr>
        <w:t xml:space="preserve"> Sala Superior Unitaria del Tribunal Estatal de Justicia Administrativa </w:t>
      </w:r>
      <w:r w:rsidR="008E077D">
        <w:rPr>
          <w:rFonts w:ascii="Arial" w:hAnsi="Arial" w:cs="Arial"/>
          <w:sz w:val="28"/>
          <w:szCs w:val="28"/>
        </w:rPr>
        <w:t xml:space="preserve">es competente para </w:t>
      </w:r>
      <w:r w:rsidRPr="00DD1A70">
        <w:rPr>
          <w:rFonts w:ascii="Arial" w:hAnsi="Arial" w:cs="Arial"/>
          <w:sz w:val="28"/>
          <w:szCs w:val="28"/>
        </w:rPr>
        <w:t xml:space="preserve">conocer </w:t>
      </w:r>
      <w:r w:rsidR="008E077D">
        <w:rPr>
          <w:rFonts w:ascii="Arial" w:hAnsi="Arial" w:cs="Arial"/>
          <w:sz w:val="28"/>
          <w:szCs w:val="28"/>
        </w:rPr>
        <w:t>del presente recurso</w:t>
      </w:r>
      <w:r w:rsidRPr="00DD1A70">
        <w:rPr>
          <w:rFonts w:ascii="Arial" w:hAnsi="Arial" w:cs="Arial"/>
          <w:sz w:val="28"/>
          <w:szCs w:val="28"/>
        </w:rPr>
        <w:t xml:space="preserve"> de apelación, en términos del artículo 123 de la Constitución Política del Estado de San Luis Potosí, 7 </w:t>
      </w:r>
      <w:r w:rsidR="00D9324E" w:rsidRPr="00DD1A70">
        <w:rPr>
          <w:rFonts w:ascii="Arial" w:hAnsi="Arial" w:cs="Arial"/>
          <w:sz w:val="28"/>
          <w:szCs w:val="28"/>
        </w:rPr>
        <w:t xml:space="preserve">fracción </w:t>
      </w:r>
      <w:r w:rsidR="00614036">
        <w:rPr>
          <w:rFonts w:ascii="Arial" w:hAnsi="Arial" w:cs="Arial"/>
          <w:sz w:val="28"/>
          <w:szCs w:val="28"/>
        </w:rPr>
        <w:t>II y VI</w:t>
      </w:r>
      <w:r w:rsidRPr="00DD1A70">
        <w:rPr>
          <w:rFonts w:ascii="Arial" w:hAnsi="Arial" w:cs="Arial"/>
          <w:sz w:val="28"/>
          <w:szCs w:val="28"/>
        </w:rPr>
        <w:t>, 9 fracción II, 23 fracci</w:t>
      </w:r>
      <w:r w:rsidR="0061224D" w:rsidRPr="00DD1A70">
        <w:rPr>
          <w:rFonts w:ascii="Arial" w:hAnsi="Arial" w:cs="Arial"/>
          <w:sz w:val="28"/>
          <w:szCs w:val="28"/>
        </w:rPr>
        <w:t>ón</w:t>
      </w:r>
      <w:r w:rsidRPr="00DD1A70">
        <w:rPr>
          <w:rFonts w:ascii="Arial" w:hAnsi="Arial" w:cs="Arial"/>
          <w:sz w:val="28"/>
          <w:szCs w:val="28"/>
        </w:rPr>
        <w:t xml:space="preserve"> V de la Ley Orgánica del Tribunal Estatal de Justicia Administrativa de San Luis Potosí y 152 del Código Procesal Administrativo para el </w:t>
      </w:r>
      <w:r w:rsidRPr="00DD1A70">
        <w:rPr>
          <w:rFonts w:ascii="Arial" w:hAnsi="Arial" w:cs="Arial"/>
          <w:sz w:val="28"/>
          <w:szCs w:val="28"/>
        </w:rPr>
        <w:lastRenderedPageBreak/>
        <w:t xml:space="preserve">Estado de San Luis Potosí; en virtud de que se reclama una </w:t>
      </w:r>
      <w:r w:rsidR="008E077D">
        <w:rPr>
          <w:rFonts w:ascii="Arial" w:hAnsi="Arial" w:cs="Arial"/>
          <w:sz w:val="28"/>
          <w:szCs w:val="28"/>
        </w:rPr>
        <w:t>resolución</w:t>
      </w:r>
      <w:r w:rsidRPr="00DD1A70">
        <w:rPr>
          <w:rFonts w:ascii="Arial" w:hAnsi="Arial" w:cs="Arial"/>
          <w:sz w:val="28"/>
          <w:szCs w:val="28"/>
        </w:rPr>
        <w:t xml:space="preserve"> definitiva pronunciada por una Sala Unitaria de este Tribunal.</w:t>
      </w:r>
    </w:p>
    <w:p w14:paraId="57BADEB0" w14:textId="77777777" w:rsidR="00255501" w:rsidRPr="00BC1450" w:rsidRDefault="00255501" w:rsidP="00255501">
      <w:pPr>
        <w:spacing w:after="0" w:line="360" w:lineRule="auto"/>
        <w:ind w:firstLine="709"/>
        <w:jc w:val="both"/>
        <w:rPr>
          <w:rFonts w:ascii="Arial" w:hAnsi="Arial" w:cs="Arial"/>
          <w:sz w:val="10"/>
          <w:szCs w:val="10"/>
        </w:rPr>
      </w:pPr>
    </w:p>
    <w:p w14:paraId="7BB1F939" w14:textId="4C434D02" w:rsidR="00283888" w:rsidRDefault="00283888" w:rsidP="00255501">
      <w:pPr>
        <w:spacing w:after="0" w:line="360" w:lineRule="auto"/>
        <w:ind w:firstLine="709"/>
        <w:jc w:val="both"/>
        <w:rPr>
          <w:rFonts w:ascii="Arial" w:hAnsi="Arial" w:cs="Arial"/>
          <w:sz w:val="28"/>
          <w:szCs w:val="28"/>
        </w:rPr>
      </w:pPr>
      <w:r w:rsidRPr="00677E24">
        <w:rPr>
          <w:rFonts w:ascii="Arial" w:hAnsi="Arial" w:cs="Arial"/>
          <w:b/>
          <w:sz w:val="28"/>
          <w:szCs w:val="28"/>
        </w:rPr>
        <w:t xml:space="preserve">SEGUNDO. </w:t>
      </w:r>
      <w:r w:rsidR="00BD0D09">
        <w:rPr>
          <w:rFonts w:ascii="Arial" w:hAnsi="Arial" w:cs="Arial"/>
          <w:b/>
          <w:sz w:val="28"/>
          <w:szCs w:val="28"/>
        </w:rPr>
        <w:t>Objeto</w:t>
      </w:r>
      <w:r w:rsidR="00886217">
        <w:rPr>
          <w:rFonts w:ascii="Arial" w:hAnsi="Arial" w:cs="Arial"/>
          <w:b/>
          <w:sz w:val="28"/>
          <w:szCs w:val="28"/>
        </w:rPr>
        <w:t xml:space="preserve"> y materia de la apelación</w:t>
      </w:r>
      <w:r w:rsidRPr="00677E24">
        <w:rPr>
          <w:rFonts w:ascii="Arial" w:hAnsi="Arial" w:cs="Arial"/>
          <w:b/>
          <w:sz w:val="28"/>
          <w:szCs w:val="28"/>
        </w:rPr>
        <w:t>.</w:t>
      </w:r>
      <w:r w:rsidR="00886217">
        <w:rPr>
          <w:rFonts w:ascii="Arial" w:hAnsi="Arial" w:cs="Arial"/>
          <w:b/>
          <w:sz w:val="28"/>
          <w:szCs w:val="28"/>
        </w:rPr>
        <w:t xml:space="preserve"> </w:t>
      </w:r>
      <w:r w:rsidR="00886217">
        <w:rPr>
          <w:rFonts w:ascii="Arial" w:hAnsi="Arial" w:cs="Arial"/>
          <w:sz w:val="28"/>
          <w:szCs w:val="28"/>
        </w:rPr>
        <w:t xml:space="preserve">La integración de la </w:t>
      </w:r>
      <w:r w:rsidR="00886217" w:rsidRPr="005F61E1">
        <w:rPr>
          <w:rFonts w:ascii="Arial" w:hAnsi="Arial" w:cs="Arial"/>
          <w:i/>
          <w:sz w:val="28"/>
          <w:szCs w:val="28"/>
        </w:rPr>
        <w:t>Litis</w:t>
      </w:r>
      <w:r w:rsidR="00886217">
        <w:rPr>
          <w:rFonts w:ascii="Arial" w:hAnsi="Arial" w:cs="Arial"/>
          <w:sz w:val="28"/>
          <w:szCs w:val="28"/>
        </w:rPr>
        <w:t xml:space="preserve"> en segunda instancia se funda en l</w:t>
      </w:r>
      <w:r w:rsidR="00614036">
        <w:rPr>
          <w:rFonts w:ascii="Arial" w:hAnsi="Arial" w:cs="Arial"/>
          <w:sz w:val="28"/>
          <w:szCs w:val="28"/>
        </w:rPr>
        <w:t>os</w:t>
      </w:r>
      <w:r w:rsidR="00886217">
        <w:rPr>
          <w:rFonts w:ascii="Arial" w:hAnsi="Arial" w:cs="Arial"/>
          <w:sz w:val="28"/>
          <w:szCs w:val="28"/>
        </w:rPr>
        <w:t xml:space="preserve"> artículo</w:t>
      </w:r>
      <w:r w:rsidR="00614036">
        <w:rPr>
          <w:rFonts w:ascii="Arial" w:hAnsi="Arial" w:cs="Arial"/>
          <w:sz w:val="28"/>
          <w:szCs w:val="28"/>
        </w:rPr>
        <w:t>s</w:t>
      </w:r>
      <w:r w:rsidR="00886217">
        <w:rPr>
          <w:rFonts w:ascii="Arial" w:hAnsi="Arial" w:cs="Arial"/>
          <w:sz w:val="28"/>
          <w:szCs w:val="28"/>
        </w:rPr>
        <w:t xml:space="preserve"> </w:t>
      </w:r>
      <w:r w:rsidR="00614036">
        <w:rPr>
          <w:rFonts w:ascii="Arial" w:hAnsi="Arial" w:cs="Arial"/>
          <w:sz w:val="28"/>
          <w:szCs w:val="28"/>
        </w:rPr>
        <w:t xml:space="preserve">152, 153 y </w:t>
      </w:r>
      <w:r w:rsidR="00886217">
        <w:rPr>
          <w:rFonts w:ascii="Arial" w:hAnsi="Arial" w:cs="Arial"/>
          <w:sz w:val="28"/>
          <w:szCs w:val="28"/>
        </w:rPr>
        <w:t>156 del Código Procesal Administrativo para el Estado de San Luis Potosí</w:t>
      </w:r>
      <w:r w:rsidR="00614036">
        <w:rPr>
          <w:rFonts w:ascii="Arial" w:hAnsi="Arial" w:cs="Arial"/>
          <w:sz w:val="28"/>
          <w:szCs w:val="28"/>
        </w:rPr>
        <w:t>, cuyo texto legal a continuación se reproduce:</w:t>
      </w:r>
    </w:p>
    <w:p w14:paraId="2B1255A7" w14:textId="77777777" w:rsidR="00614036" w:rsidRPr="009655F8" w:rsidRDefault="00614036" w:rsidP="009655F8">
      <w:pPr>
        <w:spacing w:after="0" w:line="240" w:lineRule="auto"/>
        <w:ind w:left="567" w:right="567"/>
        <w:jc w:val="both"/>
        <w:rPr>
          <w:rFonts w:ascii="Arial Narrow" w:hAnsi="Arial Narrow" w:cs="Arial"/>
          <w:i/>
          <w:sz w:val="24"/>
          <w:szCs w:val="24"/>
        </w:rPr>
      </w:pPr>
      <w:r w:rsidRPr="009655F8">
        <w:rPr>
          <w:rFonts w:ascii="Arial Narrow" w:hAnsi="Arial Narrow" w:cs="Arial"/>
          <w:b/>
          <w:i/>
          <w:sz w:val="24"/>
          <w:szCs w:val="24"/>
        </w:rPr>
        <w:t>“ARTÍCULO 152.</w:t>
      </w:r>
      <w:r w:rsidRPr="009655F8">
        <w:rPr>
          <w:rFonts w:ascii="Arial Narrow" w:hAnsi="Arial Narrow" w:cs="Arial"/>
          <w:i/>
          <w:sz w:val="24"/>
          <w:szCs w:val="24"/>
        </w:rPr>
        <w:t xml:space="preserve"> Las resoluciones definitivas emitidas por las Salas Unitarias serán apelables por cualquiera de las partes, siempre que se refiera a cualquiera de los siguientes supuestos:</w:t>
      </w:r>
    </w:p>
    <w:p w14:paraId="796CC1F4" w14:textId="77777777" w:rsidR="00614036" w:rsidRPr="009655F8" w:rsidRDefault="00614036" w:rsidP="009655F8">
      <w:pPr>
        <w:spacing w:after="0" w:line="240" w:lineRule="auto"/>
        <w:ind w:left="567" w:right="567"/>
        <w:jc w:val="both"/>
        <w:rPr>
          <w:rFonts w:ascii="Arial Narrow" w:hAnsi="Arial Narrow" w:cs="Arial"/>
          <w:i/>
          <w:sz w:val="24"/>
          <w:szCs w:val="24"/>
          <w:u w:val="single"/>
        </w:rPr>
      </w:pPr>
      <w:r w:rsidRPr="009655F8">
        <w:rPr>
          <w:rFonts w:ascii="Arial Narrow" w:hAnsi="Arial Narrow" w:cs="Arial"/>
          <w:i/>
          <w:sz w:val="24"/>
          <w:szCs w:val="24"/>
        </w:rPr>
        <w:t>I. Sea de cuantía que exceda de mil quinientas veces el valor diario de la UMA al momento de la emisión de la resolución o sentencia;</w:t>
      </w:r>
    </w:p>
    <w:p w14:paraId="5C59A91F" w14:textId="77777777" w:rsidR="00614036" w:rsidRPr="009655F8" w:rsidRDefault="00614036" w:rsidP="009655F8">
      <w:pPr>
        <w:spacing w:after="0" w:line="240" w:lineRule="auto"/>
        <w:ind w:left="567" w:right="567"/>
        <w:jc w:val="both"/>
        <w:rPr>
          <w:rFonts w:ascii="Arial Narrow" w:hAnsi="Arial Narrow" w:cs="Arial"/>
          <w:i/>
          <w:sz w:val="24"/>
          <w:szCs w:val="24"/>
        </w:rPr>
      </w:pPr>
      <w:r w:rsidRPr="009655F8">
        <w:rPr>
          <w:rFonts w:ascii="Arial Narrow" w:hAnsi="Arial Narrow" w:cs="Arial"/>
          <w:i/>
          <w:sz w:val="24"/>
          <w:szCs w:val="24"/>
        </w:rPr>
        <w:t>II. Sea de importancia y trascendencia cuando la cuantía sea inferior a la señalada en la fracción primera, o de cuantía indeterminada, debiendo el recurrente razonar esa circunstancia para efectos de la admisión del recurso;</w:t>
      </w:r>
    </w:p>
    <w:p w14:paraId="76B9F149" w14:textId="77777777" w:rsidR="00614036" w:rsidRPr="009655F8" w:rsidRDefault="00614036" w:rsidP="009655F8">
      <w:pPr>
        <w:spacing w:after="0" w:line="240" w:lineRule="auto"/>
        <w:ind w:left="567" w:right="567"/>
        <w:jc w:val="both"/>
        <w:rPr>
          <w:rFonts w:ascii="Arial Narrow" w:hAnsi="Arial Narrow" w:cs="Arial"/>
          <w:i/>
          <w:sz w:val="24"/>
          <w:szCs w:val="24"/>
        </w:rPr>
      </w:pPr>
      <w:r w:rsidRPr="009655F8">
        <w:rPr>
          <w:rFonts w:ascii="Arial Narrow" w:hAnsi="Arial Narrow" w:cs="Arial"/>
          <w:i/>
          <w:sz w:val="24"/>
          <w:szCs w:val="24"/>
        </w:rPr>
        <w:t>III. Sea una resolución dictada por la Secretaría de Finanzas o las Tesorerías Municipales, y sus organismos descentralizados en ingresos estatales y municipales, siempre que el asunto se refiera a:</w:t>
      </w:r>
    </w:p>
    <w:p w14:paraId="566A745B" w14:textId="77777777" w:rsidR="00614036" w:rsidRPr="009655F8" w:rsidRDefault="00614036" w:rsidP="009655F8">
      <w:pPr>
        <w:spacing w:after="0" w:line="240" w:lineRule="auto"/>
        <w:ind w:left="567" w:right="567"/>
        <w:jc w:val="both"/>
        <w:rPr>
          <w:rFonts w:ascii="Arial Narrow" w:hAnsi="Arial Narrow" w:cs="Arial"/>
          <w:i/>
          <w:sz w:val="24"/>
          <w:szCs w:val="24"/>
        </w:rPr>
      </w:pPr>
      <w:r w:rsidRPr="009655F8">
        <w:rPr>
          <w:rFonts w:ascii="Arial Narrow" w:hAnsi="Arial Narrow" w:cs="Arial"/>
          <w:i/>
          <w:sz w:val="24"/>
          <w:szCs w:val="24"/>
        </w:rPr>
        <w:t>a) Interpretación de normas generales con motivo de su aplicación.</w:t>
      </w:r>
    </w:p>
    <w:p w14:paraId="4CFEA432" w14:textId="77777777" w:rsidR="00614036" w:rsidRPr="009655F8" w:rsidRDefault="00614036" w:rsidP="009655F8">
      <w:pPr>
        <w:spacing w:after="0" w:line="240" w:lineRule="auto"/>
        <w:ind w:left="567" w:right="567"/>
        <w:jc w:val="both"/>
        <w:rPr>
          <w:rFonts w:ascii="Arial Narrow" w:hAnsi="Arial Narrow" w:cs="Arial"/>
          <w:i/>
          <w:sz w:val="24"/>
          <w:szCs w:val="24"/>
        </w:rPr>
      </w:pPr>
      <w:r w:rsidRPr="009655F8">
        <w:rPr>
          <w:rFonts w:ascii="Arial Narrow" w:hAnsi="Arial Narrow" w:cs="Arial"/>
          <w:i/>
          <w:sz w:val="24"/>
          <w:szCs w:val="24"/>
        </w:rPr>
        <w:t>b) La determinación del alcance de los elementos esenciales de las contribuciones.</w:t>
      </w:r>
    </w:p>
    <w:p w14:paraId="5FEDE389" w14:textId="77777777" w:rsidR="00614036" w:rsidRPr="009655F8" w:rsidRDefault="00614036" w:rsidP="009655F8">
      <w:pPr>
        <w:spacing w:after="0" w:line="240" w:lineRule="auto"/>
        <w:ind w:left="567" w:right="567"/>
        <w:jc w:val="both"/>
        <w:rPr>
          <w:rFonts w:ascii="Arial Narrow" w:hAnsi="Arial Narrow" w:cs="Arial"/>
          <w:i/>
          <w:sz w:val="24"/>
          <w:szCs w:val="24"/>
        </w:rPr>
      </w:pPr>
      <w:r w:rsidRPr="009655F8">
        <w:rPr>
          <w:rFonts w:ascii="Arial Narrow" w:hAnsi="Arial Narrow" w:cs="Arial"/>
          <w:i/>
          <w:sz w:val="24"/>
          <w:szCs w:val="24"/>
        </w:rPr>
        <w:t>c) Competencia de la autoridad que haya dictado u ordenado la resolución impugnada o tramitado el procedimiento del que deriva o al ejercicio de las facultades de comprobación.</w:t>
      </w:r>
    </w:p>
    <w:p w14:paraId="443EE2A6" w14:textId="77777777" w:rsidR="00614036" w:rsidRPr="009655F8" w:rsidRDefault="00614036" w:rsidP="009655F8">
      <w:pPr>
        <w:spacing w:after="0" w:line="240" w:lineRule="auto"/>
        <w:ind w:left="567" w:right="567"/>
        <w:jc w:val="both"/>
        <w:rPr>
          <w:rFonts w:ascii="Arial Narrow" w:hAnsi="Arial Narrow" w:cs="Arial"/>
          <w:i/>
          <w:sz w:val="24"/>
          <w:szCs w:val="24"/>
        </w:rPr>
      </w:pPr>
      <w:r w:rsidRPr="009655F8">
        <w:rPr>
          <w:rFonts w:ascii="Arial Narrow" w:hAnsi="Arial Narrow" w:cs="Arial"/>
          <w:i/>
          <w:sz w:val="24"/>
          <w:szCs w:val="24"/>
        </w:rPr>
        <w:t xml:space="preserve">d) Violaciones procesales durante el juicio que afecten las defensas del recurrente y trasciendan al sentido del fallo, y </w:t>
      </w:r>
    </w:p>
    <w:p w14:paraId="3B89D904" w14:textId="77777777" w:rsidR="00614036" w:rsidRPr="009655F8" w:rsidRDefault="00614036" w:rsidP="009655F8">
      <w:pPr>
        <w:spacing w:after="0" w:line="240" w:lineRule="auto"/>
        <w:ind w:left="567" w:right="567"/>
        <w:jc w:val="both"/>
        <w:rPr>
          <w:rFonts w:ascii="Arial Narrow" w:hAnsi="Arial Narrow" w:cs="Arial"/>
          <w:i/>
          <w:sz w:val="24"/>
          <w:szCs w:val="24"/>
        </w:rPr>
      </w:pPr>
      <w:r w:rsidRPr="009655F8">
        <w:rPr>
          <w:rFonts w:ascii="Arial Narrow" w:hAnsi="Arial Narrow" w:cs="Arial"/>
          <w:i/>
          <w:sz w:val="24"/>
          <w:szCs w:val="24"/>
        </w:rPr>
        <w:t>IV. Sea una resolución dictada con motivo de las reclamaciones previstas en la Ley de Responsabilidad Patrimonial del Estado de San Luis Potosí.</w:t>
      </w:r>
    </w:p>
    <w:p w14:paraId="325738B5" w14:textId="77777777" w:rsidR="00614036" w:rsidRPr="009655F8" w:rsidRDefault="00614036" w:rsidP="009655F8">
      <w:pPr>
        <w:spacing w:after="0" w:line="240" w:lineRule="auto"/>
        <w:ind w:left="567" w:right="567"/>
        <w:jc w:val="both"/>
        <w:rPr>
          <w:rFonts w:ascii="Arial Narrow" w:hAnsi="Arial Narrow" w:cs="Arial"/>
          <w:i/>
          <w:sz w:val="24"/>
          <w:szCs w:val="24"/>
        </w:rPr>
      </w:pPr>
      <w:r w:rsidRPr="009655F8">
        <w:rPr>
          <w:rFonts w:ascii="Arial Narrow" w:hAnsi="Arial Narrow" w:cs="Arial"/>
          <w:i/>
          <w:sz w:val="24"/>
          <w:szCs w:val="24"/>
        </w:rPr>
        <w:t>Tratándose de resoluciones en materia de responsabilidades administrativas se estará a lo dispuesto en su propia ley.</w:t>
      </w:r>
    </w:p>
    <w:p w14:paraId="572751D1" w14:textId="77777777" w:rsidR="00614036" w:rsidRDefault="00614036" w:rsidP="009655F8">
      <w:pPr>
        <w:spacing w:after="0" w:line="240" w:lineRule="auto"/>
        <w:ind w:left="567" w:right="567"/>
        <w:jc w:val="both"/>
        <w:rPr>
          <w:rFonts w:ascii="Arial Narrow" w:hAnsi="Arial Narrow" w:cs="Arial"/>
          <w:i/>
          <w:sz w:val="24"/>
          <w:szCs w:val="24"/>
        </w:rPr>
      </w:pPr>
      <w:r w:rsidRPr="009655F8">
        <w:rPr>
          <w:rFonts w:ascii="Arial Narrow" w:hAnsi="Arial Narrow" w:cs="Arial"/>
          <w:i/>
          <w:sz w:val="24"/>
          <w:szCs w:val="24"/>
        </w:rPr>
        <w:t>El recurso de apelación deberá promoverse ante la Sala que haya emitido la resolución, que se turnará conjuntamente con el expediente del juicio dentro de los tres días hábiles siguientes a su recepción a la Sala Superior del Tribunal, la que lo substanciará y resolverá de conformidad con lo dispuesto en la presente Sección.”</w:t>
      </w:r>
    </w:p>
    <w:p w14:paraId="2A4C5756" w14:textId="77777777" w:rsidR="009655F8" w:rsidRPr="00BC1450" w:rsidRDefault="009655F8" w:rsidP="009655F8">
      <w:pPr>
        <w:spacing w:after="0" w:line="240" w:lineRule="auto"/>
        <w:ind w:left="567" w:right="567"/>
        <w:jc w:val="both"/>
        <w:rPr>
          <w:rFonts w:ascii="Arial Narrow" w:hAnsi="Arial Narrow" w:cs="Arial"/>
          <w:i/>
          <w:sz w:val="10"/>
          <w:szCs w:val="10"/>
        </w:rPr>
      </w:pPr>
    </w:p>
    <w:p w14:paraId="020762DF" w14:textId="77777777" w:rsidR="005930E7" w:rsidRPr="009655F8" w:rsidRDefault="005930E7" w:rsidP="009655F8">
      <w:pPr>
        <w:spacing w:after="0" w:line="240" w:lineRule="auto"/>
        <w:ind w:left="567" w:right="567"/>
        <w:jc w:val="both"/>
        <w:rPr>
          <w:rFonts w:ascii="Arial Narrow" w:hAnsi="Arial Narrow" w:cs="Arial"/>
          <w:i/>
          <w:sz w:val="24"/>
          <w:szCs w:val="24"/>
        </w:rPr>
      </w:pPr>
      <w:r w:rsidRPr="009655F8">
        <w:rPr>
          <w:rFonts w:ascii="Arial Narrow" w:hAnsi="Arial Narrow" w:cs="Arial"/>
          <w:b/>
          <w:i/>
          <w:sz w:val="24"/>
          <w:szCs w:val="24"/>
        </w:rPr>
        <w:t>“ARTÍCULO 153.</w:t>
      </w:r>
      <w:r w:rsidRPr="009655F8">
        <w:rPr>
          <w:rFonts w:ascii="Arial Narrow" w:hAnsi="Arial Narrow" w:cs="Arial"/>
          <w:i/>
          <w:sz w:val="24"/>
          <w:szCs w:val="24"/>
        </w:rPr>
        <w:t xml:space="preserve"> El recurso de apelación se promoverá mediante escrito, dentro de los quince días hábiles siguientes a aquél en que surta sus efectos la notificación de la resolución que se recurre.</w:t>
      </w:r>
    </w:p>
    <w:p w14:paraId="0CAC8D84" w14:textId="7068AA19" w:rsidR="005930E7" w:rsidRDefault="005930E7" w:rsidP="009655F8">
      <w:pPr>
        <w:spacing w:after="0" w:line="240" w:lineRule="auto"/>
        <w:ind w:left="567" w:right="567"/>
        <w:jc w:val="both"/>
        <w:rPr>
          <w:rFonts w:ascii="Arial Narrow" w:hAnsi="Arial Narrow" w:cs="Arial"/>
          <w:i/>
          <w:sz w:val="24"/>
          <w:szCs w:val="24"/>
        </w:rPr>
      </w:pPr>
      <w:r w:rsidRPr="009655F8">
        <w:rPr>
          <w:rFonts w:ascii="Arial Narrow" w:hAnsi="Arial Narrow" w:cs="Arial"/>
          <w:i/>
          <w:sz w:val="24"/>
          <w:szCs w:val="24"/>
        </w:rPr>
        <w:lastRenderedPageBreak/>
        <w:t>En el escrito deberán formularse los agravios que consideren las partes se les hayan causado, exhibiéndose una copia del mismo para el expediente y una para cada una de las partes.”</w:t>
      </w:r>
    </w:p>
    <w:p w14:paraId="4DBF474C" w14:textId="77777777" w:rsidR="009655F8" w:rsidRPr="00BC1450" w:rsidRDefault="009655F8" w:rsidP="009655F8">
      <w:pPr>
        <w:spacing w:after="0" w:line="240" w:lineRule="auto"/>
        <w:ind w:left="567" w:right="567"/>
        <w:jc w:val="both"/>
        <w:rPr>
          <w:rFonts w:ascii="Arial Narrow" w:hAnsi="Arial Narrow" w:cs="Arial"/>
          <w:i/>
          <w:sz w:val="10"/>
          <w:szCs w:val="10"/>
        </w:rPr>
      </w:pPr>
    </w:p>
    <w:p w14:paraId="75B2F7F7" w14:textId="77777777" w:rsidR="00886217" w:rsidRPr="009655F8" w:rsidRDefault="005F61E1" w:rsidP="009655F8">
      <w:pPr>
        <w:pStyle w:val="Estilo"/>
        <w:ind w:left="567" w:right="567"/>
        <w:rPr>
          <w:rFonts w:ascii="Arial Narrow" w:hAnsi="Arial Narrow"/>
          <w:i/>
          <w:szCs w:val="24"/>
        </w:rPr>
      </w:pPr>
      <w:r w:rsidRPr="009655F8">
        <w:rPr>
          <w:rFonts w:ascii="Arial Narrow" w:hAnsi="Arial Narrow"/>
          <w:b/>
          <w:i/>
          <w:szCs w:val="24"/>
        </w:rPr>
        <w:t>“</w:t>
      </w:r>
      <w:r w:rsidR="00886217" w:rsidRPr="009655F8">
        <w:rPr>
          <w:rFonts w:ascii="Arial Narrow" w:hAnsi="Arial Narrow"/>
          <w:b/>
          <w:i/>
          <w:szCs w:val="24"/>
        </w:rPr>
        <w:t>ARTÍCULO 156.</w:t>
      </w:r>
      <w:r w:rsidR="00886217" w:rsidRPr="009655F8">
        <w:rPr>
          <w:rFonts w:ascii="Arial Narrow" w:hAnsi="Arial Narrow"/>
          <w:i/>
          <w:szCs w:val="24"/>
        </w:rPr>
        <w:t xml:space="preserve"> El recurso de apelación tendrá por objeto revocar, modificar o confirmar la sentencia emitida por la Sala Unitaria de que se trate.</w:t>
      </w:r>
    </w:p>
    <w:p w14:paraId="6DDFAD19" w14:textId="77777777" w:rsidR="00886217" w:rsidRPr="009655F8" w:rsidRDefault="00886217" w:rsidP="009655F8">
      <w:pPr>
        <w:pStyle w:val="Estilo"/>
        <w:ind w:left="567" w:right="567"/>
        <w:rPr>
          <w:rFonts w:ascii="Arial Narrow" w:hAnsi="Arial Narrow"/>
          <w:i/>
          <w:szCs w:val="24"/>
        </w:rPr>
      </w:pPr>
      <w:r w:rsidRPr="009655F8">
        <w:rPr>
          <w:rFonts w:ascii="Arial Narrow" w:hAnsi="Arial Narrow"/>
          <w:i/>
          <w:szCs w:val="24"/>
        </w:rPr>
        <w:t>A la vista de los agravios expresados por el recurrente, la sentencia de apelación revisará si se observó lo establecido en los artículos, 249 y 250 de este Código.</w:t>
      </w:r>
    </w:p>
    <w:p w14:paraId="3900875A" w14:textId="77777777" w:rsidR="00886217" w:rsidRPr="009655F8" w:rsidRDefault="00886217" w:rsidP="009655F8">
      <w:pPr>
        <w:pStyle w:val="Estilo"/>
        <w:ind w:left="567" w:right="567"/>
        <w:rPr>
          <w:rFonts w:ascii="Arial Narrow" w:hAnsi="Arial Narrow"/>
          <w:i/>
          <w:szCs w:val="24"/>
        </w:rPr>
      </w:pPr>
      <w:r w:rsidRPr="009655F8">
        <w:rPr>
          <w:rFonts w:ascii="Arial Narrow" w:hAnsi="Arial Narrow"/>
          <w:i/>
          <w:szCs w:val="24"/>
        </w:rPr>
        <w:t>Si se acreditan violaciones cometidas durante el procedimiento del juicio, que hayan dejado sin defensa al recurrente y trasciendan al sentido de la sentencia, se revocará ésta y se mandará reponer el procedimiento.</w:t>
      </w:r>
    </w:p>
    <w:p w14:paraId="6455577E" w14:textId="77777777" w:rsidR="00886217" w:rsidRPr="009655F8" w:rsidRDefault="00886217" w:rsidP="009655F8">
      <w:pPr>
        <w:pStyle w:val="Estilo"/>
        <w:ind w:left="567" w:right="567"/>
        <w:rPr>
          <w:rFonts w:ascii="Arial Narrow" w:hAnsi="Arial Narrow"/>
          <w:i/>
          <w:szCs w:val="24"/>
        </w:rPr>
      </w:pPr>
      <w:r w:rsidRPr="009655F8">
        <w:rPr>
          <w:rFonts w:ascii="Arial Narrow" w:hAnsi="Arial Narrow"/>
          <w:i/>
          <w:szCs w:val="24"/>
        </w:rPr>
        <w:t>Sólo se tomarán en consideración las pruebas que se hubiesen ofrecido en el juicio respectivo, salvo que no se haya tenido la oportunidad procesal para rendirlas.</w:t>
      </w:r>
    </w:p>
    <w:p w14:paraId="390A67C6" w14:textId="77777777" w:rsidR="00886217" w:rsidRPr="009655F8" w:rsidRDefault="00886217" w:rsidP="009655F8">
      <w:pPr>
        <w:pStyle w:val="Estilo"/>
        <w:ind w:left="567" w:right="567"/>
        <w:rPr>
          <w:rFonts w:ascii="Arial Narrow" w:hAnsi="Arial Narrow"/>
          <w:i/>
          <w:szCs w:val="24"/>
        </w:rPr>
      </w:pPr>
      <w:r w:rsidRPr="009655F8">
        <w:rPr>
          <w:rFonts w:ascii="Arial Narrow" w:hAnsi="Arial Narrow"/>
          <w:i/>
          <w:szCs w:val="24"/>
        </w:rPr>
        <w:t>Se suplirá la deficiencia de los agravios del particular apelante, cuando el caso lo requiera, pero sin cambiar los hechos planteados.</w:t>
      </w:r>
    </w:p>
    <w:p w14:paraId="5F3BD917" w14:textId="77777777" w:rsidR="00886217" w:rsidRPr="009655F8" w:rsidRDefault="00886217" w:rsidP="009655F8">
      <w:pPr>
        <w:pStyle w:val="Estilo"/>
        <w:ind w:left="567" w:right="567"/>
        <w:rPr>
          <w:rFonts w:ascii="Arial Narrow" w:hAnsi="Arial Narrow"/>
          <w:i/>
          <w:szCs w:val="24"/>
        </w:rPr>
      </w:pPr>
      <w:r w:rsidRPr="009655F8">
        <w:rPr>
          <w:rFonts w:ascii="Arial Narrow" w:hAnsi="Arial Narrow"/>
          <w:i/>
          <w:szCs w:val="24"/>
        </w:rPr>
        <w:t>En el caso de ser revocada la sentencia o de que su modificación así lo disponga, cuando el recurrente sea el servidor público, se ordenará se le restituya de inmediato en el goce de sus derechos, sin perjuicio de lo que establecen otras leyes.</w:t>
      </w:r>
    </w:p>
    <w:p w14:paraId="1604301C" w14:textId="77777777" w:rsidR="00886217" w:rsidRPr="009655F8" w:rsidRDefault="00886217" w:rsidP="009655F8">
      <w:pPr>
        <w:pStyle w:val="Estilo"/>
        <w:ind w:left="567" w:right="567"/>
        <w:rPr>
          <w:rFonts w:ascii="Arial Narrow" w:hAnsi="Arial Narrow"/>
          <w:i/>
          <w:szCs w:val="24"/>
        </w:rPr>
      </w:pPr>
      <w:r w:rsidRPr="009655F8">
        <w:rPr>
          <w:rFonts w:ascii="Arial Narrow" w:hAnsi="Arial Narrow"/>
          <w:i/>
          <w:szCs w:val="24"/>
        </w:rPr>
        <w:t>Se exceptúan del párrafo anterior, los casos previstos en el apartado B, fracción XIII, del artículo 123 de la Constitución Política de los Estados Unidos Mexicanos.</w:t>
      </w:r>
      <w:r w:rsidR="005F61E1" w:rsidRPr="009655F8">
        <w:rPr>
          <w:rFonts w:ascii="Arial Narrow" w:hAnsi="Arial Narrow"/>
          <w:i/>
          <w:szCs w:val="24"/>
        </w:rPr>
        <w:t>”</w:t>
      </w:r>
    </w:p>
    <w:p w14:paraId="2A3121CD" w14:textId="77777777" w:rsidR="00667322" w:rsidRPr="009655F8" w:rsidRDefault="00667322" w:rsidP="009655F8">
      <w:pPr>
        <w:spacing w:after="0" w:line="240" w:lineRule="auto"/>
        <w:ind w:firstLine="851"/>
        <w:jc w:val="both"/>
        <w:rPr>
          <w:rFonts w:ascii="Arial" w:hAnsi="Arial" w:cs="Arial"/>
          <w:sz w:val="24"/>
          <w:szCs w:val="24"/>
        </w:rPr>
      </w:pPr>
    </w:p>
    <w:p w14:paraId="229ED760" w14:textId="3A8D0445" w:rsidR="00886217" w:rsidRDefault="005F61E1" w:rsidP="009655F8">
      <w:pPr>
        <w:spacing w:after="0" w:line="360" w:lineRule="auto"/>
        <w:ind w:firstLine="851"/>
        <w:jc w:val="both"/>
        <w:rPr>
          <w:rFonts w:ascii="Arial" w:hAnsi="Arial" w:cs="Arial"/>
          <w:sz w:val="28"/>
          <w:szCs w:val="28"/>
        </w:rPr>
      </w:pPr>
      <w:r w:rsidRPr="009655F8">
        <w:rPr>
          <w:rFonts w:ascii="Arial" w:hAnsi="Arial" w:cs="Arial"/>
          <w:sz w:val="28"/>
          <w:szCs w:val="28"/>
        </w:rPr>
        <w:t>De</w:t>
      </w:r>
      <w:r w:rsidR="00130654" w:rsidRPr="009655F8">
        <w:rPr>
          <w:rFonts w:ascii="Arial" w:hAnsi="Arial" w:cs="Arial"/>
          <w:sz w:val="28"/>
          <w:szCs w:val="28"/>
        </w:rPr>
        <w:t xml:space="preserve"> </w:t>
      </w:r>
      <w:r w:rsidRPr="009655F8">
        <w:rPr>
          <w:rFonts w:ascii="Arial" w:hAnsi="Arial" w:cs="Arial"/>
          <w:sz w:val="28"/>
          <w:szCs w:val="28"/>
        </w:rPr>
        <w:t>l</w:t>
      </w:r>
      <w:r w:rsidR="00130654" w:rsidRPr="009655F8">
        <w:rPr>
          <w:rFonts w:ascii="Arial" w:hAnsi="Arial" w:cs="Arial"/>
          <w:sz w:val="28"/>
          <w:szCs w:val="28"/>
        </w:rPr>
        <w:t xml:space="preserve">os </w:t>
      </w:r>
      <w:r w:rsidRPr="009655F8">
        <w:rPr>
          <w:rFonts w:ascii="Arial" w:hAnsi="Arial" w:cs="Arial"/>
          <w:sz w:val="28"/>
          <w:szCs w:val="28"/>
        </w:rPr>
        <w:t>citado</w:t>
      </w:r>
      <w:r w:rsidR="00130654" w:rsidRPr="009655F8">
        <w:rPr>
          <w:rFonts w:ascii="Arial" w:hAnsi="Arial" w:cs="Arial"/>
          <w:sz w:val="28"/>
          <w:szCs w:val="28"/>
        </w:rPr>
        <w:t>s</w:t>
      </w:r>
      <w:r w:rsidRPr="009655F8">
        <w:rPr>
          <w:rFonts w:ascii="Arial" w:hAnsi="Arial" w:cs="Arial"/>
          <w:sz w:val="28"/>
          <w:szCs w:val="28"/>
        </w:rPr>
        <w:t xml:space="preserve"> artículo</w:t>
      </w:r>
      <w:r w:rsidR="00130654" w:rsidRPr="009655F8">
        <w:rPr>
          <w:rFonts w:ascii="Arial" w:hAnsi="Arial" w:cs="Arial"/>
          <w:sz w:val="28"/>
          <w:szCs w:val="28"/>
        </w:rPr>
        <w:t>s</w:t>
      </w:r>
      <w:r w:rsidRPr="009655F8">
        <w:rPr>
          <w:rFonts w:ascii="Arial" w:hAnsi="Arial" w:cs="Arial"/>
          <w:sz w:val="28"/>
          <w:szCs w:val="28"/>
        </w:rPr>
        <w:t xml:space="preserve"> se obtiene que la Litis en segunda instancia se </w:t>
      </w:r>
      <w:proofErr w:type="gramStart"/>
      <w:r w:rsidRPr="009655F8">
        <w:rPr>
          <w:rFonts w:ascii="Arial" w:hAnsi="Arial" w:cs="Arial"/>
          <w:sz w:val="28"/>
          <w:szCs w:val="28"/>
        </w:rPr>
        <w:t>integra</w:t>
      </w:r>
      <w:proofErr w:type="gramEnd"/>
      <w:r w:rsidRPr="009655F8">
        <w:rPr>
          <w:rFonts w:ascii="Arial" w:hAnsi="Arial" w:cs="Arial"/>
          <w:sz w:val="28"/>
          <w:szCs w:val="28"/>
        </w:rPr>
        <w:t xml:space="preserve"> con la sentencia definitiva emitida por el Magistrado de Sala Unitaria de origen y con los agravios de </w:t>
      </w:r>
      <w:r w:rsidR="00BE61F1" w:rsidRPr="009655F8">
        <w:rPr>
          <w:rFonts w:ascii="Arial" w:hAnsi="Arial" w:cs="Arial"/>
          <w:sz w:val="28"/>
          <w:szCs w:val="28"/>
        </w:rPr>
        <w:t xml:space="preserve">la o </w:t>
      </w:r>
      <w:r w:rsidRPr="009655F8">
        <w:rPr>
          <w:rFonts w:ascii="Arial" w:hAnsi="Arial" w:cs="Arial"/>
          <w:sz w:val="28"/>
          <w:szCs w:val="28"/>
        </w:rPr>
        <w:t>las partes recurrentes.</w:t>
      </w:r>
    </w:p>
    <w:p w14:paraId="0099935C" w14:textId="77777777" w:rsidR="009655F8" w:rsidRPr="00C150E8" w:rsidRDefault="009655F8" w:rsidP="009655F8">
      <w:pPr>
        <w:spacing w:after="0" w:line="360" w:lineRule="auto"/>
        <w:ind w:firstLine="851"/>
        <w:jc w:val="both"/>
        <w:rPr>
          <w:rFonts w:ascii="Arial" w:hAnsi="Arial" w:cs="Arial"/>
          <w:sz w:val="10"/>
          <w:szCs w:val="10"/>
        </w:rPr>
      </w:pPr>
    </w:p>
    <w:p w14:paraId="42B949ED" w14:textId="515DA152" w:rsidR="00BE61F1" w:rsidRDefault="00BB744D" w:rsidP="009655F8">
      <w:pPr>
        <w:spacing w:after="0" w:line="360" w:lineRule="auto"/>
        <w:ind w:firstLine="851"/>
        <w:jc w:val="both"/>
        <w:rPr>
          <w:rFonts w:ascii="Arial" w:hAnsi="Arial" w:cs="Arial"/>
          <w:sz w:val="28"/>
          <w:szCs w:val="28"/>
        </w:rPr>
      </w:pPr>
      <w:r w:rsidRPr="009655F8">
        <w:rPr>
          <w:rFonts w:ascii="Arial" w:hAnsi="Arial" w:cs="Arial"/>
          <w:sz w:val="28"/>
          <w:szCs w:val="28"/>
        </w:rPr>
        <w:t xml:space="preserve">Por ende, la apelación resulta un recurso ordinario y vertical a través del cual una de las partes, o ambas, someten a la Sala Superior del Tribunal Estatal </w:t>
      </w:r>
      <w:r w:rsidR="00C046F0" w:rsidRPr="009655F8">
        <w:rPr>
          <w:rFonts w:ascii="Arial" w:hAnsi="Arial" w:cs="Arial"/>
          <w:sz w:val="28"/>
          <w:szCs w:val="28"/>
        </w:rPr>
        <w:t>de Justicia Administrativa un n</w:t>
      </w:r>
      <w:r w:rsidRPr="009655F8">
        <w:rPr>
          <w:rFonts w:ascii="Arial" w:hAnsi="Arial" w:cs="Arial"/>
          <w:sz w:val="28"/>
          <w:szCs w:val="28"/>
        </w:rPr>
        <w:t xml:space="preserve">uevo examen sobre la resolución definitiva distada por alguna Sala Unitaria, y el cual </w:t>
      </w:r>
      <w:r w:rsidR="008E077D" w:rsidRPr="009655F8">
        <w:rPr>
          <w:rFonts w:ascii="Arial" w:hAnsi="Arial" w:cs="Arial"/>
          <w:sz w:val="28"/>
          <w:szCs w:val="28"/>
        </w:rPr>
        <w:t xml:space="preserve">tiene </w:t>
      </w:r>
      <w:r w:rsidR="00BE61F1" w:rsidRPr="009655F8">
        <w:rPr>
          <w:rFonts w:ascii="Arial" w:hAnsi="Arial" w:cs="Arial"/>
          <w:sz w:val="28"/>
          <w:szCs w:val="28"/>
        </w:rPr>
        <w:t xml:space="preserve">la finalidad de </w:t>
      </w:r>
      <w:r w:rsidR="00BE61F1" w:rsidRPr="009655F8">
        <w:rPr>
          <w:rFonts w:ascii="Arial" w:hAnsi="Arial" w:cs="Arial"/>
          <w:b/>
          <w:sz w:val="28"/>
          <w:szCs w:val="28"/>
        </w:rPr>
        <w:t>confirmar, modificar o revocar</w:t>
      </w:r>
      <w:r w:rsidR="00BE61F1" w:rsidRPr="009655F8">
        <w:rPr>
          <w:rFonts w:ascii="Arial" w:hAnsi="Arial" w:cs="Arial"/>
          <w:sz w:val="28"/>
          <w:szCs w:val="28"/>
        </w:rPr>
        <w:t xml:space="preserve"> la resolución dictada en primera instancia; es decir, su objeto de estudio se limita a los errores u omisiones que se hubieran cometido al emitirse la sentencia pronunciad</w:t>
      </w:r>
      <w:r w:rsidR="001F5E7D" w:rsidRPr="009655F8">
        <w:rPr>
          <w:rFonts w:ascii="Arial" w:hAnsi="Arial" w:cs="Arial"/>
          <w:sz w:val="28"/>
          <w:szCs w:val="28"/>
        </w:rPr>
        <w:t>a</w:t>
      </w:r>
      <w:r w:rsidR="00BE61F1" w:rsidRPr="009655F8">
        <w:rPr>
          <w:rFonts w:ascii="Arial" w:hAnsi="Arial" w:cs="Arial"/>
          <w:sz w:val="28"/>
          <w:szCs w:val="28"/>
        </w:rPr>
        <w:t xml:space="preserve"> </w:t>
      </w:r>
      <w:r w:rsidR="001F5E7D" w:rsidRPr="009655F8">
        <w:rPr>
          <w:rFonts w:ascii="Arial" w:hAnsi="Arial" w:cs="Arial"/>
          <w:sz w:val="28"/>
          <w:szCs w:val="28"/>
        </w:rPr>
        <w:t>en primer grado</w:t>
      </w:r>
      <w:r w:rsidR="00BE61F1" w:rsidRPr="009655F8">
        <w:rPr>
          <w:rFonts w:ascii="Arial" w:hAnsi="Arial" w:cs="Arial"/>
          <w:sz w:val="28"/>
          <w:szCs w:val="28"/>
        </w:rPr>
        <w:t xml:space="preserve"> en </w:t>
      </w:r>
      <w:r w:rsidR="001F5E7D" w:rsidRPr="009655F8">
        <w:rPr>
          <w:rFonts w:ascii="Arial" w:hAnsi="Arial" w:cs="Arial"/>
          <w:sz w:val="28"/>
          <w:szCs w:val="28"/>
        </w:rPr>
        <w:t>relación con lo</w:t>
      </w:r>
      <w:r w:rsidR="00BE61F1" w:rsidRPr="009655F8">
        <w:rPr>
          <w:rFonts w:ascii="Arial" w:hAnsi="Arial" w:cs="Arial"/>
          <w:sz w:val="28"/>
          <w:szCs w:val="28"/>
        </w:rPr>
        <w:t>s puntos relativos a los agravios expresados por la</w:t>
      </w:r>
      <w:r w:rsidR="001F5E7D" w:rsidRPr="009655F8">
        <w:rPr>
          <w:rFonts w:ascii="Arial" w:hAnsi="Arial" w:cs="Arial"/>
          <w:sz w:val="28"/>
          <w:szCs w:val="28"/>
        </w:rPr>
        <w:t>s</w:t>
      </w:r>
      <w:r w:rsidR="00035F4E" w:rsidRPr="009655F8">
        <w:rPr>
          <w:rFonts w:ascii="Arial" w:hAnsi="Arial" w:cs="Arial"/>
          <w:sz w:val="28"/>
          <w:szCs w:val="28"/>
        </w:rPr>
        <w:t xml:space="preserve"> </w:t>
      </w:r>
      <w:r w:rsidR="001F5E7D" w:rsidRPr="009655F8">
        <w:rPr>
          <w:rFonts w:ascii="Arial" w:hAnsi="Arial" w:cs="Arial"/>
          <w:sz w:val="28"/>
          <w:szCs w:val="28"/>
        </w:rPr>
        <w:t>partes</w:t>
      </w:r>
      <w:r w:rsidR="00BE61F1" w:rsidRPr="009655F8">
        <w:rPr>
          <w:rFonts w:ascii="Arial" w:hAnsi="Arial" w:cs="Arial"/>
          <w:sz w:val="28"/>
          <w:szCs w:val="28"/>
        </w:rPr>
        <w:t>.</w:t>
      </w:r>
    </w:p>
    <w:p w14:paraId="1EB6CEEC" w14:textId="77777777" w:rsidR="009655F8" w:rsidRPr="00C150E8" w:rsidRDefault="009655F8" w:rsidP="009655F8">
      <w:pPr>
        <w:spacing w:after="0" w:line="360" w:lineRule="auto"/>
        <w:ind w:firstLine="851"/>
        <w:jc w:val="both"/>
        <w:rPr>
          <w:rFonts w:ascii="Arial" w:hAnsi="Arial" w:cs="Arial"/>
          <w:sz w:val="10"/>
          <w:szCs w:val="10"/>
        </w:rPr>
      </w:pPr>
    </w:p>
    <w:p w14:paraId="5955F0F2" w14:textId="77777777" w:rsidR="00BE61F1" w:rsidRDefault="00BE61F1" w:rsidP="009655F8">
      <w:pPr>
        <w:spacing w:after="0" w:line="360" w:lineRule="auto"/>
        <w:ind w:firstLine="851"/>
        <w:jc w:val="both"/>
        <w:rPr>
          <w:rFonts w:ascii="Arial" w:hAnsi="Arial" w:cs="Arial"/>
          <w:sz w:val="28"/>
          <w:szCs w:val="28"/>
        </w:rPr>
      </w:pPr>
      <w:r w:rsidRPr="009655F8">
        <w:rPr>
          <w:rFonts w:ascii="Arial" w:hAnsi="Arial" w:cs="Arial"/>
          <w:sz w:val="28"/>
          <w:szCs w:val="28"/>
        </w:rPr>
        <w:t xml:space="preserve">De ahí que resulte esencial que la parte apelante, a través de sus agravios, combata las consideraciones que </w:t>
      </w:r>
      <w:r w:rsidRPr="009655F8">
        <w:rPr>
          <w:rFonts w:ascii="Arial" w:hAnsi="Arial" w:cs="Arial"/>
          <w:sz w:val="28"/>
          <w:szCs w:val="28"/>
        </w:rPr>
        <w:lastRenderedPageBreak/>
        <w:t>sustentan la resolución impugnada para demostrar la ilegalidad cuya declaración pretende.</w:t>
      </w:r>
    </w:p>
    <w:p w14:paraId="662CE470" w14:textId="77777777" w:rsidR="009655F8" w:rsidRPr="00C150E8" w:rsidRDefault="009655F8" w:rsidP="009655F8">
      <w:pPr>
        <w:spacing w:after="0" w:line="360" w:lineRule="auto"/>
        <w:ind w:firstLine="851"/>
        <w:jc w:val="both"/>
        <w:rPr>
          <w:rFonts w:ascii="Arial" w:hAnsi="Arial" w:cs="Arial"/>
          <w:sz w:val="10"/>
          <w:szCs w:val="10"/>
        </w:rPr>
      </w:pPr>
    </w:p>
    <w:p w14:paraId="51096AAD" w14:textId="1D09AC10" w:rsidR="008C1492" w:rsidRDefault="008C1492" w:rsidP="009655F8">
      <w:pPr>
        <w:spacing w:after="0" w:line="360" w:lineRule="auto"/>
        <w:ind w:firstLine="851"/>
        <w:jc w:val="both"/>
        <w:rPr>
          <w:rFonts w:ascii="Arial" w:hAnsi="Arial" w:cs="Arial"/>
          <w:sz w:val="28"/>
          <w:szCs w:val="28"/>
        </w:rPr>
      </w:pPr>
      <w:r w:rsidRPr="009655F8">
        <w:rPr>
          <w:rFonts w:ascii="Arial" w:hAnsi="Arial" w:cs="Arial"/>
          <w:sz w:val="28"/>
          <w:szCs w:val="28"/>
        </w:rPr>
        <w:t>Tal límite, no riñe con el derecho de acceso a la justicia reconocido en el artículo 17 constitucional, toda vez que el juzgador no puede ir más allá de lo pedido por las partes, esto es, no es dable la actuación oficiosa del juzgador, salvo en los supuestos que la ley así lo dispone (presupuestos procesales</w:t>
      </w:r>
      <w:r w:rsidR="001F5E7D" w:rsidRPr="009655F8">
        <w:rPr>
          <w:rFonts w:ascii="Arial" w:hAnsi="Arial" w:cs="Arial"/>
          <w:sz w:val="28"/>
          <w:szCs w:val="28"/>
        </w:rPr>
        <w:t xml:space="preserve"> de procedencia del juicio contencioso o</w:t>
      </w:r>
      <w:r w:rsidRPr="009655F8">
        <w:rPr>
          <w:rFonts w:ascii="Arial" w:hAnsi="Arial" w:cs="Arial"/>
          <w:sz w:val="28"/>
          <w:szCs w:val="28"/>
        </w:rPr>
        <w:t xml:space="preserve"> suplencia de la deficiencia de agravios</w:t>
      </w:r>
      <w:r w:rsidR="001F5E7D" w:rsidRPr="009655F8">
        <w:rPr>
          <w:rFonts w:ascii="Arial" w:hAnsi="Arial" w:cs="Arial"/>
          <w:sz w:val="28"/>
          <w:szCs w:val="28"/>
        </w:rPr>
        <w:t xml:space="preserve"> ordenados en ley</w:t>
      </w:r>
      <w:r w:rsidR="00A44549" w:rsidRPr="009655F8">
        <w:rPr>
          <w:rFonts w:ascii="Arial" w:hAnsi="Arial" w:cs="Arial"/>
          <w:sz w:val="28"/>
          <w:szCs w:val="28"/>
        </w:rPr>
        <w:t xml:space="preserve"> para violaciones esenciales del procedimiento o aplicación de jurisprudencia emitida por el Pleno de la Suprema Corte de Justicia de la Nación</w:t>
      </w:r>
      <w:r w:rsidRPr="009655F8">
        <w:rPr>
          <w:rFonts w:ascii="Arial" w:hAnsi="Arial" w:cs="Arial"/>
          <w:sz w:val="28"/>
          <w:szCs w:val="28"/>
        </w:rPr>
        <w:t xml:space="preserve">, </w:t>
      </w:r>
      <w:r w:rsidR="00BC6213" w:rsidRPr="009655F8">
        <w:rPr>
          <w:rFonts w:ascii="Arial" w:hAnsi="Arial" w:cs="Arial"/>
          <w:sz w:val="28"/>
          <w:szCs w:val="28"/>
        </w:rPr>
        <w:t xml:space="preserve">constitucionalidad y convencionalidad, </w:t>
      </w:r>
      <w:r w:rsidRPr="009655F8">
        <w:rPr>
          <w:rFonts w:ascii="Arial" w:hAnsi="Arial" w:cs="Arial"/>
          <w:sz w:val="28"/>
          <w:szCs w:val="28"/>
        </w:rPr>
        <w:t>entre otr</w:t>
      </w:r>
      <w:r w:rsidR="001F5E7D" w:rsidRPr="009655F8">
        <w:rPr>
          <w:rFonts w:ascii="Arial" w:hAnsi="Arial" w:cs="Arial"/>
          <w:sz w:val="28"/>
          <w:szCs w:val="28"/>
        </w:rPr>
        <w:t>o</w:t>
      </w:r>
      <w:r w:rsidRPr="009655F8">
        <w:rPr>
          <w:rFonts w:ascii="Arial" w:hAnsi="Arial" w:cs="Arial"/>
          <w:sz w:val="28"/>
          <w:szCs w:val="28"/>
        </w:rPr>
        <w:t>s)</w:t>
      </w:r>
      <w:r w:rsidR="001F5E7D" w:rsidRPr="009655F8">
        <w:rPr>
          <w:rFonts w:ascii="Arial" w:hAnsi="Arial" w:cs="Arial"/>
          <w:sz w:val="28"/>
          <w:szCs w:val="28"/>
        </w:rPr>
        <w:t>. M</w:t>
      </w:r>
      <w:r w:rsidRPr="009655F8">
        <w:rPr>
          <w:rFonts w:ascii="Arial" w:hAnsi="Arial" w:cs="Arial"/>
          <w:sz w:val="28"/>
          <w:szCs w:val="28"/>
        </w:rPr>
        <w:t xml:space="preserve">áxime cuando </w:t>
      </w:r>
      <w:r w:rsidR="001F5E7D" w:rsidRPr="009655F8">
        <w:rPr>
          <w:rFonts w:ascii="Arial" w:hAnsi="Arial" w:cs="Arial"/>
          <w:sz w:val="28"/>
          <w:szCs w:val="28"/>
        </w:rPr>
        <w:t>la</w:t>
      </w:r>
      <w:r w:rsidRPr="009655F8">
        <w:rPr>
          <w:rFonts w:ascii="Arial" w:hAnsi="Arial" w:cs="Arial"/>
          <w:sz w:val="28"/>
          <w:szCs w:val="28"/>
        </w:rPr>
        <w:t xml:space="preserve"> posición</w:t>
      </w:r>
      <w:r w:rsidR="001F5E7D" w:rsidRPr="009655F8">
        <w:rPr>
          <w:rFonts w:ascii="Arial" w:hAnsi="Arial" w:cs="Arial"/>
          <w:sz w:val="28"/>
          <w:szCs w:val="28"/>
        </w:rPr>
        <w:t xml:space="preserve"> comentada </w:t>
      </w:r>
      <w:r w:rsidRPr="009655F8">
        <w:rPr>
          <w:rFonts w:ascii="Arial" w:hAnsi="Arial" w:cs="Arial"/>
          <w:sz w:val="28"/>
          <w:szCs w:val="28"/>
        </w:rPr>
        <w:t xml:space="preserve">no impide a </w:t>
      </w:r>
      <w:r w:rsidR="001F5E7D" w:rsidRPr="009655F8">
        <w:rPr>
          <w:rFonts w:ascii="Arial" w:hAnsi="Arial" w:cs="Arial"/>
          <w:sz w:val="28"/>
          <w:szCs w:val="28"/>
        </w:rPr>
        <w:t>las partes a</w:t>
      </w:r>
      <w:r w:rsidRPr="009655F8">
        <w:rPr>
          <w:rFonts w:ascii="Arial" w:hAnsi="Arial" w:cs="Arial"/>
          <w:sz w:val="28"/>
          <w:szCs w:val="28"/>
        </w:rPr>
        <w:t xml:space="preserve"> acceder a los tribunales, para plantear </w:t>
      </w:r>
      <w:r w:rsidR="000F224F" w:rsidRPr="009655F8">
        <w:rPr>
          <w:rFonts w:ascii="Arial" w:hAnsi="Arial" w:cs="Arial"/>
          <w:sz w:val="28"/>
          <w:szCs w:val="28"/>
        </w:rPr>
        <w:t>una pretensión o defenderse de ella, y para que a través de un proceso en el que se respeten ciertas formalidades, se decida sobre la pretensión o la defensa que se plantea.</w:t>
      </w:r>
    </w:p>
    <w:p w14:paraId="63448493" w14:textId="77777777" w:rsidR="009655F8" w:rsidRPr="00C150E8" w:rsidRDefault="009655F8" w:rsidP="009655F8">
      <w:pPr>
        <w:spacing w:after="0" w:line="360" w:lineRule="auto"/>
        <w:ind w:firstLine="851"/>
        <w:jc w:val="both"/>
        <w:rPr>
          <w:rFonts w:ascii="Arial" w:hAnsi="Arial" w:cs="Arial"/>
          <w:sz w:val="10"/>
          <w:szCs w:val="10"/>
        </w:rPr>
      </w:pPr>
    </w:p>
    <w:p w14:paraId="714E44DD" w14:textId="77777777" w:rsidR="000F224F" w:rsidRDefault="000F224F" w:rsidP="009655F8">
      <w:pPr>
        <w:spacing w:after="0" w:line="360" w:lineRule="auto"/>
        <w:ind w:firstLine="851"/>
        <w:jc w:val="both"/>
        <w:rPr>
          <w:rFonts w:ascii="Arial" w:hAnsi="Arial" w:cs="Arial"/>
          <w:sz w:val="28"/>
          <w:szCs w:val="28"/>
        </w:rPr>
      </w:pPr>
      <w:r w:rsidRPr="009655F8">
        <w:rPr>
          <w:rFonts w:ascii="Arial" w:hAnsi="Arial" w:cs="Arial"/>
          <w:sz w:val="28"/>
          <w:szCs w:val="28"/>
        </w:rPr>
        <w:t xml:space="preserve">Además, este límite se traduce en el respeto a la igualdad y el equilibrio procesal que debe haber entre los contendientes, en términos del principio de justicia imparcial </w:t>
      </w:r>
      <w:r w:rsidR="001F5E7D" w:rsidRPr="009655F8">
        <w:rPr>
          <w:rFonts w:ascii="Arial" w:hAnsi="Arial" w:cs="Arial"/>
          <w:sz w:val="28"/>
          <w:szCs w:val="28"/>
        </w:rPr>
        <w:t xml:space="preserve">que deriva </w:t>
      </w:r>
      <w:r w:rsidRPr="009655F8">
        <w:rPr>
          <w:rFonts w:ascii="Arial" w:hAnsi="Arial" w:cs="Arial"/>
          <w:sz w:val="28"/>
          <w:szCs w:val="28"/>
        </w:rPr>
        <w:t>del derecho de acceso a la justicia.</w:t>
      </w:r>
    </w:p>
    <w:p w14:paraId="569EE281" w14:textId="77777777" w:rsidR="009655F8" w:rsidRPr="00C150E8" w:rsidRDefault="009655F8" w:rsidP="009655F8">
      <w:pPr>
        <w:spacing w:after="0" w:line="360" w:lineRule="auto"/>
        <w:ind w:firstLine="851"/>
        <w:jc w:val="both"/>
        <w:rPr>
          <w:rFonts w:ascii="Arial" w:hAnsi="Arial" w:cs="Arial"/>
          <w:sz w:val="10"/>
          <w:szCs w:val="10"/>
        </w:rPr>
      </w:pPr>
    </w:p>
    <w:p w14:paraId="62B4C034" w14:textId="77777777" w:rsidR="000F224F" w:rsidRDefault="000F224F" w:rsidP="009655F8">
      <w:pPr>
        <w:spacing w:after="0" w:line="360" w:lineRule="auto"/>
        <w:ind w:firstLine="851"/>
        <w:jc w:val="both"/>
        <w:rPr>
          <w:rFonts w:ascii="Arial" w:hAnsi="Arial" w:cs="Arial"/>
          <w:b/>
          <w:i/>
          <w:sz w:val="28"/>
          <w:szCs w:val="28"/>
        </w:rPr>
      </w:pPr>
      <w:r w:rsidRPr="009655F8">
        <w:rPr>
          <w:rFonts w:ascii="Arial" w:hAnsi="Arial" w:cs="Arial"/>
          <w:sz w:val="28"/>
          <w:szCs w:val="28"/>
        </w:rPr>
        <w:t xml:space="preserve">Orienta lo anterior, por los motivos que se invocan, el contenido de la tesis 1ª. IX/2011 sustentada por la Primera Sala de la Suprema Corte de Justicia de la Nación, visible en el Semanario Judicial de la Federación y su Gaceta, Novena época, Tomo XXXIII, de febrero de dos mil once, </w:t>
      </w:r>
      <w:r w:rsidR="00B11B4F" w:rsidRPr="009655F8">
        <w:rPr>
          <w:rFonts w:ascii="Arial" w:hAnsi="Arial" w:cs="Arial"/>
          <w:sz w:val="28"/>
          <w:szCs w:val="28"/>
        </w:rPr>
        <w:t>materia</w:t>
      </w:r>
      <w:r w:rsidRPr="009655F8">
        <w:rPr>
          <w:rFonts w:ascii="Arial" w:hAnsi="Arial" w:cs="Arial"/>
          <w:sz w:val="28"/>
          <w:szCs w:val="28"/>
        </w:rPr>
        <w:t xml:space="preserve"> civil</w:t>
      </w:r>
      <w:r w:rsidR="00B11B4F" w:rsidRPr="009655F8">
        <w:rPr>
          <w:rFonts w:ascii="Arial" w:hAnsi="Arial" w:cs="Arial"/>
          <w:sz w:val="28"/>
          <w:szCs w:val="28"/>
        </w:rPr>
        <w:t xml:space="preserve">, </w:t>
      </w:r>
      <w:r w:rsidR="00B11B4F" w:rsidRPr="009655F8">
        <w:rPr>
          <w:rFonts w:ascii="Arial" w:hAnsi="Arial" w:cs="Arial"/>
          <w:sz w:val="28"/>
          <w:szCs w:val="28"/>
        </w:rPr>
        <w:lastRenderedPageBreak/>
        <w:t xml:space="preserve">página seiscientos siete, de rubro siguiente: </w:t>
      </w:r>
      <w:r w:rsidR="00B11B4F" w:rsidRPr="009655F8">
        <w:rPr>
          <w:rFonts w:ascii="Arial" w:hAnsi="Arial" w:cs="Arial"/>
          <w:b/>
          <w:i/>
          <w:sz w:val="28"/>
          <w:szCs w:val="28"/>
        </w:rPr>
        <w:t>“AGRAVIOS EN LA APELACIÓN. EL TRIBUNAL DE ALZADA PUEDE CALIFICARLOS DE INFUNDADOS O INOPERANTES PARA SOSTENER LA RESOLUCIÓN EN LA QUE CONFIRME LA SENTENCIA RECURRIDA.”</w:t>
      </w:r>
    </w:p>
    <w:p w14:paraId="7455FA0A" w14:textId="77777777" w:rsidR="00D20F5B" w:rsidRPr="00BC1450" w:rsidRDefault="00D20F5B" w:rsidP="00D20F5B">
      <w:pPr>
        <w:spacing w:after="0" w:line="360" w:lineRule="auto"/>
        <w:ind w:firstLine="851"/>
        <w:jc w:val="both"/>
        <w:rPr>
          <w:rFonts w:ascii="Arial" w:hAnsi="Arial" w:cs="Arial"/>
          <w:b/>
          <w:sz w:val="10"/>
          <w:szCs w:val="10"/>
        </w:rPr>
      </w:pPr>
    </w:p>
    <w:p w14:paraId="316F82E3" w14:textId="1DF42B74" w:rsidR="00D20F5B" w:rsidRPr="00113778" w:rsidRDefault="00D20F5B" w:rsidP="00D20F5B">
      <w:pPr>
        <w:spacing w:after="0" w:line="360" w:lineRule="auto"/>
        <w:ind w:firstLine="851"/>
        <w:jc w:val="both"/>
        <w:rPr>
          <w:rFonts w:ascii="Arial" w:hAnsi="Arial" w:cs="Arial"/>
          <w:color w:val="000000"/>
          <w:sz w:val="28"/>
          <w:szCs w:val="28"/>
        </w:rPr>
      </w:pPr>
      <w:r w:rsidRPr="00113778">
        <w:rPr>
          <w:rFonts w:ascii="Arial" w:hAnsi="Arial" w:cs="Arial"/>
          <w:b/>
          <w:sz w:val="28"/>
          <w:szCs w:val="28"/>
        </w:rPr>
        <w:t>TERCERO. Legitimación.</w:t>
      </w:r>
      <w:r w:rsidRPr="00113778">
        <w:rPr>
          <w:rStyle w:val="Refdenotaalpie"/>
          <w:rFonts w:ascii="Arial" w:hAnsi="Arial" w:cs="Arial"/>
          <w:bCs/>
          <w:color w:val="000000"/>
          <w:sz w:val="28"/>
          <w:szCs w:val="28"/>
        </w:rPr>
        <w:footnoteReference w:id="6"/>
      </w:r>
      <w:r w:rsidRPr="00113778">
        <w:rPr>
          <w:rFonts w:ascii="Arial" w:hAnsi="Arial" w:cs="Arial"/>
          <w:b/>
          <w:sz w:val="28"/>
          <w:szCs w:val="28"/>
        </w:rPr>
        <w:t xml:space="preserve"> </w:t>
      </w:r>
      <w:r w:rsidR="00F90F47">
        <w:rPr>
          <w:rFonts w:ascii="Arial" w:hAnsi="Arial" w:cs="Arial"/>
          <w:sz w:val="28"/>
          <w:szCs w:val="28"/>
        </w:rPr>
        <w:t>El recurso de apelación fue interpuesto</w:t>
      </w:r>
      <w:r w:rsidRPr="00113778">
        <w:rPr>
          <w:rFonts w:ascii="Arial" w:hAnsi="Arial" w:cs="Arial"/>
          <w:sz w:val="28"/>
          <w:szCs w:val="28"/>
        </w:rPr>
        <w:t xml:space="preserve"> por parte legítima. Esto es así, debido a que se interpuso </w:t>
      </w:r>
      <w:r w:rsidR="00C150E8">
        <w:rPr>
          <w:rFonts w:ascii="Arial" w:hAnsi="Arial" w:cs="Arial"/>
          <w:sz w:val="28"/>
          <w:szCs w:val="28"/>
        </w:rPr>
        <w:t xml:space="preserve">por </w:t>
      </w:r>
      <w:r w:rsidR="00032150" w:rsidRPr="00032150">
        <w:rPr>
          <w:rFonts w:ascii="Arial" w:hAnsi="Arial" w:cs="Arial"/>
          <w:color w:val="000000"/>
          <w:sz w:val="28"/>
          <w:szCs w:val="28"/>
        </w:rPr>
        <w:t xml:space="preserve">la </w:t>
      </w:r>
      <w:r w:rsidR="00233BA7">
        <w:rPr>
          <w:rFonts w:ascii="Arial" w:hAnsi="Arial" w:cs="Arial"/>
          <w:color w:val="000000"/>
          <w:sz w:val="28"/>
          <w:szCs w:val="28"/>
        </w:rPr>
        <w:t xml:space="preserve">diversa </w:t>
      </w:r>
      <w:r w:rsidR="00032150" w:rsidRPr="00032150">
        <w:rPr>
          <w:rFonts w:ascii="Arial" w:hAnsi="Arial" w:cs="Arial"/>
          <w:color w:val="000000"/>
          <w:sz w:val="28"/>
          <w:szCs w:val="28"/>
        </w:rPr>
        <w:t xml:space="preserve">parte </w:t>
      </w:r>
      <w:r w:rsidR="00C150E8">
        <w:rPr>
          <w:rFonts w:ascii="Arial" w:hAnsi="Arial" w:cs="Arial"/>
          <w:color w:val="000000"/>
          <w:sz w:val="28"/>
          <w:szCs w:val="28"/>
        </w:rPr>
        <w:t xml:space="preserve">actora </w:t>
      </w:r>
      <w:r w:rsidR="00194957">
        <w:rPr>
          <w:rFonts w:ascii="Arial" w:hAnsi="Arial" w:cs="Arial"/>
          <w:color w:val="FF0000"/>
          <w:sz w:val="23"/>
          <w:szCs w:val="23"/>
        </w:rPr>
        <w:t>******</w:t>
      </w:r>
      <w:r w:rsidR="00032150" w:rsidRPr="00032150">
        <w:rPr>
          <w:rFonts w:ascii="Arial" w:hAnsi="Arial" w:cs="Arial"/>
          <w:color w:val="000000"/>
          <w:sz w:val="28"/>
          <w:szCs w:val="28"/>
        </w:rPr>
        <w:t xml:space="preserve"> personalidad que le fue reconocida en el juicio de origen, en el auto de </w:t>
      </w:r>
      <w:r w:rsidR="00C150E8" w:rsidRPr="00C150E8">
        <w:rPr>
          <w:rFonts w:ascii="Arial" w:hAnsi="Arial" w:cs="Arial"/>
          <w:color w:val="0000FF"/>
          <w:sz w:val="28"/>
          <w:szCs w:val="28"/>
        </w:rPr>
        <w:t>ocho de</w:t>
      </w:r>
      <w:r w:rsidR="007A70BB">
        <w:rPr>
          <w:rFonts w:ascii="Arial" w:hAnsi="Arial" w:cs="Arial"/>
          <w:color w:val="0000FF"/>
          <w:sz w:val="28"/>
          <w:szCs w:val="28"/>
        </w:rPr>
        <w:t xml:space="preserve"> noviembre de dos mil veintidós</w:t>
      </w:r>
      <w:r w:rsidR="00032150" w:rsidRPr="00032150">
        <w:rPr>
          <w:rFonts w:ascii="Arial" w:hAnsi="Arial" w:cs="Arial"/>
          <w:sz w:val="28"/>
          <w:szCs w:val="28"/>
          <w:vertAlign w:val="superscript"/>
        </w:rPr>
        <w:footnoteReference w:id="7"/>
      </w:r>
      <w:r w:rsidR="00032150">
        <w:rPr>
          <w:rFonts w:ascii="Arial" w:hAnsi="Arial" w:cs="Arial"/>
          <w:color w:val="0000FF"/>
          <w:sz w:val="28"/>
          <w:szCs w:val="28"/>
        </w:rPr>
        <w:t>.</w:t>
      </w:r>
    </w:p>
    <w:p w14:paraId="29E9F734" w14:textId="643DC9B1" w:rsidR="009655F8" w:rsidRPr="00C150E8" w:rsidRDefault="009655F8" w:rsidP="009655F8">
      <w:pPr>
        <w:spacing w:after="0" w:line="360" w:lineRule="auto"/>
        <w:ind w:firstLine="851"/>
        <w:jc w:val="both"/>
        <w:rPr>
          <w:rFonts w:ascii="Arial" w:hAnsi="Arial" w:cs="Arial"/>
          <w:sz w:val="10"/>
          <w:szCs w:val="10"/>
        </w:rPr>
      </w:pPr>
    </w:p>
    <w:p w14:paraId="33ED05EC" w14:textId="2370ABAA" w:rsidR="00337A74" w:rsidRPr="00337A74" w:rsidRDefault="0070733C" w:rsidP="00337A74">
      <w:pPr>
        <w:spacing w:after="60" w:line="360" w:lineRule="auto"/>
        <w:ind w:firstLine="709"/>
        <w:jc w:val="both"/>
        <w:rPr>
          <w:rFonts w:ascii="Arial" w:hAnsi="Arial" w:cs="Arial"/>
          <w:b/>
          <w:color w:val="0000FF"/>
          <w:sz w:val="28"/>
          <w:szCs w:val="28"/>
        </w:rPr>
      </w:pPr>
      <w:r w:rsidRPr="00113778">
        <w:rPr>
          <w:rFonts w:ascii="Arial" w:hAnsi="Arial" w:cs="Arial"/>
          <w:b/>
          <w:sz w:val="28"/>
          <w:szCs w:val="28"/>
        </w:rPr>
        <w:t xml:space="preserve">CUARTO. </w:t>
      </w:r>
      <w:r w:rsidRPr="00BC5ABD">
        <w:rPr>
          <w:rFonts w:ascii="Arial" w:hAnsi="Arial" w:cs="Arial"/>
          <w:b/>
          <w:sz w:val="28"/>
          <w:szCs w:val="28"/>
        </w:rPr>
        <w:t>Oportunidad.</w:t>
      </w:r>
      <w:r w:rsidRPr="00113778">
        <w:rPr>
          <w:rFonts w:ascii="Arial" w:hAnsi="Arial" w:cs="Arial"/>
          <w:sz w:val="28"/>
          <w:szCs w:val="28"/>
        </w:rPr>
        <w:t xml:space="preserve"> </w:t>
      </w:r>
      <w:r w:rsidR="00337A74" w:rsidRPr="00337A74">
        <w:rPr>
          <w:rFonts w:ascii="Arial" w:hAnsi="Arial" w:cs="Arial"/>
          <w:sz w:val="28"/>
          <w:szCs w:val="28"/>
        </w:rPr>
        <w:t>El recurso de apelación</w:t>
      </w:r>
      <w:r w:rsidR="00337A74" w:rsidRPr="00337A74">
        <w:rPr>
          <w:rFonts w:ascii="Arial" w:hAnsi="Arial" w:cs="Arial"/>
          <w:b/>
          <w:sz w:val="28"/>
          <w:szCs w:val="28"/>
        </w:rPr>
        <w:t xml:space="preserve"> </w:t>
      </w:r>
      <w:r w:rsidR="00337A74" w:rsidRPr="00337A74">
        <w:rPr>
          <w:rFonts w:ascii="Arial" w:hAnsi="Arial" w:cs="Arial"/>
          <w:sz w:val="28"/>
          <w:szCs w:val="28"/>
        </w:rPr>
        <w:t xml:space="preserve">fue presentado dentro del plazo de </w:t>
      </w:r>
      <w:r w:rsidR="00337A74" w:rsidRPr="00337A74">
        <w:rPr>
          <w:rFonts w:ascii="Arial" w:hAnsi="Arial" w:cs="Arial"/>
          <w:b/>
          <w:sz w:val="28"/>
          <w:szCs w:val="28"/>
        </w:rPr>
        <w:t>quince días</w:t>
      </w:r>
      <w:r w:rsidR="00337A74" w:rsidRPr="00337A74">
        <w:rPr>
          <w:rFonts w:ascii="Arial" w:hAnsi="Arial" w:cs="Arial"/>
          <w:sz w:val="28"/>
          <w:szCs w:val="28"/>
        </w:rPr>
        <w:t xml:space="preserve"> que para tal efecto señala el primer párrafo del artículo 153 del </w:t>
      </w:r>
      <w:r w:rsidR="00337A74" w:rsidRPr="00337A74">
        <w:rPr>
          <w:rFonts w:ascii="Arial" w:hAnsi="Arial" w:cs="Arial"/>
          <w:bCs/>
          <w:color w:val="000000"/>
          <w:sz w:val="28"/>
          <w:szCs w:val="28"/>
        </w:rPr>
        <w:t>Código Procesal Administrativo para el Estado de San Luis Potosí</w:t>
      </w:r>
      <w:r w:rsidR="00337A74" w:rsidRPr="00337A74">
        <w:rPr>
          <w:rFonts w:ascii="Arial" w:hAnsi="Arial" w:cs="Arial"/>
          <w:sz w:val="28"/>
          <w:szCs w:val="28"/>
          <w:vertAlign w:val="superscript"/>
        </w:rPr>
        <w:footnoteReference w:id="8"/>
      </w:r>
      <w:r w:rsidR="00337A74" w:rsidRPr="00337A74">
        <w:rPr>
          <w:rFonts w:ascii="Arial" w:hAnsi="Arial" w:cs="Arial"/>
          <w:sz w:val="28"/>
          <w:szCs w:val="28"/>
        </w:rPr>
        <w:t xml:space="preserve">, toda vez que la sentencia recurrida fue notificada a la parte actora, aquí recurrente, el </w:t>
      </w:r>
      <w:r w:rsidR="00337A74" w:rsidRPr="00337A74">
        <w:rPr>
          <w:rFonts w:ascii="Arial" w:hAnsi="Arial" w:cs="Arial"/>
          <w:color w:val="0000FF"/>
          <w:sz w:val="28"/>
          <w:szCs w:val="28"/>
        </w:rPr>
        <w:t xml:space="preserve">veintitrés de agosto del </w:t>
      </w:r>
      <w:r w:rsidR="00C672EF">
        <w:rPr>
          <w:rFonts w:ascii="Arial" w:hAnsi="Arial" w:cs="Arial"/>
          <w:color w:val="0000FF"/>
          <w:sz w:val="28"/>
          <w:szCs w:val="28"/>
        </w:rPr>
        <w:t>dos mil veintitrés</w:t>
      </w:r>
      <w:r w:rsidR="00337A74" w:rsidRPr="00337A74">
        <w:rPr>
          <w:rFonts w:ascii="Arial" w:hAnsi="Arial" w:cs="Arial"/>
          <w:sz w:val="28"/>
          <w:szCs w:val="28"/>
          <w:vertAlign w:val="superscript"/>
        </w:rPr>
        <w:footnoteReference w:id="9"/>
      </w:r>
      <w:r w:rsidR="00337A74" w:rsidRPr="00337A74">
        <w:rPr>
          <w:rFonts w:ascii="Arial" w:hAnsi="Arial" w:cs="Arial"/>
          <w:sz w:val="28"/>
          <w:szCs w:val="28"/>
        </w:rPr>
        <w:t xml:space="preserve">, por lo que dicha notificación surtió efectos el </w:t>
      </w:r>
      <w:r w:rsidR="00337A74" w:rsidRPr="00337A74">
        <w:rPr>
          <w:rFonts w:ascii="Arial" w:hAnsi="Arial" w:cs="Arial"/>
          <w:color w:val="0000FF"/>
          <w:sz w:val="28"/>
          <w:szCs w:val="28"/>
        </w:rPr>
        <w:t>veinticuatro siguiente</w:t>
      </w:r>
      <w:r w:rsidR="00337A74" w:rsidRPr="00337A74">
        <w:rPr>
          <w:rFonts w:ascii="Arial" w:hAnsi="Arial" w:cs="Arial"/>
          <w:sz w:val="28"/>
          <w:szCs w:val="28"/>
        </w:rPr>
        <w:t xml:space="preserve">, de manera que el plazo de interposición transcurrió del </w:t>
      </w:r>
      <w:r w:rsidR="00337A74" w:rsidRPr="00337A74">
        <w:rPr>
          <w:rFonts w:ascii="Arial" w:hAnsi="Arial" w:cs="Arial"/>
          <w:color w:val="0000FF"/>
          <w:sz w:val="28"/>
          <w:szCs w:val="28"/>
        </w:rPr>
        <w:t>veintiocho de ago</w:t>
      </w:r>
      <w:r w:rsidR="00BC1450">
        <w:rPr>
          <w:rFonts w:ascii="Arial" w:hAnsi="Arial" w:cs="Arial"/>
          <w:color w:val="0000FF"/>
          <w:sz w:val="28"/>
          <w:szCs w:val="28"/>
        </w:rPr>
        <w:t xml:space="preserve">sto al dieciocho de septiembre </w:t>
      </w:r>
      <w:r w:rsidR="00337A74" w:rsidRPr="00337A74">
        <w:rPr>
          <w:rFonts w:ascii="Arial" w:hAnsi="Arial" w:cs="Arial"/>
          <w:color w:val="0000FF"/>
          <w:sz w:val="28"/>
          <w:szCs w:val="28"/>
        </w:rPr>
        <w:t xml:space="preserve">del </w:t>
      </w:r>
      <w:r w:rsidR="00C672EF">
        <w:rPr>
          <w:rFonts w:ascii="Arial" w:hAnsi="Arial" w:cs="Arial"/>
          <w:color w:val="0000FF"/>
          <w:sz w:val="28"/>
          <w:szCs w:val="28"/>
        </w:rPr>
        <w:t>dos mil veintitrés</w:t>
      </w:r>
      <w:r w:rsidR="00337A74" w:rsidRPr="00337A74">
        <w:rPr>
          <w:rFonts w:ascii="Arial" w:hAnsi="Arial" w:cs="Arial"/>
          <w:sz w:val="28"/>
          <w:szCs w:val="28"/>
        </w:rPr>
        <w:t xml:space="preserve">; en ese lapso no deben contar los días </w:t>
      </w:r>
      <w:r w:rsidR="00337A74" w:rsidRPr="00337A74">
        <w:rPr>
          <w:rFonts w:ascii="Arial" w:hAnsi="Arial" w:cs="Arial"/>
          <w:color w:val="0000FF"/>
          <w:sz w:val="28"/>
          <w:szCs w:val="28"/>
        </w:rPr>
        <w:t>veintiséis, veintisiete de agosto, dos, tres, nueve, diez, dieciséis y diecisiete de septiembre, (sábados y domingos)</w:t>
      </w:r>
      <w:r w:rsidR="00337A74" w:rsidRPr="00337A74">
        <w:rPr>
          <w:rFonts w:ascii="Arial" w:hAnsi="Arial" w:cs="Arial"/>
          <w:sz w:val="28"/>
          <w:szCs w:val="28"/>
        </w:rPr>
        <w:t xml:space="preserve">, todos de </w:t>
      </w:r>
      <w:r w:rsidR="00337A74" w:rsidRPr="00C672EF">
        <w:rPr>
          <w:rFonts w:ascii="Arial" w:hAnsi="Arial" w:cs="Arial"/>
          <w:color w:val="0070C0"/>
          <w:sz w:val="28"/>
          <w:szCs w:val="28"/>
        </w:rPr>
        <w:t>dos mil veintitrés</w:t>
      </w:r>
      <w:r w:rsidR="00337A74" w:rsidRPr="00337A74">
        <w:rPr>
          <w:rFonts w:ascii="Arial" w:hAnsi="Arial" w:cs="Arial"/>
          <w:sz w:val="28"/>
          <w:szCs w:val="28"/>
        </w:rPr>
        <w:t>, por haber sido inhábiles, conforme al artículo 15</w:t>
      </w:r>
      <w:r w:rsidR="00337A74" w:rsidRPr="00337A74">
        <w:rPr>
          <w:rFonts w:ascii="Arial" w:hAnsi="Arial" w:cs="Arial"/>
          <w:sz w:val="28"/>
          <w:szCs w:val="28"/>
          <w:vertAlign w:val="superscript"/>
        </w:rPr>
        <w:footnoteReference w:id="10"/>
      </w:r>
      <w:r w:rsidR="00337A74" w:rsidRPr="00337A74">
        <w:rPr>
          <w:rFonts w:ascii="Arial" w:hAnsi="Arial" w:cs="Arial"/>
          <w:sz w:val="28"/>
          <w:szCs w:val="28"/>
        </w:rPr>
        <w:t xml:space="preserve"> del </w:t>
      </w:r>
      <w:r w:rsidR="00337A74" w:rsidRPr="00337A74">
        <w:rPr>
          <w:rFonts w:ascii="Arial" w:hAnsi="Arial" w:cs="Arial"/>
          <w:sz w:val="28"/>
          <w:szCs w:val="28"/>
        </w:rPr>
        <w:lastRenderedPageBreak/>
        <w:t xml:space="preserve">ordenamiento legal en cita y el Calendario Oficial de Labores del Tribunal Estatal de Justicia Administrativa de San Luis Potosí para el año dos mil veintitrés, así como </w:t>
      </w:r>
      <w:r w:rsidR="00337A74" w:rsidRPr="00337A74">
        <w:rPr>
          <w:rFonts w:ascii="Arial" w:hAnsi="Arial" w:cs="Arial"/>
          <w:color w:val="0000FF"/>
          <w:sz w:val="28"/>
          <w:szCs w:val="28"/>
        </w:rPr>
        <w:t>el veinticinco de agosto</w:t>
      </w:r>
      <w:r w:rsidR="00C672EF">
        <w:rPr>
          <w:rFonts w:ascii="Arial" w:hAnsi="Arial" w:cs="Arial"/>
          <w:sz w:val="28"/>
          <w:szCs w:val="28"/>
        </w:rPr>
        <w:t xml:space="preserve"> del mismo </w:t>
      </w:r>
      <w:r w:rsidR="00337A74" w:rsidRPr="00337A74">
        <w:rPr>
          <w:rFonts w:ascii="Arial" w:hAnsi="Arial" w:cs="Arial"/>
          <w:sz w:val="28"/>
          <w:szCs w:val="28"/>
        </w:rPr>
        <w:t xml:space="preserve">año l, en conmemoración del Día de San Luis Rey, de la misma manera el </w:t>
      </w:r>
      <w:r w:rsidR="00337A74" w:rsidRPr="00337A74">
        <w:rPr>
          <w:rFonts w:ascii="Arial" w:hAnsi="Arial" w:cs="Arial"/>
          <w:color w:val="0000FF"/>
          <w:sz w:val="28"/>
          <w:szCs w:val="28"/>
        </w:rPr>
        <w:t>quince de septiembre</w:t>
      </w:r>
      <w:r w:rsidR="00337A74" w:rsidRPr="00337A74">
        <w:rPr>
          <w:rFonts w:ascii="Arial" w:hAnsi="Arial" w:cs="Arial"/>
          <w:sz w:val="28"/>
          <w:szCs w:val="28"/>
        </w:rPr>
        <w:t xml:space="preserve"> siguiente con motivo del 213 Aniversario de la Independencia de México, por lo que si el recurso de apelación se presentó el </w:t>
      </w:r>
      <w:r w:rsidR="00337A74" w:rsidRPr="00337A74">
        <w:rPr>
          <w:rFonts w:ascii="Arial" w:hAnsi="Arial" w:cs="Arial"/>
          <w:color w:val="0000FF"/>
          <w:sz w:val="28"/>
          <w:szCs w:val="28"/>
        </w:rPr>
        <w:t>trece de septiembre de dos mil veintitrés</w:t>
      </w:r>
      <w:r w:rsidR="00337A74" w:rsidRPr="00337A74">
        <w:rPr>
          <w:rFonts w:ascii="Arial" w:hAnsi="Arial" w:cs="Arial"/>
          <w:b/>
          <w:sz w:val="28"/>
          <w:szCs w:val="28"/>
        </w:rPr>
        <w:t>,</w:t>
      </w:r>
      <w:r w:rsidR="00337A74" w:rsidRPr="00337A74">
        <w:rPr>
          <w:rFonts w:ascii="Arial" w:hAnsi="Arial" w:cs="Arial"/>
          <w:sz w:val="28"/>
          <w:szCs w:val="28"/>
        </w:rPr>
        <w:t xml:space="preserve"> se patentiza se interpuso con la debida oportunidad.</w:t>
      </w:r>
    </w:p>
    <w:p w14:paraId="26F33B55" w14:textId="0ABA9B85" w:rsidR="0070733C" w:rsidRPr="00337A74" w:rsidRDefault="0070733C" w:rsidP="00337A74">
      <w:pPr>
        <w:spacing w:after="0" w:line="360" w:lineRule="auto"/>
        <w:ind w:firstLine="851"/>
        <w:jc w:val="both"/>
        <w:rPr>
          <w:rFonts w:ascii="Arial" w:hAnsi="Arial" w:cs="Arial"/>
          <w:b/>
          <w:sz w:val="10"/>
          <w:szCs w:val="10"/>
        </w:rPr>
      </w:pPr>
    </w:p>
    <w:p w14:paraId="5C37E5DF" w14:textId="7B040DF2" w:rsidR="0070733C" w:rsidRDefault="00465049" w:rsidP="009655F8">
      <w:pPr>
        <w:spacing w:after="0" w:line="360" w:lineRule="auto"/>
        <w:ind w:firstLine="851"/>
        <w:jc w:val="both"/>
        <w:rPr>
          <w:rFonts w:ascii="Arial" w:hAnsi="Arial" w:cs="Arial"/>
          <w:sz w:val="28"/>
          <w:szCs w:val="28"/>
        </w:rPr>
      </w:pPr>
      <w:r w:rsidRPr="009655F8">
        <w:rPr>
          <w:rFonts w:ascii="Arial" w:hAnsi="Arial" w:cs="Arial"/>
          <w:b/>
          <w:sz w:val="28"/>
          <w:szCs w:val="28"/>
        </w:rPr>
        <w:t>QUINTO.</w:t>
      </w:r>
      <w:r w:rsidR="0061224D" w:rsidRPr="009655F8">
        <w:rPr>
          <w:rFonts w:ascii="Arial" w:hAnsi="Arial" w:cs="Arial"/>
          <w:b/>
          <w:sz w:val="28"/>
          <w:szCs w:val="28"/>
        </w:rPr>
        <w:t xml:space="preserve"> </w:t>
      </w:r>
      <w:r w:rsidR="0070733C" w:rsidRPr="00F732C4">
        <w:rPr>
          <w:rFonts w:ascii="Arial" w:hAnsi="Arial" w:cs="Arial"/>
          <w:b/>
          <w:sz w:val="28"/>
          <w:szCs w:val="28"/>
        </w:rPr>
        <w:t>Ejecutoria de amparo.</w:t>
      </w:r>
      <w:r w:rsidR="0070733C">
        <w:rPr>
          <w:rFonts w:ascii="Arial" w:hAnsi="Arial" w:cs="Arial"/>
          <w:sz w:val="28"/>
          <w:szCs w:val="28"/>
        </w:rPr>
        <w:t xml:space="preserve"> La ejecutoria de amparo se hace consistir </w:t>
      </w:r>
      <w:r w:rsidR="005903A3">
        <w:rPr>
          <w:rFonts w:ascii="Arial" w:hAnsi="Arial" w:cs="Arial"/>
          <w:sz w:val="28"/>
          <w:szCs w:val="28"/>
        </w:rPr>
        <w:t>a la letra en las siguientes consideraciones</w:t>
      </w:r>
      <w:r w:rsidR="0070733C">
        <w:rPr>
          <w:rFonts w:ascii="Arial" w:hAnsi="Arial" w:cs="Arial"/>
          <w:sz w:val="28"/>
          <w:szCs w:val="28"/>
        </w:rPr>
        <w:t>:</w:t>
      </w:r>
    </w:p>
    <w:p w14:paraId="4C1D8149" w14:textId="77777777" w:rsidR="0070733C" w:rsidRPr="00BC1450" w:rsidRDefault="0070733C" w:rsidP="009655F8">
      <w:pPr>
        <w:spacing w:after="0" w:line="360" w:lineRule="auto"/>
        <w:ind w:firstLine="851"/>
        <w:jc w:val="both"/>
        <w:rPr>
          <w:rFonts w:ascii="Arial" w:hAnsi="Arial" w:cs="Arial"/>
          <w:sz w:val="10"/>
          <w:szCs w:val="10"/>
        </w:rPr>
      </w:pPr>
    </w:p>
    <w:p w14:paraId="1771C130" w14:textId="3969FA15" w:rsidR="003A1B04" w:rsidRPr="003A1B04" w:rsidRDefault="00B834B0" w:rsidP="003A1B04">
      <w:pPr>
        <w:pStyle w:val="Textoindependiente"/>
        <w:spacing w:after="0" w:line="240" w:lineRule="auto"/>
        <w:ind w:left="851" w:right="680" w:hanging="23"/>
        <w:jc w:val="both"/>
        <w:rPr>
          <w:rFonts w:ascii="Arial Narrow" w:hAnsi="Arial Narrow" w:cs="Arial"/>
          <w:i/>
          <w:sz w:val="24"/>
          <w:szCs w:val="24"/>
        </w:rPr>
      </w:pPr>
      <w:r w:rsidRPr="00380EC3">
        <w:rPr>
          <w:rFonts w:ascii="Arial Narrow" w:hAnsi="Arial Narrow" w:cs="Arial"/>
          <w:b/>
          <w:bCs/>
          <w:i/>
          <w:color w:val="000000"/>
          <w:spacing w:val="-2"/>
          <w:sz w:val="24"/>
          <w:szCs w:val="24"/>
          <w:lang w:val="es-ES_tradnl"/>
        </w:rPr>
        <w:t>“[</w:t>
      </w:r>
      <w:r w:rsidRPr="003E1249">
        <w:rPr>
          <w:rFonts w:ascii="Arial Narrow" w:hAnsi="Arial Narrow" w:cs="Arial"/>
          <w:i/>
          <w:sz w:val="24"/>
          <w:szCs w:val="24"/>
        </w:rPr>
        <w:t>…]</w:t>
      </w:r>
      <w:r w:rsidR="003A1B04">
        <w:rPr>
          <w:rFonts w:ascii="Arial Narrow" w:hAnsi="Arial Narrow" w:cs="Arial"/>
          <w:i/>
          <w:sz w:val="24"/>
          <w:szCs w:val="24"/>
        </w:rPr>
        <w:t xml:space="preserve"> </w:t>
      </w:r>
      <w:r w:rsidR="003A1B04" w:rsidRPr="003A1B04">
        <w:rPr>
          <w:rFonts w:ascii="Arial Narrow" w:hAnsi="Arial Narrow" w:cs="Arial"/>
          <w:b/>
          <w:i/>
          <w:sz w:val="24"/>
          <w:szCs w:val="24"/>
        </w:rPr>
        <w:t>SÉPTIMO.</w:t>
      </w:r>
      <w:r w:rsidR="003A1B04" w:rsidRPr="003A1B04">
        <w:rPr>
          <w:rFonts w:ascii="Arial Narrow" w:hAnsi="Arial Narrow" w:cs="Arial"/>
          <w:i/>
          <w:sz w:val="24"/>
          <w:szCs w:val="24"/>
        </w:rPr>
        <w:t xml:space="preserve"> Estudio. Este Tribunal Colegiado advierte la necesidad de realizar un control concentrado de constitucionalidad ex officio del artículo 152, fracción II,  del  Código  Procesal  Administrativo,  que  fue</w:t>
      </w:r>
      <w:r w:rsidR="003A1B04">
        <w:rPr>
          <w:rFonts w:ascii="Arial Narrow" w:hAnsi="Arial Narrow" w:cs="Arial"/>
          <w:i/>
          <w:sz w:val="24"/>
          <w:szCs w:val="24"/>
        </w:rPr>
        <w:t xml:space="preserve"> </w:t>
      </w:r>
      <w:r w:rsidR="003A1B04" w:rsidRPr="003A1B04">
        <w:rPr>
          <w:rFonts w:ascii="Arial Narrow" w:hAnsi="Arial Narrow" w:cs="Arial"/>
          <w:i/>
          <w:sz w:val="24"/>
          <w:szCs w:val="24"/>
        </w:rPr>
        <w:t>aplicado en el acto reclamado –sentencia de trece de noviembre de dos mil veintitrés, dictada por el Magistrado Titular de la Sala Superior del Tribunal Estatal de Justicia Administrativa de San Luis Potosí, en el toca 68/2023/SS-3, conforme a los siguientes razonamientos, en los que se expondrán: a) las premisas sustanciales del acto reclamado; b) la obligación de este Tribunal de realizar el control concentrado de constitucionalidad ex officio; c) los alcances del derecho a la tutela judicial efectiva; d) el contenido del artículo 152, fracción II, antes aludido; e) el estudio de constitucionalidad respectivo; y f) los motivos por los cuales no se estudiarán los conceptos de violación.</w:t>
      </w:r>
    </w:p>
    <w:p w14:paraId="020D1C38"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C003249" w14:textId="77777777" w:rsidR="003A1B04" w:rsidRPr="003A1B04" w:rsidRDefault="003A1B04" w:rsidP="003A1B04">
      <w:pPr>
        <w:pStyle w:val="Textoindependiente"/>
        <w:spacing w:after="0" w:line="240" w:lineRule="auto"/>
        <w:ind w:left="851" w:right="680" w:hanging="23"/>
        <w:jc w:val="both"/>
        <w:rPr>
          <w:rFonts w:ascii="Arial Narrow" w:hAnsi="Arial Narrow" w:cs="Arial"/>
          <w:b/>
          <w:i/>
          <w:sz w:val="24"/>
          <w:szCs w:val="24"/>
        </w:rPr>
      </w:pPr>
      <w:r w:rsidRPr="003A1B04">
        <w:rPr>
          <w:rFonts w:ascii="Arial Narrow" w:hAnsi="Arial Narrow" w:cs="Arial"/>
          <w:b/>
          <w:i/>
          <w:sz w:val="24"/>
          <w:szCs w:val="24"/>
        </w:rPr>
        <w:t>A.</w:t>
      </w:r>
      <w:r w:rsidRPr="003A1B04">
        <w:rPr>
          <w:rFonts w:ascii="Arial Narrow" w:hAnsi="Arial Narrow" w:cs="Arial"/>
          <w:b/>
          <w:i/>
          <w:sz w:val="24"/>
          <w:szCs w:val="24"/>
        </w:rPr>
        <w:tab/>
        <w:t>Consideraciones torales de la sentencia reclamada.</w:t>
      </w:r>
    </w:p>
    <w:p w14:paraId="3E95FF3A"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6D72E6D" w14:textId="3A75E3D5"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En la sentencia reclamada, la responsable precisó que, previo a estudiar los agravios, analizaría si se cumplió con el requisito de procedencia, por ser una cuestión de orden público y análisis preferente.</w:t>
      </w:r>
    </w:p>
    <w:p w14:paraId="281CE18B"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77055215"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Refirió que el artículo 152 del Código Procesal Administrativo determina los cuatro supuestos en los que las resoluciones definitivas emitidas por las Salas Unitarias del Tribunal Estatal de Justicia Administrativa son apelables:</w:t>
      </w:r>
    </w:p>
    <w:p w14:paraId="222ADF80"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61CCEC51"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lastRenderedPageBreak/>
        <w:t>a)</w:t>
      </w:r>
      <w:r w:rsidRPr="003A1B04">
        <w:rPr>
          <w:rFonts w:ascii="Arial Narrow" w:hAnsi="Arial Narrow" w:cs="Arial"/>
          <w:i/>
          <w:sz w:val="24"/>
          <w:szCs w:val="24"/>
        </w:rPr>
        <w:tab/>
        <w:t>cuando la cuantía exceda de mil quinientas veces el valor diario de la Unidad de Medida y Actualización, al momento de la emisión de la sentencia;</w:t>
      </w:r>
    </w:p>
    <w:p w14:paraId="0D92CFD2"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07824E72" w14:textId="11A549E6"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b)</w:t>
      </w:r>
      <w:r w:rsidRPr="003A1B04">
        <w:rPr>
          <w:rFonts w:ascii="Arial Narrow" w:hAnsi="Arial Narrow" w:cs="Arial"/>
          <w:i/>
          <w:sz w:val="24"/>
          <w:szCs w:val="24"/>
        </w:rPr>
        <w:tab/>
        <w:t xml:space="preserve">cuando el asunto por sus características especiales se considere de importancia y trascendencia, para los casos en que la cuantía sea inferior a la antes señalada, o de cuantía </w:t>
      </w:r>
      <w:r>
        <w:rPr>
          <w:rFonts w:ascii="Arial Narrow" w:hAnsi="Arial Narrow" w:cs="Arial"/>
          <w:i/>
          <w:sz w:val="24"/>
          <w:szCs w:val="24"/>
        </w:rPr>
        <w:t xml:space="preserve">indeterminada, debiendo razonar </w:t>
      </w:r>
      <w:r w:rsidRPr="003A1B04">
        <w:rPr>
          <w:rFonts w:ascii="Arial Narrow" w:hAnsi="Arial Narrow" w:cs="Arial"/>
          <w:i/>
          <w:sz w:val="24"/>
          <w:szCs w:val="24"/>
        </w:rPr>
        <w:t>el recurrente esa circunstancia para efectos de la admisión del recurso;</w:t>
      </w:r>
    </w:p>
    <w:p w14:paraId="2D08243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C61F952"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c)</w:t>
      </w:r>
      <w:r w:rsidRPr="003A1B04">
        <w:rPr>
          <w:rFonts w:ascii="Arial Narrow" w:hAnsi="Arial Narrow" w:cs="Arial"/>
          <w:i/>
          <w:sz w:val="24"/>
          <w:szCs w:val="24"/>
        </w:rPr>
        <w:tab/>
        <w:t>cuando se impugnen resoluciones dictadas por la Secretaría de Finanzas o las Tesorerías Municipales y sus organismos descentralizados en ingresos estatales y municipales, siempre y cuando se refiera a interpretación de normas generales, determinación del alcance de los elementos esenciales de las contribuciones, competencia y violaciones procesales; y</w:t>
      </w:r>
    </w:p>
    <w:p w14:paraId="45A68020"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1F8E3474"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d)</w:t>
      </w:r>
      <w:r w:rsidRPr="003A1B04">
        <w:rPr>
          <w:rFonts w:ascii="Arial Narrow" w:hAnsi="Arial Narrow" w:cs="Arial"/>
          <w:i/>
          <w:sz w:val="24"/>
          <w:szCs w:val="24"/>
        </w:rPr>
        <w:tab/>
        <w:t>cuando se impugne una resolución dictada con motivo de las reclamaciones previstas en la Ley de Responsabilidad Patrimonial del Estado.</w:t>
      </w:r>
    </w:p>
    <w:p w14:paraId="2D7EFE0A"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34DA06DD" w14:textId="00191FE3"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Sentado lo anterior, tomó en consideración las circunstancias acaecidas dentro del procedimiento natural para señalar que el asunto versaba sobre la imposición de una tarifa al servicio comercial en la casa habitación referida por la actora; el acto negativo de conceder el beneficio fiscal contemplado en el artículo Séptimo Transitorio de la Ley de cuotas y tarifas para la prestación de servicios públicos de agua potable, drenaje, alcantarillado, saneamiento y disposición final de aguas residuales del Organismo Operador Intermunicipal de los Municipios de Cerro de San Pedro, San Luis Potosí y Soledad de Graciano Sánchez, para el ejercicio fiscal dos mil veintidós, para el pago del servicio doméstico de agua potable en la casa habitación en comento; y, conceder la</w:t>
      </w:r>
      <w:r w:rsidR="00D754B7">
        <w:rPr>
          <w:rFonts w:ascii="Arial Narrow" w:hAnsi="Arial Narrow" w:cs="Arial"/>
          <w:i/>
          <w:sz w:val="24"/>
          <w:szCs w:val="24"/>
        </w:rPr>
        <w:t xml:space="preserve"> </w:t>
      </w:r>
      <w:r w:rsidRPr="003A1B04">
        <w:rPr>
          <w:rFonts w:ascii="Arial Narrow" w:hAnsi="Arial Narrow" w:cs="Arial"/>
          <w:i/>
          <w:sz w:val="24"/>
          <w:szCs w:val="24"/>
        </w:rPr>
        <w:t>autorización para el cambio de titularidad del contrato de servicio doméstico de agua potable en el referido inmueble.</w:t>
      </w:r>
    </w:p>
    <w:p w14:paraId="2B4626E0"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3D4E2A01"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Por ello, afirmó que el asunto, evidentemente, era de cuantía indeterminada, de tal forma que su procedencia debía ser analizada, de conformidad con lo dispuesto en la fracción II del artículo 152 del Código Procesal Administrativo.</w:t>
      </w:r>
    </w:p>
    <w:p w14:paraId="7AAE3EE7"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09B01C42"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Así, puntualizó que debía analizarse si se había justificado la importancia y trascendencia del asunto, pues de no satisfacerse tales requisitos, el recurso sería improcedente.</w:t>
      </w:r>
    </w:p>
    <w:p w14:paraId="4438B8AA"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F111D6F"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Expresó que gramaticalmente “importancia” alude a la cualidad de lo importante, de lo que es muy conveniente o interesante, o de mucha entidad o consecuencia; en tanto que por “trascendencia” debe entenderse el resultado o consecuencia de índole grave o muy importante.</w:t>
      </w:r>
    </w:p>
    <w:p w14:paraId="5EA316B2"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31AA8FAB"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Agregó que, llevadas ambas acepciones al campo legal, la importancia hace referencia al asunto en sí mismo considerado, en tanto que la trascendencia gira en torno a la gravedad o a la importancia de la consecuencia del asunto, por lo se requiere satisfacer las siguientes condiciones:</w:t>
      </w:r>
    </w:p>
    <w:p w14:paraId="012BFAAE" w14:textId="77151E6E" w:rsidR="00D754B7" w:rsidRPr="00BC1450" w:rsidRDefault="00D754B7" w:rsidP="003A1B04">
      <w:pPr>
        <w:pStyle w:val="Textoindependiente"/>
        <w:spacing w:after="0" w:line="240" w:lineRule="auto"/>
        <w:ind w:left="851" w:right="680" w:hanging="23"/>
        <w:jc w:val="both"/>
        <w:rPr>
          <w:rFonts w:ascii="Arial Narrow" w:hAnsi="Arial Narrow" w:cs="Arial"/>
          <w:i/>
          <w:sz w:val="10"/>
          <w:szCs w:val="10"/>
        </w:rPr>
      </w:pPr>
    </w:p>
    <w:p w14:paraId="4D7022CF" w14:textId="0B4EE651"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1) </w:t>
      </w:r>
      <w:r w:rsidR="003A1B04" w:rsidRPr="003A1B04">
        <w:rPr>
          <w:rFonts w:ascii="Arial Narrow" w:hAnsi="Arial Narrow" w:cs="Arial"/>
          <w:i/>
          <w:sz w:val="24"/>
          <w:szCs w:val="24"/>
        </w:rPr>
        <w:t>que la naturaleza intrínseca del asunto revista un interés superlativo reflejado en la gravedad del tema, es decir, en la posible alteración o afectación de valores sociales, políticos o en general de convivencia, bienestar o estabilidad del Estado mexicano relacionados con la impartición o la administración de la justicia, y</w:t>
      </w:r>
    </w:p>
    <w:p w14:paraId="61F43E95"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p>
    <w:p w14:paraId="7211BCBB" w14:textId="5E42B7D3"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2) </w:t>
      </w:r>
      <w:r w:rsidR="003A1B04" w:rsidRPr="003A1B04">
        <w:rPr>
          <w:rFonts w:ascii="Arial Narrow" w:hAnsi="Arial Narrow" w:cs="Arial"/>
          <w:i/>
          <w:sz w:val="24"/>
          <w:szCs w:val="24"/>
        </w:rPr>
        <w:t>que el asunto tenga un carácter trascendente reflejado en lo excepcional o novedoso que entrañaría la fijación de un criterio jurídico aplicable para casos futuros o la complejidad sistemática de los mismos.</w:t>
      </w:r>
    </w:p>
    <w:p w14:paraId="2D8253A3"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525EA8F" w14:textId="12042860"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Bajo ese panorama, reiteró los temas sobre los que versaba el asunto para concluir que este no tenía un carácter extraordinario, ni una consecuencia grave, por lo que no se actualizaba la importancia, al no estarse ante un asunto de carácter excepcional, singular, inexplorado, contradictorio, complicado o sin precedentes; ni la trascendencia, por no tener consecuencias de índole grave excepcionales y de consecuencias más allá del asunto resuelto, esto es, que no sólo afecten a los contendientes en el juicio sino a los intereses de la colectividad, y por esa razón, después de invocar el criterio VI.3o.J/1, de rubro: </w:t>
      </w:r>
      <w:r w:rsidRPr="00D754B7">
        <w:rPr>
          <w:rFonts w:ascii="Arial Narrow" w:hAnsi="Arial Narrow" w:cs="Arial"/>
          <w:b/>
          <w:i/>
          <w:sz w:val="24"/>
          <w:szCs w:val="24"/>
        </w:rPr>
        <w:t>“REVISION FISCAL. CONCEPTO DE IMPORTANCIA</w:t>
      </w:r>
      <w:r w:rsidR="00D754B7" w:rsidRPr="00D754B7">
        <w:rPr>
          <w:rFonts w:ascii="Arial Narrow" w:hAnsi="Arial Narrow" w:cs="Arial"/>
          <w:b/>
          <w:i/>
          <w:sz w:val="24"/>
          <w:szCs w:val="24"/>
        </w:rPr>
        <w:t xml:space="preserve"> Y TRASCENDENCIA DEL ASUNTO.</w:t>
      </w:r>
      <w:r w:rsidR="00D754B7">
        <w:rPr>
          <w:rFonts w:ascii="Arial Narrow" w:hAnsi="Arial Narrow" w:cs="Arial"/>
          <w:i/>
          <w:sz w:val="24"/>
          <w:szCs w:val="24"/>
        </w:rPr>
        <w:t xml:space="preserve">”, </w:t>
      </w:r>
      <w:r w:rsidRPr="003A1B04">
        <w:rPr>
          <w:rFonts w:ascii="Arial Narrow" w:hAnsi="Arial Narrow" w:cs="Arial"/>
          <w:i/>
          <w:sz w:val="24"/>
          <w:szCs w:val="24"/>
        </w:rPr>
        <w:t>declaró improcedente el recurso de apelación, precisando que, de los agravios, no se advertía que se hiciera valer algún razonamiento sobre la importancia y trascendencia</w:t>
      </w:r>
      <w:r w:rsidR="00D754B7">
        <w:rPr>
          <w:rFonts w:ascii="Arial Narrow" w:hAnsi="Arial Narrow" w:cs="Arial"/>
          <w:i/>
          <w:sz w:val="24"/>
          <w:szCs w:val="24"/>
        </w:rPr>
        <w:t xml:space="preserve"> </w:t>
      </w:r>
      <w:r w:rsidRPr="003A1B04">
        <w:rPr>
          <w:rFonts w:ascii="Arial Narrow" w:hAnsi="Arial Narrow" w:cs="Arial"/>
          <w:i/>
          <w:sz w:val="24"/>
          <w:szCs w:val="24"/>
        </w:rPr>
        <w:t>del asunto.</w:t>
      </w:r>
    </w:p>
    <w:p w14:paraId="5AA44FC8"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103B5BB" w14:textId="1EF63D45" w:rsidR="003A1B04" w:rsidRPr="00D754B7" w:rsidRDefault="00233BA7" w:rsidP="003A1B04">
      <w:pPr>
        <w:pStyle w:val="Textoindependiente"/>
        <w:spacing w:after="0" w:line="240" w:lineRule="auto"/>
        <w:ind w:left="851" w:right="680" w:hanging="23"/>
        <w:jc w:val="both"/>
        <w:rPr>
          <w:rFonts w:ascii="Arial Narrow" w:hAnsi="Arial Narrow" w:cs="Arial"/>
          <w:b/>
          <w:i/>
          <w:sz w:val="24"/>
          <w:szCs w:val="24"/>
        </w:rPr>
      </w:pPr>
      <w:r>
        <w:rPr>
          <w:rFonts w:ascii="Arial Narrow" w:hAnsi="Arial Narrow" w:cs="Arial"/>
          <w:b/>
          <w:i/>
          <w:sz w:val="24"/>
          <w:szCs w:val="24"/>
        </w:rPr>
        <w:t xml:space="preserve">B. </w:t>
      </w:r>
      <w:r w:rsidR="003A1B04" w:rsidRPr="00D754B7">
        <w:rPr>
          <w:rFonts w:ascii="Arial Narrow" w:hAnsi="Arial Narrow" w:cs="Arial"/>
          <w:b/>
          <w:i/>
          <w:sz w:val="24"/>
          <w:szCs w:val="24"/>
        </w:rPr>
        <w:t>Obligación de este Tribunal de realizar control concentrado de constitucionalidad ex officio.</w:t>
      </w:r>
    </w:p>
    <w:p w14:paraId="465F8CD7"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5AAB0000"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Es menester resaltar que el juicio de amparo no es una instancia más de los procedimientos jurisdiccionales ordinarios, sino un juicio constitucional con una </w:t>
      </w:r>
      <w:proofErr w:type="spellStart"/>
      <w:r w:rsidRPr="003A1B04">
        <w:rPr>
          <w:rFonts w:ascii="Arial Narrow" w:hAnsi="Arial Narrow" w:cs="Arial"/>
          <w:i/>
          <w:sz w:val="24"/>
          <w:szCs w:val="24"/>
        </w:rPr>
        <w:t>litis</w:t>
      </w:r>
      <w:proofErr w:type="spellEnd"/>
      <w:r w:rsidRPr="003A1B04">
        <w:rPr>
          <w:rFonts w:ascii="Arial Narrow" w:hAnsi="Arial Narrow" w:cs="Arial"/>
          <w:i/>
          <w:sz w:val="24"/>
          <w:szCs w:val="24"/>
        </w:rPr>
        <w:t xml:space="preserve"> y estructura procesal propias, distintas de los actos reclamados y en este juicio no se reasume la jurisdicción de las autoridades ordinarias, sino que se trata de un proceso constitucional excepcional, en el que se revisa la constitucionalidad de los actos reclamados y, en su caso, se ordena a la autoridad realizar las acciones necesarias para reparar o compensar las violaciones advertidas.</w:t>
      </w:r>
    </w:p>
    <w:p w14:paraId="6D2BEF6A"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98CB988"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Así, para dar cumplimiento, en el amparo directo, al deber de respetar, proteger, garantizar, promover y prevenir violaciones a los derechos humanos previstos en el artículo 1º Constitucional, este Tribunal debe realizar control ex officio de constitucionalidad no sólo de las normas procesales que regulan su actuación, sino también de las normas sustantivas o procesales aplicadas en el acto reclamado.</w:t>
      </w:r>
    </w:p>
    <w:p w14:paraId="36B67258"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7F4A8C95" w14:textId="4DBF5581"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Pues si este Tribunal tiene el deber de evitar violaciones a derechos humanos en el ejercicio de su competencia, cuando este órgano colegiado advierta que en el acto reclamado se aplicaron normas inconstitucionales, tiene el</w:t>
      </w:r>
      <w:r w:rsidR="00D754B7">
        <w:rPr>
          <w:rFonts w:ascii="Arial Narrow" w:hAnsi="Arial Narrow" w:cs="Arial"/>
          <w:i/>
          <w:sz w:val="24"/>
          <w:szCs w:val="24"/>
        </w:rPr>
        <w:t xml:space="preserve"> </w:t>
      </w:r>
      <w:r w:rsidRPr="003A1B04">
        <w:rPr>
          <w:rFonts w:ascii="Arial Narrow" w:hAnsi="Arial Narrow" w:cs="Arial"/>
          <w:i/>
          <w:sz w:val="24"/>
          <w:szCs w:val="24"/>
        </w:rPr>
        <w:t>deber de evitar ordenar a la autoridad responsable aplicar esas normas o de convalidar la aplicación efectuada por ésta en dicho acto, incluso si no fue alegado en conceptos de violación o si no existe motivo de suplencia.</w:t>
      </w:r>
    </w:p>
    <w:p w14:paraId="6A00342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4DD981B"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Asimismo, debe considerarse que el control ex officio sólo debe hacerse cuando sea claro que la norma en cuestión es violatoria de derechos humanos en sentido estricto, y teniendo en cuenta que todo acto de no aplicación de una norma tiene también un costo para los derechos </w:t>
      </w:r>
      <w:r w:rsidRPr="003A1B04">
        <w:rPr>
          <w:rFonts w:ascii="Arial Narrow" w:hAnsi="Arial Narrow" w:cs="Arial"/>
          <w:i/>
          <w:sz w:val="24"/>
          <w:szCs w:val="24"/>
        </w:rPr>
        <w:lastRenderedPageBreak/>
        <w:t>humanos, pues implica debilitar la eficacia de su principal garantía institucional: la vigencia y eficacia del sistema jurídico.</w:t>
      </w:r>
    </w:p>
    <w:p w14:paraId="642118C7"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64C06361"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En el entendido de que este control se realiza incidentalmente, sin necesidad de abrir autos por cuerda separada, y en el marco de las regulaciones procesales del juicio de amparo directo.</w:t>
      </w:r>
    </w:p>
    <w:p w14:paraId="43B17F51"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0B6E22AB"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Por ello, las normas objeto de control no pueden constituir actos reclamados destacados; el resultado del control no debe lugar a la emisión de un punto resolutivo específico; y en su caso, los efectos de estimar inconstitucional alguna norma se limitan a su no aplicación en el acto reclamado, sin emitir declaratoria de invalidez alguna ni extender sus efectos a actos futuros de aplicación.</w:t>
      </w:r>
    </w:p>
    <w:p w14:paraId="1B349E3D"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5B720517" w14:textId="19A5E2FE"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Lo anterior se advierte de la parte conducente de la ejecutoria relativa a la Contradicción de tesis 351/2014, resuelta el veintiocho de </w:t>
      </w:r>
      <w:r w:rsidR="00D754B7">
        <w:rPr>
          <w:rFonts w:ascii="Arial Narrow" w:hAnsi="Arial Narrow" w:cs="Arial"/>
          <w:i/>
          <w:sz w:val="24"/>
          <w:szCs w:val="24"/>
        </w:rPr>
        <w:t xml:space="preserve">septiembre de dos mil veintiuno </w:t>
      </w:r>
      <w:r w:rsidRPr="003A1B04">
        <w:rPr>
          <w:rFonts w:ascii="Arial Narrow" w:hAnsi="Arial Narrow" w:cs="Arial"/>
          <w:i/>
          <w:sz w:val="24"/>
          <w:szCs w:val="24"/>
        </w:rPr>
        <w:t>por el Pleno de la Suprema Corte de Justicia de la Nación, del siguiente tenor:</w:t>
      </w:r>
    </w:p>
    <w:p w14:paraId="403A32ED"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13C07356" w14:textId="77777777" w:rsidR="003A1B04" w:rsidRPr="003A1B04" w:rsidRDefault="003A1B04" w:rsidP="00D754B7">
      <w:pPr>
        <w:pStyle w:val="Textoindependiente"/>
        <w:tabs>
          <w:tab w:val="left" w:pos="6804"/>
        </w:tabs>
        <w:spacing w:after="0" w:line="240" w:lineRule="auto"/>
        <w:ind w:left="1276" w:right="1185"/>
        <w:jc w:val="both"/>
        <w:rPr>
          <w:rFonts w:ascii="Arial Narrow" w:hAnsi="Arial Narrow" w:cs="Arial"/>
          <w:i/>
          <w:sz w:val="24"/>
          <w:szCs w:val="24"/>
        </w:rPr>
      </w:pPr>
      <w:r w:rsidRPr="003A1B04">
        <w:rPr>
          <w:rFonts w:ascii="Arial Narrow" w:hAnsi="Arial Narrow" w:cs="Arial"/>
          <w:i/>
          <w:sz w:val="24"/>
          <w:szCs w:val="24"/>
        </w:rPr>
        <w:t>“(…)</w:t>
      </w:r>
    </w:p>
    <w:p w14:paraId="5915576C" w14:textId="1DE4C72E" w:rsidR="003A1B04" w:rsidRPr="003A1B04" w:rsidRDefault="00D754B7" w:rsidP="00D754B7">
      <w:pPr>
        <w:pStyle w:val="Textoindependiente"/>
        <w:tabs>
          <w:tab w:val="left" w:pos="6804"/>
        </w:tabs>
        <w:spacing w:after="0" w:line="240" w:lineRule="auto"/>
        <w:ind w:left="1276" w:right="1185"/>
        <w:jc w:val="both"/>
        <w:rPr>
          <w:rFonts w:ascii="Arial Narrow" w:hAnsi="Arial Narrow" w:cs="Arial"/>
          <w:i/>
          <w:sz w:val="24"/>
          <w:szCs w:val="24"/>
        </w:rPr>
      </w:pPr>
      <w:r>
        <w:rPr>
          <w:rFonts w:ascii="Arial Narrow" w:hAnsi="Arial Narrow" w:cs="Arial"/>
          <w:i/>
          <w:sz w:val="24"/>
          <w:szCs w:val="24"/>
        </w:rPr>
        <w:t>171.</w:t>
      </w:r>
      <w:r w:rsidR="003A1B04" w:rsidRPr="003A1B04">
        <w:rPr>
          <w:rFonts w:ascii="Arial Narrow" w:hAnsi="Arial Narrow" w:cs="Arial"/>
          <w:i/>
          <w:sz w:val="24"/>
          <w:szCs w:val="24"/>
        </w:rPr>
        <w:t xml:space="preserve">En este sentido, es cierto que el juicio de amparo no es una instancia más de los procedimientos jurisdiccionales ordinarios, sino un juicio constitucional con una </w:t>
      </w:r>
      <w:proofErr w:type="spellStart"/>
      <w:r w:rsidR="003A1B04" w:rsidRPr="003A1B04">
        <w:rPr>
          <w:rFonts w:ascii="Arial Narrow" w:hAnsi="Arial Narrow" w:cs="Arial"/>
          <w:i/>
          <w:sz w:val="24"/>
          <w:szCs w:val="24"/>
        </w:rPr>
        <w:t>litis</w:t>
      </w:r>
      <w:proofErr w:type="spellEnd"/>
      <w:r w:rsidR="003A1B04" w:rsidRPr="003A1B04">
        <w:rPr>
          <w:rFonts w:ascii="Arial Narrow" w:hAnsi="Arial Narrow" w:cs="Arial"/>
          <w:i/>
          <w:sz w:val="24"/>
          <w:szCs w:val="24"/>
        </w:rPr>
        <w:t xml:space="preserve"> y estructura procesal propias, distintas de las de los actos reclamados, y que en el juicio de amparo no se reasume la jurisdicción de las autoridades ordinarias, sino que se trata de un juicio constitucional excepcional en el que se revisa la constitucionalidad de los actos reclamados y, en su caso, se ordena a la autoridad realizar las acciones necesarias para reparar –o compensar– las violaciones advertidas.</w:t>
      </w:r>
    </w:p>
    <w:p w14:paraId="22C7B862" w14:textId="77777777" w:rsidR="003A1B04" w:rsidRPr="00BC1450" w:rsidRDefault="003A1B04" w:rsidP="00BC1450">
      <w:pPr>
        <w:pStyle w:val="Textoindependiente"/>
        <w:spacing w:after="0" w:line="240" w:lineRule="auto"/>
        <w:ind w:left="851" w:right="680" w:hanging="23"/>
        <w:jc w:val="both"/>
        <w:rPr>
          <w:rFonts w:ascii="Arial Narrow" w:hAnsi="Arial Narrow" w:cs="Arial"/>
          <w:i/>
          <w:sz w:val="10"/>
          <w:szCs w:val="10"/>
        </w:rPr>
      </w:pPr>
    </w:p>
    <w:p w14:paraId="62F93B86" w14:textId="325339DA" w:rsidR="003A1B04" w:rsidRPr="003A1B04" w:rsidRDefault="00D754B7" w:rsidP="00D754B7">
      <w:pPr>
        <w:pStyle w:val="Textoindependiente"/>
        <w:tabs>
          <w:tab w:val="left" w:pos="6804"/>
        </w:tabs>
        <w:spacing w:after="0" w:line="240" w:lineRule="auto"/>
        <w:ind w:left="1276" w:right="1185"/>
        <w:jc w:val="both"/>
        <w:rPr>
          <w:rFonts w:ascii="Arial Narrow" w:hAnsi="Arial Narrow" w:cs="Arial"/>
          <w:i/>
          <w:sz w:val="24"/>
          <w:szCs w:val="24"/>
        </w:rPr>
      </w:pPr>
      <w:r>
        <w:rPr>
          <w:rFonts w:ascii="Arial Narrow" w:hAnsi="Arial Narrow" w:cs="Arial"/>
          <w:i/>
          <w:sz w:val="24"/>
          <w:szCs w:val="24"/>
        </w:rPr>
        <w:t>172.</w:t>
      </w:r>
      <w:r w:rsidR="003A1B04" w:rsidRPr="003A1B04">
        <w:rPr>
          <w:rFonts w:ascii="Arial Narrow" w:hAnsi="Arial Narrow" w:cs="Arial"/>
          <w:i/>
          <w:sz w:val="24"/>
          <w:szCs w:val="24"/>
        </w:rPr>
        <w:t>Sin embargo, a juicio de este Tribunal Pleno ello no es una razón para limitar el alcance del deber de realizar control ex officio de constitucionalidad, porque el artículo 1o. constitucional, como ya se dijo, establece el deber de los tribunales de amparo de evitar violaciones a derechos humanos en el ejercicio de su competencia y, en este sentido, si los tribunales de amparo advierten, cuando conocen del juicio de amparo, que en el acto reclamado se aplicaron normas inconstitucionales, entonces, a partir de lo dispuesto en el artículo 1o. constitucional tienen el deber de evitar ordenar a la autoridad responsable aplicar esas normas o de convalidar la aplicación efectuada por ésta en los actos reclamados, incluso si no fue alegado en conceptos de violación o existe motivo de suplencia.</w:t>
      </w:r>
    </w:p>
    <w:p w14:paraId="0E6D7F2A" w14:textId="77777777" w:rsidR="003A1B04" w:rsidRPr="00BC1450" w:rsidRDefault="003A1B04" w:rsidP="00BC1450">
      <w:pPr>
        <w:pStyle w:val="Textoindependiente"/>
        <w:spacing w:after="0" w:line="240" w:lineRule="auto"/>
        <w:ind w:left="851" w:right="680" w:hanging="23"/>
        <w:jc w:val="both"/>
        <w:rPr>
          <w:rFonts w:ascii="Arial Narrow" w:hAnsi="Arial Narrow" w:cs="Arial"/>
          <w:i/>
          <w:sz w:val="10"/>
          <w:szCs w:val="10"/>
        </w:rPr>
      </w:pPr>
    </w:p>
    <w:p w14:paraId="19B42EEC" w14:textId="3674CBF2" w:rsidR="003A1B04" w:rsidRPr="003A1B04" w:rsidRDefault="00D754B7" w:rsidP="00D754B7">
      <w:pPr>
        <w:pStyle w:val="Textoindependiente"/>
        <w:tabs>
          <w:tab w:val="left" w:pos="6804"/>
        </w:tabs>
        <w:spacing w:after="0" w:line="240" w:lineRule="auto"/>
        <w:ind w:left="1276" w:right="1185"/>
        <w:jc w:val="both"/>
        <w:rPr>
          <w:rFonts w:ascii="Arial Narrow" w:hAnsi="Arial Narrow" w:cs="Arial"/>
          <w:i/>
          <w:sz w:val="24"/>
          <w:szCs w:val="24"/>
        </w:rPr>
      </w:pPr>
      <w:r>
        <w:rPr>
          <w:rFonts w:ascii="Arial Narrow" w:hAnsi="Arial Narrow" w:cs="Arial"/>
          <w:i/>
          <w:sz w:val="24"/>
          <w:szCs w:val="24"/>
        </w:rPr>
        <w:t>173</w:t>
      </w:r>
      <w:proofErr w:type="gramStart"/>
      <w:r>
        <w:rPr>
          <w:rFonts w:ascii="Arial Narrow" w:hAnsi="Arial Narrow" w:cs="Arial"/>
          <w:i/>
          <w:sz w:val="24"/>
          <w:szCs w:val="24"/>
        </w:rPr>
        <w:t>.</w:t>
      </w:r>
      <w:r w:rsidR="003A1B04" w:rsidRPr="003A1B04">
        <w:rPr>
          <w:rFonts w:ascii="Arial Narrow" w:hAnsi="Arial Narrow" w:cs="Arial"/>
          <w:i/>
          <w:sz w:val="24"/>
          <w:szCs w:val="24"/>
        </w:rPr>
        <w:t>De</w:t>
      </w:r>
      <w:proofErr w:type="gramEnd"/>
      <w:r w:rsidR="003A1B04" w:rsidRPr="003A1B04">
        <w:rPr>
          <w:rFonts w:ascii="Arial Narrow" w:hAnsi="Arial Narrow" w:cs="Arial"/>
          <w:i/>
          <w:sz w:val="24"/>
          <w:szCs w:val="24"/>
        </w:rPr>
        <w:t xml:space="preserve"> lo contrario, violarían el deber de evitar violaciones a los derechos humanos en el ejercicio de su competencia al conocer del juicio de amparo, deber que está categóricamente previsto en el artículo 1o. constitucional.</w:t>
      </w:r>
    </w:p>
    <w:p w14:paraId="3078E435" w14:textId="77777777" w:rsidR="003A1B04" w:rsidRPr="003A1B04" w:rsidRDefault="003A1B04" w:rsidP="00D754B7">
      <w:pPr>
        <w:pStyle w:val="Textoindependiente"/>
        <w:tabs>
          <w:tab w:val="left" w:pos="6804"/>
        </w:tabs>
        <w:spacing w:after="0" w:line="240" w:lineRule="auto"/>
        <w:ind w:left="1276" w:right="1185"/>
        <w:jc w:val="both"/>
        <w:rPr>
          <w:rFonts w:ascii="Arial Narrow" w:hAnsi="Arial Narrow" w:cs="Arial"/>
          <w:i/>
          <w:sz w:val="24"/>
          <w:szCs w:val="24"/>
        </w:rPr>
      </w:pPr>
      <w:r w:rsidRPr="003A1B04">
        <w:rPr>
          <w:rFonts w:ascii="Arial Narrow" w:hAnsi="Arial Narrow" w:cs="Arial"/>
          <w:i/>
          <w:sz w:val="24"/>
          <w:szCs w:val="24"/>
        </w:rPr>
        <w:t>(…)</w:t>
      </w:r>
    </w:p>
    <w:p w14:paraId="0F2872A7" w14:textId="77777777" w:rsidR="00BC1450" w:rsidRPr="00BC1450" w:rsidRDefault="00BC1450" w:rsidP="00BC1450">
      <w:pPr>
        <w:pStyle w:val="Textoindependiente"/>
        <w:spacing w:after="0" w:line="240" w:lineRule="auto"/>
        <w:ind w:left="851" w:right="680" w:hanging="23"/>
        <w:jc w:val="both"/>
        <w:rPr>
          <w:rFonts w:ascii="Arial Narrow" w:hAnsi="Arial Narrow" w:cs="Arial"/>
          <w:i/>
          <w:sz w:val="10"/>
          <w:szCs w:val="10"/>
        </w:rPr>
      </w:pPr>
    </w:p>
    <w:p w14:paraId="28D7A23E" w14:textId="33B70E42" w:rsidR="003A1B04" w:rsidRPr="003A1B04" w:rsidRDefault="00D754B7" w:rsidP="00D754B7">
      <w:pPr>
        <w:pStyle w:val="Textoindependiente"/>
        <w:tabs>
          <w:tab w:val="left" w:pos="6804"/>
        </w:tabs>
        <w:spacing w:after="0" w:line="240" w:lineRule="auto"/>
        <w:ind w:left="1276" w:right="1185"/>
        <w:jc w:val="both"/>
        <w:rPr>
          <w:rFonts w:ascii="Arial Narrow" w:hAnsi="Arial Narrow" w:cs="Arial"/>
          <w:i/>
          <w:sz w:val="24"/>
          <w:szCs w:val="24"/>
        </w:rPr>
      </w:pPr>
      <w:r>
        <w:rPr>
          <w:rFonts w:ascii="Arial Narrow" w:hAnsi="Arial Narrow" w:cs="Arial"/>
          <w:i/>
          <w:sz w:val="24"/>
          <w:szCs w:val="24"/>
        </w:rPr>
        <w:t>205.</w:t>
      </w:r>
      <w:r w:rsidR="003A1B04" w:rsidRPr="003A1B04">
        <w:rPr>
          <w:rFonts w:ascii="Arial Narrow" w:hAnsi="Arial Narrow" w:cs="Arial"/>
          <w:i/>
          <w:sz w:val="24"/>
          <w:szCs w:val="24"/>
        </w:rPr>
        <w:t xml:space="preserve">Por ello, esta Suprema Corte estima necesario abandonar el criterio sostenido en el precedente en cuestión, pues para dar cumplimiento en el amparo directo al deber de respetar, proteger, garantizar, promover y prevenir violaciones a los derechos humanos previsto en el artículo 1o. constitucional, el Tribunal Colegiado debe realizar control ex officio de constitucionalidad no sólo de las normas procesales que </w:t>
      </w:r>
      <w:r w:rsidR="003A1B04" w:rsidRPr="003A1B04">
        <w:rPr>
          <w:rFonts w:ascii="Arial Narrow" w:hAnsi="Arial Narrow" w:cs="Arial"/>
          <w:i/>
          <w:sz w:val="24"/>
          <w:szCs w:val="24"/>
        </w:rPr>
        <w:lastRenderedPageBreak/>
        <w:t>regulan su actuación, sino también de las normas sustantivas o procesales aplicadas en el acto reclamado.</w:t>
      </w:r>
    </w:p>
    <w:p w14:paraId="7377E7F5" w14:textId="77777777" w:rsidR="003A1B04" w:rsidRPr="00BC1450" w:rsidRDefault="003A1B04" w:rsidP="00BC1450">
      <w:pPr>
        <w:pStyle w:val="Textoindependiente"/>
        <w:spacing w:after="0" w:line="240" w:lineRule="auto"/>
        <w:ind w:left="851" w:right="680" w:hanging="23"/>
        <w:jc w:val="both"/>
        <w:rPr>
          <w:rFonts w:ascii="Arial Narrow" w:hAnsi="Arial Narrow" w:cs="Arial"/>
          <w:i/>
          <w:sz w:val="10"/>
          <w:szCs w:val="10"/>
        </w:rPr>
      </w:pPr>
    </w:p>
    <w:p w14:paraId="2798639D" w14:textId="006AFA32" w:rsidR="003A1B04" w:rsidRPr="003A1B04" w:rsidRDefault="00D754B7" w:rsidP="00D754B7">
      <w:pPr>
        <w:pStyle w:val="Textoindependiente"/>
        <w:tabs>
          <w:tab w:val="left" w:pos="6804"/>
        </w:tabs>
        <w:spacing w:after="0" w:line="240" w:lineRule="auto"/>
        <w:ind w:left="1276" w:right="1185"/>
        <w:jc w:val="both"/>
        <w:rPr>
          <w:rFonts w:ascii="Arial Narrow" w:hAnsi="Arial Narrow" w:cs="Arial"/>
          <w:i/>
          <w:sz w:val="24"/>
          <w:szCs w:val="24"/>
        </w:rPr>
      </w:pPr>
      <w:r>
        <w:rPr>
          <w:rFonts w:ascii="Arial Narrow" w:hAnsi="Arial Narrow" w:cs="Arial"/>
          <w:i/>
          <w:sz w:val="24"/>
          <w:szCs w:val="24"/>
        </w:rPr>
        <w:t>206.</w:t>
      </w:r>
      <w:r w:rsidR="003A1B04" w:rsidRPr="003A1B04">
        <w:rPr>
          <w:rFonts w:ascii="Arial Narrow" w:hAnsi="Arial Narrow" w:cs="Arial"/>
          <w:i/>
          <w:sz w:val="24"/>
          <w:szCs w:val="24"/>
        </w:rPr>
        <w:t>Conclusión a la que se arriba partiendo, tanto de una noción amplia de lo que entraña aplicar una norma, lo que incluye la determinación del sentido de la disposición en cuestión; como de una lectura razonable del deber de realizar ese control previsto constitucionalmente, consistente no sólo en abstenerse de violar directamente derechos humanos, sino</w:t>
      </w:r>
      <w:r>
        <w:rPr>
          <w:rFonts w:ascii="Arial Narrow" w:hAnsi="Arial Narrow" w:cs="Arial"/>
          <w:i/>
          <w:sz w:val="24"/>
          <w:szCs w:val="24"/>
        </w:rPr>
        <w:t xml:space="preserve"> </w:t>
      </w:r>
      <w:r w:rsidR="003A1B04" w:rsidRPr="003A1B04">
        <w:rPr>
          <w:rFonts w:ascii="Arial Narrow" w:hAnsi="Arial Narrow" w:cs="Arial"/>
          <w:i/>
          <w:sz w:val="24"/>
          <w:szCs w:val="24"/>
        </w:rPr>
        <w:t>también, de causar su violación al ordenar a la autoridad responsable la aplicación de normas violatorias de derechos humanos, es decir, del deber de prevenir esas violaciones, deber previsto en el párrafo tercero del artículo 1o. constitucional que regula directamente el ejercicio de la competencia de los Tribunales Colegiados para hacer control constitucional.</w:t>
      </w:r>
    </w:p>
    <w:p w14:paraId="1C323AA8" w14:textId="77777777" w:rsidR="003A1B04" w:rsidRPr="003A1B04" w:rsidRDefault="003A1B04" w:rsidP="00D754B7">
      <w:pPr>
        <w:pStyle w:val="Textoindependiente"/>
        <w:tabs>
          <w:tab w:val="left" w:pos="6804"/>
        </w:tabs>
        <w:spacing w:after="0" w:line="240" w:lineRule="auto"/>
        <w:ind w:left="1276" w:right="1185"/>
        <w:jc w:val="both"/>
        <w:rPr>
          <w:rFonts w:ascii="Arial Narrow" w:hAnsi="Arial Narrow" w:cs="Arial"/>
          <w:i/>
          <w:sz w:val="24"/>
          <w:szCs w:val="24"/>
        </w:rPr>
      </w:pPr>
      <w:r w:rsidRPr="003A1B04">
        <w:rPr>
          <w:rFonts w:ascii="Arial Narrow" w:hAnsi="Arial Narrow" w:cs="Arial"/>
          <w:i/>
          <w:sz w:val="24"/>
          <w:szCs w:val="24"/>
        </w:rPr>
        <w:t>(…)</w:t>
      </w:r>
    </w:p>
    <w:p w14:paraId="4E00F07C" w14:textId="74AE6A11" w:rsidR="003A1B04" w:rsidRPr="003A1B04" w:rsidRDefault="00D754B7" w:rsidP="00D754B7">
      <w:pPr>
        <w:pStyle w:val="Textoindependiente"/>
        <w:tabs>
          <w:tab w:val="left" w:pos="6804"/>
        </w:tabs>
        <w:spacing w:after="0" w:line="240" w:lineRule="auto"/>
        <w:ind w:left="1276" w:right="1185"/>
        <w:jc w:val="both"/>
        <w:rPr>
          <w:rFonts w:ascii="Arial Narrow" w:hAnsi="Arial Narrow" w:cs="Arial"/>
          <w:i/>
          <w:sz w:val="24"/>
          <w:szCs w:val="24"/>
        </w:rPr>
      </w:pPr>
      <w:r>
        <w:rPr>
          <w:rFonts w:ascii="Arial Narrow" w:hAnsi="Arial Narrow" w:cs="Arial"/>
          <w:i/>
          <w:sz w:val="24"/>
          <w:szCs w:val="24"/>
        </w:rPr>
        <w:t>218.</w:t>
      </w:r>
      <w:r w:rsidR="00271249">
        <w:rPr>
          <w:rFonts w:ascii="Arial Narrow" w:hAnsi="Arial Narrow" w:cs="Arial"/>
          <w:i/>
          <w:sz w:val="24"/>
          <w:szCs w:val="24"/>
        </w:rPr>
        <w:t xml:space="preserve"> </w:t>
      </w:r>
      <w:r w:rsidR="003A1B04" w:rsidRPr="003A1B04">
        <w:rPr>
          <w:rFonts w:ascii="Arial Narrow" w:hAnsi="Arial Narrow" w:cs="Arial"/>
          <w:i/>
          <w:sz w:val="24"/>
          <w:szCs w:val="24"/>
        </w:rPr>
        <w:t>En todo caso, si se quiere minimizar los riesgos que para la seguridad jurídica puede implicar el que se use a la ligera el control constitucional ex officio, existen otros mecanismos institucionales más adecuados, que no implican la supresión absoluta de un medio de proteger derechos humanos.</w:t>
      </w:r>
    </w:p>
    <w:p w14:paraId="15169A65" w14:textId="77777777" w:rsidR="003A1B04" w:rsidRPr="00BC1450" w:rsidRDefault="003A1B04" w:rsidP="00BC1450">
      <w:pPr>
        <w:pStyle w:val="Textoindependiente"/>
        <w:spacing w:after="0" w:line="240" w:lineRule="auto"/>
        <w:ind w:left="851" w:right="680" w:hanging="23"/>
        <w:jc w:val="both"/>
        <w:rPr>
          <w:rFonts w:ascii="Arial Narrow" w:hAnsi="Arial Narrow" w:cs="Arial"/>
          <w:i/>
          <w:sz w:val="10"/>
          <w:szCs w:val="10"/>
        </w:rPr>
      </w:pPr>
    </w:p>
    <w:p w14:paraId="1F2DC3E6" w14:textId="36D6981C" w:rsidR="003A1B04" w:rsidRPr="003A1B04" w:rsidRDefault="00D754B7" w:rsidP="00D754B7">
      <w:pPr>
        <w:pStyle w:val="Textoindependiente"/>
        <w:tabs>
          <w:tab w:val="left" w:pos="6804"/>
        </w:tabs>
        <w:spacing w:after="0" w:line="240" w:lineRule="auto"/>
        <w:ind w:left="1276" w:right="1185"/>
        <w:jc w:val="both"/>
        <w:rPr>
          <w:rFonts w:ascii="Arial Narrow" w:hAnsi="Arial Narrow" w:cs="Arial"/>
          <w:i/>
          <w:sz w:val="24"/>
          <w:szCs w:val="24"/>
        </w:rPr>
      </w:pPr>
      <w:r>
        <w:rPr>
          <w:rFonts w:ascii="Arial Narrow" w:hAnsi="Arial Narrow" w:cs="Arial"/>
          <w:i/>
          <w:sz w:val="24"/>
          <w:szCs w:val="24"/>
        </w:rPr>
        <w:t>219.</w:t>
      </w:r>
      <w:r w:rsidR="003A1B04" w:rsidRPr="003A1B04">
        <w:rPr>
          <w:rFonts w:ascii="Arial Narrow" w:hAnsi="Arial Narrow" w:cs="Arial"/>
          <w:i/>
          <w:sz w:val="24"/>
          <w:szCs w:val="24"/>
        </w:rPr>
        <w:t>Por ejemplo, mediante la formación rigurosa de operadores jurídicos en una doctrina judicial basada en un entendimiento estricto de los derechos humanos, como normas que protegen bienes básicos de las personas derivados de los principios de libertad, igualdad y dignidad, que tienen una dimensión de máxima importancia que no debe trivializarse apelando a ellos en cualquier controversia, por lo que sólo deberá hacerse control ex officio cuando sea claro que la norma en cuestión es violatoria de derechos humanos en sentido estricto y no de cualquier otra norma constitucional distinta de las que reconocen derechos humanos. Asimismo, impulsando una doctrina judicial seria del rigor y la responsabilidad con que debe efectuarse el control ex officio de constitucionalidad, esto es, sólo de manera excepcional, ante violaciones significativas de derechos humanos en sentido estricto, y teniendo en cuenta que todo acto de no aplicación de una norma tiene también un costo para los derechos humanos, pues implica debilitar la eficacia de su principal garantía institucional: la vigencia y eficacia del sistema jurídico.</w:t>
      </w:r>
    </w:p>
    <w:p w14:paraId="39C112AA" w14:textId="77777777" w:rsidR="003A1B04" w:rsidRPr="003A1B04" w:rsidRDefault="003A1B04" w:rsidP="00D754B7">
      <w:pPr>
        <w:pStyle w:val="Textoindependiente"/>
        <w:tabs>
          <w:tab w:val="left" w:pos="6804"/>
        </w:tabs>
        <w:spacing w:after="0" w:line="240" w:lineRule="auto"/>
        <w:ind w:left="1276" w:right="1185"/>
        <w:jc w:val="both"/>
        <w:rPr>
          <w:rFonts w:ascii="Arial Narrow" w:hAnsi="Arial Narrow" w:cs="Arial"/>
          <w:i/>
          <w:sz w:val="24"/>
          <w:szCs w:val="24"/>
        </w:rPr>
      </w:pPr>
      <w:r w:rsidRPr="003A1B04">
        <w:rPr>
          <w:rFonts w:ascii="Arial Narrow" w:hAnsi="Arial Narrow" w:cs="Arial"/>
          <w:i/>
          <w:sz w:val="24"/>
          <w:szCs w:val="24"/>
        </w:rPr>
        <w:t>(…)</w:t>
      </w:r>
    </w:p>
    <w:p w14:paraId="3EF5E1DE" w14:textId="5BADC4EB" w:rsidR="003A1B04" w:rsidRPr="003A1B04" w:rsidRDefault="00D754B7" w:rsidP="00D754B7">
      <w:pPr>
        <w:pStyle w:val="Textoindependiente"/>
        <w:tabs>
          <w:tab w:val="left" w:pos="6804"/>
        </w:tabs>
        <w:spacing w:after="0" w:line="240" w:lineRule="auto"/>
        <w:ind w:left="1276" w:right="1185"/>
        <w:jc w:val="both"/>
        <w:rPr>
          <w:rFonts w:ascii="Arial Narrow" w:hAnsi="Arial Narrow" w:cs="Arial"/>
          <w:i/>
          <w:sz w:val="24"/>
          <w:szCs w:val="24"/>
        </w:rPr>
      </w:pPr>
      <w:r>
        <w:rPr>
          <w:rFonts w:ascii="Arial Narrow" w:hAnsi="Arial Narrow" w:cs="Arial"/>
          <w:i/>
          <w:sz w:val="24"/>
          <w:szCs w:val="24"/>
        </w:rPr>
        <w:t>259.</w:t>
      </w:r>
      <w:r w:rsidR="003A1B04" w:rsidRPr="003A1B04">
        <w:rPr>
          <w:rFonts w:ascii="Arial Narrow" w:hAnsi="Arial Narrow" w:cs="Arial"/>
          <w:i/>
          <w:sz w:val="24"/>
          <w:szCs w:val="24"/>
        </w:rPr>
        <w:t xml:space="preserve">Por tanto, la respuesta a la interrogante que encabeza esta sección es que el objeto del control de constitucionalidad ex officio que el Poder Judicial de la Federación puede realizar al conocer del juicio de amparo directo, conforme al mandato </w:t>
      </w:r>
      <w:r w:rsidR="003A1B04" w:rsidRPr="003A1B04">
        <w:rPr>
          <w:rFonts w:ascii="Arial Narrow" w:hAnsi="Arial Narrow" w:cs="Arial"/>
          <w:i/>
          <w:sz w:val="24"/>
          <w:szCs w:val="24"/>
        </w:rPr>
        <w:lastRenderedPageBreak/>
        <w:t>del artículo 1o. constitucional, abarca tanto las normas procesales que aplican los Tribunales Colegiados al tramitar y resolver el juicio de amparo (Ley de Amparo, Código Federal de Procedimientos Civiles y Ley Orgánica del Poder Judicial de la Federación), como cualquier otra norma sustantiva o adjetiva de la que tienen conocimiento por haberse aplicado en el acto reclamado.</w:t>
      </w:r>
    </w:p>
    <w:p w14:paraId="79E6E0E1" w14:textId="77777777" w:rsidR="003A1B04" w:rsidRPr="00BC1450" w:rsidRDefault="003A1B04" w:rsidP="00BC1450">
      <w:pPr>
        <w:pStyle w:val="Textoindependiente"/>
        <w:spacing w:after="0" w:line="240" w:lineRule="auto"/>
        <w:ind w:left="851" w:right="680" w:hanging="23"/>
        <w:jc w:val="both"/>
        <w:rPr>
          <w:rFonts w:ascii="Arial Narrow" w:hAnsi="Arial Narrow" w:cs="Arial"/>
          <w:i/>
          <w:sz w:val="10"/>
          <w:szCs w:val="10"/>
        </w:rPr>
      </w:pPr>
    </w:p>
    <w:p w14:paraId="533F5487" w14:textId="1FB2749A" w:rsidR="003A1B04" w:rsidRPr="003A1B04" w:rsidRDefault="00D754B7" w:rsidP="00D754B7">
      <w:pPr>
        <w:pStyle w:val="Textoindependiente"/>
        <w:tabs>
          <w:tab w:val="left" w:pos="6804"/>
        </w:tabs>
        <w:spacing w:after="0" w:line="240" w:lineRule="auto"/>
        <w:ind w:left="1276" w:right="1185"/>
        <w:jc w:val="both"/>
        <w:rPr>
          <w:rFonts w:ascii="Arial Narrow" w:hAnsi="Arial Narrow" w:cs="Arial"/>
          <w:i/>
          <w:sz w:val="24"/>
          <w:szCs w:val="24"/>
        </w:rPr>
      </w:pPr>
      <w:r>
        <w:rPr>
          <w:rFonts w:ascii="Arial Narrow" w:hAnsi="Arial Narrow" w:cs="Arial"/>
          <w:i/>
          <w:sz w:val="24"/>
          <w:szCs w:val="24"/>
        </w:rPr>
        <w:t>260.</w:t>
      </w:r>
      <w:r w:rsidR="003A1B04" w:rsidRPr="003A1B04">
        <w:rPr>
          <w:rFonts w:ascii="Arial Narrow" w:hAnsi="Arial Narrow" w:cs="Arial"/>
          <w:i/>
          <w:sz w:val="24"/>
          <w:szCs w:val="24"/>
        </w:rPr>
        <w:t>En el entendido de que este control se realiza incidentalmente, sin necesidad de abrir autos por cuerda separada, y en el marco de las regulaciones procesales del juicio de amparo directo: es decir, las normas objeto de control no pueden constituir actos reclamados destacados; el resultado del control no da lugar a la emisión de un punto resolutivo específico y, en su caso, los efectos de estimar</w:t>
      </w:r>
      <w:r>
        <w:rPr>
          <w:rFonts w:ascii="Arial Narrow" w:hAnsi="Arial Narrow" w:cs="Arial"/>
          <w:i/>
          <w:sz w:val="24"/>
          <w:szCs w:val="24"/>
        </w:rPr>
        <w:t xml:space="preserve"> </w:t>
      </w:r>
      <w:r w:rsidR="003A1B04" w:rsidRPr="003A1B04">
        <w:rPr>
          <w:rFonts w:ascii="Arial Narrow" w:hAnsi="Arial Narrow" w:cs="Arial"/>
          <w:i/>
          <w:sz w:val="24"/>
          <w:szCs w:val="24"/>
        </w:rPr>
        <w:t>inconstitucionales las normas en cuestión se limitan a su no aplicación en el acto reclamado, sin emitir declaratoria de invalidez alguna ni extender sus efectos a actos futuros de aplicación.</w:t>
      </w:r>
    </w:p>
    <w:p w14:paraId="3F9A9FED" w14:textId="77777777" w:rsidR="003A1B04" w:rsidRPr="00BC1450" w:rsidRDefault="003A1B04" w:rsidP="00BC1450">
      <w:pPr>
        <w:pStyle w:val="Textoindependiente"/>
        <w:spacing w:after="0" w:line="240" w:lineRule="auto"/>
        <w:ind w:left="851" w:right="680" w:hanging="23"/>
        <w:jc w:val="both"/>
        <w:rPr>
          <w:rFonts w:ascii="Arial Narrow" w:hAnsi="Arial Narrow" w:cs="Arial"/>
          <w:i/>
          <w:sz w:val="10"/>
          <w:szCs w:val="10"/>
        </w:rPr>
      </w:pPr>
    </w:p>
    <w:p w14:paraId="29F61B9E" w14:textId="76E88E93" w:rsidR="003A1B04" w:rsidRPr="003A1B04" w:rsidRDefault="00D754B7" w:rsidP="00D754B7">
      <w:pPr>
        <w:pStyle w:val="Textoindependiente"/>
        <w:tabs>
          <w:tab w:val="left" w:pos="6804"/>
        </w:tabs>
        <w:spacing w:after="0" w:line="240" w:lineRule="auto"/>
        <w:ind w:left="1276" w:right="1185"/>
        <w:jc w:val="both"/>
        <w:rPr>
          <w:rFonts w:ascii="Arial Narrow" w:hAnsi="Arial Narrow" w:cs="Arial"/>
          <w:i/>
          <w:sz w:val="24"/>
          <w:szCs w:val="24"/>
        </w:rPr>
      </w:pPr>
      <w:r>
        <w:rPr>
          <w:rFonts w:ascii="Arial Narrow" w:hAnsi="Arial Narrow" w:cs="Arial"/>
          <w:i/>
          <w:sz w:val="24"/>
          <w:szCs w:val="24"/>
        </w:rPr>
        <w:t>261.</w:t>
      </w:r>
      <w:r w:rsidR="003A1B04" w:rsidRPr="003A1B04">
        <w:rPr>
          <w:rFonts w:ascii="Arial Narrow" w:hAnsi="Arial Narrow" w:cs="Arial"/>
          <w:i/>
          <w:sz w:val="24"/>
          <w:szCs w:val="24"/>
        </w:rPr>
        <w:t>Y de que, a fin de permitir a las partes conocer que el Tribunal Colegiado realizará control de constitucionalidad ex officio, éste deberá publicar previamente el proyecto de sentencia y dar vista a las partes, para que tengan la oportunidad de exponer lo que a su derecho convenga.</w:t>
      </w:r>
    </w:p>
    <w:p w14:paraId="618E520A" w14:textId="77777777" w:rsidR="003A1B04" w:rsidRPr="003A1B04" w:rsidRDefault="003A1B04" w:rsidP="00D754B7">
      <w:pPr>
        <w:pStyle w:val="Textoindependiente"/>
        <w:tabs>
          <w:tab w:val="left" w:pos="6804"/>
        </w:tabs>
        <w:spacing w:after="0" w:line="240" w:lineRule="auto"/>
        <w:ind w:left="1276" w:right="1185"/>
        <w:jc w:val="both"/>
        <w:rPr>
          <w:rFonts w:ascii="Arial Narrow" w:hAnsi="Arial Narrow" w:cs="Arial"/>
          <w:i/>
          <w:sz w:val="24"/>
          <w:szCs w:val="24"/>
        </w:rPr>
      </w:pPr>
      <w:r w:rsidRPr="003A1B04">
        <w:rPr>
          <w:rFonts w:ascii="Arial Narrow" w:hAnsi="Arial Narrow" w:cs="Arial"/>
          <w:i/>
          <w:sz w:val="24"/>
          <w:szCs w:val="24"/>
        </w:rPr>
        <w:t>(…)”</w:t>
      </w:r>
    </w:p>
    <w:p w14:paraId="6D5D21E4"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8EA0770"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Cobra aplicación la jurisprudencia P./J. 2/2022 (11a.), emanada de la Contradicción de tesis antes reseñada, que es visible en la Gaceta del Semanario Judicial de la Federación, Undécima Época, Libro 10, febrero de 2022, Tomo I, página 7, registro digital 2024159, del siguiente tenor:</w:t>
      </w:r>
    </w:p>
    <w:p w14:paraId="352C24D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798DF4B7" w14:textId="77777777" w:rsidR="003A1B04" w:rsidRPr="00D754B7" w:rsidRDefault="003A1B04" w:rsidP="00D754B7">
      <w:pPr>
        <w:pStyle w:val="Textoindependiente"/>
        <w:spacing w:after="0" w:line="240" w:lineRule="auto"/>
        <w:ind w:left="1276" w:right="1185"/>
        <w:jc w:val="both"/>
        <w:rPr>
          <w:rFonts w:ascii="Arial Narrow" w:hAnsi="Arial Narrow" w:cs="Arial"/>
          <w:b/>
          <w:i/>
          <w:sz w:val="24"/>
          <w:szCs w:val="24"/>
        </w:rPr>
      </w:pPr>
      <w:r w:rsidRPr="00D754B7">
        <w:rPr>
          <w:rFonts w:ascii="Arial Narrow" w:hAnsi="Arial Narrow" w:cs="Arial"/>
          <w:b/>
          <w:i/>
          <w:sz w:val="24"/>
          <w:szCs w:val="24"/>
        </w:rPr>
        <w:t>“CONTROL DE REGULARIDAD CONSTITUCIONAL. CONTENIDO Y ALCANCE DEL DEBER DE LOS ÓRGANOS JURISDICCIONALES DEL PODER JUDICIAL DE LA FEDERACIÓN DE REALIZARLO AL CONOCER JUICIOS DE AMPARO DIRECTO E INDIRECTO [ABANDONO DE LAS TESIS AISLADAS P. IX/2015 (10a.) Y P. X/2015 (10a.)].</w:t>
      </w:r>
    </w:p>
    <w:p w14:paraId="55F1FB8D"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3F4C3FCB" w14:textId="77777777" w:rsidR="003A1B04" w:rsidRPr="003A1B04" w:rsidRDefault="003A1B04" w:rsidP="00D754B7">
      <w:pPr>
        <w:pStyle w:val="Textoindependiente"/>
        <w:spacing w:after="0" w:line="240" w:lineRule="auto"/>
        <w:ind w:left="1276" w:right="1185"/>
        <w:jc w:val="both"/>
        <w:rPr>
          <w:rFonts w:ascii="Arial Narrow" w:hAnsi="Arial Narrow" w:cs="Arial"/>
          <w:i/>
          <w:sz w:val="24"/>
          <w:szCs w:val="24"/>
        </w:rPr>
      </w:pPr>
      <w:r w:rsidRPr="003A1B04">
        <w:rPr>
          <w:rFonts w:ascii="Arial Narrow" w:hAnsi="Arial Narrow" w:cs="Arial"/>
          <w:i/>
          <w:sz w:val="24"/>
          <w:szCs w:val="24"/>
        </w:rPr>
        <w:t>Hechos: Diversos Tribunales Colegiados de Circuito discreparon en torno al alcance del control de regularidad constitucional ex officio en el juicio de amparo, respecto a si debe limitarse a las leyes procesales que rigen el juicio de amparo (Ley de Amparo, Ley Orgánica del Poder Judicial de la Federación y Código Federal de Procedimientos Civiles) o debe incluir, también, las normas procesales y sustantivas aplicadas en el acto reclamado.</w:t>
      </w:r>
    </w:p>
    <w:p w14:paraId="6B3813FA" w14:textId="77777777" w:rsidR="003A1B04" w:rsidRPr="00BC1450" w:rsidRDefault="003A1B04" w:rsidP="00BC1450">
      <w:pPr>
        <w:pStyle w:val="Textoindependiente"/>
        <w:spacing w:after="0" w:line="240" w:lineRule="auto"/>
        <w:ind w:left="851" w:right="680" w:hanging="23"/>
        <w:jc w:val="both"/>
        <w:rPr>
          <w:rFonts w:ascii="Arial Narrow" w:hAnsi="Arial Narrow" w:cs="Arial"/>
          <w:i/>
          <w:sz w:val="10"/>
          <w:szCs w:val="10"/>
        </w:rPr>
      </w:pPr>
    </w:p>
    <w:p w14:paraId="616357BA" w14:textId="77777777" w:rsidR="003A1B04" w:rsidRPr="003A1B04" w:rsidRDefault="003A1B04" w:rsidP="00D754B7">
      <w:pPr>
        <w:pStyle w:val="Textoindependiente"/>
        <w:spacing w:after="0" w:line="240" w:lineRule="auto"/>
        <w:ind w:left="1276" w:right="1185"/>
        <w:jc w:val="both"/>
        <w:rPr>
          <w:rFonts w:ascii="Arial Narrow" w:hAnsi="Arial Narrow" w:cs="Arial"/>
          <w:i/>
          <w:sz w:val="24"/>
          <w:szCs w:val="24"/>
        </w:rPr>
      </w:pPr>
      <w:r w:rsidRPr="003A1B04">
        <w:rPr>
          <w:rFonts w:ascii="Arial Narrow" w:hAnsi="Arial Narrow" w:cs="Arial"/>
          <w:i/>
          <w:sz w:val="24"/>
          <w:szCs w:val="24"/>
        </w:rPr>
        <w:t>Criterio jurídico: Los órganos jurisdiccionales del Poder Judicial de la Federación cuando actúan en amparo directo e indirecto deben realizar control de regularidad constitucional ex officio, tanto respecto de las disposiciones procesales que regulan el juicio de amparo, como sobre las normas sustantivas y procesales que se aplicaron en el acto reclamado.</w:t>
      </w:r>
    </w:p>
    <w:p w14:paraId="3B2968CA" w14:textId="77777777" w:rsidR="003A1B04" w:rsidRPr="00BC1450" w:rsidRDefault="003A1B04" w:rsidP="00BC1450">
      <w:pPr>
        <w:pStyle w:val="Textoindependiente"/>
        <w:spacing w:after="0" w:line="240" w:lineRule="auto"/>
        <w:ind w:left="851" w:right="680" w:hanging="23"/>
        <w:jc w:val="both"/>
        <w:rPr>
          <w:rFonts w:ascii="Arial Narrow" w:hAnsi="Arial Narrow" w:cs="Arial"/>
          <w:i/>
          <w:sz w:val="10"/>
          <w:szCs w:val="10"/>
        </w:rPr>
      </w:pPr>
    </w:p>
    <w:p w14:paraId="41815F23" w14:textId="1617B2C5" w:rsidR="003A1B04" w:rsidRPr="003A1B04" w:rsidRDefault="003A1B04" w:rsidP="00D754B7">
      <w:pPr>
        <w:pStyle w:val="Textoindependiente"/>
        <w:spacing w:after="0" w:line="240" w:lineRule="auto"/>
        <w:ind w:left="1276" w:right="1185"/>
        <w:jc w:val="both"/>
        <w:rPr>
          <w:rFonts w:ascii="Arial Narrow" w:hAnsi="Arial Narrow" w:cs="Arial"/>
          <w:i/>
          <w:sz w:val="24"/>
          <w:szCs w:val="24"/>
        </w:rPr>
      </w:pPr>
      <w:r w:rsidRPr="003A1B04">
        <w:rPr>
          <w:rFonts w:ascii="Arial Narrow" w:hAnsi="Arial Narrow" w:cs="Arial"/>
          <w:i/>
          <w:sz w:val="24"/>
          <w:szCs w:val="24"/>
        </w:rPr>
        <w:t>Justificación: Conforme a lo dispuesto en los artículos 1o., 103 y 133 de la Constitución General, así como a lo resuelto por el Tribunal Pleno de la Suprema Corte de Justicia de la</w:t>
      </w:r>
      <w:r w:rsidR="00D754B7">
        <w:rPr>
          <w:rFonts w:ascii="Arial Narrow" w:hAnsi="Arial Narrow" w:cs="Arial"/>
          <w:i/>
          <w:sz w:val="24"/>
          <w:szCs w:val="24"/>
        </w:rPr>
        <w:t xml:space="preserve"> </w:t>
      </w:r>
      <w:r w:rsidRPr="003A1B04">
        <w:rPr>
          <w:rFonts w:ascii="Arial Narrow" w:hAnsi="Arial Narrow" w:cs="Arial"/>
          <w:i/>
          <w:sz w:val="24"/>
          <w:szCs w:val="24"/>
        </w:rPr>
        <w:t xml:space="preserve">Nación al resolver el expediente varios 912/2010, el control de </w:t>
      </w:r>
      <w:r w:rsidRPr="003A1B04">
        <w:rPr>
          <w:rFonts w:ascii="Arial Narrow" w:hAnsi="Arial Narrow" w:cs="Arial"/>
          <w:i/>
          <w:sz w:val="24"/>
          <w:szCs w:val="24"/>
        </w:rPr>
        <w:lastRenderedPageBreak/>
        <w:t>regularidad constitucional debe realizarse por los Juzgados de Distrito y los Tribunales Colegiados de Circuito, en el ámbito de sus competencias y procedimientos. Así, de una nueva reflexión, este Tribunal Pleno considera necesario abandonar el criterio reflejado en las tesis aisladas P. IX/2015 (10a.) y P. X/2015 (10a.), de títulos y subtítulos: "CONTROL DE REGULARIDAD CONSTITUCIONAL EX OFFICIO. LOS TRIBUNALES COLEGIADOS DE CIRCUITO DEBEN EJERCERLO SÓLO EN EL ÁMBITO DE SU COMPETENCIA.” y "CONTROL DE REGULARIDAD CONSTITUCIONAL EX OFFICIO. LOS TRIBUNALES COLEGIADOS DE CIRCUITO NO ESTÁN FACULTADOS PARA EJERCERLO RESPECTO DE NORMAS QUE RIGEN</w:t>
      </w:r>
      <w:r w:rsidR="00D754B7">
        <w:rPr>
          <w:rFonts w:ascii="Arial Narrow" w:hAnsi="Arial Narrow" w:cs="Arial"/>
          <w:i/>
          <w:sz w:val="24"/>
          <w:szCs w:val="24"/>
        </w:rPr>
        <w:t xml:space="preserve"> </w:t>
      </w:r>
      <w:r w:rsidRPr="003A1B04">
        <w:rPr>
          <w:rFonts w:ascii="Arial Narrow" w:hAnsi="Arial Narrow" w:cs="Arial"/>
          <w:i/>
          <w:sz w:val="24"/>
          <w:szCs w:val="24"/>
        </w:rPr>
        <w:t>EL JUICIO DE ORIGEN.", porque dichos órganos jurisdiccionales, para dar cumplimiento al mandato constitucional de proteger, respetar y prevenir violaciones a los derechos humanos previsto en el artículo 1o. constitucional, deben realizar control ex officio tanto sobre las disposiciones procesales que regulan el juicio de amparo, directo e indirecto (Ley de Amparo, Ley Orgánica del Poder Judicial de la Federación y Código Federal de Procedimientos Civiles, supletorio de la Ley de Amparo), como sobre cualesquiera disposiciones aplicadas en los actos reclamados cuya constitucionalidad revisan en el juicio constitucional. Lo anterior, porque se estima que el ejercicio de ese control es necesario para proteger los derechos humanos reconocidos constitucionalmente; es compatible con razones de seguridad jurídica porque no interfiere con el funcionamiento de instituciones como la preclusión o la cosa juzgada; y armoniza con el funcionamiento del sistema, ya que respeta el régimen federal y la distribución de competencias entre los órganos jurisdiccionales; en el entendido de que el resultado de ese control se limita a la inaplicación de normas generales en el acto concreto de aplicación sin generar efectos futuros y de que, cuando ese control lo realice el Tribunal Colegiado de Circuito, tanto en amparo directo como indirecto en revisión, con fundamento en los artículos 64, párrafo segundo, y 73, párrafo segundo, de la Ley de Amparo, aplicables por identidad de razón, y con la finalidad de permitir a las partes conocer la realización del control de regularidad constitucional ex officio, éste deberá publicar previamente el proyecto de sentencia y dar vista a las partes, para que tengan la oportunidad de exponer lo que a su derecho convenga.”</w:t>
      </w:r>
    </w:p>
    <w:p w14:paraId="74F2719F"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BDCE93E" w14:textId="6D6EDAED"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Del mismo modo, es aplicable la jurisprudencia 1a</w:t>
      </w:r>
      <w:proofErr w:type="gramStart"/>
      <w:r w:rsidRPr="003A1B04">
        <w:rPr>
          <w:rFonts w:ascii="Arial Narrow" w:hAnsi="Arial Narrow" w:cs="Arial"/>
          <w:i/>
          <w:sz w:val="24"/>
          <w:szCs w:val="24"/>
        </w:rPr>
        <w:t>./</w:t>
      </w:r>
      <w:proofErr w:type="gramEnd"/>
      <w:r w:rsidRPr="003A1B04">
        <w:rPr>
          <w:rFonts w:ascii="Arial Narrow" w:hAnsi="Arial Narrow" w:cs="Arial"/>
          <w:i/>
          <w:sz w:val="24"/>
          <w:szCs w:val="24"/>
        </w:rPr>
        <w:t>J. 103/2022 (11a.), de la extinta Primera Sala del Alto Tribunal, consultable en la Gaceta del Semanario Judicial de la Federación, Undécima Época, Libro 15, Julio de</w:t>
      </w:r>
      <w:r w:rsidR="00D754B7">
        <w:rPr>
          <w:rFonts w:ascii="Arial Narrow" w:hAnsi="Arial Narrow" w:cs="Arial"/>
          <w:i/>
          <w:sz w:val="24"/>
          <w:szCs w:val="24"/>
        </w:rPr>
        <w:t xml:space="preserve"> </w:t>
      </w:r>
    </w:p>
    <w:p w14:paraId="54ECB069"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2022, Tomo II, página 1885, </w:t>
      </w:r>
      <w:proofErr w:type="gramStart"/>
      <w:r w:rsidRPr="003A1B04">
        <w:rPr>
          <w:rFonts w:ascii="Arial Narrow" w:hAnsi="Arial Narrow" w:cs="Arial"/>
          <w:i/>
          <w:sz w:val="24"/>
          <w:szCs w:val="24"/>
        </w:rPr>
        <w:t>registro</w:t>
      </w:r>
      <w:proofErr w:type="gramEnd"/>
      <w:r w:rsidRPr="003A1B04">
        <w:rPr>
          <w:rFonts w:ascii="Arial Narrow" w:hAnsi="Arial Narrow" w:cs="Arial"/>
          <w:i/>
          <w:sz w:val="24"/>
          <w:szCs w:val="24"/>
        </w:rPr>
        <w:t xml:space="preserve"> digital 2024990, que dispone:</w:t>
      </w:r>
    </w:p>
    <w:p w14:paraId="1738918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7033924D" w14:textId="77777777" w:rsidR="003A1B04" w:rsidRPr="00D754B7" w:rsidRDefault="003A1B04" w:rsidP="00D754B7">
      <w:pPr>
        <w:pStyle w:val="Textoindependiente"/>
        <w:tabs>
          <w:tab w:val="left" w:pos="6804"/>
        </w:tabs>
        <w:spacing w:after="0" w:line="240" w:lineRule="auto"/>
        <w:ind w:left="1276" w:right="1185"/>
        <w:jc w:val="both"/>
        <w:rPr>
          <w:rFonts w:ascii="Arial Narrow" w:hAnsi="Arial Narrow" w:cs="Arial"/>
          <w:b/>
          <w:i/>
          <w:sz w:val="24"/>
          <w:szCs w:val="24"/>
        </w:rPr>
      </w:pPr>
      <w:r w:rsidRPr="00D754B7">
        <w:rPr>
          <w:rFonts w:ascii="Arial Narrow" w:hAnsi="Arial Narrow" w:cs="Arial"/>
          <w:b/>
          <w:i/>
          <w:sz w:val="24"/>
          <w:szCs w:val="24"/>
        </w:rPr>
        <w:lastRenderedPageBreak/>
        <w:t>“CONTROL DE CONSTITUCIONALIDAD O CONVENCIONALIDAD EX OFFICIO. LAS PERSONAS JUZGADORAS ÚNICAMENTE DEBEN REALIZAR SU ESTUDIO DE FORMA EXPRESA EN SUS RESOLUCIONES CUANDO LO SOLICITEN LAS PARTES EN JUICIO O CONSIDEREN QUE LA NORMA QUE DEBEN APLICAR PODRÍA RESULTAR INCONSTITUCIONAL O INCONVENCIONAL.</w:t>
      </w:r>
    </w:p>
    <w:p w14:paraId="05807EE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D90F8D3" w14:textId="77777777" w:rsidR="003A1B04" w:rsidRPr="003A1B04" w:rsidRDefault="003A1B04" w:rsidP="00D754B7">
      <w:pPr>
        <w:pStyle w:val="Textoindependiente"/>
        <w:tabs>
          <w:tab w:val="left" w:pos="6804"/>
        </w:tabs>
        <w:spacing w:after="0" w:line="240" w:lineRule="auto"/>
        <w:ind w:left="1276" w:right="1185"/>
        <w:jc w:val="both"/>
        <w:rPr>
          <w:rFonts w:ascii="Arial Narrow" w:hAnsi="Arial Narrow" w:cs="Arial"/>
          <w:i/>
          <w:sz w:val="24"/>
          <w:szCs w:val="24"/>
        </w:rPr>
      </w:pPr>
      <w:r w:rsidRPr="00D754B7">
        <w:rPr>
          <w:rFonts w:ascii="Arial Narrow" w:hAnsi="Arial Narrow" w:cs="Arial"/>
          <w:b/>
          <w:i/>
          <w:sz w:val="24"/>
          <w:szCs w:val="24"/>
        </w:rPr>
        <w:t>Hechos:</w:t>
      </w:r>
      <w:r w:rsidRPr="003A1B04">
        <w:rPr>
          <w:rFonts w:ascii="Arial Narrow" w:hAnsi="Arial Narrow" w:cs="Arial"/>
          <w:i/>
          <w:sz w:val="24"/>
          <w:szCs w:val="24"/>
        </w:rPr>
        <w:t xml:space="preserve"> En un juicio ordinario civil se demandó, entre otras cuestiones, la nulidad de un contrato de prestación de servicios profesionales que involucró el acto traslativo de dominio de un bien inmueble, en tanto que el demandado reconvino la acción pro forma. El Juez de primera instancia desestimó ambas pretensiones. En contra de esa resolución, ambas partes interpusieron sendos recursos de apelación y, al resolverlos, el Tribunal de Alzada modificó la sentencia recurrida. En contra de esa resolución, el demandado promovió juicio de amparo directo en el que formuló diversos conceptos de violación, entre ellos, el relativo a la inconstitucionalidad del artículo 2150 del Código Civil para el Estado de Baja California, cuya resolución constituye la materia de estudio en el presente amparo directo en revisión.</w:t>
      </w:r>
    </w:p>
    <w:p w14:paraId="18B41483" w14:textId="77777777" w:rsidR="00D754B7" w:rsidRDefault="003A1B04" w:rsidP="00D754B7">
      <w:pPr>
        <w:pStyle w:val="Textoindependiente"/>
        <w:tabs>
          <w:tab w:val="left" w:pos="6804"/>
        </w:tabs>
        <w:spacing w:after="0" w:line="240" w:lineRule="auto"/>
        <w:ind w:left="1276" w:right="1185"/>
        <w:jc w:val="both"/>
        <w:rPr>
          <w:rFonts w:ascii="Arial Narrow" w:hAnsi="Arial Narrow" w:cs="Arial"/>
          <w:i/>
          <w:sz w:val="24"/>
          <w:szCs w:val="24"/>
        </w:rPr>
      </w:pPr>
      <w:r w:rsidRPr="00D754B7">
        <w:rPr>
          <w:rFonts w:ascii="Arial Narrow" w:hAnsi="Arial Narrow" w:cs="Arial"/>
          <w:b/>
          <w:i/>
          <w:sz w:val="24"/>
          <w:szCs w:val="24"/>
        </w:rPr>
        <w:t>Criterio jurídico:</w:t>
      </w:r>
      <w:r w:rsidRPr="003A1B04">
        <w:rPr>
          <w:rFonts w:ascii="Arial Narrow" w:hAnsi="Arial Narrow" w:cs="Arial"/>
          <w:i/>
          <w:sz w:val="24"/>
          <w:szCs w:val="24"/>
        </w:rPr>
        <w:t xml:space="preserve"> La Primera Sala de la Suprema Corte de Justicia de la Nación determina que la expresión ex officio significa que todas las personas juzgadoras del orden jurídico mexicano (aun cuando no sean Jueces de control constitucional y no haya una petición expresa para realizar este tipo de control) en todos los casos, siempre tienen la obligación de ponderar la conformidad de las normas que deben aplicar con los derechos humanos contenidos en la Constitución Política de los Estados Unidos Mexicanos y en los tratados internacionales de los que el Estado Mexicano sea Parte, antes de individualizarla (aplicarla) en el caso concreto o validar su aplicación. Ello, en atención al mandato previsto en el artículo 1o. de nuestra Constitución Federal. Sin que lo anterior derive en que, en todos los asuntos, las personas juzgadoras, en sus sentencias, deban plasmar expresamente en sus resoluciones un estudio de las normas que aplican o cuya aplicación validan, sino únicamente en aquellos casos en los que alguna de las partes o ambas soliciten expresamente se realice este control ex officio, </w:t>
      </w:r>
      <w:r w:rsidRPr="00D754B7">
        <w:rPr>
          <w:rFonts w:ascii="Arial Narrow" w:hAnsi="Arial Narrow" w:cs="Arial"/>
          <w:b/>
          <w:i/>
          <w:sz w:val="24"/>
          <w:szCs w:val="24"/>
        </w:rPr>
        <w:t xml:space="preserve">o cuando la persona juzgadora considere que la norma que debe aplicar pudiera ser inconstitucional o </w:t>
      </w:r>
      <w:proofErr w:type="spellStart"/>
      <w:r w:rsidRPr="00D754B7">
        <w:rPr>
          <w:rFonts w:ascii="Arial Narrow" w:hAnsi="Arial Narrow" w:cs="Arial"/>
          <w:b/>
          <w:i/>
          <w:sz w:val="24"/>
          <w:szCs w:val="24"/>
        </w:rPr>
        <w:t>inconvencional</w:t>
      </w:r>
      <w:proofErr w:type="spellEnd"/>
      <w:r w:rsidRPr="003A1B04">
        <w:rPr>
          <w:rFonts w:ascii="Arial Narrow" w:hAnsi="Arial Narrow" w:cs="Arial"/>
          <w:i/>
          <w:sz w:val="24"/>
          <w:szCs w:val="24"/>
        </w:rPr>
        <w:t>; supuestos en los cuales sí deben examinar su regularidad constitucional de forma expresa en su resolución, a fin de que determinen si es constitucional y/o convencional, si requiere de una</w:t>
      </w:r>
      <w:r w:rsidR="00D754B7">
        <w:rPr>
          <w:rFonts w:ascii="Arial Narrow" w:hAnsi="Arial Narrow" w:cs="Arial"/>
          <w:i/>
          <w:sz w:val="24"/>
          <w:szCs w:val="24"/>
        </w:rPr>
        <w:t xml:space="preserve"> </w:t>
      </w:r>
      <w:r w:rsidRPr="003A1B04">
        <w:rPr>
          <w:rFonts w:ascii="Arial Narrow" w:hAnsi="Arial Narrow" w:cs="Arial"/>
          <w:i/>
          <w:sz w:val="24"/>
          <w:szCs w:val="24"/>
        </w:rPr>
        <w:t xml:space="preserve">interpretación conforme para que sea constitucional y/o convencional, o si es inconstitucional y/o </w:t>
      </w:r>
      <w:proofErr w:type="spellStart"/>
      <w:r w:rsidRPr="003A1B04">
        <w:rPr>
          <w:rFonts w:ascii="Arial Narrow" w:hAnsi="Arial Narrow" w:cs="Arial"/>
          <w:i/>
          <w:sz w:val="24"/>
          <w:szCs w:val="24"/>
        </w:rPr>
        <w:t>inconvencional</w:t>
      </w:r>
      <w:proofErr w:type="spellEnd"/>
      <w:r w:rsidRPr="003A1B04">
        <w:rPr>
          <w:rFonts w:ascii="Arial Narrow" w:hAnsi="Arial Narrow" w:cs="Arial"/>
          <w:i/>
          <w:sz w:val="24"/>
          <w:szCs w:val="24"/>
        </w:rPr>
        <w:t xml:space="preserve">. Así, la sola petición genérica de las partes en juicio en el sentido de que las personas juzgadoras realicen un estudio de control ex officio de constitucionalidad o convencionalidad respecto de cierta norma general o de que </w:t>
      </w:r>
      <w:proofErr w:type="spellStart"/>
      <w:r w:rsidRPr="003A1B04">
        <w:rPr>
          <w:rFonts w:ascii="Arial Narrow" w:hAnsi="Arial Narrow" w:cs="Arial"/>
          <w:i/>
          <w:sz w:val="24"/>
          <w:szCs w:val="24"/>
        </w:rPr>
        <w:t>inapliquen</w:t>
      </w:r>
      <w:proofErr w:type="spellEnd"/>
      <w:r w:rsidRPr="003A1B04">
        <w:rPr>
          <w:rFonts w:ascii="Arial Narrow" w:hAnsi="Arial Narrow" w:cs="Arial"/>
          <w:i/>
          <w:sz w:val="24"/>
          <w:szCs w:val="24"/>
        </w:rPr>
        <w:t xml:space="preserve"> ésta, es suficiente para que todas las Juezas y Jueces estén obligados a realizar de forma expresa este tipo de control de forma expresa en sus resoluciones o sentencias.</w:t>
      </w:r>
    </w:p>
    <w:p w14:paraId="08C199C3" w14:textId="77777777" w:rsidR="00D754B7" w:rsidRPr="00BC1450" w:rsidRDefault="00D754B7" w:rsidP="00BC1450">
      <w:pPr>
        <w:pStyle w:val="Textoindependiente"/>
        <w:spacing w:after="0" w:line="240" w:lineRule="auto"/>
        <w:ind w:left="851" w:right="680" w:hanging="23"/>
        <w:jc w:val="both"/>
        <w:rPr>
          <w:rFonts w:ascii="Arial Narrow" w:hAnsi="Arial Narrow" w:cs="Arial"/>
          <w:i/>
          <w:sz w:val="10"/>
          <w:szCs w:val="10"/>
        </w:rPr>
      </w:pPr>
    </w:p>
    <w:p w14:paraId="32CC170F" w14:textId="4F83A79A" w:rsidR="003A1B04" w:rsidRPr="003A1B04" w:rsidRDefault="003A1B04" w:rsidP="00D754B7">
      <w:pPr>
        <w:pStyle w:val="Textoindependiente"/>
        <w:tabs>
          <w:tab w:val="left" w:pos="6804"/>
        </w:tabs>
        <w:spacing w:after="0" w:line="240" w:lineRule="auto"/>
        <w:ind w:left="1276" w:right="1185"/>
        <w:jc w:val="both"/>
        <w:rPr>
          <w:rFonts w:ascii="Arial Narrow" w:hAnsi="Arial Narrow" w:cs="Arial"/>
          <w:i/>
          <w:sz w:val="24"/>
          <w:szCs w:val="24"/>
        </w:rPr>
      </w:pPr>
      <w:r w:rsidRPr="00D754B7">
        <w:rPr>
          <w:rFonts w:ascii="Arial Narrow" w:hAnsi="Arial Narrow" w:cs="Arial"/>
          <w:b/>
          <w:i/>
          <w:sz w:val="24"/>
          <w:szCs w:val="24"/>
        </w:rPr>
        <w:lastRenderedPageBreak/>
        <w:t>Justificación:</w:t>
      </w:r>
      <w:r w:rsidRPr="003A1B04">
        <w:rPr>
          <w:rFonts w:ascii="Arial Narrow" w:hAnsi="Arial Narrow" w:cs="Arial"/>
          <w:i/>
          <w:sz w:val="24"/>
          <w:szCs w:val="24"/>
        </w:rPr>
        <w:t xml:space="preserve"> En términos de lo resuelto por el Pleno de esta Suprema Corte de Justicia de la Nación en la contradicción de tesis 351/2014, esta Primera Sala consideró que los Tribunales Colegiados están obligados a realizar un control de constitucionalidad y convencionalidad ex officio tanto de las normas procesales y sustantivas que rigen el acto reclamado como de aquellas que regulan el juicio de amparo; más aún cuando, en el caso concreto, subsista una omisión de estudio respecto a los argumentos en los que el quejoso solicitó, desde su recurso de apelación (una instancia previa), se realizara un control ex officio de constitucionalidad o convencionalidad de algún determinado precepto legal, supuesto en el cual, como se explicó en párrafos anteriores, los Jueces y las Juezas sí están obligados a realizar un estudio expreso de constitucionalidad y/o convencionalidad en sus resoluciones. Así, se precisa que los Jueces y las Juezas no están obligados a plasmar oficiosamente ningún estudio de constitucionalidad o convencionalidad en su resolución, cuando la presunción de constitucionalidad de la norma no se vea derrotada en esa ponderación que hagan de ella al examinar el asunto; pero siempre tienen la obligación de ponderar y confrontar las normas que deben aplicar al caso concreto con todos los derechos humanos contenidos en nuestra Constitución Federal y en los tratados internacionales de los que el Estado Mexicano es Parte y, en su caso, de dar respuestas frontales a las peticiones que expresamente les formulen las partes en controversia.”</w:t>
      </w:r>
    </w:p>
    <w:p w14:paraId="5A9D75B6"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(Énfasis añadido)</w:t>
      </w:r>
    </w:p>
    <w:p w14:paraId="1EBF58E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DC244E6" w14:textId="35EAEE6E" w:rsidR="003A1B04" w:rsidRPr="003B5AEB" w:rsidRDefault="00233BA7" w:rsidP="003A1B04">
      <w:pPr>
        <w:pStyle w:val="Textoindependiente"/>
        <w:spacing w:after="0" w:line="240" w:lineRule="auto"/>
        <w:ind w:left="851" w:right="680" w:hanging="23"/>
        <w:jc w:val="both"/>
        <w:rPr>
          <w:rFonts w:ascii="Arial Narrow" w:hAnsi="Arial Narrow" w:cs="Arial"/>
          <w:b/>
          <w:i/>
          <w:sz w:val="24"/>
          <w:szCs w:val="24"/>
        </w:rPr>
      </w:pPr>
      <w:r>
        <w:rPr>
          <w:rFonts w:ascii="Arial Narrow" w:hAnsi="Arial Narrow" w:cs="Arial"/>
          <w:b/>
          <w:i/>
          <w:sz w:val="24"/>
          <w:szCs w:val="24"/>
        </w:rPr>
        <w:t xml:space="preserve">C. Derecho fundamental de acceso a la </w:t>
      </w:r>
      <w:r w:rsidR="003A1B04" w:rsidRPr="003B5AEB">
        <w:rPr>
          <w:rFonts w:ascii="Arial Narrow" w:hAnsi="Arial Narrow" w:cs="Arial"/>
          <w:b/>
          <w:i/>
          <w:sz w:val="24"/>
          <w:szCs w:val="24"/>
        </w:rPr>
        <w:t>tutela jurisdiccional.</w:t>
      </w:r>
    </w:p>
    <w:p w14:paraId="10DA0120"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1669ECBD"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El acceso a la tutela jurisdiccional comprende tres etapas, a las que corresponden tres derechos que lo integran:</w:t>
      </w:r>
    </w:p>
    <w:p w14:paraId="516C725C" w14:textId="19348875" w:rsidR="00943332" w:rsidRPr="00BC1450" w:rsidRDefault="00943332" w:rsidP="003A1B04">
      <w:pPr>
        <w:pStyle w:val="Textoindependiente"/>
        <w:spacing w:after="0" w:line="240" w:lineRule="auto"/>
        <w:ind w:left="851" w:right="680" w:hanging="23"/>
        <w:jc w:val="both"/>
        <w:rPr>
          <w:rFonts w:ascii="Arial Narrow" w:hAnsi="Arial Narrow" w:cs="Arial"/>
          <w:i/>
          <w:sz w:val="10"/>
          <w:szCs w:val="10"/>
        </w:rPr>
      </w:pPr>
    </w:p>
    <w:p w14:paraId="2256C7EF" w14:textId="1E819BE1"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i) </w:t>
      </w:r>
      <w:r w:rsidR="003A1B04" w:rsidRPr="003A1B04">
        <w:rPr>
          <w:rFonts w:ascii="Arial Narrow" w:hAnsi="Arial Narrow" w:cs="Arial"/>
          <w:i/>
          <w:sz w:val="24"/>
          <w:szCs w:val="24"/>
        </w:rPr>
        <w:t>una etapa previa al juicio, a la que corresponde el derecho de acceso a la jurisdicción, el cual parte del derecho de acción como una especie del derecho de petición que se dirige a las autoridades jurisdiccionales, y que motiva un pronunciamiento por parte de éstas;</w:t>
      </w:r>
    </w:p>
    <w:p w14:paraId="7640D25E" w14:textId="002B9C9B"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FD36958" w14:textId="35668267"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ii) </w:t>
      </w:r>
      <w:r w:rsidR="003A1B04" w:rsidRPr="003A1B04">
        <w:rPr>
          <w:rFonts w:ascii="Arial Narrow" w:hAnsi="Arial Narrow" w:cs="Arial"/>
          <w:i/>
          <w:sz w:val="24"/>
          <w:szCs w:val="24"/>
        </w:rPr>
        <w:t>una etapa judicial –desde el inicio del procedimiento y hasta la última actuación dentro del mismo-, a la que corresponden las garantías del debido proceso; y</w:t>
      </w:r>
    </w:p>
    <w:p w14:paraId="5C7D1EEC"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718284A" w14:textId="6F59523C"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iii) </w:t>
      </w:r>
      <w:r w:rsidR="003A1B04" w:rsidRPr="003A1B04">
        <w:rPr>
          <w:rFonts w:ascii="Arial Narrow" w:hAnsi="Arial Narrow" w:cs="Arial"/>
          <w:i/>
          <w:sz w:val="24"/>
          <w:szCs w:val="24"/>
        </w:rPr>
        <w:t>una etapa posterior al juicio, que se identifica con la eficacia de las resoluciones emitidas con motivo de aquél.</w:t>
      </w:r>
    </w:p>
    <w:p w14:paraId="04CE6F9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7E9B72A7"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Lo anterior deriva del artículo 17 Constitucional, en sus dos primeros párrafos13, del que surge la obligación para el Estado Mexicano de prestar el servicio público de impartición de justicia.</w:t>
      </w:r>
    </w:p>
    <w:p w14:paraId="2C8A7478"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56A2E68D" w14:textId="3251FDB2"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lastRenderedPageBreak/>
        <w:t>En este sentido, el derecho de acceso a la jurisdicción comprende el derecho de acción, que permite acudir a los tribunales para hacer valer las pretension</w:t>
      </w:r>
      <w:r w:rsidR="00943332">
        <w:rPr>
          <w:rFonts w:ascii="Arial Narrow" w:hAnsi="Arial Narrow" w:cs="Arial"/>
          <w:i/>
          <w:sz w:val="24"/>
          <w:szCs w:val="24"/>
        </w:rPr>
        <w:t>es que se estimen pertinentes.</w:t>
      </w:r>
    </w:p>
    <w:p w14:paraId="4273899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F7984A9"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Para poder concluir que existe un verdadero acceso a la jurisdicción o a los tribunales, es necesario que previamente se advierta que no existen impedimentos jurídicos o fácticos que resulten carentes de racionalidad, proporcionalidad o que resulten discriminatorios; pues una restricción desproporcionada a ese derecho representaría una transgresión al artículo 17 Constitucional.</w:t>
      </w:r>
    </w:p>
    <w:p w14:paraId="03E314F3"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73246084" w14:textId="75428966"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Ahora, es importante aclarar que resulta perfectamente compatible con la Constitución, en términos del propio artículo 17 constitucional, que el órgano legislativo establezca condiciones para el acceso a los tribunales y regule distintas vías y procedimientos, cada uno de los</w:t>
      </w:r>
      <w:r w:rsidR="00943332">
        <w:rPr>
          <w:rFonts w:ascii="Arial Narrow" w:hAnsi="Arial Narrow" w:cs="Arial"/>
          <w:i/>
          <w:sz w:val="24"/>
          <w:szCs w:val="24"/>
        </w:rPr>
        <w:t xml:space="preserve"> </w:t>
      </w:r>
      <w:r w:rsidRPr="003A1B04">
        <w:rPr>
          <w:rFonts w:ascii="Arial Narrow" w:hAnsi="Arial Narrow" w:cs="Arial"/>
          <w:i/>
          <w:sz w:val="24"/>
          <w:szCs w:val="24"/>
        </w:rPr>
        <w:t>cuales tendrá distintos requisitos de procedencia que se deberán cumplir para justificar el accionar del aparato jurisdiccional.</w:t>
      </w:r>
    </w:p>
    <w:p w14:paraId="55979C2A"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344EECF9"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Dentro de dichos requisitos de procedencia pueden establecerse, por ejemplo, aquellos que regulen: (i) la admisibilidad de un escrito; (ii) la legitimación activa y pasiva de las partes; (iii) la representación; (iv) la oportunidad en la interposición de la acción, excepción o defensa, recurso o incidente; (v) la competencia del órgano ante el cual se promueve; (vi) la exhibición de ciertos documentos de los cuales depende la existencia de la acción; y, (vii) la procedencia de la vía.</w:t>
      </w:r>
    </w:p>
    <w:p w14:paraId="52E5CDA5"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550F0DD4"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En resumen, los requisitos de procedencia, a falta de los cuales se actualiza la improcedencia de una acción, varían dependiendo de la vía que se ejerza y, en esencia, consisten en los elementos mínimos necesarios previstos en las leyes adjetivas que deben satisfacerse para la realización de la jurisdicción, es decir, para que la o el juzgador se encuentre en aptitud de conocer la cuestión de fondo planteada en el caso sometido a su potestad y pueda resolverla, determinando los efectos de dicha resolución.</w:t>
      </w:r>
    </w:p>
    <w:p w14:paraId="3D926485"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13DB00FF" w14:textId="0DA6B1AD"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Lo anterior encuentra sustento en las consideraciones plasmadas en la ejecutoria relativa a la jurisprudencia 1a</w:t>
      </w:r>
      <w:proofErr w:type="gramStart"/>
      <w:r w:rsidRPr="003A1B04">
        <w:rPr>
          <w:rFonts w:ascii="Arial Narrow" w:hAnsi="Arial Narrow" w:cs="Arial"/>
          <w:i/>
          <w:sz w:val="24"/>
          <w:szCs w:val="24"/>
        </w:rPr>
        <w:t>./</w:t>
      </w:r>
      <w:proofErr w:type="gramEnd"/>
      <w:r w:rsidRPr="003A1B04">
        <w:rPr>
          <w:rFonts w:ascii="Arial Narrow" w:hAnsi="Arial Narrow" w:cs="Arial"/>
          <w:i/>
          <w:sz w:val="24"/>
          <w:szCs w:val="24"/>
        </w:rPr>
        <w:t>J. 90/2017 (10a.), de la extinta Primera Sala de la Suprema Corte de Justicia de la Nación, publicada en la</w:t>
      </w:r>
      <w:r w:rsidR="00943332">
        <w:rPr>
          <w:rFonts w:ascii="Arial Narrow" w:hAnsi="Arial Narrow" w:cs="Arial"/>
          <w:i/>
          <w:sz w:val="24"/>
          <w:szCs w:val="24"/>
        </w:rPr>
        <w:t xml:space="preserve"> </w:t>
      </w:r>
      <w:r w:rsidRPr="003A1B04">
        <w:rPr>
          <w:rFonts w:ascii="Arial Narrow" w:hAnsi="Arial Narrow" w:cs="Arial"/>
          <w:i/>
          <w:sz w:val="24"/>
          <w:szCs w:val="24"/>
        </w:rPr>
        <w:t>Gaceta del Semanario Judicial de la Federación, Décima Época, Libro 48, Noviembre de 2017, Tomo I, página 213, registro digital 2015595, que se muestra a continuación:</w:t>
      </w:r>
    </w:p>
    <w:p w14:paraId="53C20490"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517DB8C2" w14:textId="08817383" w:rsidR="003A1B04" w:rsidRPr="003A1B04" w:rsidRDefault="003A1B04" w:rsidP="00943332">
      <w:pPr>
        <w:pStyle w:val="Textoindependiente"/>
        <w:spacing w:after="0" w:line="240" w:lineRule="auto"/>
        <w:ind w:left="1276" w:right="1185" w:hanging="23"/>
        <w:jc w:val="both"/>
        <w:rPr>
          <w:rFonts w:ascii="Arial Narrow" w:hAnsi="Arial Narrow" w:cs="Arial"/>
          <w:i/>
          <w:sz w:val="24"/>
          <w:szCs w:val="24"/>
        </w:rPr>
      </w:pPr>
      <w:r w:rsidRPr="00943332">
        <w:rPr>
          <w:rFonts w:ascii="Arial Narrow" w:hAnsi="Arial Narrow" w:cs="Arial"/>
          <w:b/>
          <w:i/>
          <w:sz w:val="24"/>
          <w:szCs w:val="24"/>
        </w:rPr>
        <w:t xml:space="preserve">“DERECHO FUNDAMENTAL DE ACCESO A LA JURISDICCIÓN. SU CONTENIDO ESPECÍFICO COMO PARTE DEL DERECHO A LA TUTELA JURISDICCIONAL EFECTIVA Y SU COMPATIBILIDAD CON LA EXISTENCIA DE REQUISITOS DE PROCEDENCIA DE UNA ACCIÓN. </w:t>
      </w:r>
      <w:r w:rsidRPr="003A1B04">
        <w:rPr>
          <w:rFonts w:ascii="Arial Narrow" w:hAnsi="Arial Narrow" w:cs="Arial"/>
          <w:i/>
          <w:sz w:val="24"/>
          <w:szCs w:val="24"/>
        </w:rPr>
        <w:t>De</w:t>
      </w:r>
      <w:r w:rsidR="00943332">
        <w:rPr>
          <w:rFonts w:ascii="Arial Narrow" w:hAnsi="Arial Narrow" w:cs="Arial"/>
          <w:i/>
          <w:sz w:val="24"/>
          <w:szCs w:val="24"/>
        </w:rPr>
        <w:t xml:space="preserve"> </w:t>
      </w:r>
      <w:r w:rsidRPr="003A1B04">
        <w:rPr>
          <w:rFonts w:ascii="Arial Narrow" w:hAnsi="Arial Narrow" w:cs="Arial"/>
          <w:i/>
          <w:sz w:val="24"/>
          <w:szCs w:val="24"/>
        </w:rPr>
        <w:t>la tesis de jurisprudencia de la Primera Sala de la Suprema Corte de Justicia de la Nación 1a./J. 42/2007, (1) de rubro: "GARANTÍA A LA TUTELA JURISDICCIONAL PREVISTA EN EL ARTÍCULO 17 DE LA CONSTITUCIÓN POLÍTICA DE LOS ESTADOS UNIDOS MEXICANOS. SUS ALCANCES.", deriva</w:t>
      </w:r>
      <w:r w:rsidR="00943332">
        <w:rPr>
          <w:rFonts w:ascii="Arial Narrow" w:hAnsi="Arial Narrow" w:cs="Arial"/>
          <w:i/>
          <w:sz w:val="24"/>
          <w:szCs w:val="24"/>
        </w:rPr>
        <w:t xml:space="preserve"> </w:t>
      </w:r>
      <w:r w:rsidRPr="003A1B04">
        <w:rPr>
          <w:rFonts w:ascii="Arial Narrow" w:hAnsi="Arial Narrow" w:cs="Arial"/>
          <w:i/>
          <w:sz w:val="24"/>
          <w:szCs w:val="24"/>
        </w:rPr>
        <w:t xml:space="preserve">que el acceso a la tutela jurisdiccional comprende tres etapas, a las que corresponden tres derechos que lo integran: 1) una previa al juicio, a la que atañe el derecho de acceso a la jurisdicción; 2) otra judicial, a la que corresponden las garantías del debido proceso; y, 3) una posterior al juicio, que se identifica con la eficacia de las resoluciones emitidas con motivo de aquél. En estos términos, el derecho fundamental de </w:t>
      </w:r>
      <w:r w:rsidRPr="003A1B04">
        <w:rPr>
          <w:rFonts w:ascii="Arial Narrow" w:hAnsi="Arial Narrow" w:cs="Arial"/>
          <w:i/>
          <w:sz w:val="24"/>
          <w:szCs w:val="24"/>
        </w:rPr>
        <w:lastRenderedPageBreak/>
        <w:t>acceso a la jurisdicción debe entenderse como una especie del diverso de petición, que se actualiza cuando ésta se dirige a las autoridades jurisdiccionales, motivando su pronunciamiento. Su fundamento se encuentra en el artículo</w:t>
      </w:r>
      <w:r w:rsidR="00943332">
        <w:rPr>
          <w:rFonts w:ascii="Arial Narrow" w:hAnsi="Arial Narrow" w:cs="Arial"/>
          <w:i/>
          <w:sz w:val="24"/>
          <w:szCs w:val="24"/>
        </w:rPr>
        <w:t xml:space="preserve"> </w:t>
      </w:r>
      <w:r w:rsidRPr="003A1B04">
        <w:rPr>
          <w:rFonts w:ascii="Arial Narrow" w:hAnsi="Arial Narrow" w:cs="Arial"/>
          <w:i/>
          <w:sz w:val="24"/>
          <w:szCs w:val="24"/>
        </w:rPr>
        <w:t>17 de la Constitución Política de los Estados Unidos Mexicanos, conforme al cual corresponde al Estado mexicano impartir justicia a través de las instituciones y procedimientos previstos para tal efecto. Así, es perfectamente compatible con el artículo constitucional referido, que el órgano legislativo establezca condiciones para el acceso a los tribunales y regule distintas vías y procedimientos, cada uno de los cuales tendrá diferentes requisitos de procedencia que deberán cumplirse para justificar el accionar del aparato jurisdiccional, dentro de los cuales pueden establecerse, por ejemplo, aquellos que regulen: i) la admisibilidad de un escrito; ii) la legitimación activa y pasiva de las partes; iii) la representación; iv) la oportunidad en la interposición de la acción, excepción o defensa, recurso o incidente; v) la competencia del órgano ante el cual se promueve; vi) la exhibición de ciertos documentos de los cuales depende la existencia de la acción; y, vii) la procedencia de la vía. En resumen, los requisitos de procedencia, a falta de los cuales se actualiza la improcedencia de una acción, varían dependiendo de la vía que se ejerza y, en esencia, consisten en los elementos mínimos necesarios previstos en las leyes adjetivas que deben satisfacerse para la realización de la jurisdicción, es decir, para que el juzgador se encuentre en aptitud de conocer la cuestión de fondo planteada en el caso sometido a su potestad y pueda resolverla, determinando los efectos de dicha resolución. Lo importante en cada caso será que para</w:t>
      </w:r>
      <w:r w:rsidR="00943332">
        <w:rPr>
          <w:rFonts w:ascii="Arial Narrow" w:hAnsi="Arial Narrow" w:cs="Arial"/>
          <w:i/>
          <w:sz w:val="24"/>
          <w:szCs w:val="24"/>
        </w:rPr>
        <w:t xml:space="preserve"> </w:t>
      </w:r>
      <w:r w:rsidRPr="003A1B04">
        <w:rPr>
          <w:rFonts w:ascii="Arial Narrow" w:hAnsi="Arial Narrow" w:cs="Arial"/>
          <w:i/>
          <w:sz w:val="24"/>
          <w:szCs w:val="24"/>
        </w:rPr>
        <w:t>poder concluir que existe un verdadero acceso a la jurisdicción o a los tribunales, es necesario que se verifique la inexistencia de impedimentos jurídicos o fácticos que resulten carentes de racionalidad, proporcionalidad o que resulten discriminatorios.”</w:t>
      </w:r>
    </w:p>
    <w:p w14:paraId="5F25CB35"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1B288B6A"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En este mismo sentido, conviene destacar que la Corte reconoció, al resolver el amparo directo en revisión 2814/2014, la constitucionalidad de los artículos 1339 y 1340 del Código de Comercio, que limitan la procedencia del recurso de apelación a los asuntos cuya cuantía supere la cantidad allí establecida.</w:t>
      </w:r>
    </w:p>
    <w:p w14:paraId="7D792BD5"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C9391C7"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En la ejecutoria de ese asunto se asentó, en lo que interesa, que, dentro de su libertad de configuración legislativa, el legislador estableció en los artículos 1,339 y 1,340 del Código de Comercio, la existencia de juicios mercantiles de única instancia, los cuales, por razón de la cuantía, no existe la posibilidad de interponer el recurso de apelación.</w:t>
      </w:r>
    </w:p>
    <w:p w14:paraId="344C3B7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6B91F23C"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Señaló que la improcedencia del recurso de apelación en los juicios mercantiles respecto de asuntos de cuantía inferior a la señalada en tales </w:t>
      </w:r>
      <w:r w:rsidRPr="003A1B04">
        <w:rPr>
          <w:rFonts w:ascii="Arial Narrow" w:hAnsi="Arial Narrow" w:cs="Arial"/>
          <w:i/>
          <w:sz w:val="24"/>
          <w:szCs w:val="24"/>
        </w:rPr>
        <w:lastRenderedPageBreak/>
        <w:t>numerales constituye una disposición excepcional, puesto que el legislador excluyó la procedencia de la apelación en un tipo específico y concreto de juicios mercantiles —los de cuantía inferior a la cantidad referida— sin hacer extensiva esta exclusión a los demás juicios mercantiles ni a otro tipo de procedimientos judiciales.</w:t>
      </w:r>
    </w:p>
    <w:p w14:paraId="5906D5DE"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r w:rsidRPr="00BC1450">
        <w:rPr>
          <w:rFonts w:ascii="Arial Narrow" w:hAnsi="Arial Narrow" w:cs="Arial"/>
          <w:i/>
          <w:sz w:val="10"/>
          <w:szCs w:val="10"/>
        </w:rPr>
        <w:t xml:space="preserve"> </w:t>
      </w:r>
    </w:p>
    <w:p w14:paraId="1276678C"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Estimó que dicha exclusión responde a la mayor urgencia de obtener una decisión definitiva en ese tipo de asuntos y evitar los costos que implican juicios prolongados y complejos, por lo que la finalidad perseguida por la norma, a saber, la celeridad en los juicios mercantiles y la eficiencia y eficacia de la función pública de administración de justicia, es constitucionalmente legítima, no por el fin respecto de los órganos encargados de administrar justicia, sino por lo que para las partes implica el seguir y retrasar el juicio, y las consecuencias en su actividad comercial que ello representa.</w:t>
      </w:r>
    </w:p>
    <w:p w14:paraId="636F2672"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65105243" w14:textId="50B4B0EC" w:rsid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Por esa razón, apuntó que el fin constitucionalmente válido sí está presente en los preceptos referidos, en virtud de que se advierte que el factor cuantía no sólo se funda en una razón de política judicial, sino que a través del desahogo de las cargas de trabajo se ha buscado agilizar los juicios mercantiles, a fin de cumplir con el mandato de que la justicia sea pronta y expedita, como lo ordena la propia Constitución en su artículo 17.</w:t>
      </w:r>
    </w:p>
    <w:p w14:paraId="3EF42194" w14:textId="77777777" w:rsidR="00233BA7" w:rsidRPr="00BC1450" w:rsidRDefault="00233BA7" w:rsidP="003A1B04">
      <w:pPr>
        <w:pStyle w:val="Textoindependiente"/>
        <w:spacing w:after="0" w:line="240" w:lineRule="auto"/>
        <w:ind w:left="851" w:right="680" w:hanging="23"/>
        <w:jc w:val="both"/>
        <w:rPr>
          <w:rFonts w:ascii="Arial Narrow" w:hAnsi="Arial Narrow" w:cs="Arial"/>
          <w:i/>
          <w:sz w:val="10"/>
          <w:szCs w:val="10"/>
        </w:rPr>
      </w:pPr>
    </w:p>
    <w:p w14:paraId="720C008E" w14:textId="4C6528B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Asimismo mencionó que </w:t>
      </w:r>
      <w:r w:rsidRPr="00943332">
        <w:rPr>
          <w:rFonts w:ascii="Arial Narrow" w:hAnsi="Arial Narrow" w:cs="Arial"/>
          <w:b/>
          <w:i/>
          <w:sz w:val="24"/>
          <w:szCs w:val="24"/>
        </w:rPr>
        <w:t>el legislador puede válidamente decidir que un determinado proceso únicamente podrá tramitarse en única instancia, pero para ello debe satisfacer parámetros de razonabilidad y proporcionalidad, manteniéndose dentro del límite impuesto por los principios, valores y derechos constitucionales</w:t>
      </w:r>
      <w:r w:rsidRPr="003A1B04">
        <w:rPr>
          <w:rFonts w:ascii="Arial Narrow" w:hAnsi="Arial Narrow" w:cs="Arial"/>
          <w:i/>
          <w:sz w:val="24"/>
          <w:szCs w:val="24"/>
        </w:rPr>
        <w:t>, particularmente en lo que atañe al principio de igualdad, ya qu</w:t>
      </w:r>
      <w:r w:rsidR="00943332">
        <w:rPr>
          <w:rFonts w:ascii="Arial Narrow" w:hAnsi="Arial Narrow" w:cs="Arial"/>
          <w:i/>
          <w:sz w:val="24"/>
          <w:szCs w:val="24"/>
        </w:rPr>
        <w:t xml:space="preserve">e el acceso a los recursos debe </w:t>
      </w:r>
      <w:r w:rsidRPr="003A1B04">
        <w:rPr>
          <w:rFonts w:ascii="Arial Narrow" w:hAnsi="Arial Narrow" w:cs="Arial"/>
          <w:i/>
          <w:sz w:val="24"/>
          <w:szCs w:val="24"/>
        </w:rPr>
        <w:t>darse de igual forma a las personas que estén en situaciones iguales, de manera que los sistemas de impugnación no deben contener un trato discriminatorio, irrazonable e injusto frente al de personas que se encuentran en idéntica situación.</w:t>
      </w:r>
    </w:p>
    <w:p w14:paraId="517E2F3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70E60C8C"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Estableció que el derecho de recurrir el fallo es un </w:t>
      </w:r>
      <w:r w:rsidRPr="00943332">
        <w:rPr>
          <w:rFonts w:ascii="Arial Narrow" w:hAnsi="Arial Narrow" w:cs="Arial"/>
          <w:b/>
          <w:i/>
          <w:sz w:val="24"/>
          <w:szCs w:val="24"/>
        </w:rPr>
        <w:t>derecho constitucional que únicamente puede ser excepcionado por el legislador cuando busque el logro de una finalidad constitucionalmente legítima</w:t>
      </w:r>
      <w:r w:rsidRPr="003A1B04">
        <w:rPr>
          <w:rFonts w:ascii="Arial Narrow" w:hAnsi="Arial Narrow" w:cs="Arial"/>
          <w:i/>
          <w:sz w:val="24"/>
          <w:szCs w:val="24"/>
        </w:rPr>
        <w:t xml:space="preserve">, lo que hace necesario estudiar cada caso individual para determinar la </w:t>
      </w:r>
      <w:r w:rsidRPr="00943332">
        <w:rPr>
          <w:rFonts w:ascii="Arial Narrow" w:hAnsi="Arial Narrow" w:cs="Arial"/>
          <w:b/>
          <w:i/>
          <w:sz w:val="24"/>
          <w:szCs w:val="24"/>
        </w:rPr>
        <w:t>razonabilidad de las exclusiones a este derecho</w:t>
      </w:r>
      <w:r w:rsidRPr="003A1B04">
        <w:rPr>
          <w:rFonts w:ascii="Arial Narrow" w:hAnsi="Arial Narrow" w:cs="Arial"/>
          <w:i/>
          <w:sz w:val="24"/>
          <w:szCs w:val="24"/>
        </w:rPr>
        <w:t>, tomando en cuenta para ello la totalidad del contexto normativo aplicable, a fin de determinar si existen otros medios de defensa, acciones, oportunidades procesales o mecanismos, que garanticen adecuadamente el derecho de defensa y el derecho a la tutela judicial efectiva de quienes se ven afectados por lo decidido en procesos de única instancia, evitando la arbitrariedad y minimizando la posibilidad de error.</w:t>
      </w:r>
    </w:p>
    <w:p w14:paraId="447C4035"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6DB81A13"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En todo caso, estipuló, el </w:t>
      </w:r>
      <w:r w:rsidRPr="00943332">
        <w:rPr>
          <w:rFonts w:ascii="Arial Narrow" w:hAnsi="Arial Narrow" w:cs="Arial"/>
          <w:b/>
          <w:i/>
          <w:sz w:val="24"/>
          <w:szCs w:val="24"/>
        </w:rPr>
        <w:t>establecimiento de procedimientos de única instancia no debe dar lugar a la violación, para una o ambas partes de las garantías del debido proceso, el derecho de defensa</w:t>
      </w:r>
      <w:r w:rsidRPr="003A1B04">
        <w:rPr>
          <w:rFonts w:ascii="Arial Narrow" w:hAnsi="Arial Narrow" w:cs="Arial"/>
          <w:i/>
          <w:sz w:val="24"/>
          <w:szCs w:val="24"/>
        </w:rPr>
        <w:t xml:space="preserve">, la justicia o la equidad, </w:t>
      </w:r>
      <w:r w:rsidRPr="00943332">
        <w:rPr>
          <w:rFonts w:ascii="Arial Narrow" w:hAnsi="Arial Narrow" w:cs="Arial"/>
          <w:b/>
          <w:i/>
          <w:sz w:val="24"/>
          <w:szCs w:val="24"/>
        </w:rPr>
        <w:t xml:space="preserve">ni hacer nugatorio el acceso a la administración de justicia, </w:t>
      </w:r>
      <w:r w:rsidRPr="00943332">
        <w:rPr>
          <w:rFonts w:ascii="Arial Narrow" w:hAnsi="Arial Narrow" w:cs="Arial"/>
          <w:i/>
          <w:sz w:val="24"/>
          <w:szCs w:val="24"/>
        </w:rPr>
        <w:t>pues en tales casos</w:t>
      </w:r>
      <w:r w:rsidRPr="00943332">
        <w:rPr>
          <w:rFonts w:ascii="Arial Narrow" w:hAnsi="Arial Narrow" w:cs="Arial"/>
          <w:b/>
          <w:i/>
          <w:sz w:val="24"/>
          <w:szCs w:val="24"/>
        </w:rPr>
        <w:t xml:space="preserve"> la exclusión se tornaría irrazonable</w:t>
      </w:r>
      <w:r w:rsidRPr="003A1B04">
        <w:rPr>
          <w:rFonts w:ascii="Arial Narrow" w:hAnsi="Arial Narrow" w:cs="Arial"/>
          <w:i/>
          <w:sz w:val="24"/>
          <w:szCs w:val="24"/>
        </w:rPr>
        <w:t>.</w:t>
      </w:r>
    </w:p>
    <w:p w14:paraId="4170B500"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5711853"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De esta manera, abundó en que la </w:t>
      </w:r>
      <w:r w:rsidRPr="00943332">
        <w:rPr>
          <w:rFonts w:ascii="Arial Narrow" w:hAnsi="Arial Narrow" w:cs="Arial"/>
          <w:b/>
          <w:i/>
          <w:sz w:val="24"/>
          <w:szCs w:val="24"/>
        </w:rPr>
        <w:t>exclusión al derecho a recurrir será inconstitucional cuando no aparezca justificada y proporcionada conforme a las finalidades de la medida</w:t>
      </w:r>
      <w:r w:rsidRPr="003A1B04">
        <w:rPr>
          <w:rFonts w:ascii="Arial Narrow" w:hAnsi="Arial Narrow" w:cs="Arial"/>
          <w:i/>
          <w:sz w:val="24"/>
          <w:szCs w:val="24"/>
        </w:rPr>
        <w:t xml:space="preserve">, siendo en definitiva </w:t>
      </w:r>
      <w:r w:rsidRPr="00943332">
        <w:rPr>
          <w:rFonts w:ascii="Arial Narrow" w:hAnsi="Arial Narrow" w:cs="Arial"/>
          <w:b/>
          <w:i/>
          <w:sz w:val="24"/>
          <w:szCs w:val="24"/>
        </w:rPr>
        <w:t>el juicio de razonabilidad el que resulta trascendente para determinar si la supresión respectiva encuentra justificación</w:t>
      </w:r>
      <w:r w:rsidRPr="003A1B04">
        <w:rPr>
          <w:rFonts w:ascii="Arial Narrow" w:hAnsi="Arial Narrow" w:cs="Arial"/>
          <w:i/>
          <w:sz w:val="24"/>
          <w:szCs w:val="24"/>
        </w:rPr>
        <w:t xml:space="preserve">, debiéndose analizar </w:t>
      </w:r>
      <w:r w:rsidRPr="003A1B04">
        <w:rPr>
          <w:rFonts w:ascii="Arial Narrow" w:hAnsi="Arial Narrow" w:cs="Arial"/>
          <w:i/>
          <w:sz w:val="24"/>
          <w:szCs w:val="24"/>
        </w:rPr>
        <w:lastRenderedPageBreak/>
        <w:t>para tal efecto si existen otros mecanismos que salvaguarden los derechos de defensa y de acceso a una justicia completa e imparcial.</w:t>
      </w:r>
    </w:p>
    <w:p w14:paraId="1EBEF482"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1EB6D63A"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Es aplicable la jurisprudencia 1a./J. 8/2020 (10a.), que derivó del amparo directo en revisión 2814/2014 citado, de la extinta Primera Sala del Alto Tribunal, visible en la Gaceta del Semanario Judicial de la Federación, Décima Época, Libro 74, enero de 2020, Tomo I, página 589, registro digital 2021551, del siguiente contenido:</w:t>
      </w:r>
    </w:p>
    <w:p w14:paraId="67452EFB" w14:textId="77777777" w:rsidR="003A1B04" w:rsidRPr="00233BA7" w:rsidRDefault="003A1B04" w:rsidP="003A1B04">
      <w:pPr>
        <w:pStyle w:val="Textoindependiente"/>
        <w:spacing w:after="0" w:line="240" w:lineRule="auto"/>
        <w:ind w:left="851" w:right="680" w:hanging="23"/>
        <w:jc w:val="both"/>
        <w:rPr>
          <w:rFonts w:ascii="Arial Narrow" w:hAnsi="Arial Narrow" w:cs="Arial"/>
          <w:i/>
          <w:sz w:val="10"/>
          <w:szCs w:val="10"/>
        </w:rPr>
      </w:pPr>
    </w:p>
    <w:p w14:paraId="505E9196" w14:textId="0B090007" w:rsidR="003A1B04" w:rsidRPr="003A1B04" w:rsidRDefault="003A1B04" w:rsidP="00943332">
      <w:pPr>
        <w:pStyle w:val="Textoindependiente"/>
        <w:tabs>
          <w:tab w:val="left" w:pos="6804"/>
        </w:tabs>
        <w:spacing w:after="0" w:line="240" w:lineRule="auto"/>
        <w:ind w:left="1276" w:right="1185"/>
        <w:jc w:val="both"/>
        <w:rPr>
          <w:rFonts w:ascii="Arial Narrow" w:hAnsi="Arial Narrow" w:cs="Arial"/>
          <w:i/>
          <w:sz w:val="24"/>
          <w:szCs w:val="24"/>
        </w:rPr>
      </w:pPr>
      <w:r w:rsidRPr="00943332">
        <w:rPr>
          <w:rFonts w:ascii="Arial Narrow" w:hAnsi="Arial Narrow" w:cs="Arial"/>
          <w:b/>
          <w:i/>
          <w:sz w:val="24"/>
          <w:szCs w:val="24"/>
        </w:rPr>
        <w:t>“TUTELA JURISDICCIONAL EFECTIVA. DIFERENCIAS ENTRE EL DERECHO A RECURRIR UN FALLO A</w:t>
      </w:r>
      <w:r w:rsidR="00943332">
        <w:rPr>
          <w:rFonts w:ascii="Arial Narrow" w:hAnsi="Arial Narrow" w:cs="Arial"/>
          <w:b/>
          <w:i/>
          <w:sz w:val="24"/>
          <w:szCs w:val="24"/>
        </w:rPr>
        <w:t xml:space="preserve">NTE UNA INSTANCIA SUPERIOR Y </w:t>
      </w:r>
      <w:r w:rsidRPr="00943332">
        <w:rPr>
          <w:rFonts w:ascii="Arial Narrow" w:hAnsi="Arial Narrow" w:cs="Arial"/>
          <w:b/>
          <w:i/>
          <w:sz w:val="24"/>
          <w:szCs w:val="24"/>
        </w:rPr>
        <w:t xml:space="preserve">EL DE </w:t>
      </w:r>
      <w:r w:rsidR="00943332">
        <w:rPr>
          <w:rFonts w:ascii="Arial Narrow" w:hAnsi="Arial Narrow" w:cs="Arial"/>
          <w:b/>
          <w:i/>
          <w:sz w:val="24"/>
          <w:szCs w:val="24"/>
        </w:rPr>
        <w:t xml:space="preserve">ACCEDER A </w:t>
      </w:r>
      <w:r w:rsidRPr="00943332">
        <w:rPr>
          <w:rFonts w:ascii="Arial Narrow" w:hAnsi="Arial Narrow" w:cs="Arial"/>
          <w:b/>
          <w:i/>
          <w:sz w:val="24"/>
          <w:szCs w:val="24"/>
        </w:rPr>
        <w:t>UN</w:t>
      </w:r>
      <w:r w:rsidR="00943332" w:rsidRPr="00943332">
        <w:rPr>
          <w:rFonts w:ascii="Arial Narrow" w:hAnsi="Arial Narrow" w:cs="Arial"/>
          <w:b/>
          <w:i/>
          <w:sz w:val="24"/>
          <w:szCs w:val="24"/>
        </w:rPr>
        <w:t xml:space="preserve"> </w:t>
      </w:r>
      <w:r w:rsidRPr="00943332">
        <w:rPr>
          <w:rFonts w:ascii="Arial Narrow" w:hAnsi="Arial Narrow" w:cs="Arial"/>
          <w:b/>
          <w:i/>
          <w:sz w:val="24"/>
          <w:szCs w:val="24"/>
        </w:rPr>
        <w:t>RECURSO ADECUADO Y EFECTIVO</w:t>
      </w:r>
      <w:r w:rsidRPr="003A1B04">
        <w:rPr>
          <w:rFonts w:ascii="Arial Narrow" w:hAnsi="Arial Narrow" w:cs="Arial"/>
          <w:i/>
          <w:sz w:val="24"/>
          <w:szCs w:val="24"/>
        </w:rPr>
        <w:t>. Si bien los derechos mencionados giran en torno al derecho fundamental de tutela jurisdiccional efectiva contenido en el artículo 17 de la Constitución Política de los Estados Unidos Mexicanos, debe tenerse presente que dichas prerrogativas son autónomas, con dimensiones y alcances propios que exigen desarrollos interpretativos individualizados que abonen en el entendimiento y configuración del núcleo esencial de cada derecho. Ahora bien, en cuanto al juicio de amparo, la Corte Interamericana ha establecido que éste se encuentra en el ámbito del artículo 25 de la Convención Americana sobre Derechos Humanos, "Pacto de San José", reconociéndolo, por su naturaleza, como el procedimiento judicial sencillo y breve que tiene por objeto la tutela de todos los derechos reconocidos por la Constitución y la Convención citada; el mismo Tribunal Interamericano precisó que el recurso consagrado en el aludido artículo 25 no es el recurso de</w:t>
      </w:r>
      <w:r w:rsidR="00943332">
        <w:rPr>
          <w:rFonts w:ascii="Arial Narrow" w:hAnsi="Arial Narrow" w:cs="Arial"/>
          <w:i/>
          <w:sz w:val="24"/>
          <w:szCs w:val="24"/>
        </w:rPr>
        <w:t xml:space="preserve"> </w:t>
      </w:r>
      <w:r w:rsidRPr="003A1B04">
        <w:rPr>
          <w:rFonts w:ascii="Arial Narrow" w:hAnsi="Arial Narrow" w:cs="Arial"/>
          <w:i/>
          <w:sz w:val="24"/>
          <w:szCs w:val="24"/>
        </w:rPr>
        <w:t>apelación, el cual está previsto, en el artículo 8.2 h), del mismo tratado. Esta diferencia entre el derecho a la protección judicial y el derecho a la revisión, es de suma relevancia para entender cuándo se está en presencia del derecho a recurrir un fallo ante una instancia superior, en respeto al derecho al debido proceso, y cuándo se está ante la exigencia del derecho a un recurso que ampare derechos fundamentales de fuente nacional o convencional, por tanto, el juicio de amparo debe considerarse como un medio de defensa diseñado para proteger los derechos consagrados en la Constitución y la Convención Americana, y no como un mecanismo de segunda instancia, esto es, un recurso que sirve de margen para la revisión de una decisión en el marco de un proceso.”</w:t>
      </w:r>
    </w:p>
    <w:p w14:paraId="57040A19"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A8EBED2" w14:textId="4A2CC940" w:rsidR="003A1B04" w:rsidRPr="00943332" w:rsidRDefault="00233BA7" w:rsidP="003A1B04">
      <w:pPr>
        <w:pStyle w:val="Textoindependiente"/>
        <w:spacing w:after="0" w:line="240" w:lineRule="auto"/>
        <w:ind w:left="851" w:right="680" w:hanging="23"/>
        <w:jc w:val="both"/>
        <w:rPr>
          <w:rFonts w:ascii="Arial Narrow" w:hAnsi="Arial Narrow" w:cs="Arial"/>
          <w:b/>
          <w:i/>
          <w:sz w:val="24"/>
          <w:szCs w:val="24"/>
        </w:rPr>
      </w:pPr>
      <w:r>
        <w:rPr>
          <w:rFonts w:ascii="Arial Narrow" w:hAnsi="Arial Narrow" w:cs="Arial"/>
          <w:b/>
          <w:i/>
          <w:sz w:val="24"/>
          <w:szCs w:val="24"/>
        </w:rPr>
        <w:t xml:space="preserve">D. </w:t>
      </w:r>
      <w:r w:rsidR="003A1B04" w:rsidRPr="00943332">
        <w:rPr>
          <w:rFonts w:ascii="Arial Narrow" w:hAnsi="Arial Narrow" w:cs="Arial"/>
          <w:b/>
          <w:i/>
          <w:sz w:val="24"/>
          <w:szCs w:val="24"/>
        </w:rPr>
        <w:t>Artículo 152 del Código Procesal Administrativo.</w:t>
      </w:r>
    </w:p>
    <w:p w14:paraId="413B51FC"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708E30BF"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El artículo 152 del Código Procesal Administrativo dispone lo siguiente:</w:t>
      </w:r>
    </w:p>
    <w:p w14:paraId="19F10B9F"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F578C88"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“Artículo 152. Las resoluciones definitivas emitidas por las Salas Unitarias serán apelables por cualquiera de las partes, siempre que se refiera a cualquiera de los siguientes supuestos:</w:t>
      </w:r>
    </w:p>
    <w:p w14:paraId="6CB718F7"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745BA95" w14:textId="6EB5493E"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lastRenderedPageBreak/>
        <w:t xml:space="preserve">I. </w:t>
      </w:r>
      <w:r w:rsidR="003A1B04" w:rsidRPr="003A1B04">
        <w:rPr>
          <w:rFonts w:ascii="Arial Narrow" w:hAnsi="Arial Narrow" w:cs="Arial"/>
          <w:i/>
          <w:sz w:val="24"/>
          <w:szCs w:val="24"/>
        </w:rPr>
        <w:t>Sea de cuantía que exceda de mil quinientas veces el valor diario de la UMA al momento de la emisión de la resolución o sentencia;</w:t>
      </w:r>
    </w:p>
    <w:p w14:paraId="5913D3E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68B4FC5D" w14:textId="4AB6096C" w:rsidR="003A1B04" w:rsidRPr="00943332" w:rsidRDefault="00233BA7" w:rsidP="003A1B04">
      <w:pPr>
        <w:pStyle w:val="Textoindependiente"/>
        <w:spacing w:after="0" w:line="240" w:lineRule="auto"/>
        <w:ind w:left="851" w:right="680" w:hanging="23"/>
        <w:jc w:val="both"/>
        <w:rPr>
          <w:rFonts w:ascii="Arial Narrow" w:hAnsi="Arial Narrow" w:cs="Arial"/>
          <w:b/>
          <w:i/>
          <w:sz w:val="24"/>
          <w:szCs w:val="24"/>
        </w:rPr>
      </w:pPr>
      <w:r>
        <w:rPr>
          <w:rFonts w:ascii="Arial Narrow" w:hAnsi="Arial Narrow" w:cs="Arial"/>
          <w:b/>
          <w:i/>
          <w:sz w:val="24"/>
          <w:szCs w:val="24"/>
        </w:rPr>
        <w:t xml:space="preserve">II. </w:t>
      </w:r>
      <w:r w:rsidR="003A1B04" w:rsidRPr="00943332">
        <w:rPr>
          <w:rFonts w:ascii="Arial Narrow" w:hAnsi="Arial Narrow" w:cs="Arial"/>
          <w:b/>
          <w:i/>
          <w:sz w:val="24"/>
          <w:szCs w:val="24"/>
        </w:rPr>
        <w:t>Sea de importancia y trascendencia cuando la cuantía sea inferior a la señalada en la fracción primera, o de cuantía indeterminada, debiendo el recurrente razonar esa circunstancia para efectos de la admisión del recurso;</w:t>
      </w:r>
    </w:p>
    <w:p w14:paraId="02426583"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83D1161" w14:textId="6AFA7F18"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III. </w:t>
      </w:r>
      <w:r w:rsidR="003A1B04" w:rsidRPr="003A1B04">
        <w:rPr>
          <w:rFonts w:ascii="Arial Narrow" w:hAnsi="Arial Narrow" w:cs="Arial"/>
          <w:i/>
          <w:sz w:val="24"/>
          <w:szCs w:val="24"/>
        </w:rPr>
        <w:t>Sea una resolución dictada por la Secretaría de Finanzas o las Tesorerías Municipales, y sus organismos descentralizados en ingresos estatales y municipales, siempre que el asunto se refiera a:</w:t>
      </w:r>
    </w:p>
    <w:p w14:paraId="69D09852"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027069B8" w14:textId="766ADFAD"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a) </w:t>
      </w:r>
      <w:r w:rsidR="003A1B04" w:rsidRPr="003A1B04">
        <w:rPr>
          <w:rFonts w:ascii="Arial Narrow" w:hAnsi="Arial Narrow" w:cs="Arial"/>
          <w:i/>
          <w:sz w:val="24"/>
          <w:szCs w:val="24"/>
        </w:rPr>
        <w:t>Interpretación de normas generales con motivo de su aplicación.</w:t>
      </w:r>
    </w:p>
    <w:p w14:paraId="2D9468D9"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31871EBB" w14:textId="38C6A790"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b) </w:t>
      </w:r>
      <w:r w:rsidR="003A1B04" w:rsidRPr="003A1B04">
        <w:rPr>
          <w:rFonts w:ascii="Arial Narrow" w:hAnsi="Arial Narrow" w:cs="Arial"/>
          <w:i/>
          <w:sz w:val="24"/>
          <w:szCs w:val="24"/>
        </w:rPr>
        <w:t>La determinación del alcance de los elementos esenciales de las contribuciones.</w:t>
      </w:r>
    </w:p>
    <w:p w14:paraId="27B2CADF"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111D85D0" w14:textId="0DDA283F"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c) </w:t>
      </w:r>
      <w:r w:rsidR="003A1B04" w:rsidRPr="003A1B04">
        <w:rPr>
          <w:rFonts w:ascii="Arial Narrow" w:hAnsi="Arial Narrow" w:cs="Arial"/>
          <w:i/>
          <w:sz w:val="24"/>
          <w:szCs w:val="24"/>
        </w:rPr>
        <w:t>Competencia de la autoridad que haya dictado u ordenado la resolución impugnada o tramitado el procedimiento del que deriva o al ejercicio de las facultades de comprobación.</w:t>
      </w:r>
    </w:p>
    <w:p w14:paraId="34A323E7" w14:textId="7352D37F"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p>
    <w:p w14:paraId="004B4273" w14:textId="0409BCEA"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d) </w:t>
      </w:r>
      <w:r w:rsidR="003A1B04" w:rsidRPr="003A1B04">
        <w:rPr>
          <w:rFonts w:ascii="Arial Narrow" w:hAnsi="Arial Narrow" w:cs="Arial"/>
          <w:i/>
          <w:sz w:val="24"/>
          <w:szCs w:val="24"/>
        </w:rPr>
        <w:t>Violaciones procesales durante el juicio que afecten las defensas del recurrente y trasciendan al sentido del fallo, y</w:t>
      </w:r>
    </w:p>
    <w:p w14:paraId="6240F491"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70F340C1" w14:textId="0FBCE747"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IV. </w:t>
      </w:r>
      <w:r w:rsidR="003A1B04" w:rsidRPr="003A1B04">
        <w:rPr>
          <w:rFonts w:ascii="Arial Narrow" w:hAnsi="Arial Narrow" w:cs="Arial"/>
          <w:i/>
          <w:sz w:val="24"/>
          <w:szCs w:val="24"/>
        </w:rPr>
        <w:t>Sea una resolución dictada con motivo de las reclamaciones previstas en la Ley de Responsabilidad Patrimonial del Estado de San Luis Potosí.</w:t>
      </w:r>
    </w:p>
    <w:p w14:paraId="3F0831C9"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386AC7A8"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Tratándose de resoluciones en materia de responsabilidades administrativas se estará a lo dispuesto en su propia ley.</w:t>
      </w:r>
    </w:p>
    <w:p w14:paraId="737A577D"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377B3FFC"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El recurso de apelación deberá promoverse ante la Sala que haya emitido la resolución, que se turnará conjuntamente con el expediente del juicio dentro de los tres días hábiles siguientes a su recepción a la Sala Superior del Tribunal, la que lo substanciará y resolverá de conformidad con lo dispuesto en la presente Sección.”</w:t>
      </w:r>
    </w:p>
    <w:p w14:paraId="0E527DD7"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(Énfasis añadido)</w:t>
      </w:r>
    </w:p>
    <w:p w14:paraId="0DB26C0A"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178D6EA4"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Conforme a la redacción de dicho numeral, las resoluciones definitivas emitidas por las Salas Unitarias del Tribunal Estatal de Justicia Administrativa </w:t>
      </w:r>
      <w:r w:rsidRPr="00943332">
        <w:rPr>
          <w:rFonts w:ascii="Arial Narrow" w:hAnsi="Arial Narrow" w:cs="Arial"/>
          <w:b/>
          <w:i/>
          <w:sz w:val="24"/>
          <w:szCs w:val="24"/>
        </w:rPr>
        <w:t>serán apelables por cualquiera de las partes</w:t>
      </w:r>
      <w:r w:rsidRPr="003A1B04">
        <w:rPr>
          <w:rFonts w:ascii="Arial Narrow" w:hAnsi="Arial Narrow" w:cs="Arial"/>
          <w:i/>
          <w:sz w:val="24"/>
          <w:szCs w:val="24"/>
        </w:rPr>
        <w:t>, siempre y cuando dichas resoluciones se refieran a alguna de las hipótesis ahí previstas.</w:t>
      </w:r>
    </w:p>
    <w:p w14:paraId="27DA59FA"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7EBAA1D6" w14:textId="77777777" w:rsidR="003A1B04" w:rsidRPr="00943332" w:rsidRDefault="003A1B04" w:rsidP="003A1B04">
      <w:pPr>
        <w:pStyle w:val="Textoindependiente"/>
        <w:spacing w:after="0" w:line="240" w:lineRule="auto"/>
        <w:ind w:left="851" w:right="680" w:hanging="23"/>
        <w:jc w:val="both"/>
        <w:rPr>
          <w:rFonts w:ascii="Arial Narrow" w:hAnsi="Arial Narrow" w:cs="Arial"/>
          <w:b/>
          <w:i/>
          <w:sz w:val="24"/>
          <w:szCs w:val="24"/>
        </w:rPr>
      </w:pPr>
      <w:r w:rsidRPr="003A1B04">
        <w:rPr>
          <w:rFonts w:ascii="Arial Narrow" w:hAnsi="Arial Narrow" w:cs="Arial"/>
          <w:i/>
          <w:sz w:val="24"/>
          <w:szCs w:val="24"/>
        </w:rPr>
        <w:t xml:space="preserve">La hipótesis materia de estudio es la prevista en la fracción II, que establece la </w:t>
      </w:r>
      <w:r w:rsidRPr="00943332">
        <w:rPr>
          <w:rFonts w:ascii="Arial Narrow" w:hAnsi="Arial Narrow" w:cs="Arial"/>
          <w:b/>
          <w:i/>
          <w:sz w:val="24"/>
          <w:szCs w:val="24"/>
        </w:rPr>
        <w:t>procedencia del recurso de apelación contra la sentencia definitiva que se refiera a un supuesto de importancia y trascendencia cuando:</w:t>
      </w:r>
    </w:p>
    <w:p w14:paraId="58DF7CA9"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10BE4B38" w14:textId="02BE2A28"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i) </w:t>
      </w:r>
      <w:r w:rsidR="003A1B04" w:rsidRPr="003A1B04">
        <w:rPr>
          <w:rFonts w:ascii="Arial Narrow" w:hAnsi="Arial Narrow" w:cs="Arial"/>
          <w:i/>
          <w:sz w:val="24"/>
          <w:szCs w:val="24"/>
        </w:rPr>
        <w:t>su cuantía sea equivalente o inferior a mil quinientas veces el valor diario de la Unidad de Medida y Actualización al momento de la emisión de la resolución o sentencia; o</w:t>
      </w:r>
    </w:p>
    <w:p w14:paraId="6F58656E"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D380EBE" w14:textId="788F5AF4"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ii) </w:t>
      </w:r>
      <w:r w:rsidR="003A1B04" w:rsidRPr="003A1B04">
        <w:rPr>
          <w:rFonts w:ascii="Arial Narrow" w:hAnsi="Arial Narrow" w:cs="Arial"/>
          <w:i/>
          <w:sz w:val="24"/>
          <w:szCs w:val="24"/>
        </w:rPr>
        <w:t>sea de cuantía indeterminada; y</w:t>
      </w:r>
    </w:p>
    <w:p w14:paraId="2D978AE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9B875A5" w14:textId="0E73EC06" w:rsidR="003A1B04" w:rsidRPr="003A1B04" w:rsidRDefault="00233BA7" w:rsidP="003A1B04">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i/>
          <w:sz w:val="24"/>
          <w:szCs w:val="24"/>
        </w:rPr>
        <w:t xml:space="preserve">iii) </w:t>
      </w:r>
      <w:r w:rsidR="003A1B04" w:rsidRPr="003A1B04">
        <w:rPr>
          <w:rFonts w:ascii="Arial Narrow" w:hAnsi="Arial Narrow" w:cs="Arial"/>
          <w:i/>
          <w:sz w:val="24"/>
          <w:szCs w:val="24"/>
        </w:rPr>
        <w:t>en ambos supuestos, el recurrente debe razonar esa circunstancia para efectos de la admisión del recurso.</w:t>
      </w:r>
    </w:p>
    <w:p w14:paraId="2485F77C"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27420E5"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Como se aprecia de lo anterior, el legislador decidió, dentro de la libertad de configuración de que dispone, restringir la procedencia del recurso de apelación a los supuestos que allí precisó.</w:t>
      </w:r>
    </w:p>
    <w:p w14:paraId="7C1ECAA7"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4451643A" w14:textId="77777777" w:rsidR="003A1B04" w:rsidRPr="00943332" w:rsidRDefault="003A1B04" w:rsidP="003A1B04">
      <w:pPr>
        <w:pStyle w:val="Textoindependiente"/>
        <w:spacing w:after="0" w:line="240" w:lineRule="auto"/>
        <w:ind w:left="851" w:right="680" w:hanging="23"/>
        <w:jc w:val="both"/>
        <w:rPr>
          <w:rFonts w:ascii="Arial Narrow" w:hAnsi="Arial Narrow" w:cs="Arial"/>
          <w:b/>
          <w:i/>
          <w:sz w:val="24"/>
          <w:szCs w:val="24"/>
        </w:rPr>
      </w:pPr>
      <w:r w:rsidRPr="003A1B04">
        <w:rPr>
          <w:rFonts w:ascii="Arial Narrow" w:hAnsi="Arial Narrow" w:cs="Arial"/>
          <w:i/>
          <w:sz w:val="24"/>
          <w:szCs w:val="24"/>
        </w:rPr>
        <w:t xml:space="preserve">En lo que interesa, determinó </w:t>
      </w:r>
      <w:r w:rsidRPr="00943332">
        <w:rPr>
          <w:rFonts w:ascii="Arial Narrow" w:hAnsi="Arial Narrow" w:cs="Arial"/>
          <w:b/>
          <w:i/>
          <w:sz w:val="24"/>
          <w:szCs w:val="24"/>
        </w:rPr>
        <w:t xml:space="preserve">vedar la procedencia </w:t>
      </w:r>
      <w:r w:rsidRPr="00943332">
        <w:rPr>
          <w:rFonts w:ascii="Arial Narrow" w:hAnsi="Arial Narrow" w:cs="Arial"/>
          <w:i/>
          <w:sz w:val="24"/>
          <w:szCs w:val="24"/>
        </w:rPr>
        <w:t>del recurso</w:t>
      </w:r>
      <w:r w:rsidRPr="003A1B04">
        <w:rPr>
          <w:rFonts w:ascii="Arial Narrow" w:hAnsi="Arial Narrow" w:cs="Arial"/>
          <w:i/>
          <w:sz w:val="24"/>
          <w:szCs w:val="24"/>
        </w:rPr>
        <w:t xml:space="preserve"> de apelación respecto de los asuntos cuya cuantía no excede de mil quinientas veces el valor diario de la Unidad de Medida y Actualización, </w:t>
      </w:r>
      <w:r w:rsidRPr="003A1B04">
        <w:rPr>
          <w:rFonts w:ascii="Arial Narrow" w:hAnsi="Arial Narrow" w:cs="Arial"/>
          <w:i/>
          <w:sz w:val="24"/>
          <w:szCs w:val="24"/>
        </w:rPr>
        <w:lastRenderedPageBreak/>
        <w:t xml:space="preserve">así como de los que son de cuantía indeterminada, </w:t>
      </w:r>
      <w:r w:rsidRPr="00943332">
        <w:rPr>
          <w:rFonts w:ascii="Arial Narrow" w:hAnsi="Arial Narrow" w:cs="Arial"/>
          <w:b/>
          <w:i/>
          <w:sz w:val="24"/>
          <w:szCs w:val="24"/>
        </w:rPr>
        <w:t>a menos de que el asunto fuera de importancia y trascendencia, y también impuso la obligación al recurrente de justificar esa circunstancia.</w:t>
      </w:r>
    </w:p>
    <w:p w14:paraId="017ECCC8"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7882C19C"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Es decir, impuso tales requisitos de procedencia, como los elementos mínimos necesarios para que la Sala Superior del Tribunal Estatal de Justicia Administrativa estuviera en aptitud de conocer la cuestión de fondo planteada en el caso sometido a su potestad y pudiera resolverla.</w:t>
      </w:r>
    </w:p>
    <w:p w14:paraId="4B4A7D47" w14:textId="77777777" w:rsidR="003A1B04" w:rsidRPr="00233BA7" w:rsidRDefault="003A1B04" w:rsidP="003A1B04">
      <w:pPr>
        <w:pStyle w:val="Textoindependiente"/>
        <w:spacing w:after="0" w:line="240" w:lineRule="auto"/>
        <w:ind w:left="851" w:right="680" w:hanging="23"/>
        <w:jc w:val="both"/>
        <w:rPr>
          <w:rFonts w:ascii="Arial Narrow" w:hAnsi="Arial Narrow" w:cs="Arial"/>
          <w:i/>
          <w:sz w:val="10"/>
          <w:szCs w:val="10"/>
        </w:rPr>
      </w:pPr>
    </w:p>
    <w:p w14:paraId="680CEC4D" w14:textId="11E2C7D6" w:rsidR="003A1B04" w:rsidRPr="00943332" w:rsidRDefault="003A1B04" w:rsidP="003A1B04">
      <w:pPr>
        <w:pStyle w:val="Textoindependiente"/>
        <w:spacing w:after="0" w:line="240" w:lineRule="auto"/>
        <w:ind w:left="851" w:right="680" w:hanging="23"/>
        <w:jc w:val="both"/>
        <w:rPr>
          <w:rFonts w:ascii="Arial Narrow" w:hAnsi="Arial Narrow" w:cs="Arial"/>
          <w:b/>
          <w:i/>
          <w:sz w:val="24"/>
          <w:szCs w:val="24"/>
        </w:rPr>
      </w:pPr>
      <w:r w:rsidRPr="003A1B04">
        <w:rPr>
          <w:rFonts w:ascii="Arial Narrow" w:hAnsi="Arial Narrow" w:cs="Arial"/>
          <w:i/>
          <w:sz w:val="24"/>
          <w:szCs w:val="24"/>
        </w:rPr>
        <w:t xml:space="preserve">En este punto, debe reiterarse que, si bien se ha reconocido a favor del legislador la libertad de configuración respecto de la procedencia de los recursos, lo cierto es que los requisitos que decida imponer no deben ser </w:t>
      </w:r>
      <w:r w:rsidRPr="00943332">
        <w:rPr>
          <w:rFonts w:ascii="Arial Narrow" w:hAnsi="Arial Narrow" w:cs="Arial"/>
          <w:b/>
          <w:i/>
          <w:sz w:val="24"/>
          <w:szCs w:val="24"/>
        </w:rPr>
        <w:t>carentes de racionalidad, proporci</w:t>
      </w:r>
      <w:r w:rsidR="00943332" w:rsidRPr="00943332">
        <w:rPr>
          <w:rFonts w:ascii="Arial Narrow" w:hAnsi="Arial Narrow" w:cs="Arial"/>
          <w:b/>
          <w:i/>
          <w:sz w:val="24"/>
          <w:szCs w:val="24"/>
        </w:rPr>
        <w:t xml:space="preserve">onalidad o discriminatorios, pues una </w:t>
      </w:r>
      <w:r w:rsidRPr="00943332">
        <w:rPr>
          <w:rFonts w:ascii="Arial Narrow" w:hAnsi="Arial Narrow" w:cs="Arial"/>
          <w:b/>
          <w:i/>
          <w:sz w:val="24"/>
          <w:szCs w:val="24"/>
        </w:rPr>
        <w:t>restricción</w:t>
      </w:r>
      <w:r w:rsidR="00943332" w:rsidRPr="00943332">
        <w:rPr>
          <w:rFonts w:ascii="Arial Narrow" w:hAnsi="Arial Narrow" w:cs="Arial"/>
          <w:b/>
          <w:i/>
          <w:sz w:val="24"/>
          <w:szCs w:val="24"/>
        </w:rPr>
        <w:t xml:space="preserve"> </w:t>
      </w:r>
      <w:r w:rsidRPr="00943332">
        <w:rPr>
          <w:rFonts w:ascii="Arial Narrow" w:hAnsi="Arial Narrow" w:cs="Arial"/>
          <w:b/>
          <w:i/>
          <w:sz w:val="24"/>
          <w:szCs w:val="24"/>
        </w:rPr>
        <w:t>desproporcionada a ese derecho representaría una transgresión al artículo 17 Constitucional.</w:t>
      </w:r>
    </w:p>
    <w:p w14:paraId="52D22176"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625A7D63" w14:textId="77777777" w:rsidR="003A1B04" w:rsidRPr="00067496" w:rsidRDefault="003A1B04" w:rsidP="003A1B04">
      <w:pPr>
        <w:pStyle w:val="Textoindependiente"/>
        <w:spacing w:after="0" w:line="240" w:lineRule="auto"/>
        <w:ind w:left="851" w:right="680" w:hanging="23"/>
        <w:jc w:val="both"/>
        <w:rPr>
          <w:rFonts w:ascii="Arial Narrow" w:hAnsi="Arial Narrow" w:cs="Arial"/>
          <w:b/>
          <w:i/>
          <w:sz w:val="24"/>
          <w:szCs w:val="24"/>
        </w:rPr>
      </w:pPr>
      <w:r w:rsidRPr="003A1B04">
        <w:rPr>
          <w:rFonts w:ascii="Arial Narrow" w:hAnsi="Arial Narrow" w:cs="Arial"/>
          <w:i/>
          <w:sz w:val="24"/>
          <w:szCs w:val="24"/>
        </w:rPr>
        <w:t xml:space="preserve">Esto es, los requisitos de procedencia no deben dar </w:t>
      </w:r>
      <w:r w:rsidRPr="00943332">
        <w:rPr>
          <w:rFonts w:ascii="Arial Narrow" w:hAnsi="Arial Narrow" w:cs="Arial"/>
          <w:b/>
          <w:i/>
          <w:sz w:val="24"/>
          <w:szCs w:val="24"/>
        </w:rPr>
        <w:t>lugar a la violación del derecho al acceso a la administración de justicia</w:t>
      </w:r>
      <w:r w:rsidRPr="003A1B04">
        <w:rPr>
          <w:rFonts w:ascii="Arial Narrow" w:hAnsi="Arial Narrow" w:cs="Arial"/>
          <w:i/>
          <w:sz w:val="24"/>
          <w:szCs w:val="24"/>
        </w:rPr>
        <w:t xml:space="preserve">, pues en tales casos </w:t>
      </w:r>
      <w:r w:rsidRPr="00067496">
        <w:rPr>
          <w:rFonts w:ascii="Arial Narrow" w:hAnsi="Arial Narrow" w:cs="Arial"/>
          <w:b/>
          <w:i/>
          <w:sz w:val="24"/>
          <w:szCs w:val="24"/>
        </w:rPr>
        <w:t>la</w:t>
      </w:r>
      <w:r w:rsidRPr="003A1B04">
        <w:rPr>
          <w:rFonts w:ascii="Arial Narrow" w:hAnsi="Arial Narrow" w:cs="Arial"/>
          <w:i/>
          <w:sz w:val="24"/>
          <w:szCs w:val="24"/>
        </w:rPr>
        <w:t xml:space="preserve"> </w:t>
      </w:r>
      <w:r w:rsidRPr="00067496">
        <w:rPr>
          <w:rFonts w:ascii="Arial Narrow" w:hAnsi="Arial Narrow" w:cs="Arial"/>
          <w:b/>
          <w:i/>
          <w:sz w:val="24"/>
          <w:szCs w:val="24"/>
        </w:rPr>
        <w:t>exclusión se tornaría irrazonable, injustificada y desproporcionada conforme a las finalidades de la medida, siendo en definitiva el juicio de razonabilidad el que resulta trascendente para determinar si la supresión respectiva encuentra justificación.</w:t>
      </w:r>
    </w:p>
    <w:p w14:paraId="448930C8"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5E213F1F" w14:textId="1A9C69B2" w:rsidR="003A1B04" w:rsidRPr="00943332" w:rsidRDefault="00943332" w:rsidP="003A1B04">
      <w:pPr>
        <w:pStyle w:val="Textoindependiente"/>
        <w:spacing w:after="0" w:line="240" w:lineRule="auto"/>
        <w:ind w:left="851" w:right="680" w:hanging="23"/>
        <w:jc w:val="both"/>
        <w:rPr>
          <w:rFonts w:ascii="Arial Narrow" w:hAnsi="Arial Narrow" w:cs="Arial"/>
          <w:b/>
          <w:i/>
          <w:sz w:val="24"/>
          <w:szCs w:val="24"/>
        </w:rPr>
      </w:pPr>
      <w:r>
        <w:rPr>
          <w:rFonts w:ascii="Arial Narrow" w:hAnsi="Arial Narrow" w:cs="Arial"/>
          <w:b/>
          <w:i/>
          <w:sz w:val="24"/>
          <w:szCs w:val="24"/>
        </w:rPr>
        <w:t xml:space="preserve">E. Control concentrado de constitucionalidad </w:t>
      </w:r>
      <w:r w:rsidR="003A1B04" w:rsidRPr="00943332">
        <w:rPr>
          <w:rFonts w:ascii="Arial Narrow" w:hAnsi="Arial Narrow" w:cs="Arial"/>
          <w:b/>
          <w:i/>
          <w:sz w:val="24"/>
          <w:szCs w:val="24"/>
        </w:rPr>
        <w:t>ex officio.</w:t>
      </w:r>
    </w:p>
    <w:p w14:paraId="3C7F79A1" w14:textId="77777777" w:rsidR="003A1B04" w:rsidRPr="00BC1450" w:rsidRDefault="003A1B04" w:rsidP="003A1B04">
      <w:pPr>
        <w:pStyle w:val="Textoindependiente"/>
        <w:spacing w:after="0" w:line="240" w:lineRule="auto"/>
        <w:ind w:left="851" w:right="680" w:hanging="23"/>
        <w:jc w:val="both"/>
        <w:rPr>
          <w:rFonts w:ascii="Arial Narrow" w:hAnsi="Arial Narrow" w:cs="Arial"/>
          <w:b/>
          <w:i/>
          <w:sz w:val="10"/>
          <w:szCs w:val="10"/>
        </w:rPr>
      </w:pPr>
    </w:p>
    <w:p w14:paraId="0169E883"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El análisis respectivo se realizará conforme a la jurisprudencia 1a./J. 84/2022 (11a.), de la entonces Primera Sala de la Suprema Corte de Justicia de la Nación, publicada en la Gaceta del Semanario Judicial de la Federación, Undécima Época, libro 14, junio de 2022, Tomo V, página 4076, registro digital 2024830, que estipula:</w:t>
      </w:r>
    </w:p>
    <w:p w14:paraId="5709A6F4" w14:textId="77777777" w:rsidR="003A1B04" w:rsidRPr="00BC1450" w:rsidRDefault="003A1B04" w:rsidP="003A1B04">
      <w:pPr>
        <w:pStyle w:val="Textoindependiente"/>
        <w:spacing w:after="0" w:line="240" w:lineRule="auto"/>
        <w:ind w:left="851" w:right="680" w:hanging="23"/>
        <w:jc w:val="both"/>
        <w:rPr>
          <w:rFonts w:ascii="Arial Narrow" w:hAnsi="Arial Narrow" w:cs="Arial"/>
          <w:i/>
          <w:sz w:val="10"/>
          <w:szCs w:val="10"/>
        </w:rPr>
      </w:pPr>
    </w:p>
    <w:p w14:paraId="2856D5C8" w14:textId="77777777" w:rsidR="003A1B04" w:rsidRPr="00067496" w:rsidRDefault="003A1B04" w:rsidP="00067496">
      <w:pPr>
        <w:pStyle w:val="Textoindependiente"/>
        <w:spacing w:after="0" w:line="240" w:lineRule="auto"/>
        <w:ind w:left="1276" w:right="1185"/>
        <w:jc w:val="both"/>
        <w:rPr>
          <w:rFonts w:ascii="Arial Narrow" w:hAnsi="Arial Narrow" w:cs="Arial"/>
          <w:b/>
          <w:i/>
          <w:sz w:val="24"/>
          <w:szCs w:val="24"/>
        </w:rPr>
      </w:pPr>
      <w:r w:rsidRPr="00067496">
        <w:rPr>
          <w:rFonts w:ascii="Arial Narrow" w:hAnsi="Arial Narrow" w:cs="Arial"/>
          <w:b/>
          <w:i/>
          <w:sz w:val="24"/>
          <w:szCs w:val="24"/>
        </w:rPr>
        <w:t>“CONTROL DE CONSTITUCIONALIDAD Y CONVENCIONALIDAD EX OFFICIO. METODOLOGÍA PARA REALIZARLO.</w:t>
      </w:r>
    </w:p>
    <w:p w14:paraId="26541141" w14:textId="77777777" w:rsidR="003A1B04" w:rsidRPr="00BC1450" w:rsidRDefault="003A1B04" w:rsidP="00067496">
      <w:pPr>
        <w:pStyle w:val="Textoindependiente"/>
        <w:spacing w:after="0" w:line="240" w:lineRule="auto"/>
        <w:ind w:left="1276" w:right="1185"/>
        <w:jc w:val="both"/>
        <w:rPr>
          <w:rFonts w:ascii="Arial Narrow" w:hAnsi="Arial Narrow" w:cs="Arial"/>
          <w:b/>
          <w:i/>
          <w:sz w:val="10"/>
          <w:szCs w:val="10"/>
        </w:rPr>
      </w:pPr>
    </w:p>
    <w:p w14:paraId="4FC618B4" w14:textId="29BACC9C" w:rsidR="003A1B04" w:rsidRPr="003A1B04" w:rsidRDefault="003A1B04" w:rsidP="00067496">
      <w:pPr>
        <w:pStyle w:val="Textoindependiente"/>
        <w:spacing w:after="0" w:line="240" w:lineRule="auto"/>
        <w:ind w:left="1276" w:right="1185"/>
        <w:jc w:val="both"/>
        <w:rPr>
          <w:rFonts w:ascii="Arial Narrow" w:hAnsi="Arial Narrow" w:cs="Arial"/>
          <w:i/>
          <w:sz w:val="24"/>
          <w:szCs w:val="24"/>
        </w:rPr>
      </w:pPr>
      <w:r w:rsidRPr="00067496">
        <w:rPr>
          <w:rFonts w:ascii="Arial Narrow" w:hAnsi="Arial Narrow" w:cs="Arial"/>
          <w:b/>
          <w:i/>
          <w:sz w:val="24"/>
          <w:szCs w:val="24"/>
        </w:rPr>
        <w:t>Hechos:</w:t>
      </w:r>
      <w:r w:rsidRPr="003A1B04">
        <w:rPr>
          <w:rFonts w:ascii="Arial Narrow" w:hAnsi="Arial Narrow" w:cs="Arial"/>
          <w:i/>
          <w:sz w:val="24"/>
          <w:szCs w:val="24"/>
        </w:rPr>
        <w:t xml:space="preserve"> En un juicio ordinario civil se demandó, entre otras cuestiones, la nulidad de un contrato de prestación de servicios profesionales que involucró el acto traslativo de dominio de un bien inmueble, en tanto que el demandado reconvino la acción pro forma. El Juez de primera instancia desestimó ambas pretensiones. En contra de esa resolución, ambas partes interpusieron sendos recursos de apelación, y</w:t>
      </w:r>
      <w:r w:rsidR="00067496">
        <w:rPr>
          <w:rFonts w:ascii="Arial Narrow" w:hAnsi="Arial Narrow" w:cs="Arial"/>
          <w:i/>
          <w:sz w:val="24"/>
          <w:szCs w:val="24"/>
        </w:rPr>
        <w:t xml:space="preserve"> </w:t>
      </w:r>
      <w:r w:rsidRPr="003A1B04">
        <w:rPr>
          <w:rFonts w:ascii="Arial Narrow" w:hAnsi="Arial Narrow" w:cs="Arial"/>
          <w:i/>
          <w:sz w:val="24"/>
          <w:szCs w:val="24"/>
        </w:rPr>
        <w:t>al resolverlos el Tribunal de Alzada modificó la sentencia recurrida. En contra de esa resolución, el demandado promovió juicio de amparo directo en el que formuló diversos conceptos de violación, entre ellos, el relativo a la inconstitucionalidad del artículo 2150 del Código Civil para el Estado de Baja California, cuya resolución constituye la materia de estudio en el presente amparo directo en revisión.</w:t>
      </w:r>
    </w:p>
    <w:p w14:paraId="7DAE8289" w14:textId="77777777" w:rsidR="003A1B04" w:rsidRPr="00DC08F2" w:rsidRDefault="003A1B04" w:rsidP="00BC1450">
      <w:pPr>
        <w:pStyle w:val="Textoindependiente"/>
        <w:spacing w:after="0" w:line="240" w:lineRule="auto"/>
        <w:ind w:left="1276" w:right="1185"/>
        <w:jc w:val="both"/>
        <w:rPr>
          <w:rFonts w:ascii="Arial Narrow" w:hAnsi="Arial Narrow" w:cs="Arial"/>
          <w:i/>
          <w:sz w:val="10"/>
          <w:szCs w:val="10"/>
        </w:rPr>
      </w:pPr>
    </w:p>
    <w:p w14:paraId="2AD2B71C" w14:textId="77777777" w:rsidR="003A1B04" w:rsidRPr="003A1B04" w:rsidRDefault="003A1B04" w:rsidP="00067496">
      <w:pPr>
        <w:pStyle w:val="Textoindependiente"/>
        <w:spacing w:after="0" w:line="240" w:lineRule="auto"/>
        <w:ind w:left="1276" w:right="1185"/>
        <w:jc w:val="both"/>
        <w:rPr>
          <w:rFonts w:ascii="Arial Narrow" w:hAnsi="Arial Narrow" w:cs="Arial"/>
          <w:i/>
          <w:sz w:val="24"/>
          <w:szCs w:val="24"/>
        </w:rPr>
      </w:pPr>
      <w:r w:rsidRPr="00067496">
        <w:rPr>
          <w:rFonts w:ascii="Arial Narrow" w:hAnsi="Arial Narrow" w:cs="Arial"/>
          <w:b/>
          <w:i/>
          <w:sz w:val="24"/>
          <w:szCs w:val="24"/>
        </w:rPr>
        <w:t>Criterio jurídico:</w:t>
      </w:r>
      <w:r w:rsidRPr="003A1B04">
        <w:rPr>
          <w:rFonts w:ascii="Arial Narrow" w:hAnsi="Arial Narrow" w:cs="Arial"/>
          <w:i/>
          <w:sz w:val="24"/>
          <w:szCs w:val="24"/>
        </w:rPr>
        <w:t xml:space="preserve"> La Primera Sala de la Suprema Corte de Justicia de la Nación considera que las personas juzgadoras </w:t>
      </w:r>
      <w:r w:rsidRPr="003A1B04">
        <w:rPr>
          <w:rFonts w:ascii="Arial Narrow" w:hAnsi="Arial Narrow" w:cs="Arial"/>
          <w:i/>
          <w:sz w:val="24"/>
          <w:szCs w:val="24"/>
        </w:rPr>
        <w:lastRenderedPageBreak/>
        <w:t xml:space="preserve">deben seguir la siguiente metodología para realizar control de constitucionalidad y convencionalidad ex officio de las normas que deben aplicar, la cual se compone de los pasos que a continuación se explican: 1) Identificación. Identificar el derecho humano que considere podría verse vulnerado, en atención a las circunstancias fácticas del caso, mismas que se desprenden de la narración del titular del derecho o del caudal probatorio que obre en el expediente; 2) Fuente del derecho humano. Determinar la fuente de ese derecho humano, es decir, si éste se encuentra reconocido en sede constitucional y/o convencional y fijar su contenido esencial, es decir, explicar en qué consiste, a la luz tanto de su fuente primigenia como de la jurisprudencia desarrollada por el tribunal encargado de la interpretación final de la fuente; 3) Estudio de constitucionalidad y convencionalidad. Análisis de la norma sospechosa de inconstitucionalidad e </w:t>
      </w:r>
      <w:proofErr w:type="spellStart"/>
      <w:r w:rsidRPr="003A1B04">
        <w:rPr>
          <w:rFonts w:ascii="Arial Narrow" w:hAnsi="Arial Narrow" w:cs="Arial"/>
          <w:i/>
          <w:sz w:val="24"/>
          <w:szCs w:val="24"/>
        </w:rPr>
        <w:t>inconvencionalidad</w:t>
      </w:r>
      <w:proofErr w:type="spellEnd"/>
      <w:r w:rsidRPr="003A1B04">
        <w:rPr>
          <w:rFonts w:ascii="Arial Narrow" w:hAnsi="Arial Narrow" w:cs="Arial"/>
          <w:i/>
          <w:sz w:val="24"/>
          <w:szCs w:val="24"/>
        </w:rPr>
        <w:t xml:space="preserve"> a la luz del contenido esencial del derecho humano y determinar si éste es contravenido; y, 4) Determinación. Decisión sobre la constitucionalidad y/o convencionalidad de la norma, es decir, determinar si la norma es constitucional o inconstitucional, o bien, convencional o </w:t>
      </w:r>
      <w:proofErr w:type="spellStart"/>
      <w:r w:rsidRPr="003A1B04">
        <w:rPr>
          <w:rFonts w:ascii="Arial Narrow" w:hAnsi="Arial Narrow" w:cs="Arial"/>
          <w:i/>
          <w:sz w:val="24"/>
          <w:szCs w:val="24"/>
        </w:rPr>
        <w:t>inconvencional</w:t>
      </w:r>
      <w:proofErr w:type="spellEnd"/>
      <w:r w:rsidRPr="003A1B04">
        <w:rPr>
          <w:rFonts w:ascii="Arial Narrow" w:hAnsi="Arial Narrow" w:cs="Arial"/>
          <w:i/>
          <w:sz w:val="24"/>
          <w:szCs w:val="24"/>
        </w:rPr>
        <w:t xml:space="preserve">; la forma en cómo debe interpretarse y, en su caso, si ésta debe </w:t>
      </w:r>
      <w:proofErr w:type="spellStart"/>
      <w:r w:rsidRPr="003A1B04">
        <w:rPr>
          <w:rFonts w:ascii="Arial Narrow" w:hAnsi="Arial Narrow" w:cs="Arial"/>
          <w:i/>
          <w:sz w:val="24"/>
          <w:szCs w:val="24"/>
        </w:rPr>
        <w:t>inaplicarse</w:t>
      </w:r>
      <w:proofErr w:type="spellEnd"/>
      <w:r w:rsidRPr="003A1B04">
        <w:rPr>
          <w:rFonts w:ascii="Arial Narrow" w:hAnsi="Arial Narrow" w:cs="Arial"/>
          <w:i/>
          <w:sz w:val="24"/>
          <w:szCs w:val="24"/>
        </w:rPr>
        <w:t xml:space="preserve"> para el caso concreto.</w:t>
      </w:r>
    </w:p>
    <w:p w14:paraId="70C77207" w14:textId="77777777" w:rsidR="003A1B04" w:rsidRPr="00DC08F2" w:rsidRDefault="003A1B04" w:rsidP="00067496">
      <w:pPr>
        <w:pStyle w:val="Textoindependiente"/>
        <w:spacing w:after="0" w:line="240" w:lineRule="auto"/>
        <w:ind w:left="1276" w:right="1185"/>
        <w:jc w:val="both"/>
        <w:rPr>
          <w:rFonts w:ascii="Arial Narrow" w:hAnsi="Arial Narrow" w:cs="Arial"/>
          <w:i/>
          <w:sz w:val="10"/>
          <w:szCs w:val="10"/>
        </w:rPr>
      </w:pPr>
    </w:p>
    <w:p w14:paraId="5E63F3FE" w14:textId="02E50697" w:rsidR="003A1B04" w:rsidRPr="003A1B04" w:rsidRDefault="003A1B04" w:rsidP="00067496">
      <w:pPr>
        <w:pStyle w:val="Textoindependiente"/>
        <w:spacing w:after="0" w:line="240" w:lineRule="auto"/>
        <w:ind w:left="1276" w:right="1185"/>
        <w:jc w:val="both"/>
        <w:rPr>
          <w:rFonts w:ascii="Arial Narrow" w:hAnsi="Arial Narrow" w:cs="Arial"/>
          <w:i/>
          <w:sz w:val="24"/>
          <w:szCs w:val="24"/>
        </w:rPr>
      </w:pPr>
      <w:r w:rsidRPr="00067496">
        <w:rPr>
          <w:rFonts w:ascii="Arial Narrow" w:hAnsi="Arial Narrow" w:cs="Arial"/>
          <w:b/>
          <w:i/>
          <w:sz w:val="24"/>
          <w:szCs w:val="24"/>
        </w:rPr>
        <w:t>Justificación</w:t>
      </w:r>
      <w:r w:rsidRPr="003A1B04">
        <w:rPr>
          <w:rFonts w:ascii="Arial Narrow" w:hAnsi="Arial Narrow" w:cs="Arial"/>
          <w:i/>
          <w:sz w:val="24"/>
          <w:szCs w:val="24"/>
        </w:rPr>
        <w:t>: El anterior criterio parte de la obligación que tienen todas las personas juzgadoras (aun cuando no sean Jueces de control de constitucionalidad y no haya una petición expresa para realizar este tipo de control) de realizar control de constitucionalidad y convencionalidad ex officio de las normas que deben aplicar (en términos del artículo 1o. de la Constitución Política de los Estados Unidos Mexicanos), a fin de garantizar los derechos humanos tanto de fuente constitucional como convencional y a efecto de que lo realicen en los términos que ha dispuesto el Pleno de este Máximo Tribunal; dando con esta metodología una operatividad práctica a e</w:t>
      </w:r>
      <w:r w:rsidR="00067496">
        <w:rPr>
          <w:rFonts w:ascii="Arial Narrow" w:hAnsi="Arial Narrow" w:cs="Arial"/>
          <w:i/>
          <w:sz w:val="24"/>
          <w:szCs w:val="24"/>
        </w:rPr>
        <w:t>sta obligación constitucional.”</w:t>
      </w:r>
    </w:p>
    <w:p w14:paraId="3B943DA0"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0E04EB3C" w14:textId="5CB03A02"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Así como observando la tesis P. LXIX/2011(9a.), del otrora Pleno del máximo Tribunal del país, consultable en el Semanario Judicial de la Federación y su Gaceta, Décima</w:t>
      </w:r>
      <w:r w:rsidR="00067496">
        <w:rPr>
          <w:rFonts w:ascii="Arial Narrow" w:hAnsi="Arial Narrow" w:cs="Arial"/>
          <w:i/>
          <w:sz w:val="24"/>
          <w:szCs w:val="24"/>
        </w:rPr>
        <w:t xml:space="preserve"> </w:t>
      </w:r>
      <w:r w:rsidRPr="003A1B04">
        <w:rPr>
          <w:rFonts w:ascii="Arial Narrow" w:hAnsi="Arial Narrow" w:cs="Arial"/>
          <w:i/>
          <w:sz w:val="24"/>
          <w:szCs w:val="24"/>
        </w:rPr>
        <w:t>Época, Libro III, Diciembre de 2011, Tomo 1, página 552, registro digital 160525, de título y contenido siguientes:</w:t>
      </w:r>
    </w:p>
    <w:p w14:paraId="6DC106C1"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58B979CB" w14:textId="0CB981F3" w:rsidR="003A1B04" w:rsidRPr="003A1B04" w:rsidRDefault="003A1B04" w:rsidP="00067496">
      <w:pPr>
        <w:pStyle w:val="Textoindependiente"/>
        <w:spacing w:after="0" w:line="240" w:lineRule="auto"/>
        <w:ind w:left="1276" w:right="1185"/>
        <w:jc w:val="both"/>
        <w:rPr>
          <w:rFonts w:ascii="Arial Narrow" w:hAnsi="Arial Narrow" w:cs="Arial"/>
          <w:i/>
          <w:sz w:val="24"/>
          <w:szCs w:val="24"/>
        </w:rPr>
      </w:pPr>
      <w:r w:rsidRPr="00067496">
        <w:rPr>
          <w:rFonts w:ascii="Arial Narrow" w:hAnsi="Arial Narrow" w:cs="Arial"/>
          <w:b/>
          <w:i/>
          <w:sz w:val="24"/>
          <w:szCs w:val="24"/>
        </w:rPr>
        <w:t>“PASOS A SEGUIR EN EL CONTROL DE CONSTITUCIONALIDAD Y CONVENCIONALIDAD EX OFFICIO EN MATERIA DE DERECHOS HUMANOS. La</w:t>
      </w:r>
      <w:r w:rsidR="00067496">
        <w:rPr>
          <w:rFonts w:ascii="Arial Narrow" w:hAnsi="Arial Narrow" w:cs="Arial"/>
          <w:b/>
          <w:i/>
          <w:sz w:val="24"/>
          <w:szCs w:val="24"/>
        </w:rPr>
        <w:t xml:space="preserve"> </w:t>
      </w:r>
      <w:r w:rsidRPr="003A1B04">
        <w:rPr>
          <w:rFonts w:ascii="Arial Narrow" w:hAnsi="Arial Narrow" w:cs="Arial"/>
          <w:i/>
          <w:sz w:val="24"/>
          <w:szCs w:val="24"/>
        </w:rPr>
        <w:t xml:space="preserve">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officio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w:t>
      </w:r>
      <w:r w:rsidRPr="003A1B04">
        <w:rPr>
          <w:rFonts w:ascii="Arial Narrow" w:hAnsi="Arial Narrow" w:cs="Arial"/>
          <w:i/>
          <w:sz w:val="24"/>
          <w:szCs w:val="24"/>
        </w:rPr>
        <w:lastRenderedPageBreak/>
        <w:t>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p>
    <w:p w14:paraId="48BA53E0"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6227F833" w14:textId="77777777" w:rsidR="00271249" w:rsidRDefault="00271249" w:rsidP="003A1B04">
      <w:pPr>
        <w:pStyle w:val="Textoindependiente"/>
        <w:spacing w:after="0" w:line="240" w:lineRule="auto"/>
        <w:ind w:left="851" w:right="680" w:hanging="23"/>
        <w:jc w:val="both"/>
        <w:rPr>
          <w:rFonts w:ascii="Arial Narrow" w:hAnsi="Arial Narrow" w:cs="Arial"/>
          <w:b/>
          <w:i/>
          <w:sz w:val="24"/>
          <w:szCs w:val="24"/>
        </w:rPr>
      </w:pPr>
    </w:p>
    <w:p w14:paraId="32699744" w14:textId="77777777" w:rsidR="00271249" w:rsidRDefault="00271249" w:rsidP="003A1B04">
      <w:pPr>
        <w:pStyle w:val="Textoindependiente"/>
        <w:spacing w:after="0" w:line="240" w:lineRule="auto"/>
        <w:ind w:left="851" w:right="680" w:hanging="23"/>
        <w:jc w:val="both"/>
        <w:rPr>
          <w:rFonts w:ascii="Arial Narrow" w:hAnsi="Arial Narrow" w:cs="Arial"/>
          <w:b/>
          <w:i/>
          <w:sz w:val="24"/>
          <w:szCs w:val="24"/>
        </w:rPr>
      </w:pPr>
    </w:p>
    <w:p w14:paraId="2F308CE5" w14:textId="77777777" w:rsidR="003A1B04" w:rsidRPr="00067496" w:rsidRDefault="003A1B04" w:rsidP="003A1B04">
      <w:pPr>
        <w:pStyle w:val="Textoindependiente"/>
        <w:spacing w:after="0" w:line="240" w:lineRule="auto"/>
        <w:ind w:left="851" w:right="680" w:hanging="23"/>
        <w:jc w:val="both"/>
        <w:rPr>
          <w:rFonts w:ascii="Arial Narrow" w:hAnsi="Arial Narrow" w:cs="Arial"/>
          <w:b/>
          <w:i/>
          <w:sz w:val="24"/>
          <w:szCs w:val="24"/>
        </w:rPr>
      </w:pPr>
      <w:r w:rsidRPr="00067496">
        <w:rPr>
          <w:rFonts w:ascii="Arial Narrow" w:hAnsi="Arial Narrow" w:cs="Arial"/>
          <w:b/>
          <w:i/>
          <w:sz w:val="24"/>
          <w:szCs w:val="24"/>
        </w:rPr>
        <w:t>E1) Identificación.</w:t>
      </w:r>
    </w:p>
    <w:p w14:paraId="6185D06D"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En el caso, se observa que el derecho que se vulnera es el de tutela judicial efectiva, entendido en su dimensión de obtención de justicia completa e imparcial, el cual ha quedado desarrollado previamente.</w:t>
      </w:r>
    </w:p>
    <w:p w14:paraId="6599D324"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5945FB58" w14:textId="77777777" w:rsidR="003A1B04" w:rsidRPr="00067496" w:rsidRDefault="003A1B04" w:rsidP="003A1B04">
      <w:pPr>
        <w:pStyle w:val="Textoindependiente"/>
        <w:spacing w:after="0" w:line="240" w:lineRule="auto"/>
        <w:ind w:left="851" w:right="680" w:hanging="23"/>
        <w:jc w:val="both"/>
        <w:rPr>
          <w:rFonts w:ascii="Arial Narrow" w:hAnsi="Arial Narrow" w:cs="Arial"/>
          <w:b/>
          <w:i/>
          <w:sz w:val="24"/>
          <w:szCs w:val="24"/>
        </w:rPr>
      </w:pPr>
      <w:r w:rsidRPr="00067496">
        <w:rPr>
          <w:rFonts w:ascii="Arial Narrow" w:hAnsi="Arial Narrow" w:cs="Arial"/>
          <w:b/>
          <w:i/>
          <w:sz w:val="24"/>
          <w:szCs w:val="24"/>
        </w:rPr>
        <w:t>E2) Fuente.</w:t>
      </w:r>
    </w:p>
    <w:p w14:paraId="641CEB41"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La fuente del derecho referido se encuentra en el artículo 17 Constitucional, el cual, como se ha dicho en páginas precedentes, comprende el derecho de acción, que permite acudir a los tribunales para hacer valer las pretensiones que se estimen pertinentes.</w:t>
      </w:r>
    </w:p>
    <w:p w14:paraId="447A0BF5"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19298CB3" w14:textId="77777777" w:rsidR="003A1B04" w:rsidRPr="00067496" w:rsidRDefault="003A1B04" w:rsidP="003A1B04">
      <w:pPr>
        <w:pStyle w:val="Textoindependiente"/>
        <w:spacing w:after="0" w:line="240" w:lineRule="auto"/>
        <w:ind w:left="851" w:right="680" w:hanging="23"/>
        <w:jc w:val="both"/>
        <w:rPr>
          <w:rFonts w:ascii="Arial Narrow" w:hAnsi="Arial Narrow" w:cs="Arial"/>
          <w:b/>
          <w:i/>
          <w:sz w:val="24"/>
          <w:szCs w:val="24"/>
        </w:rPr>
      </w:pPr>
      <w:r w:rsidRPr="003A1B04">
        <w:rPr>
          <w:rFonts w:ascii="Arial Narrow" w:hAnsi="Arial Narrow" w:cs="Arial"/>
          <w:i/>
          <w:sz w:val="24"/>
          <w:szCs w:val="24"/>
        </w:rPr>
        <w:t xml:space="preserve">Asimismo, se reitera que para poder concluir que existe un </w:t>
      </w:r>
      <w:r w:rsidRPr="00067496">
        <w:rPr>
          <w:rFonts w:ascii="Arial Narrow" w:hAnsi="Arial Narrow" w:cs="Arial"/>
          <w:b/>
          <w:i/>
          <w:sz w:val="24"/>
          <w:szCs w:val="24"/>
        </w:rPr>
        <w:t>verdadero acceso a la jurisdicción o a los tribunales</w:t>
      </w:r>
      <w:r w:rsidRPr="003A1B04">
        <w:rPr>
          <w:rFonts w:ascii="Arial Narrow" w:hAnsi="Arial Narrow" w:cs="Arial"/>
          <w:i/>
          <w:sz w:val="24"/>
          <w:szCs w:val="24"/>
        </w:rPr>
        <w:t xml:space="preserve">, es necesario que previamente se advierta que </w:t>
      </w:r>
      <w:r w:rsidRPr="00067496">
        <w:rPr>
          <w:rFonts w:ascii="Arial Narrow" w:hAnsi="Arial Narrow" w:cs="Arial"/>
          <w:b/>
          <w:i/>
          <w:sz w:val="24"/>
          <w:szCs w:val="24"/>
        </w:rPr>
        <w:t>no existen impedimentos jurídicos o fácticos que resulten carentes de racionalidad, proporcionalidad o que resulten discriminatorios; pues una restricción desproporcionada a ese derecho representaría una transgresión al artículo 17 Constitucional.</w:t>
      </w:r>
    </w:p>
    <w:p w14:paraId="6A076892"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3943960F" w14:textId="77777777" w:rsidR="003A1B04" w:rsidRPr="00067496" w:rsidRDefault="003A1B04" w:rsidP="003A1B04">
      <w:pPr>
        <w:pStyle w:val="Textoindependiente"/>
        <w:spacing w:after="0" w:line="240" w:lineRule="auto"/>
        <w:ind w:left="851" w:right="680" w:hanging="23"/>
        <w:jc w:val="both"/>
        <w:rPr>
          <w:rFonts w:ascii="Arial Narrow" w:hAnsi="Arial Narrow" w:cs="Arial"/>
          <w:b/>
          <w:i/>
          <w:sz w:val="24"/>
          <w:szCs w:val="24"/>
        </w:rPr>
      </w:pPr>
      <w:r w:rsidRPr="00067496">
        <w:rPr>
          <w:rFonts w:ascii="Arial Narrow" w:hAnsi="Arial Narrow" w:cs="Arial"/>
          <w:b/>
          <w:i/>
          <w:sz w:val="24"/>
          <w:szCs w:val="24"/>
        </w:rPr>
        <w:t>E3) Estudio.</w:t>
      </w:r>
    </w:p>
    <w:p w14:paraId="6A81C5FA" w14:textId="74B3E75C"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A la</w:t>
      </w:r>
      <w:r w:rsidR="00067496">
        <w:rPr>
          <w:rFonts w:ascii="Arial Narrow" w:hAnsi="Arial Narrow" w:cs="Arial"/>
          <w:i/>
          <w:sz w:val="24"/>
          <w:szCs w:val="24"/>
        </w:rPr>
        <w:t xml:space="preserve"> luz de un escrutinio estricto</w:t>
      </w:r>
      <w:r w:rsidRPr="003A1B04">
        <w:rPr>
          <w:rFonts w:ascii="Arial Narrow" w:hAnsi="Arial Narrow" w:cs="Arial"/>
          <w:i/>
          <w:sz w:val="24"/>
          <w:szCs w:val="24"/>
        </w:rPr>
        <w:t>, por versar el asunto sobre el derecho a la tutela judicial efectiva, en su vertiente de obtención de justicia completa e imparcial, se concluye que el artículo 152, fracción II, del Código Procesal Administrativo del Estado de San Luis Potosí, restringe desproporcionalmente a los particulares el derecho a impugnar sentencias dictadas por las Salas Unitarias del Tribunal Estatal de Justicia Administrativa, respecto de los asuntos cuya cuantía no excede de mil quinientas veces el valor diario de la Unidad de Medida y Actualización, así como de los que son de cuantía indeterminada.</w:t>
      </w:r>
    </w:p>
    <w:p w14:paraId="0F94EDCD"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5F738D1D"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Pues para ello exige que la materia del asunto sea de “importancia y trascendencia”, y que se justifique por qué ese asunto reviste tales características, sin que se advierta una razón lógica o válida para imponer esa carga extra a los particulares.</w:t>
      </w:r>
    </w:p>
    <w:p w14:paraId="6EF981DA"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6ED23BA5" w14:textId="24596BEE"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En efecto, se advierte, como hecho notorio, que el contenido de la fracción II del referido artículo 152 del Código Procesal Administrativo es idéntico al de la misma fracción pero del numeral 63 de la Ley Federal de Procedimiento  Conte</w:t>
      </w:r>
      <w:r w:rsidR="00067496">
        <w:rPr>
          <w:rFonts w:ascii="Arial Narrow" w:hAnsi="Arial Narrow" w:cs="Arial"/>
          <w:i/>
          <w:sz w:val="24"/>
          <w:szCs w:val="24"/>
        </w:rPr>
        <w:t xml:space="preserve">ncioso  Administrativo16, </w:t>
      </w:r>
      <w:r w:rsidRPr="003A1B04">
        <w:rPr>
          <w:rFonts w:ascii="Arial Narrow" w:hAnsi="Arial Narrow" w:cs="Arial"/>
          <w:i/>
          <w:sz w:val="24"/>
          <w:szCs w:val="24"/>
        </w:rPr>
        <w:t>el cual</w:t>
      </w:r>
      <w:r w:rsidR="00067496">
        <w:rPr>
          <w:rFonts w:ascii="Arial Narrow" w:hAnsi="Arial Narrow" w:cs="Arial"/>
          <w:i/>
          <w:sz w:val="24"/>
          <w:szCs w:val="24"/>
        </w:rPr>
        <w:t xml:space="preserve"> </w:t>
      </w:r>
      <w:r w:rsidRPr="003A1B04">
        <w:rPr>
          <w:rFonts w:ascii="Arial Narrow" w:hAnsi="Arial Narrow" w:cs="Arial"/>
          <w:i/>
          <w:sz w:val="24"/>
          <w:szCs w:val="24"/>
        </w:rPr>
        <w:t>contempla el recurso de revisión contra las resoluciones ahí mencionadas, emitidas por el Tribunal Federal de Justicia Administrativa.</w:t>
      </w:r>
    </w:p>
    <w:p w14:paraId="12472207"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09A76426" w14:textId="3B5BECD4" w:rsidR="003A1B04" w:rsidRPr="00067496"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Sin embargo, también es un hecho notorio que dicho recurso de revisión tiene características propias que lo distinguen, pues se ha considerado </w:t>
      </w:r>
      <w:r w:rsidRPr="00067496">
        <w:rPr>
          <w:rFonts w:ascii="Arial Narrow" w:hAnsi="Arial Narrow" w:cs="Arial"/>
          <w:b/>
          <w:i/>
          <w:sz w:val="24"/>
          <w:szCs w:val="24"/>
        </w:rPr>
        <w:t>un medio de defensa del que disponen únicamente las autoridades en un juicio contencioso administrativo, de un carácter excepc</w:t>
      </w:r>
      <w:r w:rsidR="00067496" w:rsidRPr="00067496">
        <w:rPr>
          <w:rFonts w:ascii="Arial Narrow" w:hAnsi="Arial Narrow" w:cs="Arial"/>
          <w:b/>
          <w:i/>
          <w:sz w:val="24"/>
          <w:szCs w:val="24"/>
        </w:rPr>
        <w:t xml:space="preserve">ional, restrictivo y selectivo </w:t>
      </w:r>
      <w:r w:rsidRPr="00067496">
        <w:rPr>
          <w:rFonts w:ascii="Arial Narrow" w:hAnsi="Arial Narrow" w:cs="Arial"/>
          <w:b/>
          <w:i/>
          <w:sz w:val="24"/>
          <w:szCs w:val="24"/>
        </w:rPr>
        <w:t xml:space="preserve"> en cuanto a su</w:t>
      </w:r>
      <w:r w:rsidR="00067496" w:rsidRPr="00067496">
        <w:rPr>
          <w:rFonts w:ascii="Arial Narrow" w:hAnsi="Arial Narrow" w:cs="Arial"/>
          <w:b/>
          <w:i/>
          <w:sz w:val="24"/>
          <w:szCs w:val="24"/>
        </w:rPr>
        <w:t xml:space="preserve"> </w:t>
      </w:r>
      <w:r w:rsidRPr="00067496">
        <w:rPr>
          <w:rFonts w:ascii="Arial Narrow" w:hAnsi="Arial Narrow" w:cs="Arial"/>
          <w:b/>
          <w:i/>
          <w:sz w:val="24"/>
          <w:szCs w:val="24"/>
        </w:rPr>
        <w:t xml:space="preserve">procedencia, </w:t>
      </w:r>
      <w:r w:rsidRPr="00067496">
        <w:rPr>
          <w:rFonts w:ascii="Arial Narrow" w:hAnsi="Arial Narrow" w:cs="Arial"/>
          <w:i/>
          <w:sz w:val="24"/>
          <w:szCs w:val="24"/>
        </w:rPr>
        <w:t>reservándola únicamente a ciertos casos que por su cuantía, o por la importancia y trascendencia que revistan los asuntos que se pretenden revisar, ameriten la instauración de una instancia adicional.</w:t>
      </w:r>
    </w:p>
    <w:p w14:paraId="75B9CE2F"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7427CCBE"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En efecto, su implementación en el artículo 104 Constitucional18 tuvo por objeto, en mil novecientos cuarenta y seis, el establecimiento de un recurso ante la Suprema Corte de Justicia de la Nación, </w:t>
      </w:r>
      <w:r w:rsidRPr="00067496">
        <w:rPr>
          <w:rFonts w:ascii="Arial Narrow" w:hAnsi="Arial Narrow" w:cs="Arial"/>
          <w:b/>
          <w:i/>
          <w:sz w:val="24"/>
          <w:szCs w:val="24"/>
        </w:rPr>
        <w:t>tendiente a proteger los intereses públicos</w:t>
      </w:r>
      <w:r w:rsidRPr="003A1B04">
        <w:rPr>
          <w:rFonts w:ascii="Arial Narrow" w:hAnsi="Arial Narrow" w:cs="Arial"/>
          <w:i/>
          <w:sz w:val="24"/>
          <w:szCs w:val="24"/>
        </w:rPr>
        <w:t>, pues a través del juicio de amparo únicamente se dirimían cuestiones que afectaran el interés privado.</w:t>
      </w:r>
    </w:p>
    <w:p w14:paraId="35E695FA"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6A146286"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Posteriormente, y en atención a la carga de trabajo que se generó en la entonces Sala administrativa del Alto Tribunal, en mil novecientos sesenta y siete el legislador decidió modificar el artículo 104 Constitucional, a fin de restringir el ámbito de procedencia de la llamada revisión fiscal ante la Suprema Corte de Justicia de la Nación, de modo que procediera solamente en casos excepcionales, atendiendo a la importancia y trascendencia que para el interés nacional implicaran los negocios respectivos.</w:t>
      </w:r>
    </w:p>
    <w:p w14:paraId="2B148C31"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2640848D"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Después, en lo que interesa, en mil novecientos ochenta y siete se determinó que el conocimiento del recurso de revisión fiscal correspondiera en forma exclusiva a los Tribunales Colegiados de Circuito.</w:t>
      </w:r>
    </w:p>
    <w:p w14:paraId="1429D42A"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23BD18EA"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Esta evolución del citado numeral Constitucional, así como de la legislación secundaria respectiva, ha permitido al máximo Tribunal del país concluir que existe una constante intención del legislador de dotar a dicho medio de defensa de un carácter excepcional en cuanto a su procedencia, reservándola únicamente a ciertos casos que por su cuantía, o por la importancia y trascendencia que revistan los asuntos que se pretenden revisar a través de su interposición, ameriten la instauración de una instancia adicional.</w:t>
      </w:r>
    </w:p>
    <w:p w14:paraId="287191B1"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27EEEE1F"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Es aplicable la jurisprudencia 2a./J. 220/2007, de la extinta Segunda Sala del Alto Tribunal, visible en el Semanario Judicial de la Federación y su Gaceta, Novena Época, Tomo XXVI, diciembre de 2007, página 217, registro digital 170596, que establece:</w:t>
      </w:r>
    </w:p>
    <w:p w14:paraId="5099615F" w14:textId="77777777" w:rsidR="00067496" w:rsidRPr="00DC08F2" w:rsidRDefault="00067496" w:rsidP="00DC08F2">
      <w:pPr>
        <w:pStyle w:val="Textoindependiente"/>
        <w:spacing w:after="0" w:line="240" w:lineRule="auto"/>
        <w:ind w:left="1276" w:right="1185"/>
        <w:jc w:val="both"/>
        <w:rPr>
          <w:rFonts w:ascii="Arial Narrow" w:hAnsi="Arial Narrow" w:cs="Arial"/>
          <w:i/>
          <w:sz w:val="10"/>
          <w:szCs w:val="10"/>
        </w:rPr>
      </w:pPr>
    </w:p>
    <w:p w14:paraId="59363367" w14:textId="60A38E4F" w:rsidR="003A1B04" w:rsidRPr="003A1B04" w:rsidRDefault="003A1B04" w:rsidP="00067496">
      <w:pPr>
        <w:pStyle w:val="Textoindependiente"/>
        <w:tabs>
          <w:tab w:val="left" w:pos="7088"/>
        </w:tabs>
        <w:spacing w:after="0" w:line="240" w:lineRule="auto"/>
        <w:ind w:left="1276" w:right="1185"/>
        <w:jc w:val="both"/>
        <w:rPr>
          <w:rFonts w:ascii="Arial Narrow" w:hAnsi="Arial Narrow" w:cs="Arial"/>
          <w:i/>
          <w:sz w:val="24"/>
          <w:szCs w:val="24"/>
        </w:rPr>
      </w:pPr>
      <w:r w:rsidRPr="00067496">
        <w:rPr>
          <w:rFonts w:ascii="Arial Narrow" w:hAnsi="Arial Narrow" w:cs="Arial"/>
          <w:b/>
          <w:i/>
          <w:sz w:val="24"/>
          <w:szCs w:val="24"/>
        </w:rPr>
        <w:t xml:space="preserve">“REVISIÓN FISCAL. ES IMPROCEDENTE DICHO RECURSO CONTRA LAS SENTENCIAS DE LAS SALAS REGIONALES DEL TRIBUNAL FEDERAL DE JUSTICIA FISCAL Y ADMINISTRATIVA QUE DECLAREN LA NULIDAD POR VICIOS FORMALES DE LA RESOLUCIÓN DEL </w:t>
      </w:r>
      <w:r w:rsidRPr="00067496">
        <w:rPr>
          <w:rFonts w:ascii="Arial Narrow" w:hAnsi="Arial Narrow" w:cs="Arial"/>
          <w:b/>
          <w:i/>
          <w:sz w:val="24"/>
          <w:szCs w:val="24"/>
        </w:rPr>
        <w:lastRenderedPageBreak/>
        <w:t>INSTITUTO MEXICANO DEL SEGURO SOCIAL RELATIVA AL GRADO DE RIESGO DE LAS EMPRESAS.</w:t>
      </w:r>
      <w:r w:rsidR="00067496">
        <w:rPr>
          <w:rFonts w:ascii="Arial Narrow" w:hAnsi="Arial Narrow" w:cs="Arial"/>
          <w:b/>
          <w:i/>
          <w:sz w:val="24"/>
          <w:szCs w:val="24"/>
        </w:rPr>
        <w:t xml:space="preserve"> </w:t>
      </w:r>
      <w:r w:rsidRPr="00067496">
        <w:rPr>
          <w:rFonts w:ascii="Arial Narrow" w:hAnsi="Arial Narrow" w:cs="Arial"/>
          <w:b/>
          <w:i/>
          <w:sz w:val="24"/>
          <w:szCs w:val="24"/>
        </w:rPr>
        <w:t>De la reforma al recurso de revisión fiscal, se advierte una constante intención del legislador de dotar a dicho medio de defensa de un carácter excepcional en cuanto a su procedencia, reservándola únicamente a ciertos casos que por su cuantía, o por la importancia y trascendencia que revistan los asuntos que se pretenden revisar a través de su interposición, ameriten la instauración de una instancia adicional</w:t>
      </w:r>
      <w:r w:rsidRPr="003A1B04">
        <w:rPr>
          <w:rFonts w:ascii="Arial Narrow" w:hAnsi="Arial Narrow" w:cs="Arial"/>
          <w:i/>
          <w:sz w:val="24"/>
          <w:szCs w:val="24"/>
        </w:rPr>
        <w:t>. En tal virtud, aun cuando la fracción V, del artículo 248, del Código Fiscal de la Federación vigente hasta el treinta y uno de diciembre de dos mil cinco (actualmente fracción VI, del artículo 63, de la Ley Federal de Procedimiento Contencioso Administrativo), dispone que el recurso será procedente cuando la sentencia recurrida verse sobre una resolución en materia de aportaciones de seguridad social, sobre la determinación de sujetos obligados, de conceptos que integren la base de cotización o sobre el grado de riesgo de las empresas para los efectos del seguro de riesgos del trabajo, y si bien es cierto no distingue en cuanto a si la resolución recurrida debe consistir en un pronunciamiento de fondo del asunto o si basta con que la resolución se hubiera declarado nula por vicios formales, lo cierto es que en este último supuesto no se puede considerar satisfecha la presunción de importancia y trascendencia que justifique la procedencia de dicho medio de impugnación, puesto que implicaría que el análisis efectuado por el Tribunal Colegiado, se hiciera consistir en una cuestión ajena a la materia que consideró el legislador como importante y trascendente, lo que sería contrario a la naturaleza excepcional del mencionado recurso.”</w:t>
      </w:r>
    </w:p>
    <w:p w14:paraId="0F5EE95C"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(Énfasis añadido)</w:t>
      </w:r>
    </w:p>
    <w:p w14:paraId="60695C11"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44FDD0D1"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Como se observa de lo anteriormente expuesto, se ha justificado la restricción de la procedencia del recurso de revisión fiscal previsto en el artículo 63 de la Ley Federal de Procedimiento Contencioso Administrativo, en atención a que se trata de un medio de defensa extraordinario disponible sólo para las autoridades, tendente a proteger los intereses públicos y en virtud de la importancia y trascendencia que para el interés nacional implicaran los negocios respectivos.</w:t>
      </w:r>
    </w:p>
    <w:p w14:paraId="5840B731"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4B7EEA0F" w14:textId="10A8A2C4"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Además de que </w:t>
      </w:r>
      <w:r w:rsidRPr="00067496">
        <w:rPr>
          <w:rFonts w:ascii="Arial Narrow" w:hAnsi="Arial Narrow" w:cs="Arial"/>
          <w:b/>
          <w:i/>
          <w:sz w:val="24"/>
          <w:szCs w:val="24"/>
        </w:rPr>
        <w:t>ese recurso de revisión está al alcance únicamente de las autoridades, quienes carecen de legitimación para promover el juicio de amparo</w:t>
      </w:r>
      <w:r w:rsidRPr="003A1B04">
        <w:rPr>
          <w:rFonts w:ascii="Arial Narrow" w:hAnsi="Arial Narrow" w:cs="Arial"/>
          <w:i/>
          <w:sz w:val="24"/>
          <w:szCs w:val="24"/>
        </w:rPr>
        <w:t xml:space="preserve"> contra las sentencias dictadas en los juicios contenciosos administrativos.</w:t>
      </w:r>
    </w:p>
    <w:p w14:paraId="6512761B"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1049D050"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Caso distinto al recurso de apelación previsto en el artículo 152 del Código Procesal Administrativo del Estado, pues </w:t>
      </w:r>
      <w:r w:rsidRPr="00067496">
        <w:rPr>
          <w:rFonts w:ascii="Arial Narrow" w:hAnsi="Arial Narrow" w:cs="Arial"/>
          <w:b/>
          <w:i/>
          <w:sz w:val="24"/>
          <w:szCs w:val="24"/>
        </w:rPr>
        <w:t xml:space="preserve">éste no está disponible sólo para las autoridades sino también para los particulares, y por tanto no puede considerarse que tienda a </w:t>
      </w:r>
      <w:r w:rsidRPr="00067496">
        <w:rPr>
          <w:rFonts w:ascii="Arial Narrow" w:hAnsi="Arial Narrow" w:cs="Arial"/>
          <w:b/>
          <w:i/>
          <w:sz w:val="24"/>
          <w:szCs w:val="24"/>
        </w:rPr>
        <w:lastRenderedPageBreak/>
        <w:t>proteger los intereses públicos</w:t>
      </w:r>
      <w:r w:rsidRPr="003A1B04">
        <w:rPr>
          <w:rFonts w:ascii="Arial Narrow" w:hAnsi="Arial Narrow" w:cs="Arial"/>
          <w:i/>
          <w:sz w:val="24"/>
          <w:szCs w:val="24"/>
        </w:rPr>
        <w:t>, en virtud de la importancia y trascendencia que para el interés nacional puedan implicar los negocios respectivos.</w:t>
      </w:r>
    </w:p>
    <w:p w14:paraId="7AC9531E"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18869FBC"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Así, se tiene que </w:t>
      </w:r>
      <w:r w:rsidRPr="00067496">
        <w:rPr>
          <w:rFonts w:ascii="Arial Narrow" w:hAnsi="Arial Narrow" w:cs="Arial"/>
          <w:b/>
          <w:i/>
          <w:sz w:val="24"/>
          <w:szCs w:val="24"/>
        </w:rPr>
        <w:t>el legislador local empleó en forma literal</w:t>
      </w:r>
      <w:r w:rsidRPr="003A1B04">
        <w:rPr>
          <w:rFonts w:ascii="Arial Narrow" w:hAnsi="Arial Narrow" w:cs="Arial"/>
          <w:i/>
          <w:sz w:val="24"/>
          <w:szCs w:val="24"/>
        </w:rPr>
        <w:t xml:space="preserve"> la fracción II del artículo 63 de la Ley Federal de Procedimiento Contencioso Administrativo, </w:t>
      </w:r>
      <w:r w:rsidRPr="00067496">
        <w:rPr>
          <w:rFonts w:ascii="Arial Narrow" w:hAnsi="Arial Narrow" w:cs="Arial"/>
          <w:b/>
          <w:i/>
          <w:sz w:val="24"/>
          <w:szCs w:val="24"/>
        </w:rPr>
        <w:t xml:space="preserve">sin ponderar que la restricción ahí prevista tuvo por objeto restringir la impugnación de las resoluciones a las autoridades y no a los particulares, </w:t>
      </w:r>
      <w:r w:rsidRPr="003A1B04">
        <w:rPr>
          <w:rFonts w:ascii="Arial Narrow" w:hAnsi="Arial Narrow" w:cs="Arial"/>
          <w:i/>
          <w:sz w:val="24"/>
          <w:szCs w:val="24"/>
        </w:rPr>
        <w:t>para asuntos de verdadera relevancia para el Estado.</w:t>
      </w:r>
    </w:p>
    <w:p w14:paraId="7FAAB042"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5238C052"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En consecuencia, no se advierten motivos objetivos para restringir la procedencia del recurso de apelación, </w:t>
      </w:r>
      <w:r w:rsidRPr="00067496">
        <w:rPr>
          <w:rFonts w:ascii="Arial Narrow" w:hAnsi="Arial Narrow" w:cs="Arial"/>
          <w:b/>
          <w:i/>
          <w:sz w:val="24"/>
          <w:szCs w:val="24"/>
        </w:rPr>
        <w:t>respecto de los particulares</w:t>
      </w:r>
      <w:r w:rsidRPr="003A1B04">
        <w:rPr>
          <w:rFonts w:ascii="Arial Narrow" w:hAnsi="Arial Narrow" w:cs="Arial"/>
          <w:i/>
          <w:sz w:val="24"/>
          <w:szCs w:val="24"/>
        </w:rPr>
        <w:t>, a aquellos asuntos de “importancia y trascendencia”, y que además el recurrente tenga que justificar esta circunstancia.</w:t>
      </w:r>
    </w:p>
    <w:p w14:paraId="6636FCCD"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3874981F" w14:textId="0249A2A2"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Ahora, no se soslaya que pudiera argumentarse que el legislador local determinó restringir la procedencia del recurso de apelación atendiendo a la mayor urgencia de obtener una decisión definitiva en los asuntos cuya cuantía sea indeterminada o inferior a mil </w:t>
      </w:r>
      <w:r w:rsidR="00067496">
        <w:rPr>
          <w:rFonts w:ascii="Arial Narrow" w:hAnsi="Arial Narrow" w:cs="Arial"/>
          <w:i/>
          <w:sz w:val="24"/>
          <w:szCs w:val="24"/>
        </w:rPr>
        <w:t xml:space="preserve">quinientas veces el </w:t>
      </w:r>
      <w:proofErr w:type="spellStart"/>
      <w:r w:rsidR="00067496">
        <w:rPr>
          <w:rFonts w:ascii="Arial Narrow" w:hAnsi="Arial Narrow" w:cs="Arial"/>
          <w:i/>
          <w:sz w:val="24"/>
          <w:szCs w:val="24"/>
        </w:rPr>
        <w:t>valor</w:t>
      </w:r>
      <w:r w:rsidRPr="003A1B04">
        <w:rPr>
          <w:rFonts w:ascii="Arial Narrow" w:hAnsi="Arial Narrow" w:cs="Arial"/>
          <w:i/>
          <w:sz w:val="24"/>
          <w:szCs w:val="24"/>
        </w:rPr>
        <w:t>diario</w:t>
      </w:r>
      <w:proofErr w:type="spellEnd"/>
      <w:r w:rsidRPr="003A1B04">
        <w:rPr>
          <w:rFonts w:ascii="Arial Narrow" w:hAnsi="Arial Narrow" w:cs="Arial"/>
          <w:i/>
          <w:sz w:val="24"/>
          <w:szCs w:val="24"/>
        </w:rPr>
        <w:t xml:space="preserve"> de la Unidad de Medida y Actualización, y evitar los costos que implican juicios prolongados y complejos, por lo que la finalidad perseguida por la norma, a saber, la celeridad en los juicios contenciosos administrativos y la eficiencia y eficacia de la función pública de administración de justicia, es constitucionalmente legítima, no por el fin respecto de los órganos encargados de administrar justicia, sino por lo que para las partes implica el seguir y retrasar el juicio, y las consecuencias que ello representa en su actividad.</w:t>
      </w:r>
    </w:p>
    <w:p w14:paraId="6BFCBD9E"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5A0346DD"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Sin embargo, existe una circunstancia que impide llegar a esta conclusión, consistente en la </w:t>
      </w:r>
      <w:r w:rsidRPr="00067496">
        <w:rPr>
          <w:rFonts w:ascii="Arial Narrow" w:hAnsi="Arial Narrow" w:cs="Arial"/>
          <w:b/>
          <w:i/>
          <w:sz w:val="24"/>
          <w:szCs w:val="24"/>
        </w:rPr>
        <w:t>indefinición de los conceptos de “importancia y trascendencia”.</w:t>
      </w:r>
    </w:p>
    <w:p w14:paraId="4AC27EDA"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2289409F"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En efecto, en el Código Procesal Administrativo no se proporcionan elementos suficientes para estar en aptitud de precisar, objetivamente, los casos en que se colman esos supuestos de importancia y trascendencia en un caso concreto.</w:t>
      </w:r>
    </w:p>
    <w:p w14:paraId="0680DBEC"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18819D24"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Luego, esta indefinición produce en los particulares un estado de inseguridad jurídica –en su sentido más básico que tutela el “saber a qué atenerse”, pues si optan por interponer el recurso de apelación porque a su consideración el asunto es importante y trascendente, corren el riesgo de que la autoridad estime lo contrario y lo deseche por improcedente, con lo que podría </w:t>
      </w:r>
      <w:proofErr w:type="spellStart"/>
      <w:r w:rsidRPr="003A1B04">
        <w:rPr>
          <w:rFonts w:ascii="Arial Narrow" w:hAnsi="Arial Narrow" w:cs="Arial"/>
          <w:i/>
          <w:sz w:val="24"/>
          <w:szCs w:val="24"/>
        </w:rPr>
        <w:t>precluir</w:t>
      </w:r>
      <w:proofErr w:type="spellEnd"/>
      <w:r w:rsidRPr="003A1B04">
        <w:rPr>
          <w:rFonts w:ascii="Arial Narrow" w:hAnsi="Arial Narrow" w:cs="Arial"/>
          <w:i/>
          <w:sz w:val="24"/>
          <w:szCs w:val="24"/>
        </w:rPr>
        <w:t xml:space="preserve"> la posibilidad de acudir al amparo directo.</w:t>
      </w:r>
    </w:p>
    <w:p w14:paraId="3F762E97"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33E63FC2"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En cambio, si deciden instar la vía constitucional, también existe el peligro de que el Tribunal Colegiado sobresea porque no se agotó la apelación, con lo que podría haber precluido la oportunidad de interponer ese recurso.</w:t>
      </w:r>
    </w:p>
    <w:p w14:paraId="2328B458"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6B9B56A7"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Es decir, se trata de una trampa procesal impuesta por el legislador en perjuicio de los gobernados, ya que de elegir una vía en automático podría tornarse improcedente la otra, lo que sin duda restringe de manera desproporcional el derecho a la tutela judicial efectiva, entendido en su dimensión de obtención de justicia completa e imparcial, y asimismo los coloca en inseguridad jurídica al impedirles acceder a un recurso judicial efectivo, que sea sencillo y eficaz para el fin pretendido.</w:t>
      </w:r>
    </w:p>
    <w:p w14:paraId="415837D5"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7062C742"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En efecto, pudiera considerarse que la intervención a ese derecho persigue el fin legítimo de proporcionar celeridad a los juicios contencioso administrativos; que de igual forma resulta idónea para satisfacer, al </w:t>
      </w:r>
      <w:r w:rsidRPr="003A1B04">
        <w:rPr>
          <w:rFonts w:ascii="Arial Narrow" w:hAnsi="Arial Narrow" w:cs="Arial"/>
          <w:i/>
          <w:sz w:val="24"/>
          <w:szCs w:val="24"/>
        </w:rPr>
        <w:lastRenderedPageBreak/>
        <w:t>menos en alguna medida, dicho propósito; y que no existan otras medidas menos lesivas para lograr dicho fin.</w:t>
      </w:r>
    </w:p>
    <w:p w14:paraId="188329DD"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7AE9B290"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Sin embargo, la fracción II del artículo 152 del Código Procesal Administrativo no supera el test de proporcionalidad en su último paso20, que dispone que el grado de realización del fin perseguido </w:t>
      </w:r>
      <w:proofErr w:type="gramStart"/>
      <w:r w:rsidRPr="003A1B04">
        <w:rPr>
          <w:rFonts w:ascii="Arial Narrow" w:hAnsi="Arial Narrow" w:cs="Arial"/>
          <w:i/>
          <w:sz w:val="24"/>
          <w:szCs w:val="24"/>
        </w:rPr>
        <w:t>debe</w:t>
      </w:r>
      <w:proofErr w:type="gramEnd"/>
      <w:r w:rsidRPr="003A1B04">
        <w:rPr>
          <w:rFonts w:ascii="Arial Narrow" w:hAnsi="Arial Narrow" w:cs="Arial"/>
          <w:i/>
          <w:sz w:val="24"/>
          <w:szCs w:val="24"/>
        </w:rPr>
        <w:t xml:space="preserve"> ser mayor al grado de afectación provocado al derecho fundamental por la medida impugnada.</w:t>
      </w:r>
    </w:p>
    <w:p w14:paraId="72742FC0"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6E58D940" w14:textId="77777777" w:rsidR="003A1B04" w:rsidRPr="00890BD4" w:rsidRDefault="003A1B04" w:rsidP="003A1B04">
      <w:pPr>
        <w:pStyle w:val="Textoindependiente"/>
        <w:spacing w:after="0" w:line="240" w:lineRule="auto"/>
        <w:ind w:left="851" w:right="680" w:hanging="23"/>
        <w:jc w:val="both"/>
        <w:rPr>
          <w:rFonts w:ascii="Arial Narrow" w:hAnsi="Arial Narrow" w:cs="Arial"/>
          <w:b/>
          <w:i/>
          <w:sz w:val="24"/>
          <w:szCs w:val="24"/>
        </w:rPr>
      </w:pPr>
      <w:r w:rsidRPr="003A1B04">
        <w:rPr>
          <w:rFonts w:ascii="Arial Narrow" w:hAnsi="Arial Narrow" w:cs="Arial"/>
          <w:i/>
          <w:sz w:val="24"/>
          <w:szCs w:val="24"/>
        </w:rPr>
        <w:t xml:space="preserve">Esto es, </w:t>
      </w:r>
      <w:r w:rsidRPr="00890BD4">
        <w:rPr>
          <w:rFonts w:ascii="Arial Narrow" w:hAnsi="Arial Narrow" w:cs="Arial"/>
          <w:i/>
          <w:sz w:val="24"/>
          <w:szCs w:val="24"/>
        </w:rPr>
        <w:t>la disposición que determinó</w:t>
      </w:r>
      <w:r w:rsidRPr="00890BD4">
        <w:rPr>
          <w:rFonts w:ascii="Arial Narrow" w:hAnsi="Arial Narrow" w:cs="Arial"/>
          <w:b/>
          <w:i/>
          <w:sz w:val="24"/>
          <w:szCs w:val="24"/>
        </w:rPr>
        <w:t xml:space="preserve"> vedar la procedencia</w:t>
      </w:r>
      <w:r w:rsidRPr="003A1B04">
        <w:rPr>
          <w:rFonts w:ascii="Arial Narrow" w:hAnsi="Arial Narrow" w:cs="Arial"/>
          <w:i/>
          <w:sz w:val="24"/>
          <w:szCs w:val="24"/>
        </w:rPr>
        <w:t xml:space="preserve"> del recurso de apelación respecto de los asuntos cuya cuantía no exceda de mil quinientas veces el valor diario de la Unidad de Medida y Actualización, así como de los que son de cuantía indeterminada, </w:t>
      </w:r>
      <w:r w:rsidRPr="00890BD4">
        <w:rPr>
          <w:rFonts w:ascii="Arial Narrow" w:hAnsi="Arial Narrow" w:cs="Arial"/>
          <w:b/>
          <w:i/>
          <w:sz w:val="24"/>
          <w:szCs w:val="24"/>
        </w:rPr>
        <w:t>a menos de que el asunto fuera de importancia y trascendencia, y también impuso la obligación al recurrente de justificar esa circunstancia,</w:t>
      </w:r>
      <w:r w:rsidRPr="003A1B04">
        <w:rPr>
          <w:rFonts w:ascii="Arial Narrow" w:hAnsi="Arial Narrow" w:cs="Arial"/>
          <w:i/>
          <w:sz w:val="24"/>
          <w:szCs w:val="24"/>
        </w:rPr>
        <w:t xml:space="preserve"> resulta un </w:t>
      </w:r>
      <w:r w:rsidRPr="00890BD4">
        <w:rPr>
          <w:rFonts w:ascii="Arial Narrow" w:hAnsi="Arial Narrow" w:cs="Arial"/>
          <w:b/>
          <w:i/>
          <w:sz w:val="24"/>
          <w:szCs w:val="24"/>
        </w:rPr>
        <w:t>impedimento jurídico carente de racionalidad y proporcionalidad, en transgresión al artículo 17 Constitucional.</w:t>
      </w:r>
    </w:p>
    <w:p w14:paraId="619359DE"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6CEB8FF5"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Ya que, como se dijo, dicho requisito adolece de una indefinición que, </w:t>
      </w:r>
      <w:r w:rsidRPr="004D7ACB">
        <w:rPr>
          <w:rFonts w:ascii="Arial Narrow" w:hAnsi="Arial Narrow" w:cs="Arial"/>
          <w:b/>
          <w:i/>
          <w:sz w:val="24"/>
          <w:szCs w:val="24"/>
        </w:rPr>
        <w:t>al tratarse de particulares</w:t>
      </w:r>
      <w:r w:rsidRPr="003A1B04">
        <w:rPr>
          <w:rFonts w:ascii="Arial Narrow" w:hAnsi="Arial Narrow" w:cs="Arial"/>
          <w:i/>
          <w:sz w:val="24"/>
          <w:szCs w:val="24"/>
        </w:rPr>
        <w:t>, puede provocar que, si optan por la vía de la apelación precluya su oportunidad para hacer valer el amparo directo, y si se decantan por éste les precluya el término para interponer la apelación.</w:t>
      </w:r>
    </w:p>
    <w:p w14:paraId="23FEA2F1"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7ABDB19E"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Resultado que se estima abiertamente desproporcional y, por tanto, claramente transgresor del derecho a la tutela judicial efectiva, en su </w:t>
      </w:r>
      <w:proofErr w:type="spellStart"/>
      <w:r w:rsidRPr="003A1B04">
        <w:rPr>
          <w:rFonts w:ascii="Arial Narrow" w:hAnsi="Arial Narrow" w:cs="Arial"/>
          <w:i/>
          <w:sz w:val="24"/>
          <w:szCs w:val="24"/>
        </w:rPr>
        <w:t>subvertiente</w:t>
      </w:r>
      <w:proofErr w:type="spellEnd"/>
      <w:r w:rsidRPr="003A1B04">
        <w:rPr>
          <w:rFonts w:ascii="Arial Narrow" w:hAnsi="Arial Narrow" w:cs="Arial"/>
          <w:i/>
          <w:sz w:val="24"/>
          <w:szCs w:val="24"/>
        </w:rPr>
        <w:t xml:space="preserve"> de derecho de acceso a la jurisdicción y en su dimensión de obtención de justicia completa e imparcial.</w:t>
      </w:r>
    </w:p>
    <w:p w14:paraId="5A53F1D5"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617166E5"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Pues, contrario a las autoridades, los particulares tienen legitimación para promover juicio de amparo directo contra las sentencias dictadas en los juicios contenciosos administrativos y, por ende, la indefinición de cuándo deben agotar el recurso de apelación antes de acudir al amparo, les restringe de manera desproporcional y sin justificación objetiva, su derecho de acceso a la jurisdicción.</w:t>
      </w:r>
    </w:p>
    <w:p w14:paraId="56855C52"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55339CAA"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Situación distinta a la de las autoridades demandadas en el juicio contencioso administrativo federal, ya que, de no proceder su recurso de revisión por no haberse estimado de importancia y trascendencia, no existe la posibilidad de que ello les haya impedido acudir al juicio de amparo, pues de cualquier forma no tienen legitimación para ello.</w:t>
      </w:r>
    </w:p>
    <w:p w14:paraId="380E0EA9"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0946C041" w14:textId="1FEB1E91" w:rsidR="003A1B04" w:rsidRPr="004D7ACB" w:rsidRDefault="003A1B04" w:rsidP="003A1B04">
      <w:pPr>
        <w:pStyle w:val="Textoindependiente"/>
        <w:spacing w:after="0" w:line="240" w:lineRule="auto"/>
        <w:ind w:left="851" w:right="680" w:hanging="23"/>
        <w:jc w:val="both"/>
        <w:rPr>
          <w:rFonts w:ascii="Arial Narrow" w:hAnsi="Arial Narrow" w:cs="Arial"/>
          <w:b/>
          <w:i/>
          <w:sz w:val="24"/>
          <w:szCs w:val="24"/>
        </w:rPr>
      </w:pPr>
      <w:r w:rsidRPr="003A1B04">
        <w:rPr>
          <w:rFonts w:ascii="Arial Narrow" w:hAnsi="Arial Narrow" w:cs="Arial"/>
          <w:i/>
          <w:sz w:val="24"/>
          <w:szCs w:val="24"/>
        </w:rPr>
        <w:t>Sin que la inconstitucionalidad del precepto de mérito pueda salvarse acorde con su interpretación conforme en</w:t>
      </w:r>
      <w:r w:rsidR="004D7ACB">
        <w:rPr>
          <w:rFonts w:ascii="Arial Narrow" w:hAnsi="Arial Narrow" w:cs="Arial"/>
          <w:i/>
          <w:sz w:val="24"/>
          <w:szCs w:val="24"/>
        </w:rPr>
        <w:t xml:space="preserve"> </w:t>
      </w:r>
      <w:r w:rsidRPr="003A1B04">
        <w:rPr>
          <w:rFonts w:ascii="Arial Narrow" w:hAnsi="Arial Narrow" w:cs="Arial"/>
          <w:i/>
          <w:sz w:val="24"/>
          <w:szCs w:val="24"/>
        </w:rPr>
        <w:t xml:space="preserve">sentido amplio y estricto, pues la propia redacción de ese ordinal no permite atribuirle otro significado, ya que expresamente veda la </w:t>
      </w:r>
      <w:r w:rsidRPr="004D7ACB">
        <w:rPr>
          <w:rFonts w:ascii="Arial Narrow" w:hAnsi="Arial Narrow" w:cs="Arial"/>
          <w:b/>
          <w:i/>
          <w:sz w:val="24"/>
          <w:szCs w:val="24"/>
        </w:rPr>
        <w:t xml:space="preserve">procedencia </w:t>
      </w:r>
      <w:r w:rsidRPr="003A1B04">
        <w:rPr>
          <w:rFonts w:ascii="Arial Narrow" w:hAnsi="Arial Narrow" w:cs="Arial"/>
          <w:i/>
          <w:sz w:val="24"/>
          <w:szCs w:val="24"/>
        </w:rPr>
        <w:t xml:space="preserve">del recurso de apelación respecto de los asuntos cuya cuantía no excede de mil quinientas veces el valor diario de la Unidad de Medida y Actualización, así como de los que son de cuantía indeterminada, </w:t>
      </w:r>
      <w:r w:rsidRPr="004D7ACB">
        <w:rPr>
          <w:rFonts w:ascii="Arial Narrow" w:hAnsi="Arial Narrow" w:cs="Arial"/>
          <w:b/>
          <w:i/>
          <w:sz w:val="24"/>
          <w:szCs w:val="24"/>
        </w:rPr>
        <w:t>a menos de que el asunto fuera de importancia y trascendencia –características que no define-, y también impuso la obligación al recurrente de justificar esa circunstancia.</w:t>
      </w:r>
    </w:p>
    <w:p w14:paraId="7A4A32BC"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0B894E30" w14:textId="77777777" w:rsidR="003A1B04" w:rsidRPr="004D7ACB" w:rsidRDefault="003A1B04" w:rsidP="003A1B04">
      <w:pPr>
        <w:pStyle w:val="Textoindependiente"/>
        <w:spacing w:after="0" w:line="240" w:lineRule="auto"/>
        <w:ind w:left="851" w:right="680" w:hanging="23"/>
        <w:jc w:val="both"/>
        <w:rPr>
          <w:rFonts w:ascii="Arial Narrow" w:hAnsi="Arial Narrow" w:cs="Arial"/>
          <w:b/>
          <w:i/>
          <w:sz w:val="24"/>
          <w:szCs w:val="24"/>
        </w:rPr>
      </w:pPr>
      <w:r w:rsidRPr="004D7ACB">
        <w:rPr>
          <w:rFonts w:ascii="Arial Narrow" w:hAnsi="Arial Narrow" w:cs="Arial"/>
          <w:b/>
          <w:i/>
          <w:sz w:val="24"/>
          <w:szCs w:val="24"/>
        </w:rPr>
        <w:lastRenderedPageBreak/>
        <w:t>E4) Determinación.</w:t>
      </w:r>
    </w:p>
    <w:p w14:paraId="027E0D84"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38D92598"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Por ello, se concluye que la fracción II del artículo 152 del Código Procesal Administrativo para el Estado de San Luis Potosí, en la parte que exige que los asuntos sean de importancia y trascendencia y que se justifiquen esas circunstancias, deja a los gobernados en estado de indefensión e inseguridad jurídica, haciendo nugatorio el derecho a la tutela judicial efectiva, en su </w:t>
      </w:r>
      <w:proofErr w:type="spellStart"/>
      <w:r w:rsidRPr="003A1B04">
        <w:rPr>
          <w:rFonts w:ascii="Arial Narrow" w:hAnsi="Arial Narrow" w:cs="Arial"/>
          <w:i/>
          <w:sz w:val="24"/>
          <w:szCs w:val="24"/>
        </w:rPr>
        <w:t>subvertiente</w:t>
      </w:r>
      <w:proofErr w:type="spellEnd"/>
      <w:r w:rsidRPr="003A1B04">
        <w:rPr>
          <w:rFonts w:ascii="Arial Narrow" w:hAnsi="Arial Narrow" w:cs="Arial"/>
          <w:i/>
          <w:sz w:val="24"/>
          <w:szCs w:val="24"/>
        </w:rPr>
        <w:t xml:space="preserve"> de derecho de acceso a la jurisdicción y en su dimensión de obtención de justicia completa e imparcial.</w:t>
      </w:r>
    </w:p>
    <w:p w14:paraId="7D840B3D"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4DB01DE4" w14:textId="77777777" w:rsidR="003A1B04" w:rsidRPr="004D7ACB" w:rsidRDefault="003A1B04" w:rsidP="003A1B04">
      <w:pPr>
        <w:pStyle w:val="Textoindependiente"/>
        <w:spacing w:after="0" w:line="240" w:lineRule="auto"/>
        <w:ind w:left="851" w:right="680" w:hanging="23"/>
        <w:jc w:val="both"/>
        <w:rPr>
          <w:rFonts w:ascii="Arial Narrow" w:hAnsi="Arial Narrow" w:cs="Arial"/>
          <w:b/>
          <w:i/>
          <w:sz w:val="24"/>
          <w:szCs w:val="24"/>
        </w:rPr>
      </w:pPr>
      <w:r w:rsidRPr="003A1B04">
        <w:rPr>
          <w:rFonts w:ascii="Arial Narrow" w:hAnsi="Arial Narrow" w:cs="Arial"/>
          <w:i/>
          <w:sz w:val="24"/>
          <w:szCs w:val="24"/>
        </w:rPr>
        <w:t xml:space="preserve">Por ese motivo, </w:t>
      </w:r>
      <w:r w:rsidRPr="004D7ACB">
        <w:rPr>
          <w:rFonts w:ascii="Arial Narrow" w:hAnsi="Arial Narrow" w:cs="Arial"/>
          <w:b/>
          <w:i/>
          <w:sz w:val="24"/>
          <w:szCs w:val="24"/>
        </w:rPr>
        <w:t xml:space="preserve">debe </w:t>
      </w:r>
      <w:proofErr w:type="spellStart"/>
      <w:r w:rsidRPr="004D7ACB">
        <w:rPr>
          <w:rFonts w:ascii="Arial Narrow" w:hAnsi="Arial Narrow" w:cs="Arial"/>
          <w:b/>
          <w:i/>
          <w:sz w:val="24"/>
          <w:szCs w:val="24"/>
        </w:rPr>
        <w:t>inaplicarse</w:t>
      </w:r>
      <w:proofErr w:type="spellEnd"/>
      <w:r w:rsidRPr="004D7ACB">
        <w:rPr>
          <w:rFonts w:ascii="Arial Narrow" w:hAnsi="Arial Narrow" w:cs="Arial"/>
          <w:b/>
          <w:i/>
          <w:sz w:val="24"/>
          <w:szCs w:val="24"/>
        </w:rPr>
        <w:t xml:space="preserve"> para el caso concreto, teniendo como efecto que no se condicione la procedencia del recurso de apelación, respecto del asunto a estudio, a que el asunto sea de importancia y trascendencia, y a que el recurrente justifique esa circunstancia.</w:t>
      </w:r>
    </w:p>
    <w:p w14:paraId="7877A20B" w14:textId="77777777" w:rsidR="003A1B04" w:rsidRPr="00233BA7" w:rsidRDefault="003A1B04" w:rsidP="003A1B04">
      <w:pPr>
        <w:pStyle w:val="Textoindependiente"/>
        <w:spacing w:after="0" w:line="240" w:lineRule="auto"/>
        <w:ind w:left="851" w:right="680" w:hanging="23"/>
        <w:jc w:val="both"/>
        <w:rPr>
          <w:rFonts w:ascii="Arial Narrow" w:hAnsi="Arial Narrow" w:cs="Arial"/>
          <w:i/>
          <w:sz w:val="10"/>
          <w:szCs w:val="10"/>
        </w:rPr>
      </w:pPr>
    </w:p>
    <w:p w14:paraId="2090879E"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Ello en el entendido de que, como se dijo previamente, los efectos de estimar inconstitucional alguna norma se limitan a su no aplicación en el acto reclamado, sin emitir declaratoria de invalidez alguna ni extender sus efectos a actos futuros de aplicación.</w:t>
      </w:r>
    </w:p>
    <w:p w14:paraId="63AF898B"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603C8ED5"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En esa medida, deviene innecesario analizar los motivos de disenso expresados por el peticionario del amparo, al haberse determinado la inconstitucionalidad del artículo 152, fracción II, del Código Procesal Administrativo para el Estado de San Luis Potosí, esto es, de la hipótesis normativa en que se sustentó la responsable para declarar la improcedencia del recurso de apelación interpuesto por el ahora quejoso.</w:t>
      </w:r>
    </w:p>
    <w:p w14:paraId="0E406C74"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588D6745" w14:textId="5711B684"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 xml:space="preserve">En consecuencia, ante el </w:t>
      </w:r>
      <w:r w:rsidRPr="004D7ACB">
        <w:rPr>
          <w:rFonts w:ascii="Arial Narrow" w:hAnsi="Arial Narrow" w:cs="Arial"/>
          <w:b/>
          <w:i/>
          <w:sz w:val="24"/>
          <w:szCs w:val="24"/>
        </w:rPr>
        <w:t>control concentrado de constitucionalidad ex officio</w:t>
      </w:r>
      <w:r w:rsidRPr="003A1B04">
        <w:rPr>
          <w:rFonts w:ascii="Arial Narrow" w:hAnsi="Arial Narrow" w:cs="Arial"/>
          <w:i/>
          <w:sz w:val="24"/>
          <w:szCs w:val="24"/>
        </w:rPr>
        <w:t xml:space="preserve"> r</w:t>
      </w:r>
      <w:r w:rsidR="004D7ACB">
        <w:rPr>
          <w:rFonts w:ascii="Arial Narrow" w:hAnsi="Arial Narrow" w:cs="Arial"/>
          <w:i/>
          <w:sz w:val="24"/>
          <w:szCs w:val="24"/>
        </w:rPr>
        <w:t xml:space="preserve">ealizado por este Tribunal, lo que procede es conceder la </w:t>
      </w:r>
      <w:r w:rsidRPr="003A1B04">
        <w:rPr>
          <w:rFonts w:ascii="Arial Narrow" w:hAnsi="Arial Narrow" w:cs="Arial"/>
          <w:i/>
          <w:sz w:val="24"/>
          <w:szCs w:val="24"/>
        </w:rPr>
        <w:t>protección constitucional, para el efecto de que la Sala Superior Unitaria del Tribunal Estatal de Justicia Administrativa de San Luis Potosí:</w:t>
      </w:r>
    </w:p>
    <w:p w14:paraId="43BFA6B2"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2A6AD255" w14:textId="11EDD4D2" w:rsidR="003A1B04" w:rsidRPr="003A1B04" w:rsidRDefault="004D7ACB" w:rsidP="003A1B04">
      <w:pPr>
        <w:pStyle w:val="Textoindependiente"/>
        <w:spacing w:after="0" w:line="240" w:lineRule="auto"/>
        <w:ind w:left="851" w:right="680" w:hanging="23"/>
        <w:jc w:val="both"/>
        <w:rPr>
          <w:rFonts w:ascii="Arial Narrow" w:hAnsi="Arial Narrow" w:cs="Arial"/>
          <w:i/>
          <w:sz w:val="24"/>
          <w:szCs w:val="24"/>
        </w:rPr>
      </w:pPr>
      <w:r w:rsidRPr="004D7ACB">
        <w:rPr>
          <w:rFonts w:ascii="Arial Narrow" w:hAnsi="Arial Narrow" w:cs="Arial"/>
          <w:b/>
          <w:i/>
          <w:sz w:val="24"/>
          <w:szCs w:val="24"/>
        </w:rPr>
        <w:t>1.</w:t>
      </w:r>
      <w:r>
        <w:rPr>
          <w:rFonts w:ascii="Arial Narrow" w:hAnsi="Arial Narrow" w:cs="Arial"/>
          <w:i/>
          <w:sz w:val="24"/>
          <w:szCs w:val="24"/>
        </w:rPr>
        <w:t xml:space="preserve"> </w:t>
      </w:r>
      <w:r w:rsidR="003A1B04" w:rsidRPr="003A1B04">
        <w:rPr>
          <w:rFonts w:ascii="Arial Narrow" w:hAnsi="Arial Narrow" w:cs="Arial"/>
          <w:i/>
          <w:sz w:val="24"/>
          <w:szCs w:val="24"/>
        </w:rPr>
        <w:t>Deje insubsistente la sentencia reclamada.</w:t>
      </w:r>
    </w:p>
    <w:p w14:paraId="15DDA455"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72F6143D" w14:textId="633B319A" w:rsidR="003A1B04" w:rsidRPr="003A1B04" w:rsidRDefault="004D7ACB" w:rsidP="003A1B04">
      <w:pPr>
        <w:pStyle w:val="Textoindependiente"/>
        <w:spacing w:after="0" w:line="240" w:lineRule="auto"/>
        <w:ind w:left="851" w:right="680" w:hanging="23"/>
        <w:jc w:val="both"/>
        <w:rPr>
          <w:rFonts w:ascii="Arial Narrow" w:hAnsi="Arial Narrow" w:cs="Arial"/>
          <w:i/>
          <w:sz w:val="24"/>
          <w:szCs w:val="24"/>
        </w:rPr>
      </w:pPr>
      <w:r w:rsidRPr="004D7ACB">
        <w:rPr>
          <w:rFonts w:ascii="Arial Narrow" w:hAnsi="Arial Narrow" w:cs="Arial"/>
          <w:b/>
          <w:i/>
          <w:sz w:val="24"/>
          <w:szCs w:val="24"/>
        </w:rPr>
        <w:t>2.</w:t>
      </w:r>
      <w:r>
        <w:rPr>
          <w:rFonts w:ascii="Arial Narrow" w:hAnsi="Arial Narrow" w:cs="Arial"/>
          <w:i/>
          <w:sz w:val="24"/>
          <w:szCs w:val="24"/>
        </w:rPr>
        <w:t xml:space="preserve"> </w:t>
      </w:r>
      <w:r w:rsidR="003A1B04" w:rsidRPr="003A1B04">
        <w:rPr>
          <w:rFonts w:ascii="Arial Narrow" w:hAnsi="Arial Narrow" w:cs="Arial"/>
          <w:i/>
          <w:sz w:val="24"/>
          <w:szCs w:val="24"/>
        </w:rPr>
        <w:t>Emita otra, en la que, en atención a los lineamientos vertidos en la presente resolución, prescinda de aplicar el artículo 152, fracción II, del Código Procesal Administrativo para el Estado de San Luis Potosí, en la parte que exige que los asuntos sean de importancia y trascendencia y que se justifiquen esas circunstancias; y,</w:t>
      </w:r>
    </w:p>
    <w:p w14:paraId="65734D50"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1369D84C" w14:textId="1E0A9AD5" w:rsidR="003A1B04" w:rsidRPr="003A1B04" w:rsidRDefault="004D7ACB" w:rsidP="003A1B04">
      <w:pPr>
        <w:pStyle w:val="Textoindependiente"/>
        <w:spacing w:after="0" w:line="240" w:lineRule="auto"/>
        <w:ind w:left="851" w:right="680" w:hanging="23"/>
        <w:jc w:val="both"/>
        <w:rPr>
          <w:rFonts w:ascii="Arial Narrow" w:hAnsi="Arial Narrow" w:cs="Arial"/>
          <w:i/>
          <w:sz w:val="24"/>
          <w:szCs w:val="24"/>
        </w:rPr>
      </w:pPr>
      <w:r w:rsidRPr="004D7ACB">
        <w:rPr>
          <w:rFonts w:ascii="Arial Narrow" w:hAnsi="Arial Narrow" w:cs="Arial"/>
          <w:b/>
          <w:i/>
          <w:sz w:val="24"/>
          <w:szCs w:val="24"/>
        </w:rPr>
        <w:t>3.</w:t>
      </w:r>
      <w:r>
        <w:rPr>
          <w:rFonts w:ascii="Arial Narrow" w:hAnsi="Arial Narrow" w:cs="Arial"/>
          <w:i/>
          <w:sz w:val="24"/>
          <w:szCs w:val="24"/>
        </w:rPr>
        <w:t xml:space="preserve"> </w:t>
      </w:r>
      <w:r w:rsidR="003A1B04" w:rsidRPr="003A1B04">
        <w:rPr>
          <w:rFonts w:ascii="Arial Narrow" w:hAnsi="Arial Narrow" w:cs="Arial"/>
          <w:i/>
          <w:sz w:val="24"/>
          <w:szCs w:val="24"/>
        </w:rPr>
        <w:t>Hecho lo anterior, admita a trámite el recurso de apelación interpuesto por el quejoso.</w:t>
      </w:r>
    </w:p>
    <w:p w14:paraId="5E9B941B"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118DA801"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En la inteligencia de que las jurisprudencias que se citaron en esta ejecutoria, en las que se interpretó la Ley de Amparo abrogada, siguen teniendo vigencia en atención a lo dispuesto en el artículo sexto transitorio de la actual Ley de Amparo, porque no se oponen a las disposiciones contenidas en esta última.</w:t>
      </w:r>
    </w:p>
    <w:p w14:paraId="0272D9D3"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0B1B349E" w14:textId="77777777"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Con fundamento en el artículo 192 de la Ley de Amparo, una vez transcurrido el plazo previsto en el numeral 86 del mismo ordenamiento, requiérase a la autoridad responsable, para que cumpla con esta ejecutoria dentro del plazo de tres días, apercibido que de no hacerlo así sin causa justificada, se le impondrá una multa equivalente a cien días de unidad de medida y actualización vigente, de acuerdo con los artículos 238 y 258 de la ley de la materia; asimismo, se remitirá el expediente a la Suprema Corte de Justicia de la Nación para seguir el trámite de inejecución, que puede culminar con la separación de su puesto y su consignación.</w:t>
      </w:r>
    </w:p>
    <w:p w14:paraId="2DBE5763" w14:textId="77777777" w:rsidR="003A1B04" w:rsidRPr="00DC08F2" w:rsidRDefault="003A1B04" w:rsidP="00DC08F2">
      <w:pPr>
        <w:pStyle w:val="Textoindependiente"/>
        <w:spacing w:after="0" w:line="240" w:lineRule="auto"/>
        <w:ind w:left="1276" w:right="1185"/>
        <w:jc w:val="both"/>
        <w:rPr>
          <w:rFonts w:ascii="Arial Narrow" w:hAnsi="Arial Narrow" w:cs="Arial"/>
          <w:i/>
          <w:sz w:val="10"/>
          <w:szCs w:val="10"/>
        </w:rPr>
      </w:pPr>
    </w:p>
    <w:p w14:paraId="7A2B2E18" w14:textId="1A4A9C98" w:rsidR="003A1B04" w:rsidRPr="003A1B04" w:rsidRDefault="003A1B04" w:rsidP="003A1B04">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lastRenderedPageBreak/>
        <w:t>Por lo anteriormente expuesto y fundado</w:t>
      </w:r>
      <w:r w:rsidR="004D7ACB">
        <w:rPr>
          <w:rFonts w:ascii="Arial Narrow" w:hAnsi="Arial Narrow" w:cs="Arial"/>
          <w:i/>
          <w:sz w:val="24"/>
          <w:szCs w:val="24"/>
        </w:rPr>
        <w:t xml:space="preserve"> […]”</w:t>
      </w:r>
    </w:p>
    <w:p w14:paraId="65944810" w14:textId="77777777" w:rsidR="003A1B04" w:rsidRDefault="003A1B04" w:rsidP="00DC08F2">
      <w:pPr>
        <w:pStyle w:val="Textoindependiente"/>
        <w:spacing w:after="0" w:line="240" w:lineRule="auto"/>
        <w:ind w:left="1276" w:right="1185"/>
        <w:jc w:val="both"/>
        <w:rPr>
          <w:rFonts w:ascii="Arial Narrow" w:hAnsi="Arial Narrow" w:cs="Arial"/>
          <w:i/>
          <w:sz w:val="10"/>
          <w:szCs w:val="10"/>
        </w:rPr>
      </w:pPr>
    </w:p>
    <w:p w14:paraId="10324F5D" w14:textId="77777777" w:rsidR="00233BA7" w:rsidRPr="00DC08F2" w:rsidRDefault="00233BA7" w:rsidP="00DC08F2">
      <w:pPr>
        <w:pStyle w:val="Textoindependiente"/>
        <w:spacing w:after="0" w:line="240" w:lineRule="auto"/>
        <w:ind w:left="1276" w:right="1185"/>
        <w:jc w:val="both"/>
        <w:rPr>
          <w:rFonts w:ascii="Arial Narrow" w:hAnsi="Arial Narrow" w:cs="Arial"/>
          <w:i/>
          <w:sz w:val="10"/>
          <w:szCs w:val="10"/>
        </w:rPr>
      </w:pPr>
    </w:p>
    <w:p w14:paraId="3963FB92" w14:textId="4110635A" w:rsidR="00492CBC" w:rsidRPr="00492CBC" w:rsidRDefault="0030311E" w:rsidP="00492CBC">
      <w:pPr>
        <w:spacing w:after="120" w:line="360" w:lineRule="auto"/>
        <w:ind w:firstLine="851"/>
        <w:jc w:val="both"/>
        <w:rPr>
          <w:rFonts w:ascii="Arial" w:hAnsi="Arial" w:cs="Arial"/>
          <w:sz w:val="28"/>
          <w:szCs w:val="20"/>
        </w:rPr>
      </w:pPr>
      <w:r>
        <w:rPr>
          <w:rFonts w:ascii="Arial" w:hAnsi="Arial" w:cs="Arial"/>
          <w:b/>
          <w:sz w:val="28"/>
          <w:szCs w:val="28"/>
        </w:rPr>
        <w:t>SEXTO</w:t>
      </w:r>
      <w:r w:rsidR="00492CBC">
        <w:rPr>
          <w:rFonts w:ascii="Arial" w:hAnsi="Arial" w:cs="Arial"/>
          <w:b/>
          <w:sz w:val="28"/>
          <w:szCs w:val="28"/>
        </w:rPr>
        <w:t xml:space="preserve">. </w:t>
      </w:r>
      <w:r w:rsidR="005903A3">
        <w:rPr>
          <w:rFonts w:ascii="Arial" w:hAnsi="Arial" w:cs="Arial"/>
          <w:b/>
          <w:sz w:val="28"/>
          <w:szCs w:val="28"/>
        </w:rPr>
        <w:t xml:space="preserve">Estudio de la procedencia del recurso de apelación en cumplimiento del fallo </w:t>
      </w:r>
      <w:proofErr w:type="spellStart"/>
      <w:r w:rsidR="005903A3">
        <w:rPr>
          <w:rFonts w:ascii="Arial" w:hAnsi="Arial" w:cs="Arial"/>
          <w:b/>
          <w:sz w:val="28"/>
          <w:szCs w:val="28"/>
        </w:rPr>
        <w:t>amparatorio</w:t>
      </w:r>
      <w:proofErr w:type="spellEnd"/>
      <w:r w:rsidR="00492CBC" w:rsidRPr="00492CBC">
        <w:rPr>
          <w:rFonts w:ascii="Arial" w:hAnsi="Arial" w:cs="Arial"/>
          <w:b/>
          <w:sz w:val="28"/>
          <w:szCs w:val="28"/>
        </w:rPr>
        <w:t xml:space="preserve">. </w:t>
      </w:r>
      <w:r w:rsidR="00492CBC" w:rsidRPr="00492CBC">
        <w:rPr>
          <w:rFonts w:ascii="Arial" w:hAnsi="Arial" w:cs="Arial"/>
          <w:bCs/>
          <w:sz w:val="28"/>
          <w:szCs w:val="28"/>
        </w:rPr>
        <w:t>De conformidad con el artículo 192 de la Ley de Amparo,</w:t>
      </w:r>
      <w:r w:rsidR="00492CBC" w:rsidRPr="00492CBC">
        <w:rPr>
          <w:rFonts w:ascii="Arial" w:hAnsi="Arial" w:cs="Arial"/>
          <w:bCs/>
          <w:sz w:val="28"/>
          <w:szCs w:val="28"/>
          <w:vertAlign w:val="superscript"/>
        </w:rPr>
        <w:footnoteReference w:id="11"/>
      </w:r>
      <w:r w:rsidR="00492CBC" w:rsidRPr="00492CBC">
        <w:rPr>
          <w:rFonts w:ascii="Arial" w:hAnsi="Arial" w:cs="Arial"/>
          <w:bCs/>
          <w:sz w:val="28"/>
          <w:szCs w:val="28"/>
        </w:rPr>
        <w:t xml:space="preserve"> esta Sala Superior del Tribunal Estatal de Justicia Administrativa (como autoridad responsable) está supeditada a la determinación del juicio constitucional y, por tanto, obligada a su puntual e inmediato cumplimiento; consecuentemente, se acata en sus términos la ejecutoria emitida en el juicio de amparo directo </w:t>
      </w:r>
      <w:r w:rsidR="00194957">
        <w:rPr>
          <w:rFonts w:ascii="Arial" w:hAnsi="Arial" w:cs="Arial"/>
          <w:color w:val="FF0000"/>
          <w:sz w:val="23"/>
          <w:szCs w:val="23"/>
        </w:rPr>
        <w:t>******</w:t>
      </w:r>
      <w:r w:rsidR="00C17636">
        <w:rPr>
          <w:rFonts w:ascii="Arial" w:hAnsi="Arial" w:cs="Arial"/>
          <w:bCs/>
          <w:sz w:val="28"/>
          <w:szCs w:val="28"/>
        </w:rPr>
        <w:t>/2024</w:t>
      </w:r>
      <w:r w:rsidR="00492CBC" w:rsidRPr="00492CBC">
        <w:rPr>
          <w:rFonts w:ascii="Arial" w:hAnsi="Arial" w:cs="Arial"/>
          <w:bCs/>
          <w:sz w:val="28"/>
          <w:szCs w:val="28"/>
        </w:rPr>
        <w:t xml:space="preserve"> del índice del </w:t>
      </w:r>
      <w:r w:rsidR="00884459">
        <w:rPr>
          <w:rFonts w:ascii="Arial" w:hAnsi="Arial" w:cs="Arial"/>
          <w:bCs/>
          <w:color w:val="0000FF"/>
          <w:sz w:val="28"/>
          <w:szCs w:val="28"/>
        </w:rPr>
        <w:t>Primer</w:t>
      </w:r>
      <w:r w:rsidR="00492CBC" w:rsidRPr="0030311E">
        <w:rPr>
          <w:rFonts w:ascii="Arial" w:hAnsi="Arial" w:cs="Arial"/>
          <w:bCs/>
          <w:color w:val="0000FF"/>
          <w:sz w:val="28"/>
          <w:szCs w:val="28"/>
        </w:rPr>
        <w:t xml:space="preserve"> Tribunal Colegiado en Materias Civil y Administrativa del Noveno Circuito en esta Ciudad</w:t>
      </w:r>
      <w:r w:rsidR="00492CBC" w:rsidRPr="00492CBC">
        <w:rPr>
          <w:rFonts w:ascii="Arial" w:hAnsi="Arial" w:cs="Arial"/>
          <w:bCs/>
          <w:sz w:val="28"/>
          <w:szCs w:val="28"/>
        </w:rPr>
        <w:t>, promovido por</w:t>
      </w:r>
      <w:r w:rsidR="00884459">
        <w:rPr>
          <w:rFonts w:ascii="Arial" w:hAnsi="Arial" w:cs="Arial"/>
          <w:bCs/>
          <w:sz w:val="28"/>
          <w:szCs w:val="28"/>
        </w:rPr>
        <w:t xml:space="preserve"> la parte actora en el juicio de origen José de Jesús Galarza Almaguer </w:t>
      </w:r>
      <w:r w:rsidR="00492CBC" w:rsidRPr="00492CBC">
        <w:rPr>
          <w:rFonts w:ascii="Arial" w:hAnsi="Arial" w:cs="Arial"/>
          <w:b/>
          <w:sz w:val="28"/>
          <w:szCs w:val="20"/>
        </w:rPr>
        <w:t>,</w:t>
      </w:r>
      <w:r w:rsidR="00492CBC" w:rsidRPr="00492CBC">
        <w:rPr>
          <w:rFonts w:ascii="Arial" w:hAnsi="Arial" w:cs="Arial"/>
          <w:sz w:val="28"/>
          <w:szCs w:val="20"/>
        </w:rPr>
        <w:t xml:space="preserve"> en el entendido que este </w:t>
      </w:r>
      <w:r w:rsidR="00492CBC" w:rsidRPr="00492CBC">
        <w:rPr>
          <w:rFonts w:ascii="Arial" w:hAnsi="Arial" w:cs="Arial"/>
          <w:i/>
          <w:sz w:val="28"/>
          <w:szCs w:val="20"/>
        </w:rPr>
        <w:t xml:space="preserve">Ad </w:t>
      </w:r>
      <w:proofErr w:type="spellStart"/>
      <w:r w:rsidR="00492CBC" w:rsidRPr="00492CBC">
        <w:rPr>
          <w:rFonts w:ascii="Arial" w:hAnsi="Arial" w:cs="Arial"/>
          <w:i/>
          <w:sz w:val="28"/>
          <w:szCs w:val="20"/>
        </w:rPr>
        <w:t>quem</w:t>
      </w:r>
      <w:proofErr w:type="spellEnd"/>
      <w:r w:rsidR="00492CBC" w:rsidRPr="00492CBC">
        <w:rPr>
          <w:rFonts w:ascii="Arial" w:hAnsi="Arial" w:cs="Arial"/>
          <w:sz w:val="28"/>
          <w:szCs w:val="20"/>
        </w:rPr>
        <w:t xml:space="preserve"> mediante auto de</w:t>
      </w:r>
      <w:r w:rsidR="00271249">
        <w:rPr>
          <w:rFonts w:ascii="Arial" w:hAnsi="Arial" w:cs="Arial"/>
          <w:sz w:val="28"/>
          <w:szCs w:val="20"/>
        </w:rPr>
        <w:t xml:space="preserve"> </w:t>
      </w:r>
      <w:r w:rsidR="002A7F0D">
        <w:rPr>
          <w:rFonts w:ascii="Arial" w:hAnsi="Arial" w:cs="Arial"/>
          <w:color w:val="000099"/>
          <w:sz w:val="28"/>
          <w:szCs w:val="20"/>
        </w:rPr>
        <w:t>doce</w:t>
      </w:r>
      <w:r w:rsidR="00271249" w:rsidRPr="00271249">
        <w:rPr>
          <w:rFonts w:ascii="Arial" w:hAnsi="Arial" w:cs="Arial"/>
          <w:color w:val="000099"/>
          <w:sz w:val="28"/>
          <w:szCs w:val="20"/>
        </w:rPr>
        <w:t xml:space="preserve"> de junio del presente año</w:t>
      </w:r>
      <w:r w:rsidR="00492CBC" w:rsidRPr="00492CBC">
        <w:rPr>
          <w:rFonts w:ascii="Arial" w:hAnsi="Arial" w:cs="Arial"/>
          <w:sz w:val="28"/>
          <w:szCs w:val="20"/>
        </w:rPr>
        <w:t xml:space="preserve">, </w:t>
      </w:r>
      <w:r w:rsidR="00492CBC" w:rsidRPr="00492CBC">
        <w:rPr>
          <w:rFonts w:ascii="Arial" w:hAnsi="Arial" w:cs="Arial"/>
          <w:b/>
          <w:sz w:val="28"/>
          <w:szCs w:val="20"/>
        </w:rPr>
        <w:t>dejó insubsistente</w:t>
      </w:r>
      <w:r w:rsidR="00492CBC" w:rsidRPr="00492CBC">
        <w:rPr>
          <w:rFonts w:ascii="Arial" w:hAnsi="Arial" w:cs="Arial"/>
          <w:sz w:val="28"/>
          <w:szCs w:val="20"/>
        </w:rPr>
        <w:t xml:space="preserve"> la sentencia de </w:t>
      </w:r>
      <w:r w:rsidR="00884459">
        <w:rPr>
          <w:rFonts w:ascii="Arial" w:hAnsi="Arial" w:cs="Arial"/>
          <w:color w:val="0000FF"/>
          <w:sz w:val="28"/>
          <w:szCs w:val="20"/>
        </w:rPr>
        <w:t>trece de noviembre de dos mil veintitrés</w:t>
      </w:r>
      <w:r w:rsidR="00492CBC" w:rsidRPr="00492CBC">
        <w:rPr>
          <w:rFonts w:ascii="Arial" w:hAnsi="Arial" w:cs="Arial"/>
          <w:sz w:val="28"/>
          <w:szCs w:val="20"/>
        </w:rPr>
        <w:t>, emitida en el presente toca, tal como se ordenó en dicho fallo protector.</w:t>
      </w:r>
    </w:p>
    <w:p w14:paraId="4BB6E276" w14:textId="76809D05" w:rsidR="00492CBC" w:rsidRPr="00492CBC" w:rsidRDefault="00492CBC" w:rsidP="00492CBC">
      <w:pPr>
        <w:spacing w:after="120" w:line="360" w:lineRule="auto"/>
        <w:ind w:firstLine="851"/>
        <w:jc w:val="both"/>
        <w:rPr>
          <w:rFonts w:ascii="Arial" w:hAnsi="Arial" w:cs="Arial"/>
          <w:bCs/>
          <w:sz w:val="28"/>
          <w:szCs w:val="28"/>
        </w:rPr>
      </w:pPr>
      <w:r w:rsidRPr="00492CBC">
        <w:rPr>
          <w:rFonts w:ascii="Arial" w:hAnsi="Arial" w:cs="Arial"/>
          <w:sz w:val="28"/>
          <w:szCs w:val="20"/>
        </w:rPr>
        <w:t>Así pues, como se adelantó, el Tribunal de Control Constitucional concedió el amparo y protección de la Justicia Federal a</w:t>
      </w:r>
      <w:r w:rsidR="00884459" w:rsidRPr="00884459">
        <w:rPr>
          <w:rFonts w:ascii="Arial" w:hAnsi="Arial" w:cs="Arial"/>
          <w:b/>
          <w:color w:val="FF0000"/>
          <w:sz w:val="28"/>
          <w:szCs w:val="28"/>
        </w:rPr>
        <w:t xml:space="preserve"> </w:t>
      </w:r>
      <w:r w:rsidR="00194957">
        <w:rPr>
          <w:rFonts w:ascii="Arial" w:hAnsi="Arial" w:cs="Arial"/>
          <w:color w:val="FF0000"/>
          <w:sz w:val="23"/>
          <w:szCs w:val="23"/>
        </w:rPr>
        <w:t>******</w:t>
      </w:r>
      <w:r w:rsidR="00884459">
        <w:rPr>
          <w:rFonts w:ascii="Arial" w:hAnsi="Arial" w:cs="Arial"/>
          <w:sz w:val="28"/>
          <w:szCs w:val="28"/>
        </w:rPr>
        <w:t>, parte actora en el juicio génesis</w:t>
      </w:r>
      <w:r w:rsidRPr="00492CBC">
        <w:rPr>
          <w:rFonts w:ascii="Arial" w:hAnsi="Arial" w:cs="Arial"/>
          <w:b/>
          <w:sz w:val="28"/>
          <w:szCs w:val="20"/>
        </w:rPr>
        <w:t>,</w:t>
      </w:r>
      <w:r w:rsidRPr="00492CBC">
        <w:rPr>
          <w:rFonts w:ascii="Arial" w:hAnsi="Arial" w:cs="Arial"/>
          <w:sz w:val="28"/>
          <w:szCs w:val="20"/>
        </w:rPr>
        <w:t xml:space="preserve"> para los siguientes efectos:</w:t>
      </w:r>
    </w:p>
    <w:p w14:paraId="23EC0C80" w14:textId="77777777" w:rsidR="00436831" w:rsidRPr="00DC08F2" w:rsidRDefault="00436831" w:rsidP="00DC08F2">
      <w:pPr>
        <w:pStyle w:val="Textoindependiente"/>
        <w:spacing w:after="0" w:line="240" w:lineRule="auto"/>
        <w:ind w:left="1276" w:right="1185"/>
        <w:jc w:val="both"/>
        <w:rPr>
          <w:rFonts w:ascii="Arial Narrow" w:hAnsi="Arial Narrow" w:cs="Arial"/>
          <w:sz w:val="10"/>
          <w:szCs w:val="10"/>
        </w:rPr>
      </w:pPr>
    </w:p>
    <w:p w14:paraId="73ADA3E4" w14:textId="77777777" w:rsidR="00884459" w:rsidRPr="003A1B04" w:rsidRDefault="0030311E" w:rsidP="00884459">
      <w:pPr>
        <w:pStyle w:val="Textoindependiente"/>
        <w:spacing w:after="0" w:line="240" w:lineRule="auto"/>
        <w:ind w:left="851" w:right="680" w:hanging="23"/>
        <w:jc w:val="both"/>
        <w:rPr>
          <w:rFonts w:ascii="Arial Narrow" w:hAnsi="Arial Narrow" w:cs="Arial"/>
          <w:i/>
          <w:sz w:val="24"/>
          <w:szCs w:val="24"/>
        </w:rPr>
      </w:pPr>
      <w:r>
        <w:rPr>
          <w:rFonts w:ascii="Arial Narrow" w:hAnsi="Arial Narrow" w:cs="Arial"/>
          <w:b/>
          <w:i/>
          <w:sz w:val="24"/>
          <w:szCs w:val="24"/>
        </w:rPr>
        <w:t>“</w:t>
      </w:r>
      <w:r w:rsidR="00884459" w:rsidRPr="004D7ACB">
        <w:rPr>
          <w:rFonts w:ascii="Arial Narrow" w:hAnsi="Arial Narrow" w:cs="Arial"/>
          <w:b/>
          <w:i/>
          <w:sz w:val="24"/>
          <w:szCs w:val="24"/>
        </w:rPr>
        <w:t>1.</w:t>
      </w:r>
      <w:r w:rsidR="00884459">
        <w:rPr>
          <w:rFonts w:ascii="Arial Narrow" w:hAnsi="Arial Narrow" w:cs="Arial"/>
          <w:i/>
          <w:sz w:val="24"/>
          <w:szCs w:val="24"/>
        </w:rPr>
        <w:t xml:space="preserve"> </w:t>
      </w:r>
      <w:r w:rsidR="00884459" w:rsidRPr="003A1B04">
        <w:rPr>
          <w:rFonts w:ascii="Arial Narrow" w:hAnsi="Arial Narrow" w:cs="Arial"/>
          <w:i/>
          <w:sz w:val="24"/>
          <w:szCs w:val="24"/>
        </w:rPr>
        <w:t>Deje insubsistente la sentencia reclamada.</w:t>
      </w:r>
    </w:p>
    <w:p w14:paraId="67754B53" w14:textId="77777777" w:rsidR="00884459" w:rsidRPr="00DC08F2" w:rsidRDefault="00884459" w:rsidP="00884459">
      <w:pPr>
        <w:pStyle w:val="Textoindependiente"/>
        <w:spacing w:after="0" w:line="240" w:lineRule="auto"/>
        <w:ind w:left="851" w:right="680" w:hanging="23"/>
        <w:jc w:val="both"/>
        <w:rPr>
          <w:rFonts w:ascii="Arial Narrow" w:hAnsi="Arial Narrow" w:cs="Arial"/>
          <w:i/>
          <w:sz w:val="10"/>
          <w:szCs w:val="10"/>
        </w:rPr>
      </w:pPr>
    </w:p>
    <w:p w14:paraId="19D7A5C4" w14:textId="77777777" w:rsidR="00884459" w:rsidRPr="003A1B04" w:rsidRDefault="00884459" w:rsidP="00884459">
      <w:pPr>
        <w:pStyle w:val="Textoindependiente"/>
        <w:spacing w:after="0" w:line="240" w:lineRule="auto"/>
        <w:ind w:left="851" w:right="680" w:hanging="23"/>
        <w:jc w:val="both"/>
        <w:rPr>
          <w:rFonts w:ascii="Arial Narrow" w:hAnsi="Arial Narrow" w:cs="Arial"/>
          <w:i/>
          <w:sz w:val="24"/>
          <w:szCs w:val="24"/>
        </w:rPr>
      </w:pPr>
      <w:r w:rsidRPr="004D7ACB">
        <w:rPr>
          <w:rFonts w:ascii="Arial Narrow" w:hAnsi="Arial Narrow" w:cs="Arial"/>
          <w:b/>
          <w:i/>
          <w:sz w:val="24"/>
          <w:szCs w:val="24"/>
        </w:rPr>
        <w:t>2.</w:t>
      </w:r>
      <w:r>
        <w:rPr>
          <w:rFonts w:ascii="Arial Narrow" w:hAnsi="Arial Narrow" w:cs="Arial"/>
          <w:i/>
          <w:sz w:val="24"/>
          <w:szCs w:val="24"/>
        </w:rPr>
        <w:t xml:space="preserve"> </w:t>
      </w:r>
      <w:r w:rsidRPr="003A1B04">
        <w:rPr>
          <w:rFonts w:ascii="Arial Narrow" w:hAnsi="Arial Narrow" w:cs="Arial"/>
          <w:i/>
          <w:sz w:val="24"/>
          <w:szCs w:val="24"/>
        </w:rPr>
        <w:t xml:space="preserve">Emita otra, en la que, en atención a los lineamientos vertidos en la presente resolución, prescinda de aplicar el artículo 152, fracción II, del Código Procesal Administrativo para el Estado de San Luis Potosí, en la </w:t>
      </w:r>
      <w:r w:rsidRPr="003A1B04">
        <w:rPr>
          <w:rFonts w:ascii="Arial Narrow" w:hAnsi="Arial Narrow" w:cs="Arial"/>
          <w:i/>
          <w:sz w:val="24"/>
          <w:szCs w:val="24"/>
        </w:rPr>
        <w:lastRenderedPageBreak/>
        <w:t>parte que exige que los asuntos sean de importancia y trascendencia y que se justifiquen esas circunstancias; y,</w:t>
      </w:r>
    </w:p>
    <w:p w14:paraId="00FF184A" w14:textId="77777777" w:rsidR="00884459" w:rsidRPr="00DC08F2" w:rsidRDefault="00884459" w:rsidP="00884459">
      <w:pPr>
        <w:pStyle w:val="Textoindependiente"/>
        <w:spacing w:after="0" w:line="240" w:lineRule="auto"/>
        <w:ind w:left="851" w:right="680" w:hanging="23"/>
        <w:jc w:val="both"/>
        <w:rPr>
          <w:rFonts w:ascii="Arial Narrow" w:hAnsi="Arial Narrow" w:cs="Arial"/>
          <w:i/>
          <w:sz w:val="10"/>
          <w:szCs w:val="10"/>
        </w:rPr>
      </w:pPr>
    </w:p>
    <w:p w14:paraId="55537851" w14:textId="77777777" w:rsidR="00884459" w:rsidRPr="003A1B04" w:rsidRDefault="00884459" w:rsidP="00884459">
      <w:pPr>
        <w:pStyle w:val="Textoindependiente"/>
        <w:spacing w:after="0" w:line="240" w:lineRule="auto"/>
        <w:ind w:left="851" w:right="680" w:hanging="23"/>
        <w:jc w:val="both"/>
        <w:rPr>
          <w:rFonts w:ascii="Arial Narrow" w:hAnsi="Arial Narrow" w:cs="Arial"/>
          <w:i/>
          <w:sz w:val="24"/>
          <w:szCs w:val="24"/>
        </w:rPr>
      </w:pPr>
      <w:r w:rsidRPr="004D7ACB">
        <w:rPr>
          <w:rFonts w:ascii="Arial Narrow" w:hAnsi="Arial Narrow" w:cs="Arial"/>
          <w:b/>
          <w:i/>
          <w:sz w:val="24"/>
          <w:szCs w:val="24"/>
        </w:rPr>
        <w:t>3.</w:t>
      </w:r>
      <w:r>
        <w:rPr>
          <w:rFonts w:ascii="Arial Narrow" w:hAnsi="Arial Narrow" w:cs="Arial"/>
          <w:i/>
          <w:sz w:val="24"/>
          <w:szCs w:val="24"/>
        </w:rPr>
        <w:t xml:space="preserve"> </w:t>
      </w:r>
      <w:r w:rsidRPr="003A1B04">
        <w:rPr>
          <w:rFonts w:ascii="Arial Narrow" w:hAnsi="Arial Narrow" w:cs="Arial"/>
          <w:i/>
          <w:sz w:val="24"/>
          <w:szCs w:val="24"/>
        </w:rPr>
        <w:t>Hecho lo anterior, admita a trámite el recurso de apelación interpuesto por el quejoso.</w:t>
      </w:r>
    </w:p>
    <w:p w14:paraId="338E9C2A" w14:textId="1AD4E04D" w:rsidR="0030311E" w:rsidRPr="00FE2DF9" w:rsidRDefault="0030311E" w:rsidP="00884459">
      <w:pPr>
        <w:spacing w:after="0" w:line="240" w:lineRule="auto"/>
        <w:ind w:left="851" w:right="618" w:hanging="23"/>
        <w:jc w:val="both"/>
        <w:rPr>
          <w:rFonts w:ascii="Arial Narrow" w:hAnsi="Arial Narrow" w:cs="Arial"/>
          <w:i/>
          <w:sz w:val="24"/>
          <w:szCs w:val="24"/>
        </w:rPr>
      </w:pPr>
    </w:p>
    <w:p w14:paraId="6C594DA1" w14:textId="77777777" w:rsidR="00884459" w:rsidRPr="003A1B04" w:rsidRDefault="00884459" w:rsidP="00884459">
      <w:pPr>
        <w:pStyle w:val="Textoindependiente"/>
        <w:spacing w:after="0" w:line="240" w:lineRule="auto"/>
        <w:ind w:left="851" w:right="680" w:hanging="23"/>
        <w:jc w:val="both"/>
        <w:rPr>
          <w:rFonts w:ascii="Arial Narrow" w:hAnsi="Arial Narrow" w:cs="Arial"/>
          <w:i/>
          <w:sz w:val="24"/>
          <w:szCs w:val="24"/>
        </w:rPr>
      </w:pPr>
      <w:r w:rsidRPr="003A1B04">
        <w:rPr>
          <w:rFonts w:ascii="Arial Narrow" w:hAnsi="Arial Narrow" w:cs="Arial"/>
          <w:i/>
          <w:sz w:val="24"/>
          <w:szCs w:val="24"/>
        </w:rPr>
        <w:t>En la inteligencia de que las jurisprudencias que se citaron en esta ejecutoria, en las que se interpretó la Ley de Amparo abrogada, siguen teniendo vigencia en atención a lo dispuesto en el artículo sexto transitorio de la actual Ley de Amparo, porque no se oponen a las disposiciones contenidas en esta última.</w:t>
      </w:r>
    </w:p>
    <w:p w14:paraId="31A85EF2" w14:textId="77777777" w:rsidR="00436831" w:rsidRPr="00DC08F2" w:rsidRDefault="00436831" w:rsidP="00DC08F2">
      <w:pPr>
        <w:pStyle w:val="Textoindependiente"/>
        <w:spacing w:after="0" w:line="240" w:lineRule="auto"/>
        <w:ind w:left="851" w:right="680" w:hanging="23"/>
        <w:jc w:val="both"/>
        <w:rPr>
          <w:rFonts w:ascii="Arial Narrow" w:hAnsi="Arial Narrow" w:cs="Arial"/>
          <w:i/>
          <w:sz w:val="10"/>
          <w:szCs w:val="10"/>
        </w:rPr>
      </w:pPr>
    </w:p>
    <w:p w14:paraId="54EA8F82" w14:textId="2ED67CD8" w:rsidR="000C20D8" w:rsidRDefault="005903A3" w:rsidP="000C20D8">
      <w:pPr>
        <w:spacing w:after="0" w:line="360" w:lineRule="auto"/>
        <w:ind w:firstLine="708"/>
        <w:jc w:val="both"/>
        <w:rPr>
          <w:rFonts w:ascii="Arial" w:hAnsi="Arial" w:cs="Arial"/>
          <w:sz w:val="28"/>
          <w:szCs w:val="28"/>
        </w:rPr>
      </w:pPr>
      <w:r w:rsidRPr="005903A3">
        <w:rPr>
          <w:rFonts w:ascii="Arial" w:hAnsi="Arial" w:cs="Arial"/>
          <w:sz w:val="28"/>
          <w:szCs w:val="28"/>
        </w:rPr>
        <w:t>En acato de lo anterior,</w:t>
      </w:r>
      <w:r>
        <w:rPr>
          <w:rFonts w:ascii="Arial" w:hAnsi="Arial" w:cs="Arial"/>
          <w:b/>
          <w:sz w:val="28"/>
          <w:szCs w:val="28"/>
        </w:rPr>
        <w:t xml:space="preserve"> </w:t>
      </w:r>
      <w:r>
        <w:rPr>
          <w:rFonts w:ascii="Arial" w:hAnsi="Arial" w:cs="Arial"/>
          <w:sz w:val="28"/>
          <w:szCs w:val="28"/>
        </w:rPr>
        <w:t>e</w:t>
      </w:r>
      <w:r w:rsidR="000C20D8" w:rsidRPr="000C20D8">
        <w:rPr>
          <w:rFonts w:ascii="Arial" w:hAnsi="Arial" w:cs="Arial"/>
          <w:sz w:val="28"/>
          <w:szCs w:val="28"/>
        </w:rPr>
        <w:t xml:space="preserve">sta Sala Superior, con base en los razonamientos expuestos en el fallo protector, determina que </w:t>
      </w:r>
      <w:r w:rsidR="000C20D8">
        <w:rPr>
          <w:rFonts w:ascii="Arial" w:hAnsi="Arial" w:cs="Arial"/>
          <w:sz w:val="28"/>
          <w:szCs w:val="28"/>
        </w:rPr>
        <w:t xml:space="preserve">el recurso de </w:t>
      </w:r>
      <w:r w:rsidR="000C20D8">
        <w:rPr>
          <w:rFonts w:ascii="Arial" w:hAnsi="Arial" w:cs="Arial"/>
          <w:b/>
          <w:sz w:val="28"/>
          <w:szCs w:val="28"/>
        </w:rPr>
        <w:t xml:space="preserve">apelación interpuesto </w:t>
      </w:r>
      <w:r w:rsidR="006D1AE4" w:rsidRPr="00AE1971">
        <w:rPr>
          <w:rFonts w:ascii="Arial" w:hAnsi="Arial" w:cs="Arial"/>
          <w:sz w:val="28"/>
          <w:szCs w:val="28"/>
        </w:rPr>
        <w:t>por</w:t>
      </w:r>
      <w:r w:rsidR="006D1AE4">
        <w:rPr>
          <w:rFonts w:ascii="Arial" w:hAnsi="Arial" w:cs="Arial"/>
          <w:b/>
          <w:sz w:val="28"/>
          <w:szCs w:val="28"/>
        </w:rPr>
        <w:t xml:space="preserve"> </w:t>
      </w:r>
      <w:r w:rsidR="00194957">
        <w:rPr>
          <w:rFonts w:ascii="Arial" w:hAnsi="Arial" w:cs="Arial"/>
          <w:color w:val="FF0000"/>
          <w:sz w:val="23"/>
          <w:szCs w:val="23"/>
        </w:rPr>
        <w:t>******</w:t>
      </w:r>
      <w:r w:rsidR="000C20D8" w:rsidRPr="000C20D8">
        <w:rPr>
          <w:rFonts w:ascii="Arial" w:hAnsi="Arial" w:cs="Arial"/>
          <w:color w:val="FF0000"/>
          <w:sz w:val="28"/>
          <w:szCs w:val="20"/>
        </w:rPr>
        <w:t>,</w:t>
      </w:r>
      <w:r w:rsidR="000C20D8" w:rsidRPr="000C20D8">
        <w:rPr>
          <w:rFonts w:ascii="Arial" w:hAnsi="Arial" w:cs="Arial"/>
          <w:b/>
          <w:sz w:val="28"/>
          <w:szCs w:val="28"/>
        </w:rPr>
        <w:t xml:space="preserve"> </w:t>
      </w:r>
      <w:r w:rsidR="000C20D8">
        <w:rPr>
          <w:rFonts w:ascii="Arial" w:hAnsi="Arial" w:cs="Arial"/>
          <w:b/>
          <w:sz w:val="28"/>
          <w:szCs w:val="28"/>
        </w:rPr>
        <w:t>es</w:t>
      </w:r>
      <w:r w:rsidR="000C20D8" w:rsidRPr="000C20D8">
        <w:rPr>
          <w:rFonts w:ascii="Arial" w:hAnsi="Arial" w:cs="Arial"/>
          <w:b/>
          <w:sz w:val="28"/>
          <w:szCs w:val="28"/>
        </w:rPr>
        <w:t xml:space="preserve"> </w:t>
      </w:r>
      <w:r w:rsidR="000C20D8">
        <w:rPr>
          <w:rFonts w:ascii="Arial" w:hAnsi="Arial" w:cs="Arial"/>
          <w:b/>
          <w:sz w:val="28"/>
          <w:szCs w:val="28"/>
        </w:rPr>
        <w:t>procedente</w:t>
      </w:r>
      <w:r w:rsidR="000C20D8" w:rsidRPr="000C20D8">
        <w:rPr>
          <w:rFonts w:ascii="Arial" w:hAnsi="Arial" w:cs="Arial"/>
          <w:b/>
          <w:sz w:val="28"/>
          <w:szCs w:val="28"/>
        </w:rPr>
        <w:t>,</w:t>
      </w:r>
      <w:r w:rsidR="000C20D8" w:rsidRPr="000C20D8">
        <w:rPr>
          <w:rFonts w:ascii="Arial" w:hAnsi="Arial" w:cs="Arial"/>
          <w:sz w:val="28"/>
          <w:szCs w:val="28"/>
        </w:rPr>
        <w:t xml:space="preserve"> </w:t>
      </w:r>
      <w:r w:rsidR="000C20D8" w:rsidRPr="000C20D8">
        <w:rPr>
          <w:rFonts w:ascii="Arial" w:hAnsi="Arial" w:cs="Arial"/>
          <w:sz w:val="28"/>
          <w:szCs w:val="20"/>
        </w:rPr>
        <w:t xml:space="preserve">atendiendo para ese fin lo establecido por el </w:t>
      </w:r>
      <w:r w:rsidR="000C20D8" w:rsidRPr="000C20D8">
        <w:rPr>
          <w:rFonts w:ascii="Arial" w:hAnsi="Arial" w:cs="Arial"/>
          <w:sz w:val="28"/>
          <w:szCs w:val="28"/>
        </w:rPr>
        <w:t>artículo 152 del Código Procesal Administrativo para el Estado de San Luis Potosí, el cual establece:</w:t>
      </w:r>
    </w:p>
    <w:p w14:paraId="62D8F3FD" w14:textId="77777777" w:rsidR="000546BF" w:rsidRPr="00DC08F2" w:rsidRDefault="000546BF" w:rsidP="00DC08F2">
      <w:pPr>
        <w:pStyle w:val="Textoindependiente"/>
        <w:spacing w:after="0" w:line="240" w:lineRule="auto"/>
        <w:ind w:left="851" w:right="680" w:hanging="23"/>
        <w:jc w:val="both"/>
        <w:rPr>
          <w:rFonts w:ascii="Arial" w:hAnsi="Arial" w:cs="Arial"/>
          <w:sz w:val="10"/>
          <w:szCs w:val="10"/>
        </w:rPr>
      </w:pPr>
    </w:p>
    <w:p w14:paraId="4590485E" w14:textId="77777777" w:rsidR="000C20D8" w:rsidRPr="000C20D8" w:rsidRDefault="000C20D8" w:rsidP="00271249">
      <w:pPr>
        <w:tabs>
          <w:tab w:val="left" w:pos="7371"/>
        </w:tabs>
        <w:spacing w:after="0" w:line="240" w:lineRule="auto"/>
        <w:ind w:left="709" w:right="616"/>
        <w:jc w:val="both"/>
        <w:rPr>
          <w:rFonts w:ascii="Arial Narrow" w:hAnsi="Arial Narrow" w:cs="Arial"/>
          <w:sz w:val="28"/>
          <w:szCs w:val="28"/>
        </w:rPr>
      </w:pPr>
      <w:r w:rsidRPr="000C20D8">
        <w:rPr>
          <w:rFonts w:ascii="Arial Narrow" w:hAnsi="Arial Narrow" w:cs="Arial"/>
          <w:bCs/>
          <w:i/>
          <w:color w:val="000000"/>
          <w:sz w:val="24"/>
          <w:szCs w:val="28"/>
        </w:rPr>
        <w:t>“ARTÍCULO 152. Las resoluciones definitivas emitidas por las Salas Unitarias serán apelables por cualquiera de las partes, siempre que se refiera a cualquiera de los siguientes supuestos:</w:t>
      </w:r>
    </w:p>
    <w:p w14:paraId="4B350554" w14:textId="77777777" w:rsidR="000C20D8" w:rsidRPr="00DC08F2" w:rsidRDefault="000C20D8" w:rsidP="00271249">
      <w:pPr>
        <w:pStyle w:val="Textoindependiente"/>
        <w:spacing w:after="0" w:line="240" w:lineRule="auto"/>
        <w:ind w:left="709" w:right="680" w:hanging="23"/>
        <w:jc w:val="both"/>
        <w:rPr>
          <w:rFonts w:ascii="Arial" w:hAnsi="Arial" w:cs="Arial"/>
          <w:sz w:val="10"/>
          <w:szCs w:val="10"/>
        </w:rPr>
      </w:pPr>
    </w:p>
    <w:p w14:paraId="4C1A56C9" w14:textId="77777777" w:rsidR="000C20D8" w:rsidRPr="000C20D8" w:rsidRDefault="000C20D8" w:rsidP="00271249">
      <w:pPr>
        <w:tabs>
          <w:tab w:val="left" w:pos="7371"/>
        </w:tabs>
        <w:spacing w:after="0" w:line="240" w:lineRule="auto"/>
        <w:ind w:left="709" w:right="616"/>
        <w:jc w:val="both"/>
        <w:rPr>
          <w:rFonts w:ascii="Arial Narrow" w:hAnsi="Arial Narrow" w:cs="Arial"/>
          <w:bCs/>
          <w:i/>
          <w:color w:val="000000"/>
          <w:sz w:val="24"/>
          <w:szCs w:val="28"/>
        </w:rPr>
      </w:pPr>
      <w:r w:rsidRPr="000C20D8">
        <w:rPr>
          <w:rFonts w:ascii="Arial Narrow" w:hAnsi="Arial Narrow" w:cs="Arial"/>
          <w:bCs/>
          <w:i/>
          <w:color w:val="000000"/>
          <w:sz w:val="24"/>
          <w:szCs w:val="28"/>
        </w:rPr>
        <w:t>I. Sea de cuantía que exceda de mil quinientas veces el valor diario de la UMA al momento de la emisión de la resolución o sentencia;</w:t>
      </w:r>
    </w:p>
    <w:p w14:paraId="29802CBF" w14:textId="77777777" w:rsidR="000C20D8" w:rsidRPr="00DC08F2" w:rsidRDefault="000C20D8" w:rsidP="00271249">
      <w:pPr>
        <w:pStyle w:val="Textoindependiente"/>
        <w:spacing w:after="0" w:line="240" w:lineRule="auto"/>
        <w:ind w:left="709" w:right="680" w:hanging="23"/>
        <w:jc w:val="both"/>
        <w:rPr>
          <w:rFonts w:ascii="Arial" w:hAnsi="Arial" w:cs="Arial"/>
          <w:sz w:val="10"/>
          <w:szCs w:val="10"/>
        </w:rPr>
      </w:pPr>
    </w:p>
    <w:p w14:paraId="3541590E" w14:textId="77777777" w:rsidR="000C20D8" w:rsidRPr="000C20D8" w:rsidRDefault="000C20D8" w:rsidP="00271249">
      <w:pPr>
        <w:tabs>
          <w:tab w:val="left" w:pos="7371"/>
        </w:tabs>
        <w:spacing w:after="0" w:line="240" w:lineRule="auto"/>
        <w:ind w:left="709" w:right="616"/>
        <w:jc w:val="both"/>
        <w:rPr>
          <w:rFonts w:ascii="Arial Narrow" w:hAnsi="Arial Narrow" w:cs="Arial"/>
          <w:bCs/>
          <w:i/>
          <w:color w:val="000000"/>
          <w:sz w:val="24"/>
          <w:szCs w:val="28"/>
        </w:rPr>
      </w:pPr>
      <w:r w:rsidRPr="000C20D8">
        <w:rPr>
          <w:rFonts w:ascii="Arial Narrow" w:hAnsi="Arial Narrow" w:cs="Arial"/>
          <w:bCs/>
          <w:i/>
          <w:color w:val="000000"/>
          <w:sz w:val="24"/>
          <w:szCs w:val="28"/>
        </w:rPr>
        <w:t xml:space="preserve">II. Sea de importancia y trascendencia cuando la cuantía sea inferior a la señalada en la fracción primera, o </w:t>
      </w:r>
      <w:r w:rsidRPr="00884459">
        <w:rPr>
          <w:rFonts w:ascii="Arial Narrow" w:hAnsi="Arial Narrow" w:cs="Arial"/>
          <w:bCs/>
          <w:i/>
          <w:color w:val="000000"/>
          <w:sz w:val="24"/>
          <w:szCs w:val="28"/>
        </w:rPr>
        <w:t xml:space="preserve">de </w:t>
      </w:r>
      <w:r w:rsidRPr="00884459">
        <w:rPr>
          <w:rFonts w:ascii="Arial Narrow" w:hAnsi="Arial Narrow" w:cs="Arial"/>
          <w:b/>
          <w:bCs/>
          <w:i/>
          <w:color w:val="000000"/>
          <w:sz w:val="24"/>
          <w:szCs w:val="28"/>
        </w:rPr>
        <w:t>cuantía indeterminada</w:t>
      </w:r>
      <w:r w:rsidRPr="00884459">
        <w:rPr>
          <w:rFonts w:ascii="Arial Narrow" w:hAnsi="Arial Narrow" w:cs="Arial"/>
          <w:bCs/>
          <w:i/>
          <w:color w:val="000000"/>
          <w:sz w:val="24"/>
          <w:szCs w:val="28"/>
        </w:rPr>
        <w:t>, debiendo el recurrente razonar esa circunstancia para efectos de la admisión del recurso</w:t>
      </w:r>
      <w:r w:rsidRPr="000C20D8">
        <w:rPr>
          <w:rFonts w:ascii="Arial Narrow" w:hAnsi="Arial Narrow" w:cs="Arial"/>
          <w:bCs/>
          <w:i/>
          <w:color w:val="000000"/>
          <w:sz w:val="24"/>
          <w:szCs w:val="28"/>
        </w:rPr>
        <w:t>;</w:t>
      </w:r>
    </w:p>
    <w:p w14:paraId="2702345F" w14:textId="77777777" w:rsidR="000C20D8" w:rsidRPr="00DC08F2" w:rsidRDefault="000C20D8" w:rsidP="00271249">
      <w:pPr>
        <w:pStyle w:val="Textoindependiente"/>
        <w:spacing w:after="0" w:line="240" w:lineRule="auto"/>
        <w:ind w:left="709" w:right="680" w:hanging="23"/>
        <w:jc w:val="both"/>
        <w:rPr>
          <w:rFonts w:ascii="Arial" w:hAnsi="Arial" w:cs="Arial"/>
          <w:sz w:val="10"/>
          <w:szCs w:val="10"/>
        </w:rPr>
      </w:pPr>
    </w:p>
    <w:p w14:paraId="1A9FE287" w14:textId="77777777" w:rsidR="000C20D8" w:rsidRPr="000C20D8" w:rsidRDefault="000C20D8" w:rsidP="00271249">
      <w:pPr>
        <w:tabs>
          <w:tab w:val="left" w:pos="7371"/>
          <w:tab w:val="left" w:pos="7655"/>
        </w:tabs>
        <w:spacing w:after="0" w:line="240" w:lineRule="auto"/>
        <w:ind w:left="709" w:right="616"/>
        <w:jc w:val="both"/>
        <w:rPr>
          <w:rFonts w:ascii="Arial Narrow" w:hAnsi="Arial Narrow" w:cs="Arial"/>
          <w:bCs/>
          <w:i/>
          <w:color w:val="000000"/>
          <w:sz w:val="24"/>
          <w:szCs w:val="28"/>
        </w:rPr>
      </w:pPr>
      <w:r w:rsidRPr="000C20D8">
        <w:rPr>
          <w:rFonts w:ascii="Arial Narrow" w:hAnsi="Arial Narrow" w:cs="Arial"/>
          <w:bCs/>
          <w:i/>
          <w:color w:val="000000"/>
          <w:sz w:val="24"/>
          <w:szCs w:val="28"/>
        </w:rPr>
        <w:t>III. Sea una resolución dictada por la Secretaría de Finanzas o las Tesorerías Municipales, y sus organismos descentralizados en ingresos estatales y municipales, siempre que el asunto se refiera a:</w:t>
      </w:r>
    </w:p>
    <w:p w14:paraId="02C2097F" w14:textId="77777777" w:rsidR="000C20D8" w:rsidRPr="00DC08F2" w:rsidRDefault="000C20D8" w:rsidP="00271249">
      <w:pPr>
        <w:pStyle w:val="Textoindependiente"/>
        <w:spacing w:after="0" w:line="240" w:lineRule="auto"/>
        <w:ind w:left="709" w:right="680" w:hanging="23"/>
        <w:jc w:val="both"/>
        <w:rPr>
          <w:rFonts w:ascii="Arial" w:hAnsi="Arial" w:cs="Arial"/>
          <w:sz w:val="10"/>
          <w:szCs w:val="10"/>
        </w:rPr>
      </w:pPr>
    </w:p>
    <w:p w14:paraId="68F3064E" w14:textId="77777777" w:rsidR="000C20D8" w:rsidRPr="000C20D8" w:rsidRDefault="000C20D8" w:rsidP="00271249">
      <w:pPr>
        <w:tabs>
          <w:tab w:val="left" w:pos="7371"/>
        </w:tabs>
        <w:spacing w:after="0" w:line="240" w:lineRule="auto"/>
        <w:ind w:left="709" w:right="616"/>
        <w:jc w:val="both"/>
        <w:rPr>
          <w:rFonts w:ascii="Arial Narrow" w:hAnsi="Arial Narrow" w:cs="Arial"/>
          <w:bCs/>
          <w:i/>
          <w:color w:val="000000"/>
          <w:sz w:val="24"/>
          <w:szCs w:val="28"/>
        </w:rPr>
      </w:pPr>
      <w:r w:rsidRPr="000C20D8">
        <w:rPr>
          <w:rFonts w:ascii="Arial Narrow" w:hAnsi="Arial Narrow" w:cs="Arial"/>
          <w:bCs/>
          <w:i/>
          <w:color w:val="000000"/>
          <w:sz w:val="24"/>
          <w:szCs w:val="28"/>
        </w:rPr>
        <w:t>a) Interpretación de normas generales con motivo de su aplicación.</w:t>
      </w:r>
    </w:p>
    <w:p w14:paraId="4E45CEE1" w14:textId="77777777" w:rsidR="000C20D8" w:rsidRPr="00DC08F2" w:rsidRDefault="000C20D8" w:rsidP="00271249">
      <w:pPr>
        <w:pStyle w:val="Textoindependiente"/>
        <w:spacing w:after="0" w:line="240" w:lineRule="auto"/>
        <w:ind w:left="709" w:right="680" w:hanging="23"/>
        <w:jc w:val="both"/>
        <w:rPr>
          <w:rFonts w:ascii="Arial" w:hAnsi="Arial" w:cs="Arial"/>
          <w:sz w:val="10"/>
          <w:szCs w:val="10"/>
        </w:rPr>
      </w:pPr>
    </w:p>
    <w:p w14:paraId="671E77D6" w14:textId="77777777" w:rsidR="000C20D8" w:rsidRPr="000C20D8" w:rsidRDefault="000C20D8" w:rsidP="00271249">
      <w:pPr>
        <w:tabs>
          <w:tab w:val="left" w:pos="7371"/>
        </w:tabs>
        <w:spacing w:after="0" w:line="240" w:lineRule="auto"/>
        <w:ind w:left="709" w:right="332"/>
        <w:jc w:val="both"/>
        <w:rPr>
          <w:rFonts w:ascii="Arial Narrow" w:hAnsi="Arial Narrow" w:cs="Arial"/>
          <w:bCs/>
          <w:i/>
          <w:color w:val="000000"/>
          <w:sz w:val="24"/>
          <w:szCs w:val="28"/>
        </w:rPr>
      </w:pPr>
      <w:r w:rsidRPr="000C20D8">
        <w:rPr>
          <w:rFonts w:ascii="Arial Narrow" w:hAnsi="Arial Narrow" w:cs="Arial"/>
          <w:bCs/>
          <w:i/>
          <w:color w:val="000000"/>
          <w:sz w:val="24"/>
          <w:szCs w:val="28"/>
        </w:rPr>
        <w:t>b) La determinación del alcance de los elementos esenciales de las contribuciones.</w:t>
      </w:r>
    </w:p>
    <w:p w14:paraId="16E82E60" w14:textId="77777777" w:rsidR="000C20D8" w:rsidRPr="00DC08F2" w:rsidRDefault="000C20D8" w:rsidP="00271249">
      <w:pPr>
        <w:pStyle w:val="Textoindependiente"/>
        <w:spacing w:after="0" w:line="240" w:lineRule="auto"/>
        <w:ind w:left="709" w:right="680" w:hanging="23"/>
        <w:jc w:val="both"/>
        <w:rPr>
          <w:rFonts w:ascii="Arial" w:hAnsi="Arial" w:cs="Arial"/>
          <w:sz w:val="10"/>
          <w:szCs w:val="10"/>
        </w:rPr>
      </w:pPr>
    </w:p>
    <w:p w14:paraId="6447E659" w14:textId="77777777" w:rsidR="000C20D8" w:rsidRPr="000C20D8" w:rsidRDefault="000C20D8" w:rsidP="00271249">
      <w:pPr>
        <w:tabs>
          <w:tab w:val="left" w:pos="7371"/>
        </w:tabs>
        <w:spacing w:after="0" w:line="240" w:lineRule="auto"/>
        <w:ind w:left="709" w:right="332"/>
        <w:jc w:val="both"/>
        <w:rPr>
          <w:rFonts w:ascii="Arial Narrow" w:hAnsi="Arial Narrow" w:cs="Arial"/>
          <w:bCs/>
          <w:i/>
          <w:color w:val="000000"/>
          <w:sz w:val="24"/>
          <w:szCs w:val="28"/>
        </w:rPr>
      </w:pPr>
      <w:r w:rsidRPr="000C20D8">
        <w:rPr>
          <w:rFonts w:ascii="Arial Narrow" w:hAnsi="Arial Narrow" w:cs="Arial"/>
          <w:bCs/>
          <w:i/>
          <w:color w:val="000000"/>
          <w:sz w:val="24"/>
          <w:szCs w:val="28"/>
        </w:rPr>
        <w:t>c) Competencia de la autoridad que haya dictado u ordenado la resolución impugnada o tramitado el procedimiento del que deriva o al ejercicio de las facultades de comprobación.</w:t>
      </w:r>
    </w:p>
    <w:p w14:paraId="355CDD7E" w14:textId="77777777" w:rsidR="000C20D8" w:rsidRPr="00DC08F2" w:rsidRDefault="000C20D8" w:rsidP="00271249">
      <w:pPr>
        <w:pStyle w:val="Textoindependiente"/>
        <w:spacing w:after="0" w:line="240" w:lineRule="auto"/>
        <w:ind w:left="709" w:right="680" w:hanging="23"/>
        <w:jc w:val="both"/>
        <w:rPr>
          <w:rFonts w:ascii="Arial" w:hAnsi="Arial" w:cs="Arial"/>
          <w:sz w:val="10"/>
          <w:szCs w:val="10"/>
        </w:rPr>
      </w:pPr>
    </w:p>
    <w:p w14:paraId="46A9F999" w14:textId="77777777" w:rsidR="000C20D8" w:rsidRPr="000C20D8" w:rsidRDefault="000C20D8" w:rsidP="00271249">
      <w:pPr>
        <w:tabs>
          <w:tab w:val="left" w:pos="7371"/>
        </w:tabs>
        <w:spacing w:after="0" w:line="240" w:lineRule="auto"/>
        <w:ind w:left="709" w:right="332"/>
        <w:jc w:val="both"/>
        <w:rPr>
          <w:rFonts w:ascii="Arial Narrow" w:hAnsi="Arial Narrow" w:cs="Arial"/>
          <w:bCs/>
          <w:i/>
          <w:color w:val="000000"/>
          <w:sz w:val="24"/>
          <w:szCs w:val="28"/>
        </w:rPr>
      </w:pPr>
      <w:r w:rsidRPr="000C20D8">
        <w:rPr>
          <w:rFonts w:ascii="Arial Narrow" w:hAnsi="Arial Narrow" w:cs="Arial"/>
          <w:bCs/>
          <w:i/>
          <w:color w:val="000000"/>
          <w:sz w:val="24"/>
          <w:szCs w:val="28"/>
        </w:rPr>
        <w:t xml:space="preserve">d) Violaciones procesales durante el juicio que afecten las defensas del recurrente y trasciendan al sentido del fallo, y </w:t>
      </w:r>
    </w:p>
    <w:p w14:paraId="01D93FB9" w14:textId="77777777" w:rsidR="000C20D8" w:rsidRPr="00DC08F2" w:rsidRDefault="000C20D8" w:rsidP="00271249">
      <w:pPr>
        <w:pStyle w:val="Textoindependiente"/>
        <w:spacing w:after="0" w:line="240" w:lineRule="auto"/>
        <w:ind w:left="709" w:right="680" w:hanging="23"/>
        <w:jc w:val="both"/>
        <w:rPr>
          <w:rFonts w:ascii="Arial" w:hAnsi="Arial" w:cs="Arial"/>
          <w:sz w:val="10"/>
          <w:szCs w:val="10"/>
        </w:rPr>
      </w:pPr>
    </w:p>
    <w:p w14:paraId="066E4738" w14:textId="77777777" w:rsidR="000C20D8" w:rsidRPr="000C20D8" w:rsidRDefault="000C20D8" w:rsidP="00271249">
      <w:pPr>
        <w:tabs>
          <w:tab w:val="left" w:pos="7371"/>
        </w:tabs>
        <w:spacing w:after="0" w:line="240" w:lineRule="auto"/>
        <w:ind w:left="709" w:right="332"/>
        <w:jc w:val="both"/>
        <w:rPr>
          <w:rFonts w:ascii="Arial Narrow" w:hAnsi="Arial Narrow" w:cs="Arial"/>
          <w:bCs/>
          <w:i/>
          <w:color w:val="000000"/>
          <w:sz w:val="24"/>
          <w:szCs w:val="28"/>
        </w:rPr>
      </w:pPr>
      <w:r w:rsidRPr="000C20D8">
        <w:rPr>
          <w:rFonts w:ascii="Arial Narrow" w:hAnsi="Arial Narrow" w:cs="Arial"/>
          <w:bCs/>
          <w:i/>
          <w:color w:val="000000"/>
          <w:sz w:val="24"/>
          <w:szCs w:val="28"/>
        </w:rPr>
        <w:t>IV. Sea una resolución dictada con motivo de las reclamaciones previstas en la Ley de Responsabilidad Patrimonial del Estado de San Luis Potosí.</w:t>
      </w:r>
    </w:p>
    <w:p w14:paraId="4FAEECDD" w14:textId="77777777" w:rsidR="000C20D8" w:rsidRPr="000C20D8" w:rsidRDefault="000C20D8" w:rsidP="00271249">
      <w:pPr>
        <w:tabs>
          <w:tab w:val="left" w:pos="7371"/>
        </w:tabs>
        <w:spacing w:after="0" w:line="240" w:lineRule="auto"/>
        <w:ind w:left="709" w:right="332"/>
        <w:jc w:val="both"/>
        <w:rPr>
          <w:rFonts w:ascii="Arial Narrow" w:hAnsi="Arial Narrow" w:cs="Arial"/>
          <w:bCs/>
          <w:i/>
          <w:color w:val="000000"/>
          <w:sz w:val="24"/>
          <w:szCs w:val="28"/>
        </w:rPr>
      </w:pPr>
      <w:r w:rsidRPr="000C20D8">
        <w:rPr>
          <w:rFonts w:ascii="Arial Narrow" w:hAnsi="Arial Narrow" w:cs="Arial"/>
          <w:bCs/>
          <w:i/>
          <w:color w:val="000000"/>
          <w:sz w:val="24"/>
          <w:szCs w:val="28"/>
        </w:rPr>
        <w:t>Tratándose de resoluciones en materia de responsabilidades administrativas se estará a lo dispuesto en su propia ley.</w:t>
      </w:r>
    </w:p>
    <w:p w14:paraId="04C1A9A2" w14:textId="77777777" w:rsidR="000C20D8" w:rsidRPr="00DC08F2" w:rsidRDefault="000C20D8" w:rsidP="00271249">
      <w:pPr>
        <w:pStyle w:val="Textoindependiente"/>
        <w:spacing w:after="0" w:line="240" w:lineRule="auto"/>
        <w:ind w:left="709" w:right="680" w:hanging="23"/>
        <w:jc w:val="both"/>
        <w:rPr>
          <w:rFonts w:ascii="Arial" w:hAnsi="Arial" w:cs="Arial"/>
          <w:sz w:val="10"/>
          <w:szCs w:val="10"/>
        </w:rPr>
      </w:pPr>
    </w:p>
    <w:p w14:paraId="14956566" w14:textId="77777777" w:rsidR="000C20D8" w:rsidRPr="000C20D8" w:rsidRDefault="000C20D8" w:rsidP="00271249">
      <w:pPr>
        <w:tabs>
          <w:tab w:val="left" w:pos="7371"/>
        </w:tabs>
        <w:spacing w:after="0" w:line="240" w:lineRule="auto"/>
        <w:ind w:left="709" w:right="332"/>
        <w:jc w:val="both"/>
        <w:rPr>
          <w:rFonts w:ascii="Arial Narrow" w:hAnsi="Arial Narrow" w:cs="Arial"/>
          <w:bCs/>
          <w:i/>
          <w:color w:val="000000"/>
          <w:sz w:val="24"/>
          <w:szCs w:val="28"/>
        </w:rPr>
      </w:pPr>
      <w:r w:rsidRPr="000C20D8">
        <w:rPr>
          <w:rFonts w:ascii="Arial Narrow" w:hAnsi="Arial Narrow" w:cs="Arial"/>
          <w:bCs/>
          <w:i/>
          <w:color w:val="000000"/>
          <w:sz w:val="24"/>
          <w:szCs w:val="28"/>
        </w:rPr>
        <w:t>El recurso de apelación deberá promoverse ante la Sala que haya emitido la resolución, que se turnará conjuntamente con el expediente del juicio dentro de los tres días hábiles siguientes a su recepción a la Sala Superior del Tribunal, la que lo substanciará y resolverá de conformidad con lo dispuesto en la presente Sección.”</w:t>
      </w:r>
    </w:p>
    <w:p w14:paraId="425FC0B6" w14:textId="77777777" w:rsidR="000C20D8" w:rsidRPr="00DC08F2" w:rsidRDefault="000C20D8" w:rsidP="00DC08F2">
      <w:pPr>
        <w:pStyle w:val="Textoindependiente"/>
        <w:spacing w:after="0" w:line="240" w:lineRule="auto"/>
        <w:ind w:left="851" w:right="680" w:hanging="23"/>
        <w:jc w:val="both"/>
        <w:rPr>
          <w:rFonts w:ascii="Arial" w:hAnsi="Arial" w:cs="Arial"/>
          <w:sz w:val="10"/>
          <w:szCs w:val="10"/>
        </w:rPr>
      </w:pPr>
    </w:p>
    <w:p w14:paraId="7CCAA2AB" w14:textId="77777777" w:rsidR="000546BF" w:rsidRPr="000546BF" w:rsidRDefault="000546BF" w:rsidP="000546BF">
      <w:pPr>
        <w:spacing w:after="0" w:line="360" w:lineRule="auto"/>
        <w:ind w:firstLine="708"/>
        <w:jc w:val="both"/>
        <w:rPr>
          <w:rFonts w:ascii="Arial" w:hAnsi="Arial" w:cs="Arial"/>
          <w:sz w:val="28"/>
          <w:szCs w:val="28"/>
        </w:rPr>
      </w:pPr>
      <w:r w:rsidRPr="000546BF">
        <w:rPr>
          <w:rFonts w:ascii="Arial" w:hAnsi="Arial" w:cs="Arial"/>
          <w:sz w:val="28"/>
          <w:szCs w:val="28"/>
        </w:rPr>
        <w:lastRenderedPageBreak/>
        <w:t xml:space="preserve">Del precepto legal que antecede, se desprende que la procedencia del recurso de apelación, dada su naturaleza explicada en el considerando segundo de este fallo, está sujeta a cuatro supuestos que contempla la norma; a saber, cuando </w:t>
      </w:r>
      <w:r w:rsidRPr="000546BF">
        <w:rPr>
          <w:rFonts w:ascii="Arial" w:hAnsi="Arial" w:cs="Arial"/>
          <w:b/>
          <w:sz w:val="28"/>
          <w:szCs w:val="28"/>
        </w:rPr>
        <w:t>la cuantía exceda de mil quinientas veces el valor diario de la Unidad de Medida y Actualización</w:t>
      </w:r>
      <w:r w:rsidRPr="000546BF">
        <w:rPr>
          <w:rFonts w:ascii="Arial" w:hAnsi="Arial" w:cs="Arial"/>
          <w:sz w:val="28"/>
          <w:szCs w:val="28"/>
        </w:rPr>
        <w:t xml:space="preserve">, </w:t>
      </w:r>
      <w:r w:rsidRPr="000546BF">
        <w:rPr>
          <w:rFonts w:ascii="Arial" w:hAnsi="Arial" w:cs="Arial"/>
          <w:b/>
          <w:sz w:val="28"/>
          <w:szCs w:val="28"/>
        </w:rPr>
        <w:t>al momento de la emisión de la sentencia</w:t>
      </w:r>
      <w:r w:rsidRPr="000546BF">
        <w:rPr>
          <w:rFonts w:ascii="Arial" w:hAnsi="Arial" w:cs="Arial"/>
          <w:sz w:val="28"/>
          <w:szCs w:val="28"/>
        </w:rPr>
        <w:t xml:space="preserve">; cuando el juicio por sus características especiales se considere de </w:t>
      </w:r>
      <w:r w:rsidRPr="000546BF">
        <w:rPr>
          <w:rFonts w:ascii="Arial" w:hAnsi="Arial" w:cs="Arial"/>
          <w:b/>
          <w:sz w:val="28"/>
          <w:szCs w:val="28"/>
        </w:rPr>
        <w:t>importancia y trascendencia</w:t>
      </w:r>
      <w:r w:rsidRPr="000546BF">
        <w:rPr>
          <w:rFonts w:ascii="Arial" w:hAnsi="Arial" w:cs="Arial"/>
          <w:sz w:val="28"/>
          <w:szCs w:val="28"/>
        </w:rPr>
        <w:t xml:space="preserve">, en caso de que la </w:t>
      </w:r>
      <w:r w:rsidRPr="000546BF">
        <w:rPr>
          <w:rFonts w:ascii="Arial" w:hAnsi="Arial" w:cs="Arial"/>
          <w:b/>
          <w:sz w:val="28"/>
          <w:szCs w:val="28"/>
        </w:rPr>
        <w:t>cuantía sea inferior a la señalada en la fracción primera, o de cuantía indeterminada, debiendo el recurrente razonar esa circunstancia para efectos de la admisión del recurso</w:t>
      </w:r>
      <w:r w:rsidRPr="000546BF">
        <w:rPr>
          <w:rFonts w:ascii="Arial" w:hAnsi="Arial" w:cs="Arial"/>
          <w:sz w:val="28"/>
          <w:szCs w:val="28"/>
        </w:rPr>
        <w:t xml:space="preserve">; en contra de </w:t>
      </w:r>
      <w:r w:rsidRPr="000546BF">
        <w:rPr>
          <w:rFonts w:ascii="Arial" w:hAnsi="Arial" w:cs="Arial"/>
          <w:b/>
          <w:sz w:val="28"/>
          <w:szCs w:val="28"/>
        </w:rPr>
        <w:t>resoluciones dictadas por la Secretaría de Finanzas o las Tesorerías Municipales y sus organismos descentralizados en ingresos estatales y municipales</w:t>
      </w:r>
      <w:r w:rsidRPr="000546BF">
        <w:rPr>
          <w:rFonts w:ascii="Arial" w:hAnsi="Arial" w:cs="Arial"/>
          <w:sz w:val="28"/>
          <w:szCs w:val="28"/>
        </w:rPr>
        <w:t xml:space="preserve">, siempre y cuando se refiera a interpretación de normas generales, competencia, violaciones procesales y </w:t>
      </w:r>
      <w:r w:rsidRPr="000546BF">
        <w:rPr>
          <w:rFonts w:ascii="Arial" w:hAnsi="Arial" w:cs="Arial"/>
          <w:b/>
          <w:sz w:val="28"/>
          <w:szCs w:val="28"/>
        </w:rPr>
        <w:t>resoluciones previstas en la Ley de Responsabilidad Patrimonial del Estado</w:t>
      </w:r>
      <w:r w:rsidRPr="000546BF">
        <w:rPr>
          <w:rFonts w:ascii="Arial" w:hAnsi="Arial" w:cs="Arial"/>
          <w:sz w:val="28"/>
          <w:szCs w:val="28"/>
        </w:rPr>
        <w:t>.</w:t>
      </w:r>
    </w:p>
    <w:p w14:paraId="04CF68F2" w14:textId="77777777" w:rsidR="000546BF" w:rsidRPr="00884459" w:rsidRDefault="000546BF" w:rsidP="000546BF">
      <w:pPr>
        <w:spacing w:after="0" w:line="360" w:lineRule="auto"/>
        <w:ind w:firstLine="708"/>
        <w:jc w:val="both"/>
        <w:rPr>
          <w:rFonts w:ascii="Arial" w:hAnsi="Arial" w:cs="Arial"/>
          <w:sz w:val="10"/>
          <w:szCs w:val="10"/>
        </w:rPr>
      </w:pPr>
    </w:p>
    <w:p w14:paraId="1506133E" w14:textId="2E9CDCB4" w:rsidR="000C20D8" w:rsidRPr="00E05A4E" w:rsidRDefault="000C20D8" w:rsidP="000C20D8">
      <w:pPr>
        <w:spacing w:after="0" w:line="360" w:lineRule="auto"/>
        <w:ind w:right="49" w:firstLine="567"/>
        <w:jc w:val="both"/>
        <w:rPr>
          <w:rFonts w:ascii="Arial" w:hAnsi="Arial" w:cs="Arial"/>
          <w:i/>
          <w:sz w:val="28"/>
          <w:szCs w:val="28"/>
        </w:rPr>
      </w:pPr>
      <w:r w:rsidRPr="000C20D8">
        <w:rPr>
          <w:rFonts w:ascii="Arial" w:hAnsi="Arial" w:cs="Arial"/>
          <w:sz w:val="28"/>
          <w:szCs w:val="28"/>
        </w:rPr>
        <w:t xml:space="preserve">En el caso de la </w:t>
      </w:r>
      <w:r w:rsidRPr="000C20D8">
        <w:rPr>
          <w:rFonts w:ascii="Arial" w:hAnsi="Arial" w:cs="Arial"/>
          <w:b/>
          <w:sz w:val="28"/>
          <w:szCs w:val="28"/>
        </w:rPr>
        <w:t>segunda hipótesis</w:t>
      </w:r>
      <w:r w:rsidRPr="000C20D8">
        <w:rPr>
          <w:rFonts w:ascii="Arial" w:hAnsi="Arial" w:cs="Arial"/>
          <w:sz w:val="28"/>
          <w:szCs w:val="28"/>
        </w:rPr>
        <w:t xml:space="preserve">, es decir, cuando el asunto sea inferior a la cuantía determinada en la fracción I del citado numeral o sea de cuantía indeterminada, </w:t>
      </w:r>
      <w:r w:rsidRPr="000C20D8">
        <w:rPr>
          <w:rFonts w:ascii="Arial" w:hAnsi="Arial" w:cs="Arial"/>
          <w:b/>
          <w:sz w:val="28"/>
          <w:szCs w:val="28"/>
        </w:rPr>
        <w:t>impone</w:t>
      </w:r>
      <w:r w:rsidRPr="000C20D8">
        <w:rPr>
          <w:rFonts w:ascii="Arial" w:hAnsi="Arial" w:cs="Arial"/>
          <w:sz w:val="28"/>
          <w:szCs w:val="28"/>
        </w:rPr>
        <w:t xml:space="preserve"> </w:t>
      </w:r>
      <w:r w:rsidR="00750AA9">
        <w:rPr>
          <w:rFonts w:ascii="Arial" w:hAnsi="Arial" w:cs="Arial"/>
          <w:sz w:val="28"/>
          <w:szCs w:val="28"/>
        </w:rPr>
        <w:t>que resulte</w:t>
      </w:r>
      <w:r w:rsidR="00750AA9" w:rsidRPr="000C20D8">
        <w:rPr>
          <w:rFonts w:ascii="Arial" w:hAnsi="Arial" w:cs="Arial"/>
          <w:sz w:val="28"/>
          <w:szCs w:val="28"/>
        </w:rPr>
        <w:t xml:space="preserve"> de importancia y trascendencia </w:t>
      </w:r>
      <w:r w:rsidRPr="000C20D8">
        <w:rPr>
          <w:rFonts w:ascii="Arial" w:hAnsi="Arial" w:cs="Arial"/>
          <w:sz w:val="28"/>
          <w:szCs w:val="28"/>
        </w:rPr>
        <w:t xml:space="preserve">la obligación adicional </w:t>
      </w:r>
      <w:r w:rsidR="00750AA9">
        <w:rPr>
          <w:rFonts w:ascii="Arial" w:hAnsi="Arial" w:cs="Arial"/>
          <w:sz w:val="28"/>
          <w:szCs w:val="28"/>
        </w:rPr>
        <w:t xml:space="preserve">y corre </w:t>
      </w:r>
      <w:r w:rsidRPr="000C20D8">
        <w:rPr>
          <w:rFonts w:ascii="Arial" w:hAnsi="Arial" w:cs="Arial"/>
          <w:b/>
          <w:sz w:val="28"/>
          <w:szCs w:val="28"/>
        </w:rPr>
        <w:t>a cargo del recurrente</w:t>
      </w:r>
      <w:r w:rsidR="00750AA9">
        <w:rPr>
          <w:rFonts w:ascii="Arial" w:hAnsi="Arial" w:cs="Arial"/>
          <w:sz w:val="28"/>
          <w:szCs w:val="28"/>
        </w:rPr>
        <w:t>, el</w:t>
      </w:r>
      <w:r w:rsidRPr="000C20D8">
        <w:rPr>
          <w:rFonts w:ascii="Arial" w:hAnsi="Arial" w:cs="Arial"/>
          <w:sz w:val="28"/>
          <w:szCs w:val="28"/>
        </w:rPr>
        <w:t xml:space="preserve"> </w:t>
      </w:r>
      <w:r w:rsidRPr="000C20D8">
        <w:rPr>
          <w:rFonts w:ascii="Arial" w:hAnsi="Arial" w:cs="Arial"/>
          <w:b/>
          <w:sz w:val="28"/>
          <w:szCs w:val="28"/>
        </w:rPr>
        <w:t>razonar esa circunstancia para efectos de la admisión del recurso</w:t>
      </w:r>
      <w:r w:rsidR="000546BF">
        <w:rPr>
          <w:rFonts w:ascii="Arial" w:hAnsi="Arial" w:cs="Arial"/>
          <w:b/>
          <w:sz w:val="28"/>
          <w:szCs w:val="28"/>
        </w:rPr>
        <w:t>;</w:t>
      </w:r>
      <w:r w:rsidR="000546BF">
        <w:rPr>
          <w:rFonts w:ascii="Arial" w:hAnsi="Arial" w:cs="Arial"/>
          <w:sz w:val="28"/>
          <w:szCs w:val="28"/>
        </w:rPr>
        <w:t xml:space="preserve"> en ese sentido, </w:t>
      </w:r>
      <w:r w:rsidR="000546BF">
        <w:rPr>
          <w:rFonts w:ascii="Arial" w:hAnsi="Arial" w:cs="Arial"/>
          <w:b/>
          <w:sz w:val="28"/>
          <w:szCs w:val="28"/>
        </w:rPr>
        <w:t xml:space="preserve">respecto de dichos supuestos </w:t>
      </w:r>
      <w:r w:rsidR="009D0338">
        <w:rPr>
          <w:rFonts w:ascii="Arial" w:hAnsi="Arial" w:cs="Arial"/>
          <w:b/>
          <w:sz w:val="28"/>
          <w:szCs w:val="28"/>
        </w:rPr>
        <w:t xml:space="preserve">de procedencia y </w:t>
      </w:r>
      <w:r w:rsidR="000546BF">
        <w:rPr>
          <w:rFonts w:ascii="Arial" w:hAnsi="Arial" w:cs="Arial"/>
          <w:b/>
          <w:sz w:val="28"/>
          <w:szCs w:val="28"/>
        </w:rPr>
        <w:t xml:space="preserve">en estricto cumplimiento a la ejecutoria de amparo </w:t>
      </w:r>
      <w:r w:rsidR="00884459">
        <w:rPr>
          <w:rFonts w:ascii="Arial" w:hAnsi="Arial" w:cs="Arial"/>
          <w:color w:val="FF0000"/>
          <w:sz w:val="28"/>
          <w:szCs w:val="28"/>
        </w:rPr>
        <w:t>1</w:t>
      </w:r>
      <w:r w:rsidR="000546BF" w:rsidRPr="000546BF">
        <w:rPr>
          <w:rFonts w:ascii="Arial" w:hAnsi="Arial" w:cs="Arial"/>
          <w:color w:val="FF0000"/>
          <w:sz w:val="28"/>
          <w:szCs w:val="28"/>
        </w:rPr>
        <w:t>/</w:t>
      </w:r>
      <w:r w:rsidR="00884459">
        <w:rPr>
          <w:rFonts w:ascii="Arial" w:hAnsi="Arial" w:cs="Arial"/>
          <w:sz w:val="28"/>
          <w:szCs w:val="28"/>
        </w:rPr>
        <w:t>2024</w:t>
      </w:r>
      <w:r w:rsidR="000546BF" w:rsidRPr="000546BF">
        <w:rPr>
          <w:rFonts w:ascii="Arial" w:hAnsi="Arial" w:cs="Arial"/>
          <w:b/>
          <w:color w:val="FF0000"/>
          <w:sz w:val="28"/>
          <w:szCs w:val="28"/>
        </w:rPr>
        <w:t xml:space="preserve"> </w:t>
      </w:r>
      <w:r w:rsidR="00E05A4E">
        <w:rPr>
          <w:rFonts w:ascii="Arial" w:hAnsi="Arial" w:cs="Arial"/>
          <w:b/>
          <w:sz w:val="28"/>
          <w:szCs w:val="28"/>
        </w:rPr>
        <w:t xml:space="preserve">esta Alzada </w:t>
      </w:r>
      <w:r w:rsidR="00E05A4E">
        <w:rPr>
          <w:rFonts w:ascii="Arial" w:hAnsi="Arial" w:cs="Arial"/>
          <w:b/>
          <w:sz w:val="28"/>
          <w:szCs w:val="28"/>
        </w:rPr>
        <w:lastRenderedPageBreak/>
        <w:t xml:space="preserve">prescinde de </w:t>
      </w:r>
      <w:r w:rsidR="00E05A4E" w:rsidRPr="00E05A4E">
        <w:rPr>
          <w:rFonts w:ascii="Arial" w:hAnsi="Arial" w:cs="Arial"/>
          <w:b/>
          <w:i/>
          <w:sz w:val="28"/>
          <w:szCs w:val="28"/>
        </w:rPr>
        <w:t>“</w:t>
      </w:r>
      <w:r w:rsidR="000546BF" w:rsidRPr="00E05A4E">
        <w:rPr>
          <w:rFonts w:ascii="Arial" w:hAnsi="Arial" w:cs="Arial"/>
          <w:b/>
          <w:i/>
          <w:sz w:val="28"/>
          <w:szCs w:val="28"/>
        </w:rPr>
        <w:t>aplicar el artículo 152, fracción II, del Código Procesal Administrativo para el Estado de San Luis Potosí, en la parte que exige que los asuntos sean de importancia y trascendencia y que se razonen esas circunstancias.</w:t>
      </w:r>
      <w:r w:rsidR="009D0338" w:rsidRPr="00E05A4E">
        <w:rPr>
          <w:rFonts w:ascii="Arial" w:hAnsi="Arial" w:cs="Arial"/>
          <w:b/>
          <w:i/>
          <w:sz w:val="28"/>
          <w:szCs w:val="28"/>
        </w:rPr>
        <w:t>”</w:t>
      </w:r>
    </w:p>
    <w:p w14:paraId="40DCC5D0" w14:textId="0C3E43A7" w:rsidR="007C3009" w:rsidRDefault="000C20D8" w:rsidP="007C3009">
      <w:pPr>
        <w:autoSpaceDE w:val="0"/>
        <w:autoSpaceDN w:val="0"/>
        <w:adjustRightInd w:val="0"/>
        <w:spacing w:after="0" w:line="360" w:lineRule="auto"/>
        <w:ind w:firstLine="708"/>
        <w:jc w:val="both"/>
        <w:rPr>
          <w:rFonts w:ascii="Arial" w:eastAsia="Times New Roman" w:hAnsi="Arial" w:cs="Arial"/>
          <w:sz w:val="28"/>
          <w:szCs w:val="28"/>
          <w:lang w:val="es-ES" w:eastAsia="es-ES"/>
        </w:rPr>
      </w:pPr>
      <w:r w:rsidRPr="000C20D8">
        <w:rPr>
          <w:rFonts w:ascii="Arial" w:hAnsi="Arial" w:cs="Arial"/>
          <w:sz w:val="28"/>
          <w:szCs w:val="28"/>
        </w:rPr>
        <w:t xml:space="preserve">Ahora bien, en la especie, </w:t>
      </w:r>
      <w:r w:rsidR="00884459" w:rsidRPr="007C3009">
        <w:rPr>
          <w:rFonts w:ascii="Arial" w:hAnsi="Arial" w:cs="Arial"/>
          <w:b/>
          <w:color w:val="000099"/>
          <w:sz w:val="28"/>
          <w:szCs w:val="28"/>
        </w:rPr>
        <w:t>José de Jesús Galarza Almaguer</w:t>
      </w:r>
      <w:r w:rsidRPr="000C20D8">
        <w:rPr>
          <w:rFonts w:ascii="Arial" w:hAnsi="Arial" w:cs="Arial"/>
          <w:sz w:val="28"/>
          <w:szCs w:val="28"/>
        </w:rPr>
        <w:t xml:space="preserve">, </w:t>
      </w:r>
      <w:r w:rsidR="00373A7E">
        <w:rPr>
          <w:rFonts w:ascii="Arial" w:hAnsi="Arial" w:cs="Arial"/>
          <w:sz w:val="28"/>
          <w:szCs w:val="28"/>
        </w:rPr>
        <w:t>demandó a</w:t>
      </w:r>
      <w:r w:rsidR="00815E77">
        <w:rPr>
          <w:rFonts w:ascii="Arial" w:hAnsi="Arial" w:cs="Arial"/>
          <w:sz w:val="28"/>
          <w:szCs w:val="28"/>
        </w:rPr>
        <w:t>l</w:t>
      </w:r>
      <w:r w:rsidR="00373A7E">
        <w:rPr>
          <w:rFonts w:ascii="Arial" w:hAnsi="Arial" w:cs="Arial"/>
          <w:sz w:val="28"/>
          <w:szCs w:val="28"/>
        </w:rPr>
        <w:t xml:space="preserve"> </w:t>
      </w:r>
      <w:r w:rsidR="00815E77" w:rsidRPr="007C3009">
        <w:rPr>
          <w:rFonts w:ascii="Arial" w:hAnsi="Arial" w:cs="Arial"/>
          <w:color w:val="000099"/>
          <w:sz w:val="28"/>
          <w:szCs w:val="28"/>
        </w:rPr>
        <w:t>Organismo Intermunicipal Metropolitano de Agua Potable, Alcantarillado, Saneamiento y Servicios Conexos de los Municipios de Cerro de San Pedro, San Luis Potosí y Soledad de Graciano Sánchez (INTERAPAS) y al Presidente del Consejo de Administración del citado Organismo</w:t>
      </w:r>
      <w:r w:rsidR="00373A7E">
        <w:rPr>
          <w:rFonts w:ascii="Arial" w:eastAsia="Times New Roman" w:hAnsi="Arial" w:cs="Arial"/>
          <w:sz w:val="28"/>
          <w:szCs w:val="28"/>
          <w:lang w:val="es-ES" w:eastAsia="es-ES"/>
        </w:rPr>
        <w:t xml:space="preserve">,  </w:t>
      </w:r>
      <w:r w:rsidR="00373A7E" w:rsidRPr="00373A7E">
        <w:rPr>
          <w:rFonts w:ascii="Arial" w:eastAsia="Times New Roman" w:hAnsi="Arial" w:cs="Arial"/>
          <w:sz w:val="28"/>
          <w:szCs w:val="28"/>
          <w:lang w:val="es-ES" w:eastAsia="es-ES"/>
        </w:rPr>
        <w:t xml:space="preserve">por </w:t>
      </w:r>
      <w:r w:rsidR="00233BA7">
        <w:rPr>
          <w:rFonts w:ascii="Arial" w:eastAsia="Times New Roman" w:hAnsi="Arial" w:cs="Arial"/>
          <w:sz w:val="28"/>
          <w:szCs w:val="28"/>
          <w:lang w:val="es-ES" w:eastAsia="es-ES"/>
        </w:rPr>
        <w:t>los actos</w:t>
      </w:r>
      <w:r w:rsidR="00373A7E">
        <w:rPr>
          <w:rFonts w:ascii="Arial" w:eastAsia="Times New Roman" w:hAnsi="Arial" w:cs="Arial"/>
          <w:sz w:val="28"/>
          <w:szCs w:val="28"/>
          <w:lang w:val="es-ES" w:eastAsia="es-ES"/>
        </w:rPr>
        <w:t xml:space="preserve"> que hizo consistir en </w:t>
      </w:r>
    </w:p>
    <w:p w14:paraId="699FAA95" w14:textId="77777777" w:rsidR="007C3009" w:rsidRPr="00DC08F2" w:rsidRDefault="007C3009" w:rsidP="007C3009">
      <w:pPr>
        <w:autoSpaceDE w:val="0"/>
        <w:autoSpaceDN w:val="0"/>
        <w:adjustRightInd w:val="0"/>
        <w:spacing w:after="0" w:line="360" w:lineRule="auto"/>
        <w:ind w:firstLine="708"/>
        <w:jc w:val="both"/>
        <w:rPr>
          <w:rFonts w:ascii="Arial" w:eastAsia="Times New Roman" w:hAnsi="Arial" w:cs="Arial"/>
          <w:sz w:val="10"/>
          <w:szCs w:val="10"/>
          <w:lang w:val="es-ES" w:eastAsia="es-ES"/>
        </w:rPr>
      </w:pPr>
    </w:p>
    <w:p w14:paraId="0842F4AA" w14:textId="709D9D12" w:rsidR="007C3009" w:rsidRPr="007C3009" w:rsidRDefault="007C3009" w:rsidP="00233BA7">
      <w:pPr>
        <w:autoSpaceDE w:val="0"/>
        <w:autoSpaceDN w:val="0"/>
        <w:adjustRightInd w:val="0"/>
        <w:spacing w:after="0" w:line="240" w:lineRule="auto"/>
        <w:ind w:left="851" w:right="618"/>
        <w:jc w:val="both"/>
        <w:rPr>
          <w:rFonts w:ascii="Arial Narrow" w:hAnsi="Arial Narrow" w:cs="Arial"/>
          <w:i/>
          <w:color w:val="000000"/>
          <w:sz w:val="24"/>
          <w:szCs w:val="24"/>
          <w:lang w:val="es-ES_tradnl"/>
        </w:rPr>
      </w:pPr>
      <w:r w:rsidRPr="007C3009">
        <w:rPr>
          <w:rFonts w:ascii="Arial Narrow" w:hAnsi="Arial Narrow" w:cs="Arial"/>
          <w:i/>
          <w:color w:val="000000"/>
          <w:sz w:val="24"/>
          <w:szCs w:val="24"/>
          <w:lang w:val="es-ES_tradnl"/>
        </w:rPr>
        <w:t>“A. La arbitraria imposición de una Tarifa correspondiente al Servicio Comercial en la casa habitación ubicada en el número 163 de la calle Universidad en el Centro Histórico de la Ciudad de San Luis Potosí.”</w:t>
      </w:r>
    </w:p>
    <w:p w14:paraId="0BB0C001" w14:textId="77777777" w:rsidR="007C3009" w:rsidRPr="00DC08F2" w:rsidRDefault="007C3009" w:rsidP="00233BA7">
      <w:pPr>
        <w:autoSpaceDE w:val="0"/>
        <w:autoSpaceDN w:val="0"/>
        <w:adjustRightInd w:val="0"/>
        <w:spacing w:after="0" w:line="240" w:lineRule="auto"/>
        <w:ind w:firstLine="708"/>
        <w:jc w:val="both"/>
        <w:rPr>
          <w:rFonts w:ascii="Arial" w:eastAsia="Times New Roman" w:hAnsi="Arial" w:cs="Arial"/>
          <w:sz w:val="10"/>
          <w:szCs w:val="10"/>
          <w:lang w:val="es-ES" w:eastAsia="es-ES"/>
        </w:rPr>
      </w:pPr>
    </w:p>
    <w:p w14:paraId="16C29A37" w14:textId="77777777" w:rsidR="007C3009" w:rsidRPr="007C3009" w:rsidRDefault="007C3009" w:rsidP="00233BA7">
      <w:pPr>
        <w:autoSpaceDE w:val="0"/>
        <w:autoSpaceDN w:val="0"/>
        <w:adjustRightInd w:val="0"/>
        <w:spacing w:after="0" w:line="240" w:lineRule="auto"/>
        <w:ind w:left="851" w:right="618"/>
        <w:jc w:val="both"/>
        <w:rPr>
          <w:rFonts w:ascii="Arial Narrow" w:hAnsi="Arial Narrow" w:cs="Arial"/>
          <w:i/>
          <w:color w:val="000000"/>
          <w:sz w:val="24"/>
          <w:szCs w:val="24"/>
        </w:rPr>
      </w:pPr>
      <w:r w:rsidRPr="007C3009">
        <w:rPr>
          <w:rFonts w:ascii="Arial Narrow" w:hAnsi="Arial Narrow" w:cs="Arial"/>
          <w:i/>
          <w:color w:val="000000"/>
          <w:sz w:val="24"/>
          <w:szCs w:val="24"/>
          <w:lang w:val="es-ES_tradnl"/>
        </w:rPr>
        <w:t xml:space="preserve">“B.- El acto negativo de concedernos el beneficio fiscal contemplado por el artículo SÉPTIMO TRANSITORIO de la LEY DE CUOTAS Y TARIFAS PARA LA PRESTACIÓN DE SERVICIOS PÚBLICOS DE AGUA POTABLE, DRENAJE, ALCANTARILLADO, SANEAMIENTO Y DISPOSICIÓN FINAL DE AGUAS RESIDUALES DEL ORGANISMO OPERADOR INTERMUNICIPAL DE LOS  </w:t>
      </w:r>
      <w:r w:rsidRPr="007C3009">
        <w:rPr>
          <w:rFonts w:ascii="Arial Narrow" w:hAnsi="Arial Narrow" w:cs="Arial"/>
          <w:i/>
          <w:color w:val="000000"/>
          <w:sz w:val="24"/>
          <w:szCs w:val="24"/>
        </w:rPr>
        <w:t>MUNICIPIOS DE CERRO DE SAN PEDRO, SAN LUIS POTOSÍ Y SOLEDAD DE GRACIANO SÁNCHEZ, S.L.P., S.L.P. PARA EL EJERCICIO FISCAL 2022 para el pago el Servicio doméstico de Agua Potable en la casa habitación ubicada en el número 163 de la Calle Universidad en el Centro Histórico de la Ciudad de San Luis Potosí.”</w:t>
      </w:r>
    </w:p>
    <w:p w14:paraId="42A2FE21" w14:textId="77777777" w:rsidR="007C3009" w:rsidRPr="007C3009" w:rsidRDefault="007C3009" w:rsidP="00233BA7">
      <w:pPr>
        <w:autoSpaceDE w:val="0"/>
        <w:autoSpaceDN w:val="0"/>
        <w:adjustRightInd w:val="0"/>
        <w:spacing w:after="0" w:line="240" w:lineRule="auto"/>
        <w:ind w:left="851" w:right="618"/>
        <w:jc w:val="both"/>
        <w:rPr>
          <w:rFonts w:ascii="Arial Narrow" w:hAnsi="Arial Narrow" w:cs="Arial"/>
          <w:i/>
          <w:color w:val="000000"/>
          <w:sz w:val="10"/>
          <w:szCs w:val="10"/>
          <w:lang w:val="es-ES_tradnl"/>
        </w:rPr>
      </w:pPr>
    </w:p>
    <w:p w14:paraId="01FC2324" w14:textId="77777777" w:rsidR="007C3009" w:rsidRPr="007C3009" w:rsidRDefault="007C3009" w:rsidP="00233BA7">
      <w:pPr>
        <w:autoSpaceDE w:val="0"/>
        <w:autoSpaceDN w:val="0"/>
        <w:adjustRightInd w:val="0"/>
        <w:spacing w:after="0" w:line="240" w:lineRule="auto"/>
        <w:ind w:left="851" w:right="618"/>
        <w:jc w:val="both"/>
        <w:rPr>
          <w:rFonts w:ascii="Arial Narrow" w:hAnsi="Arial Narrow" w:cs="Arial"/>
          <w:i/>
          <w:color w:val="000000"/>
          <w:sz w:val="24"/>
          <w:szCs w:val="24"/>
          <w:lang w:val="es-ES_tradnl"/>
        </w:rPr>
      </w:pPr>
      <w:r w:rsidRPr="007C3009">
        <w:rPr>
          <w:rFonts w:ascii="Arial Narrow" w:hAnsi="Arial Narrow" w:cs="Arial"/>
          <w:i/>
          <w:color w:val="000000"/>
          <w:sz w:val="24"/>
          <w:szCs w:val="24"/>
          <w:lang w:val="es-ES_tradnl"/>
        </w:rPr>
        <w:t>“C.- Concedernos la autorización para el cambio de Titularidad del Contrato de Servicio Doméstico de Agua Potable en la casa habitación ubicada en el número 163 de la calle Universidad en el Centro Histórico de la Ciudad de San Luis Potosí.”</w:t>
      </w:r>
    </w:p>
    <w:p w14:paraId="4FF5A04F" w14:textId="77777777" w:rsidR="007C3009" w:rsidRPr="00DC08F2" w:rsidRDefault="007C3009" w:rsidP="00DC08F2">
      <w:pPr>
        <w:autoSpaceDE w:val="0"/>
        <w:autoSpaceDN w:val="0"/>
        <w:adjustRightInd w:val="0"/>
        <w:spacing w:after="0" w:line="360" w:lineRule="auto"/>
        <w:ind w:firstLine="708"/>
        <w:jc w:val="both"/>
        <w:rPr>
          <w:rFonts w:ascii="Arial" w:eastAsia="Times New Roman" w:hAnsi="Arial" w:cs="Arial"/>
          <w:sz w:val="10"/>
          <w:szCs w:val="10"/>
          <w:lang w:val="es-ES" w:eastAsia="es-ES"/>
        </w:rPr>
      </w:pPr>
    </w:p>
    <w:p w14:paraId="53765EBF" w14:textId="739A43AE" w:rsidR="00AF07E5" w:rsidRDefault="007C3009" w:rsidP="00AF07E5">
      <w:pPr>
        <w:spacing w:after="0" w:line="360" w:lineRule="auto"/>
        <w:ind w:firstLine="851"/>
        <w:jc w:val="both"/>
        <w:rPr>
          <w:rFonts w:ascii="Arial" w:hAnsi="Arial" w:cs="Arial"/>
          <w:sz w:val="28"/>
          <w:szCs w:val="28"/>
        </w:rPr>
      </w:pPr>
      <w:r>
        <w:rPr>
          <w:rFonts w:ascii="Arial" w:hAnsi="Arial" w:cs="Arial"/>
          <w:sz w:val="28"/>
          <w:szCs w:val="28"/>
        </w:rPr>
        <w:t>La Magistrada</w:t>
      </w:r>
      <w:r w:rsidR="000C20D8" w:rsidRPr="000C20D8">
        <w:rPr>
          <w:rFonts w:ascii="Arial" w:hAnsi="Arial" w:cs="Arial"/>
          <w:sz w:val="28"/>
          <w:szCs w:val="28"/>
        </w:rPr>
        <w:t xml:space="preserve"> de la </w:t>
      </w:r>
      <w:r>
        <w:rPr>
          <w:rFonts w:ascii="Arial" w:hAnsi="Arial" w:cs="Arial"/>
          <w:color w:val="0000FF"/>
          <w:sz w:val="28"/>
          <w:szCs w:val="28"/>
        </w:rPr>
        <w:t>Segunda</w:t>
      </w:r>
      <w:r w:rsidR="000C20D8" w:rsidRPr="000C20D8">
        <w:rPr>
          <w:rFonts w:ascii="Arial" w:hAnsi="Arial" w:cs="Arial"/>
          <w:sz w:val="28"/>
          <w:szCs w:val="28"/>
        </w:rPr>
        <w:t xml:space="preserve"> Sala Unitaria del Tribunal Estatal de Justicia Administrativa de San Luis Potosí</w:t>
      </w:r>
      <w:r w:rsidR="009D0338">
        <w:rPr>
          <w:rFonts w:ascii="Arial" w:hAnsi="Arial" w:cs="Arial"/>
          <w:sz w:val="28"/>
          <w:szCs w:val="28"/>
        </w:rPr>
        <w:t>,</w:t>
      </w:r>
      <w:r w:rsidR="000C20D8" w:rsidRPr="000C20D8">
        <w:rPr>
          <w:rFonts w:ascii="Arial" w:hAnsi="Arial" w:cs="Arial"/>
          <w:sz w:val="28"/>
          <w:szCs w:val="28"/>
        </w:rPr>
        <w:t xml:space="preserve"> </w:t>
      </w:r>
      <w:r w:rsidR="00D95DCB">
        <w:rPr>
          <w:rFonts w:ascii="Arial" w:hAnsi="Arial" w:cs="Arial"/>
          <w:sz w:val="28"/>
          <w:szCs w:val="28"/>
        </w:rPr>
        <w:t xml:space="preserve">en sentencia de </w:t>
      </w:r>
      <w:r w:rsidRPr="007C3009">
        <w:rPr>
          <w:rFonts w:ascii="Arial" w:hAnsi="Arial" w:cs="Arial"/>
          <w:color w:val="0000FF"/>
          <w:sz w:val="28"/>
          <w:szCs w:val="28"/>
          <w:lang w:val="es-ES"/>
        </w:rPr>
        <w:t>doce de julio del dos mil veintitrés</w:t>
      </w:r>
      <w:r w:rsidR="009D0338">
        <w:rPr>
          <w:rFonts w:ascii="Arial" w:hAnsi="Arial" w:cs="Arial"/>
          <w:color w:val="0000FF"/>
          <w:sz w:val="28"/>
          <w:szCs w:val="28"/>
          <w:lang w:val="es-ES"/>
        </w:rPr>
        <w:t>,</w:t>
      </w:r>
      <w:r w:rsidR="00D95DCB" w:rsidRPr="00D95DCB">
        <w:rPr>
          <w:rFonts w:ascii="Arial" w:hAnsi="Arial" w:cs="Arial"/>
          <w:color w:val="0000FF"/>
          <w:sz w:val="28"/>
          <w:szCs w:val="28"/>
        </w:rPr>
        <w:t xml:space="preserve"> </w:t>
      </w:r>
      <w:r>
        <w:rPr>
          <w:rFonts w:ascii="Arial" w:hAnsi="Arial" w:cs="Arial"/>
          <w:color w:val="0000FF"/>
          <w:sz w:val="28"/>
          <w:szCs w:val="28"/>
        </w:rPr>
        <w:t>declaró</w:t>
      </w:r>
      <w:r w:rsidRPr="007C3009">
        <w:rPr>
          <w:rFonts w:ascii="Arial" w:hAnsi="Arial" w:cs="Arial"/>
          <w:color w:val="0000FF"/>
          <w:sz w:val="28"/>
          <w:szCs w:val="28"/>
        </w:rPr>
        <w:t xml:space="preserve"> el sobreseimiento del juicio, por inexistencia de los actos impugnados, ello, con fundamento en lo previsto en </w:t>
      </w:r>
      <w:r w:rsidR="00E03B2A">
        <w:rPr>
          <w:rFonts w:ascii="Arial" w:hAnsi="Arial" w:cs="Arial"/>
          <w:color w:val="0000FF"/>
          <w:sz w:val="28"/>
          <w:szCs w:val="28"/>
        </w:rPr>
        <w:t xml:space="preserve">el </w:t>
      </w:r>
      <w:r w:rsidRPr="007C3009">
        <w:rPr>
          <w:rFonts w:ascii="Arial" w:hAnsi="Arial" w:cs="Arial"/>
          <w:color w:val="0000FF"/>
          <w:sz w:val="28"/>
          <w:szCs w:val="28"/>
        </w:rPr>
        <w:t>artículo 229, fracción V, del Código Procesal Administrativo para el Estado de San Luis Potosí</w:t>
      </w:r>
      <w:r w:rsidR="00BC38FC">
        <w:rPr>
          <w:rFonts w:ascii="Arial" w:hAnsi="Arial" w:cs="Arial"/>
          <w:sz w:val="28"/>
          <w:szCs w:val="28"/>
        </w:rPr>
        <w:t xml:space="preserve">. </w:t>
      </w:r>
    </w:p>
    <w:p w14:paraId="459DD595" w14:textId="77777777" w:rsidR="006D1AE4" w:rsidRPr="00233BA7" w:rsidRDefault="006D1AE4" w:rsidP="00DC08F2">
      <w:pPr>
        <w:autoSpaceDE w:val="0"/>
        <w:autoSpaceDN w:val="0"/>
        <w:adjustRightInd w:val="0"/>
        <w:spacing w:after="0" w:line="360" w:lineRule="auto"/>
        <w:ind w:firstLine="708"/>
        <w:jc w:val="both"/>
        <w:rPr>
          <w:rFonts w:ascii="Arial" w:eastAsia="Times New Roman" w:hAnsi="Arial" w:cs="Arial"/>
          <w:sz w:val="10"/>
          <w:szCs w:val="10"/>
          <w:lang w:val="es-ES_tradnl" w:eastAsia="es-ES"/>
        </w:rPr>
      </w:pPr>
    </w:p>
    <w:p w14:paraId="4794EF72" w14:textId="0BC03318" w:rsidR="00BC38FC" w:rsidRPr="00BC38FC" w:rsidRDefault="00AF07E5" w:rsidP="00BC38FC">
      <w:pPr>
        <w:spacing w:after="0" w:line="360" w:lineRule="auto"/>
        <w:ind w:firstLine="851"/>
        <w:jc w:val="both"/>
        <w:rPr>
          <w:rFonts w:ascii="Arial" w:hAnsi="Arial" w:cs="Arial"/>
          <w:b/>
          <w:sz w:val="28"/>
          <w:szCs w:val="28"/>
        </w:rPr>
      </w:pPr>
      <w:r w:rsidRPr="00AF07E5">
        <w:rPr>
          <w:rFonts w:ascii="Arial" w:eastAsia="Times New Roman" w:hAnsi="Arial" w:cs="Arial"/>
          <w:sz w:val="28"/>
          <w:szCs w:val="28"/>
          <w:lang w:val="es-ES_tradnl" w:eastAsia="es-ES"/>
        </w:rPr>
        <w:t xml:space="preserve">Luego, se patentiza que el presente asunto, </w:t>
      </w:r>
      <w:r w:rsidR="00BC38FC" w:rsidRPr="00BC38FC">
        <w:rPr>
          <w:rFonts w:ascii="Arial" w:hAnsi="Arial" w:cs="Arial"/>
          <w:sz w:val="28"/>
          <w:szCs w:val="28"/>
        </w:rPr>
        <w:t xml:space="preserve">se trata de un asunto de </w:t>
      </w:r>
      <w:r w:rsidR="00BC38FC" w:rsidRPr="00BC38FC">
        <w:rPr>
          <w:rFonts w:ascii="Arial" w:hAnsi="Arial" w:cs="Arial"/>
          <w:b/>
          <w:sz w:val="28"/>
          <w:szCs w:val="28"/>
        </w:rPr>
        <w:t>cuantía indeterminada</w:t>
      </w:r>
      <w:r w:rsidR="00BC38FC">
        <w:rPr>
          <w:rFonts w:ascii="Arial" w:hAnsi="Arial" w:cs="Arial"/>
          <w:b/>
          <w:sz w:val="28"/>
          <w:szCs w:val="28"/>
        </w:rPr>
        <w:t>.</w:t>
      </w:r>
    </w:p>
    <w:p w14:paraId="136C87AE" w14:textId="77777777" w:rsidR="006D1AE4" w:rsidRPr="000C20D8" w:rsidRDefault="006D1AE4" w:rsidP="00AF07E5">
      <w:pPr>
        <w:spacing w:after="0" w:line="360" w:lineRule="auto"/>
        <w:ind w:right="49" w:firstLine="565"/>
        <w:jc w:val="both"/>
        <w:rPr>
          <w:rFonts w:ascii="Arial" w:eastAsia="Times New Roman" w:hAnsi="Arial" w:cs="Arial"/>
          <w:color w:val="FF0000"/>
          <w:sz w:val="10"/>
          <w:szCs w:val="10"/>
          <w:lang w:eastAsia="es-ES"/>
        </w:rPr>
      </w:pPr>
    </w:p>
    <w:p w14:paraId="2C421A81" w14:textId="0106912D" w:rsidR="000C20D8" w:rsidRPr="000C20D8" w:rsidRDefault="000C20D8" w:rsidP="000C20D8">
      <w:pPr>
        <w:spacing w:after="0" w:line="360" w:lineRule="auto"/>
        <w:ind w:right="51" w:firstLine="567"/>
        <w:jc w:val="both"/>
        <w:rPr>
          <w:rFonts w:ascii="Arial" w:eastAsia="Times New Roman" w:hAnsi="Arial" w:cs="Arial"/>
          <w:color w:val="FF0000"/>
          <w:sz w:val="28"/>
          <w:szCs w:val="28"/>
          <w:lang w:eastAsia="es-ES"/>
        </w:rPr>
      </w:pPr>
      <w:r w:rsidRPr="000C20D8">
        <w:rPr>
          <w:rFonts w:ascii="Arial" w:hAnsi="Arial" w:cs="Arial"/>
          <w:sz w:val="28"/>
          <w:szCs w:val="28"/>
        </w:rPr>
        <w:t xml:space="preserve">En razón de lo expuesto, se considera que </w:t>
      </w:r>
      <w:r w:rsidR="009D0338">
        <w:rPr>
          <w:rFonts w:ascii="Arial" w:hAnsi="Arial" w:cs="Arial"/>
          <w:sz w:val="28"/>
          <w:szCs w:val="28"/>
        </w:rPr>
        <w:t xml:space="preserve">en acato al fallo protector, respecto de prescindir </w:t>
      </w:r>
      <w:r w:rsidR="007D18C2">
        <w:rPr>
          <w:rFonts w:ascii="Arial" w:hAnsi="Arial" w:cs="Arial"/>
          <w:b/>
          <w:sz w:val="28"/>
          <w:szCs w:val="28"/>
        </w:rPr>
        <w:t>de lo estipulado en</w:t>
      </w:r>
      <w:r w:rsidR="009D0338" w:rsidRPr="009D0338">
        <w:rPr>
          <w:rFonts w:ascii="Arial" w:hAnsi="Arial" w:cs="Arial"/>
          <w:b/>
          <w:sz w:val="28"/>
          <w:szCs w:val="28"/>
        </w:rPr>
        <w:t xml:space="preserve"> </w:t>
      </w:r>
      <w:r w:rsidR="009D0338">
        <w:rPr>
          <w:rFonts w:ascii="Arial" w:hAnsi="Arial" w:cs="Arial"/>
          <w:b/>
          <w:sz w:val="28"/>
          <w:szCs w:val="28"/>
        </w:rPr>
        <w:t xml:space="preserve">la </w:t>
      </w:r>
      <w:r w:rsidR="009D0338" w:rsidRPr="009D0338">
        <w:rPr>
          <w:rFonts w:ascii="Arial" w:hAnsi="Arial" w:cs="Arial"/>
          <w:b/>
          <w:sz w:val="28"/>
          <w:szCs w:val="28"/>
        </w:rPr>
        <w:t>fracción II</w:t>
      </w:r>
      <w:r w:rsidR="009D0338">
        <w:rPr>
          <w:rFonts w:ascii="Arial" w:hAnsi="Arial" w:cs="Arial"/>
          <w:b/>
          <w:sz w:val="28"/>
          <w:szCs w:val="28"/>
        </w:rPr>
        <w:t>,</w:t>
      </w:r>
      <w:r w:rsidR="009D0338" w:rsidRPr="009D0338">
        <w:rPr>
          <w:rFonts w:ascii="Arial" w:hAnsi="Arial" w:cs="Arial"/>
          <w:b/>
          <w:sz w:val="28"/>
          <w:szCs w:val="28"/>
        </w:rPr>
        <w:t xml:space="preserve"> </w:t>
      </w:r>
      <w:r w:rsidR="009D0338">
        <w:rPr>
          <w:rFonts w:ascii="Arial" w:hAnsi="Arial" w:cs="Arial"/>
          <w:b/>
          <w:sz w:val="28"/>
          <w:szCs w:val="28"/>
        </w:rPr>
        <w:t>del artículo 152,</w:t>
      </w:r>
      <w:r w:rsidR="009D0338" w:rsidRPr="009D0338">
        <w:rPr>
          <w:rFonts w:ascii="Arial" w:hAnsi="Arial" w:cs="Arial"/>
          <w:b/>
          <w:sz w:val="28"/>
          <w:szCs w:val="28"/>
        </w:rPr>
        <w:t xml:space="preserve"> de</w:t>
      </w:r>
      <w:r w:rsidR="009D0338">
        <w:rPr>
          <w:rFonts w:ascii="Arial" w:hAnsi="Arial" w:cs="Arial"/>
          <w:b/>
          <w:sz w:val="28"/>
          <w:szCs w:val="28"/>
        </w:rPr>
        <w:t xml:space="preserve"> </w:t>
      </w:r>
      <w:r w:rsidR="009D0338" w:rsidRPr="009D0338">
        <w:rPr>
          <w:rFonts w:ascii="Arial" w:hAnsi="Arial" w:cs="Arial"/>
          <w:b/>
          <w:sz w:val="28"/>
          <w:szCs w:val="28"/>
        </w:rPr>
        <w:t>l</w:t>
      </w:r>
      <w:r w:rsidR="009D0338">
        <w:rPr>
          <w:rFonts w:ascii="Arial" w:hAnsi="Arial" w:cs="Arial"/>
          <w:b/>
          <w:sz w:val="28"/>
          <w:szCs w:val="28"/>
        </w:rPr>
        <w:t>a</w:t>
      </w:r>
      <w:r w:rsidR="009D0338" w:rsidRPr="009D0338">
        <w:rPr>
          <w:rFonts w:ascii="Arial" w:hAnsi="Arial" w:cs="Arial"/>
          <w:b/>
          <w:sz w:val="28"/>
          <w:szCs w:val="28"/>
        </w:rPr>
        <w:t xml:space="preserve"> </w:t>
      </w:r>
      <w:r w:rsidR="009D0338">
        <w:rPr>
          <w:rFonts w:ascii="Arial" w:hAnsi="Arial" w:cs="Arial"/>
          <w:b/>
          <w:sz w:val="28"/>
          <w:szCs w:val="28"/>
        </w:rPr>
        <w:t>codificación administrativa estatal</w:t>
      </w:r>
      <w:r w:rsidR="009D0338" w:rsidRPr="009D0338">
        <w:rPr>
          <w:rFonts w:ascii="Arial" w:hAnsi="Arial" w:cs="Arial"/>
          <w:b/>
          <w:sz w:val="28"/>
          <w:szCs w:val="28"/>
        </w:rPr>
        <w:t xml:space="preserve">, </w:t>
      </w:r>
      <w:r w:rsidR="009D0338">
        <w:rPr>
          <w:rFonts w:ascii="Arial" w:hAnsi="Arial" w:cs="Arial"/>
          <w:b/>
          <w:sz w:val="28"/>
          <w:szCs w:val="28"/>
        </w:rPr>
        <w:t xml:space="preserve">en lo que atañe a la exposición de razones por parte del apelante que patenticen que el asunto es de importancia y trascendencia, </w:t>
      </w:r>
      <w:r w:rsidRPr="000C20D8">
        <w:rPr>
          <w:rFonts w:ascii="Arial" w:hAnsi="Arial" w:cs="Arial"/>
          <w:sz w:val="28"/>
          <w:szCs w:val="28"/>
        </w:rPr>
        <w:t>el rec</w:t>
      </w:r>
      <w:r w:rsidR="006D1AE4">
        <w:rPr>
          <w:rFonts w:ascii="Arial" w:hAnsi="Arial" w:cs="Arial"/>
          <w:sz w:val="28"/>
          <w:szCs w:val="28"/>
        </w:rPr>
        <w:t>urso de apelación planteado por</w:t>
      </w:r>
      <w:r w:rsidR="006D1AE4" w:rsidRPr="00492CBC">
        <w:rPr>
          <w:rFonts w:ascii="Arial" w:hAnsi="Arial" w:cs="Arial"/>
          <w:sz w:val="28"/>
          <w:szCs w:val="20"/>
        </w:rPr>
        <w:t xml:space="preserve"> </w:t>
      </w:r>
      <w:r w:rsidR="007C3009" w:rsidRPr="007C3009">
        <w:rPr>
          <w:rFonts w:ascii="Arial" w:hAnsi="Arial" w:cs="Arial"/>
          <w:b/>
          <w:color w:val="000099"/>
          <w:sz w:val="28"/>
          <w:szCs w:val="28"/>
        </w:rPr>
        <w:t>José de Jesús Galarza Almaguer</w:t>
      </w:r>
      <w:r w:rsidR="007C3009">
        <w:rPr>
          <w:rFonts w:ascii="Arial" w:hAnsi="Arial" w:cs="Arial"/>
          <w:bCs/>
          <w:sz w:val="28"/>
          <w:szCs w:val="28"/>
        </w:rPr>
        <w:t xml:space="preserve">, diversa </w:t>
      </w:r>
      <w:r w:rsidR="006D1AE4" w:rsidRPr="00252E42">
        <w:rPr>
          <w:rFonts w:ascii="Arial" w:hAnsi="Arial" w:cs="Arial"/>
          <w:sz w:val="28"/>
          <w:szCs w:val="28"/>
        </w:rPr>
        <w:t>parte</w:t>
      </w:r>
      <w:r w:rsidR="007C3009">
        <w:rPr>
          <w:rFonts w:ascii="Arial" w:hAnsi="Arial" w:cs="Arial"/>
          <w:sz w:val="28"/>
          <w:szCs w:val="28"/>
        </w:rPr>
        <w:t xml:space="preserve"> actora en el juicio de origen</w:t>
      </w:r>
      <w:r w:rsidRPr="000C20D8">
        <w:rPr>
          <w:rFonts w:ascii="Arial" w:hAnsi="Arial" w:cs="Arial"/>
          <w:sz w:val="28"/>
          <w:szCs w:val="28"/>
        </w:rPr>
        <w:t xml:space="preserve">, </w:t>
      </w:r>
      <w:r w:rsidRPr="000C20D8">
        <w:rPr>
          <w:rFonts w:ascii="Arial" w:hAnsi="Arial" w:cs="Arial"/>
          <w:color w:val="000000"/>
          <w:sz w:val="28"/>
          <w:szCs w:val="28"/>
          <w:lang w:val="es-ES" w:eastAsia="es-ES" w:bidi="es-ES"/>
        </w:rPr>
        <w:t xml:space="preserve">en contra de la sentencia de </w:t>
      </w:r>
      <w:r w:rsidR="007C3009" w:rsidRPr="007C3009">
        <w:rPr>
          <w:rFonts w:ascii="Arial" w:hAnsi="Arial" w:cs="Arial"/>
          <w:color w:val="0000FF"/>
          <w:sz w:val="28"/>
          <w:szCs w:val="28"/>
          <w:lang w:val="es-ES"/>
        </w:rPr>
        <w:t>doce de julio del dos mil veintitrés</w:t>
      </w:r>
      <w:r w:rsidRPr="000C20D8">
        <w:rPr>
          <w:rFonts w:ascii="Arial" w:hAnsi="Arial" w:cs="Arial"/>
          <w:color w:val="000000"/>
          <w:sz w:val="28"/>
          <w:szCs w:val="28"/>
          <w:lang w:val="es-ES" w:eastAsia="es-ES" w:bidi="es-ES"/>
        </w:rPr>
        <w:t xml:space="preserve">, pronunciada por la </w:t>
      </w:r>
      <w:r w:rsidR="007C3009">
        <w:rPr>
          <w:rFonts w:ascii="Arial" w:hAnsi="Arial" w:cs="Arial"/>
          <w:color w:val="0000FF"/>
          <w:sz w:val="28"/>
          <w:szCs w:val="28"/>
          <w:lang w:val="es-ES" w:eastAsia="es-ES" w:bidi="es-ES"/>
        </w:rPr>
        <w:t>Segunda</w:t>
      </w:r>
      <w:r w:rsidRPr="000C20D8">
        <w:rPr>
          <w:rFonts w:ascii="Arial" w:hAnsi="Arial" w:cs="Arial"/>
          <w:color w:val="000000"/>
          <w:sz w:val="28"/>
          <w:szCs w:val="28"/>
          <w:lang w:val="es-ES" w:eastAsia="es-ES" w:bidi="es-ES"/>
        </w:rPr>
        <w:t xml:space="preserve"> Sala Unitaria, </w:t>
      </w:r>
      <w:r w:rsidRPr="000C20D8">
        <w:rPr>
          <w:rFonts w:ascii="Arial" w:hAnsi="Arial" w:cs="Arial"/>
          <w:sz w:val="28"/>
          <w:szCs w:val="28"/>
        </w:rPr>
        <w:t xml:space="preserve">del Tribunal de Justicia Administrativa del Estado, </w:t>
      </w:r>
      <w:r w:rsidR="00AF07E5">
        <w:rPr>
          <w:rFonts w:ascii="Arial" w:hAnsi="Arial" w:cs="Arial"/>
          <w:b/>
          <w:sz w:val="28"/>
          <w:szCs w:val="28"/>
        </w:rPr>
        <w:t xml:space="preserve">resulta </w:t>
      </w:r>
      <w:r w:rsidR="009D0338">
        <w:rPr>
          <w:rFonts w:ascii="Arial" w:hAnsi="Arial" w:cs="Arial"/>
          <w:b/>
          <w:sz w:val="28"/>
          <w:szCs w:val="28"/>
        </w:rPr>
        <w:t>procedente.</w:t>
      </w:r>
      <w:r w:rsidRPr="000C20D8">
        <w:rPr>
          <w:rFonts w:ascii="Arial" w:hAnsi="Arial" w:cs="Arial"/>
          <w:b/>
          <w:sz w:val="28"/>
          <w:szCs w:val="28"/>
        </w:rPr>
        <w:t xml:space="preserve"> </w:t>
      </w:r>
    </w:p>
    <w:p w14:paraId="19F225CE" w14:textId="77777777" w:rsidR="007B1187" w:rsidRPr="007D18C2" w:rsidRDefault="007B1187" w:rsidP="007B1187">
      <w:pPr>
        <w:spacing w:after="0" w:line="360" w:lineRule="auto"/>
        <w:ind w:firstLine="708"/>
        <w:jc w:val="both"/>
        <w:rPr>
          <w:rFonts w:ascii="Arial" w:hAnsi="Arial" w:cs="Arial"/>
          <w:b/>
          <w:sz w:val="10"/>
          <w:szCs w:val="10"/>
        </w:rPr>
      </w:pPr>
    </w:p>
    <w:p w14:paraId="4D3C9484" w14:textId="253622B7" w:rsidR="007B1187" w:rsidRPr="00A5553A" w:rsidRDefault="009D0338" w:rsidP="007B1187">
      <w:pPr>
        <w:spacing w:after="0" w:line="360" w:lineRule="auto"/>
        <w:ind w:firstLine="708"/>
        <w:jc w:val="both"/>
        <w:rPr>
          <w:rFonts w:ascii="Arial" w:hAnsi="Arial" w:cs="Arial"/>
          <w:sz w:val="28"/>
          <w:szCs w:val="28"/>
        </w:rPr>
      </w:pPr>
      <w:r>
        <w:rPr>
          <w:rFonts w:ascii="Arial" w:hAnsi="Arial" w:cs="Arial"/>
          <w:b/>
          <w:sz w:val="28"/>
          <w:szCs w:val="28"/>
        </w:rPr>
        <w:t>S</w:t>
      </w:r>
      <w:r w:rsidR="00AE1971">
        <w:rPr>
          <w:rFonts w:ascii="Arial" w:hAnsi="Arial" w:cs="Arial"/>
          <w:b/>
          <w:sz w:val="28"/>
          <w:szCs w:val="28"/>
        </w:rPr>
        <w:t>É</w:t>
      </w:r>
      <w:r>
        <w:rPr>
          <w:rFonts w:ascii="Arial" w:hAnsi="Arial" w:cs="Arial"/>
          <w:b/>
          <w:sz w:val="28"/>
          <w:szCs w:val="28"/>
        </w:rPr>
        <w:t>PTIMO</w:t>
      </w:r>
      <w:r w:rsidR="007B1187" w:rsidRPr="00A5553A">
        <w:rPr>
          <w:rFonts w:ascii="Arial" w:hAnsi="Arial" w:cs="Arial"/>
          <w:b/>
          <w:sz w:val="28"/>
          <w:szCs w:val="28"/>
        </w:rPr>
        <w:t>.</w:t>
      </w:r>
      <w:r w:rsidR="007B1187" w:rsidRPr="00A5553A">
        <w:rPr>
          <w:rFonts w:ascii="Arial" w:hAnsi="Arial" w:cs="Arial"/>
          <w:sz w:val="28"/>
          <w:szCs w:val="28"/>
        </w:rPr>
        <w:t xml:space="preserve"> </w:t>
      </w:r>
      <w:r w:rsidR="007B1187" w:rsidRPr="00A5553A">
        <w:rPr>
          <w:rFonts w:ascii="Arial" w:hAnsi="Arial" w:cs="Arial"/>
          <w:b/>
          <w:sz w:val="28"/>
          <w:szCs w:val="28"/>
        </w:rPr>
        <w:t>Principio de economía procesal</w:t>
      </w:r>
      <w:r w:rsidR="007B1187" w:rsidRPr="00A5553A">
        <w:rPr>
          <w:rFonts w:ascii="Arial" w:hAnsi="Arial" w:cs="Arial"/>
          <w:sz w:val="28"/>
          <w:szCs w:val="28"/>
        </w:rPr>
        <w:t xml:space="preserve">. Atento al principio de economía procesal no se transcribirán las consideraciones rectoras del sentido de la sentencia recurrida, ni los conceptos de agravio expresados por el apelante al no existir disposición legal alguna que establezca tal exigencia, además, los principios de congruencia y exhaustividad en las sentencias se satisfacen cuando se precisan los puntos sujetos a debate, derivados del escrito de agravios los cuales se estudian y se les da respuesta, misma que debe estar vinculada y corresponder a los planteamientos, sin introducir aspectos distintos a los que conforman la Litis. </w:t>
      </w:r>
    </w:p>
    <w:p w14:paraId="281A70A9" w14:textId="77777777" w:rsidR="007B1187" w:rsidRPr="009A268A" w:rsidRDefault="007B1187" w:rsidP="007B1187">
      <w:pPr>
        <w:spacing w:after="0" w:line="360" w:lineRule="auto"/>
        <w:ind w:firstLine="708"/>
        <w:jc w:val="both"/>
        <w:rPr>
          <w:rFonts w:ascii="Arial" w:hAnsi="Arial" w:cs="Arial"/>
          <w:sz w:val="10"/>
          <w:szCs w:val="10"/>
        </w:rPr>
      </w:pPr>
    </w:p>
    <w:p w14:paraId="1960BBAB" w14:textId="5768C6B4" w:rsidR="007B1187" w:rsidRPr="00A5553A" w:rsidRDefault="007B1187" w:rsidP="007B1187">
      <w:pPr>
        <w:spacing w:after="0" w:line="360" w:lineRule="auto"/>
        <w:ind w:firstLine="708"/>
        <w:jc w:val="both"/>
        <w:rPr>
          <w:rFonts w:ascii="Arial" w:hAnsi="Arial" w:cs="Arial"/>
          <w:sz w:val="28"/>
          <w:szCs w:val="28"/>
        </w:rPr>
      </w:pPr>
      <w:r w:rsidRPr="00A5553A">
        <w:rPr>
          <w:rFonts w:ascii="Arial" w:hAnsi="Arial" w:cs="Arial"/>
          <w:sz w:val="28"/>
          <w:szCs w:val="28"/>
        </w:rPr>
        <w:t xml:space="preserve">Lo expuesto encuentra su apoyo </w:t>
      </w:r>
      <w:r w:rsidR="00AE1971">
        <w:rPr>
          <w:rFonts w:ascii="Arial" w:hAnsi="Arial" w:cs="Arial"/>
          <w:sz w:val="28"/>
          <w:szCs w:val="28"/>
        </w:rPr>
        <w:t xml:space="preserve">por analogía </w:t>
      </w:r>
      <w:r w:rsidRPr="00A5553A">
        <w:rPr>
          <w:rFonts w:ascii="Arial" w:hAnsi="Arial" w:cs="Arial"/>
          <w:sz w:val="28"/>
          <w:szCs w:val="28"/>
        </w:rPr>
        <w:t xml:space="preserve">en la Jurisprudencia emitida por la Segunda Sala de la Suprema Corte de Justicia de la Nación, con registro 164618, Novena </w:t>
      </w:r>
      <w:r w:rsidRPr="00A5553A">
        <w:rPr>
          <w:rFonts w:ascii="Arial" w:hAnsi="Arial" w:cs="Arial"/>
          <w:sz w:val="28"/>
          <w:szCs w:val="28"/>
        </w:rPr>
        <w:lastRenderedPageBreak/>
        <w:t>Época, Tesis: 2a</w:t>
      </w:r>
      <w:proofErr w:type="gramStart"/>
      <w:r w:rsidRPr="00A5553A">
        <w:rPr>
          <w:rFonts w:ascii="Arial" w:hAnsi="Arial" w:cs="Arial"/>
          <w:sz w:val="28"/>
          <w:szCs w:val="28"/>
        </w:rPr>
        <w:t>./</w:t>
      </w:r>
      <w:proofErr w:type="gramEnd"/>
      <w:r w:rsidRPr="00A5553A">
        <w:rPr>
          <w:rFonts w:ascii="Arial" w:hAnsi="Arial" w:cs="Arial"/>
          <w:sz w:val="28"/>
          <w:szCs w:val="28"/>
        </w:rPr>
        <w:t>J. 58/2010, Tomo XXXI, Mayo de 2010, página 830 que reza:</w:t>
      </w:r>
    </w:p>
    <w:p w14:paraId="2F0C5268" w14:textId="77777777" w:rsidR="007B1187" w:rsidRPr="009A268A" w:rsidRDefault="007B1187" w:rsidP="007B1187">
      <w:pPr>
        <w:spacing w:after="0" w:line="240" w:lineRule="auto"/>
        <w:ind w:left="567" w:right="567"/>
        <w:jc w:val="both"/>
        <w:rPr>
          <w:rFonts w:ascii="Arial" w:hAnsi="Arial" w:cs="Arial"/>
          <w:b/>
          <w:i/>
          <w:sz w:val="10"/>
          <w:szCs w:val="10"/>
        </w:rPr>
      </w:pPr>
    </w:p>
    <w:p w14:paraId="06C23DF8" w14:textId="77777777" w:rsidR="007B1187" w:rsidRPr="005778F1" w:rsidRDefault="007B1187" w:rsidP="007B1187">
      <w:pPr>
        <w:spacing w:after="0" w:line="240" w:lineRule="auto"/>
        <w:ind w:left="567" w:right="567"/>
        <w:jc w:val="both"/>
        <w:rPr>
          <w:rFonts w:ascii="Arial Narrow" w:hAnsi="Arial Narrow" w:cs="Arial"/>
          <w:i/>
          <w:sz w:val="24"/>
          <w:szCs w:val="24"/>
        </w:rPr>
      </w:pPr>
      <w:r w:rsidRPr="005778F1">
        <w:rPr>
          <w:rFonts w:ascii="Arial Narrow" w:hAnsi="Arial Narrow" w:cs="Arial"/>
          <w:b/>
          <w:i/>
          <w:sz w:val="24"/>
          <w:szCs w:val="24"/>
        </w:rPr>
        <w:t xml:space="preserve">“CONCEPTOS DE VIOLACIÓN O AGRAVIOS. PARA CUMPLIR CON LOS PRINCIPIOS DE CONGRUENCIA Y EXHAUSTIVIDAD EN LAS SENTENCIAS DE AMPARO ES INNECESARIA SU TRANSCRIPCIÓN. </w:t>
      </w:r>
      <w:r w:rsidRPr="005778F1">
        <w:rPr>
          <w:rFonts w:ascii="Arial Narrow" w:hAnsi="Arial Narrow" w:cs="Arial"/>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5778F1">
        <w:rPr>
          <w:rFonts w:ascii="Arial Narrow" w:hAnsi="Arial Narrow" w:cs="Arial"/>
          <w:i/>
          <w:sz w:val="24"/>
          <w:szCs w:val="24"/>
        </w:rPr>
        <w:t>litis</w:t>
      </w:r>
      <w:proofErr w:type="spellEnd"/>
      <w:r w:rsidRPr="005778F1">
        <w:rPr>
          <w:rFonts w:ascii="Arial Narrow" w:hAnsi="Arial Narrow"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4D012EE" w14:textId="77777777" w:rsidR="007B1187" w:rsidRPr="00FE1BCA" w:rsidRDefault="007B1187" w:rsidP="007B1187">
      <w:pPr>
        <w:spacing w:after="0" w:line="360" w:lineRule="auto"/>
        <w:ind w:firstLine="708"/>
        <w:jc w:val="both"/>
        <w:rPr>
          <w:rFonts w:ascii="Arial" w:hAnsi="Arial" w:cs="Arial"/>
          <w:sz w:val="10"/>
          <w:szCs w:val="10"/>
        </w:rPr>
      </w:pPr>
    </w:p>
    <w:p w14:paraId="1D732B60" w14:textId="6364B81B" w:rsidR="007B1187" w:rsidRPr="00A5553A" w:rsidRDefault="00AE1971" w:rsidP="007B1187">
      <w:pPr>
        <w:spacing w:after="0" w:line="360" w:lineRule="auto"/>
        <w:ind w:firstLine="567"/>
        <w:jc w:val="both"/>
        <w:rPr>
          <w:rFonts w:ascii="Arial" w:hAnsi="Arial" w:cs="Arial"/>
          <w:i/>
          <w:sz w:val="28"/>
          <w:szCs w:val="28"/>
        </w:rPr>
      </w:pPr>
      <w:r>
        <w:rPr>
          <w:rFonts w:ascii="Arial" w:hAnsi="Arial" w:cs="Arial"/>
          <w:sz w:val="28"/>
          <w:szCs w:val="28"/>
        </w:rPr>
        <w:t xml:space="preserve">Así como, </w:t>
      </w:r>
      <w:r w:rsidR="007B1187" w:rsidRPr="00A5553A">
        <w:rPr>
          <w:rFonts w:ascii="Arial" w:hAnsi="Arial" w:cs="Arial"/>
          <w:sz w:val="28"/>
          <w:szCs w:val="28"/>
        </w:rPr>
        <w:t>También cobra aplicación la tesis del Segundo Tribunal Colegiado del Sexto Circuito, publicada en la página 414, Tomo VI, Común, Jurisprudencia del Apéndice 2000, Novena Época de rubro y contenido siguientes</w:t>
      </w:r>
      <w:r w:rsidR="007B1187" w:rsidRPr="00A5553A">
        <w:rPr>
          <w:rFonts w:ascii="Arial" w:hAnsi="Arial" w:cs="Arial"/>
          <w:i/>
          <w:sz w:val="28"/>
          <w:szCs w:val="28"/>
        </w:rPr>
        <w:t>:</w:t>
      </w:r>
    </w:p>
    <w:p w14:paraId="6653BF77" w14:textId="77777777" w:rsidR="007B1187" w:rsidRPr="00FE1BCA" w:rsidRDefault="007B1187" w:rsidP="007B1187">
      <w:pPr>
        <w:spacing w:after="0" w:line="240" w:lineRule="auto"/>
        <w:ind w:left="567" w:right="567"/>
        <w:jc w:val="both"/>
        <w:rPr>
          <w:rFonts w:ascii="Arial" w:hAnsi="Arial" w:cs="Arial"/>
          <w:i/>
          <w:sz w:val="10"/>
          <w:szCs w:val="10"/>
        </w:rPr>
      </w:pPr>
    </w:p>
    <w:p w14:paraId="35E51DE9" w14:textId="77777777" w:rsidR="007B1187" w:rsidRPr="005778F1" w:rsidRDefault="007B1187" w:rsidP="00E03B2A">
      <w:pPr>
        <w:spacing w:after="0" w:line="240" w:lineRule="auto"/>
        <w:ind w:left="851" w:right="567"/>
        <w:jc w:val="both"/>
        <w:rPr>
          <w:rFonts w:ascii="Arial Narrow" w:hAnsi="Arial Narrow" w:cs="Arial"/>
          <w:i/>
          <w:sz w:val="24"/>
          <w:szCs w:val="24"/>
        </w:rPr>
      </w:pPr>
      <w:r w:rsidRPr="005778F1">
        <w:rPr>
          <w:rFonts w:ascii="Arial Narrow" w:hAnsi="Arial Narrow" w:cs="Arial"/>
          <w:i/>
          <w:sz w:val="24"/>
          <w:szCs w:val="24"/>
        </w:rPr>
        <w:t>“</w:t>
      </w:r>
      <w:r w:rsidRPr="005778F1">
        <w:rPr>
          <w:rFonts w:ascii="Arial Narrow" w:hAnsi="Arial Narrow" w:cs="Arial"/>
          <w:b/>
          <w:i/>
          <w:sz w:val="24"/>
          <w:szCs w:val="24"/>
        </w:rPr>
        <w:t>CONCEPTOS DE VIOLACIÓN. EL JUEZ NO ESTÁ OBLIGADO A</w:t>
      </w:r>
      <w:r w:rsidRPr="005778F1">
        <w:rPr>
          <w:rFonts w:ascii="Arial Narrow" w:hAnsi="Arial Narrow" w:cs="Arial"/>
          <w:i/>
          <w:sz w:val="24"/>
          <w:szCs w:val="24"/>
        </w:rPr>
        <w:t xml:space="preserve"> </w:t>
      </w:r>
      <w:r w:rsidRPr="005778F1">
        <w:rPr>
          <w:rFonts w:ascii="Arial Narrow" w:hAnsi="Arial Narrow" w:cs="Arial"/>
          <w:b/>
          <w:i/>
          <w:sz w:val="24"/>
          <w:szCs w:val="24"/>
        </w:rPr>
        <w:t>TRANSCRIBIRLOS</w:t>
      </w:r>
      <w:r w:rsidRPr="005778F1">
        <w:rPr>
          <w:rFonts w:ascii="Arial Narrow" w:hAnsi="Arial Narrow" w:cs="Arial"/>
          <w:i/>
          <w:sz w:val="24"/>
          <w:szCs w:val="24"/>
        </w:rPr>
        <w:t>.- 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w:t>
      </w:r>
    </w:p>
    <w:p w14:paraId="265CD25E" w14:textId="42B31062" w:rsidR="00B03E2F" w:rsidRPr="00B03E2F" w:rsidRDefault="009D0338" w:rsidP="00932AFC">
      <w:pPr>
        <w:spacing w:after="0" w:line="360" w:lineRule="auto"/>
        <w:ind w:firstLine="851"/>
        <w:jc w:val="both"/>
        <w:rPr>
          <w:rFonts w:ascii="Arial" w:hAnsi="Arial" w:cs="Arial"/>
          <w:color w:val="000000"/>
          <w:sz w:val="28"/>
          <w:szCs w:val="28"/>
          <w:lang w:val="es-ES" w:eastAsia="es-ES" w:bidi="es-ES"/>
        </w:rPr>
      </w:pPr>
      <w:r>
        <w:rPr>
          <w:rFonts w:ascii="Arial" w:hAnsi="Arial" w:cs="Arial"/>
          <w:b/>
          <w:sz w:val="28"/>
          <w:szCs w:val="28"/>
        </w:rPr>
        <w:t>OCTAVO</w:t>
      </w:r>
      <w:r w:rsidR="00B03E2F" w:rsidRPr="00B03E2F">
        <w:rPr>
          <w:rFonts w:ascii="Arial" w:hAnsi="Arial" w:cs="Arial"/>
          <w:b/>
          <w:sz w:val="28"/>
          <w:szCs w:val="28"/>
        </w:rPr>
        <w:t>. Estudio.</w:t>
      </w:r>
      <w:r w:rsidR="00B03E2F" w:rsidRPr="00B03E2F">
        <w:rPr>
          <w:rFonts w:ascii="Arial" w:hAnsi="Arial" w:cs="Arial"/>
          <w:sz w:val="28"/>
          <w:szCs w:val="28"/>
        </w:rPr>
        <w:t xml:space="preserve"> </w:t>
      </w:r>
      <w:r>
        <w:rPr>
          <w:rFonts w:ascii="Arial" w:hAnsi="Arial" w:cs="Arial"/>
          <w:sz w:val="28"/>
          <w:szCs w:val="28"/>
        </w:rPr>
        <w:t xml:space="preserve">Una vez que fue acatado el fallo protector de </w:t>
      </w:r>
      <w:r w:rsidR="007C3009" w:rsidRPr="007D18C2">
        <w:rPr>
          <w:rFonts w:ascii="Arial" w:hAnsi="Arial" w:cs="Arial"/>
          <w:color w:val="000099"/>
          <w:sz w:val="28"/>
          <w:szCs w:val="28"/>
        </w:rPr>
        <w:t>treinta de abril de dos mil veintiséis</w:t>
      </w:r>
      <w:r w:rsidR="00137779" w:rsidRPr="00C63564">
        <w:rPr>
          <w:rFonts w:ascii="Arial" w:hAnsi="Arial" w:cs="Arial"/>
          <w:sz w:val="28"/>
          <w:szCs w:val="28"/>
        </w:rPr>
        <w:t xml:space="preserve">, </w:t>
      </w:r>
      <w:r w:rsidR="00137779">
        <w:rPr>
          <w:rFonts w:ascii="Arial" w:hAnsi="Arial" w:cs="Arial"/>
          <w:sz w:val="28"/>
          <w:szCs w:val="28"/>
        </w:rPr>
        <w:t xml:space="preserve">emitido por el </w:t>
      </w:r>
      <w:r w:rsidR="007C3009">
        <w:rPr>
          <w:rFonts w:ascii="Arial" w:hAnsi="Arial" w:cs="Arial"/>
          <w:color w:val="0000FF"/>
          <w:sz w:val="28"/>
          <w:szCs w:val="28"/>
        </w:rPr>
        <w:t>Primer</w:t>
      </w:r>
      <w:r w:rsidR="00137779" w:rsidRPr="00D20F5B">
        <w:rPr>
          <w:rFonts w:ascii="Arial" w:hAnsi="Arial" w:cs="Arial"/>
          <w:color w:val="0000FF"/>
          <w:sz w:val="28"/>
          <w:szCs w:val="28"/>
        </w:rPr>
        <w:t xml:space="preserve"> Tribunal Colegiado en Materias Civil y Administrativa del Noveno Circuito</w:t>
      </w:r>
      <w:r w:rsidR="00137779">
        <w:rPr>
          <w:rFonts w:ascii="Arial" w:hAnsi="Arial" w:cs="Arial"/>
          <w:sz w:val="28"/>
          <w:szCs w:val="28"/>
        </w:rPr>
        <w:t xml:space="preserve">, </w:t>
      </w:r>
      <w:r w:rsidR="00137779" w:rsidRPr="00C63564">
        <w:rPr>
          <w:rFonts w:ascii="Arial" w:hAnsi="Arial" w:cs="Arial"/>
          <w:sz w:val="28"/>
          <w:szCs w:val="28"/>
        </w:rPr>
        <w:t xml:space="preserve">en el amparo directo administrativo </w:t>
      </w:r>
      <w:r w:rsidR="00194957">
        <w:rPr>
          <w:rFonts w:ascii="Arial" w:hAnsi="Arial" w:cs="Arial"/>
          <w:color w:val="FF0000"/>
          <w:sz w:val="23"/>
          <w:szCs w:val="23"/>
        </w:rPr>
        <w:t>******</w:t>
      </w:r>
      <w:r w:rsidR="007C3009">
        <w:rPr>
          <w:rFonts w:ascii="Arial" w:hAnsi="Arial" w:cs="Arial"/>
          <w:sz w:val="28"/>
          <w:szCs w:val="28"/>
        </w:rPr>
        <w:t>/2024</w:t>
      </w:r>
      <w:r w:rsidR="00137779" w:rsidRPr="00C63564">
        <w:rPr>
          <w:rFonts w:ascii="Arial" w:hAnsi="Arial" w:cs="Arial"/>
          <w:sz w:val="28"/>
          <w:szCs w:val="28"/>
        </w:rPr>
        <w:t xml:space="preserve">, </w:t>
      </w:r>
      <w:r w:rsidR="00B03E2F" w:rsidRPr="00B03E2F">
        <w:rPr>
          <w:rFonts w:ascii="Arial" w:hAnsi="Arial" w:cs="Arial"/>
          <w:sz w:val="28"/>
          <w:szCs w:val="28"/>
        </w:rPr>
        <w:t xml:space="preserve">esta Sala Superior procede a resolver, la apelación interpuesta </w:t>
      </w:r>
      <w:r w:rsidR="006D1AE4">
        <w:rPr>
          <w:rFonts w:ascii="Arial" w:hAnsi="Arial" w:cs="Arial"/>
          <w:sz w:val="28"/>
          <w:szCs w:val="20"/>
        </w:rPr>
        <w:t xml:space="preserve">por </w:t>
      </w:r>
      <w:r w:rsidR="007C3009" w:rsidRPr="007C3009">
        <w:rPr>
          <w:rFonts w:ascii="Arial" w:hAnsi="Arial" w:cs="Arial"/>
          <w:b/>
          <w:color w:val="000099"/>
          <w:sz w:val="28"/>
          <w:szCs w:val="28"/>
        </w:rPr>
        <w:t>José de Jesús Galarza Almaguer</w:t>
      </w:r>
      <w:r w:rsidR="007C3009">
        <w:rPr>
          <w:rFonts w:ascii="Arial" w:hAnsi="Arial" w:cs="Arial"/>
          <w:b/>
          <w:color w:val="000099"/>
          <w:sz w:val="28"/>
          <w:szCs w:val="28"/>
        </w:rPr>
        <w:t>, con el carácter antes referido</w:t>
      </w:r>
      <w:r w:rsidR="00B03E2F" w:rsidRPr="00B03E2F">
        <w:rPr>
          <w:rFonts w:ascii="Arial" w:hAnsi="Arial" w:cs="Arial"/>
          <w:sz w:val="28"/>
          <w:szCs w:val="28"/>
        </w:rPr>
        <w:t>,</w:t>
      </w:r>
      <w:r w:rsidR="00B03E2F" w:rsidRPr="00B03E2F">
        <w:rPr>
          <w:rFonts w:ascii="Arial" w:hAnsi="Arial" w:cs="Arial"/>
          <w:b/>
          <w:color w:val="FF0000"/>
          <w:sz w:val="28"/>
          <w:szCs w:val="28"/>
        </w:rPr>
        <w:t xml:space="preserve"> </w:t>
      </w:r>
      <w:r w:rsidR="00B03E2F" w:rsidRPr="00B03E2F">
        <w:rPr>
          <w:rFonts w:ascii="Arial" w:hAnsi="Arial" w:cs="Arial"/>
          <w:color w:val="000000"/>
          <w:sz w:val="28"/>
          <w:szCs w:val="28"/>
          <w:lang w:val="es-ES" w:eastAsia="es-ES" w:bidi="es-ES"/>
        </w:rPr>
        <w:t xml:space="preserve">en contra de la sentencia de </w:t>
      </w:r>
      <w:r w:rsidR="007C3009" w:rsidRPr="007C3009">
        <w:rPr>
          <w:rFonts w:ascii="Arial" w:hAnsi="Arial" w:cs="Arial"/>
          <w:color w:val="0000FF"/>
          <w:sz w:val="28"/>
          <w:szCs w:val="28"/>
          <w:lang w:val="es-ES"/>
        </w:rPr>
        <w:t>doce de julio del dos mil veintitrés</w:t>
      </w:r>
      <w:r w:rsidR="00B03E2F" w:rsidRPr="00B03E2F">
        <w:rPr>
          <w:rFonts w:ascii="Arial" w:hAnsi="Arial" w:cs="Arial"/>
          <w:color w:val="000000"/>
          <w:sz w:val="28"/>
          <w:szCs w:val="28"/>
          <w:lang w:val="es-ES" w:eastAsia="es-ES" w:bidi="es-ES"/>
        </w:rPr>
        <w:t xml:space="preserve">, pronunciada por la </w:t>
      </w:r>
      <w:r w:rsidR="007C3009">
        <w:rPr>
          <w:rFonts w:ascii="Arial" w:hAnsi="Arial" w:cs="Arial"/>
          <w:color w:val="0000FF"/>
          <w:sz w:val="28"/>
          <w:szCs w:val="28"/>
          <w:lang w:val="es-ES" w:eastAsia="es-ES" w:bidi="es-ES"/>
        </w:rPr>
        <w:t>Segunda</w:t>
      </w:r>
      <w:r w:rsidR="00B03E2F" w:rsidRPr="00B03E2F">
        <w:rPr>
          <w:rFonts w:ascii="Arial" w:hAnsi="Arial" w:cs="Arial"/>
          <w:color w:val="000000"/>
          <w:sz w:val="28"/>
          <w:szCs w:val="28"/>
          <w:lang w:val="es-ES" w:eastAsia="es-ES" w:bidi="es-ES"/>
        </w:rPr>
        <w:t xml:space="preserve"> Sala Unitaria del </w:t>
      </w:r>
      <w:r w:rsidR="00B03E2F" w:rsidRPr="00B03E2F">
        <w:rPr>
          <w:rFonts w:ascii="Arial" w:hAnsi="Arial" w:cs="Arial"/>
          <w:color w:val="000000"/>
          <w:sz w:val="28"/>
          <w:szCs w:val="28"/>
          <w:lang w:val="es-ES" w:eastAsia="es-ES" w:bidi="es-ES"/>
        </w:rPr>
        <w:lastRenderedPageBreak/>
        <w:t>Tribunal Estatal de Justicia Administrativa, al resolver el juicio contencioso administrativo</w:t>
      </w:r>
      <w:r w:rsidR="007C3009">
        <w:rPr>
          <w:rFonts w:ascii="Arial" w:hAnsi="Arial" w:cs="Arial"/>
          <w:color w:val="000000"/>
          <w:sz w:val="28"/>
          <w:szCs w:val="28"/>
          <w:lang w:val="es-ES" w:eastAsia="es-ES" w:bidi="es-ES"/>
        </w:rPr>
        <w:t xml:space="preserve"> </w:t>
      </w:r>
      <w:r w:rsidR="00194957">
        <w:rPr>
          <w:rFonts w:ascii="Arial" w:hAnsi="Arial" w:cs="Arial"/>
          <w:color w:val="FF0000"/>
          <w:sz w:val="23"/>
          <w:szCs w:val="23"/>
        </w:rPr>
        <w:t>******</w:t>
      </w:r>
      <w:r w:rsidR="00B03E2F" w:rsidRPr="00B03E2F">
        <w:rPr>
          <w:rFonts w:ascii="Arial" w:hAnsi="Arial" w:cs="Arial"/>
          <w:color w:val="000000"/>
          <w:sz w:val="28"/>
          <w:szCs w:val="28"/>
          <w:lang w:val="es-ES" w:eastAsia="es-ES" w:bidi="es-ES"/>
        </w:rPr>
        <w:t xml:space="preserve">. </w:t>
      </w:r>
    </w:p>
    <w:p w14:paraId="7C4BCD26" w14:textId="77777777" w:rsidR="00C32EC9" w:rsidRPr="00C32EC9" w:rsidRDefault="00C32EC9" w:rsidP="001F6F41">
      <w:pPr>
        <w:spacing w:after="0" w:line="360" w:lineRule="auto"/>
        <w:ind w:right="51" w:firstLine="567"/>
        <w:jc w:val="both"/>
        <w:rPr>
          <w:rFonts w:ascii="Arial" w:hAnsi="Arial" w:cs="Arial"/>
          <w:sz w:val="10"/>
          <w:szCs w:val="10"/>
        </w:rPr>
      </w:pPr>
    </w:p>
    <w:p w14:paraId="51FF1FFD" w14:textId="1418DD9C" w:rsidR="00B03E2F" w:rsidRDefault="001F6F41" w:rsidP="00D401A7">
      <w:pPr>
        <w:spacing w:after="0" w:line="360" w:lineRule="auto"/>
        <w:ind w:right="51" w:firstLine="567"/>
        <w:jc w:val="both"/>
        <w:rPr>
          <w:rFonts w:ascii="Arial" w:hAnsi="Arial" w:cs="Arial"/>
          <w:sz w:val="28"/>
          <w:szCs w:val="28"/>
        </w:rPr>
      </w:pPr>
      <w:r w:rsidRPr="001F6F41">
        <w:rPr>
          <w:rFonts w:ascii="Arial" w:hAnsi="Arial" w:cs="Arial"/>
          <w:sz w:val="28"/>
          <w:szCs w:val="28"/>
        </w:rPr>
        <w:t>Ahora bien, como se verá más adelante, l</w:t>
      </w:r>
      <w:r w:rsidRPr="001F6F41">
        <w:rPr>
          <w:rFonts w:ascii="Arial" w:hAnsi="Arial" w:cs="Arial"/>
          <w:bCs/>
          <w:iCs/>
          <w:sz w:val="28"/>
          <w:szCs w:val="28"/>
        </w:rPr>
        <w:t xml:space="preserve">os agravios vertidos por la parte </w:t>
      </w:r>
      <w:r>
        <w:rPr>
          <w:rFonts w:ascii="Arial" w:hAnsi="Arial" w:cs="Arial"/>
          <w:bCs/>
          <w:iCs/>
          <w:sz w:val="28"/>
          <w:szCs w:val="28"/>
        </w:rPr>
        <w:t>actora en el juicio de origen</w:t>
      </w:r>
      <w:r w:rsidRPr="001F6F41">
        <w:rPr>
          <w:rFonts w:ascii="Arial" w:hAnsi="Arial" w:cs="Arial"/>
          <w:bCs/>
          <w:iCs/>
          <w:sz w:val="28"/>
          <w:szCs w:val="28"/>
        </w:rPr>
        <w:t xml:space="preserve">, resultan </w:t>
      </w:r>
      <w:r w:rsidRPr="001F6F41">
        <w:rPr>
          <w:rFonts w:ascii="Arial" w:hAnsi="Arial" w:cs="Arial"/>
          <w:b/>
          <w:bCs/>
          <w:iCs/>
          <w:sz w:val="28"/>
          <w:szCs w:val="28"/>
        </w:rPr>
        <w:t>i</w:t>
      </w:r>
      <w:r>
        <w:rPr>
          <w:rFonts w:ascii="Arial" w:hAnsi="Arial" w:cs="Arial"/>
          <w:b/>
          <w:bCs/>
          <w:iCs/>
          <w:sz w:val="28"/>
          <w:szCs w:val="28"/>
        </w:rPr>
        <w:t>n</w:t>
      </w:r>
      <w:r w:rsidRPr="001F6F41">
        <w:rPr>
          <w:rFonts w:ascii="Arial" w:hAnsi="Arial" w:cs="Arial"/>
          <w:b/>
          <w:bCs/>
          <w:iCs/>
          <w:sz w:val="28"/>
          <w:szCs w:val="28"/>
        </w:rPr>
        <w:t>fundados,</w:t>
      </w:r>
      <w:r w:rsidRPr="001F6F41">
        <w:rPr>
          <w:rFonts w:ascii="Arial" w:hAnsi="Arial" w:cs="Arial"/>
          <w:bCs/>
          <w:iCs/>
          <w:sz w:val="28"/>
          <w:szCs w:val="28"/>
        </w:rPr>
        <w:t xml:space="preserve"> </w:t>
      </w:r>
      <w:r w:rsidR="00D401A7">
        <w:rPr>
          <w:rFonts w:ascii="Arial" w:hAnsi="Arial" w:cs="Arial"/>
          <w:sz w:val="28"/>
          <w:szCs w:val="28"/>
        </w:rPr>
        <w:t xml:space="preserve">por ende, ineficaces para </w:t>
      </w:r>
      <w:r w:rsidR="00D401A7" w:rsidRPr="006D7613">
        <w:rPr>
          <w:rFonts w:ascii="Arial" w:hAnsi="Arial" w:cs="Arial"/>
          <w:b/>
          <w:sz w:val="28"/>
          <w:szCs w:val="28"/>
        </w:rPr>
        <w:t>revocar</w:t>
      </w:r>
      <w:r w:rsidR="00D401A7">
        <w:rPr>
          <w:rFonts w:ascii="Arial" w:hAnsi="Arial" w:cs="Arial"/>
          <w:sz w:val="28"/>
          <w:szCs w:val="28"/>
        </w:rPr>
        <w:t xml:space="preserve"> o </w:t>
      </w:r>
      <w:r w:rsidR="00D401A7" w:rsidRPr="006D7613">
        <w:rPr>
          <w:rFonts w:ascii="Arial" w:hAnsi="Arial" w:cs="Arial"/>
          <w:b/>
          <w:sz w:val="28"/>
          <w:szCs w:val="28"/>
        </w:rPr>
        <w:t>modificar</w:t>
      </w:r>
      <w:r w:rsidR="00D401A7">
        <w:rPr>
          <w:rFonts w:ascii="Arial" w:hAnsi="Arial" w:cs="Arial"/>
          <w:sz w:val="28"/>
          <w:szCs w:val="28"/>
        </w:rPr>
        <w:t xml:space="preserve"> el fallo impugnado.</w:t>
      </w:r>
    </w:p>
    <w:p w14:paraId="5CC34F6B" w14:textId="77777777" w:rsidR="00D25280" w:rsidRPr="00C32EC9" w:rsidRDefault="00D25280" w:rsidP="00D401A7">
      <w:pPr>
        <w:spacing w:after="0" w:line="360" w:lineRule="auto"/>
        <w:ind w:right="51" w:firstLine="567"/>
        <w:jc w:val="both"/>
        <w:rPr>
          <w:rFonts w:ascii="Arial" w:hAnsi="Arial" w:cs="Arial"/>
          <w:color w:val="000000"/>
          <w:sz w:val="10"/>
          <w:szCs w:val="10"/>
          <w:lang w:val="es-ES" w:eastAsia="es-ES" w:bidi="es-ES"/>
        </w:rPr>
      </w:pPr>
    </w:p>
    <w:p w14:paraId="434443B1" w14:textId="326598BF" w:rsidR="00177FB2" w:rsidRDefault="00177FB2" w:rsidP="00B55222">
      <w:pPr>
        <w:spacing w:after="0" w:line="360" w:lineRule="auto"/>
        <w:ind w:firstLine="851"/>
        <w:jc w:val="both"/>
        <w:rPr>
          <w:rFonts w:ascii="Arial" w:hAnsi="Arial" w:cs="Arial"/>
          <w:sz w:val="28"/>
          <w:szCs w:val="28"/>
        </w:rPr>
      </w:pPr>
      <w:r>
        <w:rPr>
          <w:rFonts w:ascii="Arial" w:hAnsi="Arial" w:cs="Arial"/>
          <w:bCs/>
          <w:iCs/>
          <w:sz w:val="28"/>
          <w:szCs w:val="28"/>
        </w:rPr>
        <w:t>E</w:t>
      </w:r>
      <w:r w:rsidRPr="00EC6FB2">
        <w:rPr>
          <w:rFonts w:ascii="Arial" w:hAnsi="Arial" w:cs="Arial"/>
          <w:bCs/>
          <w:iCs/>
          <w:sz w:val="28"/>
          <w:szCs w:val="28"/>
        </w:rPr>
        <w:t xml:space="preserve">n la sentencia de </w:t>
      </w:r>
      <w:r w:rsidR="007C3009" w:rsidRPr="00B672EC">
        <w:rPr>
          <w:rFonts w:ascii="Arial" w:hAnsi="Arial" w:cs="Arial"/>
          <w:color w:val="0000FF"/>
          <w:sz w:val="28"/>
          <w:szCs w:val="28"/>
          <w:lang w:val="es-ES"/>
        </w:rPr>
        <w:t>d</w:t>
      </w:r>
      <w:r w:rsidR="007C3009" w:rsidRPr="007C3009">
        <w:rPr>
          <w:rFonts w:ascii="Arial" w:hAnsi="Arial" w:cs="Arial"/>
          <w:color w:val="0000FF"/>
          <w:sz w:val="28"/>
          <w:szCs w:val="28"/>
          <w:lang w:val="es-ES"/>
        </w:rPr>
        <w:t>oce de julio del dos mil veintitrés</w:t>
      </w:r>
      <w:r w:rsidRPr="00EC6FB2">
        <w:rPr>
          <w:rFonts w:ascii="Arial" w:hAnsi="Arial" w:cs="Arial"/>
          <w:bCs/>
          <w:color w:val="000000"/>
          <w:sz w:val="28"/>
          <w:szCs w:val="28"/>
        </w:rPr>
        <w:t xml:space="preserve">, dictada por la </w:t>
      </w:r>
      <w:r w:rsidR="007C3009">
        <w:rPr>
          <w:rFonts w:ascii="Arial" w:hAnsi="Arial" w:cs="Arial"/>
          <w:bCs/>
          <w:color w:val="0000FF"/>
          <w:sz w:val="28"/>
          <w:szCs w:val="28"/>
        </w:rPr>
        <w:t>Segunda</w:t>
      </w:r>
      <w:r w:rsidRPr="00EC6FB2">
        <w:rPr>
          <w:rFonts w:ascii="Arial" w:hAnsi="Arial" w:cs="Arial"/>
          <w:bCs/>
          <w:color w:val="000000"/>
          <w:sz w:val="28"/>
          <w:szCs w:val="28"/>
        </w:rPr>
        <w:t xml:space="preserve"> Sala Unitaria en </w:t>
      </w:r>
      <w:r w:rsidRPr="00EC6FB2">
        <w:rPr>
          <w:rFonts w:ascii="Arial" w:hAnsi="Arial" w:cs="Arial"/>
          <w:sz w:val="28"/>
          <w:szCs w:val="28"/>
        </w:rPr>
        <w:t xml:space="preserve">los autos del expediente </w:t>
      </w:r>
      <w:r w:rsidR="00194957">
        <w:rPr>
          <w:rFonts w:ascii="Arial" w:hAnsi="Arial" w:cs="Arial"/>
          <w:color w:val="FF0000"/>
          <w:sz w:val="23"/>
          <w:szCs w:val="23"/>
        </w:rPr>
        <w:t>******</w:t>
      </w:r>
      <w:r w:rsidRPr="00EC6FB2">
        <w:rPr>
          <w:rFonts w:ascii="Arial" w:hAnsi="Arial" w:cs="Arial"/>
          <w:sz w:val="28"/>
          <w:szCs w:val="28"/>
        </w:rPr>
        <w:t xml:space="preserve">, </w:t>
      </w:r>
      <w:r>
        <w:rPr>
          <w:rFonts w:ascii="Arial" w:hAnsi="Arial" w:cs="Arial"/>
          <w:sz w:val="28"/>
          <w:szCs w:val="28"/>
        </w:rPr>
        <w:t xml:space="preserve">decretó </w:t>
      </w:r>
      <w:r w:rsidR="00B672EC">
        <w:rPr>
          <w:rFonts w:ascii="Arial" w:hAnsi="Arial" w:cs="Arial"/>
          <w:sz w:val="28"/>
          <w:szCs w:val="28"/>
        </w:rPr>
        <w:t>el sobreseimiento del juicio</w:t>
      </w:r>
      <w:r>
        <w:rPr>
          <w:rFonts w:ascii="Arial" w:hAnsi="Arial" w:cs="Arial"/>
          <w:sz w:val="28"/>
          <w:szCs w:val="28"/>
        </w:rPr>
        <w:t>, al tenor de las siguientes consideraciones:</w:t>
      </w:r>
    </w:p>
    <w:p w14:paraId="2CA88BAC" w14:textId="77777777" w:rsidR="006F0267" w:rsidRPr="007D18C2" w:rsidRDefault="006F0267" w:rsidP="00B55222">
      <w:pPr>
        <w:spacing w:after="0" w:line="360" w:lineRule="auto"/>
        <w:ind w:firstLine="851"/>
        <w:jc w:val="both"/>
        <w:rPr>
          <w:rFonts w:ascii="Arial" w:hAnsi="Arial" w:cs="Arial"/>
          <w:sz w:val="10"/>
          <w:szCs w:val="10"/>
        </w:rPr>
      </w:pPr>
    </w:p>
    <w:p w14:paraId="11C93A5D" w14:textId="7E7A4879" w:rsidR="00B672EC" w:rsidRPr="00B672EC" w:rsidRDefault="00B672EC" w:rsidP="00B672EC">
      <w:pPr>
        <w:spacing w:after="0" w:line="240" w:lineRule="auto"/>
        <w:ind w:left="851" w:right="618"/>
        <w:jc w:val="both"/>
        <w:rPr>
          <w:rFonts w:ascii="Arial Narrow" w:hAnsi="Arial Narrow" w:cs="Arial"/>
          <w:bCs/>
          <w:i/>
          <w:iCs/>
          <w:sz w:val="24"/>
          <w:szCs w:val="24"/>
        </w:rPr>
      </w:pPr>
      <w:r w:rsidRPr="00B672EC">
        <w:rPr>
          <w:rFonts w:ascii="Arial Narrow" w:hAnsi="Arial Narrow" w:cs="Arial"/>
          <w:b/>
          <w:bCs/>
          <w:i/>
          <w:iCs/>
          <w:sz w:val="24"/>
          <w:szCs w:val="24"/>
        </w:rPr>
        <w:t>SEGUNDO</w:t>
      </w:r>
      <w:r w:rsidRPr="00B672EC">
        <w:rPr>
          <w:rFonts w:ascii="Arial Narrow" w:hAnsi="Arial Narrow" w:cs="Arial"/>
          <w:bCs/>
          <w:i/>
          <w:iCs/>
          <w:sz w:val="24"/>
          <w:szCs w:val="24"/>
        </w:rPr>
        <w:t>.- Antes de entrar al estudio de los conceptos de impugnación vertidos por la parte actora en su escrito inicial de demanda, es necesario establecer si en el presente juicio se actualiza una de las causales de improcedencia o sobreseimiento a que se refieren los artículos 228 y 229, del Código Procesal Administrativo para el Estado de San Luis Potosí, que sirva de base para decretar total o parcialmente el sobreseimiento del juicio, ya sea que lo hagan valer o no las partes; toda vez que se trata de cuestiones de orden público que se tienen que estudiar de oficio y, cuyo análisis es preferente al del fondo del asunto.</w:t>
      </w:r>
    </w:p>
    <w:p w14:paraId="6FD0BBED" w14:textId="77777777" w:rsidR="00B672EC" w:rsidRPr="007D18C2" w:rsidRDefault="00B672EC" w:rsidP="00B672EC">
      <w:pPr>
        <w:spacing w:after="0" w:line="240" w:lineRule="auto"/>
        <w:ind w:left="851" w:right="618"/>
        <w:jc w:val="both"/>
        <w:rPr>
          <w:rFonts w:ascii="Arial Narrow" w:hAnsi="Arial Narrow" w:cs="Arial"/>
          <w:bCs/>
          <w:i/>
          <w:iCs/>
          <w:sz w:val="10"/>
          <w:szCs w:val="10"/>
        </w:rPr>
      </w:pPr>
    </w:p>
    <w:p w14:paraId="35C67181" w14:textId="77777777" w:rsidR="00B672EC" w:rsidRPr="00B672EC" w:rsidRDefault="00B672EC" w:rsidP="00B672EC">
      <w:pPr>
        <w:spacing w:after="0" w:line="240" w:lineRule="auto"/>
        <w:ind w:left="851" w:right="618"/>
        <w:jc w:val="both"/>
        <w:rPr>
          <w:rFonts w:ascii="Arial Narrow" w:hAnsi="Arial Narrow" w:cs="Arial"/>
          <w:bCs/>
          <w:i/>
          <w:iCs/>
          <w:sz w:val="24"/>
          <w:szCs w:val="24"/>
        </w:rPr>
      </w:pPr>
      <w:r w:rsidRPr="00B672EC">
        <w:rPr>
          <w:rFonts w:ascii="Arial Narrow" w:hAnsi="Arial Narrow" w:cs="Arial"/>
          <w:bCs/>
          <w:i/>
          <w:iCs/>
          <w:sz w:val="24"/>
          <w:szCs w:val="24"/>
        </w:rPr>
        <w:t>En ese tenor; de acuerdo a lo que ordena el artículo 228, último párrafo, del Código Procesal Administrativo para el Estado de San Luis Potosí, esta Sala practicó estudio oficioso de las causales de improcedencia o sobreseimiento, y advierte que en el presente juicio se actualiza el sobreseimiento relativo a la inexistencia del acto reclamado, el cual se encuentra previsto en la fracción V del artículo 229 del citado Código; que a la letra dice:</w:t>
      </w:r>
    </w:p>
    <w:p w14:paraId="18FD25D3" w14:textId="77777777" w:rsidR="00B672EC" w:rsidRPr="007D18C2" w:rsidRDefault="00B672EC" w:rsidP="00B672EC">
      <w:pPr>
        <w:spacing w:after="0" w:line="240" w:lineRule="auto"/>
        <w:ind w:left="851" w:right="618"/>
        <w:jc w:val="both"/>
        <w:rPr>
          <w:rFonts w:ascii="Arial Narrow" w:hAnsi="Arial Narrow" w:cs="Arial"/>
          <w:bCs/>
          <w:i/>
          <w:iCs/>
          <w:sz w:val="10"/>
          <w:szCs w:val="10"/>
        </w:rPr>
      </w:pPr>
    </w:p>
    <w:p w14:paraId="42A0DFD3" w14:textId="77777777" w:rsidR="00B672EC" w:rsidRPr="00B672EC" w:rsidRDefault="00B672EC" w:rsidP="00B672EC">
      <w:pPr>
        <w:spacing w:after="0" w:line="240" w:lineRule="auto"/>
        <w:ind w:left="851" w:right="618"/>
        <w:jc w:val="both"/>
        <w:rPr>
          <w:rFonts w:ascii="Arial Narrow" w:hAnsi="Arial Narrow" w:cs="Arial"/>
          <w:bCs/>
          <w:i/>
          <w:iCs/>
          <w:sz w:val="24"/>
          <w:szCs w:val="24"/>
        </w:rPr>
      </w:pPr>
      <w:r w:rsidRPr="00B672EC">
        <w:rPr>
          <w:rFonts w:ascii="Arial Narrow" w:hAnsi="Arial Narrow" w:cs="Arial"/>
          <w:bCs/>
          <w:i/>
          <w:iCs/>
          <w:sz w:val="24"/>
          <w:szCs w:val="24"/>
        </w:rPr>
        <w:tab/>
        <w:t>Artículo 229.- Procede el sobreseimiento del juicio:</w:t>
      </w:r>
    </w:p>
    <w:p w14:paraId="30B78921" w14:textId="77777777" w:rsidR="00B672EC" w:rsidRPr="00B672EC" w:rsidRDefault="00B672EC" w:rsidP="00B672EC">
      <w:pPr>
        <w:spacing w:after="0" w:line="240" w:lineRule="auto"/>
        <w:ind w:left="851" w:right="618"/>
        <w:jc w:val="both"/>
        <w:rPr>
          <w:rFonts w:ascii="Arial Narrow" w:hAnsi="Arial Narrow" w:cs="Arial"/>
          <w:bCs/>
          <w:i/>
          <w:iCs/>
          <w:sz w:val="24"/>
          <w:szCs w:val="24"/>
        </w:rPr>
      </w:pPr>
      <w:r w:rsidRPr="00B672EC">
        <w:rPr>
          <w:rFonts w:ascii="Arial Narrow" w:hAnsi="Arial Narrow" w:cs="Arial"/>
          <w:bCs/>
          <w:i/>
          <w:iCs/>
          <w:sz w:val="24"/>
          <w:szCs w:val="24"/>
        </w:rPr>
        <w:tab/>
        <w:t>(…)</w:t>
      </w:r>
    </w:p>
    <w:p w14:paraId="0C148AE9" w14:textId="2DC01D51" w:rsidR="00B672EC" w:rsidRPr="00B672EC" w:rsidRDefault="00B672EC" w:rsidP="00B672EC">
      <w:pPr>
        <w:spacing w:after="0" w:line="240" w:lineRule="auto"/>
        <w:ind w:left="567" w:right="618"/>
        <w:jc w:val="both"/>
        <w:rPr>
          <w:rFonts w:ascii="Arial Narrow" w:hAnsi="Arial Narrow" w:cs="Arial"/>
          <w:bCs/>
          <w:i/>
          <w:iCs/>
          <w:sz w:val="24"/>
          <w:szCs w:val="24"/>
        </w:rPr>
      </w:pPr>
      <w:r>
        <w:rPr>
          <w:rFonts w:ascii="Arial Narrow" w:hAnsi="Arial Narrow" w:cs="Arial"/>
          <w:bCs/>
          <w:i/>
          <w:iCs/>
          <w:sz w:val="24"/>
          <w:szCs w:val="24"/>
        </w:rPr>
        <w:t>V.- Cuando d</w:t>
      </w:r>
      <w:r w:rsidRPr="00B672EC">
        <w:rPr>
          <w:rFonts w:ascii="Arial Narrow" w:hAnsi="Arial Narrow" w:cs="Arial"/>
          <w:bCs/>
          <w:i/>
          <w:iCs/>
          <w:sz w:val="24"/>
          <w:szCs w:val="24"/>
        </w:rPr>
        <w:t>e las constancias de autos apareciere claramente que no existe el acto impugnado;</w:t>
      </w:r>
    </w:p>
    <w:p w14:paraId="0B21D0E8"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2B5819F7"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 xml:space="preserve">En congruencia con lo anterior, cabe señalar que de una interpretación del artículo 7 fracciones I a la XVIII, de la Ley Orgánica del Tribunal Estatal de Justicia Administrativa, se infiere que el juicio es admisible en contra de los actos administrativos que dicten, ordenen, ejecuten o traten de ejecutar las autoridades del Poder Ejecutivo Estatal y de los Municipios, así como los Organismos Descentralizados cuando estos actúen como autoridades, pero </w:t>
      </w:r>
      <w:r w:rsidRPr="00B672EC">
        <w:rPr>
          <w:rFonts w:ascii="Arial Narrow" w:hAnsi="Arial Narrow" w:cs="Arial"/>
          <w:bCs/>
          <w:i/>
          <w:iCs/>
          <w:sz w:val="24"/>
          <w:szCs w:val="24"/>
        </w:rPr>
        <w:lastRenderedPageBreak/>
        <w:t>también es cierto que la parte actora está obligada a probar durante la secuela del procedimiento, la existencia de los mismos.</w:t>
      </w:r>
    </w:p>
    <w:p w14:paraId="6DE8EFB8"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1C4161A1"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Por tanto, para que sea admisible el juicio de nulidad, se requiere, invariablemente que exista una actuación de una autoridad administrativa que determine, ordene o ejecute un mandato en agravio de los particulares y que constituya por ende una resolución definitiva, respecto de la cual, este Tribunal esté en condiciones de emitir un pronunciamiento de legalidad.</w:t>
      </w:r>
    </w:p>
    <w:p w14:paraId="134B13AA"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423E20BF"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Resolución administrativa que es definida en el artículo 3° fracción XX del Código Procesal Administrativo para el Estado de San Luis Potosí en los siguientes términos:</w:t>
      </w:r>
    </w:p>
    <w:p w14:paraId="647B1DDF"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6235CFB9" w14:textId="6D41A23E"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“ARTÍCULO 3º. Para los efectos de este Código se entiende por:</w:t>
      </w:r>
    </w:p>
    <w:p w14:paraId="456ED2A2" w14:textId="77777777" w:rsidR="00B672EC" w:rsidRPr="007D18C2" w:rsidRDefault="00B672EC" w:rsidP="00B672EC">
      <w:pPr>
        <w:spacing w:after="0" w:line="240" w:lineRule="auto"/>
        <w:ind w:left="567" w:right="618"/>
        <w:jc w:val="both"/>
        <w:rPr>
          <w:rFonts w:ascii="Arial Narrow" w:hAnsi="Arial Narrow" w:cs="Arial"/>
          <w:bCs/>
          <w:i/>
          <w:iCs/>
          <w:sz w:val="10"/>
          <w:szCs w:val="10"/>
        </w:rPr>
      </w:pPr>
      <w:r w:rsidRPr="00B672EC">
        <w:rPr>
          <w:rFonts w:ascii="Arial Narrow" w:hAnsi="Arial Narrow" w:cs="Arial"/>
          <w:bCs/>
          <w:i/>
          <w:iCs/>
          <w:sz w:val="24"/>
          <w:szCs w:val="24"/>
        </w:rPr>
        <w:t>…</w:t>
      </w:r>
    </w:p>
    <w:p w14:paraId="4793764E"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XX. Resolución Administrativa: acto administrativo que pone fin a un procedimiento de manera expresa, que decide todas y cada una de las cuestiones planteadas por los interesados o previstas por las normas; tendrá igualmente ese carácter para efectos de su impugnación, la negativa ficta en caso del silencio de la autoridad competente;…”</w:t>
      </w:r>
    </w:p>
    <w:p w14:paraId="7F2E65EC"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32091BE7"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De esta manera, tenemos que por regla general el juicio de nulidad, es un medio de defensa que el particular puede interponer cuando ve afectada su esfera jurídica, por algún acto o resolución definitiva emitida por una autoridad estatal, municipal o de uno de sus organismos descentralizados, a efecto de que este Tribunal de Justicia Administrativa dirima la controversia planteada determinando para ello si la actuación de la autoridad es susceptible de ser impugnada en esta vía contenciosa administrativa en función de su afectación a un interés jurídico o legítimo del particular y, de ser el caso, si se ajustó a los lineamientos jurídicos que regulan su aplicación y que sustentarían su presunción de legalidad; en particular respecto de la satisfacción de los requisitos de fundamentación y motivación previstos en el artículo 16 Constitucional.</w:t>
      </w:r>
    </w:p>
    <w:p w14:paraId="2280287D"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299E0666"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De lo que se sigue que su jurisdicción es restringida, es decir, su procedencia está sujeta a que el acto de autoridad que se pretenda impugnar constituya un “acto o resolución definitiva” dictadas por las autoridades administrativas que pongan fin a un procedimiento administrativo, a una instancia o resuelvan un expediente, en los términos del Libro Segundo del Código Procesal Administrativo del Estado de San Luis Potosí, de las previstas por las fracciones I y XI del artículo 7 de la Ley Orgánica del Tribunal Estatal de Justicia Administrativa y ese acto o resolución además cause un agravio personal y directo al particular en su esfera jurídica.</w:t>
      </w:r>
    </w:p>
    <w:p w14:paraId="2E68395E"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6F6D9B78"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 xml:space="preserve">En ese contexto el acto materia de la presente controversia, es el que se desprende de la manifestación vertida por la parte actora, en su escrito de demanda y que hace consistir de la siguiente manera: </w:t>
      </w:r>
    </w:p>
    <w:p w14:paraId="5AF24001"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1A8E587B"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“A. La arbitraria imposición de una Tarifa correspondiente al Servicio Comercial en la casa habitación ubicada en el número 163 de la calle Universidad en el Centro Histórico de la Ciudad de San Luis Potosí.”</w:t>
      </w:r>
    </w:p>
    <w:p w14:paraId="61E532A9"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30D55E47"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 xml:space="preserve">“B.- El acto negativo de concedernos el beneficio fiscal contemplado por el artículo SÉPTIMO TRANSITORIO de la LEY DE CUOTAS Y TARIFAS PARA LA PRESTACIÓN DE SERVICIOS PÚBLICOS DE AGUA POTABLE, DRENAJE, ALCANTARILLADO, SANEAMIENTO Y DISPOSICIÓN FINAL DE AGUAS RESIDUALES DEL ORGANISMO OPERADOR INTERMUNICIPAL DE LOS  MUNICIPIOS DE CERRO DE SAN PEDRO, SAN LUIS POTOSÍ Y SOLEDAD DE GRACIANO SÁNCHEZ, S.L.P., S.L.P. PARA EL EJERCICIO FISCAL 2022 para el pago el Servicio doméstico de Agua Potable en la casa </w:t>
      </w:r>
      <w:r w:rsidRPr="00B672EC">
        <w:rPr>
          <w:rFonts w:ascii="Arial Narrow" w:hAnsi="Arial Narrow" w:cs="Arial"/>
          <w:bCs/>
          <w:i/>
          <w:iCs/>
          <w:sz w:val="24"/>
          <w:szCs w:val="24"/>
        </w:rPr>
        <w:lastRenderedPageBreak/>
        <w:t>habitación ubicada en el número 163 de la Calle Universidad en el Centro Histórico de la Ciudad de San Luis Potosí.”</w:t>
      </w:r>
    </w:p>
    <w:p w14:paraId="048E9E51"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6E5C38B4"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“C.- Concedernos la autorización para el cambio de Titularidad del Contrato de Servicio Doméstico de Agua Potable en la casa habitación ubicada en el número 163 de la calle Universidad en el Centro Histórico de la Ciudad de San Luis Potosí.”</w:t>
      </w:r>
    </w:p>
    <w:p w14:paraId="62F842D5"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6928BF84"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Ahora bien, del escrito de contestación de demanda que obra agregado en foja 38 a la 47 de autos, relativa al Director Jurídico del Organismo Intermunicipal Metropolitano de Agua Potable, Alcantarillado, Saneamiento y Servicios Conexos de los Municipios de Cerro de San Pedro, San Luis Potosí y Soledad de Graciano Sánchez, se advierte que la Autoridad demandada al producir su contestación de demanda niega la existencia de los actos impugnados por el actor, al señalar en la parte que interesa lo siguiente:</w:t>
      </w:r>
    </w:p>
    <w:p w14:paraId="5B48187F"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77E0AF67"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 xml:space="preserve">“…la parte actora en ningún momento se ha pronunciado ante mi representada para solicitar cambio de tarifa comercial a doméstica, razón la cual no existe acto impugnado ya que la propia actora refiere que es verbal y confiesa que su motivo de cambiar de giro es para poder tener acceso al Borrón y Cuenta Nueva, ya que como refiere el actor con fecha 28 de diciembre de 2021 se aprobó el decreto 0238 Ley de Cuotas y Tarifas para la Prestación de Servicios públicos de Agua Potable, drenaje, alcantarillado, saneamiento y Disposición final de aguas residuales del Organismo Operador Intermunicipal, de los municipios de Cerro de San Pedro, San Luis Potosí, y Soledad de Graciano Sánchez, S.L.P. para el Ejercicio Fiscal 2022. En su artículo transitorio SEPTIMO. Enuncia: </w:t>
      </w:r>
    </w:p>
    <w:p w14:paraId="01B5F882" w14:textId="77777777" w:rsidR="00B672EC" w:rsidRPr="00B672EC" w:rsidRDefault="00B672EC" w:rsidP="00B672EC">
      <w:pPr>
        <w:spacing w:after="0" w:line="240" w:lineRule="auto"/>
        <w:ind w:left="567" w:right="618"/>
        <w:jc w:val="both"/>
        <w:rPr>
          <w:rFonts w:ascii="Arial Narrow" w:hAnsi="Arial Narrow" w:cs="Arial"/>
          <w:bCs/>
          <w:i/>
          <w:iCs/>
          <w:sz w:val="24"/>
          <w:szCs w:val="24"/>
        </w:rPr>
      </w:pPr>
    </w:p>
    <w:p w14:paraId="3D0B50E5"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Durante el ejercicio Fiscal 2022, este Organismo Operador implementará un programa denominado “cuenta Nueva y Borrón”, que aplicara para los usuarios de uso doméstico que tengan pendiente adeudos de ejercicios fiscales anteriores al año 2022, para ser beneficiario del mismo el usuario deberá de pagar puntual y consecutivamente los seis bimestres del año del ejercicio, en caso de que se presente un incremento desproporcionado en su recibo durante este tiempo, que le impida pagarlo esta situación será tratada mediante el procedimiento previsto en el artículo quinto transitorio de esta ley, con el fin del que el usuario no pierda el citado beneficio.</w:t>
      </w:r>
    </w:p>
    <w:p w14:paraId="762B2779"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w:t>
      </w:r>
    </w:p>
    <w:p w14:paraId="70964C55"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Siendo claro que dicha parte actora no agoto este trámite (…) De igual forma es preciso que señalar que la cuenta 12026 correspondiente al domicilio ubicado en AVENIDA UNIVERSIDAD NUMERO 163, COLONIA CENTRO DE ESTA CIUDAD CAPITAL, cuenta con un tipo de servicio COMERCIAL desde el bimestre 07-08/2019 (JULIO A AGOSTO DEL 2019), siendo que desde dicha fecha el actor jamás ha hecho solicitud alguna para efecto de que se le realice  el cambio de servicio,…”</w:t>
      </w:r>
    </w:p>
    <w:p w14:paraId="50FB50FD"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545EDA58" w14:textId="77777777" w:rsidR="00B672EC" w:rsidRPr="00D401A7" w:rsidRDefault="00B672EC" w:rsidP="00B672EC">
      <w:pPr>
        <w:spacing w:after="0" w:line="240" w:lineRule="auto"/>
        <w:ind w:left="567" w:right="618"/>
        <w:jc w:val="both"/>
        <w:rPr>
          <w:rFonts w:ascii="Arial Narrow" w:hAnsi="Arial Narrow" w:cs="Arial"/>
          <w:bCs/>
          <w:i/>
          <w:iCs/>
          <w:color w:val="000099"/>
          <w:sz w:val="24"/>
          <w:szCs w:val="24"/>
        </w:rPr>
      </w:pPr>
      <w:r w:rsidRPr="00B672EC">
        <w:rPr>
          <w:rFonts w:ascii="Arial Narrow" w:hAnsi="Arial Narrow" w:cs="Arial"/>
          <w:bCs/>
          <w:i/>
          <w:iCs/>
          <w:sz w:val="24"/>
          <w:szCs w:val="24"/>
        </w:rPr>
        <w:tab/>
      </w:r>
      <w:r w:rsidRPr="00D401A7">
        <w:rPr>
          <w:rFonts w:ascii="Arial Narrow" w:hAnsi="Arial Narrow" w:cs="Arial"/>
          <w:bCs/>
          <w:i/>
          <w:iCs/>
          <w:color w:val="000099"/>
          <w:sz w:val="24"/>
          <w:szCs w:val="24"/>
        </w:rPr>
        <w:t>En ese contexto, de conformidad con el artículo 273 del Código de Procedimiento Civiles de aplicación supletoria por disposición de lo previsto en el artículo 217 del Código Procesal Administrativo para el Estado, el actor debe probar los hechos constitutivos de su acción.</w:t>
      </w:r>
    </w:p>
    <w:p w14:paraId="55EB330A"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3B11F501"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 xml:space="preserve">Concomitantemente, con el objeto de acreditar los extremos de la acción intentada en el presente juicio, la parte actora, aportó los medios de prueba que se desprenden de su escrito inicial de demanda y que hizo consistir en los siguientes: </w:t>
      </w:r>
    </w:p>
    <w:p w14:paraId="3AF0F032"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483B76EB" w14:textId="5955666D" w:rsidR="00B672EC" w:rsidRPr="00B672EC" w:rsidRDefault="00810EE1" w:rsidP="00B672EC">
      <w:pPr>
        <w:spacing w:after="0" w:line="240" w:lineRule="auto"/>
        <w:ind w:left="567" w:right="618"/>
        <w:jc w:val="both"/>
        <w:rPr>
          <w:rFonts w:ascii="Arial Narrow" w:hAnsi="Arial Narrow" w:cs="Arial"/>
          <w:bCs/>
          <w:i/>
          <w:iCs/>
          <w:sz w:val="24"/>
          <w:szCs w:val="24"/>
        </w:rPr>
      </w:pPr>
      <w:r>
        <w:rPr>
          <w:rFonts w:ascii="Arial Narrow" w:hAnsi="Arial Narrow" w:cs="Arial"/>
          <w:bCs/>
          <w:i/>
          <w:iCs/>
          <w:sz w:val="24"/>
          <w:szCs w:val="24"/>
        </w:rPr>
        <w:t>1.</w:t>
      </w:r>
      <w:r w:rsidR="00B672EC" w:rsidRPr="00B672EC">
        <w:rPr>
          <w:rFonts w:ascii="Arial Narrow" w:hAnsi="Arial Narrow" w:cs="Arial"/>
          <w:bCs/>
          <w:i/>
          <w:iCs/>
          <w:sz w:val="24"/>
          <w:szCs w:val="24"/>
        </w:rPr>
        <w:t xml:space="preserve"> “CONFESIONAL EXPRESA. Consistente en lo manifestado en forma expresa y espontanea en el escrito de contestación de demanda que habrán de presentar el funcionario titular de las Entidades Públicas aquí demandadas.”</w:t>
      </w:r>
    </w:p>
    <w:p w14:paraId="2C4DFD86"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4703C396" w14:textId="173FFE81" w:rsidR="00B672EC" w:rsidRPr="00B672EC" w:rsidRDefault="00810EE1" w:rsidP="00B672EC">
      <w:pPr>
        <w:spacing w:after="0" w:line="240" w:lineRule="auto"/>
        <w:ind w:left="567" w:right="618"/>
        <w:jc w:val="both"/>
        <w:rPr>
          <w:rFonts w:ascii="Arial Narrow" w:hAnsi="Arial Narrow" w:cs="Arial"/>
          <w:bCs/>
          <w:i/>
          <w:iCs/>
          <w:sz w:val="24"/>
          <w:szCs w:val="24"/>
        </w:rPr>
      </w:pPr>
      <w:proofErr w:type="gramStart"/>
      <w:r>
        <w:rPr>
          <w:rFonts w:ascii="Arial Narrow" w:hAnsi="Arial Narrow" w:cs="Arial"/>
          <w:bCs/>
          <w:i/>
          <w:iCs/>
          <w:sz w:val="24"/>
          <w:szCs w:val="24"/>
        </w:rPr>
        <w:t>2.</w:t>
      </w:r>
      <w:r w:rsidR="00B672EC" w:rsidRPr="00B672EC">
        <w:rPr>
          <w:rFonts w:ascii="Arial Narrow" w:hAnsi="Arial Narrow" w:cs="Arial"/>
          <w:bCs/>
          <w:i/>
          <w:iCs/>
          <w:sz w:val="24"/>
          <w:szCs w:val="24"/>
        </w:rPr>
        <w:t>“</w:t>
      </w:r>
      <w:proofErr w:type="gramEnd"/>
      <w:r w:rsidR="00B672EC" w:rsidRPr="00B672EC">
        <w:rPr>
          <w:rFonts w:ascii="Arial Narrow" w:hAnsi="Arial Narrow" w:cs="Arial"/>
          <w:bCs/>
          <w:i/>
          <w:iCs/>
          <w:sz w:val="24"/>
          <w:szCs w:val="24"/>
        </w:rPr>
        <w:t>DOCUMENTAL PÚBLICA PRIMERA. Consistente en la copia certificada de la Escritura Pública de Propiedad inscripción 242044 a foja 174 a 177, del Tomo 4627 de Escrituras Públicas del Registro Público de la Propiedad y Comercio del Estado, correspondiente a la casa habitación ubicada en el número 163 de la Calle Universidad en el Centro Histórico de la Ciudad de San Luis Potosí S.L.P.”</w:t>
      </w:r>
    </w:p>
    <w:p w14:paraId="76733D63"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3E06EE62" w14:textId="3AD63894" w:rsidR="00B672EC" w:rsidRPr="00B672EC" w:rsidRDefault="00810EE1" w:rsidP="00B672EC">
      <w:pPr>
        <w:spacing w:after="0" w:line="240" w:lineRule="auto"/>
        <w:ind w:left="567" w:right="618"/>
        <w:jc w:val="both"/>
        <w:rPr>
          <w:rFonts w:ascii="Arial Narrow" w:hAnsi="Arial Narrow" w:cs="Arial"/>
          <w:bCs/>
          <w:i/>
          <w:iCs/>
          <w:sz w:val="24"/>
          <w:szCs w:val="24"/>
        </w:rPr>
      </w:pPr>
      <w:proofErr w:type="gramStart"/>
      <w:r>
        <w:rPr>
          <w:rFonts w:ascii="Arial Narrow" w:hAnsi="Arial Narrow" w:cs="Arial"/>
          <w:bCs/>
          <w:i/>
          <w:iCs/>
          <w:sz w:val="24"/>
          <w:szCs w:val="24"/>
        </w:rPr>
        <w:t>3.</w:t>
      </w:r>
      <w:r w:rsidR="00B672EC" w:rsidRPr="00B672EC">
        <w:rPr>
          <w:rFonts w:ascii="Arial Narrow" w:hAnsi="Arial Narrow" w:cs="Arial"/>
          <w:bCs/>
          <w:i/>
          <w:iCs/>
          <w:sz w:val="24"/>
          <w:szCs w:val="24"/>
        </w:rPr>
        <w:t>“</w:t>
      </w:r>
      <w:proofErr w:type="gramEnd"/>
      <w:r w:rsidR="00B672EC" w:rsidRPr="00B672EC">
        <w:rPr>
          <w:rFonts w:ascii="Arial Narrow" w:hAnsi="Arial Narrow" w:cs="Arial"/>
          <w:bCs/>
          <w:i/>
          <w:iCs/>
          <w:sz w:val="24"/>
          <w:szCs w:val="24"/>
        </w:rPr>
        <w:t>DOCUMENTAL PÚBLICA SEGUNDA. Consistente en INVITACION con número de folio 02011770300602 para el pago del Impuesto Predial correspondiente al año 2009 respecto del bien inmueble ubicado en la Calle Universidad número 163 Zona Centro en esta Ciudad y en el que se refiere el tipo de suelo HABITACIONAL.”</w:t>
      </w:r>
    </w:p>
    <w:p w14:paraId="2AF40357"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6E30DCFF" w14:textId="48669207" w:rsidR="00B672EC" w:rsidRPr="00B672EC" w:rsidRDefault="00810EE1" w:rsidP="00B672EC">
      <w:pPr>
        <w:spacing w:after="0" w:line="240" w:lineRule="auto"/>
        <w:ind w:left="567" w:right="618"/>
        <w:jc w:val="both"/>
        <w:rPr>
          <w:rFonts w:ascii="Arial Narrow" w:hAnsi="Arial Narrow" w:cs="Arial"/>
          <w:bCs/>
          <w:i/>
          <w:iCs/>
          <w:sz w:val="24"/>
          <w:szCs w:val="24"/>
        </w:rPr>
      </w:pPr>
      <w:proofErr w:type="gramStart"/>
      <w:r>
        <w:rPr>
          <w:rFonts w:ascii="Arial Narrow" w:hAnsi="Arial Narrow" w:cs="Arial"/>
          <w:bCs/>
          <w:i/>
          <w:iCs/>
          <w:sz w:val="24"/>
          <w:szCs w:val="24"/>
        </w:rPr>
        <w:t>4.</w:t>
      </w:r>
      <w:r w:rsidR="00B672EC" w:rsidRPr="00B672EC">
        <w:rPr>
          <w:rFonts w:ascii="Arial Narrow" w:hAnsi="Arial Narrow" w:cs="Arial"/>
          <w:bCs/>
          <w:i/>
          <w:iCs/>
          <w:sz w:val="24"/>
          <w:szCs w:val="24"/>
        </w:rPr>
        <w:t>“</w:t>
      </w:r>
      <w:proofErr w:type="gramEnd"/>
      <w:r w:rsidR="00B672EC" w:rsidRPr="00B672EC">
        <w:rPr>
          <w:rFonts w:ascii="Arial Narrow" w:hAnsi="Arial Narrow" w:cs="Arial"/>
          <w:bCs/>
          <w:i/>
          <w:iCs/>
          <w:sz w:val="24"/>
          <w:szCs w:val="24"/>
        </w:rPr>
        <w:t>DOCUMENTAL PÚBLICA TERCERA. Consistente en INVITACION con número de folio 0201030300194 para el pago del Impuesto Predial correspondiente al año 2018 respecto del bien inmueble ubicado en la Calle Universidad número 163 Zona Centro en esta Ciudad y en el que se refiere el tipo de suelo HABITACIONAL.”</w:t>
      </w:r>
    </w:p>
    <w:p w14:paraId="639B0BE9"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749CF002" w14:textId="63D6F2FC" w:rsidR="00B672EC" w:rsidRDefault="00810EE1" w:rsidP="00B672EC">
      <w:pPr>
        <w:spacing w:after="0" w:line="240" w:lineRule="auto"/>
        <w:ind w:left="567" w:right="618"/>
        <w:jc w:val="both"/>
        <w:rPr>
          <w:rFonts w:ascii="Arial Narrow" w:hAnsi="Arial Narrow" w:cs="Arial"/>
          <w:bCs/>
          <w:i/>
          <w:iCs/>
          <w:sz w:val="24"/>
          <w:szCs w:val="24"/>
        </w:rPr>
      </w:pPr>
      <w:r>
        <w:rPr>
          <w:rFonts w:ascii="Arial Narrow" w:hAnsi="Arial Narrow" w:cs="Arial"/>
          <w:bCs/>
          <w:i/>
          <w:iCs/>
          <w:sz w:val="24"/>
          <w:szCs w:val="24"/>
        </w:rPr>
        <w:t xml:space="preserve">5. </w:t>
      </w:r>
      <w:r w:rsidR="00B672EC" w:rsidRPr="00B672EC">
        <w:rPr>
          <w:rFonts w:ascii="Arial Narrow" w:hAnsi="Arial Narrow" w:cs="Arial"/>
          <w:bCs/>
          <w:i/>
          <w:iCs/>
          <w:sz w:val="24"/>
          <w:szCs w:val="24"/>
        </w:rPr>
        <w:t>DOCUMENTAL PÚBLICA CUARTA. Consistente en INVITACION con número de folio 4200600935409 para el pago del Impuesto Predial correspondiente al año 2022 respecto del bien inmueble ubicado en la Calle Universidad número 163 Zona Centro en esta Ciudad y en el que se refiere el tipo de suelo HABITACIONAL.</w:t>
      </w:r>
    </w:p>
    <w:p w14:paraId="0E5F3754" w14:textId="77777777" w:rsidR="00D401A7" w:rsidRPr="007D18C2" w:rsidRDefault="00D401A7" w:rsidP="00B672EC">
      <w:pPr>
        <w:spacing w:after="0" w:line="240" w:lineRule="auto"/>
        <w:ind w:left="567" w:right="618"/>
        <w:jc w:val="both"/>
        <w:rPr>
          <w:rFonts w:ascii="Arial Narrow" w:hAnsi="Arial Narrow" w:cs="Arial"/>
          <w:bCs/>
          <w:i/>
          <w:iCs/>
          <w:sz w:val="10"/>
          <w:szCs w:val="10"/>
        </w:rPr>
      </w:pPr>
    </w:p>
    <w:p w14:paraId="43B06DA5" w14:textId="48349313" w:rsidR="00B672EC" w:rsidRPr="00B672EC" w:rsidRDefault="00810EE1" w:rsidP="00B672EC">
      <w:pPr>
        <w:spacing w:after="0" w:line="240" w:lineRule="auto"/>
        <w:ind w:left="567" w:right="618"/>
        <w:jc w:val="both"/>
        <w:rPr>
          <w:rFonts w:ascii="Arial Narrow" w:hAnsi="Arial Narrow" w:cs="Arial"/>
          <w:bCs/>
          <w:i/>
          <w:iCs/>
          <w:sz w:val="24"/>
          <w:szCs w:val="24"/>
        </w:rPr>
      </w:pPr>
      <w:r>
        <w:rPr>
          <w:rFonts w:ascii="Arial Narrow" w:hAnsi="Arial Narrow" w:cs="Arial"/>
          <w:bCs/>
          <w:i/>
          <w:iCs/>
          <w:sz w:val="24"/>
          <w:szCs w:val="24"/>
        </w:rPr>
        <w:t xml:space="preserve">6. </w:t>
      </w:r>
      <w:r w:rsidR="00B672EC" w:rsidRPr="00B672EC">
        <w:rPr>
          <w:rFonts w:ascii="Arial Narrow" w:hAnsi="Arial Narrow" w:cs="Arial"/>
          <w:bCs/>
          <w:i/>
          <w:iCs/>
          <w:sz w:val="24"/>
          <w:szCs w:val="24"/>
        </w:rPr>
        <w:t>DOCUMENTAL PÚBLICA QUINTA. Consistente en el ESTADO DE CUENTA FOLIO 0013813, que en original se exhibe adjunto a la presente y que refiere la circunstancia de que el contrato aparece a nombre de VICTORIA MONTELO y el TIPO DE SERVICIO  como COMERCIAL, reflejando un adeudo de $10,428.00  DIEZ MIL CUATROCIENTOS VEINTIOCHO PESOS 00/100 M.N. al día 11 de junio de 2022.”</w:t>
      </w:r>
    </w:p>
    <w:p w14:paraId="626B2297"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431AD7EB" w14:textId="0613182B" w:rsidR="00B672EC" w:rsidRPr="00B672EC" w:rsidRDefault="00810EE1" w:rsidP="00B672EC">
      <w:pPr>
        <w:spacing w:after="0" w:line="240" w:lineRule="auto"/>
        <w:ind w:left="567" w:right="618"/>
        <w:jc w:val="both"/>
        <w:rPr>
          <w:rFonts w:ascii="Arial Narrow" w:hAnsi="Arial Narrow" w:cs="Arial"/>
          <w:bCs/>
          <w:i/>
          <w:iCs/>
          <w:sz w:val="24"/>
          <w:szCs w:val="24"/>
        </w:rPr>
      </w:pPr>
      <w:r>
        <w:rPr>
          <w:rFonts w:ascii="Arial Narrow" w:hAnsi="Arial Narrow" w:cs="Arial"/>
          <w:bCs/>
          <w:i/>
          <w:iCs/>
          <w:sz w:val="24"/>
          <w:szCs w:val="24"/>
        </w:rPr>
        <w:t xml:space="preserve">7. </w:t>
      </w:r>
      <w:r w:rsidR="00B672EC" w:rsidRPr="00B672EC">
        <w:rPr>
          <w:rFonts w:ascii="Arial Narrow" w:hAnsi="Arial Narrow" w:cs="Arial"/>
          <w:bCs/>
          <w:i/>
          <w:iCs/>
          <w:sz w:val="24"/>
          <w:szCs w:val="24"/>
        </w:rPr>
        <w:t>DOCUMENTAL PÚBLICA SEXTA. Consistente en el ESTADO DE CUENTA FOLIO 00387036, que en original se exhibe adjunto a la presente y que refiere la circunstancia de que el contrato aparece a nombre de VICTORIA MONTELO y el TIPO DE SERVICIO  como COMERCIAL, reflejando un adeudo de $10,958.00 DIEZ MIL NOVECIENTOS CINCUENTA Y OCHO PESOS 00/100 M.N. al día 5 de agosto de 2022.”</w:t>
      </w:r>
    </w:p>
    <w:p w14:paraId="77DA1CC6"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058EBFEF"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 xml:space="preserve">Las documentales antes reseñadas en los números 2 al 7, consistentes en copia certificada de la escritura Pública de Propiedad inscripción 242044; en las invitaciones con números de folio 0201030300194, 0201030300194 y 4200600935409, para el pago del Impuesto Predial correspondientes a los años 2009, 2018 y 2022; así como los estado de cuenta y/o recibos de cobro, con folios 0013813 y 00387036, expedidos por el Organismo Intermunicipal Metropolitano de Agua Potable, Alcantarillado, Saneamiento y Servicios Conexos de los Municipios de Cerro de San Pedro, San Luis Potosí y Soledad de Graciano Sánchez; documentales ya señaladas que obran agregadas en fojas de la 11 a la 17 de autos, conforme a lo dispuesto por el artículo 72 fracción I, del Código Procesal Administrativo para el Estado, y </w:t>
      </w:r>
      <w:r w:rsidRPr="00B672EC">
        <w:rPr>
          <w:rFonts w:ascii="Arial Narrow" w:hAnsi="Arial Narrow" w:cs="Arial"/>
          <w:bCs/>
          <w:i/>
          <w:iCs/>
          <w:sz w:val="24"/>
          <w:szCs w:val="24"/>
        </w:rPr>
        <w:lastRenderedPageBreak/>
        <w:t>atendiendo al prudente arbitrio de esta Juzgadora, no prueban la existencia de los actos que el actor impugna, además de que ninguno de ellos se advierte  existencia de una  afectación a los derechos subjetivos de la parte accionante, ya que no reflejan que las demandadas hayan emitido alguna determinación, y/o resolución, en la que expresamente se imponga una tarifa comercial, o en la que, se niegue expresamente conceder el beneficio fiscal, relativo al pago del servicio de agua correspondiente al ejercicio fiscal 2022, y/o en el que se niegue o conceda autorización para cambio de titularidad del contrato de servicio de agua potable, en el domicilio ubicado en, Calle Universidad número 163, Zona Centro en esta Ciudad; como tampoco se advierte, una instancia dirigida por parte de los actores a la autoridad demandada, de ahí que, los elementos de prueba ofrecidos por la parte actora no se vinculan de forma alguna con los actos impugnados, por lo cual, resultan insuficientes para tenerse por acreditada la existencia de los actos impugnados por el actor.</w:t>
      </w:r>
    </w:p>
    <w:p w14:paraId="2592E916" w14:textId="77777777" w:rsidR="00810EE1" w:rsidRPr="007D18C2" w:rsidRDefault="00810EE1" w:rsidP="00B672EC">
      <w:pPr>
        <w:spacing w:after="0" w:line="240" w:lineRule="auto"/>
        <w:ind w:left="567" w:right="618"/>
        <w:jc w:val="both"/>
        <w:rPr>
          <w:rFonts w:ascii="Arial Narrow" w:hAnsi="Arial Narrow" w:cs="Arial"/>
          <w:bCs/>
          <w:i/>
          <w:iCs/>
          <w:sz w:val="10"/>
          <w:szCs w:val="10"/>
        </w:rPr>
      </w:pPr>
    </w:p>
    <w:p w14:paraId="5065EBCC"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Por último, en relación a la prueba confesional expresa, consistente en lo manifestado por la demandada en el escrito de contestación, resulta ser una prueba en contra del actor, dado que expresa y claramente la autoridad demandada, afirma que el actor no se ha presentado para solicitar cambio de tarifa comercial a doméstica, razón la cual no existe acto impugnado ya que la propia actora refiere que es verbal y confiesa que su motivo de cambiar de giro, es para poder tener acceso al Borrón y Cuenta Nueva, autorizado para el ejercicio fiscal 2022; además de que no hay constancia en el presente sumario, que sea susceptible de hacer valor probatorio pleno y acreditar la existencia de los actos que impugna.</w:t>
      </w:r>
    </w:p>
    <w:p w14:paraId="7113BEE2"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1D8ED2C6" w14:textId="0637EC3F"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Lo anterior, nos permite concluir que las pruebas ofrecidas por la parte actora resultan insuficientes para tener por acreditada la existencia de los actos que impugna, del que derive una afectación a los derechos subjetivos del accionante.</w:t>
      </w:r>
    </w:p>
    <w:p w14:paraId="0B38B459"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196B7993" w14:textId="77777777" w:rsidR="00B672EC" w:rsidRPr="00B672EC" w:rsidRDefault="00B672EC" w:rsidP="00B672EC">
      <w:pPr>
        <w:spacing w:after="0" w:line="240" w:lineRule="auto"/>
        <w:ind w:left="567" w:right="618"/>
        <w:jc w:val="both"/>
        <w:rPr>
          <w:rFonts w:ascii="Arial Narrow" w:hAnsi="Arial Narrow" w:cs="Arial"/>
          <w:bCs/>
          <w:i/>
          <w:iCs/>
          <w:sz w:val="24"/>
          <w:szCs w:val="24"/>
        </w:rPr>
      </w:pPr>
      <w:r w:rsidRPr="00B672EC">
        <w:rPr>
          <w:rFonts w:ascii="Arial Narrow" w:hAnsi="Arial Narrow" w:cs="Arial"/>
          <w:bCs/>
          <w:i/>
          <w:iCs/>
          <w:sz w:val="24"/>
          <w:szCs w:val="24"/>
        </w:rPr>
        <w:t xml:space="preserve">Con base en lo anterior, esta Sala Unitaria concluye que se actualiza la causal de sobreseimiento prevista en la fracción V del numeral 229 del Código Procesal Administrativo para el Estado  la Ley de Justicia Administrativa del Estado, </w:t>
      </w:r>
      <w:r w:rsidRPr="00D401A7">
        <w:rPr>
          <w:rFonts w:ascii="Arial Narrow" w:hAnsi="Arial Narrow" w:cs="Arial"/>
          <w:bCs/>
          <w:i/>
          <w:iCs/>
          <w:color w:val="000099"/>
          <w:sz w:val="24"/>
          <w:szCs w:val="24"/>
        </w:rPr>
        <w:t>en razón de que el actor no logro acreditar la existencia de los actos impugnados en el presente asunto, conclusión a la que se arriba, partiendo de la convicción que en este sentido se genera, por el hecho de que la parte actora reclama, la negativa a concederles el beneficio fiscal relativo al pago del servicio de agua potable, tipo doméstico, ejercicio fiscal 2022, en el domicilio que se precisa en la demanda,  así como la negativa a conceder la autorización para el Cambio de titularidad del contrato de servicio doméstico de agua y la arbitraria imposición de una tarifa comercial; sin que logre probar la existencia de los mismos con los medios de prueba aportados en el juicio, máxime que las autoridades demandadas al producir su contestación negaron la existencia de los actos impugnados</w:t>
      </w:r>
      <w:r w:rsidRPr="00B672EC">
        <w:rPr>
          <w:rFonts w:ascii="Arial Narrow" w:hAnsi="Arial Narrow" w:cs="Arial"/>
          <w:bCs/>
          <w:i/>
          <w:iCs/>
          <w:sz w:val="24"/>
          <w:szCs w:val="24"/>
        </w:rPr>
        <w:t>.</w:t>
      </w:r>
    </w:p>
    <w:p w14:paraId="4B23BB91" w14:textId="77777777" w:rsidR="00B672EC" w:rsidRPr="007D18C2" w:rsidRDefault="00B672EC" w:rsidP="00B672EC">
      <w:pPr>
        <w:spacing w:after="0" w:line="240" w:lineRule="auto"/>
        <w:ind w:left="567" w:right="618"/>
        <w:jc w:val="both"/>
        <w:rPr>
          <w:rFonts w:ascii="Arial Narrow" w:hAnsi="Arial Narrow" w:cs="Arial"/>
          <w:bCs/>
          <w:i/>
          <w:iCs/>
          <w:sz w:val="10"/>
          <w:szCs w:val="10"/>
        </w:rPr>
      </w:pPr>
    </w:p>
    <w:p w14:paraId="56326C9E" w14:textId="34DF883C" w:rsidR="00177FB2" w:rsidRPr="00E36430" w:rsidRDefault="00B672EC" w:rsidP="00B672EC">
      <w:pPr>
        <w:spacing w:after="0" w:line="240" w:lineRule="auto"/>
        <w:ind w:left="567" w:right="618"/>
        <w:jc w:val="both"/>
        <w:rPr>
          <w:rFonts w:ascii="Arial Narrow" w:hAnsi="Arial Narrow" w:cs="Arial"/>
          <w:i/>
          <w:sz w:val="24"/>
          <w:szCs w:val="24"/>
        </w:rPr>
      </w:pPr>
      <w:r w:rsidRPr="00B672EC">
        <w:rPr>
          <w:rFonts w:ascii="Arial Narrow" w:hAnsi="Arial Narrow" w:cs="Arial"/>
          <w:bCs/>
          <w:i/>
          <w:iCs/>
          <w:sz w:val="24"/>
          <w:szCs w:val="24"/>
        </w:rPr>
        <w:t xml:space="preserve">Lo anteriormente expuesto permite a esta Sala Unitaria concluir que resulta procedente declarar el sobreseimiento del presente juicio, por inexistencia de los actos impugnados, ello, con fundamento en lo previsto en artículo 229, </w:t>
      </w:r>
      <w:r w:rsidRPr="00B672EC">
        <w:rPr>
          <w:rFonts w:ascii="Arial Narrow" w:hAnsi="Arial Narrow" w:cs="Arial"/>
          <w:bCs/>
          <w:i/>
          <w:iCs/>
          <w:sz w:val="24"/>
          <w:szCs w:val="24"/>
        </w:rPr>
        <w:lastRenderedPageBreak/>
        <w:t>fracción V, del Código Procesal Administrativo para el Estado de San Luis Potosí.</w:t>
      </w:r>
      <w:r w:rsidR="00177FB2" w:rsidRPr="00E36430">
        <w:rPr>
          <w:rFonts w:ascii="Arial Narrow" w:hAnsi="Arial Narrow" w:cs="Arial"/>
          <w:i/>
          <w:sz w:val="24"/>
          <w:szCs w:val="24"/>
        </w:rPr>
        <w:t>”</w:t>
      </w:r>
    </w:p>
    <w:p w14:paraId="677DD67E" w14:textId="5CCFB30F" w:rsidR="00177FB2" w:rsidRPr="001F6F41" w:rsidRDefault="00177FB2" w:rsidP="00177FB2">
      <w:pPr>
        <w:widowControl w:val="0"/>
        <w:spacing w:after="120" w:line="360" w:lineRule="auto"/>
        <w:jc w:val="both"/>
        <w:rPr>
          <w:rFonts w:ascii="Arial" w:hAnsi="Arial" w:cs="Arial"/>
          <w:sz w:val="10"/>
          <w:szCs w:val="10"/>
        </w:rPr>
      </w:pPr>
    </w:p>
    <w:p w14:paraId="619A8B98" w14:textId="77777777" w:rsidR="00177FB2" w:rsidRDefault="00177FB2" w:rsidP="00177FB2">
      <w:pPr>
        <w:pStyle w:val="Prrafodelista"/>
        <w:widowControl w:val="0"/>
        <w:spacing w:after="120" w:line="360" w:lineRule="auto"/>
        <w:ind w:left="0" w:firstLine="851"/>
        <w:jc w:val="both"/>
        <w:rPr>
          <w:rFonts w:ascii="Arial" w:hAnsi="Arial" w:cs="Arial"/>
          <w:sz w:val="28"/>
          <w:szCs w:val="28"/>
        </w:rPr>
      </w:pPr>
      <w:r>
        <w:rPr>
          <w:rFonts w:ascii="Arial" w:hAnsi="Arial" w:cs="Arial"/>
          <w:sz w:val="28"/>
          <w:szCs w:val="28"/>
        </w:rPr>
        <w:t xml:space="preserve">Contra lo anterior decidido, la parte apelante expuso los siguientes agravios. </w:t>
      </w:r>
    </w:p>
    <w:p w14:paraId="6BB85714" w14:textId="77777777" w:rsidR="00F33EF5" w:rsidRDefault="00795337" w:rsidP="00F33EF5">
      <w:pPr>
        <w:pStyle w:val="Prrafodelista"/>
        <w:spacing w:after="0" w:line="240" w:lineRule="auto"/>
        <w:ind w:left="851" w:right="618"/>
        <w:jc w:val="both"/>
        <w:rPr>
          <w:rFonts w:ascii="Arial Narrow" w:hAnsi="Arial Narrow" w:cs="Arial"/>
          <w:b/>
          <w:sz w:val="24"/>
          <w:szCs w:val="24"/>
        </w:rPr>
      </w:pPr>
      <w:r w:rsidRPr="00F33EF5">
        <w:rPr>
          <w:rFonts w:ascii="Arial Narrow" w:hAnsi="Arial Narrow" w:cs="Arial"/>
          <w:sz w:val="24"/>
          <w:szCs w:val="24"/>
        </w:rPr>
        <w:t>“</w:t>
      </w:r>
      <w:r w:rsidRPr="00F33EF5">
        <w:rPr>
          <w:rFonts w:ascii="Arial Narrow" w:hAnsi="Arial Narrow" w:cs="Arial"/>
          <w:b/>
          <w:sz w:val="24"/>
          <w:szCs w:val="24"/>
        </w:rPr>
        <w:t>PRIMERO.</w:t>
      </w:r>
      <w:r w:rsidRPr="00F33EF5">
        <w:rPr>
          <w:rFonts w:ascii="Arial Narrow" w:hAnsi="Arial Narrow" w:cs="Arial"/>
          <w:sz w:val="24"/>
          <w:szCs w:val="24"/>
        </w:rPr>
        <w:t xml:space="preserve"> </w:t>
      </w:r>
      <w:r w:rsidRPr="00F33EF5">
        <w:rPr>
          <w:rFonts w:ascii="Arial Narrow" w:hAnsi="Arial Narrow" w:cs="Arial"/>
          <w:b/>
          <w:sz w:val="24"/>
          <w:szCs w:val="24"/>
        </w:rPr>
        <w:t>RELATIVO A LA INCORRECTA VALORACION DE LAS PRUEBAS DOCUMENTALES APORTADAS EN JUICIO, Y DE MANERA PARTICULAR LAS INVITACIONES Y/O FORMAS DE LIQUIDACION CORRESPONDIENTE AL PAGO DEL IMPUESTO PREDIAL CORRESPONDIENTES A LOS AÑOS 2009,2018 Y 2022.</w:t>
      </w:r>
    </w:p>
    <w:p w14:paraId="63051341" w14:textId="77777777" w:rsidR="00F33EF5" w:rsidRPr="007D18C2" w:rsidRDefault="00F33EF5" w:rsidP="007D18C2">
      <w:pPr>
        <w:spacing w:after="0" w:line="240" w:lineRule="auto"/>
        <w:ind w:left="567" w:right="618"/>
        <w:jc w:val="both"/>
        <w:rPr>
          <w:rFonts w:ascii="Arial Narrow" w:hAnsi="Arial Narrow" w:cs="Arial"/>
          <w:bCs/>
          <w:i/>
          <w:iCs/>
          <w:sz w:val="10"/>
          <w:szCs w:val="10"/>
        </w:rPr>
      </w:pPr>
    </w:p>
    <w:p w14:paraId="0E698E39" w14:textId="19F18EEE" w:rsidR="00795337" w:rsidRPr="00F33EF5" w:rsidRDefault="00795337" w:rsidP="00F33EF5">
      <w:pPr>
        <w:pStyle w:val="Prrafodelista"/>
        <w:spacing w:after="0" w:line="240" w:lineRule="auto"/>
        <w:ind w:left="851" w:right="618"/>
        <w:jc w:val="both"/>
        <w:rPr>
          <w:rFonts w:ascii="Arial Narrow" w:hAnsi="Arial Narrow" w:cs="Arial"/>
          <w:b/>
          <w:sz w:val="24"/>
          <w:szCs w:val="24"/>
        </w:rPr>
      </w:pPr>
      <w:r w:rsidRPr="00F33EF5">
        <w:rPr>
          <w:rFonts w:ascii="Arial Narrow" w:hAnsi="Arial Narrow" w:cs="Arial"/>
          <w:b/>
          <w:sz w:val="24"/>
          <w:szCs w:val="24"/>
        </w:rPr>
        <w:t>Es causa de agravio para la parte actora en juicio,</w:t>
      </w:r>
      <w:r w:rsidRPr="00F33EF5">
        <w:rPr>
          <w:rFonts w:ascii="Arial Narrow" w:hAnsi="Arial Narrow" w:cs="Arial"/>
          <w:sz w:val="24"/>
          <w:szCs w:val="24"/>
        </w:rPr>
        <w:t xml:space="preserve"> el juicio valorativo impuesto en cuanto a:</w:t>
      </w:r>
    </w:p>
    <w:p w14:paraId="60599426" w14:textId="77777777" w:rsidR="00A462D5" w:rsidRPr="007D18C2" w:rsidRDefault="00A462D5" w:rsidP="007D18C2">
      <w:pPr>
        <w:spacing w:after="0" w:line="240" w:lineRule="auto"/>
        <w:ind w:left="567" w:right="618"/>
        <w:jc w:val="both"/>
        <w:rPr>
          <w:rFonts w:ascii="Arial Narrow" w:hAnsi="Arial Narrow" w:cs="Arial"/>
          <w:bCs/>
          <w:i/>
          <w:iCs/>
          <w:sz w:val="10"/>
          <w:szCs w:val="10"/>
        </w:rPr>
      </w:pPr>
    </w:p>
    <w:p w14:paraId="203508D4" w14:textId="10DA7B90" w:rsidR="00F33EF5" w:rsidRPr="00F33EF5" w:rsidRDefault="00A462D5" w:rsidP="00F33EF5">
      <w:pPr>
        <w:pStyle w:val="Prrafodelista"/>
        <w:spacing w:after="0" w:line="240" w:lineRule="auto"/>
        <w:ind w:left="1276" w:right="1185"/>
        <w:jc w:val="both"/>
        <w:rPr>
          <w:rFonts w:ascii="Arial Narrow" w:hAnsi="Arial Narrow" w:cs="Arial"/>
          <w:i/>
          <w:sz w:val="24"/>
          <w:szCs w:val="24"/>
        </w:rPr>
      </w:pPr>
      <w:r>
        <w:rPr>
          <w:rFonts w:ascii="Arial Narrow" w:hAnsi="Arial Narrow" w:cs="Arial"/>
          <w:i/>
          <w:sz w:val="24"/>
          <w:szCs w:val="24"/>
        </w:rPr>
        <w:t>“</w:t>
      </w:r>
      <w:r w:rsidR="00795337" w:rsidRPr="00F33EF5">
        <w:rPr>
          <w:rFonts w:ascii="Arial Narrow" w:hAnsi="Arial Narrow" w:cs="Arial"/>
          <w:i/>
          <w:sz w:val="24"/>
          <w:szCs w:val="24"/>
        </w:rPr>
        <w:t>Las documentales antes reseñadas en los números 2 al 7, consistentes en copia certificada de la escritura Pública de Propiedad inscripción 242044: en las invitaciones con números de folio 0201030300194, 020103030194 y 4200600935409, para el pago del Impuesto Predial correspondientes a los años 2009, 2018 y 2022; así como los estado de cuenta y/o recibos de cobro, con folios 0013813 y 00387036, expedidos por el Organismo Intermunicipal Metropolitano de Agua Potable, Alcantarillado, Saneamiento y Servicios Conexos de los Municipios de Cerro de San Pedro, San Luis Potosí y Soledad de Graciano Sánchez; documentales ya señaladas que obran agregadas en fojas de la 11 a la 17 de autos, conforme a lo dispuesto por el artículo 72 fracción I, del Código Procesal Administrativo para el estado y  atendiendo al prudente arbitrio de esta Juzgadora, no prueban la existencia de los actos que el actor impugna, además de que ninguno de ellos se advierte existencia de una afectación a los derechos subjetivos de la parte accionante, ya que no reflejan que las demandadas hayan emitido alguna determinación, y/o resolución, en la que expresamente se imponga una tarifa comercial, o en la que, se niegue expresamente conceder el beneficio fiscal, relativo al pago del servicio de agua correspondiente al ejercicio fiscal 2022, y/o en el que se niegue o conceda autorización para cambio de titularidad del contrato de servicio de agua potable, en el domicilio ubicado en Calle Universidad número 163, Zona Centro en esta Ciudad; como tampoco se advierte, una instancia dirigida por parte de los actores a la autoridad demandada, de ahí que, los elementos de prueba ofrecidos por la parte actora no se vinculan de forma alguna con los actos impugnados, por lo cual, resultan insuficientes para tenerse por acreditada la existencia de lo</w:t>
      </w:r>
      <w:r w:rsidR="00F33EF5" w:rsidRPr="00F33EF5">
        <w:rPr>
          <w:rFonts w:ascii="Arial Narrow" w:hAnsi="Arial Narrow" w:cs="Arial"/>
          <w:i/>
          <w:sz w:val="24"/>
          <w:szCs w:val="24"/>
        </w:rPr>
        <w:t>s actos impugnados por el actor.</w:t>
      </w:r>
      <w:r>
        <w:rPr>
          <w:rFonts w:ascii="Arial Narrow" w:hAnsi="Arial Narrow" w:cs="Arial"/>
          <w:i/>
          <w:sz w:val="24"/>
          <w:szCs w:val="24"/>
        </w:rPr>
        <w:t>”</w:t>
      </w:r>
    </w:p>
    <w:p w14:paraId="7ED03A5A" w14:textId="77777777" w:rsidR="00F33EF5" w:rsidRPr="00F33EF5" w:rsidRDefault="00F33EF5" w:rsidP="00F33EF5">
      <w:pPr>
        <w:pStyle w:val="Prrafodelista"/>
        <w:spacing w:after="0" w:line="240" w:lineRule="auto"/>
        <w:ind w:left="1134" w:right="1185"/>
        <w:jc w:val="both"/>
        <w:rPr>
          <w:rFonts w:ascii="Arial Narrow" w:hAnsi="Arial Narrow" w:cs="Arial"/>
          <w:i/>
          <w:sz w:val="24"/>
          <w:szCs w:val="24"/>
        </w:rPr>
      </w:pPr>
    </w:p>
    <w:p w14:paraId="5B6DC031" w14:textId="7EEE23A5" w:rsidR="00B94F7D" w:rsidRPr="00D401A7" w:rsidRDefault="00795337" w:rsidP="00B94F7D">
      <w:pPr>
        <w:pStyle w:val="Prrafodelista"/>
        <w:spacing w:after="0" w:line="240" w:lineRule="auto"/>
        <w:ind w:left="709" w:right="618"/>
        <w:jc w:val="both"/>
        <w:rPr>
          <w:rFonts w:ascii="Arial Narrow" w:hAnsi="Arial Narrow" w:cs="Arial"/>
          <w:color w:val="000099"/>
          <w:sz w:val="24"/>
          <w:szCs w:val="24"/>
        </w:rPr>
      </w:pPr>
      <w:r w:rsidRPr="00F33EF5">
        <w:rPr>
          <w:rFonts w:ascii="Arial Narrow" w:hAnsi="Arial Narrow" w:cs="Arial"/>
          <w:sz w:val="24"/>
          <w:szCs w:val="24"/>
        </w:rPr>
        <w:t xml:space="preserve">Con tal razonamiento se </w:t>
      </w:r>
      <w:r w:rsidRPr="00D401A7">
        <w:rPr>
          <w:rFonts w:ascii="Arial Narrow" w:hAnsi="Arial Narrow" w:cs="Arial"/>
          <w:b/>
          <w:color w:val="000099"/>
          <w:sz w:val="24"/>
          <w:szCs w:val="24"/>
        </w:rPr>
        <w:t>desestima la facultad normativa que la Constitución Política de los Estados Unidos Mexicanos en su artículo 115 y la Constitución Local del Estado de San Luis Potosí en su artículo 114 confiere a los Ayuntamientos del Estado de San Luis Potosí</w:t>
      </w:r>
      <w:r w:rsidRPr="00D401A7">
        <w:rPr>
          <w:rFonts w:ascii="Arial Narrow" w:hAnsi="Arial Narrow" w:cs="Arial"/>
          <w:color w:val="000099"/>
          <w:sz w:val="24"/>
          <w:szCs w:val="24"/>
        </w:rPr>
        <w:t xml:space="preserve"> y de manera particular a las oficinas catastrales para </w:t>
      </w:r>
      <w:r w:rsidRPr="00D401A7">
        <w:rPr>
          <w:rFonts w:ascii="Arial Narrow" w:hAnsi="Arial Narrow" w:cs="Arial"/>
          <w:b/>
          <w:color w:val="000099"/>
          <w:sz w:val="24"/>
          <w:szCs w:val="24"/>
        </w:rPr>
        <w:t xml:space="preserve">determinar la clasificación de uso de </w:t>
      </w:r>
      <w:r w:rsidR="00A462D5" w:rsidRPr="00D401A7">
        <w:rPr>
          <w:rFonts w:ascii="Arial Narrow" w:hAnsi="Arial Narrow" w:cs="Arial"/>
          <w:b/>
          <w:color w:val="000099"/>
          <w:sz w:val="24"/>
          <w:szCs w:val="24"/>
        </w:rPr>
        <w:t>suelo</w:t>
      </w:r>
      <w:r w:rsidRPr="00D401A7">
        <w:rPr>
          <w:rFonts w:ascii="Arial Narrow" w:hAnsi="Arial Narrow" w:cs="Arial"/>
          <w:color w:val="000099"/>
          <w:sz w:val="24"/>
          <w:szCs w:val="24"/>
        </w:rPr>
        <w:t xml:space="preserve"> y a partir de ahí imponer los tributos de carácter catastral, sea este habitacional, comercial o industrial, potestad que en ninguna forma le es permitida a la entidad </w:t>
      </w:r>
      <w:r w:rsidRPr="00D401A7">
        <w:rPr>
          <w:rFonts w:ascii="Arial Narrow" w:hAnsi="Arial Narrow" w:cs="Arial"/>
          <w:b/>
          <w:color w:val="000099"/>
          <w:sz w:val="24"/>
          <w:szCs w:val="24"/>
        </w:rPr>
        <w:t>INTERAPAS</w:t>
      </w:r>
      <w:r w:rsidRPr="00D401A7">
        <w:rPr>
          <w:rFonts w:ascii="Arial Narrow" w:hAnsi="Arial Narrow" w:cs="Arial"/>
          <w:color w:val="000099"/>
          <w:sz w:val="24"/>
          <w:szCs w:val="24"/>
        </w:rPr>
        <w:t xml:space="preserve">, pues como </w:t>
      </w:r>
      <w:r w:rsidRPr="00D401A7">
        <w:rPr>
          <w:rFonts w:ascii="Arial Narrow" w:hAnsi="Arial Narrow" w:cs="Arial"/>
          <w:color w:val="000099"/>
          <w:sz w:val="24"/>
          <w:szCs w:val="24"/>
        </w:rPr>
        <w:lastRenderedPageBreak/>
        <w:t>tal es un organismo auxiliar en la prestación de un servicio, que se debe atener como en el caso que nos ocupa a la modalidad de tipo de suelo reconocido por la Autoridad Municipal; así entonces me duelo de la irregular valoración de lo reconocido en forma expresa por la Oficina de Catastro del Municipio de San Luis Potosí, respecto de la casa marcada con el número</w:t>
      </w:r>
      <w:r w:rsidR="00B528A4" w:rsidRPr="00D401A7">
        <w:rPr>
          <w:rFonts w:ascii="Arial Narrow" w:hAnsi="Arial Narrow" w:cs="Arial"/>
          <w:color w:val="000099"/>
          <w:sz w:val="24"/>
          <w:szCs w:val="24"/>
        </w:rPr>
        <w:t xml:space="preserve"> 163 de la Calle Universidad de esta Ciudad.</w:t>
      </w:r>
    </w:p>
    <w:p w14:paraId="05729B4A" w14:textId="77777777" w:rsidR="00B94F7D" w:rsidRPr="007D18C2" w:rsidRDefault="00B94F7D" w:rsidP="007D18C2">
      <w:pPr>
        <w:spacing w:after="0" w:line="240" w:lineRule="auto"/>
        <w:ind w:left="567" w:right="618"/>
        <w:jc w:val="both"/>
        <w:rPr>
          <w:rFonts w:ascii="Arial Narrow" w:hAnsi="Arial Narrow" w:cs="Arial"/>
          <w:bCs/>
          <w:i/>
          <w:iCs/>
          <w:sz w:val="10"/>
          <w:szCs w:val="10"/>
        </w:rPr>
      </w:pPr>
    </w:p>
    <w:p w14:paraId="30772D12" w14:textId="77777777" w:rsidR="00B94F7D" w:rsidRPr="00B528A4" w:rsidRDefault="00795337" w:rsidP="00B94F7D">
      <w:pPr>
        <w:pStyle w:val="Prrafodelista"/>
        <w:spacing w:after="0" w:line="240" w:lineRule="auto"/>
        <w:ind w:left="709" w:right="618"/>
        <w:jc w:val="both"/>
        <w:rPr>
          <w:rFonts w:ascii="Arial Narrow" w:hAnsi="Arial Narrow" w:cs="Arial"/>
          <w:b/>
          <w:sz w:val="24"/>
          <w:szCs w:val="24"/>
        </w:rPr>
      </w:pPr>
      <w:r w:rsidRPr="00B528A4">
        <w:rPr>
          <w:rFonts w:ascii="Arial Narrow" w:hAnsi="Arial Narrow" w:cs="Arial"/>
          <w:b/>
          <w:sz w:val="24"/>
          <w:szCs w:val="24"/>
        </w:rPr>
        <w:t>SEGUNDO. RELATIVO A LA INCORRECTA ESTIMACIÓN DE LA NEGATIVA DE EXISTENCIA DE ACTOS IMPUGNADOS PROFER</w:t>
      </w:r>
      <w:r w:rsidR="00B94F7D" w:rsidRPr="00B528A4">
        <w:rPr>
          <w:rFonts w:ascii="Arial Narrow" w:hAnsi="Arial Narrow" w:cs="Arial"/>
          <w:b/>
          <w:sz w:val="24"/>
          <w:szCs w:val="24"/>
        </w:rPr>
        <w:t>IDA POR LA AUTORIDAD DEMANDADA.</w:t>
      </w:r>
    </w:p>
    <w:p w14:paraId="37E23723" w14:textId="77777777" w:rsidR="00B94F7D" w:rsidRPr="007D18C2" w:rsidRDefault="00B94F7D" w:rsidP="007D18C2">
      <w:pPr>
        <w:spacing w:after="0" w:line="240" w:lineRule="auto"/>
        <w:ind w:left="567" w:right="618"/>
        <w:jc w:val="both"/>
        <w:rPr>
          <w:rFonts w:ascii="Arial Narrow" w:hAnsi="Arial Narrow" w:cs="Arial"/>
          <w:bCs/>
          <w:i/>
          <w:iCs/>
          <w:sz w:val="10"/>
          <w:szCs w:val="10"/>
        </w:rPr>
      </w:pPr>
    </w:p>
    <w:p w14:paraId="19E415F5" w14:textId="77777777" w:rsidR="00B94F7D" w:rsidRDefault="00795337" w:rsidP="00B94F7D">
      <w:pPr>
        <w:pStyle w:val="Prrafodelista"/>
        <w:spacing w:after="0" w:line="240" w:lineRule="auto"/>
        <w:ind w:left="709" w:right="618"/>
        <w:jc w:val="both"/>
        <w:rPr>
          <w:rFonts w:ascii="Arial Narrow" w:hAnsi="Arial Narrow" w:cs="Arial"/>
          <w:sz w:val="24"/>
          <w:szCs w:val="24"/>
        </w:rPr>
      </w:pPr>
      <w:r w:rsidRPr="00F33EF5">
        <w:rPr>
          <w:rFonts w:ascii="Arial Narrow" w:hAnsi="Arial Narrow" w:cs="Arial"/>
          <w:sz w:val="24"/>
          <w:szCs w:val="24"/>
        </w:rPr>
        <w:t xml:space="preserve">Es causa de </w:t>
      </w:r>
      <w:r w:rsidRPr="00B528A4">
        <w:rPr>
          <w:rFonts w:ascii="Arial Narrow" w:hAnsi="Arial Narrow" w:cs="Arial"/>
          <w:b/>
          <w:sz w:val="24"/>
          <w:szCs w:val="24"/>
        </w:rPr>
        <w:t>Agravio para el suscrito</w:t>
      </w:r>
      <w:r w:rsidRPr="00F33EF5">
        <w:rPr>
          <w:rFonts w:ascii="Arial Narrow" w:hAnsi="Arial Narrow" w:cs="Arial"/>
          <w:sz w:val="24"/>
          <w:szCs w:val="24"/>
        </w:rPr>
        <w:t>, lo resuelto por esta Autoridad Admin</w:t>
      </w:r>
      <w:r w:rsidR="00B94F7D">
        <w:rPr>
          <w:rFonts w:ascii="Arial Narrow" w:hAnsi="Arial Narrow" w:cs="Arial"/>
          <w:sz w:val="24"/>
          <w:szCs w:val="24"/>
        </w:rPr>
        <w:t>istrativa en lo que respecta a:</w:t>
      </w:r>
    </w:p>
    <w:p w14:paraId="7C6A0371" w14:textId="77777777" w:rsidR="00B94F7D" w:rsidRPr="007D18C2" w:rsidRDefault="00B94F7D" w:rsidP="007D18C2">
      <w:pPr>
        <w:spacing w:after="0" w:line="240" w:lineRule="auto"/>
        <w:ind w:left="567" w:right="618"/>
        <w:jc w:val="both"/>
        <w:rPr>
          <w:rFonts w:ascii="Arial Narrow" w:hAnsi="Arial Narrow" w:cs="Arial"/>
          <w:bCs/>
          <w:i/>
          <w:iCs/>
          <w:sz w:val="10"/>
          <w:szCs w:val="10"/>
        </w:rPr>
      </w:pPr>
    </w:p>
    <w:p w14:paraId="0A091946" w14:textId="1FE3BD9E" w:rsidR="00B528A4" w:rsidRDefault="00A462D5" w:rsidP="00B528A4">
      <w:pPr>
        <w:pStyle w:val="Prrafodelista"/>
        <w:tabs>
          <w:tab w:val="left" w:pos="7088"/>
        </w:tabs>
        <w:spacing w:after="0" w:line="240" w:lineRule="auto"/>
        <w:ind w:left="993" w:right="901"/>
        <w:jc w:val="both"/>
        <w:rPr>
          <w:rFonts w:ascii="Arial Narrow" w:hAnsi="Arial Narrow" w:cs="Arial"/>
          <w:i/>
          <w:sz w:val="24"/>
          <w:szCs w:val="24"/>
        </w:rPr>
      </w:pPr>
      <w:r>
        <w:rPr>
          <w:rFonts w:ascii="Arial Narrow" w:hAnsi="Arial Narrow" w:cs="Arial"/>
          <w:i/>
          <w:sz w:val="24"/>
          <w:szCs w:val="24"/>
        </w:rPr>
        <w:t>“</w:t>
      </w:r>
      <w:r w:rsidR="00795337" w:rsidRPr="00B94F7D">
        <w:rPr>
          <w:rFonts w:ascii="Arial Narrow" w:hAnsi="Arial Narrow" w:cs="Arial"/>
          <w:i/>
          <w:sz w:val="24"/>
          <w:szCs w:val="24"/>
        </w:rPr>
        <w:t>Por último, en relación a la prueba confesional expresa, consistente en lo manifestado por la demandada en el escrito de contestación, resulta ser una prueba en contra del actor, dado que expresa y claramente la autoridad demandada, afirma que el actor no se ha presentado para solicitar cambio de tarifa comercial a doméstica, razón la cual no existe acto impugnado ya que la propia actora refiere que es verbal y confiesa que su motivo de cambiar de giro, es para poder tener acceso al Borrón y Cuenta Nueva, autorizado para el ejercicio fiscal 2022; además de que no hay constancia en el presente sumario, que sea susceptible de hacer valor probatorio pleno y acreditar la existencia de los actos que impugna.</w:t>
      </w:r>
    </w:p>
    <w:p w14:paraId="2183FBE8" w14:textId="77777777" w:rsidR="00B528A4" w:rsidRPr="007D18C2" w:rsidRDefault="00B528A4" w:rsidP="007D18C2">
      <w:pPr>
        <w:spacing w:after="0" w:line="240" w:lineRule="auto"/>
        <w:ind w:left="567" w:right="618"/>
        <w:jc w:val="both"/>
        <w:rPr>
          <w:rFonts w:ascii="Arial Narrow" w:hAnsi="Arial Narrow" w:cs="Arial"/>
          <w:bCs/>
          <w:i/>
          <w:iCs/>
          <w:sz w:val="10"/>
          <w:szCs w:val="10"/>
        </w:rPr>
      </w:pPr>
    </w:p>
    <w:p w14:paraId="75D41BA0" w14:textId="77777777" w:rsidR="00B528A4" w:rsidRDefault="00795337" w:rsidP="00B528A4">
      <w:pPr>
        <w:pStyle w:val="Prrafodelista"/>
        <w:tabs>
          <w:tab w:val="left" w:pos="7088"/>
        </w:tabs>
        <w:spacing w:after="0" w:line="240" w:lineRule="auto"/>
        <w:ind w:left="993" w:right="901"/>
        <w:jc w:val="both"/>
        <w:rPr>
          <w:rFonts w:ascii="Arial Narrow" w:hAnsi="Arial Narrow" w:cs="Arial"/>
          <w:i/>
          <w:sz w:val="24"/>
          <w:szCs w:val="24"/>
        </w:rPr>
      </w:pPr>
      <w:r w:rsidRPr="00B94F7D">
        <w:rPr>
          <w:rFonts w:ascii="Arial Narrow" w:hAnsi="Arial Narrow" w:cs="Arial"/>
          <w:i/>
          <w:sz w:val="24"/>
          <w:szCs w:val="24"/>
        </w:rPr>
        <w:t>Lo anterior, nos permite concluir que las pruebas ofrecidas por la parte actora r</w:t>
      </w:r>
      <w:r w:rsidR="00F33EF5" w:rsidRPr="00B94F7D">
        <w:rPr>
          <w:rFonts w:ascii="Arial Narrow" w:hAnsi="Arial Narrow" w:cs="Arial"/>
          <w:i/>
          <w:sz w:val="24"/>
          <w:szCs w:val="24"/>
        </w:rPr>
        <w:t>esul</w:t>
      </w:r>
      <w:r w:rsidRPr="00B94F7D">
        <w:rPr>
          <w:rFonts w:ascii="Arial Narrow" w:hAnsi="Arial Narrow" w:cs="Arial"/>
          <w:i/>
          <w:sz w:val="24"/>
          <w:szCs w:val="24"/>
        </w:rPr>
        <w:t>tan insuficientes para tener por acreditada la existenc</w:t>
      </w:r>
      <w:r w:rsidR="00F33EF5" w:rsidRPr="00B94F7D">
        <w:rPr>
          <w:rFonts w:ascii="Arial Narrow" w:hAnsi="Arial Narrow" w:cs="Arial"/>
          <w:i/>
          <w:sz w:val="24"/>
          <w:szCs w:val="24"/>
        </w:rPr>
        <w:t>ia de los actos que impugna, del</w:t>
      </w:r>
      <w:r w:rsidRPr="00B94F7D">
        <w:rPr>
          <w:rFonts w:ascii="Arial Narrow" w:hAnsi="Arial Narrow" w:cs="Arial"/>
          <w:i/>
          <w:sz w:val="24"/>
          <w:szCs w:val="24"/>
        </w:rPr>
        <w:t xml:space="preserve"> que derive una afectación a los dere</w:t>
      </w:r>
      <w:r w:rsidR="00B528A4">
        <w:rPr>
          <w:rFonts w:ascii="Arial Narrow" w:hAnsi="Arial Narrow" w:cs="Arial"/>
          <w:i/>
          <w:sz w:val="24"/>
          <w:szCs w:val="24"/>
        </w:rPr>
        <w:t>chos subjetivos del accionante.</w:t>
      </w:r>
    </w:p>
    <w:p w14:paraId="33871F93" w14:textId="77777777" w:rsidR="00B528A4" w:rsidRPr="007D18C2" w:rsidRDefault="00B528A4" w:rsidP="007D18C2">
      <w:pPr>
        <w:spacing w:after="0" w:line="240" w:lineRule="auto"/>
        <w:ind w:left="567" w:right="618"/>
        <w:jc w:val="both"/>
        <w:rPr>
          <w:rFonts w:ascii="Arial Narrow" w:hAnsi="Arial Narrow" w:cs="Arial"/>
          <w:bCs/>
          <w:i/>
          <w:iCs/>
          <w:sz w:val="10"/>
          <w:szCs w:val="10"/>
        </w:rPr>
      </w:pPr>
    </w:p>
    <w:p w14:paraId="196B73C1" w14:textId="502EDA1F" w:rsidR="00B528A4" w:rsidRDefault="00B528A4" w:rsidP="00B528A4">
      <w:pPr>
        <w:pStyle w:val="Prrafodelista"/>
        <w:tabs>
          <w:tab w:val="left" w:pos="7088"/>
        </w:tabs>
        <w:spacing w:after="0" w:line="240" w:lineRule="auto"/>
        <w:ind w:left="993" w:right="901"/>
        <w:jc w:val="both"/>
        <w:rPr>
          <w:rFonts w:ascii="Arial Narrow" w:hAnsi="Arial Narrow" w:cs="Arial"/>
          <w:i/>
          <w:sz w:val="24"/>
          <w:szCs w:val="24"/>
        </w:rPr>
      </w:pPr>
      <w:r w:rsidRPr="00B528A4">
        <w:rPr>
          <w:rFonts w:ascii="Arial Narrow" w:hAnsi="Arial Narrow" w:cs="Arial"/>
          <w:i/>
          <w:sz w:val="24"/>
          <w:szCs w:val="24"/>
        </w:rPr>
        <w:t xml:space="preserve">Con base en lo anterior, esta Sala Unitaria concluye que se actualiza la causal de sobreseimiento prevista en la fracción V del numeral 229 del Código Procesal Administrativo para el Estado, la Ley de Justicia Administrativa del Estado, </w:t>
      </w:r>
      <w:r w:rsidRPr="00B528A4">
        <w:rPr>
          <w:rFonts w:ascii="Arial Narrow" w:hAnsi="Arial Narrow" w:cs="Arial"/>
          <w:b/>
          <w:i/>
          <w:sz w:val="24"/>
          <w:szCs w:val="24"/>
        </w:rPr>
        <w:t>en razón de que el actor no logro acreditar</w:t>
      </w:r>
      <w:r w:rsidRPr="00B528A4">
        <w:rPr>
          <w:rFonts w:ascii="Arial Narrow" w:hAnsi="Arial Narrow" w:cs="Arial"/>
          <w:i/>
          <w:sz w:val="24"/>
          <w:szCs w:val="24"/>
        </w:rPr>
        <w:t xml:space="preserve"> </w:t>
      </w:r>
      <w:r w:rsidRPr="00B528A4">
        <w:rPr>
          <w:rFonts w:ascii="Arial Narrow" w:hAnsi="Arial Narrow" w:cs="Arial"/>
          <w:b/>
          <w:i/>
          <w:sz w:val="24"/>
          <w:szCs w:val="24"/>
        </w:rPr>
        <w:t>la existencia de los actos impugnados en el presente asunto,</w:t>
      </w:r>
      <w:r w:rsidRPr="00B528A4">
        <w:rPr>
          <w:rFonts w:ascii="Arial Narrow" w:hAnsi="Arial Narrow" w:cs="Arial"/>
          <w:i/>
          <w:sz w:val="24"/>
          <w:szCs w:val="24"/>
        </w:rPr>
        <w:t xml:space="preserve"> conclusión a la que se arriba, partiendo de la convicción que en este sentido se genera, por el hecho de que la parte actora reclama, la negativa a concederles el beneficio fiscal relativo al pago del servicio de agua potable, tipo doméstico, ejercicio fiscal 2022, en el domicilio que se precisa en la demanda, así como la negativa a conceder la autorización para el Cambio de titularidad del contrato de servicio doméstico de agua y la arbitraria imposición de una tarifa comercial; sin que logre probar la existencia de los mismo con los medios de prueba aportados en el juico, máxime que las autoridades demandadas al</w:t>
      </w:r>
      <w:r>
        <w:rPr>
          <w:rFonts w:ascii="Arial Narrow" w:hAnsi="Arial Narrow" w:cs="Arial"/>
          <w:i/>
          <w:sz w:val="24"/>
          <w:szCs w:val="24"/>
        </w:rPr>
        <w:t xml:space="preserve"> </w:t>
      </w:r>
      <w:r w:rsidRPr="00B528A4">
        <w:rPr>
          <w:rFonts w:ascii="Arial Narrow" w:hAnsi="Arial Narrow" w:cs="Arial"/>
          <w:i/>
          <w:sz w:val="24"/>
          <w:szCs w:val="24"/>
        </w:rPr>
        <w:t>producir su contestación negaron la existencia de los actos impugnados.</w:t>
      </w:r>
      <w:r>
        <w:rPr>
          <w:rFonts w:ascii="Arial Narrow" w:hAnsi="Arial Narrow" w:cs="Arial"/>
          <w:i/>
          <w:sz w:val="24"/>
          <w:szCs w:val="24"/>
        </w:rPr>
        <w:t xml:space="preserve"> </w:t>
      </w:r>
    </w:p>
    <w:p w14:paraId="40033F4A" w14:textId="77777777" w:rsidR="00B528A4" w:rsidRPr="007D18C2" w:rsidRDefault="00B528A4" w:rsidP="007D18C2">
      <w:pPr>
        <w:spacing w:after="0" w:line="240" w:lineRule="auto"/>
        <w:ind w:left="567" w:right="618"/>
        <w:jc w:val="both"/>
        <w:rPr>
          <w:rFonts w:ascii="Arial Narrow" w:hAnsi="Arial Narrow" w:cs="Arial"/>
          <w:bCs/>
          <w:i/>
          <w:iCs/>
          <w:sz w:val="10"/>
          <w:szCs w:val="10"/>
        </w:rPr>
      </w:pPr>
    </w:p>
    <w:p w14:paraId="0A12FC11" w14:textId="4229F705" w:rsidR="00B94F7D" w:rsidRDefault="00B528A4" w:rsidP="00B528A4">
      <w:pPr>
        <w:pStyle w:val="Prrafodelista"/>
        <w:tabs>
          <w:tab w:val="left" w:pos="7088"/>
        </w:tabs>
        <w:spacing w:after="0" w:line="240" w:lineRule="auto"/>
        <w:ind w:left="993" w:right="901"/>
        <w:jc w:val="both"/>
        <w:rPr>
          <w:rFonts w:ascii="Arial Narrow" w:hAnsi="Arial Narrow" w:cs="Arial"/>
          <w:sz w:val="24"/>
          <w:szCs w:val="24"/>
        </w:rPr>
      </w:pPr>
      <w:r w:rsidRPr="00B528A4">
        <w:rPr>
          <w:rFonts w:ascii="Arial Narrow" w:hAnsi="Arial Narrow" w:cs="Arial"/>
          <w:sz w:val="24"/>
          <w:szCs w:val="24"/>
        </w:rPr>
        <w:t xml:space="preserve">Lo anteriormente expuesto permite a esta Sala Unitaria concluir que resulta procedente declarar el sobreseimiento del presente juicio, por inexistencia de los actos impugnados, ello, con fundamento en </w:t>
      </w:r>
      <w:r w:rsidRPr="00B528A4">
        <w:rPr>
          <w:rFonts w:ascii="Arial Narrow" w:hAnsi="Arial Narrow" w:cs="Arial"/>
          <w:sz w:val="24"/>
          <w:szCs w:val="24"/>
        </w:rPr>
        <w:lastRenderedPageBreak/>
        <w:t>artículo 229, fracción V, del Código Procesal Administrativo para el Estado de San Luis Potosí.</w:t>
      </w:r>
      <w:r w:rsidR="00A84D39">
        <w:rPr>
          <w:rFonts w:ascii="Arial Narrow" w:hAnsi="Arial Narrow" w:cs="Arial"/>
          <w:sz w:val="24"/>
          <w:szCs w:val="24"/>
        </w:rPr>
        <w:t>”</w:t>
      </w:r>
    </w:p>
    <w:p w14:paraId="137D1B78" w14:textId="77777777" w:rsidR="00B528A4" w:rsidRPr="007D18C2" w:rsidRDefault="00B528A4" w:rsidP="007D18C2">
      <w:pPr>
        <w:spacing w:after="0" w:line="240" w:lineRule="auto"/>
        <w:ind w:left="567" w:right="618"/>
        <w:jc w:val="both"/>
        <w:rPr>
          <w:rFonts w:ascii="Arial Narrow" w:hAnsi="Arial Narrow" w:cs="Arial"/>
          <w:bCs/>
          <w:i/>
          <w:iCs/>
          <w:sz w:val="10"/>
          <w:szCs w:val="10"/>
        </w:rPr>
      </w:pPr>
    </w:p>
    <w:p w14:paraId="05549025" w14:textId="6212AC27" w:rsidR="00795337" w:rsidRPr="00D401A7" w:rsidRDefault="00795337" w:rsidP="00B528A4">
      <w:pPr>
        <w:pStyle w:val="Prrafodelista"/>
        <w:spacing w:after="0" w:line="240" w:lineRule="auto"/>
        <w:ind w:right="618" w:hanging="11"/>
        <w:jc w:val="both"/>
        <w:rPr>
          <w:rFonts w:ascii="Arial Narrow" w:hAnsi="Arial Narrow" w:cs="Arial"/>
          <w:color w:val="000099"/>
          <w:sz w:val="24"/>
          <w:szCs w:val="24"/>
        </w:rPr>
      </w:pPr>
      <w:r w:rsidRPr="00F33EF5">
        <w:rPr>
          <w:rFonts w:ascii="Arial Narrow" w:hAnsi="Arial Narrow" w:cs="Arial"/>
          <w:sz w:val="24"/>
          <w:szCs w:val="24"/>
        </w:rPr>
        <w:t xml:space="preserve">Lo anterior </w:t>
      </w:r>
      <w:r w:rsidRPr="00D401A7">
        <w:rPr>
          <w:rFonts w:ascii="Arial Narrow" w:hAnsi="Arial Narrow" w:cs="Arial"/>
          <w:color w:val="000099"/>
          <w:sz w:val="24"/>
          <w:szCs w:val="24"/>
        </w:rPr>
        <w:t xml:space="preserve">violenta </w:t>
      </w:r>
      <w:r w:rsidRPr="00D401A7">
        <w:rPr>
          <w:rFonts w:ascii="Arial Narrow" w:hAnsi="Arial Narrow" w:cs="Arial"/>
          <w:b/>
          <w:color w:val="000099"/>
          <w:sz w:val="24"/>
          <w:szCs w:val="24"/>
        </w:rPr>
        <w:t>el principio lógico jurídico impuesto</w:t>
      </w:r>
      <w:r w:rsidRPr="00D401A7">
        <w:rPr>
          <w:rFonts w:ascii="Arial Narrow" w:hAnsi="Arial Narrow" w:cs="Arial"/>
          <w:color w:val="000099"/>
          <w:sz w:val="24"/>
          <w:szCs w:val="24"/>
        </w:rPr>
        <w:t xml:space="preserve"> por la norma procesa</w:t>
      </w:r>
      <w:r w:rsidR="00B528A4" w:rsidRPr="00D401A7">
        <w:rPr>
          <w:rFonts w:ascii="Arial Narrow" w:hAnsi="Arial Narrow" w:cs="Arial"/>
          <w:color w:val="000099"/>
          <w:sz w:val="24"/>
          <w:szCs w:val="24"/>
        </w:rPr>
        <w:t>l</w:t>
      </w:r>
      <w:r w:rsidRPr="00D401A7">
        <w:rPr>
          <w:rFonts w:ascii="Arial Narrow" w:hAnsi="Arial Narrow" w:cs="Arial"/>
          <w:color w:val="000099"/>
          <w:sz w:val="24"/>
          <w:szCs w:val="24"/>
        </w:rPr>
        <w:t xml:space="preserve">, en cuanto a que la negativa expresada por las </w:t>
      </w:r>
      <w:r w:rsidRPr="00D401A7">
        <w:rPr>
          <w:rFonts w:ascii="Arial Narrow" w:hAnsi="Arial Narrow" w:cs="Arial"/>
          <w:b/>
          <w:color w:val="000099"/>
          <w:sz w:val="24"/>
          <w:szCs w:val="24"/>
        </w:rPr>
        <w:t>AUTORIDADES</w:t>
      </w:r>
      <w:r w:rsidRPr="00D401A7">
        <w:rPr>
          <w:rFonts w:ascii="Arial Narrow" w:hAnsi="Arial Narrow" w:cs="Arial"/>
          <w:color w:val="000099"/>
          <w:sz w:val="24"/>
          <w:szCs w:val="24"/>
        </w:rPr>
        <w:t xml:space="preserve"> aquí demandadas les obligaba a estas a probar que en todo caso han brindado la atención oportuna y comedida al suscrito en mi condición de usuario de un servicio </w:t>
      </w:r>
      <w:r w:rsidR="00B528A4" w:rsidRPr="00D401A7">
        <w:rPr>
          <w:rFonts w:ascii="Arial Narrow" w:hAnsi="Arial Narrow" w:cs="Arial"/>
          <w:color w:val="000099"/>
          <w:sz w:val="24"/>
          <w:szCs w:val="24"/>
        </w:rPr>
        <w:t>público</w:t>
      </w:r>
      <w:r w:rsidRPr="00D401A7">
        <w:rPr>
          <w:rFonts w:ascii="Arial Narrow" w:hAnsi="Arial Narrow" w:cs="Arial"/>
          <w:color w:val="000099"/>
          <w:sz w:val="24"/>
          <w:szCs w:val="24"/>
        </w:rPr>
        <w:t xml:space="preserve"> delegado, como</w:t>
      </w:r>
      <w:r w:rsidR="00F33EF5" w:rsidRPr="00D401A7">
        <w:rPr>
          <w:rFonts w:ascii="Arial Narrow" w:hAnsi="Arial Narrow" w:cs="Arial"/>
          <w:color w:val="000099"/>
          <w:sz w:val="24"/>
          <w:szCs w:val="24"/>
        </w:rPr>
        <w:t xml:space="preserve"> </w:t>
      </w:r>
      <w:r w:rsidRPr="00D401A7">
        <w:rPr>
          <w:rFonts w:ascii="Arial Narrow" w:hAnsi="Arial Narrow" w:cs="Arial"/>
          <w:color w:val="000099"/>
          <w:sz w:val="24"/>
          <w:szCs w:val="24"/>
        </w:rPr>
        <w:t>lo es el agua potable.</w:t>
      </w:r>
    </w:p>
    <w:p w14:paraId="532B770E" w14:textId="77777777" w:rsidR="00B528A4" w:rsidRPr="007D18C2" w:rsidRDefault="00B528A4" w:rsidP="007D18C2">
      <w:pPr>
        <w:spacing w:after="0" w:line="240" w:lineRule="auto"/>
        <w:ind w:left="567" w:right="618"/>
        <w:jc w:val="both"/>
        <w:rPr>
          <w:rFonts w:ascii="Arial Narrow" w:hAnsi="Arial Narrow" w:cs="Arial"/>
          <w:bCs/>
          <w:i/>
          <w:iCs/>
          <w:sz w:val="10"/>
          <w:szCs w:val="10"/>
        </w:rPr>
      </w:pPr>
    </w:p>
    <w:p w14:paraId="1272E64B" w14:textId="77777777" w:rsidR="001520FE" w:rsidRDefault="00795337" w:rsidP="001520FE">
      <w:pPr>
        <w:pStyle w:val="Prrafodelista"/>
        <w:spacing w:after="0" w:line="240" w:lineRule="auto"/>
        <w:ind w:right="618" w:hanging="11"/>
        <w:jc w:val="both"/>
        <w:rPr>
          <w:rFonts w:ascii="Arial Narrow" w:hAnsi="Arial Narrow" w:cs="Arial"/>
          <w:sz w:val="24"/>
          <w:szCs w:val="24"/>
        </w:rPr>
      </w:pPr>
      <w:r w:rsidRPr="00F33EF5">
        <w:rPr>
          <w:rFonts w:ascii="Arial Narrow" w:hAnsi="Arial Narrow" w:cs="Arial"/>
          <w:sz w:val="24"/>
          <w:szCs w:val="24"/>
        </w:rPr>
        <w:t>Pues recalco, que la negativa expresada implícitamente alude el ejercicio de una serie de gestiones como Autoridad prestadora de un servicio público, que como tal se encuentra</w:t>
      </w:r>
      <w:r w:rsidR="00F33EF5" w:rsidRPr="00F33EF5">
        <w:rPr>
          <w:rFonts w:ascii="Arial Narrow" w:hAnsi="Arial Narrow" w:cs="Arial"/>
          <w:sz w:val="24"/>
          <w:szCs w:val="24"/>
        </w:rPr>
        <w:t xml:space="preserve"> </w:t>
      </w:r>
      <w:r w:rsidRPr="00F33EF5">
        <w:rPr>
          <w:rFonts w:ascii="Arial Narrow" w:hAnsi="Arial Narrow" w:cs="Arial"/>
          <w:sz w:val="24"/>
          <w:szCs w:val="24"/>
        </w:rPr>
        <w:t>sujeta a los principios de legalidad y oportunidad.</w:t>
      </w:r>
    </w:p>
    <w:p w14:paraId="6AE10C7B" w14:textId="77777777" w:rsidR="001520FE" w:rsidRPr="007D18C2" w:rsidRDefault="001520FE" w:rsidP="007D18C2">
      <w:pPr>
        <w:spacing w:after="0" w:line="240" w:lineRule="auto"/>
        <w:ind w:left="567" w:right="618"/>
        <w:jc w:val="both"/>
        <w:rPr>
          <w:rFonts w:ascii="Arial Narrow" w:hAnsi="Arial Narrow" w:cs="Arial"/>
          <w:sz w:val="10"/>
          <w:szCs w:val="10"/>
        </w:rPr>
      </w:pPr>
    </w:p>
    <w:p w14:paraId="2212E419" w14:textId="5CF98145" w:rsidR="00795337" w:rsidRPr="00F33EF5" w:rsidRDefault="00795337" w:rsidP="001520FE">
      <w:pPr>
        <w:pStyle w:val="Prrafodelista"/>
        <w:spacing w:after="0" w:line="240" w:lineRule="auto"/>
        <w:ind w:right="618" w:hanging="11"/>
        <w:jc w:val="both"/>
        <w:rPr>
          <w:rFonts w:ascii="Arial Narrow" w:hAnsi="Arial Narrow" w:cs="Arial"/>
          <w:sz w:val="24"/>
          <w:szCs w:val="24"/>
        </w:rPr>
      </w:pPr>
      <w:r w:rsidRPr="00F33EF5">
        <w:rPr>
          <w:rFonts w:ascii="Arial Narrow" w:hAnsi="Arial Narrow" w:cs="Arial"/>
          <w:sz w:val="24"/>
          <w:szCs w:val="24"/>
        </w:rPr>
        <w:t>Invocando en pro de este argumento, la Tesis de Jurisprudencia que anota:</w:t>
      </w:r>
    </w:p>
    <w:p w14:paraId="6FF5C99F" w14:textId="222E501F" w:rsidR="00795337" w:rsidRPr="00B528A4" w:rsidRDefault="00795337" w:rsidP="00B528A4">
      <w:pPr>
        <w:pStyle w:val="Prrafodelista"/>
        <w:spacing w:after="0" w:line="240" w:lineRule="auto"/>
        <w:ind w:left="1560" w:right="1185" w:firstLine="11"/>
        <w:jc w:val="both"/>
        <w:rPr>
          <w:rFonts w:ascii="Arial Narrow" w:hAnsi="Arial Narrow" w:cs="Arial"/>
          <w:b/>
          <w:i/>
          <w:sz w:val="24"/>
          <w:szCs w:val="24"/>
        </w:rPr>
      </w:pPr>
      <w:r w:rsidRPr="00B528A4">
        <w:rPr>
          <w:rFonts w:ascii="Arial Narrow" w:hAnsi="Arial Narrow" w:cs="Arial"/>
          <w:b/>
          <w:i/>
          <w:sz w:val="24"/>
          <w:szCs w:val="24"/>
        </w:rPr>
        <w:t>Registro digital: 200918. Instancia: Primera Sala. Décima Época. Materias(s): Común.</w:t>
      </w:r>
      <w:r w:rsidR="00F33EF5" w:rsidRPr="00B528A4">
        <w:rPr>
          <w:rFonts w:ascii="Arial Narrow" w:hAnsi="Arial Narrow" w:cs="Arial"/>
          <w:b/>
          <w:i/>
          <w:sz w:val="24"/>
          <w:szCs w:val="24"/>
        </w:rPr>
        <w:t xml:space="preserve"> </w:t>
      </w:r>
      <w:r w:rsidRPr="00B528A4">
        <w:rPr>
          <w:rFonts w:ascii="Arial Narrow" w:hAnsi="Arial Narrow" w:cs="Arial"/>
          <w:b/>
          <w:i/>
          <w:sz w:val="24"/>
          <w:szCs w:val="24"/>
        </w:rPr>
        <w:t>Tesis: 1a. CLXXV/2015 (10a.). Fuente: Gaceta del Semanario Judicial de la</w:t>
      </w:r>
      <w:r w:rsidR="00F33EF5" w:rsidRPr="00B528A4">
        <w:rPr>
          <w:rFonts w:ascii="Arial Narrow" w:hAnsi="Arial Narrow" w:cs="Arial"/>
          <w:b/>
          <w:i/>
          <w:sz w:val="24"/>
          <w:szCs w:val="24"/>
        </w:rPr>
        <w:t xml:space="preserve"> </w:t>
      </w:r>
      <w:r w:rsidRPr="00B528A4">
        <w:rPr>
          <w:rFonts w:ascii="Arial Narrow" w:hAnsi="Arial Narrow" w:cs="Arial"/>
          <w:b/>
          <w:i/>
          <w:sz w:val="24"/>
          <w:szCs w:val="24"/>
        </w:rPr>
        <w:t>Federación. Libro 18, Mayo de 2015, Tomo I., página 392. Tipo: Aislada.</w:t>
      </w:r>
    </w:p>
    <w:p w14:paraId="58838AE2" w14:textId="77777777" w:rsidR="00B528A4" w:rsidRDefault="00B528A4" w:rsidP="00B528A4">
      <w:pPr>
        <w:pStyle w:val="Prrafodelista"/>
        <w:spacing w:after="0" w:line="240" w:lineRule="auto"/>
        <w:ind w:left="1560" w:right="1185" w:firstLine="11"/>
        <w:jc w:val="both"/>
        <w:rPr>
          <w:rFonts w:ascii="Arial Narrow" w:hAnsi="Arial Narrow" w:cs="Arial"/>
          <w:i/>
          <w:sz w:val="24"/>
          <w:szCs w:val="24"/>
        </w:rPr>
      </w:pPr>
    </w:p>
    <w:p w14:paraId="3A247DAE" w14:textId="7F654E30" w:rsidR="00F33EF5" w:rsidRPr="00B528A4" w:rsidRDefault="00F33EF5" w:rsidP="00B528A4">
      <w:pPr>
        <w:pStyle w:val="Prrafodelista"/>
        <w:spacing w:after="0" w:line="240" w:lineRule="auto"/>
        <w:ind w:left="1560" w:right="1185" w:firstLine="11"/>
        <w:jc w:val="both"/>
        <w:rPr>
          <w:rFonts w:ascii="Arial Narrow" w:hAnsi="Arial Narrow" w:cs="Arial"/>
          <w:i/>
          <w:sz w:val="24"/>
          <w:szCs w:val="24"/>
        </w:rPr>
      </w:pPr>
      <w:r w:rsidRPr="00B528A4">
        <w:rPr>
          <w:rFonts w:ascii="Arial Narrow" w:hAnsi="Arial Narrow" w:cs="Arial"/>
          <w:b/>
          <w:i/>
          <w:sz w:val="24"/>
          <w:szCs w:val="24"/>
        </w:rPr>
        <w:t>ACTO RECLAMADO. SI CONSISTE EN LA FALTA DE EJERCICIO DE LAS FACULTADES DE LA AUTORIDAD, SE GENERA UNA PRESUNCIÓN DE INCONSTITUCIONALIDAD QUE ÉSTA DEBE DESVIRTUAR.</w:t>
      </w:r>
      <w:r w:rsidRPr="00B528A4">
        <w:rPr>
          <w:rFonts w:ascii="Arial Narrow" w:hAnsi="Arial Narrow" w:cs="Arial"/>
          <w:i/>
          <w:sz w:val="24"/>
          <w:szCs w:val="24"/>
        </w:rPr>
        <w:t xml:space="preserve"> El artículo 149 de la Ley de Amparo abrogada prevé que cuando la autoridad responsable no rinda su informe con justificación, se presumirá cierto el acto reclamado, salvo prueba en contrario, quedando a cargo del quejoso demostrar la inconstitucionalidad de dicho acto, salvo que sea violatorio de garantías en sí mismo, pues en ese caso la carga de la prueba se revierte a las autoridades para demostrar su constitucionalidad. En esas condiciones, cuando en el juicio de amparo se reclama que la autoridad no ha desplegado sus facultades, se genera una presunción de inconstitucionalidad que ésta debe desvirtuar. Así, dicho acto tiene el carácter de omisivo, lo cual implica un hecho negativo, es decir, que la autoridad no ha realizado algo, por lo que debe acompañar las pruebas necesarias que acrediten el debido ejercicio de su facultad, esto, en concordancia con el artículo 82 del Código Federal de Procedimientos</w:t>
      </w:r>
      <w:r w:rsidR="00B528A4">
        <w:rPr>
          <w:rFonts w:ascii="Arial Narrow" w:hAnsi="Arial Narrow" w:cs="Arial"/>
          <w:i/>
          <w:sz w:val="24"/>
          <w:szCs w:val="24"/>
        </w:rPr>
        <w:t xml:space="preserve"> </w:t>
      </w:r>
      <w:r w:rsidRPr="00B528A4">
        <w:rPr>
          <w:rFonts w:ascii="Arial Narrow" w:hAnsi="Arial Narrow" w:cs="Arial"/>
          <w:i/>
          <w:sz w:val="24"/>
          <w:szCs w:val="24"/>
        </w:rPr>
        <w:t>Civiles, de aplicación supletoria, en atención al artículo 2o. de la Ley de Amparo, en el que se precisa que el que niega sólo está obligado a probar, cuando la negación envuelva la afirmación expresa de un hecho, por lo que en este tipo de actos, si el quejoso reclama un hecho negativo consistente en la falta de ejercicio de sus facultades, es la autoridad quien debe probar lo contrario.</w:t>
      </w:r>
    </w:p>
    <w:p w14:paraId="18924AEF" w14:textId="77777777" w:rsidR="00F33EF5" w:rsidRPr="007D18C2" w:rsidRDefault="00F33EF5" w:rsidP="00B528A4">
      <w:pPr>
        <w:pStyle w:val="Prrafodelista"/>
        <w:spacing w:after="0" w:line="240" w:lineRule="auto"/>
        <w:ind w:left="1560" w:right="1185" w:firstLine="11"/>
        <w:jc w:val="both"/>
        <w:rPr>
          <w:rFonts w:ascii="Arial Narrow" w:hAnsi="Arial Narrow" w:cs="Arial"/>
          <w:i/>
          <w:sz w:val="10"/>
          <w:szCs w:val="10"/>
        </w:rPr>
      </w:pPr>
    </w:p>
    <w:p w14:paraId="7C129144" w14:textId="421B82DF" w:rsidR="00DA4DC8" w:rsidRPr="00B528A4" w:rsidRDefault="00795337" w:rsidP="00B528A4">
      <w:pPr>
        <w:pStyle w:val="Prrafodelista"/>
        <w:spacing w:after="0" w:line="240" w:lineRule="auto"/>
        <w:ind w:left="1560" w:right="1185" w:firstLine="11"/>
        <w:jc w:val="both"/>
        <w:rPr>
          <w:rFonts w:ascii="Arial Narrow" w:hAnsi="Arial Narrow" w:cs="Arial"/>
          <w:i/>
          <w:sz w:val="24"/>
          <w:szCs w:val="24"/>
        </w:rPr>
      </w:pPr>
      <w:r w:rsidRPr="00B528A4">
        <w:rPr>
          <w:rFonts w:ascii="Arial Narrow" w:hAnsi="Arial Narrow" w:cs="Arial"/>
          <w:i/>
          <w:sz w:val="24"/>
          <w:szCs w:val="24"/>
        </w:rPr>
        <w:t xml:space="preserve">Amparo en revisión 323/2014. Aprender Primero, A.C. y otra. 11 de marzo de 2015. Cinco votos de los Ministros Arturo Zaldívar Lelo de Larrea, quien reservó su derecho para formular voto concurrente, José Ramón </w:t>
      </w:r>
      <w:proofErr w:type="spellStart"/>
      <w:r w:rsidRPr="00B528A4">
        <w:rPr>
          <w:rFonts w:ascii="Arial Narrow" w:hAnsi="Arial Narrow" w:cs="Arial"/>
          <w:i/>
          <w:sz w:val="24"/>
          <w:szCs w:val="24"/>
        </w:rPr>
        <w:t>Cossio</w:t>
      </w:r>
      <w:proofErr w:type="spellEnd"/>
      <w:r w:rsidRPr="00B528A4">
        <w:rPr>
          <w:rFonts w:ascii="Arial Narrow" w:hAnsi="Arial Narrow" w:cs="Arial"/>
          <w:i/>
          <w:sz w:val="24"/>
          <w:szCs w:val="24"/>
        </w:rPr>
        <w:t xml:space="preserve"> Díaz, quien formuló voto concurrente, Jorge Mario Pardo Rebolledo, Oiga Sánchez Cordero de García Villegas y Alfredo Gutiérrez Ortiz Mena, quien formuló voto concurrente. Ponente: Jorge Mario Pardo Rebolledo. </w:t>
      </w:r>
      <w:r w:rsidRPr="00B528A4">
        <w:rPr>
          <w:rFonts w:ascii="Arial Narrow" w:hAnsi="Arial Narrow" w:cs="Arial"/>
          <w:i/>
          <w:sz w:val="24"/>
          <w:szCs w:val="24"/>
        </w:rPr>
        <w:lastRenderedPageBreak/>
        <w:t>Secretario:</w:t>
      </w:r>
      <w:r w:rsidR="00F33EF5" w:rsidRPr="00B528A4">
        <w:rPr>
          <w:rFonts w:ascii="Arial Narrow" w:hAnsi="Arial Narrow" w:cs="Arial"/>
          <w:i/>
          <w:sz w:val="24"/>
          <w:szCs w:val="24"/>
        </w:rPr>
        <w:t xml:space="preserve"> </w:t>
      </w:r>
      <w:r w:rsidRPr="00B528A4">
        <w:rPr>
          <w:rFonts w:ascii="Arial Narrow" w:hAnsi="Arial Narrow" w:cs="Arial"/>
          <w:i/>
          <w:sz w:val="24"/>
          <w:szCs w:val="24"/>
        </w:rPr>
        <w:t xml:space="preserve">Ricardo Antonio Silva </w:t>
      </w:r>
      <w:proofErr w:type="spellStart"/>
      <w:r w:rsidRPr="00B528A4">
        <w:rPr>
          <w:rFonts w:ascii="Arial Narrow" w:hAnsi="Arial Narrow" w:cs="Arial"/>
          <w:i/>
          <w:sz w:val="24"/>
          <w:szCs w:val="24"/>
        </w:rPr>
        <w:t>Diaz</w:t>
      </w:r>
      <w:proofErr w:type="spellEnd"/>
      <w:r w:rsidRPr="00B528A4">
        <w:rPr>
          <w:rFonts w:ascii="Arial Narrow" w:hAnsi="Arial Narrow" w:cs="Arial"/>
          <w:i/>
          <w:sz w:val="24"/>
          <w:szCs w:val="24"/>
        </w:rPr>
        <w:t>.</w:t>
      </w:r>
      <w:r w:rsidR="00F33EF5" w:rsidRPr="00B528A4">
        <w:rPr>
          <w:rFonts w:ascii="Arial Narrow" w:hAnsi="Arial Narrow" w:cs="Arial"/>
          <w:i/>
          <w:sz w:val="24"/>
          <w:szCs w:val="24"/>
        </w:rPr>
        <w:t xml:space="preserve"> </w:t>
      </w:r>
      <w:r w:rsidRPr="00B528A4">
        <w:rPr>
          <w:rFonts w:ascii="Arial Narrow" w:hAnsi="Arial Narrow" w:cs="Arial"/>
          <w:i/>
          <w:sz w:val="24"/>
          <w:szCs w:val="24"/>
        </w:rPr>
        <w:t>Esta tesis se publicó el viernes 22 de mayo de 2015 a las 09:30 horas en el Semanario</w:t>
      </w:r>
      <w:r w:rsidR="00F33EF5" w:rsidRPr="00B528A4">
        <w:rPr>
          <w:rFonts w:ascii="Arial Narrow" w:hAnsi="Arial Narrow" w:cs="Arial"/>
          <w:i/>
          <w:sz w:val="24"/>
          <w:szCs w:val="24"/>
        </w:rPr>
        <w:t xml:space="preserve"> </w:t>
      </w:r>
      <w:r w:rsidRPr="00B528A4">
        <w:rPr>
          <w:rFonts w:ascii="Arial Narrow" w:hAnsi="Arial Narrow" w:cs="Arial"/>
          <w:i/>
          <w:sz w:val="24"/>
          <w:szCs w:val="24"/>
        </w:rPr>
        <w:t>Judicial de la Federación.</w:t>
      </w:r>
    </w:p>
    <w:p w14:paraId="347888E4" w14:textId="77777777" w:rsidR="00F33EF5" w:rsidRPr="007D18C2" w:rsidRDefault="00F33EF5" w:rsidP="00F33EF5">
      <w:pPr>
        <w:pStyle w:val="Prrafodelista"/>
        <w:spacing w:after="0" w:line="360" w:lineRule="auto"/>
        <w:ind w:right="618" w:firstLine="851"/>
        <w:jc w:val="both"/>
        <w:rPr>
          <w:rFonts w:ascii="Arial Narrow" w:hAnsi="Arial Narrow" w:cs="Arial"/>
          <w:sz w:val="10"/>
          <w:szCs w:val="10"/>
        </w:rPr>
      </w:pPr>
    </w:p>
    <w:p w14:paraId="60A595E0" w14:textId="0BC07AF0" w:rsidR="00967A87" w:rsidRDefault="00D25280" w:rsidP="00967A87">
      <w:pPr>
        <w:autoSpaceDE w:val="0"/>
        <w:autoSpaceDN w:val="0"/>
        <w:adjustRightInd w:val="0"/>
        <w:spacing w:after="0" w:line="360" w:lineRule="auto"/>
        <w:ind w:firstLine="709"/>
        <w:jc w:val="both"/>
        <w:rPr>
          <w:rFonts w:ascii="Arial" w:hAnsi="Arial" w:cs="Arial"/>
          <w:sz w:val="28"/>
          <w:szCs w:val="28"/>
          <w:lang w:eastAsia="es-MX"/>
        </w:rPr>
      </w:pPr>
      <w:r w:rsidRPr="00536B3D">
        <w:rPr>
          <w:rFonts w:ascii="Arial" w:hAnsi="Arial" w:cs="Arial"/>
          <w:sz w:val="28"/>
          <w:szCs w:val="28"/>
        </w:rPr>
        <w:t xml:space="preserve">Como inicialmente se dijo, </w:t>
      </w:r>
      <w:r>
        <w:rPr>
          <w:rFonts w:ascii="Arial" w:hAnsi="Arial" w:cs="Arial"/>
          <w:sz w:val="28"/>
          <w:szCs w:val="28"/>
          <w:lang w:eastAsia="es-MX"/>
        </w:rPr>
        <w:t>a</w:t>
      </w:r>
      <w:r w:rsidRPr="00AF690B">
        <w:rPr>
          <w:rFonts w:ascii="Arial" w:hAnsi="Arial" w:cs="Arial"/>
          <w:sz w:val="28"/>
          <w:szCs w:val="28"/>
          <w:lang w:eastAsia="es-MX"/>
        </w:rPr>
        <w:t xml:space="preserve"> juicio de esta Sala Superior</w:t>
      </w:r>
      <w:r w:rsidRPr="00536B3D">
        <w:rPr>
          <w:rFonts w:ascii="Arial" w:hAnsi="Arial" w:cs="Arial"/>
          <w:sz w:val="28"/>
          <w:szCs w:val="28"/>
        </w:rPr>
        <w:t xml:space="preserve"> devienen </w:t>
      </w:r>
      <w:r>
        <w:rPr>
          <w:rFonts w:ascii="Arial" w:hAnsi="Arial" w:cs="Arial"/>
          <w:b/>
          <w:sz w:val="28"/>
          <w:szCs w:val="28"/>
        </w:rPr>
        <w:t xml:space="preserve">infundados </w:t>
      </w:r>
      <w:r>
        <w:rPr>
          <w:rFonts w:ascii="Arial" w:hAnsi="Arial" w:cs="Arial"/>
          <w:sz w:val="28"/>
          <w:szCs w:val="28"/>
        </w:rPr>
        <w:t xml:space="preserve">los resumidos agravios; </w:t>
      </w:r>
      <w:r w:rsidRPr="000558F6">
        <w:rPr>
          <w:rFonts w:ascii="Arial" w:hAnsi="Arial" w:cs="Arial"/>
          <w:sz w:val="28"/>
          <w:szCs w:val="28"/>
        </w:rPr>
        <w:t>porque se estima ajustado a derecho que se</w:t>
      </w:r>
      <w:r>
        <w:rPr>
          <w:rFonts w:ascii="Arial" w:hAnsi="Arial" w:cs="Arial"/>
          <w:sz w:val="28"/>
          <w:szCs w:val="28"/>
        </w:rPr>
        <w:t xml:space="preserve"> declarara el sobreseimiento</w:t>
      </w:r>
      <w:r w:rsidRPr="000558F6">
        <w:rPr>
          <w:rFonts w:ascii="Arial" w:hAnsi="Arial" w:cs="Arial"/>
          <w:sz w:val="28"/>
          <w:szCs w:val="28"/>
        </w:rPr>
        <w:t xml:space="preserve"> en el </w:t>
      </w:r>
      <w:r>
        <w:rPr>
          <w:rFonts w:ascii="Arial" w:hAnsi="Arial" w:cs="Arial"/>
          <w:sz w:val="28"/>
          <w:szCs w:val="28"/>
        </w:rPr>
        <w:t xml:space="preserve">juicio </w:t>
      </w:r>
      <w:r w:rsidRPr="000558F6">
        <w:rPr>
          <w:rFonts w:ascii="Arial" w:hAnsi="Arial" w:cs="Arial"/>
          <w:sz w:val="28"/>
          <w:szCs w:val="28"/>
        </w:rPr>
        <w:t xml:space="preserve">de nulidad </w:t>
      </w:r>
      <w:r w:rsidR="00194957">
        <w:rPr>
          <w:rFonts w:ascii="Arial" w:hAnsi="Arial" w:cs="Arial"/>
          <w:color w:val="FF0000"/>
          <w:sz w:val="23"/>
          <w:szCs w:val="23"/>
        </w:rPr>
        <w:t>******</w:t>
      </w:r>
      <w:r w:rsidRPr="00D25280">
        <w:rPr>
          <w:rFonts w:ascii="Arial" w:hAnsi="Arial" w:cs="Arial"/>
          <w:sz w:val="28"/>
          <w:szCs w:val="28"/>
        </w:rPr>
        <w:t>/2022/2</w:t>
      </w:r>
      <w:r>
        <w:rPr>
          <w:rFonts w:ascii="Arial" w:hAnsi="Arial" w:cs="Arial"/>
          <w:sz w:val="28"/>
          <w:szCs w:val="28"/>
        </w:rPr>
        <w:t xml:space="preserve">, </w:t>
      </w:r>
      <w:r w:rsidR="00967A87" w:rsidRPr="00AF690B">
        <w:rPr>
          <w:rFonts w:ascii="Arial" w:hAnsi="Arial" w:cs="Arial"/>
          <w:sz w:val="28"/>
          <w:szCs w:val="28"/>
          <w:lang w:eastAsia="es-MX"/>
        </w:rPr>
        <w:t>conforme a las siguientes consideraciones.</w:t>
      </w:r>
    </w:p>
    <w:p w14:paraId="19CF0DB6" w14:textId="77777777" w:rsidR="007D45E3" w:rsidRPr="00D25280" w:rsidRDefault="007D45E3" w:rsidP="00967A87">
      <w:pPr>
        <w:autoSpaceDE w:val="0"/>
        <w:autoSpaceDN w:val="0"/>
        <w:adjustRightInd w:val="0"/>
        <w:spacing w:after="0" w:line="360" w:lineRule="auto"/>
        <w:ind w:firstLine="709"/>
        <w:jc w:val="both"/>
        <w:rPr>
          <w:rFonts w:ascii="Arial" w:hAnsi="Arial" w:cs="Arial"/>
          <w:sz w:val="10"/>
          <w:szCs w:val="10"/>
          <w:lang w:eastAsia="es-MX"/>
        </w:rPr>
      </w:pPr>
    </w:p>
    <w:p w14:paraId="1EA41C1B" w14:textId="0FCC6B57" w:rsidR="00001EAD" w:rsidRPr="00001EAD" w:rsidRDefault="007D45E3" w:rsidP="00001EAD">
      <w:pPr>
        <w:autoSpaceDE w:val="0"/>
        <w:autoSpaceDN w:val="0"/>
        <w:adjustRightInd w:val="0"/>
        <w:spacing w:after="0" w:line="360" w:lineRule="auto"/>
        <w:ind w:firstLine="709"/>
        <w:jc w:val="both"/>
        <w:rPr>
          <w:rFonts w:ascii="Arial" w:hAnsi="Arial" w:cs="Arial"/>
          <w:sz w:val="28"/>
          <w:szCs w:val="28"/>
          <w:lang w:eastAsia="es-MX"/>
        </w:rPr>
      </w:pPr>
      <w:r w:rsidRPr="007D45E3">
        <w:rPr>
          <w:rFonts w:ascii="Arial" w:hAnsi="Arial" w:cs="Arial"/>
          <w:sz w:val="28"/>
          <w:szCs w:val="28"/>
          <w:lang w:eastAsia="es-MX"/>
        </w:rPr>
        <w:t>En el fallo reclamado, la Magistrada de la Segunda Sala</w:t>
      </w:r>
      <w:r w:rsidR="00001EAD">
        <w:rPr>
          <w:rFonts w:ascii="Arial" w:hAnsi="Arial" w:cs="Arial"/>
          <w:sz w:val="28"/>
          <w:szCs w:val="28"/>
          <w:lang w:eastAsia="es-MX"/>
        </w:rPr>
        <w:t>, determinó que a</w:t>
      </w:r>
      <w:r w:rsidR="00001EAD" w:rsidRPr="00001EAD">
        <w:rPr>
          <w:rFonts w:ascii="Arial" w:hAnsi="Arial" w:cs="Arial"/>
          <w:sz w:val="28"/>
          <w:szCs w:val="28"/>
          <w:lang w:eastAsia="es-MX"/>
        </w:rPr>
        <w:t>ntes de entrar al estudio de los conceptos de impugnación vertidos por la parte actora en su escrito inicial de demanda, e</w:t>
      </w:r>
      <w:r w:rsidR="00001EAD">
        <w:rPr>
          <w:rFonts w:ascii="Arial" w:hAnsi="Arial" w:cs="Arial"/>
          <w:sz w:val="28"/>
          <w:szCs w:val="28"/>
          <w:lang w:eastAsia="es-MX"/>
        </w:rPr>
        <w:t>ra</w:t>
      </w:r>
      <w:r w:rsidR="00001EAD" w:rsidRPr="00001EAD">
        <w:rPr>
          <w:rFonts w:ascii="Arial" w:hAnsi="Arial" w:cs="Arial"/>
          <w:sz w:val="28"/>
          <w:szCs w:val="28"/>
          <w:lang w:eastAsia="es-MX"/>
        </w:rPr>
        <w:t xml:space="preserve"> necesario establecer si en el </w:t>
      </w:r>
      <w:r w:rsidR="00001EAD">
        <w:rPr>
          <w:rFonts w:ascii="Arial" w:hAnsi="Arial" w:cs="Arial"/>
          <w:sz w:val="28"/>
          <w:szCs w:val="28"/>
          <w:lang w:eastAsia="es-MX"/>
        </w:rPr>
        <w:t>juicio génesis</w:t>
      </w:r>
      <w:r w:rsidR="00001EAD" w:rsidRPr="00001EAD">
        <w:rPr>
          <w:rFonts w:ascii="Arial" w:hAnsi="Arial" w:cs="Arial"/>
          <w:sz w:val="28"/>
          <w:szCs w:val="28"/>
          <w:lang w:eastAsia="es-MX"/>
        </w:rPr>
        <w:t xml:space="preserve"> se actualiza</w:t>
      </w:r>
      <w:r w:rsidR="00001EAD">
        <w:rPr>
          <w:rFonts w:ascii="Arial" w:hAnsi="Arial" w:cs="Arial"/>
          <w:sz w:val="28"/>
          <w:szCs w:val="28"/>
          <w:lang w:eastAsia="es-MX"/>
        </w:rPr>
        <w:t>ba</w:t>
      </w:r>
      <w:r w:rsidR="00001EAD" w:rsidRPr="00001EAD">
        <w:rPr>
          <w:rFonts w:ascii="Arial" w:hAnsi="Arial" w:cs="Arial"/>
          <w:sz w:val="28"/>
          <w:szCs w:val="28"/>
          <w:lang w:eastAsia="es-MX"/>
        </w:rPr>
        <w:t xml:space="preserve"> una de las causales de improcedencia o sobreseimiento a que se refieren los artículos 228 y 229, del Código Procesal Administrativo para el Estado de San Luis Potosí, que sirv</w:t>
      </w:r>
      <w:r w:rsidR="00001EAD">
        <w:rPr>
          <w:rFonts w:ascii="Arial" w:hAnsi="Arial" w:cs="Arial"/>
          <w:sz w:val="28"/>
          <w:szCs w:val="28"/>
          <w:lang w:eastAsia="es-MX"/>
        </w:rPr>
        <w:t>iera</w:t>
      </w:r>
      <w:r w:rsidR="00001EAD" w:rsidRPr="00001EAD">
        <w:rPr>
          <w:rFonts w:ascii="Arial" w:hAnsi="Arial" w:cs="Arial"/>
          <w:sz w:val="28"/>
          <w:szCs w:val="28"/>
          <w:lang w:eastAsia="es-MX"/>
        </w:rPr>
        <w:t xml:space="preserve"> de base para decretar total o parcialmente el sobreseimiento del juicio, ya sea que lo hagan valer o no las partes; toda vez que se trata</w:t>
      </w:r>
      <w:r w:rsidR="00001EAD">
        <w:rPr>
          <w:rFonts w:ascii="Arial" w:hAnsi="Arial" w:cs="Arial"/>
          <w:sz w:val="28"/>
          <w:szCs w:val="28"/>
          <w:lang w:eastAsia="es-MX"/>
        </w:rPr>
        <w:t>ba</w:t>
      </w:r>
      <w:r w:rsidR="00001EAD" w:rsidRPr="00001EAD">
        <w:rPr>
          <w:rFonts w:ascii="Arial" w:hAnsi="Arial" w:cs="Arial"/>
          <w:sz w:val="28"/>
          <w:szCs w:val="28"/>
          <w:lang w:eastAsia="es-MX"/>
        </w:rPr>
        <w:t xml:space="preserve"> de cuestiones de orden público que se tienen que estudiar de oficio y, cuyo análisis es preferente al del fondo del asunto.</w:t>
      </w:r>
    </w:p>
    <w:p w14:paraId="18D6FDDF" w14:textId="77777777" w:rsidR="00001EAD" w:rsidRPr="00001EAD" w:rsidRDefault="00001EAD" w:rsidP="00001EAD">
      <w:pPr>
        <w:autoSpaceDE w:val="0"/>
        <w:autoSpaceDN w:val="0"/>
        <w:adjustRightInd w:val="0"/>
        <w:spacing w:after="0" w:line="360" w:lineRule="auto"/>
        <w:ind w:firstLine="709"/>
        <w:jc w:val="both"/>
        <w:rPr>
          <w:rFonts w:ascii="Arial" w:hAnsi="Arial" w:cs="Arial"/>
          <w:sz w:val="10"/>
          <w:szCs w:val="10"/>
          <w:lang w:eastAsia="es-MX"/>
        </w:rPr>
      </w:pPr>
    </w:p>
    <w:p w14:paraId="360356D5" w14:textId="0CFFECBF" w:rsidR="00001EAD" w:rsidRDefault="00001EAD" w:rsidP="00001EAD">
      <w:pPr>
        <w:autoSpaceDE w:val="0"/>
        <w:autoSpaceDN w:val="0"/>
        <w:adjustRightInd w:val="0"/>
        <w:spacing w:after="0" w:line="360" w:lineRule="auto"/>
        <w:ind w:firstLine="709"/>
        <w:jc w:val="both"/>
        <w:rPr>
          <w:rFonts w:ascii="Arial" w:hAnsi="Arial" w:cs="Arial"/>
          <w:sz w:val="28"/>
          <w:szCs w:val="28"/>
          <w:lang w:eastAsia="es-MX"/>
        </w:rPr>
      </w:pPr>
      <w:r w:rsidRPr="00001EAD">
        <w:rPr>
          <w:rFonts w:ascii="Arial" w:hAnsi="Arial" w:cs="Arial"/>
          <w:sz w:val="28"/>
          <w:szCs w:val="28"/>
          <w:lang w:eastAsia="es-MX"/>
        </w:rPr>
        <w:t>En ese tenor; de acuerdo a lo que ordena el artículo 228, último párrafo, del Código Procesal Administrativo para e</w:t>
      </w:r>
      <w:r>
        <w:rPr>
          <w:rFonts w:ascii="Arial" w:hAnsi="Arial" w:cs="Arial"/>
          <w:sz w:val="28"/>
          <w:szCs w:val="28"/>
          <w:lang w:eastAsia="es-MX"/>
        </w:rPr>
        <w:t>l Estado de San Luis Potosí, la</w:t>
      </w:r>
      <w:r w:rsidRPr="00001EAD">
        <w:rPr>
          <w:rFonts w:ascii="Arial" w:hAnsi="Arial" w:cs="Arial"/>
          <w:sz w:val="28"/>
          <w:szCs w:val="28"/>
          <w:lang w:eastAsia="es-MX"/>
        </w:rPr>
        <w:t xml:space="preserve"> Sala </w:t>
      </w:r>
      <w:r>
        <w:rPr>
          <w:rFonts w:ascii="Arial" w:hAnsi="Arial" w:cs="Arial"/>
          <w:sz w:val="28"/>
          <w:szCs w:val="28"/>
          <w:lang w:eastAsia="es-MX"/>
        </w:rPr>
        <w:t xml:space="preserve">de origen </w:t>
      </w:r>
      <w:r w:rsidRPr="00001EAD">
        <w:rPr>
          <w:rFonts w:ascii="Arial" w:hAnsi="Arial" w:cs="Arial"/>
          <w:sz w:val="28"/>
          <w:szCs w:val="28"/>
          <w:lang w:eastAsia="es-MX"/>
        </w:rPr>
        <w:t>practicó estudio oficioso de las causales de improcedencia o sobreseimiento, y advirti</w:t>
      </w:r>
      <w:r>
        <w:rPr>
          <w:rFonts w:ascii="Arial" w:hAnsi="Arial" w:cs="Arial"/>
          <w:sz w:val="28"/>
          <w:szCs w:val="28"/>
          <w:lang w:eastAsia="es-MX"/>
        </w:rPr>
        <w:t>ó</w:t>
      </w:r>
      <w:r w:rsidRPr="00001EAD">
        <w:rPr>
          <w:rFonts w:ascii="Arial" w:hAnsi="Arial" w:cs="Arial"/>
          <w:sz w:val="28"/>
          <w:szCs w:val="28"/>
          <w:lang w:eastAsia="es-MX"/>
        </w:rPr>
        <w:t xml:space="preserve"> que se actualiza</w:t>
      </w:r>
      <w:r>
        <w:rPr>
          <w:rFonts w:ascii="Arial" w:hAnsi="Arial" w:cs="Arial"/>
          <w:sz w:val="28"/>
          <w:szCs w:val="28"/>
          <w:lang w:eastAsia="es-MX"/>
        </w:rPr>
        <w:t>ba</w:t>
      </w:r>
      <w:r w:rsidRPr="00001EAD">
        <w:rPr>
          <w:rFonts w:ascii="Arial" w:hAnsi="Arial" w:cs="Arial"/>
          <w:sz w:val="28"/>
          <w:szCs w:val="28"/>
          <w:lang w:eastAsia="es-MX"/>
        </w:rPr>
        <w:t xml:space="preserve"> el sobreseimiento relativo a la inexistencia del acto reclamado, el cual se encuentra previsto en la fracción V del artículo 229 del citado Código</w:t>
      </w:r>
    </w:p>
    <w:p w14:paraId="28E70AB1" w14:textId="77777777" w:rsidR="00001EAD" w:rsidRPr="007D18C2" w:rsidRDefault="00001EAD" w:rsidP="009E3538">
      <w:pPr>
        <w:autoSpaceDE w:val="0"/>
        <w:autoSpaceDN w:val="0"/>
        <w:adjustRightInd w:val="0"/>
        <w:spacing w:after="0" w:line="360" w:lineRule="auto"/>
        <w:ind w:firstLine="709"/>
        <w:jc w:val="both"/>
        <w:rPr>
          <w:rFonts w:ascii="Arial" w:hAnsi="Arial" w:cs="Arial"/>
          <w:sz w:val="10"/>
          <w:szCs w:val="10"/>
          <w:lang w:eastAsia="es-MX"/>
        </w:rPr>
      </w:pPr>
    </w:p>
    <w:p w14:paraId="6B068B46" w14:textId="62AA6DBB" w:rsidR="009E3538" w:rsidRDefault="00001EAD" w:rsidP="009E3538">
      <w:pPr>
        <w:autoSpaceDE w:val="0"/>
        <w:autoSpaceDN w:val="0"/>
        <w:adjustRightInd w:val="0"/>
        <w:spacing w:after="0" w:line="360" w:lineRule="auto"/>
        <w:ind w:firstLine="709"/>
        <w:jc w:val="both"/>
        <w:rPr>
          <w:rFonts w:ascii="Arial" w:hAnsi="Arial" w:cs="Arial"/>
          <w:sz w:val="28"/>
          <w:szCs w:val="28"/>
        </w:rPr>
      </w:pPr>
      <w:r>
        <w:rPr>
          <w:rFonts w:ascii="Arial" w:hAnsi="Arial" w:cs="Arial"/>
          <w:sz w:val="28"/>
          <w:szCs w:val="28"/>
          <w:lang w:eastAsia="es-MX"/>
        </w:rPr>
        <w:lastRenderedPageBreak/>
        <w:t xml:space="preserve">Por ende, </w:t>
      </w:r>
      <w:r w:rsidR="007D45E3" w:rsidRPr="007D45E3">
        <w:rPr>
          <w:rFonts w:ascii="Arial" w:hAnsi="Arial" w:cs="Arial"/>
          <w:sz w:val="28"/>
          <w:szCs w:val="28"/>
          <w:lang w:eastAsia="es-MX"/>
        </w:rPr>
        <w:t xml:space="preserve">resolvió declarar el sobreseimiento del juicio </w:t>
      </w:r>
      <w:r>
        <w:rPr>
          <w:rFonts w:ascii="Arial" w:hAnsi="Arial" w:cs="Arial"/>
          <w:sz w:val="28"/>
          <w:szCs w:val="28"/>
          <w:lang w:eastAsia="es-MX"/>
        </w:rPr>
        <w:t>que nos ocupa</w:t>
      </w:r>
      <w:r w:rsidR="007D45E3" w:rsidRPr="007D45E3">
        <w:rPr>
          <w:rFonts w:ascii="Arial" w:hAnsi="Arial" w:cs="Arial"/>
          <w:sz w:val="28"/>
          <w:szCs w:val="28"/>
          <w:lang w:eastAsia="es-MX"/>
        </w:rPr>
        <w:t xml:space="preserve">, </w:t>
      </w:r>
      <w:r w:rsidR="007D45E3" w:rsidRPr="007D45E3">
        <w:rPr>
          <w:rFonts w:ascii="Arial" w:hAnsi="Arial" w:cs="Arial"/>
          <w:sz w:val="28"/>
          <w:szCs w:val="28"/>
        </w:rPr>
        <w:t>con fundamento en artículo 229, fracción V, del Código Procesal Administrativo para el Estado de San Luis Potosí</w:t>
      </w:r>
      <w:r w:rsidR="007D45E3">
        <w:rPr>
          <w:rFonts w:ascii="Arial" w:hAnsi="Arial" w:cs="Arial"/>
          <w:sz w:val="28"/>
          <w:szCs w:val="28"/>
          <w:lang w:eastAsia="es-MX"/>
        </w:rPr>
        <w:t>,</w:t>
      </w:r>
      <w:r w:rsidR="009E3538">
        <w:rPr>
          <w:rFonts w:ascii="Arial" w:hAnsi="Arial" w:cs="Arial"/>
          <w:sz w:val="28"/>
          <w:szCs w:val="28"/>
          <w:lang w:eastAsia="es-MX"/>
        </w:rPr>
        <w:t xml:space="preserve"> el cual estipula que </w:t>
      </w:r>
      <w:r w:rsidR="009E3538">
        <w:rPr>
          <w:rFonts w:ascii="Arial" w:hAnsi="Arial" w:cs="Arial"/>
          <w:sz w:val="28"/>
          <w:szCs w:val="28"/>
        </w:rPr>
        <w:t>p</w:t>
      </w:r>
      <w:r w:rsidR="009E3538" w:rsidRPr="00D25280">
        <w:rPr>
          <w:rFonts w:ascii="Arial" w:hAnsi="Arial" w:cs="Arial"/>
          <w:sz w:val="28"/>
          <w:szCs w:val="28"/>
        </w:rPr>
        <w:t>roce</w:t>
      </w:r>
      <w:r w:rsidR="009E3538">
        <w:rPr>
          <w:rFonts w:ascii="Arial" w:hAnsi="Arial" w:cs="Arial"/>
          <w:sz w:val="28"/>
          <w:szCs w:val="28"/>
        </w:rPr>
        <w:t>de el sobreseimiento del juicio, c</w:t>
      </w:r>
      <w:r w:rsidR="009E3538" w:rsidRPr="00D25280">
        <w:rPr>
          <w:rFonts w:ascii="Arial" w:hAnsi="Arial" w:cs="Arial"/>
          <w:sz w:val="28"/>
          <w:szCs w:val="28"/>
        </w:rPr>
        <w:t xml:space="preserve">uando de las constancias de autos apareciere claramente </w:t>
      </w:r>
      <w:r w:rsidR="009E3538">
        <w:rPr>
          <w:rFonts w:ascii="Arial" w:hAnsi="Arial" w:cs="Arial"/>
          <w:sz w:val="28"/>
          <w:szCs w:val="28"/>
        </w:rPr>
        <w:t>que no existe el acto impugnado.</w:t>
      </w:r>
    </w:p>
    <w:p w14:paraId="363BFDE6" w14:textId="77777777" w:rsidR="00D25280" w:rsidRPr="00D25280" w:rsidRDefault="00D25280" w:rsidP="00967A87">
      <w:pPr>
        <w:autoSpaceDE w:val="0"/>
        <w:autoSpaceDN w:val="0"/>
        <w:adjustRightInd w:val="0"/>
        <w:spacing w:after="0" w:line="360" w:lineRule="auto"/>
        <w:ind w:firstLine="709"/>
        <w:jc w:val="both"/>
        <w:rPr>
          <w:rFonts w:ascii="Arial" w:hAnsi="Arial" w:cs="Arial"/>
          <w:sz w:val="10"/>
          <w:szCs w:val="10"/>
          <w:lang w:eastAsia="es-MX"/>
        </w:rPr>
      </w:pPr>
    </w:p>
    <w:p w14:paraId="3E8957B2" w14:textId="4CE7EA67" w:rsidR="007D45E3" w:rsidRPr="00D401A7" w:rsidRDefault="00001EAD" w:rsidP="00967A87">
      <w:pPr>
        <w:autoSpaceDE w:val="0"/>
        <w:autoSpaceDN w:val="0"/>
        <w:adjustRightInd w:val="0"/>
        <w:spacing w:after="0" w:line="360" w:lineRule="auto"/>
        <w:ind w:firstLine="709"/>
        <w:jc w:val="both"/>
        <w:rPr>
          <w:rFonts w:ascii="Arial" w:hAnsi="Arial" w:cs="Arial"/>
          <w:sz w:val="28"/>
          <w:szCs w:val="28"/>
          <w:lang w:eastAsia="es-MX"/>
        </w:rPr>
      </w:pPr>
      <w:r>
        <w:rPr>
          <w:rFonts w:ascii="Arial" w:hAnsi="Arial" w:cs="Arial"/>
          <w:sz w:val="28"/>
          <w:szCs w:val="28"/>
        </w:rPr>
        <w:t>Y e</w:t>
      </w:r>
      <w:r w:rsidRPr="00705DBC">
        <w:rPr>
          <w:rFonts w:ascii="Arial" w:hAnsi="Arial" w:cs="Arial"/>
          <w:sz w:val="28"/>
          <w:szCs w:val="28"/>
        </w:rPr>
        <w:t xml:space="preserve">n el caso, acorde con lo antecedentes narrados, </w:t>
      </w:r>
      <w:r>
        <w:rPr>
          <w:rFonts w:ascii="Arial" w:hAnsi="Arial" w:cs="Arial"/>
          <w:sz w:val="28"/>
          <w:szCs w:val="28"/>
        </w:rPr>
        <w:t xml:space="preserve">tal y como lo resolvió la Sala génesis, </w:t>
      </w:r>
      <w:r w:rsidRPr="00705DBC">
        <w:rPr>
          <w:rFonts w:ascii="Arial" w:hAnsi="Arial" w:cs="Arial"/>
          <w:sz w:val="28"/>
          <w:szCs w:val="28"/>
        </w:rPr>
        <w:t>la</w:t>
      </w:r>
      <w:r>
        <w:rPr>
          <w:rFonts w:ascii="Arial" w:hAnsi="Arial" w:cs="Arial"/>
          <w:sz w:val="28"/>
          <w:szCs w:val="28"/>
        </w:rPr>
        <w:t xml:space="preserve"> parte actora no </w:t>
      </w:r>
      <w:r w:rsidR="00D401A7" w:rsidRPr="00D401A7">
        <w:rPr>
          <w:rFonts w:ascii="Arial" w:hAnsi="Arial" w:cs="Arial"/>
          <w:bCs/>
          <w:iCs/>
          <w:sz w:val="28"/>
          <w:szCs w:val="28"/>
        </w:rPr>
        <w:t xml:space="preserve">logró acreditar la existencia de los actos impugnados, conclusión a la que arribó, partiendo de la convicción que en este sentido se generó, por el hecho de que la parte actora reclamó la negativa a concederle el beneficio fiscal relativo al pago del servicio de agua potable, tipo doméstico, ejercicio fiscal dos mil veintidós, en el domicilio que se precisa en la </w:t>
      </w:r>
      <w:r w:rsidR="00E03B2A">
        <w:rPr>
          <w:rFonts w:ascii="Arial" w:hAnsi="Arial" w:cs="Arial"/>
          <w:bCs/>
          <w:iCs/>
          <w:sz w:val="28"/>
          <w:szCs w:val="28"/>
        </w:rPr>
        <w:t xml:space="preserve">demanda, </w:t>
      </w:r>
      <w:r w:rsidR="00D401A7" w:rsidRPr="00D401A7">
        <w:rPr>
          <w:rFonts w:ascii="Arial" w:hAnsi="Arial" w:cs="Arial"/>
          <w:bCs/>
          <w:iCs/>
          <w:sz w:val="28"/>
          <w:szCs w:val="28"/>
        </w:rPr>
        <w:t>así como la negativa a co</w:t>
      </w:r>
      <w:r w:rsidR="00E03B2A">
        <w:rPr>
          <w:rFonts w:ascii="Arial" w:hAnsi="Arial" w:cs="Arial"/>
          <w:bCs/>
          <w:iCs/>
          <w:sz w:val="28"/>
          <w:szCs w:val="28"/>
        </w:rPr>
        <w:t>nceder la autorización para el c</w:t>
      </w:r>
      <w:r w:rsidR="00D401A7" w:rsidRPr="00D401A7">
        <w:rPr>
          <w:rFonts w:ascii="Arial" w:hAnsi="Arial" w:cs="Arial"/>
          <w:bCs/>
          <w:iCs/>
          <w:sz w:val="28"/>
          <w:szCs w:val="28"/>
        </w:rPr>
        <w:t>ambio de titularidad del contrato de servicio doméstico de agua y la arbitraria imposición de una tarifa comercial; sin que lograse probar la existencia de los mismos con los medios de prueba aportados en el juicio, máxime que las autoridades demandadas al producir su contestación negaron la existencia de los actos impugnados</w:t>
      </w:r>
      <w:r>
        <w:rPr>
          <w:rFonts w:ascii="Arial" w:hAnsi="Arial" w:cs="Arial"/>
          <w:bCs/>
          <w:iCs/>
          <w:sz w:val="28"/>
          <w:szCs w:val="28"/>
        </w:rPr>
        <w:t>.</w:t>
      </w:r>
    </w:p>
    <w:p w14:paraId="35F625B3" w14:textId="77777777" w:rsidR="007D45E3" w:rsidRPr="00D25280" w:rsidRDefault="007D45E3" w:rsidP="00967A87">
      <w:pPr>
        <w:autoSpaceDE w:val="0"/>
        <w:autoSpaceDN w:val="0"/>
        <w:adjustRightInd w:val="0"/>
        <w:spacing w:after="0" w:line="360" w:lineRule="auto"/>
        <w:ind w:firstLine="709"/>
        <w:jc w:val="both"/>
        <w:rPr>
          <w:rFonts w:ascii="Arial" w:hAnsi="Arial" w:cs="Arial"/>
          <w:sz w:val="10"/>
          <w:szCs w:val="10"/>
          <w:lang w:eastAsia="es-MX"/>
        </w:rPr>
      </w:pPr>
    </w:p>
    <w:p w14:paraId="47A4BA07" w14:textId="37A89521" w:rsidR="00D25280" w:rsidRDefault="00001EAD" w:rsidP="00D25280">
      <w:pPr>
        <w:autoSpaceDE w:val="0"/>
        <w:autoSpaceDN w:val="0"/>
        <w:adjustRightInd w:val="0"/>
        <w:spacing w:after="0" w:line="360" w:lineRule="auto"/>
        <w:ind w:firstLine="709"/>
        <w:jc w:val="both"/>
        <w:rPr>
          <w:rFonts w:ascii="Arial" w:hAnsi="Arial" w:cs="Arial"/>
          <w:sz w:val="28"/>
          <w:szCs w:val="28"/>
        </w:rPr>
      </w:pPr>
      <w:r>
        <w:rPr>
          <w:rFonts w:ascii="Arial" w:hAnsi="Arial" w:cs="Arial"/>
          <w:sz w:val="28"/>
          <w:szCs w:val="28"/>
        </w:rPr>
        <w:t xml:space="preserve">Atento a lo anterior, es que deviene lo infundado de su agravio </w:t>
      </w:r>
      <w:r w:rsidRPr="006657ED">
        <w:rPr>
          <w:rFonts w:ascii="Arial" w:hAnsi="Arial" w:cs="Arial"/>
          <w:b/>
          <w:sz w:val="28"/>
          <w:szCs w:val="28"/>
        </w:rPr>
        <w:t>primero</w:t>
      </w:r>
      <w:r>
        <w:rPr>
          <w:rFonts w:ascii="Arial" w:hAnsi="Arial" w:cs="Arial"/>
          <w:sz w:val="28"/>
          <w:szCs w:val="28"/>
        </w:rPr>
        <w:t xml:space="preserve">, en el que el recurrente se duele que la </w:t>
      </w:r>
      <w:r w:rsidRPr="00001EAD">
        <w:rPr>
          <w:rFonts w:ascii="Arial" w:hAnsi="Arial" w:cs="Arial"/>
          <w:i/>
          <w:sz w:val="28"/>
          <w:szCs w:val="28"/>
        </w:rPr>
        <w:t>A quo</w:t>
      </w:r>
      <w:r>
        <w:rPr>
          <w:rFonts w:ascii="Arial" w:hAnsi="Arial" w:cs="Arial"/>
          <w:sz w:val="28"/>
          <w:szCs w:val="28"/>
        </w:rPr>
        <w:t xml:space="preserve">  desestimó</w:t>
      </w:r>
      <w:r w:rsidRPr="00001EAD">
        <w:rPr>
          <w:rFonts w:ascii="Arial" w:hAnsi="Arial" w:cs="Arial"/>
          <w:sz w:val="28"/>
          <w:szCs w:val="28"/>
        </w:rPr>
        <w:t xml:space="preserve"> la facultad normativa que la Constitución Política de los Estados Unidos Mexicanos en su artículo 115 y la Constitución Local del Estado de San Luis Potosí en su artículo 114 confiere a los Ayuntamientos del Estado de San Luis Potosí y de manera particular a las oficinas catastrales para determinar la clasificación de uso de suelo y a partir de ahí imponer los tributos de carácter catastral, sea este habitacional, comercial o industrial, potestad que en </w:t>
      </w:r>
      <w:r w:rsidR="00E03B2A">
        <w:rPr>
          <w:rFonts w:ascii="Arial" w:hAnsi="Arial" w:cs="Arial"/>
          <w:sz w:val="28"/>
          <w:szCs w:val="28"/>
        </w:rPr>
        <w:t xml:space="preserve">ninguna forma le es permitida al </w:t>
      </w:r>
      <w:r w:rsidR="00E03B2A">
        <w:rPr>
          <w:rFonts w:ascii="Arial" w:hAnsi="Arial" w:cs="Arial"/>
          <w:sz w:val="28"/>
          <w:szCs w:val="28"/>
        </w:rPr>
        <w:lastRenderedPageBreak/>
        <w:t xml:space="preserve">Organismo Intermunicipal </w:t>
      </w:r>
      <w:r w:rsidRPr="00001EAD">
        <w:rPr>
          <w:rFonts w:ascii="Arial" w:hAnsi="Arial" w:cs="Arial"/>
          <w:sz w:val="28"/>
          <w:szCs w:val="28"/>
        </w:rPr>
        <w:t xml:space="preserve">INTERAPAS, pues como tal es un organismo auxiliar en la prestación de un servicio, que se debe atener como en el caso que nos ocupa a la modalidad de tipo de suelo reconocido por la Autoridad Municipal; así entonces </w:t>
      </w:r>
      <w:r w:rsidR="00E03B2A">
        <w:rPr>
          <w:rFonts w:ascii="Arial" w:hAnsi="Arial" w:cs="Arial"/>
          <w:sz w:val="28"/>
          <w:szCs w:val="28"/>
        </w:rPr>
        <w:t>se duele</w:t>
      </w:r>
      <w:r w:rsidRPr="00001EAD">
        <w:rPr>
          <w:rFonts w:ascii="Arial" w:hAnsi="Arial" w:cs="Arial"/>
          <w:sz w:val="28"/>
          <w:szCs w:val="28"/>
        </w:rPr>
        <w:t xml:space="preserve"> de la irregular valoración de lo reco</w:t>
      </w:r>
      <w:r w:rsidR="00E03B2A">
        <w:rPr>
          <w:rFonts w:ascii="Arial" w:hAnsi="Arial" w:cs="Arial"/>
          <w:sz w:val="28"/>
          <w:szCs w:val="28"/>
        </w:rPr>
        <w:t>nocido en forma expresa por la oficina de c</w:t>
      </w:r>
      <w:r w:rsidRPr="00001EAD">
        <w:rPr>
          <w:rFonts w:ascii="Arial" w:hAnsi="Arial" w:cs="Arial"/>
          <w:sz w:val="28"/>
          <w:szCs w:val="28"/>
        </w:rPr>
        <w:t>atastro del Municipio de San Luis Potosí, respecto de la casa marcada con el número 163 de la Calle Universidad de esta Ciudad.</w:t>
      </w:r>
    </w:p>
    <w:p w14:paraId="158189D8" w14:textId="77777777" w:rsidR="00D25280" w:rsidRPr="00CC6A5C" w:rsidRDefault="00D25280" w:rsidP="00D25280">
      <w:pPr>
        <w:autoSpaceDE w:val="0"/>
        <w:autoSpaceDN w:val="0"/>
        <w:adjustRightInd w:val="0"/>
        <w:spacing w:after="0" w:line="360" w:lineRule="auto"/>
        <w:ind w:firstLine="709"/>
        <w:jc w:val="both"/>
        <w:rPr>
          <w:rFonts w:ascii="Arial" w:hAnsi="Arial" w:cs="Arial"/>
          <w:sz w:val="10"/>
          <w:szCs w:val="10"/>
        </w:rPr>
      </w:pPr>
    </w:p>
    <w:p w14:paraId="21615A43" w14:textId="77777777" w:rsidR="00CC6A5C" w:rsidRDefault="00001EAD" w:rsidP="00D25280">
      <w:pPr>
        <w:autoSpaceDE w:val="0"/>
        <w:autoSpaceDN w:val="0"/>
        <w:adjustRightInd w:val="0"/>
        <w:spacing w:after="0" w:line="360" w:lineRule="auto"/>
        <w:ind w:firstLine="709"/>
        <w:jc w:val="both"/>
        <w:rPr>
          <w:rFonts w:ascii="Arial" w:hAnsi="Arial" w:cs="Arial"/>
          <w:sz w:val="28"/>
          <w:szCs w:val="28"/>
        </w:rPr>
      </w:pPr>
      <w:r>
        <w:rPr>
          <w:rFonts w:ascii="Arial" w:hAnsi="Arial" w:cs="Arial"/>
          <w:sz w:val="28"/>
          <w:szCs w:val="28"/>
        </w:rPr>
        <w:t>T</w:t>
      </w:r>
      <w:r w:rsidR="00D401A7" w:rsidRPr="00D401A7">
        <w:rPr>
          <w:rFonts w:ascii="Arial" w:hAnsi="Arial" w:cs="Arial"/>
          <w:sz w:val="28"/>
          <w:szCs w:val="28"/>
        </w:rPr>
        <w:t xml:space="preserve">oda vez que si bien es verdad la Sala de origen no realizó el análisis de los conceptos </w:t>
      </w:r>
      <w:r>
        <w:rPr>
          <w:rFonts w:ascii="Arial" w:hAnsi="Arial" w:cs="Arial"/>
          <w:sz w:val="28"/>
          <w:szCs w:val="28"/>
        </w:rPr>
        <w:t xml:space="preserve">de impugnación </w:t>
      </w:r>
      <w:r w:rsidR="00D401A7" w:rsidRPr="00D401A7">
        <w:rPr>
          <w:rFonts w:ascii="Arial" w:hAnsi="Arial" w:cs="Arial"/>
          <w:sz w:val="28"/>
          <w:szCs w:val="28"/>
        </w:rPr>
        <w:t xml:space="preserve">sobre los cuales se sustenta el </w:t>
      </w:r>
      <w:r>
        <w:rPr>
          <w:rFonts w:ascii="Arial" w:hAnsi="Arial" w:cs="Arial"/>
          <w:sz w:val="28"/>
          <w:szCs w:val="28"/>
        </w:rPr>
        <w:t xml:space="preserve">juicio de nulidad intentado por </w:t>
      </w:r>
      <w:r w:rsidR="00EF0959">
        <w:rPr>
          <w:rFonts w:ascii="Arial" w:hAnsi="Arial" w:cs="Arial"/>
          <w:sz w:val="28"/>
          <w:szCs w:val="28"/>
        </w:rPr>
        <w:t>el</w:t>
      </w:r>
      <w:r>
        <w:rPr>
          <w:rFonts w:ascii="Arial" w:hAnsi="Arial" w:cs="Arial"/>
          <w:sz w:val="28"/>
          <w:szCs w:val="28"/>
        </w:rPr>
        <w:t xml:space="preserve"> apelante, </w:t>
      </w:r>
      <w:r w:rsidR="00D401A7" w:rsidRPr="00D401A7">
        <w:rPr>
          <w:rFonts w:ascii="Arial" w:hAnsi="Arial" w:cs="Arial"/>
          <w:sz w:val="28"/>
          <w:szCs w:val="28"/>
        </w:rPr>
        <w:t xml:space="preserve"> no debe olvidarse que ello obedece a que se consideró la actualización de una causal de improcedencia, luego entonces, el efecto de la materialización de las causales de improcedencia es precisamente omitir el estudio de la cuestión de fondo debatida, cuenta habida que la procedencia de la causal de improcedencia tiene como consecuencia la omisión del estudio de la acción que se ejercita. </w:t>
      </w:r>
    </w:p>
    <w:p w14:paraId="0FFFC5AC" w14:textId="0160A546" w:rsidR="00D31A62" w:rsidRDefault="00D401A7" w:rsidP="006657ED">
      <w:pPr>
        <w:autoSpaceDE w:val="0"/>
        <w:autoSpaceDN w:val="0"/>
        <w:adjustRightInd w:val="0"/>
        <w:spacing w:after="0" w:line="360" w:lineRule="auto"/>
        <w:ind w:firstLine="709"/>
        <w:jc w:val="both"/>
        <w:rPr>
          <w:rFonts w:ascii="Arial" w:hAnsi="Arial" w:cs="Arial"/>
          <w:sz w:val="28"/>
          <w:szCs w:val="28"/>
        </w:rPr>
      </w:pPr>
      <w:r w:rsidRPr="00D401A7">
        <w:rPr>
          <w:rFonts w:ascii="Arial" w:hAnsi="Arial" w:cs="Arial"/>
          <w:sz w:val="28"/>
          <w:szCs w:val="28"/>
        </w:rPr>
        <w:t xml:space="preserve"> Así es, los artículos </w:t>
      </w:r>
      <w:r w:rsidR="006657ED">
        <w:rPr>
          <w:rFonts w:ascii="Arial" w:hAnsi="Arial" w:cs="Arial"/>
          <w:sz w:val="28"/>
          <w:szCs w:val="28"/>
        </w:rPr>
        <w:t xml:space="preserve">228 y 229 del </w:t>
      </w:r>
      <w:r w:rsidR="00D31A62">
        <w:rPr>
          <w:rFonts w:ascii="Arial" w:hAnsi="Arial" w:cs="Arial"/>
          <w:sz w:val="28"/>
          <w:szCs w:val="28"/>
        </w:rPr>
        <w:t>Código</w:t>
      </w:r>
      <w:r w:rsidR="006657ED">
        <w:rPr>
          <w:rFonts w:ascii="Arial" w:hAnsi="Arial" w:cs="Arial"/>
          <w:sz w:val="28"/>
          <w:szCs w:val="28"/>
        </w:rPr>
        <w:t xml:space="preserve"> Procesal Administrativo </w:t>
      </w:r>
      <w:r w:rsidRPr="00D401A7">
        <w:rPr>
          <w:rFonts w:ascii="Arial" w:hAnsi="Arial" w:cs="Arial"/>
          <w:sz w:val="28"/>
          <w:szCs w:val="28"/>
        </w:rPr>
        <w:t>disponen</w:t>
      </w:r>
      <w:r w:rsidR="006657ED" w:rsidRPr="00D401A7">
        <w:rPr>
          <w:rFonts w:ascii="Arial" w:hAnsi="Arial" w:cs="Arial"/>
          <w:sz w:val="28"/>
          <w:szCs w:val="28"/>
        </w:rPr>
        <w:t xml:space="preserve">: </w:t>
      </w:r>
    </w:p>
    <w:p w14:paraId="0D7E2FE1" w14:textId="77777777" w:rsidR="00D31A62" w:rsidRPr="00750CE2" w:rsidRDefault="00D31A62" w:rsidP="006657ED">
      <w:pPr>
        <w:autoSpaceDE w:val="0"/>
        <w:autoSpaceDN w:val="0"/>
        <w:adjustRightInd w:val="0"/>
        <w:spacing w:after="0" w:line="360" w:lineRule="auto"/>
        <w:ind w:firstLine="709"/>
        <w:jc w:val="both"/>
        <w:rPr>
          <w:rFonts w:ascii="Arial" w:hAnsi="Arial" w:cs="Arial"/>
          <w:sz w:val="10"/>
          <w:szCs w:val="10"/>
        </w:rPr>
      </w:pPr>
    </w:p>
    <w:p w14:paraId="3CFF7F0A" w14:textId="77777777" w:rsidR="00D31A62" w:rsidRPr="00750CE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750CE2">
        <w:rPr>
          <w:rFonts w:ascii="Arial Narrow" w:hAnsi="Arial Narrow" w:cs="Arial"/>
          <w:b/>
          <w:i/>
          <w:sz w:val="24"/>
          <w:szCs w:val="24"/>
        </w:rPr>
        <w:t>ARTÍCULO 228</w:t>
      </w:r>
      <w:r w:rsidRPr="00750CE2">
        <w:rPr>
          <w:rFonts w:ascii="Arial Narrow" w:hAnsi="Arial Narrow" w:cs="Arial"/>
          <w:i/>
          <w:sz w:val="24"/>
          <w:szCs w:val="24"/>
        </w:rPr>
        <w:t>. Es improcedente el juicio ante el Tribunal contra actos:</w:t>
      </w:r>
    </w:p>
    <w:p w14:paraId="55ACCDDB" w14:textId="77777777" w:rsidR="00D31A62" w:rsidRPr="00750CE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750CE2">
        <w:rPr>
          <w:rFonts w:ascii="Arial Narrow" w:hAnsi="Arial Narrow" w:cs="Arial"/>
          <w:i/>
          <w:sz w:val="24"/>
          <w:szCs w:val="24"/>
        </w:rPr>
        <w:t xml:space="preserve"> I. Del propio Tribunal; </w:t>
      </w:r>
    </w:p>
    <w:p w14:paraId="0BFBBBAA" w14:textId="77777777" w:rsidR="00D31A62" w:rsidRPr="00750CE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750CE2">
        <w:rPr>
          <w:rFonts w:ascii="Arial Narrow" w:hAnsi="Arial Narrow" w:cs="Arial"/>
          <w:i/>
          <w:sz w:val="24"/>
          <w:szCs w:val="24"/>
        </w:rPr>
        <w:t xml:space="preserve">II. Que no afecten los intereses jurídicos o legítimos del actor; </w:t>
      </w:r>
    </w:p>
    <w:p w14:paraId="67CA4D50" w14:textId="77777777" w:rsidR="00D31A62" w:rsidRPr="00750CE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750CE2">
        <w:rPr>
          <w:rFonts w:ascii="Arial Narrow" w:hAnsi="Arial Narrow" w:cs="Arial"/>
          <w:i/>
          <w:sz w:val="24"/>
          <w:szCs w:val="24"/>
        </w:rPr>
        <w:t xml:space="preserve">III. Que sean materia de un recurso o juicio que se encuentre pendiente de resolución ante la autoridad que lo emitió o ante el propio Tribunal, al momento de su presentación, cuando exista identidad de las partes, aunque sean distintas las violaciones alegadas; </w:t>
      </w:r>
    </w:p>
    <w:p w14:paraId="78A8D4A8" w14:textId="77777777" w:rsidR="00D31A62" w:rsidRPr="00750CE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750CE2">
        <w:rPr>
          <w:rFonts w:ascii="Arial Narrow" w:hAnsi="Arial Narrow" w:cs="Arial"/>
          <w:i/>
          <w:sz w:val="24"/>
          <w:szCs w:val="24"/>
        </w:rPr>
        <w:t xml:space="preserve">IV. Que hayan sido materia de otro juicio contencioso administrativo, en el que exista identidad de partes y se trate del mismo acto impugnado, aunque las violaciones alegadas sean distintas; </w:t>
      </w:r>
    </w:p>
    <w:p w14:paraId="08DE66C4" w14:textId="7FF334D4" w:rsidR="00D31A62"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V. Contra actos consumados de un modo irreparable;</w:t>
      </w:r>
    </w:p>
    <w:p w14:paraId="45706544" w14:textId="66378C93" w:rsidR="00D31A62"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lastRenderedPageBreak/>
        <w:t>VI.</w:t>
      </w:r>
      <w:r w:rsidR="00D31A62" w:rsidRPr="00D31A62">
        <w:rPr>
          <w:rFonts w:ascii="Arial Narrow" w:hAnsi="Arial Narrow" w:cs="Arial"/>
          <w:i/>
          <w:sz w:val="24"/>
          <w:szCs w:val="24"/>
        </w:rPr>
        <w:t xml:space="preserve"> </w:t>
      </w:r>
      <w:r w:rsidRPr="00D31A62">
        <w:rPr>
          <w:rFonts w:ascii="Arial Narrow" w:hAnsi="Arial Narrow" w:cs="Arial"/>
          <w:i/>
          <w:sz w:val="24"/>
          <w:szCs w:val="24"/>
        </w:rPr>
        <w:t xml:space="preserve">Contra actos consentidos expresamente o por manifestaciones de voluntad que entrañen ese consentimiento, entendiéndose por éstos últimos, aquéllos en contra de los cuales no se promueva el juicio dentro de los plazos que para tal efecto señala este Libro; </w:t>
      </w:r>
    </w:p>
    <w:p w14:paraId="7C18CB1A" w14:textId="77777777" w:rsidR="00D31A62"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 xml:space="preserve">VII. Contra actos que hayan sido impugnados o se encuentren pendientes de resolución en un procedimiento judicial; </w:t>
      </w:r>
    </w:p>
    <w:p w14:paraId="211C6E67" w14:textId="77777777" w:rsidR="00D31A62"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 xml:space="preserve">VIII. Contra disposiciones de carácter general, que no hayan sido aplicadas concretamente al promovente; </w:t>
      </w:r>
    </w:p>
    <w:p w14:paraId="33ECCD79" w14:textId="77777777" w:rsidR="00D31A62"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 xml:space="preserve">IX. Contra actos cuyos efectos legales o materiales hayan cesado o que no puedan surtirse efectos por haber dejado de existir el objeto o materia del mismo; </w:t>
      </w:r>
    </w:p>
    <w:p w14:paraId="15D5973F" w14:textId="77777777" w:rsidR="00D31A62"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 xml:space="preserve">X. Contra actos y resoluciones distintos de los enunciados en el artículo 7° de la Ley Orgánica del Tribunal, y </w:t>
      </w:r>
    </w:p>
    <w:p w14:paraId="04AA23DA" w14:textId="3C0AE92B" w:rsidR="006657ED"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 xml:space="preserve">XI. En los demás casos en que la improcedencia resulte de alguna disposición de este Código o de cualquiera otra de naturaleza fiscal o administrativa. Las causales de improcedencia deberán ser examinadas de oficio. </w:t>
      </w:r>
    </w:p>
    <w:p w14:paraId="099FFCD4" w14:textId="77777777" w:rsidR="00D31A62" w:rsidRPr="00D31A62" w:rsidRDefault="00D31A62" w:rsidP="00D31A62">
      <w:pPr>
        <w:autoSpaceDE w:val="0"/>
        <w:autoSpaceDN w:val="0"/>
        <w:adjustRightInd w:val="0"/>
        <w:spacing w:after="0" w:line="240" w:lineRule="auto"/>
        <w:ind w:left="709" w:right="618"/>
        <w:jc w:val="both"/>
        <w:rPr>
          <w:rFonts w:ascii="Arial Narrow" w:hAnsi="Arial Narrow" w:cs="Arial"/>
          <w:i/>
          <w:sz w:val="24"/>
          <w:szCs w:val="24"/>
        </w:rPr>
      </w:pPr>
    </w:p>
    <w:p w14:paraId="600261FD" w14:textId="02BC356C" w:rsidR="006657ED"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b/>
          <w:i/>
          <w:sz w:val="24"/>
          <w:szCs w:val="24"/>
        </w:rPr>
        <w:t>ARTÍCULO 229.</w:t>
      </w:r>
      <w:r w:rsidRPr="00D31A62">
        <w:rPr>
          <w:rFonts w:ascii="Arial Narrow" w:hAnsi="Arial Narrow" w:cs="Arial"/>
          <w:i/>
          <w:sz w:val="24"/>
          <w:szCs w:val="24"/>
        </w:rPr>
        <w:t xml:space="preserve"> Procede el sobreseimiento del juicio:</w:t>
      </w:r>
    </w:p>
    <w:p w14:paraId="56760CBD" w14:textId="77777777" w:rsidR="006657ED"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I. Cuando el actor se desista de la demanda;</w:t>
      </w:r>
    </w:p>
    <w:p w14:paraId="09D382BC" w14:textId="72FF6BE2" w:rsidR="006657ED"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 xml:space="preserve">II. Cuando durante </w:t>
      </w:r>
      <w:r w:rsidR="00415771">
        <w:rPr>
          <w:rFonts w:ascii="Arial Narrow" w:hAnsi="Arial Narrow" w:cs="Arial"/>
          <w:i/>
          <w:sz w:val="24"/>
          <w:szCs w:val="24"/>
        </w:rPr>
        <w:t>la tramitación del procedimient</w:t>
      </w:r>
      <w:r w:rsidRPr="00D31A62">
        <w:rPr>
          <w:rFonts w:ascii="Arial Narrow" w:hAnsi="Arial Narrow" w:cs="Arial"/>
          <w:i/>
          <w:sz w:val="24"/>
          <w:szCs w:val="24"/>
        </w:rPr>
        <w:t>o sobreviniere alguna de las causas de improcedencia a que se refiere el artículo anterior;</w:t>
      </w:r>
    </w:p>
    <w:p w14:paraId="124B1222" w14:textId="77777777" w:rsidR="006657ED"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III. En el caso de que el actor muera durante el juicio, si su pretensión es intransmisible o si su muerte deja sin materia el proceso;</w:t>
      </w:r>
    </w:p>
    <w:p w14:paraId="65035FCA" w14:textId="77777777" w:rsidR="006657ED"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IV. Si la autoridad demandada deja sin efecto la resolución o acto impugnados, siempre y cuando se satisfaga la pretensión del demandante;</w:t>
      </w:r>
    </w:p>
    <w:p w14:paraId="4D7EC67D" w14:textId="77777777" w:rsidR="006657ED"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V. Cuando de las constancias de autos apareciere claramente que no existe el acto impugnado;</w:t>
      </w:r>
    </w:p>
    <w:p w14:paraId="139177CA" w14:textId="77777777" w:rsidR="006657ED"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VI. Si el juicio queda sin materia;</w:t>
      </w:r>
    </w:p>
    <w:p w14:paraId="4EAD33B5" w14:textId="77777777" w:rsidR="006657ED"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(REFORMADA, P.O. 03 DE OCTUBRE DE 2019)</w:t>
      </w:r>
    </w:p>
    <w:p w14:paraId="65A590DA" w14:textId="77777777" w:rsidR="006657ED"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VII. Cuando en el caso del incidente de interrupción del procedimiento previsto en la fracción IV del artículo 122 de este Código, no comparezca el albacea, tutor o representante legal que corresponda, dentro del plazo establecido al efecto, y</w:t>
      </w:r>
    </w:p>
    <w:p w14:paraId="1BB2DCD4" w14:textId="77777777" w:rsidR="006657ED"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VIII. En los demás casos en los que por disposición legal exista impedimento para emitir resoluciones en cuanto al fondo.</w:t>
      </w:r>
    </w:p>
    <w:p w14:paraId="63F03994" w14:textId="77777777" w:rsidR="00D31A62" w:rsidRPr="00D31A62" w:rsidRDefault="006657ED" w:rsidP="00D31A62">
      <w:pPr>
        <w:autoSpaceDE w:val="0"/>
        <w:autoSpaceDN w:val="0"/>
        <w:adjustRightInd w:val="0"/>
        <w:spacing w:after="0" w:line="240" w:lineRule="auto"/>
        <w:ind w:left="709" w:right="618"/>
        <w:jc w:val="both"/>
        <w:rPr>
          <w:rFonts w:ascii="Arial Narrow" w:hAnsi="Arial Narrow" w:cs="Arial"/>
          <w:i/>
          <w:sz w:val="24"/>
          <w:szCs w:val="24"/>
        </w:rPr>
      </w:pPr>
      <w:r w:rsidRPr="00D31A62">
        <w:rPr>
          <w:rFonts w:ascii="Arial Narrow" w:hAnsi="Arial Narrow" w:cs="Arial"/>
          <w:i/>
          <w:sz w:val="24"/>
          <w:szCs w:val="24"/>
        </w:rPr>
        <w:t>El sobreseimiento deberá examinarse de oficio, puede ser total o parcial y no prejuzga sobre la responsabilidad en que hubiese incurrido la autoridad demandada al ordenar o ejecutar el acto combatido.</w:t>
      </w:r>
    </w:p>
    <w:p w14:paraId="581239BC" w14:textId="77777777" w:rsidR="00D31A62" w:rsidRPr="00E03B2A" w:rsidRDefault="00D31A62" w:rsidP="006657ED">
      <w:pPr>
        <w:autoSpaceDE w:val="0"/>
        <w:autoSpaceDN w:val="0"/>
        <w:adjustRightInd w:val="0"/>
        <w:spacing w:after="0" w:line="360" w:lineRule="auto"/>
        <w:ind w:firstLine="709"/>
        <w:jc w:val="both"/>
        <w:rPr>
          <w:rFonts w:ascii="Arial" w:hAnsi="Arial" w:cs="Arial"/>
          <w:sz w:val="10"/>
          <w:szCs w:val="10"/>
        </w:rPr>
      </w:pPr>
    </w:p>
    <w:p w14:paraId="2C220DB5" w14:textId="5EF64884" w:rsidR="00D31A62" w:rsidRDefault="00D401A7" w:rsidP="006657ED">
      <w:pPr>
        <w:autoSpaceDE w:val="0"/>
        <w:autoSpaceDN w:val="0"/>
        <w:adjustRightInd w:val="0"/>
        <w:spacing w:after="0" w:line="360" w:lineRule="auto"/>
        <w:ind w:firstLine="709"/>
        <w:jc w:val="both"/>
        <w:rPr>
          <w:rFonts w:ascii="Arial" w:hAnsi="Arial" w:cs="Arial"/>
          <w:sz w:val="28"/>
          <w:szCs w:val="28"/>
        </w:rPr>
      </w:pPr>
      <w:r w:rsidRPr="00D401A7">
        <w:rPr>
          <w:rFonts w:ascii="Arial" w:hAnsi="Arial" w:cs="Arial"/>
          <w:sz w:val="28"/>
          <w:szCs w:val="28"/>
        </w:rPr>
        <w:t xml:space="preserve"> </w:t>
      </w:r>
      <w:r w:rsidR="00D31A62">
        <w:rPr>
          <w:rFonts w:ascii="Arial" w:hAnsi="Arial" w:cs="Arial"/>
          <w:sz w:val="28"/>
          <w:szCs w:val="28"/>
        </w:rPr>
        <w:t xml:space="preserve">De la exegesis de los </w:t>
      </w:r>
      <w:proofErr w:type="spellStart"/>
      <w:r w:rsidR="00D31A62">
        <w:rPr>
          <w:rFonts w:ascii="Arial" w:hAnsi="Arial" w:cs="Arial"/>
          <w:sz w:val="28"/>
          <w:szCs w:val="28"/>
        </w:rPr>
        <w:t>antecitado</w:t>
      </w:r>
      <w:r w:rsidR="00E03B2A">
        <w:rPr>
          <w:rFonts w:ascii="Arial" w:hAnsi="Arial" w:cs="Arial"/>
          <w:sz w:val="28"/>
          <w:szCs w:val="28"/>
        </w:rPr>
        <w:t>s</w:t>
      </w:r>
      <w:proofErr w:type="spellEnd"/>
      <w:r w:rsidR="00D31A62">
        <w:rPr>
          <w:rFonts w:ascii="Arial" w:hAnsi="Arial" w:cs="Arial"/>
          <w:sz w:val="28"/>
          <w:szCs w:val="28"/>
        </w:rPr>
        <w:t xml:space="preserve"> artículos permite concluir</w:t>
      </w:r>
      <w:r w:rsidR="007D18C2" w:rsidRPr="00D401A7">
        <w:rPr>
          <w:rFonts w:ascii="Arial" w:hAnsi="Arial" w:cs="Arial"/>
          <w:sz w:val="28"/>
          <w:szCs w:val="28"/>
        </w:rPr>
        <w:t>,</w:t>
      </w:r>
      <w:r w:rsidRPr="00D401A7">
        <w:rPr>
          <w:rFonts w:ascii="Arial" w:hAnsi="Arial" w:cs="Arial"/>
          <w:sz w:val="28"/>
          <w:szCs w:val="28"/>
        </w:rPr>
        <w:t xml:space="preserve"> que el juicio administrativo puede resultar improcedente </w:t>
      </w:r>
      <w:r w:rsidR="00763E6A">
        <w:rPr>
          <w:rFonts w:ascii="Arial" w:hAnsi="Arial" w:cs="Arial"/>
          <w:sz w:val="28"/>
          <w:szCs w:val="28"/>
        </w:rPr>
        <w:t xml:space="preserve">y en consecuencia procede </w:t>
      </w:r>
      <w:r w:rsidRPr="00D401A7">
        <w:rPr>
          <w:rFonts w:ascii="Arial" w:hAnsi="Arial" w:cs="Arial"/>
          <w:sz w:val="28"/>
          <w:szCs w:val="28"/>
        </w:rPr>
        <w:t>sobreseerse, según se actual</w:t>
      </w:r>
      <w:r w:rsidR="00763E6A">
        <w:rPr>
          <w:rFonts w:ascii="Arial" w:hAnsi="Arial" w:cs="Arial"/>
          <w:sz w:val="28"/>
          <w:szCs w:val="28"/>
        </w:rPr>
        <w:t>ice alguna de las causales que</w:t>
      </w:r>
      <w:r w:rsidR="00D31A62">
        <w:rPr>
          <w:rFonts w:ascii="Arial" w:hAnsi="Arial" w:cs="Arial"/>
          <w:sz w:val="28"/>
          <w:szCs w:val="28"/>
        </w:rPr>
        <w:t xml:space="preserve"> prevé la Ley</w:t>
      </w:r>
      <w:r w:rsidR="00763E6A">
        <w:rPr>
          <w:rFonts w:ascii="Arial" w:hAnsi="Arial" w:cs="Arial"/>
          <w:sz w:val="28"/>
          <w:szCs w:val="28"/>
        </w:rPr>
        <w:t xml:space="preserve"> administrativa aplicable</w:t>
      </w:r>
      <w:r w:rsidR="00D31A62">
        <w:rPr>
          <w:rFonts w:ascii="Arial" w:hAnsi="Arial" w:cs="Arial"/>
          <w:sz w:val="28"/>
          <w:szCs w:val="28"/>
        </w:rPr>
        <w:t xml:space="preserve">. </w:t>
      </w:r>
      <w:r w:rsidRPr="00D401A7">
        <w:rPr>
          <w:rFonts w:ascii="Arial" w:hAnsi="Arial" w:cs="Arial"/>
          <w:sz w:val="28"/>
          <w:szCs w:val="28"/>
        </w:rPr>
        <w:t>Para una mejor comprensión, resulta pertinente establecer en qué consisten las figuras jurídica</w:t>
      </w:r>
      <w:r w:rsidR="007D18C2">
        <w:rPr>
          <w:rFonts w:ascii="Arial" w:hAnsi="Arial" w:cs="Arial"/>
          <w:sz w:val="28"/>
          <w:szCs w:val="28"/>
        </w:rPr>
        <w:t xml:space="preserve">s en cuestión. </w:t>
      </w:r>
      <w:r w:rsidRPr="00D401A7">
        <w:rPr>
          <w:rFonts w:ascii="Arial" w:hAnsi="Arial" w:cs="Arial"/>
          <w:sz w:val="28"/>
          <w:szCs w:val="28"/>
        </w:rPr>
        <w:t xml:space="preserve">La improcedencia, supone la imposibilidad para que la autoridad analice y resuelva sobre la controversia que le es planteada, precisamente por actualizarse alguno de los </w:t>
      </w:r>
      <w:r w:rsidRPr="00D401A7">
        <w:rPr>
          <w:rFonts w:ascii="Arial" w:hAnsi="Arial" w:cs="Arial"/>
          <w:sz w:val="28"/>
          <w:szCs w:val="28"/>
        </w:rPr>
        <w:lastRenderedPageBreak/>
        <w:t xml:space="preserve">supuestos expresamente dispuestos por el legislador, virtud de lo cual su estudio deberá realizarse de oficio por la autoridad incluso desde el momento mismo de la presentación de la demanda, en el transcurso del juicio o cuando se dicte sentencia. </w:t>
      </w:r>
    </w:p>
    <w:p w14:paraId="1D988564" w14:textId="2948D7A8" w:rsidR="00F33EF5" w:rsidRDefault="00D401A7" w:rsidP="006657ED">
      <w:pPr>
        <w:autoSpaceDE w:val="0"/>
        <w:autoSpaceDN w:val="0"/>
        <w:adjustRightInd w:val="0"/>
        <w:spacing w:after="0" w:line="360" w:lineRule="auto"/>
        <w:ind w:firstLine="709"/>
        <w:jc w:val="both"/>
        <w:rPr>
          <w:rFonts w:ascii="Arial" w:hAnsi="Arial" w:cs="Arial"/>
          <w:sz w:val="28"/>
          <w:szCs w:val="28"/>
        </w:rPr>
      </w:pPr>
      <w:r w:rsidRPr="00D401A7">
        <w:rPr>
          <w:rFonts w:ascii="Arial" w:hAnsi="Arial" w:cs="Arial"/>
          <w:sz w:val="28"/>
          <w:szCs w:val="28"/>
        </w:rPr>
        <w:t xml:space="preserve">Luego, el sobreseimiento implica la conclusión de la instancia judicial, sin que se resuelva la cuestión controvertida; de aquí que no existirá declaración alguna por parte de la autoridad con relación al acto impugnado. En mérito de lo anterior, cuando se actualiza una causal de improcedencia es procedente decretar el sobreseimiento, dado que no es posible dictar sentencia </w:t>
      </w:r>
      <w:r w:rsidR="00763E6A">
        <w:rPr>
          <w:rFonts w:ascii="Arial" w:hAnsi="Arial" w:cs="Arial"/>
          <w:sz w:val="28"/>
          <w:szCs w:val="28"/>
        </w:rPr>
        <w:t xml:space="preserve">analizando el </w:t>
      </w:r>
      <w:r w:rsidRPr="00D401A7">
        <w:rPr>
          <w:rFonts w:ascii="Arial" w:hAnsi="Arial" w:cs="Arial"/>
          <w:sz w:val="28"/>
          <w:szCs w:val="28"/>
        </w:rPr>
        <w:t xml:space="preserve">fondo </w:t>
      </w:r>
      <w:r w:rsidR="00763E6A">
        <w:rPr>
          <w:rFonts w:ascii="Arial" w:hAnsi="Arial" w:cs="Arial"/>
          <w:sz w:val="28"/>
          <w:szCs w:val="28"/>
        </w:rPr>
        <w:t xml:space="preserve">de las pretensiones, de ahí que </w:t>
      </w:r>
      <w:r w:rsidRPr="00D401A7">
        <w:rPr>
          <w:rFonts w:ascii="Arial" w:hAnsi="Arial" w:cs="Arial"/>
          <w:sz w:val="28"/>
          <w:szCs w:val="28"/>
        </w:rPr>
        <w:t xml:space="preserve">la instancia se debe declarar concluida sin resolver la cuestión debatida. Las causales de improcedencia deben ser estudiadas de manera preferente </w:t>
      </w:r>
      <w:r w:rsidR="00763E6A">
        <w:rPr>
          <w:rFonts w:ascii="Arial" w:hAnsi="Arial" w:cs="Arial"/>
          <w:sz w:val="28"/>
          <w:szCs w:val="28"/>
        </w:rPr>
        <w:t>al ser presupuestos verificable</w:t>
      </w:r>
      <w:r w:rsidR="00A84D39">
        <w:rPr>
          <w:rFonts w:ascii="Arial" w:hAnsi="Arial" w:cs="Arial"/>
          <w:sz w:val="28"/>
          <w:szCs w:val="28"/>
        </w:rPr>
        <w:t>s</w:t>
      </w:r>
      <w:r w:rsidR="00763E6A">
        <w:rPr>
          <w:rFonts w:ascii="Arial" w:hAnsi="Arial" w:cs="Arial"/>
          <w:sz w:val="28"/>
          <w:szCs w:val="28"/>
        </w:rPr>
        <w:t xml:space="preserve"> de oficio por el Juzgador</w:t>
      </w:r>
      <w:r w:rsidR="00C2158C">
        <w:rPr>
          <w:rFonts w:ascii="Arial" w:hAnsi="Arial" w:cs="Arial"/>
          <w:sz w:val="28"/>
          <w:szCs w:val="28"/>
        </w:rPr>
        <w:t>.</w:t>
      </w:r>
    </w:p>
    <w:p w14:paraId="5841B9D1" w14:textId="77777777" w:rsidR="00415771" w:rsidRPr="00415771" w:rsidRDefault="00415771" w:rsidP="006657ED">
      <w:pPr>
        <w:autoSpaceDE w:val="0"/>
        <w:autoSpaceDN w:val="0"/>
        <w:adjustRightInd w:val="0"/>
        <w:spacing w:after="0" w:line="360" w:lineRule="auto"/>
        <w:ind w:firstLine="709"/>
        <w:jc w:val="both"/>
        <w:rPr>
          <w:rFonts w:ascii="Arial" w:hAnsi="Arial" w:cs="Arial"/>
          <w:sz w:val="10"/>
          <w:szCs w:val="10"/>
        </w:rPr>
      </w:pPr>
    </w:p>
    <w:p w14:paraId="52D0436E" w14:textId="4984CC9A" w:rsidR="00415771" w:rsidRDefault="00415771" w:rsidP="006657ED">
      <w:pPr>
        <w:autoSpaceDE w:val="0"/>
        <w:autoSpaceDN w:val="0"/>
        <w:adjustRightInd w:val="0"/>
        <w:spacing w:after="0" w:line="360" w:lineRule="auto"/>
        <w:ind w:firstLine="709"/>
        <w:jc w:val="both"/>
        <w:rPr>
          <w:rFonts w:ascii="Arial" w:hAnsi="Arial" w:cs="Arial"/>
          <w:sz w:val="28"/>
          <w:szCs w:val="28"/>
        </w:rPr>
      </w:pPr>
      <w:r>
        <w:rPr>
          <w:rFonts w:ascii="Arial" w:hAnsi="Arial" w:cs="Arial"/>
          <w:sz w:val="28"/>
          <w:szCs w:val="28"/>
        </w:rPr>
        <w:t>De ahí que</w:t>
      </w:r>
      <w:r w:rsidR="00763E6A">
        <w:rPr>
          <w:rFonts w:ascii="Arial" w:hAnsi="Arial" w:cs="Arial"/>
          <w:sz w:val="28"/>
          <w:szCs w:val="28"/>
        </w:rPr>
        <w:t>,</w:t>
      </w:r>
      <w:r>
        <w:rPr>
          <w:rFonts w:ascii="Arial" w:hAnsi="Arial" w:cs="Arial"/>
          <w:sz w:val="28"/>
          <w:szCs w:val="28"/>
        </w:rPr>
        <w:t xml:space="preserve"> </w:t>
      </w:r>
      <w:r w:rsidRPr="00415771">
        <w:rPr>
          <w:rFonts w:ascii="Arial" w:hAnsi="Arial" w:cs="Arial"/>
          <w:sz w:val="28"/>
          <w:szCs w:val="28"/>
        </w:rPr>
        <w:t xml:space="preserve">se concluye que el recurrente omite exponer consideraciones que de fondo sean tendentes a controvertir los razonamientos lógicos jurídicos contenidos en la resolución y en los cuales </w:t>
      </w:r>
      <w:r>
        <w:rPr>
          <w:rFonts w:ascii="Arial" w:hAnsi="Arial" w:cs="Arial"/>
          <w:sz w:val="28"/>
          <w:szCs w:val="28"/>
        </w:rPr>
        <w:t>la</w:t>
      </w:r>
      <w:r w:rsidRPr="00415771">
        <w:rPr>
          <w:rFonts w:ascii="Arial" w:hAnsi="Arial" w:cs="Arial"/>
          <w:sz w:val="28"/>
          <w:szCs w:val="28"/>
        </w:rPr>
        <w:t xml:space="preserve"> </w:t>
      </w:r>
      <w:r w:rsidRPr="00415771">
        <w:rPr>
          <w:rFonts w:ascii="Arial" w:hAnsi="Arial" w:cs="Arial"/>
          <w:i/>
          <w:sz w:val="28"/>
          <w:szCs w:val="28"/>
        </w:rPr>
        <w:t>A quo</w:t>
      </w:r>
      <w:r w:rsidRPr="00415771">
        <w:rPr>
          <w:rFonts w:ascii="Arial" w:hAnsi="Arial" w:cs="Arial"/>
          <w:sz w:val="28"/>
          <w:szCs w:val="28"/>
        </w:rPr>
        <w:t xml:space="preserve"> sustentó su fallo, toda vez que no son tendentes a controvertir propiamente lo contenido en el fallo, pues en la sentencia la Sala de origen determinó que era procedente sobreseer el juicio por actualizarse una causal de improcedencia, luego entonces, de explorado derecho resulta que, ante la procedencia de una causal de sobreseimiento es innecesario el estudio de los conceptos de </w:t>
      </w:r>
      <w:r>
        <w:rPr>
          <w:rFonts w:ascii="Arial" w:hAnsi="Arial" w:cs="Arial"/>
          <w:sz w:val="28"/>
          <w:szCs w:val="28"/>
        </w:rPr>
        <w:t>impugnación</w:t>
      </w:r>
      <w:r w:rsidRPr="00415771">
        <w:rPr>
          <w:rFonts w:ascii="Arial" w:hAnsi="Arial" w:cs="Arial"/>
          <w:sz w:val="28"/>
          <w:szCs w:val="28"/>
        </w:rPr>
        <w:t xml:space="preserve">, pues el efecto sería el mismo.  </w:t>
      </w:r>
    </w:p>
    <w:p w14:paraId="15F0E92E" w14:textId="77777777" w:rsidR="00415771" w:rsidRPr="00415771" w:rsidRDefault="00415771" w:rsidP="006657ED">
      <w:pPr>
        <w:autoSpaceDE w:val="0"/>
        <w:autoSpaceDN w:val="0"/>
        <w:adjustRightInd w:val="0"/>
        <w:spacing w:after="0" w:line="360" w:lineRule="auto"/>
        <w:ind w:firstLine="709"/>
        <w:jc w:val="both"/>
        <w:rPr>
          <w:rFonts w:ascii="Arial" w:hAnsi="Arial" w:cs="Arial"/>
          <w:sz w:val="10"/>
          <w:szCs w:val="10"/>
        </w:rPr>
      </w:pPr>
    </w:p>
    <w:p w14:paraId="246F91C5" w14:textId="1BDD9D35" w:rsidR="00D9084C" w:rsidRDefault="00D9084C" w:rsidP="006B4A9E">
      <w:pPr>
        <w:autoSpaceDE w:val="0"/>
        <w:autoSpaceDN w:val="0"/>
        <w:adjustRightInd w:val="0"/>
        <w:spacing w:after="0" w:line="360" w:lineRule="auto"/>
        <w:ind w:firstLine="709"/>
        <w:jc w:val="both"/>
        <w:rPr>
          <w:rFonts w:ascii="Arial" w:hAnsi="Arial" w:cs="Arial"/>
          <w:sz w:val="28"/>
          <w:szCs w:val="28"/>
        </w:rPr>
      </w:pPr>
      <w:r w:rsidRPr="0001443A">
        <w:rPr>
          <w:rFonts w:ascii="Arial" w:hAnsi="Arial" w:cs="Arial"/>
          <w:sz w:val="28"/>
          <w:szCs w:val="28"/>
        </w:rPr>
        <w:t>A mayor abundamiento</w:t>
      </w:r>
      <w:r w:rsidR="00415771" w:rsidRPr="00415771">
        <w:rPr>
          <w:rFonts w:ascii="Arial" w:hAnsi="Arial" w:cs="Arial"/>
          <w:sz w:val="28"/>
          <w:szCs w:val="28"/>
        </w:rPr>
        <w:t xml:space="preserve">, se concluye que </w:t>
      </w:r>
      <w:r w:rsidR="006B4A9E">
        <w:rPr>
          <w:rFonts w:ascii="Arial" w:hAnsi="Arial" w:cs="Arial"/>
          <w:sz w:val="28"/>
          <w:szCs w:val="28"/>
        </w:rPr>
        <w:t>el agravio debió</w:t>
      </w:r>
      <w:r w:rsidR="00415771" w:rsidRPr="00415771">
        <w:rPr>
          <w:rFonts w:ascii="Arial" w:hAnsi="Arial" w:cs="Arial"/>
          <w:sz w:val="28"/>
          <w:szCs w:val="28"/>
        </w:rPr>
        <w:t xml:space="preserve"> hacerse valer en contra de lo determinado por </w:t>
      </w:r>
      <w:r w:rsidR="006B4A9E">
        <w:rPr>
          <w:rFonts w:ascii="Arial" w:hAnsi="Arial" w:cs="Arial"/>
          <w:sz w:val="28"/>
          <w:szCs w:val="28"/>
        </w:rPr>
        <w:t>la</w:t>
      </w:r>
      <w:r w:rsidR="00415771" w:rsidRPr="00415771">
        <w:rPr>
          <w:rFonts w:ascii="Arial" w:hAnsi="Arial" w:cs="Arial"/>
          <w:sz w:val="28"/>
          <w:szCs w:val="28"/>
        </w:rPr>
        <w:t xml:space="preserve"> </w:t>
      </w:r>
      <w:r w:rsidR="00415771" w:rsidRPr="006B4A9E">
        <w:rPr>
          <w:rFonts w:ascii="Arial" w:hAnsi="Arial" w:cs="Arial"/>
          <w:i/>
          <w:sz w:val="28"/>
          <w:szCs w:val="28"/>
        </w:rPr>
        <w:t>A quo</w:t>
      </w:r>
      <w:r w:rsidR="00415771" w:rsidRPr="00415771">
        <w:rPr>
          <w:rFonts w:ascii="Arial" w:hAnsi="Arial" w:cs="Arial"/>
          <w:sz w:val="28"/>
          <w:szCs w:val="28"/>
        </w:rPr>
        <w:t>, es decir, el apelante debió haber impugnado los argumentos contenidos en la resolución en cuanto a considerar actualizada la causal de improcedencia</w:t>
      </w:r>
      <w:r w:rsidR="00763E6A">
        <w:rPr>
          <w:rFonts w:ascii="Arial" w:hAnsi="Arial" w:cs="Arial"/>
          <w:sz w:val="28"/>
          <w:szCs w:val="28"/>
        </w:rPr>
        <w:t>,</w:t>
      </w:r>
      <w:r w:rsidR="00415771" w:rsidRPr="00415771">
        <w:rPr>
          <w:rFonts w:ascii="Arial" w:hAnsi="Arial" w:cs="Arial"/>
          <w:sz w:val="28"/>
          <w:szCs w:val="28"/>
        </w:rPr>
        <w:t xml:space="preserve"> y por ende</w:t>
      </w:r>
      <w:r w:rsidR="00763E6A">
        <w:rPr>
          <w:rFonts w:ascii="Arial" w:hAnsi="Arial" w:cs="Arial"/>
          <w:sz w:val="28"/>
          <w:szCs w:val="28"/>
        </w:rPr>
        <w:t>,</w:t>
      </w:r>
      <w:r w:rsidR="00415771" w:rsidRPr="00415771">
        <w:rPr>
          <w:rFonts w:ascii="Arial" w:hAnsi="Arial" w:cs="Arial"/>
          <w:sz w:val="28"/>
          <w:szCs w:val="28"/>
        </w:rPr>
        <w:t xml:space="preserve"> decretar el sobreseimiento, y en el caso no ocurrió así, porque de la lectura a los agravios materia de estudio se </w:t>
      </w:r>
      <w:r>
        <w:rPr>
          <w:rFonts w:ascii="Arial" w:hAnsi="Arial" w:cs="Arial"/>
          <w:sz w:val="28"/>
          <w:szCs w:val="28"/>
        </w:rPr>
        <w:t>desprende que</w:t>
      </w:r>
      <w:r w:rsidR="00415771" w:rsidRPr="00415771">
        <w:rPr>
          <w:rFonts w:ascii="Arial" w:hAnsi="Arial" w:cs="Arial"/>
          <w:sz w:val="28"/>
          <w:szCs w:val="28"/>
        </w:rPr>
        <w:t xml:space="preserve"> </w:t>
      </w:r>
      <w:r>
        <w:rPr>
          <w:rFonts w:ascii="Arial" w:hAnsi="Arial" w:cs="Arial"/>
          <w:sz w:val="28"/>
          <w:szCs w:val="28"/>
        </w:rPr>
        <w:t>con</w:t>
      </w:r>
      <w:r w:rsidR="00415771" w:rsidRPr="00415771">
        <w:rPr>
          <w:rFonts w:ascii="Arial" w:hAnsi="Arial" w:cs="Arial"/>
          <w:sz w:val="28"/>
          <w:szCs w:val="28"/>
        </w:rPr>
        <w:t xml:space="preserve"> sus argumentos</w:t>
      </w:r>
      <w:r>
        <w:rPr>
          <w:rFonts w:ascii="Arial" w:hAnsi="Arial" w:cs="Arial"/>
          <w:sz w:val="28"/>
          <w:szCs w:val="28"/>
        </w:rPr>
        <w:t>,</w:t>
      </w:r>
      <w:r w:rsidR="00415771" w:rsidRPr="00415771">
        <w:rPr>
          <w:rFonts w:ascii="Arial" w:hAnsi="Arial" w:cs="Arial"/>
          <w:sz w:val="28"/>
          <w:szCs w:val="28"/>
        </w:rPr>
        <w:t xml:space="preserve"> el</w:t>
      </w:r>
      <w:r w:rsidR="006B4A9E">
        <w:rPr>
          <w:rFonts w:ascii="Arial" w:hAnsi="Arial" w:cs="Arial"/>
          <w:sz w:val="28"/>
          <w:szCs w:val="28"/>
        </w:rPr>
        <w:t xml:space="preserve"> apelante pretende desvirtuar </w:t>
      </w:r>
      <w:r w:rsidR="006B4A9E" w:rsidRPr="006B4A9E">
        <w:rPr>
          <w:rFonts w:ascii="Arial" w:hAnsi="Arial" w:cs="Arial"/>
          <w:sz w:val="28"/>
          <w:szCs w:val="28"/>
        </w:rPr>
        <w:t>l</w:t>
      </w:r>
      <w:r w:rsidR="006B4A9E">
        <w:rPr>
          <w:rFonts w:ascii="Arial" w:hAnsi="Arial" w:cs="Arial"/>
          <w:sz w:val="28"/>
          <w:szCs w:val="28"/>
        </w:rPr>
        <w:t xml:space="preserve">a clasificación de uso de suelo, al considerar </w:t>
      </w:r>
      <w:r w:rsidR="006B4A9E" w:rsidRPr="006B4A9E">
        <w:rPr>
          <w:rFonts w:ascii="Arial" w:hAnsi="Arial" w:cs="Arial"/>
          <w:sz w:val="28"/>
          <w:szCs w:val="28"/>
        </w:rPr>
        <w:t xml:space="preserve">irregular </w:t>
      </w:r>
      <w:r w:rsidR="00763E6A">
        <w:rPr>
          <w:rFonts w:ascii="Arial" w:hAnsi="Arial" w:cs="Arial"/>
          <w:sz w:val="28"/>
          <w:szCs w:val="28"/>
        </w:rPr>
        <w:t xml:space="preserve">la </w:t>
      </w:r>
      <w:r w:rsidR="006B4A9E" w:rsidRPr="006B4A9E">
        <w:rPr>
          <w:rFonts w:ascii="Arial" w:hAnsi="Arial" w:cs="Arial"/>
          <w:sz w:val="28"/>
          <w:szCs w:val="28"/>
        </w:rPr>
        <w:t>valoración de lo reco</w:t>
      </w:r>
      <w:r w:rsidR="00E03B2A">
        <w:rPr>
          <w:rFonts w:ascii="Arial" w:hAnsi="Arial" w:cs="Arial"/>
          <w:sz w:val="28"/>
          <w:szCs w:val="28"/>
        </w:rPr>
        <w:t>nocido en forma expresa por la oficina de c</w:t>
      </w:r>
      <w:r w:rsidR="006B4A9E" w:rsidRPr="006B4A9E">
        <w:rPr>
          <w:rFonts w:ascii="Arial" w:hAnsi="Arial" w:cs="Arial"/>
          <w:sz w:val="28"/>
          <w:szCs w:val="28"/>
        </w:rPr>
        <w:t>atastro del Municipio de San Luis Potosí, respecto de la casa marcada con el número 163 de la C</w:t>
      </w:r>
      <w:r w:rsidR="006B4A9E">
        <w:rPr>
          <w:rFonts w:ascii="Arial" w:hAnsi="Arial" w:cs="Arial"/>
          <w:sz w:val="28"/>
          <w:szCs w:val="28"/>
        </w:rPr>
        <w:t>alle Universidad de esta Ciudad</w:t>
      </w:r>
      <w:r>
        <w:rPr>
          <w:rFonts w:ascii="Arial" w:hAnsi="Arial" w:cs="Arial"/>
          <w:sz w:val="28"/>
          <w:szCs w:val="28"/>
        </w:rPr>
        <w:t>.</w:t>
      </w:r>
    </w:p>
    <w:p w14:paraId="5DBB6A45" w14:textId="77777777" w:rsidR="00D9084C" w:rsidRPr="00D9084C" w:rsidRDefault="00D9084C" w:rsidP="006B4A9E">
      <w:pPr>
        <w:autoSpaceDE w:val="0"/>
        <w:autoSpaceDN w:val="0"/>
        <w:adjustRightInd w:val="0"/>
        <w:spacing w:after="0" w:line="360" w:lineRule="auto"/>
        <w:ind w:firstLine="709"/>
        <w:jc w:val="both"/>
        <w:rPr>
          <w:rFonts w:ascii="Arial" w:hAnsi="Arial" w:cs="Arial"/>
          <w:sz w:val="10"/>
          <w:szCs w:val="10"/>
        </w:rPr>
      </w:pPr>
    </w:p>
    <w:p w14:paraId="69D3050C" w14:textId="1FE4B407" w:rsidR="006B4A9E" w:rsidRDefault="00D9084C" w:rsidP="006B4A9E">
      <w:pPr>
        <w:autoSpaceDE w:val="0"/>
        <w:autoSpaceDN w:val="0"/>
        <w:adjustRightInd w:val="0"/>
        <w:spacing w:after="0" w:line="360" w:lineRule="auto"/>
        <w:ind w:firstLine="709"/>
        <w:jc w:val="both"/>
        <w:rPr>
          <w:rFonts w:ascii="Arial" w:hAnsi="Arial" w:cs="Arial"/>
          <w:sz w:val="28"/>
          <w:szCs w:val="28"/>
        </w:rPr>
      </w:pPr>
      <w:r>
        <w:rPr>
          <w:rFonts w:ascii="Arial" w:hAnsi="Arial" w:cs="Arial"/>
          <w:sz w:val="28"/>
          <w:szCs w:val="28"/>
        </w:rPr>
        <w:t>P</w:t>
      </w:r>
      <w:r w:rsidR="00415771" w:rsidRPr="00415771">
        <w:rPr>
          <w:rFonts w:ascii="Arial" w:hAnsi="Arial" w:cs="Arial"/>
          <w:sz w:val="28"/>
          <w:szCs w:val="28"/>
        </w:rPr>
        <w:t>ero de ninguna manera</w:t>
      </w:r>
      <w:r w:rsidR="00763E6A">
        <w:rPr>
          <w:rFonts w:ascii="Arial" w:hAnsi="Arial" w:cs="Arial"/>
          <w:sz w:val="28"/>
          <w:szCs w:val="28"/>
        </w:rPr>
        <w:t>,</w:t>
      </w:r>
      <w:r w:rsidR="00415771" w:rsidRPr="00415771">
        <w:rPr>
          <w:rFonts w:ascii="Arial" w:hAnsi="Arial" w:cs="Arial"/>
          <w:sz w:val="28"/>
          <w:szCs w:val="28"/>
        </w:rPr>
        <w:t xml:space="preserve"> controvierte las consideraci</w:t>
      </w:r>
      <w:r w:rsidR="00E052D7">
        <w:rPr>
          <w:rFonts w:ascii="Arial" w:hAnsi="Arial" w:cs="Arial"/>
          <w:sz w:val="28"/>
          <w:szCs w:val="28"/>
        </w:rPr>
        <w:t xml:space="preserve">ones contenidas en la sentencia, </w:t>
      </w:r>
      <w:r w:rsidR="00E052D7" w:rsidRPr="00E052D7">
        <w:rPr>
          <w:rFonts w:ascii="Arial" w:hAnsi="Arial" w:cs="Arial"/>
          <w:sz w:val="28"/>
          <w:szCs w:val="28"/>
        </w:rPr>
        <w:t>esto 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415771" w:rsidRPr="00E052D7">
        <w:rPr>
          <w:rFonts w:ascii="Arial" w:hAnsi="Arial" w:cs="Arial"/>
          <w:sz w:val="28"/>
          <w:szCs w:val="28"/>
        </w:rPr>
        <w:t xml:space="preserve"> </w:t>
      </w:r>
      <w:r w:rsidR="00E052D7">
        <w:rPr>
          <w:rFonts w:ascii="Arial" w:hAnsi="Arial" w:cs="Arial"/>
          <w:sz w:val="28"/>
          <w:szCs w:val="28"/>
        </w:rPr>
        <w:t xml:space="preserve">al decretar el sobreseimiento del juicio de nulidad, cuestión que no ocurrió en la especie, </w:t>
      </w:r>
      <w:r w:rsidR="006B4A9E">
        <w:rPr>
          <w:rFonts w:ascii="Arial" w:hAnsi="Arial" w:cs="Arial"/>
          <w:sz w:val="28"/>
          <w:szCs w:val="28"/>
        </w:rPr>
        <w:t>lo que abunda en lo infundado de su agravio.</w:t>
      </w:r>
    </w:p>
    <w:p w14:paraId="17E531DF" w14:textId="77777777" w:rsidR="00D9084C" w:rsidRPr="00D9084C" w:rsidRDefault="00D9084C" w:rsidP="00D9084C">
      <w:pPr>
        <w:autoSpaceDE w:val="0"/>
        <w:autoSpaceDN w:val="0"/>
        <w:adjustRightInd w:val="0"/>
        <w:spacing w:after="0" w:line="360" w:lineRule="auto"/>
        <w:ind w:firstLine="709"/>
        <w:jc w:val="both"/>
        <w:rPr>
          <w:rFonts w:ascii="Arial" w:hAnsi="Arial" w:cs="Arial"/>
          <w:sz w:val="10"/>
          <w:szCs w:val="10"/>
        </w:rPr>
      </w:pPr>
    </w:p>
    <w:p w14:paraId="1885E7AC" w14:textId="0B24A546" w:rsidR="00D9084C" w:rsidRDefault="00D9084C" w:rsidP="00D9084C">
      <w:pPr>
        <w:autoSpaceDE w:val="0"/>
        <w:autoSpaceDN w:val="0"/>
        <w:adjustRightInd w:val="0"/>
        <w:spacing w:after="0" w:line="360" w:lineRule="auto"/>
        <w:ind w:firstLine="709"/>
        <w:jc w:val="both"/>
        <w:rPr>
          <w:rFonts w:ascii="Arial" w:hAnsi="Arial" w:cs="Arial"/>
          <w:sz w:val="28"/>
          <w:szCs w:val="28"/>
        </w:rPr>
      </w:pPr>
      <w:r>
        <w:rPr>
          <w:rFonts w:ascii="Arial" w:hAnsi="Arial" w:cs="Arial"/>
          <w:sz w:val="28"/>
          <w:szCs w:val="28"/>
        </w:rPr>
        <w:t xml:space="preserve">Sirve de apoyo para sustentar lo anterior la jurisprudencia </w:t>
      </w:r>
      <w:r w:rsidRPr="00E052D7">
        <w:rPr>
          <w:rFonts w:ascii="Arial" w:hAnsi="Arial" w:cs="Arial"/>
          <w:sz w:val="28"/>
          <w:szCs w:val="28"/>
        </w:rPr>
        <w:t>con número de registro digital 2009835</w:t>
      </w:r>
      <w:r>
        <w:rPr>
          <w:rFonts w:ascii="Arial" w:hAnsi="Arial" w:cs="Arial"/>
          <w:sz w:val="28"/>
          <w:szCs w:val="28"/>
        </w:rPr>
        <w:t>, de rubro y texto siguiente:</w:t>
      </w:r>
    </w:p>
    <w:p w14:paraId="64156DE0" w14:textId="67E16B33" w:rsidR="00D9084C" w:rsidRPr="00D9084C" w:rsidRDefault="00D9084C" w:rsidP="00D9084C">
      <w:pPr>
        <w:autoSpaceDE w:val="0"/>
        <w:autoSpaceDN w:val="0"/>
        <w:adjustRightInd w:val="0"/>
        <w:spacing w:after="0" w:line="240" w:lineRule="auto"/>
        <w:ind w:left="709" w:right="618"/>
        <w:jc w:val="both"/>
        <w:rPr>
          <w:rFonts w:ascii="Arial Narrow" w:hAnsi="Arial Narrow" w:cs="Arial"/>
          <w:i/>
          <w:sz w:val="24"/>
          <w:szCs w:val="24"/>
        </w:rPr>
      </w:pPr>
      <w:r w:rsidRPr="00D9084C">
        <w:rPr>
          <w:rFonts w:ascii="Arial Narrow" w:hAnsi="Arial Narrow" w:cs="Arial"/>
          <w:b/>
          <w:i/>
          <w:sz w:val="24"/>
          <w:szCs w:val="24"/>
        </w:rPr>
        <w:t>“CONCEPTOS DE VIOLACIÓN EN EL AMPARO DIRECTO. SON INFUNDADOS AQUELLOS QUE REPROCHAN A LA AUTORIDAD RESPONSABLE LA OMISIÓN DE ANÁLISIS DE LOS CONCEPTOS DE NULIDAD DE FONDO, SI EN EL JUICIO CONTENCIOSO ADMINISTRATIVO FEDERAL SE SOBRESEYÓ AL ACTUALIZARSE UNA CAUSA DE IMPROCEDENCIA CUYO ESTUDIO ES PREFERENTE Y DE OFICIO.</w:t>
      </w:r>
      <w:r w:rsidRPr="00D9084C">
        <w:rPr>
          <w:rFonts w:ascii="Arial Narrow" w:hAnsi="Arial Narrow" w:cs="Arial"/>
          <w:i/>
          <w:sz w:val="24"/>
          <w:szCs w:val="24"/>
        </w:rPr>
        <w:t xml:space="preserve"> El sobreseimiento es una institución de carácter procesal que pone fin al juicio, al aparecer una causa que impide se resuelva la cuestión de fondo planteada, por lo cual no existe ninguna declaración del juzgador sobre la legalidad o ilegalidad del acto impugnado y se dejan las cosas en el estado que se encontraban antes de la presentación de la </w:t>
      </w:r>
      <w:r w:rsidRPr="00D9084C">
        <w:rPr>
          <w:rFonts w:ascii="Arial Narrow" w:hAnsi="Arial Narrow" w:cs="Arial"/>
          <w:i/>
          <w:sz w:val="24"/>
          <w:szCs w:val="24"/>
        </w:rPr>
        <w:lastRenderedPageBreak/>
        <w:t xml:space="preserve">demanda. Ahora bien, el artículo 9o. de la Ley Federal de Procedimiento Contencioso Administrativo dispone que el sobreseimiento en el juicio procederá, entre otros casos, cuando durante éste aparezca o sobrevenga alguna de las causas de improcedencia a que se refiere el artículo 8o. de dicho ordenamiento; de ahí que si en el juicio contencioso administrativo federal se decretó el sobreseimiento al actualizarse una causa de improcedencia cuyo estudio es preferente y de oficio, el </w:t>
      </w:r>
      <w:proofErr w:type="spellStart"/>
      <w:r w:rsidRPr="00D9084C">
        <w:rPr>
          <w:rFonts w:ascii="Arial Narrow" w:hAnsi="Arial Narrow" w:cs="Arial"/>
          <w:i/>
          <w:sz w:val="24"/>
          <w:szCs w:val="24"/>
        </w:rPr>
        <w:t>resolutor</w:t>
      </w:r>
      <w:proofErr w:type="spellEnd"/>
      <w:r w:rsidRPr="00D9084C">
        <w:rPr>
          <w:rFonts w:ascii="Arial Narrow" w:hAnsi="Arial Narrow" w:cs="Arial"/>
          <w:i/>
          <w:sz w:val="24"/>
          <w:szCs w:val="24"/>
        </w:rPr>
        <w:t xml:space="preserve"> no puede analizar los conceptos de nulidad encaminados a demostrar la ilegalidad de la resolución reclamada, que constituye el problema de fondo. Consecuentemente, cuando en el amparo directo se reprocha a la autoridad responsable la omisión de ese análisis, los conceptos de violación relativos son infundados.”</w:t>
      </w:r>
    </w:p>
    <w:p w14:paraId="252513A7" w14:textId="77777777" w:rsidR="00D9084C" w:rsidRPr="00D9084C" w:rsidRDefault="00D9084C" w:rsidP="00D9084C">
      <w:pPr>
        <w:autoSpaceDE w:val="0"/>
        <w:autoSpaceDN w:val="0"/>
        <w:adjustRightInd w:val="0"/>
        <w:spacing w:after="0" w:line="360" w:lineRule="auto"/>
        <w:ind w:firstLine="709"/>
        <w:jc w:val="both"/>
        <w:rPr>
          <w:rFonts w:ascii="Arial" w:hAnsi="Arial" w:cs="Arial"/>
          <w:i/>
          <w:sz w:val="10"/>
          <w:szCs w:val="10"/>
        </w:rPr>
      </w:pPr>
    </w:p>
    <w:p w14:paraId="5F7E44C0" w14:textId="7CB14B34" w:rsidR="00E052D7" w:rsidRDefault="00D9084C" w:rsidP="00E052D7">
      <w:pPr>
        <w:spacing w:before="240" w:after="0" w:line="360" w:lineRule="auto"/>
        <w:ind w:firstLine="709"/>
        <w:jc w:val="both"/>
        <w:rPr>
          <w:rFonts w:ascii="Arial" w:hAnsi="Arial" w:cs="Arial"/>
          <w:sz w:val="28"/>
          <w:szCs w:val="28"/>
        </w:rPr>
      </w:pPr>
      <w:r>
        <w:rPr>
          <w:rFonts w:ascii="Arial" w:hAnsi="Arial" w:cs="Arial"/>
          <w:sz w:val="28"/>
          <w:szCs w:val="28"/>
        </w:rPr>
        <w:t>Así como</w:t>
      </w:r>
      <w:r w:rsidR="00E052D7" w:rsidRPr="00E052D7">
        <w:rPr>
          <w:rFonts w:ascii="Arial" w:hAnsi="Arial" w:cs="Arial"/>
          <w:sz w:val="28"/>
          <w:szCs w:val="28"/>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14:paraId="1752E116" w14:textId="389F103D" w:rsidR="00E052D7" w:rsidRPr="00E052D7" w:rsidRDefault="00D9084C" w:rsidP="00BA6B6F">
      <w:pPr>
        <w:spacing w:after="0" w:line="240" w:lineRule="auto"/>
        <w:ind w:left="851" w:right="709"/>
        <w:jc w:val="both"/>
        <w:rPr>
          <w:rFonts w:ascii="Arial Narrow" w:hAnsi="Arial Narrow" w:cs="Arial"/>
          <w:sz w:val="24"/>
          <w:szCs w:val="24"/>
        </w:rPr>
      </w:pPr>
      <w:r w:rsidRPr="00E052D7">
        <w:rPr>
          <w:rFonts w:ascii="Arial Narrow" w:hAnsi="Arial Narrow" w:cs="Arial"/>
          <w:sz w:val="24"/>
          <w:szCs w:val="24"/>
        </w:rPr>
        <w:t xml:space="preserve"> </w:t>
      </w:r>
      <w:r w:rsidR="00E052D7" w:rsidRPr="00E052D7">
        <w:rPr>
          <w:rFonts w:ascii="Arial Narrow" w:hAnsi="Arial Narrow" w:cs="Arial"/>
          <w:sz w:val="24"/>
          <w:szCs w:val="24"/>
        </w:rPr>
        <w:t>“</w:t>
      </w:r>
      <w:r w:rsidR="00E052D7" w:rsidRPr="00E052D7">
        <w:rPr>
          <w:rFonts w:ascii="Arial Narrow" w:hAnsi="Arial Narrow" w:cs="Arial"/>
          <w:b/>
          <w:i/>
          <w:sz w:val="24"/>
          <w:szCs w:val="24"/>
        </w:rPr>
        <w:t>AGRAVIOS. DEBEN DE IMPUGNAR LA ILEGALIDAD DEL FALLO RECURRIDO</w:t>
      </w:r>
      <w:r w:rsidR="00E052D7" w:rsidRPr="00E052D7">
        <w:rPr>
          <w:rFonts w:ascii="Arial Narrow" w:hAnsi="Arial Narrow" w:cs="Arial"/>
          <w:i/>
          <w:sz w:val="24"/>
          <w:szCs w:val="24"/>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E052D7" w:rsidRPr="00E052D7">
        <w:rPr>
          <w:rFonts w:ascii="Arial Narrow" w:hAnsi="Arial Narrow" w:cs="Arial"/>
          <w:sz w:val="24"/>
          <w:szCs w:val="24"/>
        </w:rPr>
        <w:t>”.</w:t>
      </w:r>
    </w:p>
    <w:p w14:paraId="55883145" w14:textId="77777777" w:rsidR="00D31A62" w:rsidRPr="00994F28" w:rsidRDefault="00D31A62" w:rsidP="006657ED">
      <w:pPr>
        <w:autoSpaceDE w:val="0"/>
        <w:autoSpaceDN w:val="0"/>
        <w:adjustRightInd w:val="0"/>
        <w:spacing w:after="0" w:line="360" w:lineRule="auto"/>
        <w:ind w:firstLine="709"/>
        <w:jc w:val="both"/>
        <w:rPr>
          <w:rFonts w:ascii="Arial" w:hAnsi="Arial" w:cs="Arial"/>
          <w:sz w:val="10"/>
          <w:szCs w:val="10"/>
        </w:rPr>
      </w:pPr>
    </w:p>
    <w:p w14:paraId="5DECB4B9" w14:textId="72B0F68E" w:rsidR="00D9084C" w:rsidRDefault="00D9084C" w:rsidP="00177FB2">
      <w:pPr>
        <w:pStyle w:val="Prrafodelista"/>
        <w:widowControl w:val="0"/>
        <w:spacing w:after="0" w:line="360" w:lineRule="auto"/>
        <w:ind w:left="0" w:firstLine="851"/>
        <w:jc w:val="both"/>
        <w:rPr>
          <w:rFonts w:ascii="Arial" w:hAnsi="Arial" w:cs="Arial"/>
          <w:sz w:val="28"/>
          <w:szCs w:val="28"/>
        </w:rPr>
      </w:pPr>
      <w:r>
        <w:rPr>
          <w:rFonts w:ascii="Arial" w:hAnsi="Arial" w:cs="Arial"/>
          <w:sz w:val="28"/>
          <w:szCs w:val="28"/>
        </w:rPr>
        <w:t xml:space="preserve">Misma calificativa </w:t>
      </w:r>
      <w:r w:rsidR="00BA6B6F">
        <w:rPr>
          <w:rFonts w:ascii="Arial" w:hAnsi="Arial" w:cs="Arial"/>
          <w:sz w:val="28"/>
          <w:szCs w:val="28"/>
        </w:rPr>
        <w:t xml:space="preserve">merece </w:t>
      </w:r>
      <w:r>
        <w:rPr>
          <w:rFonts w:ascii="Arial" w:hAnsi="Arial" w:cs="Arial"/>
          <w:sz w:val="28"/>
          <w:szCs w:val="28"/>
        </w:rPr>
        <w:t xml:space="preserve">el segundo agravio esgrimido por la recurrente, en que señala medularmente </w:t>
      </w:r>
      <w:r w:rsidR="00994F28">
        <w:rPr>
          <w:rFonts w:ascii="Arial" w:hAnsi="Arial" w:cs="Arial"/>
          <w:sz w:val="28"/>
          <w:szCs w:val="28"/>
        </w:rPr>
        <w:t xml:space="preserve">que se </w:t>
      </w:r>
      <w:r w:rsidR="00994F28" w:rsidRPr="00994F28">
        <w:rPr>
          <w:rFonts w:ascii="Arial" w:hAnsi="Arial" w:cs="Arial"/>
          <w:sz w:val="28"/>
          <w:szCs w:val="28"/>
        </w:rPr>
        <w:t xml:space="preserve">violenta el principio lógico jurídico impuesto por la norma procesal, en cuanto a que la negativa expresada por las autoridades aquí demandadas les obligaba a </w:t>
      </w:r>
      <w:r w:rsidR="007D18C2">
        <w:rPr>
          <w:rFonts w:ascii="Arial" w:hAnsi="Arial" w:cs="Arial"/>
          <w:sz w:val="28"/>
          <w:szCs w:val="28"/>
        </w:rPr>
        <w:t>estas a probar que en todo caso</w:t>
      </w:r>
      <w:r w:rsidR="0066687D">
        <w:rPr>
          <w:rFonts w:ascii="Arial" w:hAnsi="Arial" w:cs="Arial"/>
          <w:sz w:val="28"/>
          <w:szCs w:val="28"/>
        </w:rPr>
        <w:t xml:space="preserve"> le </w:t>
      </w:r>
      <w:r w:rsidR="00994F28" w:rsidRPr="00994F28">
        <w:rPr>
          <w:rFonts w:ascii="Arial" w:hAnsi="Arial" w:cs="Arial"/>
          <w:sz w:val="28"/>
          <w:szCs w:val="28"/>
        </w:rPr>
        <w:t xml:space="preserve">han brindado la atención oportuna y comedida en </w:t>
      </w:r>
      <w:r w:rsidR="00994F28">
        <w:rPr>
          <w:rFonts w:ascii="Arial" w:hAnsi="Arial" w:cs="Arial"/>
          <w:sz w:val="28"/>
          <w:szCs w:val="28"/>
        </w:rPr>
        <w:t>su</w:t>
      </w:r>
      <w:r w:rsidR="00994F28" w:rsidRPr="00994F28">
        <w:rPr>
          <w:rFonts w:ascii="Arial" w:hAnsi="Arial" w:cs="Arial"/>
          <w:sz w:val="28"/>
          <w:szCs w:val="28"/>
        </w:rPr>
        <w:t xml:space="preserve"> condición de usuario de un servicio público delegado, como lo es el agua potable.</w:t>
      </w:r>
    </w:p>
    <w:p w14:paraId="2CCAD32A" w14:textId="77777777" w:rsidR="00BE006D" w:rsidRPr="00BE006D" w:rsidRDefault="00BE006D" w:rsidP="00177FB2">
      <w:pPr>
        <w:pStyle w:val="Prrafodelista"/>
        <w:widowControl w:val="0"/>
        <w:spacing w:after="0" w:line="360" w:lineRule="auto"/>
        <w:ind w:left="0" w:firstLine="851"/>
        <w:jc w:val="both"/>
        <w:rPr>
          <w:rFonts w:ascii="Arial" w:hAnsi="Arial" w:cs="Arial"/>
          <w:sz w:val="10"/>
          <w:szCs w:val="10"/>
        </w:rPr>
      </w:pPr>
    </w:p>
    <w:p w14:paraId="2CB42A67" w14:textId="4680671C" w:rsidR="00BE006D" w:rsidRDefault="00BA6B6F" w:rsidP="00750CE2">
      <w:pPr>
        <w:spacing w:after="0" w:line="360" w:lineRule="auto"/>
        <w:ind w:firstLine="851"/>
        <w:jc w:val="both"/>
        <w:rPr>
          <w:rFonts w:ascii="Arial" w:hAnsi="Arial" w:cs="Arial"/>
          <w:color w:val="000000"/>
          <w:sz w:val="28"/>
          <w:szCs w:val="28"/>
          <w:lang w:eastAsia="es-MX"/>
        </w:rPr>
      </w:pPr>
      <w:r>
        <w:rPr>
          <w:rFonts w:ascii="Arial" w:eastAsia="Times New Roman" w:hAnsi="Arial" w:cs="Arial"/>
          <w:sz w:val="28"/>
          <w:szCs w:val="28"/>
          <w:lang w:val="es-ES" w:eastAsia="es-ES"/>
        </w:rPr>
        <w:lastRenderedPageBreak/>
        <w:t xml:space="preserve">Lo anterior es así, ya que </w:t>
      </w:r>
      <w:r w:rsidRPr="00BA6B6F">
        <w:rPr>
          <w:rFonts w:ascii="Arial" w:eastAsia="Times New Roman" w:hAnsi="Arial" w:cs="Arial"/>
          <w:sz w:val="28"/>
          <w:szCs w:val="28"/>
          <w:lang w:val="es-ES" w:eastAsia="es-ES"/>
        </w:rPr>
        <w:t>el reclamante yerra en su apreciación, ya que</w:t>
      </w:r>
      <w:r w:rsidR="00E85A02">
        <w:rPr>
          <w:rFonts w:ascii="Arial" w:eastAsia="Times New Roman" w:hAnsi="Arial" w:cs="Arial"/>
          <w:sz w:val="28"/>
          <w:szCs w:val="28"/>
          <w:lang w:val="es-ES" w:eastAsia="es-ES"/>
        </w:rPr>
        <w:t xml:space="preserve">, como acertadamente lo determinó la </w:t>
      </w:r>
      <w:r w:rsidR="00E85A02" w:rsidRPr="00E85A02">
        <w:rPr>
          <w:rFonts w:ascii="Arial" w:eastAsia="Times New Roman" w:hAnsi="Arial" w:cs="Arial"/>
          <w:i/>
          <w:sz w:val="28"/>
          <w:szCs w:val="28"/>
          <w:lang w:val="es-ES" w:eastAsia="es-ES"/>
        </w:rPr>
        <w:t>A quo</w:t>
      </w:r>
      <w:r w:rsidR="00E85A02">
        <w:rPr>
          <w:rFonts w:ascii="Arial" w:eastAsia="Times New Roman" w:hAnsi="Arial" w:cs="Arial"/>
          <w:sz w:val="28"/>
          <w:szCs w:val="28"/>
          <w:lang w:val="es-ES" w:eastAsia="es-ES"/>
        </w:rPr>
        <w:t>,</w:t>
      </w:r>
      <w:r w:rsidRPr="00BA6B6F">
        <w:rPr>
          <w:rFonts w:ascii="Arial" w:eastAsia="Times New Roman" w:hAnsi="Arial" w:cs="Arial"/>
          <w:sz w:val="28"/>
          <w:szCs w:val="28"/>
          <w:lang w:val="es-ES" w:eastAsia="es-ES"/>
        </w:rPr>
        <w:t xml:space="preserve"> estaba obligada a probar su acción, máxime que la</w:t>
      </w:r>
      <w:r w:rsidR="00750CE2">
        <w:rPr>
          <w:rFonts w:ascii="Arial" w:eastAsia="Times New Roman" w:hAnsi="Arial" w:cs="Arial"/>
          <w:sz w:val="28"/>
          <w:szCs w:val="28"/>
          <w:lang w:val="es-ES" w:eastAsia="es-ES"/>
        </w:rPr>
        <w:t>s</w:t>
      </w:r>
      <w:r w:rsidRPr="00BA6B6F">
        <w:rPr>
          <w:rFonts w:ascii="Arial" w:eastAsia="Times New Roman" w:hAnsi="Arial" w:cs="Arial"/>
          <w:sz w:val="28"/>
          <w:szCs w:val="28"/>
          <w:lang w:val="es-ES" w:eastAsia="es-ES"/>
        </w:rPr>
        <w:t xml:space="preserve"> autoridad</w:t>
      </w:r>
      <w:r w:rsidR="00750CE2">
        <w:rPr>
          <w:rFonts w:ascii="Arial" w:eastAsia="Times New Roman" w:hAnsi="Arial" w:cs="Arial"/>
          <w:sz w:val="28"/>
          <w:szCs w:val="28"/>
          <w:lang w:val="es-ES" w:eastAsia="es-ES"/>
        </w:rPr>
        <w:t>es</w:t>
      </w:r>
      <w:r w:rsidRPr="00BA6B6F">
        <w:rPr>
          <w:rFonts w:ascii="Arial" w:eastAsia="Times New Roman" w:hAnsi="Arial" w:cs="Arial"/>
          <w:sz w:val="28"/>
          <w:szCs w:val="28"/>
          <w:lang w:val="es-ES" w:eastAsia="es-ES"/>
        </w:rPr>
        <w:t xml:space="preserve"> </w:t>
      </w:r>
      <w:r w:rsidR="00E01386">
        <w:rPr>
          <w:rFonts w:ascii="Arial" w:eastAsia="Times New Roman" w:hAnsi="Arial" w:cs="Arial"/>
          <w:sz w:val="28"/>
          <w:szCs w:val="28"/>
          <w:lang w:val="es-ES" w:eastAsia="es-ES"/>
        </w:rPr>
        <w:t>reo</w:t>
      </w:r>
      <w:r w:rsidRPr="00BA6B6F">
        <w:rPr>
          <w:rFonts w:ascii="Arial" w:eastAsia="Times New Roman" w:hAnsi="Arial" w:cs="Arial"/>
          <w:sz w:val="28"/>
          <w:szCs w:val="28"/>
          <w:lang w:val="es-ES" w:eastAsia="es-ES"/>
        </w:rPr>
        <w:t xml:space="preserve"> al producir su contestación negaron la existencia de</w:t>
      </w:r>
      <w:r w:rsidR="00750CE2">
        <w:rPr>
          <w:rFonts w:ascii="Arial" w:eastAsia="Times New Roman" w:hAnsi="Arial" w:cs="Arial"/>
          <w:sz w:val="28"/>
          <w:szCs w:val="28"/>
          <w:lang w:val="es-ES" w:eastAsia="es-ES"/>
        </w:rPr>
        <w:t xml:space="preserve"> los actos impugnados, </w:t>
      </w:r>
      <w:r w:rsidR="00750CE2">
        <w:rPr>
          <w:rFonts w:ascii="Arial" w:hAnsi="Arial" w:cs="Arial"/>
          <w:color w:val="000000"/>
          <w:sz w:val="28"/>
          <w:szCs w:val="28"/>
          <w:lang w:eastAsia="es-MX"/>
        </w:rPr>
        <w:t>razón por la cual</w:t>
      </w:r>
      <w:r w:rsidR="00750CE2" w:rsidRPr="00F04D2A">
        <w:rPr>
          <w:rFonts w:ascii="Arial" w:hAnsi="Arial" w:cs="Arial"/>
          <w:color w:val="000000"/>
          <w:sz w:val="28"/>
          <w:szCs w:val="28"/>
          <w:lang w:eastAsia="es-MX"/>
        </w:rPr>
        <w:t xml:space="preserve"> no fue posible </w:t>
      </w:r>
      <w:r w:rsidR="00E85A02">
        <w:rPr>
          <w:rFonts w:ascii="Arial" w:hAnsi="Arial" w:cs="Arial"/>
          <w:color w:val="000000"/>
          <w:sz w:val="28"/>
          <w:szCs w:val="28"/>
          <w:lang w:eastAsia="es-MX"/>
        </w:rPr>
        <w:t xml:space="preserve">para las </w:t>
      </w:r>
      <w:r w:rsidR="00750CE2">
        <w:rPr>
          <w:rFonts w:ascii="Arial" w:hAnsi="Arial" w:cs="Arial"/>
          <w:color w:val="000000"/>
          <w:sz w:val="28"/>
          <w:szCs w:val="28"/>
          <w:lang w:eastAsia="es-MX"/>
        </w:rPr>
        <w:t>enjuiciada</w:t>
      </w:r>
      <w:r w:rsidR="00E85A02">
        <w:rPr>
          <w:rFonts w:ascii="Arial" w:hAnsi="Arial" w:cs="Arial"/>
          <w:color w:val="000000"/>
          <w:sz w:val="28"/>
          <w:szCs w:val="28"/>
          <w:lang w:eastAsia="es-MX"/>
        </w:rPr>
        <w:t>s</w:t>
      </w:r>
      <w:r w:rsidR="00750CE2">
        <w:rPr>
          <w:rFonts w:ascii="Arial" w:hAnsi="Arial" w:cs="Arial"/>
          <w:color w:val="000000"/>
          <w:sz w:val="28"/>
          <w:szCs w:val="28"/>
          <w:lang w:eastAsia="es-MX"/>
        </w:rPr>
        <w:t xml:space="preserve"> </w:t>
      </w:r>
      <w:r w:rsidR="00750CE2" w:rsidRPr="00F04D2A">
        <w:rPr>
          <w:rFonts w:ascii="Arial" w:hAnsi="Arial" w:cs="Arial"/>
          <w:color w:val="000000"/>
          <w:sz w:val="28"/>
          <w:szCs w:val="28"/>
          <w:lang w:eastAsia="es-MX"/>
        </w:rPr>
        <w:t>atender la peti</w:t>
      </w:r>
      <w:r w:rsidR="00E01386">
        <w:rPr>
          <w:rFonts w:ascii="Arial" w:hAnsi="Arial" w:cs="Arial"/>
          <w:color w:val="000000"/>
          <w:sz w:val="28"/>
          <w:szCs w:val="28"/>
          <w:lang w:eastAsia="es-MX"/>
        </w:rPr>
        <w:t>ción</w:t>
      </w:r>
      <w:r w:rsidR="00750CE2" w:rsidRPr="00F04D2A">
        <w:rPr>
          <w:rFonts w:ascii="Arial" w:hAnsi="Arial" w:cs="Arial"/>
          <w:color w:val="000000"/>
          <w:sz w:val="28"/>
          <w:szCs w:val="28"/>
          <w:lang w:eastAsia="es-MX"/>
        </w:rPr>
        <w:t xml:space="preserve"> de </w:t>
      </w:r>
      <w:r w:rsidR="00750CE2">
        <w:rPr>
          <w:rFonts w:ascii="Arial" w:hAnsi="Arial" w:cs="Arial"/>
          <w:color w:val="000000"/>
          <w:sz w:val="28"/>
          <w:szCs w:val="28"/>
          <w:lang w:eastAsia="es-MX"/>
        </w:rPr>
        <w:t>concederle</w:t>
      </w:r>
      <w:r w:rsidR="00750CE2" w:rsidRPr="00750CE2">
        <w:rPr>
          <w:rFonts w:ascii="Arial" w:hAnsi="Arial" w:cs="Arial"/>
          <w:color w:val="000000"/>
          <w:sz w:val="28"/>
          <w:szCs w:val="28"/>
          <w:lang w:eastAsia="es-MX"/>
        </w:rPr>
        <w:t xml:space="preserve"> el beneficio fiscal relativo al pago del servicio de agua potable, tipo doméstico, ejercicio fiscal </w:t>
      </w:r>
      <w:r w:rsidR="00750CE2">
        <w:rPr>
          <w:rFonts w:ascii="Arial" w:hAnsi="Arial" w:cs="Arial"/>
          <w:color w:val="000000"/>
          <w:sz w:val="28"/>
          <w:szCs w:val="28"/>
          <w:lang w:eastAsia="es-MX"/>
        </w:rPr>
        <w:t>dos mil veintidós</w:t>
      </w:r>
      <w:r w:rsidR="00750CE2" w:rsidRPr="00750CE2">
        <w:rPr>
          <w:rFonts w:ascii="Arial" w:hAnsi="Arial" w:cs="Arial"/>
          <w:color w:val="000000"/>
          <w:sz w:val="28"/>
          <w:szCs w:val="28"/>
          <w:lang w:eastAsia="es-MX"/>
        </w:rPr>
        <w:t>, en el domicilio que se precisa en la demanda, así como co</w:t>
      </w:r>
      <w:r w:rsidR="00BE006D">
        <w:rPr>
          <w:rFonts w:ascii="Arial" w:hAnsi="Arial" w:cs="Arial"/>
          <w:color w:val="000000"/>
          <w:sz w:val="28"/>
          <w:szCs w:val="28"/>
          <w:lang w:eastAsia="es-MX"/>
        </w:rPr>
        <w:t>nceder la autorización para el c</w:t>
      </w:r>
      <w:r w:rsidR="00750CE2" w:rsidRPr="00750CE2">
        <w:rPr>
          <w:rFonts w:ascii="Arial" w:hAnsi="Arial" w:cs="Arial"/>
          <w:color w:val="000000"/>
          <w:sz w:val="28"/>
          <w:szCs w:val="28"/>
          <w:lang w:eastAsia="es-MX"/>
        </w:rPr>
        <w:t xml:space="preserve">ambio de titularidad del contrato de servicio doméstico de agua y </w:t>
      </w:r>
      <w:r w:rsidR="00BE006D">
        <w:rPr>
          <w:rFonts w:ascii="Arial" w:hAnsi="Arial" w:cs="Arial"/>
          <w:color w:val="000000"/>
          <w:sz w:val="28"/>
          <w:szCs w:val="28"/>
          <w:lang w:eastAsia="es-MX"/>
        </w:rPr>
        <w:t xml:space="preserve">el cambio </w:t>
      </w:r>
      <w:r w:rsidR="00750CE2" w:rsidRPr="00750CE2">
        <w:rPr>
          <w:rFonts w:ascii="Arial" w:hAnsi="Arial" w:cs="Arial"/>
          <w:color w:val="000000"/>
          <w:sz w:val="28"/>
          <w:szCs w:val="28"/>
          <w:lang w:eastAsia="es-MX"/>
        </w:rPr>
        <w:t>de tarifa comercial</w:t>
      </w:r>
      <w:r w:rsidR="00BE006D">
        <w:rPr>
          <w:rFonts w:ascii="Arial" w:hAnsi="Arial" w:cs="Arial"/>
          <w:color w:val="000000"/>
          <w:sz w:val="28"/>
          <w:szCs w:val="28"/>
          <w:lang w:eastAsia="es-MX"/>
        </w:rPr>
        <w:t xml:space="preserve"> a habitacional.</w:t>
      </w:r>
    </w:p>
    <w:p w14:paraId="14A60A67" w14:textId="77777777" w:rsidR="0066687D" w:rsidRPr="0066687D" w:rsidRDefault="0066687D" w:rsidP="00750CE2">
      <w:pPr>
        <w:spacing w:after="0" w:line="360" w:lineRule="auto"/>
        <w:ind w:firstLine="851"/>
        <w:jc w:val="both"/>
        <w:rPr>
          <w:rFonts w:ascii="Arial" w:hAnsi="Arial" w:cs="Arial"/>
          <w:color w:val="000000"/>
          <w:sz w:val="10"/>
          <w:szCs w:val="10"/>
          <w:lang w:eastAsia="es-MX"/>
        </w:rPr>
      </w:pPr>
    </w:p>
    <w:p w14:paraId="3B610914" w14:textId="79F647D5" w:rsidR="0066687D" w:rsidRPr="007D18C2" w:rsidRDefault="0066687D" w:rsidP="0066687D">
      <w:pPr>
        <w:spacing w:before="240" w:after="240" w:line="360" w:lineRule="auto"/>
        <w:ind w:right="51" w:firstLine="709"/>
        <w:contextualSpacing/>
        <w:jc w:val="both"/>
        <w:rPr>
          <w:rFonts w:ascii="Arial" w:eastAsia="Times New Roman" w:hAnsi="Arial" w:cs="Arial"/>
          <w:bCs/>
          <w:i/>
          <w:color w:val="000000"/>
          <w:sz w:val="28"/>
          <w:szCs w:val="28"/>
          <w:lang w:eastAsia="es-ES"/>
        </w:rPr>
      </w:pPr>
      <w:r>
        <w:rPr>
          <w:rFonts w:ascii="Arial" w:eastAsia="Times New Roman" w:hAnsi="Arial" w:cs="Arial"/>
          <w:bCs/>
          <w:color w:val="000000"/>
          <w:sz w:val="28"/>
          <w:szCs w:val="28"/>
          <w:lang w:eastAsia="es-ES"/>
        </w:rPr>
        <w:t xml:space="preserve">Entonces, </w:t>
      </w:r>
      <w:r w:rsidRPr="00BB7C84">
        <w:rPr>
          <w:rFonts w:ascii="Arial" w:eastAsia="Times New Roman" w:hAnsi="Arial" w:cs="Arial"/>
          <w:bCs/>
          <w:color w:val="000000"/>
          <w:sz w:val="28"/>
          <w:szCs w:val="28"/>
          <w:lang w:eastAsia="es-ES"/>
        </w:rPr>
        <w:t xml:space="preserve">debe decirse que los actos cuya existencia fue negada por las autoridades responsables, no tienen el carácter de negativos, pues no consisten en un rehusar a hacer algo por parte de las autoridades responsables en favor de lo solicitado por el </w:t>
      </w:r>
      <w:proofErr w:type="spellStart"/>
      <w:r w:rsidRPr="00BB7C84">
        <w:rPr>
          <w:rFonts w:ascii="Arial" w:eastAsia="Times New Roman" w:hAnsi="Arial" w:cs="Arial"/>
          <w:bCs/>
          <w:color w:val="000000"/>
          <w:sz w:val="28"/>
          <w:szCs w:val="28"/>
          <w:lang w:eastAsia="es-ES"/>
        </w:rPr>
        <w:t>gobernado</w:t>
      </w:r>
      <w:proofErr w:type="spellEnd"/>
      <w:r w:rsidRPr="00BB7C84">
        <w:rPr>
          <w:rFonts w:ascii="Arial" w:eastAsia="Times New Roman" w:hAnsi="Arial" w:cs="Arial"/>
          <w:bCs/>
          <w:color w:val="000000"/>
          <w:sz w:val="28"/>
          <w:szCs w:val="28"/>
          <w:lang w:eastAsia="es-ES"/>
        </w:rPr>
        <w:t>, de ahí que</w:t>
      </w:r>
      <w:r w:rsidR="00E01386">
        <w:rPr>
          <w:rFonts w:ascii="Arial" w:eastAsia="Times New Roman" w:hAnsi="Arial" w:cs="Arial"/>
          <w:bCs/>
          <w:color w:val="000000"/>
          <w:sz w:val="28"/>
          <w:szCs w:val="28"/>
          <w:lang w:eastAsia="es-ES"/>
        </w:rPr>
        <w:t>,</w:t>
      </w:r>
      <w:r w:rsidRPr="00BB7C84">
        <w:rPr>
          <w:rFonts w:ascii="Arial" w:eastAsia="Times New Roman" w:hAnsi="Arial" w:cs="Arial"/>
          <w:bCs/>
          <w:color w:val="000000"/>
          <w:sz w:val="28"/>
          <w:szCs w:val="28"/>
          <w:lang w:eastAsia="es-ES"/>
        </w:rPr>
        <w:t xml:space="preserve"> la carga de la prueba correspondía al </w:t>
      </w:r>
      <w:r>
        <w:rPr>
          <w:rFonts w:ascii="Arial" w:eastAsia="Times New Roman" w:hAnsi="Arial" w:cs="Arial"/>
          <w:bCs/>
          <w:color w:val="000000"/>
          <w:sz w:val="28"/>
          <w:szCs w:val="28"/>
          <w:lang w:eastAsia="es-ES"/>
        </w:rPr>
        <w:t>recurrente</w:t>
      </w:r>
      <w:r w:rsidRPr="00BB7C84">
        <w:rPr>
          <w:rFonts w:ascii="Arial" w:eastAsia="Times New Roman" w:hAnsi="Arial" w:cs="Arial"/>
          <w:bCs/>
          <w:color w:val="000000"/>
          <w:sz w:val="28"/>
          <w:szCs w:val="28"/>
          <w:lang w:eastAsia="es-ES"/>
        </w:rPr>
        <w:t>, es decir que éste tenía el deber de acreditar la existencia de los actos reclamados, conforme la máxima de derecho que señala que</w:t>
      </w:r>
      <w:r w:rsidR="007D18C2">
        <w:rPr>
          <w:rFonts w:ascii="Arial" w:eastAsia="Times New Roman" w:hAnsi="Arial" w:cs="Arial"/>
          <w:bCs/>
          <w:color w:val="000000"/>
          <w:sz w:val="28"/>
          <w:szCs w:val="28"/>
          <w:lang w:eastAsia="es-ES"/>
        </w:rPr>
        <w:t>:</w:t>
      </w:r>
      <w:r w:rsidRPr="00BB7C84">
        <w:rPr>
          <w:rFonts w:ascii="Arial" w:eastAsia="Times New Roman" w:hAnsi="Arial" w:cs="Arial"/>
          <w:bCs/>
          <w:color w:val="000000"/>
          <w:sz w:val="28"/>
          <w:szCs w:val="28"/>
          <w:lang w:eastAsia="es-ES"/>
        </w:rPr>
        <w:t xml:space="preserve"> </w:t>
      </w:r>
      <w:r w:rsidRPr="007D18C2">
        <w:rPr>
          <w:rFonts w:ascii="Arial" w:eastAsia="Times New Roman" w:hAnsi="Arial" w:cs="Arial"/>
          <w:bCs/>
          <w:i/>
          <w:color w:val="000000"/>
          <w:sz w:val="28"/>
          <w:szCs w:val="28"/>
          <w:lang w:eastAsia="es-ES"/>
        </w:rPr>
        <w:t>"El que afirma debe probar".</w:t>
      </w:r>
    </w:p>
    <w:p w14:paraId="3E33FC0A" w14:textId="77777777" w:rsidR="00BE006D" w:rsidRPr="00BE006D" w:rsidRDefault="00BE006D" w:rsidP="00750CE2">
      <w:pPr>
        <w:spacing w:after="0" w:line="360" w:lineRule="auto"/>
        <w:ind w:firstLine="851"/>
        <w:jc w:val="both"/>
        <w:rPr>
          <w:rFonts w:ascii="Arial" w:hAnsi="Arial" w:cs="Arial"/>
          <w:color w:val="000000"/>
          <w:sz w:val="10"/>
          <w:szCs w:val="10"/>
          <w:lang w:eastAsia="es-MX"/>
        </w:rPr>
      </w:pPr>
    </w:p>
    <w:p w14:paraId="794DB1E9" w14:textId="702A9609" w:rsidR="00750CE2" w:rsidRPr="00BE006D" w:rsidRDefault="00BE006D" w:rsidP="00750CE2">
      <w:pPr>
        <w:spacing w:after="0" w:line="360" w:lineRule="auto"/>
        <w:ind w:firstLine="851"/>
        <w:jc w:val="both"/>
        <w:rPr>
          <w:rFonts w:ascii="Arial" w:hAnsi="Arial" w:cs="Arial"/>
          <w:color w:val="000000"/>
          <w:sz w:val="28"/>
          <w:szCs w:val="28"/>
          <w:lang w:eastAsia="es-MX"/>
        </w:rPr>
      </w:pPr>
      <w:r>
        <w:rPr>
          <w:rFonts w:ascii="Arial" w:hAnsi="Arial" w:cs="Arial"/>
          <w:color w:val="000000"/>
          <w:sz w:val="28"/>
          <w:szCs w:val="28"/>
          <w:lang w:eastAsia="es-MX"/>
        </w:rPr>
        <w:t xml:space="preserve">Ello, </w:t>
      </w:r>
      <w:r w:rsidR="00750CE2">
        <w:rPr>
          <w:rFonts w:ascii="Arial" w:hAnsi="Arial" w:cs="Arial"/>
          <w:sz w:val="28"/>
          <w:szCs w:val="28"/>
          <w:lang w:val="es-ES"/>
        </w:rPr>
        <w:t>de conformidad con lo dispuesto en el artículo 273 del Código de Procedimientos Civiles del Estado de San Luis Potosí, de aplicación supletoria en el Juicio Contencioso Administrativo, acorde a lo que dispone el artículo 217, segundo párrafo, del Código Procesal Administrativo para el Estado de San Luis Potosí.</w:t>
      </w:r>
    </w:p>
    <w:p w14:paraId="6748CCD6" w14:textId="782EBB00" w:rsidR="00750CE2" w:rsidRDefault="00750CE2" w:rsidP="00750CE2">
      <w:pPr>
        <w:spacing w:before="240" w:after="240" w:line="360" w:lineRule="auto"/>
        <w:ind w:right="51" w:firstLine="709"/>
        <w:contextualSpacing/>
        <w:jc w:val="both"/>
        <w:rPr>
          <w:rFonts w:ascii="Arial" w:hAnsi="Arial" w:cs="Arial"/>
          <w:sz w:val="28"/>
          <w:szCs w:val="28"/>
          <w:lang w:val="es-ES"/>
        </w:rPr>
      </w:pPr>
      <w:r w:rsidRPr="004B1E2B">
        <w:rPr>
          <w:rFonts w:ascii="Arial" w:hAnsi="Arial" w:cs="Arial"/>
          <w:sz w:val="28"/>
          <w:szCs w:val="28"/>
          <w:lang w:val="es-ES"/>
        </w:rPr>
        <w:t>Por lo que</w:t>
      </w:r>
      <w:r w:rsidR="00E01386">
        <w:rPr>
          <w:rFonts w:ascii="Arial" w:hAnsi="Arial" w:cs="Arial"/>
          <w:sz w:val="28"/>
          <w:szCs w:val="28"/>
          <w:lang w:val="es-ES"/>
        </w:rPr>
        <w:t>,</w:t>
      </w:r>
      <w:r w:rsidRPr="004B1E2B">
        <w:rPr>
          <w:rFonts w:ascii="Arial" w:hAnsi="Arial" w:cs="Arial"/>
          <w:sz w:val="28"/>
          <w:szCs w:val="28"/>
          <w:lang w:val="es-ES"/>
        </w:rPr>
        <w:t xml:space="preserve"> con base en el artículo anteriormente referido la carga de la prueba correspondía a la parte actora; es decir, que debió demostrar lo afirmado en el sentido de</w:t>
      </w:r>
      <w:r>
        <w:rPr>
          <w:rFonts w:ascii="Arial" w:hAnsi="Arial" w:cs="Arial"/>
          <w:sz w:val="28"/>
          <w:szCs w:val="28"/>
          <w:lang w:val="es-ES"/>
        </w:rPr>
        <w:t xml:space="preserve"> </w:t>
      </w:r>
      <w:r w:rsidR="00BE006D">
        <w:rPr>
          <w:rFonts w:ascii="Arial" w:hAnsi="Arial" w:cs="Arial"/>
          <w:sz w:val="28"/>
          <w:szCs w:val="28"/>
          <w:lang w:val="es-ES"/>
        </w:rPr>
        <w:t xml:space="preserve">que la autoridad demandada se negó a atender sus solicitudes, </w:t>
      </w:r>
      <w:r w:rsidRPr="004B1E2B">
        <w:rPr>
          <w:rFonts w:ascii="Arial" w:hAnsi="Arial" w:cs="Arial"/>
          <w:sz w:val="28"/>
          <w:szCs w:val="28"/>
          <w:lang w:val="es-ES"/>
        </w:rPr>
        <w:t xml:space="preserve">sin que así lo haya hecho, al no haber aportado elemento de </w:t>
      </w:r>
      <w:r w:rsidRPr="004B1E2B">
        <w:rPr>
          <w:rFonts w:ascii="Arial" w:hAnsi="Arial" w:cs="Arial"/>
          <w:sz w:val="28"/>
          <w:szCs w:val="28"/>
          <w:lang w:val="es-ES"/>
        </w:rPr>
        <w:lastRenderedPageBreak/>
        <w:t>prueba alguno, que permitiera llegar a la convicción de que así hubiere acontecido.</w:t>
      </w:r>
    </w:p>
    <w:p w14:paraId="16C64073" w14:textId="279DB3ED" w:rsidR="00833372" w:rsidRDefault="00750CE2" w:rsidP="00833372">
      <w:pPr>
        <w:spacing w:before="240" w:after="240" w:line="360" w:lineRule="auto"/>
        <w:ind w:right="51" w:firstLine="709"/>
        <w:contextualSpacing/>
        <w:jc w:val="both"/>
        <w:rPr>
          <w:rFonts w:ascii="Arial" w:eastAsia="Times New Roman" w:hAnsi="Arial" w:cs="Arial"/>
          <w:bCs/>
          <w:color w:val="000000"/>
          <w:sz w:val="28"/>
          <w:szCs w:val="28"/>
          <w:lang w:eastAsia="es-ES"/>
        </w:rPr>
      </w:pPr>
      <w:r>
        <w:rPr>
          <w:rFonts w:ascii="Arial" w:hAnsi="Arial" w:cs="Arial"/>
          <w:sz w:val="28"/>
          <w:szCs w:val="28"/>
        </w:rPr>
        <w:t xml:space="preserve">Atento a lo anterior, </w:t>
      </w:r>
      <w:r w:rsidRPr="004B1E2B">
        <w:rPr>
          <w:rFonts w:ascii="Arial" w:eastAsia="Times New Roman" w:hAnsi="Arial" w:cs="Arial"/>
          <w:bCs/>
          <w:color w:val="000000"/>
          <w:sz w:val="28"/>
          <w:szCs w:val="28"/>
          <w:lang w:eastAsia="es-ES"/>
        </w:rPr>
        <w:t xml:space="preserve">y contrario a lo expuesto por la parte actora, no correspondía a la autoridad enjuiciada demostrar </w:t>
      </w:r>
      <w:r w:rsidR="00EB5ED2">
        <w:rPr>
          <w:rFonts w:ascii="Arial" w:eastAsia="Times New Roman" w:hAnsi="Arial" w:cs="Arial"/>
          <w:bCs/>
          <w:color w:val="000000"/>
          <w:sz w:val="28"/>
          <w:szCs w:val="28"/>
          <w:lang w:eastAsia="es-ES"/>
        </w:rPr>
        <w:t>que la recurrente no realizó las multicitadas solicitudes</w:t>
      </w:r>
      <w:r w:rsidR="00BE006D">
        <w:rPr>
          <w:rFonts w:ascii="Arial" w:eastAsia="Times New Roman" w:hAnsi="Arial" w:cs="Arial"/>
          <w:bCs/>
          <w:color w:val="000000"/>
          <w:sz w:val="28"/>
          <w:szCs w:val="28"/>
          <w:lang w:eastAsia="es-ES"/>
        </w:rPr>
        <w:t xml:space="preserve">, </w:t>
      </w:r>
      <w:r w:rsidR="00EB5ED2" w:rsidRPr="00EB5ED2">
        <w:rPr>
          <w:rFonts w:ascii="Arial" w:eastAsia="Times New Roman" w:hAnsi="Arial" w:cs="Arial"/>
          <w:bCs/>
          <w:color w:val="000000"/>
          <w:sz w:val="28"/>
          <w:szCs w:val="28"/>
          <w:lang w:eastAsia="es-ES"/>
        </w:rPr>
        <w:t xml:space="preserve">al tratarse de </w:t>
      </w:r>
      <w:r w:rsidR="00762F4A">
        <w:rPr>
          <w:rFonts w:ascii="Arial" w:eastAsia="Times New Roman" w:hAnsi="Arial" w:cs="Arial"/>
          <w:bCs/>
          <w:color w:val="000000"/>
          <w:sz w:val="28"/>
          <w:szCs w:val="28"/>
          <w:lang w:eastAsia="es-ES"/>
        </w:rPr>
        <w:t>la negativa del acto</w:t>
      </w:r>
      <w:r w:rsidR="00EB5ED2" w:rsidRPr="00EB5ED2">
        <w:rPr>
          <w:rFonts w:ascii="Arial" w:eastAsia="Times New Roman" w:hAnsi="Arial" w:cs="Arial"/>
          <w:bCs/>
          <w:color w:val="000000"/>
          <w:sz w:val="28"/>
          <w:szCs w:val="28"/>
          <w:lang w:eastAsia="es-ES"/>
        </w:rPr>
        <w:t xml:space="preserve">, </w:t>
      </w:r>
      <w:r w:rsidR="00FA4761">
        <w:rPr>
          <w:rFonts w:ascii="Arial" w:eastAsia="Times New Roman" w:hAnsi="Arial" w:cs="Arial"/>
          <w:bCs/>
          <w:color w:val="000000"/>
          <w:sz w:val="28"/>
          <w:szCs w:val="28"/>
          <w:lang w:eastAsia="es-ES"/>
        </w:rPr>
        <w:t xml:space="preserve">pues </w:t>
      </w:r>
      <w:r w:rsidR="00FA4761" w:rsidRPr="00FA4761">
        <w:rPr>
          <w:rFonts w:ascii="Arial" w:eastAsia="Times New Roman" w:hAnsi="Arial" w:cs="Arial"/>
          <w:bCs/>
          <w:color w:val="000000"/>
          <w:sz w:val="28"/>
          <w:szCs w:val="28"/>
          <w:lang w:eastAsia="es-ES"/>
        </w:rPr>
        <w:t xml:space="preserve">es principio aceptado por nuestro derecho que </w:t>
      </w:r>
      <w:r w:rsidR="00762F4A">
        <w:rPr>
          <w:rFonts w:ascii="Arial" w:eastAsia="Times New Roman" w:hAnsi="Arial" w:cs="Arial"/>
          <w:bCs/>
          <w:color w:val="000000"/>
          <w:sz w:val="28"/>
          <w:szCs w:val="28"/>
          <w:lang w:eastAsia="es-ES"/>
        </w:rPr>
        <w:t>las negativas de actos</w:t>
      </w:r>
      <w:r w:rsidR="00FA4761" w:rsidRPr="00FA4761">
        <w:rPr>
          <w:rFonts w:ascii="Arial" w:eastAsia="Times New Roman" w:hAnsi="Arial" w:cs="Arial"/>
          <w:bCs/>
          <w:color w:val="000000"/>
          <w:sz w:val="28"/>
          <w:szCs w:val="28"/>
          <w:lang w:eastAsia="es-ES"/>
        </w:rPr>
        <w:t xml:space="preserve"> o abstenciones no son materia de prueba y que el que niega no está obligado a probar su negativa, salvo que la misma implique la existencia </w:t>
      </w:r>
      <w:r w:rsidR="007D18C2">
        <w:rPr>
          <w:rFonts w:ascii="Arial" w:eastAsia="Times New Roman" w:hAnsi="Arial" w:cs="Arial"/>
          <w:bCs/>
          <w:color w:val="000000"/>
          <w:sz w:val="28"/>
          <w:szCs w:val="28"/>
          <w:lang w:eastAsia="es-ES"/>
        </w:rPr>
        <w:t xml:space="preserve">de </w:t>
      </w:r>
      <w:r w:rsidR="00FA4761" w:rsidRPr="00FA4761">
        <w:rPr>
          <w:rFonts w:ascii="Arial" w:eastAsia="Times New Roman" w:hAnsi="Arial" w:cs="Arial"/>
          <w:bCs/>
          <w:color w:val="000000"/>
          <w:sz w:val="28"/>
          <w:szCs w:val="28"/>
          <w:lang w:eastAsia="es-ES"/>
        </w:rPr>
        <w:t xml:space="preserve">una afirmación susceptible de probarse por cualquiera de </w:t>
      </w:r>
      <w:r w:rsidR="00FA4761">
        <w:rPr>
          <w:rFonts w:ascii="Arial" w:eastAsia="Times New Roman" w:hAnsi="Arial" w:cs="Arial"/>
          <w:bCs/>
          <w:color w:val="000000"/>
          <w:sz w:val="28"/>
          <w:szCs w:val="28"/>
          <w:lang w:eastAsia="es-ES"/>
        </w:rPr>
        <w:t xml:space="preserve">los medios que la ley establece, </w:t>
      </w:r>
      <w:r w:rsidR="00EB5ED2" w:rsidRPr="00EB5ED2">
        <w:rPr>
          <w:rFonts w:ascii="Arial" w:eastAsia="Times New Roman" w:hAnsi="Arial" w:cs="Arial"/>
          <w:bCs/>
          <w:color w:val="000000"/>
          <w:sz w:val="28"/>
          <w:szCs w:val="28"/>
          <w:lang w:eastAsia="es-ES"/>
        </w:rPr>
        <w:t xml:space="preserve">por lo que no hay carga probatoria alguna para quien esgrime dicha negativa, </w:t>
      </w:r>
      <w:r w:rsidR="00696EFC" w:rsidRPr="00696EFC">
        <w:rPr>
          <w:rFonts w:ascii="Arial" w:eastAsia="Times New Roman" w:hAnsi="Arial" w:cs="Arial"/>
          <w:bCs/>
          <w:color w:val="000000"/>
          <w:sz w:val="28"/>
          <w:szCs w:val="28"/>
          <w:lang w:eastAsia="es-ES"/>
        </w:rPr>
        <w:t>por la razón lógica de que sería imposible su prueba</w:t>
      </w:r>
      <w:r w:rsidR="00696EFC">
        <w:rPr>
          <w:rFonts w:ascii="Arial" w:eastAsia="Times New Roman" w:hAnsi="Arial" w:cs="Arial"/>
          <w:bCs/>
          <w:color w:val="000000"/>
          <w:sz w:val="28"/>
          <w:szCs w:val="28"/>
          <w:lang w:eastAsia="es-ES"/>
        </w:rPr>
        <w:t>.</w:t>
      </w:r>
      <w:r w:rsidR="00EB5ED2">
        <w:rPr>
          <w:rFonts w:ascii="Arial" w:eastAsia="Times New Roman" w:hAnsi="Arial" w:cs="Arial"/>
          <w:bCs/>
          <w:color w:val="000000"/>
          <w:sz w:val="28"/>
          <w:szCs w:val="28"/>
          <w:lang w:eastAsia="es-ES"/>
        </w:rPr>
        <w:t xml:space="preserve"> </w:t>
      </w:r>
    </w:p>
    <w:p w14:paraId="5C3BA985" w14:textId="77777777" w:rsidR="0066687D" w:rsidRPr="0066687D" w:rsidRDefault="0066687D" w:rsidP="00BB7C84">
      <w:pPr>
        <w:spacing w:before="240" w:after="240" w:line="360" w:lineRule="auto"/>
        <w:ind w:right="51" w:firstLine="709"/>
        <w:contextualSpacing/>
        <w:jc w:val="both"/>
        <w:rPr>
          <w:rFonts w:ascii="Arial" w:eastAsia="Times New Roman" w:hAnsi="Arial" w:cs="Arial"/>
          <w:bCs/>
          <w:color w:val="000000"/>
          <w:sz w:val="10"/>
          <w:szCs w:val="10"/>
          <w:lang w:eastAsia="es-ES"/>
        </w:rPr>
      </w:pPr>
    </w:p>
    <w:p w14:paraId="329FF5E2" w14:textId="0693CF3F" w:rsidR="00BB7C84" w:rsidRPr="00BB7C84" w:rsidRDefault="00BB7C84" w:rsidP="00BB7C84">
      <w:pPr>
        <w:spacing w:before="240" w:after="240" w:line="360" w:lineRule="auto"/>
        <w:ind w:right="51" w:firstLine="709"/>
        <w:contextualSpacing/>
        <w:jc w:val="both"/>
        <w:rPr>
          <w:rFonts w:ascii="Arial" w:eastAsia="Times New Roman" w:hAnsi="Arial" w:cs="Arial"/>
          <w:bCs/>
          <w:color w:val="000000"/>
          <w:sz w:val="28"/>
          <w:szCs w:val="28"/>
          <w:lang w:eastAsia="es-ES"/>
        </w:rPr>
      </w:pPr>
      <w:r w:rsidRPr="00BB7C84">
        <w:rPr>
          <w:rFonts w:ascii="Arial" w:eastAsia="Times New Roman" w:hAnsi="Arial" w:cs="Arial"/>
          <w:bCs/>
          <w:color w:val="000000"/>
          <w:sz w:val="28"/>
          <w:szCs w:val="28"/>
          <w:lang w:eastAsia="es-ES"/>
        </w:rPr>
        <w:t>Sirve de sustento a lo anterior, la Tesis: I.4o.A.7 K</w:t>
      </w:r>
      <w:r>
        <w:rPr>
          <w:rFonts w:ascii="Arial" w:eastAsia="Times New Roman" w:hAnsi="Arial" w:cs="Arial"/>
          <w:bCs/>
          <w:color w:val="000000"/>
          <w:sz w:val="28"/>
          <w:szCs w:val="28"/>
          <w:lang w:eastAsia="es-ES"/>
        </w:rPr>
        <w:t xml:space="preserve">, </w:t>
      </w:r>
      <w:r w:rsidRPr="00BB7C84">
        <w:rPr>
          <w:rFonts w:ascii="Arial" w:eastAsia="Times New Roman" w:hAnsi="Arial" w:cs="Arial"/>
          <w:bCs/>
          <w:color w:val="000000"/>
          <w:sz w:val="28"/>
          <w:szCs w:val="28"/>
          <w:lang w:eastAsia="es-ES"/>
        </w:rPr>
        <w:t xml:space="preserve"> publicada en el Semanario Judicial de la Federal y</w:t>
      </w:r>
      <w:r>
        <w:rPr>
          <w:rFonts w:ascii="Arial" w:eastAsia="Times New Roman" w:hAnsi="Arial" w:cs="Arial"/>
          <w:bCs/>
          <w:color w:val="000000"/>
          <w:sz w:val="28"/>
          <w:szCs w:val="28"/>
          <w:lang w:eastAsia="es-ES"/>
        </w:rPr>
        <w:t xml:space="preserve"> su Gaceta, Novena Época, Tomo </w:t>
      </w:r>
      <w:r w:rsidRPr="00BB7C84">
        <w:rPr>
          <w:rFonts w:ascii="Arial" w:eastAsia="Times New Roman" w:hAnsi="Arial" w:cs="Arial"/>
          <w:bCs/>
          <w:color w:val="000000"/>
          <w:sz w:val="28"/>
          <w:szCs w:val="28"/>
          <w:lang w:eastAsia="es-ES"/>
        </w:rPr>
        <w:t>II, Agosto de 1995, la cual a la letra dice</w:t>
      </w:r>
      <w:r>
        <w:rPr>
          <w:rFonts w:ascii="Arial" w:eastAsia="Times New Roman" w:hAnsi="Arial" w:cs="Arial"/>
          <w:bCs/>
          <w:color w:val="000000"/>
          <w:sz w:val="28"/>
          <w:szCs w:val="28"/>
          <w:lang w:eastAsia="es-ES"/>
        </w:rPr>
        <w:t>:</w:t>
      </w:r>
    </w:p>
    <w:p w14:paraId="1B73CB05" w14:textId="77777777" w:rsidR="00BB7C84" w:rsidRPr="0066687D" w:rsidRDefault="00BB7C84" w:rsidP="00BB7C84">
      <w:pPr>
        <w:spacing w:before="240" w:after="240" w:line="360" w:lineRule="auto"/>
        <w:ind w:right="51" w:firstLine="709"/>
        <w:contextualSpacing/>
        <w:jc w:val="both"/>
        <w:rPr>
          <w:rFonts w:ascii="Arial" w:eastAsia="Times New Roman" w:hAnsi="Arial" w:cs="Arial"/>
          <w:bCs/>
          <w:color w:val="000000"/>
          <w:sz w:val="10"/>
          <w:szCs w:val="10"/>
          <w:lang w:eastAsia="es-ES"/>
        </w:rPr>
      </w:pPr>
    </w:p>
    <w:p w14:paraId="4DFFE515" w14:textId="202DE340" w:rsidR="00BB7C84" w:rsidRPr="0066687D" w:rsidRDefault="00BB7C84" w:rsidP="00762F4A">
      <w:pPr>
        <w:spacing w:after="0" w:line="240" w:lineRule="auto"/>
        <w:ind w:left="851" w:right="618"/>
        <w:contextualSpacing/>
        <w:jc w:val="both"/>
        <w:rPr>
          <w:rFonts w:ascii="Arial Narrow" w:eastAsia="Times New Roman" w:hAnsi="Arial Narrow" w:cs="Arial"/>
          <w:bCs/>
          <w:i/>
          <w:color w:val="000000"/>
          <w:sz w:val="24"/>
          <w:szCs w:val="24"/>
          <w:lang w:eastAsia="es-ES"/>
        </w:rPr>
      </w:pPr>
      <w:r w:rsidRPr="0066687D">
        <w:rPr>
          <w:rFonts w:ascii="Arial Narrow" w:eastAsia="Times New Roman" w:hAnsi="Arial Narrow" w:cs="Arial"/>
          <w:bCs/>
          <w:i/>
          <w:color w:val="000000"/>
          <w:sz w:val="24"/>
          <w:szCs w:val="24"/>
          <w:lang w:eastAsia="es-ES"/>
        </w:rPr>
        <w:t>“</w:t>
      </w:r>
      <w:r w:rsidRPr="0066687D">
        <w:rPr>
          <w:rFonts w:ascii="Arial Narrow" w:eastAsia="Times New Roman" w:hAnsi="Arial Narrow" w:cs="Arial"/>
          <w:b/>
          <w:bCs/>
          <w:i/>
          <w:color w:val="000000"/>
          <w:sz w:val="24"/>
          <w:szCs w:val="24"/>
          <w:lang w:eastAsia="es-ES"/>
        </w:rPr>
        <w:t>ACTO NEGATIVO Y NEGATIVA DEL ACTO. DIFERENCIA ENTRE</w:t>
      </w:r>
      <w:r w:rsidRPr="0066687D">
        <w:rPr>
          <w:rFonts w:ascii="Arial Narrow" w:eastAsia="Times New Roman" w:hAnsi="Arial Narrow" w:cs="Arial"/>
          <w:bCs/>
          <w:i/>
          <w:color w:val="000000"/>
          <w:sz w:val="24"/>
          <w:szCs w:val="24"/>
          <w:lang w:eastAsia="es-ES"/>
        </w:rPr>
        <w:t xml:space="preserve">.” La esencia del acto negativo versa, exclusivamente, sobre su característica que denota la omisión o la abstención de autoridad a quien se atribuye. La negativa del acto, por lo contrario, no atiende a la naturaleza de aquél sino que propiamente constituye sólo una expresión sobre su existencia. En ello radica precisamente la diferencia entre un acto negativo y la negativa del acto. Por ende contrario a lo afirmado por el recurrente debe decirse que </w:t>
      </w:r>
      <w:r w:rsidRPr="00762F4A">
        <w:rPr>
          <w:rFonts w:ascii="Arial Narrow" w:eastAsia="Times New Roman" w:hAnsi="Arial Narrow" w:cs="Arial"/>
          <w:bCs/>
          <w:i/>
          <w:color w:val="000000"/>
          <w:sz w:val="24"/>
          <w:szCs w:val="24"/>
          <w:lang w:eastAsia="es-ES"/>
        </w:rPr>
        <w:t xml:space="preserve">los actos cuya existencia fue negada por las autoridades responsables, no tienen el carácter de negativos como lo pretende el inconforme, pues no consisten en un rehusar a hacer algo por parte de las autoridades responsables en favor de lo solicitado por el </w:t>
      </w:r>
      <w:proofErr w:type="spellStart"/>
      <w:r w:rsidRPr="00762F4A">
        <w:rPr>
          <w:rFonts w:ascii="Arial Narrow" w:eastAsia="Times New Roman" w:hAnsi="Arial Narrow" w:cs="Arial"/>
          <w:bCs/>
          <w:i/>
          <w:color w:val="000000"/>
          <w:sz w:val="24"/>
          <w:szCs w:val="24"/>
          <w:lang w:eastAsia="es-ES"/>
        </w:rPr>
        <w:t>gobernado</w:t>
      </w:r>
      <w:proofErr w:type="spellEnd"/>
      <w:r w:rsidRPr="00762F4A">
        <w:rPr>
          <w:rFonts w:ascii="Arial Narrow" w:eastAsia="Times New Roman" w:hAnsi="Arial Narrow" w:cs="Arial"/>
          <w:bCs/>
          <w:i/>
          <w:color w:val="000000"/>
          <w:sz w:val="24"/>
          <w:szCs w:val="24"/>
          <w:lang w:eastAsia="es-ES"/>
        </w:rPr>
        <w:t>, de ahí que la carga de la prueba correspondía al quejoso, es decir que éste tenía el deber de acreditar la existencia de los actos reclamados, conforme con la máxima de derecho que señala que "El que afirma debe probar"</w:t>
      </w:r>
      <w:r w:rsidRPr="0066687D">
        <w:rPr>
          <w:rFonts w:ascii="Arial Narrow" w:eastAsia="Times New Roman" w:hAnsi="Arial Narrow" w:cs="Arial"/>
          <w:bCs/>
          <w:i/>
          <w:color w:val="000000"/>
          <w:sz w:val="24"/>
          <w:szCs w:val="24"/>
          <w:lang w:eastAsia="es-ES"/>
        </w:rPr>
        <w:t>.</w:t>
      </w:r>
      <w:r w:rsidRPr="0066687D">
        <w:rPr>
          <w:rStyle w:val="Refdenotaalpie"/>
          <w:rFonts w:ascii="Arial Narrow" w:eastAsia="Times New Roman" w:hAnsi="Arial Narrow" w:cs="Arial"/>
          <w:bCs/>
          <w:i/>
          <w:color w:val="000000"/>
          <w:sz w:val="24"/>
          <w:szCs w:val="24"/>
          <w:lang w:eastAsia="es-ES"/>
        </w:rPr>
        <w:footnoteReference w:id="12"/>
      </w:r>
    </w:p>
    <w:p w14:paraId="506E7463" w14:textId="77777777" w:rsidR="00B35F61" w:rsidRDefault="00B35F61" w:rsidP="00B35F61">
      <w:pPr>
        <w:pStyle w:val="Prrafodelista"/>
        <w:spacing w:after="0" w:line="360" w:lineRule="auto"/>
        <w:ind w:left="0" w:firstLine="851"/>
        <w:jc w:val="both"/>
        <w:rPr>
          <w:rFonts w:ascii="Arial" w:eastAsia="Times New Roman" w:hAnsi="Arial" w:cs="Arial"/>
          <w:bCs/>
          <w:color w:val="000000"/>
          <w:sz w:val="10"/>
          <w:szCs w:val="10"/>
          <w:lang w:eastAsia="es-ES"/>
        </w:rPr>
      </w:pPr>
    </w:p>
    <w:p w14:paraId="78E1C9F6" w14:textId="3B2A3E96" w:rsidR="00B35F61" w:rsidRDefault="00B35F61" w:rsidP="00B35F61">
      <w:pPr>
        <w:pStyle w:val="Prrafodelista"/>
        <w:spacing w:after="0" w:line="360" w:lineRule="auto"/>
        <w:ind w:left="0" w:firstLine="851"/>
        <w:jc w:val="both"/>
        <w:rPr>
          <w:rFonts w:ascii="Arial" w:hAnsi="Arial" w:cs="Arial"/>
          <w:color w:val="212529"/>
          <w:sz w:val="28"/>
          <w:szCs w:val="28"/>
          <w:shd w:val="clear" w:color="auto" w:fill="FFFFFF"/>
        </w:rPr>
      </w:pPr>
      <w:r w:rsidRPr="00B35F61">
        <w:rPr>
          <w:rFonts w:ascii="Arial" w:hAnsi="Arial" w:cs="Arial"/>
          <w:sz w:val="28"/>
          <w:szCs w:val="28"/>
        </w:rPr>
        <w:lastRenderedPageBreak/>
        <w:t xml:space="preserve">Asimismo, en relación al criterio que invocó </w:t>
      </w:r>
      <w:r w:rsidRPr="00B35F61">
        <w:rPr>
          <w:rFonts w:ascii="Arial" w:hAnsi="Arial" w:cs="Arial"/>
          <w:color w:val="0D0D0D"/>
          <w:sz w:val="28"/>
          <w:szCs w:val="28"/>
        </w:rPr>
        <w:t>de rubro:</w:t>
      </w:r>
      <w:r w:rsidRPr="00B35F61">
        <w:rPr>
          <w:rFonts w:ascii="Arial" w:hAnsi="Arial" w:cs="Arial"/>
          <w:sz w:val="28"/>
          <w:szCs w:val="28"/>
        </w:rPr>
        <w:t xml:space="preserve"> "</w:t>
      </w:r>
      <w:r w:rsidRPr="00B35F61">
        <w:rPr>
          <w:rFonts w:ascii="Arial" w:hAnsi="Arial" w:cs="Arial"/>
          <w:b/>
          <w:i/>
          <w:sz w:val="28"/>
          <w:szCs w:val="28"/>
        </w:rPr>
        <w:t>ACTO RECLAMADO. SI CONSISTE EN LA FALTA DE EJERCICIO DE LAS FACULTADES DE LA AUTORIDAD, SE GENERA UNA PRESUNCIÓN DE INCONSTITUCIONALIDAD QUE ÉSTA DEBE DESVIRTUAR</w:t>
      </w:r>
      <w:r>
        <w:rPr>
          <w:rFonts w:ascii="Arial" w:hAnsi="Arial" w:cs="Arial"/>
          <w:b/>
          <w:i/>
          <w:sz w:val="28"/>
          <w:szCs w:val="28"/>
        </w:rPr>
        <w:t>”</w:t>
      </w:r>
      <w:r w:rsidRPr="00B35F61">
        <w:rPr>
          <w:rFonts w:ascii="Arial" w:hAnsi="Arial" w:cs="Arial"/>
          <w:b/>
          <w:bCs/>
          <w:i/>
          <w:sz w:val="28"/>
          <w:szCs w:val="28"/>
        </w:rPr>
        <w:t xml:space="preserve">; </w:t>
      </w:r>
      <w:r w:rsidRPr="00B35F61">
        <w:rPr>
          <w:rFonts w:ascii="Arial" w:hAnsi="Arial" w:cs="Arial"/>
          <w:bCs/>
          <w:sz w:val="28"/>
          <w:szCs w:val="28"/>
        </w:rPr>
        <w:t>n</w:t>
      </w:r>
      <w:r w:rsidRPr="00B35F61">
        <w:rPr>
          <w:rFonts w:ascii="Arial" w:hAnsi="Arial" w:cs="Arial"/>
          <w:color w:val="212529"/>
          <w:sz w:val="28"/>
          <w:szCs w:val="28"/>
          <w:shd w:val="clear" w:color="auto" w:fill="FFFFFF"/>
        </w:rPr>
        <w:t xml:space="preserve">o resulta aplicable </w:t>
      </w:r>
      <w:r w:rsidR="00D96A2B">
        <w:rPr>
          <w:rFonts w:ascii="Arial" w:hAnsi="Arial" w:cs="Arial"/>
          <w:sz w:val="28"/>
          <w:szCs w:val="28"/>
        </w:rPr>
        <w:t xml:space="preserve">al caso concreto y </w:t>
      </w:r>
      <w:r w:rsidRPr="00B35F61">
        <w:rPr>
          <w:rFonts w:ascii="Arial" w:hAnsi="Arial" w:cs="Arial"/>
          <w:color w:val="212529"/>
          <w:sz w:val="28"/>
          <w:szCs w:val="28"/>
          <w:shd w:val="clear" w:color="auto" w:fill="FFFFFF"/>
        </w:rPr>
        <w:t xml:space="preserve">para los fines pretendidos por el </w:t>
      </w:r>
      <w:r w:rsidR="00D96A2B">
        <w:rPr>
          <w:rFonts w:ascii="Arial" w:hAnsi="Arial" w:cs="Arial"/>
          <w:color w:val="212529"/>
          <w:sz w:val="28"/>
          <w:szCs w:val="28"/>
          <w:shd w:val="clear" w:color="auto" w:fill="FFFFFF"/>
        </w:rPr>
        <w:t>disidente.</w:t>
      </w:r>
    </w:p>
    <w:p w14:paraId="3CB756CB" w14:textId="4DC939E9" w:rsidR="00833372" w:rsidRPr="00833372" w:rsidRDefault="00833372" w:rsidP="00833372">
      <w:pPr>
        <w:spacing w:before="240" w:after="240" w:line="360" w:lineRule="auto"/>
        <w:ind w:right="51" w:firstLine="709"/>
        <w:contextualSpacing/>
        <w:jc w:val="both"/>
        <w:rPr>
          <w:rFonts w:ascii="Arial" w:eastAsia="Times New Roman" w:hAnsi="Arial" w:cs="Arial"/>
          <w:bCs/>
          <w:color w:val="000000"/>
          <w:sz w:val="28"/>
          <w:szCs w:val="28"/>
          <w:lang w:eastAsia="es-ES"/>
        </w:rPr>
      </w:pPr>
      <w:r w:rsidRPr="00833372">
        <w:rPr>
          <w:rFonts w:ascii="Arial" w:eastAsia="Times New Roman" w:hAnsi="Arial" w:cs="Arial"/>
          <w:bCs/>
          <w:color w:val="000000"/>
          <w:sz w:val="28"/>
          <w:szCs w:val="28"/>
          <w:lang w:eastAsia="es-ES"/>
        </w:rPr>
        <w:t xml:space="preserve">Finalmente, aun cuando artículo </w:t>
      </w:r>
      <w:r>
        <w:rPr>
          <w:rFonts w:ascii="Arial" w:eastAsia="Times New Roman" w:hAnsi="Arial" w:cs="Arial"/>
          <w:bCs/>
          <w:color w:val="000000"/>
          <w:sz w:val="28"/>
          <w:szCs w:val="28"/>
          <w:lang w:eastAsia="es-ES"/>
        </w:rPr>
        <w:t>156</w:t>
      </w:r>
      <w:r w:rsidRPr="00833372">
        <w:rPr>
          <w:rFonts w:ascii="Arial" w:eastAsia="Times New Roman" w:hAnsi="Arial" w:cs="Arial"/>
          <w:bCs/>
          <w:color w:val="000000"/>
          <w:sz w:val="28"/>
          <w:szCs w:val="28"/>
          <w:lang w:eastAsia="es-ES"/>
        </w:rPr>
        <w:t xml:space="preserve"> párrafo quinto </w:t>
      </w:r>
      <w:r>
        <w:rPr>
          <w:rFonts w:ascii="Arial" w:eastAsia="Times New Roman" w:hAnsi="Arial" w:cs="Arial"/>
          <w:bCs/>
          <w:color w:val="000000"/>
          <w:sz w:val="28"/>
          <w:szCs w:val="28"/>
          <w:lang w:eastAsia="es-ES"/>
        </w:rPr>
        <w:t>d</w:t>
      </w:r>
      <w:r w:rsidRPr="00833372">
        <w:rPr>
          <w:rFonts w:ascii="Arial" w:eastAsia="Times New Roman" w:hAnsi="Arial" w:cs="Arial"/>
          <w:bCs/>
          <w:color w:val="000000"/>
          <w:sz w:val="28"/>
          <w:szCs w:val="28"/>
          <w:lang w:eastAsia="es-ES"/>
        </w:rPr>
        <w:t xml:space="preserve">el Código Procesal </w:t>
      </w:r>
      <w:r>
        <w:rPr>
          <w:rFonts w:ascii="Arial" w:eastAsia="Times New Roman" w:hAnsi="Arial" w:cs="Arial"/>
          <w:bCs/>
          <w:color w:val="000000"/>
          <w:sz w:val="28"/>
          <w:szCs w:val="28"/>
          <w:lang w:eastAsia="es-ES"/>
        </w:rPr>
        <w:t>de la materia</w:t>
      </w:r>
      <w:r w:rsidR="00FA4761">
        <w:rPr>
          <w:rFonts w:ascii="Arial" w:eastAsia="Times New Roman" w:hAnsi="Arial" w:cs="Arial"/>
          <w:bCs/>
          <w:color w:val="000000"/>
          <w:sz w:val="28"/>
          <w:szCs w:val="28"/>
          <w:lang w:eastAsia="es-ES"/>
        </w:rPr>
        <w:t xml:space="preserve"> y fuero</w:t>
      </w:r>
      <w:r>
        <w:rPr>
          <w:rFonts w:ascii="Arial" w:eastAsia="Times New Roman" w:hAnsi="Arial" w:cs="Arial"/>
          <w:bCs/>
          <w:color w:val="000000"/>
          <w:sz w:val="28"/>
          <w:szCs w:val="28"/>
          <w:lang w:eastAsia="es-ES"/>
        </w:rPr>
        <w:t xml:space="preserve">, </w:t>
      </w:r>
      <w:r w:rsidRPr="00833372">
        <w:rPr>
          <w:rFonts w:ascii="Arial" w:eastAsia="Times New Roman" w:hAnsi="Arial" w:cs="Arial"/>
          <w:bCs/>
          <w:color w:val="000000"/>
          <w:sz w:val="28"/>
          <w:szCs w:val="28"/>
          <w:lang w:eastAsia="es-ES"/>
        </w:rPr>
        <w:t xml:space="preserve">prevé que debe suplirse la deficiencia de la queja </w:t>
      </w:r>
      <w:r w:rsidRPr="003A733A">
        <w:rPr>
          <w:rFonts w:ascii="Arial" w:hAnsi="Arial" w:cs="Arial"/>
          <w:bCs/>
          <w:color w:val="000000"/>
          <w:sz w:val="28"/>
          <w:szCs w:val="28"/>
        </w:rPr>
        <w:t>cuando el particular sea el apelante</w:t>
      </w:r>
      <w:r w:rsidRPr="00833372">
        <w:rPr>
          <w:rFonts w:ascii="Arial" w:eastAsia="Times New Roman" w:hAnsi="Arial" w:cs="Arial"/>
          <w:bCs/>
          <w:color w:val="000000"/>
          <w:sz w:val="28"/>
          <w:szCs w:val="28"/>
          <w:lang w:eastAsia="es-ES"/>
        </w:rPr>
        <w:t xml:space="preserve">, </w:t>
      </w:r>
      <w:r w:rsidRPr="008F3983">
        <w:rPr>
          <w:rFonts w:ascii="Arial" w:hAnsi="Arial" w:cs="Arial"/>
          <w:bCs/>
          <w:color w:val="000000"/>
          <w:sz w:val="28"/>
          <w:szCs w:val="28"/>
        </w:rPr>
        <w:t>cuando el caso lo requiera, pero sin cambiar los hechos planteados</w:t>
      </w:r>
      <w:r>
        <w:rPr>
          <w:rFonts w:ascii="Arial" w:hAnsi="Arial" w:cs="Arial"/>
          <w:bCs/>
          <w:color w:val="000000"/>
          <w:sz w:val="28"/>
          <w:szCs w:val="28"/>
        </w:rPr>
        <w:t xml:space="preserve">, </w:t>
      </w:r>
      <w:r w:rsidRPr="00833372">
        <w:rPr>
          <w:rFonts w:ascii="Arial" w:eastAsia="Times New Roman" w:hAnsi="Arial" w:cs="Arial"/>
          <w:bCs/>
          <w:color w:val="000000"/>
          <w:sz w:val="28"/>
          <w:szCs w:val="28"/>
          <w:lang w:eastAsia="es-ES"/>
        </w:rPr>
        <w:t xml:space="preserve">en el presente caso no se actualiza dicha figura, toda vez que esta Sala no advierte violaciones manifiestas y particularmente graves que hayan dejado sin defensa a la parte actora, por lo que de conformidad con la Jurisprudencia </w:t>
      </w:r>
      <w:r w:rsidR="001223F3" w:rsidRPr="001223F3">
        <w:rPr>
          <w:rFonts w:ascii="Arial" w:eastAsia="Times New Roman" w:hAnsi="Arial" w:cs="Arial"/>
          <w:bCs/>
          <w:color w:val="000000"/>
          <w:sz w:val="28"/>
          <w:szCs w:val="28"/>
          <w:lang w:eastAsia="es-ES"/>
        </w:rPr>
        <w:t>1a./J. 17/2000</w:t>
      </w:r>
      <w:r w:rsidR="001223F3">
        <w:rPr>
          <w:rFonts w:ascii="Arial" w:eastAsia="Times New Roman" w:hAnsi="Arial" w:cs="Arial"/>
          <w:bCs/>
          <w:color w:val="000000"/>
          <w:sz w:val="28"/>
          <w:szCs w:val="28"/>
          <w:lang w:eastAsia="es-ES"/>
        </w:rPr>
        <w:t xml:space="preserve"> </w:t>
      </w:r>
      <w:r w:rsidRPr="00833372">
        <w:rPr>
          <w:rFonts w:ascii="Arial" w:eastAsia="Times New Roman" w:hAnsi="Arial" w:cs="Arial"/>
          <w:bCs/>
          <w:color w:val="000000"/>
          <w:sz w:val="28"/>
          <w:szCs w:val="28"/>
          <w:lang w:eastAsia="es-ES"/>
        </w:rPr>
        <w:t xml:space="preserve">emitida por la Primera Sala de la Suprema Corte de Justicia de la Nación, </w:t>
      </w:r>
      <w:r w:rsidR="00045AE4">
        <w:rPr>
          <w:rFonts w:ascii="Arial" w:eastAsia="Times New Roman" w:hAnsi="Arial" w:cs="Arial"/>
          <w:bCs/>
          <w:color w:val="000000"/>
          <w:sz w:val="28"/>
          <w:szCs w:val="28"/>
          <w:lang w:eastAsia="es-ES"/>
        </w:rPr>
        <w:t>esta S</w:t>
      </w:r>
      <w:r w:rsidRPr="00833372">
        <w:rPr>
          <w:rFonts w:ascii="Arial" w:eastAsia="Times New Roman" w:hAnsi="Arial" w:cs="Arial"/>
          <w:bCs/>
          <w:color w:val="000000"/>
          <w:sz w:val="28"/>
          <w:szCs w:val="28"/>
          <w:lang w:eastAsia="es-ES"/>
        </w:rPr>
        <w:t xml:space="preserve">ala no suple </w:t>
      </w:r>
      <w:r w:rsidR="00045AE4">
        <w:rPr>
          <w:rFonts w:ascii="Arial" w:eastAsia="Times New Roman" w:hAnsi="Arial" w:cs="Arial"/>
          <w:bCs/>
          <w:color w:val="000000"/>
          <w:sz w:val="28"/>
          <w:szCs w:val="28"/>
          <w:lang w:eastAsia="es-ES"/>
        </w:rPr>
        <w:t>la deficiencia de la queja en favor del recurrente</w:t>
      </w:r>
      <w:r w:rsidRPr="00833372">
        <w:rPr>
          <w:rFonts w:ascii="Arial" w:eastAsia="Times New Roman" w:hAnsi="Arial" w:cs="Arial"/>
          <w:bCs/>
          <w:color w:val="000000"/>
          <w:sz w:val="28"/>
          <w:szCs w:val="28"/>
          <w:lang w:eastAsia="es-ES"/>
        </w:rPr>
        <w:t>:</w:t>
      </w:r>
    </w:p>
    <w:p w14:paraId="673990D3" w14:textId="77777777" w:rsidR="00BC1450" w:rsidRDefault="00BC1450" w:rsidP="00BE006D">
      <w:pPr>
        <w:spacing w:before="240" w:after="240" w:line="360" w:lineRule="auto"/>
        <w:ind w:right="51" w:firstLine="709"/>
        <w:contextualSpacing/>
        <w:jc w:val="both"/>
        <w:rPr>
          <w:rFonts w:ascii="Arial" w:eastAsia="Times New Roman" w:hAnsi="Arial" w:cs="Arial"/>
          <w:sz w:val="10"/>
          <w:szCs w:val="10"/>
          <w:lang w:val="es-ES" w:eastAsia="es-ES"/>
        </w:rPr>
      </w:pPr>
    </w:p>
    <w:p w14:paraId="04AA774D" w14:textId="25A88A2A" w:rsidR="001223F3" w:rsidRPr="001223F3" w:rsidRDefault="001223F3" w:rsidP="001223F3">
      <w:pPr>
        <w:shd w:val="clear" w:color="auto" w:fill="FFFFFF"/>
        <w:spacing w:after="100" w:afterAutospacing="1" w:line="240" w:lineRule="auto"/>
        <w:ind w:left="567" w:right="901"/>
        <w:jc w:val="both"/>
        <w:rPr>
          <w:rFonts w:ascii="Arial Narrow" w:eastAsia="Times New Roman" w:hAnsi="Arial Narrow"/>
          <w:i/>
          <w:color w:val="212529"/>
          <w:sz w:val="24"/>
          <w:szCs w:val="24"/>
          <w:lang w:eastAsia="es-MX"/>
        </w:rPr>
      </w:pPr>
      <w:r>
        <w:rPr>
          <w:rFonts w:ascii="Arial Narrow" w:eastAsia="Times New Roman" w:hAnsi="Arial Narrow"/>
          <w:b/>
          <w:i/>
          <w:color w:val="212529"/>
          <w:sz w:val="24"/>
          <w:szCs w:val="24"/>
          <w:lang w:eastAsia="es-MX"/>
        </w:rPr>
        <w:t>“</w:t>
      </w:r>
      <w:r w:rsidRPr="001223F3">
        <w:rPr>
          <w:rFonts w:ascii="Arial Narrow" w:eastAsia="Times New Roman" w:hAnsi="Arial Narrow"/>
          <w:b/>
          <w:i/>
          <w:color w:val="212529"/>
          <w:sz w:val="24"/>
          <w:szCs w:val="24"/>
          <w:lang w:eastAsia="es-MX"/>
        </w:rPr>
        <w:t>SUPLENCIA DE LA QUEJA DEFICIENTE EN MATERIA ADMINISTRATIVA. PROCEDENCIA</w:t>
      </w:r>
      <w:r w:rsidRPr="001223F3">
        <w:rPr>
          <w:rFonts w:ascii="Arial Narrow" w:eastAsia="Times New Roman" w:hAnsi="Arial Narrow"/>
          <w:i/>
          <w:color w:val="212529"/>
          <w:sz w:val="24"/>
          <w:szCs w:val="24"/>
          <w:lang w:eastAsia="es-MX"/>
        </w:rPr>
        <w:t xml:space="preserve">. Para que proceda la suplencia de los conceptos de violación deficientes en la demanda de amparo o de los agravios en la revisión, en materias como la administrativa, en términos de lo dispuesto en </w:t>
      </w:r>
      <w:r w:rsidR="00762F4A">
        <w:rPr>
          <w:rFonts w:ascii="Arial Narrow" w:eastAsia="Times New Roman" w:hAnsi="Arial Narrow"/>
          <w:i/>
          <w:color w:val="212529"/>
          <w:sz w:val="24"/>
          <w:szCs w:val="24"/>
          <w:lang w:eastAsia="es-MX"/>
        </w:rPr>
        <w:t xml:space="preserve">la </w:t>
      </w:r>
      <w:hyperlink r:id="rId9" w:history="1">
        <w:r w:rsidRPr="00762F4A">
          <w:rPr>
            <w:rFonts w:ascii="Arial Narrow" w:eastAsia="Times New Roman" w:hAnsi="Arial Narrow"/>
            <w:b/>
            <w:bCs/>
            <w:i/>
            <w:color w:val="007BFF"/>
            <w:sz w:val="24"/>
            <w:szCs w:val="24"/>
            <w:lang w:eastAsia="es-MX"/>
          </w:rPr>
          <w:t>fracción VI del artículo 76 bis de la Ley de Amparo</w:t>
        </w:r>
      </w:hyperlink>
      <w:r w:rsidRPr="00762F4A">
        <w:rPr>
          <w:rFonts w:ascii="Arial Narrow" w:eastAsia="Times New Roman" w:hAnsi="Arial Narrow"/>
          <w:i/>
          <w:color w:val="212529"/>
          <w:sz w:val="24"/>
          <w:szCs w:val="24"/>
          <w:lang w:eastAsia="es-MX"/>
        </w:rPr>
        <w:t>,</w:t>
      </w:r>
      <w:r w:rsidRPr="001223F3">
        <w:rPr>
          <w:rFonts w:ascii="Arial Narrow" w:eastAsia="Times New Roman" w:hAnsi="Arial Narrow"/>
          <w:i/>
          <w:color w:val="212529"/>
          <w:sz w:val="24"/>
          <w:szCs w:val="24"/>
          <w:lang w:eastAsia="es-MX"/>
        </w:rPr>
        <w:t xml:space="preserve">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w:t>
      </w:r>
      <w:proofErr w:type="spellStart"/>
      <w:r w:rsidRPr="001223F3">
        <w:rPr>
          <w:rFonts w:ascii="Arial Narrow" w:eastAsia="Times New Roman" w:hAnsi="Arial Narrow"/>
          <w:i/>
          <w:color w:val="212529"/>
          <w:sz w:val="24"/>
          <w:szCs w:val="24"/>
          <w:lang w:eastAsia="es-MX"/>
        </w:rPr>
        <w:t>litis</w:t>
      </w:r>
      <w:proofErr w:type="spellEnd"/>
      <w:r w:rsidRPr="001223F3">
        <w:rPr>
          <w:rFonts w:ascii="Arial Narrow" w:eastAsia="Times New Roman" w:hAnsi="Arial Narrow"/>
          <w:i/>
          <w:color w:val="212529"/>
          <w:sz w:val="24"/>
          <w:szCs w:val="24"/>
          <w:lang w:eastAsia="es-MX"/>
        </w:rPr>
        <w:t xml:space="preserve"> planteada, porque de ser </w:t>
      </w:r>
      <w:r w:rsidRPr="001223F3">
        <w:rPr>
          <w:rFonts w:ascii="Arial Narrow" w:eastAsia="Times New Roman" w:hAnsi="Arial Narrow"/>
          <w:i/>
          <w:color w:val="212529"/>
          <w:sz w:val="24"/>
          <w:szCs w:val="24"/>
          <w:lang w:eastAsia="es-MX"/>
        </w:rPr>
        <w:lastRenderedPageBreak/>
        <w:t>así, ya no se estaría ante la presencia de una violación manifiesta de la ley que deje sin defensa al quejoso o agraviado.</w:t>
      </w:r>
      <w:r>
        <w:rPr>
          <w:rFonts w:ascii="Arial Narrow" w:eastAsia="Times New Roman" w:hAnsi="Arial Narrow"/>
          <w:i/>
          <w:color w:val="212529"/>
          <w:sz w:val="24"/>
          <w:szCs w:val="24"/>
          <w:lang w:eastAsia="es-MX"/>
        </w:rPr>
        <w:t>”</w:t>
      </w:r>
      <w:r>
        <w:rPr>
          <w:rStyle w:val="Refdenotaalpie"/>
          <w:rFonts w:ascii="Arial Narrow" w:eastAsia="Times New Roman" w:hAnsi="Arial Narrow"/>
          <w:i/>
          <w:color w:val="212529"/>
          <w:sz w:val="24"/>
          <w:szCs w:val="24"/>
          <w:lang w:eastAsia="es-MX"/>
        </w:rPr>
        <w:footnoteReference w:id="13"/>
      </w:r>
    </w:p>
    <w:p w14:paraId="5B306EDA" w14:textId="77777777" w:rsidR="00833372" w:rsidRPr="00BC1450" w:rsidRDefault="00833372" w:rsidP="00BE006D">
      <w:pPr>
        <w:spacing w:before="240" w:after="240" w:line="360" w:lineRule="auto"/>
        <w:ind w:right="51" w:firstLine="709"/>
        <w:contextualSpacing/>
        <w:jc w:val="both"/>
        <w:rPr>
          <w:rFonts w:ascii="Arial" w:eastAsia="Times New Roman" w:hAnsi="Arial" w:cs="Arial"/>
          <w:sz w:val="10"/>
          <w:szCs w:val="10"/>
          <w:lang w:val="es-ES" w:eastAsia="es-ES"/>
        </w:rPr>
      </w:pPr>
    </w:p>
    <w:p w14:paraId="288CE238" w14:textId="5362D6AD" w:rsidR="00BC1450" w:rsidRDefault="00BC1450" w:rsidP="00BC1450">
      <w:pPr>
        <w:spacing w:before="240" w:after="240" w:line="360" w:lineRule="auto"/>
        <w:ind w:firstLine="708"/>
        <w:jc w:val="both"/>
        <w:rPr>
          <w:rFonts w:ascii="Arial" w:hAnsi="Arial" w:cs="Arial"/>
          <w:sz w:val="28"/>
          <w:szCs w:val="28"/>
        </w:rPr>
      </w:pPr>
      <w:r>
        <w:rPr>
          <w:rFonts w:ascii="Arial" w:hAnsi="Arial" w:cs="Arial"/>
          <w:sz w:val="28"/>
          <w:szCs w:val="28"/>
        </w:rPr>
        <w:t xml:space="preserve">En las relatadas condiciones, ante lo infundado de los argumentos planteados, </w:t>
      </w:r>
      <w:r w:rsidRPr="00997FCD">
        <w:rPr>
          <w:rFonts w:ascii="Arial" w:hAnsi="Arial" w:cs="Arial"/>
          <w:sz w:val="28"/>
          <w:szCs w:val="28"/>
        </w:rPr>
        <w:t xml:space="preserve">debe subsistir </w:t>
      </w:r>
      <w:r>
        <w:rPr>
          <w:rFonts w:ascii="Arial" w:hAnsi="Arial" w:cs="Arial"/>
          <w:sz w:val="28"/>
          <w:szCs w:val="28"/>
        </w:rPr>
        <w:t xml:space="preserve">el sobreseimiento decretado en el juicio de nulidad </w:t>
      </w:r>
      <w:r w:rsidR="00194957">
        <w:rPr>
          <w:rFonts w:ascii="Arial" w:hAnsi="Arial" w:cs="Arial"/>
          <w:color w:val="FF0000"/>
          <w:sz w:val="23"/>
          <w:szCs w:val="23"/>
        </w:rPr>
        <w:t>******</w:t>
      </w:r>
      <w:r w:rsidRPr="00DA0F83">
        <w:rPr>
          <w:rFonts w:ascii="Arial" w:hAnsi="Arial" w:cs="Arial"/>
          <w:sz w:val="28"/>
          <w:szCs w:val="28"/>
        </w:rPr>
        <w:t>/2022/2</w:t>
      </w:r>
      <w:r>
        <w:rPr>
          <w:rFonts w:ascii="Arial" w:hAnsi="Arial" w:cs="Arial"/>
          <w:sz w:val="28"/>
          <w:szCs w:val="28"/>
        </w:rPr>
        <w:t>.</w:t>
      </w:r>
    </w:p>
    <w:p w14:paraId="2970551D" w14:textId="3EAB2273" w:rsidR="00BC1450" w:rsidRPr="00BC1450" w:rsidRDefault="00BC1450" w:rsidP="00BC1450">
      <w:pPr>
        <w:spacing w:before="240" w:after="240" w:line="360" w:lineRule="auto"/>
        <w:ind w:firstLine="708"/>
        <w:jc w:val="both"/>
        <w:rPr>
          <w:rFonts w:ascii="Arial" w:hAnsi="Arial" w:cs="Arial"/>
          <w:sz w:val="28"/>
          <w:szCs w:val="28"/>
        </w:rPr>
      </w:pPr>
      <w:r w:rsidRPr="00BC1450">
        <w:rPr>
          <w:rFonts w:ascii="Arial" w:hAnsi="Arial" w:cs="Arial"/>
          <w:sz w:val="28"/>
          <w:szCs w:val="28"/>
        </w:rPr>
        <w:t>Por tanto, lo que procede es confirmar en la materia de la apelación la sentencia definitiva de</w:t>
      </w:r>
      <w:r w:rsidR="00DC08F2">
        <w:rPr>
          <w:rFonts w:ascii="Arial" w:hAnsi="Arial" w:cs="Arial"/>
          <w:sz w:val="28"/>
          <w:szCs w:val="28"/>
        </w:rPr>
        <w:t xml:space="preserve"> </w:t>
      </w:r>
      <w:r w:rsidR="00DC08F2" w:rsidRPr="007C3009">
        <w:rPr>
          <w:rFonts w:ascii="Arial" w:hAnsi="Arial" w:cs="Arial"/>
          <w:color w:val="0000FF"/>
          <w:sz w:val="28"/>
          <w:szCs w:val="28"/>
          <w:lang w:val="es-ES"/>
        </w:rPr>
        <w:t>doce de julio del dos mil veintitrés</w:t>
      </w:r>
      <w:r w:rsidRPr="00BC1450">
        <w:rPr>
          <w:rFonts w:ascii="Arial" w:hAnsi="Arial" w:cs="Arial"/>
          <w:sz w:val="28"/>
          <w:szCs w:val="28"/>
        </w:rPr>
        <w:t xml:space="preserve">, pronunciada por la </w:t>
      </w:r>
      <w:r w:rsidR="00DC08F2">
        <w:rPr>
          <w:rFonts w:ascii="Arial" w:hAnsi="Arial" w:cs="Arial"/>
          <w:sz w:val="28"/>
          <w:szCs w:val="28"/>
        </w:rPr>
        <w:t>Segunda</w:t>
      </w:r>
      <w:r w:rsidRPr="00BC1450">
        <w:rPr>
          <w:rFonts w:ascii="Arial" w:hAnsi="Arial" w:cs="Arial"/>
          <w:sz w:val="28"/>
          <w:szCs w:val="28"/>
        </w:rPr>
        <w:t xml:space="preserve"> Sala Unitaria del Tribunal Estatal de Justicia Administrativa, al resolver el </w:t>
      </w:r>
      <w:r w:rsidR="00DC08F2">
        <w:rPr>
          <w:rFonts w:ascii="Arial" w:hAnsi="Arial" w:cs="Arial"/>
          <w:sz w:val="28"/>
          <w:szCs w:val="28"/>
        </w:rPr>
        <w:t>juicio de nulidad</w:t>
      </w:r>
      <w:r w:rsidRPr="00BC1450">
        <w:rPr>
          <w:rFonts w:ascii="Arial" w:hAnsi="Arial" w:cs="Arial"/>
          <w:sz w:val="28"/>
          <w:szCs w:val="28"/>
        </w:rPr>
        <w:t xml:space="preserve"> </w:t>
      </w:r>
      <w:r w:rsidR="00194957">
        <w:rPr>
          <w:rFonts w:ascii="Arial" w:hAnsi="Arial" w:cs="Arial"/>
          <w:color w:val="FF0000"/>
          <w:sz w:val="23"/>
          <w:szCs w:val="23"/>
        </w:rPr>
        <w:t>******</w:t>
      </w:r>
      <w:r w:rsidR="00DC08F2" w:rsidRPr="00DC08F2">
        <w:rPr>
          <w:rFonts w:ascii="Arial" w:hAnsi="Arial" w:cs="Arial"/>
          <w:sz w:val="28"/>
          <w:szCs w:val="28"/>
        </w:rPr>
        <w:t>/2022/2</w:t>
      </w:r>
      <w:r w:rsidRPr="00BC1450">
        <w:rPr>
          <w:rFonts w:ascii="Arial" w:hAnsi="Arial" w:cs="Arial"/>
          <w:sz w:val="28"/>
          <w:szCs w:val="28"/>
        </w:rPr>
        <w:t>.</w:t>
      </w:r>
    </w:p>
    <w:p w14:paraId="5D366406" w14:textId="2A8DD64A" w:rsidR="00BC1450" w:rsidRPr="00BC1450" w:rsidRDefault="00BC1450" w:rsidP="00BC1450">
      <w:pPr>
        <w:spacing w:before="240" w:after="240" w:line="360" w:lineRule="auto"/>
        <w:ind w:firstLine="708"/>
        <w:jc w:val="both"/>
        <w:rPr>
          <w:rFonts w:ascii="Arial" w:hAnsi="Arial" w:cs="Arial"/>
          <w:sz w:val="28"/>
          <w:szCs w:val="28"/>
        </w:rPr>
      </w:pPr>
      <w:r w:rsidRPr="00BC1450">
        <w:rPr>
          <w:rFonts w:ascii="Arial" w:hAnsi="Arial" w:cs="Arial"/>
          <w:sz w:val="28"/>
          <w:szCs w:val="28"/>
        </w:rPr>
        <w:t>Por último, con apoyo en lo di</w:t>
      </w:r>
      <w:r w:rsidR="00DC08F2">
        <w:rPr>
          <w:rFonts w:ascii="Arial" w:hAnsi="Arial" w:cs="Arial"/>
          <w:sz w:val="28"/>
          <w:szCs w:val="28"/>
        </w:rPr>
        <w:t xml:space="preserve">spuesto por el artículo 22 Bis </w:t>
      </w:r>
      <w:r w:rsidRPr="00BC1450">
        <w:rPr>
          <w:rFonts w:ascii="Arial" w:hAnsi="Arial" w:cs="Arial"/>
          <w:sz w:val="28"/>
          <w:szCs w:val="28"/>
        </w:rPr>
        <w:t xml:space="preserve">del Reglamento Interior de este Tribunal, se habilita a la licenciada </w:t>
      </w:r>
      <w:r w:rsidRPr="00BC1450">
        <w:rPr>
          <w:rFonts w:ascii="Arial" w:hAnsi="Arial" w:cs="Arial"/>
          <w:color w:val="000099"/>
          <w:sz w:val="28"/>
          <w:szCs w:val="28"/>
        </w:rPr>
        <w:t xml:space="preserve">Victoria Joscelyn Carmona Cabrera </w:t>
      </w:r>
      <w:r w:rsidRPr="00BC1450">
        <w:rPr>
          <w:rFonts w:ascii="Arial" w:hAnsi="Arial" w:cs="Arial"/>
          <w:sz w:val="28"/>
          <w:szCs w:val="28"/>
        </w:rPr>
        <w:t>para que lleve a cabo la notificación de la presente resolución.</w:t>
      </w:r>
    </w:p>
    <w:p w14:paraId="02536525" w14:textId="77777777" w:rsidR="000A3130" w:rsidRDefault="000A3130" w:rsidP="004E15C9">
      <w:pPr>
        <w:spacing w:after="0" w:line="360" w:lineRule="auto"/>
        <w:ind w:firstLine="851"/>
        <w:jc w:val="both"/>
        <w:rPr>
          <w:rFonts w:ascii="Arial" w:hAnsi="Arial" w:cs="Arial"/>
          <w:sz w:val="28"/>
          <w:szCs w:val="28"/>
        </w:rPr>
      </w:pPr>
      <w:r w:rsidRPr="00790E42">
        <w:rPr>
          <w:rFonts w:ascii="Arial" w:hAnsi="Arial" w:cs="Arial"/>
          <w:sz w:val="28"/>
          <w:szCs w:val="28"/>
        </w:rPr>
        <w:t>Por lo anteriormente expuesto, fundado y con apoyo además en el artículo 156 del Código Procesal Administrativo para el Estado de San Luis Potosí, y en cumplimiento a lo determinado en la ejecutoria de amparo de conformidad con el párrafo primero del artículo 192 de la Ley de Amparo, es de resolverse y se:</w:t>
      </w:r>
    </w:p>
    <w:p w14:paraId="663DD9F9" w14:textId="77777777" w:rsidR="000A3130" w:rsidRDefault="000A3130" w:rsidP="004E15C9">
      <w:pPr>
        <w:spacing w:after="0" w:line="360" w:lineRule="auto"/>
        <w:jc w:val="center"/>
        <w:rPr>
          <w:rFonts w:ascii="Arial" w:hAnsi="Arial" w:cs="Arial"/>
          <w:b/>
          <w:spacing w:val="40"/>
          <w:sz w:val="28"/>
          <w:szCs w:val="28"/>
        </w:rPr>
      </w:pPr>
      <w:r>
        <w:rPr>
          <w:rFonts w:ascii="Arial" w:hAnsi="Arial" w:cs="Arial"/>
          <w:b/>
          <w:spacing w:val="40"/>
          <w:sz w:val="28"/>
          <w:szCs w:val="28"/>
        </w:rPr>
        <w:t>RESUELVE:</w:t>
      </w:r>
    </w:p>
    <w:p w14:paraId="324EE230" w14:textId="3E281B99" w:rsidR="000A3130" w:rsidRDefault="000A3130" w:rsidP="00B94120">
      <w:pPr>
        <w:spacing w:after="0" w:line="360" w:lineRule="auto"/>
        <w:ind w:firstLine="851"/>
        <w:jc w:val="both"/>
        <w:rPr>
          <w:rFonts w:ascii="Arial" w:hAnsi="Arial" w:cs="Arial"/>
          <w:sz w:val="28"/>
          <w:szCs w:val="28"/>
          <w:lang w:val="es-ES_tradnl"/>
        </w:rPr>
      </w:pPr>
      <w:r>
        <w:rPr>
          <w:rFonts w:ascii="Arial" w:hAnsi="Arial" w:cs="Arial"/>
          <w:b/>
          <w:sz w:val="28"/>
          <w:szCs w:val="28"/>
          <w:lang w:val="es-ES_tradnl"/>
        </w:rPr>
        <w:t>UNICO</w:t>
      </w:r>
      <w:r w:rsidRPr="003979F9">
        <w:rPr>
          <w:rFonts w:ascii="Arial" w:hAnsi="Arial" w:cs="Arial"/>
          <w:b/>
          <w:sz w:val="28"/>
          <w:szCs w:val="28"/>
          <w:lang w:val="es-ES_tradnl"/>
        </w:rPr>
        <w:t>.</w:t>
      </w:r>
      <w:r>
        <w:rPr>
          <w:rFonts w:ascii="Arial" w:hAnsi="Arial" w:cs="Arial"/>
          <w:sz w:val="28"/>
          <w:szCs w:val="28"/>
          <w:lang w:val="es-ES_tradnl"/>
        </w:rPr>
        <w:t xml:space="preserve"> En estricto acatamiento a la ejecutoria de amparo de </w:t>
      </w:r>
      <w:r w:rsidR="00DC08F2" w:rsidRPr="00AF0EF1">
        <w:rPr>
          <w:rFonts w:ascii="Arial" w:hAnsi="Arial" w:cs="Arial"/>
          <w:color w:val="0000FF"/>
          <w:sz w:val="28"/>
          <w:szCs w:val="28"/>
        </w:rPr>
        <w:t>t</w:t>
      </w:r>
      <w:r w:rsidR="00DC08F2">
        <w:rPr>
          <w:rFonts w:ascii="Arial" w:hAnsi="Arial" w:cs="Arial"/>
          <w:color w:val="0000FF"/>
          <w:sz w:val="28"/>
          <w:szCs w:val="28"/>
        </w:rPr>
        <w:t>reinta de abril de dos mil veinti</w:t>
      </w:r>
      <w:r w:rsidR="00DC08F2" w:rsidRPr="00AF0EF1">
        <w:rPr>
          <w:rFonts w:ascii="Arial" w:hAnsi="Arial" w:cs="Arial"/>
          <w:color w:val="0000FF"/>
          <w:sz w:val="28"/>
          <w:szCs w:val="28"/>
        </w:rPr>
        <w:t>séis</w:t>
      </w:r>
      <w:r w:rsidR="00DC08F2" w:rsidRPr="00C63564">
        <w:rPr>
          <w:rFonts w:ascii="Arial" w:hAnsi="Arial" w:cs="Arial"/>
          <w:sz w:val="28"/>
          <w:szCs w:val="28"/>
        </w:rPr>
        <w:t xml:space="preserve">, </w:t>
      </w:r>
      <w:r>
        <w:rPr>
          <w:rFonts w:ascii="Arial" w:hAnsi="Arial" w:cs="Arial"/>
          <w:sz w:val="28"/>
          <w:szCs w:val="28"/>
          <w:lang w:val="es-ES_tradnl"/>
        </w:rPr>
        <w:t xml:space="preserve">dictada por el </w:t>
      </w:r>
      <w:r w:rsidR="005515EB" w:rsidRPr="0066687D">
        <w:rPr>
          <w:rFonts w:ascii="Arial" w:hAnsi="Arial" w:cs="Arial"/>
          <w:color w:val="000099"/>
          <w:sz w:val="28"/>
          <w:szCs w:val="28"/>
          <w:lang w:val="es-ES_tradnl"/>
        </w:rPr>
        <w:t>Primer</w:t>
      </w:r>
      <w:r w:rsidRPr="0066687D">
        <w:rPr>
          <w:rFonts w:ascii="Arial" w:hAnsi="Arial" w:cs="Arial"/>
          <w:color w:val="000099"/>
          <w:sz w:val="28"/>
          <w:szCs w:val="28"/>
          <w:lang w:val="es-ES_tradnl"/>
        </w:rPr>
        <w:t xml:space="preserve"> </w:t>
      </w:r>
      <w:r>
        <w:rPr>
          <w:rFonts w:ascii="Arial" w:hAnsi="Arial" w:cs="Arial"/>
          <w:sz w:val="28"/>
          <w:szCs w:val="28"/>
          <w:lang w:val="es-ES_tradnl"/>
        </w:rPr>
        <w:t xml:space="preserve">Tribunal Colegiado en Materias Civil y Administrativa del </w:t>
      </w:r>
      <w:r>
        <w:rPr>
          <w:rFonts w:ascii="Arial" w:hAnsi="Arial" w:cs="Arial"/>
          <w:sz w:val="28"/>
          <w:szCs w:val="28"/>
          <w:lang w:val="es-ES_tradnl"/>
        </w:rPr>
        <w:lastRenderedPageBreak/>
        <w:t xml:space="preserve">Noveno Circuito en el amparo directo </w:t>
      </w:r>
      <w:r w:rsidR="00194957">
        <w:rPr>
          <w:rFonts w:ascii="Arial" w:hAnsi="Arial" w:cs="Arial"/>
          <w:color w:val="FF0000"/>
          <w:sz w:val="23"/>
          <w:szCs w:val="23"/>
        </w:rPr>
        <w:t>******</w:t>
      </w:r>
      <w:r w:rsidRPr="002C633E">
        <w:rPr>
          <w:rFonts w:ascii="Arial" w:hAnsi="Arial" w:cs="Arial"/>
          <w:color w:val="FF0000"/>
          <w:sz w:val="28"/>
          <w:szCs w:val="28"/>
          <w:lang w:val="es-ES_tradnl"/>
        </w:rPr>
        <w:t>/</w:t>
      </w:r>
      <w:r w:rsidR="00DC08F2">
        <w:rPr>
          <w:rFonts w:ascii="Arial" w:hAnsi="Arial" w:cs="Arial"/>
          <w:sz w:val="28"/>
          <w:szCs w:val="28"/>
          <w:lang w:val="es-ES_tradnl"/>
        </w:rPr>
        <w:t>2024</w:t>
      </w:r>
      <w:r>
        <w:rPr>
          <w:rFonts w:ascii="Arial" w:hAnsi="Arial" w:cs="Arial"/>
          <w:sz w:val="28"/>
          <w:szCs w:val="28"/>
          <w:lang w:val="es-ES_tradnl"/>
        </w:rPr>
        <w:t xml:space="preserve">; </w:t>
      </w:r>
      <w:r w:rsidR="00581F15">
        <w:rPr>
          <w:rFonts w:ascii="Arial" w:hAnsi="Arial" w:cs="Arial"/>
          <w:sz w:val="28"/>
          <w:szCs w:val="28"/>
          <w:lang w:val="es-ES_tradnl"/>
        </w:rPr>
        <w:t xml:space="preserve">se </w:t>
      </w:r>
      <w:r w:rsidR="00DC08F2">
        <w:rPr>
          <w:rFonts w:ascii="Arial" w:hAnsi="Arial" w:cs="Arial"/>
          <w:sz w:val="28"/>
          <w:szCs w:val="28"/>
          <w:lang w:val="es-ES_tradnl"/>
        </w:rPr>
        <w:t xml:space="preserve">confirma </w:t>
      </w:r>
      <w:r w:rsidR="00E85A02">
        <w:rPr>
          <w:rFonts w:ascii="Arial" w:hAnsi="Arial" w:cs="Arial"/>
          <w:sz w:val="28"/>
          <w:szCs w:val="28"/>
          <w:lang w:val="es-ES_tradnl"/>
        </w:rPr>
        <w:t xml:space="preserve">el sobreseimiento decretado en </w:t>
      </w:r>
      <w:r w:rsidR="00DC08F2" w:rsidRPr="00BC1450">
        <w:rPr>
          <w:rFonts w:ascii="Arial" w:hAnsi="Arial" w:cs="Arial"/>
          <w:sz w:val="28"/>
          <w:szCs w:val="28"/>
        </w:rPr>
        <w:t>la sentencia definitiva de</w:t>
      </w:r>
      <w:r w:rsidR="00DC08F2">
        <w:rPr>
          <w:rFonts w:ascii="Arial" w:hAnsi="Arial" w:cs="Arial"/>
          <w:sz w:val="28"/>
          <w:szCs w:val="28"/>
        </w:rPr>
        <w:t xml:space="preserve"> </w:t>
      </w:r>
      <w:r w:rsidR="00DC08F2" w:rsidRPr="007C3009">
        <w:rPr>
          <w:rFonts w:ascii="Arial" w:hAnsi="Arial" w:cs="Arial"/>
          <w:color w:val="0000FF"/>
          <w:sz w:val="28"/>
          <w:szCs w:val="28"/>
          <w:lang w:val="es-ES"/>
        </w:rPr>
        <w:t>doce de julio del dos mil veintitrés</w:t>
      </w:r>
      <w:r w:rsidR="00DC08F2" w:rsidRPr="00BC1450">
        <w:rPr>
          <w:rFonts w:ascii="Arial" w:hAnsi="Arial" w:cs="Arial"/>
          <w:sz w:val="28"/>
          <w:szCs w:val="28"/>
        </w:rPr>
        <w:t xml:space="preserve">, pronunciada por la </w:t>
      </w:r>
      <w:r w:rsidR="00DC08F2">
        <w:rPr>
          <w:rFonts w:ascii="Arial" w:hAnsi="Arial" w:cs="Arial"/>
          <w:sz w:val="28"/>
          <w:szCs w:val="28"/>
        </w:rPr>
        <w:t>Segunda</w:t>
      </w:r>
      <w:r w:rsidR="00DC08F2" w:rsidRPr="00BC1450">
        <w:rPr>
          <w:rFonts w:ascii="Arial" w:hAnsi="Arial" w:cs="Arial"/>
          <w:sz w:val="28"/>
          <w:szCs w:val="28"/>
        </w:rPr>
        <w:t xml:space="preserve"> Sala Unitaria del Tribunal Estatal de Justicia Administrativa, al resolver el </w:t>
      </w:r>
      <w:r w:rsidR="00DC08F2">
        <w:rPr>
          <w:rFonts w:ascii="Arial" w:hAnsi="Arial" w:cs="Arial"/>
          <w:sz w:val="28"/>
          <w:szCs w:val="28"/>
        </w:rPr>
        <w:t>juicio de nulidad</w:t>
      </w:r>
      <w:r w:rsidR="00DC08F2" w:rsidRPr="00BC1450">
        <w:rPr>
          <w:rFonts w:ascii="Arial" w:hAnsi="Arial" w:cs="Arial"/>
          <w:sz w:val="28"/>
          <w:szCs w:val="28"/>
        </w:rPr>
        <w:t xml:space="preserve"> </w:t>
      </w:r>
      <w:r w:rsidR="00194957">
        <w:rPr>
          <w:rFonts w:ascii="Arial" w:hAnsi="Arial" w:cs="Arial"/>
          <w:color w:val="FF0000"/>
          <w:sz w:val="23"/>
          <w:szCs w:val="23"/>
        </w:rPr>
        <w:t>******</w:t>
      </w:r>
      <w:r w:rsidR="00DC08F2" w:rsidRPr="00DC08F2">
        <w:rPr>
          <w:rFonts w:ascii="Arial" w:hAnsi="Arial" w:cs="Arial"/>
          <w:sz w:val="28"/>
          <w:szCs w:val="28"/>
        </w:rPr>
        <w:t>/2022/2</w:t>
      </w:r>
      <w:r w:rsidR="00266A34">
        <w:rPr>
          <w:rFonts w:ascii="Arial" w:hAnsi="Arial" w:cs="Arial"/>
          <w:sz w:val="28"/>
          <w:szCs w:val="28"/>
          <w:lang w:val="es-ES_tradnl"/>
        </w:rPr>
        <w:t>,</w:t>
      </w:r>
      <w:r w:rsidR="00581F15">
        <w:rPr>
          <w:rFonts w:ascii="Arial" w:hAnsi="Arial" w:cs="Arial"/>
          <w:sz w:val="28"/>
          <w:szCs w:val="28"/>
          <w:lang w:val="es-ES_tradnl"/>
        </w:rPr>
        <w:t xml:space="preserve"> de</w:t>
      </w:r>
      <w:r>
        <w:rPr>
          <w:rFonts w:ascii="Arial" w:hAnsi="Arial" w:cs="Arial"/>
          <w:sz w:val="28"/>
          <w:szCs w:val="28"/>
          <w:lang w:val="es-ES_tradnl"/>
        </w:rPr>
        <w:t xml:space="preserve"> acuerdo a las consideraciones y fundamentos precisados en el último considerando de esta sentencia.</w:t>
      </w:r>
    </w:p>
    <w:p w14:paraId="4465C5B2" w14:textId="77777777" w:rsidR="004E15C9" w:rsidRPr="00D96A2B" w:rsidRDefault="004E15C9" w:rsidP="004E15C9">
      <w:pPr>
        <w:spacing w:after="0" w:line="360" w:lineRule="auto"/>
        <w:ind w:firstLine="851"/>
        <w:jc w:val="both"/>
        <w:rPr>
          <w:rFonts w:ascii="Arial" w:hAnsi="Arial" w:cs="Arial"/>
          <w:sz w:val="10"/>
          <w:szCs w:val="10"/>
          <w:lang w:val="es-ES_tradnl"/>
        </w:rPr>
      </w:pPr>
    </w:p>
    <w:p w14:paraId="687F7EC7" w14:textId="297F860D" w:rsidR="004E15C9" w:rsidRDefault="000A3130" w:rsidP="004E15C9">
      <w:pPr>
        <w:spacing w:after="0" w:line="360" w:lineRule="auto"/>
        <w:ind w:firstLine="851"/>
        <w:jc w:val="both"/>
        <w:rPr>
          <w:rFonts w:ascii="Arial" w:hAnsi="Arial" w:cs="Arial"/>
          <w:sz w:val="27"/>
          <w:szCs w:val="27"/>
        </w:rPr>
      </w:pPr>
      <w:r w:rsidRPr="005E2A81">
        <w:rPr>
          <w:rFonts w:ascii="Arial" w:hAnsi="Arial" w:cs="Arial"/>
          <w:b/>
          <w:sz w:val="27"/>
          <w:szCs w:val="27"/>
        </w:rPr>
        <w:t>Notifíquese</w:t>
      </w:r>
      <w:r w:rsidRPr="005E2A81">
        <w:rPr>
          <w:rFonts w:ascii="Arial" w:hAnsi="Arial" w:cs="Arial"/>
          <w:bCs/>
          <w:sz w:val="27"/>
          <w:szCs w:val="27"/>
          <w:lang w:val="es-ES_tradnl"/>
        </w:rPr>
        <w:t xml:space="preserve"> con testimonio de la presente resolución al </w:t>
      </w:r>
      <w:r w:rsidR="005515EB">
        <w:rPr>
          <w:rFonts w:ascii="Arial" w:hAnsi="Arial" w:cs="Arial"/>
          <w:sz w:val="27"/>
          <w:szCs w:val="27"/>
          <w:lang w:val="es-ES_tradnl"/>
        </w:rPr>
        <w:t>Primer</w:t>
      </w:r>
      <w:r w:rsidRPr="005E2A81">
        <w:rPr>
          <w:rFonts w:ascii="Arial" w:hAnsi="Arial" w:cs="Arial"/>
          <w:sz w:val="27"/>
          <w:szCs w:val="27"/>
          <w:lang w:val="es-ES_tradnl"/>
        </w:rPr>
        <w:t xml:space="preserve"> Tribunal Colegiado en Materias Civil y Administrativa del Noveno Circuito, sobre el cumplimiento de la ejecutoria de Amparo Directo Administrativo número </w:t>
      </w:r>
      <w:r w:rsidR="00194957">
        <w:rPr>
          <w:rFonts w:ascii="Arial" w:hAnsi="Arial" w:cs="Arial"/>
          <w:color w:val="FF0000"/>
          <w:sz w:val="23"/>
          <w:szCs w:val="23"/>
        </w:rPr>
        <w:t>******</w:t>
      </w:r>
      <w:bookmarkStart w:id="0" w:name="_GoBack"/>
      <w:bookmarkEnd w:id="0"/>
      <w:r w:rsidR="004E15C9" w:rsidRPr="005E2A81">
        <w:rPr>
          <w:rFonts w:ascii="Arial" w:hAnsi="Arial" w:cs="Arial"/>
          <w:sz w:val="27"/>
          <w:szCs w:val="27"/>
          <w:lang w:val="es-ES_tradnl"/>
        </w:rPr>
        <w:t>/202</w:t>
      </w:r>
      <w:r w:rsidR="005515EB">
        <w:rPr>
          <w:rFonts w:ascii="Arial" w:hAnsi="Arial" w:cs="Arial"/>
          <w:sz w:val="27"/>
          <w:szCs w:val="27"/>
          <w:lang w:val="es-ES_tradnl"/>
        </w:rPr>
        <w:t>4</w:t>
      </w:r>
      <w:r w:rsidRPr="005E2A81">
        <w:rPr>
          <w:rFonts w:ascii="Arial" w:hAnsi="Arial" w:cs="Arial"/>
          <w:sz w:val="27"/>
          <w:szCs w:val="27"/>
          <w:lang w:val="es-ES_tradnl"/>
        </w:rPr>
        <w:t xml:space="preserve"> para los efectos prescritos en el artículo 192 de la Ley de Amparo; igualmente </w:t>
      </w:r>
      <w:r w:rsidRPr="005E2A81">
        <w:rPr>
          <w:rFonts w:ascii="Arial" w:hAnsi="Arial" w:cs="Arial"/>
          <w:sz w:val="27"/>
          <w:szCs w:val="27"/>
        </w:rPr>
        <w:t xml:space="preserve">con testimonio de esta resolución </w:t>
      </w:r>
      <w:r w:rsidR="00B94120" w:rsidRPr="005E2A81">
        <w:rPr>
          <w:rFonts w:ascii="Arial" w:hAnsi="Arial" w:cs="Arial"/>
          <w:b/>
          <w:sz w:val="27"/>
          <w:szCs w:val="27"/>
        </w:rPr>
        <w:t>p</w:t>
      </w:r>
      <w:r w:rsidR="005515EB">
        <w:rPr>
          <w:rFonts w:ascii="Arial" w:hAnsi="Arial" w:cs="Arial"/>
          <w:b/>
          <w:sz w:val="27"/>
          <w:szCs w:val="27"/>
        </w:rPr>
        <w:t xml:space="preserve">ersonalmente a la parte actora </w:t>
      </w:r>
      <w:r w:rsidR="00B94120" w:rsidRPr="005E2A81">
        <w:rPr>
          <w:rFonts w:ascii="Arial" w:hAnsi="Arial" w:cs="Arial"/>
          <w:b/>
          <w:sz w:val="27"/>
          <w:szCs w:val="27"/>
        </w:rPr>
        <w:t>, y por oficio a las autoridades demandadas</w:t>
      </w:r>
      <w:r w:rsidRPr="005E2A81">
        <w:rPr>
          <w:rFonts w:ascii="Arial" w:hAnsi="Arial" w:cs="Arial"/>
          <w:sz w:val="27"/>
          <w:szCs w:val="27"/>
        </w:rPr>
        <w:t xml:space="preserve">; </w:t>
      </w:r>
      <w:r w:rsidR="005515EB" w:rsidRPr="005E2A81">
        <w:rPr>
          <w:rFonts w:ascii="Arial" w:hAnsi="Arial" w:cs="Arial"/>
          <w:sz w:val="27"/>
          <w:szCs w:val="27"/>
        </w:rPr>
        <w:t>procédase a realizar las anotaciones respectivas en el Libro de Gobierno y la captura de datos en el Sistema de Control Electrónico de Expedientes Jurisdiccionales (SICEEJURIS)</w:t>
      </w:r>
      <w:r w:rsidR="005515EB">
        <w:rPr>
          <w:rFonts w:ascii="Arial" w:hAnsi="Arial" w:cs="Arial"/>
          <w:sz w:val="27"/>
          <w:szCs w:val="27"/>
        </w:rPr>
        <w:t xml:space="preserve"> y </w:t>
      </w:r>
      <w:r w:rsidR="005515EB" w:rsidRPr="005E2A81">
        <w:rPr>
          <w:rFonts w:ascii="Arial" w:hAnsi="Arial" w:cs="Arial"/>
          <w:sz w:val="27"/>
          <w:szCs w:val="27"/>
        </w:rPr>
        <w:t>en su oportunidad archívese el Toc</w:t>
      </w:r>
      <w:r w:rsidR="005515EB">
        <w:rPr>
          <w:rFonts w:ascii="Arial" w:hAnsi="Arial" w:cs="Arial"/>
          <w:sz w:val="27"/>
          <w:szCs w:val="27"/>
        </w:rPr>
        <w:t xml:space="preserve">a como asunto concluido y </w:t>
      </w:r>
      <w:r w:rsidRPr="005E2A81">
        <w:rPr>
          <w:rFonts w:ascii="Arial" w:hAnsi="Arial" w:cs="Arial"/>
          <w:sz w:val="27"/>
          <w:szCs w:val="27"/>
        </w:rPr>
        <w:t>remítanse l</w:t>
      </w:r>
      <w:r w:rsidR="005515EB">
        <w:rPr>
          <w:rFonts w:ascii="Arial" w:hAnsi="Arial" w:cs="Arial"/>
          <w:sz w:val="27"/>
          <w:szCs w:val="27"/>
        </w:rPr>
        <w:t>os autos a la Sala de su origen.</w:t>
      </w:r>
    </w:p>
    <w:p w14:paraId="09E97DC5" w14:textId="77777777" w:rsidR="005515EB" w:rsidRPr="005515EB" w:rsidRDefault="005515EB" w:rsidP="004E15C9">
      <w:pPr>
        <w:spacing w:after="0" w:line="360" w:lineRule="auto"/>
        <w:ind w:firstLine="851"/>
        <w:jc w:val="both"/>
        <w:rPr>
          <w:rFonts w:ascii="Arial" w:hAnsi="Arial" w:cs="Arial"/>
          <w:sz w:val="10"/>
          <w:szCs w:val="10"/>
          <w:lang w:val="es-ES_tradnl"/>
        </w:rPr>
      </w:pPr>
    </w:p>
    <w:p w14:paraId="15005112" w14:textId="66A1C7DB" w:rsidR="009E1455" w:rsidRPr="005E2A81" w:rsidRDefault="009E1455" w:rsidP="004E15C9">
      <w:pPr>
        <w:spacing w:after="0" w:line="360" w:lineRule="auto"/>
        <w:ind w:firstLine="851"/>
        <w:jc w:val="both"/>
        <w:rPr>
          <w:rFonts w:ascii="Arial" w:hAnsi="Arial" w:cs="Arial"/>
          <w:color w:val="000000" w:themeColor="text1"/>
          <w:sz w:val="27"/>
          <w:szCs w:val="27"/>
        </w:rPr>
      </w:pPr>
      <w:r w:rsidRPr="005E2A81">
        <w:rPr>
          <w:rFonts w:ascii="Arial" w:hAnsi="Arial" w:cs="Arial"/>
          <w:color w:val="000000" w:themeColor="text1"/>
          <w:sz w:val="27"/>
          <w:szCs w:val="27"/>
        </w:rPr>
        <w:t xml:space="preserve">Así lo resolvió y firma el Magistrado de la Sala Superior del Tribunal Estatal de Justicia Administrativa licenciado </w:t>
      </w:r>
      <w:r w:rsidRPr="005E2A81">
        <w:rPr>
          <w:rFonts w:ascii="Arial" w:hAnsi="Arial" w:cs="Arial"/>
          <w:b/>
          <w:color w:val="000000" w:themeColor="text1"/>
          <w:sz w:val="27"/>
          <w:szCs w:val="27"/>
        </w:rPr>
        <w:t>Claudio Alberto Alvarado Barragán</w:t>
      </w:r>
      <w:r w:rsidRPr="005E2A81">
        <w:rPr>
          <w:rFonts w:ascii="Arial" w:hAnsi="Arial" w:cs="Arial"/>
          <w:color w:val="000000" w:themeColor="text1"/>
          <w:sz w:val="27"/>
          <w:szCs w:val="27"/>
        </w:rPr>
        <w:t xml:space="preserve">, </w:t>
      </w:r>
      <w:r w:rsidR="004E15C9" w:rsidRPr="005E2A81">
        <w:rPr>
          <w:rFonts w:ascii="Arial" w:hAnsi="Arial" w:cs="Arial"/>
          <w:sz w:val="27"/>
          <w:szCs w:val="27"/>
        </w:rPr>
        <w:t xml:space="preserve">quien actúa de forma legal asistido de la Licenciada </w:t>
      </w:r>
      <w:r w:rsidR="00B94120" w:rsidRPr="005E2A81">
        <w:rPr>
          <w:rFonts w:ascii="Arial" w:hAnsi="Arial" w:cs="Arial"/>
          <w:b/>
          <w:sz w:val="27"/>
          <w:szCs w:val="27"/>
        </w:rPr>
        <w:t>Melissa del Carmen Vega Ramírez</w:t>
      </w:r>
      <w:r w:rsidR="004E15C9" w:rsidRPr="005E2A81">
        <w:rPr>
          <w:rFonts w:ascii="Arial" w:hAnsi="Arial" w:cs="Arial"/>
          <w:sz w:val="27"/>
          <w:szCs w:val="27"/>
        </w:rPr>
        <w:t xml:space="preserve">, Secretaria Jurisdiccional </w:t>
      </w:r>
      <w:r w:rsidRPr="005E2A81">
        <w:rPr>
          <w:rFonts w:ascii="Arial" w:hAnsi="Arial" w:cs="Arial"/>
          <w:color w:val="000000" w:themeColor="text1"/>
          <w:sz w:val="27"/>
          <w:szCs w:val="27"/>
        </w:rPr>
        <w:t>conforme a lo dispuesto por los artículos 18, fracción I</w:t>
      </w:r>
      <w:r w:rsidRPr="005E2A81">
        <w:rPr>
          <w:rStyle w:val="Refdenotaalpie"/>
          <w:rFonts w:ascii="Arial" w:hAnsi="Arial" w:cs="Arial"/>
          <w:color w:val="000000" w:themeColor="text1"/>
          <w:sz w:val="27"/>
          <w:szCs w:val="27"/>
        </w:rPr>
        <w:footnoteReference w:id="14"/>
      </w:r>
      <w:r w:rsidRPr="005E2A81">
        <w:rPr>
          <w:rFonts w:ascii="Arial" w:hAnsi="Arial" w:cs="Arial"/>
          <w:color w:val="000000" w:themeColor="text1"/>
          <w:sz w:val="27"/>
          <w:szCs w:val="27"/>
        </w:rPr>
        <w:t xml:space="preserve"> en relación con el 20, fracción X</w:t>
      </w:r>
      <w:r w:rsidRPr="005E2A81">
        <w:rPr>
          <w:rStyle w:val="Refdenotaalpie"/>
          <w:rFonts w:ascii="Arial" w:hAnsi="Arial" w:cs="Arial"/>
          <w:color w:val="000000" w:themeColor="text1"/>
          <w:sz w:val="27"/>
          <w:szCs w:val="27"/>
        </w:rPr>
        <w:footnoteReference w:id="15"/>
      </w:r>
      <w:r w:rsidRPr="005E2A81">
        <w:rPr>
          <w:rFonts w:ascii="Arial" w:hAnsi="Arial" w:cs="Arial"/>
          <w:color w:val="000000" w:themeColor="text1"/>
          <w:sz w:val="27"/>
          <w:szCs w:val="27"/>
        </w:rPr>
        <w:t xml:space="preserve"> ambos del Reglamento Interior del Tribunal Estatal de Justicia Administrativa, que autoriza y da fe. </w:t>
      </w:r>
    </w:p>
    <w:p w14:paraId="42274DB3" w14:textId="77777777" w:rsidR="00E85A02" w:rsidRPr="00E85A02" w:rsidRDefault="00E85A02" w:rsidP="00E85A02">
      <w:pPr>
        <w:spacing w:after="60" w:line="360" w:lineRule="auto"/>
        <w:jc w:val="both"/>
        <w:rPr>
          <w:rFonts w:ascii="Arial" w:hAnsi="Arial" w:cs="Arial"/>
          <w:sz w:val="28"/>
          <w:szCs w:val="28"/>
        </w:rPr>
      </w:pPr>
    </w:p>
    <w:p w14:paraId="757BC446" w14:textId="7B5ED678" w:rsidR="00DC5D93" w:rsidRPr="00DC5D93" w:rsidRDefault="00DC5D93" w:rsidP="00DC5D93">
      <w:pPr>
        <w:spacing w:after="40" w:line="240" w:lineRule="auto"/>
        <w:jc w:val="both"/>
        <w:rPr>
          <w:rFonts w:ascii="Arial" w:hAnsi="Arial" w:cs="Arial"/>
          <w:bCs/>
          <w:sz w:val="16"/>
          <w:szCs w:val="16"/>
        </w:rPr>
      </w:pPr>
      <w:r>
        <w:rPr>
          <w:rFonts w:ascii="Arial" w:hAnsi="Arial" w:cs="Arial"/>
          <w:sz w:val="16"/>
          <w:szCs w:val="16"/>
        </w:rPr>
        <w:t>LA</w:t>
      </w:r>
      <w:r w:rsidRPr="00DC5D93">
        <w:rPr>
          <w:rFonts w:ascii="Arial" w:hAnsi="Arial" w:cs="Arial"/>
          <w:sz w:val="16"/>
          <w:szCs w:val="16"/>
        </w:rPr>
        <w:t xml:space="preserve"> LICENCIAD</w:t>
      </w:r>
      <w:r>
        <w:rPr>
          <w:rFonts w:ascii="Arial" w:hAnsi="Arial" w:cs="Arial"/>
          <w:sz w:val="16"/>
          <w:szCs w:val="16"/>
        </w:rPr>
        <w:t>A</w:t>
      </w:r>
      <w:r w:rsidRPr="00DC5D93">
        <w:rPr>
          <w:rFonts w:ascii="Arial" w:hAnsi="Arial" w:cs="Arial"/>
          <w:sz w:val="16"/>
          <w:szCs w:val="16"/>
        </w:rPr>
        <w:t xml:space="preserve"> </w:t>
      </w:r>
      <w:r>
        <w:rPr>
          <w:rFonts w:ascii="Arial" w:hAnsi="Arial" w:cs="Arial"/>
          <w:sz w:val="16"/>
          <w:szCs w:val="16"/>
        </w:rPr>
        <w:t>MELISSA DEL CARMEN VEGA RAMÍREZ</w:t>
      </w:r>
      <w:r w:rsidRPr="00DC5D93">
        <w:rPr>
          <w:rFonts w:ascii="Arial" w:hAnsi="Arial" w:cs="Arial"/>
          <w:bCs/>
          <w:sz w:val="16"/>
          <w:szCs w:val="16"/>
        </w:rPr>
        <w:t>,</w:t>
      </w:r>
      <w:r w:rsidRPr="00DC5D93">
        <w:rPr>
          <w:rFonts w:ascii="Arial" w:hAnsi="Arial" w:cs="Arial"/>
          <w:sz w:val="16"/>
          <w:szCs w:val="16"/>
        </w:rPr>
        <w:t xml:space="preserve"> SECRETARI</w:t>
      </w:r>
      <w:r>
        <w:rPr>
          <w:rFonts w:ascii="Arial" w:hAnsi="Arial" w:cs="Arial"/>
          <w:sz w:val="16"/>
          <w:szCs w:val="16"/>
        </w:rPr>
        <w:t>A</w:t>
      </w:r>
      <w:r w:rsidRPr="00DC5D93">
        <w:rPr>
          <w:rFonts w:ascii="Arial" w:hAnsi="Arial" w:cs="Arial"/>
          <w:sz w:val="16"/>
          <w:szCs w:val="16"/>
        </w:rPr>
        <w:t xml:space="preserve"> JURISDICCIONAL DE LA SALA SUPERIOR DEL TRIBUNAL ESTATAL DE JUSTICIA ADMINISTRATIVA DE SAN LUIS POTOSÍ, CON APOYO EN LO DISPUESTO POR LOS ARTÍCULOS 18, FRACCIÓN I, EN RELACIÓN CON EL 20, FRACCIÓN X, </w:t>
      </w:r>
      <w:r w:rsidRPr="00DC5D93">
        <w:rPr>
          <w:rFonts w:ascii="Arial" w:hAnsi="Arial" w:cs="Arial"/>
          <w:sz w:val="16"/>
          <w:szCs w:val="16"/>
        </w:rPr>
        <w:lastRenderedPageBreak/>
        <w:t xml:space="preserve">AMBOS DEL REGLAMENTO INTERIOR DEL TRIBUNAL ESTATAL DE JUSTICIA ADMINISTRATIVA - - - - -- - - - - - - - - - - - -- - - -- - - - - -- - - -- - - --  - - -  - - </w:t>
      </w:r>
      <w:r w:rsidRPr="00DC5D93">
        <w:rPr>
          <w:rFonts w:ascii="Arial" w:hAnsi="Arial" w:cs="Arial"/>
          <w:b/>
          <w:sz w:val="16"/>
          <w:szCs w:val="16"/>
        </w:rPr>
        <w:t>C E R T I F I C A:</w:t>
      </w:r>
      <w:r w:rsidRPr="00DC5D93">
        <w:rPr>
          <w:rFonts w:ascii="Arial" w:hAnsi="Arial" w:cs="Arial"/>
          <w:sz w:val="16"/>
          <w:szCs w:val="16"/>
        </w:rPr>
        <w:t xml:space="preserve">  - - - - - - - - - - -- -  - - - - - - - - - - - - - - - - - - - - - - QUE LAS PRESENTES COPIAS FOTOSTÁTICAS CONSTAN DE </w:t>
      </w:r>
      <w:r>
        <w:rPr>
          <w:rFonts w:ascii="Arial" w:hAnsi="Arial" w:cs="Arial"/>
          <w:b/>
          <w:sz w:val="16"/>
          <w:szCs w:val="16"/>
        </w:rPr>
        <w:t>VEINTINUEVE</w:t>
      </w:r>
      <w:r w:rsidRPr="00DC5D93">
        <w:rPr>
          <w:rFonts w:ascii="Arial" w:hAnsi="Arial" w:cs="Arial"/>
          <w:b/>
          <w:sz w:val="16"/>
          <w:szCs w:val="16"/>
        </w:rPr>
        <w:t xml:space="preserve"> FOJAS ÚTILES</w:t>
      </w:r>
      <w:r w:rsidRPr="00DC5D93">
        <w:rPr>
          <w:rFonts w:ascii="Arial" w:hAnsi="Arial" w:cs="Arial"/>
          <w:sz w:val="16"/>
          <w:szCs w:val="16"/>
        </w:rPr>
        <w:t xml:space="preserve"> Y CONCUERDAN FIELMENTE EN TODAS Y CADA UNA DE SUS PARTES CON LA </w:t>
      </w:r>
      <w:r>
        <w:rPr>
          <w:rFonts w:ascii="Arial" w:hAnsi="Arial" w:cs="Arial"/>
          <w:sz w:val="16"/>
          <w:szCs w:val="16"/>
        </w:rPr>
        <w:t xml:space="preserve">RESOLUCIÓN DICTADA EN CUMPLIMIENTO AL AMPARO DIRECTO EN MATERIA ADMINISTRATIVA </w:t>
      </w:r>
      <w:r w:rsidRPr="00DC5D93">
        <w:rPr>
          <w:rFonts w:ascii="Arial" w:hAnsi="Arial" w:cs="Arial"/>
          <w:b/>
          <w:sz w:val="16"/>
          <w:szCs w:val="16"/>
        </w:rPr>
        <w:t>01/2024</w:t>
      </w:r>
      <w:r>
        <w:rPr>
          <w:rFonts w:ascii="Arial" w:hAnsi="Arial" w:cs="Arial"/>
          <w:sz w:val="16"/>
          <w:szCs w:val="16"/>
        </w:rPr>
        <w:t xml:space="preserve">; </w:t>
      </w:r>
      <w:r w:rsidRPr="00DC5D93">
        <w:rPr>
          <w:rFonts w:ascii="Arial" w:hAnsi="Arial" w:cs="Arial"/>
          <w:sz w:val="16"/>
          <w:szCs w:val="16"/>
        </w:rPr>
        <w:t xml:space="preserve"> </w:t>
      </w:r>
      <w:r>
        <w:rPr>
          <w:rFonts w:ascii="Arial" w:hAnsi="Arial" w:cs="Arial"/>
          <w:sz w:val="16"/>
          <w:szCs w:val="16"/>
        </w:rPr>
        <w:t xml:space="preserve">DENTRO DEL </w:t>
      </w:r>
      <w:r w:rsidRPr="00DC5D93">
        <w:rPr>
          <w:rFonts w:ascii="Arial" w:hAnsi="Arial" w:cs="Arial"/>
          <w:sz w:val="16"/>
          <w:szCs w:val="16"/>
        </w:rPr>
        <w:t xml:space="preserve">TOCA DE APELACIÓN </w:t>
      </w:r>
      <w:r>
        <w:rPr>
          <w:rFonts w:ascii="Arial" w:hAnsi="Arial" w:cs="Arial"/>
          <w:b/>
          <w:sz w:val="16"/>
          <w:szCs w:val="16"/>
        </w:rPr>
        <w:t>68</w:t>
      </w:r>
      <w:r w:rsidRPr="00DC5D93">
        <w:rPr>
          <w:rFonts w:ascii="Arial" w:hAnsi="Arial" w:cs="Arial"/>
          <w:b/>
          <w:sz w:val="16"/>
          <w:szCs w:val="16"/>
        </w:rPr>
        <w:t>/202</w:t>
      </w:r>
      <w:r>
        <w:rPr>
          <w:rFonts w:ascii="Arial" w:hAnsi="Arial" w:cs="Arial"/>
          <w:b/>
          <w:sz w:val="16"/>
          <w:szCs w:val="16"/>
        </w:rPr>
        <w:t>3</w:t>
      </w:r>
      <w:r w:rsidRPr="00DC5D93">
        <w:rPr>
          <w:rFonts w:ascii="Arial" w:hAnsi="Arial" w:cs="Arial"/>
          <w:b/>
          <w:sz w:val="16"/>
          <w:szCs w:val="16"/>
        </w:rPr>
        <w:t>/SS-</w:t>
      </w:r>
      <w:r>
        <w:rPr>
          <w:rFonts w:ascii="Arial" w:hAnsi="Arial" w:cs="Arial"/>
          <w:b/>
          <w:sz w:val="16"/>
          <w:szCs w:val="16"/>
        </w:rPr>
        <w:t>3</w:t>
      </w:r>
      <w:r w:rsidRPr="00DC5D93">
        <w:rPr>
          <w:rFonts w:ascii="Arial" w:hAnsi="Arial" w:cs="Arial"/>
          <w:sz w:val="16"/>
          <w:szCs w:val="16"/>
        </w:rPr>
        <w:t xml:space="preserve">, DEL DÍA </w:t>
      </w:r>
      <w:r>
        <w:rPr>
          <w:rFonts w:ascii="Arial" w:hAnsi="Arial" w:cs="Arial"/>
          <w:sz w:val="16"/>
          <w:szCs w:val="16"/>
        </w:rPr>
        <w:t xml:space="preserve">DIECISÉIS </w:t>
      </w:r>
      <w:r w:rsidRPr="00DC5D93">
        <w:rPr>
          <w:rFonts w:ascii="Arial" w:hAnsi="Arial" w:cs="Arial"/>
          <w:sz w:val="16"/>
          <w:szCs w:val="16"/>
        </w:rPr>
        <w:t>DE JUNIO DOS MIL VEINTISEIS, PARA LOS USOS LEGALES A QUE HAYA LUGAR, EN LA CIUDAD DE SAN LUIS POTOSÍ, S.L.P., A LOS D</w:t>
      </w:r>
      <w:r>
        <w:rPr>
          <w:rFonts w:ascii="Arial" w:hAnsi="Arial" w:cs="Arial"/>
          <w:sz w:val="16"/>
          <w:szCs w:val="16"/>
        </w:rPr>
        <w:t>IECISÉIS</w:t>
      </w:r>
      <w:r w:rsidRPr="00DC5D93">
        <w:rPr>
          <w:rFonts w:ascii="Arial" w:hAnsi="Arial" w:cs="Arial"/>
          <w:sz w:val="16"/>
          <w:szCs w:val="16"/>
        </w:rPr>
        <w:t xml:space="preserve"> DÍAS DEL MES DE JUNIO DEL DOS MIL VEINTISEIS.- </w:t>
      </w:r>
      <w:r w:rsidRPr="00DC5D93">
        <w:rPr>
          <w:rFonts w:ascii="Arial" w:hAnsi="Arial" w:cs="Arial"/>
          <w:b/>
          <w:sz w:val="16"/>
          <w:szCs w:val="16"/>
        </w:rPr>
        <w:t>DOY FE</w:t>
      </w:r>
      <w:r w:rsidRPr="00DC5D93">
        <w:rPr>
          <w:rFonts w:ascii="Arial" w:hAnsi="Arial" w:cs="Arial"/>
          <w:sz w:val="16"/>
          <w:szCs w:val="16"/>
        </w:rPr>
        <w:t xml:space="preserve">. </w:t>
      </w:r>
    </w:p>
    <w:p w14:paraId="28259E61" w14:textId="77777777" w:rsidR="00DC5D93" w:rsidRPr="00DC5D93" w:rsidRDefault="00DC5D93" w:rsidP="00DC5D93">
      <w:pPr>
        <w:spacing w:after="0" w:line="240" w:lineRule="auto"/>
        <w:jc w:val="both"/>
        <w:rPr>
          <w:rFonts w:ascii="Arial" w:hAnsi="Arial" w:cs="Arial"/>
          <w:sz w:val="18"/>
          <w:szCs w:val="18"/>
        </w:rPr>
      </w:pPr>
    </w:p>
    <w:p w14:paraId="4639A6E9" w14:textId="77777777" w:rsidR="00DC5D93" w:rsidRPr="00DC5D93" w:rsidRDefault="00DC5D93" w:rsidP="00DC5D93">
      <w:pPr>
        <w:spacing w:after="0" w:line="240" w:lineRule="auto"/>
        <w:jc w:val="both"/>
        <w:rPr>
          <w:rFonts w:ascii="Arial" w:hAnsi="Arial" w:cs="Arial"/>
          <w:sz w:val="18"/>
          <w:szCs w:val="18"/>
        </w:rPr>
      </w:pPr>
    </w:p>
    <w:p w14:paraId="2CC510E9" w14:textId="77777777" w:rsidR="00DC5D93" w:rsidRPr="00DC5D93" w:rsidRDefault="00DC5D93" w:rsidP="00DC5D93">
      <w:pPr>
        <w:spacing w:after="0" w:line="240" w:lineRule="auto"/>
        <w:jc w:val="both"/>
        <w:rPr>
          <w:rFonts w:ascii="Arial" w:hAnsi="Arial" w:cs="Arial"/>
          <w:sz w:val="18"/>
          <w:szCs w:val="18"/>
        </w:rPr>
      </w:pPr>
    </w:p>
    <w:p w14:paraId="1F269370" w14:textId="77777777" w:rsidR="00DC5D93" w:rsidRPr="00DC5D93" w:rsidRDefault="00DC5D93" w:rsidP="00DC5D93">
      <w:pPr>
        <w:spacing w:after="0" w:line="240" w:lineRule="auto"/>
        <w:jc w:val="both"/>
        <w:rPr>
          <w:rFonts w:ascii="Arial" w:hAnsi="Arial" w:cs="Arial"/>
          <w:sz w:val="18"/>
          <w:szCs w:val="18"/>
        </w:rPr>
      </w:pPr>
    </w:p>
    <w:p w14:paraId="25F2EC88" w14:textId="77777777" w:rsidR="00DC5D93" w:rsidRPr="00DC5D93" w:rsidRDefault="00DC5D93" w:rsidP="00DC5D93">
      <w:pPr>
        <w:spacing w:after="0" w:line="240" w:lineRule="auto"/>
        <w:jc w:val="both"/>
        <w:rPr>
          <w:rFonts w:ascii="Arial" w:hAnsi="Arial" w:cs="Arial"/>
          <w:sz w:val="18"/>
          <w:szCs w:val="18"/>
        </w:rPr>
      </w:pPr>
    </w:p>
    <w:p w14:paraId="7368E3C3" w14:textId="77777777" w:rsidR="00DC5D93" w:rsidRPr="00DC5D93" w:rsidRDefault="00DC5D93" w:rsidP="00DC5D93">
      <w:pPr>
        <w:spacing w:after="0" w:line="240" w:lineRule="auto"/>
        <w:jc w:val="both"/>
        <w:rPr>
          <w:rFonts w:ascii="Arial" w:hAnsi="Arial" w:cs="Arial"/>
          <w:sz w:val="18"/>
          <w:szCs w:val="18"/>
        </w:rPr>
      </w:pPr>
    </w:p>
    <w:p w14:paraId="19F69F30" w14:textId="77777777" w:rsidR="00DC5D93" w:rsidRPr="00DC5D93" w:rsidRDefault="00DC5D93" w:rsidP="00DC5D93">
      <w:pPr>
        <w:spacing w:after="0" w:line="240" w:lineRule="auto"/>
        <w:jc w:val="both"/>
        <w:rPr>
          <w:rFonts w:ascii="Arial" w:hAnsi="Arial" w:cs="Arial"/>
          <w:sz w:val="18"/>
          <w:szCs w:val="18"/>
        </w:rPr>
      </w:pPr>
    </w:p>
    <w:p w14:paraId="2545A4EB" w14:textId="77777777" w:rsidR="00DC5D93" w:rsidRPr="00DC5D93" w:rsidRDefault="00DC5D93" w:rsidP="00DC5D93">
      <w:pPr>
        <w:spacing w:after="0" w:line="240" w:lineRule="auto"/>
        <w:jc w:val="both"/>
        <w:rPr>
          <w:rFonts w:ascii="Arial" w:hAnsi="Arial" w:cs="Arial"/>
          <w:sz w:val="18"/>
          <w:szCs w:val="18"/>
        </w:rPr>
      </w:pPr>
    </w:p>
    <w:p w14:paraId="7BD492D9" w14:textId="77777777" w:rsidR="00DC5D93" w:rsidRPr="00DC5D93" w:rsidRDefault="00DC5D93" w:rsidP="00DC5D93">
      <w:pPr>
        <w:spacing w:after="0" w:line="240" w:lineRule="auto"/>
        <w:jc w:val="both"/>
        <w:rPr>
          <w:rFonts w:ascii="Arial" w:hAnsi="Arial" w:cs="Arial"/>
          <w:sz w:val="18"/>
          <w:szCs w:val="18"/>
        </w:rPr>
      </w:pPr>
    </w:p>
    <w:p w14:paraId="251299FA" w14:textId="64DB48B6" w:rsidR="00DC5D93" w:rsidRPr="00DC5D93" w:rsidRDefault="00DC5D93" w:rsidP="00DC5D93">
      <w:pPr>
        <w:spacing w:after="40" w:line="240" w:lineRule="auto"/>
        <w:jc w:val="center"/>
        <w:rPr>
          <w:rFonts w:ascii="Arial" w:hAnsi="Arial" w:cs="Arial"/>
          <w:sz w:val="16"/>
          <w:szCs w:val="16"/>
        </w:rPr>
      </w:pPr>
      <w:r w:rsidRPr="00DC5D93">
        <w:rPr>
          <w:rFonts w:ascii="Arial" w:hAnsi="Arial" w:cs="Arial"/>
          <w:bCs/>
          <w:sz w:val="16"/>
          <w:szCs w:val="16"/>
        </w:rPr>
        <w:t xml:space="preserve">LIC. </w:t>
      </w:r>
      <w:r>
        <w:rPr>
          <w:rFonts w:ascii="Arial" w:hAnsi="Arial" w:cs="Arial"/>
          <w:bCs/>
          <w:sz w:val="16"/>
          <w:szCs w:val="16"/>
        </w:rPr>
        <w:t>MELISSA DEL CARMEN VEGA RAMÍREZ</w:t>
      </w:r>
      <w:r w:rsidRPr="00DC5D93">
        <w:rPr>
          <w:rFonts w:ascii="Arial" w:hAnsi="Arial" w:cs="Arial"/>
          <w:bCs/>
          <w:sz w:val="16"/>
          <w:szCs w:val="16"/>
        </w:rPr>
        <w:t>.</w:t>
      </w:r>
      <w:r w:rsidRPr="00DC5D93">
        <w:rPr>
          <w:rFonts w:ascii="Arial" w:hAnsi="Arial" w:cs="Arial"/>
          <w:sz w:val="16"/>
          <w:szCs w:val="16"/>
        </w:rPr>
        <w:t xml:space="preserve"> </w:t>
      </w:r>
    </w:p>
    <w:p w14:paraId="55A9CB22" w14:textId="419428DE" w:rsidR="00DC5D93" w:rsidRPr="00DC5D93" w:rsidRDefault="00DC5D93" w:rsidP="00DC5D93">
      <w:pPr>
        <w:spacing w:after="40" w:line="240" w:lineRule="auto"/>
        <w:jc w:val="center"/>
        <w:rPr>
          <w:rFonts w:ascii="Arial" w:hAnsi="Arial" w:cs="Arial"/>
          <w:sz w:val="16"/>
          <w:szCs w:val="16"/>
        </w:rPr>
      </w:pPr>
      <w:r w:rsidRPr="00DC5D93">
        <w:rPr>
          <w:rFonts w:ascii="Arial" w:hAnsi="Arial" w:cs="Arial"/>
          <w:sz w:val="16"/>
          <w:szCs w:val="16"/>
        </w:rPr>
        <w:t>SECRETARI</w:t>
      </w:r>
      <w:r w:rsidR="00DB3375">
        <w:rPr>
          <w:rFonts w:ascii="Arial" w:hAnsi="Arial" w:cs="Arial"/>
          <w:sz w:val="16"/>
          <w:szCs w:val="16"/>
        </w:rPr>
        <w:t>A</w:t>
      </w:r>
      <w:r w:rsidRPr="00DC5D93">
        <w:rPr>
          <w:rFonts w:ascii="Arial" w:hAnsi="Arial" w:cs="Arial"/>
          <w:sz w:val="16"/>
          <w:szCs w:val="16"/>
        </w:rPr>
        <w:t xml:space="preserve"> JURISDICCIONAL DE LA SALA SUPERIOR</w:t>
      </w:r>
    </w:p>
    <w:p w14:paraId="6DE2C3D8" w14:textId="77777777" w:rsidR="00DC5D93" w:rsidRPr="00DC5D93" w:rsidRDefault="00DC5D93" w:rsidP="00DC5D93">
      <w:pPr>
        <w:spacing w:after="0" w:line="240" w:lineRule="auto"/>
        <w:jc w:val="center"/>
        <w:rPr>
          <w:rFonts w:ascii="Arial" w:hAnsi="Arial" w:cs="Arial"/>
          <w:b/>
          <w:i/>
          <w:sz w:val="16"/>
          <w:szCs w:val="16"/>
        </w:rPr>
      </w:pPr>
      <w:r w:rsidRPr="00DC5D93">
        <w:rPr>
          <w:rFonts w:ascii="Arial" w:hAnsi="Arial" w:cs="Arial"/>
          <w:sz w:val="16"/>
          <w:szCs w:val="16"/>
        </w:rPr>
        <w:t>DEL TRIBUNAL ESTATAL DE JUSTICIA ADMINISTRATIVA DE SAN LUIS POTOSÍ.</w:t>
      </w:r>
    </w:p>
    <w:p w14:paraId="2F803646" w14:textId="77777777" w:rsidR="00DC5D93" w:rsidRPr="00DC5D93" w:rsidRDefault="00DC5D93" w:rsidP="00DC5D93">
      <w:pPr>
        <w:overflowPunct w:val="0"/>
        <w:autoSpaceDE w:val="0"/>
        <w:autoSpaceDN w:val="0"/>
        <w:adjustRightInd w:val="0"/>
        <w:spacing w:after="0" w:line="240" w:lineRule="auto"/>
        <w:jc w:val="both"/>
        <w:textAlignment w:val="baseline"/>
        <w:rPr>
          <w:rFonts w:ascii="Arial" w:eastAsia="Times New Roman" w:hAnsi="Arial"/>
          <w:szCs w:val="20"/>
          <w:lang w:eastAsia="es-ES"/>
        </w:rPr>
      </w:pPr>
    </w:p>
    <w:p w14:paraId="78DCB5AC" w14:textId="77777777" w:rsidR="00E85A02" w:rsidRDefault="00E85A02" w:rsidP="00E85A02">
      <w:pPr>
        <w:spacing w:after="60" w:line="360" w:lineRule="auto"/>
        <w:jc w:val="both"/>
        <w:rPr>
          <w:rFonts w:ascii="Arial" w:hAnsi="Arial" w:cs="Arial"/>
          <w:sz w:val="28"/>
          <w:szCs w:val="28"/>
        </w:rPr>
      </w:pPr>
    </w:p>
    <w:p w14:paraId="042AFB1E" w14:textId="77777777" w:rsidR="000F509B" w:rsidRDefault="000F509B" w:rsidP="00E85A02">
      <w:pPr>
        <w:spacing w:after="60" w:line="360" w:lineRule="auto"/>
        <w:jc w:val="both"/>
        <w:rPr>
          <w:rFonts w:ascii="Arial" w:hAnsi="Arial" w:cs="Arial"/>
          <w:sz w:val="28"/>
          <w:szCs w:val="28"/>
        </w:rPr>
      </w:pPr>
    </w:p>
    <w:sectPr w:rsidR="000F509B" w:rsidSect="00856C12">
      <w:headerReference w:type="default" r:id="rId10"/>
      <w:footerReference w:type="even" r:id="rId11"/>
      <w:footerReference w:type="default" r:id="rId12"/>
      <w:headerReference w:type="first" r:id="rId13"/>
      <w:footerReference w:type="first" r:id="rId14"/>
      <w:pgSz w:w="12242" w:h="19295" w:code="305"/>
      <w:pgMar w:top="1134" w:right="1134" w:bottom="1134" w:left="3119" w:header="720" w:footer="720" w:gutter="0"/>
      <w:paperSrc w:first="258" w:other="258"/>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2A64A8" w14:textId="77777777" w:rsidR="009E5F25" w:rsidRDefault="009E5F25" w:rsidP="00283888">
      <w:pPr>
        <w:spacing w:after="0" w:line="240" w:lineRule="auto"/>
      </w:pPr>
      <w:r>
        <w:separator/>
      </w:r>
    </w:p>
  </w:endnote>
  <w:endnote w:type="continuationSeparator" w:id="0">
    <w:p w14:paraId="0B13E755" w14:textId="77777777" w:rsidR="009E5F25" w:rsidRDefault="009E5F25" w:rsidP="00283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MT">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02E91" w14:textId="77777777" w:rsidR="009E5F25" w:rsidRDefault="009E5F25" w:rsidP="00277E3C">
    <w:pPr>
      <w:pStyle w:val="Piedepgina"/>
      <w:spacing w:after="120" w:line="360" w:lineRule="auto"/>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194957">
      <w:rPr>
        <w:b/>
        <w:bCs/>
        <w:noProof/>
      </w:rPr>
      <w:t>56</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194957">
      <w:rPr>
        <w:b/>
        <w:bCs/>
        <w:noProof/>
      </w:rPr>
      <w:t>57</w:t>
    </w:r>
    <w:r>
      <w:rPr>
        <w:b/>
        <w:bCs/>
        <w:sz w:val="24"/>
        <w:szCs w:val="24"/>
      </w:rPr>
      <w:fldChar w:fldCharType="end"/>
    </w:r>
  </w:p>
  <w:p w14:paraId="2C516498" w14:textId="77777777" w:rsidR="009E5F25" w:rsidRDefault="009E5F25"/>
  <w:p w14:paraId="25412A78" w14:textId="77777777" w:rsidR="009E5F25" w:rsidRDefault="009E5F25"/>
  <w:p w14:paraId="278C25EC" w14:textId="77777777" w:rsidR="009E5F25" w:rsidRDefault="009E5F2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8DB94E" w14:textId="75DD926D" w:rsidR="009E5F25" w:rsidRDefault="009E5F25" w:rsidP="00AE46D3">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194957">
      <w:rPr>
        <w:b/>
        <w:bCs/>
        <w:noProof/>
      </w:rPr>
      <w:t>57</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194957">
      <w:rPr>
        <w:b/>
        <w:bCs/>
        <w:noProof/>
      </w:rPr>
      <w:t>57</w:t>
    </w:r>
    <w:r>
      <w:rPr>
        <w:b/>
        <w:bCs/>
        <w:sz w:val="24"/>
        <w:szCs w:val="24"/>
      </w:rPr>
      <w:fldChar w:fldCharType="end"/>
    </w:r>
  </w:p>
  <w:p w14:paraId="26C27857" w14:textId="77777777" w:rsidR="009E5F25" w:rsidRDefault="009E5F25"/>
  <w:p w14:paraId="2FAD8D34" w14:textId="77777777" w:rsidR="009E5F25" w:rsidRDefault="009E5F25"/>
  <w:p w14:paraId="248EEECE" w14:textId="77777777" w:rsidR="009E5F25" w:rsidRDefault="009E5F2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985986"/>
      <w:docPartObj>
        <w:docPartGallery w:val="Page Numbers (Bottom of Page)"/>
        <w:docPartUnique/>
      </w:docPartObj>
    </w:sdtPr>
    <w:sdtEndPr/>
    <w:sdtContent>
      <w:sdt>
        <w:sdtPr>
          <w:id w:val="-670722223"/>
          <w:docPartObj>
            <w:docPartGallery w:val="Page Numbers (Top of Page)"/>
            <w:docPartUnique/>
          </w:docPartObj>
        </w:sdtPr>
        <w:sdtEndPr/>
        <w:sdtContent>
          <w:p w14:paraId="1E974C91" w14:textId="7EE08B0F" w:rsidR="009E5F25" w:rsidRDefault="009E5F25">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194957">
              <w:rPr>
                <w:b/>
                <w:bCs/>
                <w:noProof/>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194957">
              <w:rPr>
                <w:b/>
                <w:bCs/>
                <w:noProof/>
              </w:rPr>
              <w:t>57</w:t>
            </w:r>
            <w:r>
              <w:rPr>
                <w:b/>
                <w:bCs/>
                <w:sz w:val="24"/>
                <w:szCs w:val="24"/>
              </w:rPr>
              <w:fldChar w:fldCharType="end"/>
            </w:r>
          </w:p>
        </w:sdtContent>
      </w:sdt>
    </w:sdtContent>
  </w:sdt>
  <w:p w14:paraId="7A404F5D" w14:textId="77777777" w:rsidR="009E5F25" w:rsidRDefault="009E5F25">
    <w:pPr>
      <w:pStyle w:val="Piedepgina"/>
    </w:pPr>
  </w:p>
  <w:p w14:paraId="7040C490" w14:textId="77777777" w:rsidR="009E5F25" w:rsidRDefault="009E5F25"/>
  <w:p w14:paraId="03D3F92B" w14:textId="77777777" w:rsidR="009E5F25" w:rsidRDefault="009E5F25"/>
  <w:p w14:paraId="6115A79D" w14:textId="77777777" w:rsidR="009E5F25" w:rsidRDefault="009E5F2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CB9547" w14:textId="77777777" w:rsidR="009E5F25" w:rsidRDefault="009E5F25" w:rsidP="00283888">
      <w:pPr>
        <w:spacing w:after="0" w:line="240" w:lineRule="auto"/>
      </w:pPr>
      <w:r>
        <w:separator/>
      </w:r>
    </w:p>
  </w:footnote>
  <w:footnote w:type="continuationSeparator" w:id="0">
    <w:p w14:paraId="5BC1FBD3" w14:textId="77777777" w:rsidR="009E5F25" w:rsidRDefault="009E5F25" w:rsidP="00283888">
      <w:pPr>
        <w:spacing w:after="0" w:line="240" w:lineRule="auto"/>
      </w:pPr>
      <w:r>
        <w:continuationSeparator/>
      </w:r>
    </w:p>
  </w:footnote>
  <w:footnote w:id="1">
    <w:p w14:paraId="15DE9236" w14:textId="77777777" w:rsidR="009E5F25" w:rsidRPr="00F95E19" w:rsidRDefault="009E5F25" w:rsidP="00AF0EF1">
      <w:pPr>
        <w:pStyle w:val="Textonotapie"/>
        <w:jc w:val="both"/>
        <w:rPr>
          <w:rFonts w:ascii="Arial Narrow" w:hAnsi="Arial Narrow" w:cs="Arial"/>
          <w:i/>
          <w:sz w:val="16"/>
          <w:szCs w:val="16"/>
        </w:rPr>
      </w:pPr>
      <w:r w:rsidRPr="00752DF7">
        <w:rPr>
          <w:rStyle w:val="Refdenotaalpie"/>
          <w:rFonts w:cs="Calibri"/>
          <w:sz w:val="16"/>
          <w:szCs w:val="16"/>
        </w:rPr>
        <w:footnoteRef/>
      </w:r>
      <w:r w:rsidRPr="00F95E19">
        <w:rPr>
          <w:rFonts w:ascii="Arial Narrow" w:hAnsi="Arial Narrow" w:cs="Arial"/>
          <w:i/>
          <w:sz w:val="16"/>
          <w:szCs w:val="16"/>
        </w:rPr>
        <w:t>Foja 82 de los autos del Juicio de Origen</w:t>
      </w:r>
    </w:p>
  </w:footnote>
  <w:footnote w:id="2">
    <w:p w14:paraId="169BE129" w14:textId="77777777" w:rsidR="009E5F25" w:rsidRPr="00F95E19" w:rsidRDefault="009E5F25" w:rsidP="00AF0EF1">
      <w:pPr>
        <w:pStyle w:val="Textonotapie"/>
        <w:jc w:val="both"/>
        <w:rPr>
          <w:rFonts w:ascii="Arial Narrow" w:hAnsi="Arial Narrow" w:cs="Arial"/>
          <w:bCs/>
          <w:i/>
          <w:sz w:val="16"/>
          <w:szCs w:val="16"/>
        </w:rPr>
      </w:pPr>
      <w:r w:rsidRPr="00F95E19">
        <w:rPr>
          <w:rStyle w:val="Refdenotaalpie"/>
          <w:rFonts w:ascii="Arial Narrow" w:hAnsi="Arial Narrow" w:cs="Arial"/>
          <w:i/>
          <w:sz w:val="16"/>
          <w:szCs w:val="16"/>
        </w:rPr>
        <w:footnoteRef/>
      </w:r>
      <w:r w:rsidRPr="00F95E19">
        <w:rPr>
          <w:rFonts w:ascii="Arial Narrow" w:hAnsi="Arial Narrow" w:cs="Arial"/>
          <w:i/>
          <w:sz w:val="16"/>
          <w:szCs w:val="16"/>
        </w:rPr>
        <w:t>“</w:t>
      </w:r>
      <w:r w:rsidRPr="00F95E19">
        <w:rPr>
          <w:rFonts w:ascii="Arial Narrow" w:hAnsi="Arial Narrow" w:cs="Arial"/>
          <w:bCs/>
          <w:i/>
          <w:sz w:val="16"/>
          <w:szCs w:val="16"/>
        </w:rPr>
        <w:t xml:space="preserve">Artículo 152 </w:t>
      </w:r>
    </w:p>
    <w:p w14:paraId="75199691" w14:textId="77777777" w:rsidR="009E5F25" w:rsidRPr="00F95E19" w:rsidRDefault="009E5F25" w:rsidP="00AF0EF1">
      <w:pPr>
        <w:pStyle w:val="Textonotapie"/>
        <w:jc w:val="both"/>
        <w:rPr>
          <w:rFonts w:ascii="Arial Narrow" w:hAnsi="Arial Narrow" w:cs="Arial"/>
          <w:i/>
          <w:sz w:val="16"/>
          <w:szCs w:val="16"/>
        </w:rPr>
      </w:pPr>
      <w:r w:rsidRPr="00F95E19">
        <w:rPr>
          <w:rFonts w:ascii="Arial Narrow" w:hAnsi="Arial Narrow" w:cs="Arial"/>
          <w:bCs/>
          <w:i/>
          <w:sz w:val="16"/>
          <w:szCs w:val="16"/>
        </w:rPr>
        <w:t>[…]</w:t>
      </w:r>
    </w:p>
    <w:p w14:paraId="71B22D1D" w14:textId="77777777" w:rsidR="009E5F25" w:rsidRPr="00F95E19" w:rsidRDefault="009E5F25" w:rsidP="00AF0EF1">
      <w:pPr>
        <w:pStyle w:val="Textonotapie"/>
        <w:jc w:val="both"/>
        <w:rPr>
          <w:rFonts w:ascii="Arial Narrow" w:hAnsi="Arial Narrow" w:cs="Arial"/>
          <w:i/>
          <w:sz w:val="16"/>
          <w:szCs w:val="16"/>
        </w:rPr>
      </w:pPr>
      <w:r w:rsidRPr="00F95E19">
        <w:rPr>
          <w:rFonts w:ascii="Arial Narrow" w:hAnsi="Arial Narrow" w:cs="Arial"/>
          <w:i/>
          <w:sz w:val="16"/>
          <w:szCs w:val="16"/>
        </w:rPr>
        <w:t>El recurso de apelación deberá promoverse ante la Sala que haya emitido la resolución, que se turnará conjuntamente con el expediente del juicio dentro de los tres días hábiles siguientes a su recepción a la Sala Superior del Tribunal, la que lo substanciará y resolverá de conformidad con lo dispuesto en la presente Sección.”</w:t>
      </w:r>
    </w:p>
  </w:footnote>
  <w:footnote w:id="3">
    <w:p w14:paraId="5B7995DD" w14:textId="77777777" w:rsidR="009E5F25" w:rsidRPr="00F95E19" w:rsidRDefault="009E5F25" w:rsidP="00AF0EF1">
      <w:pPr>
        <w:pStyle w:val="Textonotapie"/>
        <w:jc w:val="both"/>
        <w:rPr>
          <w:rFonts w:ascii="Arial Narrow" w:hAnsi="Arial Narrow" w:cs="Arial"/>
          <w:i/>
          <w:sz w:val="16"/>
          <w:szCs w:val="16"/>
        </w:rPr>
      </w:pPr>
      <w:r w:rsidRPr="00F95E19">
        <w:rPr>
          <w:rStyle w:val="Refdenotaalpie"/>
          <w:rFonts w:ascii="Arial Narrow" w:hAnsi="Arial Narrow" w:cs="Arial"/>
          <w:i/>
          <w:sz w:val="16"/>
          <w:szCs w:val="16"/>
        </w:rPr>
        <w:footnoteRef/>
      </w:r>
      <w:r w:rsidRPr="00F95E19">
        <w:rPr>
          <w:rFonts w:ascii="Arial Narrow" w:hAnsi="Arial Narrow" w:cs="Arial"/>
          <w:i/>
          <w:sz w:val="16"/>
          <w:szCs w:val="16"/>
        </w:rPr>
        <w:t>Foja 11-13 del Toca.</w:t>
      </w:r>
    </w:p>
  </w:footnote>
  <w:footnote w:id="4">
    <w:p w14:paraId="62772184" w14:textId="77777777" w:rsidR="009E5F25" w:rsidRPr="00F95E19" w:rsidRDefault="009E5F25" w:rsidP="00AF0EF1">
      <w:pPr>
        <w:pStyle w:val="Textonotapie"/>
        <w:jc w:val="both"/>
        <w:rPr>
          <w:rFonts w:ascii="Arial Narrow" w:hAnsi="Arial Narrow" w:cs="Arial"/>
          <w:i/>
          <w:sz w:val="16"/>
          <w:szCs w:val="16"/>
        </w:rPr>
      </w:pPr>
      <w:r w:rsidRPr="00544404">
        <w:rPr>
          <w:vertAlign w:val="superscript"/>
        </w:rPr>
        <w:footnoteRef/>
      </w:r>
      <w:r w:rsidRPr="00F95E19">
        <w:rPr>
          <w:rFonts w:ascii="Arial Narrow" w:hAnsi="Arial Narrow" w:cs="Arial"/>
          <w:i/>
          <w:sz w:val="15"/>
          <w:szCs w:val="15"/>
        </w:rPr>
        <w:t>Foja 25 del Toca</w:t>
      </w:r>
      <w:r w:rsidRPr="00F95E19">
        <w:rPr>
          <w:rFonts w:ascii="Arial Narrow" w:hAnsi="Arial Narrow" w:cs="Arial"/>
          <w:i/>
          <w:sz w:val="16"/>
          <w:szCs w:val="16"/>
        </w:rPr>
        <w:t>.</w:t>
      </w:r>
    </w:p>
  </w:footnote>
  <w:footnote w:id="5">
    <w:p w14:paraId="0F4DA3D1" w14:textId="77777777" w:rsidR="009E5F25" w:rsidRPr="00F95E19" w:rsidRDefault="009E5F25" w:rsidP="00AF0EF1">
      <w:pPr>
        <w:pStyle w:val="Textonotapie"/>
        <w:rPr>
          <w:rFonts w:ascii="Arial Narrow" w:hAnsi="Arial Narrow" w:cs="Arial"/>
          <w:i/>
          <w:sz w:val="14"/>
          <w:szCs w:val="14"/>
        </w:rPr>
      </w:pPr>
      <w:r w:rsidRPr="00F95E19">
        <w:rPr>
          <w:rStyle w:val="Refdenotaalpie"/>
          <w:rFonts w:ascii="Arial Narrow" w:hAnsi="Arial Narrow" w:cs="Arial"/>
          <w:sz w:val="16"/>
          <w:szCs w:val="16"/>
        </w:rPr>
        <w:footnoteRef/>
      </w:r>
      <w:r w:rsidRPr="00F95E19">
        <w:rPr>
          <w:rFonts w:ascii="Arial Narrow" w:hAnsi="Arial Narrow" w:cs="Arial"/>
          <w:sz w:val="16"/>
          <w:szCs w:val="16"/>
        </w:rPr>
        <w:t xml:space="preserve"> </w:t>
      </w:r>
      <w:r w:rsidRPr="00F95E19">
        <w:rPr>
          <w:rFonts w:ascii="Arial Narrow" w:hAnsi="Arial Narrow" w:cs="Arial"/>
          <w:sz w:val="14"/>
          <w:szCs w:val="14"/>
        </w:rPr>
        <w:t>“</w:t>
      </w:r>
      <w:r w:rsidRPr="00F95E19">
        <w:rPr>
          <w:rFonts w:ascii="Arial Narrow" w:hAnsi="Arial Narrow" w:cs="Arial"/>
          <w:i/>
          <w:sz w:val="14"/>
          <w:szCs w:val="14"/>
        </w:rPr>
        <w:t>Artículo 154. …</w:t>
      </w:r>
    </w:p>
    <w:p w14:paraId="30923AC1" w14:textId="77777777" w:rsidR="009E5F25" w:rsidRPr="00F95E19" w:rsidRDefault="009E5F25" w:rsidP="00AF0EF1">
      <w:pPr>
        <w:pStyle w:val="Textonotapie"/>
        <w:rPr>
          <w:rFonts w:ascii="Arial Narrow" w:hAnsi="Arial Narrow" w:cs="Arial"/>
          <w:i/>
          <w:sz w:val="14"/>
          <w:szCs w:val="14"/>
          <w:lang w:val="es-ES"/>
        </w:rPr>
      </w:pPr>
      <w:r w:rsidRPr="00F95E19">
        <w:rPr>
          <w:rFonts w:ascii="Arial Narrow" w:hAnsi="Arial Narrow" w:cs="Arial"/>
          <w:i/>
          <w:sz w:val="14"/>
          <w:szCs w:val="14"/>
        </w:rPr>
        <w:t>La Sala Superior del Tribunal, dará vista a las partes para que en el término de tres días hábiles, manifiesten lo que a su derecho convenga; vencido este término se procederá a resolver con los elementos que obren en autos.”</w:t>
      </w:r>
    </w:p>
  </w:footnote>
  <w:footnote w:id="6">
    <w:p w14:paraId="1DFD1469" w14:textId="77777777" w:rsidR="009E5F25" w:rsidRPr="00233BA7" w:rsidRDefault="009E5F25" w:rsidP="00D20F5B">
      <w:pPr>
        <w:pStyle w:val="Textonotapie"/>
        <w:jc w:val="both"/>
        <w:rPr>
          <w:rFonts w:ascii="Arial Narrow" w:hAnsi="Arial Narrow" w:cs="Arial"/>
          <w:i/>
          <w:sz w:val="16"/>
          <w:szCs w:val="16"/>
        </w:rPr>
      </w:pPr>
      <w:r w:rsidRPr="00233BA7">
        <w:rPr>
          <w:rStyle w:val="Refdenotaalpie"/>
          <w:rFonts w:ascii="Arial Narrow" w:hAnsi="Arial Narrow" w:cs="Arial"/>
          <w:i/>
          <w:sz w:val="16"/>
          <w:szCs w:val="16"/>
        </w:rPr>
        <w:footnoteRef/>
      </w:r>
      <w:r w:rsidRPr="00233BA7">
        <w:rPr>
          <w:rFonts w:ascii="Arial Narrow" w:hAnsi="Arial Narrow" w:cs="Arial"/>
          <w:i/>
          <w:sz w:val="16"/>
          <w:szCs w:val="16"/>
        </w:rPr>
        <w:t xml:space="preserve"> Registro digital: 2019949 Tribunales Colegiados de Circuito Décima Época Materias(s): Civil Tesis: VI.2o.C. J/206 Fuente: Gaceta del Semanario Judicial de la Federación. Libro 66, Mayo de 2019, Tomo III, página 2308 Tipo: Jurisprudencia; "</w:t>
      </w:r>
      <w:r w:rsidRPr="00233BA7">
        <w:rPr>
          <w:rFonts w:ascii="Arial Narrow" w:hAnsi="Arial Narrow" w:cs="Arial"/>
          <w:b/>
          <w:i/>
          <w:sz w:val="16"/>
          <w:szCs w:val="16"/>
        </w:rPr>
        <w:t>LEGITIMACIÓN, ESTUDIO OFICIOSO DE LA.</w:t>
      </w:r>
      <w:r w:rsidRPr="00233BA7">
        <w:rPr>
          <w:rFonts w:ascii="Arial Narrow" w:hAnsi="Arial Narrow" w:cs="Arial"/>
          <w:i/>
          <w:sz w:val="16"/>
          <w:szCs w:val="16"/>
        </w:rPr>
        <w:t xml:space="preserve"> La legitimación de las partes constituye un presupuesto procesal que puede estudiarse de oficio en cualquier fase del juicio, pues para que se pueda pronunciar sentencia en favor del actor, debe existir legitimación ad </w:t>
      </w:r>
      <w:proofErr w:type="spellStart"/>
      <w:r w:rsidRPr="00233BA7">
        <w:rPr>
          <w:rFonts w:ascii="Arial Narrow" w:hAnsi="Arial Narrow" w:cs="Arial"/>
          <w:i/>
          <w:sz w:val="16"/>
          <w:szCs w:val="16"/>
        </w:rPr>
        <w:t>causam</w:t>
      </w:r>
      <w:proofErr w:type="spellEnd"/>
      <w:r w:rsidRPr="00233BA7">
        <w:rPr>
          <w:rFonts w:ascii="Arial Narrow" w:hAnsi="Arial Narrow" w:cs="Arial"/>
          <w:i/>
          <w:sz w:val="16"/>
          <w:szCs w:val="16"/>
        </w:rPr>
        <w:t xml:space="preserve"> sobre el derecho sustancial, es decir, que se tenga la titularidad del derecho controvertido, a fin de que exista una verdadera relación procesal entre los interesados."</w:t>
      </w:r>
    </w:p>
    <w:p w14:paraId="1104C0BC" w14:textId="77777777" w:rsidR="009E5F25" w:rsidRPr="00233BA7" w:rsidRDefault="009E5F25" w:rsidP="00D20F5B">
      <w:pPr>
        <w:pStyle w:val="Textonotapie"/>
        <w:jc w:val="both"/>
        <w:rPr>
          <w:rFonts w:ascii="Arial Narrow" w:hAnsi="Arial Narrow" w:cs="Arial"/>
          <w:i/>
          <w:sz w:val="10"/>
          <w:szCs w:val="10"/>
        </w:rPr>
      </w:pPr>
    </w:p>
    <w:p w14:paraId="7E62B5CC" w14:textId="77777777" w:rsidR="009E5F25" w:rsidRPr="00233BA7" w:rsidRDefault="009E5F25" w:rsidP="00D20F5B">
      <w:pPr>
        <w:pStyle w:val="Textonotapie"/>
        <w:jc w:val="both"/>
        <w:rPr>
          <w:rFonts w:ascii="Arial Narrow" w:hAnsi="Arial Narrow" w:cs="Arial"/>
          <w:i/>
          <w:sz w:val="16"/>
          <w:szCs w:val="16"/>
        </w:rPr>
      </w:pPr>
      <w:r w:rsidRPr="00233BA7">
        <w:rPr>
          <w:rFonts w:ascii="Arial Narrow" w:hAnsi="Arial Narrow" w:cs="Arial"/>
          <w:i/>
          <w:sz w:val="16"/>
          <w:szCs w:val="16"/>
        </w:rPr>
        <w:t>Registro digital: 240057 Instancia: Tercera Sala Séptima Época Materias(s): Común Fuente: Semanario Judicial de la Federación. Volumen 205-216, Cuarta Parte, página 203 Tipo: Jurisprudencia: "</w:t>
      </w:r>
      <w:r w:rsidRPr="00233BA7">
        <w:rPr>
          <w:rFonts w:ascii="Arial Narrow" w:hAnsi="Arial Narrow" w:cs="Arial"/>
          <w:b/>
          <w:i/>
          <w:sz w:val="16"/>
          <w:szCs w:val="16"/>
        </w:rPr>
        <w:t>LEGITIMACION, ESTUDIO OFICIOSO DE LA.</w:t>
      </w:r>
      <w:r w:rsidRPr="00233BA7">
        <w:rPr>
          <w:rFonts w:ascii="Arial Narrow" w:hAnsi="Arial Narrow" w:cs="Arial"/>
          <w:i/>
          <w:sz w:val="16"/>
          <w:szCs w:val="16"/>
        </w:rPr>
        <w:t xml:space="preserve"> La falta de legitimación de alguna de las partes contendientes constituye un elemento o condición de la acción que, como tal, debe ser examinada aun de oficio por el juzgador."</w:t>
      </w:r>
    </w:p>
    <w:p w14:paraId="2BE55A95" w14:textId="77777777" w:rsidR="009E5F25" w:rsidRPr="00233BA7" w:rsidRDefault="009E5F25" w:rsidP="00D20F5B">
      <w:pPr>
        <w:pStyle w:val="Textonotapie"/>
        <w:jc w:val="both"/>
        <w:rPr>
          <w:rFonts w:ascii="Arial Narrow" w:hAnsi="Arial Narrow" w:cs="Arial"/>
          <w:i/>
          <w:sz w:val="10"/>
          <w:szCs w:val="10"/>
        </w:rPr>
      </w:pPr>
    </w:p>
  </w:footnote>
  <w:footnote w:id="7">
    <w:p w14:paraId="73B368C8" w14:textId="35ABFFE1" w:rsidR="009E5F25" w:rsidRPr="00233BA7" w:rsidRDefault="009E5F25" w:rsidP="00032150">
      <w:pPr>
        <w:pStyle w:val="Textonotapie"/>
        <w:jc w:val="both"/>
        <w:rPr>
          <w:rFonts w:ascii="Arial Narrow" w:hAnsi="Arial Narrow" w:cs="Arial"/>
          <w:i/>
          <w:sz w:val="16"/>
          <w:szCs w:val="16"/>
        </w:rPr>
      </w:pPr>
      <w:r w:rsidRPr="00233BA7">
        <w:rPr>
          <w:rStyle w:val="Refdenotaalpie"/>
          <w:rFonts w:ascii="Arial Narrow" w:hAnsi="Arial Narrow" w:cs="Arial"/>
          <w:i/>
          <w:sz w:val="16"/>
          <w:szCs w:val="16"/>
        </w:rPr>
        <w:footnoteRef/>
      </w:r>
      <w:r w:rsidRPr="00233BA7">
        <w:rPr>
          <w:rFonts w:ascii="Arial Narrow" w:hAnsi="Arial Narrow" w:cs="Arial"/>
          <w:i/>
          <w:sz w:val="16"/>
          <w:szCs w:val="16"/>
        </w:rPr>
        <w:t xml:space="preserve"> Fojas 29-31 de los autos del juicio de origen.</w:t>
      </w:r>
    </w:p>
    <w:p w14:paraId="44C7A536" w14:textId="77777777" w:rsidR="009E5F25" w:rsidRPr="00233BA7" w:rsidRDefault="009E5F25" w:rsidP="00032150">
      <w:pPr>
        <w:pStyle w:val="Textonotapie"/>
        <w:jc w:val="both"/>
        <w:rPr>
          <w:rFonts w:ascii="Arial Narrow" w:hAnsi="Arial Narrow" w:cs="Arial"/>
          <w:i/>
          <w:sz w:val="10"/>
          <w:szCs w:val="10"/>
        </w:rPr>
      </w:pPr>
    </w:p>
  </w:footnote>
  <w:footnote w:id="8">
    <w:p w14:paraId="270908F3" w14:textId="77777777" w:rsidR="009E5F25" w:rsidRPr="00233BA7" w:rsidRDefault="009E5F25" w:rsidP="00337A74">
      <w:pPr>
        <w:pStyle w:val="Textonotapie"/>
        <w:jc w:val="both"/>
        <w:rPr>
          <w:rFonts w:ascii="Arial Narrow" w:hAnsi="Arial Narrow" w:cs="Arial"/>
          <w:i/>
          <w:sz w:val="16"/>
          <w:szCs w:val="16"/>
        </w:rPr>
      </w:pPr>
      <w:r w:rsidRPr="00233BA7">
        <w:rPr>
          <w:rStyle w:val="Refdenotaalpie"/>
          <w:rFonts w:ascii="Arial Narrow" w:hAnsi="Arial Narrow" w:cs="Arial"/>
          <w:i/>
          <w:sz w:val="16"/>
          <w:szCs w:val="16"/>
        </w:rPr>
        <w:footnoteRef/>
      </w:r>
      <w:r w:rsidRPr="00233BA7">
        <w:rPr>
          <w:rFonts w:ascii="Arial Narrow" w:hAnsi="Arial Narrow" w:cs="Arial"/>
          <w:i/>
          <w:sz w:val="16"/>
          <w:szCs w:val="16"/>
        </w:rPr>
        <w:t xml:space="preserve"> </w:t>
      </w:r>
      <w:r w:rsidRPr="00233BA7">
        <w:rPr>
          <w:rFonts w:ascii="Arial Narrow" w:hAnsi="Arial Narrow" w:cs="Arial"/>
          <w:bCs/>
          <w:i/>
          <w:sz w:val="16"/>
          <w:szCs w:val="16"/>
        </w:rPr>
        <w:t>Artículo 153.</w:t>
      </w:r>
      <w:r w:rsidRPr="00233BA7">
        <w:rPr>
          <w:rFonts w:ascii="Arial Narrow" w:hAnsi="Arial Narrow" w:cs="Arial"/>
          <w:b/>
          <w:bCs/>
          <w:i/>
          <w:sz w:val="16"/>
          <w:szCs w:val="16"/>
        </w:rPr>
        <w:t xml:space="preserve"> </w:t>
      </w:r>
      <w:r w:rsidRPr="00233BA7">
        <w:rPr>
          <w:rFonts w:ascii="Arial Narrow" w:hAnsi="Arial Narrow" w:cs="Arial"/>
          <w:i/>
          <w:sz w:val="16"/>
          <w:szCs w:val="16"/>
        </w:rPr>
        <w:t>El recurso de apelación se promoverá mediante escrito, dentro de los quince días hábiles siguientes a aquél en que surta sus efectos la notificación de la resolución que se recurre.</w:t>
      </w:r>
    </w:p>
  </w:footnote>
  <w:footnote w:id="9">
    <w:p w14:paraId="20A9206E" w14:textId="77777777" w:rsidR="009E5F25" w:rsidRPr="00233BA7" w:rsidRDefault="009E5F25" w:rsidP="00337A74">
      <w:pPr>
        <w:pStyle w:val="Textonotapie"/>
        <w:rPr>
          <w:rFonts w:ascii="Arial Narrow" w:hAnsi="Arial Narrow" w:cs="Arial"/>
          <w:i/>
          <w:sz w:val="16"/>
          <w:szCs w:val="16"/>
          <w:lang w:val="es-ES"/>
        </w:rPr>
      </w:pPr>
      <w:r w:rsidRPr="00233BA7">
        <w:rPr>
          <w:rStyle w:val="Refdenotaalpie"/>
          <w:rFonts w:ascii="Arial Narrow" w:hAnsi="Arial Narrow" w:cs="Arial"/>
          <w:i/>
          <w:sz w:val="16"/>
          <w:szCs w:val="16"/>
        </w:rPr>
        <w:footnoteRef/>
      </w:r>
      <w:r w:rsidRPr="00233BA7">
        <w:rPr>
          <w:rFonts w:ascii="Arial Narrow" w:hAnsi="Arial Narrow" w:cs="Arial"/>
          <w:i/>
          <w:sz w:val="16"/>
          <w:szCs w:val="16"/>
        </w:rPr>
        <w:t xml:space="preserve"> </w:t>
      </w:r>
      <w:r w:rsidRPr="00233BA7">
        <w:rPr>
          <w:rFonts w:ascii="Arial Narrow" w:hAnsi="Arial Narrow" w:cs="Arial"/>
          <w:i/>
          <w:sz w:val="16"/>
          <w:szCs w:val="16"/>
          <w:lang w:val="es-ES"/>
        </w:rPr>
        <w:t>Foja 79 del juicio de origen.</w:t>
      </w:r>
    </w:p>
  </w:footnote>
  <w:footnote w:id="10">
    <w:p w14:paraId="134DE0C0" w14:textId="77777777" w:rsidR="009E5F25" w:rsidRPr="00233BA7" w:rsidRDefault="009E5F25" w:rsidP="00337A74">
      <w:pPr>
        <w:pStyle w:val="Textonotapie"/>
        <w:jc w:val="both"/>
        <w:rPr>
          <w:rFonts w:ascii="Arial Narrow" w:hAnsi="Arial Narrow" w:cs="Arial"/>
          <w:i/>
          <w:iCs/>
          <w:sz w:val="16"/>
          <w:szCs w:val="16"/>
        </w:rPr>
      </w:pPr>
      <w:r w:rsidRPr="00233BA7">
        <w:rPr>
          <w:rStyle w:val="Refdenotaalpie"/>
          <w:rFonts w:ascii="Arial Narrow" w:hAnsi="Arial Narrow" w:cs="Arial"/>
          <w:i/>
          <w:iCs/>
          <w:sz w:val="16"/>
          <w:szCs w:val="16"/>
        </w:rPr>
        <w:footnoteRef/>
      </w:r>
      <w:r w:rsidRPr="00233BA7">
        <w:rPr>
          <w:rFonts w:ascii="Arial Narrow" w:hAnsi="Arial Narrow" w:cs="Arial"/>
          <w:i/>
          <w:iCs/>
          <w:sz w:val="16"/>
          <w:szCs w:val="16"/>
        </w:rPr>
        <w:t xml:space="preserve"> ARTÍCULO 15. Son días hábiles para la promoción, substanciación, y resolución de los procedimientos administrativos y juicios previstos en este Código: todos los días del año; excepto, sábados y domingos; los señalados en el artículo 74 de la Ley Federal del Trabajo; los días de descanso obligatorio; así como aquellos en los que la dependencia o entidad o el Tribunal, según sea el caso, decrete sus periodos vacacionales o suspenda sus labores, lo que harán del conocimiento público mediante acuerdo del titular de la dependencia o entidad respectiva, que se publicará en estrados, en las páginas electrónicas respectivas y en el Periódico Oficial del Estado “Plan de San Luis”, o en la gaceta municipal que corresponda. En este último caso, la existencia de personal de guardia encargado del trámite de lo urgente no habilitará los días.</w:t>
      </w:r>
    </w:p>
  </w:footnote>
  <w:footnote w:id="11">
    <w:p w14:paraId="421A9B37" w14:textId="77777777" w:rsidR="009E5F25" w:rsidRPr="00932AFC" w:rsidRDefault="009E5F25" w:rsidP="00492CBC">
      <w:pPr>
        <w:pStyle w:val="Textonotapie"/>
        <w:jc w:val="both"/>
        <w:rPr>
          <w:rFonts w:ascii="Arial Narrow" w:hAnsi="Arial Narrow" w:cs="Arial"/>
          <w:i/>
          <w:sz w:val="16"/>
          <w:szCs w:val="16"/>
        </w:rPr>
      </w:pPr>
      <w:r w:rsidRPr="00932AFC">
        <w:rPr>
          <w:rStyle w:val="Refdenotaalpie"/>
          <w:rFonts w:ascii="Arial Narrow" w:hAnsi="Arial Narrow" w:cs="Arial"/>
          <w:i/>
          <w:sz w:val="16"/>
          <w:szCs w:val="16"/>
        </w:rPr>
        <w:footnoteRef/>
      </w:r>
      <w:r w:rsidRPr="00932AFC">
        <w:rPr>
          <w:rFonts w:ascii="Arial Narrow" w:hAnsi="Arial Narrow" w:cs="Arial"/>
          <w:i/>
          <w:sz w:val="16"/>
          <w:szCs w:val="16"/>
        </w:rPr>
        <w:t>“Artículo 192. Las ejecutorias de amparo deben ser puntualmente cumplidas. Al efecto, cuando cause ejecutoria la sentencia en que se haya concedido el amparo, o se reciba testimonio de la dictada en revisión, la jueza o el juez de distrito o el tribunal colegiado de apelación, si se trata de amparo indirecto, o el tribunal colegiado de circuito, tratándose de amparo directo, la notificarán sin demora a las partes. …”</w:t>
      </w:r>
    </w:p>
  </w:footnote>
  <w:footnote w:id="12">
    <w:p w14:paraId="43FE2180" w14:textId="060C1EA7" w:rsidR="009E5F25" w:rsidRPr="003F3568" w:rsidRDefault="009E5F25" w:rsidP="00BB7C84">
      <w:pPr>
        <w:pStyle w:val="Textonotapie"/>
        <w:rPr>
          <w:rFonts w:ascii="Arial Narrow" w:hAnsi="Arial Narrow"/>
          <w:i/>
          <w:sz w:val="16"/>
          <w:szCs w:val="16"/>
        </w:rPr>
      </w:pPr>
      <w:r>
        <w:rPr>
          <w:rStyle w:val="Refdenotaalpie"/>
        </w:rPr>
        <w:footnoteRef/>
      </w:r>
      <w:r>
        <w:t xml:space="preserve"> </w:t>
      </w:r>
      <w:r w:rsidRPr="003F3568">
        <w:rPr>
          <w:rFonts w:ascii="Arial Narrow" w:hAnsi="Arial Narrow"/>
          <w:i/>
          <w:sz w:val="16"/>
          <w:szCs w:val="16"/>
        </w:rPr>
        <w:t>Registro digital: 204385  Instancia: Tribunales Colegiados de Circuito  Novena Época  Materia(s): Común  Tesis: I.4o.A.7 K  Fuente: Semanario Judicial de la Federación y su Gaceta. Tomo II, Agosto de 1995, página 449  Tipo: Aislada</w:t>
      </w:r>
    </w:p>
  </w:footnote>
  <w:footnote w:id="13">
    <w:p w14:paraId="58475E3E" w14:textId="396ABF2F" w:rsidR="009E5F25" w:rsidRPr="0066687D" w:rsidRDefault="009E5F25" w:rsidP="001223F3">
      <w:pPr>
        <w:pStyle w:val="Textonotapie"/>
        <w:rPr>
          <w:rFonts w:ascii="Arial Narrow" w:hAnsi="Arial Narrow"/>
          <w:i/>
          <w:sz w:val="16"/>
          <w:szCs w:val="16"/>
        </w:rPr>
      </w:pPr>
      <w:r>
        <w:rPr>
          <w:rStyle w:val="Refdenotaalpie"/>
        </w:rPr>
        <w:footnoteRef/>
      </w:r>
      <w:r>
        <w:t xml:space="preserve"> </w:t>
      </w:r>
      <w:r w:rsidRPr="0066687D">
        <w:rPr>
          <w:rFonts w:ascii="Arial Narrow" w:hAnsi="Arial Narrow"/>
          <w:i/>
          <w:sz w:val="16"/>
          <w:szCs w:val="16"/>
        </w:rPr>
        <w:t>Registro digital: 191048  Instancia: Primera Sala Novena Época Materia(s): Administrativa Tesis: 1a</w:t>
      </w:r>
      <w:proofErr w:type="gramStart"/>
      <w:r w:rsidRPr="0066687D">
        <w:rPr>
          <w:rFonts w:ascii="Arial Narrow" w:hAnsi="Arial Narrow"/>
          <w:i/>
          <w:sz w:val="16"/>
          <w:szCs w:val="16"/>
        </w:rPr>
        <w:t>./</w:t>
      </w:r>
      <w:proofErr w:type="gramEnd"/>
      <w:r w:rsidRPr="0066687D">
        <w:rPr>
          <w:rFonts w:ascii="Arial Narrow" w:hAnsi="Arial Narrow"/>
          <w:i/>
          <w:sz w:val="16"/>
          <w:szCs w:val="16"/>
        </w:rPr>
        <w:t>J. 17/2000 Fuente: Semanario Judicial de la Federación y su Gaceta. Tomo XII, Octubre de 2000, página 189 Tipo: Jurisprudencia</w:t>
      </w:r>
    </w:p>
  </w:footnote>
  <w:footnote w:id="14">
    <w:p w14:paraId="669EBED7" w14:textId="77777777" w:rsidR="009E5F25" w:rsidRPr="00E50DC5" w:rsidRDefault="009E5F25" w:rsidP="004E15C9">
      <w:pPr>
        <w:pStyle w:val="Textonotapie"/>
        <w:jc w:val="both"/>
        <w:rPr>
          <w:rFonts w:ascii="Arial Narrow" w:hAnsi="Arial Narrow" w:cstheme="minorHAnsi"/>
          <w:i/>
          <w:iCs/>
          <w:sz w:val="16"/>
          <w:szCs w:val="16"/>
        </w:rPr>
      </w:pPr>
      <w:r w:rsidRPr="00E50DC5">
        <w:rPr>
          <w:rStyle w:val="Refdenotaalpie"/>
          <w:rFonts w:ascii="Arial Narrow" w:hAnsi="Arial Narrow" w:cstheme="minorHAnsi"/>
          <w:i/>
          <w:sz w:val="16"/>
          <w:szCs w:val="16"/>
        </w:rPr>
        <w:footnoteRef/>
      </w:r>
      <w:r w:rsidRPr="00E50DC5">
        <w:rPr>
          <w:rFonts w:ascii="Arial Narrow" w:hAnsi="Arial Narrow" w:cstheme="minorHAnsi"/>
          <w:i/>
          <w:sz w:val="16"/>
          <w:szCs w:val="16"/>
        </w:rPr>
        <w:t xml:space="preserve"> </w:t>
      </w:r>
      <w:r w:rsidRPr="00E50DC5">
        <w:rPr>
          <w:rFonts w:ascii="Arial Narrow" w:hAnsi="Arial Narrow" w:cstheme="minorHAnsi"/>
          <w:b/>
          <w:bCs/>
          <w:i/>
          <w:iCs/>
          <w:sz w:val="16"/>
          <w:szCs w:val="16"/>
        </w:rPr>
        <w:t>“Artículo 18.</w:t>
      </w:r>
      <w:r w:rsidRPr="00E50DC5">
        <w:rPr>
          <w:rFonts w:ascii="Arial Narrow" w:hAnsi="Arial Narrow" w:cstheme="minorHAnsi"/>
          <w:i/>
          <w:iCs/>
          <w:sz w:val="16"/>
          <w:szCs w:val="16"/>
        </w:rPr>
        <w:t xml:space="preserve"> Además de las funciones establecidas en el artículo 52 de la Ley, los secretarios de acuerdos tendrán las siguientes:</w:t>
      </w:r>
    </w:p>
    <w:p w14:paraId="730C2E6C" w14:textId="77777777" w:rsidR="009E5F25" w:rsidRPr="00E50DC5" w:rsidRDefault="009E5F25" w:rsidP="004E15C9">
      <w:pPr>
        <w:pStyle w:val="Textonotapie"/>
        <w:jc w:val="both"/>
        <w:rPr>
          <w:rFonts w:ascii="Arial Narrow" w:hAnsi="Arial Narrow" w:cstheme="minorHAnsi"/>
          <w:i/>
          <w:iCs/>
          <w:sz w:val="16"/>
          <w:szCs w:val="16"/>
        </w:rPr>
      </w:pPr>
      <w:r w:rsidRPr="00E50DC5">
        <w:rPr>
          <w:rFonts w:ascii="Arial Narrow" w:hAnsi="Arial Narrow" w:cstheme="minorHAnsi"/>
          <w:b/>
          <w:bCs/>
          <w:i/>
          <w:iCs/>
          <w:sz w:val="16"/>
          <w:szCs w:val="16"/>
        </w:rPr>
        <w:t>I.</w:t>
      </w:r>
      <w:r w:rsidRPr="00E50DC5">
        <w:rPr>
          <w:rFonts w:ascii="Arial Narrow" w:hAnsi="Arial Narrow" w:cstheme="minorHAnsi"/>
          <w:i/>
          <w:iCs/>
          <w:sz w:val="16"/>
          <w:szCs w:val="16"/>
        </w:rPr>
        <w:t xml:space="preserve"> Dar fe y certificar los actos que realiza el titular y autenticar todos los hechos jurídicos de importancia para los juicios de que conoce la Sala; …”</w:t>
      </w:r>
    </w:p>
  </w:footnote>
  <w:footnote w:id="15">
    <w:p w14:paraId="355DC9CA" w14:textId="77777777" w:rsidR="009E5F25" w:rsidRPr="00E50DC5" w:rsidRDefault="009E5F25" w:rsidP="004E15C9">
      <w:pPr>
        <w:pStyle w:val="Textonotapie"/>
        <w:jc w:val="both"/>
        <w:rPr>
          <w:rFonts w:ascii="Arial Narrow" w:hAnsi="Arial Narrow" w:cstheme="minorHAnsi"/>
          <w:i/>
          <w:iCs/>
          <w:sz w:val="16"/>
          <w:szCs w:val="16"/>
        </w:rPr>
      </w:pPr>
      <w:r w:rsidRPr="00E50DC5">
        <w:rPr>
          <w:rStyle w:val="Refdenotaalpie"/>
          <w:rFonts w:ascii="Arial Narrow" w:hAnsi="Arial Narrow" w:cstheme="minorHAnsi"/>
          <w:i/>
          <w:sz w:val="16"/>
          <w:szCs w:val="16"/>
        </w:rPr>
        <w:footnoteRef/>
      </w:r>
      <w:r w:rsidRPr="00E50DC5">
        <w:rPr>
          <w:rFonts w:ascii="Arial Narrow" w:hAnsi="Arial Narrow" w:cstheme="minorHAnsi"/>
          <w:i/>
          <w:iCs/>
          <w:sz w:val="16"/>
          <w:szCs w:val="16"/>
        </w:rPr>
        <w:t xml:space="preserve"> </w:t>
      </w:r>
      <w:r w:rsidRPr="00E50DC5">
        <w:rPr>
          <w:rFonts w:ascii="Arial Narrow" w:hAnsi="Arial Narrow" w:cstheme="minorHAnsi"/>
          <w:b/>
          <w:bCs/>
          <w:i/>
          <w:iCs/>
          <w:sz w:val="16"/>
          <w:szCs w:val="16"/>
        </w:rPr>
        <w:t>“Artículo 20.</w:t>
      </w:r>
      <w:r w:rsidRPr="00E50DC5">
        <w:rPr>
          <w:rFonts w:ascii="Arial Narrow" w:hAnsi="Arial Narrow" w:cstheme="minorHAnsi"/>
          <w:i/>
          <w:iCs/>
          <w:sz w:val="16"/>
          <w:szCs w:val="16"/>
        </w:rPr>
        <w:t xml:space="preserve"> Las funciones inherentes a los secretarios jurisdiccionales son: </w:t>
      </w:r>
    </w:p>
    <w:p w14:paraId="7A087FE5" w14:textId="089A7AB1" w:rsidR="009E5F25" w:rsidRPr="00E50DC5" w:rsidRDefault="009E5F25" w:rsidP="004E15C9">
      <w:pPr>
        <w:pStyle w:val="Textonotapie"/>
        <w:jc w:val="both"/>
        <w:rPr>
          <w:rFonts w:ascii="Arial Narrow" w:hAnsi="Arial Narrow" w:cstheme="minorHAnsi"/>
          <w:i/>
          <w:sz w:val="16"/>
          <w:szCs w:val="16"/>
        </w:rPr>
      </w:pPr>
      <w:r w:rsidRPr="00E50DC5">
        <w:rPr>
          <w:rFonts w:ascii="Arial Narrow" w:hAnsi="Arial Narrow" w:cstheme="minorHAnsi"/>
          <w:i/>
          <w:iCs/>
          <w:sz w:val="16"/>
          <w:szCs w:val="16"/>
        </w:rPr>
        <w:t>…</w:t>
      </w:r>
      <w:r w:rsidRPr="00E50DC5">
        <w:rPr>
          <w:rFonts w:ascii="Arial Narrow" w:hAnsi="Arial Narrow" w:cstheme="minorHAnsi"/>
          <w:b/>
          <w:bCs/>
          <w:i/>
          <w:iCs/>
          <w:sz w:val="16"/>
          <w:szCs w:val="16"/>
        </w:rPr>
        <w:t>X.</w:t>
      </w:r>
      <w:r w:rsidRPr="00E50DC5">
        <w:rPr>
          <w:rFonts w:ascii="Arial Narrow" w:hAnsi="Arial Narrow" w:cstheme="minorHAnsi"/>
          <w:i/>
          <w:iCs/>
          <w:sz w:val="16"/>
          <w:szCs w:val="16"/>
        </w:rPr>
        <w:t xml:space="preserve"> Suplir en sus facultades a los Secretarios de Acuerdos cuando el Magistrado respectivo lo disponga;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78C0F2" w14:textId="7EEFE7A1" w:rsidR="009E5F25" w:rsidRDefault="009E5F25" w:rsidP="00001EAD">
    <w:pPr>
      <w:pStyle w:val="Encabezado"/>
      <w:tabs>
        <w:tab w:val="clear" w:pos="8838"/>
        <w:tab w:val="left" w:pos="4956"/>
        <w:tab w:val="left" w:pos="5664"/>
        <w:tab w:val="left" w:pos="6372"/>
      </w:tabs>
      <w:ind w:left="-851"/>
      <w:rPr>
        <w:rFonts w:cs="Calibri"/>
        <w:sz w:val="24"/>
        <w:szCs w:val="24"/>
        <w:shd w:val="clear" w:color="auto" w:fill="FFFFFF"/>
      </w:rPr>
    </w:pPr>
    <w:bookmarkStart w:id="1" w:name="PAGI_NA"/>
    <w:r>
      <w:rPr>
        <w:rFonts w:cs="Calibri"/>
        <w:sz w:val="24"/>
        <w:szCs w:val="24"/>
        <w:shd w:val="clear" w:color="auto" w:fill="FFFFFF"/>
      </w:rPr>
      <w:tab/>
    </w:r>
    <w:r>
      <w:rPr>
        <w:rFonts w:cs="Calibri"/>
        <w:sz w:val="24"/>
        <w:szCs w:val="24"/>
        <w:shd w:val="clear" w:color="auto" w:fill="FFFFFF"/>
      </w:rPr>
      <w:tab/>
    </w:r>
    <w:r>
      <w:rPr>
        <w:rFonts w:cs="Calibri"/>
        <w:sz w:val="24"/>
        <w:szCs w:val="24"/>
        <w:shd w:val="clear" w:color="auto" w:fill="FFFFFF"/>
      </w:rPr>
      <w:tab/>
    </w:r>
    <w:r>
      <w:rPr>
        <w:rFonts w:cs="Calibri"/>
        <w:sz w:val="24"/>
        <w:szCs w:val="24"/>
        <w:shd w:val="clear" w:color="auto" w:fill="FFFFFF"/>
      </w:rPr>
      <w:tab/>
    </w:r>
    <w:r>
      <w:rPr>
        <w:rFonts w:cs="Calibri"/>
        <w:sz w:val="24"/>
        <w:szCs w:val="24"/>
        <w:shd w:val="clear" w:color="auto" w:fill="FFFFFF"/>
      </w:rPr>
      <w:tab/>
    </w:r>
  </w:p>
  <w:p w14:paraId="358EF6B5" w14:textId="5102B295" w:rsidR="009E5F25" w:rsidRPr="00C150E8" w:rsidRDefault="009E5F25" w:rsidP="00255501">
    <w:pPr>
      <w:pStyle w:val="Encabezado"/>
      <w:jc w:val="center"/>
      <w:rPr>
        <w:rStyle w:val="Nmerodepgina"/>
        <w:rFonts w:ascii="Bradley Hand ITC" w:hAnsi="Bradley Hand ITC"/>
        <w:color w:val="FFFFFF"/>
      </w:rPr>
    </w:pPr>
    <w:r w:rsidRPr="00C150E8">
      <w:rPr>
        <w:rFonts w:ascii="Bradley Hand ITC" w:hAnsi="Bradley Hand ITC" w:cs="Calibri"/>
        <w:sz w:val="24"/>
        <w:szCs w:val="24"/>
        <w:shd w:val="clear" w:color="auto" w:fill="FFFFFF"/>
      </w:rPr>
      <w:t>“2026, año del Bicentenario de la Promulgación de la Constitución Política del Estado Libre y Soberano de San Luis Potosí”.</w:t>
    </w:r>
    <w:r w:rsidRPr="00C150E8">
      <w:rPr>
        <w:rFonts w:ascii="Bradley Hand ITC" w:hAnsi="Bradley Hand ITC"/>
        <w:noProof/>
        <w:lang w:eastAsia="es-MX"/>
      </w:rPr>
      <mc:AlternateContent>
        <mc:Choice Requires="wps">
          <w:drawing>
            <wp:anchor distT="0" distB="0" distL="114300" distR="114300" simplePos="0" relativeHeight="251663360" behindDoc="0" locked="0" layoutInCell="1" allowOverlap="1" wp14:anchorId="4664872C" wp14:editId="55AE1A4B">
              <wp:simplePos x="0" y="0"/>
              <wp:positionH relativeFrom="column">
                <wp:posOffset>-1208405</wp:posOffset>
              </wp:positionH>
              <wp:positionV relativeFrom="paragraph">
                <wp:posOffset>-36195</wp:posOffset>
              </wp:positionV>
              <wp:extent cx="1125855" cy="1712595"/>
              <wp:effectExtent l="0" t="0" r="0" b="190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1712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BDCF44" w14:textId="4FEEFD7B" w:rsidR="009E5F25" w:rsidRDefault="009E5F25" w:rsidP="00255501">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19A28465" wp14:editId="41FADCA2">
                                <wp:extent cx="938530" cy="938530"/>
                                <wp:effectExtent l="0" t="0" r="0" b="0"/>
                                <wp:docPr id="27" name="Imagen 27"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938530" cy="938530"/>
                                        </a:xfrm>
                                        <a:prstGeom prst="rect">
                                          <a:avLst/>
                                        </a:prstGeom>
                                        <a:solidFill>
                                          <a:srgbClr val="FFFFFF">
                                            <a:alpha val="0"/>
                                          </a:srgbClr>
                                        </a:solidFill>
                                        <a:ln>
                                          <a:noFill/>
                                        </a:ln>
                                      </pic:spPr>
                                    </pic:pic>
                                  </a:graphicData>
                                </a:graphic>
                              </wp:inline>
                            </w:drawing>
                          </w:r>
                        </w:p>
                        <w:p w14:paraId="2EC51C80" w14:textId="77777777" w:rsidR="009E5F25" w:rsidRPr="00B23B9D" w:rsidRDefault="009E5F25" w:rsidP="00255501">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14:paraId="5AE32833" w14:textId="77777777" w:rsidR="009E5F25" w:rsidRPr="00B23B9D" w:rsidRDefault="009E5F25" w:rsidP="00255501">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14:paraId="578A143A" w14:textId="77777777" w:rsidR="009E5F25" w:rsidRPr="00B23B9D" w:rsidRDefault="009E5F25" w:rsidP="00255501">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14:paraId="6736DDE5" w14:textId="77777777" w:rsidR="009E5F25" w:rsidRPr="00B23B9D" w:rsidRDefault="009E5F25" w:rsidP="00255501">
                          <w:pPr>
                            <w:pStyle w:val="Sinespaciado"/>
                            <w:jc w:val="center"/>
                            <w:rPr>
                              <w:rFonts w:ascii="Microsoft Sans Serif" w:eastAsia="SimHei" w:hAnsi="Microsoft Sans Serif" w:cs="Microsoft Sans Serif"/>
                              <w:b/>
                              <w:sz w:val="14"/>
                              <w:szCs w:val="14"/>
                            </w:rPr>
                          </w:pPr>
                        </w:p>
                        <w:p w14:paraId="3EEB7874" w14:textId="77777777" w:rsidR="009E5F25" w:rsidRPr="00B23B9D" w:rsidRDefault="009E5F25" w:rsidP="00255501">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2" o:spid="_x0000_s1026" type="#_x0000_t202" style="position:absolute;left:0;text-align:left;margin-left:-95.15pt;margin-top:-2.85pt;width:88.65pt;height:13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" stroked="f">
              <v:textbox>
                <w:txbxContent>
                  <w:p w14:paraId="0ABDCF44" w14:textId="4FEEFD7B" w:rsidR="00FA4761" w:rsidRDefault="00FA4761" w:rsidP="00255501">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19A28465" wp14:editId="41FADCA2">
                          <wp:extent cx="938530" cy="938530"/>
                          <wp:effectExtent l="0" t="0" r="0" b="0"/>
                          <wp:docPr id="27" name="Imagen 27"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938530" cy="938530"/>
                                  </a:xfrm>
                                  <a:prstGeom prst="rect">
                                    <a:avLst/>
                                  </a:prstGeom>
                                  <a:solidFill>
                                    <a:srgbClr val="FFFFFF">
                                      <a:alpha val="0"/>
                                    </a:srgbClr>
                                  </a:solidFill>
                                  <a:ln>
                                    <a:noFill/>
                                  </a:ln>
                                </pic:spPr>
                              </pic:pic>
                            </a:graphicData>
                          </a:graphic>
                        </wp:inline>
                      </w:drawing>
                    </w:r>
                  </w:p>
                  <w:p w14:paraId="2EC51C80" w14:textId="77777777" w:rsidR="00FA4761" w:rsidRPr="00B23B9D" w:rsidRDefault="00FA4761" w:rsidP="00255501">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14:paraId="5AE32833" w14:textId="77777777" w:rsidR="00FA4761" w:rsidRPr="00B23B9D" w:rsidRDefault="00FA4761" w:rsidP="00255501">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14:paraId="578A143A" w14:textId="77777777" w:rsidR="00FA4761" w:rsidRPr="00B23B9D" w:rsidRDefault="00FA4761" w:rsidP="00255501">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14:paraId="6736DDE5" w14:textId="77777777" w:rsidR="00FA4761" w:rsidRPr="00B23B9D" w:rsidRDefault="00FA4761" w:rsidP="00255501">
                    <w:pPr>
                      <w:pStyle w:val="Sinespaciado"/>
                      <w:jc w:val="center"/>
                      <w:rPr>
                        <w:rFonts w:ascii="Microsoft Sans Serif" w:eastAsia="SimHei" w:hAnsi="Microsoft Sans Serif" w:cs="Microsoft Sans Serif"/>
                        <w:b/>
                        <w:sz w:val="14"/>
                        <w:szCs w:val="14"/>
                      </w:rPr>
                    </w:pPr>
                  </w:p>
                  <w:p w14:paraId="3EEB7874" w14:textId="77777777" w:rsidR="00FA4761" w:rsidRPr="00B23B9D" w:rsidRDefault="00FA4761" w:rsidP="00255501">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v:textbox>
            </v:shape>
          </w:pict>
        </mc:Fallback>
      </mc:AlternateContent>
    </w:r>
  </w:p>
  <w:bookmarkEnd w:id="1"/>
  <w:p w14:paraId="489B3BB8" w14:textId="133D1AD7" w:rsidR="009E5F25" w:rsidRDefault="009E5F25" w:rsidP="00255501">
    <w:pPr>
      <w:pStyle w:val="Encabezado"/>
      <w:spacing w:after="0" w:line="240" w:lineRule="auto"/>
      <w:jc w:val="right"/>
      <w:rPr>
        <w:rFonts w:ascii="Arial Narrow" w:hAnsi="Arial Narrow"/>
        <w:sz w:val="28"/>
        <w:szCs w:val="28"/>
      </w:rPr>
    </w:pPr>
    <w:r w:rsidRPr="00E47A61">
      <w:rPr>
        <w:rFonts w:ascii="Arial Narrow" w:hAnsi="Arial Narrow"/>
        <w:sz w:val="28"/>
        <w:szCs w:val="28"/>
      </w:rPr>
      <w:t xml:space="preserve"> </w:t>
    </w:r>
    <w:r>
      <w:rPr>
        <w:rFonts w:ascii="Arial Narrow" w:hAnsi="Arial Narrow"/>
        <w:sz w:val="28"/>
        <w:szCs w:val="28"/>
      </w:rPr>
      <w:t>TOCA 68/2023/SS-33</w:t>
    </w:r>
  </w:p>
  <w:p w14:paraId="7059AC0F" w14:textId="44330B76" w:rsidR="009E5F25" w:rsidRDefault="009E5F25" w:rsidP="00255501">
    <w:pPr>
      <w:pStyle w:val="Encabezado"/>
      <w:spacing w:after="0" w:line="240" w:lineRule="auto"/>
      <w:jc w:val="right"/>
      <w:rPr>
        <w:rFonts w:ascii="Arial Narrow" w:hAnsi="Arial Narrow"/>
        <w:sz w:val="28"/>
        <w:szCs w:val="28"/>
      </w:rPr>
    </w:pPr>
    <w:r>
      <w:rPr>
        <w:rFonts w:ascii="Arial Narrow" w:hAnsi="Arial Narrow"/>
        <w:sz w:val="28"/>
        <w:szCs w:val="28"/>
      </w:rPr>
      <w:t xml:space="preserve">EXP. </w:t>
    </w:r>
    <w:r w:rsidRPr="00C150E8">
      <w:rPr>
        <w:rFonts w:ascii="Arial Narrow" w:hAnsi="Arial Narrow"/>
        <w:sz w:val="28"/>
        <w:szCs w:val="28"/>
      </w:rPr>
      <w:t>843/2022/2</w:t>
    </w:r>
  </w:p>
  <w:p w14:paraId="41A79310" w14:textId="353466E9" w:rsidR="009E5F25" w:rsidRDefault="009E5F25" w:rsidP="0030311E">
    <w:pPr>
      <w:pStyle w:val="Encabezado"/>
      <w:spacing w:after="0" w:line="240" w:lineRule="auto"/>
      <w:jc w:val="right"/>
      <w:rPr>
        <w:rFonts w:ascii="Arial Narrow" w:hAnsi="Arial Narrow"/>
        <w:sz w:val="28"/>
        <w:szCs w:val="28"/>
      </w:rPr>
    </w:pPr>
    <w:r>
      <w:rPr>
        <w:rFonts w:ascii="Arial Narrow" w:hAnsi="Arial Narrow"/>
        <w:sz w:val="28"/>
        <w:szCs w:val="28"/>
      </w:rPr>
      <w:t>CUMPLIMIENTO ADA 1/2024</w:t>
    </w:r>
  </w:p>
  <w:p w14:paraId="3C25E2D6" w14:textId="77777777" w:rsidR="009E5F25" w:rsidRDefault="009E5F25" w:rsidP="0030311E">
    <w:pPr>
      <w:pStyle w:val="Encabezado"/>
      <w:spacing w:after="0" w:line="240" w:lineRule="auto"/>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E4EDE" w14:textId="19BB2956" w:rsidR="009E5F25" w:rsidRPr="005F6585" w:rsidRDefault="009E5F25" w:rsidP="005F6585">
    <w:pPr>
      <w:pStyle w:val="Encabezado"/>
      <w:pBdr>
        <w:bottom w:val="thickThinSmallGap" w:sz="24" w:space="1" w:color="622423"/>
      </w:pBdr>
      <w:jc w:val="center"/>
      <w:rPr>
        <w:rFonts w:ascii="Arial" w:eastAsia="Times New Roman" w:hAnsi="Arial" w:cs="Arial"/>
        <w:sz w:val="28"/>
        <w:szCs w:val="32"/>
      </w:rPr>
    </w:pPr>
    <w:r w:rsidRPr="00B50941">
      <w:rPr>
        <w:rFonts w:ascii="Lucida Calligraphy" w:eastAsia="Times New Roman" w:hAnsi="Lucida Calligraphy" w:cs="Arial"/>
      </w:rPr>
      <w:t>“2026, año del Bicentenario de la Promulgación de la Constitución Política del Estado Libre y Soberano de San Luis Potosí”.</w:t>
    </w:r>
  </w:p>
  <w:p w14:paraId="0F6CB00D" w14:textId="0760AE59" w:rsidR="009E5F25" w:rsidRPr="005F6585" w:rsidRDefault="009E5F25" w:rsidP="005F6585">
    <w:pPr>
      <w:pBdr>
        <w:bottom w:val="thickThinSmallGap" w:sz="24" w:space="1" w:color="622423"/>
      </w:pBdr>
      <w:tabs>
        <w:tab w:val="center" w:pos="4419"/>
        <w:tab w:val="right" w:pos="8838"/>
      </w:tabs>
      <w:jc w:val="center"/>
      <w:rPr>
        <w:rFonts w:ascii="Cambria" w:eastAsia="Times New Roman" w:hAnsi="Cambria"/>
        <w:sz w:val="32"/>
        <w:szCs w:val="32"/>
      </w:rPr>
    </w:pPr>
    <w:r>
      <w:rPr>
        <w:noProof/>
        <w:lang w:eastAsia="es-MX"/>
      </w:rPr>
      <mc:AlternateContent>
        <mc:Choice Requires="wps">
          <w:drawing>
            <wp:anchor distT="0" distB="0" distL="114300" distR="114300" simplePos="0" relativeHeight="251661312" behindDoc="0" locked="0" layoutInCell="1" allowOverlap="1" wp14:anchorId="251B5FC5" wp14:editId="7E652AE4">
              <wp:simplePos x="0" y="0"/>
              <wp:positionH relativeFrom="column">
                <wp:posOffset>-1308735</wp:posOffset>
              </wp:positionH>
              <wp:positionV relativeFrom="paragraph">
                <wp:posOffset>185090</wp:posOffset>
              </wp:positionV>
              <wp:extent cx="1125855" cy="1712595"/>
              <wp:effectExtent l="0" t="0" r="0" b="190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1712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F0936" w14:textId="009DB60C" w:rsidR="009E5F25" w:rsidRDefault="009E5F25" w:rsidP="005F6585">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2635DDE9" wp14:editId="325EF9B0">
                                <wp:extent cx="943610" cy="943610"/>
                                <wp:effectExtent l="0" t="0" r="8890" b="8890"/>
                                <wp:docPr id="28" name="Imagen 28"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943610" cy="943610"/>
                                        </a:xfrm>
                                        <a:prstGeom prst="rect">
                                          <a:avLst/>
                                        </a:prstGeom>
                                        <a:solidFill>
                                          <a:srgbClr val="FFFFFF">
                                            <a:alpha val="0"/>
                                          </a:srgbClr>
                                        </a:solidFill>
                                        <a:ln>
                                          <a:noFill/>
                                        </a:ln>
                                      </pic:spPr>
                                    </pic:pic>
                                  </a:graphicData>
                                </a:graphic>
                              </wp:inline>
                            </w:drawing>
                          </w:r>
                        </w:p>
                        <w:p w14:paraId="39614717" w14:textId="77777777" w:rsidR="009E5F25" w:rsidRPr="00B23B9D" w:rsidRDefault="009E5F25" w:rsidP="005F6585">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14:paraId="63F11B8A" w14:textId="77777777" w:rsidR="009E5F25" w:rsidRPr="00B23B9D" w:rsidRDefault="009E5F25" w:rsidP="005F6585">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14:paraId="33BA6356" w14:textId="77777777" w:rsidR="009E5F25" w:rsidRPr="00B23B9D" w:rsidRDefault="009E5F25" w:rsidP="005F6585">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14:paraId="1081AACB" w14:textId="77777777" w:rsidR="009E5F25" w:rsidRPr="00B23B9D" w:rsidRDefault="009E5F25" w:rsidP="005F6585">
                          <w:pPr>
                            <w:pStyle w:val="Sinespaciado"/>
                            <w:jc w:val="center"/>
                            <w:rPr>
                              <w:rFonts w:ascii="Microsoft Sans Serif" w:eastAsia="SimHei" w:hAnsi="Microsoft Sans Serif" w:cs="Microsoft Sans Serif"/>
                              <w:b/>
                              <w:sz w:val="14"/>
                              <w:szCs w:val="14"/>
                            </w:rPr>
                          </w:pPr>
                        </w:p>
                        <w:p w14:paraId="5981EB56" w14:textId="77777777" w:rsidR="009E5F25" w:rsidRPr="00B23B9D" w:rsidRDefault="009E5F25" w:rsidP="005F6585">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1" o:spid="_x0000_s1027" type="#_x0000_t202" style="position:absolute;left:0;text-align:left;margin-left:-103.05pt;margin-top:14.55pt;width:88.65pt;height:13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" stroked="f">
              <v:textbox>
                <w:txbxContent>
                  <w:p w14:paraId="7B8F0936" w14:textId="009DB60C" w:rsidR="00FA4761" w:rsidRDefault="00FA4761" w:rsidP="005F6585">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2635DDE9" wp14:editId="325EF9B0">
                          <wp:extent cx="943610" cy="943610"/>
                          <wp:effectExtent l="0" t="0" r="8890" b="8890"/>
                          <wp:docPr id="28" name="Imagen 28"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943610" cy="943610"/>
                                  </a:xfrm>
                                  <a:prstGeom prst="rect">
                                    <a:avLst/>
                                  </a:prstGeom>
                                  <a:solidFill>
                                    <a:srgbClr val="FFFFFF">
                                      <a:alpha val="0"/>
                                    </a:srgbClr>
                                  </a:solidFill>
                                  <a:ln>
                                    <a:noFill/>
                                  </a:ln>
                                </pic:spPr>
                              </pic:pic>
                            </a:graphicData>
                          </a:graphic>
                        </wp:inline>
                      </w:drawing>
                    </w:r>
                  </w:p>
                  <w:p w14:paraId="39614717" w14:textId="77777777" w:rsidR="00FA4761" w:rsidRPr="00B23B9D" w:rsidRDefault="00FA4761" w:rsidP="005F6585">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14:paraId="63F11B8A" w14:textId="77777777" w:rsidR="00FA4761" w:rsidRPr="00B23B9D" w:rsidRDefault="00FA4761" w:rsidP="005F6585">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14:paraId="33BA6356" w14:textId="77777777" w:rsidR="00FA4761" w:rsidRPr="00B23B9D" w:rsidRDefault="00FA4761" w:rsidP="005F6585">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14:paraId="1081AACB" w14:textId="77777777" w:rsidR="00FA4761" w:rsidRPr="00B23B9D" w:rsidRDefault="00FA4761" w:rsidP="005F6585">
                    <w:pPr>
                      <w:pStyle w:val="Sinespaciado"/>
                      <w:jc w:val="center"/>
                      <w:rPr>
                        <w:rFonts w:ascii="Microsoft Sans Serif" w:eastAsia="SimHei" w:hAnsi="Microsoft Sans Serif" w:cs="Microsoft Sans Serif"/>
                        <w:b/>
                        <w:sz w:val="14"/>
                        <w:szCs w:val="14"/>
                      </w:rPr>
                    </w:pPr>
                  </w:p>
                  <w:p w14:paraId="5981EB56" w14:textId="77777777" w:rsidR="00FA4761" w:rsidRPr="00B23B9D" w:rsidRDefault="00FA4761" w:rsidP="005F6585">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v:textbox>
            </v:shape>
          </w:pict>
        </mc:Fallback>
      </mc:AlternateContent>
    </w:r>
    <w:r w:rsidRPr="005F6585">
      <w:rPr>
        <w:rFonts w:ascii="Arial" w:eastAsia="Times New Roman" w:hAnsi="Arial" w:cs="Arial"/>
        <w:sz w:val="28"/>
        <w:szCs w:val="32"/>
      </w:rPr>
      <w:t>SALA SUPERIOR DEL TRIBUNAL ESTATAL DE JUSTICIA ADMINISTRATIVA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D07F2"/>
    <w:multiLevelType w:val="hybridMultilevel"/>
    <w:tmpl w:val="37FE674C"/>
    <w:lvl w:ilvl="0" w:tplc="265CFD70">
      <w:start w:val="1"/>
      <w:numFmt w:val="lowerLetter"/>
      <w:lvlText w:val="%1)"/>
      <w:lvlJc w:val="right"/>
      <w:pPr>
        <w:ind w:left="1428" w:hanging="360"/>
      </w:pPr>
      <w:rPr>
        <w:rFonts w:ascii="Century Gothic" w:eastAsia="Times New Roman" w:hAnsi="Century Gothic" w:cs="Arial"/>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
    <w:nsid w:val="0EF57E43"/>
    <w:multiLevelType w:val="hybridMultilevel"/>
    <w:tmpl w:val="655876C4"/>
    <w:lvl w:ilvl="0" w:tplc="080A000D">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BE379C1"/>
    <w:multiLevelType w:val="hybridMultilevel"/>
    <w:tmpl w:val="9BA827C6"/>
    <w:lvl w:ilvl="0" w:tplc="246C86B2">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2B4D72A9"/>
    <w:multiLevelType w:val="hybridMultilevel"/>
    <w:tmpl w:val="14AA2A5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2551CAA"/>
    <w:multiLevelType w:val="hybridMultilevel"/>
    <w:tmpl w:val="CFA47156"/>
    <w:lvl w:ilvl="0" w:tplc="080A0009">
      <w:start w:val="1"/>
      <w:numFmt w:val="bullet"/>
      <w:lvlText w:val=""/>
      <w:lvlJc w:val="left"/>
      <w:pPr>
        <w:ind w:left="1503" w:hanging="360"/>
      </w:pPr>
      <w:rPr>
        <w:rFonts w:ascii="Wingdings" w:hAnsi="Wingdings" w:hint="default"/>
      </w:rPr>
    </w:lvl>
    <w:lvl w:ilvl="1" w:tplc="080A0003" w:tentative="1">
      <w:start w:val="1"/>
      <w:numFmt w:val="bullet"/>
      <w:lvlText w:val="o"/>
      <w:lvlJc w:val="left"/>
      <w:pPr>
        <w:ind w:left="2223" w:hanging="360"/>
      </w:pPr>
      <w:rPr>
        <w:rFonts w:ascii="Courier New" w:hAnsi="Courier New" w:cs="Courier New" w:hint="default"/>
      </w:rPr>
    </w:lvl>
    <w:lvl w:ilvl="2" w:tplc="080A0005" w:tentative="1">
      <w:start w:val="1"/>
      <w:numFmt w:val="bullet"/>
      <w:lvlText w:val=""/>
      <w:lvlJc w:val="left"/>
      <w:pPr>
        <w:ind w:left="2943" w:hanging="360"/>
      </w:pPr>
      <w:rPr>
        <w:rFonts w:ascii="Wingdings" w:hAnsi="Wingdings" w:hint="default"/>
      </w:rPr>
    </w:lvl>
    <w:lvl w:ilvl="3" w:tplc="080A0001" w:tentative="1">
      <w:start w:val="1"/>
      <w:numFmt w:val="bullet"/>
      <w:lvlText w:val=""/>
      <w:lvlJc w:val="left"/>
      <w:pPr>
        <w:ind w:left="3663" w:hanging="360"/>
      </w:pPr>
      <w:rPr>
        <w:rFonts w:ascii="Symbol" w:hAnsi="Symbol" w:hint="default"/>
      </w:rPr>
    </w:lvl>
    <w:lvl w:ilvl="4" w:tplc="080A0003" w:tentative="1">
      <w:start w:val="1"/>
      <w:numFmt w:val="bullet"/>
      <w:lvlText w:val="o"/>
      <w:lvlJc w:val="left"/>
      <w:pPr>
        <w:ind w:left="4383" w:hanging="360"/>
      </w:pPr>
      <w:rPr>
        <w:rFonts w:ascii="Courier New" w:hAnsi="Courier New" w:cs="Courier New" w:hint="default"/>
      </w:rPr>
    </w:lvl>
    <w:lvl w:ilvl="5" w:tplc="080A0005" w:tentative="1">
      <w:start w:val="1"/>
      <w:numFmt w:val="bullet"/>
      <w:lvlText w:val=""/>
      <w:lvlJc w:val="left"/>
      <w:pPr>
        <w:ind w:left="5103" w:hanging="360"/>
      </w:pPr>
      <w:rPr>
        <w:rFonts w:ascii="Wingdings" w:hAnsi="Wingdings" w:hint="default"/>
      </w:rPr>
    </w:lvl>
    <w:lvl w:ilvl="6" w:tplc="080A0001" w:tentative="1">
      <w:start w:val="1"/>
      <w:numFmt w:val="bullet"/>
      <w:lvlText w:val=""/>
      <w:lvlJc w:val="left"/>
      <w:pPr>
        <w:ind w:left="5823" w:hanging="360"/>
      </w:pPr>
      <w:rPr>
        <w:rFonts w:ascii="Symbol" w:hAnsi="Symbol" w:hint="default"/>
      </w:rPr>
    </w:lvl>
    <w:lvl w:ilvl="7" w:tplc="080A0003" w:tentative="1">
      <w:start w:val="1"/>
      <w:numFmt w:val="bullet"/>
      <w:lvlText w:val="o"/>
      <w:lvlJc w:val="left"/>
      <w:pPr>
        <w:ind w:left="6543" w:hanging="360"/>
      </w:pPr>
      <w:rPr>
        <w:rFonts w:ascii="Courier New" w:hAnsi="Courier New" w:cs="Courier New" w:hint="default"/>
      </w:rPr>
    </w:lvl>
    <w:lvl w:ilvl="8" w:tplc="080A0005" w:tentative="1">
      <w:start w:val="1"/>
      <w:numFmt w:val="bullet"/>
      <w:lvlText w:val=""/>
      <w:lvlJc w:val="left"/>
      <w:pPr>
        <w:ind w:left="7263" w:hanging="360"/>
      </w:pPr>
      <w:rPr>
        <w:rFonts w:ascii="Wingdings" w:hAnsi="Wingdings" w:hint="default"/>
      </w:rPr>
    </w:lvl>
  </w:abstractNum>
  <w:abstractNum w:abstractNumId="5">
    <w:nsid w:val="33B0156E"/>
    <w:multiLevelType w:val="hybridMultilevel"/>
    <w:tmpl w:val="1C0EB24E"/>
    <w:lvl w:ilvl="0" w:tplc="FEA6D808">
      <w:start w:val="1"/>
      <w:numFmt w:val="decimal"/>
      <w:lvlText w:val="%1."/>
      <w:lvlJc w:val="left"/>
      <w:pPr>
        <w:ind w:left="1068" w:hanging="360"/>
      </w:pPr>
      <w:rPr>
        <w:rFonts w:ascii="Arial" w:eastAsia="Calibri" w:hAnsi="Arial" w:cs="Arial"/>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3B5D1AF0"/>
    <w:multiLevelType w:val="hybridMultilevel"/>
    <w:tmpl w:val="A8A6805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
    <w:nsid w:val="428B1B39"/>
    <w:multiLevelType w:val="hybridMultilevel"/>
    <w:tmpl w:val="21A87C52"/>
    <w:lvl w:ilvl="0" w:tplc="080A0009">
      <w:start w:val="1"/>
      <w:numFmt w:val="bullet"/>
      <w:lvlText w:val=""/>
      <w:lvlJc w:val="left"/>
      <w:pPr>
        <w:ind w:left="1503" w:hanging="360"/>
      </w:pPr>
      <w:rPr>
        <w:rFonts w:ascii="Wingdings" w:hAnsi="Wingdings" w:hint="default"/>
      </w:rPr>
    </w:lvl>
    <w:lvl w:ilvl="1" w:tplc="080A0003" w:tentative="1">
      <w:start w:val="1"/>
      <w:numFmt w:val="bullet"/>
      <w:lvlText w:val="o"/>
      <w:lvlJc w:val="left"/>
      <w:pPr>
        <w:ind w:left="2223" w:hanging="360"/>
      </w:pPr>
      <w:rPr>
        <w:rFonts w:ascii="Courier New" w:hAnsi="Courier New" w:cs="Courier New" w:hint="default"/>
      </w:rPr>
    </w:lvl>
    <w:lvl w:ilvl="2" w:tplc="080A0005" w:tentative="1">
      <w:start w:val="1"/>
      <w:numFmt w:val="bullet"/>
      <w:lvlText w:val=""/>
      <w:lvlJc w:val="left"/>
      <w:pPr>
        <w:ind w:left="2943" w:hanging="360"/>
      </w:pPr>
      <w:rPr>
        <w:rFonts w:ascii="Wingdings" w:hAnsi="Wingdings" w:hint="default"/>
      </w:rPr>
    </w:lvl>
    <w:lvl w:ilvl="3" w:tplc="080A0001" w:tentative="1">
      <w:start w:val="1"/>
      <w:numFmt w:val="bullet"/>
      <w:lvlText w:val=""/>
      <w:lvlJc w:val="left"/>
      <w:pPr>
        <w:ind w:left="3663" w:hanging="360"/>
      </w:pPr>
      <w:rPr>
        <w:rFonts w:ascii="Symbol" w:hAnsi="Symbol" w:hint="default"/>
      </w:rPr>
    </w:lvl>
    <w:lvl w:ilvl="4" w:tplc="080A0003" w:tentative="1">
      <w:start w:val="1"/>
      <w:numFmt w:val="bullet"/>
      <w:lvlText w:val="o"/>
      <w:lvlJc w:val="left"/>
      <w:pPr>
        <w:ind w:left="4383" w:hanging="360"/>
      </w:pPr>
      <w:rPr>
        <w:rFonts w:ascii="Courier New" w:hAnsi="Courier New" w:cs="Courier New" w:hint="default"/>
      </w:rPr>
    </w:lvl>
    <w:lvl w:ilvl="5" w:tplc="080A0005" w:tentative="1">
      <w:start w:val="1"/>
      <w:numFmt w:val="bullet"/>
      <w:lvlText w:val=""/>
      <w:lvlJc w:val="left"/>
      <w:pPr>
        <w:ind w:left="5103" w:hanging="360"/>
      </w:pPr>
      <w:rPr>
        <w:rFonts w:ascii="Wingdings" w:hAnsi="Wingdings" w:hint="default"/>
      </w:rPr>
    </w:lvl>
    <w:lvl w:ilvl="6" w:tplc="080A0001" w:tentative="1">
      <w:start w:val="1"/>
      <w:numFmt w:val="bullet"/>
      <w:lvlText w:val=""/>
      <w:lvlJc w:val="left"/>
      <w:pPr>
        <w:ind w:left="5823" w:hanging="360"/>
      </w:pPr>
      <w:rPr>
        <w:rFonts w:ascii="Symbol" w:hAnsi="Symbol" w:hint="default"/>
      </w:rPr>
    </w:lvl>
    <w:lvl w:ilvl="7" w:tplc="080A0003" w:tentative="1">
      <w:start w:val="1"/>
      <w:numFmt w:val="bullet"/>
      <w:lvlText w:val="o"/>
      <w:lvlJc w:val="left"/>
      <w:pPr>
        <w:ind w:left="6543" w:hanging="360"/>
      </w:pPr>
      <w:rPr>
        <w:rFonts w:ascii="Courier New" w:hAnsi="Courier New" w:cs="Courier New" w:hint="default"/>
      </w:rPr>
    </w:lvl>
    <w:lvl w:ilvl="8" w:tplc="080A0005" w:tentative="1">
      <w:start w:val="1"/>
      <w:numFmt w:val="bullet"/>
      <w:lvlText w:val=""/>
      <w:lvlJc w:val="left"/>
      <w:pPr>
        <w:ind w:left="7263" w:hanging="360"/>
      </w:pPr>
      <w:rPr>
        <w:rFonts w:ascii="Wingdings" w:hAnsi="Wingdings" w:hint="default"/>
      </w:rPr>
    </w:lvl>
  </w:abstractNum>
  <w:abstractNum w:abstractNumId="8">
    <w:nsid w:val="4FFE12F7"/>
    <w:multiLevelType w:val="hybridMultilevel"/>
    <w:tmpl w:val="BB24F892"/>
    <w:lvl w:ilvl="0" w:tplc="819CA54A">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555B3C50"/>
    <w:multiLevelType w:val="hybridMultilevel"/>
    <w:tmpl w:val="276EF478"/>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AAC4F6F"/>
    <w:multiLevelType w:val="hybridMultilevel"/>
    <w:tmpl w:val="4A563114"/>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1">
    <w:nsid w:val="6D262A2C"/>
    <w:multiLevelType w:val="hybridMultilevel"/>
    <w:tmpl w:val="B27CABEC"/>
    <w:lvl w:ilvl="0" w:tplc="19845DD6">
      <w:start w:val="1"/>
      <w:numFmt w:val="lowerRoman"/>
      <w:lvlText w:val="%1."/>
      <w:lvlJc w:val="left"/>
      <w:pPr>
        <w:ind w:left="1068" w:hanging="360"/>
      </w:pPr>
      <w:rPr>
        <w:rFonts w:ascii="Arial" w:eastAsia="Calibri" w:hAnsi="Arial" w:cs="Arial"/>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4"/>
  </w:num>
  <w:num w:numId="3">
    <w:abstractNumId w:val="7"/>
  </w:num>
  <w:num w:numId="4">
    <w:abstractNumId w:val="9"/>
  </w:num>
  <w:num w:numId="5">
    <w:abstractNumId w:val="3"/>
  </w:num>
  <w:num w:numId="6">
    <w:abstractNumId w:val="1"/>
  </w:num>
  <w:num w:numId="7">
    <w:abstractNumId w:val="10"/>
  </w:num>
  <w:num w:numId="8">
    <w:abstractNumId w:val="2"/>
  </w:num>
  <w:num w:numId="9">
    <w:abstractNumId w:val="11"/>
  </w:num>
  <w:num w:numId="10">
    <w:abstractNumId w:val="5"/>
  </w:num>
  <w:num w:numId="11">
    <w:abstractNumId w:val="8"/>
  </w:num>
  <w:num w:numId="12">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9AB"/>
    <w:rsid w:val="00001214"/>
    <w:rsid w:val="00001EAD"/>
    <w:rsid w:val="00002192"/>
    <w:rsid w:val="00003549"/>
    <w:rsid w:val="00004CC2"/>
    <w:rsid w:val="0000574D"/>
    <w:rsid w:val="000076F0"/>
    <w:rsid w:val="0001075D"/>
    <w:rsid w:val="00012124"/>
    <w:rsid w:val="00012744"/>
    <w:rsid w:val="0001277E"/>
    <w:rsid w:val="0001367D"/>
    <w:rsid w:val="00015A30"/>
    <w:rsid w:val="00015D37"/>
    <w:rsid w:val="00017551"/>
    <w:rsid w:val="00017902"/>
    <w:rsid w:val="0002022E"/>
    <w:rsid w:val="000203D1"/>
    <w:rsid w:val="00020FD1"/>
    <w:rsid w:val="00021AB4"/>
    <w:rsid w:val="000223E9"/>
    <w:rsid w:val="0002331F"/>
    <w:rsid w:val="0002346D"/>
    <w:rsid w:val="000236D2"/>
    <w:rsid w:val="00030582"/>
    <w:rsid w:val="00032150"/>
    <w:rsid w:val="000343AB"/>
    <w:rsid w:val="00035F4E"/>
    <w:rsid w:val="0003696D"/>
    <w:rsid w:val="0003726C"/>
    <w:rsid w:val="000376E9"/>
    <w:rsid w:val="000377CC"/>
    <w:rsid w:val="000406AF"/>
    <w:rsid w:val="00041ED1"/>
    <w:rsid w:val="000420CA"/>
    <w:rsid w:val="000427E4"/>
    <w:rsid w:val="00045529"/>
    <w:rsid w:val="00045AE4"/>
    <w:rsid w:val="00047C05"/>
    <w:rsid w:val="00047CBE"/>
    <w:rsid w:val="0005055F"/>
    <w:rsid w:val="000532A3"/>
    <w:rsid w:val="0005362F"/>
    <w:rsid w:val="00053ED3"/>
    <w:rsid w:val="000546BF"/>
    <w:rsid w:val="00055DD0"/>
    <w:rsid w:val="000562C5"/>
    <w:rsid w:val="000576FA"/>
    <w:rsid w:val="00060238"/>
    <w:rsid w:val="0006194F"/>
    <w:rsid w:val="00061E3B"/>
    <w:rsid w:val="000621F7"/>
    <w:rsid w:val="000631B6"/>
    <w:rsid w:val="00064057"/>
    <w:rsid w:val="00064E60"/>
    <w:rsid w:val="00065C98"/>
    <w:rsid w:val="00067496"/>
    <w:rsid w:val="000725F4"/>
    <w:rsid w:val="00074B8A"/>
    <w:rsid w:val="00075002"/>
    <w:rsid w:val="000769F8"/>
    <w:rsid w:val="00076FFD"/>
    <w:rsid w:val="00080588"/>
    <w:rsid w:val="000814ED"/>
    <w:rsid w:val="00081F4A"/>
    <w:rsid w:val="00082D46"/>
    <w:rsid w:val="00084649"/>
    <w:rsid w:val="0008720B"/>
    <w:rsid w:val="00087506"/>
    <w:rsid w:val="0008758C"/>
    <w:rsid w:val="00090D03"/>
    <w:rsid w:val="00091D7B"/>
    <w:rsid w:val="00092524"/>
    <w:rsid w:val="00093EF0"/>
    <w:rsid w:val="000949E5"/>
    <w:rsid w:val="00095342"/>
    <w:rsid w:val="00097341"/>
    <w:rsid w:val="00097F70"/>
    <w:rsid w:val="000A027F"/>
    <w:rsid w:val="000A0751"/>
    <w:rsid w:val="000A0EB2"/>
    <w:rsid w:val="000A1FD1"/>
    <w:rsid w:val="000A3130"/>
    <w:rsid w:val="000A4DE0"/>
    <w:rsid w:val="000A6F55"/>
    <w:rsid w:val="000A77E2"/>
    <w:rsid w:val="000B120D"/>
    <w:rsid w:val="000B39AB"/>
    <w:rsid w:val="000B41D8"/>
    <w:rsid w:val="000B52C3"/>
    <w:rsid w:val="000B5574"/>
    <w:rsid w:val="000B5F16"/>
    <w:rsid w:val="000B65F0"/>
    <w:rsid w:val="000B6E02"/>
    <w:rsid w:val="000B746C"/>
    <w:rsid w:val="000C1348"/>
    <w:rsid w:val="000C167F"/>
    <w:rsid w:val="000C20D8"/>
    <w:rsid w:val="000C233C"/>
    <w:rsid w:val="000C2ECC"/>
    <w:rsid w:val="000C2ED5"/>
    <w:rsid w:val="000C32B0"/>
    <w:rsid w:val="000C384A"/>
    <w:rsid w:val="000C3BF3"/>
    <w:rsid w:val="000C57C1"/>
    <w:rsid w:val="000C6CE6"/>
    <w:rsid w:val="000C739D"/>
    <w:rsid w:val="000C7934"/>
    <w:rsid w:val="000D0589"/>
    <w:rsid w:val="000D0A36"/>
    <w:rsid w:val="000D0AE9"/>
    <w:rsid w:val="000D2CD1"/>
    <w:rsid w:val="000D2E7E"/>
    <w:rsid w:val="000D3B59"/>
    <w:rsid w:val="000D6439"/>
    <w:rsid w:val="000D79B3"/>
    <w:rsid w:val="000D7F7A"/>
    <w:rsid w:val="000E4FA6"/>
    <w:rsid w:val="000E61EE"/>
    <w:rsid w:val="000E640A"/>
    <w:rsid w:val="000E7373"/>
    <w:rsid w:val="000E74DB"/>
    <w:rsid w:val="000F0437"/>
    <w:rsid w:val="000F05AD"/>
    <w:rsid w:val="000F08ED"/>
    <w:rsid w:val="000F224F"/>
    <w:rsid w:val="000F3FB0"/>
    <w:rsid w:val="000F43B4"/>
    <w:rsid w:val="000F449B"/>
    <w:rsid w:val="000F509B"/>
    <w:rsid w:val="000F574D"/>
    <w:rsid w:val="000F6B0D"/>
    <w:rsid w:val="000F7981"/>
    <w:rsid w:val="00100A6E"/>
    <w:rsid w:val="00101256"/>
    <w:rsid w:val="00101505"/>
    <w:rsid w:val="00101624"/>
    <w:rsid w:val="00102CB7"/>
    <w:rsid w:val="00103683"/>
    <w:rsid w:val="00104208"/>
    <w:rsid w:val="00104591"/>
    <w:rsid w:val="0010571A"/>
    <w:rsid w:val="001060AB"/>
    <w:rsid w:val="00106BA0"/>
    <w:rsid w:val="0011401C"/>
    <w:rsid w:val="00115CAE"/>
    <w:rsid w:val="00117319"/>
    <w:rsid w:val="00117B00"/>
    <w:rsid w:val="00120C3E"/>
    <w:rsid w:val="001222B2"/>
    <w:rsid w:val="001223F3"/>
    <w:rsid w:val="00123B86"/>
    <w:rsid w:val="00125072"/>
    <w:rsid w:val="00130654"/>
    <w:rsid w:val="00130AEB"/>
    <w:rsid w:val="00130DD6"/>
    <w:rsid w:val="0013116D"/>
    <w:rsid w:val="001329D2"/>
    <w:rsid w:val="00134445"/>
    <w:rsid w:val="00134B51"/>
    <w:rsid w:val="0013629D"/>
    <w:rsid w:val="00136A9C"/>
    <w:rsid w:val="001375A7"/>
    <w:rsid w:val="00137779"/>
    <w:rsid w:val="0014069A"/>
    <w:rsid w:val="00141939"/>
    <w:rsid w:val="00142326"/>
    <w:rsid w:val="001435F0"/>
    <w:rsid w:val="001452D7"/>
    <w:rsid w:val="00147055"/>
    <w:rsid w:val="00147775"/>
    <w:rsid w:val="0015010E"/>
    <w:rsid w:val="001518B9"/>
    <w:rsid w:val="001520FE"/>
    <w:rsid w:val="00152921"/>
    <w:rsid w:val="0015345A"/>
    <w:rsid w:val="00153E6F"/>
    <w:rsid w:val="00153F97"/>
    <w:rsid w:val="00155B62"/>
    <w:rsid w:val="00156466"/>
    <w:rsid w:val="00157CBF"/>
    <w:rsid w:val="0016024B"/>
    <w:rsid w:val="0016337A"/>
    <w:rsid w:val="00164C9E"/>
    <w:rsid w:val="00164DFB"/>
    <w:rsid w:val="0016602D"/>
    <w:rsid w:val="00166253"/>
    <w:rsid w:val="00167A20"/>
    <w:rsid w:val="00170124"/>
    <w:rsid w:val="001703E0"/>
    <w:rsid w:val="0017101C"/>
    <w:rsid w:val="001711AC"/>
    <w:rsid w:val="00171708"/>
    <w:rsid w:val="00171E07"/>
    <w:rsid w:val="0017263D"/>
    <w:rsid w:val="00172CF7"/>
    <w:rsid w:val="001731A3"/>
    <w:rsid w:val="001731FC"/>
    <w:rsid w:val="0017475D"/>
    <w:rsid w:val="001764B8"/>
    <w:rsid w:val="001772C8"/>
    <w:rsid w:val="00177C0B"/>
    <w:rsid w:val="00177FB2"/>
    <w:rsid w:val="00180E4B"/>
    <w:rsid w:val="001822CF"/>
    <w:rsid w:val="001841C9"/>
    <w:rsid w:val="00184608"/>
    <w:rsid w:val="00184C70"/>
    <w:rsid w:val="00187BD0"/>
    <w:rsid w:val="00190358"/>
    <w:rsid w:val="00192849"/>
    <w:rsid w:val="0019416E"/>
    <w:rsid w:val="00194957"/>
    <w:rsid w:val="00196AAA"/>
    <w:rsid w:val="00197449"/>
    <w:rsid w:val="00197D3C"/>
    <w:rsid w:val="00197EB4"/>
    <w:rsid w:val="001A14FC"/>
    <w:rsid w:val="001A1515"/>
    <w:rsid w:val="001A3D09"/>
    <w:rsid w:val="001A5B92"/>
    <w:rsid w:val="001A622E"/>
    <w:rsid w:val="001A6C24"/>
    <w:rsid w:val="001A72BE"/>
    <w:rsid w:val="001B2E7B"/>
    <w:rsid w:val="001B418D"/>
    <w:rsid w:val="001B4970"/>
    <w:rsid w:val="001B5F52"/>
    <w:rsid w:val="001B737C"/>
    <w:rsid w:val="001B784C"/>
    <w:rsid w:val="001B7DAA"/>
    <w:rsid w:val="001C016E"/>
    <w:rsid w:val="001C1E56"/>
    <w:rsid w:val="001C2914"/>
    <w:rsid w:val="001C3FC1"/>
    <w:rsid w:val="001C52AC"/>
    <w:rsid w:val="001C644B"/>
    <w:rsid w:val="001D1702"/>
    <w:rsid w:val="001D2538"/>
    <w:rsid w:val="001D2C46"/>
    <w:rsid w:val="001D39C5"/>
    <w:rsid w:val="001D3E41"/>
    <w:rsid w:val="001D495E"/>
    <w:rsid w:val="001D547C"/>
    <w:rsid w:val="001D5810"/>
    <w:rsid w:val="001D6536"/>
    <w:rsid w:val="001E122A"/>
    <w:rsid w:val="001E125C"/>
    <w:rsid w:val="001E15AA"/>
    <w:rsid w:val="001E1D9B"/>
    <w:rsid w:val="001E305C"/>
    <w:rsid w:val="001E39C4"/>
    <w:rsid w:val="001E3F04"/>
    <w:rsid w:val="001E46D1"/>
    <w:rsid w:val="001E5380"/>
    <w:rsid w:val="001E56BD"/>
    <w:rsid w:val="001E6620"/>
    <w:rsid w:val="001F02EC"/>
    <w:rsid w:val="001F15EC"/>
    <w:rsid w:val="001F3AB9"/>
    <w:rsid w:val="001F5C54"/>
    <w:rsid w:val="001F5E7D"/>
    <w:rsid w:val="001F6F41"/>
    <w:rsid w:val="001F7CC3"/>
    <w:rsid w:val="001F7D9D"/>
    <w:rsid w:val="00200889"/>
    <w:rsid w:val="002015F5"/>
    <w:rsid w:val="002028E4"/>
    <w:rsid w:val="00202955"/>
    <w:rsid w:val="00204504"/>
    <w:rsid w:val="00204ACD"/>
    <w:rsid w:val="00204F68"/>
    <w:rsid w:val="00205185"/>
    <w:rsid w:val="0021159B"/>
    <w:rsid w:val="00211733"/>
    <w:rsid w:val="00211A1C"/>
    <w:rsid w:val="00211AC5"/>
    <w:rsid w:val="00214A94"/>
    <w:rsid w:val="00216298"/>
    <w:rsid w:val="00217793"/>
    <w:rsid w:val="00217D01"/>
    <w:rsid w:val="0022128E"/>
    <w:rsid w:val="00221A30"/>
    <w:rsid w:val="00222442"/>
    <w:rsid w:val="002233E7"/>
    <w:rsid w:val="0022426C"/>
    <w:rsid w:val="00224CA1"/>
    <w:rsid w:val="00225596"/>
    <w:rsid w:val="00225D29"/>
    <w:rsid w:val="002270D0"/>
    <w:rsid w:val="00227FB7"/>
    <w:rsid w:val="00230106"/>
    <w:rsid w:val="00230E97"/>
    <w:rsid w:val="002317BC"/>
    <w:rsid w:val="00231F5C"/>
    <w:rsid w:val="00232F73"/>
    <w:rsid w:val="00233BA7"/>
    <w:rsid w:val="00234CB0"/>
    <w:rsid w:val="0023581E"/>
    <w:rsid w:val="002361BC"/>
    <w:rsid w:val="00237147"/>
    <w:rsid w:val="0024401E"/>
    <w:rsid w:val="002444E5"/>
    <w:rsid w:val="0024461A"/>
    <w:rsid w:val="002451AD"/>
    <w:rsid w:val="002479C5"/>
    <w:rsid w:val="0025047B"/>
    <w:rsid w:val="00250570"/>
    <w:rsid w:val="002510A2"/>
    <w:rsid w:val="002523BA"/>
    <w:rsid w:val="00252DED"/>
    <w:rsid w:val="00253095"/>
    <w:rsid w:val="002534C8"/>
    <w:rsid w:val="00255501"/>
    <w:rsid w:val="00255A5D"/>
    <w:rsid w:val="00256332"/>
    <w:rsid w:val="00256C8A"/>
    <w:rsid w:val="00257AAC"/>
    <w:rsid w:val="00257C20"/>
    <w:rsid w:val="00262399"/>
    <w:rsid w:val="0026509F"/>
    <w:rsid w:val="00265426"/>
    <w:rsid w:val="00266A34"/>
    <w:rsid w:val="0026726E"/>
    <w:rsid w:val="00267FA1"/>
    <w:rsid w:val="00271249"/>
    <w:rsid w:val="002739DD"/>
    <w:rsid w:val="00273EDF"/>
    <w:rsid w:val="002758F9"/>
    <w:rsid w:val="00275BC1"/>
    <w:rsid w:val="00277E3C"/>
    <w:rsid w:val="0028021A"/>
    <w:rsid w:val="002803C1"/>
    <w:rsid w:val="00281839"/>
    <w:rsid w:val="00281A40"/>
    <w:rsid w:val="00282642"/>
    <w:rsid w:val="002830E3"/>
    <w:rsid w:val="00283888"/>
    <w:rsid w:val="0028526E"/>
    <w:rsid w:val="0028554A"/>
    <w:rsid w:val="002860CE"/>
    <w:rsid w:val="002867BD"/>
    <w:rsid w:val="00286CD2"/>
    <w:rsid w:val="00287BC5"/>
    <w:rsid w:val="0029059A"/>
    <w:rsid w:val="00290E12"/>
    <w:rsid w:val="002916D0"/>
    <w:rsid w:val="00292540"/>
    <w:rsid w:val="00294CB9"/>
    <w:rsid w:val="00295B27"/>
    <w:rsid w:val="00296199"/>
    <w:rsid w:val="00296808"/>
    <w:rsid w:val="00296939"/>
    <w:rsid w:val="00297EB4"/>
    <w:rsid w:val="002A0FB8"/>
    <w:rsid w:val="002A4015"/>
    <w:rsid w:val="002A41F3"/>
    <w:rsid w:val="002A59F5"/>
    <w:rsid w:val="002A674A"/>
    <w:rsid w:val="002A79EF"/>
    <w:rsid w:val="002A7F0D"/>
    <w:rsid w:val="002B0086"/>
    <w:rsid w:val="002B27DC"/>
    <w:rsid w:val="002B297D"/>
    <w:rsid w:val="002B34E1"/>
    <w:rsid w:val="002B352A"/>
    <w:rsid w:val="002B3808"/>
    <w:rsid w:val="002B6DE5"/>
    <w:rsid w:val="002C0414"/>
    <w:rsid w:val="002C08B1"/>
    <w:rsid w:val="002C1054"/>
    <w:rsid w:val="002C36D8"/>
    <w:rsid w:val="002C4B41"/>
    <w:rsid w:val="002C4C47"/>
    <w:rsid w:val="002C503D"/>
    <w:rsid w:val="002C5354"/>
    <w:rsid w:val="002C5C24"/>
    <w:rsid w:val="002C5FB7"/>
    <w:rsid w:val="002C633E"/>
    <w:rsid w:val="002C6C19"/>
    <w:rsid w:val="002C7006"/>
    <w:rsid w:val="002C7778"/>
    <w:rsid w:val="002C7DA0"/>
    <w:rsid w:val="002D34E2"/>
    <w:rsid w:val="002D4194"/>
    <w:rsid w:val="002D646F"/>
    <w:rsid w:val="002E0B94"/>
    <w:rsid w:val="002E1C47"/>
    <w:rsid w:val="002E5C62"/>
    <w:rsid w:val="002E5F93"/>
    <w:rsid w:val="002E7019"/>
    <w:rsid w:val="002F13EB"/>
    <w:rsid w:val="002F3248"/>
    <w:rsid w:val="002F7F00"/>
    <w:rsid w:val="0030311E"/>
    <w:rsid w:val="003035DF"/>
    <w:rsid w:val="00304E0F"/>
    <w:rsid w:val="0030614F"/>
    <w:rsid w:val="003062E1"/>
    <w:rsid w:val="00310263"/>
    <w:rsid w:val="003110CF"/>
    <w:rsid w:val="00311812"/>
    <w:rsid w:val="0031232F"/>
    <w:rsid w:val="00312F74"/>
    <w:rsid w:val="00315D0A"/>
    <w:rsid w:val="00316C31"/>
    <w:rsid w:val="0032047A"/>
    <w:rsid w:val="00320C58"/>
    <w:rsid w:val="00321CBE"/>
    <w:rsid w:val="00321CD4"/>
    <w:rsid w:val="00322368"/>
    <w:rsid w:val="003223D7"/>
    <w:rsid w:val="00323077"/>
    <w:rsid w:val="00323EC0"/>
    <w:rsid w:val="00323F04"/>
    <w:rsid w:val="00324F69"/>
    <w:rsid w:val="0032689F"/>
    <w:rsid w:val="0033083C"/>
    <w:rsid w:val="0033087B"/>
    <w:rsid w:val="00332008"/>
    <w:rsid w:val="0033375E"/>
    <w:rsid w:val="00333AA6"/>
    <w:rsid w:val="0033453D"/>
    <w:rsid w:val="00335705"/>
    <w:rsid w:val="003359CE"/>
    <w:rsid w:val="00335B69"/>
    <w:rsid w:val="003369BD"/>
    <w:rsid w:val="00336A5C"/>
    <w:rsid w:val="00336F22"/>
    <w:rsid w:val="00337A74"/>
    <w:rsid w:val="00337F32"/>
    <w:rsid w:val="00341094"/>
    <w:rsid w:val="00341968"/>
    <w:rsid w:val="00343A7C"/>
    <w:rsid w:val="003459F1"/>
    <w:rsid w:val="00346B68"/>
    <w:rsid w:val="003479B7"/>
    <w:rsid w:val="003505F6"/>
    <w:rsid w:val="00351280"/>
    <w:rsid w:val="00352604"/>
    <w:rsid w:val="0035306A"/>
    <w:rsid w:val="00356779"/>
    <w:rsid w:val="003613AF"/>
    <w:rsid w:val="0036177A"/>
    <w:rsid w:val="0036313B"/>
    <w:rsid w:val="0036351D"/>
    <w:rsid w:val="0036462E"/>
    <w:rsid w:val="003656D1"/>
    <w:rsid w:val="003658B9"/>
    <w:rsid w:val="0036610D"/>
    <w:rsid w:val="00367AD7"/>
    <w:rsid w:val="00372FB3"/>
    <w:rsid w:val="00373A7E"/>
    <w:rsid w:val="003741D2"/>
    <w:rsid w:val="003755C5"/>
    <w:rsid w:val="0037623C"/>
    <w:rsid w:val="00376402"/>
    <w:rsid w:val="00380C95"/>
    <w:rsid w:val="00380EC3"/>
    <w:rsid w:val="00381C09"/>
    <w:rsid w:val="00382A01"/>
    <w:rsid w:val="00382F27"/>
    <w:rsid w:val="00384281"/>
    <w:rsid w:val="00384BB4"/>
    <w:rsid w:val="00385722"/>
    <w:rsid w:val="00386C15"/>
    <w:rsid w:val="003874ED"/>
    <w:rsid w:val="00387806"/>
    <w:rsid w:val="00387F2A"/>
    <w:rsid w:val="003904D9"/>
    <w:rsid w:val="00392B2C"/>
    <w:rsid w:val="00393206"/>
    <w:rsid w:val="003935F9"/>
    <w:rsid w:val="00393CB7"/>
    <w:rsid w:val="003940A3"/>
    <w:rsid w:val="003960D1"/>
    <w:rsid w:val="003979F9"/>
    <w:rsid w:val="00397A94"/>
    <w:rsid w:val="003A0990"/>
    <w:rsid w:val="003A127A"/>
    <w:rsid w:val="003A1B04"/>
    <w:rsid w:val="003A2D67"/>
    <w:rsid w:val="003A3555"/>
    <w:rsid w:val="003A3C91"/>
    <w:rsid w:val="003A434C"/>
    <w:rsid w:val="003A54A6"/>
    <w:rsid w:val="003A7186"/>
    <w:rsid w:val="003A7953"/>
    <w:rsid w:val="003A7E71"/>
    <w:rsid w:val="003B06CE"/>
    <w:rsid w:val="003B0B9C"/>
    <w:rsid w:val="003B1A99"/>
    <w:rsid w:val="003B1FDF"/>
    <w:rsid w:val="003B2445"/>
    <w:rsid w:val="003B2BDC"/>
    <w:rsid w:val="003B332F"/>
    <w:rsid w:val="003B4D39"/>
    <w:rsid w:val="003B5AEB"/>
    <w:rsid w:val="003B60F4"/>
    <w:rsid w:val="003C00B6"/>
    <w:rsid w:val="003C0742"/>
    <w:rsid w:val="003C2284"/>
    <w:rsid w:val="003C42FF"/>
    <w:rsid w:val="003C457A"/>
    <w:rsid w:val="003C4AA5"/>
    <w:rsid w:val="003C588A"/>
    <w:rsid w:val="003C6137"/>
    <w:rsid w:val="003C711D"/>
    <w:rsid w:val="003D0673"/>
    <w:rsid w:val="003D06DA"/>
    <w:rsid w:val="003D1BC1"/>
    <w:rsid w:val="003D205E"/>
    <w:rsid w:val="003D2F84"/>
    <w:rsid w:val="003D3A8D"/>
    <w:rsid w:val="003D4098"/>
    <w:rsid w:val="003D4524"/>
    <w:rsid w:val="003D4A19"/>
    <w:rsid w:val="003D4E5B"/>
    <w:rsid w:val="003D5572"/>
    <w:rsid w:val="003D578B"/>
    <w:rsid w:val="003D685D"/>
    <w:rsid w:val="003D6AC6"/>
    <w:rsid w:val="003E0191"/>
    <w:rsid w:val="003E1249"/>
    <w:rsid w:val="003E251B"/>
    <w:rsid w:val="003E4AFE"/>
    <w:rsid w:val="003E5F4E"/>
    <w:rsid w:val="003F0E11"/>
    <w:rsid w:val="003F3568"/>
    <w:rsid w:val="003F3F1F"/>
    <w:rsid w:val="003F44CE"/>
    <w:rsid w:val="003F6741"/>
    <w:rsid w:val="00400888"/>
    <w:rsid w:val="004017C0"/>
    <w:rsid w:val="00401F55"/>
    <w:rsid w:val="0040273B"/>
    <w:rsid w:val="00402D67"/>
    <w:rsid w:val="00403183"/>
    <w:rsid w:val="004044BC"/>
    <w:rsid w:val="00407D26"/>
    <w:rsid w:val="00410303"/>
    <w:rsid w:val="004110D8"/>
    <w:rsid w:val="0041129E"/>
    <w:rsid w:val="00411EDE"/>
    <w:rsid w:val="0041242E"/>
    <w:rsid w:val="00412BC1"/>
    <w:rsid w:val="0041467D"/>
    <w:rsid w:val="00415771"/>
    <w:rsid w:val="0042020F"/>
    <w:rsid w:val="004204C3"/>
    <w:rsid w:val="004213C8"/>
    <w:rsid w:val="00421E5B"/>
    <w:rsid w:val="00422222"/>
    <w:rsid w:val="00422913"/>
    <w:rsid w:val="00422CDD"/>
    <w:rsid w:val="00427A04"/>
    <w:rsid w:val="00430F32"/>
    <w:rsid w:val="0043580B"/>
    <w:rsid w:val="0043583A"/>
    <w:rsid w:val="00436831"/>
    <w:rsid w:val="00436870"/>
    <w:rsid w:val="004374D9"/>
    <w:rsid w:val="0043768E"/>
    <w:rsid w:val="0044193A"/>
    <w:rsid w:val="00441E0A"/>
    <w:rsid w:val="00442AF1"/>
    <w:rsid w:val="0044399D"/>
    <w:rsid w:val="00445070"/>
    <w:rsid w:val="004450A9"/>
    <w:rsid w:val="0044629C"/>
    <w:rsid w:val="00446535"/>
    <w:rsid w:val="00446C25"/>
    <w:rsid w:val="00447EDF"/>
    <w:rsid w:val="0045170C"/>
    <w:rsid w:val="00451BD7"/>
    <w:rsid w:val="004522F7"/>
    <w:rsid w:val="00452369"/>
    <w:rsid w:val="0045254A"/>
    <w:rsid w:val="00454C97"/>
    <w:rsid w:val="00454F5A"/>
    <w:rsid w:val="00455B6C"/>
    <w:rsid w:val="00456145"/>
    <w:rsid w:val="00456F07"/>
    <w:rsid w:val="0045780F"/>
    <w:rsid w:val="004602C1"/>
    <w:rsid w:val="004607F1"/>
    <w:rsid w:val="0046188C"/>
    <w:rsid w:val="00462706"/>
    <w:rsid w:val="004630EF"/>
    <w:rsid w:val="004638B2"/>
    <w:rsid w:val="00463BF6"/>
    <w:rsid w:val="00464F42"/>
    <w:rsid w:val="00465049"/>
    <w:rsid w:val="00465D90"/>
    <w:rsid w:val="00465E4E"/>
    <w:rsid w:val="004703AB"/>
    <w:rsid w:val="00471C21"/>
    <w:rsid w:val="00472E28"/>
    <w:rsid w:val="00472FD8"/>
    <w:rsid w:val="004735F1"/>
    <w:rsid w:val="00473D86"/>
    <w:rsid w:val="00475B21"/>
    <w:rsid w:val="00475EF3"/>
    <w:rsid w:val="004767E2"/>
    <w:rsid w:val="004800E6"/>
    <w:rsid w:val="00480876"/>
    <w:rsid w:val="004809EC"/>
    <w:rsid w:val="00480B64"/>
    <w:rsid w:val="00481377"/>
    <w:rsid w:val="004821C9"/>
    <w:rsid w:val="00482509"/>
    <w:rsid w:val="004827C8"/>
    <w:rsid w:val="004832DE"/>
    <w:rsid w:val="00485D0C"/>
    <w:rsid w:val="00485E6A"/>
    <w:rsid w:val="00485F26"/>
    <w:rsid w:val="004869DA"/>
    <w:rsid w:val="00487232"/>
    <w:rsid w:val="00487AC3"/>
    <w:rsid w:val="0049245B"/>
    <w:rsid w:val="00492CBC"/>
    <w:rsid w:val="00493B8F"/>
    <w:rsid w:val="00494321"/>
    <w:rsid w:val="00494589"/>
    <w:rsid w:val="00494BFD"/>
    <w:rsid w:val="004962A1"/>
    <w:rsid w:val="00496570"/>
    <w:rsid w:val="00496661"/>
    <w:rsid w:val="00497B4D"/>
    <w:rsid w:val="004A050C"/>
    <w:rsid w:val="004A167F"/>
    <w:rsid w:val="004A2165"/>
    <w:rsid w:val="004A2789"/>
    <w:rsid w:val="004A3329"/>
    <w:rsid w:val="004A3BB5"/>
    <w:rsid w:val="004A4581"/>
    <w:rsid w:val="004A50B3"/>
    <w:rsid w:val="004A5309"/>
    <w:rsid w:val="004A53EE"/>
    <w:rsid w:val="004A6A42"/>
    <w:rsid w:val="004A7224"/>
    <w:rsid w:val="004A7281"/>
    <w:rsid w:val="004A7F15"/>
    <w:rsid w:val="004B04C4"/>
    <w:rsid w:val="004B0F19"/>
    <w:rsid w:val="004B2DB3"/>
    <w:rsid w:val="004B4615"/>
    <w:rsid w:val="004B4FBB"/>
    <w:rsid w:val="004B7BC6"/>
    <w:rsid w:val="004C06FD"/>
    <w:rsid w:val="004C4267"/>
    <w:rsid w:val="004C6517"/>
    <w:rsid w:val="004D01DC"/>
    <w:rsid w:val="004D0304"/>
    <w:rsid w:val="004D069B"/>
    <w:rsid w:val="004D14F3"/>
    <w:rsid w:val="004D1F6B"/>
    <w:rsid w:val="004D22A2"/>
    <w:rsid w:val="004D2694"/>
    <w:rsid w:val="004D4646"/>
    <w:rsid w:val="004D51F6"/>
    <w:rsid w:val="004D54AA"/>
    <w:rsid w:val="004D56A1"/>
    <w:rsid w:val="004D6E54"/>
    <w:rsid w:val="004D7352"/>
    <w:rsid w:val="004D7ACB"/>
    <w:rsid w:val="004D7DD2"/>
    <w:rsid w:val="004D7FB2"/>
    <w:rsid w:val="004E0924"/>
    <w:rsid w:val="004E0E85"/>
    <w:rsid w:val="004E15C9"/>
    <w:rsid w:val="004E2E1A"/>
    <w:rsid w:val="004E33BC"/>
    <w:rsid w:val="004E4500"/>
    <w:rsid w:val="004E54E4"/>
    <w:rsid w:val="004F2356"/>
    <w:rsid w:val="004F32C2"/>
    <w:rsid w:val="004F4678"/>
    <w:rsid w:val="004F75EF"/>
    <w:rsid w:val="004F77DB"/>
    <w:rsid w:val="005001F4"/>
    <w:rsid w:val="00500381"/>
    <w:rsid w:val="005023C5"/>
    <w:rsid w:val="005033EA"/>
    <w:rsid w:val="0050437E"/>
    <w:rsid w:val="005045B3"/>
    <w:rsid w:val="00504D9B"/>
    <w:rsid w:val="00505CB2"/>
    <w:rsid w:val="005070F5"/>
    <w:rsid w:val="005078FC"/>
    <w:rsid w:val="00507909"/>
    <w:rsid w:val="00507C5B"/>
    <w:rsid w:val="0051092F"/>
    <w:rsid w:val="0051146B"/>
    <w:rsid w:val="005127B3"/>
    <w:rsid w:val="00514A63"/>
    <w:rsid w:val="005156CF"/>
    <w:rsid w:val="00516639"/>
    <w:rsid w:val="00516E11"/>
    <w:rsid w:val="0051775B"/>
    <w:rsid w:val="00517E07"/>
    <w:rsid w:val="0052029B"/>
    <w:rsid w:val="005205C0"/>
    <w:rsid w:val="005209FE"/>
    <w:rsid w:val="005214E4"/>
    <w:rsid w:val="005221CC"/>
    <w:rsid w:val="00525307"/>
    <w:rsid w:val="005263D8"/>
    <w:rsid w:val="005268AD"/>
    <w:rsid w:val="0052753D"/>
    <w:rsid w:val="00527D8A"/>
    <w:rsid w:val="00527F74"/>
    <w:rsid w:val="005301A3"/>
    <w:rsid w:val="00530B60"/>
    <w:rsid w:val="0053124C"/>
    <w:rsid w:val="005314D6"/>
    <w:rsid w:val="00532024"/>
    <w:rsid w:val="0053290D"/>
    <w:rsid w:val="005371DC"/>
    <w:rsid w:val="00537E44"/>
    <w:rsid w:val="00540132"/>
    <w:rsid w:val="0054072E"/>
    <w:rsid w:val="005411D9"/>
    <w:rsid w:val="0054180F"/>
    <w:rsid w:val="00541DA6"/>
    <w:rsid w:val="00543D7A"/>
    <w:rsid w:val="00544D04"/>
    <w:rsid w:val="005457A5"/>
    <w:rsid w:val="005457F3"/>
    <w:rsid w:val="005515C9"/>
    <w:rsid w:val="005515EB"/>
    <w:rsid w:val="00552B76"/>
    <w:rsid w:val="00557414"/>
    <w:rsid w:val="00560455"/>
    <w:rsid w:val="00560B42"/>
    <w:rsid w:val="00560E10"/>
    <w:rsid w:val="0056197B"/>
    <w:rsid w:val="005624D9"/>
    <w:rsid w:val="00562C28"/>
    <w:rsid w:val="00562D4A"/>
    <w:rsid w:val="005641D4"/>
    <w:rsid w:val="00564988"/>
    <w:rsid w:val="00565B9E"/>
    <w:rsid w:val="00566B73"/>
    <w:rsid w:val="00566C7E"/>
    <w:rsid w:val="00571D1A"/>
    <w:rsid w:val="005724C4"/>
    <w:rsid w:val="00573099"/>
    <w:rsid w:val="00573E3F"/>
    <w:rsid w:val="005740E0"/>
    <w:rsid w:val="0058095F"/>
    <w:rsid w:val="00580B16"/>
    <w:rsid w:val="00581F15"/>
    <w:rsid w:val="00582432"/>
    <w:rsid w:val="00583A79"/>
    <w:rsid w:val="00584B8F"/>
    <w:rsid w:val="00585EF4"/>
    <w:rsid w:val="00586546"/>
    <w:rsid w:val="0058746E"/>
    <w:rsid w:val="005875C0"/>
    <w:rsid w:val="00587F4D"/>
    <w:rsid w:val="005903A3"/>
    <w:rsid w:val="00590757"/>
    <w:rsid w:val="0059081D"/>
    <w:rsid w:val="00590961"/>
    <w:rsid w:val="00590AC4"/>
    <w:rsid w:val="00591FED"/>
    <w:rsid w:val="005926B6"/>
    <w:rsid w:val="005930E7"/>
    <w:rsid w:val="00593FCF"/>
    <w:rsid w:val="00597ECD"/>
    <w:rsid w:val="005A0E5E"/>
    <w:rsid w:val="005A1FF7"/>
    <w:rsid w:val="005A2391"/>
    <w:rsid w:val="005A23A1"/>
    <w:rsid w:val="005A24EF"/>
    <w:rsid w:val="005A2BB5"/>
    <w:rsid w:val="005A404B"/>
    <w:rsid w:val="005A4F8D"/>
    <w:rsid w:val="005A5D47"/>
    <w:rsid w:val="005A5DBB"/>
    <w:rsid w:val="005A6444"/>
    <w:rsid w:val="005A64AD"/>
    <w:rsid w:val="005A7271"/>
    <w:rsid w:val="005B09EC"/>
    <w:rsid w:val="005B1463"/>
    <w:rsid w:val="005B1B18"/>
    <w:rsid w:val="005B1E96"/>
    <w:rsid w:val="005B27F9"/>
    <w:rsid w:val="005B340F"/>
    <w:rsid w:val="005B3CDE"/>
    <w:rsid w:val="005B3EF1"/>
    <w:rsid w:val="005B60FD"/>
    <w:rsid w:val="005B658B"/>
    <w:rsid w:val="005B65EE"/>
    <w:rsid w:val="005B6A62"/>
    <w:rsid w:val="005B6BD7"/>
    <w:rsid w:val="005B7FCC"/>
    <w:rsid w:val="005C01AC"/>
    <w:rsid w:val="005C0237"/>
    <w:rsid w:val="005C0B46"/>
    <w:rsid w:val="005C237E"/>
    <w:rsid w:val="005C339D"/>
    <w:rsid w:val="005C3D67"/>
    <w:rsid w:val="005C3F7D"/>
    <w:rsid w:val="005C52BD"/>
    <w:rsid w:val="005C5FFA"/>
    <w:rsid w:val="005C7B27"/>
    <w:rsid w:val="005D1B67"/>
    <w:rsid w:val="005D3E62"/>
    <w:rsid w:val="005D3EA5"/>
    <w:rsid w:val="005D4433"/>
    <w:rsid w:val="005E07F7"/>
    <w:rsid w:val="005E0D3E"/>
    <w:rsid w:val="005E171A"/>
    <w:rsid w:val="005E2395"/>
    <w:rsid w:val="005E2617"/>
    <w:rsid w:val="005E2A81"/>
    <w:rsid w:val="005E4ADC"/>
    <w:rsid w:val="005E5C2F"/>
    <w:rsid w:val="005E6721"/>
    <w:rsid w:val="005E703C"/>
    <w:rsid w:val="005E7065"/>
    <w:rsid w:val="005E7908"/>
    <w:rsid w:val="005F09CB"/>
    <w:rsid w:val="005F1012"/>
    <w:rsid w:val="005F5049"/>
    <w:rsid w:val="005F5967"/>
    <w:rsid w:val="005F5E18"/>
    <w:rsid w:val="005F61E1"/>
    <w:rsid w:val="005F6585"/>
    <w:rsid w:val="005F6BE3"/>
    <w:rsid w:val="005F71F4"/>
    <w:rsid w:val="005F7BB7"/>
    <w:rsid w:val="00600A34"/>
    <w:rsid w:val="00600D5A"/>
    <w:rsid w:val="006011A5"/>
    <w:rsid w:val="00602D5D"/>
    <w:rsid w:val="00610BEF"/>
    <w:rsid w:val="00611CA5"/>
    <w:rsid w:val="0061224D"/>
    <w:rsid w:val="00613014"/>
    <w:rsid w:val="0061313C"/>
    <w:rsid w:val="00613347"/>
    <w:rsid w:val="00614036"/>
    <w:rsid w:val="006149B5"/>
    <w:rsid w:val="006154A0"/>
    <w:rsid w:val="006166B7"/>
    <w:rsid w:val="006200EF"/>
    <w:rsid w:val="0062316F"/>
    <w:rsid w:val="006261BC"/>
    <w:rsid w:val="00626584"/>
    <w:rsid w:val="0062717F"/>
    <w:rsid w:val="00627687"/>
    <w:rsid w:val="00627B59"/>
    <w:rsid w:val="00630351"/>
    <w:rsid w:val="00630A77"/>
    <w:rsid w:val="00632CB3"/>
    <w:rsid w:val="00633649"/>
    <w:rsid w:val="00633948"/>
    <w:rsid w:val="00633A08"/>
    <w:rsid w:val="006340A6"/>
    <w:rsid w:val="0063566D"/>
    <w:rsid w:val="00635C82"/>
    <w:rsid w:val="006361F6"/>
    <w:rsid w:val="0063627E"/>
    <w:rsid w:val="00644BD4"/>
    <w:rsid w:val="006462B1"/>
    <w:rsid w:val="00646F73"/>
    <w:rsid w:val="00650272"/>
    <w:rsid w:val="006519B8"/>
    <w:rsid w:val="00651D11"/>
    <w:rsid w:val="0065239F"/>
    <w:rsid w:val="0065572A"/>
    <w:rsid w:val="0065619E"/>
    <w:rsid w:val="00656A32"/>
    <w:rsid w:val="00657158"/>
    <w:rsid w:val="00660F4F"/>
    <w:rsid w:val="006628DC"/>
    <w:rsid w:val="00664445"/>
    <w:rsid w:val="006657ED"/>
    <w:rsid w:val="0066687D"/>
    <w:rsid w:val="00667322"/>
    <w:rsid w:val="00671CDD"/>
    <w:rsid w:val="00672D3C"/>
    <w:rsid w:val="00674E88"/>
    <w:rsid w:val="006751CD"/>
    <w:rsid w:val="00675C20"/>
    <w:rsid w:val="00676C73"/>
    <w:rsid w:val="00677B48"/>
    <w:rsid w:val="00677E24"/>
    <w:rsid w:val="00680DB4"/>
    <w:rsid w:val="00680F1B"/>
    <w:rsid w:val="006819CF"/>
    <w:rsid w:val="0068311C"/>
    <w:rsid w:val="006832BD"/>
    <w:rsid w:val="00684147"/>
    <w:rsid w:val="006842B7"/>
    <w:rsid w:val="00684E42"/>
    <w:rsid w:val="00687855"/>
    <w:rsid w:val="0069025D"/>
    <w:rsid w:val="00691A1A"/>
    <w:rsid w:val="006939B3"/>
    <w:rsid w:val="00694F84"/>
    <w:rsid w:val="00696EFC"/>
    <w:rsid w:val="00697C06"/>
    <w:rsid w:val="006A1311"/>
    <w:rsid w:val="006A1A2B"/>
    <w:rsid w:val="006A24A0"/>
    <w:rsid w:val="006A26A8"/>
    <w:rsid w:val="006A28AC"/>
    <w:rsid w:val="006A3198"/>
    <w:rsid w:val="006A3625"/>
    <w:rsid w:val="006A39CD"/>
    <w:rsid w:val="006A424F"/>
    <w:rsid w:val="006A43AC"/>
    <w:rsid w:val="006A52C7"/>
    <w:rsid w:val="006A5913"/>
    <w:rsid w:val="006A5D28"/>
    <w:rsid w:val="006A7095"/>
    <w:rsid w:val="006B138E"/>
    <w:rsid w:val="006B1884"/>
    <w:rsid w:val="006B3F71"/>
    <w:rsid w:val="006B4A9E"/>
    <w:rsid w:val="006B6FAE"/>
    <w:rsid w:val="006B74A7"/>
    <w:rsid w:val="006C0143"/>
    <w:rsid w:val="006C05D5"/>
    <w:rsid w:val="006C144E"/>
    <w:rsid w:val="006C1C55"/>
    <w:rsid w:val="006C278F"/>
    <w:rsid w:val="006C2BCC"/>
    <w:rsid w:val="006C3265"/>
    <w:rsid w:val="006C343A"/>
    <w:rsid w:val="006C39C1"/>
    <w:rsid w:val="006C57F4"/>
    <w:rsid w:val="006C6061"/>
    <w:rsid w:val="006C6E95"/>
    <w:rsid w:val="006C751D"/>
    <w:rsid w:val="006C7811"/>
    <w:rsid w:val="006D1AE4"/>
    <w:rsid w:val="006D25F3"/>
    <w:rsid w:val="006D316C"/>
    <w:rsid w:val="006D3415"/>
    <w:rsid w:val="006D3DCE"/>
    <w:rsid w:val="006D4D1B"/>
    <w:rsid w:val="006D5356"/>
    <w:rsid w:val="006D5B08"/>
    <w:rsid w:val="006D6338"/>
    <w:rsid w:val="006D717B"/>
    <w:rsid w:val="006D7802"/>
    <w:rsid w:val="006D7819"/>
    <w:rsid w:val="006E0299"/>
    <w:rsid w:val="006E1F5B"/>
    <w:rsid w:val="006E2CB3"/>
    <w:rsid w:val="006E3ADC"/>
    <w:rsid w:val="006E3DB8"/>
    <w:rsid w:val="006E3E27"/>
    <w:rsid w:val="006E6472"/>
    <w:rsid w:val="006E6C1E"/>
    <w:rsid w:val="006E7228"/>
    <w:rsid w:val="006F024C"/>
    <w:rsid w:val="006F0267"/>
    <w:rsid w:val="006F0886"/>
    <w:rsid w:val="006F27C6"/>
    <w:rsid w:val="006F3E11"/>
    <w:rsid w:val="006F4274"/>
    <w:rsid w:val="006F533F"/>
    <w:rsid w:val="006F541E"/>
    <w:rsid w:val="006F64E5"/>
    <w:rsid w:val="006F65FC"/>
    <w:rsid w:val="006F7509"/>
    <w:rsid w:val="0070077B"/>
    <w:rsid w:val="00700ACD"/>
    <w:rsid w:val="00702DF5"/>
    <w:rsid w:val="00702FB7"/>
    <w:rsid w:val="00702FD5"/>
    <w:rsid w:val="00703E73"/>
    <w:rsid w:val="00703F61"/>
    <w:rsid w:val="00706415"/>
    <w:rsid w:val="00706AE3"/>
    <w:rsid w:val="0070733C"/>
    <w:rsid w:val="00711073"/>
    <w:rsid w:val="0071145F"/>
    <w:rsid w:val="0071231D"/>
    <w:rsid w:val="00713058"/>
    <w:rsid w:val="0071478F"/>
    <w:rsid w:val="00714B0C"/>
    <w:rsid w:val="007166EE"/>
    <w:rsid w:val="00720C73"/>
    <w:rsid w:val="00721CD7"/>
    <w:rsid w:val="007237CC"/>
    <w:rsid w:val="00723D3A"/>
    <w:rsid w:val="00723D64"/>
    <w:rsid w:val="00724FCF"/>
    <w:rsid w:val="00725547"/>
    <w:rsid w:val="0072657B"/>
    <w:rsid w:val="007265E5"/>
    <w:rsid w:val="00726EFD"/>
    <w:rsid w:val="00730372"/>
    <w:rsid w:val="00730BAF"/>
    <w:rsid w:val="00731138"/>
    <w:rsid w:val="00731E50"/>
    <w:rsid w:val="0073333A"/>
    <w:rsid w:val="00733D28"/>
    <w:rsid w:val="007357AB"/>
    <w:rsid w:val="007366D2"/>
    <w:rsid w:val="00737B95"/>
    <w:rsid w:val="00740321"/>
    <w:rsid w:val="00740390"/>
    <w:rsid w:val="00740705"/>
    <w:rsid w:val="00740F6F"/>
    <w:rsid w:val="007415DC"/>
    <w:rsid w:val="0074378D"/>
    <w:rsid w:val="007440D2"/>
    <w:rsid w:val="00744721"/>
    <w:rsid w:val="007451DC"/>
    <w:rsid w:val="00746315"/>
    <w:rsid w:val="00746411"/>
    <w:rsid w:val="00747514"/>
    <w:rsid w:val="00747C63"/>
    <w:rsid w:val="00747D6D"/>
    <w:rsid w:val="00750AA9"/>
    <w:rsid w:val="00750C80"/>
    <w:rsid w:val="00750CE2"/>
    <w:rsid w:val="00750EAE"/>
    <w:rsid w:val="00751A7F"/>
    <w:rsid w:val="007524ED"/>
    <w:rsid w:val="007527A5"/>
    <w:rsid w:val="0075342E"/>
    <w:rsid w:val="00755F12"/>
    <w:rsid w:val="00756A2C"/>
    <w:rsid w:val="00761B1D"/>
    <w:rsid w:val="00762F4A"/>
    <w:rsid w:val="00763E6A"/>
    <w:rsid w:val="00764921"/>
    <w:rsid w:val="00764A7A"/>
    <w:rsid w:val="007667CA"/>
    <w:rsid w:val="007672BB"/>
    <w:rsid w:val="007672C2"/>
    <w:rsid w:val="00770182"/>
    <w:rsid w:val="0077095D"/>
    <w:rsid w:val="00773C65"/>
    <w:rsid w:val="00773DF4"/>
    <w:rsid w:val="007759B0"/>
    <w:rsid w:val="00777197"/>
    <w:rsid w:val="00777BA5"/>
    <w:rsid w:val="007801E1"/>
    <w:rsid w:val="00780656"/>
    <w:rsid w:val="00780F00"/>
    <w:rsid w:val="0078236A"/>
    <w:rsid w:val="00782BBE"/>
    <w:rsid w:val="00782C4B"/>
    <w:rsid w:val="007834FB"/>
    <w:rsid w:val="00783B04"/>
    <w:rsid w:val="007849BD"/>
    <w:rsid w:val="0078617B"/>
    <w:rsid w:val="00790E42"/>
    <w:rsid w:val="0079168E"/>
    <w:rsid w:val="00793903"/>
    <w:rsid w:val="007943A9"/>
    <w:rsid w:val="00795337"/>
    <w:rsid w:val="00795EC5"/>
    <w:rsid w:val="0079722B"/>
    <w:rsid w:val="00797A49"/>
    <w:rsid w:val="007A3418"/>
    <w:rsid w:val="007A3A7E"/>
    <w:rsid w:val="007A4DA0"/>
    <w:rsid w:val="007A6488"/>
    <w:rsid w:val="007A70BB"/>
    <w:rsid w:val="007B029E"/>
    <w:rsid w:val="007B1187"/>
    <w:rsid w:val="007B1C5C"/>
    <w:rsid w:val="007B2DBC"/>
    <w:rsid w:val="007B3B33"/>
    <w:rsid w:val="007B41E7"/>
    <w:rsid w:val="007B4E08"/>
    <w:rsid w:val="007B5C6E"/>
    <w:rsid w:val="007B5E3C"/>
    <w:rsid w:val="007B60B7"/>
    <w:rsid w:val="007B6F75"/>
    <w:rsid w:val="007B756B"/>
    <w:rsid w:val="007B76BE"/>
    <w:rsid w:val="007C0F84"/>
    <w:rsid w:val="007C3009"/>
    <w:rsid w:val="007C4790"/>
    <w:rsid w:val="007C65F3"/>
    <w:rsid w:val="007C6B96"/>
    <w:rsid w:val="007D18C2"/>
    <w:rsid w:val="007D393B"/>
    <w:rsid w:val="007D45E3"/>
    <w:rsid w:val="007D4B94"/>
    <w:rsid w:val="007D5AB5"/>
    <w:rsid w:val="007E011B"/>
    <w:rsid w:val="007E6788"/>
    <w:rsid w:val="007E6A62"/>
    <w:rsid w:val="007E71D6"/>
    <w:rsid w:val="007E7C97"/>
    <w:rsid w:val="007F01EF"/>
    <w:rsid w:val="007F05B0"/>
    <w:rsid w:val="007F081F"/>
    <w:rsid w:val="007F32F4"/>
    <w:rsid w:val="007F3F79"/>
    <w:rsid w:val="007F7FE0"/>
    <w:rsid w:val="00801722"/>
    <w:rsid w:val="00804EE3"/>
    <w:rsid w:val="00805C30"/>
    <w:rsid w:val="00807FBE"/>
    <w:rsid w:val="0081030F"/>
    <w:rsid w:val="00810EE1"/>
    <w:rsid w:val="0081213A"/>
    <w:rsid w:val="008130B1"/>
    <w:rsid w:val="008151ED"/>
    <w:rsid w:val="008154AC"/>
    <w:rsid w:val="00815E77"/>
    <w:rsid w:val="00820439"/>
    <w:rsid w:val="0082055D"/>
    <w:rsid w:val="00820F13"/>
    <w:rsid w:val="00821601"/>
    <w:rsid w:val="0082262C"/>
    <w:rsid w:val="008226FA"/>
    <w:rsid w:val="0082444D"/>
    <w:rsid w:val="00824B2B"/>
    <w:rsid w:val="00825D6E"/>
    <w:rsid w:val="00826B3A"/>
    <w:rsid w:val="00827376"/>
    <w:rsid w:val="008300DD"/>
    <w:rsid w:val="008308EC"/>
    <w:rsid w:val="00830EB4"/>
    <w:rsid w:val="00831E19"/>
    <w:rsid w:val="00833372"/>
    <w:rsid w:val="00834307"/>
    <w:rsid w:val="00834695"/>
    <w:rsid w:val="00834923"/>
    <w:rsid w:val="0083520A"/>
    <w:rsid w:val="00835C77"/>
    <w:rsid w:val="008378FD"/>
    <w:rsid w:val="00840E65"/>
    <w:rsid w:val="00840F27"/>
    <w:rsid w:val="008410CD"/>
    <w:rsid w:val="0084116F"/>
    <w:rsid w:val="008417D3"/>
    <w:rsid w:val="00844BAF"/>
    <w:rsid w:val="0084796E"/>
    <w:rsid w:val="00847B3B"/>
    <w:rsid w:val="0085203A"/>
    <w:rsid w:val="008520D2"/>
    <w:rsid w:val="008524EE"/>
    <w:rsid w:val="008534AF"/>
    <w:rsid w:val="008544BD"/>
    <w:rsid w:val="0085589C"/>
    <w:rsid w:val="0085692B"/>
    <w:rsid w:val="00856962"/>
    <w:rsid w:val="00856C12"/>
    <w:rsid w:val="00861BF6"/>
    <w:rsid w:val="00861EB5"/>
    <w:rsid w:val="00861F21"/>
    <w:rsid w:val="008624A2"/>
    <w:rsid w:val="00864032"/>
    <w:rsid w:val="00864A40"/>
    <w:rsid w:val="008666E5"/>
    <w:rsid w:val="00867017"/>
    <w:rsid w:val="00867F2A"/>
    <w:rsid w:val="00874B20"/>
    <w:rsid w:val="00874C66"/>
    <w:rsid w:val="0087506E"/>
    <w:rsid w:val="00875EF8"/>
    <w:rsid w:val="00877ED8"/>
    <w:rsid w:val="008803D8"/>
    <w:rsid w:val="00881E29"/>
    <w:rsid w:val="00881EED"/>
    <w:rsid w:val="00884459"/>
    <w:rsid w:val="00884990"/>
    <w:rsid w:val="00885CE3"/>
    <w:rsid w:val="00886217"/>
    <w:rsid w:val="0088694E"/>
    <w:rsid w:val="00887063"/>
    <w:rsid w:val="00890BD4"/>
    <w:rsid w:val="00891697"/>
    <w:rsid w:val="008922BC"/>
    <w:rsid w:val="00892337"/>
    <w:rsid w:val="00893341"/>
    <w:rsid w:val="00893432"/>
    <w:rsid w:val="00893871"/>
    <w:rsid w:val="00894CF0"/>
    <w:rsid w:val="008954E3"/>
    <w:rsid w:val="00895F2A"/>
    <w:rsid w:val="008972B4"/>
    <w:rsid w:val="008A07E6"/>
    <w:rsid w:val="008A082C"/>
    <w:rsid w:val="008A0991"/>
    <w:rsid w:val="008A40BA"/>
    <w:rsid w:val="008A4493"/>
    <w:rsid w:val="008A5695"/>
    <w:rsid w:val="008A73ED"/>
    <w:rsid w:val="008B01CF"/>
    <w:rsid w:val="008B2830"/>
    <w:rsid w:val="008B283F"/>
    <w:rsid w:val="008B3A66"/>
    <w:rsid w:val="008B4D1C"/>
    <w:rsid w:val="008B51D2"/>
    <w:rsid w:val="008B5EE7"/>
    <w:rsid w:val="008B61EB"/>
    <w:rsid w:val="008B7C55"/>
    <w:rsid w:val="008C1492"/>
    <w:rsid w:val="008C1C9A"/>
    <w:rsid w:val="008C5618"/>
    <w:rsid w:val="008C5705"/>
    <w:rsid w:val="008C5E92"/>
    <w:rsid w:val="008C6140"/>
    <w:rsid w:val="008C753A"/>
    <w:rsid w:val="008D2215"/>
    <w:rsid w:val="008D2624"/>
    <w:rsid w:val="008D263D"/>
    <w:rsid w:val="008D32B1"/>
    <w:rsid w:val="008D3BC7"/>
    <w:rsid w:val="008D6EB3"/>
    <w:rsid w:val="008E077D"/>
    <w:rsid w:val="008E1F31"/>
    <w:rsid w:val="008E3EE3"/>
    <w:rsid w:val="008E5FC3"/>
    <w:rsid w:val="008E7347"/>
    <w:rsid w:val="008E7D14"/>
    <w:rsid w:val="008F1178"/>
    <w:rsid w:val="008F2055"/>
    <w:rsid w:val="008F2068"/>
    <w:rsid w:val="008F367B"/>
    <w:rsid w:val="008F47B9"/>
    <w:rsid w:val="008F498E"/>
    <w:rsid w:val="008F4D4C"/>
    <w:rsid w:val="008F5EF3"/>
    <w:rsid w:val="00900213"/>
    <w:rsid w:val="00902B74"/>
    <w:rsid w:val="0090308D"/>
    <w:rsid w:val="00903143"/>
    <w:rsid w:val="00910747"/>
    <w:rsid w:val="00911FDF"/>
    <w:rsid w:val="00913371"/>
    <w:rsid w:val="0091460C"/>
    <w:rsid w:val="0091469A"/>
    <w:rsid w:val="009146BC"/>
    <w:rsid w:val="00914B93"/>
    <w:rsid w:val="00914C09"/>
    <w:rsid w:val="00915AAB"/>
    <w:rsid w:val="00916A27"/>
    <w:rsid w:val="009175E4"/>
    <w:rsid w:val="00920B4A"/>
    <w:rsid w:val="00920BA9"/>
    <w:rsid w:val="00921120"/>
    <w:rsid w:val="00921424"/>
    <w:rsid w:val="00921AAF"/>
    <w:rsid w:val="00922DF5"/>
    <w:rsid w:val="00923089"/>
    <w:rsid w:val="00923A38"/>
    <w:rsid w:val="00924E5C"/>
    <w:rsid w:val="00924F1A"/>
    <w:rsid w:val="0092528C"/>
    <w:rsid w:val="00926E9C"/>
    <w:rsid w:val="0092718F"/>
    <w:rsid w:val="009277CD"/>
    <w:rsid w:val="00930991"/>
    <w:rsid w:val="00932348"/>
    <w:rsid w:val="00932AFC"/>
    <w:rsid w:val="00932F13"/>
    <w:rsid w:val="009332B2"/>
    <w:rsid w:val="00934C17"/>
    <w:rsid w:val="00936C32"/>
    <w:rsid w:val="00937570"/>
    <w:rsid w:val="00937BE4"/>
    <w:rsid w:val="009409EA"/>
    <w:rsid w:val="00940CF0"/>
    <w:rsid w:val="009419F0"/>
    <w:rsid w:val="009429F5"/>
    <w:rsid w:val="00943332"/>
    <w:rsid w:val="00943617"/>
    <w:rsid w:val="00943D7D"/>
    <w:rsid w:val="00944266"/>
    <w:rsid w:val="00945835"/>
    <w:rsid w:val="00945979"/>
    <w:rsid w:val="00945C8C"/>
    <w:rsid w:val="0094640E"/>
    <w:rsid w:val="00946B96"/>
    <w:rsid w:val="009474BA"/>
    <w:rsid w:val="00950122"/>
    <w:rsid w:val="0095107D"/>
    <w:rsid w:val="00951B50"/>
    <w:rsid w:val="00953F97"/>
    <w:rsid w:val="00956AC6"/>
    <w:rsid w:val="00957419"/>
    <w:rsid w:val="00957A57"/>
    <w:rsid w:val="009608FB"/>
    <w:rsid w:val="009613AE"/>
    <w:rsid w:val="009617BE"/>
    <w:rsid w:val="00962C22"/>
    <w:rsid w:val="00964371"/>
    <w:rsid w:val="00964415"/>
    <w:rsid w:val="00964CA2"/>
    <w:rsid w:val="009655F8"/>
    <w:rsid w:val="00966375"/>
    <w:rsid w:val="009668DA"/>
    <w:rsid w:val="00966AEF"/>
    <w:rsid w:val="00966F73"/>
    <w:rsid w:val="00967816"/>
    <w:rsid w:val="00967A86"/>
    <w:rsid w:val="00967A87"/>
    <w:rsid w:val="00971D35"/>
    <w:rsid w:val="009723B1"/>
    <w:rsid w:val="0097304D"/>
    <w:rsid w:val="009738C0"/>
    <w:rsid w:val="0097562D"/>
    <w:rsid w:val="00975F4B"/>
    <w:rsid w:val="0097717C"/>
    <w:rsid w:val="0097741C"/>
    <w:rsid w:val="00977CA4"/>
    <w:rsid w:val="00983778"/>
    <w:rsid w:val="00984448"/>
    <w:rsid w:val="009846FE"/>
    <w:rsid w:val="009878B5"/>
    <w:rsid w:val="009879C4"/>
    <w:rsid w:val="00987AA5"/>
    <w:rsid w:val="00992304"/>
    <w:rsid w:val="009927B7"/>
    <w:rsid w:val="00993A60"/>
    <w:rsid w:val="00993ED3"/>
    <w:rsid w:val="009948B0"/>
    <w:rsid w:val="00994F28"/>
    <w:rsid w:val="00996F64"/>
    <w:rsid w:val="0099726F"/>
    <w:rsid w:val="009973C3"/>
    <w:rsid w:val="009A0A17"/>
    <w:rsid w:val="009A1A94"/>
    <w:rsid w:val="009A2559"/>
    <w:rsid w:val="009A4C9A"/>
    <w:rsid w:val="009A5004"/>
    <w:rsid w:val="009A706C"/>
    <w:rsid w:val="009A7582"/>
    <w:rsid w:val="009B057E"/>
    <w:rsid w:val="009B1636"/>
    <w:rsid w:val="009B27F3"/>
    <w:rsid w:val="009B2860"/>
    <w:rsid w:val="009B33A9"/>
    <w:rsid w:val="009B4DB0"/>
    <w:rsid w:val="009B64E1"/>
    <w:rsid w:val="009C035B"/>
    <w:rsid w:val="009C080D"/>
    <w:rsid w:val="009C0A59"/>
    <w:rsid w:val="009C1338"/>
    <w:rsid w:val="009C25E8"/>
    <w:rsid w:val="009C38AF"/>
    <w:rsid w:val="009C39AA"/>
    <w:rsid w:val="009C46CD"/>
    <w:rsid w:val="009C48D7"/>
    <w:rsid w:val="009C53CE"/>
    <w:rsid w:val="009C5A6D"/>
    <w:rsid w:val="009C69BA"/>
    <w:rsid w:val="009C6D22"/>
    <w:rsid w:val="009C7863"/>
    <w:rsid w:val="009D0338"/>
    <w:rsid w:val="009D0AB9"/>
    <w:rsid w:val="009D267E"/>
    <w:rsid w:val="009D2973"/>
    <w:rsid w:val="009D2DC9"/>
    <w:rsid w:val="009D4025"/>
    <w:rsid w:val="009D4229"/>
    <w:rsid w:val="009D4612"/>
    <w:rsid w:val="009D4D97"/>
    <w:rsid w:val="009D547D"/>
    <w:rsid w:val="009D6665"/>
    <w:rsid w:val="009E022F"/>
    <w:rsid w:val="009E0F33"/>
    <w:rsid w:val="009E1455"/>
    <w:rsid w:val="009E1E9F"/>
    <w:rsid w:val="009E2908"/>
    <w:rsid w:val="009E2BE9"/>
    <w:rsid w:val="009E2BF3"/>
    <w:rsid w:val="009E3538"/>
    <w:rsid w:val="009E3739"/>
    <w:rsid w:val="009E4A23"/>
    <w:rsid w:val="009E4AB2"/>
    <w:rsid w:val="009E4D2B"/>
    <w:rsid w:val="009E51DF"/>
    <w:rsid w:val="009E5F25"/>
    <w:rsid w:val="009F17A1"/>
    <w:rsid w:val="009F1DA6"/>
    <w:rsid w:val="009F29AD"/>
    <w:rsid w:val="009F3A1D"/>
    <w:rsid w:val="009F3FE7"/>
    <w:rsid w:val="009F46CD"/>
    <w:rsid w:val="009F4F2E"/>
    <w:rsid w:val="009F59E7"/>
    <w:rsid w:val="009F6653"/>
    <w:rsid w:val="00A001D0"/>
    <w:rsid w:val="00A00BE5"/>
    <w:rsid w:val="00A00EC2"/>
    <w:rsid w:val="00A048AA"/>
    <w:rsid w:val="00A04DCB"/>
    <w:rsid w:val="00A059F8"/>
    <w:rsid w:val="00A06F53"/>
    <w:rsid w:val="00A07312"/>
    <w:rsid w:val="00A07673"/>
    <w:rsid w:val="00A112DE"/>
    <w:rsid w:val="00A1216E"/>
    <w:rsid w:val="00A137C3"/>
    <w:rsid w:val="00A13FB7"/>
    <w:rsid w:val="00A14636"/>
    <w:rsid w:val="00A14704"/>
    <w:rsid w:val="00A150E4"/>
    <w:rsid w:val="00A1598E"/>
    <w:rsid w:val="00A15D38"/>
    <w:rsid w:val="00A1771F"/>
    <w:rsid w:val="00A1775F"/>
    <w:rsid w:val="00A21605"/>
    <w:rsid w:val="00A246C6"/>
    <w:rsid w:val="00A24B24"/>
    <w:rsid w:val="00A27591"/>
    <w:rsid w:val="00A30B0B"/>
    <w:rsid w:val="00A30F94"/>
    <w:rsid w:val="00A3114A"/>
    <w:rsid w:val="00A32D76"/>
    <w:rsid w:val="00A335DE"/>
    <w:rsid w:val="00A33F79"/>
    <w:rsid w:val="00A3448F"/>
    <w:rsid w:val="00A35E22"/>
    <w:rsid w:val="00A35F59"/>
    <w:rsid w:val="00A37AE5"/>
    <w:rsid w:val="00A40686"/>
    <w:rsid w:val="00A407E9"/>
    <w:rsid w:val="00A40BAD"/>
    <w:rsid w:val="00A422FE"/>
    <w:rsid w:val="00A4343C"/>
    <w:rsid w:val="00A44549"/>
    <w:rsid w:val="00A44A93"/>
    <w:rsid w:val="00A45B2E"/>
    <w:rsid w:val="00A45D9C"/>
    <w:rsid w:val="00A462D5"/>
    <w:rsid w:val="00A47B70"/>
    <w:rsid w:val="00A50AE3"/>
    <w:rsid w:val="00A5186F"/>
    <w:rsid w:val="00A5286D"/>
    <w:rsid w:val="00A52966"/>
    <w:rsid w:val="00A5340B"/>
    <w:rsid w:val="00A56564"/>
    <w:rsid w:val="00A56A1A"/>
    <w:rsid w:val="00A61BBB"/>
    <w:rsid w:val="00A6409B"/>
    <w:rsid w:val="00A666D3"/>
    <w:rsid w:val="00A673FA"/>
    <w:rsid w:val="00A7004F"/>
    <w:rsid w:val="00A74194"/>
    <w:rsid w:val="00A7705E"/>
    <w:rsid w:val="00A77637"/>
    <w:rsid w:val="00A7788C"/>
    <w:rsid w:val="00A77B8C"/>
    <w:rsid w:val="00A80209"/>
    <w:rsid w:val="00A83756"/>
    <w:rsid w:val="00A84D39"/>
    <w:rsid w:val="00A8632C"/>
    <w:rsid w:val="00A86B17"/>
    <w:rsid w:val="00A86DEE"/>
    <w:rsid w:val="00A86F86"/>
    <w:rsid w:val="00A910C6"/>
    <w:rsid w:val="00A91F5F"/>
    <w:rsid w:val="00A9376D"/>
    <w:rsid w:val="00A93A7B"/>
    <w:rsid w:val="00A94404"/>
    <w:rsid w:val="00A9517A"/>
    <w:rsid w:val="00A96F4D"/>
    <w:rsid w:val="00A97C05"/>
    <w:rsid w:val="00A97E6B"/>
    <w:rsid w:val="00AA507B"/>
    <w:rsid w:val="00AA668C"/>
    <w:rsid w:val="00AA68D0"/>
    <w:rsid w:val="00AA7398"/>
    <w:rsid w:val="00AA7EDB"/>
    <w:rsid w:val="00AA7F6D"/>
    <w:rsid w:val="00AB29C8"/>
    <w:rsid w:val="00AB63B0"/>
    <w:rsid w:val="00AB69A3"/>
    <w:rsid w:val="00AB7AF2"/>
    <w:rsid w:val="00AC08A3"/>
    <w:rsid w:val="00AC1C18"/>
    <w:rsid w:val="00AC2246"/>
    <w:rsid w:val="00AC3A6A"/>
    <w:rsid w:val="00AC46CF"/>
    <w:rsid w:val="00AC6B10"/>
    <w:rsid w:val="00AC6CF8"/>
    <w:rsid w:val="00AC7B4A"/>
    <w:rsid w:val="00AD0185"/>
    <w:rsid w:val="00AD0431"/>
    <w:rsid w:val="00AD105B"/>
    <w:rsid w:val="00AD14D2"/>
    <w:rsid w:val="00AD1B12"/>
    <w:rsid w:val="00AD2345"/>
    <w:rsid w:val="00AD355B"/>
    <w:rsid w:val="00AD4D29"/>
    <w:rsid w:val="00AD5EC7"/>
    <w:rsid w:val="00AD5F0E"/>
    <w:rsid w:val="00AD6B0A"/>
    <w:rsid w:val="00AD781F"/>
    <w:rsid w:val="00AE069F"/>
    <w:rsid w:val="00AE1971"/>
    <w:rsid w:val="00AE23FE"/>
    <w:rsid w:val="00AE2703"/>
    <w:rsid w:val="00AE286C"/>
    <w:rsid w:val="00AE2DA7"/>
    <w:rsid w:val="00AE3BF2"/>
    <w:rsid w:val="00AE46D3"/>
    <w:rsid w:val="00AE508F"/>
    <w:rsid w:val="00AE7167"/>
    <w:rsid w:val="00AF07E5"/>
    <w:rsid w:val="00AF0EF1"/>
    <w:rsid w:val="00AF25B1"/>
    <w:rsid w:val="00AF2604"/>
    <w:rsid w:val="00AF26F9"/>
    <w:rsid w:val="00AF3E04"/>
    <w:rsid w:val="00AF4899"/>
    <w:rsid w:val="00AF5037"/>
    <w:rsid w:val="00AF6FD0"/>
    <w:rsid w:val="00AF754A"/>
    <w:rsid w:val="00AF7C8F"/>
    <w:rsid w:val="00B00789"/>
    <w:rsid w:val="00B01B88"/>
    <w:rsid w:val="00B026E8"/>
    <w:rsid w:val="00B03E2F"/>
    <w:rsid w:val="00B058EE"/>
    <w:rsid w:val="00B0727C"/>
    <w:rsid w:val="00B07791"/>
    <w:rsid w:val="00B10461"/>
    <w:rsid w:val="00B11B4F"/>
    <w:rsid w:val="00B12288"/>
    <w:rsid w:val="00B13E2F"/>
    <w:rsid w:val="00B1409B"/>
    <w:rsid w:val="00B15E5D"/>
    <w:rsid w:val="00B16397"/>
    <w:rsid w:val="00B1652D"/>
    <w:rsid w:val="00B16DAE"/>
    <w:rsid w:val="00B17915"/>
    <w:rsid w:val="00B22780"/>
    <w:rsid w:val="00B243ED"/>
    <w:rsid w:val="00B25DFC"/>
    <w:rsid w:val="00B269EA"/>
    <w:rsid w:val="00B27CCD"/>
    <w:rsid w:val="00B31115"/>
    <w:rsid w:val="00B340A0"/>
    <w:rsid w:val="00B35F61"/>
    <w:rsid w:val="00B36552"/>
    <w:rsid w:val="00B379E5"/>
    <w:rsid w:val="00B40A6E"/>
    <w:rsid w:val="00B40B87"/>
    <w:rsid w:val="00B40CD9"/>
    <w:rsid w:val="00B41E54"/>
    <w:rsid w:val="00B42232"/>
    <w:rsid w:val="00B4280F"/>
    <w:rsid w:val="00B43946"/>
    <w:rsid w:val="00B4534E"/>
    <w:rsid w:val="00B4699F"/>
    <w:rsid w:val="00B46B1E"/>
    <w:rsid w:val="00B51A19"/>
    <w:rsid w:val="00B51AD2"/>
    <w:rsid w:val="00B528A4"/>
    <w:rsid w:val="00B5293F"/>
    <w:rsid w:val="00B52BB8"/>
    <w:rsid w:val="00B52E89"/>
    <w:rsid w:val="00B55222"/>
    <w:rsid w:val="00B55907"/>
    <w:rsid w:val="00B55B09"/>
    <w:rsid w:val="00B56BB1"/>
    <w:rsid w:val="00B61494"/>
    <w:rsid w:val="00B6398A"/>
    <w:rsid w:val="00B63A56"/>
    <w:rsid w:val="00B656B1"/>
    <w:rsid w:val="00B65706"/>
    <w:rsid w:val="00B65FA3"/>
    <w:rsid w:val="00B672EC"/>
    <w:rsid w:val="00B67AFC"/>
    <w:rsid w:val="00B71CF8"/>
    <w:rsid w:val="00B71F36"/>
    <w:rsid w:val="00B7486D"/>
    <w:rsid w:val="00B75A2F"/>
    <w:rsid w:val="00B77993"/>
    <w:rsid w:val="00B77D6D"/>
    <w:rsid w:val="00B810DF"/>
    <w:rsid w:val="00B83485"/>
    <w:rsid w:val="00B834B0"/>
    <w:rsid w:val="00B84A9F"/>
    <w:rsid w:val="00B8503F"/>
    <w:rsid w:val="00B85151"/>
    <w:rsid w:val="00B8557C"/>
    <w:rsid w:val="00B868F8"/>
    <w:rsid w:val="00B87765"/>
    <w:rsid w:val="00B87D93"/>
    <w:rsid w:val="00B91361"/>
    <w:rsid w:val="00B92444"/>
    <w:rsid w:val="00B92F66"/>
    <w:rsid w:val="00B930ED"/>
    <w:rsid w:val="00B93A34"/>
    <w:rsid w:val="00B94120"/>
    <w:rsid w:val="00B94463"/>
    <w:rsid w:val="00B9495E"/>
    <w:rsid w:val="00B94F7D"/>
    <w:rsid w:val="00B95535"/>
    <w:rsid w:val="00B95560"/>
    <w:rsid w:val="00B9579C"/>
    <w:rsid w:val="00BA12D8"/>
    <w:rsid w:val="00BA2114"/>
    <w:rsid w:val="00BA2D83"/>
    <w:rsid w:val="00BA3452"/>
    <w:rsid w:val="00BA4D81"/>
    <w:rsid w:val="00BA4DDC"/>
    <w:rsid w:val="00BA662D"/>
    <w:rsid w:val="00BA69B1"/>
    <w:rsid w:val="00BA6B6F"/>
    <w:rsid w:val="00BB05C3"/>
    <w:rsid w:val="00BB1362"/>
    <w:rsid w:val="00BB2093"/>
    <w:rsid w:val="00BB3B2C"/>
    <w:rsid w:val="00BB693F"/>
    <w:rsid w:val="00BB744D"/>
    <w:rsid w:val="00BB765D"/>
    <w:rsid w:val="00BB7C84"/>
    <w:rsid w:val="00BB7DE0"/>
    <w:rsid w:val="00BC01EB"/>
    <w:rsid w:val="00BC1450"/>
    <w:rsid w:val="00BC168F"/>
    <w:rsid w:val="00BC2904"/>
    <w:rsid w:val="00BC38FC"/>
    <w:rsid w:val="00BC44DA"/>
    <w:rsid w:val="00BC58F3"/>
    <w:rsid w:val="00BC5997"/>
    <w:rsid w:val="00BC6213"/>
    <w:rsid w:val="00BC6760"/>
    <w:rsid w:val="00BD049D"/>
    <w:rsid w:val="00BD0600"/>
    <w:rsid w:val="00BD0D09"/>
    <w:rsid w:val="00BD29CB"/>
    <w:rsid w:val="00BD325A"/>
    <w:rsid w:val="00BD42FF"/>
    <w:rsid w:val="00BD4D90"/>
    <w:rsid w:val="00BD5739"/>
    <w:rsid w:val="00BD6F5A"/>
    <w:rsid w:val="00BD7635"/>
    <w:rsid w:val="00BE006D"/>
    <w:rsid w:val="00BE106F"/>
    <w:rsid w:val="00BE23D4"/>
    <w:rsid w:val="00BE24F2"/>
    <w:rsid w:val="00BE61F1"/>
    <w:rsid w:val="00BE6FD6"/>
    <w:rsid w:val="00BF2A2C"/>
    <w:rsid w:val="00BF350A"/>
    <w:rsid w:val="00BF3892"/>
    <w:rsid w:val="00BF4873"/>
    <w:rsid w:val="00BF4C77"/>
    <w:rsid w:val="00BF722F"/>
    <w:rsid w:val="00BF727D"/>
    <w:rsid w:val="00C01B05"/>
    <w:rsid w:val="00C032F3"/>
    <w:rsid w:val="00C046F0"/>
    <w:rsid w:val="00C0562E"/>
    <w:rsid w:val="00C06688"/>
    <w:rsid w:val="00C066C3"/>
    <w:rsid w:val="00C06A80"/>
    <w:rsid w:val="00C06E1D"/>
    <w:rsid w:val="00C075BC"/>
    <w:rsid w:val="00C10232"/>
    <w:rsid w:val="00C116EA"/>
    <w:rsid w:val="00C12071"/>
    <w:rsid w:val="00C12FF4"/>
    <w:rsid w:val="00C1417C"/>
    <w:rsid w:val="00C14CA8"/>
    <w:rsid w:val="00C150E8"/>
    <w:rsid w:val="00C15277"/>
    <w:rsid w:val="00C15F11"/>
    <w:rsid w:val="00C170C0"/>
    <w:rsid w:val="00C17636"/>
    <w:rsid w:val="00C2158C"/>
    <w:rsid w:val="00C23054"/>
    <w:rsid w:val="00C2406C"/>
    <w:rsid w:val="00C24E67"/>
    <w:rsid w:val="00C2740C"/>
    <w:rsid w:val="00C276F6"/>
    <w:rsid w:val="00C32143"/>
    <w:rsid w:val="00C322AD"/>
    <w:rsid w:val="00C32EC9"/>
    <w:rsid w:val="00C3307D"/>
    <w:rsid w:val="00C33F83"/>
    <w:rsid w:val="00C351F1"/>
    <w:rsid w:val="00C36883"/>
    <w:rsid w:val="00C4054C"/>
    <w:rsid w:val="00C440E0"/>
    <w:rsid w:val="00C45158"/>
    <w:rsid w:val="00C46868"/>
    <w:rsid w:val="00C46996"/>
    <w:rsid w:val="00C50274"/>
    <w:rsid w:val="00C50840"/>
    <w:rsid w:val="00C50C91"/>
    <w:rsid w:val="00C50F97"/>
    <w:rsid w:val="00C5239B"/>
    <w:rsid w:val="00C52951"/>
    <w:rsid w:val="00C539DF"/>
    <w:rsid w:val="00C55C5C"/>
    <w:rsid w:val="00C5668D"/>
    <w:rsid w:val="00C60259"/>
    <w:rsid w:val="00C60B9B"/>
    <w:rsid w:val="00C60EE6"/>
    <w:rsid w:val="00C622C7"/>
    <w:rsid w:val="00C63564"/>
    <w:rsid w:val="00C63EA8"/>
    <w:rsid w:val="00C672EF"/>
    <w:rsid w:val="00C67A24"/>
    <w:rsid w:val="00C7183F"/>
    <w:rsid w:val="00C728E4"/>
    <w:rsid w:val="00C7369F"/>
    <w:rsid w:val="00C73E76"/>
    <w:rsid w:val="00C73F62"/>
    <w:rsid w:val="00C74085"/>
    <w:rsid w:val="00C7415C"/>
    <w:rsid w:val="00C753FE"/>
    <w:rsid w:val="00C765DB"/>
    <w:rsid w:val="00C76D7E"/>
    <w:rsid w:val="00C7783C"/>
    <w:rsid w:val="00C7790F"/>
    <w:rsid w:val="00C81555"/>
    <w:rsid w:val="00C81CF7"/>
    <w:rsid w:val="00C82869"/>
    <w:rsid w:val="00C830E8"/>
    <w:rsid w:val="00C83FFC"/>
    <w:rsid w:val="00C8481B"/>
    <w:rsid w:val="00C85DD1"/>
    <w:rsid w:val="00C85FBF"/>
    <w:rsid w:val="00C878FE"/>
    <w:rsid w:val="00C905F4"/>
    <w:rsid w:val="00C90A21"/>
    <w:rsid w:val="00C94626"/>
    <w:rsid w:val="00C94C04"/>
    <w:rsid w:val="00C94EE7"/>
    <w:rsid w:val="00C9563D"/>
    <w:rsid w:val="00C956C9"/>
    <w:rsid w:val="00C970E3"/>
    <w:rsid w:val="00CA08A9"/>
    <w:rsid w:val="00CA0DE5"/>
    <w:rsid w:val="00CA17A9"/>
    <w:rsid w:val="00CA301E"/>
    <w:rsid w:val="00CA3366"/>
    <w:rsid w:val="00CA4846"/>
    <w:rsid w:val="00CA494B"/>
    <w:rsid w:val="00CA631E"/>
    <w:rsid w:val="00CA639A"/>
    <w:rsid w:val="00CA68A2"/>
    <w:rsid w:val="00CA6938"/>
    <w:rsid w:val="00CA7D87"/>
    <w:rsid w:val="00CB0802"/>
    <w:rsid w:val="00CB232D"/>
    <w:rsid w:val="00CB2C16"/>
    <w:rsid w:val="00CB2CE1"/>
    <w:rsid w:val="00CB3ABF"/>
    <w:rsid w:val="00CB48C5"/>
    <w:rsid w:val="00CB4BCA"/>
    <w:rsid w:val="00CB52E5"/>
    <w:rsid w:val="00CB55D1"/>
    <w:rsid w:val="00CB7285"/>
    <w:rsid w:val="00CB7541"/>
    <w:rsid w:val="00CB761E"/>
    <w:rsid w:val="00CC0E20"/>
    <w:rsid w:val="00CC25FB"/>
    <w:rsid w:val="00CC36B3"/>
    <w:rsid w:val="00CC5462"/>
    <w:rsid w:val="00CC6A5C"/>
    <w:rsid w:val="00CC6A60"/>
    <w:rsid w:val="00CC7535"/>
    <w:rsid w:val="00CC7C98"/>
    <w:rsid w:val="00CD083F"/>
    <w:rsid w:val="00CD0AE7"/>
    <w:rsid w:val="00CD1689"/>
    <w:rsid w:val="00CD1D40"/>
    <w:rsid w:val="00CD230C"/>
    <w:rsid w:val="00CD26F7"/>
    <w:rsid w:val="00CD5ED6"/>
    <w:rsid w:val="00CD79F9"/>
    <w:rsid w:val="00CE0763"/>
    <w:rsid w:val="00CE07AB"/>
    <w:rsid w:val="00CE1E37"/>
    <w:rsid w:val="00CE29DF"/>
    <w:rsid w:val="00CE3B7B"/>
    <w:rsid w:val="00CE4764"/>
    <w:rsid w:val="00CE52E6"/>
    <w:rsid w:val="00CE5922"/>
    <w:rsid w:val="00CE6610"/>
    <w:rsid w:val="00CE6F41"/>
    <w:rsid w:val="00CF0FDB"/>
    <w:rsid w:val="00CF15EC"/>
    <w:rsid w:val="00CF2335"/>
    <w:rsid w:val="00CF278E"/>
    <w:rsid w:val="00CF3123"/>
    <w:rsid w:val="00CF3F83"/>
    <w:rsid w:val="00CF5D88"/>
    <w:rsid w:val="00CF6527"/>
    <w:rsid w:val="00CF6560"/>
    <w:rsid w:val="00CF73AC"/>
    <w:rsid w:val="00D00749"/>
    <w:rsid w:val="00D008F4"/>
    <w:rsid w:val="00D023C1"/>
    <w:rsid w:val="00D02E04"/>
    <w:rsid w:val="00D0308A"/>
    <w:rsid w:val="00D03380"/>
    <w:rsid w:val="00D07EE1"/>
    <w:rsid w:val="00D112F9"/>
    <w:rsid w:val="00D11458"/>
    <w:rsid w:val="00D1377D"/>
    <w:rsid w:val="00D13813"/>
    <w:rsid w:val="00D13866"/>
    <w:rsid w:val="00D177E7"/>
    <w:rsid w:val="00D20F5B"/>
    <w:rsid w:val="00D211B4"/>
    <w:rsid w:val="00D219EB"/>
    <w:rsid w:val="00D22EC2"/>
    <w:rsid w:val="00D23756"/>
    <w:rsid w:val="00D245B8"/>
    <w:rsid w:val="00D25280"/>
    <w:rsid w:val="00D2559E"/>
    <w:rsid w:val="00D269A6"/>
    <w:rsid w:val="00D303E3"/>
    <w:rsid w:val="00D3070D"/>
    <w:rsid w:val="00D308C1"/>
    <w:rsid w:val="00D31A62"/>
    <w:rsid w:val="00D31AFD"/>
    <w:rsid w:val="00D34D46"/>
    <w:rsid w:val="00D350D7"/>
    <w:rsid w:val="00D401A7"/>
    <w:rsid w:val="00D40F1F"/>
    <w:rsid w:val="00D4311A"/>
    <w:rsid w:val="00D438E6"/>
    <w:rsid w:val="00D461FF"/>
    <w:rsid w:val="00D46617"/>
    <w:rsid w:val="00D46A51"/>
    <w:rsid w:val="00D50257"/>
    <w:rsid w:val="00D511F3"/>
    <w:rsid w:val="00D52225"/>
    <w:rsid w:val="00D52E10"/>
    <w:rsid w:val="00D6027E"/>
    <w:rsid w:val="00D60A51"/>
    <w:rsid w:val="00D63C00"/>
    <w:rsid w:val="00D64FD3"/>
    <w:rsid w:val="00D65240"/>
    <w:rsid w:val="00D65914"/>
    <w:rsid w:val="00D66E7E"/>
    <w:rsid w:val="00D718DB"/>
    <w:rsid w:val="00D71ED6"/>
    <w:rsid w:val="00D72A3C"/>
    <w:rsid w:val="00D7341B"/>
    <w:rsid w:val="00D73911"/>
    <w:rsid w:val="00D74DE1"/>
    <w:rsid w:val="00D754B7"/>
    <w:rsid w:val="00D75BE6"/>
    <w:rsid w:val="00D77327"/>
    <w:rsid w:val="00D77F7A"/>
    <w:rsid w:val="00D825F0"/>
    <w:rsid w:val="00D82978"/>
    <w:rsid w:val="00D82A51"/>
    <w:rsid w:val="00D834EC"/>
    <w:rsid w:val="00D83EDB"/>
    <w:rsid w:val="00D85BEE"/>
    <w:rsid w:val="00D86092"/>
    <w:rsid w:val="00D8676A"/>
    <w:rsid w:val="00D8685A"/>
    <w:rsid w:val="00D87461"/>
    <w:rsid w:val="00D902A1"/>
    <w:rsid w:val="00D9084C"/>
    <w:rsid w:val="00D91B9E"/>
    <w:rsid w:val="00D9219D"/>
    <w:rsid w:val="00D9324D"/>
    <w:rsid w:val="00D9324E"/>
    <w:rsid w:val="00D932D1"/>
    <w:rsid w:val="00D937D9"/>
    <w:rsid w:val="00D9487B"/>
    <w:rsid w:val="00D9513B"/>
    <w:rsid w:val="00D95DCB"/>
    <w:rsid w:val="00D96817"/>
    <w:rsid w:val="00D96A2B"/>
    <w:rsid w:val="00D9731C"/>
    <w:rsid w:val="00D97CD6"/>
    <w:rsid w:val="00DA091D"/>
    <w:rsid w:val="00DA093C"/>
    <w:rsid w:val="00DA0992"/>
    <w:rsid w:val="00DA0F6B"/>
    <w:rsid w:val="00DA0F83"/>
    <w:rsid w:val="00DA3387"/>
    <w:rsid w:val="00DA3E8C"/>
    <w:rsid w:val="00DA4432"/>
    <w:rsid w:val="00DA4DC8"/>
    <w:rsid w:val="00DA4E78"/>
    <w:rsid w:val="00DA4FD1"/>
    <w:rsid w:val="00DA50A3"/>
    <w:rsid w:val="00DA51EF"/>
    <w:rsid w:val="00DA675E"/>
    <w:rsid w:val="00DB24A3"/>
    <w:rsid w:val="00DB3375"/>
    <w:rsid w:val="00DB36C2"/>
    <w:rsid w:val="00DB4E9C"/>
    <w:rsid w:val="00DB5433"/>
    <w:rsid w:val="00DB5C18"/>
    <w:rsid w:val="00DB6382"/>
    <w:rsid w:val="00DB6772"/>
    <w:rsid w:val="00DB7355"/>
    <w:rsid w:val="00DC08F2"/>
    <w:rsid w:val="00DC42DD"/>
    <w:rsid w:val="00DC5520"/>
    <w:rsid w:val="00DC5D52"/>
    <w:rsid w:val="00DC5D93"/>
    <w:rsid w:val="00DC7D97"/>
    <w:rsid w:val="00DD020D"/>
    <w:rsid w:val="00DD0470"/>
    <w:rsid w:val="00DD1A70"/>
    <w:rsid w:val="00DD29C0"/>
    <w:rsid w:val="00DD3965"/>
    <w:rsid w:val="00DD51CC"/>
    <w:rsid w:val="00DD54CE"/>
    <w:rsid w:val="00DD5A8A"/>
    <w:rsid w:val="00DD5C8C"/>
    <w:rsid w:val="00DD719A"/>
    <w:rsid w:val="00DD7C9A"/>
    <w:rsid w:val="00DE1D2E"/>
    <w:rsid w:val="00DE2746"/>
    <w:rsid w:val="00DE291A"/>
    <w:rsid w:val="00DE29C3"/>
    <w:rsid w:val="00DE631A"/>
    <w:rsid w:val="00DF0F8E"/>
    <w:rsid w:val="00DF32B4"/>
    <w:rsid w:val="00DF3C3E"/>
    <w:rsid w:val="00DF6730"/>
    <w:rsid w:val="00E002E5"/>
    <w:rsid w:val="00E00C51"/>
    <w:rsid w:val="00E01386"/>
    <w:rsid w:val="00E01F64"/>
    <w:rsid w:val="00E0374E"/>
    <w:rsid w:val="00E03B2A"/>
    <w:rsid w:val="00E052D7"/>
    <w:rsid w:val="00E05A4E"/>
    <w:rsid w:val="00E06B86"/>
    <w:rsid w:val="00E06C3A"/>
    <w:rsid w:val="00E117B2"/>
    <w:rsid w:val="00E127CF"/>
    <w:rsid w:val="00E13A79"/>
    <w:rsid w:val="00E13B03"/>
    <w:rsid w:val="00E143F3"/>
    <w:rsid w:val="00E14BCA"/>
    <w:rsid w:val="00E172E8"/>
    <w:rsid w:val="00E20879"/>
    <w:rsid w:val="00E208CF"/>
    <w:rsid w:val="00E209FB"/>
    <w:rsid w:val="00E20C13"/>
    <w:rsid w:val="00E21E28"/>
    <w:rsid w:val="00E22005"/>
    <w:rsid w:val="00E24D4D"/>
    <w:rsid w:val="00E269AF"/>
    <w:rsid w:val="00E331E1"/>
    <w:rsid w:val="00E36430"/>
    <w:rsid w:val="00E41A90"/>
    <w:rsid w:val="00E428C0"/>
    <w:rsid w:val="00E42CD2"/>
    <w:rsid w:val="00E4450C"/>
    <w:rsid w:val="00E44920"/>
    <w:rsid w:val="00E45646"/>
    <w:rsid w:val="00E460DD"/>
    <w:rsid w:val="00E4797D"/>
    <w:rsid w:val="00E5075D"/>
    <w:rsid w:val="00E508A2"/>
    <w:rsid w:val="00E50DC5"/>
    <w:rsid w:val="00E51AC9"/>
    <w:rsid w:val="00E51F4E"/>
    <w:rsid w:val="00E5380D"/>
    <w:rsid w:val="00E55CCF"/>
    <w:rsid w:val="00E56467"/>
    <w:rsid w:val="00E565D1"/>
    <w:rsid w:val="00E615D1"/>
    <w:rsid w:val="00E61EBB"/>
    <w:rsid w:val="00E623C7"/>
    <w:rsid w:val="00E67830"/>
    <w:rsid w:val="00E67CA3"/>
    <w:rsid w:val="00E70A28"/>
    <w:rsid w:val="00E70B62"/>
    <w:rsid w:val="00E70C33"/>
    <w:rsid w:val="00E71C9F"/>
    <w:rsid w:val="00E71EDF"/>
    <w:rsid w:val="00E735BD"/>
    <w:rsid w:val="00E73761"/>
    <w:rsid w:val="00E73C7D"/>
    <w:rsid w:val="00E8029B"/>
    <w:rsid w:val="00E8036E"/>
    <w:rsid w:val="00E80F49"/>
    <w:rsid w:val="00E81369"/>
    <w:rsid w:val="00E83D9C"/>
    <w:rsid w:val="00E843FB"/>
    <w:rsid w:val="00E85A02"/>
    <w:rsid w:val="00E85BD7"/>
    <w:rsid w:val="00E85D96"/>
    <w:rsid w:val="00E91CD9"/>
    <w:rsid w:val="00E91DDF"/>
    <w:rsid w:val="00E924F0"/>
    <w:rsid w:val="00E928F7"/>
    <w:rsid w:val="00E93AF9"/>
    <w:rsid w:val="00E96583"/>
    <w:rsid w:val="00E9758A"/>
    <w:rsid w:val="00E979A9"/>
    <w:rsid w:val="00EA03FC"/>
    <w:rsid w:val="00EA0EE7"/>
    <w:rsid w:val="00EA1AF1"/>
    <w:rsid w:val="00EB0805"/>
    <w:rsid w:val="00EB0C22"/>
    <w:rsid w:val="00EB244F"/>
    <w:rsid w:val="00EB473B"/>
    <w:rsid w:val="00EB48A7"/>
    <w:rsid w:val="00EB5C44"/>
    <w:rsid w:val="00EB5ED2"/>
    <w:rsid w:val="00EB6331"/>
    <w:rsid w:val="00EB69BA"/>
    <w:rsid w:val="00EB6DA9"/>
    <w:rsid w:val="00EC15F0"/>
    <w:rsid w:val="00EC2FE8"/>
    <w:rsid w:val="00EC3044"/>
    <w:rsid w:val="00EC60E2"/>
    <w:rsid w:val="00EC791B"/>
    <w:rsid w:val="00ED066C"/>
    <w:rsid w:val="00ED0D27"/>
    <w:rsid w:val="00ED1A2D"/>
    <w:rsid w:val="00ED1CED"/>
    <w:rsid w:val="00ED2D42"/>
    <w:rsid w:val="00ED474E"/>
    <w:rsid w:val="00ED4B8B"/>
    <w:rsid w:val="00ED5A43"/>
    <w:rsid w:val="00ED617D"/>
    <w:rsid w:val="00ED6CC3"/>
    <w:rsid w:val="00ED7BA6"/>
    <w:rsid w:val="00EE05C1"/>
    <w:rsid w:val="00EE0CBB"/>
    <w:rsid w:val="00EE2245"/>
    <w:rsid w:val="00EE3049"/>
    <w:rsid w:val="00EE38A1"/>
    <w:rsid w:val="00EE4184"/>
    <w:rsid w:val="00EE4FF8"/>
    <w:rsid w:val="00EE56FA"/>
    <w:rsid w:val="00EE5E49"/>
    <w:rsid w:val="00EE737C"/>
    <w:rsid w:val="00EE79F0"/>
    <w:rsid w:val="00EF04FF"/>
    <w:rsid w:val="00EF0959"/>
    <w:rsid w:val="00EF1107"/>
    <w:rsid w:val="00EF271B"/>
    <w:rsid w:val="00EF3B96"/>
    <w:rsid w:val="00EF436B"/>
    <w:rsid w:val="00F00034"/>
    <w:rsid w:val="00F024BA"/>
    <w:rsid w:val="00F03102"/>
    <w:rsid w:val="00F032C4"/>
    <w:rsid w:val="00F05156"/>
    <w:rsid w:val="00F05787"/>
    <w:rsid w:val="00F100AD"/>
    <w:rsid w:val="00F11821"/>
    <w:rsid w:val="00F12136"/>
    <w:rsid w:val="00F15FDB"/>
    <w:rsid w:val="00F217FA"/>
    <w:rsid w:val="00F21817"/>
    <w:rsid w:val="00F222D2"/>
    <w:rsid w:val="00F24B59"/>
    <w:rsid w:val="00F25496"/>
    <w:rsid w:val="00F2578E"/>
    <w:rsid w:val="00F26F1D"/>
    <w:rsid w:val="00F27137"/>
    <w:rsid w:val="00F27FC0"/>
    <w:rsid w:val="00F3069B"/>
    <w:rsid w:val="00F31AB0"/>
    <w:rsid w:val="00F3288E"/>
    <w:rsid w:val="00F33EF5"/>
    <w:rsid w:val="00F349BA"/>
    <w:rsid w:val="00F34DBB"/>
    <w:rsid w:val="00F3603D"/>
    <w:rsid w:val="00F3735C"/>
    <w:rsid w:val="00F4022B"/>
    <w:rsid w:val="00F404F2"/>
    <w:rsid w:val="00F429A1"/>
    <w:rsid w:val="00F43474"/>
    <w:rsid w:val="00F4428D"/>
    <w:rsid w:val="00F44A33"/>
    <w:rsid w:val="00F44AD3"/>
    <w:rsid w:val="00F479BD"/>
    <w:rsid w:val="00F47E5E"/>
    <w:rsid w:val="00F50033"/>
    <w:rsid w:val="00F52428"/>
    <w:rsid w:val="00F524FF"/>
    <w:rsid w:val="00F52E2C"/>
    <w:rsid w:val="00F52F14"/>
    <w:rsid w:val="00F5383E"/>
    <w:rsid w:val="00F542F0"/>
    <w:rsid w:val="00F54E90"/>
    <w:rsid w:val="00F55863"/>
    <w:rsid w:val="00F563CF"/>
    <w:rsid w:val="00F572FF"/>
    <w:rsid w:val="00F57D93"/>
    <w:rsid w:val="00F60E9E"/>
    <w:rsid w:val="00F61006"/>
    <w:rsid w:val="00F61F93"/>
    <w:rsid w:val="00F63802"/>
    <w:rsid w:val="00F668AF"/>
    <w:rsid w:val="00F673AA"/>
    <w:rsid w:val="00F675DB"/>
    <w:rsid w:val="00F7000E"/>
    <w:rsid w:val="00F703E7"/>
    <w:rsid w:val="00F7064B"/>
    <w:rsid w:val="00F70B3B"/>
    <w:rsid w:val="00F72D75"/>
    <w:rsid w:val="00F73F36"/>
    <w:rsid w:val="00F74129"/>
    <w:rsid w:val="00F74E0C"/>
    <w:rsid w:val="00F76936"/>
    <w:rsid w:val="00F76B71"/>
    <w:rsid w:val="00F7751A"/>
    <w:rsid w:val="00F80FDD"/>
    <w:rsid w:val="00F819B5"/>
    <w:rsid w:val="00F82B82"/>
    <w:rsid w:val="00F85EE5"/>
    <w:rsid w:val="00F86534"/>
    <w:rsid w:val="00F90113"/>
    <w:rsid w:val="00F90F47"/>
    <w:rsid w:val="00F91817"/>
    <w:rsid w:val="00F926D5"/>
    <w:rsid w:val="00F95C0C"/>
    <w:rsid w:val="00F95E19"/>
    <w:rsid w:val="00F97D96"/>
    <w:rsid w:val="00FA0C75"/>
    <w:rsid w:val="00FA0CAF"/>
    <w:rsid w:val="00FA1BAD"/>
    <w:rsid w:val="00FA2ED9"/>
    <w:rsid w:val="00FA3436"/>
    <w:rsid w:val="00FA36FF"/>
    <w:rsid w:val="00FA43F8"/>
    <w:rsid w:val="00FA4761"/>
    <w:rsid w:val="00FA50C5"/>
    <w:rsid w:val="00FA704C"/>
    <w:rsid w:val="00FA7F80"/>
    <w:rsid w:val="00FB0F37"/>
    <w:rsid w:val="00FB1132"/>
    <w:rsid w:val="00FB1AE3"/>
    <w:rsid w:val="00FB3710"/>
    <w:rsid w:val="00FB43B1"/>
    <w:rsid w:val="00FB521C"/>
    <w:rsid w:val="00FB5310"/>
    <w:rsid w:val="00FB7094"/>
    <w:rsid w:val="00FC00D3"/>
    <w:rsid w:val="00FC09F7"/>
    <w:rsid w:val="00FC1C6F"/>
    <w:rsid w:val="00FC3BBA"/>
    <w:rsid w:val="00FC417E"/>
    <w:rsid w:val="00FC5572"/>
    <w:rsid w:val="00FC6B16"/>
    <w:rsid w:val="00FC6FD4"/>
    <w:rsid w:val="00FD00F8"/>
    <w:rsid w:val="00FD10B5"/>
    <w:rsid w:val="00FD2A12"/>
    <w:rsid w:val="00FD4229"/>
    <w:rsid w:val="00FD4E35"/>
    <w:rsid w:val="00FE1782"/>
    <w:rsid w:val="00FE19FA"/>
    <w:rsid w:val="00FE2DF9"/>
    <w:rsid w:val="00FE3D43"/>
    <w:rsid w:val="00FE43CD"/>
    <w:rsid w:val="00FE50D5"/>
    <w:rsid w:val="00FE5D62"/>
    <w:rsid w:val="00FE6673"/>
    <w:rsid w:val="00FE7EA5"/>
    <w:rsid w:val="00FF0A8A"/>
    <w:rsid w:val="00FF2368"/>
    <w:rsid w:val="00FF23CD"/>
    <w:rsid w:val="00FF3167"/>
    <w:rsid w:val="00FF46B5"/>
    <w:rsid w:val="00FF5776"/>
    <w:rsid w:val="00FF75A6"/>
    <w:rsid w:val="00FF7C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882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034"/>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83888"/>
    <w:pPr>
      <w:tabs>
        <w:tab w:val="center" w:pos="4419"/>
        <w:tab w:val="right" w:pos="8838"/>
      </w:tabs>
    </w:pPr>
  </w:style>
  <w:style w:type="character" w:customStyle="1" w:styleId="EncabezadoCar">
    <w:name w:val="Encabezado Car"/>
    <w:basedOn w:val="Fuentedeprrafopredeter"/>
    <w:link w:val="Encabezado"/>
    <w:uiPriority w:val="99"/>
    <w:rsid w:val="00283888"/>
    <w:rPr>
      <w:rFonts w:ascii="Calibri" w:eastAsia="Calibri" w:hAnsi="Calibri" w:cs="Times New Roman"/>
    </w:rPr>
  </w:style>
  <w:style w:type="paragraph" w:styleId="Piedepgina">
    <w:name w:val="footer"/>
    <w:basedOn w:val="Normal"/>
    <w:link w:val="PiedepginaCar"/>
    <w:uiPriority w:val="99"/>
    <w:rsid w:val="00283888"/>
    <w:pPr>
      <w:tabs>
        <w:tab w:val="center" w:pos="4419"/>
        <w:tab w:val="right" w:pos="8838"/>
      </w:tabs>
    </w:pPr>
  </w:style>
  <w:style w:type="character" w:customStyle="1" w:styleId="PiedepginaCar">
    <w:name w:val="Pie de página Car"/>
    <w:basedOn w:val="Fuentedeprrafopredeter"/>
    <w:link w:val="Piedepgina"/>
    <w:uiPriority w:val="99"/>
    <w:rsid w:val="00283888"/>
    <w:rPr>
      <w:rFonts w:ascii="Calibri" w:eastAsia="Calibri" w:hAnsi="Calibri" w:cs="Times New Roman"/>
    </w:rPr>
  </w:style>
  <w:style w:type="character" w:styleId="Nmerodepgina">
    <w:name w:val="page number"/>
    <w:basedOn w:val="Fuentedeprrafopredeter"/>
    <w:rsid w:val="00283888"/>
  </w:style>
  <w:style w:type="paragraph" w:styleId="Sinespaciado">
    <w:name w:val="No Spacing"/>
    <w:link w:val="SinespaciadoCar"/>
    <w:uiPriority w:val="1"/>
    <w:qFormat/>
    <w:rsid w:val="00283888"/>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283888"/>
    <w:rPr>
      <w:rFonts w:ascii="Calibri" w:eastAsia="Calibri" w:hAnsi="Calibri" w:cs="Times New Roman"/>
    </w:rPr>
  </w:style>
  <w:style w:type="character" w:customStyle="1" w:styleId="Bodytext2Spacing4pt">
    <w:name w:val="Body text|2 + Spacing 4 pt"/>
    <w:rsid w:val="00283888"/>
    <w:rPr>
      <w:rFonts w:ascii="Arial" w:eastAsia="Arial" w:hAnsi="Arial" w:cs="Arial"/>
      <w:b w:val="0"/>
      <w:bCs w:val="0"/>
      <w:i w:val="0"/>
      <w:iCs w:val="0"/>
      <w:smallCaps w:val="0"/>
      <w:strike w:val="0"/>
      <w:color w:val="000000"/>
      <w:spacing w:val="80"/>
      <w:w w:val="100"/>
      <w:position w:val="0"/>
      <w:sz w:val="22"/>
      <w:szCs w:val="22"/>
      <w:u w:val="none"/>
      <w:lang w:val="es-ES" w:eastAsia="es-ES" w:bidi="es-ES"/>
    </w:rPr>
  </w:style>
  <w:style w:type="character" w:customStyle="1" w:styleId="Bodytext2">
    <w:name w:val="Body text|2"/>
    <w:rsid w:val="00283888"/>
    <w:rPr>
      <w:rFonts w:ascii="Arial" w:eastAsia="Arial" w:hAnsi="Arial" w:cs="Arial"/>
      <w:b w:val="0"/>
      <w:bCs w:val="0"/>
      <w:i w:val="0"/>
      <w:iCs w:val="0"/>
      <w:smallCaps w:val="0"/>
      <w:strike w:val="0"/>
      <w:color w:val="1A1A1A"/>
      <w:spacing w:val="0"/>
      <w:w w:val="100"/>
      <w:position w:val="0"/>
      <w:sz w:val="22"/>
      <w:szCs w:val="22"/>
      <w:u w:val="none"/>
      <w:lang w:val="es-ES" w:eastAsia="es-ES" w:bidi="es-ES"/>
    </w:rPr>
  </w:style>
  <w:style w:type="paragraph" w:styleId="Textodeglobo">
    <w:name w:val="Balloon Text"/>
    <w:basedOn w:val="Normal"/>
    <w:link w:val="TextodegloboCar"/>
    <w:uiPriority w:val="99"/>
    <w:semiHidden/>
    <w:unhideWhenUsed/>
    <w:rsid w:val="002838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888"/>
    <w:rPr>
      <w:rFonts w:ascii="Tahoma" w:eastAsia="Calibri" w:hAnsi="Tahoma" w:cs="Tahoma"/>
      <w:sz w:val="16"/>
      <w:szCs w:val="16"/>
    </w:rPr>
  </w:style>
  <w:style w:type="paragraph" w:styleId="Prrafodelista">
    <w:name w:val="List Paragraph"/>
    <w:aliases w:val="Cita texto,AA Párrafo de lista,Footnote,TEXTO GENERAL SENTENCIAS,Párrafo de lista2,Párrafo de lista1,List Paragraph,List Paragraph1,Colorful List - Accent 11,Cuadrícula clara - Énfasis 31,Párrafo Normal,Trascripción,tesis,Dot pt"/>
    <w:basedOn w:val="Normal"/>
    <w:link w:val="PrrafodelistaCar"/>
    <w:uiPriority w:val="34"/>
    <w:qFormat/>
    <w:rsid w:val="0041242E"/>
    <w:pPr>
      <w:ind w:left="720"/>
      <w:contextualSpacing/>
    </w:pPr>
  </w:style>
  <w:style w:type="paragraph" w:styleId="Citadestacada">
    <w:name w:val="Intense Quote"/>
    <w:basedOn w:val="Normal"/>
    <w:next w:val="Normal"/>
    <w:link w:val="CitadestacadaCar"/>
    <w:uiPriority w:val="30"/>
    <w:qFormat/>
    <w:rsid w:val="00CB7285"/>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CB7285"/>
    <w:rPr>
      <w:rFonts w:ascii="Calibri" w:eastAsia="Calibri" w:hAnsi="Calibri" w:cs="Times New Roman"/>
      <w:b/>
      <w:bCs/>
      <w:i/>
      <w:iCs/>
      <w:color w:val="4F81BD" w:themeColor="accent1"/>
    </w:rPr>
  </w:style>
  <w:style w:type="character" w:styleId="nfasis">
    <w:name w:val="Emphasis"/>
    <w:basedOn w:val="Fuentedeprrafopredeter"/>
    <w:uiPriority w:val="20"/>
    <w:qFormat/>
    <w:rsid w:val="00A80209"/>
    <w:rPr>
      <w:i/>
      <w:iCs/>
    </w:rPr>
  </w:style>
  <w:style w:type="character" w:customStyle="1" w:styleId="corte4fondoCar">
    <w:name w:val="corte4 fondo Car"/>
    <w:link w:val="corte4fondo"/>
    <w:locked/>
    <w:rsid w:val="00C3307D"/>
    <w:rPr>
      <w:rFonts w:ascii="Arial" w:eastAsia="Times New Roman" w:hAnsi="Arial" w:cs="Times New Roman"/>
      <w:sz w:val="30"/>
      <w:szCs w:val="20"/>
      <w:lang w:val="es-ES_tradnl" w:eastAsia="es-ES"/>
    </w:rPr>
  </w:style>
  <w:style w:type="paragraph" w:customStyle="1" w:styleId="corte4fondo">
    <w:name w:val="corte4 fondo"/>
    <w:basedOn w:val="Normal"/>
    <w:link w:val="corte4fondoCar"/>
    <w:qFormat/>
    <w:rsid w:val="00C3307D"/>
    <w:pPr>
      <w:spacing w:after="0" w:line="360" w:lineRule="auto"/>
      <w:ind w:firstLine="709"/>
      <w:jc w:val="both"/>
    </w:pPr>
    <w:rPr>
      <w:rFonts w:ascii="Arial" w:eastAsia="Times New Roman" w:hAnsi="Arial"/>
      <w:sz w:val="30"/>
      <w:szCs w:val="20"/>
      <w:lang w:val="es-ES_tradnl" w:eastAsia="es-ES"/>
    </w:rPr>
  </w:style>
  <w:style w:type="character" w:customStyle="1" w:styleId="Cuerpodeltexto">
    <w:name w:val="Cuerpo del texto"/>
    <w:basedOn w:val="Fuentedeprrafopredeter"/>
    <w:rsid w:val="00C3307D"/>
    <w:rPr>
      <w:rFonts w:ascii="Segoe UI" w:eastAsia="Segoe UI" w:hAnsi="Segoe UI" w:cs="Segoe UI" w:hint="default"/>
      <w:b w:val="0"/>
      <w:bCs w:val="0"/>
      <w:i w:val="0"/>
      <w:iCs w:val="0"/>
      <w:smallCaps w:val="0"/>
      <w:strike w:val="0"/>
      <w:dstrike w:val="0"/>
      <w:color w:val="000000"/>
      <w:spacing w:val="0"/>
      <w:w w:val="100"/>
      <w:position w:val="0"/>
      <w:sz w:val="23"/>
      <w:szCs w:val="23"/>
      <w:u w:val="none"/>
      <w:effect w:val="none"/>
      <w:lang w:val="es-ES"/>
    </w:rPr>
  </w:style>
  <w:style w:type="character" w:customStyle="1" w:styleId="CuerpodeltextoNegrita">
    <w:name w:val="Cuerpo del texto + Negrita"/>
    <w:basedOn w:val="Fuentedeprrafopredeter"/>
    <w:rsid w:val="00C3307D"/>
    <w:rPr>
      <w:rFonts w:ascii="Segoe UI" w:eastAsia="Segoe UI" w:hAnsi="Segoe UI" w:cs="Segoe UI" w:hint="default"/>
      <w:b/>
      <w:bCs/>
      <w:i w:val="0"/>
      <w:iCs w:val="0"/>
      <w:smallCaps w:val="0"/>
      <w:strike w:val="0"/>
      <w:dstrike w:val="0"/>
      <w:color w:val="000000"/>
      <w:spacing w:val="0"/>
      <w:w w:val="100"/>
      <w:position w:val="0"/>
      <w:sz w:val="23"/>
      <w:szCs w:val="23"/>
      <w:u w:val="none"/>
      <w:effect w:val="none"/>
      <w:lang w:val="es-ES"/>
    </w:rPr>
  </w:style>
  <w:style w:type="character" w:customStyle="1" w:styleId="CuerpodeltextoCursiva">
    <w:name w:val="Cuerpo del texto + Cursiva"/>
    <w:basedOn w:val="Fuentedeprrafopredeter"/>
    <w:rsid w:val="00C3307D"/>
    <w:rPr>
      <w:rFonts w:ascii="Segoe UI" w:eastAsia="Segoe UI" w:hAnsi="Segoe UI" w:cs="Segoe UI" w:hint="default"/>
      <w:b w:val="0"/>
      <w:bCs w:val="0"/>
      <w:i/>
      <w:iCs/>
      <w:smallCaps w:val="0"/>
      <w:strike w:val="0"/>
      <w:dstrike w:val="0"/>
      <w:color w:val="000000"/>
      <w:spacing w:val="0"/>
      <w:w w:val="100"/>
      <w:position w:val="0"/>
      <w:sz w:val="23"/>
      <w:szCs w:val="23"/>
      <w:u w:val="none"/>
      <w:effect w:val="none"/>
      <w:lang w:val="es-ES"/>
    </w:rPr>
  </w:style>
  <w:style w:type="character" w:customStyle="1" w:styleId="Cuerpodeltexto12Sincursiva">
    <w:name w:val="Cuerpo del texto (12) + Sin cursiva"/>
    <w:basedOn w:val="Fuentedeprrafopredeter"/>
    <w:rsid w:val="00C3307D"/>
    <w:rPr>
      <w:rFonts w:ascii="Segoe UI" w:eastAsia="Segoe UI" w:hAnsi="Segoe UI" w:cs="Segoe UI" w:hint="default"/>
      <w:b w:val="0"/>
      <w:bCs w:val="0"/>
      <w:i/>
      <w:iCs/>
      <w:smallCaps w:val="0"/>
      <w:strike w:val="0"/>
      <w:dstrike w:val="0"/>
      <w:color w:val="000000"/>
      <w:spacing w:val="0"/>
      <w:w w:val="100"/>
      <w:position w:val="0"/>
      <w:sz w:val="23"/>
      <w:szCs w:val="23"/>
      <w:u w:val="none"/>
      <w:effect w:val="none"/>
      <w:lang w:val="es-ES"/>
    </w:rPr>
  </w:style>
  <w:style w:type="character" w:customStyle="1" w:styleId="Cuerpodeltexto12">
    <w:name w:val="Cuerpo del texto (12)"/>
    <w:basedOn w:val="Fuentedeprrafopredeter"/>
    <w:rsid w:val="00C3307D"/>
    <w:rPr>
      <w:rFonts w:ascii="Segoe UI" w:eastAsia="Segoe UI" w:hAnsi="Segoe UI" w:cs="Segoe UI" w:hint="default"/>
      <w:b w:val="0"/>
      <w:bCs w:val="0"/>
      <w:i/>
      <w:iCs/>
      <w:smallCaps w:val="0"/>
      <w:color w:val="000000"/>
      <w:spacing w:val="0"/>
      <w:w w:val="100"/>
      <w:position w:val="0"/>
      <w:sz w:val="23"/>
      <w:szCs w:val="23"/>
      <w:u w:val="single"/>
      <w:lang w:val="es-ES"/>
    </w:rPr>
  </w:style>
  <w:style w:type="character" w:customStyle="1" w:styleId="Cuerpodeltexto5115pto">
    <w:name w:val="Cuerpo del texto (5) + 11.5 pto"/>
    <w:aliases w:val="Sin negrita"/>
    <w:basedOn w:val="Fuentedeprrafopredeter"/>
    <w:rsid w:val="00C3307D"/>
    <w:rPr>
      <w:rFonts w:ascii="Segoe UI" w:eastAsia="Segoe UI" w:hAnsi="Segoe UI" w:cs="Segoe UI" w:hint="default"/>
      <w:b/>
      <w:bCs/>
      <w:i w:val="0"/>
      <w:iCs w:val="0"/>
      <w:smallCaps w:val="0"/>
      <w:strike w:val="0"/>
      <w:dstrike w:val="0"/>
      <w:color w:val="000000"/>
      <w:spacing w:val="0"/>
      <w:w w:val="100"/>
      <w:position w:val="0"/>
      <w:sz w:val="23"/>
      <w:szCs w:val="23"/>
      <w:u w:val="none"/>
      <w:effect w:val="none"/>
      <w:lang w:val="es-ES"/>
    </w:rPr>
  </w:style>
  <w:style w:type="character" w:customStyle="1" w:styleId="Cuerpodeltexto5">
    <w:name w:val="Cuerpo del texto (5)"/>
    <w:basedOn w:val="Fuentedeprrafopredeter"/>
    <w:rsid w:val="00C3307D"/>
    <w:rPr>
      <w:rFonts w:ascii="Segoe UI" w:eastAsia="Segoe UI" w:hAnsi="Segoe UI" w:cs="Segoe UI" w:hint="default"/>
      <w:b/>
      <w:bCs/>
      <w:i w:val="0"/>
      <w:iCs w:val="0"/>
      <w:smallCaps w:val="0"/>
      <w:strike w:val="0"/>
      <w:dstrike w:val="0"/>
      <w:color w:val="000000"/>
      <w:spacing w:val="0"/>
      <w:w w:val="100"/>
      <w:position w:val="0"/>
      <w:sz w:val="25"/>
      <w:szCs w:val="25"/>
      <w:u w:val="none"/>
      <w:effect w:val="none"/>
      <w:lang w:val="es-ES"/>
    </w:rPr>
  </w:style>
  <w:style w:type="paragraph" w:customStyle="1" w:styleId="Estilo">
    <w:name w:val="Estilo"/>
    <w:basedOn w:val="Sinespaciado"/>
    <w:link w:val="EstiloCar"/>
    <w:qFormat/>
    <w:rsid w:val="00441E0A"/>
    <w:pPr>
      <w:jc w:val="both"/>
    </w:pPr>
    <w:rPr>
      <w:rFonts w:ascii="Arial" w:eastAsiaTheme="minorEastAsia" w:hAnsi="Arial" w:cstheme="minorBidi"/>
      <w:sz w:val="24"/>
      <w:lang w:eastAsia="es-MX"/>
    </w:rPr>
  </w:style>
  <w:style w:type="character" w:customStyle="1" w:styleId="EstiloCar">
    <w:name w:val="Estilo Car"/>
    <w:basedOn w:val="Fuentedeprrafopredeter"/>
    <w:link w:val="Estilo"/>
    <w:rsid w:val="00441E0A"/>
    <w:rPr>
      <w:rFonts w:ascii="Arial" w:eastAsiaTheme="minorEastAsia" w:hAnsi="Arial"/>
      <w:sz w:val="24"/>
      <w:lang w:eastAsia="es-MX"/>
    </w:rPr>
  </w:style>
  <w:style w:type="paragraph" w:styleId="Textonotapie">
    <w:name w:val="footnote text"/>
    <w:aliases w:val="Footnote Text Char Char Char Char Char,Footnote Text Char Char Char Char,Footnote reference,FA Fu,FA Fu Car,Car Car Car Car Car Car Car,Car Car Car Car Car Car,Car2,Footnote Text Char Char Char,Ca,Footnote Text Cha,FA Fußnotentext,Car11,C"/>
    <w:basedOn w:val="Normal"/>
    <w:link w:val="TextonotapieCar"/>
    <w:uiPriority w:val="99"/>
    <w:unhideWhenUsed/>
    <w:qFormat/>
    <w:rsid w:val="00D66E7E"/>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1,FA Fu Car Car,Car Car Car Car Car Car Car Car,Car Car Car Car Car Car Car1,Car2 Car,Footnote Text Char Char Char Car"/>
    <w:basedOn w:val="Fuentedeprrafopredeter"/>
    <w:link w:val="Textonotapie"/>
    <w:uiPriority w:val="99"/>
    <w:qFormat/>
    <w:rsid w:val="00D66E7E"/>
    <w:rPr>
      <w:rFonts w:ascii="Calibri" w:eastAsia="Calibri" w:hAnsi="Calibri" w:cs="Times New Roman"/>
      <w:sz w:val="20"/>
      <w:szCs w:val="20"/>
    </w:rPr>
  </w:style>
  <w:style w:type="character" w:styleId="Refdenotaalpie">
    <w:name w:val="footnote reference"/>
    <w:aliases w:val="Ref. de nota al pie 2,Texto de nota al pie,Footnotes refss,Appel note de bas de page,Footnote number,referencia nota al pie,BVI fnr,f,ftref,4_G,16 Point,Superscript 6 Point,Footnote Reference Char3,Footnote Reference Char1 Char,Ref,R"/>
    <w:basedOn w:val="Fuentedeprrafopredeter"/>
    <w:link w:val="4GChar"/>
    <w:unhideWhenUsed/>
    <w:qFormat/>
    <w:rsid w:val="00D66E7E"/>
    <w:rPr>
      <w:vertAlign w:val="superscript"/>
    </w:rPr>
  </w:style>
  <w:style w:type="paragraph" w:customStyle="1" w:styleId="Default">
    <w:name w:val="Default"/>
    <w:rsid w:val="00E06C3A"/>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59"/>
    <w:rsid w:val="00611C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
    <w:name w:val="m"/>
    <w:basedOn w:val="Normal"/>
    <w:rsid w:val="009C53CE"/>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acep">
    <w:name w:val="n_acep"/>
    <w:basedOn w:val="Fuentedeprrafopredeter"/>
    <w:rsid w:val="009C53CE"/>
  </w:style>
  <w:style w:type="paragraph" w:styleId="Sangra2detindependiente">
    <w:name w:val="Body Text Indent 2"/>
    <w:basedOn w:val="Normal"/>
    <w:link w:val="Sangra2detindependienteCar"/>
    <w:rsid w:val="00D50257"/>
    <w:pPr>
      <w:spacing w:after="0" w:line="480" w:lineRule="auto"/>
      <w:ind w:firstLine="1418"/>
      <w:jc w:val="both"/>
    </w:pPr>
    <w:rPr>
      <w:rFonts w:ascii="Arial" w:eastAsia="Times New Roman" w:hAnsi="Arial" w:cs="Arial"/>
      <w:sz w:val="28"/>
      <w:szCs w:val="20"/>
      <w:lang w:val="es-ES_tradnl" w:eastAsia="es-ES"/>
    </w:rPr>
  </w:style>
  <w:style w:type="character" w:customStyle="1" w:styleId="Sangra2detindependienteCar">
    <w:name w:val="Sangría 2 de t. independiente Car"/>
    <w:basedOn w:val="Fuentedeprrafopredeter"/>
    <w:link w:val="Sangra2detindependiente"/>
    <w:rsid w:val="00D50257"/>
    <w:rPr>
      <w:rFonts w:ascii="Arial" w:eastAsia="Times New Roman" w:hAnsi="Arial" w:cs="Arial"/>
      <w:sz w:val="28"/>
      <w:szCs w:val="20"/>
      <w:lang w:val="es-ES_tradnl" w:eastAsia="es-ES"/>
    </w:rPr>
  </w:style>
  <w:style w:type="paragraph" w:customStyle="1" w:styleId="Car">
    <w:name w:val="Car"/>
    <w:basedOn w:val="Normal"/>
    <w:rsid w:val="00D50257"/>
    <w:pPr>
      <w:spacing w:after="160" w:line="240" w:lineRule="exact"/>
      <w:jc w:val="right"/>
    </w:pPr>
    <w:rPr>
      <w:rFonts w:ascii="Verdana" w:eastAsia="Times New Roman" w:hAnsi="Verdana" w:cs="Verdana"/>
      <w:sz w:val="20"/>
      <w:szCs w:val="20"/>
    </w:rPr>
  </w:style>
  <w:style w:type="paragraph" w:customStyle="1" w:styleId="Normal0">
    <w:name w:val="[Normal]"/>
    <w:rsid w:val="00401F55"/>
    <w:pPr>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AE46D3"/>
    <w:pPr>
      <w:spacing w:after="0" w:line="240" w:lineRule="auto"/>
      <w:jc w:val="both"/>
    </w:pPr>
    <w:rPr>
      <w:rFonts w:asciiTheme="minorHAnsi" w:eastAsiaTheme="minorHAnsi" w:hAnsiTheme="minorHAnsi" w:cstheme="minorBidi"/>
      <w:vertAlign w:val="superscript"/>
    </w:rPr>
  </w:style>
  <w:style w:type="character" w:styleId="Hipervnculo">
    <w:name w:val="Hyperlink"/>
    <w:basedOn w:val="Fuentedeprrafopredeter"/>
    <w:uiPriority w:val="99"/>
    <w:unhideWhenUsed/>
    <w:rsid w:val="004D51F6"/>
    <w:rPr>
      <w:color w:val="0000FF" w:themeColor="hyperlink"/>
      <w:u w:val="single"/>
    </w:rPr>
  </w:style>
  <w:style w:type="paragraph" w:styleId="NormalWeb">
    <w:name w:val="Normal (Web)"/>
    <w:basedOn w:val="Normal"/>
    <w:uiPriority w:val="99"/>
    <w:semiHidden/>
    <w:unhideWhenUsed/>
    <w:rsid w:val="00B51AD2"/>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PrrafodelistaCar">
    <w:name w:val="Párrafo de lista Car"/>
    <w:aliases w:val="Cita texto Car,AA Párrafo de lista Car,Footnote Car,TEXTO GENERAL SENTENCIAS Car,Párrafo de lista2 Car,Párrafo de lista1 Car,List Paragraph Car,List Paragraph1 Car,Colorful List - Accent 11 Car,Cuadrícula clara - Énfasis 31 Car"/>
    <w:link w:val="Prrafodelista"/>
    <w:uiPriority w:val="34"/>
    <w:rsid w:val="003755C5"/>
    <w:rPr>
      <w:rFonts w:ascii="Calibri" w:eastAsia="Calibri" w:hAnsi="Calibri" w:cs="Times New Roman"/>
    </w:rPr>
  </w:style>
  <w:style w:type="paragraph" w:styleId="Textoindependiente">
    <w:name w:val="Body Text"/>
    <w:basedOn w:val="Normal"/>
    <w:link w:val="TextoindependienteCar"/>
    <w:uiPriority w:val="99"/>
    <w:unhideWhenUsed/>
    <w:rsid w:val="008972B4"/>
    <w:pPr>
      <w:spacing w:after="120"/>
    </w:pPr>
  </w:style>
  <w:style w:type="character" w:customStyle="1" w:styleId="TextoindependienteCar">
    <w:name w:val="Texto independiente Car"/>
    <w:basedOn w:val="Fuentedeprrafopredeter"/>
    <w:link w:val="Textoindependiente"/>
    <w:uiPriority w:val="99"/>
    <w:rsid w:val="008972B4"/>
    <w:rPr>
      <w:rFonts w:ascii="Calibri" w:eastAsia="Calibri" w:hAnsi="Calibri" w:cs="Times New Roman"/>
    </w:rPr>
  </w:style>
  <w:style w:type="paragraph" w:customStyle="1" w:styleId="temp">
    <w:name w:val="temp"/>
    <w:basedOn w:val="Normal"/>
    <w:rsid w:val="000C20D8"/>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Textoindependiente21">
    <w:name w:val="Texto independiente 21"/>
    <w:basedOn w:val="Normal"/>
    <w:rsid w:val="005C0B46"/>
    <w:pPr>
      <w:overflowPunct w:val="0"/>
      <w:autoSpaceDE w:val="0"/>
      <w:autoSpaceDN w:val="0"/>
      <w:adjustRightInd w:val="0"/>
      <w:spacing w:after="0" w:line="240" w:lineRule="auto"/>
      <w:textAlignment w:val="baseline"/>
    </w:pPr>
    <w:rPr>
      <w:rFonts w:ascii="Arial" w:eastAsia="Times New Roman" w:hAnsi="Arial" w:cs="Arial"/>
      <w:sz w:val="24"/>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034"/>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83888"/>
    <w:pPr>
      <w:tabs>
        <w:tab w:val="center" w:pos="4419"/>
        <w:tab w:val="right" w:pos="8838"/>
      </w:tabs>
    </w:pPr>
  </w:style>
  <w:style w:type="character" w:customStyle="1" w:styleId="EncabezadoCar">
    <w:name w:val="Encabezado Car"/>
    <w:basedOn w:val="Fuentedeprrafopredeter"/>
    <w:link w:val="Encabezado"/>
    <w:uiPriority w:val="99"/>
    <w:rsid w:val="00283888"/>
    <w:rPr>
      <w:rFonts w:ascii="Calibri" w:eastAsia="Calibri" w:hAnsi="Calibri" w:cs="Times New Roman"/>
    </w:rPr>
  </w:style>
  <w:style w:type="paragraph" w:styleId="Piedepgina">
    <w:name w:val="footer"/>
    <w:basedOn w:val="Normal"/>
    <w:link w:val="PiedepginaCar"/>
    <w:uiPriority w:val="99"/>
    <w:rsid w:val="00283888"/>
    <w:pPr>
      <w:tabs>
        <w:tab w:val="center" w:pos="4419"/>
        <w:tab w:val="right" w:pos="8838"/>
      </w:tabs>
    </w:pPr>
  </w:style>
  <w:style w:type="character" w:customStyle="1" w:styleId="PiedepginaCar">
    <w:name w:val="Pie de página Car"/>
    <w:basedOn w:val="Fuentedeprrafopredeter"/>
    <w:link w:val="Piedepgina"/>
    <w:uiPriority w:val="99"/>
    <w:rsid w:val="00283888"/>
    <w:rPr>
      <w:rFonts w:ascii="Calibri" w:eastAsia="Calibri" w:hAnsi="Calibri" w:cs="Times New Roman"/>
    </w:rPr>
  </w:style>
  <w:style w:type="character" w:styleId="Nmerodepgina">
    <w:name w:val="page number"/>
    <w:basedOn w:val="Fuentedeprrafopredeter"/>
    <w:rsid w:val="00283888"/>
  </w:style>
  <w:style w:type="paragraph" w:styleId="Sinespaciado">
    <w:name w:val="No Spacing"/>
    <w:link w:val="SinespaciadoCar"/>
    <w:uiPriority w:val="1"/>
    <w:qFormat/>
    <w:rsid w:val="00283888"/>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283888"/>
    <w:rPr>
      <w:rFonts w:ascii="Calibri" w:eastAsia="Calibri" w:hAnsi="Calibri" w:cs="Times New Roman"/>
    </w:rPr>
  </w:style>
  <w:style w:type="character" w:customStyle="1" w:styleId="Bodytext2Spacing4pt">
    <w:name w:val="Body text|2 + Spacing 4 pt"/>
    <w:rsid w:val="00283888"/>
    <w:rPr>
      <w:rFonts w:ascii="Arial" w:eastAsia="Arial" w:hAnsi="Arial" w:cs="Arial"/>
      <w:b w:val="0"/>
      <w:bCs w:val="0"/>
      <w:i w:val="0"/>
      <w:iCs w:val="0"/>
      <w:smallCaps w:val="0"/>
      <w:strike w:val="0"/>
      <w:color w:val="000000"/>
      <w:spacing w:val="80"/>
      <w:w w:val="100"/>
      <w:position w:val="0"/>
      <w:sz w:val="22"/>
      <w:szCs w:val="22"/>
      <w:u w:val="none"/>
      <w:lang w:val="es-ES" w:eastAsia="es-ES" w:bidi="es-ES"/>
    </w:rPr>
  </w:style>
  <w:style w:type="character" w:customStyle="1" w:styleId="Bodytext2">
    <w:name w:val="Body text|2"/>
    <w:rsid w:val="00283888"/>
    <w:rPr>
      <w:rFonts w:ascii="Arial" w:eastAsia="Arial" w:hAnsi="Arial" w:cs="Arial"/>
      <w:b w:val="0"/>
      <w:bCs w:val="0"/>
      <w:i w:val="0"/>
      <w:iCs w:val="0"/>
      <w:smallCaps w:val="0"/>
      <w:strike w:val="0"/>
      <w:color w:val="1A1A1A"/>
      <w:spacing w:val="0"/>
      <w:w w:val="100"/>
      <w:position w:val="0"/>
      <w:sz w:val="22"/>
      <w:szCs w:val="22"/>
      <w:u w:val="none"/>
      <w:lang w:val="es-ES" w:eastAsia="es-ES" w:bidi="es-ES"/>
    </w:rPr>
  </w:style>
  <w:style w:type="paragraph" w:styleId="Textodeglobo">
    <w:name w:val="Balloon Text"/>
    <w:basedOn w:val="Normal"/>
    <w:link w:val="TextodegloboCar"/>
    <w:uiPriority w:val="99"/>
    <w:semiHidden/>
    <w:unhideWhenUsed/>
    <w:rsid w:val="002838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888"/>
    <w:rPr>
      <w:rFonts w:ascii="Tahoma" w:eastAsia="Calibri" w:hAnsi="Tahoma" w:cs="Tahoma"/>
      <w:sz w:val="16"/>
      <w:szCs w:val="16"/>
    </w:rPr>
  </w:style>
  <w:style w:type="paragraph" w:styleId="Prrafodelista">
    <w:name w:val="List Paragraph"/>
    <w:aliases w:val="Cita texto,AA Párrafo de lista,Footnote,TEXTO GENERAL SENTENCIAS,Párrafo de lista2,Párrafo de lista1,List Paragraph,List Paragraph1,Colorful List - Accent 11,Cuadrícula clara - Énfasis 31,Párrafo Normal,Trascripción,tesis,Dot pt"/>
    <w:basedOn w:val="Normal"/>
    <w:link w:val="PrrafodelistaCar"/>
    <w:uiPriority w:val="34"/>
    <w:qFormat/>
    <w:rsid w:val="0041242E"/>
    <w:pPr>
      <w:ind w:left="720"/>
      <w:contextualSpacing/>
    </w:pPr>
  </w:style>
  <w:style w:type="paragraph" w:styleId="Citadestacada">
    <w:name w:val="Intense Quote"/>
    <w:basedOn w:val="Normal"/>
    <w:next w:val="Normal"/>
    <w:link w:val="CitadestacadaCar"/>
    <w:uiPriority w:val="30"/>
    <w:qFormat/>
    <w:rsid w:val="00CB7285"/>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CB7285"/>
    <w:rPr>
      <w:rFonts w:ascii="Calibri" w:eastAsia="Calibri" w:hAnsi="Calibri" w:cs="Times New Roman"/>
      <w:b/>
      <w:bCs/>
      <w:i/>
      <w:iCs/>
      <w:color w:val="4F81BD" w:themeColor="accent1"/>
    </w:rPr>
  </w:style>
  <w:style w:type="character" w:styleId="nfasis">
    <w:name w:val="Emphasis"/>
    <w:basedOn w:val="Fuentedeprrafopredeter"/>
    <w:uiPriority w:val="20"/>
    <w:qFormat/>
    <w:rsid w:val="00A80209"/>
    <w:rPr>
      <w:i/>
      <w:iCs/>
    </w:rPr>
  </w:style>
  <w:style w:type="character" w:customStyle="1" w:styleId="corte4fondoCar">
    <w:name w:val="corte4 fondo Car"/>
    <w:link w:val="corte4fondo"/>
    <w:locked/>
    <w:rsid w:val="00C3307D"/>
    <w:rPr>
      <w:rFonts w:ascii="Arial" w:eastAsia="Times New Roman" w:hAnsi="Arial" w:cs="Times New Roman"/>
      <w:sz w:val="30"/>
      <w:szCs w:val="20"/>
      <w:lang w:val="es-ES_tradnl" w:eastAsia="es-ES"/>
    </w:rPr>
  </w:style>
  <w:style w:type="paragraph" w:customStyle="1" w:styleId="corte4fondo">
    <w:name w:val="corte4 fondo"/>
    <w:basedOn w:val="Normal"/>
    <w:link w:val="corte4fondoCar"/>
    <w:qFormat/>
    <w:rsid w:val="00C3307D"/>
    <w:pPr>
      <w:spacing w:after="0" w:line="360" w:lineRule="auto"/>
      <w:ind w:firstLine="709"/>
      <w:jc w:val="both"/>
    </w:pPr>
    <w:rPr>
      <w:rFonts w:ascii="Arial" w:eastAsia="Times New Roman" w:hAnsi="Arial"/>
      <w:sz w:val="30"/>
      <w:szCs w:val="20"/>
      <w:lang w:val="es-ES_tradnl" w:eastAsia="es-ES"/>
    </w:rPr>
  </w:style>
  <w:style w:type="character" w:customStyle="1" w:styleId="Cuerpodeltexto">
    <w:name w:val="Cuerpo del texto"/>
    <w:basedOn w:val="Fuentedeprrafopredeter"/>
    <w:rsid w:val="00C3307D"/>
    <w:rPr>
      <w:rFonts w:ascii="Segoe UI" w:eastAsia="Segoe UI" w:hAnsi="Segoe UI" w:cs="Segoe UI" w:hint="default"/>
      <w:b w:val="0"/>
      <w:bCs w:val="0"/>
      <w:i w:val="0"/>
      <w:iCs w:val="0"/>
      <w:smallCaps w:val="0"/>
      <w:strike w:val="0"/>
      <w:dstrike w:val="0"/>
      <w:color w:val="000000"/>
      <w:spacing w:val="0"/>
      <w:w w:val="100"/>
      <w:position w:val="0"/>
      <w:sz w:val="23"/>
      <w:szCs w:val="23"/>
      <w:u w:val="none"/>
      <w:effect w:val="none"/>
      <w:lang w:val="es-ES"/>
    </w:rPr>
  </w:style>
  <w:style w:type="character" w:customStyle="1" w:styleId="CuerpodeltextoNegrita">
    <w:name w:val="Cuerpo del texto + Negrita"/>
    <w:basedOn w:val="Fuentedeprrafopredeter"/>
    <w:rsid w:val="00C3307D"/>
    <w:rPr>
      <w:rFonts w:ascii="Segoe UI" w:eastAsia="Segoe UI" w:hAnsi="Segoe UI" w:cs="Segoe UI" w:hint="default"/>
      <w:b/>
      <w:bCs/>
      <w:i w:val="0"/>
      <w:iCs w:val="0"/>
      <w:smallCaps w:val="0"/>
      <w:strike w:val="0"/>
      <w:dstrike w:val="0"/>
      <w:color w:val="000000"/>
      <w:spacing w:val="0"/>
      <w:w w:val="100"/>
      <w:position w:val="0"/>
      <w:sz w:val="23"/>
      <w:szCs w:val="23"/>
      <w:u w:val="none"/>
      <w:effect w:val="none"/>
      <w:lang w:val="es-ES"/>
    </w:rPr>
  </w:style>
  <w:style w:type="character" w:customStyle="1" w:styleId="CuerpodeltextoCursiva">
    <w:name w:val="Cuerpo del texto + Cursiva"/>
    <w:basedOn w:val="Fuentedeprrafopredeter"/>
    <w:rsid w:val="00C3307D"/>
    <w:rPr>
      <w:rFonts w:ascii="Segoe UI" w:eastAsia="Segoe UI" w:hAnsi="Segoe UI" w:cs="Segoe UI" w:hint="default"/>
      <w:b w:val="0"/>
      <w:bCs w:val="0"/>
      <w:i/>
      <w:iCs/>
      <w:smallCaps w:val="0"/>
      <w:strike w:val="0"/>
      <w:dstrike w:val="0"/>
      <w:color w:val="000000"/>
      <w:spacing w:val="0"/>
      <w:w w:val="100"/>
      <w:position w:val="0"/>
      <w:sz w:val="23"/>
      <w:szCs w:val="23"/>
      <w:u w:val="none"/>
      <w:effect w:val="none"/>
      <w:lang w:val="es-ES"/>
    </w:rPr>
  </w:style>
  <w:style w:type="character" w:customStyle="1" w:styleId="Cuerpodeltexto12Sincursiva">
    <w:name w:val="Cuerpo del texto (12) + Sin cursiva"/>
    <w:basedOn w:val="Fuentedeprrafopredeter"/>
    <w:rsid w:val="00C3307D"/>
    <w:rPr>
      <w:rFonts w:ascii="Segoe UI" w:eastAsia="Segoe UI" w:hAnsi="Segoe UI" w:cs="Segoe UI" w:hint="default"/>
      <w:b w:val="0"/>
      <w:bCs w:val="0"/>
      <w:i/>
      <w:iCs/>
      <w:smallCaps w:val="0"/>
      <w:strike w:val="0"/>
      <w:dstrike w:val="0"/>
      <w:color w:val="000000"/>
      <w:spacing w:val="0"/>
      <w:w w:val="100"/>
      <w:position w:val="0"/>
      <w:sz w:val="23"/>
      <w:szCs w:val="23"/>
      <w:u w:val="none"/>
      <w:effect w:val="none"/>
      <w:lang w:val="es-ES"/>
    </w:rPr>
  </w:style>
  <w:style w:type="character" w:customStyle="1" w:styleId="Cuerpodeltexto12">
    <w:name w:val="Cuerpo del texto (12)"/>
    <w:basedOn w:val="Fuentedeprrafopredeter"/>
    <w:rsid w:val="00C3307D"/>
    <w:rPr>
      <w:rFonts w:ascii="Segoe UI" w:eastAsia="Segoe UI" w:hAnsi="Segoe UI" w:cs="Segoe UI" w:hint="default"/>
      <w:b w:val="0"/>
      <w:bCs w:val="0"/>
      <w:i/>
      <w:iCs/>
      <w:smallCaps w:val="0"/>
      <w:color w:val="000000"/>
      <w:spacing w:val="0"/>
      <w:w w:val="100"/>
      <w:position w:val="0"/>
      <w:sz w:val="23"/>
      <w:szCs w:val="23"/>
      <w:u w:val="single"/>
      <w:lang w:val="es-ES"/>
    </w:rPr>
  </w:style>
  <w:style w:type="character" w:customStyle="1" w:styleId="Cuerpodeltexto5115pto">
    <w:name w:val="Cuerpo del texto (5) + 11.5 pto"/>
    <w:aliases w:val="Sin negrita"/>
    <w:basedOn w:val="Fuentedeprrafopredeter"/>
    <w:rsid w:val="00C3307D"/>
    <w:rPr>
      <w:rFonts w:ascii="Segoe UI" w:eastAsia="Segoe UI" w:hAnsi="Segoe UI" w:cs="Segoe UI" w:hint="default"/>
      <w:b/>
      <w:bCs/>
      <w:i w:val="0"/>
      <w:iCs w:val="0"/>
      <w:smallCaps w:val="0"/>
      <w:strike w:val="0"/>
      <w:dstrike w:val="0"/>
      <w:color w:val="000000"/>
      <w:spacing w:val="0"/>
      <w:w w:val="100"/>
      <w:position w:val="0"/>
      <w:sz w:val="23"/>
      <w:szCs w:val="23"/>
      <w:u w:val="none"/>
      <w:effect w:val="none"/>
      <w:lang w:val="es-ES"/>
    </w:rPr>
  </w:style>
  <w:style w:type="character" w:customStyle="1" w:styleId="Cuerpodeltexto5">
    <w:name w:val="Cuerpo del texto (5)"/>
    <w:basedOn w:val="Fuentedeprrafopredeter"/>
    <w:rsid w:val="00C3307D"/>
    <w:rPr>
      <w:rFonts w:ascii="Segoe UI" w:eastAsia="Segoe UI" w:hAnsi="Segoe UI" w:cs="Segoe UI" w:hint="default"/>
      <w:b/>
      <w:bCs/>
      <w:i w:val="0"/>
      <w:iCs w:val="0"/>
      <w:smallCaps w:val="0"/>
      <w:strike w:val="0"/>
      <w:dstrike w:val="0"/>
      <w:color w:val="000000"/>
      <w:spacing w:val="0"/>
      <w:w w:val="100"/>
      <w:position w:val="0"/>
      <w:sz w:val="25"/>
      <w:szCs w:val="25"/>
      <w:u w:val="none"/>
      <w:effect w:val="none"/>
      <w:lang w:val="es-ES"/>
    </w:rPr>
  </w:style>
  <w:style w:type="paragraph" w:customStyle="1" w:styleId="Estilo">
    <w:name w:val="Estilo"/>
    <w:basedOn w:val="Sinespaciado"/>
    <w:link w:val="EstiloCar"/>
    <w:qFormat/>
    <w:rsid w:val="00441E0A"/>
    <w:pPr>
      <w:jc w:val="both"/>
    </w:pPr>
    <w:rPr>
      <w:rFonts w:ascii="Arial" w:eastAsiaTheme="minorEastAsia" w:hAnsi="Arial" w:cstheme="minorBidi"/>
      <w:sz w:val="24"/>
      <w:lang w:eastAsia="es-MX"/>
    </w:rPr>
  </w:style>
  <w:style w:type="character" w:customStyle="1" w:styleId="EstiloCar">
    <w:name w:val="Estilo Car"/>
    <w:basedOn w:val="Fuentedeprrafopredeter"/>
    <w:link w:val="Estilo"/>
    <w:rsid w:val="00441E0A"/>
    <w:rPr>
      <w:rFonts w:ascii="Arial" w:eastAsiaTheme="minorEastAsia" w:hAnsi="Arial"/>
      <w:sz w:val="24"/>
      <w:lang w:eastAsia="es-MX"/>
    </w:rPr>
  </w:style>
  <w:style w:type="paragraph" w:styleId="Textonotapie">
    <w:name w:val="footnote text"/>
    <w:aliases w:val="Footnote Text Char Char Char Char Char,Footnote Text Char Char Char Char,Footnote reference,FA Fu,FA Fu Car,Car Car Car Car Car Car Car,Car Car Car Car Car Car,Car2,Footnote Text Char Char Char,Ca,Footnote Text Cha,FA Fußnotentext,Car11,C"/>
    <w:basedOn w:val="Normal"/>
    <w:link w:val="TextonotapieCar"/>
    <w:uiPriority w:val="99"/>
    <w:unhideWhenUsed/>
    <w:qFormat/>
    <w:rsid w:val="00D66E7E"/>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1,FA Fu Car Car,Car Car Car Car Car Car Car Car,Car Car Car Car Car Car Car1,Car2 Car,Footnote Text Char Char Char Car"/>
    <w:basedOn w:val="Fuentedeprrafopredeter"/>
    <w:link w:val="Textonotapie"/>
    <w:uiPriority w:val="99"/>
    <w:qFormat/>
    <w:rsid w:val="00D66E7E"/>
    <w:rPr>
      <w:rFonts w:ascii="Calibri" w:eastAsia="Calibri" w:hAnsi="Calibri" w:cs="Times New Roman"/>
      <w:sz w:val="20"/>
      <w:szCs w:val="20"/>
    </w:rPr>
  </w:style>
  <w:style w:type="character" w:styleId="Refdenotaalpie">
    <w:name w:val="footnote reference"/>
    <w:aliases w:val="Ref. de nota al pie 2,Texto de nota al pie,Footnotes refss,Appel note de bas de page,Footnote number,referencia nota al pie,BVI fnr,f,ftref,4_G,16 Point,Superscript 6 Point,Footnote Reference Char3,Footnote Reference Char1 Char,Ref,R"/>
    <w:basedOn w:val="Fuentedeprrafopredeter"/>
    <w:link w:val="4GChar"/>
    <w:unhideWhenUsed/>
    <w:qFormat/>
    <w:rsid w:val="00D66E7E"/>
    <w:rPr>
      <w:vertAlign w:val="superscript"/>
    </w:rPr>
  </w:style>
  <w:style w:type="paragraph" w:customStyle="1" w:styleId="Default">
    <w:name w:val="Default"/>
    <w:rsid w:val="00E06C3A"/>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59"/>
    <w:rsid w:val="00611C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
    <w:name w:val="m"/>
    <w:basedOn w:val="Normal"/>
    <w:rsid w:val="009C53CE"/>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acep">
    <w:name w:val="n_acep"/>
    <w:basedOn w:val="Fuentedeprrafopredeter"/>
    <w:rsid w:val="009C53CE"/>
  </w:style>
  <w:style w:type="paragraph" w:styleId="Sangra2detindependiente">
    <w:name w:val="Body Text Indent 2"/>
    <w:basedOn w:val="Normal"/>
    <w:link w:val="Sangra2detindependienteCar"/>
    <w:rsid w:val="00D50257"/>
    <w:pPr>
      <w:spacing w:after="0" w:line="480" w:lineRule="auto"/>
      <w:ind w:firstLine="1418"/>
      <w:jc w:val="both"/>
    </w:pPr>
    <w:rPr>
      <w:rFonts w:ascii="Arial" w:eastAsia="Times New Roman" w:hAnsi="Arial" w:cs="Arial"/>
      <w:sz w:val="28"/>
      <w:szCs w:val="20"/>
      <w:lang w:val="es-ES_tradnl" w:eastAsia="es-ES"/>
    </w:rPr>
  </w:style>
  <w:style w:type="character" w:customStyle="1" w:styleId="Sangra2detindependienteCar">
    <w:name w:val="Sangría 2 de t. independiente Car"/>
    <w:basedOn w:val="Fuentedeprrafopredeter"/>
    <w:link w:val="Sangra2detindependiente"/>
    <w:rsid w:val="00D50257"/>
    <w:rPr>
      <w:rFonts w:ascii="Arial" w:eastAsia="Times New Roman" w:hAnsi="Arial" w:cs="Arial"/>
      <w:sz w:val="28"/>
      <w:szCs w:val="20"/>
      <w:lang w:val="es-ES_tradnl" w:eastAsia="es-ES"/>
    </w:rPr>
  </w:style>
  <w:style w:type="paragraph" w:customStyle="1" w:styleId="Car">
    <w:name w:val="Car"/>
    <w:basedOn w:val="Normal"/>
    <w:rsid w:val="00D50257"/>
    <w:pPr>
      <w:spacing w:after="160" w:line="240" w:lineRule="exact"/>
      <w:jc w:val="right"/>
    </w:pPr>
    <w:rPr>
      <w:rFonts w:ascii="Verdana" w:eastAsia="Times New Roman" w:hAnsi="Verdana" w:cs="Verdana"/>
      <w:sz w:val="20"/>
      <w:szCs w:val="20"/>
    </w:rPr>
  </w:style>
  <w:style w:type="paragraph" w:customStyle="1" w:styleId="Normal0">
    <w:name w:val="[Normal]"/>
    <w:rsid w:val="00401F55"/>
    <w:pPr>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AE46D3"/>
    <w:pPr>
      <w:spacing w:after="0" w:line="240" w:lineRule="auto"/>
      <w:jc w:val="both"/>
    </w:pPr>
    <w:rPr>
      <w:rFonts w:asciiTheme="minorHAnsi" w:eastAsiaTheme="minorHAnsi" w:hAnsiTheme="minorHAnsi" w:cstheme="minorBidi"/>
      <w:vertAlign w:val="superscript"/>
    </w:rPr>
  </w:style>
  <w:style w:type="character" w:styleId="Hipervnculo">
    <w:name w:val="Hyperlink"/>
    <w:basedOn w:val="Fuentedeprrafopredeter"/>
    <w:uiPriority w:val="99"/>
    <w:unhideWhenUsed/>
    <w:rsid w:val="004D51F6"/>
    <w:rPr>
      <w:color w:val="0000FF" w:themeColor="hyperlink"/>
      <w:u w:val="single"/>
    </w:rPr>
  </w:style>
  <w:style w:type="paragraph" w:styleId="NormalWeb">
    <w:name w:val="Normal (Web)"/>
    <w:basedOn w:val="Normal"/>
    <w:uiPriority w:val="99"/>
    <w:semiHidden/>
    <w:unhideWhenUsed/>
    <w:rsid w:val="00B51AD2"/>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PrrafodelistaCar">
    <w:name w:val="Párrafo de lista Car"/>
    <w:aliases w:val="Cita texto Car,AA Párrafo de lista Car,Footnote Car,TEXTO GENERAL SENTENCIAS Car,Párrafo de lista2 Car,Párrafo de lista1 Car,List Paragraph Car,List Paragraph1 Car,Colorful List - Accent 11 Car,Cuadrícula clara - Énfasis 31 Car"/>
    <w:link w:val="Prrafodelista"/>
    <w:uiPriority w:val="34"/>
    <w:rsid w:val="003755C5"/>
    <w:rPr>
      <w:rFonts w:ascii="Calibri" w:eastAsia="Calibri" w:hAnsi="Calibri" w:cs="Times New Roman"/>
    </w:rPr>
  </w:style>
  <w:style w:type="paragraph" w:styleId="Textoindependiente">
    <w:name w:val="Body Text"/>
    <w:basedOn w:val="Normal"/>
    <w:link w:val="TextoindependienteCar"/>
    <w:uiPriority w:val="99"/>
    <w:unhideWhenUsed/>
    <w:rsid w:val="008972B4"/>
    <w:pPr>
      <w:spacing w:after="120"/>
    </w:pPr>
  </w:style>
  <w:style w:type="character" w:customStyle="1" w:styleId="TextoindependienteCar">
    <w:name w:val="Texto independiente Car"/>
    <w:basedOn w:val="Fuentedeprrafopredeter"/>
    <w:link w:val="Textoindependiente"/>
    <w:uiPriority w:val="99"/>
    <w:rsid w:val="008972B4"/>
    <w:rPr>
      <w:rFonts w:ascii="Calibri" w:eastAsia="Calibri" w:hAnsi="Calibri" w:cs="Times New Roman"/>
    </w:rPr>
  </w:style>
  <w:style w:type="paragraph" w:customStyle="1" w:styleId="temp">
    <w:name w:val="temp"/>
    <w:basedOn w:val="Normal"/>
    <w:rsid w:val="000C20D8"/>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Textoindependiente21">
    <w:name w:val="Texto independiente 21"/>
    <w:basedOn w:val="Normal"/>
    <w:rsid w:val="005C0B46"/>
    <w:pPr>
      <w:overflowPunct w:val="0"/>
      <w:autoSpaceDE w:val="0"/>
      <w:autoSpaceDN w:val="0"/>
      <w:adjustRightInd w:val="0"/>
      <w:spacing w:after="0" w:line="240" w:lineRule="auto"/>
      <w:textAlignment w:val="baseline"/>
    </w:pPr>
    <w:rPr>
      <w:rFonts w:ascii="Arial" w:eastAsia="Times New Roman" w:hAnsi="Arial" w:cs="Arial"/>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89444">
      <w:bodyDiv w:val="1"/>
      <w:marLeft w:val="0"/>
      <w:marRight w:val="0"/>
      <w:marTop w:val="0"/>
      <w:marBottom w:val="0"/>
      <w:divBdr>
        <w:top w:val="none" w:sz="0" w:space="0" w:color="auto"/>
        <w:left w:val="none" w:sz="0" w:space="0" w:color="auto"/>
        <w:bottom w:val="none" w:sz="0" w:space="0" w:color="auto"/>
        <w:right w:val="none" w:sz="0" w:space="0" w:color="auto"/>
      </w:divBdr>
    </w:div>
    <w:div w:id="380789097">
      <w:bodyDiv w:val="1"/>
      <w:marLeft w:val="0"/>
      <w:marRight w:val="0"/>
      <w:marTop w:val="0"/>
      <w:marBottom w:val="0"/>
      <w:divBdr>
        <w:top w:val="none" w:sz="0" w:space="0" w:color="auto"/>
        <w:left w:val="none" w:sz="0" w:space="0" w:color="auto"/>
        <w:bottom w:val="none" w:sz="0" w:space="0" w:color="auto"/>
        <w:right w:val="none" w:sz="0" w:space="0" w:color="auto"/>
      </w:divBdr>
    </w:div>
    <w:div w:id="419642343">
      <w:bodyDiv w:val="1"/>
      <w:marLeft w:val="0"/>
      <w:marRight w:val="0"/>
      <w:marTop w:val="0"/>
      <w:marBottom w:val="0"/>
      <w:divBdr>
        <w:top w:val="none" w:sz="0" w:space="0" w:color="auto"/>
        <w:left w:val="none" w:sz="0" w:space="0" w:color="auto"/>
        <w:bottom w:val="none" w:sz="0" w:space="0" w:color="auto"/>
        <w:right w:val="none" w:sz="0" w:space="0" w:color="auto"/>
      </w:divBdr>
      <w:divsChild>
        <w:div w:id="1393575786">
          <w:marLeft w:val="0"/>
          <w:marRight w:val="0"/>
          <w:marTop w:val="0"/>
          <w:marBottom w:val="0"/>
          <w:divBdr>
            <w:top w:val="none" w:sz="0" w:space="0" w:color="auto"/>
            <w:left w:val="none" w:sz="0" w:space="0" w:color="auto"/>
            <w:bottom w:val="none" w:sz="0" w:space="0" w:color="auto"/>
            <w:right w:val="none" w:sz="0" w:space="0" w:color="auto"/>
          </w:divBdr>
          <w:divsChild>
            <w:div w:id="1152714694">
              <w:marLeft w:val="-158"/>
              <w:marRight w:val="-158"/>
              <w:marTop w:val="0"/>
              <w:marBottom w:val="0"/>
              <w:divBdr>
                <w:top w:val="none" w:sz="0" w:space="0" w:color="auto"/>
                <w:left w:val="none" w:sz="0" w:space="0" w:color="auto"/>
                <w:bottom w:val="none" w:sz="0" w:space="0" w:color="auto"/>
                <w:right w:val="none" w:sz="0" w:space="0" w:color="auto"/>
              </w:divBdr>
              <w:divsChild>
                <w:div w:id="646855759">
                  <w:marLeft w:val="0"/>
                  <w:marRight w:val="0"/>
                  <w:marTop w:val="0"/>
                  <w:marBottom w:val="0"/>
                  <w:divBdr>
                    <w:top w:val="none" w:sz="0" w:space="0" w:color="auto"/>
                    <w:left w:val="none" w:sz="0" w:space="0" w:color="auto"/>
                    <w:bottom w:val="none" w:sz="0" w:space="0" w:color="auto"/>
                    <w:right w:val="none" w:sz="0" w:space="0" w:color="auto"/>
                  </w:divBdr>
                </w:div>
              </w:divsChild>
            </w:div>
            <w:div w:id="1893080558">
              <w:marLeft w:val="-158"/>
              <w:marRight w:val="-158"/>
              <w:marTop w:val="0"/>
              <w:marBottom w:val="0"/>
              <w:divBdr>
                <w:top w:val="none" w:sz="0" w:space="0" w:color="auto"/>
                <w:left w:val="none" w:sz="0" w:space="0" w:color="auto"/>
                <w:bottom w:val="none" w:sz="0" w:space="0" w:color="auto"/>
                <w:right w:val="none" w:sz="0" w:space="0" w:color="auto"/>
              </w:divBdr>
              <w:divsChild>
                <w:div w:id="887493317">
                  <w:marLeft w:val="0"/>
                  <w:marRight w:val="0"/>
                  <w:marTop w:val="0"/>
                  <w:marBottom w:val="0"/>
                  <w:divBdr>
                    <w:top w:val="none" w:sz="0" w:space="0" w:color="auto"/>
                    <w:left w:val="none" w:sz="0" w:space="0" w:color="auto"/>
                    <w:bottom w:val="none" w:sz="0" w:space="0" w:color="auto"/>
                    <w:right w:val="none" w:sz="0" w:space="0" w:color="auto"/>
                  </w:divBdr>
                </w:div>
                <w:div w:id="638339392">
                  <w:marLeft w:val="0"/>
                  <w:marRight w:val="0"/>
                  <w:marTop w:val="0"/>
                  <w:marBottom w:val="0"/>
                  <w:divBdr>
                    <w:top w:val="none" w:sz="0" w:space="0" w:color="auto"/>
                    <w:left w:val="none" w:sz="0" w:space="0" w:color="auto"/>
                    <w:bottom w:val="none" w:sz="0" w:space="0" w:color="auto"/>
                    <w:right w:val="none" w:sz="0" w:space="0" w:color="auto"/>
                  </w:divBdr>
                </w:div>
                <w:div w:id="1175346032">
                  <w:marLeft w:val="0"/>
                  <w:marRight w:val="0"/>
                  <w:marTop w:val="0"/>
                  <w:marBottom w:val="0"/>
                  <w:divBdr>
                    <w:top w:val="none" w:sz="0" w:space="0" w:color="auto"/>
                    <w:left w:val="none" w:sz="0" w:space="0" w:color="auto"/>
                    <w:bottom w:val="none" w:sz="0" w:space="0" w:color="auto"/>
                    <w:right w:val="none" w:sz="0" w:space="0" w:color="auto"/>
                  </w:divBdr>
                </w:div>
              </w:divsChild>
            </w:div>
            <w:div w:id="75905464">
              <w:marLeft w:val="-158"/>
              <w:marRight w:val="-158"/>
              <w:marTop w:val="0"/>
              <w:marBottom w:val="0"/>
              <w:divBdr>
                <w:top w:val="none" w:sz="0" w:space="0" w:color="auto"/>
                <w:left w:val="none" w:sz="0" w:space="0" w:color="auto"/>
                <w:bottom w:val="none" w:sz="0" w:space="0" w:color="auto"/>
                <w:right w:val="none" w:sz="0" w:space="0" w:color="auto"/>
              </w:divBdr>
              <w:divsChild>
                <w:div w:id="1312056177">
                  <w:marLeft w:val="0"/>
                  <w:marRight w:val="0"/>
                  <w:marTop w:val="0"/>
                  <w:marBottom w:val="0"/>
                  <w:divBdr>
                    <w:top w:val="none" w:sz="0" w:space="0" w:color="auto"/>
                    <w:left w:val="none" w:sz="0" w:space="0" w:color="auto"/>
                    <w:bottom w:val="none" w:sz="0" w:space="0" w:color="auto"/>
                    <w:right w:val="none" w:sz="0" w:space="0" w:color="auto"/>
                  </w:divBdr>
                </w:div>
                <w:div w:id="462113133">
                  <w:marLeft w:val="0"/>
                  <w:marRight w:val="0"/>
                  <w:marTop w:val="0"/>
                  <w:marBottom w:val="0"/>
                  <w:divBdr>
                    <w:top w:val="none" w:sz="0" w:space="0" w:color="auto"/>
                    <w:left w:val="none" w:sz="0" w:space="0" w:color="auto"/>
                    <w:bottom w:val="none" w:sz="0" w:space="0" w:color="auto"/>
                    <w:right w:val="none" w:sz="0" w:space="0" w:color="auto"/>
                  </w:divBdr>
                </w:div>
                <w:div w:id="204525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488577">
          <w:marLeft w:val="0"/>
          <w:marRight w:val="0"/>
          <w:marTop w:val="0"/>
          <w:marBottom w:val="0"/>
          <w:divBdr>
            <w:top w:val="none" w:sz="0" w:space="0" w:color="auto"/>
            <w:left w:val="none" w:sz="0" w:space="0" w:color="auto"/>
            <w:bottom w:val="none" w:sz="0" w:space="0" w:color="auto"/>
            <w:right w:val="none" w:sz="0" w:space="0" w:color="auto"/>
          </w:divBdr>
        </w:div>
        <w:div w:id="1111972704">
          <w:marLeft w:val="0"/>
          <w:marRight w:val="0"/>
          <w:marTop w:val="0"/>
          <w:marBottom w:val="0"/>
          <w:divBdr>
            <w:top w:val="none" w:sz="0" w:space="0" w:color="auto"/>
            <w:left w:val="none" w:sz="0" w:space="0" w:color="auto"/>
            <w:bottom w:val="none" w:sz="0" w:space="0" w:color="auto"/>
            <w:right w:val="none" w:sz="0" w:space="0" w:color="auto"/>
          </w:divBdr>
        </w:div>
      </w:divsChild>
    </w:div>
    <w:div w:id="700478432">
      <w:bodyDiv w:val="1"/>
      <w:marLeft w:val="0"/>
      <w:marRight w:val="0"/>
      <w:marTop w:val="0"/>
      <w:marBottom w:val="0"/>
      <w:divBdr>
        <w:top w:val="none" w:sz="0" w:space="0" w:color="auto"/>
        <w:left w:val="none" w:sz="0" w:space="0" w:color="auto"/>
        <w:bottom w:val="none" w:sz="0" w:space="0" w:color="auto"/>
        <w:right w:val="none" w:sz="0" w:space="0" w:color="auto"/>
      </w:divBdr>
    </w:div>
    <w:div w:id="895550430">
      <w:bodyDiv w:val="1"/>
      <w:marLeft w:val="0"/>
      <w:marRight w:val="0"/>
      <w:marTop w:val="0"/>
      <w:marBottom w:val="0"/>
      <w:divBdr>
        <w:top w:val="none" w:sz="0" w:space="0" w:color="auto"/>
        <w:left w:val="none" w:sz="0" w:space="0" w:color="auto"/>
        <w:bottom w:val="none" w:sz="0" w:space="0" w:color="auto"/>
        <w:right w:val="none" w:sz="0" w:space="0" w:color="auto"/>
      </w:divBdr>
      <w:divsChild>
        <w:div w:id="1692336229">
          <w:marLeft w:val="0"/>
          <w:marRight w:val="0"/>
          <w:marTop w:val="0"/>
          <w:marBottom w:val="0"/>
          <w:divBdr>
            <w:top w:val="none" w:sz="0" w:space="0" w:color="auto"/>
            <w:left w:val="none" w:sz="0" w:space="0" w:color="auto"/>
            <w:bottom w:val="none" w:sz="0" w:space="0" w:color="auto"/>
            <w:right w:val="none" w:sz="0" w:space="0" w:color="auto"/>
          </w:divBdr>
          <w:divsChild>
            <w:div w:id="528418912">
              <w:marLeft w:val="0"/>
              <w:marRight w:val="0"/>
              <w:marTop w:val="0"/>
              <w:marBottom w:val="0"/>
              <w:divBdr>
                <w:top w:val="none" w:sz="0" w:space="0" w:color="auto"/>
                <w:left w:val="none" w:sz="0" w:space="0" w:color="auto"/>
                <w:bottom w:val="none" w:sz="0" w:space="0" w:color="auto"/>
                <w:right w:val="none" w:sz="0" w:space="0" w:color="auto"/>
              </w:divBdr>
            </w:div>
          </w:divsChild>
        </w:div>
        <w:div w:id="2065178592">
          <w:marLeft w:val="0"/>
          <w:marRight w:val="0"/>
          <w:marTop w:val="0"/>
          <w:marBottom w:val="0"/>
          <w:divBdr>
            <w:top w:val="none" w:sz="0" w:space="0" w:color="auto"/>
            <w:left w:val="none" w:sz="0" w:space="0" w:color="auto"/>
            <w:bottom w:val="none" w:sz="0" w:space="0" w:color="auto"/>
            <w:right w:val="none" w:sz="0" w:space="0" w:color="auto"/>
          </w:divBdr>
          <w:divsChild>
            <w:div w:id="132535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javascript:void(0)"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26FAE-C0FA-4514-A77C-1B517806C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57</Pages>
  <Words>21078</Words>
  <Characters>115931</Characters>
  <Application>Microsoft Office Word</Application>
  <DocSecurity>0</DocSecurity>
  <Lines>966</Lines>
  <Paragraphs>273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136736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Tere</cp:lastModifiedBy>
  <cp:revision>7</cp:revision>
  <cp:lastPrinted>2026-06-15T22:46:00Z</cp:lastPrinted>
  <dcterms:created xsi:type="dcterms:W3CDTF">2026-06-15T20:31:00Z</dcterms:created>
  <dcterms:modified xsi:type="dcterms:W3CDTF">2026-07-02T18:43:00Z</dcterms:modified>
</cp:coreProperties>
</file>