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CFF1F71"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63D8E">
        <w:rPr>
          <w:rFonts w:ascii="AvantGarde Bk BT" w:hAnsi="AvantGarde Bk BT" w:cs="Arial"/>
          <w:b/>
          <w:color w:val="000000" w:themeColor="text1"/>
          <w:sz w:val="24"/>
          <w:szCs w:val="24"/>
        </w:rPr>
        <w:t>1005</w:t>
      </w:r>
      <w:r w:rsidR="00126008">
        <w:rPr>
          <w:rFonts w:ascii="AvantGarde Bk BT" w:hAnsi="AvantGarde Bk BT" w:cs="Arial"/>
          <w:b/>
          <w:color w:val="000000" w:themeColor="text1"/>
          <w:sz w:val="24"/>
          <w:szCs w:val="24"/>
        </w:rPr>
        <w:t>/</w:t>
      </w:r>
      <w:r w:rsidR="00710E8F">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43117F3C" w:rsidR="0004274F" w:rsidRPr="007C5605" w:rsidRDefault="00E53B90"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MUNICIPIO DE </w:t>
      </w:r>
      <w:r w:rsidR="00D63D8E">
        <w:rPr>
          <w:rFonts w:ascii="AvantGarde Bk BT" w:hAnsi="AvantGarde Bk BT" w:cs="Arial"/>
          <w:b/>
          <w:color w:val="000000" w:themeColor="text1"/>
          <w:sz w:val="24"/>
          <w:szCs w:val="24"/>
        </w:rPr>
        <w:t>TAMAZUNCHALE</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20384FB9"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D63D8E">
        <w:rPr>
          <w:rFonts w:ascii="AvantGarde Bk BT" w:hAnsi="AvantGarde Bk BT" w:cs="Arial"/>
          <w:color w:val="000000" w:themeColor="text1"/>
          <w:sz w:val="24"/>
          <w:szCs w:val="24"/>
        </w:rPr>
        <w:t>quince de enero de dos mil 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446A4C18"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D63D8E">
        <w:rPr>
          <w:rFonts w:ascii="AvantGarde Bk BT" w:hAnsi="AvantGarde Bk BT" w:cs="Arial"/>
          <w:color w:val="000000" w:themeColor="text1"/>
          <w:sz w:val="24"/>
          <w:szCs w:val="24"/>
        </w:rPr>
        <w:t>ocho</w:t>
      </w:r>
      <w:r w:rsidR="00E53B90">
        <w:rPr>
          <w:rFonts w:ascii="AvantGarde Bk BT" w:hAnsi="AvantGarde Bk BT" w:cs="Arial"/>
          <w:color w:val="000000" w:themeColor="text1"/>
          <w:sz w:val="24"/>
          <w:szCs w:val="24"/>
        </w:rPr>
        <w:t xml:space="preserve"> de octubre</w:t>
      </w:r>
      <w:r w:rsidR="00710E8F">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E53B9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D63D8E">
        <w:rPr>
          <w:rFonts w:ascii="AvantGarde Bk BT" w:hAnsi="AvantGarde Bk BT" w:cs="Arial"/>
          <w:b/>
          <w:color w:val="000000" w:themeColor="text1"/>
          <w:sz w:val="24"/>
          <w:szCs w:val="24"/>
        </w:rPr>
        <w:t>MUNICIPIO DE TAMAZUNCHALE</w:t>
      </w:r>
      <w:r w:rsidR="00D63D8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la Plataforma Nacional de Transparencia y quedó registrada con el número de folio 24</w:t>
      </w:r>
      <w:r w:rsidR="00493DB3">
        <w:rPr>
          <w:rFonts w:ascii="AvantGarde Bk BT" w:hAnsi="AvantGarde Bk BT" w:cs="Arial"/>
          <w:color w:val="000000" w:themeColor="text1"/>
          <w:sz w:val="24"/>
          <w:szCs w:val="24"/>
        </w:rPr>
        <w:t>047</w:t>
      </w:r>
      <w:r w:rsidR="00D63D8E">
        <w:rPr>
          <w:rFonts w:ascii="AvantGarde Bk BT" w:hAnsi="AvantGarde Bk BT" w:cs="Arial"/>
          <w:color w:val="000000" w:themeColor="text1"/>
          <w:sz w:val="24"/>
          <w:szCs w:val="24"/>
        </w:rPr>
        <w:t>52</w:t>
      </w:r>
      <w:r w:rsidR="00710E8F">
        <w:rPr>
          <w:rFonts w:ascii="AvantGarde Bk BT" w:hAnsi="AvantGarde Bk BT" w:cs="Arial"/>
          <w:color w:val="000000" w:themeColor="text1"/>
          <w:sz w:val="24"/>
          <w:szCs w:val="24"/>
        </w:rPr>
        <w:t>25000</w:t>
      </w:r>
      <w:r w:rsidR="00D63D8E">
        <w:rPr>
          <w:rFonts w:ascii="AvantGarde Bk BT" w:hAnsi="AvantGarde Bk BT" w:cs="Arial"/>
          <w:color w:val="000000" w:themeColor="text1"/>
          <w:sz w:val="24"/>
          <w:szCs w:val="24"/>
        </w:rPr>
        <w:t>056</w:t>
      </w:r>
      <w:r>
        <w:rPr>
          <w:rFonts w:ascii="AvantGarde Bk BT" w:hAnsi="AvantGarde Bk BT" w:cs="Arial"/>
          <w:color w:val="000000" w:themeColor="text1"/>
          <w:sz w:val="24"/>
          <w:szCs w:val="24"/>
        </w:rPr>
        <w:t xml:space="preserve"> (Visible de foja </w:t>
      </w:r>
      <w:r w:rsidR="00D63D8E">
        <w:rPr>
          <w:rFonts w:ascii="AvantGarde Bk BT" w:hAnsi="AvantGarde Bk BT" w:cs="Arial"/>
          <w:color w:val="000000" w:themeColor="text1"/>
          <w:sz w:val="24"/>
          <w:szCs w:val="24"/>
        </w:rPr>
        <w:t>07 y 08</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5C77F87" w14:textId="40226FA1" w:rsidR="00476D4C" w:rsidRPr="00476D4C"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012503">
        <w:rPr>
          <w:rFonts w:ascii="AvantGarde Bk BT" w:hAnsi="AvantGarde Bk BT" w:cs="Arial"/>
          <w:b/>
          <w:color w:val="000000" w:themeColor="text1"/>
          <w:sz w:val="24"/>
          <w:szCs w:val="24"/>
        </w:rPr>
        <w:t>Respuesta de la solicitud de información</w:t>
      </w:r>
      <w:r w:rsidR="00476D4C" w:rsidRPr="003E53AD">
        <w:rPr>
          <w:rFonts w:ascii="AvantGarde Bk BT" w:hAnsi="AvantGarde Bk BT" w:cs="Arial"/>
          <w:b/>
          <w:color w:val="000000" w:themeColor="text1"/>
          <w:sz w:val="24"/>
          <w:szCs w:val="24"/>
        </w:rPr>
        <w:t xml:space="preserve">. </w:t>
      </w:r>
      <w:r w:rsidR="00E53B90">
        <w:rPr>
          <w:rFonts w:ascii="AvantGarde Bk BT" w:hAnsi="AvantGarde Bk BT" w:cs="Arial"/>
          <w:color w:val="000000" w:themeColor="text1"/>
          <w:sz w:val="24"/>
          <w:szCs w:val="24"/>
        </w:rPr>
        <w:t>El</w:t>
      </w:r>
      <w:r w:rsidR="00476D4C" w:rsidRPr="003E53AD">
        <w:rPr>
          <w:rFonts w:ascii="AvantGarde Bk BT" w:hAnsi="AvantGarde Bk BT" w:cs="Arial"/>
          <w:color w:val="000000" w:themeColor="text1"/>
          <w:sz w:val="24"/>
          <w:szCs w:val="24"/>
        </w:rPr>
        <w:t xml:space="preserve"> </w:t>
      </w:r>
      <w:r w:rsidR="00D63D8E">
        <w:rPr>
          <w:rFonts w:ascii="AvantGarde Bk BT" w:hAnsi="AvantGarde Bk BT" w:cs="Arial"/>
          <w:b/>
          <w:color w:val="000000" w:themeColor="text1"/>
          <w:sz w:val="24"/>
          <w:szCs w:val="24"/>
        </w:rPr>
        <w:t>MUNICIPIO DE TAMAZUNCHALE</w:t>
      </w:r>
      <w:r w:rsidR="00012503">
        <w:rPr>
          <w:rFonts w:ascii="AvantGarde Bk BT" w:hAnsi="AvantGarde Bk BT" w:cs="Arial"/>
          <w:color w:val="000000" w:themeColor="text1"/>
          <w:sz w:val="24"/>
          <w:szCs w:val="24"/>
        </w:rPr>
        <w:t xml:space="preserve"> respondió</w:t>
      </w:r>
      <w:r w:rsidR="00476D4C" w:rsidRPr="00F56862">
        <w:rPr>
          <w:rFonts w:ascii="AvantGarde Bk BT" w:hAnsi="AvantGarde Bk BT" w:cs="Arial"/>
          <w:color w:val="000000" w:themeColor="text1"/>
          <w:sz w:val="24"/>
          <w:szCs w:val="24"/>
        </w:rPr>
        <w:t xml:space="preserve"> la solicitud de información el </w:t>
      </w:r>
      <w:r w:rsidR="00D63D8E">
        <w:rPr>
          <w:rFonts w:ascii="AvantGarde Bk BT" w:hAnsi="AvantGarde Bk BT" w:cs="Arial"/>
          <w:color w:val="000000" w:themeColor="text1"/>
          <w:sz w:val="24"/>
          <w:szCs w:val="24"/>
        </w:rPr>
        <w:t xml:space="preserve">cuatro </w:t>
      </w:r>
      <w:r w:rsidR="00E53B90">
        <w:rPr>
          <w:rFonts w:ascii="AvantGarde Bk BT" w:hAnsi="AvantGarde Bk BT" w:cs="Arial"/>
          <w:color w:val="000000" w:themeColor="text1"/>
          <w:sz w:val="24"/>
          <w:szCs w:val="24"/>
        </w:rPr>
        <w:t>de noviembre</w:t>
      </w:r>
      <w:r w:rsidR="00710E8F">
        <w:rPr>
          <w:rFonts w:ascii="AvantGarde Bk BT" w:hAnsi="AvantGarde Bk BT" w:cs="Arial"/>
          <w:color w:val="000000" w:themeColor="text1"/>
          <w:sz w:val="24"/>
          <w:szCs w:val="24"/>
        </w:rPr>
        <w:t xml:space="preserve"> de dos mil veinticinco</w:t>
      </w:r>
      <w:r w:rsidR="00476D4C">
        <w:rPr>
          <w:rFonts w:ascii="AvantGarde Bk BT" w:hAnsi="AvantGarde Bk BT" w:cs="Arial"/>
          <w:color w:val="000000" w:themeColor="text1"/>
          <w:sz w:val="24"/>
          <w:szCs w:val="24"/>
        </w:rPr>
        <w:t>. (Visible a foja</w:t>
      </w:r>
      <w:r w:rsidR="00493DB3">
        <w:rPr>
          <w:rFonts w:ascii="AvantGarde Bk BT" w:hAnsi="AvantGarde Bk BT" w:cs="Arial"/>
          <w:color w:val="000000" w:themeColor="text1"/>
          <w:sz w:val="24"/>
          <w:szCs w:val="24"/>
        </w:rPr>
        <w:t xml:space="preserve"> </w:t>
      </w:r>
      <w:r w:rsidR="00D63D8E">
        <w:rPr>
          <w:rFonts w:ascii="AvantGarde Bk BT" w:hAnsi="AvantGarde Bk BT" w:cs="Arial"/>
          <w:color w:val="000000" w:themeColor="text1"/>
          <w:sz w:val="24"/>
          <w:szCs w:val="24"/>
        </w:rPr>
        <w:t>10 a 17</w:t>
      </w:r>
      <w:r w:rsidR="00476D4C" w:rsidRPr="00F56862">
        <w:rPr>
          <w:rFonts w:ascii="AvantGarde Bk BT" w:hAnsi="AvantGarde Bk BT" w:cs="Arial"/>
          <w:color w:val="000000" w:themeColor="text1"/>
          <w:sz w:val="24"/>
          <w:szCs w:val="24"/>
        </w:rPr>
        <w:t xml:space="preserve"> de autos.)</w:t>
      </w:r>
    </w:p>
    <w:p w14:paraId="6E0B267D" w14:textId="1E0BFAFD" w:rsidR="00CB72BB" w:rsidRPr="00CB72BB" w:rsidRDefault="00476D4C"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D63D8E">
        <w:rPr>
          <w:rFonts w:ascii="AvantGarde Bk BT" w:hAnsi="AvantGarde Bk BT" w:cs="Arial"/>
          <w:color w:val="000000" w:themeColor="text1"/>
          <w:sz w:val="24"/>
          <w:szCs w:val="24"/>
        </w:rPr>
        <w:t>diecisiete</w:t>
      </w:r>
      <w:r w:rsidR="00E53B90">
        <w:rPr>
          <w:rFonts w:ascii="AvantGarde Bk BT" w:hAnsi="AvantGarde Bk BT" w:cs="Arial"/>
          <w:color w:val="000000" w:themeColor="text1"/>
          <w:sz w:val="24"/>
          <w:szCs w:val="24"/>
        </w:rPr>
        <w:t xml:space="preserve"> de noviembre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710E8F">
        <w:rPr>
          <w:rFonts w:ascii="AvantGarde Bk BT" w:hAnsi="AvantGarde Bk BT" w:cs="Arial"/>
          <w:color w:val="000000" w:themeColor="text1"/>
          <w:sz w:val="24"/>
          <w:szCs w:val="24"/>
        </w:rPr>
        <w:t xml:space="preserve">la persona solicitante </w:t>
      </w:r>
      <w:r w:rsidR="00AD5E3A" w:rsidRPr="007C5605">
        <w:rPr>
          <w:rFonts w:ascii="AvantGarde Bk BT" w:hAnsi="AvantGarde Bk BT" w:cs="Arial"/>
          <w:color w:val="000000" w:themeColor="text1"/>
          <w:sz w:val="24"/>
          <w:szCs w:val="24"/>
        </w:rPr>
        <w:t xml:space="preserve">de la información interpuso el recurso de revisión en contra de la </w:t>
      </w:r>
      <w:r w:rsidR="00710E8F">
        <w:rPr>
          <w:rFonts w:ascii="AvantGarde Bk BT" w:hAnsi="AvantGarde Bk BT" w:cs="Arial"/>
          <w:color w:val="000000" w:themeColor="text1"/>
          <w:sz w:val="24"/>
          <w:szCs w:val="24"/>
        </w:rPr>
        <w:t>respuesta</w:t>
      </w:r>
      <w:r w:rsidR="00AD5E3A">
        <w:rPr>
          <w:rFonts w:ascii="AvantGarde Bk BT" w:hAnsi="AvantGarde Bk BT" w:cs="Arial"/>
          <w:color w:val="000000" w:themeColor="text1"/>
          <w:sz w:val="24"/>
          <w:szCs w:val="24"/>
        </w:rPr>
        <w:t>. (visible de foja 01 de autos.)</w:t>
      </w:r>
    </w:p>
    <w:p w14:paraId="376947CB" w14:textId="4957C5B9" w:rsidR="004E2C5A" w:rsidRDefault="00FE766A"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D63D8E">
        <w:rPr>
          <w:rFonts w:ascii="AvantGarde Bk BT" w:hAnsi="AvantGarde Bk BT" w:cs="Arial"/>
          <w:color w:val="000000" w:themeColor="text1"/>
          <w:sz w:val="24"/>
          <w:szCs w:val="24"/>
        </w:rPr>
        <w:t>veinte</w:t>
      </w:r>
      <w:r w:rsidR="00E53B90">
        <w:rPr>
          <w:rFonts w:ascii="AvantGarde Bk BT" w:hAnsi="AvantGarde Bk BT" w:cs="Arial"/>
          <w:color w:val="000000" w:themeColor="text1"/>
          <w:sz w:val="24"/>
          <w:szCs w:val="24"/>
        </w:rPr>
        <w:t xml:space="preserve"> de noviembre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w:t>
      </w:r>
      <w:r w:rsidR="00AD5E3A" w:rsidRPr="007C5605">
        <w:rPr>
          <w:rFonts w:ascii="AvantGarde Bk BT" w:hAnsi="AvantGarde Bk BT" w:cs="Arial"/>
          <w:color w:val="000000" w:themeColor="text1"/>
          <w:sz w:val="24"/>
          <w:szCs w:val="24"/>
        </w:rPr>
        <w:lastRenderedPageBreak/>
        <w:t xml:space="preserve">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709EE795" w14:textId="52D9FA10" w:rsidR="00710E8F" w:rsidRPr="007C5605" w:rsidRDefault="00FE766A" w:rsidP="00710E8F">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710E8F" w:rsidRPr="003D5C15">
        <w:rPr>
          <w:rFonts w:ascii="AvantGarde Bk BT" w:hAnsi="AvantGarde Bk BT" w:cs="Arial"/>
          <w:b/>
          <w:color w:val="000000" w:themeColor="text1"/>
          <w:sz w:val="24"/>
          <w:szCs w:val="24"/>
        </w:rPr>
        <w:t>Auto de admisión</w:t>
      </w:r>
      <w:r w:rsidR="00710E8F">
        <w:rPr>
          <w:rFonts w:ascii="AvantGarde Bk BT" w:hAnsi="AvantGarde Bk BT" w:cs="Arial"/>
          <w:color w:val="000000" w:themeColor="text1"/>
          <w:sz w:val="24"/>
          <w:szCs w:val="24"/>
        </w:rPr>
        <w:t xml:space="preserve">. Por proveído de </w:t>
      </w:r>
      <w:r w:rsidR="00D63D8E">
        <w:rPr>
          <w:rFonts w:ascii="AvantGarde Bk BT" w:hAnsi="AvantGarde Bk BT" w:cs="Arial"/>
          <w:color w:val="000000" w:themeColor="text1"/>
          <w:sz w:val="24"/>
          <w:szCs w:val="24"/>
        </w:rPr>
        <w:t>veinticuatro</w:t>
      </w:r>
      <w:r w:rsidR="00E53B90">
        <w:rPr>
          <w:rFonts w:ascii="AvantGarde Bk BT" w:hAnsi="AvantGarde Bk BT" w:cs="Arial"/>
          <w:color w:val="000000" w:themeColor="text1"/>
          <w:sz w:val="24"/>
          <w:szCs w:val="24"/>
        </w:rPr>
        <w:t xml:space="preserve"> de noviembre</w:t>
      </w:r>
      <w:r w:rsidR="00710E8F">
        <w:rPr>
          <w:rFonts w:ascii="AvantGarde Bk BT" w:hAnsi="AvantGarde Bk BT" w:cs="Arial"/>
          <w:color w:val="000000" w:themeColor="text1"/>
          <w:sz w:val="24"/>
          <w:szCs w:val="24"/>
        </w:rPr>
        <w:t xml:space="preserve"> de dos mil veinticinco, esta Comisión</w:t>
      </w:r>
      <w:r w:rsidR="00710E8F" w:rsidRPr="007C5605">
        <w:rPr>
          <w:rFonts w:ascii="AvantGarde Bk BT" w:hAnsi="AvantGarde Bk BT" w:cs="Arial"/>
          <w:color w:val="000000" w:themeColor="text1"/>
          <w:sz w:val="24"/>
          <w:szCs w:val="24"/>
        </w:rPr>
        <w:t>:</w:t>
      </w:r>
    </w:p>
    <w:p w14:paraId="4A06450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D92DBE1" w14:textId="7C8D806A" w:rsidR="00710E8F" w:rsidRPr="00D85914"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183EF3">
        <w:rPr>
          <w:rFonts w:ascii="AvantGarde Bk BT" w:hAnsi="AvantGarde Bk BT" w:cs="Arial"/>
          <w:b/>
          <w:color w:val="000000" w:themeColor="text1"/>
          <w:sz w:val="24"/>
          <w:szCs w:val="24"/>
        </w:rPr>
        <w:t>RR-</w:t>
      </w:r>
      <w:r w:rsidR="00D63D8E">
        <w:rPr>
          <w:rFonts w:ascii="AvantGarde Bk BT" w:hAnsi="AvantGarde Bk BT" w:cs="Arial"/>
          <w:b/>
          <w:color w:val="000000" w:themeColor="text1"/>
          <w:sz w:val="24"/>
          <w:szCs w:val="24"/>
        </w:rPr>
        <w:t>1005</w:t>
      </w:r>
      <w:r>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360A4BBD"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44085505" w14:textId="79EDAF31"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E53B90">
        <w:rPr>
          <w:rFonts w:ascii="AvantGarde Bk BT" w:hAnsi="AvantGarde Bk BT" w:cs="Arial"/>
          <w:b/>
          <w:color w:val="000000" w:themeColor="text1"/>
          <w:sz w:val="24"/>
          <w:szCs w:val="24"/>
        </w:rPr>
        <w:t>I</w:t>
      </w:r>
      <w:r w:rsidR="00D63D8E">
        <w:rPr>
          <w:rFonts w:ascii="AvantGarde Bk BT" w:hAnsi="AvantGarde Bk BT" w:cs="Arial"/>
          <w:b/>
          <w:color w:val="000000" w:themeColor="text1"/>
          <w:sz w:val="24"/>
          <w:szCs w:val="24"/>
        </w:rPr>
        <w:t>V</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0EB285F9" w14:textId="13921275" w:rsidR="00710E8F" w:rsidRPr="00D6546A"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w:t>
      </w:r>
      <w:r w:rsidR="0032179E" w:rsidRPr="0032179E">
        <w:rPr>
          <w:rFonts w:ascii="AvantGarde Bk BT" w:hAnsi="AvantGarde Bk BT" w:cs="Arial"/>
          <w:b/>
          <w:color w:val="000000" w:themeColor="text1"/>
          <w:sz w:val="24"/>
          <w:szCs w:val="24"/>
        </w:rPr>
        <w:t xml:space="preserve"> </w:t>
      </w:r>
      <w:r w:rsidR="00D63D8E">
        <w:rPr>
          <w:rFonts w:ascii="AvantGarde Bk BT" w:hAnsi="AvantGarde Bk BT" w:cs="Arial"/>
          <w:b/>
          <w:color w:val="000000" w:themeColor="text1"/>
          <w:sz w:val="24"/>
          <w:szCs w:val="24"/>
        </w:rPr>
        <w:t>MUNICIPIO DE TAMAZUNCHALE</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71CA5D2C"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B655844"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9F82F7F"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 xml:space="preserve">percibió que </w:t>
      </w:r>
      <w:r w:rsidRPr="001A743D">
        <w:rPr>
          <w:rFonts w:ascii="AvantGarde Bk BT" w:hAnsi="AvantGarde Bk BT" w:cs="Arial"/>
          <w:color w:val="000000" w:themeColor="text1"/>
          <w:sz w:val="24"/>
          <w:szCs w:val="24"/>
        </w:rPr>
        <w:lastRenderedPageBreak/>
        <w:t>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14312A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B633113" w14:textId="6E4685F1" w:rsidR="00133C46" w:rsidRPr="0032179E" w:rsidRDefault="00710E8F" w:rsidP="00450BFD">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71692DC7" w14:textId="03AD50A6" w:rsidR="00D63D8E" w:rsidRPr="00D63D8E" w:rsidRDefault="00BC312E" w:rsidP="00D63D8E">
      <w:pPr>
        <w:pStyle w:val="corte4fondo"/>
        <w:tabs>
          <w:tab w:val="left" w:pos="567"/>
        </w:tabs>
        <w:rPr>
          <w:rFonts w:ascii="AvantGarde Bk BT" w:hAnsi="AvantGarde Bk BT" w:cs="Arial"/>
          <w:color w:val="000000" w:themeColor="text1"/>
          <w:sz w:val="24"/>
          <w:szCs w:val="24"/>
        </w:rPr>
      </w:pPr>
      <w:r w:rsidRPr="00DC67E0">
        <w:rPr>
          <w:rFonts w:ascii="AvantGarde Bk BT" w:hAnsi="AvantGarde Bk BT" w:cs="Arial"/>
          <w:b/>
          <w:color w:val="000000" w:themeColor="text1"/>
          <w:sz w:val="24"/>
          <w:szCs w:val="24"/>
        </w:rPr>
        <w:t xml:space="preserve">SEXTO. </w:t>
      </w:r>
      <w:r w:rsidR="00D63D8E">
        <w:rPr>
          <w:rFonts w:ascii="AvantGarde Bk BT" w:hAnsi="AvantGarde Bk BT" w:cs="Arial"/>
          <w:b/>
          <w:color w:val="000000" w:themeColor="text1"/>
          <w:sz w:val="24"/>
          <w:szCs w:val="24"/>
        </w:rPr>
        <w:t>Recepción del informe del sujeto obligado y c</w:t>
      </w:r>
      <w:r w:rsidR="0032179E" w:rsidRPr="00DC67E0">
        <w:rPr>
          <w:rFonts w:ascii="AvantGarde Bk BT" w:hAnsi="AvantGarde Bk BT" w:cs="Arial"/>
          <w:b/>
          <w:color w:val="000000" w:themeColor="text1"/>
          <w:sz w:val="24"/>
          <w:szCs w:val="24"/>
        </w:rPr>
        <w:t>ierre de instrucción.</w:t>
      </w:r>
      <w:r w:rsidR="0032179E" w:rsidRPr="00DC67E0">
        <w:rPr>
          <w:rFonts w:ascii="AvantGarde Bk BT" w:hAnsi="AvantGarde Bk BT" w:cs="Arial"/>
          <w:color w:val="000000" w:themeColor="text1"/>
          <w:sz w:val="24"/>
          <w:szCs w:val="24"/>
        </w:rPr>
        <w:t xml:space="preserve"> </w:t>
      </w:r>
      <w:r w:rsidR="00D63D8E" w:rsidRPr="00D63D8E">
        <w:rPr>
          <w:rFonts w:ascii="AvantGarde Bk BT" w:hAnsi="AvantGarde Bk BT" w:cs="Arial"/>
          <w:color w:val="000000" w:themeColor="text1"/>
          <w:sz w:val="24"/>
          <w:szCs w:val="24"/>
        </w:rPr>
        <w:t xml:space="preserve">Mediante el auto del </w:t>
      </w:r>
      <w:r w:rsidR="00D63D8E">
        <w:rPr>
          <w:rFonts w:ascii="AvantGarde Bk BT" w:hAnsi="AvantGarde Bk BT" w:cs="Arial"/>
          <w:color w:val="000000" w:themeColor="text1"/>
          <w:sz w:val="24"/>
          <w:szCs w:val="24"/>
        </w:rPr>
        <w:t>cinco de diciembre</w:t>
      </w:r>
      <w:r w:rsidR="00D63D8E" w:rsidRPr="00D63D8E">
        <w:rPr>
          <w:rFonts w:ascii="AvantGarde Bk BT" w:hAnsi="AvantGarde Bk BT" w:cs="Arial"/>
          <w:color w:val="000000" w:themeColor="text1"/>
          <w:sz w:val="24"/>
          <w:szCs w:val="24"/>
        </w:rPr>
        <w:t xml:space="preserve"> de dos mil veinticinco, esta Comisión:</w:t>
      </w:r>
    </w:p>
    <w:p w14:paraId="6B0E28A5" w14:textId="51CDDA12" w:rsidR="00D63D8E" w:rsidRPr="00D63D8E" w:rsidRDefault="00015F0E" w:rsidP="00D63D8E">
      <w:pPr>
        <w:pStyle w:val="corte4fondo"/>
        <w:numPr>
          <w:ilvl w:val="0"/>
          <w:numId w:val="44"/>
        </w:numPr>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 a los autos copia d</w:t>
      </w:r>
      <w:r w:rsidR="00D63D8E" w:rsidRPr="00D63D8E">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 xml:space="preserve">correo electrónico recibido el cuatro de diciembre de dos mil veinticinco en la bandeja de entrada del correo electrónico institucional de la Ponencia instructora, mediante el cual Alejandro Juárez López, Titular de la Unidad de Transparencia del sujeto obligado, remitió el </w:t>
      </w:r>
      <w:r w:rsidR="00D63D8E" w:rsidRPr="00D63D8E">
        <w:rPr>
          <w:rFonts w:ascii="AvantGarde Bk BT" w:hAnsi="AvantGarde Bk BT" w:cs="Arial"/>
          <w:color w:val="000000" w:themeColor="text1"/>
          <w:sz w:val="24"/>
          <w:szCs w:val="24"/>
        </w:rPr>
        <w:t xml:space="preserve">oficio </w:t>
      </w:r>
      <w:r>
        <w:rPr>
          <w:rFonts w:ascii="AvantGarde Bk BT" w:hAnsi="AvantGarde Bk BT" w:cs="Arial"/>
          <w:color w:val="000000" w:themeColor="text1"/>
          <w:sz w:val="24"/>
          <w:szCs w:val="24"/>
        </w:rPr>
        <w:t>UIP-342/2024-2027 y su anexo</w:t>
      </w:r>
      <w:r w:rsidR="00D63D8E" w:rsidRPr="00D63D8E">
        <w:rPr>
          <w:rFonts w:ascii="AvantGarde Bk BT" w:hAnsi="AvantGarde Bk BT" w:cs="Arial"/>
          <w:color w:val="000000" w:themeColor="text1"/>
          <w:sz w:val="24"/>
          <w:szCs w:val="24"/>
        </w:rPr>
        <w:t>.</w:t>
      </w:r>
    </w:p>
    <w:p w14:paraId="193A3DCD" w14:textId="77777777" w:rsidR="00D63D8E" w:rsidRPr="00D63D8E" w:rsidRDefault="00D63D8E" w:rsidP="00D63D8E">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Recibió el informe rendido por parte del sujeto obligado, así como las pruebas de su intención.</w:t>
      </w:r>
    </w:p>
    <w:p w14:paraId="6A619EB0" w14:textId="77777777" w:rsidR="00D63D8E" w:rsidRPr="00D63D8E" w:rsidRDefault="00D63D8E" w:rsidP="00D63D8E">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En cuanto al peticionario, feneció el plazo para que presentara pruebas y manifestara lo que a su derecho conviniera.</w:t>
      </w:r>
    </w:p>
    <w:p w14:paraId="3E11AF23" w14:textId="77777777" w:rsidR="00D63D8E" w:rsidRPr="00D63D8E" w:rsidRDefault="00D63D8E" w:rsidP="00D63D8E">
      <w:pPr>
        <w:pStyle w:val="corte4fondo"/>
        <w:numPr>
          <w:ilvl w:val="0"/>
          <w:numId w:val="44"/>
        </w:numPr>
        <w:rPr>
          <w:rFonts w:ascii="AvantGarde Bk BT" w:hAnsi="AvantGarde Bk BT" w:cs="Arial"/>
          <w:color w:val="000000" w:themeColor="text1"/>
          <w:sz w:val="24"/>
          <w:szCs w:val="24"/>
        </w:rPr>
      </w:pPr>
      <w:r w:rsidRPr="00D63D8E">
        <w:rPr>
          <w:rFonts w:ascii="AvantGarde Bk BT" w:hAnsi="AvantGarde Bk BT" w:cs="Arial"/>
          <w:color w:val="000000" w:themeColor="text1"/>
          <w:sz w:val="24"/>
          <w:szCs w:val="24"/>
        </w:rPr>
        <w:t xml:space="preserve">Finalmente, el Ponente decretó el cierre del periodo de instrucción con fundamento en lo previsto por el artículo 174, fracciones V y VII de la Ley de la materia y procedió a elaborar el proyecto de resolución.  </w:t>
      </w:r>
    </w:p>
    <w:p w14:paraId="3E5756A6" w14:textId="054634ED" w:rsidR="00DC67E0" w:rsidRDefault="00DC67E0" w:rsidP="00D63D8E">
      <w:pPr>
        <w:pStyle w:val="corte4fondo"/>
        <w:tabs>
          <w:tab w:val="left" w:pos="567"/>
        </w:tabs>
        <w:rPr>
          <w:rFonts w:ascii="AvantGarde Bk BT" w:hAnsi="AvantGarde Bk BT" w:cs="Arial"/>
          <w:color w:val="000000" w:themeColor="text1"/>
          <w:sz w:val="24"/>
          <w:szCs w:val="24"/>
        </w:rPr>
      </w:pP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5BAC4E90"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015F0E">
        <w:rPr>
          <w:rFonts w:ascii="AvantGarde Bk BT" w:hAnsi="AvantGarde Bk BT" w:cs="Arial"/>
          <w:color w:val="000000" w:themeColor="text1"/>
          <w:sz w:val="24"/>
          <w:szCs w:val="24"/>
        </w:rPr>
        <w:t>cuatro</w:t>
      </w:r>
      <w:r w:rsidR="00E53B90">
        <w:rPr>
          <w:rFonts w:ascii="AvantGarde Bk BT" w:hAnsi="AvantGarde Bk BT" w:cs="Arial"/>
          <w:color w:val="000000" w:themeColor="text1"/>
          <w:sz w:val="24"/>
          <w:szCs w:val="24"/>
        </w:rPr>
        <w:t xml:space="preserve"> de noviembre</w:t>
      </w:r>
      <w:r w:rsidR="002239D8">
        <w:rPr>
          <w:rFonts w:ascii="AvantGarde Bk BT" w:hAnsi="AvantGarde Bk BT" w:cs="Arial"/>
          <w:color w:val="000000" w:themeColor="text1"/>
          <w:sz w:val="24"/>
          <w:szCs w:val="24"/>
        </w:rPr>
        <w:t xml:space="preserve"> de dos mil veinticinco</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2E9EE895"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015F0E">
        <w:rPr>
          <w:rFonts w:ascii="AvantGarde Bk BT" w:hAnsi="AvantGarde Bk BT" w:cs="Arial"/>
          <w:color w:val="000000" w:themeColor="text1"/>
          <w:sz w:val="24"/>
          <w:szCs w:val="24"/>
        </w:rPr>
        <w:t>cinco</w:t>
      </w:r>
      <w:r w:rsidR="00E53B90">
        <w:rPr>
          <w:rFonts w:ascii="AvantGarde Bk BT" w:hAnsi="AvantGarde Bk BT" w:cs="Arial"/>
          <w:color w:val="000000" w:themeColor="text1"/>
          <w:sz w:val="24"/>
          <w:szCs w:val="24"/>
        </w:rPr>
        <w:t xml:space="preserve"> al veinti</w:t>
      </w:r>
      <w:r w:rsidR="00015F0E">
        <w:rPr>
          <w:rFonts w:ascii="AvantGarde Bk BT" w:hAnsi="AvantGarde Bk BT" w:cs="Arial"/>
          <w:color w:val="000000" w:themeColor="text1"/>
          <w:sz w:val="24"/>
          <w:szCs w:val="24"/>
        </w:rPr>
        <w:t>séis</w:t>
      </w:r>
      <w:r w:rsidR="00E53B90">
        <w:rPr>
          <w:rFonts w:ascii="AvantGarde Bk BT" w:hAnsi="AvantGarde Bk BT" w:cs="Arial"/>
          <w:color w:val="000000" w:themeColor="text1"/>
          <w:sz w:val="24"/>
          <w:szCs w:val="24"/>
        </w:rPr>
        <w:t xml:space="preserve"> de noviembre </w:t>
      </w:r>
      <w:r w:rsidR="002239D8">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sin tomar en cuenta el </w:t>
      </w:r>
      <w:r w:rsidR="00E53B90">
        <w:rPr>
          <w:rFonts w:ascii="AvantGarde Bk BT" w:hAnsi="AvantGarde Bk BT" w:cs="Arial"/>
          <w:color w:val="000000" w:themeColor="text1"/>
          <w:sz w:val="24"/>
          <w:szCs w:val="24"/>
        </w:rPr>
        <w:t>ocho, nueve, quince, dieciséis, diecisiete, veintidós y veintitrés de noviembre</w:t>
      </w:r>
      <w:r w:rsidR="002239D8">
        <w:rPr>
          <w:rFonts w:ascii="AvantGarde Bk BT" w:hAnsi="AvantGarde Bk BT" w:cs="Arial"/>
          <w:color w:val="000000" w:themeColor="text1"/>
          <w:sz w:val="24"/>
          <w:szCs w:val="24"/>
        </w:rPr>
        <w:t xml:space="preserve"> de dos mil veinticinco por ser inhábiles</w:t>
      </w:r>
      <w:r>
        <w:rPr>
          <w:rFonts w:ascii="AvantGarde Bk BT" w:hAnsi="AvantGarde Bk BT" w:cs="Arial"/>
          <w:color w:val="000000" w:themeColor="text1"/>
          <w:sz w:val="24"/>
          <w:szCs w:val="24"/>
        </w:rPr>
        <w:t>.</w:t>
      </w:r>
    </w:p>
    <w:p w14:paraId="52530DF1" w14:textId="03059C4B"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015F0E">
        <w:rPr>
          <w:rFonts w:ascii="AvantGarde Bk BT" w:hAnsi="AvantGarde Bk BT" w:cs="Arial"/>
          <w:color w:val="000000" w:themeColor="text1"/>
          <w:sz w:val="24"/>
          <w:szCs w:val="24"/>
        </w:rPr>
        <w:t>diecisiete</w:t>
      </w:r>
      <w:r w:rsidR="001D54E7">
        <w:rPr>
          <w:rFonts w:ascii="AvantGarde Bk BT" w:hAnsi="AvantGarde Bk BT" w:cs="Arial"/>
          <w:color w:val="000000" w:themeColor="text1"/>
          <w:sz w:val="24"/>
          <w:szCs w:val="24"/>
        </w:rPr>
        <w:t xml:space="preserve"> de noviembre</w:t>
      </w:r>
      <w:r w:rsidR="002239D8">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404B0440"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015F0E">
        <w:rPr>
          <w:rFonts w:ascii="AvantGarde Bk BT" w:hAnsi="AvantGarde Bk BT" w:cs="Arial"/>
          <w:color w:val="000000" w:themeColor="text1"/>
          <w:sz w:val="24"/>
          <w:szCs w:val="24"/>
        </w:rPr>
        <w:t>240475225000056</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53C013DB" w14:textId="77777777" w:rsidR="001D54E7" w:rsidRDefault="00777275"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1D54E7" w:rsidRPr="001D54E7">
        <w:rPr>
          <w:rFonts w:ascii="AvantGarde Bk BT" w:hAnsi="AvantGarde Bk BT" w:cs="Arial"/>
          <w:i/>
          <w:color w:val="000000" w:themeColor="text1"/>
          <w:sz w:val="22"/>
          <w:szCs w:val="24"/>
        </w:rPr>
        <w:t xml:space="preserve">Por medio de la presente, solicito una base de datos (en formato abierto como </w:t>
      </w:r>
      <w:proofErr w:type="spellStart"/>
      <w:r w:rsidR="001D54E7" w:rsidRPr="001D54E7">
        <w:rPr>
          <w:rFonts w:ascii="AvantGarde Bk BT" w:hAnsi="AvantGarde Bk BT" w:cs="Arial"/>
          <w:i/>
          <w:color w:val="000000" w:themeColor="text1"/>
          <w:sz w:val="22"/>
          <w:szCs w:val="24"/>
        </w:rPr>
        <w:t>xls</w:t>
      </w:r>
      <w:proofErr w:type="spellEnd"/>
      <w:r w:rsidR="001D54E7" w:rsidRPr="001D54E7">
        <w:rPr>
          <w:rFonts w:ascii="AvantGarde Bk BT" w:hAnsi="AvantGarde Bk BT" w:cs="Arial"/>
          <w:i/>
          <w:color w:val="000000" w:themeColor="text1"/>
          <w:sz w:val="22"/>
          <w:szCs w:val="24"/>
        </w:rPr>
        <w:t xml:space="preserve"> o </w:t>
      </w:r>
      <w:proofErr w:type="spellStart"/>
      <w:r w:rsidR="001D54E7" w:rsidRPr="001D54E7">
        <w:rPr>
          <w:rFonts w:ascii="AvantGarde Bk BT" w:hAnsi="AvantGarde Bk BT" w:cs="Arial"/>
          <w:i/>
          <w:color w:val="000000" w:themeColor="text1"/>
          <w:sz w:val="22"/>
          <w:szCs w:val="24"/>
        </w:rPr>
        <w:t>cvs</w:t>
      </w:r>
      <w:proofErr w:type="spellEnd"/>
      <w:r w:rsidR="001D54E7" w:rsidRPr="001D54E7">
        <w:rPr>
          <w:rFonts w:ascii="AvantGarde Bk BT" w:hAnsi="AvantGarde Bk BT" w:cs="Arial"/>
          <w:i/>
          <w:color w:val="000000" w:themeColor="text1"/>
          <w:sz w:val="22"/>
          <w:szCs w:val="24"/>
        </w:rPr>
        <w:t>.) con la siguiente información de incidencia delictiva o reporte de incidentes, eventos o cualquier registro o documento con el que cuente el sujeto obligado que contenga la siguiente información:</w:t>
      </w:r>
    </w:p>
    <w:p w14:paraId="63063385"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 TIPO DE INCIDENTE O EVENTO (es decir hechos presuntamente constitutivos de delito y/o falta administrativa, o situación reportada, cualquiera que esta sea, especificando si el hecho fue con o sin violencia) </w:t>
      </w:r>
    </w:p>
    <w:p w14:paraId="06CD29FA"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HORA DEL INCIDENTE O EVENTO </w:t>
      </w:r>
    </w:p>
    <w:p w14:paraId="1D355B10"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FECHA </w:t>
      </w:r>
      <w:proofErr w:type="gramStart"/>
      <w:r w:rsidRPr="001D54E7">
        <w:rPr>
          <w:rFonts w:ascii="AvantGarde Bk BT" w:hAnsi="AvantGarde Bk BT" w:cs="Arial"/>
          <w:i/>
          <w:color w:val="000000" w:themeColor="text1"/>
          <w:sz w:val="22"/>
          <w:szCs w:val="24"/>
        </w:rPr>
        <w:t xml:space="preserve">( </w:t>
      </w:r>
      <w:proofErr w:type="spellStart"/>
      <w:r w:rsidRPr="001D54E7">
        <w:rPr>
          <w:rFonts w:ascii="AvantGarde Bk BT" w:hAnsi="AvantGarde Bk BT" w:cs="Arial"/>
          <w:i/>
          <w:color w:val="000000" w:themeColor="text1"/>
          <w:sz w:val="22"/>
          <w:szCs w:val="24"/>
        </w:rPr>
        <w:t>dd</w:t>
      </w:r>
      <w:proofErr w:type="spellEnd"/>
      <w:proofErr w:type="gramEnd"/>
      <w:r w:rsidRPr="001D54E7">
        <w:rPr>
          <w:rFonts w:ascii="AvantGarde Bk BT" w:hAnsi="AvantGarde Bk BT" w:cs="Arial"/>
          <w:i/>
          <w:color w:val="000000" w:themeColor="text1"/>
          <w:sz w:val="22"/>
          <w:szCs w:val="24"/>
        </w:rPr>
        <w:t>/mm/</w:t>
      </w:r>
      <w:proofErr w:type="spellStart"/>
      <w:r w:rsidRPr="001D54E7">
        <w:rPr>
          <w:rFonts w:ascii="AvantGarde Bk BT" w:hAnsi="AvantGarde Bk BT" w:cs="Arial"/>
          <w:i/>
          <w:color w:val="000000" w:themeColor="text1"/>
          <w:sz w:val="22"/>
          <w:szCs w:val="24"/>
        </w:rPr>
        <w:t>aaaa</w:t>
      </w:r>
      <w:proofErr w:type="spellEnd"/>
      <w:r w:rsidRPr="001D54E7">
        <w:rPr>
          <w:rFonts w:ascii="AvantGarde Bk BT" w:hAnsi="AvantGarde Bk BT" w:cs="Arial"/>
          <w:i/>
          <w:color w:val="000000" w:themeColor="text1"/>
          <w:sz w:val="22"/>
          <w:szCs w:val="24"/>
        </w:rPr>
        <w:t xml:space="preserve">) DEL INCIDENTE O EVENTO </w:t>
      </w:r>
    </w:p>
    <w:p w14:paraId="00C6B9F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LUGAR DEL INCIDENTE O EVENTO </w:t>
      </w:r>
    </w:p>
    <w:p w14:paraId="62A2763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UBICACIÓN DEL INCIDENTE O EVENTO </w:t>
      </w:r>
    </w:p>
    <w:p w14:paraId="3277703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LAS COORDENADAS GEOGRÁFICAS DEL INCIDENTE O EVENTO. ESTABLECIDAS EN LA SECCIÓN “LUGAR DE LA INTERVENCIÓN” DEL INFORME POLICIAL HOMOLOGADO PARA 1) HECHOS PROBABLEMENTE DELICTIVOS O PARA 2) JUSTICIA CÍVICA SEGÚN CORRESPONDA AL TIPO DE INCIDENTE. </w:t>
      </w:r>
    </w:p>
    <w:p w14:paraId="1101C0C5"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Solicito explícitamente que la información se encuentre desglosada y particularizada por tipo de incidente, por lo que cada uno debe contener su hora, fecha, lugar, ubicación y coordenadas geográficas que le corresponde.</w:t>
      </w:r>
    </w:p>
    <w:p w14:paraId="3B80AA5F"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 Requiero que se proporcione la información correspondiente al periodo del 1 de enero de 2018 a la fecha de la presente solicitud. </w:t>
      </w:r>
    </w:p>
    <w:p w14:paraId="69D915CC"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Me permito mencionar que aun cuando existe información pública relacionada a la de mi solicitud en la página e información que se proporciona por el Secretariado Ejecutivo Del Sistema Nacional De Seguridad Pública, la contenida en la misma no se encuentra desglosada con el detalle con la que un servidor está solicitando, principalmente por lo que se refiere a la georreferencia y coordenada del incidente o evento. Por lo que solicito que verifiquen en sus bases de datos la información solicitada y me sea proporcionada en el formato solicitado. </w:t>
      </w:r>
    </w:p>
    <w:p w14:paraId="11D6D4E3"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La información que solicito no puede ser considerada información confidencial, en virtud de que en la presente solicitud no se requieren nombres, domicilios ni otros datos personales, por lo que no procede la causal de confidencialidad. Incluso si algún registro contuviera datos personales de manera incidental, el sujeto obligado debe, conforme al artículo 120 de la Ley General de Transparencia y Acceso a la Información Pública (LGTAIP), entregar la información en versión pública, testando las partes confidenciales y proporcionando el resto de la información. </w:t>
      </w:r>
    </w:p>
    <w:p w14:paraId="654BCA39" w14:textId="77777777"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 xml:space="preserve">Asimismo, la información solicitada tampoco puede clasificarse como reservada, pues no encuadra en las causales previstas en el artículo 112 de la LGTAIP ni supera la estricta prueba de daño que exige su artículo 107. Para reservarla, la autoridad tendría que demostrar que su divulgación genera un riesgo real, demostrable e identificable de perjuicio significativo, que dicho riesgo es mayor </w:t>
      </w:r>
      <w:r w:rsidRPr="001D54E7">
        <w:rPr>
          <w:rFonts w:ascii="AvantGarde Bk BT" w:hAnsi="AvantGarde Bk BT" w:cs="Arial"/>
          <w:i/>
          <w:color w:val="000000" w:themeColor="text1"/>
          <w:sz w:val="22"/>
          <w:szCs w:val="24"/>
        </w:rPr>
        <w:lastRenderedPageBreak/>
        <w:t xml:space="preserve">al interés público en conocerla, y además probar que no existe un medio menos restrictivo y que la medida es proporcional. </w:t>
      </w:r>
    </w:p>
    <w:p w14:paraId="259092A2" w14:textId="66513434" w:rsidR="001D54E7" w:rsidRDefault="001D54E7" w:rsidP="001D54E7">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1D54E7">
        <w:rPr>
          <w:rFonts w:ascii="AvantGarde Bk BT" w:hAnsi="AvantGarde Bk BT" w:cs="Arial"/>
          <w:i/>
          <w:color w:val="000000" w:themeColor="text1"/>
          <w:sz w:val="22"/>
          <w:szCs w:val="24"/>
        </w:rPr>
        <w:t>Este no es el caso: los datos estadísticos y georreferenciados de incidencias delictivas no comprometen investigaciones ni la seguridad pública. Como prueba de lo anterior, mencionó que múltiples sujetos obligados ya publican información semejante sin afectar sus funciones, como lo demuestra la Plataforma de Seguridad del estado de Jalisco (https://iieg.gob.mx/plataforma_seguridad/#/plataforma) y las instancias de seguridad de la Ciudad de México (</w:t>
      </w:r>
      <w:hyperlink r:id="rId8" w:history="1">
        <w:r w:rsidRPr="005301CC">
          <w:rPr>
            <w:rStyle w:val="Hipervnculo"/>
            <w:rFonts w:ascii="AvantGarde Bk BT" w:hAnsi="AvantGarde Bk BT" w:cs="Arial"/>
            <w:i/>
            <w:sz w:val="22"/>
            <w:szCs w:val="24"/>
          </w:rPr>
          <w:t>https://datos.cdmx.gob.mx/dataset/?groups=justicia-y-seguridad</w:t>
        </w:r>
      </w:hyperlink>
      <w:r w:rsidRPr="001D54E7">
        <w:rPr>
          <w:rFonts w:ascii="AvantGarde Bk BT" w:hAnsi="AvantGarde Bk BT" w:cs="Arial"/>
          <w:i/>
          <w:color w:val="000000" w:themeColor="text1"/>
          <w:sz w:val="22"/>
          <w:szCs w:val="24"/>
        </w:rPr>
        <w:t xml:space="preserve">). </w:t>
      </w:r>
    </w:p>
    <w:p w14:paraId="6DC16B7B" w14:textId="72EA6779" w:rsidR="00777275" w:rsidRDefault="001D54E7" w:rsidP="001D54E7">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1D54E7">
        <w:rPr>
          <w:rFonts w:ascii="AvantGarde Bk BT" w:hAnsi="AvantGarde Bk BT" w:cs="Arial"/>
          <w:i/>
          <w:color w:val="000000" w:themeColor="text1"/>
          <w:sz w:val="22"/>
          <w:szCs w:val="24"/>
        </w:rPr>
        <w:t>En conclusión, la LGTAIP respalda plenamente la entrega de la información solicitada. Al no contener datos personales ni encuadrar en causales de reserva, la información debe proporcionarse en los términos requeridos, aplicando en su caso la figura de versión pública para conciliar el derecho de acceso a la información con la protección de dat</w:t>
      </w:r>
      <w:r>
        <w:rPr>
          <w:rFonts w:ascii="AvantGarde Bk BT" w:hAnsi="AvantGarde Bk BT" w:cs="Arial"/>
          <w:i/>
          <w:color w:val="000000" w:themeColor="text1"/>
          <w:sz w:val="22"/>
          <w:szCs w:val="24"/>
        </w:rPr>
        <w:t>os estrictamente confidenciales</w:t>
      </w:r>
      <w:r w:rsidR="00615B0E"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269B624E" w:rsidR="004A50D0" w:rsidRDefault="00892191" w:rsidP="006450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w:t>
      </w:r>
      <w:r w:rsidRPr="00645001">
        <w:rPr>
          <w:rFonts w:ascii="AvantGarde Bk BT" w:hAnsi="AvantGarde Bk BT" w:cs="Arial"/>
          <w:color w:val="000000" w:themeColor="text1"/>
          <w:sz w:val="24"/>
          <w:szCs w:val="24"/>
        </w:rPr>
        <w:t>consta en autos que el sujeto obligado respondió</w:t>
      </w:r>
      <w:r w:rsidR="00F72FC2" w:rsidRPr="00645001">
        <w:rPr>
          <w:rFonts w:ascii="AvantGarde Bk BT" w:hAnsi="AvantGarde Bk BT" w:cs="Arial"/>
          <w:color w:val="000000" w:themeColor="text1"/>
          <w:sz w:val="24"/>
          <w:szCs w:val="24"/>
        </w:rPr>
        <w:t xml:space="preserve"> la solicitud de información </w:t>
      </w:r>
      <w:r w:rsidR="00645001">
        <w:rPr>
          <w:rFonts w:ascii="AvantGarde Bk BT" w:hAnsi="AvantGarde Bk BT" w:cs="Arial"/>
          <w:color w:val="000000" w:themeColor="text1"/>
          <w:sz w:val="24"/>
          <w:szCs w:val="24"/>
        </w:rPr>
        <w:t>y proporcionó la relación de la incidencia delictiva del dos mil dieciocho al dos mil veinticinco, misma que se tiene por reproducida como si a la letra se insertase y que se encuentra visible de foja 10 a 17 del sumario.</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645001">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xml:space="preserve">. Sin embargo, no existe prohibición para hacer tal transcripción, quedando al prudente arbitrio del juzgador realizarla o no, atendiendo a las características especiales del caso, sin demérito de que para satisfacer los principios de </w:t>
      </w:r>
      <w:r w:rsidRPr="00847F87">
        <w:rPr>
          <w:rFonts w:ascii="AvantGarde Bk BT" w:hAnsi="AvantGarde Bk BT" w:cs="Arial"/>
          <w:i/>
          <w:color w:val="000000" w:themeColor="text1"/>
          <w:szCs w:val="24"/>
        </w:rPr>
        <w:lastRenderedPageBreak/>
        <w:t>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26CBD07E" w14:textId="4F3CCF30" w:rsidR="00645001" w:rsidRDefault="00645001" w:rsidP="006450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w:t>
      </w:r>
      <w:r w:rsidRPr="00480EBA">
        <w:rPr>
          <w:rFonts w:ascii="AvantGarde Bk BT" w:hAnsi="AvantGarde Bk BT" w:cs="Arial"/>
          <w:b/>
          <w:color w:val="000000" w:themeColor="text1"/>
          <w:sz w:val="24"/>
          <w:szCs w:val="24"/>
          <w:u w:val="single"/>
        </w:rPr>
        <w:t>señaló como motivo</w:t>
      </w:r>
      <w:r>
        <w:rPr>
          <w:rFonts w:ascii="AvantGarde Bk BT" w:hAnsi="AvantGarde Bk BT" w:cs="Arial"/>
          <w:b/>
          <w:color w:val="000000" w:themeColor="text1"/>
          <w:sz w:val="24"/>
          <w:szCs w:val="24"/>
          <w:u w:val="single"/>
        </w:rPr>
        <w:t>s</w:t>
      </w:r>
      <w:r w:rsidRPr="00480EBA">
        <w:rPr>
          <w:rFonts w:ascii="AvantGarde Bk BT" w:hAnsi="AvantGarde Bk BT" w:cs="Arial"/>
          <w:b/>
          <w:color w:val="000000" w:themeColor="text1"/>
          <w:sz w:val="24"/>
          <w:szCs w:val="24"/>
          <w:u w:val="single"/>
        </w:rPr>
        <w:t xml:space="preserve"> de disenso </w:t>
      </w:r>
      <w:r>
        <w:rPr>
          <w:rFonts w:ascii="AvantGarde Bk BT" w:hAnsi="AvantGarde Bk BT" w:cs="Arial"/>
          <w:b/>
          <w:color w:val="000000" w:themeColor="text1"/>
          <w:sz w:val="24"/>
          <w:szCs w:val="24"/>
          <w:u w:val="single"/>
        </w:rPr>
        <w:t xml:space="preserve">la entrega de información en un formato </w:t>
      </w:r>
      <w:r w:rsidR="00FC665F">
        <w:rPr>
          <w:rFonts w:ascii="AvantGarde Bk BT" w:hAnsi="AvantGarde Bk BT" w:cs="Arial"/>
          <w:b/>
          <w:color w:val="000000" w:themeColor="text1"/>
          <w:sz w:val="24"/>
          <w:szCs w:val="24"/>
          <w:u w:val="single"/>
        </w:rPr>
        <w:t>inaccesible</w:t>
      </w:r>
      <w:r>
        <w:rPr>
          <w:rFonts w:ascii="AvantGarde Bk BT" w:hAnsi="AvantGarde Bk BT" w:cs="Arial"/>
          <w:b/>
          <w:color w:val="000000" w:themeColor="text1"/>
          <w:sz w:val="24"/>
          <w:szCs w:val="24"/>
          <w:u w:val="single"/>
        </w:rPr>
        <w:t xml:space="preserve"> y la entrega de información incompleta</w:t>
      </w:r>
      <w:r>
        <w:rPr>
          <w:rFonts w:ascii="AvantGarde Bk BT" w:hAnsi="AvantGarde Bk BT" w:cs="Arial"/>
          <w:color w:val="000000" w:themeColor="text1"/>
          <w:sz w:val="24"/>
          <w:szCs w:val="24"/>
        </w:rPr>
        <w:t>, ello debido a que la respuesta del sujeto obligado no se encuentra en datos abiertos y no proporcionó los datos correspondientes a las coordenadas georreferenciadas de los eventos delictivos y faltas administrativas.</w:t>
      </w:r>
    </w:p>
    <w:p w14:paraId="541F3521" w14:textId="77777777" w:rsidR="00645001" w:rsidRDefault="00645001" w:rsidP="00645001">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4C460FC0" w14:textId="77777777" w:rsidR="00645001" w:rsidRDefault="00645001" w:rsidP="00645001">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36D70DA5" w14:textId="77777777" w:rsidR="00645001" w:rsidRDefault="00645001" w:rsidP="00645001">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 como tácitamente consentidas y, por ende, no forman parte del estudio de fondo de la resolución que al efecto se emita en el recurso de revisión respectivo.</w:t>
      </w:r>
    </w:p>
    <w:p w14:paraId="3B61AEEF" w14:textId="2A387EB2" w:rsidR="00645001" w:rsidRDefault="00645001" w:rsidP="00123F38">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la persona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 firme</w:t>
      </w:r>
      <w:r>
        <w:rPr>
          <w:rFonts w:ascii="AvantGarde Bk BT" w:hAnsi="AvantGarde Bk BT" w:cs="Arial"/>
          <w:color w:val="000000" w:themeColor="text1"/>
          <w:sz w:val="24"/>
          <w:szCs w:val="24"/>
        </w:rPr>
        <w:t>.</w:t>
      </w:r>
    </w:p>
    <w:p w14:paraId="0AAB3D89" w14:textId="16BCEA30" w:rsidR="000468A0" w:rsidRPr="00F337EC" w:rsidRDefault="00123F38"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Establecidas las consideraciones que anteceden</w:t>
      </w:r>
      <w:r w:rsidR="000468A0">
        <w:rPr>
          <w:rFonts w:ascii="AvantGarde Bk BT" w:hAnsi="AvantGarde Bk BT" w:cs="Arial"/>
          <w:color w:val="000000" w:themeColor="text1"/>
          <w:sz w:val="24"/>
          <w:szCs w:val="24"/>
        </w:rPr>
        <w:t xml:space="preserve">, </w:t>
      </w:r>
      <w:r w:rsidR="000468A0" w:rsidRPr="00327C7F">
        <w:rPr>
          <w:rFonts w:ascii="AvantGarde Bk BT" w:hAnsi="AvantGarde Bk BT" w:cs="Arial"/>
          <w:sz w:val="24"/>
          <w:szCs w:val="24"/>
        </w:rPr>
        <w:t xml:space="preserve">se debe precisar que la Ley de Transparencia prevé que </w:t>
      </w:r>
      <w:r w:rsidR="000468A0" w:rsidRPr="00D65E44">
        <w:rPr>
          <w:rFonts w:ascii="AvantGarde Bk BT" w:hAnsi="AvantGarde Bk BT" w:cs="Arial"/>
          <w:b/>
          <w:sz w:val="24"/>
          <w:szCs w:val="24"/>
          <w:u w:val="single"/>
        </w:rPr>
        <w:t xml:space="preserve">los sujetos obligados se encuentran constreñidos a </w:t>
      </w:r>
      <w:r w:rsidR="000468A0" w:rsidRPr="00D65E44">
        <w:rPr>
          <w:rFonts w:ascii="AvantGarde Bk BT" w:hAnsi="AvantGarde Bk BT" w:cs="Arial"/>
          <w:b/>
          <w:sz w:val="24"/>
          <w:szCs w:val="24"/>
          <w:u w:val="single"/>
        </w:rPr>
        <w:lastRenderedPageBreak/>
        <w:t>proporcionar la información que se encuentra en su posesión</w:t>
      </w:r>
      <w:r w:rsidR="000468A0" w:rsidRPr="00327C7F">
        <w:rPr>
          <w:rFonts w:ascii="AvantGarde Bk BT" w:hAnsi="AvantGarde Bk BT" w:cs="Arial"/>
          <w:sz w:val="24"/>
          <w:szCs w:val="24"/>
        </w:rPr>
        <w:t>, lo anterior para efecto de permitir que el derecho de acceso a la información se encuentre satisfecho.</w:t>
      </w:r>
      <w:r w:rsidR="000468A0" w:rsidRPr="00327C7F">
        <w:rPr>
          <w:rFonts w:ascii="AvantGarde Bk BT" w:hAnsi="AvantGarde Bk BT" w:cs="Arial"/>
          <w:sz w:val="24"/>
          <w:szCs w:val="24"/>
          <w:vertAlign w:val="superscript"/>
        </w:rPr>
        <w:footnoteReference w:id="2"/>
      </w:r>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w:t>
      </w:r>
      <w:r w:rsidRPr="00847F87">
        <w:rPr>
          <w:rFonts w:ascii="AvantGarde Bk BT" w:hAnsi="AvantGarde Bk BT" w:cs="Arial"/>
          <w:i/>
          <w:sz w:val="22"/>
          <w:szCs w:val="24"/>
        </w:rPr>
        <w:lastRenderedPageBreak/>
        <w:t>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62D9EE76" w14:textId="38743B0E" w:rsidR="00AB4D98" w:rsidRDefault="00AB4D98"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Sobre la base de las consideraciones antes planteadas, es necesario determinar la competencia del sujeto obligado para contar con la información requerida en la solicitud de información planteada por la persona ahora recurrente, por ello, resulta indispensable analizar la normativa del sujeto obligado.</w:t>
      </w:r>
    </w:p>
    <w:p w14:paraId="471BACFE" w14:textId="5A038E3C" w:rsidR="002A215F" w:rsidRPr="008B1B94" w:rsidRDefault="00AB4D98" w:rsidP="008B1B9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Pues bien, </w:t>
      </w:r>
      <w:r w:rsidR="002A215F">
        <w:rPr>
          <w:rFonts w:ascii="AvantGarde Bk BT" w:hAnsi="AvantGarde Bk BT" w:cs="Arial"/>
          <w:color w:val="000000" w:themeColor="text1"/>
          <w:sz w:val="24"/>
          <w:szCs w:val="24"/>
        </w:rPr>
        <w:t xml:space="preserve">conforme a la Ley General </w:t>
      </w:r>
      <w:r w:rsidR="00D369A8">
        <w:rPr>
          <w:rFonts w:ascii="AvantGarde Bk BT" w:hAnsi="AvantGarde Bk BT" w:cs="Arial"/>
          <w:color w:val="000000" w:themeColor="text1"/>
          <w:sz w:val="24"/>
          <w:szCs w:val="24"/>
        </w:rPr>
        <w:t xml:space="preserve">del Sistema Nacional </w:t>
      </w:r>
      <w:r w:rsidR="002A215F">
        <w:rPr>
          <w:rFonts w:ascii="AvantGarde Bk BT" w:hAnsi="AvantGarde Bk BT" w:cs="Arial"/>
          <w:color w:val="000000" w:themeColor="text1"/>
          <w:sz w:val="24"/>
          <w:szCs w:val="24"/>
        </w:rPr>
        <w:t xml:space="preserve">de Seguridad Pública, </w:t>
      </w:r>
      <w:r w:rsidR="002A215F" w:rsidRPr="0000435C">
        <w:rPr>
          <w:rFonts w:ascii="AvantGarde Bk BT" w:hAnsi="AvantGarde Bk BT" w:cs="Arial"/>
          <w:b/>
          <w:color w:val="000000" w:themeColor="text1"/>
          <w:sz w:val="24"/>
          <w:szCs w:val="24"/>
        </w:rPr>
        <w:t xml:space="preserve">las instituciones policiales </w:t>
      </w:r>
      <w:r w:rsidR="00D369A8">
        <w:rPr>
          <w:rFonts w:ascii="AvantGarde Bk BT" w:hAnsi="AvantGarde Bk BT" w:cs="Arial"/>
          <w:b/>
          <w:color w:val="000000" w:themeColor="text1"/>
          <w:sz w:val="24"/>
          <w:szCs w:val="24"/>
        </w:rPr>
        <w:t xml:space="preserve">de los municipios </w:t>
      </w:r>
      <w:r w:rsidR="002A215F" w:rsidRPr="0000435C">
        <w:rPr>
          <w:rFonts w:ascii="AvantGarde Bk BT" w:hAnsi="AvantGarde Bk BT" w:cs="Arial"/>
          <w:b/>
          <w:color w:val="000000" w:themeColor="text1"/>
          <w:sz w:val="24"/>
          <w:szCs w:val="24"/>
        </w:rPr>
        <w:t>tienen específicamente la obligación de</w:t>
      </w:r>
      <w:r w:rsidR="00D369A8">
        <w:rPr>
          <w:rFonts w:ascii="AvantGarde Bk BT" w:hAnsi="AvantGarde Bk BT" w:cs="Arial"/>
          <w:b/>
          <w:color w:val="000000" w:themeColor="text1"/>
          <w:sz w:val="24"/>
          <w:szCs w:val="24"/>
        </w:rPr>
        <w:t xml:space="preserve"> realizar l</w:t>
      </w:r>
      <w:r w:rsidR="00D369A8" w:rsidRPr="00D369A8">
        <w:rPr>
          <w:rFonts w:ascii="AvantGarde Bk BT" w:hAnsi="AvantGarde Bk BT" w:cs="Arial"/>
          <w:b/>
          <w:color w:val="000000" w:themeColor="text1"/>
          <w:sz w:val="24"/>
          <w:szCs w:val="24"/>
        </w:rPr>
        <w:t xml:space="preserve">abores de primer respondiente, incluyendo la recepción de denuncias y aquellas para la preservación de la vida; la preservación del lugar de los </w:t>
      </w:r>
      <w:r w:rsidR="00D369A8" w:rsidRPr="00D369A8">
        <w:rPr>
          <w:rFonts w:ascii="AvantGarde Bk BT" w:hAnsi="AvantGarde Bk BT" w:cs="Arial"/>
          <w:b/>
          <w:color w:val="000000" w:themeColor="text1"/>
          <w:sz w:val="24"/>
          <w:szCs w:val="24"/>
        </w:rPr>
        <w:lastRenderedPageBreak/>
        <w:t>hechos; el aseguramiento de bienes, instrumentos, objetos o productos del delito que puedan servir como evidencia en el proceso penal, y la identificaci</w:t>
      </w:r>
      <w:r w:rsidR="00D369A8">
        <w:rPr>
          <w:rFonts w:ascii="AvantGarde Bk BT" w:hAnsi="AvantGarde Bk BT" w:cs="Arial"/>
          <w:b/>
          <w:color w:val="000000" w:themeColor="text1"/>
          <w:sz w:val="24"/>
          <w:szCs w:val="24"/>
        </w:rPr>
        <w:t>ón de personas víctimas, testigo</w:t>
      </w:r>
      <w:r w:rsidR="00D369A8" w:rsidRPr="00D369A8">
        <w:rPr>
          <w:rFonts w:ascii="AvantGarde Bk BT" w:hAnsi="AvantGarde Bk BT" w:cs="Arial"/>
          <w:b/>
          <w:color w:val="000000" w:themeColor="text1"/>
          <w:sz w:val="24"/>
          <w:szCs w:val="24"/>
        </w:rPr>
        <w:t>s y respecto de quienes existan razones que justifiquen su localización para fines de investigación, entre otras análogas</w:t>
      </w:r>
      <w:r w:rsidR="008B1B94">
        <w:rPr>
          <w:rFonts w:ascii="AvantGarde Bk BT" w:hAnsi="AvantGarde Bk BT" w:cs="Arial"/>
          <w:b/>
          <w:color w:val="000000" w:themeColor="text1"/>
          <w:sz w:val="24"/>
          <w:szCs w:val="24"/>
        </w:rPr>
        <w:t>.</w:t>
      </w:r>
      <w:r w:rsidR="002A215F">
        <w:rPr>
          <w:rStyle w:val="Refdenotaalpie"/>
          <w:rFonts w:ascii="AvantGarde Bk BT" w:hAnsi="AvantGarde Bk BT" w:cs="Arial"/>
          <w:color w:val="000000" w:themeColor="text1"/>
          <w:sz w:val="24"/>
          <w:szCs w:val="24"/>
        </w:rPr>
        <w:footnoteReference w:id="4"/>
      </w:r>
    </w:p>
    <w:p w14:paraId="0BC873FA" w14:textId="7314CE15" w:rsidR="002A215F" w:rsidRDefault="002A215F" w:rsidP="002A21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conforme a los Lineamientos para el Llenado, Entrega, Recepción, Registro, Resguardo y Consulta del Informe Policial Homologado</w:t>
      </w:r>
      <w:r w:rsidR="008B1B94">
        <w:rPr>
          <w:rFonts w:ascii="AvantGarde Bk BT" w:hAnsi="AvantGarde Bk BT" w:cs="Arial"/>
          <w:color w:val="000000" w:themeColor="text1"/>
          <w:sz w:val="24"/>
          <w:szCs w:val="24"/>
        </w:rPr>
        <w:t xml:space="preserve"> (vigentes en términos del artículo transitorio tercero de la Ley General del Sistema Nacional de Seguridad Pública</w:t>
      </w:r>
      <w:r w:rsidR="00072CFE">
        <w:rPr>
          <w:rStyle w:val="Refdenotaalpie"/>
          <w:rFonts w:ascii="AvantGarde Bk BT" w:hAnsi="AvantGarde Bk BT" w:cs="Arial"/>
          <w:color w:val="000000" w:themeColor="text1"/>
          <w:sz w:val="24"/>
          <w:szCs w:val="24"/>
        </w:rPr>
        <w:footnoteReference w:id="5"/>
      </w:r>
      <w:r w:rsidR="008B1B94">
        <w:rPr>
          <w:rFonts w:ascii="AvantGarde Bk BT" w:hAnsi="AvantGarde Bk BT" w:cs="Arial"/>
          <w:color w:val="000000" w:themeColor="text1"/>
          <w:sz w:val="24"/>
          <w:szCs w:val="24"/>
        </w:rPr>
        <w:t>)</w:t>
      </w:r>
      <w:r>
        <w:rPr>
          <w:rFonts w:ascii="AvantGarde Bk BT" w:hAnsi="AvantGarde Bk BT" w:cs="Arial"/>
          <w:color w:val="000000" w:themeColor="text1"/>
          <w:sz w:val="24"/>
          <w:szCs w:val="24"/>
        </w:rPr>
        <w:t>, l</w:t>
      </w:r>
      <w:r w:rsidRPr="00B02075">
        <w:rPr>
          <w:rFonts w:ascii="AvantGarde Bk BT" w:hAnsi="AvantGarde Bk BT" w:cs="Arial"/>
          <w:color w:val="000000" w:themeColor="text1"/>
          <w:sz w:val="24"/>
          <w:szCs w:val="24"/>
        </w:rPr>
        <w:t xml:space="preserve">os integrantes de las instituciones policiales de los tres órdenes de gobierno deberán registrar en el IPH la información relacionada con las puestas a disposición de personas y/o de objetos derivados de su intervención </w:t>
      </w:r>
      <w:r>
        <w:rPr>
          <w:rFonts w:ascii="AvantGarde Bk BT" w:hAnsi="AvantGarde Bk BT" w:cs="Arial"/>
          <w:color w:val="000000" w:themeColor="text1"/>
          <w:sz w:val="24"/>
          <w:szCs w:val="24"/>
        </w:rPr>
        <w:t>conforme a lo siguiente:</w:t>
      </w:r>
    </w:p>
    <w:p w14:paraId="24160049"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2A215F">
        <w:rPr>
          <w:rFonts w:ascii="AvantGarde Bk BT" w:hAnsi="AvantGarde Bk BT" w:cs="Arial"/>
          <w:b/>
          <w:color w:val="000000" w:themeColor="text1"/>
          <w:sz w:val="24"/>
          <w:szCs w:val="24"/>
        </w:rPr>
        <w:t>Para hechos probablemente delictivos contendrá al menos los siguientes datos:</w:t>
      </w:r>
      <w:r>
        <w:rPr>
          <w:rFonts w:ascii="AvantGarde Bk BT" w:hAnsi="AvantGarde Bk BT" w:cs="Arial"/>
          <w:color w:val="000000" w:themeColor="text1"/>
          <w:sz w:val="24"/>
          <w:szCs w:val="24"/>
        </w:rPr>
        <w:t xml:space="preserve"> </w:t>
      </w:r>
      <w:r w:rsidRPr="00172E55">
        <w:rPr>
          <w:rFonts w:ascii="AvantGarde Bk BT" w:hAnsi="AvantGarde Bk BT" w:cs="Arial"/>
          <w:color w:val="000000" w:themeColor="text1"/>
          <w:sz w:val="24"/>
          <w:szCs w:val="24"/>
        </w:rPr>
        <w:t>El Número de Referencia o el Número de folio asignado;</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del o los integrantes de la institución policial que lo emite;</w:t>
      </w:r>
      <w:r>
        <w:rPr>
          <w:rFonts w:ascii="AvantGarde Bk BT" w:hAnsi="AvantGarde Bk BT" w:cs="Arial"/>
          <w:color w:val="000000" w:themeColor="text1"/>
          <w:sz w:val="24"/>
          <w:szCs w:val="24"/>
        </w:rPr>
        <w:t xml:space="preserve"> los </w:t>
      </w:r>
      <w:r w:rsidRPr="00172E55">
        <w:rPr>
          <w:rFonts w:ascii="AvantGarde Bk BT" w:hAnsi="AvantGarde Bk BT" w:cs="Arial"/>
          <w:color w:val="000000" w:themeColor="text1"/>
          <w:sz w:val="24"/>
          <w:szCs w:val="24"/>
        </w:rPr>
        <w:t>datos de la autoridad competente que lo recibe;</w:t>
      </w:r>
      <w:r>
        <w:rPr>
          <w:rFonts w:ascii="AvantGarde Bk BT" w:hAnsi="AvantGarde Bk BT" w:cs="Arial"/>
          <w:color w:val="000000" w:themeColor="text1"/>
          <w:sz w:val="24"/>
          <w:szCs w:val="24"/>
        </w:rPr>
        <w:t xml:space="preserve"> los </w:t>
      </w:r>
      <w:r w:rsidRPr="00172E55">
        <w:rPr>
          <w:rFonts w:ascii="AvantGarde Bk BT" w:hAnsi="AvantGarde Bk BT" w:cs="Arial"/>
          <w:color w:val="000000" w:themeColor="text1"/>
          <w:sz w:val="24"/>
          <w:szCs w:val="24"/>
        </w:rPr>
        <w:t>datos generales de la intervención o actuación;</w:t>
      </w:r>
      <w:r>
        <w:rPr>
          <w:rFonts w:ascii="AvantGarde Bk BT" w:hAnsi="AvantGarde Bk BT" w:cs="Arial"/>
          <w:color w:val="000000" w:themeColor="text1"/>
          <w:sz w:val="24"/>
          <w:szCs w:val="24"/>
        </w:rPr>
        <w:t xml:space="preserve"> el </w:t>
      </w:r>
      <w:r w:rsidRPr="00172E55">
        <w:rPr>
          <w:rFonts w:ascii="AvantGarde Bk BT" w:hAnsi="AvantGarde Bk BT" w:cs="Arial"/>
          <w:color w:val="000000" w:themeColor="text1"/>
          <w:sz w:val="24"/>
          <w:szCs w:val="24"/>
        </w:rPr>
        <w:t>motivo de la intervención o actuación;</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 ubicación del o los lugares</w:t>
      </w:r>
      <w:r>
        <w:rPr>
          <w:rFonts w:ascii="AvantGarde Bk BT" w:hAnsi="AvantGarde Bk BT" w:cs="Arial"/>
          <w:color w:val="000000" w:themeColor="text1"/>
          <w:sz w:val="24"/>
          <w:szCs w:val="24"/>
        </w:rPr>
        <w:t xml:space="preserve"> de la intervención o actuación; l</w:t>
      </w:r>
      <w:r w:rsidRPr="00172E55">
        <w:rPr>
          <w:rFonts w:ascii="AvantGarde Bk BT" w:hAnsi="AvantGarde Bk BT" w:cs="Arial"/>
          <w:color w:val="000000" w:themeColor="text1"/>
          <w:sz w:val="24"/>
          <w:szCs w:val="24"/>
        </w:rPr>
        <w:t xml:space="preserve">a descripción de hechos, </w:t>
      </w:r>
      <w:r w:rsidRPr="00172E55">
        <w:rPr>
          <w:rFonts w:ascii="AvantGarde Bk BT" w:hAnsi="AvantGarde Bk BT" w:cs="Arial"/>
          <w:b/>
          <w:color w:val="000000" w:themeColor="text1"/>
          <w:sz w:val="24"/>
          <w:szCs w:val="24"/>
        </w:rPr>
        <w:t>que deberá detallar modo, tiempo y lugar</w:t>
      </w:r>
      <w:r w:rsidRPr="00473C61">
        <w:rPr>
          <w:rFonts w:ascii="AvantGarde Bk BT" w:hAnsi="AvantGarde Bk BT" w:cs="Arial"/>
          <w:b/>
          <w:color w:val="000000" w:themeColor="text1"/>
          <w:sz w:val="24"/>
          <w:szCs w:val="24"/>
        </w:rPr>
        <w:t>, entre otros datos</w:t>
      </w:r>
      <w:r w:rsidRPr="00172E55">
        <w:rPr>
          <w:rFonts w:ascii="AvantGarde Bk BT" w:hAnsi="AvantGarde Bk BT" w:cs="Arial"/>
          <w:color w:val="000000" w:themeColor="text1"/>
          <w:sz w:val="24"/>
          <w:szCs w:val="24"/>
        </w:rPr>
        <w:t>. Así como, justificar razonablemente el control provisional preventivo y/o los niveles de contacto;</w:t>
      </w:r>
    </w:p>
    <w:p w14:paraId="7B15A86A"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personas detenidas:</w:t>
      </w:r>
      <w:r>
        <w:rPr>
          <w:rFonts w:ascii="AvantGarde Bk BT" w:hAnsi="AvantGarde Bk BT" w:cs="Arial"/>
          <w:color w:val="000000" w:themeColor="text1"/>
          <w:sz w:val="24"/>
          <w:szCs w:val="24"/>
        </w:rPr>
        <w:t xml:space="preserve"> </w:t>
      </w:r>
      <w:r w:rsidRPr="00172E55">
        <w:rPr>
          <w:rFonts w:ascii="AvantGarde Bk BT" w:hAnsi="AvantGarde Bk BT" w:cs="Arial"/>
          <w:color w:val="000000" w:themeColor="text1"/>
          <w:sz w:val="24"/>
          <w:szCs w:val="24"/>
        </w:rPr>
        <w:t>El Número del Registro Nacional de Detenciones;</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motivos de la detención;</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generales de la persona;</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 descripción de la persona, incluyendo su estado físico aparente;</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as armas de fuego y/o los objetos que le fueron recolectados y/o asegurados, y</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 xml:space="preserve">l lugar al que es </w:t>
      </w:r>
      <w:r>
        <w:rPr>
          <w:rFonts w:ascii="AvantGarde Bk BT" w:hAnsi="AvantGarde Bk BT" w:cs="Arial"/>
          <w:color w:val="000000" w:themeColor="text1"/>
          <w:sz w:val="24"/>
          <w:szCs w:val="24"/>
        </w:rPr>
        <w:t>puesta a disposición la persona.</w:t>
      </w:r>
    </w:p>
    <w:p w14:paraId="08EAD7AF"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lastRenderedPageBreak/>
        <w:t>En caso de lesionados y/o fallecidos, un informe del uso de la fuerza en el que se describa la conducta que lo motivó y el nivel proporcional empleado de acuerdo con lo dispuesto por los artículos 10 y 11 de la Ley Nacional sobre el Uso de la Fuerza. Éste será distinto al reporte pormenorizado señalado en</w:t>
      </w:r>
      <w:r>
        <w:rPr>
          <w:rFonts w:ascii="AvantGarde Bk BT" w:hAnsi="AvantGarde Bk BT" w:cs="Arial"/>
          <w:color w:val="000000" w:themeColor="text1"/>
          <w:sz w:val="24"/>
          <w:szCs w:val="24"/>
        </w:rPr>
        <w:t xml:space="preserve"> el artículo 32 de la misma Ley.</w:t>
      </w:r>
    </w:p>
    <w:p w14:paraId="3460FAB7"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inspección de vehículo, los datos gene</w:t>
      </w:r>
      <w:r>
        <w:rPr>
          <w:rFonts w:ascii="AvantGarde Bk BT" w:hAnsi="AvantGarde Bk BT" w:cs="Arial"/>
          <w:color w:val="000000" w:themeColor="text1"/>
          <w:sz w:val="24"/>
          <w:szCs w:val="24"/>
        </w:rPr>
        <w:t>rales sobre sus características.</w:t>
      </w:r>
    </w:p>
    <w:p w14:paraId="077F036B"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recolección y/o aseguramiento de armas de fuego u objetos, los datos generales sobre su</w:t>
      </w:r>
      <w:r>
        <w:rPr>
          <w:rFonts w:ascii="AvantGarde Bk BT" w:hAnsi="AvantGarde Bk BT" w:cs="Arial"/>
          <w:color w:val="000000" w:themeColor="text1"/>
          <w:sz w:val="24"/>
          <w:szCs w:val="24"/>
        </w:rPr>
        <w:t>s características y apariencias.</w:t>
      </w:r>
    </w:p>
    <w:p w14:paraId="2EB2D78B"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preservar el lugar de la intervención o actuación, los datos general</w:t>
      </w:r>
      <w:r>
        <w:rPr>
          <w:rFonts w:ascii="AvantGarde Bk BT" w:hAnsi="AvantGarde Bk BT" w:cs="Arial"/>
          <w:color w:val="000000" w:themeColor="text1"/>
          <w:sz w:val="24"/>
          <w:szCs w:val="24"/>
        </w:rPr>
        <w:t>es sobre su entrega-recepción.</w:t>
      </w:r>
    </w:p>
    <w:p w14:paraId="1E03C7C4"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entrevistas, los datos generales de la persona entrevistada y el relato de la misma.</w:t>
      </w:r>
    </w:p>
    <w:p w14:paraId="12135CA2"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2A215F">
        <w:rPr>
          <w:rFonts w:ascii="AvantGarde Bk BT" w:hAnsi="AvantGarde Bk BT" w:cs="Arial"/>
          <w:b/>
          <w:color w:val="000000" w:themeColor="text1"/>
          <w:sz w:val="24"/>
          <w:szCs w:val="24"/>
        </w:rPr>
        <w:t>Para infracciones administrativas contendrá al menos los siguientes datos:</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Número de Referencia o el Número de folio asignado;</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del o los integrantes de la institución policial que lo emite;</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de la aut</w:t>
      </w:r>
      <w:r>
        <w:rPr>
          <w:rFonts w:ascii="AvantGarde Bk BT" w:hAnsi="AvantGarde Bk BT" w:cs="Arial"/>
          <w:color w:val="000000" w:themeColor="text1"/>
          <w:sz w:val="24"/>
          <w:szCs w:val="24"/>
        </w:rPr>
        <w:t>oridad competente que lo recibe; l</w:t>
      </w:r>
      <w:r w:rsidRPr="00172E55">
        <w:rPr>
          <w:rFonts w:ascii="AvantGarde Bk BT" w:hAnsi="AvantGarde Bk BT" w:cs="Arial"/>
          <w:color w:val="000000" w:themeColor="text1"/>
          <w:sz w:val="24"/>
          <w:szCs w:val="24"/>
        </w:rPr>
        <w:t>os datos generales de la intervención o actuación;</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motivo de la intervención o actuación;</w:t>
      </w:r>
      <w:r>
        <w:rPr>
          <w:rFonts w:ascii="AvantGarde Bk BT" w:hAnsi="AvantGarde Bk BT" w:cs="Arial"/>
          <w:color w:val="000000" w:themeColor="text1"/>
          <w:sz w:val="24"/>
          <w:szCs w:val="24"/>
        </w:rPr>
        <w:t xml:space="preserve"> </w:t>
      </w:r>
      <w:r w:rsidRPr="002A215F">
        <w:rPr>
          <w:rFonts w:ascii="AvantGarde Bk BT" w:hAnsi="AvantGarde Bk BT" w:cs="Arial"/>
          <w:b/>
          <w:color w:val="000000" w:themeColor="text1"/>
          <w:sz w:val="24"/>
          <w:szCs w:val="24"/>
        </w:rPr>
        <w:t>la ubicación del o los lugares de la intervención o actuación; la descripción de hechos, que deberá detallar modo, tiempo y lugar, entre otros datos.</w:t>
      </w:r>
      <w:r w:rsidRPr="00172E55">
        <w:rPr>
          <w:rFonts w:ascii="AvantGarde Bk BT" w:hAnsi="AvantGarde Bk BT" w:cs="Arial"/>
          <w:color w:val="000000" w:themeColor="text1"/>
          <w:sz w:val="24"/>
          <w:szCs w:val="24"/>
        </w:rPr>
        <w:t xml:space="preserve"> Así como, justificar razonablemente el control provisional prevent</w:t>
      </w:r>
      <w:r>
        <w:rPr>
          <w:rFonts w:ascii="AvantGarde Bk BT" w:hAnsi="AvantGarde Bk BT" w:cs="Arial"/>
          <w:color w:val="000000" w:themeColor="text1"/>
          <w:sz w:val="24"/>
          <w:szCs w:val="24"/>
        </w:rPr>
        <w:t>ivo y/o los niveles de contacto.</w:t>
      </w:r>
    </w:p>
    <w:p w14:paraId="0BD56FB2" w14:textId="77777777" w:rsidR="002A215F" w:rsidRPr="00172E55" w:rsidRDefault="002A215F" w:rsidP="002A215F">
      <w:pPr>
        <w:pStyle w:val="corte4fondo"/>
        <w:numPr>
          <w:ilvl w:val="0"/>
          <w:numId w:val="35"/>
        </w:numPr>
        <w:tabs>
          <w:tab w:val="left" w:pos="567"/>
        </w:tabs>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personas arrestadas:</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Número del Registro Nacional de Detenciones;</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motivos de la detención;</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os datos generales de la persona;</w:t>
      </w:r>
      <w:r>
        <w:rPr>
          <w:rFonts w:ascii="AvantGarde Bk BT" w:hAnsi="AvantGarde Bk BT" w:cs="Arial"/>
          <w:color w:val="000000" w:themeColor="text1"/>
          <w:sz w:val="24"/>
          <w:szCs w:val="24"/>
        </w:rPr>
        <w:t xml:space="preserve"> l</w:t>
      </w:r>
      <w:r w:rsidRPr="00172E55">
        <w:rPr>
          <w:rFonts w:ascii="AvantGarde Bk BT" w:hAnsi="AvantGarde Bk BT" w:cs="Arial"/>
          <w:color w:val="000000" w:themeColor="text1"/>
          <w:sz w:val="24"/>
          <w:szCs w:val="24"/>
        </w:rPr>
        <w:t>a descripción de la persona, incluyendo su estado físico aparente, y</w:t>
      </w:r>
      <w:r>
        <w:rPr>
          <w:rFonts w:ascii="AvantGarde Bk BT" w:hAnsi="AvantGarde Bk BT" w:cs="Arial"/>
          <w:color w:val="000000" w:themeColor="text1"/>
          <w:sz w:val="24"/>
          <w:szCs w:val="24"/>
        </w:rPr>
        <w:t xml:space="preserve"> e</w:t>
      </w:r>
      <w:r w:rsidRPr="00172E55">
        <w:rPr>
          <w:rFonts w:ascii="AvantGarde Bk BT" w:hAnsi="AvantGarde Bk BT" w:cs="Arial"/>
          <w:color w:val="000000" w:themeColor="text1"/>
          <w:sz w:val="24"/>
          <w:szCs w:val="24"/>
        </w:rPr>
        <w:t>l lugar en el que es puesta a dispos</w:t>
      </w:r>
      <w:r>
        <w:rPr>
          <w:rFonts w:ascii="AvantGarde Bk BT" w:hAnsi="AvantGarde Bk BT" w:cs="Arial"/>
          <w:color w:val="000000" w:themeColor="text1"/>
          <w:sz w:val="24"/>
          <w:szCs w:val="24"/>
        </w:rPr>
        <w:t>ición la persona.</w:t>
      </w:r>
    </w:p>
    <w:p w14:paraId="162AC606" w14:textId="77777777" w:rsidR="002A215F" w:rsidRPr="00172E55" w:rsidRDefault="002A215F" w:rsidP="002A215F">
      <w:pPr>
        <w:pStyle w:val="corte4fondo"/>
        <w:numPr>
          <w:ilvl w:val="0"/>
          <w:numId w:val="35"/>
        </w:numPr>
        <w:tabs>
          <w:tab w:val="left" w:pos="567"/>
        </w:tabs>
        <w:spacing w:after="240"/>
        <w:ind w:left="680" w:firstLine="0"/>
        <w:rPr>
          <w:rFonts w:ascii="AvantGarde Bk BT" w:hAnsi="AvantGarde Bk BT" w:cs="Arial"/>
          <w:color w:val="000000" w:themeColor="text1"/>
          <w:sz w:val="24"/>
          <w:szCs w:val="24"/>
        </w:rPr>
      </w:pPr>
      <w:r w:rsidRPr="00172E55">
        <w:rPr>
          <w:rFonts w:ascii="AvantGarde Bk BT" w:hAnsi="AvantGarde Bk BT" w:cs="Arial"/>
          <w:color w:val="000000" w:themeColor="text1"/>
          <w:sz w:val="24"/>
          <w:szCs w:val="24"/>
        </w:rPr>
        <w:t>En caso de involucramiento de vehículo, los datos generales sobre sus características.</w:t>
      </w:r>
    </w:p>
    <w:p w14:paraId="01FB9D2A" w14:textId="77777777" w:rsidR="002A215F" w:rsidRDefault="002A215F" w:rsidP="002A21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Aunado a lo anterior,</w:t>
      </w:r>
      <w:r w:rsidRPr="00172E55">
        <w:rPr>
          <w:rFonts w:ascii="AvantGarde Bk BT" w:hAnsi="AvantGarde Bk BT" w:cs="Arial"/>
          <w:color w:val="000000" w:themeColor="text1"/>
          <w:sz w:val="24"/>
          <w:szCs w:val="24"/>
        </w:rPr>
        <w:t xml:space="preserve"> el llenado del I</w:t>
      </w:r>
      <w:r>
        <w:rPr>
          <w:rFonts w:ascii="AvantGarde Bk BT" w:hAnsi="AvantGarde Bk BT" w:cs="Arial"/>
          <w:color w:val="000000" w:themeColor="text1"/>
          <w:sz w:val="24"/>
          <w:szCs w:val="24"/>
        </w:rPr>
        <w:t xml:space="preserve">nforme </w:t>
      </w:r>
      <w:r w:rsidRPr="00172E55">
        <w:rPr>
          <w:rFonts w:ascii="AvantGarde Bk BT" w:hAnsi="AvantGarde Bk BT" w:cs="Arial"/>
          <w:color w:val="000000" w:themeColor="text1"/>
          <w:sz w:val="24"/>
          <w:szCs w:val="24"/>
        </w:rPr>
        <w:t>P</w:t>
      </w:r>
      <w:r>
        <w:rPr>
          <w:rFonts w:ascii="AvantGarde Bk BT" w:hAnsi="AvantGarde Bk BT" w:cs="Arial"/>
          <w:color w:val="000000" w:themeColor="text1"/>
          <w:sz w:val="24"/>
          <w:szCs w:val="24"/>
        </w:rPr>
        <w:t xml:space="preserve">olicial </w:t>
      </w:r>
      <w:r w:rsidRPr="00172E55">
        <w:rPr>
          <w:rFonts w:ascii="AvantGarde Bk BT" w:hAnsi="AvantGarde Bk BT" w:cs="Arial"/>
          <w:color w:val="000000" w:themeColor="text1"/>
          <w:sz w:val="24"/>
          <w:szCs w:val="24"/>
        </w:rPr>
        <w:t>H</w:t>
      </w:r>
      <w:r>
        <w:rPr>
          <w:rFonts w:ascii="AvantGarde Bk BT" w:hAnsi="AvantGarde Bk BT" w:cs="Arial"/>
          <w:color w:val="000000" w:themeColor="text1"/>
          <w:sz w:val="24"/>
          <w:szCs w:val="24"/>
        </w:rPr>
        <w:t>omologado</w:t>
      </w:r>
      <w:r w:rsidRPr="00172E55">
        <w:rPr>
          <w:rFonts w:ascii="AvantGarde Bk BT" w:hAnsi="AvantGarde Bk BT" w:cs="Arial"/>
          <w:color w:val="000000" w:themeColor="text1"/>
          <w:sz w:val="24"/>
          <w:szCs w:val="24"/>
        </w:rPr>
        <w:t xml:space="preserve"> se anotará por completo la información del evento. En caso de no contar con algún dato, no se realice la actividad y/o no aplique su llenado, se deberá dejar constancia de ello, o testar o cancelar el espacio respectivo a fin de que n</w:t>
      </w:r>
      <w:r>
        <w:rPr>
          <w:rFonts w:ascii="AvantGarde Bk BT" w:hAnsi="AvantGarde Bk BT" w:cs="Arial"/>
          <w:color w:val="000000" w:themeColor="text1"/>
          <w:sz w:val="24"/>
          <w:szCs w:val="24"/>
        </w:rPr>
        <w:t xml:space="preserve">o se haga un mal uso de él. </w:t>
      </w:r>
      <w:r>
        <w:rPr>
          <w:rFonts w:ascii="AvantGarde Bk BT" w:hAnsi="AvantGarde Bk BT" w:cs="Arial"/>
          <w:color w:val="000000" w:themeColor="text1"/>
          <w:sz w:val="24"/>
          <w:szCs w:val="24"/>
        </w:rPr>
        <w:lastRenderedPageBreak/>
        <w:t>Además, n</w:t>
      </w:r>
      <w:r w:rsidRPr="00172E55">
        <w:rPr>
          <w:rFonts w:ascii="AvantGarde Bk BT" w:hAnsi="AvantGarde Bk BT" w:cs="Arial"/>
          <w:color w:val="000000" w:themeColor="text1"/>
          <w:sz w:val="24"/>
          <w:szCs w:val="24"/>
        </w:rPr>
        <w:t>o se exigirá la totalidad del llenado y entrega de los Anexos cuando el caso no lo amerite.</w:t>
      </w:r>
      <w:r>
        <w:rPr>
          <w:rStyle w:val="Refdenotaalpie"/>
          <w:rFonts w:ascii="AvantGarde Bk BT" w:hAnsi="AvantGarde Bk BT" w:cs="Arial"/>
          <w:color w:val="000000" w:themeColor="text1"/>
          <w:sz w:val="24"/>
          <w:szCs w:val="24"/>
        </w:rPr>
        <w:footnoteReference w:id="6"/>
      </w:r>
    </w:p>
    <w:p w14:paraId="6B317B44" w14:textId="77777777" w:rsidR="00412870" w:rsidRDefault="00412870" w:rsidP="0041287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es menester precisar que la información relacionada con la incidencia delictiva no puede ser considerada como información reservada, pues ésta corresponde a información estadística que deben generar y mantener actualizada las </w:t>
      </w:r>
      <w:r w:rsidRPr="00700668">
        <w:rPr>
          <w:rFonts w:ascii="AvantGarde Bk BT" w:hAnsi="AvantGarde Bk BT" w:cs="Arial"/>
          <w:color w:val="000000" w:themeColor="text1"/>
          <w:sz w:val="24"/>
          <w:szCs w:val="24"/>
        </w:rPr>
        <w:t>Instituciones de Seguridad Pública de los tres órdenes de gobierno</w:t>
      </w:r>
      <w:r>
        <w:rPr>
          <w:rFonts w:ascii="AvantGarde Bk BT" w:hAnsi="AvantGarde Bk BT" w:cs="Arial"/>
          <w:color w:val="000000" w:themeColor="text1"/>
          <w:sz w:val="24"/>
          <w:szCs w:val="24"/>
        </w:rPr>
        <w:t xml:space="preserve"> en términos de la </w:t>
      </w:r>
      <w:r w:rsidRPr="00700668">
        <w:rPr>
          <w:rFonts w:ascii="AvantGarde Bk BT" w:hAnsi="AvantGarde Bk BT" w:cs="Arial"/>
          <w:color w:val="000000" w:themeColor="text1"/>
          <w:sz w:val="24"/>
          <w:szCs w:val="24"/>
        </w:rPr>
        <w:t>Ley General del Sistema Nacional de Seguridad Pública</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7"/>
      </w:r>
    </w:p>
    <w:p w14:paraId="27659734" w14:textId="757AB9FE" w:rsidR="00412870" w:rsidRDefault="00412870" w:rsidP="0041287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 mayor añadidura, es indispensable precisar que la información estadística relacionada con la incidencia delictiva del fuero común se encuentra publicada en la página de internet del Secretariado Ejecutivo del Sistema Nacional de Seguridad Pública.</w:t>
      </w:r>
      <w:r>
        <w:rPr>
          <w:rStyle w:val="Refdenotaalpie"/>
          <w:rFonts w:ascii="AvantGarde Bk BT" w:hAnsi="AvantGarde Bk BT" w:cs="Arial"/>
          <w:color w:val="000000" w:themeColor="text1"/>
          <w:sz w:val="24"/>
          <w:szCs w:val="24"/>
        </w:rPr>
        <w:footnoteReference w:id="8"/>
      </w:r>
    </w:p>
    <w:p w14:paraId="2CC90497" w14:textId="6902B1A3" w:rsidR="002A215F" w:rsidRDefault="002A215F" w:rsidP="002A215F">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contexto y dentro del marco de las consideraciones previamente </w:t>
      </w:r>
      <w:r w:rsidR="0064565E">
        <w:rPr>
          <w:rFonts w:ascii="AvantGarde Bk BT" w:hAnsi="AvantGarde Bk BT" w:cs="Arial"/>
          <w:color w:val="000000" w:themeColor="text1"/>
          <w:sz w:val="24"/>
          <w:szCs w:val="24"/>
        </w:rPr>
        <w:t>anotadas,</w:t>
      </w:r>
      <w:r>
        <w:rPr>
          <w:rFonts w:ascii="AvantGarde Bk BT" w:hAnsi="AvantGarde Bk BT" w:cs="Arial"/>
          <w:color w:val="000000" w:themeColor="text1"/>
          <w:sz w:val="24"/>
          <w:szCs w:val="24"/>
        </w:rPr>
        <w:t xml:space="preserve"> se tiene que efectivamente </w:t>
      </w:r>
      <w:r w:rsidRPr="00473C61">
        <w:rPr>
          <w:rFonts w:ascii="AvantGarde Bk BT" w:hAnsi="AvantGarde Bk BT" w:cs="Arial"/>
          <w:b/>
          <w:color w:val="000000" w:themeColor="text1"/>
          <w:sz w:val="24"/>
          <w:szCs w:val="24"/>
        </w:rPr>
        <w:t xml:space="preserve">el sujeto obligado, por conducto de la Dirección General de Seguridad Pública </w:t>
      </w:r>
      <w:r w:rsidR="00123F38">
        <w:rPr>
          <w:rFonts w:ascii="AvantGarde Bk BT" w:hAnsi="AvantGarde Bk BT" w:cs="Arial"/>
          <w:b/>
          <w:color w:val="000000" w:themeColor="text1"/>
          <w:sz w:val="24"/>
          <w:szCs w:val="24"/>
        </w:rPr>
        <w:t xml:space="preserve">y Tránsito </w:t>
      </w:r>
      <w:r w:rsidRPr="00473C61">
        <w:rPr>
          <w:rFonts w:ascii="AvantGarde Bk BT" w:hAnsi="AvantGarde Bk BT" w:cs="Arial"/>
          <w:b/>
          <w:color w:val="000000" w:themeColor="text1"/>
          <w:sz w:val="24"/>
          <w:szCs w:val="24"/>
        </w:rPr>
        <w:t>Municipal</w:t>
      </w:r>
      <w:r>
        <w:rPr>
          <w:rFonts w:ascii="AvantGarde Bk BT" w:hAnsi="AvantGarde Bk BT" w:cs="Arial"/>
          <w:b/>
          <w:color w:val="000000" w:themeColor="text1"/>
          <w:sz w:val="24"/>
          <w:szCs w:val="24"/>
        </w:rPr>
        <w:t xml:space="preserve"> de </w:t>
      </w:r>
      <w:proofErr w:type="spellStart"/>
      <w:r w:rsidR="00123F38">
        <w:rPr>
          <w:rFonts w:ascii="AvantGarde Bk BT" w:hAnsi="AvantGarde Bk BT" w:cs="Arial"/>
          <w:b/>
          <w:color w:val="000000" w:themeColor="text1"/>
          <w:sz w:val="24"/>
          <w:szCs w:val="24"/>
        </w:rPr>
        <w:t>Tamazunchale</w:t>
      </w:r>
      <w:proofErr w:type="spellEnd"/>
      <w:r w:rsidRPr="00473C61">
        <w:rPr>
          <w:rFonts w:ascii="AvantGarde Bk BT" w:hAnsi="AvantGarde Bk BT" w:cs="Arial"/>
          <w:b/>
          <w:color w:val="000000" w:themeColor="text1"/>
          <w:sz w:val="24"/>
          <w:szCs w:val="24"/>
        </w:rPr>
        <w:t>, resulta competente para elaborar, archivar, capturar y resguardar los Informes Policiales Homologados derivados de los posibles hechos constitutivos de delito y/o faltas administrativas</w:t>
      </w:r>
      <w:r>
        <w:rPr>
          <w:rFonts w:ascii="AvantGarde Bk BT" w:hAnsi="AvantGarde Bk BT" w:cs="Arial"/>
          <w:color w:val="000000" w:themeColor="text1"/>
          <w:sz w:val="24"/>
          <w:szCs w:val="24"/>
        </w:rPr>
        <w:t xml:space="preserve">; que dichos documentos deberán contar con </w:t>
      </w:r>
      <w:r w:rsidRPr="00103D46">
        <w:rPr>
          <w:rFonts w:ascii="AvantGarde Bk BT" w:hAnsi="AvantGarde Bk BT" w:cs="Arial"/>
          <w:color w:val="000000" w:themeColor="text1"/>
          <w:sz w:val="24"/>
          <w:szCs w:val="24"/>
        </w:rPr>
        <w:t>los datos generales de la intervención o actuación; el motivo de la intervención o actuación; la ubicación del o los lugares de la intervención o actuación; la descripción de hechos, que deberá detallar modo, tiempo y lugar</w:t>
      </w:r>
      <w:r>
        <w:rPr>
          <w:rFonts w:ascii="AvantGarde Bk BT" w:hAnsi="AvantGarde Bk BT" w:cs="Arial"/>
          <w:color w:val="000000" w:themeColor="text1"/>
          <w:sz w:val="24"/>
          <w:szCs w:val="24"/>
        </w:rPr>
        <w:t xml:space="preserve">; </w:t>
      </w:r>
      <w:r w:rsidRPr="00123F38">
        <w:rPr>
          <w:rFonts w:ascii="AvantGarde Bk BT" w:hAnsi="AvantGarde Bk BT" w:cs="Arial"/>
          <w:b/>
          <w:color w:val="000000" w:themeColor="text1"/>
          <w:sz w:val="24"/>
          <w:szCs w:val="24"/>
          <w:u w:val="single"/>
        </w:rPr>
        <w:t xml:space="preserve">sin que exista la obligación de documentar las </w:t>
      </w:r>
      <w:r w:rsidRPr="00123F38">
        <w:rPr>
          <w:rFonts w:ascii="AvantGarde Bk BT" w:hAnsi="AvantGarde Bk BT" w:cs="Arial"/>
          <w:b/>
          <w:color w:val="000000" w:themeColor="text1"/>
          <w:sz w:val="24"/>
          <w:szCs w:val="24"/>
          <w:u w:val="single"/>
        </w:rPr>
        <w:lastRenderedPageBreak/>
        <w:t>coordenadas geográficas</w:t>
      </w:r>
      <w:r>
        <w:rPr>
          <w:rFonts w:ascii="AvantGarde Bk BT" w:hAnsi="AvantGarde Bk BT" w:cs="Arial"/>
          <w:b/>
          <w:color w:val="000000" w:themeColor="text1"/>
          <w:sz w:val="24"/>
          <w:szCs w:val="24"/>
        </w:rPr>
        <w:t>, asimismo, ello no implica que el sujeto obligado no registre dicha información de manera proactiva</w:t>
      </w:r>
      <w:r>
        <w:rPr>
          <w:rFonts w:ascii="AvantGarde Bk BT" w:hAnsi="AvantGarde Bk BT" w:cs="Arial"/>
          <w:color w:val="000000" w:themeColor="text1"/>
          <w:sz w:val="24"/>
          <w:szCs w:val="24"/>
        </w:rPr>
        <w:t>.</w:t>
      </w:r>
    </w:p>
    <w:p w14:paraId="3896F509" w14:textId="1EB236B9" w:rsidR="0064565E" w:rsidRDefault="0064565E" w:rsidP="007F0B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ello, se puede colegir válidamente que el sujeto obligado cuenta con atribuciones para generar, archivar y/o resguardar la información requerida por la persona recurrente, relacionada con la incidencia delictiva.</w:t>
      </w:r>
    </w:p>
    <w:p w14:paraId="7EB3C689" w14:textId="0CFCDA8D" w:rsidR="00123F38" w:rsidRDefault="009D22D5" w:rsidP="00C7490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64565E">
        <w:rPr>
          <w:rFonts w:ascii="AvantGarde Bk BT" w:hAnsi="AvantGarde Bk BT" w:cs="Arial"/>
          <w:color w:val="000000" w:themeColor="text1"/>
          <w:sz w:val="24"/>
          <w:szCs w:val="24"/>
        </w:rPr>
        <w:t xml:space="preserve">es necesario recordar que en el caso concreto </w:t>
      </w:r>
      <w:r w:rsidR="00FC665F">
        <w:rPr>
          <w:rFonts w:ascii="AvantGarde Bk BT" w:hAnsi="AvantGarde Bk BT" w:cs="Arial"/>
          <w:color w:val="000000" w:themeColor="text1"/>
          <w:sz w:val="24"/>
          <w:szCs w:val="24"/>
        </w:rPr>
        <w:t>la persona recurrente se recurrió la respuesta entregada, en primer lugar, por la entrega de información en un formato inaccesible, pues la incidencia delictiva entregada no se encuentra en datos abiertos.</w:t>
      </w:r>
    </w:p>
    <w:p w14:paraId="7F415D59" w14:textId="696AA83D" w:rsidR="002958EC" w:rsidRDefault="00FC665F" w:rsidP="002958E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Respecto de este tópico, la ley de Transparencia local establece que los datos abiertos </w:t>
      </w:r>
      <w:r w:rsidR="002958EC" w:rsidRPr="002958EC">
        <w:rPr>
          <w:rFonts w:ascii="AvantGarde Bk BT" w:hAnsi="AvantGarde Bk BT" w:cs="Arial"/>
          <w:b/>
          <w:color w:val="000000" w:themeColor="text1"/>
          <w:sz w:val="24"/>
          <w:szCs w:val="24"/>
          <w:u w:val="single"/>
        </w:rPr>
        <w:t>son aquellos</w:t>
      </w:r>
      <w:r w:rsidRPr="002958EC">
        <w:rPr>
          <w:rFonts w:ascii="AvantGarde Bk BT" w:hAnsi="AvantGarde Bk BT" w:cs="Arial"/>
          <w:b/>
          <w:color w:val="000000" w:themeColor="text1"/>
          <w:sz w:val="24"/>
          <w:szCs w:val="24"/>
          <w:u w:val="single"/>
        </w:rPr>
        <w:t xml:space="preserve"> datos digitales de carácter público que son accesibles en línea que pueden ser usados,</w:t>
      </w:r>
      <w:r w:rsidR="002958EC" w:rsidRPr="002958EC">
        <w:rPr>
          <w:rFonts w:ascii="AvantGarde Bk BT" w:hAnsi="AvantGarde Bk BT" w:cs="Arial"/>
          <w:b/>
          <w:color w:val="000000" w:themeColor="text1"/>
          <w:sz w:val="24"/>
          <w:szCs w:val="24"/>
          <w:u w:val="single"/>
        </w:rPr>
        <w:t xml:space="preserve"> </w:t>
      </w:r>
      <w:r w:rsidRPr="002958EC">
        <w:rPr>
          <w:rFonts w:ascii="AvantGarde Bk BT" w:hAnsi="AvantGarde Bk BT" w:cs="Arial"/>
          <w:b/>
          <w:color w:val="000000" w:themeColor="text1"/>
          <w:sz w:val="24"/>
          <w:szCs w:val="24"/>
          <w:u w:val="single"/>
        </w:rPr>
        <w:t>reutilizados y redistribuidos por cualquier persona</w:t>
      </w:r>
      <w:r w:rsidRPr="00FC665F">
        <w:rPr>
          <w:rFonts w:ascii="AvantGarde Bk BT" w:hAnsi="AvantGarde Bk BT" w:cs="Arial"/>
          <w:color w:val="000000" w:themeColor="text1"/>
          <w:sz w:val="24"/>
          <w:szCs w:val="24"/>
        </w:rPr>
        <w:t xml:space="preserve"> y</w:t>
      </w:r>
      <w:r w:rsidR="002958EC">
        <w:rPr>
          <w:rFonts w:ascii="AvantGarde Bk BT" w:hAnsi="AvantGarde Bk BT" w:cs="Arial"/>
          <w:color w:val="000000" w:themeColor="text1"/>
          <w:sz w:val="24"/>
          <w:szCs w:val="24"/>
        </w:rPr>
        <w:t xml:space="preserve"> que se caracterizan por ser a</w:t>
      </w:r>
      <w:r w:rsidR="002958EC" w:rsidRPr="002958EC">
        <w:rPr>
          <w:rFonts w:ascii="AvantGarde Bk BT" w:hAnsi="AvantGarde Bk BT" w:cs="Arial"/>
          <w:color w:val="000000" w:themeColor="text1"/>
          <w:sz w:val="24"/>
          <w:szCs w:val="24"/>
        </w:rPr>
        <w:t>ccesibles</w:t>
      </w:r>
      <w:r w:rsidR="002958EC">
        <w:rPr>
          <w:rFonts w:ascii="AvantGarde Bk BT" w:hAnsi="AvantGarde Bk BT" w:cs="Arial"/>
          <w:color w:val="000000" w:themeColor="text1"/>
          <w:sz w:val="24"/>
          <w:szCs w:val="24"/>
        </w:rPr>
        <w:t>, i</w:t>
      </w:r>
      <w:r w:rsidR="002958EC" w:rsidRPr="002958EC">
        <w:rPr>
          <w:rFonts w:ascii="AvantGarde Bk BT" w:hAnsi="AvantGarde Bk BT" w:cs="Arial"/>
          <w:color w:val="000000" w:themeColor="text1"/>
          <w:sz w:val="24"/>
          <w:szCs w:val="24"/>
        </w:rPr>
        <w:t>ntegrales</w:t>
      </w:r>
      <w:r w:rsidR="002958EC">
        <w:rPr>
          <w:rFonts w:ascii="AvantGarde Bk BT" w:hAnsi="AvantGarde Bk BT" w:cs="Arial"/>
          <w:color w:val="000000" w:themeColor="text1"/>
          <w:sz w:val="24"/>
          <w:szCs w:val="24"/>
        </w:rPr>
        <w:t>, g</w:t>
      </w:r>
      <w:r w:rsidR="002958EC" w:rsidRPr="002958EC">
        <w:rPr>
          <w:rFonts w:ascii="AvantGarde Bk BT" w:hAnsi="AvantGarde Bk BT" w:cs="Arial"/>
          <w:color w:val="000000" w:themeColor="text1"/>
          <w:sz w:val="24"/>
          <w:szCs w:val="24"/>
        </w:rPr>
        <w:t>ratuitos</w:t>
      </w:r>
      <w:r w:rsidR="002958EC">
        <w:rPr>
          <w:rFonts w:ascii="AvantGarde Bk BT" w:hAnsi="AvantGarde Bk BT" w:cs="Arial"/>
          <w:color w:val="000000" w:themeColor="text1"/>
          <w:sz w:val="24"/>
          <w:szCs w:val="24"/>
        </w:rPr>
        <w:t>, n</w:t>
      </w:r>
      <w:r w:rsidR="002958EC" w:rsidRPr="002958EC">
        <w:rPr>
          <w:rFonts w:ascii="AvantGarde Bk BT" w:hAnsi="AvantGarde Bk BT" w:cs="Arial"/>
          <w:color w:val="000000" w:themeColor="text1"/>
          <w:sz w:val="24"/>
          <w:szCs w:val="24"/>
        </w:rPr>
        <w:t>o discriminatorios</w:t>
      </w:r>
      <w:r w:rsidR="002958EC">
        <w:rPr>
          <w:rFonts w:ascii="AvantGarde Bk BT" w:hAnsi="AvantGarde Bk BT" w:cs="Arial"/>
          <w:color w:val="000000" w:themeColor="text1"/>
          <w:sz w:val="24"/>
          <w:szCs w:val="24"/>
        </w:rPr>
        <w:t>,</w:t>
      </w:r>
      <w:r w:rsidR="002958EC" w:rsidRPr="002958EC">
        <w:rPr>
          <w:rFonts w:ascii="AvantGarde Bk BT" w:hAnsi="AvantGarde Bk BT" w:cs="Arial"/>
          <w:color w:val="000000" w:themeColor="text1"/>
          <w:sz w:val="24"/>
          <w:szCs w:val="24"/>
        </w:rPr>
        <w:t xml:space="preserve"> </w:t>
      </w:r>
      <w:r w:rsidR="002958EC">
        <w:rPr>
          <w:rFonts w:ascii="AvantGarde Bk BT" w:hAnsi="AvantGarde Bk BT" w:cs="Arial"/>
          <w:color w:val="000000" w:themeColor="text1"/>
          <w:sz w:val="24"/>
          <w:szCs w:val="24"/>
        </w:rPr>
        <w:t>o</w:t>
      </w:r>
      <w:r w:rsidR="002958EC" w:rsidRPr="002958EC">
        <w:rPr>
          <w:rFonts w:ascii="AvantGarde Bk BT" w:hAnsi="AvantGarde Bk BT" w:cs="Arial"/>
          <w:color w:val="000000" w:themeColor="text1"/>
          <w:sz w:val="24"/>
          <w:szCs w:val="24"/>
        </w:rPr>
        <w:t>portunos</w:t>
      </w:r>
      <w:r w:rsidR="002958EC">
        <w:rPr>
          <w:rFonts w:ascii="AvantGarde Bk BT" w:hAnsi="AvantGarde Bk BT" w:cs="Arial"/>
          <w:color w:val="000000" w:themeColor="text1"/>
          <w:sz w:val="24"/>
          <w:szCs w:val="24"/>
        </w:rPr>
        <w:t>, p</w:t>
      </w:r>
      <w:r w:rsidR="002958EC" w:rsidRPr="002958EC">
        <w:rPr>
          <w:rFonts w:ascii="AvantGarde Bk BT" w:hAnsi="AvantGarde Bk BT" w:cs="Arial"/>
          <w:color w:val="000000" w:themeColor="text1"/>
          <w:sz w:val="24"/>
          <w:szCs w:val="24"/>
        </w:rPr>
        <w:t>ermanentes</w:t>
      </w:r>
      <w:r w:rsidR="002958EC">
        <w:rPr>
          <w:rFonts w:ascii="AvantGarde Bk BT" w:hAnsi="AvantGarde Bk BT" w:cs="Arial"/>
          <w:color w:val="000000" w:themeColor="text1"/>
          <w:sz w:val="24"/>
          <w:szCs w:val="24"/>
        </w:rPr>
        <w:t>, p</w:t>
      </w:r>
      <w:r w:rsidR="002958EC" w:rsidRPr="002958EC">
        <w:rPr>
          <w:rFonts w:ascii="AvantGarde Bk BT" w:hAnsi="AvantGarde Bk BT" w:cs="Arial"/>
          <w:color w:val="000000" w:themeColor="text1"/>
          <w:sz w:val="24"/>
          <w:szCs w:val="24"/>
        </w:rPr>
        <w:t>rimarios</w:t>
      </w:r>
      <w:r w:rsidR="002958EC">
        <w:rPr>
          <w:rFonts w:ascii="AvantGarde Bk BT" w:hAnsi="AvantGarde Bk BT" w:cs="Arial"/>
          <w:color w:val="000000" w:themeColor="text1"/>
          <w:sz w:val="24"/>
          <w:szCs w:val="24"/>
        </w:rPr>
        <w:t>, l</w:t>
      </w:r>
      <w:r w:rsidR="002958EC" w:rsidRPr="002958EC">
        <w:rPr>
          <w:rFonts w:ascii="AvantGarde Bk BT" w:hAnsi="AvantGarde Bk BT" w:cs="Arial"/>
          <w:color w:val="000000" w:themeColor="text1"/>
          <w:sz w:val="24"/>
          <w:szCs w:val="24"/>
        </w:rPr>
        <w:t>egibles por máquinas</w:t>
      </w:r>
      <w:r w:rsidR="002958EC">
        <w:rPr>
          <w:rFonts w:ascii="AvantGarde Bk BT" w:hAnsi="AvantGarde Bk BT" w:cs="Arial"/>
          <w:color w:val="000000" w:themeColor="text1"/>
          <w:sz w:val="24"/>
          <w:szCs w:val="24"/>
        </w:rPr>
        <w:t>, se encuentran e</w:t>
      </w:r>
      <w:r w:rsidR="002958EC" w:rsidRPr="002958EC">
        <w:rPr>
          <w:rFonts w:ascii="AvantGarde Bk BT" w:hAnsi="AvantGarde Bk BT" w:cs="Arial"/>
          <w:color w:val="000000" w:themeColor="text1"/>
          <w:sz w:val="24"/>
          <w:szCs w:val="24"/>
        </w:rPr>
        <w:t>n formatos abiertos</w:t>
      </w:r>
      <w:r w:rsidR="002958EC">
        <w:rPr>
          <w:rFonts w:ascii="AvantGarde Bk BT" w:hAnsi="AvantGarde Bk BT" w:cs="Arial"/>
          <w:color w:val="000000" w:themeColor="text1"/>
          <w:sz w:val="24"/>
          <w:szCs w:val="24"/>
        </w:rPr>
        <w:t xml:space="preserve"> y son de libre uso.</w:t>
      </w:r>
      <w:r w:rsidR="002958EC">
        <w:rPr>
          <w:rStyle w:val="Refdenotaalpie"/>
          <w:rFonts w:ascii="AvantGarde Bk BT" w:hAnsi="AvantGarde Bk BT" w:cs="Arial"/>
          <w:color w:val="000000" w:themeColor="text1"/>
          <w:sz w:val="24"/>
          <w:szCs w:val="24"/>
        </w:rPr>
        <w:footnoteReference w:id="9"/>
      </w:r>
    </w:p>
    <w:p w14:paraId="0F192748" w14:textId="77777777" w:rsidR="00B22E93" w:rsidRDefault="002958EC" w:rsidP="00B22E9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esa tesitura, las constancias que integran los autos permiten demostrar que, contrario a lo señalado por la persona recurrente, la respuesta otorgada por el sujeto obligado si se encuentra en datos abiertos, pues </w:t>
      </w:r>
      <w:r w:rsidR="00B22E93">
        <w:rPr>
          <w:rFonts w:ascii="AvantGarde Bk BT" w:hAnsi="AvantGarde Bk BT" w:cs="Arial"/>
          <w:color w:val="000000" w:themeColor="text1"/>
          <w:sz w:val="24"/>
          <w:szCs w:val="24"/>
        </w:rPr>
        <w:t xml:space="preserve">los datos digitales entregados </w:t>
      </w:r>
      <w:r w:rsidR="00B22E93" w:rsidRPr="00B22E93">
        <w:rPr>
          <w:rFonts w:ascii="AvantGarde Bk BT" w:hAnsi="AvantGarde Bk BT" w:cs="Arial"/>
          <w:color w:val="000000" w:themeColor="text1"/>
          <w:sz w:val="24"/>
          <w:szCs w:val="24"/>
        </w:rPr>
        <w:t>pueden ser usados, reutilizados y redistribuidos para cualquier propósito</w:t>
      </w:r>
      <w:r w:rsidR="00B22E93">
        <w:rPr>
          <w:rFonts w:ascii="AvantGarde Bk BT" w:hAnsi="AvantGarde Bk BT" w:cs="Arial"/>
          <w:color w:val="000000" w:themeColor="text1"/>
          <w:sz w:val="24"/>
          <w:szCs w:val="24"/>
        </w:rPr>
        <w:t>, no se requiere ningún tipo de registro para su acceso, devienen de la fuente original (de los informes policiales homologados), se conservan en el tiempo, se entregaron de manera actualizada, sin contraprestación alguna y son legibles por máquinas.</w:t>
      </w:r>
    </w:p>
    <w:p w14:paraId="3BC50E18" w14:textId="4328B77D" w:rsidR="002958EC" w:rsidRDefault="00B22E93" w:rsidP="00B22E9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De ah</w:t>
      </w:r>
      <w:r w:rsidR="00854D79">
        <w:rPr>
          <w:rFonts w:ascii="AvantGarde Bk BT" w:hAnsi="AvantGarde Bk BT" w:cs="Arial"/>
          <w:color w:val="000000" w:themeColor="text1"/>
          <w:sz w:val="24"/>
          <w:szCs w:val="24"/>
        </w:rPr>
        <w:t>í, resulta correcto concluir que el</w:t>
      </w:r>
      <w:r>
        <w:rPr>
          <w:rFonts w:ascii="AvantGarde Bk BT" w:hAnsi="AvantGarde Bk BT" w:cs="Arial"/>
          <w:color w:val="000000" w:themeColor="text1"/>
          <w:sz w:val="24"/>
          <w:szCs w:val="24"/>
        </w:rPr>
        <w:t xml:space="preserve"> uso </w:t>
      </w:r>
      <w:r w:rsidR="00854D79">
        <w:rPr>
          <w:rFonts w:ascii="AvantGarde Bk BT" w:hAnsi="AvantGarde Bk BT" w:cs="Arial"/>
          <w:color w:val="000000" w:themeColor="text1"/>
          <w:sz w:val="24"/>
          <w:szCs w:val="24"/>
        </w:rPr>
        <w:t>de la información requerida no supone una dificultad de acceso; además,</w:t>
      </w:r>
      <w:r w:rsidRPr="00B22E93">
        <w:rPr>
          <w:rFonts w:ascii="AvantGarde Bk BT" w:hAnsi="AvantGarde Bk BT" w:cs="Arial"/>
          <w:color w:val="000000" w:themeColor="text1"/>
          <w:sz w:val="24"/>
          <w:szCs w:val="24"/>
        </w:rPr>
        <w:t xml:space="preserve"> su a</w:t>
      </w:r>
      <w:r>
        <w:rPr>
          <w:rFonts w:ascii="AvantGarde Bk BT" w:hAnsi="AvantGarde Bk BT" w:cs="Arial"/>
          <w:color w:val="000000" w:themeColor="text1"/>
          <w:sz w:val="24"/>
          <w:szCs w:val="24"/>
        </w:rPr>
        <w:t>plicación y reproducción no está condicionada</w:t>
      </w:r>
      <w:r w:rsidRPr="00B22E93">
        <w:rPr>
          <w:rFonts w:ascii="AvantGarde Bk BT" w:hAnsi="AvantGarde Bk BT" w:cs="Arial"/>
          <w:color w:val="000000" w:themeColor="text1"/>
          <w:sz w:val="24"/>
          <w:szCs w:val="24"/>
        </w:rPr>
        <w:t xml:space="preserve"> a contraprestación alguna</w:t>
      </w:r>
      <w:r w:rsidR="00854D79">
        <w:rPr>
          <w:rFonts w:ascii="AvantGarde Bk BT" w:hAnsi="AvantGarde Bk BT" w:cs="Arial"/>
          <w:color w:val="000000" w:themeColor="text1"/>
          <w:sz w:val="24"/>
          <w:szCs w:val="24"/>
        </w:rPr>
        <w:t>; por ello, la respuesta otorgada es accesible</w:t>
      </w:r>
      <w:r w:rsidRPr="00B22E93">
        <w:rPr>
          <w:rFonts w:ascii="AvantGarde Bk BT" w:hAnsi="AvantGarde Bk BT" w:cs="Arial"/>
          <w:color w:val="000000" w:themeColor="text1"/>
          <w:sz w:val="24"/>
          <w:szCs w:val="24"/>
        </w:rPr>
        <w:t>.</w:t>
      </w:r>
    </w:p>
    <w:p w14:paraId="0C14198B" w14:textId="41AD08CC" w:rsidR="00854D79" w:rsidRDefault="00854D79" w:rsidP="00B22E9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w:t>
      </w:r>
      <w:r w:rsidRPr="00B424E3">
        <w:rPr>
          <w:rFonts w:ascii="AvantGarde Bk BT" w:hAnsi="AvantGarde Bk BT" w:cs="Arial"/>
          <w:color w:val="000000" w:themeColor="text1"/>
          <w:sz w:val="24"/>
          <w:szCs w:val="24"/>
          <w:u w:val="single"/>
        </w:rPr>
        <w:t xml:space="preserve">resulta inconcuso que </w:t>
      </w:r>
      <w:r w:rsidRPr="00B424E3">
        <w:rPr>
          <w:rFonts w:ascii="AvantGarde Bk BT" w:hAnsi="AvantGarde Bk BT" w:cs="Arial"/>
          <w:b/>
          <w:color w:val="000000" w:themeColor="text1"/>
          <w:sz w:val="24"/>
          <w:szCs w:val="24"/>
          <w:u w:val="single"/>
        </w:rPr>
        <w:t>el primer motivo de disenso señalado por la persona recurrente</w:t>
      </w:r>
      <w:r w:rsidRPr="00B424E3">
        <w:rPr>
          <w:rFonts w:ascii="AvantGarde Bk BT" w:hAnsi="AvantGarde Bk BT" w:cs="Arial"/>
          <w:color w:val="000000" w:themeColor="text1"/>
          <w:sz w:val="24"/>
          <w:szCs w:val="24"/>
          <w:u w:val="single"/>
        </w:rPr>
        <w:t xml:space="preserve"> </w:t>
      </w:r>
      <w:r w:rsidR="00B424E3" w:rsidRPr="00B424E3">
        <w:rPr>
          <w:rFonts w:ascii="AvantGarde Bk BT" w:hAnsi="AvantGarde Bk BT" w:cs="Arial"/>
          <w:color w:val="000000" w:themeColor="text1"/>
          <w:sz w:val="24"/>
          <w:szCs w:val="24"/>
          <w:u w:val="single"/>
        </w:rPr>
        <w:t xml:space="preserve">relativo a la entrega de información en un formato inaccesible </w:t>
      </w:r>
      <w:r w:rsidR="00B424E3" w:rsidRPr="00B424E3">
        <w:rPr>
          <w:rFonts w:ascii="AvantGarde Bk BT" w:hAnsi="AvantGarde Bk BT" w:cs="Arial"/>
          <w:b/>
          <w:color w:val="000000" w:themeColor="text1"/>
          <w:sz w:val="24"/>
          <w:szCs w:val="24"/>
          <w:u w:val="single"/>
        </w:rPr>
        <w:t>es</w:t>
      </w:r>
      <w:r w:rsidR="007C5207">
        <w:rPr>
          <w:rFonts w:ascii="AvantGarde Bk BT" w:hAnsi="AvantGarde Bk BT" w:cs="Arial"/>
          <w:b/>
          <w:color w:val="000000" w:themeColor="text1"/>
          <w:sz w:val="24"/>
          <w:szCs w:val="24"/>
          <w:u w:val="single"/>
        </w:rPr>
        <w:t xml:space="preserve"> infundado</w:t>
      </w:r>
      <w:r w:rsidR="00B424E3">
        <w:rPr>
          <w:rFonts w:ascii="AvantGarde Bk BT" w:hAnsi="AvantGarde Bk BT" w:cs="Arial"/>
          <w:color w:val="000000" w:themeColor="text1"/>
          <w:sz w:val="24"/>
          <w:szCs w:val="24"/>
        </w:rPr>
        <w:t>.</w:t>
      </w:r>
    </w:p>
    <w:p w14:paraId="5F5BB704" w14:textId="7C623C02" w:rsidR="00B424E3" w:rsidRDefault="00B424E3" w:rsidP="00B22E9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en </w:t>
      </w:r>
      <w:r w:rsidR="00FC3D88">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segundo motivo de disenso, </w:t>
      </w:r>
      <w:r w:rsidR="00FC3D88">
        <w:rPr>
          <w:rFonts w:ascii="AvantGarde Bk BT" w:hAnsi="AvantGarde Bk BT" w:cs="Arial"/>
          <w:color w:val="000000" w:themeColor="text1"/>
          <w:sz w:val="24"/>
          <w:szCs w:val="24"/>
        </w:rPr>
        <w:t xml:space="preserve">la persona recurrente se dolió de </w:t>
      </w:r>
      <w:r w:rsidR="00970724">
        <w:rPr>
          <w:rFonts w:ascii="AvantGarde Bk BT" w:hAnsi="AvantGarde Bk BT" w:cs="Arial"/>
          <w:color w:val="000000" w:themeColor="text1"/>
          <w:sz w:val="24"/>
          <w:szCs w:val="24"/>
        </w:rPr>
        <w:t xml:space="preserve">la entrega de la información incompleta derivado de la omisión del sujeto obligado de proporcionar las coordenadas geográficas de los eventos posiblemente constitutivos de delito </w:t>
      </w:r>
      <w:r w:rsidR="00FC3D88">
        <w:rPr>
          <w:rFonts w:ascii="AvantGarde Bk BT" w:hAnsi="AvantGarde Bk BT" w:cs="Arial"/>
          <w:color w:val="000000" w:themeColor="text1"/>
          <w:sz w:val="24"/>
          <w:szCs w:val="24"/>
        </w:rPr>
        <w:t>y</w:t>
      </w:r>
      <w:r w:rsidR="00970724">
        <w:rPr>
          <w:rFonts w:ascii="AvantGarde Bk BT" w:hAnsi="AvantGarde Bk BT" w:cs="Arial"/>
          <w:color w:val="000000" w:themeColor="text1"/>
          <w:sz w:val="24"/>
          <w:szCs w:val="24"/>
        </w:rPr>
        <w:t xml:space="preserve"> de fa</w:t>
      </w:r>
      <w:r w:rsidR="00FC3D88">
        <w:rPr>
          <w:rFonts w:ascii="AvantGarde Bk BT" w:hAnsi="AvantGarde Bk BT" w:cs="Arial"/>
          <w:color w:val="000000" w:themeColor="text1"/>
          <w:sz w:val="24"/>
          <w:szCs w:val="24"/>
        </w:rPr>
        <w:t>ltas administrativas registradas.</w:t>
      </w:r>
    </w:p>
    <w:p w14:paraId="5FA51781" w14:textId="568161F1" w:rsidR="00FC3D88" w:rsidRDefault="00FC3D88" w:rsidP="00B22E9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w:t>
      </w:r>
      <w:r w:rsidRPr="00412870">
        <w:rPr>
          <w:rFonts w:ascii="AvantGarde Bk BT" w:hAnsi="AvantGarde Bk BT" w:cs="Arial"/>
          <w:color w:val="000000" w:themeColor="text1"/>
          <w:sz w:val="24"/>
          <w:szCs w:val="24"/>
          <w:u w:val="single"/>
        </w:rPr>
        <w:t xml:space="preserve">es menester reiterar que de la lectura de la normativa vigente </w:t>
      </w:r>
      <w:r w:rsidR="00412870" w:rsidRPr="00412870">
        <w:rPr>
          <w:rFonts w:ascii="AvantGarde Bk BT" w:hAnsi="AvantGarde Bk BT" w:cs="Arial"/>
          <w:color w:val="000000" w:themeColor="text1"/>
          <w:sz w:val="24"/>
          <w:szCs w:val="24"/>
          <w:u w:val="single"/>
        </w:rPr>
        <w:t xml:space="preserve">para el llenado del Informe Policial Homologado no se desprende obligación alguna para las corporaciones policiales de recabar </w:t>
      </w:r>
      <w:r w:rsidR="00412870" w:rsidRPr="00412870">
        <w:rPr>
          <w:rFonts w:ascii="AvantGarde Bk BT" w:hAnsi="AvantGarde Bk BT" w:cs="Arial"/>
          <w:color w:val="000000" w:themeColor="text1"/>
          <w:sz w:val="24"/>
          <w:szCs w:val="24"/>
          <w:u w:val="single"/>
        </w:rPr>
        <w:t>las coordenadas geográficas de los eventos posiblemente constitutivos de delito y de faltas administrativas</w:t>
      </w:r>
      <w:r w:rsidR="00412870">
        <w:rPr>
          <w:rFonts w:ascii="AvantGarde Bk BT" w:hAnsi="AvantGarde Bk BT" w:cs="Arial"/>
          <w:color w:val="000000" w:themeColor="text1"/>
          <w:sz w:val="24"/>
          <w:szCs w:val="24"/>
        </w:rPr>
        <w:t>.</w:t>
      </w:r>
    </w:p>
    <w:p w14:paraId="3C972BD9" w14:textId="277DD44B" w:rsidR="00412870" w:rsidRPr="00B22E93" w:rsidRDefault="0090780C" w:rsidP="00B22E9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orden de ideas, </w:t>
      </w:r>
      <w:r w:rsidRPr="00A659D0">
        <w:rPr>
          <w:rFonts w:ascii="AvantGarde Bk BT" w:hAnsi="AvantGarde Bk BT" w:cs="Arial"/>
          <w:color w:val="000000" w:themeColor="text1"/>
          <w:sz w:val="24"/>
          <w:szCs w:val="24"/>
          <w:u w:val="single"/>
        </w:rPr>
        <w:t xml:space="preserve">al no existir obligación del sujeto obligado para contar con </w:t>
      </w:r>
      <w:r w:rsidR="00A659D0" w:rsidRPr="00A659D0">
        <w:rPr>
          <w:rFonts w:ascii="AvantGarde Bk BT" w:hAnsi="AvantGarde Bk BT" w:cs="Arial"/>
          <w:color w:val="000000" w:themeColor="text1"/>
          <w:sz w:val="24"/>
          <w:szCs w:val="24"/>
          <w:u w:val="single"/>
        </w:rPr>
        <w:t xml:space="preserve">las coordenadas geográficas </w:t>
      </w:r>
      <w:r w:rsidR="00B17B9F">
        <w:rPr>
          <w:rFonts w:ascii="AvantGarde Bk BT" w:hAnsi="AvantGarde Bk BT" w:cs="Arial"/>
          <w:color w:val="000000" w:themeColor="text1"/>
          <w:sz w:val="24"/>
          <w:szCs w:val="24"/>
          <w:u w:val="single"/>
        </w:rPr>
        <w:t>requeridas</w:t>
      </w:r>
      <w:r w:rsidR="00A659D0" w:rsidRPr="00A659D0">
        <w:rPr>
          <w:rFonts w:ascii="AvantGarde Bk BT" w:hAnsi="AvantGarde Bk BT" w:cs="Arial"/>
          <w:color w:val="000000" w:themeColor="text1"/>
          <w:sz w:val="24"/>
          <w:szCs w:val="24"/>
          <w:u w:val="single"/>
        </w:rPr>
        <w:t>,</w:t>
      </w:r>
      <w:r w:rsidR="00A659D0">
        <w:rPr>
          <w:rFonts w:ascii="AvantGarde Bk BT" w:hAnsi="AvantGarde Bk BT" w:cs="Arial"/>
          <w:color w:val="000000" w:themeColor="text1"/>
          <w:sz w:val="24"/>
          <w:szCs w:val="24"/>
          <w:u w:val="single"/>
        </w:rPr>
        <w:t xml:space="preserve"> se puede concluir válidamente </w:t>
      </w:r>
      <w:r w:rsidR="00B17B9F">
        <w:rPr>
          <w:rFonts w:ascii="AvantGarde Bk BT" w:hAnsi="AvantGarde Bk BT" w:cs="Arial"/>
          <w:color w:val="000000" w:themeColor="text1"/>
          <w:sz w:val="24"/>
          <w:szCs w:val="24"/>
          <w:u w:val="single"/>
        </w:rPr>
        <w:t xml:space="preserve">que </w:t>
      </w:r>
      <w:r w:rsidR="00B17B9F" w:rsidRPr="00B17B9F">
        <w:rPr>
          <w:rFonts w:ascii="AvantGarde Bk BT" w:hAnsi="AvantGarde Bk BT" w:cs="Arial"/>
          <w:b/>
          <w:color w:val="000000" w:themeColor="text1"/>
          <w:sz w:val="24"/>
          <w:szCs w:val="24"/>
          <w:u w:val="single"/>
        </w:rPr>
        <w:t>el</w:t>
      </w:r>
      <w:r w:rsidR="00A659D0" w:rsidRPr="00A659D0">
        <w:rPr>
          <w:rFonts w:ascii="AvantGarde Bk BT" w:hAnsi="AvantGarde Bk BT" w:cs="Arial"/>
          <w:b/>
          <w:color w:val="000000" w:themeColor="text1"/>
          <w:sz w:val="24"/>
          <w:szCs w:val="24"/>
          <w:u w:val="single"/>
        </w:rPr>
        <w:t xml:space="preserve"> agravio </w:t>
      </w:r>
      <w:r w:rsidR="00A659D0">
        <w:rPr>
          <w:rFonts w:ascii="AvantGarde Bk BT" w:hAnsi="AvantGarde Bk BT" w:cs="Arial"/>
          <w:b/>
          <w:color w:val="000000" w:themeColor="text1"/>
          <w:sz w:val="24"/>
          <w:szCs w:val="24"/>
          <w:u w:val="single"/>
        </w:rPr>
        <w:t xml:space="preserve">en estudio </w:t>
      </w:r>
      <w:r w:rsidR="007C5207">
        <w:rPr>
          <w:rFonts w:ascii="AvantGarde Bk BT" w:hAnsi="AvantGarde Bk BT" w:cs="Arial"/>
          <w:b/>
          <w:color w:val="000000" w:themeColor="text1"/>
          <w:sz w:val="24"/>
          <w:szCs w:val="24"/>
          <w:u w:val="single"/>
        </w:rPr>
        <w:t>deviene infundado</w:t>
      </w:r>
      <w:r w:rsidR="00A659D0">
        <w:rPr>
          <w:rFonts w:ascii="AvantGarde Bk BT" w:hAnsi="AvantGarde Bk BT" w:cs="Arial"/>
          <w:color w:val="000000" w:themeColor="text1"/>
          <w:sz w:val="24"/>
          <w:szCs w:val="24"/>
        </w:rPr>
        <w:t xml:space="preserve">, pues las constancias que obran dentro de los autos del recurso de revisión en que se actúa permiten demostrar que </w:t>
      </w:r>
      <w:r w:rsidR="00A659D0" w:rsidRPr="00A659D0">
        <w:rPr>
          <w:rFonts w:ascii="AvantGarde Bk BT" w:hAnsi="AvantGarde Bk BT" w:cs="Arial"/>
          <w:color w:val="000000" w:themeColor="text1"/>
          <w:sz w:val="24"/>
          <w:szCs w:val="24"/>
          <w:u w:val="single"/>
        </w:rPr>
        <w:t xml:space="preserve">la Dirección General de Seguridad Pública y Tránsito Municipal de </w:t>
      </w:r>
      <w:proofErr w:type="spellStart"/>
      <w:r w:rsidR="00A659D0" w:rsidRPr="00A659D0">
        <w:rPr>
          <w:rFonts w:ascii="AvantGarde Bk BT" w:hAnsi="AvantGarde Bk BT" w:cs="Arial"/>
          <w:color w:val="000000" w:themeColor="text1"/>
          <w:sz w:val="24"/>
          <w:szCs w:val="24"/>
          <w:u w:val="single"/>
        </w:rPr>
        <w:t>Tamazunchale</w:t>
      </w:r>
      <w:proofErr w:type="spellEnd"/>
      <w:r w:rsidR="00A659D0" w:rsidRPr="00A659D0">
        <w:rPr>
          <w:rFonts w:ascii="AvantGarde Bk BT" w:hAnsi="AvantGarde Bk BT" w:cs="Arial"/>
          <w:color w:val="000000" w:themeColor="text1"/>
          <w:sz w:val="24"/>
          <w:szCs w:val="24"/>
          <w:u w:val="single"/>
        </w:rPr>
        <w:t xml:space="preserve"> entregó la información con la que cuenta en sus archivos físicos y bases de datos</w:t>
      </w:r>
      <w:r w:rsidR="00A659D0">
        <w:rPr>
          <w:rFonts w:ascii="AvantGarde Bk BT" w:hAnsi="AvantGarde Bk BT" w:cs="Arial"/>
          <w:color w:val="000000" w:themeColor="text1"/>
          <w:sz w:val="24"/>
          <w:szCs w:val="24"/>
        </w:rPr>
        <w:t>.</w:t>
      </w:r>
    </w:p>
    <w:p w14:paraId="3F3EF6B5" w14:textId="2F083723" w:rsidR="009A0D4F" w:rsidRDefault="009A0D4F" w:rsidP="009A0D4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sidR="00A659D0">
        <w:rPr>
          <w:rFonts w:ascii="AvantGarde Bk BT" w:hAnsi="AvantGarde Bk BT" w:cs="Arial"/>
          <w:b/>
          <w:color w:val="000000" w:themeColor="text1"/>
          <w:sz w:val="24"/>
          <w:szCs w:val="24"/>
        </w:rPr>
        <w:t xml:space="preserve">considera que </w:t>
      </w:r>
      <w:r>
        <w:rPr>
          <w:rFonts w:ascii="AvantGarde Bk BT" w:hAnsi="AvantGarde Bk BT" w:cs="Arial"/>
          <w:b/>
          <w:color w:val="000000" w:themeColor="text1"/>
          <w:sz w:val="24"/>
          <w:szCs w:val="24"/>
        </w:rPr>
        <w:t>l</w:t>
      </w:r>
      <w:r w:rsidR="00A659D0">
        <w:rPr>
          <w:rFonts w:ascii="AvantGarde Bk BT" w:hAnsi="AvantGarde Bk BT" w:cs="Arial"/>
          <w:b/>
          <w:color w:val="000000" w:themeColor="text1"/>
          <w:sz w:val="24"/>
          <w:szCs w:val="24"/>
        </w:rPr>
        <w:t>os</w:t>
      </w:r>
      <w:r w:rsidRPr="009E2819">
        <w:rPr>
          <w:rFonts w:ascii="AvantGarde Bk BT" w:hAnsi="AvantGarde Bk BT" w:cs="Arial"/>
          <w:b/>
          <w:color w:val="000000" w:themeColor="text1"/>
          <w:sz w:val="24"/>
          <w:szCs w:val="24"/>
        </w:rPr>
        <w:t xml:space="preserve"> agravio</w:t>
      </w:r>
      <w:r w:rsidR="00A659D0">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vertido</w:t>
      </w:r>
      <w:r w:rsidR="00A659D0">
        <w:rPr>
          <w:rFonts w:ascii="AvantGarde Bk BT" w:hAnsi="AvantGarde Bk BT" w:cs="Arial"/>
          <w:b/>
          <w:color w:val="000000" w:themeColor="text1"/>
          <w:sz w:val="24"/>
          <w:szCs w:val="24"/>
        </w:rPr>
        <w:t>s por el recurrente resultan in</w:t>
      </w:r>
      <w:r w:rsidRPr="009E2819">
        <w:rPr>
          <w:rFonts w:ascii="AvantGarde Bk BT" w:hAnsi="AvantGarde Bk BT" w:cs="Arial"/>
          <w:b/>
          <w:color w:val="000000" w:themeColor="text1"/>
          <w:sz w:val="24"/>
          <w:szCs w:val="24"/>
        </w:rPr>
        <w:t>suficiente</w:t>
      </w:r>
      <w:r w:rsidR="00A659D0">
        <w:rPr>
          <w:rFonts w:ascii="AvantGarde Bk BT" w:hAnsi="AvantGarde Bk BT" w:cs="Arial"/>
          <w:b/>
          <w:color w:val="000000" w:themeColor="text1"/>
          <w:sz w:val="24"/>
          <w:szCs w:val="24"/>
        </w:rPr>
        <w:t>s</w:t>
      </w:r>
      <w:r w:rsidRPr="009E2819">
        <w:rPr>
          <w:rFonts w:ascii="AvantGarde Bk BT" w:hAnsi="AvantGarde Bk BT" w:cs="Arial"/>
          <w:b/>
          <w:color w:val="000000" w:themeColor="text1"/>
          <w:sz w:val="24"/>
          <w:szCs w:val="24"/>
        </w:rPr>
        <w:t xml:space="preserve"> para </w:t>
      </w:r>
      <w:r w:rsidR="00A659D0">
        <w:rPr>
          <w:rFonts w:ascii="AvantGarde Bk BT" w:hAnsi="AvantGarde Bk BT" w:cs="Arial"/>
          <w:b/>
          <w:color w:val="000000" w:themeColor="text1"/>
          <w:sz w:val="24"/>
          <w:szCs w:val="24"/>
        </w:rPr>
        <w:t xml:space="preserve">modificar </w:t>
      </w:r>
      <w:r w:rsidRPr="009E2819">
        <w:rPr>
          <w:rFonts w:ascii="AvantGarde Bk BT" w:hAnsi="AvantGarde Bk BT" w:cs="Arial"/>
          <w:b/>
          <w:color w:val="000000" w:themeColor="text1"/>
          <w:sz w:val="24"/>
          <w:szCs w:val="24"/>
        </w:rPr>
        <w:t>el acto impugnado</w:t>
      </w:r>
      <w:r>
        <w:rPr>
          <w:rFonts w:ascii="AvantGarde Bk BT" w:hAnsi="AvantGarde Bk BT" w:cs="Arial"/>
          <w:color w:val="000000" w:themeColor="text1"/>
          <w:sz w:val="24"/>
          <w:szCs w:val="24"/>
        </w:rPr>
        <w:t>.</w:t>
      </w:r>
    </w:p>
    <w:p w14:paraId="33230281" w14:textId="0263B12F" w:rsidR="00A659D0" w:rsidRDefault="007C5207" w:rsidP="00A659D0">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consecuencia</w:t>
      </w:r>
      <w:r w:rsidR="00A659D0">
        <w:rPr>
          <w:rFonts w:ascii="AvantGarde Bk BT" w:hAnsi="AvantGarde Bk BT" w:cs="Arial"/>
          <w:color w:val="000000" w:themeColor="text1"/>
          <w:sz w:val="24"/>
          <w:szCs w:val="24"/>
        </w:rPr>
        <w:t xml:space="preserve">, la respuesta emitida por parte del sujeto obligado es válida en cuanto a que proporcionó la información conforme obra en sus archivos; </w:t>
      </w:r>
      <w:r>
        <w:rPr>
          <w:rFonts w:ascii="AvantGarde Bk BT" w:hAnsi="AvantGarde Bk BT" w:cs="Arial"/>
          <w:color w:val="000000" w:themeColor="text1"/>
          <w:sz w:val="24"/>
          <w:szCs w:val="24"/>
        </w:rPr>
        <w:t>de ahí que los</w:t>
      </w:r>
      <w:r w:rsidR="00A659D0" w:rsidRPr="00AC315A">
        <w:rPr>
          <w:rFonts w:ascii="AvantGarde Bk BT" w:hAnsi="AvantGarde Bk BT" w:cs="Arial"/>
          <w:color w:val="000000" w:themeColor="text1"/>
          <w:sz w:val="24"/>
          <w:szCs w:val="24"/>
        </w:rPr>
        <w:t xml:space="preserve"> motivo</w:t>
      </w:r>
      <w:r>
        <w:rPr>
          <w:rFonts w:ascii="AvantGarde Bk BT" w:hAnsi="AvantGarde Bk BT" w:cs="Arial"/>
          <w:color w:val="000000" w:themeColor="text1"/>
          <w:sz w:val="24"/>
          <w:szCs w:val="24"/>
        </w:rPr>
        <w:t>s</w:t>
      </w:r>
      <w:r w:rsidR="00A659D0" w:rsidRPr="00AC315A">
        <w:rPr>
          <w:rFonts w:ascii="AvantGarde Bk BT" w:hAnsi="AvantGarde Bk BT" w:cs="Arial"/>
          <w:color w:val="000000" w:themeColor="text1"/>
          <w:sz w:val="24"/>
          <w:szCs w:val="24"/>
        </w:rPr>
        <w:t xml:space="preserve"> de disenso señalado</w:t>
      </w:r>
      <w:r>
        <w:rPr>
          <w:rFonts w:ascii="AvantGarde Bk BT" w:hAnsi="AvantGarde Bk BT" w:cs="Arial"/>
          <w:color w:val="000000" w:themeColor="text1"/>
          <w:sz w:val="24"/>
          <w:szCs w:val="24"/>
        </w:rPr>
        <w:t>s</w:t>
      </w:r>
      <w:r w:rsidR="00A659D0" w:rsidRPr="00AC315A">
        <w:rPr>
          <w:rFonts w:ascii="AvantGarde Bk BT" w:hAnsi="AvantGarde Bk BT" w:cs="Arial"/>
          <w:color w:val="000000" w:themeColor="text1"/>
          <w:sz w:val="24"/>
          <w:szCs w:val="24"/>
        </w:rPr>
        <w:t xml:space="preserve"> por la parte recurrente resulta</w:t>
      </w:r>
      <w:r>
        <w:rPr>
          <w:rFonts w:ascii="AvantGarde Bk BT" w:hAnsi="AvantGarde Bk BT" w:cs="Arial"/>
          <w:color w:val="000000" w:themeColor="text1"/>
          <w:sz w:val="24"/>
          <w:szCs w:val="24"/>
        </w:rPr>
        <w:t>ron</w:t>
      </w:r>
      <w:r w:rsidR="00A659D0" w:rsidRPr="00AC315A">
        <w:rPr>
          <w:rFonts w:ascii="AvantGarde Bk BT" w:hAnsi="AvantGarde Bk BT" w:cs="Arial"/>
          <w:color w:val="000000" w:themeColor="text1"/>
          <w:sz w:val="24"/>
          <w:szCs w:val="24"/>
        </w:rPr>
        <w:t xml:space="preserve"> infundado</w:t>
      </w:r>
      <w:r>
        <w:rPr>
          <w:rFonts w:ascii="AvantGarde Bk BT" w:hAnsi="AvantGarde Bk BT" w:cs="Arial"/>
          <w:color w:val="000000" w:themeColor="text1"/>
          <w:sz w:val="24"/>
          <w:szCs w:val="24"/>
        </w:rPr>
        <w:t>s</w:t>
      </w:r>
      <w:r w:rsidR="00A659D0" w:rsidRPr="00AC315A">
        <w:rPr>
          <w:rFonts w:ascii="AvantGarde Bk BT" w:hAnsi="AvantGarde Bk BT" w:cs="Arial"/>
          <w:color w:val="000000" w:themeColor="text1"/>
          <w:sz w:val="24"/>
          <w:szCs w:val="24"/>
        </w:rPr>
        <w:t xml:space="preserve">, pues como quedó precisado con anterioridad, los sujetos obligados no se encuentran constreñidos a elaborar respuestas que se ajusten a los requerimientos de los </w:t>
      </w:r>
      <w:r w:rsidR="00A659D0" w:rsidRPr="00AC315A">
        <w:rPr>
          <w:rFonts w:ascii="AvantGarde Bk BT" w:hAnsi="AvantGarde Bk BT" w:cs="Arial"/>
          <w:color w:val="000000" w:themeColor="text1"/>
          <w:sz w:val="24"/>
          <w:szCs w:val="24"/>
        </w:rPr>
        <w:lastRenderedPageBreak/>
        <w:t>particulares; sino que su obligación únicamente se sujeta a proporcionar la información que ya obra en sus archivos.</w:t>
      </w:r>
    </w:p>
    <w:p w14:paraId="6123DE23" w14:textId="06485A25" w:rsidR="00A659D0" w:rsidRPr="006521E2" w:rsidRDefault="00A659D0" w:rsidP="00A659D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Sobre la base de lo anterior, </w:t>
      </w:r>
      <w:r w:rsidRPr="00702FB1">
        <w:rPr>
          <w:rFonts w:ascii="AvantGarde Bk BT" w:hAnsi="AvantGarde Bk BT" w:cs="Arial"/>
          <w:b/>
          <w:color w:val="000000" w:themeColor="text1"/>
          <w:sz w:val="24"/>
          <w:szCs w:val="24"/>
        </w:rPr>
        <w:t xml:space="preserve">resulta inconcuso que el </w:t>
      </w:r>
      <w:r>
        <w:rPr>
          <w:rFonts w:ascii="AvantGarde Bk BT" w:hAnsi="AvantGarde Bk BT" w:cs="Arial"/>
          <w:b/>
          <w:color w:val="000000" w:themeColor="text1"/>
          <w:sz w:val="24"/>
          <w:szCs w:val="24"/>
        </w:rPr>
        <w:t xml:space="preserve">derecho de </w:t>
      </w:r>
      <w:r w:rsidRPr="00702FB1">
        <w:rPr>
          <w:rFonts w:ascii="AvantGarde Bk BT" w:hAnsi="AvantGarde Bk BT" w:cs="Arial"/>
          <w:b/>
          <w:color w:val="000000" w:themeColor="text1"/>
          <w:sz w:val="24"/>
          <w:szCs w:val="24"/>
        </w:rPr>
        <w:t>acceso a la información</w:t>
      </w:r>
      <w:r>
        <w:rPr>
          <w:rFonts w:ascii="AvantGarde Bk BT" w:hAnsi="AvantGarde Bk BT" w:cs="Arial"/>
          <w:b/>
          <w:color w:val="000000" w:themeColor="text1"/>
          <w:sz w:val="24"/>
          <w:szCs w:val="24"/>
        </w:rPr>
        <w:t xml:space="preserve"> de la parte</w:t>
      </w:r>
      <w:r w:rsidRPr="00702FB1">
        <w:rPr>
          <w:rFonts w:ascii="AvantGarde Bk BT" w:hAnsi="AvantGarde Bk BT" w:cs="Arial"/>
          <w:b/>
          <w:color w:val="000000" w:themeColor="text1"/>
          <w:sz w:val="24"/>
          <w:szCs w:val="24"/>
        </w:rPr>
        <w:t xml:space="preserve"> recurrente se encuentra colmado, toda vez que se le proporcionó </w:t>
      </w:r>
      <w:r>
        <w:rPr>
          <w:rFonts w:ascii="AvantGarde Bk BT" w:hAnsi="AvantGarde Bk BT" w:cs="Arial"/>
          <w:b/>
          <w:color w:val="000000" w:themeColor="text1"/>
          <w:sz w:val="24"/>
          <w:szCs w:val="24"/>
        </w:rPr>
        <w:t>la información solicitada</w:t>
      </w:r>
      <w:r>
        <w:rPr>
          <w:rFonts w:ascii="AvantGarde Bk BT" w:hAnsi="AvantGarde Bk BT" w:cs="Arial"/>
          <w:color w:val="000000" w:themeColor="text1"/>
          <w:sz w:val="24"/>
          <w:szCs w:val="24"/>
        </w:rPr>
        <w:t>.</w:t>
      </w:r>
    </w:p>
    <w:p w14:paraId="380DC54C" w14:textId="77777777" w:rsidR="00A659D0" w:rsidRDefault="00A659D0" w:rsidP="00A659D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w:t>
      </w:r>
      <w:r w:rsidRPr="001834E9">
        <w:rPr>
          <w:rFonts w:ascii="AvantGarde Bk BT" w:hAnsi="AvantGarde Bk BT" w:cs="Arial"/>
          <w:color w:val="000000" w:themeColor="text1"/>
          <w:sz w:val="24"/>
          <w:szCs w:val="24"/>
        </w:rPr>
        <w:t xml:space="preserve">se tiene que lo procedente es </w:t>
      </w:r>
      <w:r w:rsidRPr="001834E9">
        <w:rPr>
          <w:rFonts w:ascii="AvantGarde Bk BT" w:hAnsi="AvantGarde Bk BT" w:cs="Arial"/>
          <w:b/>
          <w:color w:val="000000" w:themeColor="text1"/>
          <w:sz w:val="24"/>
          <w:szCs w:val="24"/>
        </w:rPr>
        <w:t xml:space="preserve">CONFIRMAR </w:t>
      </w:r>
      <w:r w:rsidRPr="001834E9">
        <w:rPr>
          <w:rFonts w:ascii="AvantGarde Bk BT" w:hAnsi="AvantGarde Bk BT" w:cs="Arial"/>
          <w:color w:val="000000" w:themeColor="text1"/>
          <w:sz w:val="24"/>
          <w:szCs w:val="24"/>
        </w:rPr>
        <w:t>el acto impugnado</w:t>
      </w:r>
    </w:p>
    <w:p w14:paraId="0356D39F" w14:textId="77777777" w:rsidR="00A659D0" w:rsidRPr="00B90A51" w:rsidRDefault="00A659D0" w:rsidP="00A659D0">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5</w:t>
      </w:r>
      <w:r w:rsidRPr="006C3920">
        <w:rPr>
          <w:rFonts w:ascii="AvantGarde Bk BT" w:hAnsi="AvantGarde Bk BT" w:cs="Arial"/>
          <w:b/>
          <w:sz w:val="24"/>
          <w:szCs w:val="24"/>
        </w:rPr>
        <w:t>.1. Sentido de esta resolución.</w:t>
      </w:r>
    </w:p>
    <w:p w14:paraId="35013A87" w14:textId="77777777" w:rsidR="00A659D0" w:rsidRPr="00B90A51" w:rsidRDefault="00A659D0" w:rsidP="00A659D0">
      <w:pPr>
        <w:pStyle w:val="corte4fondo"/>
        <w:tabs>
          <w:tab w:val="left" w:pos="567"/>
        </w:tabs>
        <w:spacing w:after="240"/>
        <w:rPr>
          <w:rFonts w:ascii="AvantGarde Bk BT" w:hAnsi="AvantGarde Bk BT" w:cs="Arial"/>
          <w:sz w:val="24"/>
          <w:szCs w:val="24"/>
        </w:rPr>
      </w:pPr>
      <w:r w:rsidRPr="006C3920">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6C3920">
        <w:rPr>
          <w:rFonts w:ascii="AvantGarde Bk BT" w:hAnsi="AvantGarde Bk BT" w:cs="Arial"/>
          <w:b/>
          <w:sz w:val="24"/>
          <w:szCs w:val="24"/>
        </w:rPr>
        <w:t>CONFIRMA EL ACTO IMPUGNADO</w:t>
      </w:r>
      <w:r w:rsidRPr="006C3920">
        <w:rPr>
          <w:rFonts w:ascii="AvantGarde Bk BT" w:hAnsi="AvantGarde Bk BT" w:cs="Arial"/>
          <w:sz w:val="24"/>
          <w:szCs w:val="24"/>
        </w:rPr>
        <w:t>.</w:t>
      </w:r>
    </w:p>
    <w:p w14:paraId="0B2F16A0" w14:textId="77777777" w:rsidR="00A659D0" w:rsidRPr="005B109B" w:rsidRDefault="00A659D0" w:rsidP="00A659D0">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5</w:t>
      </w:r>
      <w:r w:rsidRPr="006C3920">
        <w:rPr>
          <w:rFonts w:ascii="AvantGarde Bk BT" w:hAnsi="AvantGarde Bk BT" w:cs="Arial"/>
          <w:b/>
          <w:sz w:val="24"/>
          <w:szCs w:val="24"/>
        </w:rPr>
        <w:t>.2. Archivo.</w:t>
      </w:r>
    </w:p>
    <w:p w14:paraId="2883B9D7" w14:textId="77777777" w:rsidR="00A659D0" w:rsidRPr="006C3920" w:rsidRDefault="00A659D0" w:rsidP="00A659D0">
      <w:pPr>
        <w:pStyle w:val="corte4fondo"/>
        <w:tabs>
          <w:tab w:val="left" w:pos="567"/>
        </w:tabs>
        <w:spacing w:after="240"/>
        <w:rPr>
          <w:rFonts w:ascii="AvantGarde Bk BT" w:hAnsi="AvantGarde Bk BT" w:cs="Arial"/>
          <w:sz w:val="24"/>
          <w:szCs w:val="24"/>
        </w:rPr>
      </w:pPr>
      <w:r w:rsidRPr="006C3920">
        <w:rPr>
          <w:rFonts w:ascii="AvantGarde Bk BT" w:hAnsi="AvantGarde Bk BT" w:cs="Arial"/>
          <w:sz w:val="24"/>
          <w:szCs w:val="24"/>
        </w:rPr>
        <w:t>Que una vez que la presente resolución sea notificada a las partes y haya causado estado, la ponencia mande archi</w:t>
      </w:r>
      <w:r>
        <w:rPr>
          <w:rFonts w:ascii="AvantGarde Bk BT" w:hAnsi="AvantGarde Bk BT" w:cs="Arial"/>
          <w:sz w:val="24"/>
          <w:szCs w:val="24"/>
        </w:rPr>
        <w:t>var este asunto como concluido.</w:t>
      </w:r>
    </w:p>
    <w:p w14:paraId="607D2C0B" w14:textId="77777777" w:rsidR="00A659D0" w:rsidRPr="006C3920" w:rsidRDefault="00A659D0" w:rsidP="00A659D0">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5</w:t>
      </w:r>
      <w:r w:rsidRPr="006C3920">
        <w:rPr>
          <w:rFonts w:ascii="AvantGarde Bk BT" w:hAnsi="AvantGarde Bk BT" w:cs="Arial"/>
          <w:b/>
          <w:sz w:val="24"/>
          <w:szCs w:val="24"/>
        </w:rPr>
        <w:t>.3. Medio de impugnación.</w:t>
      </w:r>
    </w:p>
    <w:p w14:paraId="3D0F9204" w14:textId="77777777" w:rsidR="00A659D0" w:rsidRPr="006C3920" w:rsidRDefault="00A659D0" w:rsidP="00A659D0">
      <w:pPr>
        <w:pStyle w:val="corte4fondo"/>
        <w:tabs>
          <w:tab w:val="left" w:pos="567"/>
        </w:tabs>
        <w:rPr>
          <w:rFonts w:ascii="AvantGarde Bk BT" w:hAnsi="AvantGarde Bk BT" w:cs="Arial"/>
          <w:sz w:val="24"/>
          <w:szCs w:val="24"/>
        </w:rPr>
      </w:pPr>
      <w:r w:rsidRPr="006C3920">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9616C23" w14:textId="77777777" w:rsidR="00A659D0" w:rsidRPr="006C3920" w:rsidRDefault="00A659D0" w:rsidP="00A659D0">
      <w:pPr>
        <w:pStyle w:val="corte4fondo"/>
        <w:tabs>
          <w:tab w:val="left" w:pos="567"/>
        </w:tabs>
        <w:spacing w:after="240"/>
        <w:jc w:val="center"/>
        <w:rPr>
          <w:rFonts w:ascii="AvantGarde Bk BT" w:hAnsi="AvantGarde Bk BT" w:cs="Arial"/>
          <w:b/>
          <w:sz w:val="24"/>
          <w:szCs w:val="24"/>
        </w:rPr>
      </w:pPr>
      <w:r w:rsidRPr="006C3920">
        <w:rPr>
          <w:rFonts w:ascii="AvantGarde Bk BT" w:hAnsi="AvantGarde Bk BT" w:cs="Arial"/>
          <w:b/>
          <w:sz w:val="24"/>
          <w:szCs w:val="24"/>
        </w:rPr>
        <w:t>RESOLUTIVO</w:t>
      </w:r>
    </w:p>
    <w:p w14:paraId="497E3589" w14:textId="77777777" w:rsidR="00A659D0" w:rsidRPr="006C3920" w:rsidRDefault="00A659D0" w:rsidP="00A659D0">
      <w:pPr>
        <w:pStyle w:val="corte4fondo"/>
        <w:tabs>
          <w:tab w:val="left" w:pos="567"/>
        </w:tabs>
        <w:spacing w:after="240"/>
        <w:ind w:left="680" w:firstLine="0"/>
        <w:rPr>
          <w:rFonts w:ascii="AvantGarde Bk BT" w:hAnsi="AvantGarde Bk BT" w:cs="Arial"/>
          <w:sz w:val="24"/>
          <w:szCs w:val="24"/>
        </w:rPr>
      </w:pPr>
      <w:r w:rsidRPr="006C3920">
        <w:rPr>
          <w:rFonts w:ascii="AvantGarde Bk BT" w:hAnsi="AvantGarde Bk BT" w:cs="Arial"/>
          <w:sz w:val="24"/>
          <w:szCs w:val="24"/>
        </w:rPr>
        <w:t xml:space="preserve">Por lo expuesto y fundado, </w:t>
      </w:r>
      <w:r w:rsidRPr="006C3920">
        <w:rPr>
          <w:rFonts w:ascii="AvantGarde Bk BT" w:hAnsi="AvantGarde Bk BT" w:cs="Arial"/>
          <w:b/>
          <w:sz w:val="24"/>
          <w:szCs w:val="24"/>
        </w:rPr>
        <w:t>SE RESUELVE</w:t>
      </w:r>
      <w:r w:rsidRPr="006C3920">
        <w:rPr>
          <w:rFonts w:ascii="AvantGarde Bk BT" w:hAnsi="AvantGarde Bk BT" w:cs="Arial"/>
          <w:sz w:val="24"/>
          <w:szCs w:val="24"/>
        </w:rPr>
        <w:t>:</w:t>
      </w:r>
    </w:p>
    <w:p w14:paraId="09D892CD" w14:textId="77777777" w:rsidR="00A659D0" w:rsidRPr="006C3920" w:rsidRDefault="00A659D0" w:rsidP="00A659D0">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ÚNICO.</w:t>
      </w:r>
      <w:r w:rsidRPr="006C3920">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Pr="006C3920">
        <w:rPr>
          <w:rFonts w:ascii="AvantGarde Bk BT" w:hAnsi="AvantGarde Bk BT" w:cs="Arial"/>
          <w:b/>
          <w:sz w:val="24"/>
          <w:szCs w:val="24"/>
        </w:rPr>
        <w:t>CONFIRMA</w:t>
      </w:r>
      <w:r w:rsidRPr="006C3920">
        <w:rPr>
          <w:rFonts w:ascii="AvantGarde Bk BT" w:hAnsi="AvantGarde Bk BT" w:cs="Arial"/>
          <w:sz w:val="24"/>
          <w:szCs w:val="24"/>
        </w:rPr>
        <w:t xml:space="preserve"> la respuesta otorgada por el ente </w:t>
      </w:r>
      <w:r w:rsidRPr="006C3920">
        <w:rPr>
          <w:rFonts w:ascii="AvantGarde Bk BT" w:hAnsi="AvantGarde Bk BT" w:cs="Arial"/>
          <w:sz w:val="24"/>
          <w:szCs w:val="24"/>
        </w:rPr>
        <w:lastRenderedPageBreak/>
        <w:t>obligado, por los fundamentos y las razones de</w:t>
      </w:r>
      <w:r>
        <w:rPr>
          <w:rFonts w:ascii="AvantGarde Bk BT" w:hAnsi="AvantGarde Bk BT" w:cs="Arial"/>
          <w:sz w:val="24"/>
          <w:szCs w:val="24"/>
        </w:rPr>
        <w:t>sarrolladas en el considerando quint</w:t>
      </w:r>
      <w:r w:rsidRPr="006C3920">
        <w:rPr>
          <w:rFonts w:ascii="AvantGarde Bk BT" w:hAnsi="AvantGarde Bk BT" w:cs="Arial"/>
          <w:sz w:val="24"/>
          <w:szCs w:val="24"/>
        </w:rPr>
        <w:t>o de la presente resolución.</w:t>
      </w:r>
    </w:p>
    <w:p w14:paraId="548487A1" w14:textId="77777777" w:rsidR="00A659D0" w:rsidRPr="00B90A51" w:rsidRDefault="00A659D0" w:rsidP="00A659D0">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55CD3D12" w14:textId="2C65B09F" w:rsidR="009171C0" w:rsidRDefault="009A0D4F" w:rsidP="009A0D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B17B9F">
        <w:rPr>
          <w:rFonts w:ascii="AvantGarde Bk BT" w:hAnsi="AvantGarde Bk BT"/>
          <w:sz w:val="24"/>
          <w:szCs w:val="24"/>
        </w:rPr>
        <w:t>quince de enero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BAA9390" w14:textId="77777777" w:rsidR="00072CFE" w:rsidRPr="006809EF" w:rsidRDefault="00072CFE" w:rsidP="009A0D4F">
      <w:pPr>
        <w:pStyle w:val="corte4fondo"/>
        <w:tabs>
          <w:tab w:val="left" w:pos="567"/>
        </w:tabs>
        <w:spacing w:after="240"/>
        <w:rPr>
          <w:rFonts w:ascii="AvantGarde Bk BT" w:hAnsi="AvantGarde Bk BT" w:cs="Arial"/>
          <w:color w:val="000000" w:themeColor="text1"/>
          <w:sz w:val="24"/>
          <w:szCs w:val="24"/>
        </w:rPr>
      </w:pP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16D2370D" w14:textId="28A48C37" w:rsidR="009171C0" w:rsidRDefault="009171C0" w:rsidP="00072CFE">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4BA3F039" w14:textId="77777777" w:rsidR="00072CFE" w:rsidRPr="00FE6442" w:rsidRDefault="00072CFE" w:rsidP="00072CFE">
      <w:pPr>
        <w:pStyle w:val="NormalWeb"/>
        <w:spacing w:line="600" w:lineRule="auto"/>
        <w:jc w:val="center"/>
        <w:rPr>
          <w:rFonts w:ascii="AvantGarde Bk BT" w:hAnsi="AvantGarde Bk BT" w:cs="Arial"/>
          <w:b/>
          <w:color w:val="000000" w:themeColor="text1"/>
          <w:lang w:val="es-MX"/>
        </w:rPr>
      </w:pP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6F528451" w:rsidR="005873DB" w:rsidRPr="004C15C0" w:rsidRDefault="009171C0" w:rsidP="00072CFE">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66617">
        <w:rPr>
          <w:rFonts w:ascii="AvantGarde Bk BT" w:hAnsi="AvantGarde Bk BT" w:cs="Arial"/>
          <w:color w:val="000000" w:themeColor="text1"/>
          <w:sz w:val="14"/>
          <w:szCs w:val="14"/>
        </w:rPr>
        <w:t xml:space="preserve">sesión ordinaria de </w:t>
      </w:r>
      <w:r w:rsidR="00B17B9F">
        <w:rPr>
          <w:rFonts w:ascii="AvantGarde Bk BT" w:hAnsi="AvantGarde Bk BT" w:cs="Arial"/>
          <w:color w:val="000000" w:themeColor="text1"/>
          <w:sz w:val="14"/>
          <w:szCs w:val="14"/>
        </w:rPr>
        <w:t>quince de enero de dos mil veintiséis</w:t>
      </w:r>
      <w:r>
        <w:rPr>
          <w:rFonts w:ascii="AvantGarde Bk BT" w:hAnsi="AvantGarde Bk BT" w:cs="Arial"/>
          <w:color w:val="000000" w:themeColor="text1"/>
          <w:sz w:val="14"/>
          <w:szCs w:val="14"/>
        </w:rPr>
        <w:t xml:space="preserve">, dentro de los autos del recurso de </w:t>
      </w:r>
      <w:r w:rsidR="004C64D0">
        <w:rPr>
          <w:rFonts w:ascii="AvantGarde Bk BT" w:hAnsi="AvantGarde Bk BT" w:cs="Arial"/>
          <w:color w:val="000000" w:themeColor="text1"/>
          <w:sz w:val="14"/>
          <w:szCs w:val="14"/>
        </w:rPr>
        <w:t>re</w:t>
      </w:r>
      <w:r w:rsidR="00B17B9F">
        <w:rPr>
          <w:rFonts w:ascii="AvantGarde Bk BT" w:hAnsi="AvantGarde Bk BT" w:cs="Arial"/>
          <w:color w:val="000000" w:themeColor="text1"/>
          <w:sz w:val="14"/>
          <w:szCs w:val="14"/>
        </w:rPr>
        <w:t>visión RR-1005</w:t>
      </w:r>
      <w:bookmarkStart w:id="1" w:name="_GoBack"/>
      <w:bookmarkEnd w:id="1"/>
      <w:r>
        <w:rPr>
          <w:rFonts w:ascii="AvantGarde Bk BT" w:hAnsi="AvantGarde Bk BT" w:cs="Arial"/>
          <w:color w:val="000000" w:themeColor="text1"/>
          <w:sz w:val="14"/>
          <w:szCs w:val="14"/>
        </w:rPr>
        <w:t>/2025-1.)</w:t>
      </w:r>
    </w:p>
    <w:sectPr w:rsidR="005873DB" w:rsidRPr="004C15C0" w:rsidSect="00FE2D9F">
      <w:headerReference w:type="even" r:id="rId9"/>
      <w:headerReference w:type="default" r:id="rId10"/>
      <w:footerReference w:type="default" r:id="rId11"/>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DDB618" w14:textId="77777777" w:rsidR="004B2E47" w:rsidRDefault="004B2E47" w:rsidP="003864ED">
      <w:pPr>
        <w:spacing w:after="0" w:line="240" w:lineRule="auto"/>
      </w:pPr>
      <w:r>
        <w:separator/>
      </w:r>
    </w:p>
  </w:endnote>
  <w:endnote w:type="continuationSeparator" w:id="0">
    <w:p w14:paraId="433F8FD4" w14:textId="77777777" w:rsidR="004B2E47" w:rsidRDefault="004B2E4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0D8BD7" w14:textId="77777777" w:rsidR="004B2E47" w:rsidRDefault="004B2E47" w:rsidP="003864ED">
      <w:pPr>
        <w:spacing w:after="0" w:line="240" w:lineRule="auto"/>
      </w:pPr>
      <w:r>
        <w:separator/>
      </w:r>
    </w:p>
  </w:footnote>
  <w:footnote w:type="continuationSeparator" w:id="0">
    <w:p w14:paraId="05583F24" w14:textId="77777777" w:rsidR="004B2E47" w:rsidRDefault="004B2E47" w:rsidP="003864ED">
      <w:pPr>
        <w:spacing w:after="0" w:line="240" w:lineRule="auto"/>
      </w:pPr>
      <w:r>
        <w:continuationSeparator/>
      </w:r>
    </w:p>
  </w:footnote>
  <w:footnote w:id="1">
    <w:p w14:paraId="5F2B1602" w14:textId="77777777" w:rsidR="005142BE" w:rsidRPr="00C37699" w:rsidRDefault="005142BE" w:rsidP="004A50D0">
      <w:pPr>
        <w:pStyle w:val="Textonotapie"/>
        <w:jc w:val="both"/>
        <w:rPr>
          <w:sz w:val="16"/>
          <w:szCs w:val="16"/>
        </w:rPr>
      </w:pPr>
      <w:r w:rsidRPr="00C37699">
        <w:rPr>
          <w:rStyle w:val="Refdenotaalpie"/>
          <w:sz w:val="16"/>
          <w:szCs w:val="16"/>
        </w:rPr>
        <w:footnoteRef/>
      </w:r>
      <w:r w:rsidRPr="00C37699">
        <w:rPr>
          <w:sz w:val="16"/>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C37699">
        <w:rPr>
          <w:sz w:val="16"/>
          <w:szCs w:val="16"/>
        </w:rPr>
        <w:t>Mayo</w:t>
      </w:r>
      <w:proofErr w:type="gramEnd"/>
      <w:r w:rsidRPr="00C37699">
        <w:rPr>
          <w:sz w:val="16"/>
          <w:szCs w:val="16"/>
        </w:rPr>
        <w:t xml:space="preserve"> de 2010, página 830, Tipo: Jurisprudencia.</w:t>
      </w:r>
    </w:p>
  </w:footnote>
  <w:footnote w:id="2">
    <w:p w14:paraId="5A83CB04" w14:textId="77777777" w:rsidR="005142BE" w:rsidRPr="00C37699" w:rsidRDefault="005142BE" w:rsidP="000468A0">
      <w:pPr>
        <w:pStyle w:val="Textonotapie"/>
        <w:jc w:val="both"/>
        <w:rPr>
          <w:sz w:val="16"/>
          <w:szCs w:val="16"/>
          <w:lang w:val="es-ES_tradnl"/>
        </w:rPr>
      </w:pPr>
      <w:r w:rsidRPr="00C37699">
        <w:rPr>
          <w:rStyle w:val="Refdenotaalpie"/>
          <w:sz w:val="16"/>
          <w:szCs w:val="16"/>
        </w:rPr>
        <w:footnoteRef/>
      </w:r>
      <w:r w:rsidRPr="00C37699">
        <w:rPr>
          <w:sz w:val="16"/>
          <w:szCs w:val="16"/>
        </w:rPr>
        <w:t xml:space="preserve"> </w:t>
      </w:r>
      <w:r w:rsidRPr="00C37699">
        <w:rPr>
          <w:b/>
          <w:bCs/>
          <w:sz w:val="16"/>
          <w:szCs w:val="16"/>
          <w:lang w:val="es-ES_tradnl"/>
        </w:rPr>
        <w:t>ARTÍCULO 61.</w:t>
      </w:r>
      <w:r w:rsidRPr="00C37699">
        <w:rPr>
          <w:bCs/>
          <w:sz w:val="16"/>
          <w:szCs w:val="16"/>
          <w:lang w:val="es-ES_tradnl"/>
        </w:rPr>
        <w:t xml:space="preserve"> </w:t>
      </w:r>
      <w:r w:rsidRPr="00C37699">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C37699" w:rsidRDefault="005142BE" w:rsidP="000468A0">
      <w:pPr>
        <w:pStyle w:val="Textonotapie"/>
        <w:jc w:val="both"/>
        <w:rPr>
          <w:sz w:val="16"/>
          <w:szCs w:val="16"/>
          <w:lang w:val="es-ES_tradnl"/>
        </w:rPr>
      </w:pPr>
      <w:r w:rsidRPr="00C37699">
        <w:rPr>
          <w:sz w:val="16"/>
          <w:szCs w:val="16"/>
          <w:lang w:val="es-ES_tradnl"/>
        </w:rPr>
        <w:t xml:space="preserve">La obligación de los sujetos obligados de proporcionar información no comprende el procesamiento de la misma, ni el presentarla conforme al interés del solicitante. </w:t>
      </w:r>
    </w:p>
  </w:footnote>
  <w:footnote w:id="3">
    <w:p w14:paraId="45880953" w14:textId="77777777" w:rsidR="005142BE" w:rsidRPr="00C37699" w:rsidRDefault="005142BE" w:rsidP="000468A0">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18.</w:t>
      </w:r>
      <w:r w:rsidRPr="00C37699">
        <w:rPr>
          <w:sz w:val="16"/>
          <w:szCs w:val="16"/>
        </w:rPr>
        <w:t xml:space="preserve"> Los sujetos obligados deberán documentar todo acto que derive del ejercicio de sus facultades, competencias o funciones.</w:t>
      </w:r>
    </w:p>
    <w:p w14:paraId="0EDAA087" w14:textId="77777777" w:rsidR="005142BE" w:rsidRPr="00C37699" w:rsidRDefault="005142BE" w:rsidP="000468A0">
      <w:pPr>
        <w:pStyle w:val="Textonotapie"/>
        <w:jc w:val="both"/>
        <w:rPr>
          <w:sz w:val="16"/>
          <w:szCs w:val="16"/>
        </w:rPr>
      </w:pPr>
      <w:r w:rsidRPr="00C37699">
        <w:rPr>
          <w:b/>
          <w:sz w:val="16"/>
          <w:szCs w:val="16"/>
        </w:rPr>
        <w:t>ARTÍCULO 59.</w:t>
      </w:r>
      <w:r w:rsidRPr="00C37699">
        <w:rPr>
          <w:sz w:val="16"/>
          <w:szCs w:val="16"/>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C37699" w:rsidRDefault="005142BE" w:rsidP="000468A0">
      <w:pPr>
        <w:pStyle w:val="Textonotapie"/>
        <w:jc w:val="both"/>
        <w:rPr>
          <w:sz w:val="16"/>
          <w:szCs w:val="16"/>
        </w:rPr>
      </w:pPr>
      <w:r w:rsidRPr="00C37699">
        <w:rPr>
          <w:b/>
          <w:sz w:val="16"/>
          <w:szCs w:val="16"/>
        </w:rPr>
        <w:t>ARTÍCULO 60.</w:t>
      </w:r>
      <w:r w:rsidRPr="00C37699">
        <w:rPr>
          <w:sz w:val="16"/>
          <w:szCs w:val="16"/>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C37699" w:rsidRDefault="005142BE" w:rsidP="000468A0">
      <w:pPr>
        <w:pStyle w:val="Textonotapie"/>
        <w:jc w:val="both"/>
        <w:rPr>
          <w:sz w:val="16"/>
          <w:szCs w:val="16"/>
        </w:rPr>
      </w:pPr>
      <w:r w:rsidRPr="00C37699">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C37699" w:rsidRDefault="005142BE" w:rsidP="000468A0">
      <w:pPr>
        <w:pStyle w:val="Textonotapie"/>
        <w:jc w:val="both"/>
        <w:rPr>
          <w:sz w:val="16"/>
          <w:szCs w:val="16"/>
        </w:rPr>
      </w:pPr>
      <w:r w:rsidRPr="00C37699">
        <w:rPr>
          <w:b/>
          <w:sz w:val="16"/>
          <w:szCs w:val="16"/>
        </w:rPr>
        <w:t>ARTÍCULO 61.</w:t>
      </w:r>
      <w:r w:rsidRPr="00C37699">
        <w:rPr>
          <w:sz w:val="16"/>
          <w:szCs w:val="16"/>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C37699" w:rsidRDefault="005142BE" w:rsidP="000468A0">
      <w:pPr>
        <w:pStyle w:val="Textonotapie"/>
        <w:jc w:val="both"/>
        <w:rPr>
          <w:sz w:val="16"/>
          <w:szCs w:val="16"/>
        </w:rPr>
      </w:pPr>
      <w:r w:rsidRPr="00C37699">
        <w:rPr>
          <w:sz w:val="16"/>
          <w:szCs w:val="16"/>
        </w:rPr>
        <w:t>La obligación de los sujetos obligados de proporcionar información no comprende el procesamiento de la misma, ni el presentarla conforme al interés del solicitante.</w:t>
      </w:r>
    </w:p>
    <w:p w14:paraId="69187026" w14:textId="77777777" w:rsidR="005142BE" w:rsidRPr="00C37699" w:rsidRDefault="005142BE" w:rsidP="000468A0">
      <w:pPr>
        <w:pStyle w:val="Textonotapie"/>
        <w:jc w:val="both"/>
        <w:rPr>
          <w:sz w:val="16"/>
          <w:szCs w:val="16"/>
        </w:rPr>
      </w:pPr>
      <w:r w:rsidRPr="00C37699">
        <w:rPr>
          <w:b/>
          <w:sz w:val="16"/>
          <w:szCs w:val="16"/>
        </w:rPr>
        <w:t>ARTÍCULO 152</w:t>
      </w:r>
      <w:r w:rsidRPr="00C37699">
        <w:rPr>
          <w:sz w:val="16"/>
          <w:szCs w:val="16"/>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36C1CE67" w14:textId="0E541EDC" w:rsidR="002A215F" w:rsidRPr="00C37699" w:rsidRDefault="002A215F" w:rsidP="002A215F">
      <w:pPr>
        <w:pStyle w:val="Textonotapie"/>
        <w:jc w:val="both"/>
        <w:rPr>
          <w:rFonts w:cstheme="minorHAnsi"/>
          <w:sz w:val="16"/>
          <w:szCs w:val="16"/>
        </w:rPr>
      </w:pPr>
      <w:r w:rsidRPr="00C37699">
        <w:rPr>
          <w:rStyle w:val="Refdenotaalpie"/>
          <w:rFonts w:cstheme="minorHAnsi"/>
          <w:sz w:val="16"/>
          <w:szCs w:val="16"/>
        </w:rPr>
        <w:footnoteRef/>
      </w:r>
      <w:r w:rsidR="00245025" w:rsidRPr="00245025">
        <w:rPr>
          <w:rFonts w:cstheme="minorHAnsi"/>
          <w:b/>
          <w:sz w:val="16"/>
          <w:szCs w:val="16"/>
        </w:rPr>
        <w:t xml:space="preserve">Artículo 4. </w:t>
      </w:r>
      <w:r w:rsidR="00245025" w:rsidRPr="00245025">
        <w:rPr>
          <w:rFonts w:cstheme="minorHAnsi"/>
          <w:sz w:val="16"/>
          <w:szCs w:val="16"/>
        </w:rPr>
        <w:t>Para los efectos de esta Ley, se entenderá, en singular o plural, por:</w:t>
      </w:r>
    </w:p>
    <w:p w14:paraId="44182314" w14:textId="77777777" w:rsidR="002A215F" w:rsidRPr="00C37699" w:rsidRDefault="002A215F" w:rsidP="002A215F">
      <w:pPr>
        <w:pStyle w:val="Textonotapie"/>
        <w:jc w:val="both"/>
        <w:rPr>
          <w:rFonts w:cstheme="minorHAnsi"/>
          <w:sz w:val="16"/>
          <w:szCs w:val="16"/>
        </w:rPr>
      </w:pPr>
      <w:r w:rsidRPr="00C37699">
        <w:rPr>
          <w:rFonts w:cstheme="minorHAnsi"/>
          <w:sz w:val="16"/>
          <w:szCs w:val="16"/>
        </w:rPr>
        <w:t>[…]</w:t>
      </w:r>
    </w:p>
    <w:p w14:paraId="28115998" w14:textId="77777777" w:rsidR="00245025" w:rsidRDefault="00245025" w:rsidP="002A215F">
      <w:pPr>
        <w:pStyle w:val="Textonotapie"/>
        <w:jc w:val="both"/>
        <w:rPr>
          <w:rFonts w:cstheme="minorHAnsi"/>
          <w:sz w:val="16"/>
          <w:szCs w:val="16"/>
        </w:rPr>
      </w:pPr>
      <w:r w:rsidRPr="00245025">
        <w:rPr>
          <w:rFonts w:cstheme="minorHAnsi"/>
          <w:sz w:val="16"/>
          <w:szCs w:val="16"/>
        </w:rPr>
        <w:t xml:space="preserve">IX. Instituciones Policiales: A los cuerpos de policía, incluida la Guardia Nacional, que realizan tareas de prevención, investigación, proximidad social, reacción, inteligencia, así como de vigilancia y custodia de los establecimientos penitenciarios, de detención preventiva o de centros de arraigos, y, en general, todas las instituciones encargadas de la seguridad pública en los tres órdenes de gobierno, que realicen funciones similares; </w:t>
      </w:r>
    </w:p>
    <w:p w14:paraId="301DEA1F" w14:textId="1E290E2B" w:rsidR="002A215F" w:rsidRPr="00C37699" w:rsidRDefault="002A215F" w:rsidP="002A215F">
      <w:pPr>
        <w:pStyle w:val="Textonotapie"/>
        <w:jc w:val="both"/>
        <w:rPr>
          <w:rFonts w:cstheme="minorHAnsi"/>
          <w:sz w:val="16"/>
          <w:szCs w:val="16"/>
        </w:rPr>
      </w:pPr>
      <w:r w:rsidRPr="00C37699">
        <w:rPr>
          <w:rFonts w:cstheme="minorHAnsi"/>
          <w:sz w:val="16"/>
          <w:szCs w:val="16"/>
        </w:rPr>
        <w:t>[…].</w:t>
      </w:r>
    </w:p>
    <w:p w14:paraId="0BE0B157" w14:textId="7A6825F9" w:rsidR="002A215F" w:rsidRDefault="008B1B94" w:rsidP="002A215F">
      <w:pPr>
        <w:pStyle w:val="Textonotapie"/>
        <w:jc w:val="both"/>
        <w:rPr>
          <w:rFonts w:cstheme="minorHAnsi"/>
          <w:sz w:val="16"/>
          <w:szCs w:val="16"/>
        </w:rPr>
      </w:pPr>
      <w:r w:rsidRPr="008B1B94">
        <w:rPr>
          <w:rFonts w:cstheme="minorHAnsi"/>
          <w:b/>
          <w:sz w:val="16"/>
          <w:szCs w:val="16"/>
        </w:rPr>
        <w:t xml:space="preserve">Artículo 52. </w:t>
      </w:r>
      <w:r w:rsidRPr="008B1B94">
        <w:rPr>
          <w:rFonts w:cstheme="minorHAnsi"/>
          <w:sz w:val="16"/>
          <w:szCs w:val="16"/>
        </w:rPr>
        <w:t>Las Instituciones Policiales de los municipios, cuando cuenten con ellas y de conformidad con la legislación local aplicable, tendrán las siguientes funciones:</w:t>
      </w:r>
    </w:p>
    <w:p w14:paraId="0885AE2F" w14:textId="3A3945B5" w:rsidR="008B1B94" w:rsidRDefault="008B1B94" w:rsidP="002A215F">
      <w:pPr>
        <w:pStyle w:val="Textonotapie"/>
        <w:jc w:val="both"/>
        <w:rPr>
          <w:rFonts w:cstheme="minorHAnsi"/>
          <w:sz w:val="16"/>
          <w:szCs w:val="16"/>
        </w:rPr>
      </w:pPr>
      <w:r>
        <w:rPr>
          <w:rFonts w:cstheme="minorHAnsi"/>
          <w:sz w:val="16"/>
          <w:szCs w:val="16"/>
        </w:rPr>
        <w:t>[…]</w:t>
      </w:r>
    </w:p>
    <w:p w14:paraId="42340546" w14:textId="67612495" w:rsidR="008B1B94" w:rsidRDefault="008B1B94" w:rsidP="002A215F">
      <w:pPr>
        <w:pStyle w:val="Textonotapie"/>
        <w:jc w:val="both"/>
        <w:rPr>
          <w:rFonts w:cstheme="minorHAnsi"/>
          <w:sz w:val="16"/>
          <w:szCs w:val="16"/>
        </w:rPr>
      </w:pPr>
      <w:r w:rsidRPr="008B1B94">
        <w:rPr>
          <w:rFonts w:cstheme="minorHAnsi"/>
          <w:sz w:val="16"/>
          <w:szCs w:val="16"/>
        </w:rPr>
        <w:t xml:space="preserve">III. Labores de primer respondiente, incluyendo la recepción de denuncias y aquellas para la preservación de la vida; la preservación del lugar de los hechos; el aseguramiento de bienes, instrumentos, objetos o productos del delito que puedan servir como evidencia en el proceso penal, y la identificación de personas víctimas, </w:t>
      </w:r>
      <w:proofErr w:type="spellStart"/>
      <w:r w:rsidRPr="008B1B94">
        <w:rPr>
          <w:rFonts w:cstheme="minorHAnsi"/>
          <w:sz w:val="16"/>
          <w:szCs w:val="16"/>
        </w:rPr>
        <w:t>testigas</w:t>
      </w:r>
      <w:proofErr w:type="spellEnd"/>
      <w:r w:rsidRPr="008B1B94">
        <w:rPr>
          <w:rFonts w:cstheme="minorHAnsi"/>
          <w:sz w:val="16"/>
          <w:szCs w:val="16"/>
        </w:rPr>
        <w:t xml:space="preserve"> y respecto de quienes existan razones que justifiquen su localización para fines de investigación, entre otras análogas;</w:t>
      </w:r>
    </w:p>
    <w:p w14:paraId="14C55261" w14:textId="0F26BB64" w:rsidR="008B1B94" w:rsidRPr="008B1B94" w:rsidRDefault="008B1B94" w:rsidP="002A215F">
      <w:pPr>
        <w:pStyle w:val="Textonotapie"/>
        <w:jc w:val="both"/>
        <w:rPr>
          <w:rFonts w:cstheme="minorHAnsi"/>
          <w:sz w:val="16"/>
          <w:szCs w:val="16"/>
        </w:rPr>
      </w:pPr>
      <w:r>
        <w:rPr>
          <w:rFonts w:cstheme="minorHAnsi"/>
          <w:sz w:val="16"/>
          <w:szCs w:val="16"/>
        </w:rPr>
        <w:t>[…].</w:t>
      </w:r>
    </w:p>
  </w:footnote>
  <w:footnote w:id="5">
    <w:p w14:paraId="0032E176" w14:textId="01E5C80A" w:rsidR="00072CFE" w:rsidRDefault="00072CFE">
      <w:pPr>
        <w:pStyle w:val="Textonotapie"/>
      </w:pPr>
      <w:r w:rsidRPr="00072CFE">
        <w:rPr>
          <w:rFonts w:cstheme="minorHAnsi"/>
          <w:sz w:val="16"/>
          <w:szCs w:val="16"/>
          <w:vertAlign w:val="superscript"/>
        </w:rPr>
        <w:footnoteRef/>
      </w:r>
      <w:r w:rsidRPr="00072CFE">
        <w:rPr>
          <w:rFonts w:cstheme="minorHAnsi"/>
          <w:sz w:val="16"/>
          <w:szCs w:val="16"/>
          <w:vertAlign w:val="superscript"/>
        </w:rPr>
        <w:t xml:space="preserve"> </w:t>
      </w:r>
      <w:proofErr w:type="gramStart"/>
      <w:r w:rsidRPr="00072CFE">
        <w:rPr>
          <w:rFonts w:cstheme="minorHAnsi"/>
          <w:b/>
          <w:sz w:val="16"/>
          <w:szCs w:val="16"/>
        </w:rPr>
        <w:t>Tercero.-</w:t>
      </w:r>
      <w:proofErr w:type="gramEnd"/>
      <w:r w:rsidRPr="00072CFE">
        <w:rPr>
          <w:rFonts w:cstheme="minorHAnsi"/>
          <w:b/>
          <w:sz w:val="16"/>
          <w:szCs w:val="16"/>
        </w:rPr>
        <w:t xml:space="preserve"> </w:t>
      </w:r>
      <w:r w:rsidRPr="00072CFE">
        <w:rPr>
          <w:rFonts w:cstheme="minorHAnsi"/>
          <w:sz w:val="16"/>
          <w:szCs w:val="16"/>
        </w:rPr>
        <w:t>Las disposiciones legales, lineamientos, acuerdos y cualquier otra normativa de carácter general que se hayan emitido como consecuencia de la ley a que se refiere el transitorio anterior seguirán vigentes hasta en tanto no se emita la normativa que las sustituya o las deje sin efectos.</w:t>
      </w:r>
    </w:p>
  </w:footnote>
  <w:footnote w:id="6">
    <w:p w14:paraId="45FFFDA5" w14:textId="77777777" w:rsidR="002A215F" w:rsidRPr="00C37699" w:rsidRDefault="002A215F" w:rsidP="002A215F">
      <w:pPr>
        <w:pStyle w:val="Textonotapie"/>
        <w:jc w:val="both"/>
        <w:rPr>
          <w:rFonts w:cstheme="minorHAnsi"/>
          <w:sz w:val="16"/>
          <w:szCs w:val="16"/>
        </w:rPr>
      </w:pPr>
      <w:r w:rsidRPr="00C37699">
        <w:rPr>
          <w:rStyle w:val="Refdenotaalpie"/>
          <w:rFonts w:cstheme="minorHAnsi"/>
          <w:sz w:val="16"/>
          <w:szCs w:val="16"/>
        </w:rPr>
        <w:footnoteRef/>
      </w:r>
      <w:r w:rsidRPr="00C37699">
        <w:rPr>
          <w:rFonts w:cstheme="minorHAnsi"/>
          <w:sz w:val="16"/>
          <w:szCs w:val="16"/>
        </w:rPr>
        <w:t xml:space="preserve"> </w:t>
      </w:r>
      <w:r w:rsidRPr="00C37699">
        <w:rPr>
          <w:rFonts w:cstheme="minorHAnsi"/>
          <w:b/>
          <w:sz w:val="16"/>
          <w:szCs w:val="16"/>
        </w:rPr>
        <w:t xml:space="preserve">Lineamiento </w:t>
      </w:r>
      <w:r w:rsidRPr="00C37699">
        <w:rPr>
          <w:rFonts w:cstheme="minorHAnsi"/>
          <w:b/>
          <w:bCs/>
          <w:color w:val="2F2F2F"/>
          <w:sz w:val="16"/>
          <w:szCs w:val="16"/>
          <w:shd w:val="clear" w:color="auto" w:fill="FFFFFF"/>
        </w:rPr>
        <w:t>Décimo Primero</w:t>
      </w:r>
      <w:r w:rsidRPr="00C37699">
        <w:rPr>
          <w:rFonts w:cstheme="minorHAnsi"/>
          <w:bCs/>
          <w:color w:val="2F2F2F"/>
          <w:sz w:val="16"/>
          <w:szCs w:val="16"/>
          <w:shd w:val="clear" w:color="auto" w:fill="FFFFFF"/>
        </w:rPr>
        <w:t>. LLENADO DEL IPH.</w:t>
      </w:r>
    </w:p>
  </w:footnote>
  <w:footnote w:id="7">
    <w:p w14:paraId="556292B5" w14:textId="77777777" w:rsidR="00412870" w:rsidRPr="00C37699" w:rsidRDefault="00412870" w:rsidP="00412870">
      <w:pPr>
        <w:pStyle w:val="Textonotapie"/>
        <w:jc w:val="both"/>
        <w:rPr>
          <w:sz w:val="16"/>
          <w:szCs w:val="16"/>
        </w:rPr>
      </w:pPr>
      <w:r w:rsidRPr="00C37699">
        <w:rPr>
          <w:rStyle w:val="Refdenotaalpie"/>
          <w:sz w:val="16"/>
          <w:szCs w:val="16"/>
        </w:rPr>
        <w:footnoteRef/>
      </w:r>
      <w:r w:rsidRPr="00C37699">
        <w:rPr>
          <w:sz w:val="16"/>
          <w:szCs w:val="16"/>
        </w:rPr>
        <w:t xml:space="preserve"> </w:t>
      </w:r>
      <w:r w:rsidRPr="00C37699">
        <w:rPr>
          <w:b/>
          <w:sz w:val="16"/>
          <w:szCs w:val="16"/>
        </w:rPr>
        <w:t>Artículo 101.</w:t>
      </w:r>
      <w:r w:rsidRPr="00C37699">
        <w:rPr>
          <w:sz w:val="16"/>
          <w:szCs w:val="16"/>
        </w:rPr>
        <w:t xml:space="preserve"> Las Instituciones de Seguridad Pública de los tres órdenes de gobierno, ya sean policiales, de procuración de justicia, penitenciarias o cualquier otra, </w:t>
      </w:r>
      <w:r w:rsidRPr="008B1B94">
        <w:rPr>
          <w:b/>
          <w:sz w:val="16"/>
          <w:szCs w:val="16"/>
        </w:rPr>
        <w:t>estarán obligadas a compartir y actualizar diariamente la información que generen en el ámbito de su competencia, de manera desagregada, conforme a la normativa que emita el Secretariado Ejecutivo, y a permitir la alimentación de sus bases de datos con el Sistema Nacional de Información, en los términos de esta Ley y otras disposiciones jurídicas aplicables</w:t>
      </w:r>
      <w:r w:rsidRPr="00C37699">
        <w:rPr>
          <w:sz w:val="16"/>
          <w:szCs w:val="16"/>
        </w:rPr>
        <w:t xml:space="preserve">. </w:t>
      </w:r>
    </w:p>
    <w:p w14:paraId="41A306AA" w14:textId="77777777" w:rsidR="00412870" w:rsidRPr="00C37699" w:rsidRDefault="00412870" w:rsidP="00412870">
      <w:pPr>
        <w:pStyle w:val="Textonotapie"/>
        <w:jc w:val="both"/>
        <w:rPr>
          <w:sz w:val="16"/>
          <w:szCs w:val="16"/>
        </w:rPr>
      </w:pPr>
      <w:r w:rsidRPr="00C37699">
        <w:rPr>
          <w:sz w:val="16"/>
          <w:szCs w:val="16"/>
        </w:rPr>
        <w:t xml:space="preserve">Cada Institución de Seguridad Pública será responsable de la información que alimente los registros nacionales y bases de datos del Sistema Nacional de Información. Solo la Institución de Seguridad Pública que la haya compartido podrá decidir sobre su actualización, modificación o eliminación, con el apoyo de la Secretaría y de conformidad con los lineamientos que esta establezca. Las Instituciones de Seguridad Pública deberán actualizar la información requerida en todas las bases de datos y registros de este sistema, de manera diaria, constante y permanente, con información objetiva, veraz y verificada. </w:t>
      </w:r>
    </w:p>
    <w:p w14:paraId="26438A97" w14:textId="77777777" w:rsidR="00412870" w:rsidRPr="00C37699" w:rsidRDefault="00412870" w:rsidP="00412870">
      <w:pPr>
        <w:pStyle w:val="Textonotapie"/>
        <w:jc w:val="both"/>
        <w:rPr>
          <w:sz w:val="16"/>
          <w:szCs w:val="16"/>
        </w:rPr>
      </w:pPr>
      <w:r w:rsidRPr="00C37699">
        <w:rPr>
          <w:sz w:val="16"/>
          <w:szCs w:val="16"/>
        </w:rPr>
        <w:t xml:space="preserve">La información contenida en las bases de datos del Sistema Nacional de Información podrá ser certificada por la autoridad que la haya generado y tendrá el valor probatorio que las disposiciones legales determinen. </w:t>
      </w:r>
    </w:p>
    <w:p w14:paraId="08288CBD" w14:textId="77777777" w:rsidR="00412870" w:rsidRPr="00C37699" w:rsidRDefault="00412870" w:rsidP="00412870">
      <w:pPr>
        <w:pStyle w:val="Textonotapie"/>
        <w:jc w:val="both"/>
        <w:rPr>
          <w:sz w:val="16"/>
          <w:szCs w:val="16"/>
        </w:rPr>
      </w:pPr>
      <w:r w:rsidRPr="00C37699">
        <w:rPr>
          <w:sz w:val="16"/>
          <w:szCs w:val="16"/>
        </w:rPr>
        <w:t xml:space="preserve">Se clasificará como reservada la información contenida en las bases de datos del Sistema Nacional de Información, así como en los registros nacionales y la información contenida en ellos, en materia de detenciones, información criminal, personal de seguridad pública, personal y equipo de los servicios de seguridad privada, armamento y equipo, vehículos, huellas dactilares, teléfonos celulares, medidas u órdenes de protección para las mujeres, adolescentes, niñas y niños, medidas cautelares, soluciones alternas y formas de terminación anticipada del proceso penal, personas sentenciadas y las demás necesarias para la operación del Sistema Nacional de Información. </w:t>
      </w:r>
    </w:p>
    <w:p w14:paraId="16ABE5E3" w14:textId="77777777" w:rsidR="00412870" w:rsidRPr="00C37699" w:rsidRDefault="00412870" w:rsidP="00412870">
      <w:pPr>
        <w:pStyle w:val="Textonotapie"/>
        <w:jc w:val="both"/>
        <w:rPr>
          <w:b/>
          <w:sz w:val="16"/>
          <w:szCs w:val="16"/>
          <w:u w:val="single"/>
        </w:rPr>
      </w:pPr>
      <w:r w:rsidRPr="00C37699">
        <w:rPr>
          <w:b/>
          <w:sz w:val="16"/>
          <w:szCs w:val="16"/>
          <w:u w:val="single"/>
        </w:rPr>
        <w:t>No se clasificará como reservada aquella información estadística requerida por el Instituto Nacional de Estadística y Geografía para los Censos Nacionales de Gobierno, la que se apegará a las políticas de confidencialidad de este organismo autónomo.</w:t>
      </w:r>
    </w:p>
  </w:footnote>
  <w:footnote w:id="8">
    <w:p w14:paraId="5B9EE3EB" w14:textId="77777777" w:rsidR="00412870" w:rsidRDefault="00412870" w:rsidP="00412870">
      <w:pPr>
        <w:pStyle w:val="Textonotapie"/>
      </w:pPr>
      <w:r w:rsidRPr="00C37699">
        <w:rPr>
          <w:rStyle w:val="Refdenotaalpie"/>
          <w:sz w:val="16"/>
          <w:szCs w:val="16"/>
        </w:rPr>
        <w:footnoteRef/>
      </w:r>
      <w:r w:rsidRPr="00C37699">
        <w:rPr>
          <w:sz w:val="16"/>
          <w:szCs w:val="16"/>
        </w:rPr>
        <w:t xml:space="preserve"> </w:t>
      </w:r>
      <w:hyperlink r:id="rId1" w:history="1">
        <w:r w:rsidRPr="00C37699">
          <w:rPr>
            <w:rStyle w:val="Hipervnculo"/>
            <w:sz w:val="16"/>
            <w:szCs w:val="16"/>
          </w:rPr>
          <w:t>https://www.gob.mx/sesnsp/documentos/historico-de-incidencia-delictiva-del-fuero-comun?idiom=es</w:t>
        </w:r>
      </w:hyperlink>
      <w:r>
        <w:t xml:space="preserve"> </w:t>
      </w:r>
    </w:p>
  </w:footnote>
  <w:footnote w:id="9">
    <w:p w14:paraId="6B7645C6" w14:textId="0364D821" w:rsidR="002958EC" w:rsidRPr="002958EC" w:rsidRDefault="002958EC" w:rsidP="002958EC">
      <w:pPr>
        <w:pStyle w:val="Textonotapie"/>
        <w:jc w:val="both"/>
        <w:rPr>
          <w:sz w:val="16"/>
        </w:rPr>
      </w:pPr>
      <w:r w:rsidRPr="002958EC">
        <w:rPr>
          <w:rStyle w:val="Refdenotaalpie"/>
          <w:sz w:val="16"/>
        </w:rPr>
        <w:footnoteRef/>
      </w:r>
      <w:r w:rsidRPr="002958EC">
        <w:rPr>
          <w:sz w:val="16"/>
        </w:rPr>
        <w:t xml:space="preserve"> </w:t>
      </w:r>
      <w:r w:rsidRPr="002958EC">
        <w:rPr>
          <w:b/>
          <w:sz w:val="16"/>
        </w:rPr>
        <w:t>ARTÍCULO 3°.</w:t>
      </w:r>
      <w:r w:rsidRPr="002958EC">
        <w:rPr>
          <w:sz w:val="16"/>
        </w:rPr>
        <w:t xml:space="preserve"> Para los efectos de la presente Ley se entenderá por:</w:t>
      </w:r>
    </w:p>
    <w:p w14:paraId="4EC41B11" w14:textId="2B40E13E" w:rsidR="002958EC" w:rsidRPr="002958EC" w:rsidRDefault="002958EC" w:rsidP="002958EC">
      <w:pPr>
        <w:pStyle w:val="Textonotapie"/>
        <w:jc w:val="both"/>
        <w:rPr>
          <w:sz w:val="16"/>
        </w:rPr>
      </w:pPr>
      <w:r w:rsidRPr="002958EC">
        <w:rPr>
          <w:sz w:val="16"/>
        </w:rPr>
        <w:t>[…]</w:t>
      </w:r>
    </w:p>
    <w:p w14:paraId="730DE448" w14:textId="3843392F" w:rsidR="002958EC" w:rsidRPr="002958EC" w:rsidRDefault="002958EC" w:rsidP="002958EC">
      <w:pPr>
        <w:pStyle w:val="Textonotapie"/>
        <w:jc w:val="both"/>
        <w:rPr>
          <w:sz w:val="16"/>
        </w:rPr>
      </w:pPr>
      <w:r w:rsidRPr="002958EC">
        <w:rPr>
          <w:sz w:val="16"/>
        </w:rPr>
        <w:t>X. Datos abiertos: los datos digitales de carácter público que son accesibles en línea que pueden ser usados, reutilizados y redistribuidos por cualquier persona y que tienen las siguientes características: a) Accesibles: están disponibles para la gama más amplia de usuarios, para cualquier propósito. b) Integrales: contienen el tema que describen a detalle y con los metadatos necesarios. c) Gratuitos: se obtienen sin entregar a cambio contraprestación alguna. d) No discriminatorios: están disponibles para cualquier persona, sin necesidad de registro. e) Oportunos: son actualizados periódicamente, conforme se generen. f) Permanentes: se conservan en el tiempo, para lo cual, las versiones históricas relevantes para uso público se mantendrán disponibles con identificadores adecuados al efecto. g) Primarios: provienen de la fuente de origen con el máximo nivel de desagregación posible. h) Legibles por máquinas: deben estar estructurados, total o parcialmente, para ser procesados e interpretados por equipos electrónicos de manera automática. i) En formatos abiertos: estarán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 j) De libre uso: citan la fuente de origen como único requerimiento para ser utilizados libremente;</w:t>
      </w:r>
    </w:p>
    <w:p w14:paraId="45F4D4A4" w14:textId="45AF6A7E" w:rsidR="002958EC" w:rsidRPr="002958EC" w:rsidRDefault="002958EC" w:rsidP="002958EC">
      <w:pPr>
        <w:pStyle w:val="Textonotapie"/>
        <w:jc w:val="both"/>
        <w:rPr>
          <w:sz w:val="16"/>
        </w:rPr>
      </w:pPr>
      <w:r w:rsidRPr="002958EC">
        <w:rPr>
          <w:sz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4A9DB437" w:rsidR="005142BE" w:rsidRDefault="005142BE">
        <w:pPr>
          <w:pStyle w:val="Encabezado"/>
          <w:jc w:val="center"/>
        </w:pPr>
        <w:r>
          <w:fldChar w:fldCharType="begin"/>
        </w:r>
        <w:r>
          <w:instrText>PAGE   \* MERGEFORMAT</w:instrText>
        </w:r>
        <w:r>
          <w:fldChar w:fldCharType="separate"/>
        </w:r>
        <w:r w:rsidR="00B17B9F" w:rsidRPr="00B17B9F">
          <w:rPr>
            <w:noProof/>
            <w:lang w:val="es-ES"/>
          </w:rPr>
          <w:t>12</w:t>
        </w:r>
        <w:r>
          <w:fldChar w:fldCharType="end"/>
        </w:r>
      </w:p>
    </w:sdtContent>
  </w:sdt>
  <w:p w14:paraId="3407CE7F" w14:textId="1ED1A3AB" w:rsidR="005142BE" w:rsidRDefault="00183EF3" w:rsidP="00403C89">
    <w:pPr>
      <w:pStyle w:val="Encabezado"/>
      <w:jc w:val="right"/>
    </w:pPr>
    <w:r>
      <w:t xml:space="preserve">RECURSO DE REVISIÓN </w:t>
    </w:r>
    <w:r w:rsidR="00D63D8E">
      <w:t>1005</w:t>
    </w:r>
    <w:r w:rsidR="00710E8F">
      <w:t>/2025-1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60DF5104"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B17B9F" w:rsidRPr="00B17B9F">
          <w:rPr>
            <w:noProof/>
            <w:lang w:val="es-ES"/>
          </w:rPr>
          <w:t>13</w:t>
        </w:r>
        <w:r>
          <w:fldChar w:fldCharType="end"/>
        </w:r>
        <w:r>
          <w:t xml:space="preserve">                                  </w:t>
        </w:r>
      </w:p>
      <w:p w14:paraId="4B8CFE5F" w14:textId="77777777" w:rsidR="005142BE" w:rsidRDefault="005142BE" w:rsidP="00125FB7">
        <w:pPr>
          <w:pStyle w:val="Encabezado"/>
          <w:jc w:val="right"/>
        </w:pPr>
      </w:p>
      <w:p w14:paraId="33FF87E3" w14:textId="3AAC530C" w:rsidR="005142BE" w:rsidRDefault="00D63D8E" w:rsidP="00403C89">
        <w:pPr>
          <w:pStyle w:val="Encabezado"/>
          <w:jc w:val="right"/>
        </w:pPr>
        <w:r>
          <w:t>RECURSO DE REVISIÓN 1005</w:t>
        </w:r>
        <w:r w:rsidR="00710E8F">
          <w:t>/2025-1</w:t>
        </w:r>
      </w:p>
      <w:p w14:paraId="1F581E29" w14:textId="484A7B4B" w:rsidR="005142BE" w:rsidRDefault="004B2E47"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1"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1"/>
  </w:num>
  <w:num w:numId="6">
    <w:abstractNumId w:val="19"/>
  </w:num>
  <w:num w:numId="7">
    <w:abstractNumId w:val="26"/>
  </w:num>
  <w:num w:numId="8">
    <w:abstractNumId w:val="33"/>
  </w:num>
  <w:num w:numId="9">
    <w:abstractNumId w:val="7"/>
  </w:num>
  <w:num w:numId="10">
    <w:abstractNumId w:val="38"/>
  </w:num>
  <w:num w:numId="11">
    <w:abstractNumId w:val="11"/>
  </w:num>
  <w:num w:numId="12">
    <w:abstractNumId w:val="34"/>
  </w:num>
  <w:num w:numId="13">
    <w:abstractNumId w:val="23"/>
  </w:num>
  <w:num w:numId="14">
    <w:abstractNumId w:val="13"/>
  </w:num>
  <w:num w:numId="15">
    <w:abstractNumId w:val="37"/>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9"/>
  </w:num>
  <w:num w:numId="23">
    <w:abstractNumId w:val="36"/>
  </w:num>
  <w:num w:numId="24">
    <w:abstractNumId w:val="42"/>
  </w:num>
  <w:num w:numId="25">
    <w:abstractNumId w:val="20"/>
  </w:num>
  <w:num w:numId="26">
    <w:abstractNumId w:val="39"/>
  </w:num>
  <w:num w:numId="27">
    <w:abstractNumId w:val="10"/>
  </w:num>
  <w:num w:numId="28">
    <w:abstractNumId w:val="40"/>
  </w:num>
  <w:num w:numId="29">
    <w:abstractNumId w:val="35"/>
  </w:num>
  <w:num w:numId="30">
    <w:abstractNumId w:val="25"/>
  </w:num>
  <w:num w:numId="31">
    <w:abstractNumId w:val="32"/>
  </w:num>
  <w:num w:numId="32">
    <w:abstractNumId w:val="9"/>
  </w:num>
  <w:num w:numId="33">
    <w:abstractNumId w:val="16"/>
  </w:num>
  <w:num w:numId="34">
    <w:abstractNumId w:val="24"/>
  </w:num>
  <w:num w:numId="35">
    <w:abstractNumId w:val="6"/>
  </w:num>
  <w:num w:numId="36">
    <w:abstractNumId w:val="27"/>
  </w:num>
  <w:num w:numId="37">
    <w:abstractNumId w:val="18"/>
  </w:num>
  <w:num w:numId="38">
    <w:abstractNumId w:val="22"/>
  </w:num>
  <w:num w:numId="39">
    <w:abstractNumId w:val="0"/>
  </w:num>
  <w:num w:numId="40">
    <w:abstractNumId w:val="31"/>
  </w:num>
  <w:num w:numId="41">
    <w:abstractNumId w:val="3"/>
  </w:num>
  <w:num w:numId="42">
    <w:abstractNumId w:val="15"/>
  </w:num>
  <w:num w:numId="43">
    <w:abstractNumId w:val="12"/>
  </w:num>
  <w:num w:numId="44">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62E"/>
    <w:rsid w:val="00003AB5"/>
    <w:rsid w:val="00003DC1"/>
    <w:rsid w:val="000048AE"/>
    <w:rsid w:val="00004D3C"/>
    <w:rsid w:val="000066AD"/>
    <w:rsid w:val="00010DA2"/>
    <w:rsid w:val="00010FE8"/>
    <w:rsid w:val="00011D20"/>
    <w:rsid w:val="00011DA1"/>
    <w:rsid w:val="000122D2"/>
    <w:rsid w:val="00012503"/>
    <w:rsid w:val="00012C7F"/>
    <w:rsid w:val="00012E2D"/>
    <w:rsid w:val="00012F23"/>
    <w:rsid w:val="00013409"/>
    <w:rsid w:val="00013758"/>
    <w:rsid w:val="000142A2"/>
    <w:rsid w:val="000149F3"/>
    <w:rsid w:val="00015009"/>
    <w:rsid w:val="00015A95"/>
    <w:rsid w:val="00015F0E"/>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0D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17"/>
    <w:rsid w:val="0006668E"/>
    <w:rsid w:val="00066886"/>
    <w:rsid w:val="00067418"/>
    <w:rsid w:val="00067660"/>
    <w:rsid w:val="0007014F"/>
    <w:rsid w:val="0007132B"/>
    <w:rsid w:val="000713A9"/>
    <w:rsid w:val="0007170B"/>
    <w:rsid w:val="0007175D"/>
    <w:rsid w:val="00071C60"/>
    <w:rsid w:val="000724D7"/>
    <w:rsid w:val="000728F5"/>
    <w:rsid w:val="00072CFE"/>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1B4"/>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51E7"/>
    <w:rsid w:val="00116CBC"/>
    <w:rsid w:val="00117EFC"/>
    <w:rsid w:val="00117F76"/>
    <w:rsid w:val="001204E0"/>
    <w:rsid w:val="00121981"/>
    <w:rsid w:val="001234AC"/>
    <w:rsid w:val="00123D7F"/>
    <w:rsid w:val="00123F38"/>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34D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4E7"/>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7D9"/>
    <w:rsid w:val="001E5BCA"/>
    <w:rsid w:val="001E5D8A"/>
    <w:rsid w:val="001E6071"/>
    <w:rsid w:val="001E6629"/>
    <w:rsid w:val="001E7191"/>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B53"/>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2548"/>
    <w:rsid w:val="00243440"/>
    <w:rsid w:val="00243809"/>
    <w:rsid w:val="00243B84"/>
    <w:rsid w:val="0024465B"/>
    <w:rsid w:val="00245025"/>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8EC"/>
    <w:rsid w:val="00295F01"/>
    <w:rsid w:val="00295FE1"/>
    <w:rsid w:val="00295FFD"/>
    <w:rsid w:val="002965D3"/>
    <w:rsid w:val="00297981"/>
    <w:rsid w:val="002A1696"/>
    <w:rsid w:val="002A1D94"/>
    <w:rsid w:val="002A215F"/>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1D62"/>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FEA"/>
    <w:rsid w:val="003D4E97"/>
    <w:rsid w:val="003D5449"/>
    <w:rsid w:val="003D5A1A"/>
    <w:rsid w:val="003D5C15"/>
    <w:rsid w:val="003D6998"/>
    <w:rsid w:val="003D6ECF"/>
    <w:rsid w:val="003D7603"/>
    <w:rsid w:val="003D770B"/>
    <w:rsid w:val="003D7984"/>
    <w:rsid w:val="003E0A78"/>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2870"/>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905F4"/>
    <w:rsid w:val="004908DD"/>
    <w:rsid w:val="00490AAA"/>
    <w:rsid w:val="00491EB9"/>
    <w:rsid w:val="00491F18"/>
    <w:rsid w:val="0049219E"/>
    <w:rsid w:val="00492289"/>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47"/>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4D0"/>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2BE"/>
    <w:rsid w:val="005159E2"/>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3A1"/>
    <w:rsid w:val="005B747C"/>
    <w:rsid w:val="005B75CC"/>
    <w:rsid w:val="005C0399"/>
    <w:rsid w:val="005C26EC"/>
    <w:rsid w:val="005C3498"/>
    <w:rsid w:val="005C39E5"/>
    <w:rsid w:val="005C3F95"/>
    <w:rsid w:val="005C4256"/>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001"/>
    <w:rsid w:val="0064565E"/>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4E7"/>
    <w:rsid w:val="006B4509"/>
    <w:rsid w:val="006B4C8C"/>
    <w:rsid w:val="006B518A"/>
    <w:rsid w:val="006B51E8"/>
    <w:rsid w:val="006B5647"/>
    <w:rsid w:val="006B564B"/>
    <w:rsid w:val="006B7996"/>
    <w:rsid w:val="006B7E1C"/>
    <w:rsid w:val="006C0024"/>
    <w:rsid w:val="006C02C3"/>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5037"/>
    <w:rsid w:val="006F5289"/>
    <w:rsid w:val="006F544B"/>
    <w:rsid w:val="006F5950"/>
    <w:rsid w:val="006F5B7D"/>
    <w:rsid w:val="006F5E9A"/>
    <w:rsid w:val="006F6EDD"/>
    <w:rsid w:val="006F714A"/>
    <w:rsid w:val="006F7D6A"/>
    <w:rsid w:val="006F7DAE"/>
    <w:rsid w:val="00700086"/>
    <w:rsid w:val="00700668"/>
    <w:rsid w:val="00700AE8"/>
    <w:rsid w:val="00700B7B"/>
    <w:rsid w:val="0070153D"/>
    <w:rsid w:val="00701A15"/>
    <w:rsid w:val="00702108"/>
    <w:rsid w:val="00702B0C"/>
    <w:rsid w:val="00702FB1"/>
    <w:rsid w:val="0070304D"/>
    <w:rsid w:val="0070305B"/>
    <w:rsid w:val="00703A06"/>
    <w:rsid w:val="00705C1A"/>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22F8"/>
    <w:rsid w:val="00744552"/>
    <w:rsid w:val="00744FF4"/>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207"/>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4D79"/>
    <w:rsid w:val="008554F5"/>
    <w:rsid w:val="00855774"/>
    <w:rsid w:val="00855F88"/>
    <w:rsid w:val="00856E37"/>
    <w:rsid w:val="008572A9"/>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1B94"/>
    <w:rsid w:val="008B2DF8"/>
    <w:rsid w:val="008B3601"/>
    <w:rsid w:val="008B3DEE"/>
    <w:rsid w:val="008B45F2"/>
    <w:rsid w:val="008B644F"/>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213"/>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5BC"/>
    <w:rsid w:val="00905AF3"/>
    <w:rsid w:val="00905B4A"/>
    <w:rsid w:val="00906244"/>
    <w:rsid w:val="00906E32"/>
    <w:rsid w:val="0090780C"/>
    <w:rsid w:val="00907D72"/>
    <w:rsid w:val="0091068B"/>
    <w:rsid w:val="00912170"/>
    <w:rsid w:val="00912EB3"/>
    <w:rsid w:val="009131AA"/>
    <w:rsid w:val="0091378D"/>
    <w:rsid w:val="009137B4"/>
    <w:rsid w:val="00913B53"/>
    <w:rsid w:val="00914AB6"/>
    <w:rsid w:val="00914C94"/>
    <w:rsid w:val="009152F9"/>
    <w:rsid w:val="009171C0"/>
    <w:rsid w:val="0092045D"/>
    <w:rsid w:val="00920624"/>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724"/>
    <w:rsid w:val="00970FE1"/>
    <w:rsid w:val="009712BE"/>
    <w:rsid w:val="009724FC"/>
    <w:rsid w:val="0097265D"/>
    <w:rsid w:val="0097293F"/>
    <w:rsid w:val="00972ED6"/>
    <w:rsid w:val="00973664"/>
    <w:rsid w:val="0097484C"/>
    <w:rsid w:val="00975706"/>
    <w:rsid w:val="00976379"/>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5437"/>
    <w:rsid w:val="009A5CB9"/>
    <w:rsid w:val="009A73A4"/>
    <w:rsid w:val="009A73BB"/>
    <w:rsid w:val="009A7C48"/>
    <w:rsid w:val="009A7E4D"/>
    <w:rsid w:val="009B012A"/>
    <w:rsid w:val="009B01E9"/>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0348"/>
    <w:rsid w:val="009D162C"/>
    <w:rsid w:val="009D213E"/>
    <w:rsid w:val="009D22D5"/>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13A2"/>
    <w:rsid w:val="00A113F9"/>
    <w:rsid w:val="00A11972"/>
    <w:rsid w:val="00A123D4"/>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59D0"/>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0FE3"/>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4D98"/>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B9F"/>
    <w:rsid w:val="00B17F58"/>
    <w:rsid w:val="00B17F5B"/>
    <w:rsid w:val="00B205DC"/>
    <w:rsid w:val="00B205DD"/>
    <w:rsid w:val="00B20BBF"/>
    <w:rsid w:val="00B20D04"/>
    <w:rsid w:val="00B20D2E"/>
    <w:rsid w:val="00B2258F"/>
    <w:rsid w:val="00B22AF8"/>
    <w:rsid w:val="00B22E93"/>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4E3"/>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3F3"/>
    <w:rsid w:val="00BD4495"/>
    <w:rsid w:val="00BD49B8"/>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699"/>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20C6"/>
    <w:rsid w:val="00C523B3"/>
    <w:rsid w:val="00C52A30"/>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38A"/>
    <w:rsid w:val="00C745F7"/>
    <w:rsid w:val="00C74762"/>
    <w:rsid w:val="00C7490C"/>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0FEA"/>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0E1"/>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42"/>
    <w:rsid w:val="00D33950"/>
    <w:rsid w:val="00D348D1"/>
    <w:rsid w:val="00D34D73"/>
    <w:rsid w:val="00D34F67"/>
    <w:rsid w:val="00D35487"/>
    <w:rsid w:val="00D3658E"/>
    <w:rsid w:val="00D369A8"/>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3D8E"/>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7E0"/>
    <w:rsid w:val="00DC6806"/>
    <w:rsid w:val="00DC73B3"/>
    <w:rsid w:val="00DC7931"/>
    <w:rsid w:val="00DC7CD5"/>
    <w:rsid w:val="00DD0BA8"/>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B2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F18"/>
    <w:rsid w:val="00E4761A"/>
    <w:rsid w:val="00E47DEE"/>
    <w:rsid w:val="00E509BB"/>
    <w:rsid w:val="00E51BA6"/>
    <w:rsid w:val="00E534AD"/>
    <w:rsid w:val="00E53A2C"/>
    <w:rsid w:val="00E53B90"/>
    <w:rsid w:val="00E544A0"/>
    <w:rsid w:val="00E547B2"/>
    <w:rsid w:val="00E5486D"/>
    <w:rsid w:val="00E55371"/>
    <w:rsid w:val="00E5583B"/>
    <w:rsid w:val="00E570A6"/>
    <w:rsid w:val="00E60A11"/>
    <w:rsid w:val="00E60E11"/>
    <w:rsid w:val="00E612A0"/>
    <w:rsid w:val="00E619F4"/>
    <w:rsid w:val="00E62410"/>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72D6"/>
    <w:rsid w:val="00ED08A0"/>
    <w:rsid w:val="00ED0B39"/>
    <w:rsid w:val="00ED1158"/>
    <w:rsid w:val="00ED1221"/>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828"/>
    <w:rsid w:val="00F20200"/>
    <w:rsid w:val="00F20A9D"/>
    <w:rsid w:val="00F20AE4"/>
    <w:rsid w:val="00F20E32"/>
    <w:rsid w:val="00F218A4"/>
    <w:rsid w:val="00F219A0"/>
    <w:rsid w:val="00F21BC4"/>
    <w:rsid w:val="00F21E9D"/>
    <w:rsid w:val="00F21FCC"/>
    <w:rsid w:val="00F22A50"/>
    <w:rsid w:val="00F22BFC"/>
    <w:rsid w:val="00F23763"/>
    <w:rsid w:val="00F241AF"/>
    <w:rsid w:val="00F24A31"/>
    <w:rsid w:val="00F27372"/>
    <w:rsid w:val="00F27575"/>
    <w:rsid w:val="00F276A4"/>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136"/>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D88"/>
    <w:rsid w:val="00FC3F72"/>
    <w:rsid w:val="00FC405C"/>
    <w:rsid w:val="00FC4D0D"/>
    <w:rsid w:val="00FC52AF"/>
    <w:rsid w:val="00FC5C7B"/>
    <w:rsid w:val="00FC630D"/>
    <w:rsid w:val="00FC663D"/>
    <w:rsid w:val="00FC665F"/>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os.cdmx.gob.mx/dataset/?groups=justicia-y-segurida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s://www.gob.mx/sesnsp/documentos/historico-de-incidencia-delictiva-del-fuero-comun?idiom=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9BBC35-FC7D-4B39-BFB0-44B8E7D5B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17</Pages>
  <Words>5270</Words>
  <Characters>28987</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4</cp:revision>
  <cp:lastPrinted>2024-08-07T21:18:00Z</cp:lastPrinted>
  <dcterms:created xsi:type="dcterms:W3CDTF">2026-01-06T14:37:00Z</dcterms:created>
  <dcterms:modified xsi:type="dcterms:W3CDTF">2026-01-06T19:00:00Z</dcterms:modified>
</cp:coreProperties>
</file>