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C21B2" w14:textId="77777777" w:rsidR="00EF060F" w:rsidRDefault="00EF060F"/>
    <w:p w14:paraId="63E22E92" w14:textId="0367C8E4" w:rsidR="00EF060F" w:rsidRPr="00EF060F" w:rsidRDefault="00EF060F" w:rsidP="00EF060F">
      <w:r w:rsidRPr="00EF060F">
        <w:drawing>
          <wp:inline distT="0" distB="0" distL="0" distR="0" wp14:anchorId="75C3640D" wp14:editId="065B040D">
            <wp:extent cx="3443844" cy="1342000"/>
            <wp:effectExtent l="0" t="0" r="4445" b="0"/>
            <wp:docPr id="201787096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916" cy="1350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37428" w14:textId="77777777" w:rsidR="00EF060F" w:rsidRDefault="00EF060F"/>
    <w:p w14:paraId="5C40F22E" w14:textId="77777777" w:rsidR="00EF060F" w:rsidRDefault="00EF060F"/>
    <w:p w14:paraId="520CB9A8" w14:textId="77777777" w:rsidR="00EF060F" w:rsidRDefault="00EF060F"/>
    <w:p w14:paraId="76A53276" w14:textId="77777777" w:rsidR="00EF060F" w:rsidRDefault="00EF060F"/>
    <w:p w14:paraId="54AFE6B8" w14:textId="7E11D507" w:rsidR="00EF060F" w:rsidRPr="00EF060F" w:rsidRDefault="00EF060F">
      <w:pPr>
        <w:rPr>
          <w:b/>
          <w:bCs/>
        </w:rPr>
      </w:pPr>
      <w:r>
        <w:t xml:space="preserve">                                                                         </w:t>
      </w:r>
      <w:r w:rsidRPr="00EF060F">
        <w:rPr>
          <w:b/>
          <w:bCs/>
        </w:rPr>
        <w:t xml:space="preserve"> </w:t>
      </w:r>
      <w:r w:rsidRPr="00EF060F">
        <w:rPr>
          <w:b/>
          <w:bCs/>
        </w:rPr>
        <w:t>LTAIPSLP85IO1</w:t>
      </w:r>
    </w:p>
    <w:p w14:paraId="4A13E9FA" w14:textId="6AAB9CEC" w:rsidR="004019BE" w:rsidRDefault="00EF060F">
      <w:r>
        <w:t xml:space="preserve"> Este sujeto obligado si está facultado para generar la información requerida, de acuerdo a la Ley de Desarrollo Rural Sustentable, Artículo 7o.- Para impulsar el desarrollo rural sustentable, el Estado promoverá la capitalización del sector mediante obras de infraestructura básica y productiva, y de servicios a la producción así como a través de apoyos directos a los productores, que les permitan realizar las inversiones necesarias para incrementar la eficiencia de sus unidades de producción, mejorar sus ingresos y fortalecer su competitividad. Sin embargo, en este mes no se cuenta con la información solicitada debido a que el Municipio de Ahualulco no otorgo ningún tipo de apoyo en materia de agricultura, ganadería, pesca o alimentación., por lo tanto, no se generó información en el mes a reportar.</w:t>
      </w:r>
    </w:p>
    <w:sectPr w:rsidR="004019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60F"/>
    <w:rsid w:val="00126176"/>
    <w:rsid w:val="004019BE"/>
    <w:rsid w:val="00654F15"/>
    <w:rsid w:val="008D5D56"/>
    <w:rsid w:val="00EF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8BCB1"/>
  <w15:chartTrackingRefBased/>
  <w15:docId w15:val="{E8A27CF5-B4DF-4A7D-B3F5-98539EDFD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06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0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06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06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06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F06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06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06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06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06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06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06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060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060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F060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060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060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060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F06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F0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F06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F0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06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060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060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060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06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060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06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768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2026-02-09T15:10:00Z</dcterms:created>
  <dcterms:modified xsi:type="dcterms:W3CDTF">2026-02-09T15:11:00Z</dcterms:modified>
</cp:coreProperties>
</file>