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D39" w:rsidRPr="00064112" w:rsidRDefault="00231D39" w:rsidP="00231D39">
      <w:pPr>
        <w:jc w:val="both"/>
        <w:rPr>
          <w:rFonts w:ascii="Arial" w:hAnsi="Arial" w:cs="Arial"/>
          <w:color w:val="4472C4" w:themeColor="accent5"/>
        </w:rPr>
      </w:pPr>
      <w:r>
        <w:rPr>
          <w:rFonts w:ascii="Arial" w:hAnsi="Arial" w:cs="Arial"/>
          <w:color w:val="4472C4" w:themeColor="accent5"/>
        </w:rPr>
        <w:t xml:space="preserve">     </w:t>
      </w:r>
      <w:r w:rsidRPr="00064112">
        <w:rPr>
          <w:rFonts w:ascii="Arial" w:hAnsi="Arial" w:cs="Arial"/>
          <w:color w:val="4472C4" w:themeColor="accent5"/>
        </w:rPr>
        <w:t xml:space="preserve">En fecha </w:t>
      </w:r>
      <w:r>
        <w:rPr>
          <w:rFonts w:ascii="Arial" w:hAnsi="Arial" w:cs="Arial"/>
          <w:color w:val="4472C4" w:themeColor="accent5"/>
        </w:rPr>
        <w:t xml:space="preserve">13 trece de mayo </w:t>
      </w:r>
      <w:r w:rsidRPr="00064112">
        <w:rPr>
          <w:rFonts w:ascii="Arial" w:hAnsi="Arial" w:cs="Arial"/>
          <w:color w:val="4472C4" w:themeColor="accent5"/>
        </w:rPr>
        <w:t>de</w:t>
      </w:r>
      <w:r>
        <w:rPr>
          <w:rFonts w:ascii="Arial" w:hAnsi="Arial" w:cs="Arial"/>
          <w:color w:val="4472C4" w:themeColor="accent5"/>
        </w:rPr>
        <w:t xml:space="preserve"> 2026 dos mil veintiséis</w:t>
      </w:r>
      <w:r w:rsidRPr="00064112">
        <w:rPr>
          <w:rFonts w:ascii="Arial" w:hAnsi="Arial" w:cs="Arial"/>
          <w:color w:val="4472C4" w:themeColor="accent5"/>
        </w:rPr>
        <w:t xml:space="preserve">, se da cuenta al Licenciado José Gerardo Navarro </w:t>
      </w:r>
      <w:proofErr w:type="spellStart"/>
      <w:r w:rsidRPr="00064112">
        <w:rPr>
          <w:rFonts w:ascii="Arial" w:hAnsi="Arial" w:cs="Arial"/>
          <w:color w:val="4472C4" w:themeColor="accent5"/>
        </w:rPr>
        <w:t>Alviso</w:t>
      </w:r>
      <w:proofErr w:type="spellEnd"/>
      <w:r w:rsidRPr="00064112">
        <w:rPr>
          <w:rFonts w:ascii="Arial" w:hAnsi="Arial" w:cs="Arial"/>
          <w:color w:val="4472C4" w:themeColor="accent5"/>
        </w:rPr>
        <w:t>, Comisionado Presidente de la Comisión Estatal de Garantía de Acceso a la Información Pública del Estado de San Luis Potosí con el expediente radicado bajo el número RR-</w:t>
      </w:r>
      <w:r w:rsidR="00B738B4">
        <w:rPr>
          <w:rFonts w:ascii="Arial" w:hAnsi="Arial" w:cs="Arial"/>
          <w:b/>
          <w:color w:val="4472C4" w:themeColor="accent5"/>
        </w:rPr>
        <w:t>008</w:t>
      </w:r>
      <w:r>
        <w:rPr>
          <w:rFonts w:ascii="Arial" w:hAnsi="Arial" w:cs="Arial"/>
          <w:b/>
          <w:color w:val="4472C4" w:themeColor="accent5"/>
        </w:rPr>
        <w:t>/2026</w:t>
      </w:r>
      <w:r w:rsidRPr="00064112">
        <w:rPr>
          <w:rFonts w:ascii="Arial" w:eastAsia="Arial" w:hAnsi="Arial" w:cs="Arial"/>
          <w:b/>
          <w:color w:val="4472C4" w:themeColor="accent5"/>
          <w:spacing w:val="1"/>
        </w:rPr>
        <w:t>-2</w:t>
      </w:r>
      <w:r w:rsidRPr="00064112">
        <w:rPr>
          <w:rFonts w:ascii="Arial" w:eastAsia="Arial Unicode MS" w:hAnsi="Arial" w:cs="Arial"/>
          <w:color w:val="4472C4" w:themeColor="accent5"/>
        </w:rPr>
        <w:t xml:space="preserve"> interpuesto contra el</w:t>
      </w:r>
      <w:r w:rsidR="00B738B4">
        <w:rPr>
          <w:rFonts w:ascii="Arial" w:eastAsia="Arial Unicode MS" w:hAnsi="Arial" w:cs="Arial"/>
          <w:b/>
          <w:color w:val="4472C4" w:themeColor="accent5"/>
        </w:rPr>
        <w:t xml:space="preserve"> Servicios de Salud</w:t>
      </w:r>
      <w:r w:rsidRPr="00064112">
        <w:rPr>
          <w:rFonts w:ascii="Arial" w:eastAsia="Arial Unicode MS" w:hAnsi="Arial" w:cs="Arial"/>
          <w:color w:val="4472C4" w:themeColor="accent5"/>
        </w:rPr>
        <w:t>.</w:t>
      </w:r>
      <w:r w:rsidRPr="00064112">
        <w:rPr>
          <w:rFonts w:ascii="Arial" w:hAnsi="Arial" w:cs="Arial"/>
          <w:color w:val="4472C4" w:themeColor="accent5"/>
        </w:rPr>
        <w:t xml:space="preserve"> </w:t>
      </w:r>
      <w:r w:rsidRPr="00064112">
        <w:rPr>
          <w:rFonts w:ascii="Arial" w:hAnsi="Arial" w:cs="Arial"/>
          <w:b/>
          <w:color w:val="4472C4" w:themeColor="accent5"/>
          <w:u w:val="single"/>
        </w:rPr>
        <w:t>Conste.</w:t>
      </w:r>
    </w:p>
    <w:p w:rsidR="00231D39" w:rsidRPr="00064112" w:rsidRDefault="00231D39" w:rsidP="00231D39">
      <w:pPr>
        <w:widowControl w:val="0"/>
        <w:tabs>
          <w:tab w:val="left" w:pos="567"/>
        </w:tabs>
        <w:suppressAutoHyphens/>
        <w:autoSpaceDN w:val="0"/>
        <w:spacing w:after="0"/>
        <w:jc w:val="right"/>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widowControl w:val="0"/>
        <w:tabs>
          <w:tab w:val="left" w:pos="567"/>
        </w:tabs>
        <w:suppressAutoHyphens/>
        <w:autoSpaceDN w:val="0"/>
        <w:spacing w:after="0"/>
        <w:jc w:val="right"/>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San Luis Potosí. S.L.P., a</w:t>
      </w:r>
      <w:r>
        <w:rPr>
          <w:rFonts w:ascii="Arial" w:eastAsia="Times New Roman" w:hAnsi="Arial" w:cs="Arial"/>
          <w:color w:val="4472C4" w:themeColor="accent5"/>
          <w:kern w:val="3"/>
          <w:sz w:val="24"/>
          <w:szCs w:val="24"/>
          <w:lang w:eastAsia="es-ES"/>
        </w:rPr>
        <w:t xml:space="preserve"> 13 trece</w:t>
      </w:r>
      <w:r>
        <w:rPr>
          <w:rFonts w:ascii="Arial" w:hAnsi="Arial" w:cs="Arial"/>
          <w:color w:val="4472C4" w:themeColor="accent5"/>
        </w:rPr>
        <w:t xml:space="preserve"> de mayo </w:t>
      </w:r>
      <w:r w:rsidRPr="00064112">
        <w:rPr>
          <w:rFonts w:ascii="Arial" w:hAnsi="Arial" w:cs="Arial"/>
          <w:color w:val="4472C4" w:themeColor="accent5"/>
        </w:rPr>
        <w:t>de</w:t>
      </w:r>
      <w:r>
        <w:rPr>
          <w:rFonts w:ascii="Arial" w:hAnsi="Arial" w:cs="Arial"/>
          <w:color w:val="4472C4" w:themeColor="accent5"/>
        </w:rPr>
        <w:t xml:space="preserve"> 2026 dos mil veintiséis</w:t>
      </w:r>
      <w:r w:rsidRPr="00064112">
        <w:rPr>
          <w:rFonts w:ascii="Arial" w:eastAsia="Times New Roman" w:hAnsi="Arial" w:cs="Arial"/>
          <w:color w:val="4472C4" w:themeColor="accent5"/>
          <w:kern w:val="3"/>
          <w:sz w:val="24"/>
          <w:szCs w:val="24"/>
          <w:lang w:eastAsia="es-ES"/>
        </w:rPr>
        <w:t>.</w:t>
      </w:r>
    </w:p>
    <w:p w:rsidR="00231D39" w:rsidRPr="00064112" w:rsidRDefault="00231D39" w:rsidP="00231D39">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b/>
      </w:r>
      <w:r w:rsidRPr="00064112">
        <w:rPr>
          <w:rFonts w:ascii="Arial" w:eastAsia="Times New Roman" w:hAnsi="Arial" w:cs="Arial"/>
          <w:color w:val="4472C4" w:themeColor="accent5"/>
          <w:kern w:val="3"/>
          <w:sz w:val="24"/>
          <w:szCs w:val="24"/>
          <w:lang w:eastAsia="es-ES"/>
        </w:rPr>
        <w:tab/>
      </w:r>
    </w:p>
    <w:p w:rsidR="00231D39" w:rsidRPr="00064112" w:rsidRDefault="00231D39" w:rsidP="00231D39">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b/>
      </w:r>
      <w:r w:rsidRPr="00064112">
        <w:rPr>
          <w:rFonts w:ascii="Arial" w:eastAsia="Times New Roman" w:hAnsi="Arial" w:cs="Arial"/>
          <w:b/>
          <w:color w:val="4472C4" w:themeColor="accent5"/>
          <w:kern w:val="3"/>
          <w:sz w:val="24"/>
          <w:szCs w:val="24"/>
          <w:lang w:eastAsia="es-ES"/>
        </w:rPr>
        <w:t>VISTO.</w:t>
      </w:r>
      <w:r w:rsidRPr="00064112">
        <w:rPr>
          <w:rFonts w:ascii="Arial" w:eastAsia="Times New Roman" w:hAnsi="Arial" w:cs="Arial"/>
          <w:color w:val="4472C4" w:themeColor="accent5"/>
          <w:kern w:val="3"/>
          <w:sz w:val="24"/>
          <w:szCs w:val="24"/>
          <w:lang w:eastAsia="es-ES"/>
        </w:rPr>
        <w:t xml:space="preserve"> El estado que guardan los presentes autos, se procede a dictar el siguiente:</w:t>
      </w:r>
    </w:p>
    <w:p w:rsidR="00231D39" w:rsidRPr="00064112" w:rsidRDefault="00231D39" w:rsidP="00231D39">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widowControl w:val="0"/>
        <w:tabs>
          <w:tab w:val="left" w:pos="567"/>
        </w:tabs>
        <w:suppressAutoHyphens/>
        <w:autoSpaceDN w:val="0"/>
        <w:spacing w:after="0"/>
        <w:jc w:val="center"/>
        <w:textAlignment w:val="baseline"/>
        <w:rPr>
          <w:rFonts w:ascii="Arial" w:eastAsia="Times New Roman" w:hAnsi="Arial" w:cs="Arial"/>
          <w:b/>
          <w:color w:val="4472C4" w:themeColor="accent5"/>
          <w:kern w:val="3"/>
          <w:sz w:val="24"/>
          <w:szCs w:val="24"/>
          <w:lang w:eastAsia="es-ES"/>
        </w:rPr>
      </w:pPr>
      <w:r w:rsidRPr="00064112">
        <w:rPr>
          <w:rFonts w:ascii="Arial" w:eastAsia="Times New Roman" w:hAnsi="Arial" w:cs="Arial"/>
          <w:b/>
          <w:color w:val="4472C4" w:themeColor="accent5"/>
          <w:kern w:val="3"/>
          <w:sz w:val="24"/>
          <w:szCs w:val="24"/>
          <w:lang w:eastAsia="es-ES"/>
        </w:rPr>
        <w:t>ACUERDO</w:t>
      </w:r>
    </w:p>
    <w:p w:rsidR="00231D39" w:rsidRPr="00064112" w:rsidRDefault="00231D39" w:rsidP="00231D39">
      <w:pPr>
        <w:widowControl w:val="0"/>
        <w:tabs>
          <w:tab w:val="left" w:pos="567"/>
        </w:tabs>
        <w:suppressAutoHyphens/>
        <w:autoSpaceDN w:val="0"/>
        <w:spacing w:after="0"/>
        <w:jc w:val="center"/>
        <w:textAlignment w:val="baseline"/>
        <w:rPr>
          <w:rFonts w:ascii="Arial" w:eastAsia="Times New Roman" w:hAnsi="Arial" w:cs="Arial"/>
          <w:b/>
          <w:color w:val="4472C4" w:themeColor="accent5"/>
          <w:kern w:val="3"/>
          <w:sz w:val="24"/>
          <w:szCs w:val="24"/>
          <w:lang w:eastAsia="es-ES"/>
        </w:rPr>
      </w:pPr>
    </w:p>
    <w:p w:rsidR="00231D39" w:rsidRPr="00064112" w:rsidRDefault="00231D39" w:rsidP="00231D39">
      <w:pPr>
        <w:shd w:val="clear" w:color="auto" w:fill="FFFFFF"/>
        <w:spacing w:after="0"/>
        <w:ind w:firstLine="708"/>
        <w:jc w:val="both"/>
        <w:rPr>
          <w:rFonts w:ascii="Arial" w:eastAsia="Times New Roman" w:hAnsi="Arial" w:cs="Arial"/>
          <w:color w:val="4472C4" w:themeColor="accent5"/>
          <w:sz w:val="24"/>
          <w:szCs w:val="24"/>
          <w:lang w:eastAsia="es-MX"/>
        </w:rPr>
      </w:pPr>
      <w:r w:rsidRPr="00064112">
        <w:rPr>
          <w:rFonts w:ascii="Arial" w:eastAsia="Times New Roman" w:hAnsi="Arial" w:cs="Arial"/>
          <w:b/>
          <w:color w:val="4472C4" w:themeColor="accent5"/>
          <w:sz w:val="24"/>
          <w:szCs w:val="24"/>
          <w:lang w:eastAsia="es-MX"/>
        </w:rPr>
        <w:t>PRIMERO.-</w:t>
      </w:r>
      <w:r w:rsidRPr="00064112">
        <w:rPr>
          <w:rFonts w:ascii="Arial" w:eastAsia="Times New Roman" w:hAnsi="Arial" w:cs="Arial"/>
          <w:color w:val="4472C4" w:themeColor="accent5"/>
          <w:sz w:val="24"/>
          <w:szCs w:val="24"/>
          <w:lang w:eastAsia="es-MX"/>
        </w:rPr>
        <w:t xml:space="preserve"> El Comisionado Presidente de la Comisión Estatal de Garantía de Acceso a la Información Pública del Estado de San Luis Potosí es competente para dictar el presente Acuerdo de conformidad con lo establecido en los artículos 34 fracciones l y ll, 35 fracciones I y V, 36 fracciones I y III, de la Ley de Transparencia y Acceso a la Información Pública del Estado de San Luis Potosí, así como en los numerales 8 fracciones II y III, inciso a); 30 fracción XIII, 31 fracciones I, VI, IX, XIV y XVI, y 51 fracción VII, del Reglamento Interior de la Comisión Estatal de Garantía de Acceso a la Información Pública de San Luis Potosí, así como de acuerdo con lo establecido en el Acuerdo CEGAIP-251/2025 aprobado en la Sesión Ordinaria de fecha 07 siete de julio de 2025 dos mil veinticinco.</w:t>
      </w:r>
    </w:p>
    <w:p w:rsidR="00231D39" w:rsidRPr="00064112" w:rsidRDefault="00231D39" w:rsidP="00231D39">
      <w:pPr>
        <w:shd w:val="clear" w:color="auto" w:fill="FFFFFF"/>
        <w:spacing w:after="0"/>
        <w:ind w:firstLine="708"/>
        <w:jc w:val="both"/>
        <w:rPr>
          <w:rFonts w:ascii="Arial" w:eastAsia="Times New Roman" w:hAnsi="Arial" w:cs="Arial"/>
          <w:color w:val="4472C4" w:themeColor="accent5"/>
          <w:sz w:val="24"/>
          <w:szCs w:val="24"/>
          <w:lang w:eastAsia="es-MX"/>
        </w:rPr>
      </w:pPr>
      <w:r w:rsidRPr="00064112">
        <w:rPr>
          <w:rFonts w:ascii="Arial" w:eastAsia="Times New Roman" w:hAnsi="Arial" w:cs="Arial"/>
          <w:color w:val="4472C4" w:themeColor="accent5"/>
          <w:sz w:val="24"/>
          <w:szCs w:val="24"/>
          <w:lang w:eastAsia="es-MX"/>
        </w:rPr>
        <w:t> </w:t>
      </w:r>
    </w:p>
    <w:p w:rsidR="00231D39" w:rsidRPr="00064112" w:rsidRDefault="00231D39" w:rsidP="00231D39">
      <w:pPr>
        <w:shd w:val="clear" w:color="auto" w:fill="FFFFFF"/>
        <w:spacing w:after="0"/>
        <w:jc w:val="both"/>
        <w:rPr>
          <w:rFonts w:ascii="Arial" w:eastAsia="Times New Roman" w:hAnsi="Arial" w:cs="Arial"/>
          <w:color w:val="4472C4" w:themeColor="accent5"/>
          <w:sz w:val="24"/>
          <w:szCs w:val="24"/>
          <w:lang w:eastAsia="es-MX"/>
        </w:rPr>
      </w:pPr>
      <w:r w:rsidRPr="00064112">
        <w:rPr>
          <w:rFonts w:ascii="Arial" w:eastAsia="Times New Roman" w:hAnsi="Arial" w:cs="Arial"/>
          <w:color w:val="4472C4" w:themeColor="accent5"/>
          <w:sz w:val="24"/>
          <w:szCs w:val="24"/>
          <w:lang w:eastAsia="es-MX"/>
        </w:rPr>
        <w:t>                La suscrita es competente para dictar el presente acuerdo, de conformidad con lo establecido en los artículos 27 y 34 fracción I y II de la Ley de Transparencia y Acceso a la Información Pública del Estado de San Luis Potosí; así como los artículos 2°, 5º, 8º fracción II y 51 fracción VII del Reglamento Interno de la Comisión Estatal de Garantía de Acceso a la Información Pública, en correlación con el Acuerdo CEGAIP-738/2023, emitido por el Pleno de este Órgano Autónomo. </w:t>
      </w:r>
    </w:p>
    <w:p w:rsidR="00231D39" w:rsidRPr="00064112" w:rsidRDefault="00231D39" w:rsidP="00231D39">
      <w:pPr>
        <w:widowControl w:val="0"/>
        <w:tabs>
          <w:tab w:val="left" w:pos="567"/>
        </w:tabs>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B738B4" w:rsidRPr="00971E48" w:rsidRDefault="00231D39" w:rsidP="00B738B4">
      <w:pPr>
        <w:pStyle w:val="corte4fondo"/>
        <w:tabs>
          <w:tab w:val="left" w:pos="567"/>
        </w:tabs>
        <w:spacing w:line="276" w:lineRule="auto"/>
        <w:ind w:firstLine="0"/>
        <w:rPr>
          <w:rFonts w:cs="Arial"/>
          <w:bCs/>
          <w:color w:val="4472C4" w:themeColor="accent5"/>
          <w:sz w:val="24"/>
          <w:szCs w:val="24"/>
        </w:rPr>
      </w:pPr>
      <w:r w:rsidRPr="00064112">
        <w:rPr>
          <w:rFonts w:cs="Arial"/>
          <w:b/>
          <w:color w:val="4472C4" w:themeColor="accent5"/>
          <w:kern w:val="3"/>
          <w:sz w:val="24"/>
          <w:szCs w:val="24"/>
          <w:lang w:eastAsia="es-ES"/>
        </w:rPr>
        <w:tab/>
      </w:r>
      <w:r w:rsidRPr="00064112">
        <w:rPr>
          <w:rFonts w:cs="Arial"/>
          <w:b/>
          <w:color w:val="4472C4" w:themeColor="accent5"/>
          <w:kern w:val="3"/>
          <w:sz w:val="24"/>
          <w:szCs w:val="24"/>
          <w:lang w:eastAsia="es-ES"/>
        </w:rPr>
        <w:tab/>
      </w:r>
      <w:r w:rsidRPr="003721BB">
        <w:rPr>
          <w:rFonts w:cs="Arial"/>
          <w:b/>
          <w:color w:val="4472C4" w:themeColor="accent5"/>
          <w:kern w:val="3"/>
          <w:sz w:val="24"/>
          <w:szCs w:val="24"/>
          <w:lang w:eastAsia="es-ES"/>
        </w:rPr>
        <w:t>SEGUNDO. -</w:t>
      </w:r>
      <w:r w:rsidRPr="003721BB">
        <w:rPr>
          <w:rFonts w:cs="Arial"/>
          <w:color w:val="4472C4" w:themeColor="accent5"/>
          <w:kern w:val="3"/>
          <w:sz w:val="24"/>
          <w:szCs w:val="24"/>
          <w:lang w:eastAsia="es-ES"/>
        </w:rPr>
        <w:t xml:space="preserve"> De una revisión a las constancias que integran el presente expediente</w:t>
      </w:r>
      <w:r w:rsidRPr="003721BB">
        <w:rPr>
          <w:rFonts w:cs="Arial"/>
          <w:color w:val="4472C4" w:themeColor="accent5"/>
          <w:sz w:val="24"/>
          <w:szCs w:val="24"/>
        </w:rPr>
        <w:t xml:space="preserve">, se advierte que el </w:t>
      </w:r>
      <w:r w:rsidR="00B738B4">
        <w:rPr>
          <w:rFonts w:cs="Arial"/>
          <w:color w:val="4472C4" w:themeColor="accent5"/>
          <w:sz w:val="24"/>
          <w:szCs w:val="24"/>
        </w:rPr>
        <w:t xml:space="preserve">06 seis de marzo de </w:t>
      </w:r>
      <w:r w:rsidRPr="003721BB">
        <w:rPr>
          <w:rFonts w:cs="Arial"/>
          <w:color w:val="4472C4" w:themeColor="accent5"/>
          <w:sz w:val="24"/>
          <w:szCs w:val="24"/>
        </w:rPr>
        <w:t xml:space="preserve">2026 dos mil veintiséis, el Pleno de esta Comisión aprobó la resolución correspondiente al presente recurso de revisión, mediante la cual </w:t>
      </w:r>
      <w:r w:rsidRPr="003721BB">
        <w:rPr>
          <w:rFonts w:cs="Arial"/>
          <w:b/>
          <w:color w:val="4472C4" w:themeColor="accent5"/>
          <w:sz w:val="24"/>
          <w:szCs w:val="24"/>
        </w:rPr>
        <w:t xml:space="preserve">modificó </w:t>
      </w:r>
      <w:r w:rsidR="00B738B4" w:rsidRPr="00971E48">
        <w:rPr>
          <w:rFonts w:cs="Arial"/>
          <w:color w:val="4472C4" w:themeColor="accent5"/>
          <w:sz w:val="24"/>
          <w:szCs w:val="24"/>
        </w:rPr>
        <w:t>la respuesta proporcionada por el sujeto obligado y orden</w:t>
      </w:r>
      <w:r w:rsidR="00B738B4">
        <w:rPr>
          <w:rFonts w:cs="Arial"/>
          <w:color w:val="4472C4" w:themeColor="accent5"/>
          <w:sz w:val="24"/>
          <w:szCs w:val="24"/>
          <w:lang w:val="es-MX"/>
        </w:rPr>
        <w:t>ó</w:t>
      </w:r>
      <w:r w:rsidR="00B738B4">
        <w:rPr>
          <w:rFonts w:cs="Arial"/>
          <w:color w:val="4472C4" w:themeColor="accent5"/>
          <w:sz w:val="24"/>
          <w:szCs w:val="24"/>
        </w:rPr>
        <w:t xml:space="preserve"> emitir</w:t>
      </w:r>
      <w:r w:rsidR="00B738B4" w:rsidRPr="00971E48">
        <w:rPr>
          <w:rFonts w:cs="Arial"/>
          <w:color w:val="4472C4" w:themeColor="accent5"/>
          <w:sz w:val="24"/>
          <w:szCs w:val="24"/>
        </w:rPr>
        <w:t xml:space="preserve"> otra respuesta en la que</w:t>
      </w:r>
      <w:r w:rsidR="00B738B4" w:rsidRPr="00971E48">
        <w:rPr>
          <w:rFonts w:cs="Arial"/>
          <w:bCs/>
          <w:color w:val="4472C4" w:themeColor="accent5"/>
          <w:sz w:val="24"/>
          <w:szCs w:val="24"/>
        </w:rPr>
        <w:t>:</w:t>
      </w:r>
    </w:p>
    <w:p w:rsidR="00B738B4" w:rsidRPr="00971E48" w:rsidRDefault="00B738B4" w:rsidP="00B738B4">
      <w:pPr>
        <w:pStyle w:val="corte4fondo"/>
        <w:tabs>
          <w:tab w:val="left" w:pos="567"/>
        </w:tabs>
        <w:spacing w:line="276" w:lineRule="auto"/>
        <w:ind w:firstLine="0"/>
        <w:rPr>
          <w:rFonts w:cs="Arial"/>
          <w:bCs/>
          <w:color w:val="4472C4" w:themeColor="accent5"/>
          <w:sz w:val="24"/>
          <w:szCs w:val="24"/>
          <w:lang w:val="es-MX"/>
        </w:rPr>
      </w:pPr>
      <w:r w:rsidRPr="00971E48">
        <w:rPr>
          <w:rFonts w:cs="Arial"/>
          <w:bCs/>
          <w:color w:val="4472C4" w:themeColor="accent5"/>
          <w:sz w:val="24"/>
          <w:szCs w:val="24"/>
          <w:lang w:val="es-MX"/>
        </w:rPr>
        <w:t xml:space="preserve">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Pr>
          <w:rFonts w:ascii="Arial" w:eastAsiaTheme="minorHAnsi" w:hAnsi="Arial" w:cs="Arial"/>
          <w:color w:val="4472C4" w:themeColor="accent5"/>
          <w:sz w:val="24"/>
          <w:szCs w:val="24"/>
        </w:rPr>
        <w:t xml:space="preserve">         </w:t>
      </w:r>
      <w:r w:rsidRPr="00971E48">
        <w:rPr>
          <w:rFonts w:ascii="Arial" w:eastAsiaTheme="minorHAnsi" w:hAnsi="Arial" w:cs="Arial"/>
          <w:color w:val="4472C4" w:themeColor="accent5"/>
          <w:sz w:val="24"/>
          <w:szCs w:val="24"/>
        </w:rPr>
        <w:t>• Lleve a cabo una búsqueda exhaustiva de la información  solicitada por el ahora recurrente, a saber: “…</w:t>
      </w:r>
      <w:r w:rsidRPr="00971E48">
        <w:rPr>
          <w:rFonts w:ascii="Arial" w:eastAsiaTheme="minorHAnsi" w:hAnsi="Arial" w:cs="Arial"/>
          <w:i/>
          <w:color w:val="4472C4" w:themeColor="accent5"/>
          <w:sz w:val="20"/>
          <w:szCs w:val="20"/>
        </w:rPr>
        <w:t>“…Solicito información en formato electrónico editable, compatible con archivos de bases de datos, hojas de cálculo, procesadores de texto, imágenes digitales (a color original), sistemas de información geográfica, concerniente a los datos y resultados del análisis de Plaguicidas en Alimentos” (incluyendo suelos y agua, indicando estos dato según se trate de manera diferenciada, incluyendo alimentos) para el periodo con el que se cuente con información (indicando la temporalidad con el que se cuentan los datos) y de cobertura correspondiente al área de influencia de la dependencia, que contenga lo siguiente.</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 Sitios de muestreo en campo para análisis de residuos de plaguicidas desagregado por:</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A0) nombre identificado del sitio de muestreo,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A1) Nombre del establecimiento y sitio de muestreo,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A2) razón social del establecimiento y sitio de muestreo,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 A3) sector al que pertenece el establecimiento y sitio de muestreo (público, social, privado, otros, indicando cual),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lastRenderedPageBreak/>
        <w:t xml:space="preserve">A4) Dirección del establecimiento y sitio de muestreo indicando datos de nombre de calle y vía de comunicación (y elemento similar), número interior y exterior, código postal y otros datos que ayuden a la localización del sitio o establecimiento con precisión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A5) nombre de la localidad donde se ubica el establecimiento y sitio de muestreo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A6) nombre del municipio donde se ubica el establecimiento y sitio de muestreo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A7) nombre de la entidad federativa en donde se ubica el establecimiento y sitio de muestreo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A8) localización geográfica del establecimiento y sitio de muestreo expresado en coordenadas de latitud y longitud en grados decimales,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A9) fecha de la realización del muestreo por hora, día, mes y año,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A10) número de muestras registradas en cada sitio;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 A11) identificador de cada muestra por sitio,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 resultados de los análisis de cada muestra desagrupado por:</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A12.0) Fecha del análisis para cada muestra por día mes y año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A12.1) Tipo de muestra: alimento (indicando el nombre del alimento), suelo (indicando la procedencia del mismo), agua (indicando la procedencia del mismo), otros [indicando cual(es) y su procedencia],</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A12.2) Presencia o no de residuos de plaguicidas</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A12.3) Tipo de residuo de plaguicida encontrado para cada muestra mencionado nombre común, nombre químico IUPAC, número CAS y cualquier otro dato que posibilite su identificación incluyendo formulaciones convencionales y sus combinaciones.</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A12.4) Clasificación del plaguicida encontrado por cada muestra mencionando si es Insecticida, herbicida, fungicida, acaricida, bactericida, </w:t>
      </w:r>
      <w:proofErr w:type="spellStart"/>
      <w:r w:rsidRPr="00971E48">
        <w:rPr>
          <w:rFonts w:ascii="Arial" w:eastAsiaTheme="minorHAnsi" w:hAnsi="Arial" w:cs="Arial"/>
          <w:i/>
          <w:color w:val="4472C4" w:themeColor="accent5"/>
          <w:sz w:val="20"/>
          <w:szCs w:val="20"/>
        </w:rPr>
        <w:t>rodenticida</w:t>
      </w:r>
      <w:proofErr w:type="spellEnd"/>
      <w:r w:rsidRPr="00971E48">
        <w:rPr>
          <w:rFonts w:ascii="Arial" w:eastAsiaTheme="minorHAnsi" w:hAnsi="Arial" w:cs="Arial"/>
          <w:i/>
          <w:color w:val="4472C4" w:themeColor="accent5"/>
          <w:sz w:val="20"/>
          <w:szCs w:val="20"/>
        </w:rPr>
        <w:t xml:space="preserve">, </w:t>
      </w:r>
      <w:proofErr w:type="spellStart"/>
      <w:r w:rsidRPr="00971E48">
        <w:rPr>
          <w:rFonts w:ascii="Arial" w:eastAsiaTheme="minorHAnsi" w:hAnsi="Arial" w:cs="Arial"/>
          <w:i/>
          <w:color w:val="4472C4" w:themeColor="accent5"/>
          <w:sz w:val="20"/>
          <w:szCs w:val="20"/>
        </w:rPr>
        <w:t>fitorregulador</w:t>
      </w:r>
      <w:proofErr w:type="spellEnd"/>
      <w:r w:rsidRPr="00971E48">
        <w:rPr>
          <w:rFonts w:ascii="Arial" w:eastAsiaTheme="minorHAnsi" w:hAnsi="Arial" w:cs="Arial"/>
          <w:i/>
          <w:color w:val="4472C4" w:themeColor="accent5"/>
          <w:sz w:val="20"/>
          <w:szCs w:val="20"/>
        </w:rPr>
        <w:t>, otros (mencionando cual).</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A12.5) Valor del residuo de plaguicida encontrado para cada muestra expresada en partes por millón </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A12.6) Comparación de los valores encontrados de residuos de plaguicidas con los límites máximos permitidos mencionando la fuente de comparación y el valor de referencia expresado en partes por millón.</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A12.7) Identificación de los resultados del valor de residuos de plaguicidas en relación a si sobrepasa o no los límites máximos permitidos indicando su peligrosidad.</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A12.8) Método de análisis de laboratorio utilizado para la determinación del valor de residuo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de plaguicida encontrado por cada muestra.</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A13) Memoria fotográficas de los sitios y establecimiento de muestreo.</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A14) Descripción de las acciones emprendidas por la dependencia ante el hallazgo de la presidencia de residuos de pesticidas en cada sitio de muestreo según las atribuciones legales pertinentes indicando a su vez número de expediente e identificación de cada acción.</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A15) Presentar los datos de los incisos A12.0) a A12.8) de forma que se puedan asociar a los</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datos solicitados en los incisos A0) a A14).</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 xml:space="preserve">B) Documento completo en formato digital de reportes e informes efectuados con los datos </w:t>
      </w:r>
      <w:proofErr w:type="spellStart"/>
      <w:r w:rsidRPr="00971E48">
        <w:rPr>
          <w:rFonts w:ascii="Arial" w:eastAsiaTheme="minorHAnsi" w:hAnsi="Arial" w:cs="Arial"/>
          <w:i/>
          <w:color w:val="4472C4" w:themeColor="accent5"/>
          <w:sz w:val="20"/>
          <w:szCs w:val="20"/>
        </w:rPr>
        <w:t>devalores</w:t>
      </w:r>
      <w:proofErr w:type="spellEnd"/>
      <w:r w:rsidRPr="00971E48">
        <w:rPr>
          <w:rFonts w:ascii="Arial" w:eastAsiaTheme="minorHAnsi" w:hAnsi="Arial" w:cs="Arial"/>
          <w:i/>
          <w:color w:val="4472C4" w:themeColor="accent5"/>
          <w:sz w:val="20"/>
          <w:szCs w:val="20"/>
        </w:rPr>
        <w:t xml:space="preserve"> de residuos de plaguicidas encontrados en sitios de muestreo incluyendo anexos y documentación asociada y relacionada con los mismos, para el periodo de tiempo con que se cuente información.</w:t>
      </w:r>
    </w:p>
    <w:p w:rsidR="00B738B4" w:rsidRPr="00971E48" w:rsidRDefault="00B738B4" w:rsidP="00B738B4">
      <w:pPr>
        <w:autoSpaceDE w:val="0"/>
        <w:autoSpaceDN w:val="0"/>
        <w:adjustRightInd w:val="0"/>
        <w:spacing w:after="0" w:line="240" w:lineRule="auto"/>
        <w:rPr>
          <w:rFonts w:ascii="Arial" w:eastAsiaTheme="minorHAnsi" w:hAnsi="Arial" w:cs="Arial"/>
          <w:i/>
          <w:color w:val="4472C4" w:themeColor="accent5"/>
          <w:sz w:val="20"/>
          <w:szCs w:val="20"/>
        </w:rPr>
      </w:pPr>
      <w:r w:rsidRPr="00971E48">
        <w:rPr>
          <w:rFonts w:ascii="Arial" w:eastAsiaTheme="minorHAnsi" w:hAnsi="Arial" w:cs="Arial"/>
          <w:i/>
          <w:color w:val="4472C4" w:themeColor="accent5"/>
          <w:sz w:val="20"/>
          <w:szCs w:val="20"/>
        </w:rPr>
        <w:t>C) Para el síguete caso (cuadro en imagen anexo) solicito datos concernientes y relacionados</w:t>
      </w:r>
    </w:p>
    <w:p w:rsidR="00B738B4" w:rsidRPr="00971E48" w:rsidRDefault="00B738B4" w:rsidP="00B738B4">
      <w:pPr>
        <w:autoSpaceDE w:val="0"/>
        <w:autoSpaceDN w:val="0"/>
        <w:adjustRightInd w:val="0"/>
        <w:spacing w:after="0" w:line="240" w:lineRule="auto"/>
        <w:rPr>
          <w:rFonts w:ascii="Arial" w:eastAsia="Times New Roman" w:hAnsi="Arial" w:cs="Arial"/>
          <w:i/>
          <w:color w:val="4472C4" w:themeColor="accent5"/>
          <w:sz w:val="20"/>
          <w:szCs w:val="20"/>
          <w:lang w:eastAsia="es-MX"/>
        </w:rPr>
      </w:pPr>
      <w:r w:rsidRPr="00971E48">
        <w:rPr>
          <w:rFonts w:ascii="Arial" w:eastAsiaTheme="minorHAnsi" w:hAnsi="Arial" w:cs="Arial"/>
          <w:i/>
          <w:color w:val="4472C4" w:themeColor="accent5"/>
          <w:sz w:val="20"/>
          <w:szCs w:val="20"/>
        </w:rPr>
        <w:t xml:space="preserve">con los incisos desde A) hasta A15) y B) Cuadro en imagen anexo: Previendo que la información rebase la capacidad de transferencia de datos a través de la plataforma PNT, solicito que se dispongan los archivos digitales por medio de </w:t>
      </w:r>
      <w:proofErr w:type="spellStart"/>
      <w:r w:rsidRPr="00971E48">
        <w:rPr>
          <w:rFonts w:ascii="Arial" w:eastAsiaTheme="minorHAnsi" w:hAnsi="Arial" w:cs="Arial"/>
          <w:i/>
          <w:color w:val="4472C4" w:themeColor="accent5"/>
          <w:sz w:val="20"/>
          <w:szCs w:val="20"/>
        </w:rPr>
        <w:t>Drop</w:t>
      </w:r>
      <w:proofErr w:type="spellEnd"/>
      <w:r w:rsidRPr="00971E48">
        <w:rPr>
          <w:rFonts w:ascii="Arial" w:eastAsiaTheme="minorHAnsi" w:hAnsi="Arial" w:cs="Arial"/>
          <w:i/>
          <w:color w:val="4472C4" w:themeColor="accent5"/>
          <w:sz w:val="20"/>
          <w:szCs w:val="20"/>
        </w:rPr>
        <w:t xml:space="preserve"> Box, Google Drive, </w:t>
      </w:r>
      <w:proofErr w:type="spellStart"/>
      <w:r w:rsidRPr="00971E48">
        <w:rPr>
          <w:rFonts w:ascii="Arial" w:eastAsiaTheme="minorHAnsi" w:hAnsi="Arial" w:cs="Arial"/>
          <w:i/>
          <w:color w:val="4472C4" w:themeColor="accent5"/>
          <w:sz w:val="20"/>
          <w:szCs w:val="20"/>
        </w:rPr>
        <w:t>WeTransfer</w:t>
      </w:r>
      <w:proofErr w:type="spellEnd"/>
      <w:r w:rsidRPr="00971E48">
        <w:rPr>
          <w:rFonts w:ascii="Arial" w:eastAsiaTheme="minorHAnsi" w:hAnsi="Arial" w:cs="Arial"/>
          <w:i/>
          <w:color w:val="4472C4" w:themeColor="accent5"/>
          <w:sz w:val="20"/>
          <w:szCs w:val="20"/>
        </w:rPr>
        <w:t xml:space="preserve">, ONE DRIVE o plataforma similar, para descargar la información directamente desde internet. Solicito de la manera más atenta, no ofrecer la entrega de información digital reproducida en medios físicos, para evitar la generación de basura electrónica y costos innecesarios…”     </w:t>
      </w:r>
    </w:p>
    <w:p w:rsidR="00B738B4" w:rsidRPr="00971E48" w:rsidRDefault="00B738B4" w:rsidP="00B738B4">
      <w:pPr>
        <w:autoSpaceDE w:val="0"/>
        <w:autoSpaceDN w:val="0"/>
        <w:adjustRightInd w:val="0"/>
        <w:spacing w:after="0" w:line="240" w:lineRule="auto"/>
        <w:jc w:val="both"/>
        <w:rPr>
          <w:rFonts w:ascii="Arial" w:eastAsiaTheme="minorHAnsi" w:hAnsi="Arial" w:cs="Arial"/>
          <w:color w:val="4472C4" w:themeColor="accent5"/>
          <w:sz w:val="24"/>
          <w:szCs w:val="24"/>
        </w:rPr>
      </w:pPr>
    </w:p>
    <w:p w:rsidR="00B738B4" w:rsidRPr="00B738B4" w:rsidRDefault="00B738B4" w:rsidP="00B738B4">
      <w:pPr>
        <w:pStyle w:val="Prrafodelista"/>
        <w:numPr>
          <w:ilvl w:val="0"/>
          <w:numId w:val="2"/>
        </w:numPr>
        <w:autoSpaceDE w:val="0"/>
        <w:autoSpaceDN w:val="0"/>
        <w:adjustRightInd w:val="0"/>
        <w:spacing w:after="0" w:line="240" w:lineRule="auto"/>
        <w:jc w:val="both"/>
        <w:rPr>
          <w:rFonts w:ascii="Arial" w:hAnsi="Arial" w:cs="Arial"/>
          <w:bCs/>
          <w:color w:val="4472C4" w:themeColor="accent5"/>
          <w:sz w:val="24"/>
          <w:szCs w:val="24"/>
        </w:rPr>
      </w:pPr>
      <w:r w:rsidRPr="00B738B4">
        <w:rPr>
          <w:rFonts w:ascii="Arial" w:eastAsiaTheme="minorHAnsi" w:hAnsi="Arial" w:cs="Arial"/>
          <w:color w:val="4472C4" w:themeColor="accent5"/>
          <w:sz w:val="24"/>
          <w:szCs w:val="24"/>
        </w:rPr>
        <w:t>Ahora bien, en caso de que del resultado de la búsqueda no sea posible encontrar la información requerida, el sujeto obligado deberá declarar formalmente la inexistencia de la información a través de su Comité de Transparencia y hacerla del conocimiento al particular.</w:t>
      </w:r>
    </w:p>
    <w:p w:rsidR="00231D39" w:rsidRPr="003721BB" w:rsidRDefault="00231D39" w:rsidP="00231D39">
      <w:pPr>
        <w:widowControl w:val="0"/>
        <w:tabs>
          <w:tab w:val="left" w:pos="567"/>
        </w:tabs>
        <w:suppressAutoHyphens/>
        <w:autoSpaceDN w:val="0"/>
        <w:spacing w:after="0"/>
        <w:jc w:val="both"/>
        <w:textAlignment w:val="baseline"/>
        <w:rPr>
          <w:rFonts w:ascii="Arial" w:hAnsi="Arial" w:cs="Arial"/>
          <w:bCs/>
          <w:color w:val="4F81BD"/>
          <w:sz w:val="24"/>
          <w:szCs w:val="24"/>
        </w:rPr>
      </w:pPr>
    </w:p>
    <w:p w:rsidR="00231D39" w:rsidRPr="00064112" w:rsidRDefault="00231D39" w:rsidP="00231D39">
      <w:pPr>
        <w:pStyle w:val="corte4fondo"/>
        <w:spacing w:line="276" w:lineRule="auto"/>
        <w:ind w:firstLine="0"/>
        <w:rPr>
          <w:rFonts w:cs="Arial"/>
          <w:color w:val="4472C4" w:themeColor="accent5"/>
          <w:sz w:val="24"/>
          <w:szCs w:val="24"/>
          <w:lang w:val="es-MX"/>
        </w:rPr>
      </w:pPr>
      <w:r w:rsidRPr="00064112">
        <w:rPr>
          <w:rFonts w:cs="Arial"/>
          <w:bCs/>
          <w:i/>
          <w:color w:val="4472C4" w:themeColor="accent5"/>
          <w:sz w:val="24"/>
          <w:szCs w:val="24"/>
        </w:rPr>
        <w:t xml:space="preserve">          </w:t>
      </w:r>
      <w:r w:rsidRPr="00064112">
        <w:rPr>
          <w:rFonts w:cs="Arial"/>
          <w:color w:val="4472C4" w:themeColor="accent5"/>
          <w:sz w:val="24"/>
          <w:szCs w:val="24"/>
        </w:rPr>
        <w:t xml:space="preserve">En acatamiento al fallo aquí dictado, </w:t>
      </w:r>
      <w:r w:rsidRPr="00064112">
        <w:rPr>
          <w:rFonts w:cs="Arial"/>
          <w:color w:val="4472C4" w:themeColor="accent5"/>
          <w:sz w:val="24"/>
          <w:szCs w:val="24"/>
          <w:lang w:val="es-MX"/>
        </w:rPr>
        <w:t>por conducto de la Unidad de Transparencia del sujeto obligado, presentó las constancias con las que acreditó el cumplimiento al fallo aquí dictado, ello mediante oficio</w:t>
      </w:r>
      <w:r w:rsidR="00B738B4">
        <w:rPr>
          <w:rFonts w:cs="Arial"/>
          <w:color w:val="4472C4" w:themeColor="accent5"/>
          <w:sz w:val="24"/>
          <w:szCs w:val="24"/>
          <w:lang w:val="es-MX"/>
        </w:rPr>
        <w:t xml:space="preserve">s SSSLP/UT.82/2026, así como el </w:t>
      </w:r>
      <w:r w:rsidR="00B738B4" w:rsidRPr="00064112">
        <w:rPr>
          <w:rFonts w:cs="Arial"/>
          <w:color w:val="4472C4" w:themeColor="accent5"/>
          <w:sz w:val="24"/>
          <w:szCs w:val="24"/>
          <w:lang w:val="es-MX"/>
        </w:rPr>
        <w:t>oficio</w:t>
      </w:r>
      <w:r w:rsidR="00B738B4">
        <w:rPr>
          <w:rFonts w:cs="Arial"/>
          <w:color w:val="4472C4" w:themeColor="accent5"/>
          <w:sz w:val="24"/>
          <w:szCs w:val="24"/>
          <w:lang w:val="es-MX"/>
        </w:rPr>
        <w:t xml:space="preserve"> SSSLP/UT/110</w:t>
      </w:r>
      <w:r w:rsidR="00B738B4">
        <w:rPr>
          <w:rFonts w:cs="Arial"/>
          <w:color w:val="4472C4" w:themeColor="accent5"/>
          <w:sz w:val="24"/>
          <w:szCs w:val="24"/>
          <w:lang w:val="es-MX"/>
        </w:rPr>
        <w:t>/2026</w:t>
      </w:r>
      <w:r w:rsidR="00B738B4">
        <w:rPr>
          <w:rFonts w:cs="Arial"/>
          <w:color w:val="4472C4" w:themeColor="accent5"/>
          <w:sz w:val="24"/>
          <w:szCs w:val="24"/>
          <w:lang w:val="es-MX"/>
        </w:rPr>
        <w:t xml:space="preserve"> </w:t>
      </w:r>
      <w:r w:rsidR="00B738B4">
        <w:rPr>
          <w:rFonts w:cs="Arial"/>
          <w:color w:val="4472C4" w:themeColor="accent5"/>
          <w:sz w:val="24"/>
          <w:szCs w:val="24"/>
          <w:lang w:val="es-MX"/>
        </w:rPr>
        <w:t>respectivamente</w:t>
      </w:r>
      <w:r w:rsidRPr="00064112">
        <w:rPr>
          <w:rFonts w:cs="Arial"/>
          <w:color w:val="4472C4" w:themeColor="accent5"/>
          <w:sz w:val="24"/>
          <w:szCs w:val="24"/>
          <w:lang w:val="es-MX"/>
        </w:rPr>
        <w:t>.</w:t>
      </w:r>
    </w:p>
    <w:p w:rsidR="00231D39" w:rsidRPr="00064112" w:rsidRDefault="00231D39" w:rsidP="00231D39">
      <w:pPr>
        <w:pStyle w:val="corte4fondo"/>
        <w:spacing w:line="276" w:lineRule="auto"/>
        <w:ind w:firstLine="0"/>
        <w:rPr>
          <w:rFonts w:cs="Arial"/>
          <w:bCs/>
          <w:i/>
          <w:color w:val="4472C4" w:themeColor="accent5"/>
          <w:sz w:val="24"/>
          <w:szCs w:val="24"/>
        </w:rPr>
      </w:pPr>
      <w:r w:rsidRPr="00064112">
        <w:rPr>
          <w:rFonts w:cs="Arial"/>
          <w:bCs/>
          <w:i/>
          <w:color w:val="4472C4" w:themeColor="accent5"/>
          <w:sz w:val="24"/>
          <w:szCs w:val="24"/>
        </w:rPr>
        <w:tab/>
      </w:r>
    </w:p>
    <w:p w:rsidR="00231D39" w:rsidRPr="00064112" w:rsidRDefault="00231D39" w:rsidP="00231D39">
      <w:pPr>
        <w:pStyle w:val="corte4fondo"/>
        <w:spacing w:line="276" w:lineRule="auto"/>
        <w:ind w:firstLine="708"/>
        <w:rPr>
          <w:rFonts w:cs="Arial"/>
          <w:color w:val="4472C4" w:themeColor="accent5"/>
          <w:sz w:val="24"/>
          <w:szCs w:val="24"/>
        </w:rPr>
      </w:pPr>
      <w:r w:rsidRPr="00064112">
        <w:rPr>
          <w:rFonts w:cs="Arial"/>
          <w:color w:val="4472C4" w:themeColor="accent5"/>
          <w:sz w:val="24"/>
          <w:szCs w:val="24"/>
        </w:rPr>
        <w:t>En virtud de lo anterior y, para efecto de tener certeza de que el recurrente</w:t>
      </w:r>
      <w:r w:rsidRPr="00064112">
        <w:rPr>
          <w:rFonts w:cs="Arial"/>
          <w:color w:val="4472C4" w:themeColor="accent5"/>
          <w:sz w:val="24"/>
          <w:szCs w:val="24"/>
          <w:lang w:val="es-MX"/>
        </w:rPr>
        <w:t xml:space="preserve"> tuvo conocimiento del cumplimiento a la resolución dictada en el presente asunto</w:t>
      </w:r>
      <w:r w:rsidRPr="00064112">
        <w:rPr>
          <w:rFonts w:cs="Arial"/>
          <w:color w:val="4472C4" w:themeColor="accent5"/>
          <w:sz w:val="24"/>
          <w:szCs w:val="24"/>
        </w:rPr>
        <w:t>, a través del proveído de</w:t>
      </w:r>
      <w:r w:rsidRPr="00064112">
        <w:rPr>
          <w:rFonts w:cs="Arial"/>
          <w:color w:val="4472C4" w:themeColor="accent5"/>
          <w:sz w:val="24"/>
          <w:szCs w:val="24"/>
          <w:lang w:val="es-MX"/>
        </w:rPr>
        <w:t xml:space="preserve">  </w:t>
      </w:r>
      <w:r w:rsidR="005250A8">
        <w:rPr>
          <w:rFonts w:cs="Arial"/>
          <w:color w:val="4472C4" w:themeColor="accent5"/>
          <w:sz w:val="24"/>
          <w:szCs w:val="24"/>
          <w:lang w:val="es-MX"/>
        </w:rPr>
        <w:t xml:space="preserve">27 veintisiete </w:t>
      </w:r>
      <w:r>
        <w:rPr>
          <w:rFonts w:cs="Arial"/>
          <w:color w:val="4472C4" w:themeColor="accent5"/>
          <w:sz w:val="24"/>
          <w:szCs w:val="24"/>
          <w:lang w:val="es-MX"/>
        </w:rPr>
        <w:t>de abril de 2026 dos mil veintiséis</w:t>
      </w:r>
      <w:r w:rsidRPr="00064112">
        <w:rPr>
          <w:rFonts w:cs="Arial"/>
          <w:color w:val="4472C4" w:themeColor="accent5"/>
          <w:sz w:val="24"/>
          <w:szCs w:val="24"/>
        </w:rPr>
        <w:t xml:space="preserve">, esta Comisión otorgó vista a la parte recurrente con las constancias remitidas por el sujeto obligado, para efecto que dentro del término de 05 cinco días hábiles manifestara alguna inconformidad sobre la información que el sujeto obligado remitió en cumplimiento al fallo dictado, o bien, aportara probanza alguna que desvirtuara las documentales presentadas por éste, sin embargo, de una revisión a los presentes autos, no desprende documento alguno del que se advierta que hubiera desahogado la vista otorgada, no obstante de estar debidamente notificado tal como </w:t>
      </w:r>
      <w:r>
        <w:rPr>
          <w:rFonts w:cs="Arial"/>
          <w:color w:val="4472C4" w:themeColor="accent5"/>
          <w:sz w:val="24"/>
          <w:szCs w:val="24"/>
          <w:lang w:val="es-MX"/>
        </w:rPr>
        <w:t>se advierte en autos</w:t>
      </w:r>
      <w:r w:rsidRPr="00064112">
        <w:rPr>
          <w:rFonts w:cs="Arial"/>
          <w:color w:val="4472C4" w:themeColor="accent5"/>
          <w:sz w:val="24"/>
          <w:szCs w:val="24"/>
        </w:rPr>
        <w:t xml:space="preserve">, por lo que, ante tal omisión se tiene a la parte recurrente por conforme con la información que le fue entregada y notificada. </w:t>
      </w:r>
    </w:p>
    <w:p w:rsidR="00231D39" w:rsidRPr="00064112" w:rsidRDefault="00231D39" w:rsidP="00231D39">
      <w:pPr>
        <w:pStyle w:val="Sinespaciado"/>
        <w:spacing w:line="276" w:lineRule="auto"/>
        <w:ind w:firstLine="360"/>
        <w:jc w:val="both"/>
        <w:rPr>
          <w:rFonts w:ascii="Arial" w:hAnsi="Arial" w:cs="Arial"/>
          <w:color w:val="4472C4" w:themeColor="accent5"/>
          <w:sz w:val="24"/>
          <w:szCs w:val="24"/>
          <w:lang w:val="es-ES"/>
        </w:rPr>
      </w:pPr>
    </w:p>
    <w:p w:rsidR="00231D39" w:rsidRPr="00064112" w:rsidRDefault="00231D39" w:rsidP="00231D39">
      <w:pPr>
        <w:pStyle w:val="NormalWeb"/>
        <w:spacing w:before="0" w:beforeAutospacing="0" w:after="0" w:afterAutospacing="0" w:line="276" w:lineRule="auto"/>
        <w:ind w:firstLine="708"/>
        <w:jc w:val="both"/>
        <w:rPr>
          <w:rFonts w:ascii="Arial" w:hAnsi="Arial" w:cs="Arial"/>
          <w:color w:val="4472C4" w:themeColor="accent5"/>
          <w:lang w:eastAsia="es-MX"/>
        </w:rPr>
      </w:pPr>
      <w:r w:rsidRPr="00064112">
        <w:rPr>
          <w:rFonts w:ascii="Arial" w:hAnsi="Arial" w:cs="Arial"/>
          <w:color w:val="4472C4" w:themeColor="accent5"/>
          <w:lang w:eastAsia="es-MX"/>
        </w:rPr>
        <w:t xml:space="preserve">En consecuencia, con fundamento en los artículos 27, </w:t>
      </w:r>
      <w:r w:rsidR="0081716E">
        <w:rPr>
          <w:rFonts w:ascii="Arial" w:hAnsi="Arial" w:cs="Arial"/>
          <w:color w:val="4472C4" w:themeColor="accent5"/>
          <w:lang w:eastAsia="es-MX"/>
        </w:rPr>
        <w:t xml:space="preserve">160, 161, </w:t>
      </w:r>
      <w:r w:rsidRPr="00064112">
        <w:rPr>
          <w:rFonts w:ascii="Arial" w:hAnsi="Arial" w:cs="Arial"/>
          <w:color w:val="4472C4" w:themeColor="accent5"/>
          <w:lang w:eastAsia="es-MX"/>
        </w:rPr>
        <w:t xml:space="preserve">181 y 185 de la Ley de Transparencia y Acceso a la Información Pública del Estado, </w:t>
      </w:r>
      <w:r w:rsidRPr="00064112">
        <w:rPr>
          <w:rFonts w:ascii="Arial" w:hAnsi="Arial" w:cs="Arial"/>
          <w:b/>
          <w:color w:val="4472C4" w:themeColor="accent5"/>
          <w:lang w:eastAsia="es-MX"/>
        </w:rPr>
        <w:t>se tiene por cumplida la resolución de</w:t>
      </w:r>
      <w:r>
        <w:rPr>
          <w:rFonts w:ascii="Arial" w:hAnsi="Arial" w:cs="Arial"/>
          <w:b/>
          <w:color w:val="4472C4" w:themeColor="accent5"/>
          <w:lang w:eastAsia="es-MX"/>
        </w:rPr>
        <w:t xml:space="preserve"> </w:t>
      </w:r>
      <w:r w:rsidR="005250A8">
        <w:rPr>
          <w:rFonts w:ascii="Arial" w:hAnsi="Arial" w:cs="Arial"/>
          <w:b/>
          <w:color w:val="4472C4" w:themeColor="accent5"/>
          <w:lang w:eastAsia="es-MX"/>
        </w:rPr>
        <w:t xml:space="preserve">06 seis de marzo </w:t>
      </w:r>
      <w:r>
        <w:rPr>
          <w:rFonts w:ascii="Arial" w:hAnsi="Arial" w:cs="Arial"/>
          <w:b/>
          <w:color w:val="4472C4" w:themeColor="accent5"/>
          <w:lang w:eastAsia="es-MX"/>
        </w:rPr>
        <w:t>de 2026 dos mil veintiséis</w:t>
      </w:r>
      <w:r w:rsidRPr="00064112">
        <w:rPr>
          <w:rFonts w:ascii="Arial" w:hAnsi="Arial" w:cs="Arial"/>
          <w:b/>
          <w:color w:val="4472C4" w:themeColor="accent5"/>
          <w:lang w:eastAsia="es-MX"/>
        </w:rPr>
        <w:t xml:space="preserve">, </w:t>
      </w:r>
      <w:r w:rsidRPr="00064112">
        <w:rPr>
          <w:rFonts w:ascii="Arial" w:hAnsi="Arial" w:cs="Arial"/>
          <w:color w:val="4472C4" w:themeColor="accent5"/>
          <w:lang w:eastAsia="es-MX"/>
        </w:rPr>
        <w:t>dictada en el recurso de revis</w:t>
      </w:r>
      <w:r>
        <w:rPr>
          <w:rFonts w:ascii="Arial" w:hAnsi="Arial" w:cs="Arial"/>
          <w:color w:val="4472C4" w:themeColor="accent5"/>
          <w:lang w:eastAsia="es-MX"/>
        </w:rPr>
        <w:t xml:space="preserve">ión </w:t>
      </w:r>
      <w:r w:rsidR="00443663">
        <w:rPr>
          <w:rFonts w:ascii="Arial" w:hAnsi="Arial" w:cs="Arial"/>
          <w:b/>
          <w:color w:val="4472C4" w:themeColor="accent5"/>
          <w:lang w:eastAsia="es-MX"/>
        </w:rPr>
        <w:t>008</w:t>
      </w:r>
      <w:r w:rsidRPr="00BC0208">
        <w:rPr>
          <w:rFonts w:ascii="Arial" w:hAnsi="Arial" w:cs="Arial"/>
          <w:b/>
          <w:color w:val="4472C4" w:themeColor="accent5"/>
          <w:lang w:eastAsia="es-MX"/>
        </w:rPr>
        <w:t>/2026</w:t>
      </w:r>
      <w:r w:rsidRPr="00064112">
        <w:rPr>
          <w:rFonts w:ascii="Arial" w:hAnsi="Arial" w:cs="Arial"/>
          <w:b/>
          <w:color w:val="4472C4" w:themeColor="accent5"/>
          <w:lang w:eastAsia="es-MX"/>
        </w:rPr>
        <w:t xml:space="preserve">-2 </w:t>
      </w:r>
      <w:r w:rsidRPr="00064112">
        <w:rPr>
          <w:rFonts w:ascii="Arial" w:hAnsi="Arial" w:cs="Arial"/>
          <w:color w:val="4472C4" w:themeColor="accent5"/>
          <w:lang w:eastAsia="es-MX"/>
        </w:rPr>
        <w:t xml:space="preserve">del índice de esta Comisión. </w:t>
      </w:r>
    </w:p>
    <w:p w:rsidR="00231D39" w:rsidRPr="00064112" w:rsidRDefault="00231D39" w:rsidP="00231D39">
      <w:pPr>
        <w:pStyle w:val="NormalWeb"/>
        <w:spacing w:before="0" w:beforeAutospacing="0" w:after="0" w:afterAutospacing="0" w:line="276" w:lineRule="auto"/>
        <w:jc w:val="both"/>
        <w:rPr>
          <w:rFonts w:ascii="Arial" w:hAnsi="Arial" w:cs="Arial"/>
          <w:b/>
          <w:color w:val="4472C4" w:themeColor="accent5"/>
          <w:lang w:eastAsia="es-MX"/>
        </w:rPr>
      </w:pPr>
    </w:p>
    <w:p w:rsidR="00231D39" w:rsidRPr="00064112" w:rsidRDefault="00231D39" w:rsidP="00231D39">
      <w:pPr>
        <w:pStyle w:val="NormalWeb"/>
        <w:spacing w:before="0" w:beforeAutospacing="0" w:after="0" w:afterAutospacing="0" w:line="276" w:lineRule="auto"/>
        <w:ind w:firstLine="708"/>
        <w:jc w:val="both"/>
        <w:rPr>
          <w:rFonts w:ascii="Arial" w:hAnsi="Arial" w:cs="Arial"/>
          <w:color w:val="4472C4" w:themeColor="accent5"/>
          <w:lang w:eastAsia="es-MX"/>
        </w:rPr>
      </w:pPr>
      <w:r w:rsidRPr="00064112">
        <w:rPr>
          <w:rFonts w:ascii="Arial" w:hAnsi="Arial" w:cs="Arial"/>
          <w:b/>
          <w:bCs/>
          <w:color w:val="4472C4" w:themeColor="accent5"/>
        </w:rPr>
        <w:t>TERCERO</w:t>
      </w:r>
      <w:r w:rsidRPr="00064112">
        <w:rPr>
          <w:rFonts w:ascii="Arial" w:hAnsi="Arial" w:cs="Arial"/>
          <w:bCs/>
          <w:color w:val="4472C4" w:themeColor="accent5"/>
        </w:rPr>
        <w:t>. Remítase en su oportunidad este expediente al Archivo de Concentración de este Órgano Colegiado</w:t>
      </w:r>
      <w:r w:rsidRPr="00064112">
        <w:rPr>
          <w:rFonts w:ascii="Arial" w:hAnsi="Arial" w:cs="Arial"/>
          <w:color w:val="4472C4" w:themeColor="accent5"/>
          <w:lang w:eastAsia="es-MX"/>
        </w:rPr>
        <w:t xml:space="preserve">. </w:t>
      </w:r>
    </w:p>
    <w:p w:rsidR="00231D39" w:rsidRPr="00064112" w:rsidRDefault="00231D39" w:rsidP="00231D39">
      <w:pPr>
        <w:pStyle w:val="NormalWeb"/>
        <w:spacing w:before="0" w:beforeAutospacing="0" w:after="0" w:afterAutospacing="0" w:line="276" w:lineRule="auto"/>
        <w:ind w:firstLine="708"/>
        <w:jc w:val="both"/>
        <w:rPr>
          <w:rFonts w:ascii="Arial" w:hAnsi="Arial" w:cs="Arial"/>
          <w:color w:val="4472C4" w:themeColor="accent5"/>
          <w:lang w:eastAsia="es-MX"/>
        </w:rPr>
      </w:pPr>
    </w:p>
    <w:p w:rsidR="00231D39" w:rsidRPr="00064112" w:rsidRDefault="00231D39" w:rsidP="00231D39">
      <w:pPr>
        <w:pStyle w:val="NormalWeb"/>
        <w:spacing w:before="0" w:beforeAutospacing="0" w:after="0" w:afterAutospacing="0" w:line="276" w:lineRule="auto"/>
        <w:ind w:firstLine="708"/>
        <w:jc w:val="both"/>
        <w:rPr>
          <w:rFonts w:ascii="Arial" w:hAnsi="Arial" w:cs="Arial"/>
          <w:b/>
          <w:color w:val="4472C4" w:themeColor="accent5"/>
          <w:lang w:eastAsia="es-MX"/>
        </w:rPr>
      </w:pPr>
      <w:r w:rsidRPr="00064112">
        <w:rPr>
          <w:rFonts w:ascii="Arial" w:hAnsi="Arial" w:cs="Arial"/>
          <w:b/>
          <w:color w:val="4472C4" w:themeColor="accent5"/>
          <w:lang w:eastAsia="es-MX"/>
        </w:rPr>
        <w:t>CUARTO</w:t>
      </w:r>
      <w:r w:rsidRPr="00064112">
        <w:rPr>
          <w:rFonts w:ascii="Arial" w:hAnsi="Arial" w:cs="Arial"/>
          <w:color w:val="4472C4" w:themeColor="accent5"/>
          <w:lang w:eastAsia="es-MX"/>
        </w:rPr>
        <w:t xml:space="preserve">. </w:t>
      </w:r>
      <w:r w:rsidRPr="00064112">
        <w:rPr>
          <w:rFonts w:ascii="Arial" w:hAnsi="Arial" w:cs="Arial"/>
          <w:b/>
          <w:color w:val="4472C4" w:themeColor="accent5"/>
          <w:lang w:eastAsia="es-MX"/>
        </w:rPr>
        <w:t>N</w:t>
      </w:r>
      <w:r w:rsidR="000D4739">
        <w:rPr>
          <w:rFonts w:ascii="Arial" w:hAnsi="Arial" w:cs="Arial"/>
          <w:b/>
          <w:color w:val="4472C4" w:themeColor="accent5"/>
          <w:lang w:eastAsia="es-MX"/>
        </w:rPr>
        <w:tab/>
      </w:r>
      <w:bookmarkStart w:id="0" w:name="_GoBack"/>
      <w:bookmarkEnd w:id="0"/>
      <w:r w:rsidRPr="00064112">
        <w:rPr>
          <w:rFonts w:ascii="Arial" w:hAnsi="Arial" w:cs="Arial"/>
          <w:b/>
          <w:color w:val="4472C4" w:themeColor="accent5"/>
          <w:lang w:eastAsia="es-MX"/>
        </w:rPr>
        <w:t xml:space="preserve">otifíquese por lista de acuerdos. </w:t>
      </w:r>
    </w:p>
    <w:p w:rsidR="00231D39" w:rsidRPr="00064112" w:rsidRDefault="00231D39" w:rsidP="00231D39">
      <w:pPr>
        <w:widowControl w:val="0"/>
        <w:tabs>
          <w:tab w:val="left" w:pos="567"/>
        </w:tabs>
        <w:suppressAutoHyphens/>
        <w:autoSpaceDN w:val="0"/>
        <w:spacing w:after="0"/>
        <w:jc w:val="both"/>
        <w:textAlignment w:val="baseline"/>
        <w:rPr>
          <w:rFonts w:ascii="Arial" w:eastAsia="Times New Roman" w:hAnsi="Arial" w:cs="Arial"/>
          <w:b/>
          <w:color w:val="4472C4" w:themeColor="accent5"/>
          <w:kern w:val="3"/>
          <w:sz w:val="24"/>
          <w:szCs w:val="24"/>
          <w:u w:val="single"/>
          <w:lang w:eastAsia="es-ES"/>
        </w:rPr>
      </w:pPr>
    </w:p>
    <w:p w:rsidR="00231D39" w:rsidRPr="00064112" w:rsidRDefault="00231D39" w:rsidP="00231D39">
      <w:pPr>
        <w:suppressAutoHyphens/>
        <w:autoSpaceDN w:val="0"/>
        <w:spacing w:after="0"/>
        <w:ind w:firstLine="708"/>
        <w:jc w:val="both"/>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Así lo acordó y firma María Guadalupe Martínez Sandoval, Secretaría Proyectista, Adscrita a la Ponencia Dos, de la Comisión Estatal de Garantía de Acceso a la Información Pública de San Luis Potosí, que actúa de conformidad con la fracción VII, del artículo 51, del Reglamento Interior de la Comisión Estatal de Garantía de Acceso a la Información Pública, reformado mediante acuerdo de Pleno número CEGAIP-738/2023. S.O.</w:t>
      </w:r>
    </w:p>
    <w:p w:rsidR="00231D39" w:rsidRPr="00064112" w:rsidRDefault="00231D39" w:rsidP="00231D39">
      <w:pPr>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suppressAutoHyphens/>
        <w:autoSpaceDN w:val="0"/>
        <w:spacing w:after="0"/>
        <w:jc w:val="both"/>
        <w:textAlignment w:val="baseline"/>
        <w:rPr>
          <w:rFonts w:ascii="Arial" w:eastAsia="Times New Roman" w:hAnsi="Arial" w:cs="Arial"/>
          <w:color w:val="4472C4" w:themeColor="accent5"/>
          <w:kern w:val="3"/>
          <w:sz w:val="24"/>
          <w:szCs w:val="24"/>
          <w:lang w:eastAsia="es-ES"/>
        </w:rPr>
      </w:pPr>
    </w:p>
    <w:p w:rsidR="00443663" w:rsidRDefault="00443663" w:rsidP="00231D39">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María Guadalupe Martínez Sandoval</w:t>
      </w:r>
    </w:p>
    <w:p w:rsidR="00231D39" w:rsidRPr="00064112" w:rsidRDefault="00231D39" w:rsidP="00231D39">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r w:rsidRPr="00064112">
        <w:rPr>
          <w:rFonts w:ascii="Arial" w:eastAsia="Times New Roman" w:hAnsi="Arial" w:cs="Arial"/>
          <w:color w:val="4472C4" w:themeColor="accent5"/>
          <w:kern w:val="3"/>
          <w:sz w:val="24"/>
          <w:szCs w:val="24"/>
          <w:lang w:eastAsia="es-ES"/>
        </w:rPr>
        <w:t>Secretaria Proyectista</w:t>
      </w:r>
    </w:p>
    <w:p w:rsidR="00231D39" w:rsidRPr="00064112" w:rsidRDefault="00231D39" w:rsidP="00231D39">
      <w:pPr>
        <w:suppressAutoHyphens/>
        <w:autoSpaceDN w:val="0"/>
        <w:spacing w:after="0"/>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suppressAutoHyphens/>
        <w:autoSpaceDN w:val="0"/>
        <w:spacing w:after="0"/>
        <w:jc w:val="center"/>
        <w:textAlignment w:val="baseline"/>
        <w:rPr>
          <w:rFonts w:ascii="Arial" w:eastAsia="Times New Roman" w:hAnsi="Arial" w:cs="Arial"/>
          <w:color w:val="4472C4" w:themeColor="accent5"/>
          <w:kern w:val="3"/>
          <w:sz w:val="24"/>
          <w:szCs w:val="24"/>
          <w:lang w:eastAsia="es-ES"/>
        </w:rPr>
      </w:pPr>
    </w:p>
    <w:p w:rsidR="00231D39" w:rsidRPr="00064112" w:rsidRDefault="00231D39" w:rsidP="00231D39">
      <w:pPr>
        <w:suppressAutoHyphens/>
        <w:autoSpaceDN w:val="0"/>
        <w:spacing w:after="0"/>
        <w:ind w:firstLine="708"/>
        <w:jc w:val="both"/>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color w:val="4472C4" w:themeColor="accent5"/>
          <w:kern w:val="3"/>
          <w:sz w:val="20"/>
          <w:szCs w:val="20"/>
          <w:lang w:eastAsia="es-ES"/>
        </w:rPr>
        <w:t xml:space="preserve">A las ocho horas del día _________ de _________________ </w:t>
      </w:r>
      <w:proofErr w:type="spellStart"/>
      <w:r w:rsidRPr="00064112">
        <w:rPr>
          <w:rFonts w:ascii="Arial" w:eastAsia="Times New Roman" w:hAnsi="Arial" w:cs="Arial"/>
          <w:color w:val="4472C4" w:themeColor="accent5"/>
          <w:kern w:val="3"/>
          <w:sz w:val="20"/>
          <w:szCs w:val="20"/>
          <w:lang w:eastAsia="es-ES"/>
        </w:rPr>
        <w:t>de</w:t>
      </w:r>
      <w:proofErr w:type="spellEnd"/>
      <w:r w:rsidRPr="00064112">
        <w:rPr>
          <w:rFonts w:ascii="Arial" w:eastAsia="Times New Roman" w:hAnsi="Arial" w:cs="Arial"/>
          <w:color w:val="4472C4" w:themeColor="accent5"/>
          <w:kern w:val="3"/>
          <w:sz w:val="20"/>
          <w:szCs w:val="20"/>
          <w:lang w:eastAsia="es-ES"/>
        </w:rPr>
        <w:t xml:space="preserve"> _______________,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w:t>
      </w:r>
      <w:r w:rsidRPr="00064112">
        <w:rPr>
          <w:rFonts w:ascii="Arial" w:eastAsia="Times New Roman" w:hAnsi="Arial" w:cs="Arial"/>
          <w:b/>
          <w:color w:val="4472C4" w:themeColor="accent5"/>
          <w:kern w:val="3"/>
          <w:sz w:val="20"/>
          <w:szCs w:val="20"/>
          <w:lang w:eastAsia="es-ES"/>
        </w:rPr>
        <w:t>DOY FE</w:t>
      </w:r>
      <w:r w:rsidRPr="00064112">
        <w:rPr>
          <w:rFonts w:ascii="Arial" w:eastAsia="Times New Roman" w:hAnsi="Arial" w:cs="Arial"/>
          <w:color w:val="4472C4" w:themeColor="accent5"/>
          <w:kern w:val="3"/>
          <w:sz w:val="20"/>
          <w:szCs w:val="20"/>
          <w:lang w:eastAsia="es-ES"/>
        </w:rPr>
        <w:t xml:space="preserve">- - - - - - - - - - - - - - - - - - - - - - - - - - </w:t>
      </w:r>
    </w:p>
    <w:p w:rsidR="00231D39" w:rsidRPr="00064112" w:rsidRDefault="00231D39" w:rsidP="00231D39">
      <w:pPr>
        <w:suppressAutoHyphens/>
        <w:autoSpaceDN w:val="0"/>
        <w:spacing w:after="0"/>
        <w:jc w:val="both"/>
        <w:textAlignment w:val="baseline"/>
        <w:rPr>
          <w:rFonts w:ascii="Arial" w:eastAsia="Times New Roman" w:hAnsi="Arial" w:cs="Arial"/>
          <w:b/>
          <w:color w:val="4472C4" w:themeColor="accent5"/>
          <w:kern w:val="3"/>
          <w:sz w:val="20"/>
          <w:szCs w:val="20"/>
          <w:lang w:eastAsia="es-ES"/>
        </w:rPr>
      </w:pPr>
    </w:p>
    <w:p w:rsidR="00231D39" w:rsidRDefault="00231D39" w:rsidP="00231D39">
      <w:pPr>
        <w:suppressAutoHyphens/>
        <w:autoSpaceDN w:val="0"/>
        <w:spacing w:after="0"/>
        <w:jc w:val="both"/>
        <w:textAlignment w:val="baseline"/>
        <w:rPr>
          <w:rFonts w:ascii="Arial" w:eastAsia="Times New Roman" w:hAnsi="Arial" w:cs="Arial"/>
          <w:b/>
          <w:color w:val="4472C4" w:themeColor="accent5"/>
          <w:kern w:val="3"/>
          <w:sz w:val="20"/>
          <w:szCs w:val="20"/>
          <w:lang w:eastAsia="es-ES"/>
        </w:rPr>
      </w:pPr>
    </w:p>
    <w:p w:rsidR="005250A8" w:rsidRPr="00064112" w:rsidRDefault="005250A8" w:rsidP="00231D39">
      <w:pPr>
        <w:suppressAutoHyphens/>
        <w:autoSpaceDN w:val="0"/>
        <w:spacing w:after="0"/>
        <w:jc w:val="both"/>
        <w:textAlignment w:val="baseline"/>
        <w:rPr>
          <w:rFonts w:ascii="Arial" w:eastAsia="Times New Roman" w:hAnsi="Arial" w:cs="Arial"/>
          <w:b/>
          <w:color w:val="4472C4" w:themeColor="accent5"/>
          <w:kern w:val="3"/>
          <w:sz w:val="20"/>
          <w:szCs w:val="20"/>
          <w:lang w:eastAsia="es-ES"/>
        </w:rPr>
      </w:pPr>
    </w:p>
    <w:p w:rsidR="00231D39" w:rsidRPr="00064112" w:rsidRDefault="00231D39" w:rsidP="00231D39">
      <w:pPr>
        <w:suppressAutoHyphens/>
        <w:autoSpaceDN w:val="0"/>
        <w:spacing w:after="0"/>
        <w:jc w:val="center"/>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b/>
          <w:color w:val="4472C4" w:themeColor="accent5"/>
          <w:kern w:val="3"/>
          <w:sz w:val="20"/>
          <w:szCs w:val="20"/>
          <w:lang w:eastAsia="es-ES"/>
        </w:rPr>
        <w:t>Javier Pérez Limón</w:t>
      </w:r>
    </w:p>
    <w:p w:rsidR="00231D39" w:rsidRPr="00064112" w:rsidRDefault="00231D39" w:rsidP="00231D39">
      <w:pPr>
        <w:suppressAutoHyphens/>
        <w:autoSpaceDN w:val="0"/>
        <w:spacing w:after="0"/>
        <w:jc w:val="center"/>
        <w:textAlignment w:val="baseline"/>
        <w:rPr>
          <w:rFonts w:ascii="Arial" w:eastAsia="Times New Roman" w:hAnsi="Arial" w:cs="Arial"/>
          <w:b/>
          <w:color w:val="4472C4" w:themeColor="accent5"/>
          <w:kern w:val="3"/>
          <w:sz w:val="20"/>
          <w:szCs w:val="20"/>
          <w:lang w:eastAsia="es-ES"/>
        </w:rPr>
      </w:pPr>
      <w:r w:rsidRPr="00064112">
        <w:rPr>
          <w:rFonts w:ascii="Arial" w:eastAsia="Times New Roman" w:hAnsi="Arial" w:cs="Arial"/>
          <w:b/>
          <w:color w:val="4472C4" w:themeColor="accent5"/>
          <w:kern w:val="3"/>
          <w:sz w:val="20"/>
          <w:szCs w:val="20"/>
          <w:lang w:eastAsia="es-ES"/>
        </w:rPr>
        <w:t>Notificador</w:t>
      </w:r>
    </w:p>
    <w:p w:rsidR="00231D39" w:rsidRPr="00064112" w:rsidRDefault="00231D39" w:rsidP="00231D39">
      <w:pPr>
        <w:suppressAutoHyphens/>
        <w:autoSpaceDN w:val="0"/>
        <w:spacing w:after="0"/>
        <w:textAlignment w:val="baseline"/>
        <w:rPr>
          <w:rFonts w:ascii="Arial" w:eastAsia="SimSun" w:hAnsi="Arial" w:cs="Arial"/>
          <w:i/>
          <w:color w:val="4472C4" w:themeColor="accent5"/>
          <w:kern w:val="3"/>
          <w:sz w:val="12"/>
          <w:szCs w:val="12"/>
          <w:lang w:eastAsia="es-ES"/>
        </w:rPr>
      </w:pPr>
    </w:p>
    <w:p w:rsidR="00231D39" w:rsidRPr="00064112" w:rsidRDefault="00231D39" w:rsidP="00231D39">
      <w:pPr>
        <w:suppressAutoHyphens/>
        <w:autoSpaceDN w:val="0"/>
        <w:spacing w:after="0"/>
        <w:textAlignment w:val="baseline"/>
        <w:rPr>
          <w:rFonts w:ascii="Arial" w:eastAsia="Times New Roman" w:hAnsi="Arial" w:cs="Arial"/>
          <w:color w:val="4472C4" w:themeColor="accent5"/>
          <w:kern w:val="3"/>
          <w:sz w:val="12"/>
          <w:szCs w:val="12"/>
          <w:lang w:eastAsia="es-ES"/>
        </w:rPr>
      </w:pPr>
      <w:r w:rsidRPr="00064112">
        <w:rPr>
          <w:rFonts w:ascii="Arial" w:eastAsia="SimSun" w:hAnsi="Arial" w:cs="Arial"/>
          <w:i/>
          <w:color w:val="4472C4" w:themeColor="accent5"/>
          <w:kern w:val="3"/>
          <w:sz w:val="12"/>
          <w:szCs w:val="12"/>
          <w:lang w:eastAsia="es-ES"/>
        </w:rPr>
        <w:t>MEMH</w:t>
      </w:r>
    </w:p>
    <w:sectPr w:rsidR="00231D39" w:rsidRPr="00064112" w:rsidSect="000F75C3">
      <w:headerReference w:type="default" r:id="rId5"/>
      <w:footerReference w:type="default" r:id="rId6"/>
      <w:pgSz w:w="12240" w:h="20160" w:code="5"/>
      <w:pgMar w:top="2552" w:right="851" w:bottom="28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43A5" w:rsidRDefault="000D4739">
    <w:pPr>
      <w:pStyle w:val="Piedepgina"/>
    </w:pPr>
    <w:r>
      <w:rPr>
        <w:noProof/>
        <w:lang w:eastAsia="es-MX"/>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216.15pt;margin-top:-89.75pt;width:725pt;height:78pt;z-index:-251656192">
          <v:imagedata r:id="rId1" o:title=""/>
        </v:shape>
        <o:OLEObject Type="Embed" ProgID="PBrush" ShapeID="_x0000_s2049" DrawAspect="Content" ObjectID="_1840184584" r:id="rId2"/>
      </w:object>
    </w:r>
  </w:p>
</w:ftr>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179C" w:rsidRDefault="000D4739">
    <w:pPr>
      <w:pStyle w:val="Encabezado"/>
      <w:rPr>
        <w:rFonts w:ascii="Arial" w:hAnsi="Arial" w:cs="Arial"/>
        <w:b/>
        <w:sz w:val="24"/>
        <w:szCs w:val="24"/>
      </w:rPr>
    </w:pPr>
    <w:r>
      <w:rPr>
        <w:rFonts w:ascii="Arial" w:hAnsi="Arial" w:cs="Arial"/>
        <w:b/>
        <w:noProof/>
        <w:sz w:val="24"/>
        <w:szCs w:val="24"/>
        <w:lang w:eastAsia="es-MX"/>
      </w:rPr>
      <w:drawing>
        <wp:anchor distT="0" distB="0" distL="114300" distR="114300" simplePos="0" relativeHeight="251659264" behindDoc="1" locked="0" layoutInCell="1" allowOverlap="1" wp14:anchorId="7D445299" wp14:editId="4121B4DD">
          <wp:simplePos x="0" y="0"/>
          <wp:positionH relativeFrom="column">
            <wp:posOffset>-1061085</wp:posOffset>
          </wp:positionH>
          <wp:positionV relativeFrom="paragraph">
            <wp:posOffset>-449580</wp:posOffset>
          </wp:positionV>
          <wp:extent cx="8191500" cy="1188720"/>
          <wp:effectExtent l="0" t="0" r="0" b="0"/>
          <wp:wrapNone/>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
                    <a:extLst>
                      <a:ext uri="{28A0092B-C50C-407E-A947-70E740481C1C}">
                        <a14:useLocalDpi xmlns:a14="http://schemas.microsoft.com/office/drawing/2010/main" val="0"/>
                      </a:ext>
                    </a:extLst>
                  </a:blip>
                  <a:srcRect b="12791"/>
                  <a:stretch>
                    <a:fillRect/>
                  </a:stretch>
                </pic:blipFill>
                <pic:spPr bwMode="auto">
                  <a:xfrm>
                    <a:off x="0" y="0"/>
                    <a:ext cx="8191500" cy="1188720"/>
                  </a:xfrm>
                  <a:prstGeom prst="rect">
                    <a:avLst/>
                  </a:prstGeom>
                  <a:noFill/>
                </pic:spPr>
              </pic:pic>
            </a:graphicData>
          </a:graphic>
        </wp:anchor>
      </w:drawing>
    </w:r>
  </w:p>
  <w:p w:rsidR="00971927" w:rsidRPr="004765D2" w:rsidRDefault="000D4739" w:rsidP="004765D2">
    <w:pPr>
      <w:pStyle w:val="Encabezado"/>
      <w:jc w:val="right"/>
      <w:rPr>
        <w:rFonts w:ascii="Arial" w:hAnsi="Arial" w:cs="Arial"/>
        <w:b/>
        <w:color w:val="5B9BD5" w:themeColor="accent1"/>
      </w:rPr>
    </w:pPr>
    <w:r>
      <w:rPr>
        <w:rFonts w:ascii="Arial" w:hAnsi="Arial" w:cs="Arial"/>
        <w:b/>
      </w:rPr>
      <w:t xml:space="preserve">                                                                                                           </w:t>
    </w:r>
    <w:r>
      <w:rPr>
        <w:rFonts w:ascii="Arial" w:hAnsi="Arial" w:cs="Arial"/>
        <w:b/>
        <w:color w:val="5B9BD5" w:themeColor="accent1"/>
      </w:rPr>
      <w:t xml:space="preserve">    RR-</w:t>
    </w:r>
    <w:r>
      <w:rPr>
        <w:rFonts w:ascii="Arial" w:hAnsi="Arial" w:cs="Arial"/>
        <w:b/>
        <w:color w:val="5B9BD5" w:themeColor="accent1"/>
      </w:rPr>
      <w:t>061</w:t>
    </w:r>
    <w:r w:rsidRPr="004765D2">
      <w:rPr>
        <w:rFonts w:ascii="Arial" w:hAnsi="Arial" w:cs="Arial"/>
        <w:b/>
        <w:color w:val="5B9BD5" w:themeColor="accent1"/>
      </w:rPr>
      <w:t>/202</w:t>
    </w:r>
    <w:r>
      <w:rPr>
        <w:rFonts w:ascii="Arial" w:hAnsi="Arial" w:cs="Arial"/>
        <w:b/>
        <w:color w:val="5B9BD5" w:themeColor="accent1"/>
      </w:rPr>
      <w:t>6</w:t>
    </w:r>
    <w:r w:rsidRPr="004765D2">
      <w:rPr>
        <w:rFonts w:ascii="Arial" w:hAnsi="Arial" w:cs="Arial"/>
        <w:b/>
        <w:color w:val="5B9BD5" w:themeColor="accent1"/>
      </w:rPr>
      <w:t xml:space="preserve">-2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0470A8"/>
    <w:multiLevelType w:val="hybridMultilevel"/>
    <w:tmpl w:val="622EF99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1" w15:restartNumberingAfterBreak="0">
    <w:nsid w:val="2D026A49"/>
    <w:multiLevelType w:val="hybridMultilevel"/>
    <w:tmpl w:val="808E5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mirrorMargins/>
  <w:proofState w:spelling="clean" w:grammar="clean"/>
  <w:defaultTabStop w:val="708"/>
  <w:hyphenationZone w:val="425"/>
  <w:characterSpacingControl w:val="doNotCompress"/>
  <w:savePreviewPicture/>
  <w:hdrShapeDefaults>
    <o:shapedefaults v:ext="edit" spidmax="2050"/>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D39"/>
    <w:rsid w:val="000D4739"/>
    <w:rsid w:val="000F75C3"/>
    <w:rsid w:val="00231D39"/>
    <w:rsid w:val="00443663"/>
    <w:rsid w:val="005250A8"/>
    <w:rsid w:val="0081716E"/>
    <w:rsid w:val="00B738B4"/>
    <w:rsid w:val="00DE290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C34C0F7"/>
  <w15:chartTrackingRefBased/>
  <w15:docId w15:val="{8DD53FFE-6D7E-4B72-BD83-D59BEEC49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1D39"/>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231D39"/>
    <w:pPr>
      <w:tabs>
        <w:tab w:val="center" w:pos="4419"/>
        <w:tab w:val="right" w:pos="8838"/>
      </w:tabs>
      <w:spacing w:after="0" w:line="240" w:lineRule="auto"/>
    </w:pPr>
    <w:rPr>
      <w:sz w:val="20"/>
      <w:szCs w:val="20"/>
    </w:rPr>
  </w:style>
  <w:style w:type="character" w:customStyle="1" w:styleId="EncabezadoCar">
    <w:name w:val="Encabezado Car"/>
    <w:basedOn w:val="Fuentedeprrafopredeter"/>
    <w:link w:val="Encabezado"/>
    <w:rsid w:val="00231D39"/>
    <w:rPr>
      <w:rFonts w:ascii="Calibri" w:eastAsia="Calibri" w:hAnsi="Calibri" w:cs="Times New Roman"/>
      <w:sz w:val="20"/>
      <w:szCs w:val="20"/>
    </w:rPr>
  </w:style>
  <w:style w:type="paragraph" w:styleId="Piedepgina">
    <w:name w:val="footer"/>
    <w:basedOn w:val="Normal"/>
    <w:link w:val="PiedepginaCar"/>
    <w:uiPriority w:val="99"/>
    <w:unhideWhenUsed/>
    <w:rsid w:val="00231D39"/>
    <w:pPr>
      <w:tabs>
        <w:tab w:val="center" w:pos="4419"/>
        <w:tab w:val="right" w:pos="8838"/>
      </w:tabs>
      <w:spacing w:after="0" w:line="240" w:lineRule="auto"/>
    </w:pPr>
    <w:rPr>
      <w:sz w:val="20"/>
      <w:szCs w:val="20"/>
    </w:rPr>
  </w:style>
  <w:style w:type="character" w:customStyle="1" w:styleId="PiedepginaCar">
    <w:name w:val="Pie de página Car"/>
    <w:basedOn w:val="Fuentedeprrafopredeter"/>
    <w:link w:val="Piedepgina"/>
    <w:uiPriority w:val="99"/>
    <w:rsid w:val="00231D39"/>
    <w:rPr>
      <w:rFonts w:ascii="Calibri" w:eastAsia="Calibri" w:hAnsi="Calibri" w:cs="Times New Roman"/>
      <w:sz w:val="20"/>
      <w:szCs w:val="20"/>
    </w:rPr>
  </w:style>
  <w:style w:type="paragraph" w:customStyle="1" w:styleId="corte4fondo">
    <w:name w:val="corte4 fondo"/>
    <w:basedOn w:val="Normal"/>
    <w:link w:val="corte4fondoCar1"/>
    <w:qFormat/>
    <w:rsid w:val="00231D39"/>
    <w:pPr>
      <w:spacing w:after="0" w:line="360" w:lineRule="auto"/>
      <w:ind w:firstLine="709"/>
      <w:jc w:val="both"/>
    </w:pPr>
    <w:rPr>
      <w:rFonts w:ascii="Arial" w:eastAsia="Times New Roman" w:hAnsi="Arial"/>
      <w:sz w:val="30"/>
      <w:szCs w:val="20"/>
      <w:lang w:val="x-none" w:eastAsia="es-MX"/>
    </w:rPr>
  </w:style>
  <w:style w:type="character" w:customStyle="1" w:styleId="corte4fondoCar1">
    <w:name w:val="corte4 fondo Car1"/>
    <w:link w:val="corte4fondo"/>
    <w:rsid w:val="00231D39"/>
    <w:rPr>
      <w:rFonts w:ascii="Arial" w:eastAsia="Times New Roman" w:hAnsi="Arial" w:cs="Times New Roman"/>
      <w:sz w:val="30"/>
      <w:szCs w:val="20"/>
      <w:lang w:val="x-none" w:eastAsia="es-MX"/>
    </w:rPr>
  </w:style>
  <w:style w:type="paragraph" w:styleId="NormalWeb">
    <w:name w:val="Normal (Web)"/>
    <w:basedOn w:val="Normal"/>
    <w:uiPriority w:val="99"/>
    <w:unhideWhenUsed/>
    <w:rsid w:val="00231D39"/>
    <w:pPr>
      <w:spacing w:before="100" w:beforeAutospacing="1" w:after="100" w:afterAutospacing="1" w:line="240" w:lineRule="auto"/>
    </w:pPr>
    <w:rPr>
      <w:rFonts w:ascii="Times New Roman" w:eastAsia="Times New Roman" w:hAnsi="Times New Roman"/>
      <w:sz w:val="24"/>
      <w:szCs w:val="24"/>
      <w:lang w:val="es-ES" w:eastAsia="es-ES"/>
    </w:rPr>
  </w:style>
  <w:style w:type="paragraph" w:styleId="Sinespaciado">
    <w:name w:val="No Spacing"/>
    <w:uiPriority w:val="1"/>
    <w:qFormat/>
    <w:rsid w:val="00231D39"/>
    <w:pPr>
      <w:spacing w:after="0" w:line="240" w:lineRule="auto"/>
    </w:pPr>
    <w:rPr>
      <w:rFonts w:ascii="Calibri" w:eastAsia="Calibri" w:hAnsi="Calibri" w:cs="Times New Roman"/>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
    <w:basedOn w:val="Normal"/>
    <w:link w:val="PrrafodelistaCar"/>
    <w:uiPriority w:val="1"/>
    <w:qFormat/>
    <w:rsid w:val="00B738B4"/>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B738B4"/>
    <w:rPr>
      <w:rFonts w:ascii="Calibri" w:eastAsia="Calibri" w:hAnsi="Calibri" w:cs="Times New Roman"/>
    </w:rPr>
  </w:style>
  <w:style w:type="paragraph" w:styleId="Textodeglobo">
    <w:name w:val="Balloon Text"/>
    <w:basedOn w:val="Normal"/>
    <w:link w:val="TextodegloboCar"/>
    <w:uiPriority w:val="99"/>
    <w:semiHidden/>
    <w:unhideWhenUsed/>
    <w:rsid w:val="000F75C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75C3"/>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1519</Words>
  <Characters>8360</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3</cp:revision>
  <cp:lastPrinted>2026-05-13T19:28:00Z</cp:lastPrinted>
  <dcterms:created xsi:type="dcterms:W3CDTF">2026-05-13T18:34:00Z</dcterms:created>
  <dcterms:modified xsi:type="dcterms:W3CDTF">2026-05-13T19:36:00Z</dcterms:modified>
</cp:coreProperties>
</file>