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465FF" w14:textId="1741B28C" w:rsidR="00D451D7" w:rsidRPr="00434F3A" w:rsidRDefault="00D451D7" w:rsidP="00D451D7">
      <w:pPr>
        <w:spacing w:line="360" w:lineRule="auto"/>
        <w:ind w:firstLine="567"/>
        <w:jc w:val="both"/>
        <w:rPr>
          <w:rFonts w:ascii="Arial" w:hAnsi="Arial" w:cs="Arial"/>
          <w:sz w:val="22"/>
          <w:szCs w:val="22"/>
        </w:rPr>
      </w:pPr>
      <w:r w:rsidRPr="00434F3A">
        <w:rPr>
          <w:rFonts w:ascii="Arial" w:hAnsi="Arial" w:cs="Arial"/>
          <w:sz w:val="22"/>
          <w:szCs w:val="22"/>
        </w:rPr>
        <w:t xml:space="preserve">En </w:t>
      </w:r>
      <w:r>
        <w:rPr>
          <w:rFonts w:ascii="Arial" w:hAnsi="Arial" w:cs="Arial"/>
          <w:sz w:val="22"/>
          <w:szCs w:val="22"/>
        </w:rPr>
        <w:t>veinticinco de junio de dos mil veintiséis</w:t>
      </w:r>
      <w:r w:rsidRPr="00434F3A">
        <w:rPr>
          <w:rFonts w:ascii="Arial" w:hAnsi="Arial" w:cs="Arial"/>
          <w:sz w:val="22"/>
          <w:szCs w:val="22"/>
        </w:rPr>
        <w:t>, se da cuenta con</w:t>
      </w:r>
      <w:r>
        <w:rPr>
          <w:rFonts w:ascii="Arial" w:hAnsi="Arial" w:cs="Arial"/>
          <w:sz w:val="22"/>
          <w:szCs w:val="22"/>
        </w:rPr>
        <w:t xml:space="preserve"> el oficio número SGG/UT/269/2026, emitido el veinticuatro de junio de la presente anualidad, por el Titular de la Unidad de Transparencia del Sujeto Obligado, a través del cual informa el cumplimiento otorgado en cumplimiento a la resolución dictada en el presente asunto. </w:t>
      </w:r>
      <w:r w:rsidRPr="00434F3A">
        <w:rPr>
          <w:rFonts w:ascii="Arial" w:hAnsi="Arial" w:cs="Arial"/>
          <w:b/>
          <w:sz w:val="22"/>
          <w:szCs w:val="22"/>
          <w:u w:val="single"/>
        </w:rPr>
        <w:t xml:space="preserve">Conste.  </w:t>
      </w:r>
    </w:p>
    <w:p w14:paraId="6B0359D7" w14:textId="77777777" w:rsidR="00D451D7" w:rsidRDefault="00D451D7" w:rsidP="00624872">
      <w:pPr>
        <w:spacing w:line="360" w:lineRule="auto"/>
        <w:ind w:firstLine="708"/>
        <w:jc w:val="both"/>
        <w:rPr>
          <w:rFonts w:ascii="Arial" w:eastAsia="Batang" w:hAnsi="Arial" w:cs="Arial"/>
          <w:b/>
          <w:sz w:val="22"/>
        </w:rPr>
      </w:pPr>
    </w:p>
    <w:p w14:paraId="3F4A47B6" w14:textId="77777777" w:rsidR="00D451D7" w:rsidRDefault="00D451D7" w:rsidP="00624872">
      <w:pPr>
        <w:spacing w:line="360" w:lineRule="auto"/>
        <w:ind w:firstLine="708"/>
        <w:jc w:val="both"/>
        <w:rPr>
          <w:rFonts w:ascii="Arial" w:eastAsia="Batang" w:hAnsi="Arial" w:cs="Arial"/>
          <w:b/>
          <w:sz w:val="22"/>
        </w:rPr>
      </w:pPr>
    </w:p>
    <w:p w14:paraId="45A49B05" w14:textId="7DAE35A2" w:rsidR="00624872" w:rsidRPr="00624872" w:rsidRDefault="00624872" w:rsidP="00624872">
      <w:pPr>
        <w:spacing w:line="360" w:lineRule="auto"/>
        <w:ind w:firstLine="708"/>
        <w:jc w:val="both"/>
        <w:rPr>
          <w:rFonts w:ascii="Arial" w:eastAsia="Batang" w:hAnsi="Arial" w:cs="Arial"/>
          <w:sz w:val="22"/>
        </w:rPr>
      </w:pPr>
      <w:r w:rsidRPr="00624872">
        <w:rPr>
          <w:rFonts w:ascii="Arial" w:eastAsia="Batang" w:hAnsi="Arial" w:cs="Arial"/>
          <w:b/>
          <w:sz w:val="22"/>
        </w:rPr>
        <w:t>Vistos. I.</w:t>
      </w:r>
      <w:r w:rsidRPr="00624872">
        <w:rPr>
          <w:rFonts w:ascii="Arial" w:eastAsia="Batang" w:hAnsi="Arial" w:cs="Arial"/>
          <w:sz w:val="22"/>
        </w:rPr>
        <w:t xml:space="preserve"> </w:t>
      </w:r>
      <w:r w:rsidR="00D451D7">
        <w:rPr>
          <w:rFonts w:ascii="Arial" w:eastAsia="Batang" w:hAnsi="Arial" w:cs="Arial"/>
          <w:sz w:val="22"/>
        </w:rPr>
        <w:t>Las constancias citadas en la cuenta que antecede; I</w:t>
      </w:r>
      <w:r w:rsidR="00D451D7" w:rsidRPr="00D451D7">
        <w:rPr>
          <w:rFonts w:ascii="Arial" w:eastAsia="Batang" w:hAnsi="Arial" w:cs="Arial"/>
          <w:b/>
          <w:sz w:val="22"/>
        </w:rPr>
        <w:t>I</w:t>
      </w:r>
      <w:r w:rsidR="00D451D7">
        <w:rPr>
          <w:rFonts w:ascii="Arial" w:eastAsia="Batang" w:hAnsi="Arial" w:cs="Arial"/>
          <w:sz w:val="22"/>
        </w:rPr>
        <w:t xml:space="preserve">. Las constancias que integran el presente asunto; y, </w:t>
      </w:r>
      <w:r w:rsidR="00D451D7" w:rsidRPr="00D451D7">
        <w:rPr>
          <w:rFonts w:ascii="Arial" w:eastAsia="Batang" w:hAnsi="Arial" w:cs="Arial"/>
          <w:b/>
          <w:sz w:val="22"/>
        </w:rPr>
        <w:t>III.</w:t>
      </w:r>
      <w:r w:rsidR="00D451D7">
        <w:rPr>
          <w:rFonts w:ascii="Arial" w:eastAsia="Batang" w:hAnsi="Arial" w:cs="Arial"/>
          <w:sz w:val="22"/>
        </w:rPr>
        <w:t xml:space="preserve"> </w:t>
      </w:r>
      <w:r w:rsidRPr="00624872">
        <w:rPr>
          <w:rFonts w:ascii="Arial" w:eastAsia="Batang" w:hAnsi="Arial" w:cs="Arial"/>
          <w:sz w:val="22"/>
        </w:rPr>
        <w:t xml:space="preserve">El estado procesal del expediente citado al rubro, se procede a realizar el acuerdo correspondiente conforme a los siguientes: </w:t>
      </w:r>
    </w:p>
    <w:p w14:paraId="08F278FF" w14:textId="7BE4FC0D" w:rsidR="006E3DBD" w:rsidRPr="00B93599" w:rsidRDefault="006E3DBD" w:rsidP="006E3DBD">
      <w:pPr>
        <w:spacing w:line="360" w:lineRule="auto"/>
        <w:ind w:right="111"/>
        <w:jc w:val="center"/>
        <w:rPr>
          <w:rFonts w:ascii="Arial" w:eastAsia="Arial" w:hAnsi="Arial" w:cs="Arial"/>
          <w:b/>
          <w:spacing w:val="1"/>
          <w:sz w:val="22"/>
          <w:szCs w:val="22"/>
          <w:lang w:eastAsia="en-US"/>
        </w:rPr>
      </w:pPr>
    </w:p>
    <w:p w14:paraId="1AA679FB" w14:textId="78973D29" w:rsidR="00A27C50" w:rsidRPr="00B93599" w:rsidRDefault="00A27C50" w:rsidP="006E3DBD">
      <w:pPr>
        <w:spacing w:line="360" w:lineRule="auto"/>
        <w:ind w:right="111"/>
        <w:jc w:val="center"/>
        <w:rPr>
          <w:rFonts w:ascii="Arial" w:eastAsia="Arial" w:hAnsi="Arial" w:cs="Arial"/>
          <w:b/>
          <w:spacing w:val="1"/>
          <w:sz w:val="22"/>
          <w:szCs w:val="22"/>
          <w:lang w:eastAsia="en-US"/>
        </w:rPr>
      </w:pPr>
      <w:r w:rsidRPr="00B93599">
        <w:rPr>
          <w:rFonts w:ascii="Arial" w:eastAsia="Arial" w:hAnsi="Arial" w:cs="Arial"/>
          <w:b/>
          <w:spacing w:val="1"/>
          <w:sz w:val="22"/>
          <w:szCs w:val="22"/>
          <w:lang w:eastAsia="en-US"/>
        </w:rPr>
        <w:t>ANTECEDENTES</w:t>
      </w:r>
    </w:p>
    <w:p w14:paraId="39481309" w14:textId="0C0721CF"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413A9F2B" w14:textId="6D3B1EE0" w:rsidR="00D451D7" w:rsidRPr="00D451D7" w:rsidRDefault="00D451D7" w:rsidP="00D451D7">
      <w:pPr>
        <w:spacing w:line="360" w:lineRule="auto"/>
        <w:ind w:firstLine="709"/>
        <w:jc w:val="both"/>
        <w:rPr>
          <w:rFonts w:ascii="Arial" w:eastAsia="Arial Unicode MS" w:hAnsi="Arial" w:cs="Arial"/>
          <w:sz w:val="22"/>
        </w:rPr>
      </w:pPr>
      <w:r w:rsidRPr="00D451D7">
        <w:rPr>
          <w:rFonts w:ascii="Arial" w:eastAsia="Arial Unicode MS" w:hAnsi="Arial" w:cs="Arial"/>
          <w:b/>
          <w:sz w:val="22"/>
        </w:rPr>
        <w:t>PRIMERO.</w:t>
      </w:r>
      <w:r w:rsidRPr="00D451D7">
        <w:rPr>
          <w:rFonts w:ascii="Arial" w:eastAsia="Arial Unicode MS" w:hAnsi="Arial" w:cs="Arial"/>
          <w:sz w:val="22"/>
        </w:rPr>
        <w:t xml:space="preserve"> </w:t>
      </w:r>
      <w:r w:rsidRPr="00D451D7">
        <w:rPr>
          <w:rFonts w:ascii="Arial" w:eastAsia="Arial Unicode MS" w:hAnsi="Arial" w:cs="Arial"/>
          <w:b/>
          <w:sz w:val="22"/>
        </w:rPr>
        <w:t>Solicitud de acceso a la información pública.</w:t>
      </w:r>
      <w:r w:rsidRPr="00D451D7">
        <w:rPr>
          <w:rFonts w:ascii="Arial" w:eastAsia="Arial Unicode MS" w:hAnsi="Arial" w:cs="Arial"/>
          <w:sz w:val="22"/>
        </w:rPr>
        <w:t xml:space="preserve"> El treinta y uno de marzo de dos mil veintiséis, la persona recurrente presentó una solicitud de acceso a la información, al Sujeto Obligado denominado </w:t>
      </w:r>
      <w:r w:rsidRPr="00D451D7">
        <w:rPr>
          <w:rFonts w:ascii="Arial" w:eastAsia="Arial Unicode MS" w:hAnsi="Arial" w:cs="Arial"/>
          <w:b/>
          <w:sz w:val="22"/>
        </w:rPr>
        <w:t xml:space="preserve">SECRETARÍA GENERAL DE GOBIERNO, </w:t>
      </w:r>
      <w:r w:rsidRPr="00D451D7">
        <w:rPr>
          <w:rFonts w:ascii="Arial" w:eastAsia="Arial Unicode MS" w:hAnsi="Arial" w:cs="Arial"/>
          <w:sz w:val="22"/>
        </w:rPr>
        <w:t xml:space="preserve">a través de la Plataforma Nacional de Transparencia, a la que se le asignó el número de folio 241230226000071, en la que se requirió: </w:t>
      </w:r>
    </w:p>
    <w:p w14:paraId="00F91AC1" w14:textId="77777777" w:rsidR="00D451D7" w:rsidRPr="00D451D7" w:rsidRDefault="00D451D7" w:rsidP="00D451D7">
      <w:pPr>
        <w:spacing w:line="360" w:lineRule="auto"/>
        <w:ind w:firstLine="709"/>
        <w:jc w:val="both"/>
        <w:rPr>
          <w:rFonts w:ascii="Arial" w:eastAsia="Arial Unicode MS" w:hAnsi="Arial" w:cs="Arial"/>
          <w:sz w:val="22"/>
        </w:rPr>
      </w:pPr>
    </w:p>
    <w:p w14:paraId="6F840154" w14:textId="77777777" w:rsidR="00D451D7" w:rsidRPr="00D451D7" w:rsidRDefault="00D451D7" w:rsidP="00D451D7">
      <w:pPr>
        <w:pStyle w:val="Prrafodelista"/>
        <w:spacing w:after="0" w:line="240" w:lineRule="auto"/>
        <w:ind w:left="1134" w:right="1185"/>
        <w:jc w:val="both"/>
        <w:rPr>
          <w:rFonts w:ascii="Arial" w:eastAsia="Arial Unicode MS" w:hAnsi="Arial" w:cs="Arial"/>
          <w:sz w:val="20"/>
          <w:lang w:eastAsia="es-ES"/>
        </w:rPr>
      </w:pPr>
      <w:r w:rsidRPr="00D451D7">
        <w:rPr>
          <w:rFonts w:ascii="Arial" w:eastAsia="Arial Unicode MS" w:hAnsi="Arial" w:cs="Arial"/>
          <w:sz w:val="20"/>
          <w:lang w:eastAsia="es-ES"/>
        </w:rPr>
        <w:t>Secretaría General de Gobierno (Dirección General de Gobernación / Dirección o Subdirección de Registro de Peritos). Bajo los principios de máxima publicidad y completitud, solicito en formato digital (.PDF) y con certificación electrónica, copia íntegra de todas y cada una de las constancias, documentos, actas, registros y resoluciones que integran el expediente administrativo del auxiliar de la administración pública identificado con los siguientes datos: Número de Registro Estatal de Perito: GES-PV-0806. Número de Cédula Profesional: 9017848. CURP: **********</w:t>
      </w:r>
    </w:p>
    <w:p w14:paraId="3633DB98" w14:textId="77777777" w:rsidR="00D451D7" w:rsidRPr="00D451D7" w:rsidRDefault="00D451D7" w:rsidP="00D451D7">
      <w:pPr>
        <w:pStyle w:val="Prrafodelista"/>
        <w:spacing w:after="0" w:line="240" w:lineRule="auto"/>
        <w:ind w:left="1134" w:right="1185"/>
        <w:jc w:val="both"/>
        <w:rPr>
          <w:rFonts w:ascii="Arial" w:eastAsia="Arial Unicode MS" w:hAnsi="Arial" w:cs="Arial"/>
          <w:sz w:val="20"/>
          <w:lang w:eastAsia="es-ES"/>
        </w:rPr>
      </w:pPr>
      <w:r w:rsidRPr="00D451D7">
        <w:rPr>
          <w:rFonts w:ascii="Arial" w:eastAsia="Arial Unicode MS" w:hAnsi="Arial" w:cs="Arial"/>
          <w:sz w:val="20"/>
          <w:lang w:eastAsia="es-ES"/>
        </w:rPr>
        <w:t xml:space="preserve">La solicitud abarca la totalidad de los documentos que obren en el archivo de la Dirección General de Gobernación y/o la Subdirección de Registro de Peritos, incluyendo de manera enunciativa mas no limitativa: </w:t>
      </w:r>
    </w:p>
    <w:p w14:paraId="7E7C20C5" w14:textId="77777777" w:rsidR="00D451D7" w:rsidRPr="00D451D7" w:rsidRDefault="00D451D7" w:rsidP="00D451D7">
      <w:pPr>
        <w:pStyle w:val="Prrafodelista"/>
        <w:spacing w:after="0" w:line="240" w:lineRule="auto"/>
        <w:ind w:left="1134" w:right="1185"/>
        <w:jc w:val="both"/>
        <w:rPr>
          <w:rFonts w:ascii="Arial" w:eastAsia="Arial Unicode MS" w:hAnsi="Arial" w:cs="Arial"/>
          <w:sz w:val="20"/>
          <w:lang w:eastAsia="es-ES"/>
        </w:rPr>
      </w:pPr>
      <w:r w:rsidRPr="00D451D7">
        <w:rPr>
          <w:rFonts w:ascii="Arial" w:eastAsia="Arial Unicode MS" w:hAnsi="Arial" w:cs="Arial"/>
          <w:sz w:val="20"/>
          <w:lang w:eastAsia="es-ES"/>
        </w:rPr>
        <w:t xml:space="preserve">1.- Documentación de alta, acreditación de idoneidad y especialidad técnica. </w:t>
      </w:r>
    </w:p>
    <w:p w14:paraId="7B021B80" w14:textId="77777777" w:rsidR="00D451D7" w:rsidRPr="00D451D7" w:rsidRDefault="00D451D7" w:rsidP="00D451D7">
      <w:pPr>
        <w:pStyle w:val="Prrafodelista"/>
        <w:spacing w:after="0" w:line="240" w:lineRule="auto"/>
        <w:ind w:left="1134" w:right="1185"/>
        <w:jc w:val="both"/>
        <w:rPr>
          <w:rFonts w:ascii="Arial" w:eastAsia="Arial Unicode MS" w:hAnsi="Arial" w:cs="Arial"/>
          <w:sz w:val="20"/>
          <w:lang w:eastAsia="es-ES"/>
        </w:rPr>
      </w:pPr>
      <w:r w:rsidRPr="00D451D7">
        <w:rPr>
          <w:rFonts w:ascii="Arial" w:eastAsia="Arial Unicode MS" w:hAnsi="Arial" w:cs="Arial"/>
          <w:sz w:val="20"/>
          <w:lang w:eastAsia="es-ES"/>
        </w:rPr>
        <w:t xml:space="preserve">2.- Pólizas de fianza y registros de vigencia anual. </w:t>
      </w:r>
    </w:p>
    <w:p w14:paraId="1AE5FA1C" w14:textId="77777777" w:rsidR="00D451D7" w:rsidRPr="00D451D7" w:rsidRDefault="00D451D7" w:rsidP="00D451D7">
      <w:pPr>
        <w:pStyle w:val="Prrafodelista"/>
        <w:spacing w:after="0" w:line="240" w:lineRule="auto"/>
        <w:ind w:left="1134" w:right="1185"/>
        <w:jc w:val="both"/>
        <w:rPr>
          <w:rFonts w:ascii="Arial" w:eastAsia="Arial Unicode MS" w:hAnsi="Arial" w:cs="Arial"/>
          <w:sz w:val="20"/>
          <w:lang w:eastAsia="es-ES"/>
        </w:rPr>
      </w:pPr>
      <w:r w:rsidRPr="00D451D7">
        <w:rPr>
          <w:rFonts w:ascii="Arial" w:eastAsia="Arial Unicode MS" w:hAnsi="Arial" w:cs="Arial"/>
          <w:sz w:val="20"/>
          <w:lang w:eastAsia="es-ES"/>
        </w:rPr>
        <w:t xml:space="preserve">3.- Historial completo de dictámenes y peritajes presentados ante la autoridad. </w:t>
      </w:r>
    </w:p>
    <w:p w14:paraId="03B8BA59" w14:textId="77777777" w:rsidR="00D451D7" w:rsidRPr="00D451D7" w:rsidRDefault="00D451D7" w:rsidP="00D451D7">
      <w:pPr>
        <w:pStyle w:val="Prrafodelista"/>
        <w:spacing w:after="0" w:line="240" w:lineRule="auto"/>
        <w:ind w:left="1134" w:right="1185"/>
        <w:jc w:val="both"/>
        <w:rPr>
          <w:rFonts w:ascii="Arial" w:eastAsia="Arial Unicode MS" w:hAnsi="Arial" w:cs="Arial"/>
          <w:sz w:val="20"/>
          <w:lang w:eastAsia="es-ES"/>
        </w:rPr>
      </w:pPr>
      <w:r w:rsidRPr="00D451D7">
        <w:rPr>
          <w:rFonts w:ascii="Arial" w:eastAsia="Arial Unicode MS" w:hAnsi="Arial" w:cs="Arial"/>
          <w:sz w:val="20"/>
          <w:lang w:eastAsia="es-ES"/>
        </w:rPr>
        <w:t>4.- Reportes de incidencias, quejas o procedimientos administrativos relacionados con su ejercicio profesional. por esta plataforma en formato .PDF, debidamente foliado y certificado digitalmente por el funcionario competente, en aras de la economía procesal y transparencia administrativa." “Testar o censurar datos sensibles”</w:t>
      </w:r>
    </w:p>
    <w:p w14:paraId="60D1A852" w14:textId="77777777" w:rsidR="00D451D7" w:rsidRPr="00D451D7" w:rsidRDefault="00D451D7" w:rsidP="00D451D7">
      <w:pPr>
        <w:spacing w:line="360" w:lineRule="auto"/>
        <w:ind w:firstLine="709"/>
        <w:jc w:val="both"/>
        <w:rPr>
          <w:rFonts w:ascii="Arial" w:eastAsia="Arial Unicode MS" w:hAnsi="Arial" w:cs="Arial"/>
          <w:b/>
          <w:sz w:val="22"/>
        </w:rPr>
      </w:pPr>
    </w:p>
    <w:p w14:paraId="4F270F69" w14:textId="2441C432" w:rsidR="00D451D7" w:rsidRPr="00D451D7" w:rsidRDefault="00D451D7" w:rsidP="00936C0C">
      <w:pPr>
        <w:spacing w:line="360" w:lineRule="auto"/>
        <w:ind w:firstLine="709"/>
        <w:jc w:val="both"/>
        <w:rPr>
          <w:rFonts w:ascii="Arial" w:hAnsi="Arial" w:cs="Arial"/>
          <w:sz w:val="22"/>
        </w:rPr>
      </w:pPr>
      <w:r w:rsidRPr="00D451D7">
        <w:rPr>
          <w:rFonts w:ascii="Arial" w:eastAsia="Arial Unicode MS" w:hAnsi="Arial" w:cs="Arial"/>
          <w:b/>
          <w:sz w:val="22"/>
        </w:rPr>
        <w:t xml:space="preserve">SEGUNDO. </w:t>
      </w:r>
      <w:r w:rsidRPr="00D451D7">
        <w:rPr>
          <w:rFonts w:ascii="Arial" w:hAnsi="Arial" w:cs="Arial"/>
          <w:b/>
          <w:bCs/>
          <w:sz w:val="22"/>
        </w:rPr>
        <w:t xml:space="preserve">Interposición del Recurso de Revisión. </w:t>
      </w:r>
      <w:r w:rsidRPr="00D451D7">
        <w:rPr>
          <w:rFonts w:ascii="Arial" w:hAnsi="Arial" w:cs="Arial"/>
          <w:sz w:val="22"/>
        </w:rPr>
        <w:t xml:space="preserve">El veinte de abril de dos mil veintiséis, este Órgano Garante recibió en la Oficialía de Partes de esta Comisión, el recurso de revisión interpuesto por la ahora recurrente, en contra de la respuesta de la solicitud de información, en la que señaló: </w:t>
      </w:r>
    </w:p>
    <w:p w14:paraId="28871499" w14:textId="77777777" w:rsidR="00D451D7" w:rsidRPr="00D451D7" w:rsidRDefault="00D451D7" w:rsidP="00D451D7">
      <w:pPr>
        <w:spacing w:line="360" w:lineRule="auto"/>
        <w:ind w:right="51" w:firstLine="708"/>
        <w:jc w:val="both"/>
        <w:rPr>
          <w:rFonts w:ascii="Arial" w:hAnsi="Arial" w:cs="Arial"/>
          <w:sz w:val="22"/>
        </w:rPr>
      </w:pPr>
    </w:p>
    <w:p w14:paraId="612E092C" w14:textId="77777777" w:rsidR="00D451D7" w:rsidRPr="00D451D7" w:rsidRDefault="00D451D7" w:rsidP="00D451D7">
      <w:pPr>
        <w:ind w:left="1134" w:right="1185"/>
        <w:jc w:val="both"/>
        <w:rPr>
          <w:rFonts w:ascii="Arial" w:hAnsi="Arial" w:cs="Arial"/>
          <w:sz w:val="22"/>
        </w:rPr>
      </w:pPr>
      <w:r w:rsidRPr="00D451D7">
        <w:rPr>
          <w:rFonts w:ascii="Arial" w:hAnsi="Arial" w:cs="Arial"/>
          <w:sz w:val="22"/>
        </w:rPr>
        <w:t>Especifique el acto o actos que se recurren:</w:t>
      </w:r>
    </w:p>
    <w:p w14:paraId="3E22C3C9" w14:textId="77777777" w:rsidR="00D451D7" w:rsidRPr="00D451D7" w:rsidRDefault="00D451D7" w:rsidP="00D451D7">
      <w:pPr>
        <w:pStyle w:val="Prrafodelista"/>
        <w:numPr>
          <w:ilvl w:val="0"/>
          <w:numId w:val="10"/>
        </w:numPr>
        <w:spacing w:after="0" w:line="240" w:lineRule="auto"/>
        <w:ind w:right="1185"/>
        <w:jc w:val="both"/>
        <w:rPr>
          <w:rFonts w:ascii="Arial" w:eastAsia="Times New Roman" w:hAnsi="Arial" w:cs="Arial"/>
          <w:sz w:val="20"/>
          <w:szCs w:val="24"/>
          <w:lang w:eastAsia="es-ES"/>
        </w:rPr>
      </w:pPr>
      <w:r w:rsidRPr="00D451D7">
        <w:rPr>
          <w:rFonts w:ascii="Arial" w:eastAsia="Times New Roman" w:hAnsi="Arial" w:cs="Arial"/>
          <w:sz w:val="20"/>
          <w:szCs w:val="24"/>
          <w:lang w:eastAsia="es-ES"/>
        </w:rPr>
        <w:t>La clasificación de la información.</w:t>
      </w:r>
    </w:p>
    <w:p w14:paraId="56BDD7F3" w14:textId="77777777" w:rsidR="00D451D7" w:rsidRPr="00D451D7" w:rsidRDefault="00D451D7" w:rsidP="00D451D7">
      <w:pPr>
        <w:pStyle w:val="Prrafodelista"/>
        <w:numPr>
          <w:ilvl w:val="0"/>
          <w:numId w:val="10"/>
        </w:numPr>
        <w:spacing w:after="0" w:line="240" w:lineRule="auto"/>
        <w:ind w:right="1185"/>
        <w:jc w:val="both"/>
        <w:rPr>
          <w:rFonts w:ascii="Arial" w:eastAsia="Times New Roman" w:hAnsi="Arial" w:cs="Arial"/>
          <w:sz w:val="20"/>
          <w:szCs w:val="24"/>
          <w:lang w:eastAsia="es-ES"/>
        </w:rPr>
      </w:pPr>
      <w:r w:rsidRPr="00D451D7">
        <w:rPr>
          <w:rFonts w:ascii="Arial" w:eastAsia="Times New Roman" w:hAnsi="Arial" w:cs="Arial"/>
          <w:sz w:val="20"/>
          <w:szCs w:val="24"/>
          <w:lang w:eastAsia="es-ES"/>
        </w:rPr>
        <w:t>La notificación, entrega o puesta a disposición de información.</w:t>
      </w:r>
    </w:p>
    <w:p w14:paraId="4C126EA0" w14:textId="77777777" w:rsidR="00D451D7" w:rsidRPr="00D451D7" w:rsidRDefault="00D451D7" w:rsidP="00D451D7">
      <w:pPr>
        <w:pStyle w:val="Prrafodelista"/>
        <w:numPr>
          <w:ilvl w:val="0"/>
          <w:numId w:val="10"/>
        </w:numPr>
        <w:spacing w:after="0" w:line="240" w:lineRule="auto"/>
        <w:ind w:right="1185"/>
        <w:jc w:val="both"/>
        <w:rPr>
          <w:rFonts w:ascii="Arial" w:eastAsia="Times New Roman" w:hAnsi="Arial" w:cs="Arial"/>
          <w:sz w:val="20"/>
          <w:szCs w:val="24"/>
          <w:lang w:eastAsia="es-ES"/>
        </w:rPr>
      </w:pPr>
      <w:r w:rsidRPr="00D451D7">
        <w:rPr>
          <w:rFonts w:ascii="Arial" w:eastAsia="Times New Roman" w:hAnsi="Arial" w:cs="Arial"/>
          <w:sz w:val="20"/>
          <w:szCs w:val="24"/>
          <w:lang w:eastAsia="es-ES"/>
        </w:rPr>
        <w:t xml:space="preserve">La falta, deficiencia o insuficiencia de la fundamentación y/o motivación en la respuesta. </w:t>
      </w:r>
    </w:p>
    <w:p w14:paraId="07F2BFA2" w14:textId="77777777" w:rsidR="00907115" w:rsidRPr="00907115" w:rsidRDefault="00907115" w:rsidP="00907115">
      <w:pPr>
        <w:spacing w:line="360" w:lineRule="auto"/>
        <w:ind w:right="51" w:firstLine="708"/>
        <w:jc w:val="both"/>
        <w:rPr>
          <w:rFonts w:ascii="Arial" w:hAnsi="Arial" w:cs="Arial"/>
          <w:sz w:val="20"/>
          <w:szCs w:val="22"/>
          <w:lang w:val="es-MX"/>
        </w:rPr>
      </w:pPr>
    </w:p>
    <w:p w14:paraId="4B5C9CCD" w14:textId="2E548AEA" w:rsidR="00A27C50" w:rsidRPr="00B93599" w:rsidRDefault="00936C0C" w:rsidP="00A27C50">
      <w:pPr>
        <w:spacing w:line="360" w:lineRule="auto"/>
        <w:ind w:right="-91" w:firstLine="708"/>
        <w:jc w:val="both"/>
        <w:rPr>
          <w:rFonts w:ascii="Arial" w:hAnsi="Arial" w:cs="Arial"/>
          <w:sz w:val="22"/>
          <w:szCs w:val="22"/>
          <w:lang w:val="es-MX"/>
        </w:rPr>
      </w:pPr>
      <w:r>
        <w:rPr>
          <w:rFonts w:ascii="Arial" w:hAnsi="Arial" w:cs="Arial"/>
          <w:b/>
          <w:sz w:val="22"/>
          <w:szCs w:val="22"/>
          <w:lang w:val="es-MX"/>
        </w:rPr>
        <w:t>TERCERO</w:t>
      </w:r>
      <w:r w:rsidR="007B55B0" w:rsidRPr="00B93599">
        <w:rPr>
          <w:rFonts w:ascii="Arial" w:hAnsi="Arial" w:cs="Arial"/>
          <w:b/>
          <w:sz w:val="22"/>
          <w:szCs w:val="22"/>
          <w:lang w:val="es-MX"/>
        </w:rPr>
        <w:t>.</w:t>
      </w:r>
      <w:r w:rsidR="007B55B0" w:rsidRPr="00B93599">
        <w:rPr>
          <w:rFonts w:ascii="Arial" w:hAnsi="Arial" w:cs="Arial"/>
          <w:sz w:val="22"/>
          <w:szCs w:val="22"/>
          <w:lang w:val="es-MX"/>
        </w:rPr>
        <w:t xml:space="preserve"> </w:t>
      </w:r>
      <w:r w:rsidR="00541704">
        <w:rPr>
          <w:rFonts w:ascii="Arial" w:hAnsi="Arial" w:cs="Arial"/>
          <w:b/>
          <w:sz w:val="22"/>
          <w:szCs w:val="22"/>
          <w:lang w:val="es-MX"/>
        </w:rPr>
        <w:t xml:space="preserve">Resolución del Recurso de Revisión. </w:t>
      </w:r>
      <w:r w:rsidR="007B55B0" w:rsidRPr="00B93599">
        <w:rPr>
          <w:rFonts w:ascii="Arial" w:hAnsi="Arial" w:cs="Arial"/>
          <w:sz w:val="22"/>
          <w:szCs w:val="22"/>
          <w:lang w:val="es-MX"/>
        </w:rPr>
        <w:t xml:space="preserve">Con fecha </w:t>
      </w:r>
      <w:r w:rsidR="00541704">
        <w:rPr>
          <w:rFonts w:ascii="Arial" w:hAnsi="Arial" w:cs="Arial"/>
          <w:sz w:val="22"/>
          <w:szCs w:val="22"/>
          <w:lang w:val="es-MX"/>
        </w:rPr>
        <w:t>cinco de junio</w:t>
      </w:r>
      <w:r w:rsidR="00907115">
        <w:rPr>
          <w:rFonts w:ascii="Arial" w:hAnsi="Arial" w:cs="Arial"/>
          <w:sz w:val="22"/>
          <w:szCs w:val="22"/>
          <w:lang w:val="es-MX"/>
        </w:rPr>
        <w:t xml:space="preserve"> de dos mil veintiséis</w:t>
      </w:r>
      <w:r w:rsidR="00A27C50" w:rsidRPr="00B93599">
        <w:rPr>
          <w:rFonts w:ascii="Arial" w:hAnsi="Arial" w:cs="Arial"/>
          <w:sz w:val="22"/>
          <w:szCs w:val="22"/>
          <w:lang w:val="es-MX"/>
        </w:rPr>
        <w:t xml:space="preserve">, derivado de la interposición del presente recurso de revisión, este Órgano Garante determinó </w:t>
      </w:r>
      <w:r w:rsidR="00D451D7">
        <w:rPr>
          <w:rFonts w:ascii="Arial" w:hAnsi="Arial" w:cs="Arial"/>
          <w:b/>
          <w:sz w:val="22"/>
          <w:szCs w:val="22"/>
          <w:lang w:val="es-MX"/>
        </w:rPr>
        <w:t>Revocar</w:t>
      </w:r>
      <w:r w:rsidR="007B55B0" w:rsidRPr="00B93599">
        <w:rPr>
          <w:rFonts w:ascii="Arial" w:hAnsi="Arial" w:cs="Arial"/>
          <w:sz w:val="22"/>
          <w:szCs w:val="22"/>
          <w:lang w:val="es-MX"/>
        </w:rPr>
        <w:t xml:space="preserve"> la</w:t>
      </w:r>
      <w:r w:rsidR="00A27C50" w:rsidRPr="00B93599">
        <w:rPr>
          <w:rFonts w:ascii="Arial" w:hAnsi="Arial" w:cs="Arial"/>
          <w:sz w:val="22"/>
          <w:szCs w:val="22"/>
          <w:lang w:val="es-MX"/>
        </w:rPr>
        <w:t xml:space="preserve"> respuesta del Sujeto Obligado, por lo que se le conminó para efecto de </w:t>
      </w:r>
      <w:r w:rsidR="004310F2" w:rsidRPr="00B93599">
        <w:rPr>
          <w:rFonts w:ascii="Arial" w:hAnsi="Arial" w:cs="Arial"/>
          <w:sz w:val="22"/>
          <w:szCs w:val="22"/>
          <w:lang w:val="es-MX"/>
        </w:rPr>
        <w:t>que</w:t>
      </w:r>
      <w:r w:rsidR="00A27C50" w:rsidRPr="00B93599">
        <w:rPr>
          <w:rFonts w:ascii="Arial" w:hAnsi="Arial" w:cs="Arial"/>
          <w:sz w:val="22"/>
          <w:szCs w:val="22"/>
          <w:lang w:val="es-MX"/>
        </w:rPr>
        <w:t xml:space="preserve">:  </w:t>
      </w:r>
    </w:p>
    <w:p w14:paraId="3AF83672" w14:textId="77777777" w:rsidR="00A27C50" w:rsidRPr="00B93599" w:rsidRDefault="00A27C50" w:rsidP="00A27C50">
      <w:pPr>
        <w:ind w:left="1134" w:right="1183"/>
        <w:jc w:val="both"/>
        <w:rPr>
          <w:rFonts w:ascii="Arial" w:hAnsi="Arial" w:cs="Arial"/>
          <w:sz w:val="22"/>
          <w:szCs w:val="22"/>
          <w:shd w:val="clear" w:color="auto" w:fill="FFFFFF"/>
          <w:lang w:val="es-MX" w:eastAsia="es-MX"/>
        </w:rPr>
      </w:pPr>
    </w:p>
    <w:p w14:paraId="267C84B6" w14:textId="77777777" w:rsidR="00D451D7" w:rsidRPr="00D451D7" w:rsidRDefault="00D451D7" w:rsidP="00D451D7">
      <w:pPr>
        <w:pStyle w:val="Estilo"/>
        <w:numPr>
          <w:ilvl w:val="0"/>
          <w:numId w:val="9"/>
        </w:numPr>
        <w:ind w:right="1183"/>
        <w:rPr>
          <w:rFonts w:cs="Arial"/>
          <w:sz w:val="20"/>
          <w:szCs w:val="24"/>
        </w:rPr>
      </w:pPr>
      <w:r w:rsidRPr="00D451D7">
        <w:rPr>
          <w:rFonts w:cs="Arial"/>
          <w:b/>
          <w:sz w:val="20"/>
          <w:szCs w:val="24"/>
        </w:rPr>
        <w:t xml:space="preserve">8.1. Precisiones de esta resolución. </w:t>
      </w:r>
      <w:r w:rsidRPr="00D451D7">
        <w:rPr>
          <w:rFonts w:cs="Arial"/>
          <w:sz w:val="20"/>
          <w:szCs w:val="24"/>
        </w:rPr>
        <w:t xml:space="preserve">Con base en las consideraciones vertidas en el considerando </w:t>
      </w:r>
      <w:r w:rsidRPr="00D451D7">
        <w:rPr>
          <w:rFonts w:cs="Arial"/>
          <w:b/>
          <w:sz w:val="20"/>
          <w:szCs w:val="24"/>
        </w:rPr>
        <w:t>SEPTIMO</w:t>
      </w:r>
      <w:r w:rsidRPr="00D451D7">
        <w:rPr>
          <w:rFonts w:cs="Arial"/>
          <w:sz w:val="20"/>
          <w:szCs w:val="24"/>
        </w:rPr>
        <w:t xml:space="preserve"> de la presente determinación, el Sujeto Obligado </w:t>
      </w:r>
      <w:r w:rsidRPr="00D451D7">
        <w:rPr>
          <w:rFonts w:cs="Arial"/>
          <w:bCs/>
          <w:sz w:val="20"/>
          <w:szCs w:val="24"/>
        </w:rPr>
        <w:t xml:space="preserve">deberá emitir </w:t>
      </w:r>
      <w:r w:rsidRPr="00D451D7">
        <w:rPr>
          <w:rFonts w:cs="Arial"/>
          <w:sz w:val="20"/>
          <w:szCs w:val="24"/>
        </w:rPr>
        <w:t xml:space="preserve">una respuesta, en la que se siga el procedimiento que refieren los artículos 114, 119, 120, 123, 128, 138, 142 y 159 de la Ley de Transparencia y Acceso a la Información Pública, así como lo previsto en los </w:t>
      </w:r>
      <w:r w:rsidRPr="00D451D7">
        <w:rPr>
          <w:rFonts w:cs="Arial"/>
          <w:sz w:val="20"/>
          <w:szCs w:val="24"/>
          <w:lang w:val="es-ES_tradnl"/>
        </w:rPr>
        <w:t xml:space="preserve">Lineamientos Generales en Materia de Clasificación y Desclasificación de la Información, así como para la Elaboración de Versiones Públicas, </w:t>
      </w:r>
      <w:r w:rsidRPr="00D451D7">
        <w:rPr>
          <w:rFonts w:cs="Arial"/>
          <w:sz w:val="20"/>
          <w:szCs w:val="24"/>
        </w:rPr>
        <w:t>resolviendo lo que en derecho corresponde, atendiendo con total libertad de jurisdicción, la totalidad de las consideraciones vertidas en la presente resolución.</w:t>
      </w:r>
    </w:p>
    <w:p w14:paraId="133292CF" w14:textId="77777777" w:rsidR="00DD32E0" w:rsidRPr="00B93599" w:rsidRDefault="00DD32E0" w:rsidP="00DD32E0">
      <w:pPr>
        <w:tabs>
          <w:tab w:val="left" w:pos="7371"/>
        </w:tabs>
        <w:ind w:left="1134" w:right="1070"/>
        <w:contextualSpacing/>
        <w:jc w:val="both"/>
        <w:rPr>
          <w:rFonts w:ascii="Arial" w:hAnsi="Arial" w:cs="Arial"/>
          <w:sz w:val="22"/>
          <w:szCs w:val="22"/>
          <w:lang w:val="es-MX"/>
        </w:rPr>
      </w:pPr>
    </w:p>
    <w:p w14:paraId="05A3B3A3" w14:textId="4A995188" w:rsidR="00101B45" w:rsidRPr="00541704" w:rsidRDefault="00936C0C" w:rsidP="00541704">
      <w:pPr>
        <w:tabs>
          <w:tab w:val="left" w:pos="709"/>
        </w:tabs>
        <w:spacing w:line="360" w:lineRule="auto"/>
        <w:ind w:right="49" w:firstLine="709"/>
        <w:contextualSpacing/>
        <w:jc w:val="both"/>
        <w:rPr>
          <w:rFonts w:ascii="Arial" w:hAnsi="Arial" w:cs="Arial"/>
          <w:sz w:val="22"/>
          <w:szCs w:val="22"/>
          <w:shd w:val="clear" w:color="auto" w:fill="FFFFFF"/>
          <w:lang w:val="es-MX" w:eastAsia="es-MX"/>
        </w:rPr>
      </w:pPr>
      <w:r>
        <w:rPr>
          <w:rFonts w:ascii="Arial" w:hAnsi="Arial" w:cs="Arial"/>
          <w:b/>
          <w:sz w:val="22"/>
          <w:szCs w:val="22"/>
          <w:shd w:val="clear" w:color="auto" w:fill="FFFFFF"/>
          <w:lang w:val="es-MX" w:eastAsia="es-MX"/>
        </w:rPr>
        <w:t>CUARTO</w:t>
      </w:r>
      <w:r w:rsidR="0013713C" w:rsidRPr="00B93599">
        <w:rPr>
          <w:rFonts w:ascii="Arial" w:hAnsi="Arial" w:cs="Arial"/>
          <w:b/>
          <w:sz w:val="22"/>
          <w:szCs w:val="22"/>
          <w:shd w:val="clear" w:color="auto" w:fill="FFFFFF"/>
          <w:lang w:val="es-MX" w:eastAsia="es-MX"/>
        </w:rPr>
        <w:t xml:space="preserve">. </w:t>
      </w:r>
      <w:r w:rsidR="00541704">
        <w:rPr>
          <w:rFonts w:ascii="Arial" w:hAnsi="Arial" w:cs="Arial"/>
          <w:b/>
          <w:sz w:val="22"/>
          <w:szCs w:val="22"/>
          <w:shd w:val="clear" w:color="auto" w:fill="FFFFFF"/>
          <w:lang w:val="es-MX" w:eastAsia="es-MX"/>
        </w:rPr>
        <w:t xml:space="preserve">Recepción de constancias. </w:t>
      </w:r>
      <w:r w:rsidR="0013713C" w:rsidRPr="00B93599">
        <w:rPr>
          <w:rFonts w:ascii="Arial" w:hAnsi="Arial" w:cs="Arial"/>
          <w:sz w:val="22"/>
          <w:szCs w:val="22"/>
          <w:shd w:val="clear" w:color="auto" w:fill="FFFFFF"/>
          <w:lang w:val="es-MX" w:eastAsia="es-MX"/>
        </w:rPr>
        <w:t xml:space="preserve">Con fecha </w:t>
      </w:r>
      <w:r w:rsidR="00541704">
        <w:rPr>
          <w:rFonts w:ascii="Arial" w:hAnsi="Arial" w:cs="Arial"/>
          <w:sz w:val="22"/>
          <w:szCs w:val="22"/>
          <w:shd w:val="clear" w:color="auto" w:fill="FFFFFF"/>
          <w:lang w:val="es-MX" w:eastAsia="es-MX"/>
        </w:rPr>
        <w:t>veinticuatro de junio</w:t>
      </w:r>
      <w:r w:rsidR="004652C3">
        <w:rPr>
          <w:rFonts w:ascii="Arial" w:hAnsi="Arial" w:cs="Arial"/>
          <w:sz w:val="22"/>
          <w:szCs w:val="22"/>
          <w:shd w:val="clear" w:color="auto" w:fill="FFFFFF"/>
          <w:lang w:val="es-MX" w:eastAsia="es-MX"/>
        </w:rPr>
        <w:t xml:space="preserve"> de dos mil veintiséis</w:t>
      </w:r>
      <w:r w:rsidR="0013713C" w:rsidRPr="00B93599">
        <w:rPr>
          <w:rFonts w:ascii="Arial" w:hAnsi="Arial" w:cs="Arial"/>
          <w:sz w:val="22"/>
          <w:szCs w:val="22"/>
          <w:shd w:val="clear" w:color="auto" w:fill="FFFFFF"/>
          <w:lang w:val="es-MX" w:eastAsia="es-MX"/>
        </w:rPr>
        <w:t xml:space="preserve">, </w:t>
      </w:r>
      <w:r w:rsidR="00541704">
        <w:rPr>
          <w:rFonts w:ascii="Arial" w:hAnsi="Arial" w:cs="Arial"/>
          <w:sz w:val="22"/>
          <w:szCs w:val="22"/>
          <w:shd w:val="clear" w:color="auto" w:fill="FFFFFF"/>
          <w:lang w:val="es-MX" w:eastAsia="es-MX"/>
        </w:rPr>
        <w:t>se recibió en la Oficialía de Partes</w:t>
      </w:r>
      <w:r w:rsidR="004652C3" w:rsidRPr="00434F3A">
        <w:rPr>
          <w:rFonts w:ascii="Arial" w:hAnsi="Arial" w:cs="Arial"/>
          <w:sz w:val="22"/>
          <w:szCs w:val="22"/>
        </w:rPr>
        <w:t>,</w:t>
      </w:r>
      <w:r w:rsidR="00541704">
        <w:rPr>
          <w:rFonts w:ascii="Arial" w:hAnsi="Arial" w:cs="Arial"/>
          <w:sz w:val="22"/>
          <w:szCs w:val="22"/>
        </w:rPr>
        <w:t xml:space="preserve"> el Oficio número SGG/UT/269/2026, por medio del cual, el Titular de la Unidad de Transparencia de la Secretaría General de Gobierno remitió las constancias que consideró pertinentes,</w:t>
      </w:r>
      <w:r w:rsidR="004652C3" w:rsidRPr="00434F3A">
        <w:rPr>
          <w:rFonts w:ascii="Arial" w:hAnsi="Arial" w:cs="Arial"/>
          <w:sz w:val="22"/>
          <w:szCs w:val="22"/>
        </w:rPr>
        <w:t xml:space="preserve"> </w:t>
      </w:r>
      <w:r w:rsidR="00FD493F" w:rsidRPr="00B93599">
        <w:rPr>
          <w:rFonts w:ascii="Arial" w:hAnsi="Arial" w:cs="Arial"/>
          <w:sz w:val="22"/>
          <w:szCs w:val="22"/>
          <w:shd w:val="clear" w:color="auto" w:fill="FFFFFF"/>
          <w:lang w:val="es-MX" w:eastAsia="es-MX"/>
        </w:rPr>
        <w:t>a fin de otorgar el debido cumplimiento a la resoluci</w:t>
      </w:r>
      <w:r w:rsidR="00101B45">
        <w:rPr>
          <w:rFonts w:ascii="Arial" w:hAnsi="Arial" w:cs="Arial"/>
          <w:sz w:val="22"/>
          <w:szCs w:val="22"/>
          <w:shd w:val="clear" w:color="auto" w:fill="FFFFFF"/>
          <w:lang w:val="es-MX" w:eastAsia="es-MX"/>
        </w:rPr>
        <w:t>ón dictada en el presente asunto</w:t>
      </w:r>
      <w:r w:rsidR="00101B45" w:rsidRPr="004652C3">
        <w:rPr>
          <w:rFonts w:ascii="Arial" w:eastAsiaTheme="minorHAnsi" w:hAnsi="Arial" w:cs="Arial"/>
          <w:sz w:val="22"/>
          <w:lang w:val="es-MX" w:eastAsia="en-US"/>
        </w:rPr>
        <w:t>; y,</w:t>
      </w:r>
    </w:p>
    <w:p w14:paraId="2A5E29B5" w14:textId="77777777"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24AA31E5" w14:textId="502A15C2" w:rsidR="008E2C25" w:rsidRPr="00B93599" w:rsidRDefault="00CF4E16" w:rsidP="008E2C25">
      <w:pPr>
        <w:spacing w:line="360" w:lineRule="auto"/>
        <w:ind w:firstLine="708"/>
        <w:jc w:val="center"/>
        <w:rPr>
          <w:rFonts w:ascii="Arial" w:hAnsi="Arial" w:cs="Arial"/>
          <w:b/>
          <w:sz w:val="22"/>
          <w:szCs w:val="22"/>
        </w:rPr>
      </w:pPr>
      <w:r w:rsidRPr="00B93599">
        <w:rPr>
          <w:rFonts w:ascii="Arial" w:hAnsi="Arial" w:cs="Arial"/>
          <w:b/>
          <w:sz w:val="22"/>
          <w:szCs w:val="22"/>
        </w:rPr>
        <w:t>CONSIDERANDO</w:t>
      </w:r>
    </w:p>
    <w:p w14:paraId="3048D1F8" w14:textId="77777777" w:rsidR="008E2C25" w:rsidRPr="00B93599" w:rsidRDefault="008E2C25" w:rsidP="008E2C25">
      <w:pPr>
        <w:spacing w:line="360" w:lineRule="auto"/>
        <w:jc w:val="both"/>
        <w:rPr>
          <w:rFonts w:ascii="Arial" w:hAnsi="Arial" w:cs="Arial"/>
          <w:b/>
          <w:sz w:val="22"/>
          <w:szCs w:val="22"/>
        </w:rPr>
      </w:pPr>
      <w:r w:rsidRPr="00B93599">
        <w:rPr>
          <w:rFonts w:ascii="Arial" w:hAnsi="Arial" w:cs="Arial"/>
          <w:b/>
          <w:sz w:val="22"/>
          <w:szCs w:val="22"/>
        </w:rPr>
        <w:tab/>
      </w:r>
    </w:p>
    <w:p w14:paraId="2166E116" w14:textId="77777777" w:rsidR="004652C3" w:rsidRPr="004652C3" w:rsidRDefault="008E2C25" w:rsidP="004652C3">
      <w:pPr>
        <w:spacing w:line="360" w:lineRule="auto"/>
        <w:ind w:firstLine="708"/>
        <w:jc w:val="both"/>
        <w:rPr>
          <w:rFonts w:ascii="Arial" w:eastAsia="Calibri" w:hAnsi="Arial" w:cs="Arial"/>
          <w:sz w:val="22"/>
          <w:szCs w:val="22"/>
        </w:rPr>
      </w:pPr>
      <w:r w:rsidRPr="00B93599">
        <w:rPr>
          <w:rFonts w:ascii="Arial" w:eastAsia="Arial" w:hAnsi="Arial" w:cs="Arial"/>
          <w:b/>
          <w:spacing w:val="1"/>
          <w:sz w:val="22"/>
          <w:szCs w:val="22"/>
        </w:rPr>
        <w:t xml:space="preserve">PRIMERO. </w:t>
      </w:r>
      <w:r w:rsidR="004652C3" w:rsidRPr="004652C3">
        <w:rPr>
          <w:rFonts w:ascii="Arial" w:hAnsi="Arial" w:cs="Arial"/>
          <w:sz w:val="22"/>
          <w:szCs w:val="22"/>
        </w:rPr>
        <w:t xml:space="preserve">La Comisionada Ponente es competente para conocer el presente asunto, en términos de lo establecido en el </w:t>
      </w:r>
      <w:r w:rsidR="004652C3" w:rsidRPr="004652C3">
        <w:rPr>
          <w:rFonts w:ascii="Arial" w:hAnsi="Arial" w:cs="Arial"/>
          <w:sz w:val="22"/>
        </w:rPr>
        <w:t>Transitorio OCTAVO del DECRETO 0506, publicado en la edición extraordinaria del miércoles 01 primero de abril de 2026 dos mil veintiséis, del Periódico Oficial del Estado de San Luis Potosí, en correlación con</w:t>
      </w:r>
      <w:r w:rsidR="004652C3" w:rsidRPr="004652C3">
        <w:rPr>
          <w:rFonts w:ascii="Arial" w:hAnsi="Arial" w:cs="Arial"/>
          <w:sz w:val="22"/>
          <w:szCs w:val="22"/>
        </w:rPr>
        <w:t xml:space="preserve"> los artículos 27, </w:t>
      </w:r>
      <w:r w:rsidR="004652C3" w:rsidRPr="004652C3">
        <w:rPr>
          <w:rFonts w:ascii="Arial" w:hAnsi="Arial" w:cs="Arial"/>
          <w:sz w:val="22"/>
          <w:szCs w:val="22"/>
          <w:shd w:val="clear" w:color="auto" w:fill="FFFFFF"/>
        </w:rPr>
        <w:t>34 fracción I y II</w:t>
      </w:r>
      <w:r w:rsidR="004652C3" w:rsidRPr="004652C3">
        <w:rPr>
          <w:rFonts w:ascii="Arial" w:hAnsi="Arial" w:cs="Arial"/>
          <w:sz w:val="22"/>
          <w:szCs w:val="22"/>
        </w:rPr>
        <w:t xml:space="preserve"> y 174 fracción I de la Ley de Transparencia y Acceso a la Información Pública del Estado de San Luis Potosí, así como por el artículo 8º, fracción II </w:t>
      </w:r>
      <w:r w:rsidR="004652C3" w:rsidRPr="004652C3">
        <w:rPr>
          <w:rFonts w:ascii="Arial" w:eastAsia="Calibri" w:hAnsi="Arial" w:cs="Arial"/>
          <w:sz w:val="22"/>
          <w:szCs w:val="22"/>
        </w:rPr>
        <w:t>del Reglamento Interior de la Comisión Estatal de Garantía de Acceso a la Información Pública.</w:t>
      </w:r>
    </w:p>
    <w:p w14:paraId="41813264" w14:textId="52BEA770" w:rsidR="00315D18" w:rsidRPr="006E3DBD" w:rsidRDefault="00315D18" w:rsidP="00315D18">
      <w:pPr>
        <w:spacing w:line="360" w:lineRule="auto"/>
        <w:ind w:right="111" w:firstLine="567"/>
        <w:jc w:val="both"/>
        <w:rPr>
          <w:rFonts w:ascii="Arial" w:eastAsia="Arial" w:hAnsi="Arial" w:cs="Arial"/>
          <w:spacing w:val="1"/>
          <w:sz w:val="22"/>
          <w:szCs w:val="22"/>
          <w:lang w:eastAsia="en-US"/>
        </w:rPr>
      </w:pPr>
    </w:p>
    <w:p w14:paraId="7C4F9F68" w14:textId="04E96A64" w:rsidR="00FA683A" w:rsidRDefault="00101B45" w:rsidP="00FA683A">
      <w:pPr>
        <w:spacing w:line="360" w:lineRule="auto"/>
        <w:ind w:right="111" w:firstLine="708"/>
        <w:jc w:val="both"/>
        <w:rPr>
          <w:rFonts w:ascii="Arial" w:eastAsia="Arial Unicode MS" w:hAnsi="Arial" w:cs="Arial"/>
          <w:sz w:val="22"/>
          <w:szCs w:val="22"/>
        </w:rPr>
      </w:pPr>
      <w:r w:rsidRPr="00101B45">
        <w:rPr>
          <w:rFonts w:ascii="Arial" w:hAnsi="Arial" w:cs="Arial"/>
          <w:b/>
          <w:sz w:val="22"/>
        </w:rPr>
        <w:t>SEGUNDO.</w:t>
      </w:r>
      <w:r w:rsidRPr="00101B45">
        <w:rPr>
          <w:rFonts w:ascii="Arial" w:hAnsi="Arial" w:cs="Arial"/>
          <w:sz w:val="22"/>
        </w:rPr>
        <w:t xml:space="preserve"> </w:t>
      </w:r>
      <w:r w:rsidR="00541704">
        <w:rPr>
          <w:rFonts w:ascii="Arial" w:hAnsi="Arial" w:cs="Arial"/>
          <w:b/>
          <w:sz w:val="22"/>
        </w:rPr>
        <w:t>P</w:t>
      </w:r>
      <w:r w:rsidR="003D721B">
        <w:rPr>
          <w:rFonts w:ascii="Arial" w:hAnsi="Arial" w:cs="Arial"/>
          <w:b/>
          <w:sz w:val="22"/>
        </w:rPr>
        <w:t>eligro</w:t>
      </w:r>
      <w:r w:rsidR="00541704">
        <w:rPr>
          <w:rFonts w:ascii="Arial" w:hAnsi="Arial" w:cs="Arial"/>
          <w:b/>
          <w:sz w:val="22"/>
        </w:rPr>
        <w:t xml:space="preserve"> en la demora</w:t>
      </w:r>
      <w:r w:rsidRPr="00101B45">
        <w:rPr>
          <w:rFonts w:ascii="Arial" w:hAnsi="Arial" w:cs="Arial"/>
          <w:sz w:val="22"/>
        </w:rPr>
        <w:t>.</w:t>
      </w:r>
      <w:r w:rsidR="00541704">
        <w:rPr>
          <w:rFonts w:ascii="Arial" w:hAnsi="Arial" w:cs="Arial"/>
          <w:sz w:val="22"/>
        </w:rPr>
        <w:t xml:space="preserve"> Previo a entrar al estudio de las constancias presentadas por el Titular de la Unidad de Transparencia del Sujeto Obligado, resulta </w:t>
      </w:r>
      <w:r w:rsidR="00541704">
        <w:rPr>
          <w:rFonts w:ascii="Arial" w:hAnsi="Arial" w:cs="Arial"/>
          <w:sz w:val="22"/>
        </w:rPr>
        <w:lastRenderedPageBreak/>
        <w:t xml:space="preserve">menester aclarar que, </w:t>
      </w:r>
      <w:r w:rsidR="00FA683A">
        <w:rPr>
          <w:rFonts w:ascii="Arial" w:hAnsi="Arial" w:cs="Arial"/>
          <w:sz w:val="22"/>
        </w:rPr>
        <w:t>e</w:t>
      </w:r>
      <w:r w:rsidR="00FA683A" w:rsidRPr="00FA683A">
        <w:rPr>
          <w:rFonts w:ascii="Arial" w:eastAsia="Arial Unicode MS" w:hAnsi="Arial" w:cs="Arial"/>
          <w:sz w:val="22"/>
          <w:szCs w:val="22"/>
        </w:rPr>
        <w:t>ste Organismo autónomo</w:t>
      </w:r>
      <w:r w:rsidR="00FA683A" w:rsidRPr="00FA683A">
        <w:rPr>
          <w:rFonts w:ascii="Arial" w:eastAsia="Arial Unicode MS" w:hAnsi="Arial" w:cs="Arial"/>
          <w:sz w:val="22"/>
          <w:szCs w:val="22"/>
          <w:vertAlign w:val="superscript"/>
        </w:rPr>
        <w:footnoteReference w:id="1"/>
      </w:r>
      <w:r w:rsidR="00FA683A" w:rsidRPr="00FA683A">
        <w:rPr>
          <w:rFonts w:ascii="Arial" w:eastAsia="Arial Unicode MS" w:hAnsi="Arial" w:cs="Arial"/>
          <w:sz w:val="22"/>
          <w:szCs w:val="22"/>
        </w:rPr>
        <w:t xml:space="preserve"> responsable de los procedimientos de revisión en materia de acceso a la información</w:t>
      </w:r>
      <w:r w:rsidR="00FA683A" w:rsidRPr="00FA683A">
        <w:rPr>
          <w:rFonts w:ascii="Arial" w:eastAsia="Arial Unicode MS" w:hAnsi="Arial" w:cs="Arial"/>
          <w:sz w:val="22"/>
          <w:szCs w:val="22"/>
          <w:vertAlign w:val="superscript"/>
        </w:rPr>
        <w:footnoteReference w:id="2"/>
      </w:r>
      <w:r w:rsidR="00FA683A" w:rsidRPr="00FA683A">
        <w:rPr>
          <w:rFonts w:ascii="Arial" w:eastAsia="Arial Unicode MS" w:hAnsi="Arial" w:cs="Arial"/>
          <w:sz w:val="22"/>
          <w:szCs w:val="22"/>
        </w:rPr>
        <w:t xml:space="preserve"> al regirse por el principio de </w:t>
      </w:r>
      <w:proofErr w:type="spellStart"/>
      <w:r w:rsidR="00FA683A" w:rsidRPr="00FA683A">
        <w:rPr>
          <w:rFonts w:ascii="Arial" w:eastAsia="Arial Unicode MS" w:hAnsi="Arial" w:cs="Arial"/>
          <w:sz w:val="22"/>
          <w:szCs w:val="22"/>
        </w:rPr>
        <w:t>expeditez</w:t>
      </w:r>
      <w:proofErr w:type="spellEnd"/>
      <w:r w:rsidR="00FA683A" w:rsidRPr="00FA683A">
        <w:rPr>
          <w:rFonts w:ascii="Arial" w:eastAsia="Arial Unicode MS" w:hAnsi="Arial" w:cs="Arial"/>
          <w:sz w:val="22"/>
          <w:szCs w:val="22"/>
        </w:rPr>
        <w:t>, conforme al artículo 6o., apartado A, fracción IV, de la Constitución Política de los Estados Unidos Mexicanos, mientras que el derecho fundamental de acceso a la justicia, tutelado por el artículo 17 de la Norma Fundamental, compele a los órganos jurisdiccionales para que, en sus interpretaciones, remuevan o superen los obstáculos o restricciones, innecesarias o irracionales, para obtener un pronunciamiento en torno a las pretensiones de las personas, lo cual es acorde con el criterio emitido por la Corte Interamericana de Derechos Humanos al interpretar el artículo 25 de la Convención Americana sobre Derechos Humanos en la sentencia de 28 de noviembre de 2002, del caso Cantos vs. Argentina (fondo, reparaciones y costas), párrafo 52</w:t>
      </w:r>
      <w:r w:rsidR="00FA683A" w:rsidRPr="00FA683A">
        <w:rPr>
          <w:rFonts w:ascii="Arial" w:eastAsia="Arial Unicode MS" w:hAnsi="Arial" w:cs="Arial"/>
          <w:sz w:val="22"/>
          <w:szCs w:val="22"/>
          <w:vertAlign w:val="superscript"/>
        </w:rPr>
        <w:footnoteReference w:id="3"/>
      </w:r>
      <w:r w:rsidR="00FA683A" w:rsidRPr="00FA683A">
        <w:rPr>
          <w:rFonts w:ascii="Arial" w:eastAsia="Arial Unicode MS" w:hAnsi="Arial" w:cs="Arial"/>
          <w:sz w:val="22"/>
          <w:szCs w:val="22"/>
        </w:rPr>
        <w:t xml:space="preserve">. </w:t>
      </w:r>
    </w:p>
    <w:p w14:paraId="52D6D101" w14:textId="77777777" w:rsidR="00FA683A" w:rsidRPr="00FA683A" w:rsidRDefault="00FA683A" w:rsidP="00FA683A">
      <w:pPr>
        <w:spacing w:line="360" w:lineRule="auto"/>
        <w:jc w:val="both"/>
        <w:rPr>
          <w:rFonts w:ascii="Arial" w:hAnsi="Arial" w:cs="Arial"/>
        </w:rPr>
      </w:pPr>
    </w:p>
    <w:p w14:paraId="15A35671" w14:textId="77777777" w:rsidR="00FA683A" w:rsidRPr="00FA683A" w:rsidRDefault="00FA683A" w:rsidP="00FA683A">
      <w:pPr>
        <w:spacing w:line="360" w:lineRule="auto"/>
        <w:ind w:firstLine="709"/>
        <w:jc w:val="both"/>
        <w:rPr>
          <w:rFonts w:ascii="Arial" w:hAnsi="Arial" w:cs="Arial"/>
          <w:sz w:val="22"/>
          <w:szCs w:val="22"/>
        </w:rPr>
      </w:pPr>
      <w:r w:rsidRPr="00FA683A">
        <w:rPr>
          <w:rFonts w:ascii="Arial" w:eastAsia="Arial Unicode MS" w:hAnsi="Arial" w:cs="Arial"/>
          <w:sz w:val="22"/>
          <w:szCs w:val="22"/>
          <w:lang w:val="es-ES_tradnl"/>
        </w:rPr>
        <w:t xml:space="preserve">En este sentido, debe decirse que </w:t>
      </w:r>
      <w:r w:rsidRPr="00FA683A">
        <w:rPr>
          <w:rFonts w:ascii="Arial" w:hAnsi="Arial" w:cs="Arial"/>
          <w:sz w:val="22"/>
          <w:szCs w:val="22"/>
        </w:rPr>
        <w:t xml:space="preserve">la tutela judicial efectiva significa, para cualquier persona, la posibilidad de acudir ante los órganos jurisdiccionales para hacer la defensa y protección de sus derechos frente a cualquier conducta o actuación que pudiera lesionarlos o desconocerlos y obtener una resolución de fondo ajustada a Derecho. </w:t>
      </w:r>
    </w:p>
    <w:p w14:paraId="3637E89F" w14:textId="77777777" w:rsidR="00FA683A" w:rsidRPr="00FA683A" w:rsidRDefault="00FA683A" w:rsidP="00FA683A">
      <w:pPr>
        <w:pStyle w:val="Standard"/>
        <w:spacing w:line="360" w:lineRule="auto"/>
        <w:ind w:firstLine="708"/>
        <w:jc w:val="both"/>
        <w:rPr>
          <w:rFonts w:ascii="Arial" w:hAnsi="Arial" w:cs="Arial"/>
          <w:sz w:val="22"/>
          <w:szCs w:val="22"/>
        </w:rPr>
      </w:pPr>
    </w:p>
    <w:p w14:paraId="19E3DEC0" w14:textId="77777777" w:rsidR="00FA683A" w:rsidRPr="00FA683A" w:rsidRDefault="00FA683A" w:rsidP="00FA683A">
      <w:pPr>
        <w:pStyle w:val="Standard"/>
        <w:spacing w:line="360" w:lineRule="auto"/>
        <w:ind w:firstLine="708"/>
        <w:jc w:val="both"/>
        <w:rPr>
          <w:rFonts w:ascii="Arial" w:hAnsi="Arial" w:cs="Arial"/>
          <w:sz w:val="22"/>
          <w:szCs w:val="22"/>
        </w:rPr>
      </w:pPr>
      <w:r w:rsidRPr="00FA683A">
        <w:rPr>
          <w:rFonts w:ascii="Arial" w:hAnsi="Arial" w:cs="Arial"/>
          <w:sz w:val="22"/>
          <w:szCs w:val="22"/>
        </w:rPr>
        <w:t>Un recurso efectivo, según la Corte Internacional de Derechos Humanos, es idóneo para establecer si se ha incurrido en una violación a los derechos humanos y proveer lo necesario para remediarla, es decir, si ha contribuido efectivamente a poner fin a una situación violatoria de derechos y garantizar el libre y pleno ejercicio de los mismos.</w:t>
      </w:r>
    </w:p>
    <w:p w14:paraId="55E52E0F" w14:textId="77777777" w:rsidR="00FA683A" w:rsidRPr="00FA683A" w:rsidRDefault="00FA683A" w:rsidP="00FA683A">
      <w:pPr>
        <w:pStyle w:val="Standard"/>
        <w:spacing w:line="360" w:lineRule="auto"/>
        <w:ind w:firstLine="708"/>
        <w:jc w:val="both"/>
        <w:rPr>
          <w:rFonts w:ascii="Arial" w:hAnsi="Arial" w:cs="Arial"/>
          <w:sz w:val="22"/>
          <w:szCs w:val="22"/>
        </w:rPr>
      </w:pPr>
    </w:p>
    <w:p w14:paraId="5424EC22" w14:textId="77777777" w:rsidR="00FA683A" w:rsidRPr="00FA683A" w:rsidRDefault="00FA683A" w:rsidP="00FA683A">
      <w:pPr>
        <w:pStyle w:val="Standard"/>
        <w:spacing w:line="360" w:lineRule="auto"/>
        <w:ind w:firstLine="708"/>
        <w:jc w:val="both"/>
        <w:rPr>
          <w:rFonts w:ascii="Arial" w:hAnsi="Arial" w:cs="Arial"/>
          <w:b/>
          <w:sz w:val="22"/>
          <w:szCs w:val="22"/>
        </w:rPr>
      </w:pPr>
      <w:r w:rsidRPr="00FA683A">
        <w:rPr>
          <w:rFonts w:ascii="Arial" w:hAnsi="Arial" w:cs="Arial"/>
          <w:sz w:val="22"/>
          <w:szCs w:val="22"/>
          <w:lang w:val="es-MX"/>
        </w:rPr>
        <w:t xml:space="preserve">En ese tenor, de conformidad con lo establecido en el numeral 34 de la Ley de Transparencia y Acceso a la Información Pública del Estado, </w:t>
      </w:r>
      <w:r w:rsidRPr="00FA683A">
        <w:rPr>
          <w:rFonts w:ascii="Arial" w:hAnsi="Arial" w:cs="Arial"/>
          <w:sz w:val="22"/>
          <w:szCs w:val="22"/>
        </w:rPr>
        <w:t xml:space="preserve">este Órgano Garante constituye un organismo autónomo, especializado, imparcial con plena autonomía técnica, de gestión, capacidad para decidir sobre el ejercicio de su presupuesto y determinar su organización interna, </w:t>
      </w:r>
      <w:r w:rsidRPr="00FA683A">
        <w:rPr>
          <w:rFonts w:ascii="Arial" w:hAnsi="Arial" w:cs="Arial"/>
          <w:b/>
          <w:sz w:val="22"/>
          <w:szCs w:val="22"/>
        </w:rPr>
        <w:t>responsable de garantizar el cumplimiento del derecho de acceso a la información pública y a la protección de datos personales en posesión de los sujetos obligados.</w:t>
      </w:r>
    </w:p>
    <w:p w14:paraId="13BDAA2B" w14:textId="01D6AB97" w:rsidR="00FA683A" w:rsidRDefault="00FA683A" w:rsidP="00101B45">
      <w:pPr>
        <w:spacing w:line="360" w:lineRule="auto"/>
        <w:ind w:right="111" w:firstLine="708"/>
        <w:jc w:val="both"/>
        <w:rPr>
          <w:rFonts w:ascii="Arial" w:hAnsi="Arial" w:cs="Arial"/>
          <w:sz w:val="22"/>
        </w:rPr>
      </w:pPr>
    </w:p>
    <w:p w14:paraId="38AA2CE4" w14:textId="4F36A601" w:rsidR="00541704" w:rsidRDefault="00FA683A" w:rsidP="00101B45">
      <w:pPr>
        <w:spacing w:line="360" w:lineRule="auto"/>
        <w:ind w:right="111" w:firstLine="708"/>
        <w:jc w:val="both"/>
        <w:rPr>
          <w:rFonts w:ascii="Arial" w:hAnsi="Arial" w:cs="Arial"/>
          <w:sz w:val="22"/>
        </w:rPr>
      </w:pPr>
      <w:r>
        <w:rPr>
          <w:rFonts w:ascii="Arial" w:hAnsi="Arial" w:cs="Arial"/>
          <w:sz w:val="22"/>
        </w:rPr>
        <w:lastRenderedPageBreak/>
        <w:t xml:space="preserve">Es por lo anterior que, </w:t>
      </w:r>
      <w:r w:rsidR="00541704">
        <w:rPr>
          <w:rFonts w:ascii="Arial" w:hAnsi="Arial" w:cs="Arial"/>
          <w:sz w:val="22"/>
        </w:rPr>
        <w:t>de conformidad con lo previsto en el segundo párrafo del numeral 184 de la Ley de Transparencia y Acceso a la Información Pública del Estado de San Luis Potosí</w:t>
      </w:r>
      <w:r w:rsidR="00541704">
        <w:rPr>
          <w:rStyle w:val="Refdenotaalpie"/>
          <w:rFonts w:ascii="Arial" w:hAnsi="Arial" w:cs="Arial"/>
          <w:sz w:val="22"/>
        </w:rPr>
        <w:footnoteReference w:id="4"/>
      </w:r>
      <w:r w:rsidR="00541704">
        <w:rPr>
          <w:rFonts w:ascii="Arial" w:hAnsi="Arial" w:cs="Arial"/>
          <w:sz w:val="22"/>
        </w:rPr>
        <w:t xml:space="preserve">, </w:t>
      </w:r>
      <w:r w:rsidR="004437FA">
        <w:rPr>
          <w:rFonts w:ascii="Arial" w:hAnsi="Arial" w:cs="Arial"/>
          <w:sz w:val="22"/>
        </w:rPr>
        <w:t>una vez recibidas las constancias por las cuales el sujeto obligado pretende otorgar cumplimiento a la resolución dictada en los autos de un Recurso de Revisión, se deberá otorgar el plazo de cinco días hábiles a la parte recurrente, para efecto de que esté en condiciones de manifestar lo que a su derecho corresponda. Sin embargo, lo cierto es que, dicha circunstancia pudiera constituir un peligro en la demora, por las razones que a continuación se patentizan:</w:t>
      </w:r>
    </w:p>
    <w:p w14:paraId="62CC69DA" w14:textId="77777777" w:rsidR="00541704" w:rsidRDefault="00541704" w:rsidP="00101B45">
      <w:pPr>
        <w:spacing w:line="360" w:lineRule="auto"/>
        <w:ind w:right="111" w:firstLine="708"/>
        <w:jc w:val="both"/>
        <w:rPr>
          <w:rFonts w:ascii="Arial" w:hAnsi="Arial" w:cs="Arial"/>
          <w:sz w:val="22"/>
        </w:rPr>
      </w:pPr>
    </w:p>
    <w:p w14:paraId="7316E8F1" w14:textId="77777777" w:rsidR="0018414B" w:rsidRDefault="004437FA" w:rsidP="00101B45">
      <w:pPr>
        <w:spacing w:line="360" w:lineRule="auto"/>
        <w:ind w:right="111" w:firstLine="708"/>
        <w:jc w:val="both"/>
        <w:rPr>
          <w:rFonts w:ascii="Arial" w:hAnsi="Arial" w:cs="Arial"/>
          <w:sz w:val="22"/>
        </w:rPr>
      </w:pPr>
      <w:r>
        <w:rPr>
          <w:rFonts w:ascii="Arial" w:hAnsi="Arial" w:cs="Arial"/>
          <w:sz w:val="22"/>
        </w:rPr>
        <w:t xml:space="preserve">Con fecha uno de abril de dos mil veintiséis, el H. Congreso del Estado de San Luis Potosí publicó en el Periódico Oficial del Estado el Decreto número 0506, por el cual, (entre otras circunstancias) </w:t>
      </w:r>
      <w:r w:rsidR="0018414B">
        <w:rPr>
          <w:rFonts w:ascii="Arial" w:hAnsi="Arial" w:cs="Arial"/>
          <w:sz w:val="22"/>
        </w:rPr>
        <w:t>se realizó la homologación con la normativa Federal de la materia, en relación con la simplificación Orgánica y la no redundancia de atribuciones; esto es, el cese de funciones del Organismo Autónomo denominado Comisión Estatal de Garantía de Acceso a la Información Pública, para proceder a la adopción de funciones, por parte de los Organismos Especializados en materia de Contraloría, de cada estrato de Gobierno.</w:t>
      </w:r>
    </w:p>
    <w:p w14:paraId="2CE7E6FB" w14:textId="77777777" w:rsidR="0018414B" w:rsidRDefault="0018414B" w:rsidP="00101B45">
      <w:pPr>
        <w:spacing w:line="360" w:lineRule="auto"/>
        <w:ind w:right="111" w:firstLine="708"/>
        <w:jc w:val="both"/>
        <w:rPr>
          <w:rFonts w:ascii="Arial" w:hAnsi="Arial" w:cs="Arial"/>
          <w:sz w:val="22"/>
        </w:rPr>
      </w:pPr>
    </w:p>
    <w:p w14:paraId="02336531" w14:textId="6125F03C" w:rsidR="00541704" w:rsidRDefault="003D721B" w:rsidP="00101B45">
      <w:pPr>
        <w:spacing w:line="360" w:lineRule="auto"/>
        <w:ind w:right="111" w:firstLine="708"/>
        <w:jc w:val="both"/>
        <w:rPr>
          <w:rFonts w:ascii="Arial" w:hAnsi="Arial" w:cs="Arial"/>
          <w:sz w:val="22"/>
        </w:rPr>
      </w:pPr>
      <w:r>
        <w:rPr>
          <w:rFonts w:ascii="Arial" w:hAnsi="Arial" w:cs="Arial"/>
          <w:sz w:val="22"/>
        </w:rPr>
        <w:t>Sobre lo anterior</w:t>
      </w:r>
      <w:r w:rsidR="0018414B">
        <w:rPr>
          <w:rFonts w:ascii="Arial" w:hAnsi="Arial" w:cs="Arial"/>
          <w:sz w:val="22"/>
        </w:rPr>
        <w:t xml:space="preserve">, el segundo de los Transitorios de dicho Decreto, otorgó el plazo de ciento veinte días naturales para realizar la expedición de las Leyes Secundarias de la materia, con las que se entendería extinto el Organismo Autónomo; </w:t>
      </w:r>
      <w:r w:rsidR="00DA61F8">
        <w:rPr>
          <w:rFonts w:ascii="Arial" w:hAnsi="Arial" w:cs="Arial"/>
          <w:sz w:val="22"/>
        </w:rPr>
        <w:t>plazo que finaliza el día treinta de julio de dos mil veintiséis</w:t>
      </w:r>
      <w:r w:rsidR="0018414B">
        <w:rPr>
          <w:rFonts w:ascii="Arial" w:hAnsi="Arial" w:cs="Arial"/>
          <w:sz w:val="22"/>
        </w:rPr>
        <w:t>.</w:t>
      </w:r>
    </w:p>
    <w:p w14:paraId="77456DF0" w14:textId="77777777" w:rsidR="00936C0C" w:rsidRDefault="00936C0C" w:rsidP="00101B45">
      <w:pPr>
        <w:spacing w:line="360" w:lineRule="auto"/>
        <w:ind w:right="111" w:firstLine="708"/>
        <w:jc w:val="both"/>
        <w:rPr>
          <w:rFonts w:ascii="Arial" w:hAnsi="Arial" w:cs="Arial"/>
          <w:sz w:val="22"/>
        </w:rPr>
      </w:pPr>
    </w:p>
    <w:p w14:paraId="37989553" w14:textId="3AF281C3" w:rsidR="004437FA" w:rsidRDefault="00DA61F8" w:rsidP="00101B45">
      <w:pPr>
        <w:spacing w:line="360" w:lineRule="auto"/>
        <w:ind w:right="111" w:firstLine="708"/>
        <w:jc w:val="both"/>
        <w:rPr>
          <w:rFonts w:ascii="Arial" w:hAnsi="Arial" w:cs="Arial"/>
          <w:sz w:val="22"/>
        </w:rPr>
      </w:pPr>
      <w:r>
        <w:rPr>
          <w:rFonts w:ascii="Arial" w:hAnsi="Arial" w:cs="Arial"/>
          <w:sz w:val="22"/>
        </w:rPr>
        <w:t>Ahora bien</w:t>
      </w:r>
      <w:r w:rsidR="0018414B">
        <w:rPr>
          <w:rFonts w:ascii="Arial" w:hAnsi="Arial" w:cs="Arial"/>
          <w:sz w:val="22"/>
        </w:rPr>
        <w:t xml:space="preserve">, </w:t>
      </w:r>
      <w:r>
        <w:rPr>
          <w:rFonts w:ascii="Arial" w:hAnsi="Arial" w:cs="Arial"/>
          <w:sz w:val="22"/>
        </w:rPr>
        <w:t xml:space="preserve">el plazo antes señalado por sí solo no constituye </w:t>
      </w:r>
      <w:r w:rsidR="00FA683A">
        <w:rPr>
          <w:rFonts w:ascii="Arial" w:hAnsi="Arial" w:cs="Arial"/>
          <w:sz w:val="22"/>
        </w:rPr>
        <w:t>un elemento suficiente</w:t>
      </w:r>
      <w:r>
        <w:rPr>
          <w:rFonts w:ascii="Arial" w:hAnsi="Arial" w:cs="Arial"/>
          <w:sz w:val="22"/>
        </w:rPr>
        <w:t xml:space="preserve"> para considerar un peligro inminente</w:t>
      </w:r>
      <w:r w:rsidR="00FA683A">
        <w:rPr>
          <w:rFonts w:ascii="Arial" w:hAnsi="Arial" w:cs="Arial"/>
          <w:sz w:val="22"/>
        </w:rPr>
        <w:t xml:space="preserve"> en el perjuicio al derecho de acceso a la información pública, así como a la Tutela Judicial Efectiva</w:t>
      </w:r>
      <w:r>
        <w:rPr>
          <w:rFonts w:ascii="Arial" w:hAnsi="Arial" w:cs="Arial"/>
          <w:sz w:val="22"/>
        </w:rPr>
        <w:t xml:space="preserve">; dicha circunstancia se advierte de que, de conformidad con lo previsto en el numeral 35 fracción X, en concatenación con lo dispuesto por el diverso </w:t>
      </w:r>
      <w:r w:rsidR="00FA683A">
        <w:rPr>
          <w:rFonts w:ascii="Arial" w:hAnsi="Arial" w:cs="Arial"/>
          <w:sz w:val="22"/>
        </w:rPr>
        <w:t>30</w:t>
      </w:r>
      <w:r w:rsidR="00936C0C">
        <w:rPr>
          <w:rStyle w:val="Refdenotaalpie"/>
          <w:rFonts w:ascii="Arial" w:hAnsi="Arial" w:cs="Arial"/>
          <w:sz w:val="22"/>
        </w:rPr>
        <w:footnoteReference w:id="5"/>
      </w:r>
      <w:r w:rsidR="00FA683A">
        <w:rPr>
          <w:rFonts w:ascii="Arial" w:hAnsi="Arial" w:cs="Arial"/>
          <w:sz w:val="22"/>
        </w:rPr>
        <w:t>, fracciones XII</w:t>
      </w:r>
      <w:r w:rsidR="00936C0C">
        <w:rPr>
          <w:rStyle w:val="Refdenotaalpie"/>
          <w:rFonts w:ascii="Arial" w:hAnsi="Arial" w:cs="Arial"/>
          <w:sz w:val="22"/>
        </w:rPr>
        <w:footnoteReference w:id="6"/>
      </w:r>
      <w:r w:rsidR="00FA683A">
        <w:rPr>
          <w:rFonts w:ascii="Arial" w:hAnsi="Arial" w:cs="Arial"/>
          <w:sz w:val="22"/>
        </w:rPr>
        <w:t xml:space="preserve"> y XIII</w:t>
      </w:r>
      <w:r w:rsidR="00FA683A">
        <w:rPr>
          <w:rStyle w:val="Refdenotaalpie"/>
          <w:rFonts w:ascii="Arial" w:hAnsi="Arial" w:cs="Arial"/>
          <w:sz w:val="22"/>
        </w:rPr>
        <w:footnoteReference w:id="7"/>
      </w:r>
      <w:r w:rsidR="00FA683A">
        <w:rPr>
          <w:rFonts w:ascii="Arial" w:hAnsi="Arial" w:cs="Arial"/>
          <w:sz w:val="22"/>
        </w:rPr>
        <w:t>,</w:t>
      </w:r>
      <w:r w:rsidR="00936C0C">
        <w:rPr>
          <w:rFonts w:ascii="Arial" w:hAnsi="Arial" w:cs="Arial"/>
          <w:sz w:val="22"/>
        </w:rPr>
        <w:t xml:space="preserve"> del Reglamento Interior de la Comisión Estatal de Garantía de Acceso a la Información Pública,</w:t>
      </w:r>
      <w:r w:rsidR="00FA683A">
        <w:rPr>
          <w:rFonts w:ascii="Arial" w:hAnsi="Arial" w:cs="Arial"/>
          <w:sz w:val="22"/>
        </w:rPr>
        <w:t xml:space="preserve"> le corresponde a los Comisionados Ponentes, el análisis de cada uno de los asuntos que le corresponden por Turno, para en su momento, elaborar el Proyecto de Resolución que habrá de someterse a discusión por el Pleno de la Comisión, así como </w:t>
      </w:r>
      <w:r w:rsidR="00FA683A">
        <w:rPr>
          <w:rFonts w:ascii="Arial" w:hAnsi="Arial" w:cs="Arial"/>
          <w:sz w:val="22"/>
        </w:rPr>
        <w:lastRenderedPageBreak/>
        <w:t>la emisión de cada uno de los autos que, por cuestión de trámite resulten necesarios (encontrándose en aptitudes de delegar dicha atribución a la persona designada como Secretario Proyectista)</w:t>
      </w:r>
      <w:r w:rsidR="00456F9C">
        <w:rPr>
          <w:rFonts w:ascii="Arial" w:hAnsi="Arial" w:cs="Arial"/>
          <w:sz w:val="22"/>
        </w:rPr>
        <w:t>; Comisionados que duran en su encargo por el periodo de cuatro años, tal como lo establece la primera parte del numeral 31</w:t>
      </w:r>
      <w:r w:rsidR="00456F9C">
        <w:rPr>
          <w:rStyle w:val="Refdenotaalpie"/>
          <w:rFonts w:ascii="Arial" w:hAnsi="Arial" w:cs="Arial"/>
          <w:sz w:val="22"/>
        </w:rPr>
        <w:footnoteReference w:id="8"/>
      </w:r>
      <w:r w:rsidR="00456F9C">
        <w:rPr>
          <w:rFonts w:ascii="Arial" w:hAnsi="Arial" w:cs="Arial"/>
          <w:sz w:val="22"/>
        </w:rPr>
        <w:t xml:space="preserve"> de la Ley de Transparencia y Acceso a la Información Pública del Estado de San Luis Potosí</w:t>
      </w:r>
      <w:r w:rsidR="00FA683A">
        <w:rPr>
          <w:rFonts w:ascii="Arial" w:hAnsi="Arial" w:cs="Arial"/>
          <w:sz w:val="22"/>
        </w:rPr>
        <w:t>.</w:t>
      </w:r>
    </w:p>
    <w:p w14:paraId="7689D278" w14:textId="7178D652" w:rsidR="00FA683A" w:rsidRDefault="00FA683A" w:rsidP="00101B45">
      <w:pPr>
        <w:spacing w:line="360" w:lineRule="auto"/>
        <w:ind w:right="111" w:firstLine="708"/>
        <w:jc w:val="both"/>
        <w:rPr>
          <w:rFonts w:ascii="Arial" w:hAnsi="Arial" w:cs="Arial"/>
          <w:sz w:val="22"/>
        </w:rPr>
      </w:pPr>
    </w:p>
    <w:p w14:paraId="48866A92" w14:textId="6C341C9D" w:rsidR="008E1F02" w:rsidRDefault="003D721B" w:rsidP="00101B45">
      <w:pPr>
        <w:spacing w:line="360" w:lineRule="auto"/>
        <w:ind w:right="111" w:firstLine="708"/>
        <w:jc w:val="both"/>
        <w:rPr>
          <w:rFonts w:ascii="Arial" w:hAnsi="Arial" w:cs="Arial"/>
          <w:sz w:val="22"/>
        </w:rPr>
      </w:pPr>
      <w:r>
        <w:rPr>
          <w:rFonts w:ascii="Arial" w:hAnsi="Arial" w:cs="Arial"/>
          <w:sz w:val="22"/>
        </w:rPr>
        <w:t>Entonces</w:t>
      </w:r>
      <w:r w:rsidR="00936C0C">
        <w:rPr>
          <w:rFonts w:ascii="Arial" w:hAnsi="Arial" w:cs="Arial"/>
          <w:sz w:val="22"/>
        </w:rPr>
        <w:t xml:space="preserve">, es preciso señalar que, </w:t>
      </w:r>
      <w:r w:rsidR="00456F9C">
        <w:rPr>
          <w:rFonts w:ascii="Arial" w:hAnsi="Arial" w:cs="Arial"/>
          <w:sz w:val="22"/>
        </w:rPr>
        <w:t xml:space="preserve">con fecha treinta de junio de dos mil veintidós, el H. Congreso del Estado, mediante decreto número 0355, designó como Comisionada Numeraria Titular, a la Maestra Ana Cristina García </w:t>
      </w:r>
      <w:proofErr w:type="spellStart"/>
      <w:r w:rsidR="00456F9C">
        <w:rPr>
          <w:rFonts w:ascii="Arial" w:hAnsi="Arial" w:cs="Arial"/>
          <w:sz w:val="22"/>
        </w:rPr>
        <w:t>Nales</w:t>
      </w:r>
      <w:proofErr w:type="spellEnd"/>
      <w:r w:rsidR="00456F9C">
        <w:rPr>
          <w:rFonts w:ascii="Arial" w:hAnsi="Arial" w:cs="Arial"/>
          <w:sz w:val="22"/>
        </w:rPr>
        <w:t>, misma que es Titular de la Unidad de Ponencia 3; y, que se encuentra en funciones hasta el día treinta de junio de dos mil veintiséis</w:t>
      </w:r>
      <w:r w:rsidR="008E1F02">
        <w:rPr>
          <w:rFonts w:ascii="Arial" w:hAnsi="Arial" w:cs="Arial"/>
          <w:sz w:val="22"/>
        </w:rPr>
        <w:t>.</w:t>
      </w:r>
    </w:p>
    <w:p w14:paraId="0610701C" w14:textId="77777777" w:rsidR="008E1F02" w:rsidRDefault="008E1F02" w:rsidP="00101B45">
      <w:pPr>
        <w:spacing w:line="360" w:lineRule="auto"/>
        <w:ind w:right="111" w:firstLine="708"/>
        <w:jc w:val="both"/>
        <w:rPr>
          <w:rFonts w:ascii="Arial" w:hAnsi="Arial" w:cs="Arial"/>
          <w:sz w:val="22"/>
        </w:rPr>
      </w:pPr>
    </w:p>
    <w:p w14:paraId="57513951" w14:textId="7212B46A" w:rsidR="00456F9C" w:rsidRDefault="008E1F02" w:rsidP="00101B45">
      <w:pPr>
        <w:spacing w:line="360" w:lineRule="auto"/>
        <w:ind w:right="111" w:firstLine="708"/>
        <w:jc w:val="both"/>
        <w:rPr>
          <w:rFonts w:ascii="Arial" w:hAnsi="Arial" w:cs="Arial"/>
          <w:sz w:val="22"/>
        </w:rPr>
      </w:pPr>
      <w:r>
        <w:rPr>
          <w:rFonts w:ascii="Arial" w:hAnsi="Arial" w:cs="Arial"/>
          <w:sz w:val="22"/>
        </w:rPr>
        <w:t>P</w:t>
      </w:r>
      <w:r w:rsidR="00456F9C">
        <w:rPr>
          <w:rFonts w:ascii="Arial" w:hAnsi="Arial" w:cs="Arial"/>
          <w:sz w:val="22"/>
        </w:rPr>
        <w:t>or lo cual, atento a lo previsto en el diverso artículo 29</w:t>
      </w:r>
      <w:r w:rsidR="00456F9C">
        <w:rPr>
          <w:rStyle w:val="Refdenotaalpie"/>
          <w:rFonts w:ascii="Arial" w:hAnsi="Arial" w:cs="Arial"/>
          <w:sz w:val="22"/>
        </w:rPr>
        <w:footnoteReference w:id="9"/>
      </w:r>
      <w:r w:rsidR="00456F9C">
        <w:rPr>
          <w:rFonts w:ascii="Arial" w:hAnsi="Arial" w:cs="Arial"/>
          <w:sz w:val="22"/>
        </w:rPr>
        <w:t xml:space="preserve"> de la Ley Local de la materia (vigente), el multicitado H. Congreso del Estado debió emitir la Convocatoria para suplir el cargo en mención</w:t>
      </w:r>
      <w:r w:rsidR="003D721B">
        <w:rPr>
          <w:rFonts w:ascii="Arial" w:hAnsi="Arial" w:cs="Arial"/>
          <w:sz w:val="22"/>
        </w:rPr>
        <w:t xml:space="preserve"> a más tardar, el día diecinueve de mayo de dos mil veintiséis, con la finalidad de permitir, entre otras circunstancias, el continuo desempeño de las atribuciones correspondientes a la tramitación de los asuntos que por turno conoce la Unidad de Ponencia 3</w:t>
      </w:r>
      <w:r>
        <w:rPr>
          <w:rFonts w:ascii="Arial" w:hAnsi="Arial" w:cs="Arial"/>
          <w:sz w:val="22"/>
        </w:rPr>
        <w:t>.</w:t>
      </w:r>
    </w:p>
    <w:p w14:paraId="067C6E72" w14:textId="5902391A" w:rsidR="00456F9C" w:rsidRDefault="00456F9C" w:rsidP="00101B45">
      <w:pPr>
        <w:spacing w:line="360" w:lineRule="auto"/>
        <w:ind w:right="111" w:firstLine="708"/>
        <w:jc w:val="both"/>
        <w:rPr>
          <w:rFonts w:ascii="Arial" w:hAnsi="Arial" w:cs="Arial"/>
          <w:sz w:val="22"/>
        </w:rPr>
      </w:pPr>
    </w:p>
    <w:p w14:paraId="4555709D" w14:textId="37690F0E" w:rsidR="008E1F02" w:rsidRDefault="008E1F02" w:rsidP="00101B45">
      <w:pPr>
        <w:spacing w:line="360" w:lineRule="auto"/>
        <w:ind w:right="111" w:firstLine="708"/>
        <w:jc w:val="both"/>
        <w:rPr>
          <w:rFonts w:ascii="Arial" w:hAnsi="Arial" w:cs="Arial"/>
          <w:sz w:val="22"/>
        </w:rPr>
      </w:pPr>
      <w:r>
        <w:rPr>
          <w:rFonts w:ascii="Arial" w:hAnsi="Arial" w:cs="Arial"/>
          <w:sz w:val="22"/>
        </w:rPr>
        <w:t>Circunstancia la anterior, que a la fecha del presente acuerdo, el H. Congreso del Estado ha sido omiso en realizar; de manera que, como quedó de manifiesto en los párrafos que ant</w:t>
      </w:r>
      <w:r w:rsidR="003D721B">
        <w:rPr>
          <w:rFonts w:ascii="Arial" w:hAnsi="Arial" w:cs="Arial"/>
          <w:sz w:val="22"/>
        </w:rPr>
        <w:t>eceden, la Unidad de Ponencia 3</w:t>
      </w:r>
      <w:r>
        <w:rPr>
          <w:rFonts w:ascii="Arial" w:hAnsi="Arial" w:cs="Arial"/>
          <w:sz w:val="22"/>
        </w:rPr>
        <w:t xml:space="preserve"> de la Comisión Estatal de Garantía de Acceso a la Información Pública</w:t>
      </w:r>
      <w:r w:rsidR="003D721B">
        <w:rPr>
          <w:rFonts w:ascii="Arial" w:hAnsi="Arial" w:cs="Arial"/>
          <w:sz w:val="22"/>
        </w:rPr>
        <w:t xml:space="preserve">, al término de la Gestión de la Maestra Ana Cristina García </w:t>
      </w:r>
      <w:proofErr w:type="spellStart"/>
      <w:r w:rsidR="003D721B">
        <w:rPr>
          <w:rFonts w:ascii="Arial" w:hAnsi="Arial" w:cs="Arial"/>
          <w:sz w:val="22"/>
        </w:rPr>
        <w:t>Nales</w:t>
      </w:r>
      <w:proofErr w:type="spellEnd"/>
      <w:r w:rsidR="003D721B">
        <w:rPr>
          <w:rFonts w:ascii="Arial" w:hAnsi="Arial" w:cs="Arial"/>
          <w:sz w:val="22"/>
        </w:rPr>
        <w:t>,</w:t>
      </w:r>
      <w:r>
        <w:rPr>
          <w:rFonts w:ascii="Arial" w:hAnsi="Arial" w:cs="Arial"/>
          <w:sz w:val="22"/>
        </w:rPr>
        <w:t xml:space="preserve"> se encontrará con la imposibilidad material por ausencia de atribuciones originarias, para la emisión de autos, acuerdos, dictámenes o cualesquiera actos administrativos, a fin de atender procedimientos como lo resulta ser el trámite procedimental de los Recursos de Revisión.</w:t>
      </w:r>
    </w:p>
    <w:p w14:paraId="534AD008" w14:textId="5C7FD770" w:rsidR="008E1F02" w:rsidRDefault="008E1F02" w:rsidP="00101B45">
      <w:pPr>
        <w:spacing w:line="360" w:lineRule="auto"/>
        <w:ind w:right="111" w:firstLine="708"/>
        <w:jc w:val="both"/>
        <w:rPr>
          <w:rFonts w:ascii="Arial" w:hAnsi="Arial" w:cs="Arial"/>
          <w:sz w:val="22"/>
        </w:rPr>
      </w:pPr>
    </w:p>
    <w:p w14:paraId="2F78CA0A" w14:textId="7BBFBB9A" w:rsidR="008E1F02" w:rsidRDefault="008E1F02" w:rsidP="00101B45">
      <w:pPr>
        <w:spacing w:line="360" w:lineRule="auto"/>
        <w:ind w:right="111" w:firstLine="708"/>
        <w:jc w:val="both"/>
        <w:rPr>
          <w:rFonts w:ascii="Arial" w:hAnsi="Arial" w:cs="Arial"/>
          <w:sz w:val="22"/>
        </w:rPr>
      </w:pPr>
      <w:r>
        <w:rPr>
          <w:rFonts w:ascii="Arial" w:hAnsi="Arial" w:cs="Arial"/>
          <w:sz w:val="22"/>
        </w:rPr>
        <w:t xml:space="preserve">En ese sentido, queda en evidencia que, esta Unidad de Ponencia, de omitir la emisión del acto administrativo que de manera efectiva permita a la parte recurrente conocer respecto de la determinación sobre la suficiencia o insuficiencia de las constancias aportadas por el sujeto obligado, en el cumplimiento de la Resolución dictada en el presente asunto, derivaría en la disminución del efectivo ejercicio del </w:t>
      </w:r>
      <w:r>
        <w:rPr>
          <w:rFonts w:ascii="Arial" w:hAnsi="Arial" w:cs="Arial"/>
          <w:sz w:val="22"/>
        </w:rPr>
        <w:lastRenderedPageBreak/>
        <w:t xml:space="preserve">derecho de acceso a la información, así como un detrimento al principio de instancia efectiva, </w:t>
      </w:r>
      <w:r w:rsidR="003D721B">
        <w:rPr>
          <w:rFonts w:ascii="Arial" w:hAnsi="Arial" w:cs="Arial"/>
          <w:sz w:val="22"/>
        </w:rPr>
        <w:t xml:space="preserve"> contemplado en el</w:t>
      </w:r>
      <w:r>
        <w:rPr>
          <w:rFonts w:ascii="Arial" w:hAnsi="Arial" w:cs="Arial"/>
          <w:sz w:val="22"/>
        </w:rPr>
        <w:t xml:space="preserve"> derecho a una Tutela Judicial Efectiva.</w:t>
      </w:r>
    </w:p>
    <w:p w14:paraId="4CADA8D3" w14:textId="57A0C3D8" w:rsidR="008E1F02" w:rsidRDefault="008E1F02" w:rsidP="00101B45">
      <w:pPr>
        <w:spacing w:line="360" w:lineRule="auto"/>
        <w:ind w:right="111" w:firstLine="708"/>
        <w:jc w:val="both"/>
        <w:rPr>
          <w:rFonts w:ascii="Arial" w:hAnsi="Arial" w:cs="Arial"/>
          <w:sz w:val="22"/>
        </w:rPr>
      </w:pPr>
    </w:p>
    <w:p w14:paraId="1BBAFC70" w14:textId="77777777" w:rsidR="006A157D" w:rsidRDefault="005015ED" w:rsidP="005015ED">
      <w:pPr>
        <w:spacing w:line="360" w:lineRule="auto"/>
        <w:ind w:firstLine="709"/>
        <w:jc w:val="both"/>
        <w:rPr>
          <w:rFonts w:ascii="Arial" w:hAnsi="Arial" w:cs="Arial"/>
          <w:sz w:val="22"/>
        </w:rPr>
      </w:pPr>
      <w:r w:rsidRPr="005015ED">
        <w:rPr>
          <w:rFonts w:ascii="Arial" w:hAnsi="Arial" w:cs="Arial"/>
          <w:sz w:val="22"/>
          <w:lang w:val="es-ES_tradnl"/>
        </w:rPr>
        <w:t>En este sentido</w:t>
      </w:r>
      <w:r w:rsidRPr="005015ED">
        <w:rPr>
          <w:rFonts w:ascii="Arial" w:hAnsi="Arial" w:cs="Arial"/>
          <w:sz w:val="22"/>
        </w:rPr>
        <w:t>, este Organismo Garante, con la finalidad de garantizar</w:t>
      </w:r>
      <w:r w:rsidRPr="005015ED">
        <w:rPr>
          <w:rFonts w:ascii="Arial" w:hAnsi="Arial" w:cs="Arial"/>
          <w:sz w:val="22"/>
          <w:vertAlign w:val="superscript"/>
        </w:rPr>
        <w:footnoteReference w:id="10"/>
      </w:r>
      <w:r w:rsidRPr="005015ED">
        <w:rPr>
          <w:rFonts w:ascii="Arial" w:hAnsi="Arial" w:cs="Arial"/>
          <w:sz w:val="22"/>
        </w:rPr>
        <w:t xml:space="preserve"> de la manera más pronta y eficaz el derecho de acceso a la información de la ahora parte recurrente en el presente procedimiento de revisión, en observancia a lo previsto en el artículo 17</w:t>
      </w:r>
      <w:r w:rsidRPr="005015ED">
        <w:rPr>
          <w:rStyle w:val="Refdenotaalpie"/>
          <w:rFonts w:ascii="Arial" w:hAnsi="Arial" w:cs="Arial"/>
          <w:sz w:val="22"/>
        </w:rPr>
        <w:footnoteReference w:id="11"/>
      </w:r>
      <w:r w:rsidRPr="005015ED">
        <w:rPr>
          <w:rFonts w:ascii="Arial" w:hAnsi="Arial" w:cs="Arial"/>
          <w:sz w:val="22"/>
        </w:rPr>
        <w:t xml:space="preserve"> de la Constitución Política de los Estados Unidos Mexicanos y los principios de certeza</w:t>
      </w:r>
      <w:r w:rsidRPr="005015ED">
        <w:rPr>
          <w:rStyle w:val="Refdenotaalpie"/>
          <w:rFonts w:ascii="Arial" w:hAnsi="Arial" w:cs="Arial"/>
          <w:sz w:val="22"/>
        </w:rPr>
        <w:footnoteReference w:id="12"/>
      </w:r>
      <w:r w:rsidRPr="005015ED">
        <w:rPr>
          <w:rFonts w:ascii="Arial" w:hAnsi="Arial" w:cs="Arial"/>
          <w:sz w:val="22"/>
        </w:rPr>
        <w:t xml:space="preserve"> y eficacia</w:t>
      </w:r>
      <w:r w:rsidRPr="005015ED">
        <w:rPr>
          <w:rStyle w:val="Refdenotaalpie"/>
          <w:rFonts w:ascii="Arial" w:hAnsi="Arial" w:cs="Arial"/>
          <w:sz w:val="22"/>
        </w:rPr>
        <w:footnoteReference w:id="13"/>
      </w:r>
      <w:r w:rsidRPr="005015ED">
        <w:rPr>
          <w:rFonts w:ascii="Arial" w:hAnsi="Arial" w:cs="Arial"/>
          <w:sz w:val="22"/>
        </w:rPr>
        <w:t xml:space="preserve"> por el cual se rige</w:t>
      </w:r>
      <w:r w:rsidRPr="005015ED">
        <w:rPr>
          <w:rStyle w:val="Refdenotaalpie"/>
          <w:rFonts w:ascii="Arial" w:hAnsi="Arial" w:cs="Arial"/>
          <w:sz w:val="22"/>
        </w:rPr>
        <w:footnoteReference w:id="14"/>
      </w:r>
      <w:r w:rsidRPr="005015ED">
        <w:rPr>
          <w:rFonts w:ascii="Arial" w:hAnsi="Arial" w:cs="Arial"/>
          <w:sz w:val="22"/>
        </w:rPr>
        <w:t xml:space="preserve"> este Organismo, en correlación al principio de inmediatez y </w:t>
      </w:r>
      <w:proofErr w:type="spellStart"/>
      <w:r w:rsidRPr="005015ED">
        <w:rPr>
          <w:rFonts w:ascii="Arial" w:hAnsi="Arial" w:cs="Arial"/>
          <w:sz w:val="22"/>
        </w:rPr>
        <w:t>reparabilidad</w:t>
      </w:r>
      <w:proofErr w:type="spellEnd"/>
      <w:r w:rsidRPr="005015ED">
        <w:rPr>
          <w:rFonts w:ascii="Arial" w:hAnsi="Arial" w:cs="Arial"/>
          <w:sz w:val="22"/>
        </w:rPr>
        <w:t xml:space="preserve">, toda vez que la persona recurrente ha acudido al presente procedimiento de inconformidad ante esta Comisión, quien resuelve conoce directamente las circunstancias acaecidas en el presente procedimiento, es decir, la </w:t>
      </w:r>
      <w:r w:rsidR="006A157D">
        <w:rPr>
          <w:rFonts w:ascii="Arial" w:hAnsi="Arial" w:cs="Arial"/>
          <w:sz w:val="22"/>
        </w:rPr>
        <w:t xml:space="preserve">entrega de información en un formato diverso del solicitado, la </w:t>
      </w:r>
      <w:r>
        <w:rPr>
          <w:rFonts w:ascii="Arial" w:hAnsi="Arial" w:cs="Arial"/>
          <w:sz w:val="22"/>
        </w:rPr>
        <w:t>clasificación de la información</w:t>
      </w:r>
      <w:r w:rsidR="006A157D">
        <w:rPr>
          <w:rFonts w:ascii="Arial" w:hAnsi="Arial" w:cs="Arial"/>
          <w:sz w:val="22"/>
        </w:rPr>
        <w:t>, así como la insuficiencia o deficiencia en la fundamentación o motivación de la respuesta,</w:t>
      </w:r>
      <w:r w:rsidRPr="005015ED">
        <w:rPr>
          <w:rFonts w:ascii="Arial" w:hAnsi="Arial" w:cs="Arial"/>
          <w:sz w:val="22"/>
        </w:rPr>
        <w:t xml:space="preserve"> por parte del Sujeto Obligado</w:t>
      </w:r>
      <w:r w:rsidR="006A157D">
        <w:rPr>
          <w:rFonts w:ascii="Arial" w:hAnsi="Arial" w:cs="Arial"/>
          <w:sz w:val="22"/>
        </w:rPr>
        <w:t>.</w:t>
      </w:r>
    </w:p>
    <w:p w14:paraId="69830C2D" w14:textId="77777777" w:rsidR="006A157D" w:rsidRDefault="006A157D" w:rsidP="005015ED">
      <w:pPr>
        <w:spacing w:line="360" w:lineRule="auto"/>
        <w:ind w:firstLine="709"/>
        <w:jc w:val="both"/>
        <w:rPr>
          <w:rFonts w:ascii="Arial" w:hAnsi="Arial" w:cs="Arial"/>
          <w:sz w:val="22"/>
        </w:rPr>
      </w:pPr>
    </w:p>
    <w:p w14:paraId="3D533FAB" w14:textId="62274B74" w:rsidR="005015ED" w:rsidRPr="005015ED" w:rsidRDefault="006A157D" w:rsidP="005015ED">
      <w:pPr>
        <w:spacing w:line="360" w:lineRule="auto"/>
        <w:ind w:firstLine="709"/>
        <w:jc w:val="both"/>
        <w:rPr>
          <w:rFonts w:ascii="Arial" w:hAnsi="Arial" w:cs="Arial"/>
          <w:sz w:val="22"/>
        </w:rPr>
      </w:pPr>
      <w:r>
        <w:rPr>
          <w:rFonts w:ascii="Arial" w:hAnsi="Arial" w:cs="Arial"/>
          <w:sz w:val="22"/>
        </w:rPr>
        <w:t>P</w:t>
      </w:r>
      <w:r w:rsidR="005015ED" w:rsidRPr="005015ED">
        <w:rPr>
          <w:rFonts w:ascii="Arial" w:hAnsi="Arial" w:cs="Arial"/>
          <w:sz w:val="22"/>
        </w:rPr>
        <w:t xml:space="preserve">or lo que, ante la </w:t>
      </w:r>
      <w:r>
        <w:rPr>
          <w:rFonts w:ascii="Arial" w:hAnsi="Arial" w:cs="Arial"/>
          <w:sz w:val="22"/>
        </w:rPr>
        <w:t>Revocación</w:t>
      </w:r>
      <w:r w:rsidR="005015ED" w:rsidRPr="005015ED">
        <w:rPr>
          <w:rFonts w:ascii="Arial" w:hAnsi="Arial" w:cs="Arial"/>
          <w:sz w:val="22"/>
        </w:rPr>
        <w:t xml:space="preserve"> del acto reclamado, por el cual se hizo efectivo la excepción del ejercicio del derecho de acceso a la información establecidas en la Ley de la materia, con la finalidad de privilegiar la resolución de la presente controversia en atención al principio de seguridad jurídica y recurso efectivo enarbolados por el Pacto Federal en su artículo 17 párrafo III, pues </w:t>
      </w:r>
      <w:r>
        <w:rPr>
          <w:rFonts w:ascii="Arial" w:hAnsi="Arial" w:cs="Arial"/>
          <w:sz w:val="22"/>
        </w:rPr>
        <w:t>omitir la emisión del dictamen de mérito, así como su acuerdo correspondiente</w:t>
      </w:r>
      <w:r w:rsidR="005015ED" w:rsidRPr="005015ED">
        <w:rPr>
          <w:rFonts w:ascii="Arial" w:hAnsi="Arial" w:cs="Arial"/>
          <w:sz w:val="22"/>
        </w:rPr>
        <w:t>, en atención a la causal de excepción hecha valer por el sujeto obligado a través de su nueva respuesta, sería equiparable a la figura del reenvío</w:t>
      </w:r>
      <w:r>
        <w:rPr>
          <w:rFonts w:ascii="Arial" w:hAnsi="Arial" w:cs="Arial"/>
          <w:sz w:val="22"/>
        </w:rPr>
        <w:t xml:space="preserve">, al obligar a la ahora parte recurrente, a estar a la espera del trámite que corresponda, una vez se asuman las atribuciones de verificación de cumplimiento a las resoluciones dictadas por este Organismo, por la </w:t>
      </w:r>
      <w:r w:rsidR="00AD1DE8">
        <w:rPr>
          <w:rFonts w:ascii="Arial" w:hAnsi="Arial" w:cs="Arial"/>
          <w:sz w:val="22"/>
        </w:rPr>
        <w:t xml:space="preserve">nueva </w:t>
      </w:r>
      <w:r>
        <w:rPr>
          <w:rFonts w:ascii="Arial" w:hAnsi="Arial" w:cs="Arial"/>
          <w:sz w:val="22"/>
        </w:rPr>
        <w:t>Autoridad competente;</w:t>
      </w:r>
      <w:r w:rsidR="005015ED" w:rsidRPr="005015ED">
        <w:rPr>
          <w:rFonts w:ascii="Arial" w:hAnsi="Arial" w:cs="Arial"/>
          <w:sz w:val="22"/>
        </w:rPr>
        <w:t xml:space="preserve"> sin embargo, en aras de garantizar de manera efectiva el derecho de acceso a la persona recurrente, esta Comisión </w:t>
      </w:r>
      <w:r>
        <w:rPr>
          <w:rFonts w:ascii="Arial" w:hAnsi="Arial" w:cs="Arial"/>
          <w:sz w:val="22"/>
        </w:rPr>
        <w:t>debe asumir</w:t>
      </w:r>
      <w:r w:rsidR="005015ED" w:rsidRPr="005015ED">
        <w:rPr>
          <w:rFonts w:ascii="Arial" w:hAnsi="Arial" w:cs="Arial"/>
          <w:sz w:val="22"/>
        </w:rPr>
        <w:t xml:space="preserve"> plena jurisdicción en materia de transparencia. </w:t>
      </w:r>
    </w:p>
    <w:p w14:paraId="0FF72985" w14:textId="77777777" w:rsidR="005015ED" w:rsidRDefault="005015ED" w:rsidP="00101B45">
      <w:pPr>
        <w:spacing w:line="360" w:lineRule="auto"/>
        <w:ind w:right="111" w:firstLine="708"/>
        <w:jc w:val="both"/>
        <w:rPr>
          <w:rFonts w:ascii="Arial" w:hAnsi="Arial" w:cs="Arial"/>
          <w:sz w:val="22"/>
        </w:rPr>
      </w:pPr>
    </w:p>
    <w:p w14:paraId="61DA6986" w14:textId="33BB933E" w:rsidR="008E1F02" w:rsidRDefault="008E1F02" w:rsidP="00101B45">
      <w:pPr>
        <w:spacing w:line="360" w:lineRule="auto"/>
        <w:ind w:right="111" w:firstLine="708"/>
        <w:jc w:val="both"/>
        <w:rPr>
          <w:rFonts w:ascii="Arial" w:hAnsi="Arial" w:cs="Arial"/>
          <w:sz w:val="22"/>
        </w:rPr>
      </w:pPr>
      <w:r>
        <w:rPr>
          <w:rFonts w:ascii="Arial" w:hAnsi="Arial" w:cs="Arial"/>
          <w:sz w:val="22"/>
        </w:rPr>
        <w:t xml:space="preserve">Así, no obstante que en el presente asunto no se otorgue la vista de las constancias aportadas por el sujeto obligado, a la ahora parte recurrente, lo cierto es que </w:t>
      </w:r>
      <w:r w:rsidR="005015ED">
        <w:rPr>
          <w:rFonts w:ascii="Arial" w:hAnsi="Arial" w:cs="Arial"/>
          <w:sz w:val="22"/>
        </w:rPr>
        <w:t xml:space="preserve">ello no lesiona su esfera de derechos en tanto que el dictamen se realiza con </w:t>
      </w:r>
      <w:r w:rsidR="005015ED">
        <w:rPr>
          <w:rFonts w:ascii="Arial" w:hAnsi="Arial" w:cs="Arial"/>
          <w:sz w:val="22"/>
        </w:rPr>
        <w:lastRenderedPageBreak/>
        <w:t>atención al peligro en la demora</w:t>
      </w:r>
      <w:r w:rsidR="006A157D">
        <w:rPr>
          <w:rFonts w:ascii="Arial" w:hAnsi="Arial" w:cs="Arial"/>
          <w:sz w:val="22"/>
        </w:rPr>
        <w:t xml:space="preserve"> que causa la omisión</w:t>
      </w:r>
      <w:r w:rsidR="00AD1DE8">
        <w:rPr>
          <w:rFonts w:ascii="Arial" w:hAnsi="Arial" w:cs="Arial"/>
          <w:sz w:val="22"/>
        </w:rPr>
        <w:t xml:space="preserve"> del H. Congreso del Estado</w:t>
      </w:r>
      <w:r w:rsidR="006A157D">
        <w:rPr>
          <w:rFonts w:ascii="Arial" w:hAnsi="Arial" w:cs="Arial"/>
          <w:sz w:val="22"/>
        </w:rPr>
        <w:t xml:space="preserve"> señalada</w:t>
      </w:r>
      <w:r w:rsidR="005015ED">
        <w:rPr>
          <w:rFonts w:ascii="Arial" w:hAnsi="Arial" w:cs="Arial"/>
          <w:sz w:val="22"/>
        </w:rPr>
        <w:t>.</w:t>
      </w:r>
    </w:p>
    <w:p w14:paraId="1EA9FEA2" w14:textId="77777777" w:rsidR="008E1F02" w:rsidRPr="00101B45" w:rsidRDefault="008E1F02" w:rsidP="00101B45">
      <w:pPr>
        <w:spacing w:line="360" w:lineRule="auto"/>
        <w:ind w:right="111" w:firstLine="708"/>
        <w:jc w:val="both"/>
        <w:rPr>
          <w:rFonts w:ascii="Arial" w:hAnsi="Arial" w:cs="Arial"/>
          <w:sz w:val="22"/>
        </w:rPr>
      </w:pPr>
    </w:p>
    <w:p w14:paraId="10C577FB" w14:textId="533F08C3" w:rsidR="00101B45" w:rsidRPr="00101B45" w:rsidRDefault="00101B45" w:rsidP="00101B45">
      <w:pPr>
        <w:spacing w:line="360" w:lineRule="auto"/>
        <w:ind w:firstLine="708"/>
        <w:jc w:val="both"/>
        <w:rPr>
          <w:rFonts w:ascii="Arial" w:hAnsi="Arial" w:cs="Arial"/>
          <w:sz w:val="22"/>
          <w:szCs w:val="22"/>
          <w:lang w:eastAsia="es-MX"/>
        </w:rPr>
      </w:pPr>
      <w:r w:rsidRPr="00101B45">
        <w:rPr>
          <w:rFonts w:ascii="Arial" w:hAnsi="Arial" w:cs="Arial"/>
          <w:b/>
          <w:sz w:val="22"/>
          <w:szCs w:val="22"/>
          <w:lang w:eastAsia="es-MX"/>
        </w:rPr>
        <w:t>TERCERO.</w:t>
      </w:r>
      <w:r w:rsidRPr="00101B45">
        <w:rPr>
          <w:rFonts w:ascii="Arial" w:hAnsi="Arial" w:cs="Arial"/>
          <w:sz w:val="22"/>
          <w:szCs w:val="22"/>
          <w:lang w:eastAsia="es-MX"/>
        </w:rPr>
        <w:t xml:space="preserve"> </w:t>
      </w:r>
      <w:r w:rsidRPr="00101B45">
        <w:rPr>
          <w:rFonts w:ascii="Arial" w:hAnsi="Arial" w:cs="Arial"/>
          <w:b/>
          <w:sz w:val="22"/>
          <w:szCs w:val="22"/>
          <w:lang w:eastAsia="es-MX"/>
        </w:rPr>
        <w:t xml:space="preserve">Análisis de constancias. </w:t>
      </w:r>
      <w:r w:rsidRPr="00101B45">
        <w:rPr>
          <w:rFonts w:ascii="Arial" w:eastAsia="Arial" w:hAnsi="Arial" w:cs="Arial"/>
          <w:spacing w:val="1"/>
          <w:sz w:val="22"/>
          <w:szCs w:val="22"/>
        </w:rPr>
        <w:t xml:space="preserve">Una vez precisados </w:t>
      </w:r>
      <w:r w:rsidR="006A157D">
        <w:rPr>
          <w:rFonts w:ascii="Arial" w:eastAsia="Arial" w:hAnsi="Arial" w:cs="Arial"/>
          <w:spacing w:val="1"/>
          <w:sz w:val="22"/>
          <w:szCs w:val="22"/>
        </w:rPr>
        <w:t>lo anterior</w:t>
      </w:r>
      <w:r w:rsidRPr="00101B45">
        <w:rPr>
          <w:rFonts w:ascii="Arial" w:eastAsia="Arial" w:hAnsi="Arial" w:cs="Arial"/>
          <w:spacing w:val="1"/>
          <w:sz w:val="22"/>
          <w:szCs w:val="22"/>
        </w:rPr>
        <w:t>, con fundamento en lo establecido en el artículo 185 de la Ley de Transparencia y Acceso a la Información Pública del Estado, esta Comisión entrará al estudio de las constancias que integran el presente expediente.</w:t>
      </w:r>
    </w:p>
    <w:p w14:paraId="3DA7F4B3" w14:textId="77777777" w:rsidR="00101B45" w:rsidRPr="00101B45" w:rsidRDefault="00101B45" w:rsidP="00315D18">
      <w:pPr>
        <w:spacing w:line="360" w:lineRule="auto"/>
        <w:ind w:firstLine="567"/>
        <w:jc w:val="both"/>
        <w:rPr>
          <w:rFonts w:ascii="Arial" w:eastAsia="Arial" w:hAnsi="Arial" w:cs="Arial"/>
          <w:b/>
          <w:spacing w:val="1"/>
          <w:sz w:val="22"/>
          <w:szCs w:val="22"/>
        </w:rPr>
      </w:pPr>
    </w:p>
    <w:p w14:paraId="4FAE93A5" w14:textId="17CE2283" w:rsidR="00101B45" w:rsidRPr="00101B45" w:rsidRDefault="00101B45" w:rsidP="00101B45">
      <w:pPr>
        <w:spacing w:line="360" w:lineRule="auto"/>
        <w:ind w:firstLine="709"/>
        <w:jc w:val="both"/>
        <w:rPr>
          <w:rFonts w:ascii="Arial" w:eastAsia="Arial Unicode MS" w:hAnsi="Arial" w:cs="Arial"/>
          <w:sz w:val="22"/>
          <w:szCs w:val="22"/>
        </w:rPr>
      </w:pPr>
      <w:r w:rsidRPr="00101B45">
        <w:rPr>
          <w:rFonts w:ascii="Arial" w:hAnsi="Arial" w:cs="Arial"/>
          <w:sz w:val="22"/>
          <w:szCs w:val="22"/>
          <w:lang w:eastAsia="es-MX"/>
        </w:rPr>
        <w:t xml:space="preserve">Como se evidencia </w:t>
      </w:r>
      <w:r>
        <w:rPr>
          <w:rFonts w:ascii="Arial" w:hAnsi="Arial" w:cs="Arial"/>
          <w:sz w:val="22"/>
          <w:szCs w:val="22"/>
          <w:lang w:eastAsia="es-MX"/>
        </w:rPr>
        <w:t xml:space="preserve">en los antecedentes señalados, </w:t>
      </w:r>
      <w:r w:rsidRPr="00101B45">
        <w:rPr>
          <w:rFonts w:ascii="Arial" w:hAnsi="Arial" w:cs="Arial"/>
          <w:sz w:val="22"/>
          <w:szCs w:val="22"/>
          <w:lang w:eastAsia="es-MX"/>
        </w:rPr>
        <w:t>l</w:t>
      </w:r>
      <w:r>
        <w:rPr>
          <w:rFonts w:ascii="Arial" w:hAnsi="Arial" w:cs="Arial"/>
          <w:sz w:val="22"/>
          <w:szCs w:val="22"/>
          <w:lang w:eastAsia="es-MX"/>
        </w:rPr>
        <w:t>a</w:t>
      </w:r>
      <w:r w:rsidRPr="00101B45">
        <w:rPr>
          <w:rFonts w:ascii="Arial" w:hAnsi="Arial" w:cs="Arial"/>
          <w:sz w:val="22"/>
          <w:szCs w:val="22"/>
          <w:lang w:eastAsia="es-MX"/>
        </w:rPr>
        <w:t xml:space="preserve"> aquí recurrente realizó una solicitud de información ante </w:t>
      </w:r>
      <w:r w:rsidR="004652C3">
        <w:rPr>
          <w:rFonts w:ascii="Arial" w:hAnsi="Arial" w:cs="Arial"/>
          <w:sz w:val="22"/>
          <w:szCs w:val="22"/>
          <w:lang w:eastAsia="es-MX"/>
        </w:rPr>
        <w:t>la</w:t>
      </w:r>
      <w:r w:rsidRPr="00101B45">
        <w:rPr>
          <w:rFonts w:ascii="Arial" w:hAnsi="Arial" w:cs="Arial"/>
          <w:sz w:val="22"/>
          <w:szCs w:val="22"/>
          <w:lang w:eastAsia="es-MX"/>
        </w:rPr>
        <w:t xml:space="preserve"> </w:t>
      </w:r>
      <w:r w:rsidR="006A157D">
        <w:rPr>
          <w:rFonts w:ascii="Arial" w:eastAsia="Arial Unicode MS" w:hAnsi="Arial" w:cs="Arial"/>
          <w:b/>
          <w:sz w:val="22"/>
          <w:szCs w:val="22"/>
        </w:rPr>
        <w:t>Secretaría General de Gobierno del Estado</w:t>
      </w:r>
      <w:r w:rsidRPr="00101B45">
        <w:rPr>
          <w:rFonts w:ascii="Arial" w:eastAsia="Arial Unicode MS" w:hAnsi="Arial" w:cs="Arial"/>
          <w:sz w:val="22"/>
          <w:szCs w:val="22"/>
        </w:rPr>
        <w:t>.</w:t>
      </w:r>
    </w:p>
    <w:p w14:paraId="7762F070" w14:textId="77777777" w:rsidR="00101B45" w:rsidRPr="00101B45" w:rsidRDefault="00101B45" w:rsidP="00101B45">
      <w:pPr>
        <w:spacing w:line="360" w:lineRule="auto"/>
        <w:ind w:firstLine="709"/>
        <w:jc w:val="both"/>
        <w:rPr>
          <w:rFonts w:ascii="Arial" w:eastAsia="Arial Unicode MS" w:hAnsi="Arial" w:cs="Arial"/>
          <w:sz w:val="22"/>
          <w:szCs w:val="22"/>
        </w:rPr>
      </w:pPr>
    </w:p>
    <w:p w14:paraId="29AEEE2D" w14:textId="5035F51D" w:rsidR="00101B45" w:rsidRPr="00101B45" w:rsidRDefault="00101B45" w:rsidP="00101B45">
      <w:pPr>
        <w:spacing w:line="360" w:lineRule="auto"/>
        <w:ind w:firstLine="709"/>
        <w:jc w:val="both"/>
        <w:rPr>
          <w:rFonts w:ascii="Arial" w:hAnsi="Arial" w:cs="Arial"/>
          <w:sz w:val="22"/>
          <w:szCs w:val="22"/>
        </w:rPr>
      </w:pPr>
      <w:r w:rsidRPr="00101B45">
        <w:rPr>
          <w:rFonts w:ascii="Arial" w:eastAsia="Arial Unicode MS" w:hAnsi="Arial" w:cs="Arial"/>
          <w:sz w:val="22"/>
          <w:szCs w:val="22"/>
        </w:rPr>
        <w:t>Por lo tanto, e</w:t>
      </w:r>
      <w:r w:rsidRPr="00101B45">
        <w:rPr>
          <w:rFonts w:ascii="Arial" w:hAnsi="Arial" w:cs="Arial"/>
          <w:sz w:val="22"/>
          <w:szCs w:val="22"/>
        </w:rPr>
        <w:t xml:space="preserve">n Sesión Extraordinaria de Pleno de este Órgano Autónomo y en atención al escrito de inconformidad del solicitante en el que se agravia de la respuesta proporcionada, se determinó </w:t>
      </w:r>
      <w:r w:rsidR="006A157D">
        <w:rPr>
          <w:rFonts w:ascii="Arial" w:hAnsi="Arial" w:cs="Arial"/>
          <w:b/>
          <w:sz w:val="22"/>
          <w:szCs w:val="22"/>
        </w:rPr>
        <w:t>REVOCAR</w:t>
      </w:r>
      <w:r w:rsidRPr="00101B45">
        <w:rPr>
          <w:rFonts w:ascii="Arial" w:hAnsi="Arial" w:cs="Arial"/>
          <w:sz w:val="22"/>
          <w:szCs w:val="22"/>
        </w:rPr>
        <w:t xml:space="preserve"> la respuesta del sujeto obligado, por lo que se le conminó para efectos de que, entre otras circunstancias:</w:t>
      </w:r>
    </w:p>
    <w:p w14:paraId="36F406FF" w14:textId="77777777" w:rsidR="00101B45" w:rsidRPr="002041E4" w:rsidRDefault="00101B45" w:rsidP="00101B45">
      <w:pPr>
        <w:spacing w:line="360" w:lineRule="auto"/>
        <w:ind w:firstLine="709"/>
        <w:jc w:val="both"/>
        <w:rPr>
          <w:rFonts w:ascii="Arial" w:hAnsi="Arial" w:cs="Arial"/>
          <w:sz w:val="22"/>
        </w:rPr>
      </w:pPr>
    </w:p>
    <w:p w14:paraId="50A11ED0" w14:textId="77777777" w:rsidR="00370B2D" w:rsidRPr="00D451D7" w:rsidRDefault="00370B2D" w:rsidP="00370B2D">
      <w:pPr>
        <w:pStyle w:val="Estilo"/>
        <w:numPr>
          <w:ilvl w:val="0"/>
          <w:numId w:val="9"/>
        </w:numPr>
        <w:ind w:right="1183"/>
        <w:rPr>
          <w:rFonts w:cs="Arial"/>
          <w:sz w:val="20"/>
          <w:szCs w:val="24"/>
        </w:rPr>
      </w:pPr>
      <w:r w:rsidRPr="00D451D7">
        <w:rPr>
          <w:rFonts w:cs="Arial"/>
          <w:b/>
          <w:sz w:val="20"/>
          <w:szCs w:val="24"/>
        </w:rPr>
        <w:t xml:space="preserve">8.1. Precisiones de esta resolución. </w:t>
      </w:r>
      <w:r w:rsidRPr="00D451D7">
        <w:rPr>
          <w:rFonts w:cs="Arial"/>
          <w:sz w:val="20"/>
          <w:szCs w:val="24"/>
        </w:rPr>
        <w:t xml:space="preserve">Con base en las consideraciones vertidas en el considerando </w:t>
      </w:r>
      <w:r w:rsidRPr="00D451D7">
        <w:rPr>
          <w:rFonts w:cs="Arial"/>
          <w:b/>
          <w:sz w:val="20"/>
          <w:szCs w:val="24"/>
        </w:rPr>
        <w:t>SEPTIMO</w:t>
      </w:r>
      <w:r w:rsidRPr="00D451D7">
        <w:rPr>
          <w:rFonts w:cs="Arial"/>
          <w:sz w:val="20"/>
          <w:szCs w:val="24"/>
        </w:rPr>
        <w:t xml:space="preserve"> de la presente determinación, el Sujeto Obligado </w:t>
      </w:r>
      <w:r w:rsidRPr="00D451D7">
        <w:rPr>
          <w:rFonts w:cs="Arial"/>
          <w:bCs/>
          <w:sz w:val="20"/>
          <w:szCs w:val="24"/>
        </w:rPr>
        <w:t xml:space="preserve">deberá emitir </w:t>
      </w:r>
      <w:r w:rsidRPr="00D451D7">
        <w:rPr>
          <w:rFonts w:cs="Arial"/>
          <w:sz w:val="20"/>
          <w:szCs w:val="24"/>
        </w:rPr>
        <w:t xml:space="preserve">una respuesta, en la que se siga el procedimiento que refieren los artículos 114, 119, 120, 123, 128, 138, 142 y 159 de la Ley de Transparencia y Acceso a la Información Pública, así como lo previsto en los </w:t>
      </w:r>
      <w:r w:rsidRPr="00D451D7">
        <w:rPr>
          <w:rFonts w:cs="Arial"/>
          <w:sz w:val="20"/>
          <w:szCs w:val="24"/>
          <w:lang w:val="es-ES_tradnl"/>
        </w:rPr>
        <w:t xml:space="preserve">Lineamientos Generales en Materia de Clasificación y Desclasificación de la Información, así como para la Elaboración de Versiones Públicas, </w:t>
      </w:r>
      <w:r w:rsidRPr="00D451D7">
        <w:rPr>
          <w:rFonts w:cs="Arial"/>
          <w:sz w:val="20"/>
          <w:szCs w:val="24"/>
        </w:rPr>
        <w:t>resolviendo lo que en derecho corresponde, atendiendo con total libertad de jurisdicción, la totalidad de las consideraciones vertidas en la presente resolución.</w:t>
      </w:r>
    </w:p>
    <w:p w14:paraId="43683220" w14:textId="1E5FB4FF" w:rsidR="00101B45" w:rsidRPr="00101B45" w:rsidRDefault="00101B45" w:rsidP="00101B45">
      <w:pPr>
        <w:pStyle w:val="Textoindependienteprimerasangra"/>
        <w:spacing w:after="0" w:line="240" w:lineRule="auto"/>
        <w:ind w:left="1134" w:right="1183" w:firstLine="0"/>
        <w:rPr>
          <w:rFonts w:ascii="Arial" w:hAnsi="Arial" w:cs="Arial"/>
          <w:sz w:val="20"/>
        </w:rPr>
      </w:pPr>
    </w:p>
    <w:p w14:paraId="10F87077" w14:textId="77777777" w:rsidR="00101B45" w:rsidRPr="002041E4" w:rsidRDefault="00101B45" w:rsidP="00101B45">
      <w:pPr>
        <w:autoSpaceDE w:val="0"/>
        <w:autoSpaceDN w:val="0"/>
        <w:adjustRightInd w:val="0"/>
        <w:spacing w:line="360" w:lineRule="auto"/>
        <w:ind w:left="1134" w:right="1183"/>
        <w:contextualSpacing/>
        <w:jc w:val="both"/>
        <w:rPr>
          <w:rFonts w:ascii="Arial" w:eastAsiaTheme="minorHAnsi" w:hAnsi="Arial" w:cs="Arial"/>
          <w:sz w:val="22"/>
          <w:lang w:val="es-MX" w:eastAsia="en-US"/>
        </w:rPr>
      </w:pPr>
    </w:p>
    <w:p w14:paraId="4459ED5A" w14:textId="5BE96B68" w:rsidR="00101B45" w:rsidRPr="00101B45" w:rsidRDefault="00101B45" w:rsidP="00101B45">
      <w:pPr>
        <w:autoSpaceDE w:val="0"/>
        <w:autoSpaceDN w:val="0"/>
        <w:adjustRightInd w:val="0"/>
        <w:spacing w:line="360" w:lineRule="auto"/>
        <w:ind w:right="49" w:firstLine="709"/>
        <w:contextualSpacing/>
        <w:jc w:val="both"/>
        <w:rPr>
          <w:rFonts w:ascii="Arial" w:hAnsi="Arial" w:cs="Arial"/>
          <w:sz w:val="22"/>
        </w:rPr>
      </w:pPr>
      <w:r w:rsidRPr="00101B45">
        <w:rPr>
          <w:rFonts w:ascii="Arial" w:eastAsiaTheme="minorHAnsi" w:hAnsi="Arial" w:cs="Arial"/>
          <w:sz w:val="22"/>
          <w:lang w:val="es-MX" w:eastAsia="en-US"/>
        </w:rPr>
        <w:t xml:space="preserve">Es por lo anterior, que el sujeto obligado exhibió </w:t>
      </w:r>
      <w:r w:rsidR="004652C3">
        <w:rPr>
          <w:rFonts w:ascii="Arial" w:eastAsiaTheme="minorHAnsi" w:hAnsi="Arial" w:cs="Arial"/>
          <w:sz w:val="22"/>
          <w:lang w:val="es-MX" w:eastAsia="en-US"/>
        </w:rPr>
        <w:t>e</w:t>
      </w:r>
      <w:r>
        <w:rPr>
          <w:rFonts w:ascii="Arial" w:eastAsiaTheme="minorHAnsi" w:hAnsi="Arial" w:cs="Arial"/>
          <w:sz w:val="22"/>
          <w:lang w:val="es-MX" w:eastAsia="en-US"/>
        </w:rPr>
        <w:t>l</w:t>
      </w:r>
      <w:r w:rsidRPr="00101B45">
        <w:rPr>
          <w:rFonts w:ascii="Arial" w:hAnsi="Arial" w:cs="Arial"/>
          <w:sz w:val="22"/>
        </w:rPr>
        <w:t xml:space="preserve"> oficio</w:t>
      </w:r>
      <w:r w:rsidR="00D0432A">
        <w:rPr>
          <w:rFonts w:ascii="Arial" w:hAnsi="Arial" w:cs="Arial"/>
          <w:sz w:val="22"/>
        </w:rPr>
        <w:t xml:space="preserve"> </w:t>
      </w:r>
      <w:r w:rsidRPr="00101B45">
        <w:rPr>
          <w:rFonts w:ascii="Arial" w:hAnsi="Arial" w:cs="Arial"/>
          <w:sz w:val="22"/>
        </w:rPr>
        <w:t>número</w:t>
      </w:r>
      <w:r w:rsidR="00370B2D">
        <w:rPr>
          <w:rFonts w:ascii="Arial" w:hAnsi="Arial" w:cs="Arial"/>
          <w:sz w:val="22"/>
        </w:rPr>
        <w:t xml:space="preserve"> SGG/UT/269/2026</w:t>
      </w:r>
      <w:r w:rsidRPr="00101B45">
        <w:rPr>
          <w:rFonts w:ascii="Arial" w:hAnsi="Arial" w:cs="Arial"/>
          <w:sz w:val="22"/>
        </w:rPr>
        <w:t>, a través del cual remitió a este Órgano Garante, entre otras circunstancias</w:t>
      </w:r>
      <w:r w:rsidR="00370B2D">
        <w:rPr>
          <w:rFonts w:ascii="Arial" w:hAnsi="Arial" w:cs="Arial"/>
          <w:sz w:val="22"/>
        </w:rPr>
        <w:t xml:space="preserve">, </w:t>
      </w:r>
      <w:r w:rsidR="002758C7">
        <w:rPr>
          <w:rFonts w:ascii="Arial" w:hAnsi="Arial" w:cs="Arial"/>
          <w:sz w:val="22"/>
        </w:rPr>
        <w:t>las siguientes constancias</w:t>
      </w:r>
      <w:r w:rsidRPr="00101B45">
        <w:rPr>
          <w:rFonts w:ascii="Arial" w:hAnsi="Arial" w:cs="Arial"/>
          <w:sz w:val="22"/>
        </w:rPr>
        <w:t>:</w:t>
      </w:r>
    </w:p>
    <w:p w14:paraId="48F3699D" w14:textId="77777777" w:rsidR="00101B45" w:rsidRPr="002041E4" w:rsidRDefault="00101B45" w:rsidP="00101B45">
      <w:pPr>
        <w:autoSpaceDE w:val="0"/>
        <w:autoSpaceDN w:val="0"/>
        <w:adjustRightInd w:val="0"/>
        <w:spacing w:line="360" w:lineRule="auto"/>
        <w:ind w:right="49" w:firstLine="709"/>
        <w:contextualSpacing/>
        <w:jc w:val="both"/>
        <w:rPr>
          <w:rFonts w:ascii="Arial" w:hAnsi="Arial" w:cs="Arial"/>
          <w:sz w:val="22"/>
        </w:rPr>
      </w:pPr>
    </w:p>
    <w:p w14:paraId="74C00B17" w14:textId="77777777" w:rsidR="00370B2D" w:rsidRDefault="00370B2D"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Oficio número SGG/UT/264/2026, emitido el veintidós de junio de dos mil veintiséis, por el Titular de la Unidad de Transparencia del Sujeto Obligado, por medio del cual emite la nueva respuesta en atención a la resolución dictada en el presente asunto.</w:t>
      </w:r>
    </w:p>
    <w:p w14:paraId="612CDDF9" w14:textId="56CAEA34" w:rsidR="00FB6BAF" w:rsidRPr="00370B2D" w:rsidRDefault="00370B2D"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Impresión del correo electrónico remitido a la dirección de correo electrónico señalado por la parte recurrente, para efecto de recibir notificaciones, por el cual el Sujeto Obligado remite la digitalización de la versión Pública del Expediente número GES-PV-0806</w:t>
      </w:r>
      <w:r w:rsidR="00FB6BAF" w:rsidRPr="00370B2D">
        <w:rPr>
          <w:rFonts w:ascii="Arial" w:hAnsi="Arial" w:cs="Arial"/>
          <w:sz w:val="20"/>
        </w:rPr>
        <w:t>.</w:t>
      </w:r>
    </w:p>
    <w:p w14:paraId="665A7B04" w14:textId="77777777" w:rsidR="007B194A" w:rsidRPr="002041E4" w:rsidRDefault="007B194A" w:rsidP="00101B45">
      <w:pPr>
        <w:ind w:firstLine="708"/>
        <w:jc w:val="both"/>
        <w:rPr>
          <w:rFonts w:ascii="Arial" w:hAnsi="Arial" w:cs="Arial"/>
        </w:rPr>
      </w:pPr>
    </w:p>
    <w:p w14:paraId="2745AEDC" w14:textId="1408D78C"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En este sentido, se estima que la respuesta otorgada por el </w:t>
      </w:r>
      <w:r>
        <w:rPr>
          <w:rFonts w:ascii="Arial" w:hAnsi="Arial" w:cs="Arial"/>
          <w:sz w:val="22"/>
          <w:szCs w:val="22"/>
        </w:rPr>
        <w:t>Sujeto O</w:t>
      </w:r>
      <w:r w:rsidRPr="009517DD">
        <w:rPr>
          <w:rFonts w:ascii="Arial" w:hAnsi="Arial" w:cs="Arial"/>
          <w:sz w:val="22"/>
          <w:szCs w:val="22"/>
        </w:rPr>
        <w:t>bligado atiende los efectos señalados en la determinación</w:t>
      </w:r>
      <w:r>
        <w:rPr>
          <w:rFonts w:ascii="Arial" w:hAnsi="Arial" w:cs="Arial"/>
          <w:sz w:val="22"/>
          <w:szCs w:val="22"/>
        </w:rPr>
        <w:t xml:space="preserve"> adoptada por el Pleno de esta C</w:t>
      </w:r>
      <w:r w:rsidRPr="009517DD">
        <w:rPr>
          <w:rFonts w:ascii="Arial" w:hAnsi="Arial" w:cs="Arial"/>
          <w:sz w:val="22"/>
          <w:szCs w:val="22"/>
        </w:rPr>
        <w:t xml:space="preserve">omisión, ello así en virtud de que se atienden los puntos formulados </w:t>
      </w:r>
      <w:r>
        <w:rPr>
          <w:rFonts w:ascii="Arial" w:hAnsi="Arial" w:cs="Arial"/>
          <w:sz w:val="22"/>
          <w:szCs w:val="22"/>
        </w:rPr>
        <w:t xml:space="preserve">en la solicitud de </w:t>
      </w:r>
      <w:r>
        <w:rPr>
          <w:rFonts w:ascii="Arial" w:hAnsi="Arial" w:cs="Arial"/>
          <w:sz w:val="22"/>
          <w:szCs w:val="22"/>
        </w:rPr>
        <w:lastRenderedPageBreak/>
        <w:t>acceso</w:t>
      </w:r>
      <w:r w:rsidR="007B194A">
        <w:rPr>
          <w:rFonts w:ascii="Arial" w:hAnsi="Arial" w:cs="Arial"/>
          <w:sz w:val="22"/>
          <w:szCs w:val="22"/>
        </w:rPr>
        <w:t xml:space="preserve">, en tanto que se otorgó acceso a la ahora parte recurrente, de </w:t>
      </w:r>
      <w:r w:rsidR="005D26DE">
        <w:rPr>
          <w:rFonts w:ascii="Arial" w:hAnsi="Arial" w:cs="Arial"/>
          <w:sz w:val="22"/>
          <w:szCs w:val="22"/>
        </w:rPr>
        <w:t>la nueva respuesta a la solicitud de acceso a la inform</w:t>
      </w:r>
      <w:r w:rsidR="00370B2D">
        <w:rPr>
          <w:rFonts w:ascii="Arial" w:hAnsi="Arial" w:cs="Arial"/>
          <w:sz w:val="22"/>
          <w:szCs w:val="22"/>
        </w:rPr>
        <w:t>ación pública, consistente en la versión pública del expediente administrativo identificado con el número GES-PV-0806, circunstancia que la ahora parte recurrente manifestó como motivo de agravio, por la falta de entrega en versión pública, de la información solicitada</w:t>
      </w:r>
      <w:r w:rsidR="005D26DE">
        <w:rPr>
          <w:rFonts w:ascii="Arial" w:hAnsi="Arial" w:cs="Arial"/>
          <w:sz w:val="22"/>
          <w:szCs w:val="22"/>
        </w:rPr>
        <w:t>.</w:t>
      </w:r>
    </w:p>
    <w:p w14:paraId="37520524" w14:textId="77777777" w:rsidR="002231A1" w:rsidRPr="009517DD" w:rsidRDefault="002231A1" w:rsidP="002231A1">
      <w:pPr>
        <w:spacing w:line="360" w:lineRule="auto"/>
        <w:ind w:firstLine="709"/>
        <w:jc w:val="both"/>
        <w:rPr>
          <w:rFonts w:ascii="Arial" w:hAnsi="Arial" w:cs="Arial"/>
          <w:sz w:val="22"/>
          <w:szCs w:val="22"/>
        </w:rPr>
      </w:pPr>
    </w:p>
    <w:p w14:paraId="609BFA09" w14:textId="77777777"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Por otra parte, es necesario precisar que la notificación que acredita la autoridad es de naturaleza electrónica, misma que debe ser entendida como el acto mediante el cual se da a conocer al interesado a través de un medio remoto una decisión administrativa, y por ello debe contar con un documento que de manera fehaciente demuestre la notificación al destinario, ya que de otro modo se violentaría en perjuicio del solicitante la garantía de seguridad jurídica que le asiste. </w:t>
      </w:r>
    </w:p>
    <w:p w14:paraId="5AD421CE" w14:textId="77777777" w:rsidR="002231A1" w:rsidRPr="009517DD" w:rsidRDefault="002231A1" w:rsidP="002231A1">
      <w:pPr>
        <w:spacing w:line="360" w:lineRule="auto"/>
        <w:ind w:firstLine="709"/>
        <w:jc w:val="both"/>
        <w:rPr>
          <w:rFonts w:ascii="Arial" w:hAnsi="Arial" w:cs="Arial"/>
          <w:sz w:val="22"/>
          <w:szCs w:val="22"/>
        </w:rPr>
      </w:pPr>
    </w:p>
    <w:p w14:paraId="1721C351" w14:textId="284472E4"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ese sentido, el Tribunal Colegiado en Materias de Trabajo y Administrativa del Décimo Tercer Circuito, emitió un criterio relacionado con la cuestión que nos ocupa, mismo que se identifica con el número XIII.T.A.3 A (10a.), y que establece:</w:t>
      </w:r>
    </w:p>
    <w:p w14:paraId="054EA7FC" w14:textId="77777777" w:rsidR="002231A1" w:rsidRPr="009517DD" w:rsidRDefault="002231A1" w:rsidP="002231A1">
      <w:pPr>
        <w:spacing w:line="360" w:lineRule="auto"/>
        <w:jc w:val="both"/>
        <w:rPr>
          <w:rFonts w:ascii="Arial" w:hAnsi="Arial" w:cs="Arial"/>
          <w:sz w:val="22"/>
          <w:szCs w:val="22"/>
        </w:rPr>
      </w:pPr>
    </w:p>
    <w:p w14:paraId="358F32CF" w14:textId="77777777" w:rsidR="002231A1" w:rsidRPr="00C7333F" w:rsidRDefault="002231A1" w:rsidP="002231A1">
      <w:pPr>
        <w:ind w:left="1134" w:right="1072"/>
        <w:jc w:val="both"/>
        <w:rPr>
          <w:rFonts w:ascii="Arial" w:hAnsi="Arial" w:cs="Arial"/>
          <w:sz w:val="20"/>
          <w:szCs w:val="20"/>
        </w:rPr>
      </w:pPr>
      <w:r w:rsidRPr="00C7333F">
        <w:rPr>
          <w:rFonts w:ascii="Arial" w:hAnsi="Arial" w:cs="Arial"/>
          <w:b/>
          <w:bCs/>
          <w:sz w:val="20"/>
          <w:szCs w:val="20"/>
        </w:rPr>
        <w:t xml:space="preserve">“NOTIFICACIÓN ELECTRÓNICA. AL PRACTICARLA, LA AUTORIDAD DEBE ANEXAR EN AUTOS DEL EXPEDIENTE ADMINISTRATIVO O JUDICIAL DEL QUE DERIVE, LA CONSTANCIA FEHACIENTE DE RECEPCIÓN POR SU DESTINATARIO. </w:t>
      </w:r>
      <w:r w:rsidRPr="00C7333F">
        <w:rPr>
          <w:rFonts w:ascii="Arial" w:hAnsi="Arial" w:cs="Arial"/>
          <w:sz w:val="20"/>
          <w:szCs w:val="20"/>
        </w:rPr>
        <w:t>La </w:t>
      </w:r>
      <w:r w:rsidRPr="00C7333F">
        <w:rPr>
          <w:rFonts w:ascii="Arial" w:hAnsi="Arial" w:cs="Arial"/>
          <w:bCs/>
          <w:sz w:val="20"/>
          <w:szCs w:val="20"/>
        </w:rPr>
        <w:t>notificación</w:t>
      </w:r>
      <w:r w:rsidRPr="00C7333F">
        <w:rPr>
          <w:rFonts w:ascii="Arial" w:hAnsi="Arial" w:cs="Arial"/>
          <w:sz w:val="20"/>
          <w:szCs w:val="20"/>
        </w:rPr>
        <w:t> </w:t>
      </w:r>
      <w:r w:rsidRPr="00C7333F">
        <w:rPr>
          <w:rFonts w:ascii="Arial" w:hAnsi="Arial" w:cs="Arial"/>
          <w:bCs/>
          <w:sz w:val="20"/>
          <w:szCs w:val="20"/>
        </w:rPr>
        <w:t>electrónica</w:t>
      </w:r>
      <w:r w:rsidRPr="00C7333F">
        <w:rPr>
          <w:rFonts w:ascii="Arial" w:hAnsi="Arial" w:cs="Arial"/>
          <w:sz w:val="20"/>
          <w:szCs w:val="20"/>
        </w:rPr>
        <w:t> es el acto mediante el cual, con las formalidades legales preestablecidas, se da a conocer a los interesados a través de medios electrónicos y telemáticos, tales como una página web o correo electrónico, un acuerdo administrativo o resolución judicial, por lo que, al practicarla, la autoridad debe anexar en autos del expediente administrativo o judicial del que derive, la constancia fehaciente de recepción por su destinatario, sin que baste la razón actuarial de que se realizó de esa manera, pues la omisión de esa constancia constituye una violación que transgrede las leyes del procedimiento y afecta las defensas del quejoso, la cual actualiza el supuesto previsto en la </w:t>
      </w:r>
      <w:hyperlink r:id="rId8" w:history="1">
        <w:r w:rsidRPr="00C7333F">
          <w:rPr>
            <w:rStyle w:val="Hipervnculo"/>
            <w:rFonts w:ascii="Arial" w:hAnsi="Arial" w:cs="Arial"/>
            <w:color w:val="auto"/>
            <w:sz w:val="20"/>
            <w:szCs w:val="20"/>
          </w:rPr>
          <w:t>fracción I del artículo 172 de la Ley de Amparo</w:t>
        </w:r>
      </w:hyperlink>
      <w:r w:rsidRPr="00C7333F">
        <w:rPr>
          <w:rFonts w:ascii="Arial" w:hAnsi="Arial" w:cs="Arial"/>
          <w:sz w:val="20"/>
          <w:szCs w:val="20"/>
        </w:rPr>
        <w:t>, vigente a partir del 3 de abril de 2013”.</w:t>
      </w:r>
    </w:p>
    <w:p w14:paraId="519CF4E2" w14:textId="77777777" w:rsidR="002231A1" w:rsidRPr="009517DD" w:rsidRDefault="002231A1" w:rsidP="002231A1">
      <w:pPr>
        <w:spacing w:line="360" w:lineRule="auto"/>
        <w:ind w:firstLine="708"/>
        <w:jc w:val="both"/>
        <w:rPr>
          <w:rFonts w:ascii="Arial" w:hAnsi="Arial" w:cs="Arial"/>
          <w:sz w:val="22"/>
          <w:szCs w:val="22"/>
        </w:rPr>
      </w:pPr>
    </w:p>
    <w:p w14:paraId="0D6B5919" w14:textId="77777777"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razón de la tesis invocada y del análisis de</w:t>
      </w:r>
      <w:r>
        <w:rPr>
          <w:rFonts w:ascii="Arial" w:hAnsi="Arial" w:cs="Arial"/>
          <w:sz w:val="22"/>
          <w:szCs w:val="22"/>
        </w:rPr>
        <w:t xml:space="preserve"> las constancias referidas</w:t>
      </w:r>
      <w:r w:rsidRPr="009517DD">
        <w:rPr>
          <w:rFonts w:ascii="Arial" w:hAnsi="Arial" w:cs="Arial"/>
          <w:sz w:val="22"/>
          <w:szCs w:val="22"/>
        </w:rPr>
        <w:t>, se puede verificar que</w:t>
      </w:r>
      <w:r>
        <w:rPr>
          <w:rFonts w:ascii="Arial" w:hAnsi="Arial" w:cs="Arial"/>
          <w:sz w:val="22"/>
          <w:szCs w:val="22"/>
        </w:rPr>
        <w:t xml:space="preserve"> se</w:t>
      </w:r>
      <w:r w:rsidRPr="009517DD">
        <w:rPr>
          <w:rFonts w:ascii="Arial" w:hAnsi="Arial" w:cs="Arial"/>
          <w:sz w:val="22"/>
          <w:szCs w:val="22"/>
        </w:rPr>
        <w:t xml:space="preserve"> notificó la información generada al particular a través del correo electrónico que designó para tal efecto.</w:t>
      </w:r>
    </w:p>
    <w:p w14:paraId="16E149CA" w14:textId="77777777" w:rsidR="002231A1" w:rsidRPr="00B93599" w:rsidRDefault="002231A1" w:rsidP="008E2C25">
      <w:pPr>
        <w:spacing w:line="360" w:lineRule="auto"/>
        <w:ind w:firstLine="709"/>
        <w:jc w:val="both"/>
        <w:rPr>
          <w:rFonts w:ascii="Arial" w:hAnsi="Arial" w:cs="Arial"/>
          <w:sz w:val="22"/>
          <w:szCs w:val="22"/>
        </w:rPr>
      </w:pPr>
    </w:p>
    <w:p w14:paraId="71BE5077" w14:textId="3E1A7DC2" w:rsidR="00E61093" w:rsidRPr="00B93599" w:rsidRDefault="008F4DFE" w:rsidP="00E61093">
      <w:pPr>
        <w:pStyle w:val="Textoindependienteprimerasangra"/>
        <w:spacing w:after="0"/>
        <w:ind w:firstLine="708"/>
        <w:rPr>
          <w:rFonts w:ascii="Arial" w:hAnsi="Arial" w:cs="Arial"/>
          <w:sz w:val="22"/>
          <w:szCs w:val="22"/>
        </w:rPr>
      </w:pPr>
      <w:r w:rsidRPr="00B93599">
        <w:rPr>
          <w:rFonts w:ascii="Arial" w:hAnsi="Arial" w:cs="Arial"/>
          <w:sz w:val="22"/>
          <w:szCs w:val="22"/>
        </w:rPr>
        <w:t>Ahora bien, d</w:t>
      </w:r>
      <w:r w:rsidR="00E61093" w:rsidRPr="00B93599">
        <w:rPr>
          <w:rFonts w:ascii="Arial" w:hAnsi="Arial" w:cs="Arial"/>
          <w:sz w:val="22"/>
          <w:szCs w:val="22"/>
        </w:rPr>
        <w:t xml:space="preserve">e un análisis a las constancias que corren agregadas al presente procedimiento, es de precisarse que la recurrente no presentó inconformidad alguna respecto de la información notificada y entregada por el Obligado, a través del medio autorizado para recibir notificaciones, por lo que se colige que se muestra conforme con el contenido de la respuesta y sus demás extremos al no señalar agravio alguno al respecto. Sirve de apoyo la Tesis de VI.3o.C. J/60, Seminario Judicial de la Federación </w:t>
      </w:r>
      <w:r w:rsidR="00E61093" w:rsidRPr="00B93599">
        <w:rPr>
          <w:rFonts w:ascii="Arial" w:hAnsi="Arial" w:cs="Arial"/>
          <w:sz w:val="22"/>
          <w:szCs w:val="22"/>
        </w:rPr>
        <w:lastRenderedPageBreak/>
        <w:t xml:space="preserve">y su Gaceta, Novena Época, t. XXII, diciembre de 2005, p. 2365, cuyo rubro y texto señalan: </w:t>
      </w:r>
    </w:p>
    <w:p w14:paraId="2D21E1B0" w14:textId="77777777" w:rsidR="00E61093" w:rsidRPr="00B93599" w:rsidRDefault="00E61093" w:rsidP="00E61093">
      <w:pPr>
        <w:pStyle w:val="Textoindependienteprimerasangra"/>
        <w:spacing w:after="0"/>
        <w:ind w:firstLine="708"/>
        <w:rPr>
          <w:rFonts w:ascii="Arial" w:hAnsi="Arial" w:cs="Arial"/>
          <w:sz w:val="22"/>
          <w:szCs w:val="22"/>
        </w:rPr>
      </w:pPr>
    </w:p>
    <w:p w14:paraId="07DBEB8B" w14:textId="77777777" w:rsidR="00E61093" w:rsidRPr="00C7333F" w:rsidRDefault="00E61093" w:rsidP="00E61093">
      <w:pPr>
        <w:spacing w:after="240"/>
        <w:ind w:left="1134" w:right="1183"/>
        <w:jc w:val="both"/>
        <w:rPr>
          <w:rFonts w:ascii="Arial" w:hAnsi="Arial" w:cs="Arial"/>
          <w:sz w:val="20"/>
          <w:szCs w:val="22"/>
        </w:rPr>
      </w:pPr>
      <w:r w:rsidRPr="00C7333F">
        <w:rPr>
          <w:rFonts w:ascii="Arial" w:hAnsi="Arial" w:cs="Arial"/>
          <w:b/>
          <w:sz w:val="20"/>
          <w:szCs w:val="22"/>
        </w:rPr>
        <w:t>“ACTOS CONSENTIDOS. SON LOS QUE NO SE IMPUGNAN MEDIANTE EL RECURSO IDÓNEO.</w:t>
      </w:r>
      <w:r w:rsidRPr="00C7333F">
        <w:rPr>
          <w:rFonts w:ascii="Arial" w:hAnsi="Arial" w:cs="Arial"/>
          <w:sz w:val="20"/>
          <w:szCs w:val="22"/>
        </w:rPr>
        <w:t xml:space="preserve"> Debe reputarse como consentido el acto que no se impugnó por el medio establecido por la ley, </w:t>
      </w:r>
      <w:proofErr w:type="gramStart"/>
      <w:r w:rsidRPr="00C7333F">
        <w:rPr>
          <w:rFonts w:ascii="Arial" w:hAnsi="Arial" w:cs="Arial"/>
          <w:sz w:val="20"/>
          <w:szCs w:val="22"/>
        </w:rPr>
        <w:t>ya que</w:t>
      </w:r>
      <w:proofErr w:type="gramEnd"/>
      <w:r w:rsidRPr="00C7333F">
        <w:rPr>
          <w:rFonts w:ascii="Arial" w:hAnsi="Arial" w:cs="Arial"/>
          <w:sz w:val="20"/>
          <w:szCs w:val="22"/>
        </w:rPr>
        <w:t xml:space="preserv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AE7D55E" w14:textId="5CE58A87" w:rsidR="00E61093" w:rsidRDefault="00E61093" w:rsidP="00E61093">
      <w:pPr>
        <w:spacing w:line="360" w:lineRule="auto"/>
        <w:ind w:firstLine="708"/>
        <w:jc w:val="both"/>
        <w:rPr>
          <w:rFonts w:ascii="Arial" w:hAnsi="Arial" w:cs="Arial"/>
          <w:sz w:val="22"/>
          <w:szCs w:val="22"/>
        </w:rPr>
      </w:pPr>
      <w:r w:rsidRPr="00B93599">
        <w:rPr>
          <w:rFonts w:ascii="Arial" w:hAnsi="Arial" w:cs="Arial"/>
          <w:sz w:val="22"/>
          <w:szCs w:val="22"/>
        </w:rPr>
        <w:t xml:space="preserve">La manifestación de conformidad representa que se le puso a disposición la información que solicitó, por conducto del área administrativa que posee la documentación que corresponde a su petición; sirve para robustecer lo anterior el criterio 01/2020 emitido por el Instituto Nacional de Transparencia y Acceso a la Información y Protección de Datos Personales (INAI), que señala: </w:t>
      </w:r>
    </w:p>
    <w:p w14:paraId="6D00445E" w14:textId="77777777" w:rsidR="005D26DE" w:rsidRPr="00B93599" w:rsidRDefault="005D26DE" w:rsidP="00E61093">
      <w:pPr>
        <w:spacing w:line="360" w:lineRule="auto"/>
        <w:ind w:firstLine="708"/>
        <w:jc w:val="both"/>
        <w:rPr>
          <w:rFonts w:ascii="Arial" w:hAnsi="Arial" w:cs="Arial"/>
          <w:sz w:val="22"/>
          <w:szCs w:val="22"/>
        </w:rPr>
      </w:pPr>
    </w:p>
    <w:p w14:paraId="21928713" w14:textId="7425B59C" w:rsidR="00E61093" w:rsidRPr="00C7333F" w:rsidRDefault="00E61093" w:rsidP="00E61093">
      <w:pPr>
        <w:ind w:left="1134" w:right="1185"/>
        <w:jc w:val="both"/>
        <w:rPr>
          <w:rFonts w:ascii="Arial" w:hAnsi="Arial" w:cs="Arial"/>
          <w:sz w:val="20"/>
          <w:szCs w:val="22"/>
        </w:rPr>
      </w:pPr>
      <w:r w:rsidRPr="00C7333F">
        <w:rPr>
          <w:rFonts w:ascii="Arial" w:hAnsi="Arial" w:cs="Arial"/>
          <w:b/>
          <w:bCs/>
          <w:sz w:val="20"/>
          <w:szCs w:val="22"/>
        </w:rPr>
        <w:t>“Actos consentidos tácitamente. Improcedencia de su análisis.</w:t>
      </w:r>
      <w:r w:rsidRPr="00C7333F">
        <w:rPr>
          <w:rFonts w:ascii="Arial" w:hAnsi="Arial" w:cs="Arial"/>
          <w:sz w:val="20"/>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19957E02" w14:textId="1D8FA7A6" w:rsidR="00E61093" w:rsidRPr="00B93599" w:rsidRDefault="00E61093" w:rsidP="008E2C25">
      <w:pPr>
        <w:spacing w:line="360" w:lineRule="auto"/>
        <w:ind w:firstLine="709"/>
        <w:jc w:val="both"/>
        <w:rPr>
          <w:rFonts w:ascii="Arial" w:hAnsi="Arial" w:cs="Arial"/>
          <w:sz w:val="22"/>
          <w:szCs w:val="22"/>
        </w:rPr>
      </w:pPr>
    </w:p>
    <w:p w14:paraId="049B1ABD"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sz w:val="22"/>
          <w:szCs w:val="22"/>
        </w:rPr>
        <w:t>En ese tenor y al no advertirse que el particular haya realizado manifestaciones de inconformidad, se colige que se muestra conforme con la respuesta emitida por el sujeto obligado.</w:t>
      </w:r>
    </w:p>
    <w:p w14:paraId="4D5D6E2C" w14:textId="77777777" w:rsidR="008E2C25" w:rsidRPr="00B93599" w:rsidRDefault="008E2C25" w:rsidP="008E2C25">
      <w:pPr>
        <w:spacing w:line="360" w:lineRule="auto"/>
        <w:ind w:firstLine="708"/>
        <w:jc w:val="both"/>
        <w:rPr>
          <w:rFonts w:ascii="Arial" w:hAnsi="Arial" w:cs="Arial"/>
          <w:sz w:val="22"/>
          <w:szCs w:val="22"/>
        </w:rPr>
      </w:pPr>
    </w:p>
    <w:p w14:paraId="14585997" w14:textId="77777777" w:rsidR="008E2C25" w:rsidRPr="00B93599" w:rsidRDefault="008E2C25" w:rsidP="008E2C25">
      <w:pPr>
        <w:spacing w:line="360" w:lineRule="auto"/>
        <w:ind w:firstLine="708"/>
        <w:rPr>
          <w:rFonts w:ascii="Arial" w:hAnsi="Arial" w:cs="Arial"/>
          <w:sz w:val="22"/>
          <w:szCs w:val="22"/>
        </w:rPr>
      </w:pPr>
      <w:r w:rsidRPr="00B93599">
        <w:rPr>
          <w:rFonts w:ascii="Arial" w:hAnsi="Arial" w:cs="Arial"/>
          <w:sz w:val="22"/>
          <w:szCs w:val="22"/>
        </w:rPr>
        <w:t>Por lo anteriormente expuesto y fundado, se emite el siguiente:</w:t>
      </w:r>
    </w:p>
    <w:p w14:paraId="1C71B3E6" w14:textId="77777777" w:rsidR="008E2C25" w:rsidRPr="00B93599" w:rsidRDefault="008E2C25" w:rsidP="008E2C25">
      <w:pPr>
        <w:spacing w:line="360" w:lineRule="auto"/>
        <w:jc w:val="center"/>
        <w:rPr>
          <w:rFonts w:ascii="Arial" w:hAnsi="Arial" w:cs="Arial"/>
          <w:b/>
          <w:sz w:val="22"/>
          <w:szCs w:val="22"/>
        </w:rPr>
      </w:pPr>
    </w:p>
    <w:p w14:paraId="510F415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ACUERDO</w:t>
      </w:r>
    </w:p>
    <w:p w14:paraId="51499432" w14:textId="77777777" w:rsidR="008E2C25" w:rsidRPr="00B93599" w:rsidRDefault="008E2C25" w:rsidP="008E2C25">
      <w:pPr>
        <w:spacing w:line="360" w:lineRule="auto"/>
        <w:jc w:val="center"/>
        <w:rPr>
          <w:rFonts w:ascii="Arial" w:hAnsi="Arial" w:cs="Arial"/>
          <w:b/>
          <w:sz w:val="22"/>
          <w:szCs w:val="22"/>
        </w:rPr>
      </w:pPr>
    </w:p>
    <w:p w14:paraId="0EC71EDB" w14:textId="77777777" w:rsidR="008E2C25" w:rsidRPr="00B93599" w:rsidRDefault="008E2C25" w:rsidP="008E2C25">
      <w:pPr>
        <w:spacing w:line="360" w:lineRule="auto"/>
        <w:ind w:right="111" w:firstLine="708"/>
        <w:jc w:val="both"/>
        <w:rPr>
          <w:rFonts w:ascii="Arial" w:hAnsi="Arial" w:cs="Arial"/>
          <w:spacing w:val="1"/>
          <w:sz w:val="22"/>
          <w:szCs w:val="22"/>
        </w:rPr>
      </w:pPr>
      <w:r w:rsidRPr="00B93599">
        <w:rPr>
          <w:rFonts w:ascii="Arial" w:hAnsi="Arial" w:cs="Arial"/>
          <w:b/>
          <w:spacing w:val="1"/>
          <w:sz w:val="22"/>
          <w:szCs w:val="22"/>
        </w:rPr>
        <w:t xml:space="preserve">PRIMERO. </w:t>
      </w:r>
      <w:r w:rsidRPr="00B93599">
        <w:rPr>
          <w:rFonts w:ascii="Arial" w:hAnsi="Arial" w:cs="Arial"/>
          <w:spacing w:val="1"/>
          <w:sz w:val="22"/>
          <w:szCs w:val="22"/>
        </w:rPr>
        <w:t xml:space="preserve">Con base en el artículo 185 de la Ley de Transparencia y Acceso a la Información Pública del Estado, declara </w:t>
      </w:r>
      <w:r w:rsidRPr="00B93599">
        <w:rPr>
          <w:rFonts w:ascii="Arial" w:hAnsi="Arial" w:cs="Arial"/>
          <w:b/>
          <w:spacing w:val="1"/>
          <w:sz w:val="22"/>
          <w:szCs w:val="22"/>
          <w:u w:val="single"/>
        </w:rPr>
        <w:t>cumplida</w:t>
      </w:r>
      <w:r w:rsidRPr="00B93599">
        <w:rPr>
          <w:rFonts w:ascii="Arial" w:hAnsi="Arial" w:cs="Arial"/>
          <w:spacing w:val="1"/>
          <w:sz w:val="22"/>
          <w:szCs w:val="22"/>
        </w:rPr>
        <w:t xml:space="preserve"> la resolución que en definitiva se dictó en el presente asunto.</w:t>
      </w:r>
    </w:p>
    <w:p w14:paraId="07F75F20" w14:textId="77777777" w:rsidR="008E2C25" w:rsidRPr="00B93599" w:rsidRDefault="008E2C25" w:rsidP="008E2C25">
      <w:pPr>
        <w:spacing w:line="360" w:lineRule="auto"/>
        <w:jc w:val="center"/>
        <w:rPr>
          <w:rFonts w:ascii="Arial" w:hAnsi="Arial" w:cs="Arial"/>
          <w:sz w:val="22"/>
          <w:szCs w:val="22"/>
        </w:rPr>
      </w:pPr>
    </w:p>
    <w:p w14:paraId="3808FE81"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t xml:space="preserve">SEGUNDO. </w:t>
      </w:r>
      <w:r w:rsidRPr="00B93599">
        <w:rPr>
          <w:rFonts w:ascii="Arial" w:hAnsi="Arial" w:cs="Arial"/>
          <w:sz w:val="22"/>
          <w:szCs w:val="22"/>
        </w:rPr>
        <w:t>Con fundamento en el numeral Vigésimo Noveno de los Lineamientos para la Recepción, Substanciación, Resolución y Cumplimiento de los Recursos de Revisión promovidos ante la CEGAIP,</w:t>
      </w:r>
      <w:r w:rsidRPr="00B93599">
        <w:rPr>
          <w:rFonts w:ascii="Arial" w:hAnsi="Arial" w:cs="Arial"/>
          <w:b/>
          <w:sz w:val="22"/>
          <w:szCs w:val="22"/>
        </w:rPr>
        <w:t xml:space="preserve"> se remite el presente asunto al Archivo de Concentración de este Órgano Garante, </w:t>
      </w:r>
      <w:r w:rsidRPr="00B93599">
        <w:rPr>
          <w:rFonts w:ascii="Arial" w:hAnsi="Arial" w:cs="Arial"/>
          <w:sz w:val="22"/>
          <w:szCs w:val="22"/>
        </w:rPr>
        <w:t>como asunto concluido.</w:t>
      </w:r>
    </w:p>
    <w:p w14:paraId="4C187753" w14:textId="77777777" w:rsidR="008E2C25" w:rsidRPr="00B93599" w:rsidRDefault="008E2C25" w:rsidP="008E2C25">
      <w:pPr>
        <w:spacing w:line="360" w:lineRule="auto"/>
        <w:jc w:val="both"/>
        <w:rPr>
          <w:rFonts w:ascii="Arial" w:hAnsi="Arial" w:cs="Arial"/>
          <w:b/>
          <w:sz w:val="22"/>
          <w:szCs w:val="22"/>
        </w:rPr>
      </w:pPr>
    </w:p>
    <w:p w14:paraId="74FD3DCF" w14:textId="77777777" w:rsidR="00557C92" w:rsidRPr="00B93599" w:rsidRDefault="00557C92" w:rsidP="00557C92">
      <w:pPr>
        <w:spacing w:line="360" w:lineRule="auto"/>
        <w:ind w:firstLine="708"/>
        <w:jc w:val="both"/>
        <w:rPr>
          <w:rFonts w:ascii="Arial" w:hAnsi="Arial" w:cs="Arial"/>
          <w:sz w:val="22"/>
          <w:szCs w:val="22"/>
        </w:rPr>
      </w:pPr>
      <w:r w:rsidRPr="00B93599">
        <w:rPr>
          <w:rFonts w:ascii="Arial" w:hAnsi="Arial" w:cs="Arial"/>
          <w:b/>
          <w:sz w:val="22"/>
          <w:szCs w:val="22"/>
        </w:rPr>
        <w:t>TERCERO.</w:t>
      </w:r>
      <w:r w:rsidRPr="00B93599">
        <w:rPr>
          <w:rFonts w:ascii="Arial" w:hAnsi="Arial" w:cs="Arial"/>
          <w:sz w:val="22"/>
          <w:szCs w:val="22"/>
        </w:rPr>
        <w:t xml:space="preserve"> Notifíquese</w:t>
      </w:r>
      <w:r>
        <w:rPr>
          <w:rFonts w:ascii="Arial" w:hAnsi="Arial" w:cs="Arial"/>
          <w:sz w:val="22"/>
          <w:szCs w:val="22"/>
        </w:rPr>
        <w:t xml:space="preserve"> por lista</w:t>
      </w:r>
      <w:r w:rsidRPr="00B93599">
        <w:rPr>
          <w:rFonts w:ascii="Arial" w:hAnsi="Arial" w:cs="Arial"/>
          <w:sz w:val="22"/>
          <w:szCs w:val="22"/>
        </w:rPr>
        <w:t>.</w:t>
      </w:r>
    </w:p>
    <w:p w14:paraId="32392B1B" w14:textId="77777777" w:rsidR="00557C92" w:rsidRPr="00B93599" w:rsidRDefault="00557C92" w:rsidP="00557C92">
      <w:pPr>
        <w:spacing w:line="360" w:lineRule="auto"/>
        <w:jc w:val="both"/>
        <w:rPr>
          <w:rFonts w:ascii="Arial" w:hAnsi="Arial" w:cs="Arial"/>
          <w:i/>
          <w:sz w:val="22"/>
          <w:szCs w:val="22"/>
        </w:rPr>
      </w:pPr>
    </w:p>
    <w:p w14:paraId="56377CDB" w14:textId="77777777" w:rsidR="00557C92" w:rsidRPr="00B93599" w:rsidRDefault="00557C92" w:rsidP="00557C92">
      <w:pPr>
        <w:spacing w:line="360" w:lineRule="auto"/>
        <w:jc w:val="both"/>
        <w:rPr>
          <w:rFonts w:ascii="Arial" w:hAnsi="Arial" w:cs="Arial"/>
          <w:sz w:val="22"/>
          <w:szCs w:val="22"/>
        </w:rPr>
      </w:pPr>
      <w:r w:rsidRPr="00B93599">
        <w:rPr>
          <w:rFonts w:ascii="Arial" w:hAnsi="Arial" w:cs="Arial"/>
          <w:sz w:val="22"/>
          <w:szCs w:val="22"/>
        </w:rPr>
        <w:lastRenderedPageBreak/>
        <w:tab/>
        <w:t xml:space="preserve">Así lo proveyó y firma </w:t>
      </w:r>
      <w:r>
        <w:rPr>
          <w:rFonts w:ascii="Arial" w:hAnsi="Arial" w:cs="Arial"/>
          <w:sz w:val="22"/>
          <w:szCs w:val="22"/>
        </w:rPr>
        <w:t xml:space="preserve">Ana Cristina García </w:t>
      </w:r>
      <w:proofErr w:type="spellStart"/>
      <w:r>
        <w:rPr>
          <w:rFonts w:ascii="Arial" w:hAnsi="Arial" w:cs="Arial"/>
          <w:sz w:val="22"/>
          <w:szCs w:val="22"/>
        </w:rPr>
        <w:t>Nales</w:t>
      </w:r>
      <w:proofErr w:type="spellEnd"/>
      <w:r w:rsidRPr="00B93599">
        <w:rPr>
          <w:rFonts w:ascii="Arial" w:hAnsi="Arial" w:cs="Arial"/>
          <w:sz w:val="22"/>
          <w:szCs w:val="22"/>
        </w:rPr>
        <w:t xml:space="preserve">, </w:t>
      </w:r>
      <w:r>
        <w:rPr>
          <w:rFonts w:ascii="Arial" w:hAnsi="Arial" w:cs="Arial"/>
          <w:sz w:val="22"/>
          <w:szCs w:val="22"/>
        </w:rPr>
        <w:t>Comisionada Numeraria, Titular</w:t>
      </w:r>
      <w:r w:rsidRPr="00B93599">
        <w:rPr>
          <w:rFonts w:ascii="Arial" w:hAnsi="Arial" w:cs="Arial"/>
          <w:sz w:val="22"/>
          <w:szCs w:val="22"/>
        </w:rPr>
        <w:t xml:space="preserve"> </w:t>
      </w:r>
      <w:r>
        <w:rPr>
          <w:rFonts w:ascii="Arial" w:hAnsi="Arial" w:cs="Arial"/>
          <w:sz w:val="22"/>
          <w:szCs w:val="22"/>
        </w:rPr>
        <w:t>de</w:t>
      </w:r>
      <w:r w:rsidRPr="00B93599">
        <w:rPr>
          <w:rFonts w:ascii="Arial" w:hAnsi="Arial" w:cs="Arial"/>
          <w:sz w:val="22"/>
          <w:szCs w:val="22"/>
        </w:rPr>
        <w:t xml:space="preserve"> la </w:t>
      </w:r>
      <w:r>
        <w:rPr>
          <w:rFonts w:ascii="Arial" w:hAnsi="Arial" w:cs="Arial"/>
          <w:sz w:val="22"/>
          <w:szCs w:val="22"/>
        </w:rPr>
        <w:t xml:space="preserve">Unidad de </w:t>
      </w:r>
      <w:r w:rsidRPr="00B93599">
        <w:rPr>
          <w:rFonts w:ascii="Arial" w:hAnsi="Arial" w:cs="Arial"/>
          <w:sz w:val="22"/>
          <w:szCs w:val="22"/>
        </w:rPr>
        <w:t>Ponencia 3 de la Comisión Estatal de Garantía de Acceso a la Información Pública,</w:t>
      </w:r>
      <w:r>
        <w:rPr>
          <w:rFonts w:ascii="Arial" w:hAnsi="Arial" w:cs="Arial"/>
          <w:sz w:val="22"/>
          <w:szCs w:val="22"/>
        </w:rPr>
        <w:t xml:space="preserve"> quien se asiste de la Lic. Rosa María Motilla García, Secretaria de Pleno, quien da fe;</w:t>
      </w:r>
      <w:r w:rsidRPr="00B93599">
        <w:rPr>
          <w:rFonts w:ascii="Arial" w:hAnsi="Arial" w:cs="Arial"/>
          <w:sz w:val="22"/>
          <w:szCs w:val="22"/>
        </w:rPr>
        <w:t xml:space="preserve"> en la Ciudad de San Luis Potosí, S. L. P., a </w:t>
      </w:r>
      <w:r>
        <w:rPr>
          <w:rFonts w:ascii="Arial" w:hAnsi="Arial" w:cs="Arial"/>
          <w:sz w:val="22"/>
          <w:szCs w:val="22"/>
        </w:rPr>
        <w:t>veinticinco de junio de dos mil veintiséis</w:t>
      </w:r>
      <w:r w:rsidRPr="00B93599">
        <w:rPr>
          <w:rFonts w:ascii="Arial" w:hAnsi="Arial" w:cs="Arial"/>
          <w:sz w:val="22"/>
          <w:szCs w:val="22"/>
        </w:rPr>
        <w:t xml:space="preserve">. </w:t>
      </w:r>
    </w:p>
    <w:p w14:paraId="29BDB36E" w14:textId="77777777" w:rsidR="00557C92" w:rsidRDefault="00557C92" w:rsidP="00557C92">
      <w:pPr>
        <w:spacing w:line="360" w:lineRule="auto"/>
        <w:jc w:val="both"/>
        <w:rPr>
          <w:rFonts w:ascii="Arial" w:hAnsi="Arial" w:cs="Arial"/>
          <w:sz w:val="22"/>
          <w:szCs w:val="22"/>
        </w:rPr>
      </w:pPr>
    </w:p>
    <w:p w14:paraId="6D993C94" w14:textId="77777777" w:rsidR="00557C92" w:rsidRDefault="00557C92" w:rsidP="00557C92">
      <w:pPr>
        <w:spacing w:line="360" w:lineRule="auto"/>
        <w:jc w:val="both"/>
        <w:rPr>
          <w:rFonts w:ascii="Arial" w:hAnsi="Arial" w:cs="Arial"/>
          <w:sz w:val="22"/>
          <w:szCs w:val="22"/>
        </w:rPr>
      </w:pPr>
    </w:p>
    <w:p w14:paraId="2AB5EDC2" w14:textId="77777777" w:rsidR="00557C92" w:rsidRPr="00B93599" w:rsidRDefault="00557C92" w:rsidP="00557C92">
      <w:pPr>
        <w:spacing w:line="360" w:lineRule="auto"/>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4272"/>
      </w:tblGrid>
      <w:tr w:rsidR="00557C92" w14:paraId="6C08FC27" w14:textId="77777777" w:rsidTr="00947A9B">
        <w:tc>
          <w:tcPr>
            <w:tcW w:w="4272" w:type="dxa"/>
          </w:tcPr>
          <w:p w14:paraId="206EE5D9" w14:textId="77777777" w:rsidR="00557C92" w:rsidRPr="00B93599" w:rsidRDefault="00557C92" w:rsidP="00947A9B">
            <w:pPr>
              <w:spacing w:line="360" w:lineRule="auto"/>
              <w:jc w:val="center"/>
              <w:rPr>
                <w:rFonts w:ascii="Arial" w:hAnsi="Arial" w:cs="Arial"/>
                <w:b/>
                <w:sz w:val="22"/>
                <w:szCs w:val="22"/>
              </w:rPr>
            </w:pPr>
            <w:r>
              <w:rPr>
                <w:rFonts w:ascii="Arial" w:hAnsi="Arial" w:cs="Arial"/>
                <w:b/>
                <w:sz w:val="22"/>
                <w:szCs w:val="22"/>
              </w:rPr>
              <w:t xml:space="preserve">Mtra. </w:t>
            </w:r>
            <w:r w:rsidRPr="003018D5">
              <w:rPr>
                <w:rFonts w:ascii="Arial" w:hAnsi="Arial" w:cs="Arial"/>
                <w:b/>
                <w:sz w:val="22"/>
                <w:szCs w:val="22"/>
              </w:rPr>
              <w:t xml:space="preserve">Ana Cristina García </w:t>
            </w:r>
            <w:proofErr w:type="spellStart"/>
            <w:r w:rsidRPr="003018D5">
              <w:rPr>
                <w:rFonts w:ascii="Arial" w:hAnsi="Arial" w:cs="Arial"/>
                <w:b/>
                <w:sz w:val="22"/>
                <w:szCs w:val="22"/>
              </w:rPr>
              <w:t>Nales</w:t>
            </w:r>
            <w:proofErr w:type="spellEnd"/>
          </w:p>
          <w:p w14:paraId="59747C6A" w14:textId="77777777" w:rsidR="00557C92" w:rsidRPr="00B93599" w:rsidRDefault="00557C92" w:rsidP="00947A9B">
            <w:pPr>
              <w:spacing w:line="360" w:lineRule="auto"/>
              <w:jc w:val="center"/>
              <w:rPr>
                <w:rFonts w:ascii="Arial" w:hAnsi="Arial" w:cs="Arial"/>
                <w:b/>
                <w:sz w:val="22"/>
                <w:szCs w:val="22"/>
              </w:rPr>
            </w:pPr>
            <w:r w:rsidRPr="003018D5">
              <w:rPr>
                <w:rFonts w:ascii="Arial" w:hAnsi="Arial" w:cs="Arial"/>
                <w:b/>
                <w:sz w:val="22"/>
                <w:szCs w:val="22"/>
              </w:rPr>
              <w:t xml:space="preserve">Comisionada Numeraria </w:t>
            </w:r>
          </w:p>
          <w:p w14:paraId="64D5CC64" w14:textId="77777777" w:rsidR="00557C92" w:rsidRDefault="00557C92" w:rsidP="00947A9B">
            <w:pPr>
              <w:spacing w:line="360" w:lineRule="auto"/>
              <w:jc w:val="both"/>
              <w:rPr>
                <w:rFonts w:ascii="Arial" w:hAnsi="Arial" w:cs="Arial"/>
                <w:sz w:val="22"/>
                <w:szCs w:val="22"/>
              </w:rPr>
            </w:pPr>
          </w:p>
        </w:tc>
        <w:tc>
          <w:tcPr>
            <w:tcW w:w="4272" w:type="dxa"/>
          </w:tcPr>
          <w:p w14:paraId="790F0904" w14:textId="77777777" w:rsidR="00557C92" w:rsidRPr="00B93599" w:rsidRDefault="00557C92" w:rsidP="00947A9B">
            <w:pPr>
              <w:spacing w:line="360" w:lineRule="auto"/>
              <w:jc w:val="center"/>
              <w:rPr>
                <w:rFonts w:ascii="Arial" w:hAnsi="Arial" w:cs="Arial"/>
                <w:b/>
                <w:sz w:val="22"/>
                <w:szCs w:val="22"/>
              </w:rPr>
            </w:pPr>
            <w:r>
              <w:rPr>
                <w:rFonts w:ascii="Arial" w:hAnsi="Arial" w:cs="Arial"/>
                <w:b/>
                <w:sz w:val="22"/>
                <w:szCs w:val="22"/>
              </w:rPr>
              <w:t>Lic. Rosa María Motilla García</w:t>
            </w:r>
          </w:p>
          <w:p w14:paraId="50D9E5D9" w14:textId="77777777" w:rsidR="00557C92" w:rsidRPr="00B93599" w:rsidRDefault="00557C92" w:rsidP="00947A9B">
            <w:pPr>
              <w:spacing w:line="360" w:lineRule="auto"/>
              <w:jc w:val="center"/>
              <w:rPr>
                <w:rFonts w:ascii="Arial" w:hAnsi="Arial" w:cs="Arial"/>
                <w:b/>
                <w:sz w:val="22"/>
                <w:szCs w:val="22"/>
              </w:rPr>
            </w:pPr>
            <w:r>
              <w:rPr>
                <w:rFonts w:ascii="Arial" w:hAnsi="Arial" w:cs="Arial"/>
                <w:b/>
                <w:sz w:val="22"/>
                <w:szCs w:val="22"/>
              </w:rPr>
              <w:t>Secretaria de Pleno</w:t>
            </w:r>
          </w:p>
          <w:p w14:paraId="5253985D" w14:textId="77777777" w:rsidR="00557C92" w:rsidRDefault="00557C92" w:rsidP="00947A9B">
            <w:pPr>
              <w:spacing w:line="360" w:lineRule="auto"/>
              <w:jc w:val="both"/>
              <w:rPr>
                <w:rFonts w:ascii="Arial" w:hAnsi="Arial" w:cs="Arial"/>
                <w:sz w:val="22"/>
                <w:szCs w:val="22"/>
              </w:rPr>
            </w:pPr>
          </w:p>
        </w:tc>
      </w:tr>
    </w:tbl>
    <w:p w14:paraId="3C58A0FA" w14:textId="2FB08A9C" w:rsidR="00A20DB4" w:rsidRDefault="00C7333F" w:rsidP="00C7333F">
      <w:pPr>
        <w:spacing w:line="360" w:lineRule="auto"/>
        <w:rPr>
          <w:rFonts w:ascii="Arial" w:hAnsi="Arial" w:cs="Arial"/>
          <w:b/>
          <w:sz w:val="12"/>
          <w:szCs w:val="22"/>
        </w:rPr>
      </w:pPr>
      <w:bookmarkStart w:id="0" w:name="_GoBack"/>
      <w:bookmarkEnd w:id="0"/>
      <w:r>
        <w:rPr>
          <w:rFonts w:ascii="Arial" w:hAnsi="Arial" w:cs="Arial"/>
          <w:b/>
          <w:sz w:val="12"/>
          <w:szCs w:val="22"/>
        </w:rPr>
        <w:t>Elaboró: ANR</w:t>
      </w:r>
    </w:p>
    <w:p w14:paraId="22C24FED" w14:textId="77777777" w:rsidR="00C7333F" w:rsidRPr="00C7333F" w:rsidRDefault="00C7333F" w:rsidP="00C7333F">
      <w:pPr>
        <w:spacing w:line="360" w:lineRule="auto"/>
        <w:rPr>
          <w:rFonts w:ascii="Arial" w:hAnsi="Arial" w:cs="Arial"/>
          <w:b/>
          <w:sz w:val="12"/>
          <w:szCs w:val="22"/>
        </w:rPr>
      </w:pPr>
    </w:p>
    <w:p w14:paraId="18454161" w14:textId="77777777" w:rsidR="00C7333F" w:rsidRPr="00B93599" w:rsidRDefault="00C7333F" w:rsidP="008E2C25">
      <w:pPr>
        <w:spacing w:line="360" w:lineRule="auto"/>
        <w:jc w:val="center"/>
        <w:rPr>
          <w:rFonts w:ascii="Arial" w:hAnsi="Arial" w:cs="Arial"/>
          <w:b/>
          <w:sz w:val="22"/>
          <w:szCs w:val="22"/>
        </w:rPr>
      </w:pPr>
    </w:p>
    <w:p w14:paraId="6E9B98BF" w14:textId="2C67CE36" w:rsidR="00AD7F20" w:rsidRPr="00B93599" w:rsidRDefault="00AD7F20" w:rsidP="006E3DBD">
      <w:pPr>
        <w:spacing w:line="360" w:lineRule="auto"/>
        <w:jc w:val="both"/>
        <w:rPr>
          <w:rFonts w:ascii="Arial" w:hAnsi="Arial" w:cs="Arial"/>
          <w:sz w:val="16"/>
          <w:szCs w:val="22"/>
        </w:rPr>
      </w:pPr>
      <w:r w:rsidRPr="00B93599">
        <w:rPr>
          <w:rFonts w:ascii="Arial" w:hAnsi="Arial" w:cs="Arial"/>
          <w:sz w:val="16"/>
          <w:szCs w:val="22"/>
        </w:rPr>
        <w:t xml:space="preserve">A las ocho horas del día ___ de ___________ </w:t>
      </w:r>
      <w:proofErr w:type="spellStart"/>
      <w:r w:rsidRPr="00B93599">
        <w:rPr>
          <w:rFonts w:ascii="Arial" w:hAnsi="Arial" w:cs="Arial"/>
          <w:sz w:val="16"/>
          <w:szCs w:val="22"/>
        </w:rPr>
        <w:t>de</w:t>
      </w:r>
      <w:proofErr w:type="spellEnd"/>
      <w:r w:rsidRPr="00B93599">
        <w:rPr>
          <w:rFonts w:ascii="Arial" w:hAnsi="Arial" w:cs="Arial"/>
          <w:sz w:val="16"/>
          <w:szCs w:val="22"/>
        </w:rPr>
        <w:t xml:space="preserve"> 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 - - - - - -- - - - - - - - - - - - - - - - - - - - - - - - - - - - - - - - - - - - - - - - - - - - - - - - -  - - - - - - - - - - - - - - - - - - - - - - - - - - - -- - -DOY FE </w:t>
      </w:r>
    </w:p>
    <w:p w14:paraId="30E7B1EC" w14:textId="7BF89320" w:rsidR="00C7333F" w:rsidRDefault="00C7333F" w:rsidP="006E3DBD">
      <w:pPr>
        <w:spacing w:line="360" w:lineRule="auto"/>
        <w:jc w:val="center"/>
        <w:rPr>
          <w:rFonts w:ascii="Arial" w:hAnsi="Arial" w:cs="Arial"/>
          <w:b/>
          <w:sz w:val="16"/>
          <w:szCs w:val="22"/>
        </w:rPr>
      </w:pPr>
    </w:p>
    <w:p w14:paraId="0A313215" w14:textId="77777777" w:rsidR="00C7333F" w:rsidRPr="00C7333F" w:rsidRDefault="00C7333F" w:rsidP="006E3DBD">
      <w:pPr>
        <w:spacing w:line="360" w:lineRule="auto"/>
        <w:jc w:val="center"/>
        <w:rPr>
          <w:rFonts w:ascii="Arial" w:hAnsi="Arial" w:cs="Arial"/>
          <w:b/>
          <w:sz w:val="16"/>
          <w:szCs w:val="22"/>
        </w:rPr>
      </w:pPr>
    </w:p>
    <w:p w14:paraId="7EEE1D12" w14:textId="77777777" w:rsidR="00AD7F20" w:rsidRPr="00B93599" w:rsidRDefault="00AD7F20" w:rsidP="006E3DBD">
      <w:pPr>
        <w:spacing w:line="360" w:lineRule="auto"/>
        <w:jc w:val="center"/>
        <w:rPr>
          <w:rFonts w:ascii="Arial" w:hAnsi="Arial" w:cs="Arial"/>
          <w:b/>
          <w:sz w:val="16"/>
          <w:szCs w:val="22"/>
        </w:rPr>
      </w:pPr>
      <w:r w:rsidRPr="00B93599">
        <w:rPr>
          <w:rFonts w:ascii="Arial" w:hAnsi="Arial" w:cs="Arial"/>
          <w:b/>
          <w:sz w:val="16"/>
          <w:szCs w:val="22"/>
        </w:rPr>
        <w:t>Javier Pérez Limón</w:t>
      </w:r>
    </w:p>
    <w:p w14:paraId="4634D006" w14:textId="0CC98F75" w:rsidR="00BB58C4" w:rsidRPr="00B93599" w:rsidRDefault="00AD7F20" w:rsidP="006E3DBD">
      <w:pPr>
        <w:spacing w:line="360" w:lineRule="auto"/>
        <w:jc w:val="center"/>
        <w:rPr>
          <w:sz w:val="16"/>
          <w:szCs w:val="22"/>
        </w:rPr>
      </w:pPr>
      <w:r w:rsidRPr="00B93599">
        <w:rPr>
          <w:rFonts w:ascii="Arial" w:hAnsi="Arial" w:cs="Arial"/>
          <w:b/>
          <w:sz w:val="16"/>
          <w:szCs w:val="22"/>
        </w:rPr>
        <w:t>Notificador</w:t>
      </w:r>
    </w:p>
    <w:sectPr w:rsidR="00BB58C4" w:rsidRPr="00B93599" w:rsidSect="00151D88">
      <w:headerReference w:type="default" r:id="rId9"/>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612B6" w14:textId="77777777" w:rsidR="00F17D0B" w:rsidRDefault="00F17D0B" w:rsidP="00BB58C4">
      <w:r>
        <w:separator/>
      </w:r>
    </w:p>
  </w:endnote>
  <w:endnote w:type="continuationSeparator" w:id="0">
    <w:p w14:paraId="553D80C2" w14:textId="77777777" w:rsidR="00F17D0B" w:rsidRDefault="00F17D0B" w:rsidP="00BB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02A56" w14:textId="77777777" w:rsidR="00F17D0B" w:rsidRDefault="00F17D0B" w:rsidP="00BB58C4">
      <w:r>
        <w:separator/>
      </w:r>
    </w:p>
  </w:footnote>
  <w:footnote w:type="continuationSeparator" w:id="0">
    <w:p w14:paraId="1770EB4E" w14:textId="77777777" w:rsidR="00F17D0B" w:rsidRDefault="00F17D0B" w:rsidP="00BB58C4">
      <w:r>
        <w:continuationSeparator/>
      </w:r>
    </w:p>
  </w:footnote>
  <w:footnote w:id="1">
    <w:p w14:paraId="2783C9C4" w14:textId="77777777" w:rsidR="00FA683A" w:rsidRPr="00EC32C8" w:rsidRDefault="00FA683A" w:rsidP="00FA683A">
      <w:pPr>
        <w:pStyle w:val="Textonotapie"/>
        <w:rPr>
          <w:rFonts w:ascii="Arial" w:hAnsi="Arial" w:cs="Arial"/>
          <w:sz w:val="16"/>
          <w:szCs w:val="16"/>
        </w:rPr>
      </w:pPr>
      <w:r w:rsidRPr="00F63CAE">
        <w:rPr>
          <w:rStyle w:val="Refdenotaalpie"/>
          <w:rFonts w:ascii="Arial" w:hAnsi="Arial" w:cs="Arial"/>
          <w:sz w:val="16"/>
          <w:szCs w:val="16"/>
        </w:rPr>
        <w:footnoteRef/>
      </w:r>
      <w:r w:rsidRPr="00F63CAE">
        <w:rPr>
          <w:rFonts w:ascii="Arial" w:hAnsi="Arial" w:cs="Arial"/>
          <w:sz w:val="16"/>
          <w:szCs w:val="16"/>
        </w:rPr>
        <w:t xml:space="preserve"> ARTÍCULO 34. La CEGAIP funcionará de forma colegiada en reuniones de Pleno, mismas que serán públicas con excepción de aquellas que vulneren el derecho a la privacidad de las personas, y se desarrollarán en los términos que señale su </w:t>
      </w:r>
      <w:r w:rsidRPr="00EC32C8">
        <w:rPr>
          <w:rFonts w:ascii="Arial" w:hAnsi="Arial" w:cs="Arial"/>
          <w:sz w:val="16"/>
          <w:szCs w:val="16"/>
        </w:rPr>
        <w:t>reglamento interior. Todas sus acciones, deliberaciones y resoluciones tendrán el carácter de públicas. El Pleno tendrá en el ámbito de su competencia, las siguientes atribuciones:</w:t>
      </w:r>
    </w:p>
  </w:footnote>
  <w:footnote w:id="2">
    <w:p w14:paraId="05E02FE2" w14:textId="77777777" w:rsidR="00FA683A" w:rsidRPr="00EC32C8" w:rsidRDefault="00FA683A" w:rsidP="00FA683A">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II. Recibir, dar trámite y resolver los recursos que interpongan las personas que hubiesen solicitado información a los sujetos obligados;</w:t>
      </w:r>
    </w:p>
  </w:footnote>
  <w:footnote w:id="3">
    <w:p w14:paraId="0499B61D" w14:textId="77777777" w:rsidR="00FA683A" w:rsidRPr="00EC32C8" w:rsidRDefault="00FA683A" w:rsidP="00FA683A">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Gaceta del Semanario Judicial de la Federación, Décima Época, Libro 3, Tomo III, febrero de 2014, Tribunales Colegiados de Circuito, p. 2578, Tesis: IV.2o.A.71 A (10a.), Registro: 2005698.</w:t>
      </w:r>
    </w:p>
  </w:footnote>
  <w:footnote w:id="4">
    <w:p w14:paraId="11F007BC" w14:textId="2B9C62BB" w:rsidR="00541704" w:rsidRPr="004437FA" w:rsidRDefault="00541704">
      <w:pPr>
        <w:pStyle w:val="Textonotapie"/>
        <w:rPr>
          <w:rFonts w:ascii="Arial" w:hAnsi="Arial" w:cs="Arial"/>
        </w:rPr>
      </w:pPr>
      <w:r w:rsidRPr="004437FA">
        <w:rPr>
          <w:rStyle w:val="Refdenotaalpie"/>
          <w:rFonts w:ascii="Arial" w:hAnsi="Arial" w:cs="Arial"/>
          <w:sz w:val="16"/>
        </w:rPr>
        <w:footnoteRef/>
      </w:r>
      <w:r w:rsidRPr="004437FA">
        <w:rPr>
          <w:rFonts w:ascii="Arial" w:hAnsi="Arial" w:cs="Arial"/>
          <w:sz w:val="16"/>
        </w:rPr>
        <w:t xml:space="preserve"> </w:t>
      </w:r>
      <w:r w:rsidR="004437FA">
        <w:rPr>
          <w:rFonts w:ascii="Arial" w:hAnsi="Arial" w:cs="Arial"/>
          <w:sz w:val="16"/>
        </w:rPr>
        <w:t>“</w:t>
      </w:r>
      <w:r w:rsidR="004437FA" w:rsidRPr="004437FA">
        <w:rPr>
          <w:rFonts w:ascii="Arial" w:hAnsi="Arial" w:cs="Arial"/>
          <w:sz w:val="16"/>
        </w:rPr>
        <w:t>La CEGAIP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CEGAIP, deberá expresar las causas específicas por las cuales así lo considera.</w:t>
      </w:r>
      <w:r w:rsidR="004437FA">
        <w:rPr>
          <w:rFonts w:ascii="Arial" w:hAnsi="Arial" w:cs="Arial"/>
          <w:sz w:val="16"/>
        </w:rPr>
        <w:t>”</w:t>
      </w:r>
    </w:p>
  </w:footnote>
  <w:footnote w:id="5">
    <w:p w14:paraId="30A4B385" w14:textId="578DA2A9" w:rsidR="00936C0C" w:rsidRPr="00456F9C" w:rsidRDefault="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ARTÍCULO 30. Atribuciones. Sin perjuicio de las atribuciones que les establece la Ley, los Comisionados contarán con las siguientes:</w:t>
      </w:r>
    </w:p>
  </w:footnote>
  <w:footnote w:id="6">
    <w:p w14:paraId="2002F4D2" w14:textId="79B93B66" w:rsidR="00936C0C" w:rsidRPr="00456F9C" w:rsidRDefault="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XII. Ser Ponente en los asuntos que le sean turnados;</w:t>
      </w:r>
    </w:p>
  </w:footnote>
  <w:footnote w:id="7">
    <w:p w14:paraId="6E3355A8" w14:textId="1C822C97" w:rsidR="00936C0C" w:rsidRPr="00456F9C" w:rsidRDefault="00FA683A" w:rsidP="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w:t>
      </w:r>
      <w:r w:rsidR="00936C0C" w:rsidRPr="00456F9C">
        <w:rPr>
          <w:rFonts w:ascii="Arial" w:hAnsi="Arial" w:cs="Arial"/>
          <w:sz w:val="16"/>
          <w:szCs w:val="16"/>
        </w:rPr>
        <w:t>XIII. Dictar los autos y acuerdos, dentro de los recursos revisión y procedimientos en los que les corresponda ser Ponentes, con</w:t>
      </w:r>
    </w:p>
    <w:p w14:paraId="0DB3FDF0" w14:textId="4269FE0D" w:rsidR="00936C0C" w:rsidRPr="00456F9C" w:rsidRDefault="00936C0C" w:rsidP="00936C0C">
      <w:pPr>
        <w:pStyle w:val="Textonotapie"/>
        <w:rPr>
          <w:rFonts w:ascii="Arial" w:hAnsi="Arial" w:cs="Arial"/>
          <w:sz w:val="16"/>
          <w:szCs w:val="16"/>
        </w:rPr>
      </w:pPr>
      <w:r w:rsidRPr="00456F9C">
        <w:rPr>
          <w:rFonts w:ascii="Arial" w:hAnsi="Arial" w:cs="Arial"/>
          <w:sz w:val="16"/>
          <w:szCs w:val="16"/>
        </w:rPr>
        <w:t>auxilio de la Unidad de Ponencia;</w:t>
      </w:r>
    </w:p>
  </w:footnote>
  <w:footnote w:id="8">
    <w:p w14:paraId="0468F096" w14:textId="3162B125" w:rsidR="00456F9C" w:rsidRDefault="00456F9C" w:rsidP="00456F9C">
      <w:pPr>
        <w:pStyle w:val="Textonotapie"/>
      </w:pPr>
      <w:r w:rsidRPr="00456F9C">
        <w:rPr>
          <w:rStyle w:val="Refdenotaalpie"/>
          <w:rFonts w:ascii="Arial" w:hAnsi="Arial" w:cs="Arial"/>
          <w:sz w:val="16"/>
          <w:szCs w:val="16"/>
        </w:rPr>
        <w:footnoteRef/>
      </w:r>
      <w:r w:rsidRPr="00456F9C">
        <w:rPr>
          <w:rFonts w:ascii="Arial" w:hAnsi="Arial" w:cs="Arial"/>
          <w:sz w:val="16"/>
          <w:szCs w:val="16"/>
        </w:rPr>
        <w:t xml:space="preserve"> </w:t>
      </w:r>
      <w:r>
        <w:rPr>
          <w:rFonts w:ascii="Arial" w:hAnsi="Arial" w:cs="Arial"/>
          <w:sz w:val="16"/>
          <w:szCs w:val="16"/>
        </w:rPr>
        <w:t>“</w:t>
      </w:r>
      <w:r w:rsidRPr="00456F9C">
        <w:rPr>
          <w:rFonts w:ascii="Arial" w:hAnsi="Arial" w:cs="Arial"/>
          <w:sz w:val="16"/>
          <w:szCs w:val="16"/>
        </w:rPr>
        <w:t xml:space="preserve">ARTÍCULO 31. Los comisionados durarán en su cargo cuatro años </w:t>
      </w:r>
      <w:r>
        <w:rPr>
          <w:rFonts w:ascii="Arial" w:hAnsi="Arial" w:cs="Arial"/>
          <w:sz w:val="16"/>
          <w:szCs w:val="16"/>
        </w:rPr>
        <w:t>[…]”</w:t>
      </w:r>
    </w:p>
  </w:footnote>
  <w:footnote w:id="9">
    <w:p w14:paraId="198B6D5C" w14:textId="51CCFFDF" w:rsidR="00456F9C" w:rsidRDefault="00456F9C">
      <w:pPr>
        <w:pStyle w:val="Textonotapie"/>
      </w:pPr>
      <w:r>
        <w:rPr>
          <w:rStyle w:val="Refdenotaalpie"/>
        </w:rPr>
        <w:footnoteRef/>
      </w:r>
      <w:r>
        <w:t xml:space="preserve"> </w:t>
      </w:r>
      <w:r w:rsidRPr="00456F9C">
        <w:rPr>
          <w:rFonts w:ascii="Arial" w:hAnsi="Arial" w:cs="Arial"/>
          <w:sz w:val="16"/>
        </w:rPr>
        <w:t>ARTÍCULO 29. La elección de los comisionados será organizada y realizada por el Congreso del Estado, a través de la Comisión de Transparencia y Acceso a la Información Pública, la cual publicará por lo menos treinta días hábiles antes de la elección, previa aprobación del Pleno de la Legislatura, una convocatoria abierta a toda la ciudadanía, para recibir solicitudes y propuestas ciudadanas, y que deberá contener al menos las bases siguientes</w:t>
      </w:r>
    </w:p>
  </w:footnote>
  <w:footnote w:id="10">
    <w:p w14:paraId="3DBE52D8" w14:textId="77777777" w:rsidR="005015ED" w:rsidRPr="00E11D4F" w:rsidRDefault="005015ED" w:rsidP="005015ED">
      <w:pPr>
        <w:pStyle w:val="Textonotapie"/>
        <w:rPr>
          <w:rFonts w:ascii="Arial" w:hAnsi="Arial" w:cs="Arial"/>
          <w:sz w:val="16"/>
          <w:szCs w:val="16"/>
        </w:rPr>
      </w:pPr>
      <w:r>
        <w:rPr>
          <w:rStyle w:val="Refdenotaalpie"/>
        </w:rPr>
        <w:footnoteRef/>
      </w:r>
      <w:r>
        <w:t xml:space="preserve"> </w:t>
      </w:r>
      <w:r w:rsidRPr="00E11D4F">
        <w:rPr>
          <w:rFonts w:ascii="Arial" w:hAnsi="Arial" w:cs="Arial"/>
          <w:sz w:val="16"/>
          <w:szCs w:val="16"/>
        </w:rPr>
        <w:t>ARTÍCULO 7°. El derecho de acceso a la información o la clasificación de la información se interpretarán bajo los principios establecidos en la Constitución Política de los Estados Unidos Mexicanos; los tratados internacionales de los que el Estado mexicano sea parte; y la presente Ley.</w:t>
      </w:r>
    </w:p>
  </w:footnote>
  <w:footnote w:id="11">
    <w:p w14:paraId="497D0C7F" w14:textId="77777777" w:rsidR="005015ED" w:rsidRPr="000D789B" w:rsidRDefault="005015ED" w:rsidP="005015ED">
      <w:pPr>
        <w:pStyle w:val="Textonotapie"/>
        <w:rPr>
          <w:rFonts w:ascii="Arial" w:hAnsi="Arial" w:cs="Arial"/>
          <w:sz w:val="16"/>
          <w:szCs w:val="16"/>
        </w:rPr>
      </w:pPr>
      <w:r>
        <w:rPr>
          <w:rStyle w:val="Refdenotaalpie"/>
        </w:rPr>
        <w:footnoteRef/>
      </w:r>
      <w:r>
        <w:t xml:space="preserve"> </w:t>
      </w:r>
      <w:r w:rsidRPr="000D789B">
        <w:rPr>
          <w:rFonts w:ascii="Arial" w:hAnsi="Arial" w:cs="Arial"/>
          <w:sz w:val="16"/>
          <w:szCs w:val="16"/>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12">
    <w:p w14:paraId="5D5550C8" w14:textId="77777777" w:rsidR="005015ED" w:rsidRPr="00EA7731" w:rsidRDefault="005015ED" w:rsidP="005015ED">
      <w:pPr>
        <w:pStyle w:val="Textonotapie"/>
        <w:rPr>
          <w:rFonts w:ascii="Arial" w:hAnsi="Arial" w:cs="Arial"/>
          <w:sz w:val="16"/>
          <w:szCs w:val="16"/>
        </w:rPr>
      </w:pPr>
      <w:r>
        <w:rPr>
          <w:rStyle w:val="Refdenotaalpie"/>
        </w:rPr>
        <w:footnoteRef/>
      </w:r>
      <w:r>
        <w:t xml:space="preserve"> </w:t>
      </w:r>
      <w:r w:rsidRPr="00EA7731">
        <w:rPr>
          <w:rFonts w:ascii="Arial" w:hAnsi="Arial" w:cs="Arial"/>
          <w:sz w:val="16"/>
          <w:szCs w:val="16"/>
        </w:rPr>
        <w:t>I. Certeza: principio que otorga seguridad y certidumbre jurídica a los particulares, en virtud de que permite conocer si las acciones de la CEGAIP, son apegadas a derecho y avala que los procedimientos sean completamente verificables, fidedignos y confiables;</w:t>
      </w:r>
    </w:p>
  </w:footnote>
  <w:footnote w:id="13">
    <w:p w14:paraId="2D08F108" w14:textId="77777777" w:rsidR="005015ED" w:rsidRDefault="005015ED" w:rsidP="005015ED">
      <w:pPr>
        <w:pStyle w:val="Textonotapie"/>
      </w:pPr>
      <w:r w:rsidRPr="00EA7731">
        <w:rPr>
          <w:rStyle w:val="Refdenotaalpie"/>
          <w:rFonts w:ascii="Arial" w:hAnsi="Arial" w:cs="Arial"/>
          <w:sz w:val="16"/>
          <w:szCs w:val="16"/>
        </w:rPr>
        <w:footnoteRef/>
      </w:r>
      <w:r w:rsidRPr="00EA7731">
        <w:rPr>
          <w:rFonts w:ascii="Arial" w:hAnsi="Arial" w:cs="Arial"/>
          <w:sz w:val="16"/>
          <w:szCs w:val="16"/>
        </w:rPr>
        <w:t xml:space="preserve"> II. Eficacia: obligación de la CEGAIP para tutelar, de manera efectiva, el derecho de acceso a la información;</w:t>
      </w:r>
    </w:p>
  </w:footnote>
  <w:footnote w:id="14">
    <w:p w14:paraId="4B139AB8" w14:textId="77777777" w:rsidR="005015ED" w:rsidRPr="00EA7731" w:rsidRDefault="005015ED" w:rsidP="005015ED">
      <w:pPr>
        <w:pStyle w:val="Textonotapie"/>
        <w:rPr>
          <w:rFonts w:ascii="Arial" w:hAnsi="Arial" w:cs="Arial"/>
          <w:sz w:val="16"/>
          <w:szCs w:val="16"/>
        </w:rPr>
      </w:pPr>
      <w:r w:rsidRPr="00EA7731">
        <w:rPr>
          <w:rStyle w:val="Refdenotaalpie"/>
          <w:rFonts w:ascii="Arial" w:hAnsi="Arial" w:cs="Arial"/>
          <w:sz w:val="16"/>
          <w:szCs w:val="16"/>
        </w:rPr>
        <w:footnoteRef/>
      </w:r>
      <w:r w:rsidRPr="00EA7731">
        <w:rPr>
          <w:rFonts w:ascii="Arial" w:hAnsi="Arial" w:cs="Arial"/>
          <w:sz w:val="16"/>
          <w:szCs w:val="16"/>
        </w:rPr>
        <w:t xml:space="preserve"> ARTÍCULO 8°. La CEGAIP deberá regir su funcionamiento de acuerdo a los siguientes principios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368CA734" w:rsidR="00BE5415" w:rsidRDefault="00BE5415">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557C92">
          <w:rPr>
            <w:noProof/>
          </w:rPr>
          <w:t>9</w:t>
        </w:r>
        <w:r>
          <w:fldChar w:fldCharType="end"/>
        </w:r>
      </w:sdtContent>
    </w:sdt>
  </w:p>
  <w:p w14:paraId="73B62FEB" w14:textId="18370400" w:rsidR="00BE5415" w:rsidRDefault="00BE5415">
    <w:pPr>
      <w:pStyle w:val="Encabezado"/>
      <w:jc w:val="center"/>
    </w:pPr>
  </w:p>
  <w:p w14:paraId="11A12D19" w14:textId="2D6FFD7A" w:rsidR="00BE5415" w:rsidRDefault="00BE5415">
    <w:pPr>
      <w:pStyle w:val="Encabezado"/>
      <w:jc w:val="center"/>
    </w:pPr>
  </w:p>
  <w:p w14:paraId="3C5C0923" w14:textId="7B0FF51F" w:rsidR="00BE5415" w:rsidRDefault="00BE5415">
    <w:pPr>
      <w:pStyle w:val="Encabezado"/>
      <w:jc w:val="center"/>
    </w:pPr>
  </w:p>
  <w:p w14:paraId="1EF4CA24" w14:textId="1D42ADC8" w:rsidR="00BE5415" w:rsidRDefault="00BE5415" w:rsidP="00151D88">
    <w:pPr>
      <w:pStyle w:val="Encabezado"/>
      <w:tabs>
        <w:tab w:val="left" w:pos="5954"/>
      </w:tabs>
      <w:jc w:val="right"/>
      <w:rPr>
        <w:sz w:val="20"/>
        <w:szCs w:val="20"/>
      </w:rPr>
    </w:pPr>
    <w:r w:rsidRPr="00485956">
      <w:rPr>
        <w:b/>
        <w:sz w:val="26"/>
        <w:szCs w:val="26"/>
      </w:rPr>
      <w:t>RR-</w:t>
    </w:r>
    <w:r w:rsidR="00D451D7">
      <w:rPr>
        <w:b/>
        <w:sz w:val="26"/>
        <w:szCs w:val="26"/>
      </w:rPr>
      <w:t>007</w:t>
    </w:r>
    <w:r w:rsidRPr="00485956">
      <w:rPr>
        <w:b/>
        <w:sz w:val="26"/>
        <w:szCs w:val="26"/>
      </w:rPr>
      <w:t>/202</w:t>
    </w:r>
    <w:r w:rsidR="004652C3">
      <w:rPr>
        <w:b/>
        <w:sz w:val="26"/>
        <w:szCs w:val="26"/>
      </w:rPr>
      <w:t>6</w:t>
    </w:r>
    <w:r w:rsidRPr="00485956">
      <w:rPr>
        <w:b/>
        <w:sz w:val="26"/>
        <w:szCs w:val="26"/>
      </w:rPr>
      <w:t>-3</w:t>
    </w:r>
    <w:r w:rsidR="00D451D7">
      <w:rPr>
        <w:b/>
        <w:sz w:val="26"/>
        <w:szCs w:val="26"/>
      </w:rPr>
      <w:t xml:space="preserve"> OP</w:t>
    </w:r>
  </w:p>
  <w:p w14:paraId="167ADC62" w14:textId="77777777" w:rsidR="00BE5415" w:rsidRDefault="00BE5415" w:rsidP="00E25AE4">
    <w:pPr>
      <w:pStyle w:val="Encabezado"/>
      <w:tabs>
        <w:tab w:val="left" w:pos="5954"/>
      </w:tabs>
      <w:jc w:val="right"/>
      <w:rPr>
        <w:sz w:val="20"/>
        <w:szCs w:val="20"/>
      </w:rPr>
    </w:pPr>
  </w:p>
  <w:p w14:paraId="2E3B98D4" w14:textId="77777777" w:rsidR="00BE5415" w:rsidRDefault="00BE5415">
    <w:pPr>
      <w:pStyle w:val="Encabezado"/>
      <w:jc w:val="center"/>
    </w:pPr>
  </w:p>
  <w:p w14:paraId="4E5FFEF8" w14:textId="46E567DF" w:rsidR="00BE5415" w:rsidRDefault="00BE54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522"/>
    <w:multiLevelType w:val="hybridMultilevel"/>
    <w:tmpl w:val="565A2288"/>
    <w:lvl w:ilvl="0" w:tplc="94FAB9CC">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0BEC7D69"/>
    <w:multiLevelType w:val="hybridMultilevel"/>
    <w:tmpl w:val="E7B6CD12"/>
    <w:lvl w:ilvl="0" w:tplc="1A662D8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8C164C4"/>
    <w:multiLevelType w:val="hybridMultilevel"/>
    <w:tmpl w:val="4890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6" w15:restartNumberingAfterBreak="0">
    <w:nsid w:val="4E8E65B7"/>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6972177"/>
    <w:multiLevelType w:val="hybridMultilevel"/>
    <w:tmpl w:val="385C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ED7030"/>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63D65309"/>
    <w:multiLevelType w:val="hybridMultilevel"/>
    <w:tmpl w:val="99606338"/>
    <w:lvl w:ilvl="0" w:tplc="0584D270">
      <w:start w:val="1"/>
      <w:numFmt w:val="decimal"/>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738E6B02"/>
    <w:multiLevelType w:val="hybridMultilevel"/>
    <w:tmpl w:val="DBC8232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
  </w:num>
  <w:num w:numId="5">
    <w:abstractNumId w:val="8"/>
  </w:num>
  <w:num w:numId="6">
    <w:abstractNumId w:val="9"/>
  </w:num>
  <w:num w:numId="7">
    <w:abstractNumId w:val="6"/>
  </w:num>
  <w:num w:numId="8">
    <w:abstractNumId w:val="2"/>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2054E"/>
    <w:rsid w:val="00064E4F"/>
    <w:rsid w:val="000B0032"/>
    <w:rsid w:val="000B399E"/>
    <w:rsid w:val="000D588A"/>
    <w:rsid w:val="000E016B"/>
    <w:rsid w:val="00101B45"/>
    <w:rsid w:val="0013713C"/>
    <w:rsid w:val="00151D88"/>
    <w:rsid w:val="001555AE"/>
    <w:rsid w:val="00183019"/>
    <w:rsid w:val="0018414B"/>
    <w:rsid w:val="00197E0D"/>
    <w:rsid w:val="001B1DC6"/>
    <w:rsid w:val="001C6C84"/>
    <w:rsid w:val="001D470D"/>
    <w:rsid w:val="002052B5"/>
    <w:rsid w:val="0020679C"/>
    <w:rsid w:val="002231A1"/>
    <w:rsid w:val="002632EA"/>
    <w:rsid w:val="00263982"/>
    <w:rsid w:val="002758C7"/>
    <w:rsid w:val="002A20FF"/>
    <w:rsid w:val="002F0A47"/>
    <w:rsid w:val="002F4635"/>
    <w:rsid w:val="00302132"/>
    <w:rsid w:val="003143BF"/>
    <w:rsid w:val="00315D18"/>
    <w:rsid w:val="00370B2D"/>
    <w:rsid w:val="003C267A"/>
    <w:rsid w:val="003D721B"/>
    <w:rsid w:val="003E0797"/>
    <w:rsid w:val="003F0E7E"/>
    <w:rsid w:val="004310F2"/>
    <w:rsid w:val="004437FA"/>
    <w:rsid w:val="00454EB5"/>
    <w:rsid w:val="00456F9C"/>
    <w:rsid w:val="004652C3"/>
    <w:rsid w:val="00471043"/>
    <w:rsid w:val="00474E72"/>
    <w:rsid w:val="005015ED"/>
    <w:rsid w:val="00537924"/>
    <w:rsid w:val="00541704"/>
    <w:rsid w:val="00541994"/>
    <w:rsid w:val="00557C92"/>
    <w:rsid w:val="005B51A9"/>
    <w:rsid w:val="005B557F"/>
    <w:rsid w:val="005B7A82"/>
    <w:rsid w:val="005D26DE"/>
    <w:rsid w:val="0061492F"/>
    <w:rsid w:val="00624872"/>
    <w:rsid w:val="00636CA1"/>
    <w:rsid w:val="00647770"/>
    <w:rsid w:val="00657AD7"/>
    <w:rsid w:val="006A157D"/>
    <w:rsid w:val="006E16FD"/>
    <w:rsid w:val="006E3DBD"/>
    <w:rsid w:val="006F1374"/>
    <w:rsid w:val="007B194A"/>
    <w:rsid w:val="007B55B0"/>
    <w:rsid w:val="007C3966"/>
    <w:rsid w:val="008329D4"/>
    <w:rsid w:val="00847F9F"/>
    <w:rsid w:val="00866027"/>
    <w:rsid w:val="008726E7"/>
    <w:rsid w:val="0089243F"/>
    <w:rsid w:val="008A0502"/>
    <w:rsid w:val="008B5177"/>
    <w:rsid w:val="008D5FA8"/>
    <w:rsid w:val="008E1F02"/>
    <w:rsid w:val="008E2C25"/>
    <w:rsid w:val="008F0F03"/>
    <w:rsid w:val="008F4DFE"/>
    <w:rsid w:val="00907115"/>
    <w:rsid w:val="0093057A"/>
    <w:rsid w:val="00936C0C"/>
    <w:rsid w:val="00953DF5"/>
    <w:rsid w:val="009B3806"/>
    <w:rsid w:val="009D7D9D"/>
    <w:rsid w:val="00A20DB4"/>
    <w:rsid w:val="00A2232F"/>
    <w:rsid w:val="00A27C50"/>
    <w:rsid w:val="00A43A1F"/>
    <w:rsid w:val="00AD0240"/>
    <w:rsid w:val="00AD1DE8"/>
    <w:rsid w:val="00AD7F20"/>
    <w:rsid w:val="00B21F15"/>
    <w:rsid w:val="00B2223F"/>
    <w:rsid w:val="00B24175"/>
    <w:rsid w:val="00B4223C"/>
    <w:rsid w:val="00B80066"/>
    <w:rsid w:val="00B93195"/>
    <w:rsid w:val="00B93599"/>
    <w:rsid w:val="00BB218E"/>
    <w:rsid w:val="00BB58C4"/>
    <w:rsid w:val="00BC77DF"/>
    <w:rsid w:val="00BD1346"/>
    <w:rsid w:val="00BD2B59"/>
    <w:rsid w:val="00BE5415"/>
    <w:rsid w:val="00BF76BC"/>
    <w:rsid w:val="00C205A5"/>
    <w:rsid w:val="00C7333F"/>
    <w:rsid w:val="00C777B6"/>
    <w:rsid w:val="00C84C80"/>
    <w:rsid w:val="00CA225F"/>
    <w:rsid w:val="00CF4E16"/>
    <w:rsid w:val="00D0432A"/>
    <w:rsid w:val="00D451D7"/>
    <w:rsid w:val="00D55C81"/>
    <w:rsid w:val="00DA61F8"/>
    <w:rsid w:val="00DD32E0"/>
    <w:rsid w:val="00DE5436"/>
    <w:rsid w:val="00DF098B"/>
    <w:rsid w:val="00E014D4"/>
    <w:rsid w:val="00E20206"/>
    <w:rsid w:val="00E25AE4"/>
    <w:rsid w:val="00E55B03"/>
    <w:rsid w:val="00E61093"/>
    <w:rsid w:val="00E62A1B"/>
    <w:rsid w:val="00E862F4"/>
    <w:rsid w:val="00EA3EE3"/>
    <w:rsid w:val="00EC3236"/>
    <w:rsid w:val="00F0324E"/>
    <w:rsid w:val="00F034A9"/>
    <w:rsid w:val="00F17D0B"/>
    <w:rsid w:val="00F2018D"/>
    <w:rsid w:val="00F42B82"/>
    <w:rsid w:val="00F835C7"/>
    <w:rsid w:val="00F957DD"/>
    <w:rsid w:val="00FA683A"/>
    <w:rsid w:val="00FB2176"/>
    <w:rsid w:val="00FB6BAF"/>
    <w:rsid w:val="00FD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FAE9E4EF-55D8-4E83-A4CD-FB75AA06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jc w:val="both"/>
    </w:pPr>
    <w:rPr>
      <w:rFonts w:asciiTheme="minorHAnsi" w:hAnsiTheme="minorHAnsi"/>
      <w:sz w:val="20"/>
      <w:szCs w:val="20"/>
      <w:lang w:val="es-MX"/>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spacing w:after="160" w:line="259" w:lineRule="auto"/>
      <w:ind w:left="720"/>
      <w:contextualSpacing/>
    </w:pPr>
    <w:rPr>
      <w:rFonts w:asciiTheme="minorHAnsi" w:eastAsiaTheme="minorHAnsi" w:hAnsiTheme="minorHAnsi" w:cstheme="minorBidi"/>
      <w:sz w:val="22"/>
      <w:szCs w:val="22"/>
      <w:lang w:val="es-MX"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471043"/>
    <w:rPr>
      <w:color w:val="0563C1" w:themeColor="hyperlink"/>
      <w:u w:val="single"/>
    </w:rPr>
  </w:style>
  <w:style w:type="paragraph" w:styleId="Textodeglobo">
    <w:name w:val="Balloon Text"/>
    <w:basedOn w:val="Normal"/>
    <w:link w:val="TextodegloboCar"/>
    <w:uiPriority w:val="99"/>
    <w:semiHidden/>
    <w:unhideWhenUsed/>
    <w:rsid w:val="00E20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0206"/>
    <w:rPr>
      <w:rFonts w:ascii="Segoe UI" w:eastAsia="Times New Roman" w:hAnsi="Segoe UI" w:cs="Segoe UI"/>
      <w:sz w:val="18"/>
      <w:szCs w:val="18"/>
      <w:lang w:eastAsia="es-ES"/>
    </w:rPr>
  </w:style>
  <w:style w:type="paragraph" w:styleId="Textoindependiente">
    <w:name w:val="Body Text"/>
    <w:basedOn w:val="Normal"/>
    <w:link w:val="TextoindependienteCar"/>
    <w:uiPriority w:val="99"/>
    <w:semiHidden/>
    <w:unhideWhenUsed/>
    <w:rsid w:val="008E2C25"/>
    <w:pPr>
      <w:spacing w:after="120"/>
    </w:pPr>
  </w:style>
  <w:style w:type="character" w:customStyle="1" w:styleId="TextoindependienteCar">
    <w:name w:val="Texto independiente Car"/>
    <w:basedOn w:val="Fuentedeprrafopredeter"/>
    <w:link w:val="Textoindependiente"/>
    <w:uiPriority w:val="99"/>
    <w:semiHidden/>
    <w:rsid w:val="008E2C25"/>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uiPriority w:val="99"/>
    <w:rsid w:val="008E2C25"/>
    <w:pPr>
      <w:spacing w:line="360" w:lineRule="auto"/>
      <w:ind w:firstLine="210"/>
      <w:jc w:val="both"/>
    </w:pPr>
    <w:rPr>
      <w:rFonts w:ascii="Calibri" w:hAnsi="Calibri"/>
      <w:sz w:val="26"/>
      <w:lang w:val="es-MX"/>
    </w:rPr>
  </w:style>
  <w:style w:type="character" w:customStyle="1" w:styleId="TextoindependienteprimerasangraCar">
    <w:name w:val="Texto independiente primera sangría Car"/>
    <w:basedOn w:val="TextoindependienteCar"/>
    <w:link w:val="Textoindependienteprimerasangra"/>
    <w:uiPriority w:val="99"/>
    <w:rsid w:val="008E2C25"/>
    <w:rPr>
      <w:rFonts w:ascii="Calibri" w:eastAsia="Times New Roman" w:hAnsi="Calibri" w:cs="Times New Roman"/>
      <w:sz w:val="26"/>
      <w:szCs w:val="24"/>
      <w:lang w:val="es-MX" w:eastAsia="es-ES"/>
    </w:rPr>
  </w:style>
  <w:style w:type="paragraph" w:customStyle="1" w:styleId="Estilo">
    <w:name w:val="Estilo"/>
    <w:basedOn w:val="Sinespaciado"/>
    <w:link w:val="EstiloCar"/>
    <w:qFormat/>
    <w:rsid w:val="00EC3236"/>
    <w:pPr>
      <w:jc w:val="both"/>
    </w:pPr>
    <w:rPr>
      <w:rFonts w:ascii="Arial" w:eastAsiaTheme="minorHAnsi" w:hAnsi="Arial" w:cstheme="minorBidi"/>
      <w:szCs w:val="22"/>
      <w:lang w:val="es-MX" w:eastAsia="en-US"/>
    </w:rPr>
  </w:style>
  <w:style w:type="character" w:customStyle="1" w:styleId="EstiloCar">
    <w:name w:val="Estilo Car"/>
    <w:basedOn w:val="Fuentedeprrafopredeter"/>
    <w:link w:val="Estilo"/>
    <w:rsid w:val="00EC3236"/>
    <w:rPr>
      <w:rFonts w:ascii="Arial" w:hAnsi="Arial"/>
      <w:sz w:val="24"/>
      <w:lang w:val="es-MX"/>
    </w:rPr>
  </w:style>
  <w:style w:type="paragraph" w:styleId="Sinespaciado">
    <w:name w:val="No Spacing"/>
    <w:link w:val="SinespaciadoCar"/>
    <w:uiPriority w:val="1"/>
    <w:qFormat/>
    <w:rsid w:val="00EC3236"/>
    <w:pPr>
      <w:spacing w:after="0" w:line="240" w:lineRule="auto"/>
    </w:pPr>
    <w:rPr>
      <w:rFonts w:ascii="Times New Roman" w:eastAsia="Times New Roman" w:hAnsi="Times New Roman" w:cs="Times New Roman"/>
      <w:sz w:val="24"/>
      <w:szCs w:val="24"/>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652C3"/>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locked/>
    <w:rsid w:val="004652C3"/>
    <w:rPr>
      <w:rFonts w:ascii="Times New Roman" w:eastAsia="Times New Roman" w:hAnsi="Times New Roman" w:cs="Times New Roman"/>
      <w:sz w:val="24"/>
      <w:szCs w:val="24"/>
      <w:lang w:eastAsia="es-ES"/>
    </w:rPr>
  </w:style>
  <w:style w:type="paragraph" w:customStyle="1" w:styleId="Standard">
    <w:name w:val="Standard"/>
    <w:rsid w:val="00FA683A"/>
    <w:pPr>
      <w:suppressAutoHyphens/>
      <w:autoSpaceDN w:val="0"/>
      <w:spacing w:after="0" w:line="240" w:lineRule="auto"/>
      <w:textAlignment w:val="baseline"/>
    </w:pPr>
    <w:rPr>
      <w:rFonts w:ascii="Times New Roman" w:eastAsia="Times New Roman" w:hAnsi="Times New Roman" w:cs="Times New Roman"/>
      <w:kern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43DBA-B5DC-4A22-B6B5-ADDE1994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3464</Words>
  <Characters>19053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cp:lastModifiedBy>
  <cp:revision>4</cp:revision>
  <cp:lastPrinted>2026-06-25T18:03:00Z</cp:lastPrinted>
  <dcterms:created xsi:type="dcterms:W3CDTF">2026-06-25T17:51:00Z</dcterms:created>
  <dcterms:modified xsi:type="dcterms:W3CDTF">2026-06-25T19:01:00Z</dcterms:modified>
</cp:coreProperties>
</file>