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0" w:type="auto"/>
        <w:tblInd w:w="3510" w:type="dxa"/>
        <w:tblLook w:val="04A0" w:firstRow="1" w:lastRow="0" w:firstColumn="1" w:lastColumn="0" w:noHBand="0" w:noVBand="1"/>
      </w:tblPr>
      <w:tblGrid>
        <w:gridCol w:w="5034"/>
      </w:tblGrid>
      <w:tr w:rsidR="005475F3" w:rsidRPr="005475F3" w14:paraId="506927C9" w14:textId="77777777" w:rsidTr="00137098">
        <w:tc>
          <w:tcPr>
            <w:tcW w:w="50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53441E" w14:textId="51479C6D" w:rsidR="00137098" w:rsidRPr="005475F3" w:rsidRDefault="00137098" w:rsidP="00137098">
            <w:pPr>
              <w:spacing w:line="360" w:lineRule="auto"/>
              <w:ind w:left="-108"/>
              <w:jc w:val="both"/>
              <w:rPr>
                <w:rFonts w:ascii="Arial" w:hAnsi="Arial" w:cs="Arial"/>
                <w:sz w:val="24"/>
                <w:szCs w:val="24"/>
                <w:lang w:eastAsia="es-ES"/>
              </w:rPr>
            </w:pPr>
            <w:bookmarkStart w:id="0" w:name="_Hlk520393671"/>
            <w:r w:rsidRPr="005475F3">
              <w:rPr>
                <w:rFonts w:ascii="Arial" w:hAnsi="Arial" w:cs="Arial"/>
                <w:b/>
                <w:sz w:val="24"/>
                <w:szCs w:val="24"/>
                <w:lang w:eastAsia="es-ES"/>
              </w:rPr>
              <w:t xml:space="preserve">RECURSO DE REVISIÓN: </w:t>
            </w:r>
            <w:r w:rsidR="00EA65AE">
              <w:rPr>
                <w:rFonts w:ascii="Arial" w:hAnsi="Arial" w:cs="Arial"/>
                <w:sz w:val="24"/>
                <w:szCs w:val="24"/>
                <w:lang w:eastAsia="es-ES"/>
              </w:rPr>
              <w:t>RR-01</w:t>
            </w:r>
            <w:bookmarkStart w:id="1" w:name="_GoBack"/>
            <w:bookmarkEnd w:id="1"/>
            <w:r w:rsidR="000E2DF5">
              <w:rPr>
                <w:rFonts w:ascii="Arial" w:hAnsi="Arial" w:cs="Arial"/>
                <w:sz w:val="24"/>
                <w:szCs w:val="24"/>
                <w:lang w:eastAsia="es-ES"/>
              </w:rPr>
              <w:t>7</w:t>
            </w:r>
            <w:r w:rsidRPr="005475F3">
              <w:rPr>
                <w:rFonts w:ascii="Arial" w:hAnsi="Arial" w:cs="Arial"/>
                <w:sz w:val="24"/>
                <w:szCs w:val="24"/>
                <w:lang w:eastAsia="es-ES"/>
              </w:rPr>
              <w:t>/2026-3</w:t>
            </w:r>
            <w:r w:rsidR="000E2DF5">
              <w:rPr>
                <w:rFonts w:ascii="Arial" w:hAnsi="Arial" w:cs="Arial"/>
                <w:sz w:val="24"/>
                <w:szCs w:val="24"/>
                <w:lang w:eastAsia="es-ES"/>
              </w:rPr>
              <w:t xml:space="preserve"> OP</w:t>
            </w:r>
          </w:p>
        </w:tc>
      </w:tr>
      <w:tr w:rsidR="005475F3" w:rsidRPr="005475F3" w14:paraId="3A0568CC" w14:textId="77777777" w:rsidTr="00137098">
        <w:tc>
          <w:tcPr>
            <w:tcW w:w="50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D2831A5" w14:textId="2EEA902C" w:rsidR="00137098" w:rsidRPr="005475F3" w:rsidRDefault="00137098" w:rsidP="000E2DF5">
            <w:pPr>
              <w:spacing w:line="360" w:lineRule="auto"/>
              <w:ind w:left="-108"/>
              <w:jc w:val="both"/>
              <w:rPr>
                <w:rFonts w:ascii="Arial" w:hAnsi="Arial" w:cs="Arial"/>
                <w:b/>
                <w:sz w:val="24"/>
                <w:szCs w:val="24"/>
                <w:lang w:eastAsia="es-ES"/>
              </w:rPr>
            </w:pPr>
            <w:r w:rsidRPr="005475F3">
              <w:rPr>
                <w:rFonts w:ascii="Arial" w:hAnsi="Arial" w:cs="Arial"/>
                <w:b/>
                <w:sz w:val="24"/>
                <w:szCs w:val="24"/>
                <w:lang w:eastAsia="es-ES"/>
              </w:rPr>
              <w:t xml:space="preserve">SUJETO OBLIGADO: </w:t>
            </w:r>
            <w:r w:rsidR="000E2DF5">
              <w:rPr>
                <w:rFonts w:ascii="Arial" w:hAnsi="Arial" w:cs="Arial"/>
                <w:sz w:val="24"/>
                <w:szCs w:val="24"/>
                <w:lang w:eastAsia="es-ES"/>
              </w:rPr>
              <w:t>SECRETARIA GENERAL DE GOBIERNO.</w:t>
            </w:r>
          </w:p>
        </w:tc>
      </w:tr>
      <w:tr w:rsidR="00137098" w:rsidRPr="005475F3" w14:paraId="112D33F3" w14:textId="77777777" w:rsidTr="00137098">
        <w:tc>
          <w:tcPr>
            <w:tcW w:w="50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C923CA3" w14:textId="77777777" w:rsidR="00137098" w:rsidRPr="005475F3" w:rsidRDefault="00137098" w:rsidP="00137098">
            <w:pPr>
              <w:spacing w:line="360" w:lineRule="auto"/>
              <w:ind w:left="-108"/>
              <w:jc w:val="both"/>
              <w:rPr>
                <w:rFonts w:ascii="Arial" w:hAnsi="Arial" w:cs="Arial"/>
                <w:sz w:val="24"/>
                <w:szCs w:val="24"/>
                <w:lang w:eastAsia="es-ES"/>
              </w:rPr>
            </w:pPr>
            <w:r w:rsidRPr="005475F3">
              <w:rPr>
                <w:rFonts w:ascii="Arial" w:hAnsi="Arial" w:cs="Arial"/>
                <w:b/>
                <w:sz w:val="24"/>
                <w:szCs w:val="24"/>
                <w:lang w:eastAsia="es-ES"/>
              </w:rPr>
              <w:t xml:space="preserve">COMISIONADO PONENTE: </w:t>
            </w:r>
            <w:r w:rsidRPr="005475F3">
              <w:rPr>
                <w:rFonts w:ascii="Arial" w:hAnsi="Arial" w:cs="Arial"/>
                <w:sz w:val="24"/>
                <w:szCs w:val="24"/>
                <w:lang w:eastAsia="es-ES"/>
              </w:rPr>
              <w:t>ANA CRISTINA GARCÍA NALES.</w:t>
            </w:r>
          </w:p>
        </w:tc>
      </w:tr>
    </w:tbl>
    <w:p w14:paraId="0E2EB923" w14:textId="77777777" w:rsidR="00137098" w:rsidRPr="005475F3" w:rsidRDefault="00137098" w:rsidP="00137098">
      <w:pPr>
        <w:spacing w:after="0" w:line="360" w:lineRule="auto"/>
        <w:jc w:val="both"/>
        <w:rPr>
          <w:rFonts w:ascii="Arial" w:eastAsia="Times New Roman" w:hAnsi="Arial" w:cs="Arial"/>
          <w:b/>
          <w:sz w:val="24"/>
          <w:szCs w:val="24"/>
          <w:lang w:eastAsia="es-ES"/>
        </w:rPr>
      </w:pPr>
    </w:p>
    <w:p w14:paraId="31812E9C" w14:textId="77777777" w:rsidR="00137098" w:rsidRPr="005475F3" w:rsidRDefault="00137098" w:rsidP="00137098">
      <w:pPr>
        <w:spacing w:after="0" w:line="360" w:lineRule="auto"/>
        <w:ind w:firstLine="708"/>
        <w:jc w:val="both"/>
        <w:rPr>
          <w:rFonts w:ascii="Arial" w:eastAsia="Arial Unicode MS" w:hAnsi="Arial" w:cs="Arial"/>
          <w:sz w:val="24"/>
          <w:szCs w:val="24"/>
          <w:lang w:eastAsia="es-ES"/>
        </w:rPr>
      </w:pPr>
    </w:p>
    <w:p w14:paraId="43E5E7AB" w14:textId="59DCF0F8" w:rsidR="00137098" w:rsidRPr="005475F3" w:rsidRDefault="00137098" w:rsidP="00137098">
      <w:pPr>
        <w:spacing w:after="0" w:line="360" w:lineRule="auto"/>
        <w:ind w:firstLine="708"/>
        <w:jc w:val="both"/>
        <w:rPr>
          <w:rFonts w:ascii="Arial" w:eastAsia="BatangChe" w:hAnsi="Arial" w:cs="Arial"/>
          <w:sz w:val="24"/>
          <w:szCs w:val="24"/>
          <w:lang w:eastAsia="es-ES"/>
        </w:rPr>
      </w:pPr>
      <w:r w:rsidRPr="005475F3">
        <w:rPr>
          <w:rFonts w:ascii="Arial" w:eastAsia="Arial Unicode MS" w:hAnsi="Arial" w:cs="Arial"/>
          <w:sz w:val="24"/>
          <w:szCs w:val="24"/>
          <w:lang w:eastAsia="es-ES"/>
        </w:rPr>
        <w:t xml:space="preserve">San Luis Potosí, San Luis Potosí, </w:t>
      </w:r>
      <w:r w:rsidRPr="005475F3">
        <w:rPr>
          <w:rFonts w:ascii="Arial" w:eastAsia="BatangChe" w:hAnsi="Arial" w:cs="Arial"/>
          <w:sz w:val="24"/>
          <w:szCs w:val="24"/>
          <w:lang w:eastAsia="es-ES"/>
        </w:rPr>
        <w:t xml:space="preserve">Sesión </w:t>
      </w:r>
      <w:r w:rsidR="000E2DF5">
        <w:rPr>
          <w:rFonts w:ascii="Arial" w:eastAsia="BatangChe" w:hAnsi="Arial" w:cs="Arial"/>
          <w:sz w:val="24"/>
          <w:szCs w:val="24"/>
          <w:lang w:eastAsia="es-ES"/>
        </w:rPr>
        <w:t>O</w:t>
      </w:r>
      <w:r w:rsidR="00D75D83">
        <w:rPr>
          <w:rFonts w:ascii="Arial" w:eastAsia="BatangChe" w:hAnsi="Arial" w:cs="Arial"/>
          <w:sz w:val="24"/>
          <w:szCs w:val="24"/>
          <w:lang w:eastAsia="es-ES"/>
        </w:rPr>
        <w:t xml:space="preserve">rdinaria </w:t>
      </w:r>
      <w:r w:rsidRPr="005475F3">
        <w:rPr>
          <w:rFonts w:ascii="Arial" w:eastAsia="BatangChe" w:hAnsi="Arial" w:cs="Arial"/>
          <w:sz w:val="24"/>
          <w:szCs w:val="24"/>
          <w:lang w:eastAsia="es-ES"/>
        </w:rPr>
        <w:t>del Pleno de la Comisión Estatal de Garantía de Acceso a la I</w:t>
      </w:r>
      <w:r w:rsidR="00692242">
        <w:rPr>
          <w:rFonts w:ascii="Arial" w:eastAsia="BatangChe" w:hAnsi="Arial" w:cs="Arial"/>
          <w:sz w:val="24"/>
          <w:szCs w:val="24"/>
          <w:lang w:eastAsia="es-ES"/>
        </w:rPr>
        <w:t xml:space="preserve">nformación Pública, de </w:t>
      </w:r>
      <w:r w:rsidR="000E2DF5">
        <w:rPr>
          <w:rFonts w:ascii="Arial" w:eastAsia="BatangChe" w:hAnsi="Arial" w:cs="Arial"/>
          <w:sz w:val="24"/>
          <w:szCs w:val="24"/>
          <w:lang w:eastAsia="es-ES"/>
        </w:rPr>
        <w:t>05 cinco de junio</w:t>
      </w:r>
      <w:r w:rsidR="00933F44">
        <w:rPr>
          <w:rFonts w:ascii="Arial" w:eastAsia="BatangChe" w:hAnsi="Arial" w:cs="Arial"/>
          <w:sz w:val="24"/>
          <w:szCs w:val="24"/>
          <w:lang w:eastAsia="es-ES"/>
        </w:rPr>
        <w:t xml:space="preserve"> de 2026 </w:t>
      </w:r>
      <w:r w:rsidRPr="005475F3">
        <w:rPr>
          <w:rFonts w:ascii="Arial" w:eastAsia="BatangChe" w:hAnsi="Arial" w:cs="Arial"/>
          <w:sz w:val="24"/>
          <w:szCs w:val="24"/>
          <w:lang w:eastAsia="es-ES"/>
        </w:rPr>
        <w:t xml:space="preserve">dos mil veintiséis. </w:t>
      </w:r>
    </w:p>
    <w:p w14:paraId="65F57285" w14:textId="77777777" w:rsidR="00137098" w:rsidRPr="005475F3" w:rsidRDefault="00137098" w:rsidP="00137098">
      <w:pPr>
        <w:spacing w:after="0" w:line="360" w:lineRule="auto"/>
        <w:jc w:val="both"/>
        <w:rPr>
          <w:rFonts w:ascii="Arial" w:eastAsia="Arial Unicode MS" w:hAnsi="Arial" w:cs="Arial"/>
          <w:sz w:val="24"/>
          <w:szCs w:val="24"/>
          <w:lang w:eastAsia="es-ES"/>
        </w:rPr>
      </w:pPr>
    </w:p>
    <w:p w14:paraId="14374BA2" w14:textId="77777777" w:rsidR="00137098" w:rsidRPr="005475F3" w:rsidRDefault="00137098" w:rsidP="00137098">
      <w:pPr>
        <w:spacing w:after="0" w:line="360" w:lineRule="auto"/>
        <w:ind w:firstLine="708"/>
        <w:jc w:val="both"/>
        <w:rPr>
          <w:rFonts w:ascii="Arial" w:eastAsia="Arial Unicode MS" w:hAnsi="Arial" w:cs="Arial"/>
          <w:b/>
          <w:sz w:val="24"/>
          <w:szCs w:val="24"/>
          <w:lang w:eastAsia="es-ES"/>
        </w:rPr>
      </w:pPr>
      <w:r w:rsidRPr="005475F3">
        <w:rPr>
          <w:rFonts w:ascii="Arial" w:eastAsia="Arial Unicode MS" w:hAnsi="Arial" w:cs="Arial"/>
          <w:b/>
          <w:bCs/>
          <w:sz w:val="24"/>
          <w:szCs w:val="24"/>
          <w:lang w:eastAsia="es-ES"/>
        </w:rPr>
        <w:t>VISTOS</w:t>
      </w:r>
      <w:r w:rsidRPr="005475F3">
        <w:rPr>
          <w:rFonts w:ascii="Arial" w:eastAsia="Arial Unicode MS" w:hAnsi="Arial" w:cs="Arial"/>
          <w:sz w:val="24"/>
          <w:szCs w:val="24"/>
          <w:lang w:eastAsia="es-ES"/>
        </w:rPr>
        <w:t>, para resolver los autos que conforman el expediente citado al rubro;</w:t>
      </w:r>
      <w:r w:rsidRPr="005475F3">
        <w:rPr>
          <w:rFonts w:ascii="Arial" w:eastAsia="Arial Unicode MS" w:hAnsi="Arial" w:cs="Arial"/>
          <w:b/>
          <w:sz w:val="24"/>
          <w:szCs w:val="24"/>
          <w:lang w:eastAsia="es-ES"/>
        </w:rPr>
        <w:t xml:space="preserve"> </w:t>
      </w:r>
      <w:r w:rsidRPr="005475F3">
        <w:rPr>
          <w:rFonts w:ascii="Arial" w:eastAsia="Arial Unicode MS" w:hAnsi="Arial" w:cs="Arial"/>
          <w:sz w:val="24"/>
          <w:szCs w:val="24"/>
          <w:lang w:eastAsia="es-ES"/>
        </w:rPr>
        <w:t>y</w:t>
      </w:r>
      <w:r w:rsidRPr="005475F3">
        <w:rPr>
          <w:rFonts w:ascii="Arial" w:eastAsia="Arial Unicode MS" w:hAnsi="Arial" w:cs="Arial"/>
          <w:b/>
          <w:sz w:val="24"/>
          <w:szCs w:val="24"/>
          <w:lang w:eastAsia="es-ES"/>
        </w:rPr>
        <w:t xml:space="preserve">  </w:t>
      </w:r>
    </w:p>
    <w:p w14:paraId="285D4E3C" w14:textId="77777777" w:rsidR="00137098" w:rsidRPr="005475F3" w:rsidRDefault="00137098" w:rsidP="00137098">
      <w:pPr>
        <w:spacing w:after="0" w:line="360" w:lineRule="auto"/>
        <w:ind w:firstLine="708"/>
        <w:jc w:val="both"/>
        <w:rPr>
          <w:rFonts w:ascii="Arial" w:eastAsia="Arial Unicode MS" w:hAnsi="Arial" w:cs="Arial"/>
          <w:b/>
          <w:sz w:val="24"/>
          <w:szCs w:val="24"/>
          <w:lang w:eastAsia="es-ES"/>
        </w:rPr>
      </w:pPr>
    </w:p>
    <w:p w14:paraId="1E8F191C" w14:textId="77777777" w:rsidR="00137098" w:rsidRPr="005475F3" w:rsidRDefault="00137098" w:rsidP="00137098">
      <w:pPr>
        <w:spacing w:after="0" w:line="360" w:lineRule="auto"/>
        <w:ind w:firstLine="900"/>
        <w:jc w:val="center"/>
        <w:rPr>
          <w:rFonts w:ascii="Arial" w:eastAsia="Arial Unicode MS" w:hAnsi="Arial" w:cs="Arial"/>
          <w:b/>
          <w:sz w:val="24"/>
          <w:szCs w:val="24"/>
          <w:lang w:val="pt-BR" w:eastAsia="es-ES"/>
        </w:rPr>
      </w:pPr>
      <w:r w:rsidRPr="005475F3">
        <w:rPr>
          <w:rFonts w:ascii="Arial" w:eastAsia="Arial Unicode MS" w:hAnsi="Arial" w:cs="Arial"/>
          <w:b/>
          <w:sz w:val="24"/>
          <w:szCs w:val="24"/>
          <w:lang w:val="pt-BR" w:eastAsia="es-ES"/>
        </w:rPr>
        <w:t>R E S U L T A N D O:</w:t>
      </w:r>
    </w:p>
    <w:p w14:paraId="72C2FB52" w14:textId="77777777" w:rsidR="00137098" w:rsidRPr="005475F3" w:rsidRDefault="00137098" w:rsidP="00137098">
      <w:pPr>
        <w:spacing w:after="0" w:line="360" w:lineRule="auto"/>
        <w:ind w:firstLine="900"/>
        <w:jc w:val="center"/>
        <w:rPr>
          <w:rFonts w:ascii="Arial" w:eastAsia="Arial Unicode MS" w:hAnsi="Arial" w:cs="Arial"/>
          <w:b/>
          <w:sz w:val="24"/>
          <w:szCs w:val="24"/>
          <w:lang w:val="pt-BR" w:eastAsia="es-ES"/>
        </w:rPr>
      </w:pPr>
    </w:p>
    <w:p w14:paraId="3D3062D0" w14:textId="7151E84C" w:rsidR="00137098" w:rsidRPr="005475F3" w:rsidRDefault="00137098" w:rsidP="00137098">
      <w:pPr>
        <w:spacing w:after="0" w:line="360" w:lineRule="auto"/>
        <w:ind w:firstLine="709"/>
        <w:jc w:val="both"/>
        <w:rPr>
          <w:rFonts w:ascii="Arial" w:eastAsia="Arial Unicode MS" w:hAnsi="Arial" w:cs="Arial"/>
          <w:sz w:val="24"/>
          <w:szCs w:val="24"/>
          <w:lang w:eastAsia="es-ES"/>
        </w:rPr>
      </w:pPr>
      <w:r w:rsidRPr="005475F3">
        <w:rPr>
          <w:rFonts w:ascii="Arial" w:eastAsia="Arial Unicode MS" w:hAnsi="Arial" w:cs="Arial"/>
          <w:b/>
          <w:sz w:val="24"/>
          <w:szCs w:val="24"/>
          <w:lang w:eastAsia="es-ES"/>
        </w:rPr>
        <w:t>PRIMERO.</w:t>
      </w:r>
      <w:r w:rsidRPr="005475F3">
        <w:rPr>
          <w:rFonts w:ascii="Arial" w:eastAsia="Arial Unicode MS" w:hAnsi="Arial" w:cs="Arial"/>
          <w:sz w:val="24"/>
          <w:szCs w:val="24"/>
          <w:lang w:eastAsia="es-ES"/>
        </w:rPr>
        <w:t xml:space="preserve"> </w:t>
      </w:r>
      <w:r w:rsidRPr="005475F3">
        <w:rPr>
          <w:rFonts w:ascii="Arial" w:eastAsia="Arial Unicode MS" w:hAnsi="Arial" w:cs="Arial"/>
          <w:b/>
          <w:sz w:val="24"/>
          <w:szCs w:val="24"/>
          <w:lang w:eastAsia="es-ES"/>
        </w:rPr>
        <w:t>Solicitud de acceso a la información pública.</w:t>
      </w:r>
      <w:r w:rsidRPr="005475F3">
        <w:rPr>
          <w:rFonts w:ascii="Arial" w:eastAsia="Arial Unicode MS" w:hAnsi="Arial" w:cs="Arial"/>
          <w:sz w:val="24"/>
          <w:szCs w:val="24"/>
          <w:lang w:eastAsia="es-ES"/>
        </w:rPr>
        <w:t xml:space="preserve"> El </w:t>
      </w:r>
      <w:r w:rsidR="003045F0">
        <w:rPr>
          <w:rFonts w:ascii="Arial" w:eastAsia="Arial Unicode MS" w:hAnsi="Arial" w:cs="Arial"/>
          <w:sz w:val="24"/>
          <w:szCs w:val="24"/>
          <w:lang w:eastAsia="es-ES"/>
        </w:rPr>
        <w:t xml:space="preserve">16 dieciséis de abril </w:t>
      </w:r>
      <w:r w:rsidR="00933F44">
        <w:rPr>
          <w:rFonts w:ascii="Arial" w:eastAsia="Arial Unicode MS" w:hAnsi="Arial" w:cs="Arial"/>
          <w:sz w:val="24"/>
          <w:szCs w:val="24"/>
          <w:lang w:eastAsia="es-ES"/>
        </w:rPr>
        <w:t>de 2026 dos mil veintiséis</w:t>
      </w:r>
      <w:r w:rsidRPr="005475F3">
        <w:rPr>
          <w:rFonts w:ascii="Arial" w:eastAsia="Arial Unicode MS" w:hAnsi="Arial" w:cs="Arial"/>
          <w:sz w:val="24"/>
          <w:szCs w:val="24"/>
          <w:lang w:eastAsia="es-ES"/>
        </w:rPr>
        <w:t>, la persona recurrente presentó una solicitud de acceso a la información</w:t>
      </w:r>
      <w:r w:rsidR="00933F44">
        <w:rPr>
          <w:rFonts w:ascii="Arial" w:eastAsia="Arial Unicode MS" w:hAnsi="Arial" w:cs="Arial"/>
          <w:sz w:val="24"/>
          <w:szCs w:val="24"/>
          <w:lang w:eastAsia="es-ES"/>
        </w:rPr>
        <w:t xml:space="preserve">, </w:t>
      </w:r>
      <w:r w:rsidR="00D75D83">
        <w:rPr>
          <w:rFonts w:ascii="Arial" w:eastAsia="Arial Unicode MS" w:hAnsi="Arial" w:cs="Arial"/>
          <w:sz w:val="24"/>
          <w:szCs w:val="24"/>
          <w:lang w:eastAsia="es-ES"/>
        </w:rPr>
        <w:t xml:space="preserve">al Sujeto Obligado denominado </w:t>
      </w:r>
      <w:r w:rsidR="000E2DF5">
        <w:rPr>
          <w:rFonts w:ascii="Arial" w:eastAsia="Arial Unicode MS" w:hAnsi="Arial" w:cs="Arial"/>
          <w:b/>
          <w:sz w:val="24"/>
          <w:szCs w:val="24"/>
          <w:lang w:eastAsia="es-ES"/>
        </w:rPr>
        <w:t>SECRETARÍA GENERAL DE GOBIERNO</w:t>
      </w:r>
      <w:r w:rsidR="00D75D83">
        <w:rPr>
          <w:rFonts w:ascii="Arial" w:eastAsia="Arial Unicode MS" w:hAnsi="Arial" w:cs="Arial"/>
          <w:b/>
          <w:sz w:val="24"/>
          <w:szCs w:val="24"/>
          <w:lang w:eastAsia="es-ES"/>
        </w:rPr>
        <w:t xml:space="preserve">, </w:t>
      </w:r>
      <w:r w:rsidR="00933F44">
        <w:rPr>
          <w:rFonts w:ascii="Arial" w:eastAsia="Arial Unicode MS" w:hAnsi="Arial" w:cs="Arial"/>
          <w:sz w:val="24"/>
          <w:szCs w:val="24"/>
          <w:lang w:eastAsia="es-ES"/>
        </w:rPr>
        <w:t xml:space="preserve">a través de la Plataforma Nacional de Transparencia, a la que se le asignó el número de folio </w:t>
      </w:r>
      <w:r w:rsidR="003045F0" w:rsidRPr="003045F0">
        <w:rPr>
          <w:rFonts w:ascii="Arial" w:eastAsia="Arial Unicode MS" w:hAnsi="Arial" w:cs="Arial"/>
          <w:sz w:val="24"/>
          <w:szCs w:val="24"/>
          <w:lang w:eastAsia="es-ES"/>
        </w:rPr>
        <w:t>241230226000082</w:t>
      </w:r>
      <w:r w:rsidR="00D10700">
        <w:rPr>
          <w:rFonts w:ascii="Arial" w:eastAsia="Arial Unicode MS" w:hAnsi="Arial" w:cs="Arial"/>
          <w:sz w:val="24"/>
          <w:szCs w:val="24"/>
          <w:lang w:eastAsia="es-ES"/>
        </w:rPr>
        <w:t xml:space="preserve">, </w:t>
      </w:r>
      <w:r w:rsidRPr="005475F3">
        <w:rPr>
          <w:rFonts w:ascii="Arial" w:eastAsia="Arial Unicode MS" w:hAnsi="Arial" w:cs="Arial"/>
          <w:sz w:val="24"/>
          <w:szCs w:val="24"/>
          <w:lang w:eastAsia="es-ES"/>
        </w:rPr>
        <w:t xml:space="preserve">en la que se requirió: </w:t>
      </w:r>
    </w:p>
    <w:p w14:paraId="044BA04E" w14:textId="77777777" w:rsidR="00137098" w:rsidRPr="005475F3" w:rsidRDefault="00137098" w:rsidP="00137098">
      <w:pPr>
        <w:spacing w:after="0" w:line="360" w:lineRule="auto"/>
        <w:ind w:firstLine="709"/>
        <w:jc w:val="both"/>
        <w:rPr>
          <w:rFonts w:ascii="Arial" w:eastAsia="Arial Unicode MS" w:hAnsi="Arial" w:cs="Arial"/>
          <w:sz w:val="24"/>
          <w:szCs w:val="24"/>
          <w:lang w:eastAsia="es-ES"/>
        </w:rPr>
      </w:pPr>
    </w:p>
    <w:p w14:paraId="0CD5E1D9" w14:textId="77777777" w:rsidR="003045F0" w:rsidRDefault="003045F0" w:rsidP="00692242">
      <w:pPr>
        <w:pStyle w:val="Prrafodelista"/>
        <w:spacing w:after="0" w:line="240" w:lineRule="auto"/>
        <w:ind w:left="1134" w:right="1185"/>
        <w:jc w:val="both"/>
        <w:rPr>
          <w:rFonts w:ascii="Arial" w:eastAsia="Arial Unicode MS" w:hAnsi="Arial" w:cs="Arial"/>
          <w:lang w:eastAsia="es-ES"/>
        </w:rPr>
      </w:pPr>
      <w:r>
        <w:rPr>
          <w:rFonts w:ascii="Arial" w:eastAsia="Arial Unicode MS" w:hAnsi="Arial" w:cs="Arial"/>
          <w:lang w:eastAsia="es-ES"/>
        </w:rPr>
        <w:t xml:space="preserve"> S</w:t>
      </w:r>
      <w:r w:rsidRPr="003045F0">
        <w:rPr>
          <w:rFonts w:ascii="Arial" w:eastAsia="Arial Unicode MS" w:hAnsi="Arial" w:cs="Arial"/>
          <w:lang w:eastAsia="es-ES"/>
        </w:rPr>
        <w:t xml:space="preserve">ecretaría General de Gobierno del Estado de San Luis Potosí / Comisión del Registro Estatal de Peritos </w:t>
      </w:r>
    </w:p>
    <w:p w14:paraId="422458DC" w14:textId="77777777" w:rsidR="003045F0" w:rsidRDefault="003045F0" w:rsidP="00692242">
      <w:pPr>
        <w:pStyle w:val="Prrafodelista"/>
        <w:spacing w:after="0" w:line="240" w:lineRule="auto"/>
        <w:ind w:left="1134" w:right="1185"/>
        <w:jc w:val="both"/>
        <w:rPr>
          <w:rFonts w:ascii="Arial" w:eastAsia="Arial Unicode MS" w:hAnsi="Arial" w:cs="Arial"/>
          <w:lang w:eastAsia="es-ES"/>
        </w:rPr>
      </w:pPr>
      <w:r w:rsidRPr="003045F0">
        <w:rPr>
          <w:rFonts w:ascii="Arial" w:eastAsia="Arial Unicode MS" w:hAnsi="Arial" w:cs="Arial"/>
          <w:lang w:eastAsia="es-ES"/>
        </w:rPr>
        <w:t xml:space="preserve">Solicito DOCUMENTACIÓN EXISTENTE relativa a los registros de perito: </w:t>
      </w:r>
    </w:p>
    <w:p w14:paraId="60130056" w14:textId="77777777" w:rsidR="003045F0" w:rsidRDefault="003045F0" w:rsidP="00692242">
      <w:pPr>
        <w:pStyle w:val="Prrafodelista"/>
        <w:spacing w:after="0" w:line="240" w:lineRule="auto"/>
        <w:ind w:left="1134" w:right="1185"/>
        <w:jc w:val="both"/>
        <w:rPr>
          <w:rFonts w:ascii="Arial" w:eastAsia="Arial Unicode MS" w:hAnsi="Arial" w:cs="Arial"/>
          <w:lang w:eastAsia="es-ES"/>
        </w:rPr>
      </w:pPr>
      <w:r w:rsidRPr="003045F0">
        <w:rPr>
          <w:rFonts w:ascii="Arial" w:eastAsia="Arial Unicode MS" w:hAnsi="Arial" w:cs="Arial"/>
          <w:lang w:eastAsia="es-ES"/>
        </w:rPr>
        <w:t xml:space="preserve">• GES-PV-0806 </w:t>
      </w:r>
    </w:p>
    <w:p w14:paraId="435FBE52" w14:textId="77777777" w:rsidR="003045F0" w:rsidRDefault="003045F0" w:rsidP="00692242">
      <w:pPr>
        <w:pStyle w:val="Prrafodelista"/>
        <w:spacing w:after="0" w:line="240" w:lineRule="auto"/>
        <w:ind w:left="1134" w:right="1185"/>
        <w:jc w:val="both"/>
        <w:rPr>
          <w:rFonts w:ascii="Arial" w:eastAsia="Arial Unicode MS" w:hAnsi="Arial" w:cs="Arial"/>
          <w:lang w:eastAsia="es-ES"/>
        </w:rPr>
      </w:pPr>
      <w:r w:rsidRPr="003045F0">
        <w:rPr>
          <w:rFonts w:ascii="Arial" w:eastAsia="Arial Unicode MS" w:hAnsi="Arial" w:cs="Arial"/>
          <w:lang w:eastAsia="es-ES"/>
        </w:rPr>
        <w:t xml:space="preserve">• GES-PV-0807 </w:t>
      </w:r>
    </w:p>
    <w:p w14:paraId="5DDEB5AA" w14:textId="77777777" w:rsidR="003045F0" w:rsidRDefault="003045F0" w:rsidP="00692242">
      <w:pPr>
        <w:pStyle w:val="Prrafodelista"/>
        <w:spacing w:after="0" w:line="240" w:lineRule="auto"/>
        <w:ind w:left="1134" w:right="1185"/>
        <w:jc w:val="both"/>
        <w:rPr>
          <w:rFonts w:ascii="Arial" w:eastAsia="Arial Unicode MS" w:hAnsi="Arial" w:cs="Arial"/>
          <w:lang w:eastAsia="es-ES"/>
        </w:rPr>
      </w:pPr>
      <w:r w:rsidRPr="003045F0">
        <w:rPr>
          <w:rFonts w:ascii="Arial" w:eastAsia="Arial Unicode MS" w:hAnsi="Arial" w:cs="Arial"/>
          <w:lang w:eastAsia="es-ES"/>
        </w:rPr>
        <w:t xml:space="preserve">• GES-PD-0705 </w:t>
      </w:r>
    </w:p>
    <w:p w14:paraId="7CA0A08D" w14:textId="77777777" w:rsidR="003045F0" w:rsidRDefault="003045F0" w:rsidP="00692242">
      <w:pPr>
        <w:pStyle w:val="Prrafodelista"/>
        <w:spacing w:after="0" w:line="240" w:lineRule="auto"/>
        <w:ind w:left="1134" w:right="1185"/>
        <w:jc w:val="both"/>
        <w:rPr>
          <w:rFonts w:ascii="Arial" w:eastAsia="Arial Unicode MS" w:hAnsi="Arial" w:cs="Arial"/>
          <w:lang w:eastAsia="es-ES"/>
        </w:rPr>
      </w:pPr>
    </w:p>
    <w:p w14:paraId="5BE438E7" w14:textId="77777777" w:rsidR="003045F0" w:rsidRDefault="003045F0" w:rsidP="00692242">
      <w:pPr>
        <w:pStyle w:val="Prrafodelista"/>
        <w:spacing w:after="0" w:line="240" w:lineRule="auto"/>
        <w:ind w:left="1134" w:right="1185"/>
        <w:jc w:val="both"/>
        <w:rPr>
          <w:rFonts w:ascii="Arial" w:eastAsia="Arial Unicode MS" w:hAnsi="Arial" w:cs="Arial"/>
          <w:lang w:eastAsia="es-ES"/>
        </w:rPr>
      </w:pPr>
      <w:r w:rsidRPr="003045F0">
        <w:rPr>
          <w:rFonts w:ascii="Arial" w:eastAsia="Arial Unicode MS" w:hAnsi="Arial" w:cs="Arial"/>
          <w:lang w:eastAsia="es-ES"/>
        </w:rPr>
        <w:t xml:space="preserve">En particular: </w:t>
      </w:r>
    </w:p>
    <w:p w14:paraId="61A54BFE" w14:textId="77777777" w:rsidR="003045F0" w:rsidRDefault="003045F0" w:rsidP="00692242">
      <w:pPr>
        <w:pStyle w:val="Prrafodelista"/>
        <w:spacing w:after="0" w:line="240" w:lineRule="auto"/>
        <w:ind w:left="1134" w:right="1185"/>
        <w:jc w:val="both"/>
        <w:rPr>
          <w:rFonts w:ascii="Arial" w:eastAsia="Arial Unicode MS" w:hAnsi="Arial" w:cs="Arial"/>
          <w:lang w:eastAsia="es-ES"/>
        </w:rPr>
      </w:pPr>
    </w:p>
    <w:p w14:paraId="04191A1C" w14:textId="77777777" w:rsidR="003045F0" w:rsidRDefault="003045F0" w:rsidP="00692242">
      <w:pPr>
        <w:pStyle w:val="Prrafodelista"/>
        <w:spacing w:after="0" w:line="240" w:lineRule="auto"/>
        <w:ind w:left="1134" w:right="1185"/>
        <w:jc w:val="both"/>
        <w:rPr>
          <w:rFonts w:ascii="Arial" w:eastAsia="Arial Unicode MS" w:hAnsi="Arial" w:cs="Arial"/>
          <w:lang w:eastAsia="es-ES"/>
        </w:rPr>
      </w:pPr>
      <w:r w:rsidRPr="003045F0">
        <w:rPr>
          <w:rFonts w:ascii="Arial" w:eastAsia="Arial Unicode MS" w:hAnsi="Arial" w:cs="Arial"/>
          <w:lang w:eastAsia="es-ES"/>
        </w:rPr>
        <w:t xml:space="preserve">• Expediente completo de registro </w:t>
      </w:r>
    </w:p>
    <w:p w14:paraId="2819D0D3" w14:textId="77777777" w:rsidR="003045F0" w:rsidRDefault="003045F0" w:rsidP="00692242">
      <w:pPr>
        <w:pStyle w:val="Prrafodelista"/>
        <w:spacing w:after="0" w:line="240" w:lineRule="auto"/>
        <w:ind w:left="1134" w:right="1185"/>
        <w:jc w:val="both"/>
        <w:rPr>
          <w:rFonts w:ascii="Arial" w:eastAsia="Arial Unicode MS" w:hAnsi="Arial" w:cs="Arial"/>
          <w:lang w:eastAsia="es-ES"/>
        </w:rPr>
      </w:pPr>
      <w:r w:rsidRPr="003045F0">
        <w:rPr>
          <w:rFonts w:ascii="Arial" w:eastAsia="Arial Unicode MS" w:hAnsi="Arial" w:cs="Arial"/>
          <w:lang w:eastAsia="es-ES"/>
        </w:rPr>
        <w:t xml:space="preserve">• Solicitud presentada </w:t>
      </w:r>
    </w:p>
    <w:p w14:paraId="6D502E36" w14:textId="77777777" w:rsidR="003045F0" w:rsidRDefault="003045F0" w:rsidP="00692242">
      <w:pPr>
        <w:pStyle w:val="Prrafodelista"/>
        <w:spacing w:after="0" w:line="240" w:lineRule="auto"/>
        <w:ind w:left="1134" w:right="1185"/>
        <w:jc w:val="both"/>
        <w:rPr>
          <w:rFonts w:ascii="Arial" w:eastAsia="Arial Unicode MS" w:hAnsi="Arial" w:cs="Arial"/>
          <w:lang w:eastAsia="es-ES"/>
        </w:rPr>
      </w:pPr>
      <w:r w:rsidRPr="003045F0">
        <w:rPr>
          <w:rFonts w:ascii="Arial" w:eastAsia="Arial Unicode MS" w:hAnsi="Arial" w:cs="Arial"/>
          <w:lang w:eastAsia="es-ES"/>
        </w:rPr>
        <w:t xml:space="preserve">• Documentación exhibida para acreditar requisitos </w:t>
      </w:r>
    </w:p>
    <w:p w14:paraId="239F085B" w14:textId="77777777" w:rsidR="003045F0" w:rsidRDefault="003045F0" w:rsidP="00692242">
      <w:pPr>
        <w:pStyle w:val="Prrafodelista"/>
        <w:spacing w:after="0" w:line="240" w:lineRule="auto"/>
        <w:ind w:left="1134" w:right="1185"/>
        <w:jc w:val="both"/>
        <w:rPr>
          <w:rFonts w:ascii="Arial" w:eastAsia="Arial Unicode MS" w:hAnsi="Arial" w:cs="Arial"/>
          <w:lang w:eastAsia="es-ES"/>
        </w:rPr>
      </w:pPr>
      <w:r w:rsidRPr="003045F0">
        <w:rPr>
          <w:rFonts w:ascii="Arial" w:eastAsia="Arial Unicode MS" w:hAnsi="Arial" w:cs="Arial"/>
          <w:lang w:eastAsia="es-ES"/>
        </w:rPr>
        <w:t xml:space="preserve">• Resolución de alta </w:t>
      </w:r>
    </w:p>
    <w:p w14:paraId="4CEB544E" w14:textId="77777777" w:rsidR="003045F0" w:rsidRDefault="003045F0" w:rsidP="00692242">
      <w:pPr>
        <w:pStyle w:val="Prrafodelista"/>
        <w:spacing w:after="0" w:line="240" w:lineRule="auto"/>
        <w:ind w:left="1134" w:right="1185"/>
        <w:jc w:val="both"/>
        <w:rPr>
          <w:rFonts w:ascii="Arial" w:eastAsia="Arial Unicode MS" w:hAnsi="Arial" w:cs="Arial"/>
          <w:lang w:eastAsia="es-ES"/>
        </w:rPr>
      </w:pPr>
      <w:r w:rsidRPr="003045F0">
        <w:rPr>
          <w:rFonts w:ascii="Arial" w:eastAsia="Arial Unicode MS" w:hAnsi="Arial" w:cs="Arial"/>
          <w:lang w:eastAsia="es-ES"/>
        </w:rPr>
        <w:t xml:space="preserve">• Vigencia del registro </w:t>
      </w:r>
    </w:p>
    <w:p w14:paraId="5DF0A99D" w14:textId="77777777" w:rsidR="003045F0" w:rsidRDefault="003045F0" w:rsidP="00692242">
      <w:pPr>
        <w:pStyle w:val="Prrafodelista"/>
        <w:spacing w:after="0" w:line="240" w:lineRule="auto"/>
        <w:ind w:left="1134" w:right="1185"/>
        <w:jc w:val="both"/>
        <w:rPr>
          <w:rFonts w:ascii="Arial" w:eastAsia="Arial Unicode MS" w:hAnsi="Arial" w:cs="Arial"/>
          <w:lang w:eastAsia="es-ES"/>
        </w:rPr>
      </w:pPr>
      <w:r w:rsidRPr="003045F0">
        <w:rPr>
          <w:rFonts w:ascii="Arial" w:eastAsia="Arial Unicode MS" w:hAnsi="Arial" w:cs="Arial"/>
          <w:lang w:eastAsia="es-ES"/>
        </w:rPr>
        <w:t xml:space="preserve">• Refrendos o renovaciones </w:t>
      </w:r>
    </w:p>
    <w:p w14:paraId="443B4E3D" w14:textId="1BDF3B3F" w:rsidR="00137098" w:rsidRPr="005475F3" w:rsidRDefault="003045F0" w:rsidP="00692242">
      <w:pPr>
        <w:pStyle w:val="Prrafodelista"/>
        <w:spacing w:after="0" w:line="240" w:lineRule="auto"/>
        <w:ind w:left="1134" w:right="1185"/>
        <w:jc w:val="both"/>
        <w:rPr>
          <w:rFonts w:ascii="Arial" w:eastAsia="Arial Unicode MS" w:hAnsi="Arial" w:cs="Arial"/>
          <w:lang w:eastAsia="es-ES"/>
        </w:rPr>
      </w:pPr>
      <w:r w:rsidRPr="003045F0">
        <w:rPr>
          <w:rFonts w:ascii="Arial" w:eastAsia="Arial Unicode MS" w:hAnsi="Arial" w:cs="Arial"/>
          <w:lang w:eastAsia="es-ES"/>
        </w:rPr>
        <w:lastRenderedPageBreak/>
        <w:t>Se solicita la entrega íntegra de la documentación en el estado en que obre en los archivos del sujeto obligado. La búsqueda deberá realizarse de manera exhaustiva en todas las unidades administrativas competentes. Entrega en formato digital PDF con certificación digital, vía Plataforma Nacional de Transparencia.</w:t>
      </w:r>
    </w:p>
    <w:p w14:paraId="267D8F64" w14:textId="77777777" w:rsidR="00137098" w:rsidRPr="005475F3" w:rsidRDefault="00137098" w:rsidP="00137098">
      <w:pPr>
        <w:spacing w:after="0" w:line="360" w:lineRule="auto"/>
        <w:ind w:firstLine="709"/>
        <w:jc w:val="both"/>
        <w:rPr>
          <w:rFonts w:ascii="Arial" w:eastAsia="Arial Unicode MS" w:hAnsi="Arial" w:cs="Arial"/>
          <w:b/>
          <w:sz w:val="24"/>
          <w:szCs w:val="24"/>
          <w:lang w:eastAsia="es-ES"/>
        </w:rPr>
      </w:pPr>
    </w:p>
    <w:p w14:paraId="5E0E51ED" w14:textId="5C314254" w:rsidR="00035E7E" w:rsidRDefault="0093057A" w:rsidP="00035E7E">
      <w:pPr>
        <w:spacing w:after="0" w:line="360" w:lineRule="auto"/>
        <w:ind w:firstLine="709"/>
        <w:jc w:val="both"/>
        <w:rPr>
          <w:rFonts w:ascii="Arial" w:eastAsia="Arial Unicode MS" w:hAnsi="Arial" w:cs="Arial"/>
          <w:sz w:val="24"/>
          <w:szCs w:val="24"/>
          <w:lang w:eastAsia="es-ES"/>
        </w:rPr>
      </w:pPr>
      <w:r w:rsidRPr="005475F3">
        <w:rPr>
          <w:rFonts w:ascii="Arial" w:eastAsia="Arial Unicode MS" w:hAnsi="Arial" w:cs="Arial"/>
          <w:b/>
          <w:sz w:val="24"/>
          <w:szCs w:val="24"/>
          <w:lang w:eastAsia="es-ES"/>
        </w:rPr>
        <w:t xml:space="preserve">SEGUNDO. Respuesta a la solicitud de acceso a la información pública. </w:t>
      </w:r>
      <w:r w:rsidRPr="005475F3">
        <w:rPr>
          <w:rFonts w:ascii="Arial" w:eastAsia="Arial Unicode MS" w:hAnsi="Arial" w:cs="Arial"/>
          <w:sz w:val="24"/>
          <w:szCs w:val="24"/>
          <w:lang w:eastAsia="es-ES"/>
        </w:rPr>
        <w:t xml:space="preserve">El </w:t>
      </w:r>
      <w:r w:rsidR="003045F0">
        <w:rPr>
          <w:rFonts w:ascii="Arial" w:eastAsia="Arial Unicode MS" w:hAnsi="Arial" w:cs="Arial"/>
          <w:sz w:val="24"/>
          <w:szCs w:val="24"/>
          <w:lang w:eastAsia="es-ES"/>
        </w:rPr>
        <w:t>28 veintiocho</w:t>
      </w:r>
      <w:r w:rsidR="00807CD1">
        <w:rPr>
          <w:rFonts w:ascii="Arial" w:eastAsia="Arial Unicode MS" w:hAnsi="Arial" w:cs="Arial"/>
          <w:sz w:val="24"/>
          <w:szCs w:val="24"/>
          <w:lang w:eastAsia="es-ES"/>
        </w:rPr>
        <w:t xml:space="preserve"> de abril</w:t>
      </w:r>
      <w:r w:rsidR="00D10700">
        <w:rPr>
          <w:rFonts w:ascii="Arial" w:eastAsia="Arial Unicode MS" w:hAnsi="Arial" w:cs="Arial"/>
          <w:sz w:val="24"/>
          <w:szCs w:val="24"/>
          <w:lang w:eastAsia="es-ES"/>
        </w:rPr>
        <w:t xml:space="preserve"> de</w:t>
      </w:r>
      <w:r w:rsidR="00692242">
        <w:rPr>
          <w:rFonts w:ascii="Arial" w:eastAsia="Arial Unicode MS" w:hAnsi="Arial" w:cs="Arial"/>
          <w:sz w:val="24"/>
          <w:szCs w:val="24"/>
          <w:lang w:eastAsia="es-ES"/>
        </w:rPr>
        <w:t xml:space="preserve"> </w:t>
      </w:r>
      <w:r w:rsidR="00D10700">
        <w:rPr>
          <w:rFonts w:ascii="Arial" w:eastAsia="Arial Unicode MS" w:hAnsi="Arial" w:cs="Arial"/>
          <w:sz w:val="24"/>
          <w:szCs w:val="24"/>
          <w:lang w:eastAsia="es-ES"/>
        </w:rPr>
        <w:t xml:space="preserve">2026 </w:t>
      </w:r>
      <w:r w:rsidR="00692242">
        <w:rPr>
          <w:rFonts w:ascii="Arial" w:eastAsia="Arial Unicode MS" w:hAnsi="Arial" w:cs="Arial"/>
          <w:sz w:val="24"/>
          <w:szCs w:val="24"/>
          <w:lang w:eastAsia="es-ES"/>
        </w:rPr>
        <w:t>dos mil veintiséis</w:t>
      </w:r>
      <w:r w:rsidRPr="005475F3">
        <w:rPr>
          <w:rFonts w:ascii="Arial" w:eastAsia="Arial Unicode MS" w:hAnsi="Arial" w:cs="Arial"/>
          <w:sz w:val="24"/>
          <w:szCs w:val="24"/>
          <w:lang w:eastAsia="es-ES"/>
        </w:rPr>
        <w:t>, el Sujeto Obligado</w:t>
      </w:r>
      <w:r w:rsidR="00A81098" w:rsidRPr="005475F3">
        <w:rPr>
          <w:rFonts w:ascii="Arial" w:eastAsia="Arial Unicode MS" w:hAnsi="Arial" w:cs="Arial"/>
          <w:sz w:val="24"/>
          <w:szCs w:val="24"/>
          <w:lang w:eastAsia="es-ES"/>
        </w:rPr>
        <w:t>,</w:t>
      </w:r>
      <w:r w:rsidR="00AE6680" w:rsidRPr="005475F3">
        <w:rPr>
          <w:rFonts w:ascii="Arial" w:eastAsia="Arial Unicode MS" w:hAnsi="Arial" w:cs="Arial"/>
          <w:sz w:val="24"/>
          <w:szCs w:val="24"/>
          <w:lang w:eastAsia="es-ES"/>
        </w:rPr>
        <w:t xml:space="preserve"> </w:t>
      </w:r>
      <w:r w:rsidR="00035E7E" w:rsidRPr="00035E7E">
        <w:rPr>
          <w:rFonts w:ascii="Arial" w:eastAsia="Arial Unicode MS" w:hAnsi="Arial" w:cs="Arial"/>
          <w:sz w:val="24"/>
          <w:szCs w:val="24"/>
          <w:lang w:eastAsia="es-ES"/>
        </w:rPr>
        <w:t>a través de la Plataforma Nacional de Transparencia, notificó a la ahora parte recurrente, la respuesta a la solicitud de acceso a la información pública,</w:t>
      </w:r>
      <w:r w:rsidR="00035E7E">
        <w:rPr>
          <w:rFonts w:ascii="Arial" w:eastAsia="Arial Unicode MS" w:hAnsi="Arial" w:cs="Arial"/>
          <w:sz w:val="24"/>
          <w:szCs w:val="24"/>
          <w:lang w:eastAsia="es-ES"/>
        </w:rPr>
        <w:t xml:space="preserve"> en la que esencialmente señaló, lo siguiente: </w:t>
      </w:r>
    </w:p>
    <w:p w14:paraId="0ED6FE7F" w14:textId="3AF83710" w:rsidR="00035E7E" w:rsidRDefault="00035E7E" w:rsidP="00035E7E">
      <w:pPr>
        <w:spacing w:after="0" w:line="360" w:lineRule="auto"/>
        <w:ind w:firstLine="709"/>
        <w:jc w:val="both"/>
        <w:rPr>
          <w:rFonts w:ascii="Arial" w:eastAsia="Arial Unicode MS" w:hAnsi="Arial" w:cs="Arial"/>
          <w:sz w:val="24"/>
          <w:szCs w:val="24"/>
          <w:lang w:eastAsia="es-ES"/>
        </w:rPr>
      </w:pPr>
    </w:p>
    <w:p w14:paraId="015D3CD8" w14:textId="128B6CC3" w:rsidR="00807CD1" w:rsidRDefault="00BA7927" w:rsidP="00ED2CEE">
      <w:pPr>
        <w:pStyle w:val="Prrafodelista"/>
        <w:spacing w:after="0" w:line="240" w:lineRule="auto"/>
        <w:ind w:left="1134" w:right="1185"/>
        <w:jc w:val="both"/>
        <w:rPr>
          <w:rFonts w:ascii="Arial" w:eastAsia="Arial Unicode MS" w:hAnsi="Arial" w:cs="Arial"/>
          <w:lang w:eastAsia="es-ES"/>
        </w:rPr>
      </w:pPr>
      <w:r w:rsidRPr="005475F3">
        <w:rPr>
          <w:rFonts w:ascii="Arial" w:eastAsia="Arial Unicode MS" w:hAnsi="Arial" w:cs="Arial"/>
          <w:lang w:eastAsia="es-ES"/>
        </w:rPr>
        <w:t>“</w:t>
      </w:r>
      <w:r>
        <w:rPr>
          <w:rFonts w:ascii="Arial" w:eastAsia="Arial Unicode MS" w:hAnsi="Arial" w:cs="Arial"/>
          <w:lang w:eastAsia="es-ES"/>
        </w:rPr>
        <w:t>Con</w:t>
      </w:r>
      <w:r w:rsidR="00807CD1" w:rsidRPr="00807CD1">
        <w:rPr>
          <w:rFonts w:ascii="Arial" w:eastAsia="Arial Unicode MS" w:hAnsi="Arial" w:cs="Arial"/>
          <w:lang w:eastAsia="es-ES"/>
        </w:rPr>
        <w:t xml:space="preserve"> fundamento en lo dispuesto por los Artículos 54, 153 y 154 de la Ley de Transparencia y Acceso a la Información Pública del Estado de San Luis Potosí, se le informa que fue turnada a la Dirección General de Gobernación; emitiendo respuesta a través del of</w:t>
      </w:r>
      <w:r w:rsidR="004F5DF0">
        <w:rPr>
          <w:rFonts w:ascii="Arial" w:eastAsia="Arial Unicode MS" w:hAnsi="Arial" w:cs="Arial"/>
          <w:lang w:eastAsia="es-ES"/>
        </w:rPr>
        <w:t>icio SGG/DGG/0651/CREP/0762</w:t>
      </w:r>
      <w:r w:rsidR="00807CD1" w:rsidRPr="00807CD1">
        <w:rPr>
          <w:rFonts w:ascii="Arial" w:eastAsia="Arial Unicode MS" w:hAnsi="Arial" w:cs="Arial"/>
          <w:lang w:eastAsia="es-ES"/>
        </w:rPr>
        <w:t>/2026 que se anexa al presente.</w:t>
      </w:r>
    </w:p>
    <w:p w14:paraId="27ADD247" w14:textId="77777777" w:rsidR="00807CD1" w:rsidRDefault="00807CD1" w:rsidP="00ED2CEE">
      <w:pPr>
        <w:pStyle w:val="Prrafodelista"/>
        <w:spacing w:after="0" w:line="240" w:lineRule="auto"/>
        <w:ind w:left="1134" w:right="1185"/>
        <w:jc w:val="both"/>
        <w:rPr>
          <w:rFonts w:ascii="Arial" w:eastAsia="Arial Unicode MS" w:hAnsi="Arial" w:cs="Arial"/>
          <w:lang w:eastAsia="es-ES"/>
        </w:rPr>
      </w:pPr>
    </w:p>
    <w:p w14:paraId="39D082A4" w14:textId="77777777" w:rsidR="001B1A10" w:rsidRDefault="00807CD1" w:rsidP="00ED2CEE">
      <w:pPr>
        <w:pStyle w:val="Prrafodelista"/>
        <w:spacing w:after="0" w:line="240" w:lineRule="auto"/>
        <w:ind w:left="1134" w:right="1185"/>
        <w:jc w:val="both"/>
        <w:rPr>
          <w:rFonts w:ascii="Arial" w:eastAsia="Arial Unicode MS" w:hAnsi="Arial" w:cs="Arial"/>
          <w:lang w:eastAsia="es-ES"/>
        </w:rPr>
      </w:pPr>
      <w:r>
        <w:rPr>
          <w:rFonts w:ascii="Arial" w:eastAsia="Arial Unicode MS" w:hAnsi="Arial" w:cs="Arial"/>
          <w:lang w:eastAsia="es-ES"/>
        </w:rPr>
        <w:t>Que</w:t>
      </w:r>
      <w:r w:rsidR="001B1A10">
        <w:rPr>
          <w:rFonts w:ascii="Arial" w:eastAsia="Arial Unicode MS" w:hAnsi="Arial" w:cs="Arial"/>
          <w:lang w:eastAsia="es-ES"/>
        </w:rPr>
        <w:t>, de</w:t>
      </w:r>
      <w:r w:rsidRPr="00807CD1">
        <w:rPr>
          <w:rFonts w:ascii="Arial" w:eastAsia="Arial Unicode MS" w:hAnsi="Arial" w:cs="Arial"/>
          <w:lang w:eastAsia="es-ES"/>
        </w:rPr>
        <w:t>l análisis de</w:t>
      </w:r>
      <w:r w:rsidR="001B1A10">
        <w:rPr>
          <w:rFonts w:ascii="Arial" w:eastAsia="Arial Unicode MS" w:hAnsi="Arial" w:cs="Arial"/>
          <w:lang w:eastAsia="es-ES"/>
        </w:rPr>
        <w:t xml:space="preserve">l contenido de la solicitud, </w:t>
      </w:r>
      <w:r w:rsidRPr="00807CD1">
        <w:rPr>
          <w:rFonts w:ascii="Arial" w:eastAsia="Arial Unicode MS" w:hAnsi="Arial" w:cs="Arial"/>
          <w:lang w:eastAsia="es-ES"/>
        </w:rPr>
        <w:t>se advierte que la misma</w:t>
      </w:r>
      <w:r w:rsidR="001B1A10">
        <w:rPr>
          <w:rFonts w:ascii="Arial" w:eastAsia="Arial Unicode MS" w:hAnsi="Arial" w:cs="Arial"/>
          <w:lang w:eastAsia="es-ES"/>
        </w:rPr>
        <w:t xml:space="preserve"> resulta sustancialmente coincidente con una solicitud previamente presentada y atendida por esta Dirección General, sin que se adviertan elementos nuevos que modifiquen el sentido de la respuesta previamente emitida. </w:t>
      </w:r>
    </w:p>
    <w:p w14:paraId="79248D49" w14:textId="77777777" w:rsidR="001B1A10" w:rsidRDefault="001B1A10" w:rsidP="00ED2CEE">
      <w:pPr>
        <w:pStyle w:val="Prrafodelista"/>
        <w:spacing w:after="0" w:line="240" w:lineRule="auto"/>
        <w:ind w:left="1134" w:right="1185"/>
        <w:jc w:val="both"/>
        <w:rPr>
          <w:rFonts w:ascii="Arial" w:eastAsia="Arial Unicode MS" w:hAnsi="Arial" w:cs="Arial"/>
          <w:lang w:eastAsia="es-ES"/>
        </w:rPr>
      </w:pPr>
    </w:p>
    <w:p w14:paraId="0957B52D" w14:textId="44C9009F" w:rsidR="001B1A10" w:rsidRDefault="001B1A10" w:rsidP="00ED2CEE">
      <w:pPr>
        <w:pStyle w:val="Prrafodelista"/>
        <w:spacing w:after="0" w:line="240" w:lineRule="auto"/>
        <w:ind w:left="1134" w:right="1185"/>
        <w:jc w:val="both"/>
        <w:rPr>
          <w:rFonts w:ascii="Arial" w:eastAsia="Arial Unicode MS" w:hAnsi="Arial" w:cs="Arial"/>
          <w:lang w:eastAsia="es-ES"/>
        </w:rPr>
      </w:pPr>
      <w:r>
        <w:rPr>
          <w:rFonts w:ascii="Arial" w:eastAsia="Arial Unicode MS" w:hAnsi="Arial" w:cs="Arial"/>
          <w:lang w:eastAsia="es-ES"/>
        </w:rPr>
        <w:t xml:space="preserve">En ese sentido, se reitera que ala documentación solicitada forma parte de expedientes administrativos que contienen datos personales de personas físicas identificadas o identificables, tales como datos de identificación, documentación exhibida para acreditar requisitos, historial profesional, resoluciones administrativas </w:t>
      </w:r>
      <w:r w:rsidR="00BA7927">
        <w:rPr>
          <w:rFonts w:ascii="Arial" w:eastAsia="Arial Unicode MS" w:hAnsi="Arial" w:cs="Arial"/>
          <w:lang w:eastAsia="es-ES"/>
        </w:rPr>
        <w:t xml:space="preserve">y demás información vinculada a su esfera jurídica privada. </w:t>
      </w:r>
    </w:p>
    <w:p w14:paraId="6E299D7D" w14:textId="67E5CBE2" w:rsidR="00BA7927" w:rsidRDefault="00BA7927" w:rsidP="00ED2CEE">
      <w:pPr>
        <w:pStyle w:val="Prrafodelista"/>
        <w:spacing w:after="0" w:line="240" w:lineRule="auto"/>
        <w:ind w:left="1134" w:right="1185"/>
        <w:jc w:val="both"/>
        <w:rPr>
          <w:rFonts w:ascii="Arial" w:eastAsia="Arial Unicode MS" w:hAnsi="Arial" w:cs="Arial"/>
          <w:lang w:eastAsia="es-ES"/>
        </w:rPr>
      </w:pPr>
    </w:p>
    <w:p w14:paraId="0A5A3CB0" w14:textId="0CE53FD7" w:rsidR="00807CD1" w:rsidRDefault="00BA7927" w:rsidP="00ED2CEE">
      <w:pPr>
        <w:pStyle w:val="Prrafodelista"/>
        <w:spacing w:after="0" w:line="240" w:lineRule="auto"/>
        <w:ind w:left="1134" w:right="1185"/>
        <w:jc w:val="both"/>
        <w:rPr>
          <w:rFonts w:ascii="Arial" w:eastAsia="Arial Unicode MS" w:hAnsi="Arial" w:cs="Arial"/>
          <w:lang w:eastAsia="es-ES"/>
        </w:rPr>
      </w:pPr>
      <w:r>
        <w:rPr>
          <w:rFonts w:ascii="Arial" w:eastAsia="Arial Unicode MS" w:hAnsi="Arial" w:cs="Arial"/>
          <w:lang w:eastAsia="es-ES"/>
        </w:rPr>
        <w:t xml:space="preserve">Por lo anterior dicha información se clasifica como confidencial, de conformidad con lo dispuesto por el artículo 138 de la Ley de Transparencia y </w:t>
      </w:r>
      <w:r w:rsidR="00807CD1" w:rsidRPr="00807CD1">
        <w:rPr>
          <w:rFonts w:ascii="Arial" w:eastAsia="Arial Unicode MS" w:hAnsi="Arial" w:cs="Arial"/>
          <w:lang w:eastAsia="es-ES"/>
        </w:rPr>
        <w:t xml:space="preserve">Acceso a la Información Pública del Estado de San Luis Potosí, que a la letra establece: </w:t>
      </w:r>
    </w:p>
    <w:p w14:paraId="4E403C14" w14:textId="77777777" w:rsidR="00807CD1" w:rsidRDefault="00807CD1" w:rsidP="00ED2CEE">
      <w:pPr>
        <w:pStyle w:val="Prrafodelista"/>
        <w:spacing w:after="0" w:line="240" w:lineRule="auto"/>
        <w:ind w:left="1134" w:right="1185"/>
        <w:jc w:val="both"/>
        <w:rPr>
          <w:rFonts w:ascii="Arial" w:eastAsia="Arial Unicode MS" w:hAnsi="Arial" w:cs="Arial"/>
          <w:lang w:eastAsia="es-ES"/>
        </w:rPr>
      </w:pPr>
    </w:p>
    <w:p w14:paraId="6765C023" w14:textId="77777777" w:rsidR="00807CD1" w:rsidRDefault="00807CD1" w:rsidP="00ED2CEE">
      <w:pPr>
        <w:pStyle w:val="Prrafodelista"/>
        <w:spacing w:after="0" w:line="240" w:lineRule="auto"/>
        <w:ind w:left="1134" w:right="1185"/>
        <w:jc w:val="both"/>
        <w:rPr>
          <w:rFonts w:ascii="Arial" w:eastAsia="Arial Unicode MS" w:hAnsi="Arial" w:cs="Arial"/>
          <w:lang w:eastAsia="es-ES"/>
        </w:rPr>
      </w:pPr>
      <w:r w:rsidRPr="00807CD1">
        <w:rPr>
          <w:rFonts w:ascii="Arial" w:eastAsia="Arial Unicode MS" w:hAnsi="Arial" w:cs="Arial"/>
          <w:lang w:eastAsia="es-ES"/>
        </w:rPr>
        <w:t xml:space="preserve">"Articulo 138. Se considera información confidencial la que contiene datos personales concernientes a una persona identificada o identificable." </w:t>
      </w:r>
    </w:p>
    <w:p w14:paraId="47D979EA" w14:textId="77777777" w:rsidR="00807CD1" w:rsidRDefault="00807CD1" w:rsidP="00ED2CEE">
      <w:pPr>
        <w:pStyle w:val="Prrafodelista"/>
        <w:spacing w:after="0" w:line="240" w:lineRule="auto"/>
        <w:ind w:left="1134" w:right="1185"/>
        <w:jc w:val="both"/>
        <w:rPr>
          <w:rFonts w:ascii="Arial" w:eastAsia="Arial Unicode MS" w:hAnsi="Arial" w:cs="Arial"/>
          <w:lang w:eastAsia="es-ES"/>
        </w:rPr>
      </w:pPr>
    </w:p>
    <w:p w14:paraId="6FB7A57D" w14:textId="77777777" w:rsidR="00807CD1" w:rsidRDefault="00807CD1" w:rsidP="00ED2CEE">
      <w:pPr>
        <w:pStyle w:val="Prrafodelista"/>
        <w:spacing w:after="0" w:line="240" w:lineRule="auto"/>
        <w:ind w:left="1134" w:right="1185"/>
        <w:jc w:val="both"/>
        <w:rPr>
          <w:rFonts w:ascii="Arial" w:eastAsia="Arial Unicode MS" w:hAnsi="Arial" w:cs="Arial"/>
          <w:lang w:eastAsia="es-ES"/>
        </w:rPr>
      </w:pPr>
      <w:r>
        <w:rPr>
          <w:rFonts w:ascii="Arial" w:eastAsia="Arial Unicode MS" w:hAnsi="Arial" w:cs="Arial"/>
          <w:lang w:eastAsia="es-ES"/>
        </w:rPr>
        <w:t xml:space="preserve">Asimismo, de conformidad con el artículo </w:t>
      </w:r>
      <w:r w:rsidRPr="00807CD1">
        <w:rPr>
          <w:rFonts w:ascii="Arial" w:eastAsia="Arial Unicode MS" w:hAnsi="Arial" w:cs="Arial"/>
          <w:lang w:eastAsia="es-ES"/>
        </w:rPr>
        <w:t>142 del mismo ordenamiento, para permitir el acceso a</w:t>
      </w:r>
      <w:r>
        <w:rPr>
          <w:rFonts w:ascii="Arial" w:eastAsia="Arial Unicode MS" w:hAnsi="Arial" w:cs="Arial"/>
          <w:lang w:eastAsia="es-ES"/>
        </w:rPr>
        <w:t xml:space="preserve"> información confidencial se requiere el consentimiento del titular de la misma, el cual no obra en los archivos de esta autoridad</w:t>
      </w:r>
      <w:r w:rsidRPr="00807CD1">
        <w:rPr>
          <w:rFonts w:ascii="Arial" w:eastAsia="Arial Unicode MS" w:hAnsi="Arial" w:cs="Arial"/>
          <w:lang w:eastAsia="es-ES"/>
        </w:rPr>
        <w:t>, ni se actualiza alguno de los supuestos de excepción previstos en la ley</w:t>
      </w:r>
      <w:r>
        <w:rPr>
          <w:rFonts w:ascii="Arial" w:eastAsia="Arial Unicode MS" w:hAnsi="Arial" w:cs="Arial"/>
          <w:lang w:eastAsia="es-ES"/>
        </w:rPr>
        <w:t>.</w:t>
      </w:r>
    </w:p>
    <w:p w14:paraId="6C507E89" w14:textId="77777777" w:rsidR="00807CD1" w:rsidRDefault="00807CD1" w:rsidP="00ED2CEE">
      <w:pPr>
        <w:pStyle w:val="Prrafodelista"/>
        <w:spacing w:after="0" w:line="240" w:lineRule="auto"/>
        <w:ind w:left="1134" w:right="1185"/>
        <w:jc w:val="both"/>
        <w:rPr>
          <w:rFonts w:ascii="Arial" w:eastAsia="Arial Unicode MS" w:hAnsi="Arial" w:cs="Arial"/>
          <w:lang w:eastAsia="es-ES"/>
        </w:rPr>
      </w:pPr>
    </w:p>
    <w:p w14:paraId="170620DE" w14:textId="685F5B96" w:rsidR="007E16D0" w:rsidRDefault="007E16D0" w:rsidP="00ED2CEE">
      <w:pPr>
        <w:pStyle w:val="Prrafodelista"/>
        <w:spacing w:after="0" w:line="240" w:lineRule="auto"/>
        <w:ind w:left="1134" w:right="1185"/>
        <w:jc w:val="both"/>
        <w:rPr>
          <w:rFonts w:ascii="Arial" w:eastAsia="Arial Unicode MS" w:hAnsi="Arial" w:cs="Arial"/>
          <w:lang w:eastAsia="es-ES"/>
        </w:rPr>
      </w:pPr>
      <w:r>
        <w:rPr>
          <w:rFonts w:ascii="Arial" w:eastAsia="Arial Unicode MS" w:hAnsi="Arial" w:cs="Arial"/>
          <w:lang w:eastAsia="es-ES"/>
        </w:rPr>
        <w:t xml:space="preserve">En ese tenor, no es procedente la entrega de información solicitada en los términos requeridos, y en consecuencia, está Dirección General de Gobernación ratifica la clasificación de la </w:t>
      </w:r>
      <w:r>
        <w:rPr>
          <w:rFonts w:ascii="Arial" w:eastAsia="Arial Unicode MS" w:hAnsi="Arial" w:cs="Arial"/>
          <w:lang w:eastAsia="es-ES"/>
        </w:rPr>
        <w:lastRenderedPageBreak/>
        <w:t xml:space="preserve">información como confidencial, por lo que no es procedente su entrega. </w:t>
      </w:r>
    </w:p>
    <w:p w14:paraId="2D497132" w14:textId="7D86F4DB" w:rsidR="007E16D0" w:rsidRDefault="007E16D0" w:rsidP="00ED2CEE">
      <w:pPr>
        <w:pStyle w:val="Prrafodelista"/>
        <w:spacing w:after="0" w:line="240" w:lineRule="auto"/>
        <w:ind w:left="1134" w:right="1185"/>
        <w:jc w:val="both"/>
        <w:rPr>
          <w:rFonts w:ascii="Arial" w:eastAsia="Arial Unicode MS" w:hAnsi="Arial" w:cs="Arial"/>
          <w:lang w:eastAsia="es-ES"/>
        </w:rPr>
      </w:pPr>
    </w:p>
    <w:p w14:paraId="6D8CA9D1" w14:textId="550A77D5" w:rsidR="005D1245" w:rsidRDefault="007E16D0" w:rsidP="007E16D0">
      <w:pPr>
        <w:pStyle w:val="Prrafodelista"/>
        <w:spacing w:after="0" w:line="240" w:lineRule="auto"/>
        <w:ind w:left="1134" w:right="1185"/>
        <w:jc w:val="both"/>
        <w:rPr>
          <w:rFonts w:ascii="Arial" w:eastAsia="Arial Unicode MS" w:hAnsi="Arial" w:cs="Arial"/>
          <w:lang w:eastAsia="es-ES"/>
        </w:rPr>
      </w:pPr>
      <w:r>
        <w:rPr>
          <w:rFonts w:ascii="Arial" w:eastAsia="Arial Unicode MS" w:hAnsi="Arial" w:cs="Arial"/>
          <w:lang w:eastAsia="es-ES"/>
        </w:rPr>
        <w:t xml:space="preserve">No obstante, se reitera que, en caso de que el solicitante acredite ser el titular de los datos personales o su representante legal debidamente acreditado, deberá presentarse a realizar la consulta en las instalaciones de Dirección General de Gobernación, previa acreditación de identidad mediante identificación oficial vigente, en un horario de 9:30 a 1:30 horas, </w:t>
      </w:r>
    </w:p>
    <w:p w14:paraId="1B31D036" w14:textId="77777777" w:rsidR="005D1245" w:rsidRDefault="005D1245" w:rsidP="005D1245">
      <w:pPr>
        <w:pStyle w:val="Prrafodelista"/>
        <w:spacing w:after="0" w:line="240" w:lineRule="auto"/>
        <w:ind w:left="1134" w:right="1185"/>
        <w:jc w:val="both"/>
        <w:rPr>
          <w:rFonts w:ascii="Arial" w:eastAsia="Arial Unicode MS" w:hAnsi="Arial" w:cs="Arial"/>
          <w:lang w:eastAsia="es-ES"/>
        </w:rPr>
      </w:pPr>
    </w:p>
    <w:p w14:paraId="06E5DC8B" w14:textId="78DEBA36" w:rsidR="00035E7E" w:rsidRPr="005475F3" w:rsidRDefault="00807CD1" w:rsidP="00ED2CEE">
      <w:pPr>
        <w:pStyle w:val="Prrafodelista"/>
        <w:spacing w:after="0" w:line="240" w:lineRule="auto"/>
        <w:ind w:left="1134" w:right="1185"/>
        <w:jc w:val="both"/>
        <w:rPr>
          <w:rFonts w:ascii="Arial" w:eastAsia="Arial Unicode MS" w:hAnsi="Arial" w:cs="Arial"/>
          <w:lang w:eastAsia="es-ES"/>
        </w:rPr>
      </w:pPr>
      <w:r w:rsidRPr="005D1245">
        <w:rPr>
          <w:rFonts w:ascii="Arial" w:eastAsia="Arial Unicode MS" w:hAnsi="Arial" w:cs="Arial"/>
          <w:lang w:eastAsia="es-ES"/>
        </w:rPr>
        <w:t xml:space="preserve">Dicha consulta deberá realizarse en las instalaciones de la Dirección General de Gobernación, previa acreditación de identidad mediante identificación oficial vigente, en un horario de 9:30 am a 1:30 y en presencia de la servidora pública Lic. </w:t>
      </w:r>
      <w:r w:rsidR="005D1245" w:rsidRPr="005D1245">
        <w:rPr>
          <w:rFonts w:ascii="Arial" w:eastAsia="Arial Unicode MS" w:hAnsi="Arial" w:cs="Arial"/>
          <w:lang w:eastAsia="es-ES"/>
        </w:rPr>
        <w:t>María</w:t>
      </w:r>
      <w:r w:rsidRPr="005D1245">
        <w:rPr>
          <w:rFonts w:ascii="Arial" w:eastAsia="Arial Unicode MS" w:hAnsi="Arial" w:cs="Arial"/>
          <w:lang w:eastAsia="es-ES"/>
        </w:rPr>
        <w:t xml:space="preserve"> Jaqueline </w:t>
      </w:r>
      <w:r w:rsidR="005D1245" w:rsidRPr="005D1245">
        <w:rPr>
          <w:rFonts w:ascii="Arial" w:eastAsia="Arial Unicode MS" w:hAnsi="Arial" w:cs="Arial"/>
          <w:lang w:eastAsia="es-ES"/>
        </w:rPr>
        <w:t>Rodríguez</w:t>
      </w:r>
      <w:r w:rsidRPr="005D1245">
        <w:rPr>
          <w:rFonts w:ascii="Arial" w:eastAsia="Arial Unicode MS" w:hAnsi="Arial" w:cs="Arial"/>
          <w:lang w:eastAsia="es-ES"/>
        </w:rPr>
        <w:t xml:space="preserve"> Guerrero, Encargada de</w:t>
      </w:r>
      <w:r w:rsidR="005D1245">
        <w:rPr>
          <w:rFonts w:ascii="Arial" w:eastAsia="Arial Unicode MS" w:hAnsi="Arial" w:cs="Arial"/>
          <w:lang w:eastAsia="es-ES"/>
        </w:rPr>
        <w:t xml:space="preserve"> la Coordinación de Área de Peritos, quien </w:t>
      </w:r>
      <w:r w:rsidR="007E16D0">
        <w:rPr>
          <w:rFonts w:ascii="Arial" w:eastAsia="Arial Unicode MS" w:hAnsi="Arial" w:cs="Arial"/>
          <w:lang w:eastAsia="es-ES"/>
        </w:rPr>
        <w:t>brindará</w:t>
      </w:r>
      <w:r w:rsidR="005D1245">
        <w:rPr>
          <w:rFonts w:ascii="Arial" w:eastAsia="Arial Unicode MS" w:hAnsi="Arial" w:cs="Arial"/>
          <w:lang w:eastAsia="es-ES"/>
        </w:rPr>
        <w:t xml:space="preserve"> el acompañamiento correspondiente.</w:t>
      </w:r>
      <w:r w:rsidR="00035E7E">
        <w:rPr>
          <w:rFonts w:ascii="Arial" w:eastAsia="Arial Unicode MS" w:hAnsi="Arial" w:cs="Arial"/>
          <w:lang w:eastAsia="es-ES"/>
        </w:rPr>
        <w:t>”</w:t>
      </w:r>
    </w:p>
    <w:p w14:paraId="6FFC6EBC" w14:textId="77777777" w:rsidR="00035E7E" w:rsidRDefault="00035E7E" w:rsidP="008E4105">
      <w:pPr>
        <w:spacing w:after="0" w:line="360" w:lineRule="auto"/>
        <w:ind w:right="51" w:firstLine="708"/>
        <w:jc w:val="both"/>
        <w:rPr>
          <w:rFonts w:ascii="Arial" w:eastAsia="Arial Unicode MS" w:hAnsi="Arial" w:cs="Arial"/>
          <w:sz w:val="24"/>
          <w:szCs w:val="24"/>
          <w:lang w:eastAsia="es-ES"/>
        </w:rPr>
      </w:pPr>
    </w:p>
    <w:p w14:paraId="0D777489" w14:textId="2CAEEAA0" w:rsidR="007F11CA" w:rsidRPr="005475F3" w:rsidRDefault="00035E7E" w:rsidP="008E4105">
      <w:pPr>
        <w:spacing w:after="0" w:line="360" w:lineRule="auto"/>
        <w:ind w:right="51" w:firstLine="708"/>
        <w:jc w:val="both"/>
        <w:rPr>
          <w:rFonts w:ascii="Arial" w:eastAsia="Times New Roman" w:hAnsi="Arial" w:cs="Arial"/>
          <w:sz w:val="24"/>
          <w:szCs w:val="24"/>
          <w:lang w:eastAsia="es-ES"/>
        </w:rPr>
      </w:pPr>
      <w:r w:rsidRPr="00035E7E">
        <w:rPr>
          <w:rFonts w:ascii="Arial" w:eastAsia="Arial Unicode MS" w:hAnsi="Arial" w:cs="Arial"/>
          <w:b/>
          <w:sz w:val="24"/>
          <w:szCs w:val="24"/>
          <w:lang w:eastAsia="es-ES"/>
        </w:rPr>
        <w:t>TERCERO.</w:t>
      </w:r>
      <w:r>
        <w:rPr>
          <w:rFonts w:ascii="Arial" w:eastAsia="Arial Unicode MS" w:hAnsi="Arial" w:cs="Arial"/>
          <w:b/>
          <w:sz w:val="24"/>
          <w:szCs w:val="24"/>
          <w:lang w:eastAsia="es-ES"/>
        </w:rPr>
        <w:t xml:space="preserve"> </w:t>
      </w:r>
      <w:r w:rsidR="0093057A" w:rsidRPr="005475F3">
        <w:rPr>
          <w:rFonts w:ascii="Arial" w:eastAsia="Times New Roman" w:hAnsi="Arial" w:cs="Arial"/>
          <w:b/>
          <w:bCs/>
          <w:sz w:val="24"/>
          <w:szCs w:val="24"/>
          <w:lang w:eastAsia="es-ES"/>
        </w:rPr>
        <w:t xml:space="preserve">Interposición del Recurso de Revisión. </w:t>
      </w:r>
      <w:r w:rsidR="0093057A" w:rsidRPr="005475F3">
        <w:rPr>
          <w:rFonts w:ascii="Arial" w:eastAsia="Times New Roman" w:hAnsi="Arial" w:cs="Arial"/>
          <w:sz w:val="24"/>
          <w:szCs w:val="24"/>
          <w:lang w:eastAsia="es-ES"/>
        </w:rPr>
        <w:t>El</w:t>
      </w:r>
      <w:r w:rsidR="007E16D0">
        <w:rPr>
          <w:rFonts w:ascii="Arial" w:eastAsia="Times New Roman" w:hAnsi="Arial" w:cs="Arial"/>
          <w:sz w:val="24"/>
          <w:szCs w:val="24"/>
          <w:lang w:eastAsia="es-ES"/>
        </w:rPr>
        <w:t xml:space="preserve"> 07 siete de mayo</w:t>
      </w:r>
      <w:r w:rsidR="005D1245">
        <w:rPr>
          <w:rFonts w:ascii="Arial" w:eastAsia="Times New Roman" w:hAnsi="Arial" w:cs="Arial"/>
          <w:sz w:val="24"/>
          <w:szCs w:val="24"/>
          <w:lang w:eastAsia="es-ES"/>
        </w:rPr>
        <w:t xml:space="preserve"> de </w:t>
      </w:r>
      <w:r w:rsidR="00B87D15">
        <w:rPr>
          <w:rFonts w:ascii="Arial" w:eastAsia="Times New Roman" w:hAnsi="Arial" w:cs="Arial"/>
          <w:sz w:val="24"/>
          <w:szCs w:val="24"/>
          <w:lang w:eastAsia="es-ES"/>
        </w:rPr>
        <w:t xml:space="preserve">2026 </w:t>
      </w:r>
      <w:r>
        <w:rPr>
          <w:rFonts w:ascii="Arial" w:eastAsia="Times New Roman" w:hAnsi="Arial" w:cs="Arial"/>
          <w:sz w:val="24"/>
          <w:szCs w:val="24"/>
          <w:lang w:eastAsia="es-ES"/>
        </w:rPr>
        <w:t>dos mil veintiséis</w:t>
      </w:r>
      <w:r w:rsidR="0093057A" w:rsidRPr="005475F3">
        <w:rPr>
          <w:rFonts w:ascii="Arial" w:eastAsia="Times New Roman" w:hAnsi="Arial" w:cs="Arial"/>
          <w:sz w:val="24"/>
          <w:szCs w:val="24"/>
          <w:lang w:eastAsia="es-ES"/>
        </w:rPr>
        <w:t xml:space="preserve">, este Órgano Garante recibió </w:t>
      </w:r>
      <w:r w:rsidR="005D1245">
        <w:rPr>
          <w:rFonts w:ascii="Arial" w:eastAsia="Times New Roman" w:hAnsi="Arial" w:cs="Arial"/>
          <w:sz w:val="24"/>
          <w:szCs w:val="24"/>
          <w:lang w:eastAsia="es-ES"/>
        </w:rPr>
        <w:t xml:space="preserve">en la Oficialía de Partes de esta Comisión, </w:t>
      </w:r>
      <w:r w:rsidR="0093057A" w:rsidRPr="005475F3">
        <w:rPr>
          <w:rFonts w:ascii="Arial" w:eastAsia="Times New Roman" w:hAnsi="Arial" w:cs="Arial"/>
          <w:sz w:val="24"/>
          <w:szCs w:val="24"/>
          <w:lang w:eastAsia="es-ES"/>
        </w:rPr>
        <w:t xml:space="preserve">el recurso de revisión interpuesto por </w:t>
      </w:r>
      <w:r w:rsidR="008E4105" w:rsidRPr="005475F3">
        <w:rPr>
          <w:rFonts w:ascii="Arial" w:eastAsia="Times New Roman" w:hAnsi="Arial" w:cs="Arial"/>
          <w:sz w:val="24"/>
          <w:szCs w:val="24"/>
          <w:lang w:eastAsia="es-ES"/>
        </w:rPr>
        <w:t>la</w:t>
      </w:r>
      <w:r w:rsidR="0093057A" w:rsidRPr="005475F3">
        <w:rPr>
          <w:rFonts w:ascii="Arial" w:eastAsia="Times New Roman" w:hAnsi="Arial" w:cs="Arial"/>
          <w:sz w:val="24"/>
          <w:szCs w:val="24"/>
          <w:lang w:eastAsia="es-ES"/>
        </w:rPr>
        <w:t xml:space="preserve"> ahora recurrente</w:t>
      </w:r>
      <w:r w:rsidR="008E4105" w:rsidRPr="005475F3">
        <w:rPr>
          <w:rFonts w:ascii="Arial" w:eastAsia="Times New Roman" w:hAnsi="Arial" w:cs="Arial"/>
          <w:sz w:val="24"/>
          <w:szCs w:val="24"/>
          <w:lang w:eastAsia="es-ES"/>
        </w:rPr>
        <w:t>,</w:t>
      </w:r>
      <w:r w:rsidR="0093057A" w:rsidRPr="005475F3">
        <w:rPr>
          <w:rFonts w:ascii="Arial" w:eastAsia="Times New Roman" w:hAnsi="Arial" w:cs="Arial"/>
          <w:sz w:val="24"/>
          <w:szCs w:val="24"/>
          <w:lang w:eastAsia="es-ES"/>
        </w:rPr>
        <w:t xml:space="preserve"> en contra de la </w:t>
      </w:r>
      <w:r>
        <w:rPr>
          <w:rFonts w:ascii="Arial" w:eastAsia="Times New Roman" w:hAnsi="Arial" w:cs="Arial"/>
          <w:sz w:val="24"/>
          <w:szCs w:val="24"/>
          <w:lang w:eastAsia="es-ES"/>
        </w:rPr>
        <w:t xml:space="preserve">respuesta de la solicitud de información, en la que señaló: </w:t>
      </w:r>
    </w:p>
    <w:p w14:paraId="7C971962" w14:textId="51CA112B" w:rsidR="00137098" w:rsidRPr="005475F3" w:rsidRDefault="00137098" w:rsidP="008E4105">
      <w:pPr>
        <w:spacing w:after="0" w:line="360" w:lineRule="auto"/>
        <w:ind w:right="51" w:firstLine="708"/>
        <w:jc w:val="both"/>
        <w:rPr>
          <w:rFonts w:ascii="Arial" w:eastAsia="Times New Roman" w:hAnsi="Arial" w:cs="Arial"/>
          <w:sz w:val="24"/>
          <w:szCs w:val="24"/>
          <w:lang w:eastAsia="es-ES"/>
        </w:rPr>
      </w:pPr>
    </w:p>
    <w:p w14:paraId="50018922" w14:textId="607F5A26" w:rsidR="00137098" w:rsidRPr="00113311" w:rsidRDefault="005D1245" w:rsidP="005D1245">
      <w:pPr>
        <w:spacing w:after="0" w:line="240" w:lineRule="auto"/>
        <w:ind w:left="1134" w:right="1185"/>
        <w:jc w:val="both"/>
        <w:rPr>
          <w:rFonts w:ascii="Arial" w:eastAsia="Times New Roman" w:hAnsi="Arial" w:cs="Arial"/>
          <w:szCs w:val="24"/>
          <w:lang w:eastAsia="es-ES"/>
        </w:rPr>
      </w:pPr>
      <w:r w:rsidRPr="00113311">
        <w:rPr>
          <w:rFonts w:ascii="Arial" w:eastAsia="Times New Roman" w:hAnsi="Arial" w:cs="Arial"/>
          <w:szCs w:val="24"/>
          <w:lang w:eastAsia="es-ES"/>
        </w:rPr>
        <w:t>Especifique el acto o actos que se recurren:</w:t>
      </w:r>
    </w:p>
    <w:p w14:paraId="10B25121" w14:textId="3ECF4EB4" w:rsidR="005D1245" w:rsidRDefault="005D1245" w:rsidP="00725AE8">
      <w:pPr>
        <w:pStyle w:val="Prrafodelista"/>
        <w:numPr>
          <w:ilvl w:val="0"/>
          <w:numId w:val="50"/>
        </w:numPr>
        <w:spacing w:after="0" w:line="240" w:lineRule="auto"/>
        <w:ind w:right="1185"/>
        <w:jc w:val="both"/>
        <w:rPr>
          <w:rFonts w:ascii="Arial" w:eastAsia="Times New Roman" w:hAnsi="Arial" w:cs="Arial"/>
          <w:szCs w:val="24"/>
          <w:lang w:eastAsia="es-ES"/>
        </w:rPr>
      </w:pPr>
      <w:r w:rsidRPr="00113311">
        <w:rPr>
          <w:rFonts w:ascii="Arial" w:eastAsia="Times New Roman" w:hAnsi="Arial" w:cs="Arial"/>
          <w:szCs w:val="24"/>
          <w:lang w:eastAsia="es-ES"/>
        </w:rPr>
        <w:t>La clasificación de la información.</w:t>
      </w:r>
    </w:p>
    <w:p w14:paraId="320B3585" w14:textId="6FFA3C25" w:rsidR="007E16D0" w:rsidRDefault="007E16D0" w:rsidP="00725AE8">
      <w:pPr>
        <w:pStyle w:val="Prrafodelista"/>
        <w:numPr>
          <w:ilvl w:val="0"/>
          <w:numId w:val="50"/>
        </w:numPr>
        <w:spacing w:after="0" w:line="240" w:lineRule="auto"/>
        <w:ind w:right="1185"/>
        <w:jc w:val="both"/>
        <w:rPr>
          <w:rFonts w:ascii="Arial" w:eastAsia="Times New Roman" w:hAnsi="Arial" w:cs="Arial"/>
          <w:szCs w:val="24"/>
          <w:lang w:eastAsia="es-ES"/>
        </w:rPr>
      </w:pPr>
      <w:r>
        <w:rPr>
          <w:rFonts w:ascii="Arial" w:eastAsia="Times New Roman" w:hAnsi="Arial" w:cs="Arial"/>
          <w:szCs w:val="24"/>
          <w:lang w:eastAsia="es-ES"/>
        </w:rPr>
        <w:t>La entrega de información incompleta.</w:t>
      </w:r>
    </w:p>
    <w:p w14:paraId="6DE238C5" w14:textId="20977E61" w:rsidR="007E16D0" w:rsidRPr="00113311" w:rsidRDefault="007E16D0" w:rsidP="00725AE8">
      <w:pPr>
        <w:pStyle w:val="Prrafodelista"/>
        <w:numPr>
          <w:ilvl w:val="0"/>
          <w:numId w:val="50"/>
        </w:numPr>
        <w:spacing w:after="0" w:line="240" w:lineRule="auto"/>
        <w:ind w:right="1185"/>
        <w:jc w:val="both"/>
        <w:rPr>
          <w:rFonts w:ascii="Arial" w:eastAsia="Times New Roman" w:hAnsi="Arial" w:cs="Arial"/>
          <w:szCs w:val="24"/>
          <w:lang w:eastAsia="es-ES"/>
        </w:rPr>
      </w:pPr>
      <w:r>
        <w:rPr>
          <w:rFonts w:ascii="Arial" w:eastAsia="Times New Roman" w:hAnsi="Arial" w:cs="Arial"/>
          <w:szCs w:val="24"/>
          <w:lang w:eastAsia="es-ES"/>
        </w:rPr>
        <w:t>La entrega de información que no corresponde con lo solicitado.</w:t>
      </w:r>
    </w:p>
    <w:p w14:paraId="576C5BE4" w14:textId="3832860D" w:rsidR="005D1245" w:rsidRDefault="005D1245" w:rsidP="00725AE8">
      <w:pPr>
        <w:pStyle w:val="Prrafodelista"/>
        <w:numPr>
          <w:ilvl w:val="0"/>
          <w:numId w:val="50"/>
        </w:numPr>
        <w:spacing w:after="0" w:line="240" w:lineRule="auto"/>
        <w:ind w:right="1185"/>
        <w:jc w:val="both"/>
        <w:rPr>
          <w:rFonts w:ascii="Arial" w:eastAsia="Times New Roman" w:hAnsi="Arial" w:cs="Arial"/>
          <w:szCs w:val="24"/>
          <w:lang w:eastAsia="es-ES"/>
        </w:rPr>
      </w:pPr>
      <w:r w:rsidRPr="00113311">
        <w:rPr>
          <w:rFonts w:ascii="Arial" w:eastAsia="Times New Roman" w:hAnsi="Arial" w:cs="Arial"/>
          <w:szCs w:val="24"/>
          <w:lang w:eastAsia="es-ES"/>
        </w:rPr>
        <w:t>La notificación, entrega o pues</w:t>
      </w:r>
      <w:r w:rsidR="007E16D0">
        <w:rPr>
          <w:rFonts w:ascii="Arial" w:eastAsia="Times New Roman" w:hAnsi="Arial" w:cs="Arial"/>
          <w:szCs w:val="24"/>
          <w:lang w:eastAsia="es-ES"/>
        </w:rPr>
        <w:t xml:space="preserve">ta a disposición de información en una modalidad o formato distinto al solicitado. </w:t>
      </w:r>
    </w:p>
    <w:p w14:paraId="054D7060" w14:textId="40FDF877" w:rsidR="00725AE8" w:rsidRPr="00725AE8" w:rsidRDefault="00725AE8" w:rsidP="00725AE8">
      <w:pPr>
        <w:pStyle w:val="Prrafodelista"/>
        <w:numPr>
          <w:ilvl w:val="0"/>
          <w:numId w:val="50"/>
        </w:numPr>
        <w:spacing w:after="0" w:line="240" w:lineRule="auto"/>
        <w:ind w:right="1185"/>
        <w:jc w:val="both"/>
        <w:rPr>
          <w:rFonts w:ascii="Arial" w:eastAsia="Times New Roman" w:hAnsi="Arial" w:cs="Arial"/>
          <w:szCs w:val="24"/>
          <w:lang w:eastAsia="es-ES"/>
        </w:rPr>
      </w:pPr>
      <w:r>
        <w:rPr>
          <w:rFonts w:ascii="Arial" w:eastAsia="Times New Roman" w:hAnsi="Arial" w:cs="Arial"/>
          <w:szCs w:val="24"/>
          <w:lang w:eastAsia="es-ES"/>
        </w:rPr>
        <w:t>Los costos o tiempos de entrega de la información.</w:t>
      </w:r>
    </w:p>
    <w:p w14:paraId="6170CC35" w14:textId="6B416495" w:rsidR="005D1245" w:rsidRDefault="005D1245" w:rsidP="00725AE8">
      <w:pPr>
        <w:pStyle w:val="Prrafodelista"/>
        <w:numPr>
          <w:ilvl w:val="0"/>
          <w:numId w:val="50"/>
        </w:numPr>
        <w:spacing w:after="0" w:line="240" w:lineRule="auto"/>
        <w:ind w:right="1185"/>
        <w:jc w:val="both"/>
        <w:rPr>
          <w:rFonts w:ascii="Arial" w:eastAsia="Times New Roman" w:hAnsi="Arial" w:cs="Arial"/>
          <w:szCs w:val="24"/>
          <w:lang w:eastAsia="es-ES"/>
        </w:rPr>
      </w:pPr>
      <w:r w:rsidRPr="00113311">
        <w:rPr>
          <w:rFonts w:ascii="Arial" w:eastAsia="Times New Roman" w:hAnsi="Arial" w:cs="Arial"/>
          <w:szCs w:val="24"/>
          <w:lang w:eastAsia="es-ES"/>
        </w:rPr>
        <w:t xml:space="preserve">La falta, deficiencia o insuficiencia de la fundamentación y/o motivación en la respuesta. </w:t>
      </w:r>
    </w:p>
    <w:p w14:paraId="51411FE0" w14:textId="0698B685" w:rsidR="00725AE8" w:rsidRPr="00113311" w:rsidRDefault="00725AE8" w:rsidP="00725AE8">
      <w:pPr>
        <w:pStyle w:val="Prrafodelista"/>
        <w:numPr>
          <w:ilvl w:val="0"/>
          <w:numId w:val="50"/>
        </w:numPr>
        <w:spacing w:after="0" w:line="240" w:lineRule="auto"/>
        <w:ind w:right="1185"/>
        <w:jc w:val="both"/>
        <w:rPr>
          <w:rFonts w:ascii="Arial" w:eastAsia="Times New Roman" w:hAnsi="Arial" w:cs="Arial"/>
          <w:szCs w:val="24"/>
          <w:lang w:eastAsia="es-ES"/>
        </w:rPr>
      </w:pPr>
      <w:r>
        <w:rPr>
          <w:rFonts w:ascii="Arial" w:eastAsia="Times New Roman" w:hAnsi="Arial" w:cs="Arial"/>
          <w:szCs w:val="24"/>
          <w:lang w:eastAsia="es-ES"/>
        </w:rPr>
        <w:t xml:space="preserve">La orientación a un trámite especifico. </w:t>
      </w:r>
    </w:p>
    <w:p w14:paraId="4455EFED" w14:textId="37561F76" w:rsidR="004736C0" w:rsidRDefault="004736C0" w:rsidP="00A30399">
      <w:pPr>
        <w:spacing w:after="0" w:line="240" w:lineRule="auto"/>
        <w:ind w:left="1134" w:right="1183"/>
        <w:jc w:val="both"/>
        <w:rPr>
          <w:rFonts w:ascii="Arial" w:eastAsia="Arial Unicode MS" w:hAnsi="Arial" w:cs="Arial"/>
          <w:iCs/>
          <w:lang w:eastAsia="es-ES"/>
        </w:rPr>
      </w:pPr>
    </w:p>
    <w:p w14:paraId="60528A6E" w14:textId="77777777" w:rsidR="005D1245" w:rsidRPr="005475F3" w:rsidRDefault="005D1245" w:rsidP="00A30399">
      <w:pPr>
        <w:spacing w:after="0" w:line="240" w:lineRule="auto"/>
        <w:ind w:left="1134" w:right="1183"/>
        <w:jc w:val="both"/>
        <w:rPr>
          <w:rFonts w:ascii="Arial" w:eastAsia="Arial Unicode MS" w:hAnsi="Arial" w:cs="Arial"/>
          <w:iCs/>
          <w:lang w:eastAsia="es-ES"/>
        </w:rPr>
      </w:pPr>
    </w:p>
    <w:p w14:paraId="7DE4CBD6" w14:textId="7A441378" w:rsidR="0093057A" w:rsidRPr="005475F3" w:rsidRDefault="0093057A" w:rsidP="0093057A">
      <w:pPr>
        <w:spacing w:after="0" w:line="360" w:lineRule="auto"/>
        <w:ind w:firstLine="708"/>
        <w:jc w:val="both"/>
        <w:rPr>
          <w:rFonts w:ascii="Arial" w:eastAsia="Times New Roman" w:hAnsi="Arial" w:cs="Arial"/>
          <w:sz w:val="24"/>
          <w:szCs w:val="24"/>
          <w:lang w:eastAsia="es-ES"/>
        </w:rPr>
      </w:pPr>
      <w:r w:rsidRPr="005475F3">
        <w:rPr>
          <w:rFonts w:ascii="Arial" w:eastAsia="Times New Roman" w:hAnsi="Arial" w:cs="Arial"/>
          <w:b/>
          <w:sz w:val="24"/>
          <w:szCs w:val="24"/>
          <w:lang w:eastAsia="es-ES"/>
        </w:rPr>
        <w:t>CUARTO.</w:t>
      </w:r>
      <w:r w:rsidRPr="005475F3">
        <w:rPr>
          <w:rFonts w:ascii="Arial" w:eastAsia="Times New Roman" w:hAnsi="Arial" w:cs="Arial"/>
          <w:sz w:val="24"/>
          <w:szCs w:val="24"/>
          <w:lang w:eastAsia="es-ES"/>
        </w:rPr>
        <w:t xml:space="preserve"> </w:t>
      </w:r>
      <w:r w:rsidRPr="005475F3">
        <w:rPr>
          <w:rFonts w:ascii="Arial" w:eastAsia="Times New Roman" w:hAnsi="Arial" w:cs="Arial"/>
          <w:b/>
          <w:bCs/>
          <w:sz w:val="24"/>
          <w:szCs w:val="24"/>
          <w:lang w:eastAsia="es-ES"/>
        </w:rPr>
        <w:t>Turno.</w:t>
      </w:r>
      <w:r w:rsidRPr="005475F3">
        <w:rPr>
          <w:rFonts w:ascii="Arial" w:eastAsia="Times New Roman" w:hAnsi="Arial" w:cs="Arial"/>
          <w:sz w:val="24"/>
          <w:szCs w:val="24"/>
          <w:lang w:eastAsia="es-ES"/>
        </w:rPr>
        <w:t xml:space="preserve"> El </w:t>
      </w:r>
      <w:r w:rsidR="009B43FB">
        <w:rPr>
          <w:rFonts w:ascii="Arial" w:eastAsia="Times New Roman" w:hAnsi="Arial" w:cs="Arial"/>
          <w:sz w:val="24"/>
          <w:szCs w:val="24"/>
          <w:lang w:eastAsia="es-ES"/>
        </w:rPr>
        <w:t>07 siete de mayo</w:t>
      </w:r>
      <w:r w:rsidR="00B87D15">
        <w:rPr>
          <w:rFonts w:ascii="Arial" w:eastAsia="Times New Roman" w:hAnsi="Arial" w:cs="Arial"/>
          <w:sz w:val="24"/>
          <w:szCs w:val="24"/>
          <w:lang w:eastAsia="es-ES"/>
        </w:rPr>
        <w:t xml:space="preserve"> de 2026</w:t>
      </w:r>
      <w:r w:rsidR="00137098" w:rsidRPr="005475F3">
        <w:rPr>
          <w:rFonts w:ascii="Arial" w:eastAsia="Times New Roman" w:hAnsi="Arial" w:cs="Arial"/>
          <w:sz w:val="24"/>
          <w:szCs w:val="24"/>
          <w:lang w:eastAsia="es-ES"/>
        </w:rPr>
        <w:t xml:space="preserve"> </w:t>
      </w:r>
      <w:r w:rsidR="008E4105" w:rsidRPr="005475F3">
        <w:rPr>
          <w:rFonts w:ascii="Arial" w:eastAsia="Times New Roman" w:hAnsi="Arial" w:cs="Arial"/>
          <w:sz w:val="24"/>
          <w:szCs w:val="24"/>
          <w:lang w:eastAsia="es-ES"/>
        </w:rPr>
        <w:t>dos mil veinti</w:t>
      </w:r>
      <w:r w:rsidR="00137098" w:rsidRPr="005475F3">
        <w:rPr>
          <w:rFonts w:ascii="Arial" w:eastAsia="Times New Roman" w:hAnsi="Arial" w:cs="Arial"/>
          <w:sz w:val="24"/>
          <w:szCs w:val="24"/>
          <w:lang w:eastAsia="es-ES"/>
        </w:rPr>
        <w:t>séis</w:t>
      </w:r>
      <w:r w:rsidR="008E4105" w:rsidRPr="005475F3">
        <w:rPr>
          <w:rFonts w:ascii="Arial" w:eastAsia="Times New Roman" w:hAnsi="Arial" w:cs="Arial"/>
          <w:sz w:val="24"/>
          <w:szCs w:val="24"/>
          <w:lang w:eastAsia="es-ES"/>
        </w:rPr>
        <w:t>,</w:t>
      </w:r>
      <w:r w:rsidRPr="005475F3">
        <w:rPr>
          <w:rFonts w:ascii="Arial" w:eastAsia="Times New Roman" w:hAnsi="Arial" w:cs="Arial"/>
          <w:sz w:val="24"/>
          <w:szCs w:val="24"/>
          <w:lang w:eastAsia="es-ES"/>
        </w:rPr>
        <w:t xml:space="preserve"> de conformidad con el artículo 174, fracción I de la Ley de Transparencia y Acceso a la Información Pública del Estado, el Recurso de Revisió</w:t>
      </w:r>
      <w:r w:rsidR="008E4105" w:rsidRPr="005475F3">
        <w:rPr>
          <w:rFonts w:ascii="Arial" w:eastAsia="Times New Roman" w:hAnsi="Arial" w:cs="Arial"/>
          <w:sz w:val="24"/>
          <w:szCs w:val="24"/>
          <w:lang w:eastAsia="es-ES"/>
        </w:rPr>
        <w:t>n que se resuelve fue turnado a</w:t>
      </w:r>
      <w:r w:rsidRPr="005475F3">
        <w:rPr>
          <w:rFonts w:ascii="Arial" w:eastAsia="Times New Roman" w:hAnsi="Arial" w:cs="Arial"/>
          <w:sz w:val="24"/>
          <w:szCs w:val="24"/>
          <w:lang w:eastAsia="es-ES"/>
        </w:rPr>
        <w:t>l Comisionad</w:t>
      </w:r>
      <w:r w:rsidR="008E4105" w:rsidRPr="005475F3">
        <w:rPr>
          <w:rFonts w:ascii="Arial" w:eastAsia="Times New Roman" w:hAnsi="Arial" w:cs="Arial"/>
          <w:sz w:val="24"/>
          <w:szCs w:val="24"/>
          <w:lang w:eastAsia="es-ES"/>
        </w:rPr>
        <w:t>o</w:t>
      </w:r>
      <w:r w:rsidRPr="005475F3">
        <w:rPr>
          <w:rFonts w:ascii="Arial" w:eastAsia="Times New Roman" w:hAnsi="Arial" w:cs="Arial"/>
          <w:sz w:val="24"/>
          <w:szCs w:val="24"/>
          <w:lang w:eastAsia="es-ES"/>
        </w:rPr>
        <w:t xml:space="preserve"> Ponente, para el análisis de su admisión o desechamiento. </w:t>
      </w:r>
    </w:p>
    <w:p w14:paraId="4D6CD6B7" w14:textId="77777777" w:rsidR="0093057A" w:rsidRPr="005475F3" w:rsidRDefault="0093057A" w:rsidP="0093057A">
      <w:pPr>
        <w:spacing w:after="0" w:line="360" w:lineRule="auto"/>
        <w:jc w:val="both"/>
        <w:rPr>
          <w:rFonts w:ascii="Arial" w:eastAsia="Times New Roman" w:hAnsi="Arial" w:cs="Arial"/>
          <w:b/>
          <w:sz w:val="24"/>
          <w:szCs w:val="24"/>
          <w:lang w:eastAsia="es-ES"/>
        </w:rPr>
      </w:pPr>
    </w:p>
    <w:p w14:paraId="6375FBA0" w14:textId="6D57D3F8" w:rsidR="0093057A" w:rsidRPr="005475F3" w:rsidRDefault="0093057A" w:rsidP="00CB0B39">
      <w:pPr>
        <w:spacing w:after="0" w:line="360" w:lineRule="auto"/>
        <w:ind w:firstLine="708"/>
        <w:jc w:val="both"/>
        <w:rPr>
          <w:rFonts w:ascii="Arial" w:eastAsia="Times New Roman" w:hAnsi="Arial" w:cs="Arial"/>
          <w:b/>
          <w:bCs/>
          <w:sz w:val="24"/>
          <w:szCs w:val="24"/>
          <w:lang w:eastAsia="es-ES"/>
        </w:rPr>
      </w:pPr>
      <w:r w:rsidRPr="005475F3">
        <w:rPr>
          <w:rFonts w:ascii="Arial" w:eastAsia="Times New Roman" w:hAnsi="Arial" w:cs="Arial"/>
          <w:b/>
          <w:sz w:val="24"/>
          <w:szCs w:val="24"/>
          <w:lang w:eastAsia="es-ES"/>
        </w:rPr>
        <w:t>QUINTO.</w:t>
      </w:r>
      <w:r w:rsidRPr="005475F3">
        <w:rPr>
          <w:rFonts w:ascii="Arial" w:eastAsia="Times New Roman" w:hAnsi="Arial" w:cs="Arial"/>
          <w:sz w:val="24"/>
          <w:szCs w:val="24"/>
          <w:lang w:eastAsia="es-ES"/>
        </w:rPr>
        <w:t xml:space="preserve"> </w:t>
      </w:r>
      <w:r w:rsidR="00363337" w:rsidRPr="005475F3">
        <w:rPr>
          <w:rFonts w:ascii="Arial" w:eastAsia="Times New Roman" w:hAnsi="Arial" w:cs="Arial"/>
          <w:b/>
          <w:bCs/>
          <w:sz w:val="24"/>
          <w:szCs w:val="24"/>
          <w:lang w:eastAsia="es-ES"/>
        </w:rPr>
        <w:t>A</w:t>
      </w:r>
      <w:r w:rsidRPr="005475F3">
        <w:rPr>
          <w:rFonts w:ascii="Arial" w:eastAsia="Times New Roman" w:hAnsi="Arial" w:cs="Arial"/>
          <w:b/>
          <w:bCs/>
          <w:sz w:val="24"/>
          <w:szCs w:val="24"/>
          <w:lang w:eastAsia="es-ES"/>
        </w:rPr>
        <w:t xml:space="preserve">dmisión y trámite. </w:t>
      </w:r>
      <w:r w:rsidRPr="005475F3">
        <w:rPr>
          <w:rFonts w:ascii="Arial" w:eastAsia="Times New Roman" w:hAnsi="Arial" w:cs="Arial"/>
          <w:sz w:val="24"/>
          <w:szCs w:val="24"/>
          <w:lang w:eastAsia="es-ES"/>
        </w:rPr>
        <w:t xml:space="preserve">El </w:t>
      </w:r>
      <w:r w:rsidR="009B43FB">
        <w:rPr>
          <w:rFonts w:ascii="Arial" w:eastAsia="Times New Roman" w:hAnsi="Arial" w:cs="Arial"/>
          <w:sz w:val="24"/>
          <w:szCs w:val="24"/>
          <w:lang w:eastAsia="es-ES"/>
        </w:rPr>
        <w:t>07 siete de mayo</w:t>
      </w:r>
      <w:r w:rsidR="000B47F3">
        <w:rPr>
          <w:rFonts w:ascii="Arial" w:eastAsia="Times New Roman" w:hAnsi="Arial" w:cs="Arial"/>
          <w:sz w:val="24"/>
          <w:szCs w:val="24"/>
          <w:lang w:eastAsia="es-ES"/>
        </w:rPr>
        <w:t xml:space="preserve"> </w:t>
      </w:r>
      <w:r w:rsidR="0007486E">
        <w:rPr>
          <w:rFonts w:ascii="Arial" w:eastAsia="Times New Roman" w:hAnsi="Arial" w:cs="Arial"/>
          <w:sz w:val="24"/>
          <w:szCs w:val="24"/>
          <w:lang w:eastAsia="es-ES"/>
        </w:rPr>
        <w:t>de 2026</w:t>
      </w:r>
      <w:r w:rsidR="0007486E" w:rsidRPr="005475F3">
        <w:rPr>
          <w:rFonts w:ascii="Arial" w:eastAsia="Times New Roman" w:hAnsi="Arial" w:cs="Arial"/>
          <w:sz w:val="24"/>
          <w:szCs w:val="24"/>
          <w:lang w:eastAsia="es-ES"/>
        </w:rPr>
        <w:t xml:space="preserve"> dos mil veintiséis,</w:t>
      </w:r>
      <w:r w:rsidRPr="005475F3">
        <w:rPr>
          <w:rFonts w:ascii="Arial" w:eastAsia="Times New Roman" w:hAnsi="Arial" w:cs="Arial"/>
          <w:sz w:val="24"/>
          <w:szCs w:val="24"/>
          <w:lang w:eastAsia="es-ES"/>
        </w:rPr>
        <w:t xml:space="preserve"> </w:t>
      </w:r>
      <w:r w:rsidR="00CB0B39" w:rsidRPr="005475F3">
        <w:rPr>
          <w:rFonts w:ascii="Arial" w:eastAsia="Times New Roman" w:hAnsi="Arial" w:cs="Arial"/>
          <w:sz w:val="24"/>
          <w:szCs w:val="24"/>
          <w:lang w:eastAsia="es-ES"/>
        </w:rPr>
        <w:t>se</w:t>
      </w:r>
      <w:r w:rsidRPr="005475F3">
        <w:rPr>
          <w:rFonts w:ascii="Arial" w:eastAsia="Times New Roman" w:hAnsi="Arial" w:cs="Arial"/>
          <w:sz w:val="24"/>
          <w:szCs w:val="24"/>
          <w:lang w:eastAsia="es-ES"/>
        </w:rPr>
        <w:t xml:space="preserve"> admitió el presente medio de impugnación por actualizarse la hipótesis </w:t>
      </w:r>
      <w:r w:rsidR="008E4105" w:rsidRPr="005475F3">
        <w:rPr>
          <w:rFonts w:ascii="Arial" w:eastAsia="Times New Roman" w:hAnsi="Arial" w:cs="Arial"/>
          <w:sz w:val="24"/>
          <w:szCs w:val="24"/>
          <w:lang w:eastAsia="es-ES"/>
        </w:rPr>
        <w:t>contemplada en</w:t>
      </w:r>
      <w:r w:rsidR="000B47F3">
        <w:rPr>
          <w:rFonts w:ascii="Arial" w:eastAsia="Times New Roman" w:hAnsi="Arial" w:cs="Arial"/>
          <w:sz w:val="24"/>
          <w:szCs w:val="24"/>
          <w:lang w:eastAsia="es-ES"/>
        </w:rPr>
        <w:t xml:space="preserve"> las fracciones </w:t>
      </w:r>
      <w:r w:rsidR="009B43FB">
        <w:rPr>
          <w:rFonts w:ascii="Arial" w:eastAsia="Times New Roman" w:hAnsi="Arial" w:cs="Arial"/>
          <w:sz w:val="24"/>
          <w:szCs w:val="24"/>
          <w:lang w:eastAsia="es-ES"/>
        </w:rPr>
        <w:t xml:space="preserve">I de </w:t>
      </w:r>
      <w:r w:rsidRPr="005475F3">
        <w:rPr>
          <w:rFonts w:ascii="Arial" w:eastAsia="Times New Roman" w:hAnsi="Arial" w:cs="Arial"/>
          <w:sz w:val="24"/>
          <w:szCs w:val="24"/>
          <w:lang w:eastAsia="es-ES"/>
        </w:rPr>
        <w:t xml:space="preserve">la Ley de Transparencia y Acceso a la Información Pública del Estado, </w:t>
      </w:r>
      <w:r w:rsidR="00CB0B39" w:rsidRPr="005475F3">
        <w:rPr>
          <w:rFonts w:ascii="Arial" w:eastAsia="Times New Roman" w:hAnsi="Arial" w:cs="Arial"/>
          <w:sz w:val="24"/>
          <w:szCs w:val="24"/>
          <w:lang w:eastAsia="es-ES"/>
        </w:rPr>
        <w:t>asimismo se</w:t>
      </w:r>
      <w:r w:rsidRPr="005475F3">
        <w:rPr>
          <w:rFonts w:ascii="Arial" w:eastAsia="Times New Roman" w:hAnsi="Arial" w:cs="Arial"/>
          <w:sz w:val="24"/>
          <w:szCs w:val="24"/>
          <w:lang w:eastAsia="es-ES"/>
        </w:rPr>
        <w:t xml:space="preserve"> puso</w:t>
      </w:r>
      <w:r w:rsidR="00CB0B39" w:rsidRPr="005475F3">
        <w:rPr>
          <w:rFonts w:ascii="Arial" w:eastAsia="Times New Roman" w:hAnsi="Arial" w:cs="Arial"/>
          <w:sz w:val="24"/>
          <w:szCs w:val="24"/>
          <w:lang w:eastAsia="es-ES"/>
        </w:rPr>
        <w:t xml:space="preserve"> el expediente</w:t>
      </w:r>
      <w:r w:rsidRPr="005475F3">
        <w:rPr>
          <w:rFonts w:ascii="Arial" w:eastAsia="Times New Roman" w:hAnsi="Arial" w:cs="Arial"/>
          <w:sz w:val="24"/>
          <w:szCs w:val="24"/>
          <w:lang w:eastAsia="es-ES"/>
        </w:rPr>
        <w:t xml:space="preserve"> a disposición </w:t>
      </w:r>
      <w:r w:rsidRPr="005475F3">
        <w:rPr>
          <w:rFonts w:ascii="Arial" w:eastAsia="Times New Roman" w:hAnsi="Arial" w:cs="Arial"/>
          <w:sz w:val="24"/>
          <w:szCs w:val="24"/>
          <w:lang w:eastAsia="es-ES"/>
        </w:rPr>
        <w:lastRenderedPageBreak/>
        <w:t xml:space="preserve">de las partes para que en el plazo que reconoce la ley manifestaran lo que a su derecho conviniera y ofrecieran las pruebas que consideraran pertinentes, esto según lo dispuesto en la fracción II y III del artículo 174 de la Ley de Transparencia Local. </w:t>
      </w:r>
    </w:p>
    <w:p w14:paraId="40431E77" w14:textId="77777777" w:rsidR="0093057A" w:rsidRPr="005475F3" w:rsidRDefault="0093057A" w:rsidP="0093057A">
      <w:pPr>
        <w:spacing w:after="0" w:line="360" w:lineRule="auto"/>
        <w:ind w:firstLine="708"/>
        <w:jc w:val="both"/>
        <w:rPr>
          <w:rFonts w:ascii="Arial" w:eastAsia="Times New Roman" w:hAnsi="Arial" w:cs="Arial"/>
          <w:sz w:val="24"/>
          <w:szCs w:val="24"/>
          <w:lang w:eastAsia="es-ES"/>
        </w:rPr>
      </w:pPr>
    </w:p>
    <w:p w14:paraId="5ABD896A" w14:textId="5F69D389" w:rsidR="000B47F3" w:rsidRDefault="008E4105" w:rsidP="00ED2CEE">
      <w:pPr>
        <w:spacing w:after="0" w:line="360" w:lineRule="auto"/>
        <w:ind w:firstLine="708"/>
        <w:jc w:val="both"/>
        <w:rPr>
          <w:rFonts w:ascii="Arial" w:eastAsia="Times New Roman" w:hAnsi="Arial" w:cs="Arial"/>
          <w:sz w:val="24"/>
          <w:szCs w:val="24"/>
          <w:lang w:eastAsia="es-ES"/>
        </w:rPr>
      </w:pPr>
      <w:r w:rsidRPr="005475F3">
        <w:rPr>
          <w:rFonts w:ascii="Arial" w:eastAsia="Times New Roman" w:hAnsi="Arial" w:cs="Arial"/>
          <w:b/>
          <w:sz w:val="24"/>
          <w:szCs w:val="24"/>
          <w:lang w:eastAsia="es-ES"/>
        </w:rPr>
        <w:t>SEXTO</w:t>
      </w:r>
      <w:r w:rsidR="0093057A" w:rsidRPr="005475F3">
        <w:rPr>
          <w:rFonts w:ascii="Arial" w:eastAsia="Times New Roman" w:hAnsi="Arial" w:cs="Arial"/>
          <w:b/>
          <w:sz w:val="24"/>
          <w:szCs w:val="24"/>
          <w:lang w:eastAsia="es-ES"/>
        </w:rPr>
        <w:t xml:space="preserve">. </w:t>
      </w:r>
      <w:r w:rsidR="0093057A" w:rsidRPr="005475F3">
        <w:rPr>
          <w:rFonts w:ascii="Arial" w:eastAsia="Times New Roman" w:hAnsi="Arial" w:cs="Arial"/>
          <w:b/>
          <w:bCs/>
          <w:sz w:val="24"/>
          <w:szCs w:val="24"/>
          <w:lang w:eastAsia="es-ES"/>
        </w:rPr>
        <w:t>Manifestaci</w:t>
      </w:r>
      <w:r w:rsidR="00FE3C7E" w:rsidRPr="005475F3">
        <w:rPr>
          <w:rFonts w:ascii="Arial" w:eastAsia="Times New Roman" w:hAnsi="Arial" w:cs="Arial"/>
          <w:b/>
          <w:bCs/>
          <w:sz w:val="24"/>
          <w:szCs w:val="24"/>
          <w:lang w:eastAsia="es-ES"/>
        </w:rPr>
        <w:t>ón</w:t>
      </w:r>
      <w:r w:rsidR="0093057A" w:rsidRPr="005475F3">
        <w:rPr>
          <w:rFonts w:ascii="Arial" w:eastAsia="Times New Roman" w:hAnsi="Arial" w:cs="Arial"/>
          <w:b/>
          <w:bCs/>
          <w:sz w:val="24"/>
          <w:szCs w:val="24"/>
          <w:lang w:eastAsia="es-ES"/>
        </w:rPr>
        <w:t xml:space="preserve"> de las partes. </w:t>
      </w:r>
      <w:r w:rsidR="00035E7E">
        <w:rPr>
          <w:rFonts w:ascii="Arial" w:eastAsia="Times New Roman" w:hAnsi="Arial" w:cs="Arial"/>
          <w:bCs/>
          <w:sz w:val="24"/>
          <w:szCs w:val="24"/>
          <w:lang w:eastAsia="es-ES"/>
        </w:rPr>
        <w:t xml:space="preserve">El </w:t>
      </w:r>
      <w:r w:rsidR="009B43FB">
        <w:rPr>
          <w:rFonts w:ascii="Arial" w:eastAsia="Times New Roman" w:hAnsi="Arial" w:cs="Arial"/>
          <w:bCs/>
          <w:sz w:val="24"/>
          <w:szCs w:val="24"/>
          <w:lang w:eastAsia="es-ES"/>
        </w:rPr>
        <w:t xml:space="preserve">22 veintidós </w:t>
      </w:r>
      <w:r w:rsidR="000B47F3">
        <w:rPr>
          <w:rFonts w:ascii="Arial" w:eastAsia="Times New Roman" w:hAnsi="Arial" w:cs="Arial"/>
          <w:bCs/>
          <w:sz w:val="24"/>
          <w:szCs w:val="24"/>
          <w:lang w:eastAsia="es-ES"/>
        </w:rPr>
        <w:t>de mayo de</w:t>
      </w:r>
      <w:r w:rsidR="0007486E">
        <w:rPr>
          <w:rFonts w:ascii="Arial" w:eastAsia="Times New Roman" w:hAnsi="Arial" w:cs="Arial"/>
          <w:bCs/>
          <w:sz w:val="24"/>
          <w:szCs w:val="24"/>
          <w:lang w:eastAsia="es-ES"/>
        </w:rPr>
        <w:t xml:space="preserve"> 2026 dos</w:t>
      </w:r>
      <w:r w:rsidR="00137098" w:rsidRPr="005475F3">
        <w:rPr>
          <w:rFonts w:ascii="Arial" w:eastAsia="Times New Roman" w:hAnsi="Arial" w:cs="Arial"/>
          <w:sz w:val="24"/>
          <w:szCs w:val="24"/>
          <w:lang w:eastAsia="es-ES"/>
        </w:rPr>
        <w:t xml:space="preserve"> mil veintiséis</w:t>
      </w:r>
      <w:r w:rsidR="0093057A" w:rsidRPr="005475F3">
        <w:rPr>
          <w:rFonts w:ascii="Arial" w:eastAsia="Times New Roman" w:hAnsi="Arial" w:cs="Arial"/>
          <w:sz w:val="24"/>
          <w:szCs w:val="24"/>
          <w:lang w:eastAsia="es-ES"/>
        </w:rPr>
        <w:t xml:space="preserve">, </w:t>
      </w:r>
      <w:r w:rsidR="00035E7E">
        <w:rPr>
          <w:rFonts w:ascii="Arial" w:eastAsia="Times New Roman" w:hAnsi="Arial" w:cs="Arial"/>
          <w:sz w:val="24"/>
          <w:szCs w:val="24"/>
          <w:lang w:eastAsia="es-ES"/>
        </w:rPr>
        <w:t xml:space="preserve">se dictó un proveído en el que se </w:t>
      </w:r>
      <w:r w:rsidR="0093057A" w:rsidRPr="005475F3">
        <w:rPr>
          <w:rFonts w:ascii="Arial" w:eastAsia="Times New Roman" w:hAnsi="Arial" w:cs="Arial"/>
          <w:sz w:val="24"/>
          <w:szCs w:val="24"/>
          <w:lang w:eastAsia="es-ES"/>
        </w:rPr>
        <w:t>tuvo por recibido el oficio</w:t>
      </w:r>
      <w:r w:rsidR="009B43FB">
        <w:rPr>
          <w:rFonts w:ascii="Arial" w:eastAsia="Times New Roman" w:hAnsi="Arial" w:cs="Arial"/>
          <w:sz w:val="24"/>
          <w:szCs w:val="24"/>
          <w:lang w:eastAsia="es-ES"/>
        </w:rPr>
        <w:t xml:space="preserve"> SGG/UT/214</w:t>
      </w:r>
      <w:r w:rsidR="000B47F3">
        <w:rPr>
          <w:rFonts w:ascii="Arial" w:eastAsia="Times New Roman" w:hAnsi="Arial" w:cs="Arial"/>
          <w:sz w:val="24"/>
          <w:szCs w:val="24"/>
          <w:lang w:eastAsia="es-ES"/>
        </w:rPr>
        <w:t>/2026, suscrito por el Titular de la Unidad de Transparencia de la Secretaría General de Gobierno, por el cual reitera el contenido de la respuesta primigenia; asimismo, se tuv</w:t>
      </w:r>
      <w:r w:rsidR="000D6D87">
        <w:rPr>
          <w:rFonts w:ascii="Arial" w:eastAsia="Times New Roman" w:hAnsi="Arial" w:cs="Arial"/>
          <w:sz w:val="24"/>
          <w:szCs w:val="24"/>
          <w:lang w:eastAsia="es-ES"/>
        </w:rPr>
        <w:t>ieron</w:t>
      </w:r>
      <w:r w:rsidR="000B47F3">
        <w:rPr>
          <w:rFonts w:ascii="Arial" w:eastAsia="Times New Roman" w:hAnsi="Arial" w:cs="Arial"/>
          <w:sz w:val="24"/>
          <w:szCs w:val="24"/>
          <w:lang w:eastAsia="es-ES"/>
        </w:rPr>
        <w:t xml:space="preserve"> por recibid</w:t>
      </w:r>
      <w:r w:rsidR="000D6D87">
        <w:rPr>
          <w:rFonts w:ascii="Arial" w:eastAsia="Times New Roman" w:hAnsi="Arial" w:cs="Arial"/>
          <w:sz w:val="24"/>
          <w:szCs w:val="24"/>
          <w:lang w:eastAsia="es-ES"/>
        </w:rPr>
        <w:t>as</w:t>
      </w:r>
      <w:r w:rsidR="000B47F3">
        <w:rPr>
          <w:rFonts w:ascii="Arial" w:eastAsia="Times New Roman" w:hAnsi="Arial" w:cs="Arial"/>
          <w:sz w:val="24"/>
          <w:szCs w:val="24"/>
          <w:lang w:eastAsia="es-ES"/>
        </w:rPr>
        <w:t xml:space="preserve"> las manifestaciones </w:t>
      </w:r>
      <w:r w:rsidR="00592770">
        <w:rPr>
          <w:rFonts w:ascii="Arial" w:eastAsia="Times New Roman" w:hAnsi="Arial" w:cs="Arial"/>
          <w:sz w:val="24"/>
          <w:szCs w:val="24"/>
          <w:lang w:eastAsia="es-ES"/>
        </w:rPr>
        <w:t>vertidas por la parte recurrente, a través de</w:t>
      </w:r>
      <w:r w:rsidR="000D6D87">
        <w:rPr>
          <w:rFonts w:ascii="Arial" w:eastAsia="Times New Roman" w:hAnsi="Arial" w:cs="Arial"/>
          <w:sz w:val="24"/>
          <w:szCs w:val="24"/>
          <w:lang w:eastAsia="es-ES"/>
        </w:rPr>
        <w:t xml:space="preserve"> </w:t>
      </w:r>
      <w:r w:rsidR="00592770">
        <w:rPr>
          <w:rFonts w:ascii="Arial" w:eastAsia="Times New Roman" w:hAnsi="Arial" w:cs="Arial"/>
          <w:sz w:val="24"/>
          <w:szCs w:val="24"/>
          <w:lang w:eastAsia="es-ES"/>
        </w:rPr>
        <w:t>l</w:t>
      </w:r>
      <w:r w:rsidR="000D6D87">
        <w:rPr>
          <w:rFonts w:ascii="Arial" w:eastAsia="Times New Roman" w:hAnsi="Arial" w:cs="Arial"/>
          <w:sz w:val="24"/>
          <w:szCs w:val="24"/>
          <w:lang w:eastAsia="es-ES"/>
        </w:rPr>
        <w:t>as</w:t>
      </w:r>
      <w:r w:rsidR="00592770">
        <w:rPr>
          <w:rFonts w:ascii="Arial" w:eastAsia="Times New Roman" w:hAnsi="Arial" w:cs="Arial"/>
          <w:sz w:val="24"/>
          <w:szCs w:val="24"/>
          <w:lang w:eastAsia="es-ES"/>
        </w:rPr>
        <w:t xml:space="preserve"> cual</w:t>
      </w:r>
      <w:r w:rsidR="000D6D87">
        <w:rPr>
          <w:rFonts w:ascii="Arial" w:eastAsia="Times New Roman" w:hAnsi="Arial" w:cs="Arial"/>
          <w:sz w:val="24"/>
          <w:szCs w:val="24"/>
          <w:lang w:eastAsia="es-ES"/>
        </w:rPr>
        <w:t>es</w:t>
      </w:r>
      <w:r w:rsidR="00592770">
        <w:rPr>
          <w:rFonts w:ascii="Arial" w:eastAsia="Times New Roman" w:hAnsi="Arial" w:cs="Arial"/>
          <w:sz w:val="24"/>
          <w:szCs w:val="24"/>
          <w:lang w:eastAsia="es-ES"/>
        </w:rPr>
        <w:t xml:space="preserve"> ratifica el contenido de su ocurso de recurso de revisión. </w:t>
      </w:r>
      <w:r w:rsidR="00ED2CEE">
        <w:rPr>
          <w:rFonts w:ascii="Arial" w:eastAsia="Times New Roman" w:hAnsi="Arial" w:cs="Arial"/>
          <w:sz w:val="24"/>
          <w:szCs w:val="24"/>
          <w:lang w:eastAsia="es-ES"/>
        </w:rPr>
        <w:t xml:space="preserve"> </w:t>
      </w:r>
    </w:p>
    <w:p w14:paraId="57A0AC00" w14:textId="77777777" w:rsidR="00592770" w:rsidRDefault="00592770" w:rsidP="0093057A">
      <w:pPr>
        <w:spacing w:after="0" w:line="360" w:lineRule="auto"/>
        <w:ind w:firstLine="708"/>
        <w:jc w:val="both"/>
        <w:rPr>
          <w:rFonts w:ascii="Arial" w:eastAsia="Times New Roman" w:hAnsi="Arial" w:cs="Arial"/>
          <w:bCs/>
          <w:sz w:val="24"/>
          <w:szCs w:val="24"/>
          <w:lang w:eastAsia="es-ES"/>
        </w:rPr>
      </w:pPr>
    </w:p>
    <w:p w14:paraId="170F0257" w14:textId="38600B5C" w:rsidR="0093057A" w:rsidRPr="005475F3" w:rsidRDefault="0093057A" w:rsidP="0093057A">
      <w:pPr>
        <w:spacing w:after="0" w:line="360" w:lineRule="auto"/>
        <w:ind w:firstLine="708"/>
        <w:jc w:val="both"/>
        <w:rPr>
          <w:rFonts w:ascii="Arial" w:hAnsi="Arial" w:cs="Arial"/>
          <w:b/>
          <w:sz w:val="24"/>
          <w:szCs w:val="24"/>
        </w:rPr>
      </w:pPr>
      <w:r w:rsidRPr="005475F3">
        <w:rPr>
          <w:rFonts w:ascii="Arial" w:eastAsia="Times New Roman" w:hAnsi="Arial" w:cs="Arial"/>
          <w:bCs/>
          <w:sz w:val="24"/>
          <w:szCs w:val="24"/>
          <w:lang w:eastAsia="es-ES"/>
        </w:rPr>
        <w:t xml:space="preserve">Asimismo, en el acuerdo de referencia, </w:t>
      </w:r>
      <w:r w:rsidRPr="005475F3">
        <w:rPr>
          <w:rFonts w:ascii="Arial" w:hAnsi="Arial" w:cs="Arial"/>
          <w:sz w:val="24"/>
          <w:szCs w:val="24"/>
        </w:rPr>
        <w:t>se decretó el Cierre de Instrucción del expediente formado con motivo del presente recurso de revisión, a fin de que la ponente presentara el proyecto de resolución correspondiente.</w:t>
      </w:r>
      <w:r w:rsidRPr="005475F3">
        <w:rPr>
          <w:rFonts w:ascii="Arial" w:hAnsi="Arial" w:cs="Arial"/>
          <w:b/>
          <w:sz w:val="24"/>
          <w:szCs w:val="24"/>
        </w:rPr>
        <w:t xml:space="preserve"> </w:t>
      </w:r>
    </w:p>
    <w:p w14:paraId="78D01291" w14:textId="3D660D08" w:rsidR="00904021" w:rsidRPr="005475F3" w:rsidRDefault="00904021" w:rsidP="0093057A">
      <w:pPr>
        <w:spacing w:after="0" w:line="360" w:lineRule="auto"/>
        <w:ind w:firstLine="708"/>
        <w:jc w:val="both"/>
        <w:rPr>
          <w:rFonts w:ascii="Arial" w:hAnsi="Arial" w:cs="Arial"/>
          <w:b/>
          <w:sz w:val="24"/>
          <w:szCs w:val="24"/>
        </w:rPr>
      </w:pPr>
    </w:p>
    <w:p w14:paraId="11E529EF" w14:textId="0D293BFF" w:rsidR="00904021" w:rsidRPr="005475F3" w:rsidRDefault="00904021" w:rsidP="00904021">
      <w:pPr>
        <w:spacing w:after="0" w:line="360" w:lineRule="auto"/>
        <w:ind w:firstLine="708"/>
        <w:jc w:val="both"/>
        <w:rPr>
          <w:rFonts w:ascii="Arial" w:hAnsi="Arial" w:cs="Arial"/>
          <w:sz w:val="24"/>
          <w:szCs w:val="24"/>
        </w:rPr>
      </w:pPr>
      <w:r w:rsidRPr="005475F3">
        <w:rPr>
          <w:rFonts w:ascii="Arial" w:hAnsi="Arial" w:cs="Arial"/>
          <w:sz w:val="24"/>
          <w:szCs w:val="24"/>
        </w:rPr>
        <w:t xml:space="preserve">En razón de que fue debidamente sustanciado el expediente y no existe diligencia pendiente de desahogo, se emite la Resolución </w:t>
      </w:r>
      <w:r w:rsidR="00C94280" w:rsidRPr="005475F3">
        <w:rPr>
          <w:rFonts w:ascii="Arial" w:hAnsi="Arial" w:cs="Arial"/>
          <w:sz w:val="24"/>
          <w:szCs w:val="24"/>
        </w:rPr>
        <w:t xml:space="preserve">conforme los siguientes: </w:t>
      </w:r>
    </w:p>
    <w:p w14:paraId="3D69BEB0" w14:textId="77777777" w:rsidR="00904021" w:rsidRPr="005475F3" w:rsidRDefault="00904021" w:rsidP="006D3B1C">
      <w:pPr>
        <w:spacing w:after="0" w:line="360" w:lineRule="auto"/>
        <w:jc w:val="center"/>
        <w:outlineLvl w:val="0"/>
        <w:rPr>
          <w:rFonts w:ascii="Arial" w:eastAsia="Times New Roman" w:hAnsi="Arial" w:cs="Arial"/>
          <w:b/>
          <w:sz w:val="24"/>
          <w:szCs w:val="24"/>
          <w:lang w:val="pt-BR" w:eastAsia="es-ES"/>
        </w:rPr>
      </w:pPr>
    </w:p>
    <w:p w14:paraId="468F1B19" w14:textId="6FA9891D" w:rsidR="006D3B1C" w:rsidRPr="005475F3" w:rsidRDefault="006D3B1C" w:rsidP="006D3B1C">
      <w:pPr>
        <w:spacing w:after="0" w:line="360" w:lineRule="auto"/>
        <w:jc w:val="center"/>
        <w:outlineLvl w:val="0"/>
        <w:rPr>
          <w:rFonts w:ascii="Arial" w:eastAsia="Times New Roman" w:hAnsi="Arial" w:cs="Arial"/>
          <w:b/>
          <w:sz w:val="24"/>
          <w:szCs w:val="24"/>
          <w:lang w:val="pt-BR" w:eastAsia="es-ES"/>
        </w:rPr>
      </w:pPr>
      <w:r w:rsidRPr="005475F3">
        <w:rPr>
          <w:rFonts w:ascii="Arial" w:eastAsia="Times New Roman" w:hAnsi="Arial" w:cs="Arial"/>
          <w:b/>
          <w:sz w:val="24"/>
          <w:szCs w:val="24"/>
          <w:lang w:val="pt-BR" w:eastAsia="es-ES"/>
        </w:rPr>
        <w:t>C O N S I D E R A N D O</w:t>
      </w:r>
      <w:r w:rsidR="00C94280" w:rsidRPr="005475F3">
        <w:rPr>
          <w:rFonts w:ascii="Arial" w:eastAsia="Times New Roman" w:hAnsi="Arial" w:cs="Arial"/>
          <w:b/>
          <w:sz w:val="24"/>
          <w:szCs w:val="24"/>
          <w:lang w:val="pt-BR" w:eastAsia="es-ES"/>
        </w:rPr>
        <w:t xml:space="preserve"> S</w:t>
      </w:r>
    </w:p>
    <w:p w14:paraId="7B0F7089" w14:textId="77777777" w:rsidR="006D3B1C" w:rsidRPr="005475F3" w:rsidRDefault="006D3B1C" w:rsidP="006D3B1C">
      <w:pPr>
        <w:spacing w:after="0" w:line="360" w:lineRule="auto"/>
        <w:jc w:val="center"/>
        <w:outlineLvl w:val="0"/>
        <w:rPr>
          <w:rFonts w:ascii="Arial" w:eastAsia="Times New Roman" w:hAnsi="Arial" w:cs="Arial"/>
          <w:b/>
          <w:sz w:val="24"/>
          <w:szCs w:val="24"/>
          <w:lang w:val="pt-BR" w:eastAsia="es-ES"/>
        </w:rPr>
      </w:pPr>
    </w:p>
    <w:p w14:paraId="2B91BD00" w14:textId="77777777" w:rsidR="00ED2CEE" w:rsidRPr="00ED2CEE" w:rsidRDefault="006D3B1C" w:rsidP="00ED2CEE">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bCs/>
          <w:sz w:val="24"/>
          <w:szCs w:val="24"/>
          <w:lang w:eastAsia="es-ES"/>
        </w:rPr>
        <w:t>PRIMERO.</w:t>
      </w:r>
      <w:r w:rsidRPr="005475F3">
        <w:rPr>
          <w:rFonts w:ascii="Arial" w:eastAsia="Arial Unicode MS" w:hAnsi="Arial" w:cs="Arial"/>
          <w:b/>
          <w:sz w:val="24"/>
          <w:szCs w:val="24"/>
          <w:lang w:eastAsia="es-ES"/>
        </w:rPr>
        <w:t> </w:t>
      </w:r>
      <w:r w:rsidRPr="005475F3">
        <w:rPr>
          <w:rFonts w:ascii="Arial" w:eastAsia="Arial Unicode MS" w:hAnsi="Arial" w:cs="Arial"/>
          <w:b/>
          <w:bCs/>
          <w:sz w:val="24"/>
          <w:szCs w:val="24"/>
          <w:lang w:eastAsia="es-ES"/>
        </w:rPr>
        <w:t>Competencia.</w:t>
      </w:r>
      <w:r w:rsidRPr="005475F3">
        <w:rPr>
          <w:rFonts w:ascii="Arial" w:eastAsia="Arial Unicode MS" w:hAnsi="Arial" w:cs="Arial"/>
          <w:b/>
          <w:sz w:val="24"/>
          <w:szCs w:val="24"/>
          <w:lang w:eastAsia="es-ES"/>
        </w:rPr>
        <w:t> </w:t>
      </w:r>
      <w:r w:rsidR="00ED2CEE">
        <w:rPr>
          <w:rFonts w:ascii="Arial" w:eastAsia="Arial Unicode MS" w:hAnsi="Arial" w:cs="Arial"/>
          <w:sz w:val="24"/>
          <w:szCs w:val="24"/>
          <w:lang w:eastAsia="es-ES"/>
        </w:rPr>
        <w:t xml:space="preserve"> </w:t>
      </w:r>
      <w:r w:rsidR="00ED2CEE" w:rsidRPr="00ED2CEE">
        <w:rPr>
          <w:rFonts w:ascii="Arial" w:eastAsia="Arial Unicode MS" w:hAnsi="Arial" w:cs="Arial"/>
          <w:sz w:val="24"/>
          <w:szCs w:val="24"/>
          <w:lang w:eastAsia="es-ES"/>
        </w:rPr>
        <w:t>El Pleno de esta Comisión Estatal de Garantía de Acceso a la Información Pública es competente para resolver el presente recurso de revisión de conformidad con el Transitorio OCTAVO del DECRETO 0506, publicado en la edición extraordinaria del miércoles 01 primero de abril de 2026 dos mil veintiséis, del Periódico Oficial del Estado de San Luis Potosí; artículos 34 fracción I y II, 35 fracción I, 174 fracción VII y 175 de la Ley de Transparencia y Acceso a la Información Pública del Estado de San Luis Potosí; así como de los artículos 2°, 5º, 8 fracción I y II, 9°, 11 y 12, fracciones I, XI y XXV del Reglamento Interior de la Comisión Estatal de Garantía de Acceso a la Información Pública. </w:t>
      </w:r>
    </w:p>
    <w:p w14:paraId="035BF2AD" w14:textId="77777777" w:rsidR="006D3B1C" w:rsidRPr="005475F3" w:rsidRDefault="006D3B1C" w:rsidP="006D3B1C">
      <w:pPr>
        <w:spacing w:after="0" w:line="360" w:lineRule="auto"/>
        <w:ind w:firstLine="708"/>
        <w:jc w:val="both"/>
        <w:rPr>
          <w:rFonts w:ascii="Arial" w:eastAsia="Arial Unicode MS" w:hAnsi="Arial" w:cs="Arial"/>
          <w:sz w:val="24"/>
          <w:szCs w:val="24"/>
          <w:lang w:eastAsia="es-ES"/>
        </w:rPr>
      </w:pPr>
    </w:p>
    <w:p w14:paraId="79798A65"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r w:rsidRPr="005475F3">
        <w:rPr>
          <w:rFonts w:ascii="Arial" w:eastAsia="Arial Unicode MS" w:hAnsi="Arial" w:cs="Arial"/>
          <w:b/>
          <w:sz w:val="24"/>
          <w:szCs w:val="24"/>
          <w:lang w:eastAsia="es-ES"/>
        </w:rPr>
        <w:lastRenderedPageBreak/>
        <w:t xml:space="preserve">SEGUNDO. Legitimidad. </w:t>
      </w:r>
      <w:r w:rsidRPr="005475F3">
        <w:rPr>
          <w:rFonts w:ascii="Arial" w:eastAsia="Arial Unicode MS" w:hAnsi="Arial" w:cs="Arial"/>
          <w:bCs/>
          <w:sz w:val="24"/>
          <w:szCs w:val="24"/>
          <w:lang w:eastAsia="es-ES"/>
        </w:rPr>
        <w:t>El Recurso de Revisión fue interpuesto por la parte legitimada, ya que la impugnación que se examina fue realizada a través del Sistema de Medios de Impugnación de la Plataforma Nacional de Transparencia, conforme lo previsto en los artículos 39, 40, 46, 48 y 49 de los Lineamientos de la Funcionalidad, Operación y Mejoras de la Plataforma Nacional de Transparencia</w:t>
      </w:r>
      <w:r w:rsidRPr="005475F3">
        <w:rPr>
          <w:rFonts w:ascii="Arial" w:eastAsia="Arial Unicode MS" w:hAnsi="Arial" w:cs="Arial"/>
          <w:bCs/>
          <w:sz w:val="24"/>
          <w:szCs w:val="24"/>
          <w:vertAlign w:val="superscript"/>
          <w:lang w:eastAsia="es-ES"/>
        </w:rPr>
        <w:footnoteReference w:id="1"/>
      </w:r>
      <w:r w:rsidRPr="005475F3">
        <w:rPr>
          <w:rFonts w:ascii="Arial" w:eastAsia="Arial Unicode MS" w:hAnsi="Arial" w:cs="Arial"/>
          <w:bCs/>
          <w:sz w:val="24"/>
          <w:szCs w:val="24"/>
          <w:lang w:eastAsia="es-ES"/>
        </w:rPr>
        <w:t>.</w:t>
      </w:r>
    </w:p>
    <w:p w14:paraId="46BF43B2"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p>
    <w:p w14:paraId="3294D902"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r w:rsidRPr="005475F3">
        <w:rPr>
          <w:rFonts w:ascii="Arial" w:eastAsia="Arial Unicode MS" w:hAnsi="Arial" w:cs="Arial"/>
          <w:bCs/>
          <w:sz w:val="24"/>
          <w:szCs w:val="24"/>
          <w:lang w:eastAsia="es-ES"/>
        </w:rPr>
        <w:t>Con base en lo anterior, es dable colegir que la persona recurrente cuenta con legitimación, puesto que, para formular su solicitud de información, fue necesario generar un usuario y contraseña como datos de acceso e identificación que únicamente conoce el solicitante y que deben introducirse para llevar a cabo el seguimiento de su solicitud de información y que otorga la posibilidad de presentar recurso de revisión en contra de la respuesta proporcionada por el Sujeto Obligado.</w:t>
      </w:r>
    </w:p>
    <w:p w14:paraId="1355F74C"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p>
    <w:p w14:paraId="63FCE2B8"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r w:rsidRPr="005475F3">
        <w:rPr>
          <w:rFonts w:ascii="Arial" w:eastAsia="Arial Unicode MS" w:hAnsi="Arial" w:cs="Arial"/>
          <w:bCs/>
          <w:sz w:val="24"/>
          <w:szCs w:val="24"/>
          <w:lang w:eastAsia="es-ES"/>
        </w:rPr>
        <w:t xml:space="preserve">En el caso concreto, la fiabilidad de la creación de un usuario y contraseña en el sistema de solicitudes otorga certeza a la persona que la utiliza de que sólo ella la conoce, por lo que puede constituirle en una fuente válida y cierta, que se equipara al principio de instancia de parte agraviada porque garantiza la identidad de quien promueve el presente recurso de revisión. </w:t>
      </w:r>
    </w:p>
    <w:p w14:paraId="77928AF3" w14:textId="77777777" w:rsidR="006D3B1C" w:rsidRPr="005475F3" w:rsidRDefault="006D3B1C" w:rsidP="006D3B1C">
      <w:pPr>
        <w:spacing w:after="0" w:line="360" w:lineRule="auto"/>
        <w:ind w:firstLine="708"/>
        <w:jc w:val="both"/>
        <w:rPr>
          <w:rFonts w:ascii="Arial" w:eastAsia="Arial Unicode MS" w:hAnsi="Arial" w:cs="Arial"/>
          <w:bCs/>
          <w:sz w:val="24"/>
          <w:szCs w:val="24"/>
          <w:lang w:eastAsia="es-ES"/>
        </w:rPr>
      </w:pPr>
    </w:p>
    <w:p w14:paraId="1AC3A37D" w14:textId="77777777" w:rsidR="00FA5019" w:rsidRPr="005475F3" w:rsidRDefault="00FA5019" w:rsidP="00FA5019">
      <w:pPr>
        <w:spacing w:after="0" w:line="360" w:lineRule="auto"/>
        <w:ind w:firstLine="708"/>
        <w:jc w:val="both"/>
        <w:rPr>
          <w:rFonts w:ascii="Arial" w:eastAsia="Arial Unicode MS" w:hAnsi="Arial" w:cs="Arial"/>
          <w:iCs/>
          <w:sz w:val="24"/>
          <w:szCs w:val="24"/>
          <w:lang w:eastAsia="es-ES"/>
        </w:rPr>
      </w:pPr>
      <w:bookmarkStart w:id="2" w:name="_Hlk111068002"/>
      <w:r w:rsidRPr="005475F3">
        <w:rPr>
          <w:rFonts w:ascii="Arial" w:eastAsia="Arial Unicode MS" w:hAnsi="Arial" w:cs="Arial"/>
          <w:b/>
          <w:sz w:val="24"/>
          <w:szCs w:val="24"/>
          <w:lang w:eastAsia="es-ES"/>
        </w:rPr>
        <w:t xml:space="preserve">TERCERO. Improcedencia. </w:t>
      </w:r>
      <w:r w:rsidRPr="005475F3">
        <w:rPr>
          <w:rFonts w:ascii="Arial" w:eastAsia="Arial Unicode MS" w:hAnsi="Arial" w:cs="Arial"/>
          <w:sz w:val="24"/>
          <w:szCs w:val="24"/>
          <w:lang w:eastAsia="es-ES"/>
        </w:rPr>
        <w:t>Por cuestión de técnica jurídica y previo al análisis de fondo del presente recurso de revisión, esta Comisión realizará un estudio de oficio respecto de las causales de improcedencia, aún y cuando el sujeto obligado no las haya hecho valer, toda vez que debe tomarse en consideración que dichas causales están relacionadas con aspectos necesarios para la válida constitución de un proceso y, al tratarse de una cuestión de orden público, su estudio debe ser preferente; sirve de apoyo a lo anterior, la jurisprudencia que por analogía resulta aplicable y que a la letra señala:</w:t>
      </w:r>
    </w:p>
    <w:p w14:paraId="5E63A669" w14:textId="77777777" w:rsidR="00FA5019" w:rsidRPr="005475F3" w:rsidRDefault="00FA5019" w:rsidP="00FA5019">
      <w:pPr>
        <w:spacing w:after="0" w:line="360" w:lineRule="auto"/>
        <w:ind w:firstLine="708"/>
        <w:jc w:val="both"/>
        <w:rPr>
          <w:rFonts w:ascii="Arial" w:eastAsia="Arial Unicode MS" w:hAnsi="Arial" w:cs="Arial"/>
          <w:b/>
          <w:sz w:val="24"/>
          <w:szCs w:val="24"/>
          <w:lang w:eastAsia="es-ES"/>
        </w:rPr>
      </w:pPr>
      <w:r w:rsidRPr="005475F3">
        <w:rPr>
          <w:rFonts w:ascii="Arial" w:eastAsia="Arial Unicode MS" w:hAnsi="Arial" w:cs="Arial"/>
          <w:b/>
          <w:sz w:val="24"/>
          <w:szCs w:val="24"/>
          <w:lang w:eastAsia="es-ES"/>
        </w:rPr>
        <w:tab/>
      </w:r>
    </w:p>
    <w:p w14:paraId="2FF3E63C" w14:textId="77777777" w:rsidR="00FA5019" w:rsidRPr="005475F3" w:rsidRDefault="00FA5019" w:rsidP="00FA5019">
      <w:pPr>
        <w:spacing w:after="0" w:line="240" w:lineRule="auto"/>
        <w:ind w:left="1134" w:right="1183"/>
        <w:jc w:val="both"/>
        <w:rPr>
          <w:rFonts w:ascii="Arial" w:eastAsia="Arial Unicode MS" w:hAnsi="Arial" w:cs="Arial"/>
          <w:iCs/>
          <w:lang w:val="es-ES_tradnl" w:eastAsia="es-ES"/>
        </w:rPr>
      </w:pPr>
      <w:r w:rsidRPr="005475F3">
        <w:rPr>
          <w:rFonts w:ascii="Arial" w:eastAsia="Arial Unicode MS" w:hAnsi="Arial" w:cs="Arial"/>
          <w:iCs/>
          <w:lang w:eastAsia="es-ES"/>
        </w:rPr>
        <w:lastRenderedPageBreak/>
        <w:t>“</w:t>
      </w:r>
      <w:r w:rsidRPr="005475F3">
        <w:rPr>
          <w:rFonts w:ascii="Arial" w:eastAsia="Arial Unicode MS" w:hAnsi="Arial" w:cs="Arial"/>
          <w:b/>
          <w:iCs/>
          <w:lang w:eastAsia="es-ES"/>
        </w:rPr>
        <w:t>IMPROCEDENCIA.</w:t>
      </w:r>
      <w:r w:rsidRPr="005475F3">
        <w:rPr>
          <w:rFonts w:ascii="Arial" w:eastAsia="Arial Unicode MS" w:hAnsi="Arial" w:cs="Arial"/>
          <w:iCs/>
          <w:lang w:eastAsia="es-ES"/>
        </w:rPr>
        <w:t xml:space="preserve"> Sea que las partes la aleguen o no, debe examinarse previamente la procedencia del juicio de amparo, por ser esa cuestión de orden público en el juicio de garantías</w:t>
      </w:r>
      <w:r w:rsidRPr="005475F3">
        <w:rPr>
          <w:rFonts w:ascii="Arial" w:eastAsia="Arial Unicode MS" w:hAnsi="Arial" w:cs="Arial"/>
          <w:iCs/>
          <w:vertAlign w:val="superscript"/>
          <w:lang w:val="es-ES_tradnl" w:eastAsia="es-ES"/>
        </w:rPr>
        <w:footnoteReference w:id="2"/>
      </w:r>
      <w:r w:rsidRPr="005475F3">
        <w:rPr>
          <w:rFonts w:ascii="Arial" w:eastAsia="Arial Unicode MS" w:hAnsi="Arial" w:cs="Arial"/>
          <w:iCs/>
          <w:lang w:val="es-ES_tradnl" w:eastAsia="es-ES"/>
        </w:rPr>
        <w:t xml:space="preserve">”. </w:t>
      </w:r>
    </w:p>
    <w:p w14:paraId="3AD44857" w14:textId="77777777" w:rsidR="00FA5019" w:rsidRPr="005475F3" w:rsidRDefault="00FA5019" w:rsidP="00FA5019">
      <w:pPr>
        <w:spacing w:after="0" w:line="360" w:lineRule="auto"/>
        <w:ind w:firstLine="708"/>
        <w:jc w:val="both"/>
        <w:rPr>
          <w:rFonts w:ascii="Arial" w:eastAsia="Arial Unicode MS" w:hAnsi="Arial" w:cs="Arial"/>
          <w:b/>
          <w:sz w:val="24"/>
          <w:szCs w:val="24"/>
          <w:lang w:val="es-ES_tradnl" w:eastAsia="es-ES"/>
        </w:rPr>
      </w:pPr>
    </w:p>
    <w:p w14:paraId="7CE80273"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sz w:val="24"/>
          <w:szCs w:val="24"/>
          <w:lang w:eastAsia="es-ES"/>
        </w:rPr>
        <w:t>En relación a las causales de improcedencia, el artículo 179 de la Ley de Transparencia y Acceso a la Información Pública del Estado de San Luis Potosí, establece lo siguiente:</w:t>
      </w:r>
    </w:p>
    <w:p w14:paraId="6BB2F59A" w14:textId="77777777" w:rsidR="00FA5019" w:rsidRPr="005475F3" w:rsidRDefault="00FA5019" w:rsidP="00FA5019">
      <w:pPr>
        <w:spacing w:after="0" w:line="360" w:lineRule="auto"/>
        <w:ind w:firstLine="708"/>
        <w:jc w:val="both"/>
        <w:rPr>
          <w:rFonts w:ascii="Arial" w:eastAsia="Arial Unicode MS" w:hAnsi="Arial" w:cs="Arial"/>
          <w:b/>
          <w:sz w:val="24"/>
          <w:szCs w:val="24"/>
          <w:lang w:eastAsia="es-ES"/>
        </w:rPr>
      </w:pPr>
    </w:p>
    <w:p w14:paraId="4B8510A7" w14:textId="77777777" w:rsidR="00FA5019" w:rsidRPr="005475F3" w:rsidRDefault="00FA5019" w:rsidP="00FA5019">
      <w:pPr>
        <w:spacing w:after="0" w:line="240" w:lineRule="auto"/>
        <w:ind w:left="1134" w:right="1183"/>
        <w:jc w:val="both"/>
        <w:rPr>
          <w:rFonts w:ascii="Arial" w:eastAsia="Arial Unicode MS" w:hAnsi="Arial" w:cs="Arial"/>
          <w:lang w:eastAsia="es-ES"/>
        </w:rPr>
      </w:pPr>
      <w:r w:rsidRPr="005475F3">
        <w:rPr>
          <w:rFonts w:ascii="Arial" w:eastAsia="Arial Unicode MS" w:hAnsi="Arial" w:cs="Arial"/>
          <w:b/>
          <w:lang w:eastAsia="es-ES"/>
        </w:rPr>
        <w:t>ARTÍCULO 179.</w:t>
      </w:r>
      <w:r w:rsidRPr="005475F3">
        <w:rPr>
          <w:rFonts w:ascii="Arial" w:eastAsia="Arial Unicode MS" w:hAnsi="Arial" w:cs="Arial"/>
          <w:lang w:eastAsia="es-ES"/>
        </w:rPr>
        <w:t xml:space="preserve"> El recurso será desechado por improcedente cuando: </w:t>
      </w:r>
    </w:p>
    <w:p w14:paraId="4ADCAC50" w14:textId="77777777" w:rsidR="00FA5019" w:rsidRPr="005475F3" w:rsidRDefault="00FA5019" w:rsidP="00FA5019">
      <w:pPr>
        <w:pStyle w:val="Prrafodelista"/>
        <w:numPr>
          <w:ilvl w:val="0"/>
          <w:numId w:val="33"/>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Sea extemporáneo por haber transcurrido el plazo establecido en el artículo 166 de la presente Ley; </w:t>
      </w:r>
    </w:p>
    <w:p w14:paraId="0ECB4425" w14:textId="77777777" w:rsidR="00FA5019" w:rsidRPr="005475F3" w:rsidRDefault="00FA5019" w:rsidP="00FA5019">
      <w:pPr>
        <w:pStyle w:val="Prrafodelista"/>
        <w:numPr>
          <w:ilvl w:val="0"/>
          <w:numId w:val="33"/>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Se esté tramitando ante el Poder Judicial algún recurso o medio de defensa interpuesto por el recurrente; </w:t>
      </w:r>
    </w:p>
    <w:p w14:paraId="2701F312" w14:textId="77777777" w:rsidR="00FA5019" w:rsidRPr="005475F3" w:rsidRDefault="00FA5019" w:rsidP="00FA5019">
      <w:pPr>
        <w:pStyle w:val="Prrafodelista"/>
        <w:numPr>
          <w:ilvl w:val="0"/>
          <w:numId w:val="33"/>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Se esté tramitando ante la CEGAIP algún recurso de revisión por el mismo quejoso en los mismos términos; </w:t>
      </w:r>
    </w:p>
    <w:p w14:paraId="10D6B2CA" w14:textId="77777777" w:rsidR="00FA5019" w:rsidRPr="005475F3" w:rsidRDefault="00FA5019" w:rsidP="00FA5019">
      <w:pPr>
        <w:pStyle w:val="Prrafodelista"/>
        <w:numPr>
          <w:ilvl w:val="0"/>
          <w:numId w:val="33"/>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No actualice alguno de los supuestos previstos en el artículo 167 de la presente Ley; </w:t>
      </w:r>
    </w:p>
    <w:p w14:paraId="17959A2B" w14:textId="77777777" w:rsidR="00FA5019" w:rsidRPr="005475F3" w:rsidRDefault="00FA5019" w:rsidP="00FA5019">
      <w:pPr>
        <w:pStyle w:val="Prrafodelista"/>
        <w:numPr>
          <w:ilvl w:val="0"/>
          <w:numId w:val="33"/>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No se haya desahogado la prevención en los términos establecidos en el artículo 168 de la presente Ley; </w:t>
      </w:r>
    </w:p>
    <w:p w14:paraId="61483298" w14:textId="77777777" w:rsidR="00FA5019" w:rsidRPr="005475F3" w:rsidRDefault="00FA5019" w:rsidP="00FA5019">
      <w:pPr>
        <w:pStyle w:val="Prrafodelista"/>
        <w:numPr>
          <w:ilvl w:val="0"/>
          <w:numId w:val="33"/>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Se impugne la veracidad de la información proporcionada; </w:t>
      </w:r>
    </w:p>
    <w:p w14:paraId="29C9DC4B" w14:textId="77777777" w:rsidR="00FA5019" w:rsidRPr="005475F3" w:rsidRDefault="00FA5019" w:rsidP="00FA5019">
      <w:pPr>
        <w:pStyle w:val="Prrafodelista"/>
        <w:numPr>
          <w:ilvl w:val="0"/>
          <w:numId w:val="33"/>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 xml:space="preserve">Se trate de una consulta, o </w:t>
      </w:r>
    </w:p>
    <w:p w14:paraId="4014F260" w14:textId="77777777" w:rsidR="00FA5019" w:rsidRPr="005475F3" w:rsidRDefault="00FA5019" w:rsidP="00FA5019">
      <w:pPr>
        <w:pStyle w:val="Prrafodelista"/>
        <w:numPr>
          <w:ilvl w:val="0"/>
          <w:numId w:val="33"/>
        </w:numPr>
        <w:spacing w:after="0" w:line="240" w:lineRule="auto"/>
        <w:ind w:right="1183"/>
        <w:jc w:val="both"/>
        <w:rPr>
          <w:rFonts w:ascii="Arial" w:eastAsia="Arial Unicode MS" w:hAnsi="Arial" w:cs="Arial"/>
          <w:lang w:eastAsia="es-ES"/>
        </w:rPr>
      </w:pPr>
      <w:r w:rsidRPr="005475F3">
        <w:rPr>
          <w:rFonts w:ascii="Arial" w:eastAsia="Arial Unicode MS" w:hAnsi="Arial" w:cs="Arial"/>
          <w:lang w:eastAsia="es-ES"/>
        </w:rPr>
        <w:t>El recurrente amplíe su solicitud en el recurso de revisión, únicamente respecto de los nuevos contenidos.</w:t>
      </w:r>
    </w:p>
    <w:p w14:paraId="55AEF987"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sz w:val="24"/>
          <w:szCs w:val="24"/>
          <w:lang w:eastAsia="es-ES"/>
        </w:rPr>
        <w:t xml:space="preserve">Es así que, a continuación, se analizará cada una de las hipótesis que prevé el precepto referido: </w:t>
      </w:r>
    </w:p>
    <w:p w14:paraId="34A79DF7" w14:textId="77777777" w:rsidR="00FA5019" w:rsidRPr="005475F3" w:rsidRDefault="00FA5019" w:rsidP="00FA5019">
      <w:pPr>
        <w:spacing w:after="0" w:line="360" w:lineRule="auto"/>
        <w:ind w:firstLine="708"/>
        <w:jc w:val="both"/>
        <w:rPr>
          <w:rFonts w:ascii="Arial" w:eastAsia="Arial Unicode MS" w:hAnsi="Arial" w:cs="Arial"/>
          <w:b/>
          <w:bCs/>
          <w:sz w:val="24"/>
          <w:szCs w:val="24"/>
          <w:lang w:eastAsia="es-ES"/>
        </w:rPr>
      </w:pPr>
    </w:p>
    <w:p w14:paraId="1D63D21E"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bCs/>
          <w:sz w:val="24"/>
          <w:szCs w:val="24"/>
          <w:lang w:eastAsia="es-ES"/>
        </w:rPr>
        <w:t xml:space="preserve">I. Oportunidad. </w:t>
      </w:r>
      <w:r w:rsidRPr="005475F3">
        <w:rPr>
          <w:rFonts w:ascii="Arial" w:eastAsia="Arial Unicode MS" w:hAnsi="Arial" w:cs="Arial"/>
          <w:sz w:val="24"/>
          <w:szCs w:val="24"/>
          <w:lang w:eastAsia="es-ES"/>
        </w:rPr>
        <w:t xml:space="preserve">Tal y como se desprende de las constancias que obran en el expediente en el que se actúa, el recurso de revisión fue presentado en tiempo y forma, por lo que se encuentra dentro del plazo establecido por el artículo 166 de la Ley de Transparencia y Acceso a la Información Pública del Estado de San Luis Potosí, para la interposición del recurso de revisión, el cual resulta ser de 15 días hábiles. </w:t>
      </w:r>
    </w:p>
    <w:p w14:paraId="19808405"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7255735A"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bCs/>
          <w:sz w:val="24"/>
          <w:szCs w:val="24"/>
          <w:lang w:eastAsia="es-ES"/>
        </w:rPr>
        <w:t xml:space="preserve">II. Litispendencia. </w:t>
      </w:r>
      <w:r w:rsidRPr="005475F3">
        <w:rPr>
          <w:rFonts w:ascii="Arial" w:eastAsia="Arial Unicode MS" w:hAnsi="Arial" w:cs="Arial"/>
          <w:sz w:val="24"/>
          <w:szCs w:val="24"/>
          <w:lang w:eastAsia="es-ES"/>
        </w:rPr>
        <w:t>Esta Comisión no tiene conocimiento de la existencia de algún recurso o medio de defensa en trámite ante los tribunales del Poder Judicial Federal por parte de la persona recurrente, razón por la cual la hipótesis prevista en la fracción II del precepto legal en cuestión no cobra vigencia.</w:t>
      </w:r>
    </w:p>
    <w:p w14:paraId="53374518" w14:textId="77777777" w:rsidR="00FA5019" w:rsidRPr="005475F3" w:rsidRDefault="00FA5019" w:rsidP="00FA5019">
      <w:pPr>
        <w:spacing w:after="0" w:line="360" w:lineRule="auto"/>
        <w:ind w:firstLine="708"/>
        <w:jc w:val="both"/>
        <w:rPr>
          <w:rFonts w:ascii="Arial" w:eastAsia="Arial Unicode MS" w:hAnsi="Arial" w:cs="Arial"/>
          <w:b/>
          <w:sz w:val="24"/>
          <w:szCs w:val="24"/>
          <w:lang w:eastAsia="es-ES"/>
        </w:rPr>
      </w:pPr>
    </w:p>
    <w:p w14:paraId="0A629E3C" w14:textId="4FE07577" w:rsidR="00FA5019" w:rsidRPr="005475F3" w:rsidRDefault="00FA5019" w:rsidP="00FA5019">
      <w:pPr>
        <w:spacing w:line="360" w:lineRule="auto"/>
        <w:ind w:firstLine="708"/>
        <w:jc w:val="both"/>
        <w:rPr>
          <w:rFonts w:ascii="Arial" w:eastAsia="Arial Unicode MS" w:hAnsi="Arial" w:cs="Arial"/>
          <w:sz w:val="24"/>
          <w:szCs w:val="24"/>
        </w:rPr>
      </w:pPr>
      <w:r w:rsidRPr="005475F3">
        <w:rPr>
          <w:rFonts w:ascii="Arial" w:eastAsia="Arial Unicode MS" w:hAnsi="Arial" w:cs="Arial"/>
          <w:b/>
          <w:bCs/>
          <w:sz w:val="24"/>
          <w:szCs w:val="24"/>
        </w:rPr>
        <w:lastRenderedPageBreak/>
        <w:t xml:space="preserve">III. Cosa Juzgada. </w:t>
      </w:r>
      <w:r w:rsidRPr="005475F3">
        <w:rPr>
          <w:rFonts w:ascii="Arial" w:eastAsia="Arial Unicode MS" w:hAnsi="Arial" w:cs="Arial"/>
          <w:sz w:val="24"/>
          <w:szCs w:val="24"/>
        </w:rPr>
        <w:t>Al respecto, se realizó una búsqueda dentro de las bases de datos internas con las que cuenta esta Comisión, advirtiendo que no existe antecedente en el que se haya resuelto en definitiva algún recurso de revisión que versara sobre la misma solicitud de acceso, por lo que no se actualiza la causal de improcedencia establecida en la fracción III del precepto legal que se analiza.</w:t>
      </w:r>
    </w:p>
    <w:p w14:paraId="71073A2F" w14:textId="77777777" w:rsidR="00552FC8" w:rsidRPr="005475F3" w:rsidRDefault="00552FC8" w:rsidP="00552FC8">
      <w:pPr>
        <w:spacing w:after="0" w:line="360" w:lineRule="auto"/>
        <w:ind w:firstLine="709"/>
        <w:jc w:val="both"/>
        <w:rPr>
          <w:rFonts w:ascii="Arial" w:eastAsia="Arial Unicode MS" w:hAnsi="Arial" w:cs="Arial"/>
          <w:sz w:val="24"/>
          <w:szCs w:val="24"/>
        </w:rPr>
      </w:pPr>
    </w:p>
    <w:p w14:paraId="045D2896" w14:textId="71D1DF20"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bCs/>
          <w:sz w:val="24"/>
          <w:szCs w:val="24"/>
          <w:lang w:eastAsia="es-ES"/>
        </w:rPr>
        <w:t xml:space="preserve">IV. Procedencia. </w:t>
      </w:r>
      <w:r w:rsidRPr="005475F3">
        <w:rPr>
          <w:rFonts w:ascii="Arial" w:eastAsia="Arial Unicode MS" w:hAnsi="Arial" w:cs="Arial"/>
          <w:sz w:val="24"/>
          <w:szCs w:val="24"/>
          <w:lang w:eastAsia="es-ES"/>
        </w:rPr>
        <w:t>Asimismo, se advierte que el presente recurso de revisión actualiza el supuesto de proced</w:t>
      </w:r>
      <w:r w:rsidR="004600CF">
        <w:rPr>
          <w:rFonts w:ascii="Arial" w:eastAsia="Arial Unicode MS" w:hAnsi="Arial" w:cs="Arial"/>
          <w:sz w:val="24"/>
          <w:szCs w:val="24"/>
          <w:lang w:eastAsia="es-ES"/>
        </w:rPr>
        <w:t>encia previsto en la fracción IV</w:t>
      </w:r>
      <w:r w:rsidRPr="005475F3">
        <w:rPr>
          <w:rFonts w:ascii="Arial" w:eastAsia="Arial Unicode MS" w:hAnsi="Arial" w:cs="Arial"/>
          <w:sz w:val="24"/>
          <w:szCs w:val="24"/>
          <w:lang w:eastAsia="es-ES"/>
        </w:rPr>
        <w:t xml:space="preserve"> del artículo 167 de la Ley de Transparencia y Acceso a la Información Pública del Estado, ya que, la persona recurrente aduce </w:t>
      </w:r>
      <w:r w:rsidR="004600CF">
        <w:rPr>
          <w:rFonts w:ascii="Arial" w:eastAsia="Arial Unicode MS" w:hAnsi="Arial" w:cs="Arial"/>
          <w:sz w:val="24"/>
          <w:szCs w:val="24"/>
          <w:lang w:eastAsia="es-ES"/>
        </w:rPr>
        <w:t>la entrega de información incompleta</w:t>
      </w:r>
      <w:r w:rsidRPr="005475F3">
        <w:rPr>
          <w:rFonts w:ascii="Arial" w:eastAsia="Arial Unicode MS" w:hAnsi="Arial" w:cs="Arial"/>
          <w:sz w:val="24"/>
          <w:szCs w:val="24"/>
          <w:lang w:eastAsia="es-ES"/>
        </w:rPr>
        <w:t xml:space="preserve">. </w:t>
      </w:r>
    </w:p>
    <w:p w14:paraId="04EAAC3B"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3B93CF16"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sz w:val="24"/>
          <w:szCs w:val="24"/>
          <w:lang w:eastAsia="es-ES"/>
        </w:rPr>
        <w:t xml:space="preserve">V. Prevención. </w:t>
      </w:r>
      <w:r w:rsidRPr="005475F3">
        <w:rPr>
          <w:rFonts w:ascii="Arial" w:eastAsia="Arial Unicode MS" w:hAnsi="Arial" w:cs="Arial"/>
          <w:sz w:val="24"/>
          <w:szCs w:val="24"/>
          <w:lang w:eastAsia="es-ES"/>
        </w:rPr>
        <w:t xml:space="preserve">De un análisis de las constancias que obran en el expediente en el que se actúa, no consta que se haya efectuado requerimiento alguno a la parte recurrente. </w:t>
      </w:r>
    </w:p>
    <w:p w14:paraId="0033F053" w14:textId="77777777" w:rsidR="00843E8B" w:rsidRDefault="00843E8B" w:rsidP="00FA5019">
      <w:pPr>
        <w:spacing w:after="0" w:line="360" w:lineRule="auto"/>
        <w:ind w:firstLine="708"/>
        <w:jc w:val="both"/>
        <w:rPr>
          <w:rFonts w:ascii="Arial" w:eastAsia="Arial Unicode MS" w:hAnsi="Arial" w:cs="Arial"/>
          <w:b/>
          <w:sz w:val="24"/>
          <w:szCs w:val="24"/>
          <w:lang w:eastAsia="es-ES"/>
        </w:rPr>
      </w:pPr>
    </w:p>
    <w:p w14:paraId="2AEA91C3" w14:textId="1D91DF65"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sz w:val="24"/>
          <w:szCs w:val="24"/>
          <w:lang w:eastAsia="es-ES"/>
        </w:rPr>
        <w:t xml:space="preserve">VI. Veracidad. </w:t>
      </w:r>
      <w:r w:rsidRPr="005475F3">
        <w:rPr>
          <w:rFonts w:ascii="Arial" w:eastAsia="Arial Unicode MS" w:hAnsi="Arial" w:cs="Arial"/>
          <w:sz w:val="24"/>
          <w:szCs w:val="24"/>
          <w:lang w:eastAsia="es-ES"/>
        </w:rPr>
        <w:t xml:space="preserve">De los motivos de agravio esgrimidos, no se evidencia que la intención de la persona recurrente tenga como finalidad controvertir la legalidad de la repuesta otorgada. </w:t>
      </w:r>
    </w:p>
    <w:p w14:paraId="03E6B964"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4562D2BF"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sz w:val="24"/>
          <w:szCs w:val="24"/>
          <w:lang w:eastAsia="es-ES"/>
        </w:rPr>
        <w:t xml:space="preserve"> </w:t>
      </w:r>
      <w:r w:rsidRPr="005475F3">
        <w:rPr>
          <w:rFonts w:ascii="Arial" w:eastAsia="Arial Unicode MS" w:hAnsi="Arial" w:cs="Arial"/>
          <w:b/>
          <w:sz w:val="24"/>
          <w:szCs w:val="24"/>
          <w:lang w:eastAsia="es-ES"/>
        </w:rPr>
        <w:t xml:space="preserve">VII. Consulta. </w:t>
      </w:r>
      <w:r w:rsidRPr="005475F3">
        <w:rPr>
          <w:rFonts w:ascii="Arial" w:eastAsia="Arial Unicode MS" w:hAnsi="Arial" w:cs="Arial"/>
          <w:sz w:val="24"/>
          <w:szCs w:val="24"/>
          <w:lang w:eastAsia="es-ES"/>
        </w:rPr>
        <w:t xml:space="preserve">Del contenido de la solicitud de información, se tiene que lo requerido atiende al acceso de documentos previamente elaborados por el Sujeto Obligado y no así, a la generación de un documento para satisfacer la petición del particular. </w:t>
      </w:r>
    </w:p>
    <w:p w14:paraId="7B3BC3AC"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3ECE98F7"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r w:rsidRPr="005475F3">
        <w:rPr>
          <w:rFonts w:ascii="Arial" w:eastAsia="Arial Unicode MS" w:hAnsi="Arial" w:cs="Arial"/>
          <w:b/>
          <w:bCs/>
          <w:sz w:val="24"/>
          <w:szCs w:val="24"/>
          <w:lang w:eastAsia="es-ES"/>
        </w:rPr>
        <w:t xml:space="preserve">VIII. Ampliación. </w:t>
      </w:r>
      <w:r w:rsidRPr="005475F3">
        <w:rPr>
          <w:rFonts w:ascii="Arial" w:eastAsia="Arial Unicode MS" w:hAnsi="Arial" w:cs="Arial"/>
          <w:sz w:val="24"/>
          <w:szCs w:val="24"/>
          <w:lang w:eastAsia="es-ES"/>
        </w:rPr>
        <w:t xml:space="preserve">Asimismo, del contraste de la solicitud de acceso a la información con el recurso de revisión que fue interpuesto en contra de la respuesta proporcionada por el sujeto obligado, esta Comisión no advierte que la persona recurrente haya ampliado su solicitud de acceso. Por tal motivo no se actualiza la hipótesis de improcedencia establecida en la fracción VIII del artículo en análisis. </w:t>
      </w:r>
    </w:p>
    <w:p w14:paraId="16CF22C2"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23753CF4" w14:textId="77777777" w:rsidR="00FA5019" w:rsidRPr="005475F3" w:rsidRDefault="00FA5019" w:rsidP="00FA5019">
      <w:pPr>
        <w:spacing w:after="0" w:line="360" w:lineRule="auto"/>
        <w:ind w:firstLine="709"/>
        <w:jc w:val="both"/>
        <w:rPr>
          <w:rFonts w:ascii="Arial" w:eastAsia="Arial Unicode MS" w:hAnsi="Arial" w:cs="Arial"/>
          <w:sz w:val="24"/>
          <w:szCs w:val="24"/>
          <w:lang w:eastAsia="es-ES"/>
        </w:rPr>
      </w:pPr>
      <w:bookmarkStart w:id="3" w:name="_Toc209010496"/>
      <w:r w:rsidRPr="005475F3">
        <w:rPr>
          <w:rFonts w:ascii="Arial" w:eastAsia="Arial Unicode MS" w:hAnsi="Arial" w:cs="Arial"/>
          <w:b/>
          <w:sz w:val="24"/>
          <w:szCs w:val="24"/>
          <w:lang w:eastAsia="es-ES"/>
        </w:rPr>
        <w:lastRenderedPageBreak/>
        <w:t>CUARTO. Sobreseimiento.</w:t>
      </w:r>
      <w:bookmarkEnd w:id="3"/>
      <w:r w:rsidRPr="005475F3">
        <w:rPr>
          <w:rFonts w:ascii="Arial" w:eastAsia="Arial Unicode MS" w:hAnsi="Arial" w:cs="Arial"/>
          <w:b/>
          <w:sz w:val="24"/>
          <w:szCs w:val="24"/>
          <w:lang w:eastAsia="es-ES"/>
        </w:rPr>
        <w:t xml:space="preserve"> </w:t>
      </w:r>
      <w:r w:rsidRPr="005475F3">
        <w:rPr>
          <w:rFonts w:ascii="Arial" w:eastAsia="Arial Unicode MS" w:hAnsi="Arial" w:cs="Arial"/>
          <w:bCs/>
          <w:sz w:val="24"/>
          <w:szCs w:val="24"/>
          <w:lang w:eastAsia="es-ES"/>
        </w:rPr>
        <w:t>La figura jurídica del sobreseimiento</w:t>
      </w:r>
      <w:r w:rsidRPr="005475F3">
        <w:rPr>
          <w:rStyle w:val="Refdenotaalpie"/>
          <w:rFonts w:ascii="Arial" w:eastAsia="Arial Unicode MS" w:hAnsi="Arial" w:cs="Arial"/>
          <w:bCs/>
          <w:sz w:val="24"/>
          <w:szCs w:val="24"/>
          <w:lang w:eastAsia="es-ES"/>
        </w:rPr>
        <w:footnoteReference w:id="3"/>
      </w:r>
      <w:r w:rsidRPr="005475F3">
        <w:rPr>
          <w:rFonts w:ascii="Arial" w:eastAsia="Arial Unicode MS" w:hAnsi="Arial" w:cs="Arial"/>
          <w:bCs/>
          <w:sz w:val="24"/>
          <w:szCs w:val="24"/>
          <w:lang w:eastAsia="es-ES"/>
        </w:rPr>
        <w:t xml:space="preserve"> es la determinación adoptada por parte de este Organismo Autónomo de carácter definitivo porque pone fin al procedimiento sin resolver las cuestiones de fondo, es decir, porque se haya actualizado alguno de los supuestos que establece el artículo 180 de la Ley de Transparencia y Acceso a la Información Pública del Estado, por lo que al ser una cuestión de </w:t>
      </w:r>
      <w:r w:rsidRPr="005475F3">
        <w:rPr>
          <w:rFonts w:ascii="Arial" w:eastAsia="Arial Unicode MS" w:hAnsi="Arial" w:cs="Arial"/>
          <w:sz w:val="24"/>
          <w:szCs w:val="24"/>
          <w:lang w:eastAsia="es-ES"/>
        </w:rPr>
        <w:t xml:space="preserve">previo y especial pronunciamiento, esta Comisión analiza si se actualiza alguna </w:t>
      </w:r>
      <w:r w:rsidRPr="005475F3">
        <w:rPr>
          <w:rFonts w:ascii="Arial" w:eastAsia="Arial Unicode MS" w:hAnsi="Arial" w:cs="Arial"/>
          <w:bCs/>
          <w:sz w:val="24"/>
          <w:szCs w:val="24"/>
          <w:lang w:eastAsia="es-ES"/>
        </w:rPr>
        <w:t xml:space="preserve">causal </w:t>
      </w:r>
      <w:r w:rsidRPr="005475F3">
        <w:rPr>
          <w:rFonts w:ascii="Arial" w:eastAsia="Arial Unicode MS" w:hAnsi="Arial" w:cs="Arial"/>
          <w:sz w:val="24"/>
          <w:szCs w:val="24"/>
          <w:lang w:eastAsia="es-ES"/>
        </w:rPr>
        <w:t xml:space="preserve">de </w:t>
      </w:r>
      <w:r w:rsidRPr="005475F3">
        <w:rPr>
          <w:rFonts w:ascii="Arial" w:eastAsia="Arial Unicode MS" w:hAnsi="Arial" w:cs="Arial"/>
          <w:bCs/>
          <w:sz w:val="24"/>
          <w:szCs w:val="24"/>
          <w:lang w:eastAsia="es-ES"/>
        </w:rPr>
        <w:t>sobreseimiento</w:t>
      </w:r>
      <w:r w:rsidRPr="005475F3">
        <w:rPr>
          <w:rFonts w:ascii="Arial" w:eastAsia="Arial Unicode MS" w:hAnsi="Arial" w:cs="Arial"/>
          <w:sz w:val="24"/>
          <w:szCs w:val="24"/>
          <w:lang w:eastAsia="es-ES"/>
        </w:rPr>
        <w:t xml:space="preserve">. </w:t>
      </w:r>
    </w:p>
    <w:p w14:paraId="63B01343" w14:textId="77777777" w:rsidR="00FA5019" w:rsidRPr="005475F3" w:rsidRDefault="00FA5019" w:rsidP="00FA5019">
      <w:pPr>
        <w:spacing w:after="0" w:line="360" w:lineRule="auto"/>
        <w:ind w:firstLine="709"/>
        <w:jc w:val="both"/>
        <w:rPr>
          <w:rFonts w:ascii="Arial" w:eastAsia="Arial Unicode MS" w:hAnsi="Arial" w:cs="Arial"/>
          <w:b/>
          <w:sz w:val="24"/>
          <w:szCs w:val="24"/>
          <w:lang w:eastAsia="es-ES"/>
        </w:rPr>
      </w:pPr>
    </w:p>
    <w:p w14:paraId="74DFDB23" w14:textId="77777777" w:rsidR="00FA5019" w:rsidRPr="005475F3" w:rsidRDefault="00FA5019" w:rsidP="00FA5019">
      <w:pPr>
        <w:spacing w:after="0" w:line="240" w:lineRule="auto"/>
        <w:ind w:left="1134" w:right="1183"/>
        <w:jc w:val="both"/>
        <w:rPr>
          <w:rFonts w:ascii="Arial" w:eastAsia="Arial Unicode MS" w:hAnsi="Arial" w:cs="Arial"/>
          <w:bCs/>
          <w:lang w:eastAsia="es-ES"/>
        </w:rPr>
      </w:pPr>
      <w:r w:rsidRPr="005475F3">
        <w:rPr>
          <w:rFonts w:ascii="Arial" w:eastAsia="Arial Unicode MS" w:hAnsi="Arial" w:cs="Arial"/>
          <w:b/>
          <w:bCs/>
          <w:lang w:eastAsia="es-ES"/>
        </w:rPr>
        <w:t>ARTÍCULO 180.</w:t>
      </w:r>
      <w:r w:rsidRPr="005475F3">
        <w:rPr>
          <w:rFonts w:ascii="Arial" w:eastAsia="Arial Unicode MS" w:hAnsi="Arial" w:cs="Arial"/>
          <w:bCs/>
          <w:lang w:eastAsia="es-ES"/>
        </w:rPr>
        <w:t xml:space="preserve"> El recurso será sobreseído, en todo o en parte, cuando, una vez admitido, se actualicen alguno de los siguientes supuestos: </w:t>
      </w:r>
    </w:p>
    <w:p w14:paraId="4AE6B9D6" w14:textId="77777777" w:rsidR="00FA5019" w:rsidRPr="005475F3" w:rsidRDefault="00FA5019" w:rsidP="00FA5019">
      <w:pPr>
        <w:pStyle w:val="Prrafodelista"/>
        <w:numPr>
          <w:ilvl w:val="0"/>
          <w:numId w:val="34"/>
        </w:numPr>
        <w:spacing w:after="0" w:line="240" w:lineRule="auto"/>
        <w:ind w:left="1418" w:right="1183" w:hanging="284"/>
        <w:jc w:val="both"/>
        <w:rPr>
          <w:rFonts w:ascii="Arial" w:eastAsia="Arial Unicode MS" w:hAnsi="Arial" w:cs="Arial"/>
          <w:bCs/>
          <w:lang w:eastAsia="es-ES"/>
        </w:rPr>
      </w:pPr>
      <w:r w:rsidRPr="005475F3">
        <w:rPr>
          <w:rFonts w:ascii="Arial" w:eastAsia="Arial Unicode MS" w:hAnsi="Arial" w:cs="Arial"/>
          <w:bCs/>
          <w:lang w:eastAsia="es-ES"/>
        </w:rPr>
        <w:t xml:space="preserve">El recurrente se desista; </w:t>
      </w:r>
    </w:p>
    <w:p w14:paraId="107424C8" w14:textId="77777777" w:rsidR="00FA5019" w:rsidRPr="005475F3" w:rsidRDefault="00FA5019" w:rsidP="00FA5019">
      <w:pPr>
        <w:pStyle w:val="Prrafodelista"/>
        <w:numPr>
          <w:ilvl w:val="0"/>
          <w:numId w:val="34"/>
        </w:numPr>
        <w:spacing w:after="0" w:line="240" w:lineRule="auto"/>
        <w:ind w:left="1418" w:right="1183" w:hanging="284"/>
        <w:jc w:val="both"/>
        <w:rPr>
          <w:rFonts w:ascii="Arial" w:eastAsia="Arial Unicode MS" w:hAnsi="Arial" w:cs="Arial"/>
          <w:bCs/>
          <w:lang w:eastAsia="es-ES"/>
        </w:rPr>
      </w:pPr>
      <w:r w:rsidRPr="005475F3">
        <w:rPr>
          <w:rFonts w:ascii="Arial" w:eastAsia="Arial Unicode MS" w:hAnsi="Arial" w:cs="Arial"/>
          <w:bCs/>
          <w:lang w:eastAsia="es-ES"/>
        </w:rPr>
        <w:t xml:space="preserve">El recurrente fallezca; </w:t>
      </w:r>
    </w:p>
    <w:p w14:paraId="52B3BE8F" w14:textId="77777777" w:rsidR="00FA5019" w:rsidRPr="005475F3" w:rsidRDefault="00FA5019" w:rsidP="00FA5019">
      <w:pPr>
        <w:pStyle w:val="Prrafodelista"/>
        <w:numPr>
          <w:ilvl w:val="0"/>
          <w:numId w:val="34"/>
        </w:numPr>
        <w:spacing w:after="0" w:line="240" w:lineRule="auto"/>
        <w:ind w:left="1418" w:right="1183" w:hanging="284"/>
        <w:jc w:val="both"/>
        <w:rPr>
          <w:rFonts w:ascii="Arial" w:eastAsia="Arial Unicode MS" w:hAnsi="Arial" w:cs="Arial"/>
          <w:bCs/>
          <w:lang w:eastAsia="es-ES"/>
        </w:rPr>
      </w:pPr>
      <w:r w:rsidRPr="005475F3">
        <w:rPr>
          <w:rFonts w:ascii="Arial" w:eastAsia="Arial Unicode MS" w:hAnsi="Arial" w:cs="Arial"/>
          <w:bCs/>
          <w:lang w:eastAsia="es-ES"/>
        </w:rPr>
        <w:t xml:space="preserve">El sujeto obligado responsable del acto lo modifique o revoque de tal manera que el recurso de revisión quede sin materia, o </w:t>
      </w:r>
    </w:p>
    <w:p w14:paraId="54A24CBD" w14:textId="77777777" w:rsidR="00FA5019" w:rsidRPr="005475F3" w:rsidRDefault="00FA5019" w:rsidP="00FA5019">
      <w:pPr>
        <w:pStyle w:val="Prrafodelista"/>
        <w:numPr>
          <w:ilvl w:val="0"/>
          <w:numId w:val="34"/>
        </w:numPr>
        <w:spacing w:after="0" w:line="240" w:lineRule="auto"/>
        <w:ind w:left="1418" w:right="1183" w:hanging="284"/>
        <w:jc w:val="both"/>
        <w:rPr>
          <w:rFonts w:ascii="Arial" w:eastAsia="Arial Unicode MS" w:hAnsi="Arial" w:cs="Arial"/>
          <w:bCs/>
          <w:lang w:eastAsia="es-ES"/>
        </w:rPr>
      </w:pPr>
      <w:r w:rsidRPr="005475F3">
        <w:rPr>
          <w:rFonts w:ascii="Arial" w:eastAsia="Arial Unicode MS" w:hAnsi="Arial" w:cs="Arial"/>
          <w:bCs/>
          <w:lang w:eastAsia="es-ES"/>
        </w:rPr>
        <w:t>Admitido el recurso de revisión, aparezca alguna causal de improcedencia en los términos del presente Capítulo.</w:t>
      </w:r>
    </w:p>
    <w:p w14:paraId="7166D1DD" w14:textId="77777777" w:rsidR="00FA5019" w:rsidRPr="005475F3" w:rsidRDefault="00FA5019" w:rsidP="00FA5019">
      <w:pPr>
        <w:spacing w:after="0" w:line="360" w:lineRule="auto"/>
        <w:ind w:firstLine="709"/>
        <w:jc w:val="both"/>
        <w:rPr>
          <w:rFonts w:ascii="Arial" w:eastAsia="Arial Unicode MS" w:hAnsi="Arial" w:cs="Arial"/>
          <w:b/>
          <w:sz w:val="24"/>
          <w:szCs w:val="24"/>
          <w:lang w:eastAsia="es-ES"/>
        </w:rPr>
      </w:pPr>
    </w:p>
    <w:p w14:paraId="108DF802" w14:textId="77777777" w:rsidR="00FA5019" w:rsidRPr="005475F3" w:rsidRDefault="00FA5019" w:rsidP="00FA5019">
      <w:pPr>
        <w:spacing w:after="0" w:line="360" w:lineRule="auto"/>
        <w:ind w:firstLine="708"/>
        <w:jc w:val="both"/>
        <w:rPr>
          <w:rFonts w:ascii="Arial" w:eastAsia="Arial Unicode MS" w:hAnsi="Arial" w:cs="Arial"/>
          <w:bCs/>
          <w:sz w:val="24"/>
          <w:szCs w:val="24"/>
          <w:lang w:eastAsia="es-ES"/>
        </w:rPr>
      </w:pPr>
      <w:r w:rsidRPr="005475F3">
        <w:rPr>
          <w:rFonts w:ascii="Arial" w:eastAsia="Arial Unicode MS" w:hAnsi="Arial" w:cs="Arial"/>
          <w:bCs/>
          <w:sz w:val="24"/>
          <w:lang w:val="es-ES_tradnl"/>
        </w:rPr>
        <w:t>B</w:t>
      </w:r>
      <w:r w:rsidRPr="005475F3">
        <w:rPr>
          <w:rFonts w:ascii="Arial" w:eastAsia="Arial Unicode MS" w:hAnsi="Arial" w:cs="Arial"/>
          <w:bCs/>
          <w:sz w:val="24"/>
          <w:szCs w:val="24"/>
          <w:lang w:eastAsia="es-ES"/>
        </w:rPr>
        <w:t>ajo las condiciones anotadas, de las constancias que integran el expediente citado al rubro, no se actualizan hipótesis a través de las cuales a este Órgano Garante se le permita arribar a la convicción de que se configure un supuesto de sobreseimiento.</w:t>
      </w:r>
    </w:p>
    <w:p w14:paraId="31702DC8" w14:textId="77777777" w:rsidR="00FA5019" w:rsidRPr="005475F3" w:rsidRDefault="00FA5019" w:rsidP="00FA5019">
      <w:pPr>
        <w:spacing w:after="0" w:line="360" w:lineRule="auto"/>
        <w:ind w:firstLine="708"/>
        <w:jc w:val="both"/>
        <w:rPr>
          <w:rFonts w:ascii="Arial" w:eastAsia="Arial Unicode MS" w:hAnsi="Arial" w:cs="Arial"/>
          <w:sz w:val="24"/>
          <w:szCs w:val="24"/>
          <w:lang w:eastAsia="es-ES"/>
        </w:rPr>
      </w:pPr>
    </w:p>
    <w:p w14:paraId="37992F51" w14:textId="77777777" w:rsidR="00FA5019" w:rsidRPr="005475F3" w:rsidRDefault="00FA5019" w:rsidP="00FA5019">
      <w:pPr>
        <w:spacing w:after="0" w:line="360" w:lineRule="auto"/>
        <w:ind w:firstLine="708"/>
        <w:jc w:val="both"/>
        <w:rPr>
          <w:rFonts w:ascii="Arial" w:eastAsia="Arial Unicode MS" w:hAnsi="Arial" w:cs="Arial"/>
          <w:bCs/>
          <w:sz w:val="24"/>
          <w:szCs w:val="24"/>
          <w:lang w:eastAsia="es-ES"/>
        </w:rPr>
      </w:pPr>
      <w:r w:rsidRPr="005475F3">
        <w:rPr>
          <w:rFonts w:ascii="Arial" w:eastAsia="Arial Unicode MS" w:hAnsi="Arial" w:cs="Arial"/>
          <w:b/>
          <w:bCs/>
          <w:sz w:val="24"/>
          <w:szCs w:val="24"/>
          <w:lang w:eastAsia="es-ES"/>
        </w:rPr>
        <w:t xml:space="preserve">QUINTO. Valoración de las pruebas. </w:t>
      </w:r>
      <w:r w:rsidRPr="005475F3">
        <w:rPr>
          <w:rFonts w:ascii="Arial" w:eastAsia="Arial Unicode MS" w:hAnsi="Arial" w:cs="Arial"/>
          <w:bCs/>
          <w:sz w:val="24"/>
          <w:szCs w:val="24"/>
          <w:lang w:eastAsia="es-ES"/>
        </w:rPr>
        <w:t>De las documentales que obran en el expediente materia de la presente resolución, debe precisarse que la instrumental de actuaciones, constituye todo lo que obra en el expediente y es obligatorio para quien resuelve tomarlo en cuenta para dictar la presente determinación, ello con la finalidad de cumplir con los principios de congruencia y exhaustividad en las determinaciones materialmente jurisdiccionales, con lo cual se logra dar respuesta a todos los planteamientos formulados por las partes.</w:t>
      </w:r>
    </w:p>
    <w:p w14:paraId="0AB91237" w14:textId="77777777" w:rsidR="00FA5019" w:rsidRPr="005475F3" w:rsidRDefault="00FA5019" w:rsidP="00FA5019">
      <w:pPr>
        <w:spacing w:after="0" w:line="360" w:lineRule="auto"/>
        <w:ind w:firstLine="708"/>
        <w:jc w:val="both"/>
        <w:rPr>
          <w:rFonts w:ascii="Arial" w:eastAsia="Arial Unicode MS" w:hAnsi="Arial" w:cs="Arial"/>
          <w:bCs/>
          <w:sz w:val="24"/>
          <w:szCs w:val="24"/>
          <w:lang w:eastAsia="es-ES"/>
        </w:rPr>
      </w:pPr>
    </w:p>
    <w:p w14:paraId="78FC8F02" w14:textId="77777777" w:rsidR="00FA5019" w:rsidRPr="005475F3" w:rsidRDefault="00FA5019" w:rsidP="00FA5019">
      <w:pPr>
        <w:spacing w:after="0" w:line="360" w:lineRule="auto"/>
        <w:ind w:firstLine="709"/>
        <w:jc w:val="both"/>
        <w:rPr>
          <w:rFonts w:ascii="Arial" w:eastAsia="Arial Unicode MS" w:hAnsi="Arial" w:cs="Arial"/>
          <w:bCs/>
          <w:sz w:val="24"/>
          <w:szCs w:val="24"/>
          <w:lang w:eastAsia="es-ES"/>
        </w:rPr>
      </w:pPr>
      <w:r w:rsidRPr="005475F3">
        <w:rPr>
          <w:rFonts w:ascii="Arial" w:eastAsia="Arial Unicode MS" w:hAnsi="Arial" w:cs="Arial"/>
          <w:bCs/>
          <w:sz w:val="24"/>
          <w:szCs w:val="24"/>
          <w:lang w:eastAsia="es-ES"/>
        </w:rPr>
        <w:t>En razón de lo anterior, se tiene que de las documentales que obran en el presente sumario, se desahogan por su propia y especial naturaleza y a las cuales se les concede valor probatorio de conformidad con lo establecido en los</w:t>
      </w:r>
    </w:p>
    <w:p w14:paraId="0C07476D" w14:textId="77777777" w:rsidR="00FA5019" w:rsidRPr="005475F3" w:rsidRDefault="00FA5019" w:rsidP="00FA5019">
      <w:pPr>
        <w:spacing w:after="0" w:line="360" w:lineRule="auto"/>
        <w:jc w:val="both"/>
        <w:rPr>
          <w:rFonts w:ascii="Arial" w:eastAsia="Arial Unicode MS" w:hAnsi="Arial" w:cs="Arial"/>
          <w:bCs/>
          <w:sz w:val="24"/>
          <w:szCs w:val="24"/>
          <w:lang w:eastAsia="es-ES"/>
        </w:rPr>
      </w:pPr>
      <w:r w:rsidRPr="005475F3">
        <w:rPr>
          <w:rFonts w:ascii="Arial" w:eastAsia="Arial Unicode MS" w:hAnsi="Arial" w:cs="Arial"/>
          <w:bCs/>
          <w:sz w:val="24"/>
          <w:szCs w:val="24"/>
          <w:lang w:eastAsia="es-ES"/>
        </w:rPr>
        <w:lastRenderedPageBreak/>
        <w:t>artículos 72 fracción I, 74, 75 y 76 del Código Procesal Administrativo del Estado aplicado de manera supletoria a la Ley de Transparencia de conformidad con el artículo 1º de esta.</w:t>
      </w:r>
    </w:p>
    <w:p w14:paraId="0E4BD247" w14:textId="77777777" w:rsidR="00FA5019" w:rsidRPr="005475F3" w:rsidRDefault="00FA5019" w:rsidP="00FA5019">
      <w:pPr>
        <w:spacing w:after="0" w:line="360" w:lineRule="auto"/>
        <w:jc w:val="both"/>
        <w:rPr>
          <w:rFonts w:ascii="Arial" w:eastAsia="Arial Unicode MS" w:hAnsi="Arial" w:cs="Arial"/>
          <w:bCs/>
          <w:sz w:val="24"/>
          <w:szCs w:val="24"/>
          <w:lang w:eastAsia="es-ES"/>
        </w:rPr>
      </w:pPr>
    </w:p>
    <w:p w14:paraId="6DBA1599" w14:textId="4644C45B" w:rsidR="00CC2C65" w:rsidRDefault="003C0AF6" w:rsidP="00E134F5">
      <w:pPr>
        <w:autoSpaceDE w:val="0"/>
        <w:autoSpaceDN w:val="0"/>
        <w:adjustRightInd w:val="0"/>
        <w:spacing w:after="0" w:line="360" w:lineRule="auto"/>
        <w:ind w:firstLine="708"/>
        <w:jc w:val="both"/>
        <w:rPr>
          <w:rFonts w:ascii="Arial" w:hAnsi="Arial" w:cs="Arial"/>
          <w:sz w:val="24"/>
          <w:szCs w:val="24"/>
        </w:rPr>
      </w:pPr>
      <w:r w:rsidRPr="006C3BD5">
        <w:rPr>
          <w:rFonts w:ascii="Arial" w:hAnsi="Arial" w:cs="Arial"/>
          <w:b/>
          <w:sz w:val="24"/>
          <w:szCs w:val="24"/>
        </w:rPr>
        <w:t xml:space="preserve">SEXTO. </w:t>
      </w:r>
      <w:r w:rsidR="006D3B1C" w:rsidRPr="006C3BD5">
        <w:rPr>
          <w:rFonts w:ascii="Arial" w:hAnsi="Arial" w:cs="Arial"/>
          <w:b/>
          <w:sz w:val="24"/>
          <w:szCs w:val="24"/>
        </w:rPr>
        <w:t xml:space="preserve">Caso concreto. </w:t>
      </w:r>
      <w:r w:rsidR="006D3B1C" w:rsidRPr="006C3BD5">
        <w:rPr>
          <w:rFonts w:ascii="Arial" w:hAnsi="Arial" w:cs="Arial"/>
          <w:sz w:val="24"/>
          <w:szCs w:val="24"/>
        </w:rPr>
        <w:t xml:space="preserve">De las constancias que obran en autos, se advierte que la persona recurrente requirió que se le </w:t>
      </w:r>
      <w:r w:rsidRPr="006C3BD5">
        <w:rPr>
          <w:rFonts w:ascii="Arial" w:hAnsi="Arial" w:cs="Arial"/>
          <w:sz w:val="24"/>
          <w:szCs w:val="24"/>
        </w:rPr>
        <w:t>proporcionara</w:t>
      </w:r>
      <w:r w:rsidR="00EE7AF6" w:rsidRPr="006C3BD5">
        <w:rPr>
          <w:rFonts w:ascii="Arial" w:hAnsi="Arial" w:cs="Arial"/>
          <w:sz w:val="24"/>
          <w:szCs w:val="24"/>
        </w:rPr>
        <w:t xml:space="preserve"> </w:t>
      </w:r>
      <w:r w:rsidR="006C3BD5">
        <w:rPr>
          <w:rFonts w:ascii="Arial" w:hAnsi="Arial" w:cs="Arial"/>
          <w:sz w:val="24"/>
          <w:szCs w:val="24"/>
        </w:rPr>
        <w:t>certificación electrónica respecto de todas y cada una de las constancias</w:t>
      </w:r>
      <w:r w:rsidR="009B43FB">
        <w:rPr>
          <w:rFonts w:ascii="Arial" w:hAnsi="Arial" w:cs="Arial"/>
          <w:sz w:val="24"/>
          <w:szCs w:val="24"/>
        </w:rPr>
        <w:t xml:space="preserve"> en versión pública de los </w:t>
      </w:r>
      <w:r w:rsidR="006C3BD5">
        <w:rPr>
          <w:rFonts w:ascii="Arial" w:hAnsi="Arial" w:cs="Arial"/>
          <w:sz w:val="24"/>
          <w:szCs w:val="24"/>
        </w:rPr>
        <w:t>documentos, actas, registros y resoluciones que integran el expediente administrativo del Perito con registro estatal: GES-PEV-0806</w:t>
      </w:r>
      <w:r w:rsidR="00CC2C65">
        <w:rPr>
          <w:rFonts w:ascii="Arial" w:hAnsi="Arial" w:cs="Arial"/>
          <w:sz w:val="24"/>
          <w:szCs w:val="24"/>
        </w:rPr>
        <w:t>, GES-PEV-0807</w:t>
      </w:r>
      <w:r w:rsidR="006C3BD5">
        <w:rPr>
          <w:rFonts w:ascii="Arial" w:hAnsi="Arial" w:cs="Arial"/>
          <w:sz w:val="24"/>
          <w:szCs w:val="24"/>
        </w:rPr>
        <w:t xml:space="preserve"> y </w:t>
      </w:r>
      <w:r w:rsidR="00CC2C65">
        <w:rPr>
          <w:rFonts w:ascii="Arial" w:hAnsi="Arial" w:cs="Arial"/>
          <w:sz w:val="24"/>
          <w:szCs w:val="24"/>
        </w:rPr>
        <w:t>GES-PEV-0705</w:t>
      </w:r>
      <w:r w:rsidR="000D6D87">
        <w:rPr>
          <w:rFonts w:ascii="Arial" w:hAnsi="Arial" w:cs="Arial"/>
          <w:sz w:val="24"/>
          <w:szCs w:val="24"/>
        </w:rPr>
        <w:t xml:space="preserve">, incluyendo </w:t>
      </w:r>
      <w:r w:rsidR="00CC2C65">
        <w:rPr>
          <w:rFonts w:ascii="Arial" w:hAnsi="Arial" w:cs="Arial"/>
          <w:sz w:val="24"/>
          <w:szCs w:val="24"/>
        </w:rPr>
        <w:t xml:space="preserve">solicitud presentada, </w:t>
      </w:r>
      <w:r w:rsidR="000D6D87">
        <w:rPr>
          <w:rFonts w:ascii="Arial" w:hAnsi="Arial" w:cs="Arial"/>
          <w:sz w:val="24"/>
          <w:szCs w:val="24"/>
        </w:rPr>
        <w:t xml:space="preserve">documentación </w:t>
      </w:r>
      <w:r w:rsidR="00CC2C65">
        <w:rPr>
          <w:rFonts w:ascii="Arial" w:hAnsi="Arial" w:cs="Arial"/>
          <w:sz w:val="24"/>
          <w:szCs w:val="24"/>
        </w:rPr>
        <w:t>exhibida para el a</w:t>
      </w:r>
      <w:r w:rsidR="000D6D87">
        <w:rPr>
          <w:rFonts w:ascii="Arial" w:hAnsi="Arial" w:cs="Arial"/>
          <w:sz w:val="24"/>
          <w:szCs w:val="24"/>
        </w:rPr>
        <w:t>l</w:t>
      </w:r>
      <w:r w:rsidR="006C3BD5">
        <w:rPr>
          <w:rFonts w:ascii="Arial" w:hAnsi="Arial" w:cs="Arial"/>
          <w:sz w:val="24"/>
          <w:szCs w:val="24"/>
        </w:rPr>
        <w:t xml:space="preserve">ta, </w:t>
      </w:r>
      <w:r w:rsidR="00CC2C65">
        <w:rPr>
          <w:rFonts w:ascii="Arial" w:hAnsi="Arial" w:cs="Arial"/>
          <w:sz w:val="24"/>
          <w:szCs w:val="24"/>
        </w:rPr>
        <w:t xml:space="preserve">vigencia de registro, así como los refrendos o renovaciones. </w:t>
      </w:r>
    </w:p>
    <w:p w14:paraId="2B6887A0" w14:textId="7FF293B1" w:rsidR="006C3BD5" w:rsidRDefault="006C3BD5" w:rsidP="00E134F5">
      <w:pPr>
        <w:autoSpaceDE w:val="0"/>
        <w:autoSpaceDN w:val="0"/>
        <w:adjustRightInd w:val="0"/>
        <w:spacing w:after="0" w:line="360" w:lineRule="auto"/>
        <w:ind w:firstLine="708"/>
        <w:jc w:val="both"/>
        <w:rPr>
          <w:rFonts w:ascii="Arial" w:hAnsi="Arial" w:cs="Arial"/>
          <w:sz w:val="24"/>
          <w:szCs w:val="24"/>
        </w:rPr>
      </w:pPr>
    </w:p>
    <w:p w14:paraId="1818F30D" w14:textId="1874B919" w:rsidR="00C66906" w:rsidRDefault="00C66906" w:rsidP="00E134F5">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En atención a su solicitud, el sujeto obligado señaló que la documentación de su interés atiende a información confidencial, otorgando el acceso a su petición, previa acreditación de titularidad de los datos personales.</w:t>
      </w:r>
    </w:p>
    <w:p w14:paraId="50EDB44B" w14:textId="33A8852B" w:rsidR="00C66906" w:rsidRDefault="00C66906" w:rsidP="00E134F5">
      <w:pPr>
        <w:autoSpaceDE w:val="0"/>
        <w:autoSpaceDN w:val="0"/>
        <w:adjustRightInd w:val="0"/>
        <w:spacing w:after="0" w:line="360" w:lineRule="auto"/>
        <w:ind w:firstLine="708"/>
        <w:jc w:val="both"/>
        <w:rPr>
          <w:rFonts w:ascii="Arial" w:hAnsi="Arial" w:cs="Arial"/>
          <w:sz w:val="24"/>
          <w:szCs w:val="24"/>
        </w:rPr>
      </w:pPr>
    </w:p>
    <w:p w14:paraId="1099F574" w14:textId="19502735" w:rsidR="00CC2C65" w:rsidRPr="00CC2C65" w:rsidRDefault="00C66906" w:rsidP="00CC2C65">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Inconforme con la respuesta proporcionada, el recurrente presentó ante esta Comisión recurso de revisión en contra de la respuesta otorgada por la autoridad, señalando como motivo</w:t>
      </w:r>
      <w:r w:rsidR="00CC2C65">
        <w:rPr>
          <w:rFonts w:ascii="Arial" w:hAnsi="Arial" w:cs="Arial"/>
          <w:sz w:val="24"/>
          <w:szCs w:val="24"/>
        </w:rPr>
        <w:t>s</w:t>
      </w:r>
      <w:r>
        <w:rPr>
          <w:rFonts w:ascii="Arial" w:hAnsi="Arial" w:cs="Arial"/>
          <w:sz w:val="24"/>
          <w:szCs w:val="24"/>
        </w:rPr>
        <w:t xml:space="preserve"> de agravio: </w:t>
      </w:r>
      <w:r w:rsidR="00CC2C65">
        <w:rPr>
          <w:rFonts w:ascii="Arial" w:hAnsi="Arial" w:cs="Arial"/>
          <w:sz w:val="24"/>
          <w:szCs w:val="24"/>
        </w:rPr>
        <w:t>l</w:t>
      </w:r>
      <w:r w:rsidR="00CC2C65" w:rsidRPr="00CC2C65">
        <w:rPr>
          <w:rFonts w:ascii="Arial" w:hAnsi="Arial" w:cs="Arial"/>
          <w:sz w:val="24"/>
          <w:szCs w:val="24"/>
        </w:rPr>
        <w:t xml:space="preserve">a </w:t>
      </w:r>
      <w:r w:rsidR="00CC2C65">
        <w:rPr>
          <w:rFonts w:ascii="Arial" w:hAnsi="Arial" w:cs="Arial"/>
          <w:sz w:val="24"/>
          <w:szCs w:val="24"/>
        </w:rPr>
        <w:t>clasificación de la información; l</w:t>
      </w:r>
      <w:r w:rsidR="00CC2C65" w:rsidRPr="00CC2C65">
        <w:rPr>
          <w:rFonts w:ascii="Arial" w:hAnsi="Arial" w:cs="Arial"/>
          <w:sz w:val="24"/>
          <w:szCs w:val="24"/>
        </w:rPr>
        <w:t>a en</w:t>
      </w:r>
      <w:r w:rsidR="00CC2C65">
        <w:rPr>
          <w:rFonts w:ascii="Arial" w:hAnsi="Arial" w:cs="Arial"/>
          <w:sz w:val="24"/>
          <w:szCs w:val="24"/>
        </w:rPr>
        <w:t>trega de información incompleta; l</w:t>
      </w:r>
      <w:r w:rsidR="00CC2C65" w:rsidRPr="00CC2C65">
        <w:rPr>
          <w:rFonts w:ascii="Arial" w:hAnsi="Arial" w:cs="Arial"/>
          <w:sz w:val="24"/>
          <w:szCs w:val="24"/>
        </w:rPr>
        <w:t>a entrega de información que no corresponde con lo solicitado</w:t>
      </w:r>
      <w:r w:rsidR="00CC2C65">
        <w:rPr>
          <w:rFonts w:ascii="Arial" w:hAnsi="Arial" w:cs="Arial"/>
          <w:sz w:val="24"/>
          <w:szCs w:val="24"/>
        </w:rPr>
        <w:t>; l</w:t>
      </w:r>
      <w:r w:rsidR="00CC2C65" w:rsidRPr="00CC2C65">
        <w:rPr>
          <w:rFonts w:ascii="Arial" w:hAnsi="Arial" w:cs="Arial"/>
          <w:sz w:val="24"/>
          <w:szCs w:val="24"/>
        </w:rPr>
        <w:t xml:space="preserve">a notificación, entrega o puesta a disposición de información en una modalidad o </w:t>
      </w:r>
      <w:r w:rsidR="00CC2C65">
        <w:rPr>
          <w:rFonts w:ascii="Arial" w:hAnsi="Arial" w:cs="Arial"/>
          <w:sz w:val="24"/>
          <w:szCs w:val="24"/>
        </w:rPr>
        <w:t>formato distinto al solicitado; l</w:t>
      </w:r>
      <w:r w:rsidR="00CC2C65" w:rsidRPr="00CC2C65">
        <w:rPr>
          <w:rFonts w:ascii="Arial" w:hAnsi="Arial" w:cs="Arial"/>
          <w:sz w:val="24"/>
          <w:szCs w:val="24"/>
        </w:rPr>
        <w:t>os costos o tiemp</w:t>
      </w:r>
      <w:r w:rsidR="00CC2C65">
        <w:rPr>
          <w:rFonts w:ascii="Arial" w:hAnsi="Arial" w:cs="Arial"/>
          <w:sz w:val="24"/>
          <w:szCs w:val="24"/>
        </w:rPr>
        <w:t>os de entrega de la información; l</w:t>
      </w:r>
      <w:r w:rsidR="00CC2C65" w:rsidRPr="00CC2C65">
        <w:rPr>
          <w:rFonts w:ascii="Arial" w:hAnsi="Arial" w:cs="Arial"/>
          <w:sz w:val="24"/>
          <w:szCs w:val="24"/>
        </w:rPr>
        <w:t>a falta, deficiencia o insuficiencia de la fundamentación y/o motivación en la</w:t>
      </w:r>
      <w:r w:rsidR="00CC2C65">
        <w:rPr>
          <w:rFonts w:ascii="Arial" w:hAnsi="Arial" w:cs="Arial"/>
          <w:sz w:val="24"/>
          <w:szCs w:val="24"/>
        </w:rPr>
        <w:t xml:space="preserve"> respuesta y l</w:t>
      </w:r>
      <w:r w:rsidR="00CC2C65" w:rsidRPr="00CC2C65">
        <w:rPr>
          <w:rFonts w:ascii="Arial" w:hAnsi="Arial" w:cs="Arial"/>
          <w:sz w:val="24"/>
          <w:szCs w:val="24"/>
        </w:rPr>
        <w:t>a orientación a un trámite especifico.</w:t>
      </w:r>
    </w:p>
    <w:p w14:paraId="2FB6B210" w14:textId="77777777" w:rsidR="00E320CD" w:rsidRPr="006C3BD5" w:rsidRDefault="00E320CD" w:rsidP="00E134F5">
      <w:pPr>
        <w:autoSpaceDE w:val="0"/>
        <w:autoSpaceDN w:val="0"/>
        <w:adjustRightInd w:val="0"/>
        <w:spacing w:after="0" w:line="360" w:lineRule="auto"/>
        <w:ind w:firstLine="708"/>
        <w:jc w:val="both"/>
        <w:rPr>
          <w:rFonts w:ascii="Arial" w:hAnsi="Arial" w:cs="Arial"/>
          <w:sz w:val="24"/>
          <w:szCs w:val="24"/>
        </w:rPr>
      </w:pPr>
    </w:p>
    <w:p w14:paraId="2A22763E" w14:textId="0905ADD6" w:rsidR="00E320CD" w:rsidRDefault="00E320CD" w:rsidP="00E320CD">
      <w:pPr>
        <w:pStyle w:val="Estilo"/>
        <w:spacing w:line="360" w:lineRule="auto"/>
        <w:ind w:firstLine="709"/>
        <w:rPr>
          <w:rFonts w:cs="Arial"/>
          <w:b/>
          <w:bCs/>
          <w:i/>
          <w:szCs w:val="24"/>
        </w:rPr>
      </w:pPr>
      <w:r w:rsidRPr="006C3BD5">
        <w:rPr>
          <w:rFonts w:cs="Arial"/>
          <w:szCs w:val="24"/>
        </w:rPr>
        <w:t xml:space="preserve">Entonces, la litis en el presente asunto se fija conforme a las causales de procedencia que actualizan los motivos de inconformidad formulados por el ahora recurrente, esto es: </w:t>
      </w:r>
      <w:r w:rsidRPr="006C3BD5">
        <w:rPr>
          <w:rFonts w:cs="Arial"/>
          <w:i/>
          <w:szCs w:val="24"/>
        </w:rPr>
        <w:t xml:space="preserve">(i) La </w:t>
      </w:r>
      <w:r w:rsidR="009B43FB">
        <w:rPr>
          <w:rFonts w:cs="Arial"/>
          <w:i/>
          <w:szCs w:val="24"/>
        </w:rPr>
        <w:t xml:space="preserve">clasificación de la información. </w:t>
      </w:r>
    </w:p>
    <w:p w14:paraId="64EA7093" w14:textId="77777777" w:rsidR="00FD3669" w:rsidRPr="005475F3" w:rsidRDefault="00FD3669" w:rsidP="00FD3669">
      <w:pPr>
        <w:pStyle w:val="Estilo"/>
        <w:spacing w:line="360" w:lineRule="auto"/>
        <w:ind w:firstLine="709"/>
        <w:rPr>
          <w:rFonts w:cs="Arial"/>
          <w:szCs w:val="24"/>
        </w:rPr>
      </w:pPr>
    </w:p>
    <w:p w14:paraId="544B231B" w14:textId="6988E3DF" w:rsidR="00E4739F" w:rsidRDefault="00552FC8" w:rsidP="00E4739F">
      <w:pPr>
        <w:spacing w:after="0" w:line="360" w:lineRule="auto"/>
        <w:ind w:firstLine="709"/>
        <w:jc w:val="both"/>
        <w:rPr>
          <w:rFonts w:ascii="Arial" w:eastAsia="Arial Unicode MS" w:hAnsi="Arial" w:cs="Arial"/>
          <w:sz w:val="24"/>
          <w:szCs w:val="24"/>
          <w:lang w:eastAsia="es-ES"/>
        </w:rPr>
      </w:pPr>
      <w:r w:rsidRPr="00035D9B">
        <w:rPr>
          <w:rFonts w:ascii="Arial" w:eastAsia="Arial Unicode MS" w:hAnsi="Arial" w:cs="Arial"/>
          <w:b/>
          <w:bCs/>
          <w:sz w:val="24"/>
          <w:szCs w:val="24"/>
          <w:lang w:eastAsia="es-ES"/>
        </w:rPr>
        <w:t>SÉPTIMO</w:t>
      </w:r>
      <w:r w:rsidR="00CF1ACC" w:rsidRPr="00035D9B">
        <w:rPr>
          <w:rFonts w:ascii="Arial" w:eastAsia="Arial Unicode MS" w:hAnsi="Arial" w:cs="Arial"/>
          <w:b/>
          <w:bCs/>
          <w:sz w:val="24"/>
          <w:szCs w:val="24"/>
          <w:lang w:eastAsia="es-ES"/>
        </w:rPr>
        <w:t xml:space="preserve">. </w:t>
      </w:r>
      <w:r w:rsidR="00CF1ACC" w:rsidRPr="00035D9B">
        <w:rPr>
          <w:rFonts w:ascii="Arial" w:eastAsia="Arial Unicode MS" w:hAnsi="Arial" w:cs="Arial"/>
          <w:b/>
          <w:sz w:val="24"/>
          <w:szCs w:val="24"/>
          <w:lang w:eastAsia="es-ES"/>
        </w:rPr>
        <w:t>Estudio</w:t>
      </w:r>
      <w:r w:rsidR="00035D9B">
        <w:rPr>
          <w:rFonts w:ascii="Arial" w:eastAsia="Arial Unicode MS" w:hAnsi="Arial" w:cs="Arial"/>
          <w:b/>
          <w:sz w:val="24"/>
          <w:szCs w:val="24"/>
          <w:lang w:eastAsia="es-ES"/>
        </w:rPr>
        <w:t xml:space="preserve">. </w:t>
      </w:r>
      <w:r w:rsidR="00E4739F" w:rsidRPr="00DF0231">
        <w:rPr>
          <w:rFonts w:ascii="Arial" w:eastAsia="Arial Unicode MS" w:hAnsi="Arial" w:cs="Arial"/>
          <w:sz w:val="24"/>
          <w:szCs w:val="24"/>
          <w:lang w:eastAsia="es-ES"/>
        </w:rPr>
        <w:t>Esta Comisión procede, con fundamento en el artículo 174 fracción VII de la Ley de Transparencia y Acceso a la Información Pública del Estado, al estudio de l</w:t>
      </w:r>
      <w:r w:rsidR="00E4739F">
        <w:rPr>
          <w:rFonts w:ascii="Arial" w:eastAsia="Arial Unicode MS" w:hAnsi="Arial" w:cs="Arial"/>
          <w:sz w:val="24"/>
          <w:szCs w:val="24"/>
          <w:lang w:eastAsia="es-ES"/>
        </w:rPr>
        <w:t>a inconformidad planteada por la</w:t>
      </w:r>
      <w:r w:rsidR="00E4739F" w:rsidRPr="00DF0231">
        <w:rPr>
          <w:rFonts w:ascii="Arial" w:eastAsia="Arial Unicode MS" w:hAnsi="Arial" w:cs="Arial"/>
          <w:sz w:val="24"/>
          <w:szCs w:val="24"/>
          <w:lang w:eastAsia="es-ES"/>
        </w:rPr>
        <w:t xml:space="preserve"> hoy recurrente, </w:t>
      </w:r>
      <w:r w:rsidR="00E4739F">
        <w:rPr>
          <w:rFonts w:ascii="Arial" w:eastAsia="Arial Unicode MS" w:hAnsi="Arial" w:cs="Arial"/>
          <w:sz w:val="24"/>
          <w:szCs w:val="24"/>
          <w:lang w:eastAsia="es-ES"/>
        </w:rPr>
        <w:t xml:space="preserve">sin que resulte procedente el análisis de elementos que no fueron causa de inconformidad, a través de la presentación del recurso de revisión, por </w:t>
      </w:r>
      <w:r w:rsidR="00E4739F">
        <w:rPr>
          <w:rFonts w:ascii="Arial" w:eastAsia="Arial Unicode MS" w:hAnsi="Arial" w:cs="Arial"/>
          <w:sz w:val="24"/>
          <w:szCs w:val="24"/>
          <w:lang w:eastAsia="es-ES"/>
        </w:rPr>
        <w:lastRenderedPageBreak/>
        <w:t>éstos tratarse de actos consentidos</w:t>
      </w:r>
      <w:r w:rsidR="00E4739F">
        <w:rPr>
          <w:rStyle w:val="Refdenotaalpie"/>
          <w:rFonts w:ascii="Arial" w:eastAsia="Arial Unicode MS" w:hAnsi="Arial" w:cs="Arial"/>
          <w:sz w:val="24"/>
          <w:szCs w:val="24"/>
          <w:lang w:eastAsia="es-ES"/>
        </w:rPr>
        <w:footnoteReference w:id="4"/>
      </w:r>
      <w:r w:rsidR="00E4739F">
        <w:rPr>
          <w:rFonts w:ascii="Arial" w:eastAsia="Arial Unicode MS" w:hAnsi="Arial" w:cs="Arial"/>
          <w:sz w:val="24"/>
          <w:szCs w:val="24"/>
          <w:lang w:eastAsia="es-ES"/>
        </w:rPr>
        <w:t>; en los términos que se patentizan a continuación.</w:t>
      </w:r>
    </w:p>
    <w:p w14:paraId="439AC37E" w14:textId="77777777" w:rsidR="00665FCC" w:rsidRPr="00DF0231" w:rsidRDefault="00665FCC" w:rsidP="00E4739F">
      <w:pPr>
        <w:spacing w:after="0" w:line="360" w:lineRule="auto"/>
        <w:ind w:firstLine="709"/>
        <w:jc w:val="both"/>
        <w:rPr>
          <w:rFonts w:ascii="Arial" w:eastAsia="Arial Unicode MS" w:hAnsi="Arial" w:cs="Arial"/>
          <w:sz w:val="24"/>
          <w:szCs w:val="24"/>
          <w:lang w:eastAsia="es-ES"/>
        </w:rPr>
      </w:pPr>
    </w:p>
    <w:p w14:paraId="6B51878B" w14:textId="77777777" w:rsidR="00E4739F" w:rsidRDefault="00E4739F" w:rsidP="00E4739F">
      <w:pPr>
        <w:spacing w:after="0" w:line="360" w:lineRule="auto"/>
        <w:ind w:firstLine="709"/>
        <w:jc w:val="both"/>
        <w:rPr>
          <w:rFonts w:ascii="Arial" w:eastAsia="Arial" w:hAnsi="Arial" w:cs="Arial"/>
          <w:bCs/>
          <w:sz w:val="24"/>
        </w:rPr>
      </w:pPr>
      <w:r>
        <w:rPr>
          <w:rFonts w:ascii="Arial" w:hAnsi="Arial" w:cs="Arial"/>
          <w:sz w:val="24"/>
          <w:szCs w:val="24"/>
        </w:rPr>
        <w:t xml:space="preserve">Con la finalidad de resolver de manera efectiva el motivo de inconformidad planteado por la parte recurrente, se procede a examinarla bajo </w:t>
      </w:r>
      <w:r>
        <w:rPr>
          <w:rFonts w:ascii="Arial" w:eastAsia="Arial" w:hAnsi="Arial" w:cs="Arial"/>
          <w:bCs/>
          <w:sz w:val="24"/>
        </w:rPr>
        <w:t>los principios d</w:t>
      </w:r>
      <w:r w:rsidRPr="009F46E5">
        <w:rPr>
          <w:rFonts w:ascii="Arial" w:eastAsia="Arial" w:hAnsi="Arial" w:cs="Arial"/>
          <w:bCs/>
          <w:sz w:val="24"/>
        </w:rPr>
        <w:t xml:space="preserve">e </w:t>
      </w:r>
      <w:r w:rsidRPr="009F46E5">
        <w:rPr>
          <w:rFonts w:ascii="Arial" w:eastAsia="Arial" w:hAnsi="Arial" w:cs="Arial"/>
          <w:bCs/>
          <w:i/>
          <w:sz w:val="24"/>
        </w:rPr>
        <w:t xml:space="preserve">congruencia </w:t>
      </w:r>
      <w:r w:rsidRPr="009F46E5">
        <w:rPr>
          <w:rFonts w:ascii="Arial" w:eastAsia="Arial" w:hAnsi="Arial" w:cs="Arial"/>
          <w:bCs/>
          <w:sz w:val="24"/>
        </w:rPr>
        <w:t xml:space="preserve">y </w:t>
      </w:r>
      <w:r w:rsidRPr="009F46E5">
        <w:rPr>
          <w:rFonts w:ascii="Arial" w:eastAsia="Arial" w:hAnsi="Arial" w:cs="Arial"/>
          <w:bCs/>
          <w:i/>
          <w:sz w:val="24"/>
        </w:rPr>
        <w:t>de mayor beneficio</w:t>
      </w:r>
      <w:r>
        <w:rPr>
          <w:rStyle w:val="Refdenotaalpie"/>
          <w:rFonts w:ascii="Arial" w:eastAsia="Arial" w:hAnsi="Arial" w:cs="Arial"/>
          <w:bCs/>
          <w:i/>
          <w:sz w:val="24"/>
        </w:rPr>
        <w:footnoteReference w:id="5"/>
      </w:r>
      <w:r w:rsidRPr="009F46E5">
        <w:rPr>
          <w:rFonts w:ascii="Arial" w:eastAsia="Arial" w:hAnsi="Arial" w:cs="Arial"/>
          <w:bCs/>
          <w:sz w:val="24"/>
        </w:rPr>
        <w:t xml:space="preserve">, </w:t>
      </w:r>
      <w:r>
        <w:rPr>
          <w:rFonts w:ascii="Arial" w:eastAsia="Arial" w:hAnsi="Arial" w:cs="Arial"/>
          <w:bCs/>
          <w:sz w:val="24"/>
        </w:rPr>
        <w:t xml:space="preserve">conforme a lo siguiente: </w:t>
      </w:r>
    </w:p>
    <w:p w14:paraId="73D18231" w14:textId="77777777" w:rsidR="00592770" w:rsidRPr="00D10361" w:rsidRDefault="00592770" w:rsidP="00592770">
      <w:pPr>
        <w:pStyle w:val="Estilo"/>
        <w:ind w:left="1134"/>
        <w:rPr>
          <w:rFonts w:cs="Arial"/>
          <w:iCs/>
          <w:sz w:val="22"/>
        </w:rPr>
      </w:pPr>
    </w:p>
    <w:p w14:paraId="477C7F32" w14:textId="6149AA65" w:rsidR="00592770" w:rsidRDefault="00592770" w:rsidP="00592770">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La persona recurrente manifestó que la </w:t>
      </w:r>
      <w:r w:rsidRPr="003E4197">
        <w:rPr>
          <w:rFonts w:ascii="Arial" w:eastAsia="Arial Unicode MS" w:hAnsi="Arial" w:cs="Arial"/>
          <w:b/>
          <w:sz w:val="24"/>
          <w:szCs w:val="24"/>
          <w:u w:val="single"/>
          <w:lang w:eastAsia="es-ES"/>
        </w:rPr>
        <w:t>clasificación de la información</w:t>
      </w:r>
      <w:r>
        <w:rPr>
          <w:rFonts w:ascii="Arial" w:eastAsia="Arial Unicode MS" w:hAnsi="Arial" w:cs="Arial"/>
          <w:b/>
          <w:sz w:val="24"/>
          <w:szCs w:val="24"/>
          <w:u w:val="single"/>
          <w:lang w:eastAsia="es-ES"/>
        </w:rPr>
        <w:t xml:space="preserve"> con carácter de confidencial</w:t>
      </w:r>
      <w:r>
        <w:rPr>
          <w:rFonts w:ascii="Arial" w:eastAsia="Arial Unicode MS" w:hAnsi="Arial" w:cs="Arial"/>
          <w:sz w:val="24"/>
          <w:szCs w:val="24"/>
          <w:lang w:eastAsia="es-ES"/>
        </w:rPr>
        <w:t xml:space="preserve">, no cumplía con los requisitos determinados en la legislación aplicable al caso en concreto; </w:t>
      </w:r>
      <w:r w:rsidRPr="00D42945">
        <w:rPr>
          <w:rFonts w:ascii="Arial" w:eastAsia="Arial Unicode MS" w:hAnsi="Arial" w:cs="Arial"/>
          <w:b/>
          <w:sz w:val="24"/>
          <w:szCs w:val="24"/>
          <w:u w:val="single"/>
          <w:lang w:eastAsia="es-ES"/>
        </w:rPr>
        <w:t>a</w:t>
      </w:r>
      <w:r w:rsidRPr="009B4AFE">
        <w:rPr>
          <w:rFonts w:ascii="Arial" w:eastAsia="Arial Unicode MS" w:hAnsi="Arial" w:cs="Arial"/>
          <w:b/>
          <w:sz w:val="24"/>
          <w:szCs w:val="24"/>
          <w:u w:val="single"/>
          <w:lang w:eastAsia="es-ES"/>
        </w:rPr>
        <w:t xml:space="preserve">gravio </w:t>
      </w:r>
      <w:r>
        <w:rPr>
          <w:rFonts w:ascii="Arial" w:eastAsia="Arial Unicode MS" w:hAnsi="Arial" w:cs="Arial"/>
          <w:b/>
          <w:sz w:val="24"/>
          <w:szCs w:val="24"/>
          <w:u w:val="single"/>
          <w:lang w:eastAsia="es-ES"/>
        </w:rPr>
        <w:t xml:space="preserve">que </w:t>
      </w:r>
      <w:r w:rsidRPr="009B4AFE">
        <w:rPr>
          <w:rFonts w:ascii="Arial" w:eastAsia="Arial Unicode MS" w:hAnsi="Arial" w:cs="Arial"/>
          <w:b/>
          <w:sz w:val="24"/>
          <w:szCs w:val="24"/>
          <w:u w:val="single"/>
          <w:lang w:eastAsia="es-ES"/>
        </w:rPr>
        <w:t>deviene</w:t>
      </w:r>
      <w:r w:rsidR="00EA6A97">
        <w:rPr>
          <w:rFonts w:ascii="Arial" w:eastAsia="Arial Unicode MS" w:hAnsi="Arial" w:cs="Arial"/>
          <w:b/>
          <w:sz w:val="24"/>
          <w:szCs w:val="24"/>
          <w:u w:val="single"/>
          <w:lang w:eastAsia="es-ES"/>
        </w:rPr>
        <w:t xml:space="preserve"> parcialmente</w:t>
      </w:r>
      <w:r>
        <w:rPr>
          <w:rFonts w:ascii="Arial" w:eastAsia="Arial Unicode MS" w:hAnsi="Arial" w:cs="Arial"/>
          <w:b/>
          <w:sz w:val="24"/>
          <w:szCs w:val="24"/>
          <w:u w:val="single"/>
          <w:lang w:eastAsia="es-ES"/>
        </w:rPr>
        <w:t xml:space="preserve"> </w:t>
      </w:r>
      <w:r w:rsidRPr="009B4AFE">
        <w:rPr>
          <w:rFonts w:ascii="Arial" w:eastAsia="Arial Unicode MS" w:hAnsi="Arial" w:cs="Arial"/>
          <w:b/>
          <w:sz w:val="24"/>
          <w:szCs w:val="24"/>
          <w:u w:val="single"/>
          <w:lang w:eastAsia="es-ES"/>
        </w:rPr>
        <w:t>fundado</w:t>
      </w:r>
      <w:r>
        <w:rPr>
          <w:rFonts w:ascii="Arial" w:eastAsia="Arial Unicode MS" w:hAnsi="Arial" w:cs="Arial"/>
          <w:sz w:val="24"/>
          <w:szCs w:val="24"/>
          <w:lang w:eastAsia="es-ES"/>
        </w:rPr>
        <w:t>, por las consideraciones que a continuación se hacen patentes.</w:t>
      </w:r>
    </w:p>
    <w:p w14:paraId="0E288280" w14:textId="77777777" w:rsidR="00592770" w:rsidRPr="009551B5" w:rsidRDefault="00592770" w:rsidP="00592770">
      <w:pPr>
        <w:pStyle w:val="Estilo"/>
        <w:spacing w:line="360" w:lineRule="auto"/>
        <w:rPr>
          <w:rFonts w:cs="Arial"/>
          <w:szCs w:val="24"/>
        </w:rPr>
      </w:pPr>
    </w:p>
    <w:p w14:paraId="43231A1A" w14:textId="77777777" w:rsidR="00592770" w:rsidRDefault="00592770" w:rsidP="00592770">
      <w:pPr>
        <w:spacing w:after="0" w:line="360" w:lineRule="auto"/>
        <w:ind w:firstLine="708"/>
        <w:jc w:val="both"/>
        <w:rPr>
          <w:rFonts w:ascii="Arial" w:eastAsia="Arial Unicode MS" w:hAnsi="Arial" w:cs="Arial"/>
          <w:b/>
          <w:bCs/>
          <w:sz w:val="24"/>
          <w:szCs w:val="24"/>
          <w:lang w:eastAsia="es-ES"/>
        </w:rPr>
      </w:pPr>
      <w:r>
        <w:rPr>
          <w:rFonts w:ascii="Arial" w:eastAsia="Arial Unicode MS" w:hAnsi="Arial" w:cs="Arial"/>
          <w:b/>
          <w:bCs/>
          <w:sz w:val="24"/>
          <w:szCs w:val="24"/>
          <w:lang w:eastAsia="es-ES"/>
        </w:rPr>
        <w:t>(i) F</w:t>
      </w:r>
      <w:r w:rsidRPr="00B07DE8">
        <w:rPr>
          <w:rFonts w:ascii="Arial" w:eastAsia="Arial Unicode MS" w:hAnsi="Arial" w:cs="Arial"/>
          <w:b/>
          <w:bCs/>
          <w:sz w:val="24"/>
          <w:szCs w:val="24"/>
          <w:lang w:eastAsia="es-ES"/>
        </w:rPr>
        <w:t>ormulación de la norma que consagra la limitación</w:t>
      </w:r>
      <w:r>
        <w:rPr>
          <w:rFonts w:ascii="Arial" w:eastAsia="Arial Unicode MS" w:hAnsi="Arial" w:cs="Arial"/>
          <w:b/>
          <w:bCs/>
          <w:sz w:val="24"/>
          <w:szCs w:val="24"/>
          <w:lang w:eastAsia="es-ES"/>
        </w:rPr>
        <w:t xml:space="preserve"> o restricción (información confidencial).</w:t>
      </w:r>
    </w:p>
    <w:p w14:paraId="34AD3ABA" w14:textId="77777777" w:rsidR="00592770" w:rsidRDefault="00592770" w:rsidP="00592770">
      <w:pPr>
        <w:spacing w:after="0" w:line="360" w:lineRule="auto"/>
        <w:ind w:firstLine="708"/>
        <w:jc w:val="both"/>
        <w:rPr>
          <w:rFonts w:ascii="Arial" w:eastAsia="Arial Unicode MS" w:hAnsi="Arial" w:cs="Arial"/>
          <w:b/>
          <w:bCs/>
          <w:sz w:val="24"/>
          <w:szCs w:val="24"/>
          <w:lang w:eastAsia="es-ES"/>
        </w:rPr>
      </w:pPr>
    </w:p>
    <w:p w14:paraId="74B2BEE5" w14:textId="77777777" w:rsidR="00592770" w:rsidRDefault="00592770" w:rsidP="00592770">
      <w:pPr>
        <w:spacing w:after="0" w:line="360" w:lineRule="auto"/>
        <w:ind w:firstLine="709"/>
        <w:jc w:val="both"/>
        <w:rPr>
          <w:rFonts w:ascii="Arial" w:eastAsia="Arial Unicode MS" w:hAnsi="Arial" w:cs="Arial"/>
          <w:sz w:val="24"/>
          <w:szCs w:val="24"/>
          <w:lang w:eastAsia="es-ES"/>
        </w:rPr>
      </w:pPr>
      <w:r>
        <w:rPr>
          <w:rFonts w:ascii="Arial" w:eastAsia="Arial Unicode MS" w:hAnsi="Arial" w:cs="Arial"/>
          <w:sz w:val="24"/>
          <w:szCs w:val="24"/>
          <w:lang w:eastAsia="es-ES"/>
        </w:rPr>
        <w:t>Atendiendo la causa que nos ocupa, se precisa que l</w:t>
      </w:r>
      <w:r w:rsidRPr="00517456">
        <w:rPr>
          <w:rFonts w:ascii="Arial" w:eastAsia="Arial Unicode MS" w:hAnsi="Arial" w:cs="Arial"/>
          <w:sz w:val="24"/>
          <w:szCs w:val="24"/>
          <w:lang w:eastAsia="es-ES"/>
        </w:rPr>
        <w:t>a información confidencial</w:t>
      </w:r>
      <w:r>
        <w:rPr>
          <w:rStyle w:val="Refdenotaalpie"/>
          <w:rFonts w:ascii="Arial" w:eastAsia="Arial Unicode MS" w:hAnsi="Arial" w:cs="Arial"/>
          <w:sz w:val="24"/>
          <w:szCs w:val="24"/>
          <w:lang w:eastAsia="es-ES"/>
        </w:rPr>
        <w:footnoteReference w:id="6"/>
      </w:r>
      <w:r w:rsidRPr="00517456">
        <w:rPr>
          <w:rFonts w:ascii="Arial" w:eastAsia="Arial Unicode MS" w:hAnsi="Arial" w:cs="Arial"/>
          <w:sz w:val="24"/>
          <w:szCs w:val="24"/>
          <w:lang w:eastAsia="es-ES"/>
        </w:rPr>
        <w:t xml:space="preserve"> representa la segunda limitació</w:t>
      </w:r>
      <w:r>
        <w:rPr>
          <w:rFonts w:ascii="Arial" w:eastAsia="Arial Unicode MS" w:hAnsi="Arial" w:cs="Arial"/>
          <w:sz w:val="24"/>
          <w:szCs w:val="24"/>
          <w:lang w:eastAsia="es-ES"/>
        </w:rPr>
        <w:t>n al artículo 6º</w:t>
      </w:r>
      <w:r>
        <w:rPr>
          <w:rStyle w:val="Refdenotaalpie"/>
          <w:rFonts w:ascii="Arial" w:eastAsia="Arial Unicode MS" w:hAnsi="Arial" w:cs="Arial"/>
          <w:sz w:val="24"/>
          <w:szCs w:val="24"/>
          <w:lang w:eastAsia="es-ES"/>
        </w:rPr>
        <w:footnoteReference w:id="7"/>
      </w:r>
      <w:r>
        <w:rPr>
          <w:rFonts w:ascii="Arial" w:eastAsia="Arial Unicode MS" w:hAnsi="Arial" w:cs="Arial"/>
          <w:sz w:val="24"/>
          <w:szCs w:val="24"/>
          <w:lang w:eastAsia="es-ES"/>
        </w:rPr>
        <w:t xml:space="preserve"> de la Carta Magna </w:t>
      </w:r>
      <w:r w:rsidRPr="00517456">
        <w:rPr>
          <w:rFonts w:ascii="Arial" w:eastAsia="Arial Unicode MS" w:hAnsi="Arial" w:cs="Arial"/>
          <w:sz w:val="24"/>
          <w:szCs w:val="24"/>
          <w:lang w:eastAsia="es-ES"/>
        </w:rPr>
        <w:lastRenderedPageBreak/>
        <w:t>(si se considera a la reservada como la primera), por limitar el acceso y/o publicidad de la misma; sin embargo, es de señalarse que</w:t>
      </w:r>
      <w:r>
        <w:rPr>
          <w:rFonts w:ascii="Arial" w:eastAsia="Arial Unicode MS" w:hAnsi="Arial" w:cs="Arial"/>
          <w:sz w:val="24"/>
          <w:szCs w:val="24"/>
          <w:lang w:eastAsia="es-ES"/>
        </w:rPr>
        <w:t>,</w:t>
      </w:r>
      <w:r w:rsidRPr="00517456">
        <w:rPr>
          <w:rFonts w:ascii="Arial" w:eastAsia="Arial Unicode MS" w:hAnsi="Arial" w:cs="Arial"/>
          <w:sz w:val="24"/>
          <w:szCs w:val="24"/>
          <w:lang w:eastAsia="es-ES"/>
        </w:rPr>
        <w:t xml:space="preserve"> si se ve de esta manera, dicha restricción se justificaría por los datos inmersos en ella, pero principalmente porque no es información pública. </w:t>
      </w:r>
    </w:p>
    <w:p w14:paraId="0852426B" w14:textId="77777777" w:rsidR="00592770" w:rsidRDefault="00592770" w:rsidP="00592770">
      <w:pPr>
        <w:spacing w:after="0" w:line="360" w:lineRule="auto"/>
        <w:ind w:firstLine="709"/>
        <w:jc w:val="both"/>
        <w:rPr>
          <w:rFonts w:ascii="Arial" w:eastAsia="Arial Unicode MS" w:hAnsi="Arial" w:cs="Arial"/>
          <w:sz w:val="24"/>
          <w:szCs w:val="24"/>
          <w:lang w:eastAsia="es-ES"/>
        </w:rPr>
      </w:pPr>
    </w:p>
    <w:p w14:paraId="56CAB3A6" w14:textId="77777777" w:rsidR="00592770" w:rsidRDefault="00592770" w:rsidP="00592770">
      <w:pPr>
        <w:spacing w:after="0" w:line="360" w:lineRule="auto"/>
        <w:ind w:firstLine="709"/>
        <w:jc w:val="both"/>
        <w:rPr>
          <w:rFonts w:ascii="Arial" w:eastAsia="Arial Unicode MS" w:hAnsi="Arial" w:cs="Arial"/>
          <w:sz w:val="24"/>
          <w:szCs w:val="24"/>
          <w:lang w:eastAsia="es-ES"/>
        </w:rPr>
      </w:pPr>
      <w:r w:rsidRPr="00B07DE8">
        <w:rPr>
          <w:rFonts w:ascii="Arial" w:eastAsia="Arial Unicode MS" w:hAnsi="Arial" w:cs="Arial"/>
          <w:sz w:val="24"/>
          <w:szCs w:val="24"/>
          <w:lang w:eastAsia="es-ES"/>
        </w:rPr>
        <w:t xml:space="preserve">Ahora bien, </w:t>
      </w:r>
      <w:r>
        <w:rPr>
          <w:rFonts w:ascii="Arial" w:eastAsia="Arial Unicode MS" w:hAnsi="Arial" w:cs="Arial"/>
          <w:sz w:val="24"/>
          <w:szCs w:val="24"/>
          <w:lang w:eastAsia="es-ES"/>
        </w:rPr>
        <w:t>al prov</w:t>
      </w:r>
      <w:r w:rsidRPr="00B07DE8">
        <w:rPr>
          <w:rFonts w:ascii="Arial" w:eastAsia="Arial Unicode MS" w:hAnsi="Arial" w:cs="Arial"/>
          <w:sz w:val="24"/>
          <w:szCs w:val="24"/>
          <w:lang w:eastAsia="es-ES"/>
        </w:rPr>
        <w:t>e</w:t>
      </w:r>
      <w:r>
        <w:rPr>
          <w:rFonts w:ascii="Arial" w:eastAsia="Arial Unicode MS" w:hAnsi="Arial" w:cs="Arial"/>
          <w:sz w:val="24"/>
          <w:szCs w:val="24"/>
          <w:lang w:eastAsia="es-ES"/>
        </w:rPr>
        <w:t>nir</w:t>
      </w:r>
      <w:r w:rsidRPr="00B07DE8">
        <w:rPr>
          <w:rFonts w:ascii="Arial" w:eastAsia="Arial Unicode MS" w:hAnsi="Arial" w:cs="Arial"/>
          <w:sz w:val="24"/>
          <w:szCs w:val="24"/>
          <w:lang w:eastAsia="es-ES"/>
        </w:rPr>
        <w:t xml:space="preserve"> la restricción o limitación del </w:t>
      </w:r>
      <w:r>
        <w:rPr>
          <w:rFonts w:ascii="Arial" w:eastAsia="Arial Unicode MS" w:hAnsi="Arial" w:cs="Arial"/>
          <w:sz w:val="24"/>
          <w:szCs w:val="24"/>
          <w:lang w:eastAsia="es-ES"/>
        </w:rPr>
        <w:t xml:space="preserve">orden constitucional, </w:t>
      </w:r>
      <w:r w:rsidRPr="00B07DE8">
        <w:rPr>
          <w:rFonts w:ascii="Arial" w:eastAsia="Arial Unicode MS" w:hAnsi="Arial" w:cs="Arial"/>
          <w:sz w:val="24"/>
          <w:szCs w:val="24"/>
          <w:lang w:eastAsia="es-ES"/>
        </w:rPr>
        <w:t xml:space="preserve">es preciso observar </w:t>
      </w:r>
      <w:r>
        <w:rPr>
          <w:rFonts w:ascii="Arial" w:eastAsia="Arial Unicode MS" w:hAnsi="Arial" w:cs="Arial"/>
          <w:sz w:val="24"/>
          <w:szCs w:val="24"/>
          <w:lang w:eastAsia="es-ES"/>
        </w:rPr>
        <w:t xml:space="preserve">-en el caso concreto-, </w:t>
      </w:r>
      <w:r w:rsidRPr="00B07DE8">
        <w:rPr>
          <w:rFonts w:ascii="Arial" w:eastAsia="Arial Unicode MS" w:hAnsi="Arial" w:cs="Arial"/>
          <w:sz w:val="24"/>
          <w:szCs w:val="24"/>
          <w:lang w:eastAsia="es-ES"/>
        </w:rPr>
        <w:t xml:space="preserve">los estrictos requerimientos característicos de la tipificación </w:t>
      </w:r>
      <w:r>
        <w:rPr>
          <w:rFonts w:ascii="Arial" w:eastAsia="Arial Unicode MS" w:hAnsi="Arial" w:cs="Arial"/>
          <w:sz w:val="24"/>
          <w:szCs w:val="24"/>
          <w:lang w:eastAsia="es-ES"/>
        </w:rPr>
        <w:t xml:space="preserve">como información confidencial </w:t>
      </w:r>
      <w:r w:rsidRPr="00B07DE8">
        <w:rPr>
          <w:rFonts w:ascii="Arial" w:eastAsia="Arial Unicode MS" w:hAnsi="Arial" w:cs="Arial"/>
          <w:sz w:val="24"/>
          <w:szCs w:val="24"/>
          <w:lang w:eastAsia="es-ES"/>
        </w:rPr>
        <w:t>para satisfacer en este ámbito el principio de legalidad. Así, deben formularse en forma expr</w:t>
      </w:r>
      <w:r>
        <w:rPr>
          <w:rFonts w:ascii="Arial" w:eastAsia="Arial Unicode MS" w:hAnsi="Arial" w:cs="Arial"/>
          <w:sz w:val="24"/>
          <w:szCs w:val="24"/>
          <w:lang w:eastAsia="es-ES"/>
        </w:rPr>
        <w:t>esa, precisa y taxativa, e</w:t>
      </w:r>
      <w:r w:rsidRPr="00B07DE8">
        <w:rPr>
          <w:rFonts w:ascii="Arial" w:eastAsia="Arial Unicode MS" w:hAnsi="Arial" w:cs="Arial"/>
          <w:sz w:val="24"/>
          <w:szCs w:val="24"/>
          <w:lang w:eastAsia="es-ES"/>
        </w:rPr>
        <w:t xml:space="preserve">l marco legal </w:t>
      </w:r>
      <w:r>
        <w:rPr>
          <w:rFonts w:ascii="Arial" w:eastAsia="Arial Unicode MS" w:hAnsi="Arial" w:cs="Arial"/>
          <w:sz w:val="24"/>
          <w:szCs w:val="24"/>
          <w:lang w:eastAsia="es-ES"/>
        </w:rPr>
        <w:t xml:space="preserve">que brinde </w:t>
      </w:r>
      <w:r w:rsidRPr="00B07DE8">
        <w:rPr>
          <w:rFonts w:ascii="Arial" w:eastAsia="Arial Unicode MS" w:hAnsi="Arial" w:cs="Arial"/>
          <w:sz w:val="24"/>
          <w:szCs w:val="24"/>
          <w:lang w:eastAsia="es-ES"/>
        </w:rPr>
        <w:t>seguridad jurídica a</w:t>
      </w:r>
      <w:r>
        <w:rPr>
          <w:rFonts w:ascii="Arial" w:eastAsia="Arial Unicode MS" w:hAnsi="Arial" w:cs="Arial"/>
          <w:sz w:val="24"/>
          <w:szCs w:val="24"/>
          <w:lang w:eastAsia="es-ES"/>
        </w:rPr>
        <w:t xml:space="preserve"> la persona recurrente</w:t>
      </w:r>
      <w:r w:rsidRPr="00B07DE8">
        <w:rPr>
          <w:rFonts w:ascii="Arial" w:eastAsia="Arial Unicode MS" w:hAnsi="Arial" w:cs="Arial"/>
          <w:sz w:val="24"/>
          <w:szCs w:val="24"/>
          <w:lang w:eastAsia="es-ES"/>
        </w:rPr>
        <w:t xml:space="preserve">. </w:t>
      </w:r>
    </w:p>
    <w:p w14:paraId="395ACAA9" w14:textId="77777777" w:rsidR="00592770" w:rsidRDefault="00592770" w:rsidP="00592770">
      <w:pPr>
        <w:spacing w:after="0" w:line="360" w:lineRule="auto"/>
        <w:ind w:firstLine="709"/>
        <w:jc w:val="both"/>
        <w:rPr>
          <w:rFonts w:ascii="Arial" w:eastAsia="Arial Unicode MS" w:hAnsi="Arial" w:cs="Arial"/>
          <w:sz w:val="24"/>
          <w:szCs w:val="24"/>
          <w:lang w:eastAsia="es-ES"/>
        </w:rPr>
      </w:pPr>
    </w:p>
    <w:p w14:paraId="6B1D89B0" w14:textId="77777777" w:rsidR="00592770" w:rsidRDefault="00592770" w:rsidP="00592770">
      <w:pPr>
        <w:spacing w:after="0" w:line="360" w:lineRule="auto"/>
        <w:ind w:firstLine="709"/>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El principio de legalidad, </w:t>
      </w:r>
      <w:r w:rsidRPr="001A391F">
        <w:rPr>
          <w:rFonts w:ascii="Arial" w:eastAsia="Arial Unicode MS" w:hAnsi="Arial" w:cs="Arial"/>
          <w:sz w:val="24"/>
          <w:szCs w:val="24"/>
          <w:lang w:eastAsia="es-ES"/>
        </w:rPr>
        <w:t>como principio fundamental</w:t>
      </w:r>
      <w:r>
        <w:rPr>
          <w:rFonts w:ascii="Arial" w:eastAsia="Arial Unicode MS" w:hAnsi="Arial" w:cs="Arial"/>
          <w:sz w:val="24"/>
          <w:szCs w:val="24"/>
          <w:lang w:eastAsia="es-ES"/>
        </w:rPr>
        <w:t>,</w:t>
      </w:r>
      <w:r w:rsidRPr="001A391F">
        <w:rPr>
          <w:rFonts w:ascii="Arial" w:eastAsia="Arial Unicode MS" w:hAnsi="Arial" w:cs="Arial"/>
          <w:sz w:val="24"/>
          <w:szCs w:val="24"/>
          <w:lang w:eastAsia="es-ES"/>
        </w:rPr>
        <w:t xml:space="preserve"> está para intervenir cuando no exista el apego debido a la legalidad por parte del Estado e</w:t>
      </w:r>
      <w:r>
        <w:rPr>
          <w:rFonts w:ascii="Arial" w:eastAsia="Arial Unicode MS" w:hAnsi="Arial" w:cs="Arial"/>
          <w:sz w:val="24"/>
          <w:szCs w:val="24"/>
          <w:lang w:eastAsia="es-ES"/>
        </w:rPr>
        <w:t>n la afectación al subordinado; c</w:t>
      </w:r>
      <w:r w:rsidRPr="001A391F">
        <w:rPr>
          <w:rFonts w:ascii="Arial" w:eastAsia="Arial Unicode MS" w:hAnsi="Arial" w:cs="Arial"/>
          <w:sz w:val="24"/>
          <w:szCs w:val="24"/>
          <w:lang w:eastAsia="es-ES"/>
        </w:rPr>
        <w:t>ontrola la aplicación de</w:t>
      </w:r>
      <w:r>
        <w:rPr>
          <w:rFonts w:ascii="Arial" w:eastAsia="Arial Unicode MS" w:hAnsi="Arial" w:cs="Arial"/>
          <w:sz w:val="24"/>
          <w:szCs w:val="24"/>
          <w:lang w:eastAsia="es-ES"/>
        </w:rPr>
        <w:t xml:space="preserve"> normas adjetivas y sustantivas; s</w:t>
      </w:r>
      <w:r w:rsidRPr="001A391F">
        <w:rPr>
          <w:rFonts w:ascii="Arial" w:eastAsia="Arial Unicode MS" w:hAnsi="Arial" w:cs="Arial"/>
          <w:sz w:val="24"/>
          <w:szCs w:val="24"/>
          <w:lang w:eastAsia="es-ES"/>
        </w:rPr>
        <w:t>e enfoca en la competencia y la legalidad, y es en parte estático y en parte dinámico. Establece quién debe realizar el a</w:t>
      </w:r>
      <w:r>
        <w:rPr>
          <w:rFonts w:ascii="Arial" w:eastAsia="Arial Unicode MS" w:hAnsi="Arial" w:cs="Arial"/>
          <w:sz w:val="24"/>
          <w:szCs w:val="24"/>
          <w:lang w:eastAsia="es-ES"/>
        </w:rPr>
        <w:t>cto y cómo debe hacerlo. Verifi</w:t>
      </w:r>
      <w:r w:rsidRPr="001A391F">
        <w:rPr>
          <w:rFonts w:ascii="Arial" w:eastAsia="Arial Unicode MS" w:hAnsi="Arial" w:cs="Arial"/>
          <w:sz w:val="24"/>
          <w:szCs w:val="24"/>
          <w:lang w:eastAsia="es-ES"/>
        </w:rPr>
        <w:t>ca la conformidad de actuación de la autoridad y la conformidad del re</w:t>
      </w:r>
      <w:r>
        <w:rPr>
          <w:rFonts w:ascii="Arial" w:eastAsia="Arial Unicode MS" w:hAnsi="Arial" w:cs="Arial"/>
          <w:sz w:val="24"/>
          <w:szCs w:val="24"/>
          <w:lang w:eastAsia="es-ES"/>
        </w:rPr>
        <w:t>sultado de su actuación con la L</w:t>
      </w:r>
      <w:r w:rsidRPr="001A391F">
        <w:rPr>
          <w:rFonts w:ascii="Arial" w:eastAsia="Arial Unicode MS" w:hAnsi="Arial" w:cs="Arial"/>
          <w:sz w:val="24"/>
          <w:szCs w:val="24"/>
          <w:lang w:eastAsia="es-ES"/>
        </w:rPr>
        <w:t>ey y la Constitución</w:t>
      </w:r>
      <w:r>
        <w:rPr>
          <w:rFonts w:ascii="Arial" w:eastAsia="Arial Unicode MS" w:hAnsi="Arial" w:cs="Arial"/>
          <w:sz w:val="24"/>
          <w:szCs w:val="24"/>
          <w:lang w:eastAsia="es-ES"/>
        </w:rPr>
        <w:t>.</w:t>
      </w:r>
    </w:p>
    <w:p w14:paraId="67380C09" w14:textId="77777777" w:rsidR="00592770" w:rsidRDefault="00592770" w:rsidP="00592770">
      <w:pPr>
        <w:spacing w:after="0" w:line="360" w:lineRule="auto"/>
        <w:ind w:firstLine="709"/>
        <w:jc w:val="both"/>
        <w:rPr>
          <w:rFonts w:ascii="Arial" w:eastAsia="Arial Unicode MS" w:hAnsi="Arial" w:cs="Arial"/>
          <w:sz w:val="24"/>
          <w:szCs w:val="24"/>
          <w:lang w:eastAsia="es-ES"/>
        </w:rPr>
      </w:pPr>
    </w:p>
    <w:p w14:paraId="6C32B312" w14:textId="77777777" w:rsidR="00592770" w:rsidRDefault="00592770" w:rsidP="00592770">
      <w:pPr>
        <w:spacing w:after="0" w:line="360" w:lineRule="auto"/>
        <w:ind w:firstLine="709"/>
        <w:jc w:val="both"/>
        <w:rPr>
          <w:rFonts w:ascii="Arial" w:hAnsi="Arial" w:cs="Arial"/>
          <w:sz w:val="24"/>
          <w:szCs w:val="24"/>
        </w:rPr>
      </w:pPr>
      <w:r>
        <w:rPr>
          <w:rFonts w:ascii="Arial" w:hAnsi="Arial" w:cs="Arial"/>
          <w:sz w:val="24"/>
          <w:szCs w:val="24"/>
        </w:rPr>
        <w:t xml:space="preserve">A este respecto, es dable señalar que, </w:t>
      </w:r>
      <w:r>
        <w:rPr>
          <w:rFonts w:ascii="Arial" w:hAnsi="Arial" w:cs="Arial"/>
          <w:sz w:val="24"/>
          <w:szCs w:val="24"/>
          <w:u w:val="single"/>
        </w:rPr>
        <w:t>la administración pública requiere que exteriorice su voluntad luego de cumplir los requisitos y procedimientos determinados en los ordenamientos jurídicos respectivos.</w:t>
      </w:r>
      <w:r>
        <w:rPr>
          <w:rFonts w:ascii="Arial" w:hAnsi="Arial" w:cs="Arial"/>
          <w:sz w:val="24"/>
          <w:szCs w:val="24"/>
        </w:rPr>
        <w:t xml:space="preserve"> El acto administrativo es el medio por el cual se exterioriza esa voluntad y puede conceptuarse como el acto jurídico unilateral que declara la voluntad de un órgano del Estado en ejercicio de la potestad administrativa y crea situaciones jurídicas conducentes a satisfacer las necesidades de la colectividad</w:t>
      </w:r>
      <w:r>
        <w:rPr>
          <w:rStyle w:val="Refdenotaalpie"/>
          <w:rFonts w:ascii="Arial" w:hAnsi="Arial" w:cs="Arial"/>
          <w:sz w:val="24"/>
          <w:szCs w:val="24"/>
        </w:rPr>
        <w:footnoteReference w:id="8"/>
      </w:r>
      <w:r>
        <w:rPr>
          <w:rFonts w:ascii="Arial" w:hAnsi="Arial" w:cs="Arial"/>
          <w:sz w:val="24"/>
          <w:szCs w:val="24"/>
        </w:rPr>
        <w:t>.</w:t>
      </w:r>
    </w:p>
    <w:p w14:paraId="700CB8C4" w14:textId="77777777" w:rsidR="00592770" w:rsidRDefault="00592770" w:rsidP="00592770">
      <w:pPr>
        <w:spacing w:after="0" w:line="360" w:lineRule="auto"/>
        <w:ind w:firstLine="708"/>
        <w:jc w:val="both"/>
        <w:rPr>
          <w:rFonts w:ascii="Arial" w:eastAsia="Arial Unicode MS" w:hAnsi="Arial" w:cs="Arial"/>
          <w:sz w:val="24"/>
          <w:szCs w:val="24"/>
          <w:lang w:eastAsia="es-ES"/>
        </w:rPr>
      </w:pPr>
    </w:p>
    <w:p w14:paraId="33192187" w14:textId="77777777" w:rsidR="00592770" w:rsidRPr="003248D9" w:rsidRDefault="00592770" w:rsidP="00592770">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lastRenderedPageBreak/>
        <w:t>De esta forma, co</w:t>
      </w:r>
      <w:r w:rsidRPr="004B6CE4">
        <w:rPr>
          <w:rFonts w:ascii="Arial" w:eastAsia="Arial Unicode MS" w:hAnsi="Arial" w:cs="Arial"/>
          <w:sz w:val="24"/>
          <w:szCs w:val="24"/>
          <w:lang w:eastAsia="es-ES"/>
        </w:rPr>
        <w:t>mo todo acto de autoridad que es restrictivo de un derecho fundamental, la confidencialidad exige una debida fundamentación y motiv</w:t>
      </w:r>
      <w:r>
        <w:rPr>
          <w:rFonts w:ascii="Arial" w:eastAsia="Arial Unicode MS" w:hAnsi="Arial" w:cs="Arial"/>
          <w:sz w:val="24"/>
          <w:szCs w:val="24"/>
          <w:lang w:eastAsia="es-ES"/>
        </w:rPr>
        <w:t xml:space="preserve">ación acorde a lo establecido en el artículo </w:t>
      </w:r>
      <w:r w:rsidRPr="003248D9">
        <w:rPr>
          <w:rFonts w:ascii="Arial" w:eastAsia="Arial Unicode MS" w:hAnsi="Arial" w:cs="Arial"/>
          <w:sz w:val="24"/>
          <w:szCs w:val="24"/>
          <w:lang w:eastAsia="es-ES"/>
        </w:rPr>
        <w:t>16</w:t>
      </w:r>
      <w:r w:rsidRPr="003248D9">
        <w:rPr>
          <w:rFonts w:ascii="Arial" w:eastAsia="Arial Unicode MS" w:hAnsi="Arial" w:cs="Arial"/>
          <w:sz w:val="24"/>
          <w:szCs w:val="24"/>
          <w:vertAlign w:val="superscript"/>
          <w:lang w:eastAsia="es-ES"/>
        </w:rPr>
        <w:footnoteReference w:id="9"/>
      </w:r>
      <w:r w:rsidRPr="003248D9">
        <w:rPr>
          <w:rFonts w:ascii="Arial" w:eastAsia="Arial Unicode MS" w:hAnsi="Arial" w:cs="Arial"/>
          <w:sz w:val="24"/>
          <w:szCs w:val="24"/>
          <w:lang w:eastAsia="es-ES"/>
        </w:rPr>
        <w:t xml:space="preserve"> de la Constitución Política de los Estados Unidos Mexicanos</w:t>
      </w:r>
      <w:r>
        <w:rPr>
          <w:rFonts w:ascii="Arial" w:eastAsia="Arial Unicode MS" w:hAnsi="Arial" w:cs="Arial"/>
          <w:sz w:val="24"/>
          <w:szCs w:val="24"/>
          <w:lang w:eastAsia="es-ES"/>
        </w:rPr>
        <w:t>. Es oportuno señalar que –en lo que aquí interesa-,</w:t>
      </w:r>
      <w:r w:rsidRPr="003248D9">
        <w:rPr>
          <w:rFonts w:ascii="Arial" w:eastAsia="Arial Unicode MS" w:hAnsi="Arial" w:cs="Arial"/>
          <w:sz w:val="24"/>
          <w:szCs w:val="24"/>
          <w:lang w:eastAsia="es-ES"/>
        </w:rPr>
        <w:t xml:space="preserve"> de la interpretación armónica de los artículos 164</w:t>
      </w:r>
      <w:r w:rsidRPr="003248D9">
        <w:rPr>
          <w:rFonts w:ascii="Arial" w:eastAsia="Arial Unicode MS" w:hAnsi="Arial" w:cs="Arial"/>
          <w:sz w:val="24"/>
          <w:szCs w:val="24"/>
          <w:vertAlign w:val="superscript"/>
          <w:lang w:eastAsia="es-ES"/>
        </w:rPr>
        <w:footnoteReference w:id="10"/>
      </w:r>
      <w:r w:rsidRPr="003248D9">
        <w:rPr>
          <w:rFonts w:ascii="Arial" w:eastAsia="Arial Unicode MS" w:hAnsi="Arial" w:cs="Arial"/>
          <w:sz w:val="24"/>
          <w:szCs w:val="24"/>
          <w:lang w:eastAsia="es-ES"/>
        </w:rPr>
        <w:t xml:space="preserve"> y 165</w:t>
      </w:r>
      <w:r w:rsidRPr="003248D9">
        <w:rPr>
          <w:rFonts w:ascii="Arial" w:eastAsia="Arial Unicode MS" w:hAnsi="Arial" w:cs="Arial"/>
          <w:sz w:val="24"/>
          <w:szCs w:val="24"/>
          <w:vertAlign w:val="superscript"/>
          <w:lang w:eastAsia="es-ES"/>
        </w:rPr>
        <w:footnoteReference w:id="11"/>
      </w:r>
      <w:r w:rsidRPr="003248D9">
        <w:rPr>
          <w:rFonts w:ascii="Arial" w:eastAsia="Arial Unicode MS" w:hAnsi="Arial" w:cs="Arial"/>
          <w:sz w:val="24"/>
          <w:szCs w:val="24"/>
          <w:lang w:eastAsia="es-ES"/>
        </w:rPr>
        <w:t xml:space="preserve"> del Código Procesal Administrativo para el Estado de San Luis Potosí, de aplicación supletoria de la Ley de Transparencia Local, la fundamentación y motivación posee dos acepciones: </w:t>
      </w:r>
    </w:p>
    <w:p w14:paraId="6628084A" w14:textId="77777777" w:rsidR="00592770" w:rsidRPr="003248D9" w:rsidRDefault="00592770" w:rsidP="00592770">
      <w:pPr>
        <w:spacing w:after="0" w:line="360" w:lineRule="auto"/>
        <w:ind w:firstLine="708"/>
        <w:jc w:val="both"/>
        <w:rPr>
          <w:rFonts w:ascii="Arial" w:eastAsia="Arial Unicode MS" w:hAnsi="Arial" w:cs="Arial"/>
          <w:sz w:val="24"/>
          <w:szCs w:val="24"/>
          <w:lang w:eastAsia="es-ES"/>
        </w:rPr>
      </w:pPr>
    </w:p>
    <w:p w14:paraId="28D2ED54" w14:textId="77777777" w:rsidR="00592770" w:rsidRPr="003248D9" w:rsidRDefault="00592770" w:rsidP="00592770">
      <w:pPr>
        <w:numPr>
          <w:ilvl w:val="0"/>
          <w:numId w:val="11"/>
        </w:numPr>
        <w:spacing w:after="0" w:line="360" w:lineRule="auto"/>
        <w:ind w:left="1134"/>
        <w:jc w:val="both"/>
        <w:rPr>
          <w:rFonts w:ascii="Arial" w:eastAsia="Arial Unicode MS" w:hAnsi="Arial" w:cs="Arial"/>
          <w:sz w:val="24"/>
          <w:szCs w:val="24"/>
          <w:lang w:eastAsia="es-ES"/>
        </w:rPr>
      </w:pPr>
      <w:r w:rsidRPr="003248D9">
        <w:rPr>
          <w:rFonts w:ascii="Arial" w:eastAsia="Arial Unicode MS" w:hAnsi="Arial" w:cs="Arial"/>
          <w:sz w:val="24"/>
          <w:szCs w:val="24"/>
          <w:lang w:eastAsia="es-ES"/>
        </w:rPr>
        <w:t>La existencia de estos como elementos, es decir, la mera citación de elementos normativos, así como el planteamiento de argumentos lógicos, dentro de la justificación del acto; y,</w:t>
      </w:r>
    </w:p>
    <w:p w14:paraId="3EE77F51" w14:textId="77777777" w:rsidR="00592770" w:rsidRPr="003248D9" w:rsidRDefault="00592770" w:rsidP="00592770">
      <w:pPr>
        <w:spacing w:after="0" w:line="360" w:lineRule="auto"/>
        <w:ind w:left="1134" w:firstLine="708"/>
        <w:jc w:val="both"/>
        <w:rPr>
          <w:rFonts w:ascii="Arial" w:eastAsia="Arial Unicode MS" w:hAnsi="Arial" w:cs="Arial"/>
          <w:sz w:val="24"/>
          <w:szCs w:val="24"/>
          <w:lang w:eastAsia="es-ES"/>
        </w:rPr>
      </w:pPr>
    </w:p>
    <w:p w14:paraId="520C0B0F" w14:textId="77777777" w:rsidR="00592770" w:rsidRPr="003248D9" w:rsidRDefault="00592770" w:rsidP="00592770">
      <w:pPr>
        <w:numPr>
          <w:ilvl w:val="0"/>
          <w:numId w:val="11"/>
        </w:numPr>
        <w:spacing w:after="0" w:line="360" w:lineRule="auto"/>
        <w:ind w:left="1134"/>
        <w:jc w:val="both"/>
        <w:rPr>
          <w:rFonts w:ascii="Arial" w:eastAsia="Arial Unicode MS" w:hAnsi="Arial" w:cs="Arial"/>
          <w:sz w:val="24"/>
          <w:szCs w:val="24"/>
          <w:lang w:eastAsia="es-ES"/>
        </w:rPr>
      </w:pPr>
      <w:r w:rsidRPr="003248D9">
        <w:rPr>
          <w:rFonts w:ascii="Arial" w:eastAsia="Arial Unicode MS" w:hAnsi="Arial" w:cs="Arial"/>
          <w:sz w:val="24"/>
          <w:szCs w:val="24"/>
          <w:lang w:eastAsia="es-ES"/>
        </w:rPr>
        <w:t xml:space="preserve"> La materialidad como requisito, de manera que, por lo que hace a la citación de los preceptos normativos, sean correctos, precisos y suficientes para delimitar la circunstancia jurídica a resolver; y, por su parte, los argumentos lógicos, deberán lograr en sus extremos, adminicular las circunstancias de hecho, con los preceptos normativos, para generar certeza del apego de la autoridad, a la normativa concreta.</w:t>
      </w:r>
    </w:p>
    <w:p w14:paraId="331126FA" w14:textId="77777777" w:rsidR="00592770" w:rsidRPr="001A391F" w:rsidRDefault="00592770" w:rsidP="00592770">
      <w:pPr>
        <w:spacing w:after="0" w:line="360" w:lineRule="auto"/>
        <w:ind w:left="1134" w:firstLine="708"/>
        <w:jc w:val="both"/>
        <w:rPr>
          <w:rFonts w:ascii="Arial" w:eastAsia="Arial Unicode MS" w:hAnsi="Arial" w:cs="Arial"/>
          <w:sz w:val="24"/>
          <w:szCs w:val="24"/>
          <w:lang w:eastAsia="es-ES"/>
        </w:rPr>
      </w:pPr>
    </w:p>
    <w:p w14:paraId="34110735" w14:textId="51B667E2" w:rsidR="00592770" w:rsidRDefault="00592770" w:rsidP="00592770">
      <w:pPr>
        <w:pStyle w:val="Prrafodelista"/>
        <w:autoSpaceDE w:val="0"/>
        <w:autoSpaceDN w:val="0"/>
        <w:adjustRightInd w:val="0"/>
        <w:spacing w:after="0" w:line="360" w:lineRule="auto"/>
        <w:ind w:left="0" w:firstLine="709"/>
        <w:jc w:val="both"/>
        <w:rPr>
          <w:rFonts w:ascii="Arial" w:eastAsia="Arial Unicode MS" w:hAnsi="Arial" w:cs="Arial"/>
          <w:sz w:val="24"/>
          <w:szCs w:val="24"/>
          <w:lang w:eastAsia="es-ES"/>
        </w:rPr>
      </w:pPr>
      <w:r w:rsidRPr="00EA076F">
        <w:rPr>
          <w:rFonts w:ascii="Arial" w:hAnsi="Arial" w:cs="Arial"/>
          <w:sz w:val="24"/>
          <w:szCs w:val="24"/>
        </w:rPr>
        <w:t>E</w:t>
      </w:r>
      <w:r>
        <w:rPr>
          <w:rFonts w:ascii="Arial" w:hAnsi="Arial" w:cs="Arial"/>
          <w:sz w:val="24"/>
          <w:szCs w:val="24"/>
        </w:rPr>
        <w:t>n lo tocante, e</w:t>
      </w:r>
      <w:r w:rsidRPr="00EA076F">
        <w:rPr>
          <w:rFonts w:ascii="Arial" w:hAnsi="Arial" w:cs="Arial"/>
          <w:sz w:val="24"/>
          <w:szCs w:val="24"/>
        </w:rPr>
        <w:t>l sujeto obligado,</w:t>
      </w:r>
      <w:r>
        <w:rPr>
          <w:rFonts w:ascii="Arial" w:hAnsi="Arial" w:cs="Arial"/>
          <w:sz w:val="24"/>
          <w:szCs w:val="24"/>
        </w:rPr>
        <w:t xml:space="preserve"> con la finalidad de realizar el cumplimiento al elemento formal de fundamentación y motivación, </w:t>
      </w:r>
      <w:r>
        <w:rPr>
          <w:rFonts w:ascii="Arial" w:eastAsia="Arial Unicode MS" w:hAnsi="Arial" w:cs="Arial"/>
          <w:sz w:val="24"/>
          <w:szCs w:val="24"/>
          <w:lang w:eastAsia="es-ES"/>
        </w:rPr>
        <w:t xml:space="preserve">señaló que, de </w:t>
      </w:r>
      <w:r>
        <w:rPr>
          <w:rFonts w:ascii="Arial" w:eastAsia="Arial Unicode MS" w:hAnsi="Arial" w:cs="Arial"/>
          <w:sz w:val="24"/>
          <w:szCs w:val="24"/>
          <w:lang w:eastAsia="es-ES"/>
        </w:rPr>
        <w:lastRenderedPageBreak/>
        <w:t xml:space="preserve">conformidad con lo dispuesto en los artículos </w:t>
      </w:r>
      <w:r w:rsidR="0031482E">
        <w:rPr>
          <w:rFonts w:ascii="Arial" w:eastAsia="Arial Unicode MS" w:hAnsi="Arial" w:cs="Arial"/>
          <w:sz w:val="24"/>
          <w:szCs w:val="24"/>
          <w:lang w:eastAsia="es-ES"/>
        </w:rPr>
        <w:t xml:space="preserve">138 </w:t>
      </w:r>
      <w:r w:rsidR="00C66906">
        <w:rPr>
          <w:rFonts w:ascii="Arial" w:eastAsia="Arial Unicode MS" w:hAnsi="Arial" w:cs="Arial"/>
          <w:sz w:val="24"/>
          <w:szCs w:val="24"/>
          <w:lang w:eastAsia="es-ES"/>
        </w:rPr>
        <w:t>y 142</w:t>
      </w:r>
      <w:r>
        <w:rPr>
          <w:rFonts w:ascii="Arial" w:eastAsia="Arial Unicode MS" w:hAnsi="Arial" w:cs="Arial"/>
          <w:sz w:val="24"/>
          <w:szCs w:val="24"/>
          <w:lang w:eastAsia="es-ES"/>
        </w:rPr>
        <w:t xml:space="preserve"> de la Ley de Transparencia y Acceso a la Información Pública del Estado, se relaciona con datos personales relacionados, por lo que</w:t>
      </w:r>
      <w:r w:rsidR="0031482E">
        <w:rPr>
          <w:rFonts w:ascii="Arial" w:eastAsia="Arial Unicode MS" w:hAnsi="Arial" w:cs="Arial"/>
          <w:sz w:val="24"/>
          <w:szCs w:val="24"/>
          <w:lang w:eastAsia="es-ES"/>
        </w:rPr>
        <w:t>,</w:t>
      </w:r>
      <w:r>
        <w:rPr>
          <w:rFonts w:ascii="Arial" w:eastAsia="Arial Unicode MS" w:hAnsi="Arial" w:cs="Arial"/>
          <w:sz w:val="24"/>
          <w:szCs w:val="24"/>
          <w:lang w:eastAsia="es-ES"/>
        </w:rPr>
        <w:t xml:space="preserve"> al no contar con el consentimiento del titular de dicha información, no es de considerarse información pública que pueda otorgarse. </w:t>
      </w:r>
    </w:p>
    <w:p w14:paraId="0C4E538D" w14:textId="77777777" w:rsidR="00592770" w:rsidRDefault="00592770" w:rsidP="00592770">
      <w:pPr>
        <w:pStyle w:val="Prrafodelista"/>
        <w:autoSpaceDE w:val="0"/>
        <w:autoSpaceDN w:val="0"/>
        <w:adjustRightInd w:val="0"/>
        <w:spacing w:after="0" w:line="360" w:lineRule="auto"/>
        <w:ind w:left="0" w:firstLine="709"/>
        <w:jc w:val="both"/>
        <w:rPr>
          <w:rFonts w:ascii="Arial" w:eastAsia="Arial Unicode MS" w:hAnsi="Arial" w:cs="Arial"/>
          <w:sz w:val="24"/>
          <w:szCs w:val="24"/>
          <w:lang w:eastAsia="es-ES"/>
        </w:rPr>
      </w:pPr>
    </w:p>
    <w:p w14:paraId="6C9D032C" w14:textId="77777777" w:rsidR="00592770" w:rsidRDefault="00592770" w:rsidP="00592770">
      <w:pPr>
        <w:autoSpaceDE w:val="0"/>
        <w:autoSpaceDN w:val="0"/>
        <w:adjustRightInd w:val="0"/>
        <w:spacing w:after="0" w:line="360" w:lineRule="auto"/>
        <w:ind w:right="49" w:firstLine="709"/>
        <w:jc w:val="both"/>
        <w:rPr>
          <w:rFonts w:ascii="Arial" w:hAnsi="Arial" w:cs="Arial"/>
          <w:sz w:val="24"/>
          <w:szCs w:val="24"/>
        </w:rPr>
      </w:pPr>
      <w:r>
        <w:rPr>
          <w:rFonts w:ascii="Arial" w:hAnsi="Arial" w:cs="Arial"/>
          <w:sz w:val="24"/>
          <w:szCs w:val="24"/>
        </w:rPr>
        <w:t xml:space="preserve">Asimismo, realizó el pronunciamiento de argumentos, por los cuales pretende acreditar la adecuada adminiculación del caso en concreto, con las disposiciones normativas aplicables al caso; razón por la cual, por lo que hace al presente elemento </w:t>
      </w:r>
      <w:r w:rsidRPr="008F0B57">
        <w:rPr>
          <w:rFonts w:ascii="Arial" w:hAnsi="Arial" w:cs="Arial"/>
          <w:b/>
          <w:sz w:val="24"/>
          <w:szCs w:val="24"/>
          <w:u w:val="single"/>
        </w:rPr>
        <w:t>formal,</w:t>
      </w:r>
      <w:r>
        <w:rPr>
          <w:rFonts w:ascii="Arial" w:hAnsi="Arial" w:cs="Arial"/>
          <w:sz w:val="24"/>
          <w:szCs w:val="24"/>
        </w:rPr>
        <w:t xml:space="preserve"> resulta dable determinar que se encuentra satisfecho conforme a lo establecido en la ley de la materia.</w:t>
      </w:r>
    </w:p>
    <w:p w14:paraId="5E8FA5BF" w14:textId="77777777" w:rsidR="00592770" w:rsidRDefault="00592770" w:rsidP="00592770">
      <w:pPr>
        <w:autoSpaceDE w:val="0"/>
        <w:autoSpaceDN w:val="0"/>
        <w:adjustRightInd w:val="0"/>
        <w:spacing w:after="0" w:line="360" w:lineRule="auto"/>
        <w:ind w:right="49" w:firstLine="709"/>
        <w:jc w:val="both"/>
        <w:rPr>
          <w:rFonts w:ascii="Arial" w:hAnsi="Arial" w:cs="Arial"/>
          <w:sz w:val="24"/>
          <w:szCs w:val="24"/>
        </w:rPr>
      </w:pPr>
    </w:p>
    <w:p w14:paraId="47D6667B" w14:textId="77777777" w:rsidR="00592770" w:rsidRDefault="00592770" w:rsidP="00592770">
      <w:pPr>
        <w:autoSpaceDE w:val="0"/>
        <w:autoSpaceDN w:val="0"/>
        <w:adjustRightInd w:val="0"/>
        <w:spacing w:after="0" w:line="360" w:lineRule="auto"/>
        <w:ind w:right="49" w:firstLine="709"/>
        <w:jc w:val="both"/>
        <w:rPr>
          <w:rFonts w:ascii="Arial" w:hAnsi="Arial" w:cs="Arial"/>
          <w:sz w:val="24"/>
          <w:szCs w:val="24"/>
        </w:rPr>
      </w:pPr>
      <w:r>
        <w:rPr>
          <w:rFonts w:ascii="Arial" w:hAnsi="Arial" w:cs="Arial"/>
          <w:sz w:val="24"/>
          <w:szCs w:val="24"/>
        </w:rPr>
        <w:t xml:space="preserve">No obstante lo anterior, como se precisó con antelación, la fundamentación y motivación de los actos administrativos, no se satisface sólo a través de su requisito formal, sino que requiere a su vez, de la satisfacción del requisito de adecuación; es decir, que la fundamentación sea: </w:t>
      </w:r>
    </w:p>
    <w:p w14:paraId="07264B36" w14:textId="77777777" w:rsidR="00592770" w:rsidRDefault="00592770" w:rsidP="00592770">
      <w:pPr>
        <w:autoSpaceDE w:val="0"/>
        <w:autoSpaceDN w:val="0"/>
        <w:adjustRightInd w:val="0"/>
        <w:spacing w:after="0" w:line="360" w:lineRule="auto"/>
        <w:ind w:right="49" w:firstLine="709"/>
        <w:jc w:val="both"/>
        <w:rPr>
          <w:rFonts w:ascii="Arial" w:hAnsi="Arial" w:cs="Arial"/>
          <w:sz w:val="24"/>
          <w:szCs w:val="24"/>
        </w:rPr>
      </w:pPr>
    </w:p>
    <w:p w14:paraId="632017E1" w14:textId="77777777" w:rsidR="00592770" w:rsidRDefault="00592770" w:rsidP="00592770">
      <w:pPr>
        <w:autoSpaceDE w:val="0"/>
        <w:autoSpaceDN w:val="0"/>
        <w:adjustRightInd w:val="0"/>
        <w:spacing w:after="0" w:line="360" w:lineRule="auto"/>
        <w:ind w:right="49" w:firstLine="709"/>
        <w:jc w:val="both"/>
        <w:rPr>
          <w:rFonts w:ascii="Arial" w:hAnsi="Arial" w:cs="Arial"/>
          <w:sz w:val="24"/>
          <w:szCs w:val="24"/>
        </w:rPr>
      </w:pPr>
      <w:r>
        <w:rPr>
          <w:rFonts w:ascii="Arial" w:hAnsi="Arial" w:cs="Arial"/>
          <w:sz w:val="24"/>
          <w:szCs w:val="24"/>
        </w:rPr>
        <w:t>1. Exacta; 2. Aplicable al caso en concreto; y, 3. Suficiente; considerando para ello, la normativa que, por una parte, dota a la autoridad administrativa en cuestión, de la competencia para la emisión del acto; y, por otra, regula en su totalidad los aspectos de interés en el caso en concreto, sin que se esté en posibilidad de causar confusión o imprecisión.</w:t>
      </w:r>
    </w:p>
    <w:p w14:paraId="6140F498" w14:textId="77777777" w:rsidR="00592770" w:rsidRDefault="00592770" w:rsidP="00592770">
      <w:pPr>
        <w:autoSpaceDE w:val="0"/>
        <w:autoSpaceDN w:val="0"/>
        <w:adjustRightInd w:val="0"/>
        <w:spacing w:after="0" w:line="360" w:lineRule="auto"/>
        <w:ind w:right="49" w:firstLine="709"/>
        <w:jc w:val="both"/>
        <w:rPr>
          <w:rFonts w:ascii="Arial" w:hAnsi="Arial" w:cs="Arial"/>
          <w:sz w:val="24"/>
          <w:szCs w:val="24"/>
        </w:rPr>
      </w:pPr>
    </w:p>
    <w:p w14:paraId="13F44D9A" w14:textId="77777777" w:rsidR="00592770" w:rsidRDefault="00592770" w:rsidP="00592770">
      <w:pPr>
        <w:autoSpaceDE w:val="0"/>
        <w:autoSpaceDN w:val="0"/>
        <w:adjustRightInd w:val="0"/>
        <w:spacing w:after="0" w:line="360" w:lineRule="auto"/>
        <w:ind w:right="49" w:firstLine="709"/>
        <w:jc w:val="both"/>
        <w:rPr>
          <w:rFonts w:ascii="Arial" w:hAnsi="Arial" w:cs="Arial"/>
          <w:sz w:val="24"/>
          <w:szCs w:val="24"/>
        </w:rPr>
      </w:pPr>
      <w:r>
        <w:rPr>
          <w:rFonts w:ascii="Arial" w:hAnsi="Arial" w:cs="Arial"/>
          <w:sz w:val="24"/>
          <w:szCs w:val="24"/>
        </w:rPr>
        <w:t xml:space="preserve">Mientras que, la motivación, requiere que se realice una serie de argumentos que, por su expresión, sea posible adminicular de manera congruente, lógica y precisa, las circunstancias de hecho y de derecho, para producir un efecto jurídico determinado. Sirve de apoyo la Jurisprudencia, cuyo rubro y texto señalan: </w:t>
      </w:r>
    </w:p>
    <w:p w14:paraId="1E51D361" w14:textId="77777777" w:rsidR="00592770" w:rsidRDefault="00592770" w:rsidP="00592770">
      <w:pPr>
        <w:autoSpaceDE w:val="0"/>
        <w:autoSpaceDN w:val="0"/>
        <w:adjustRightInd w:val="0"/>
        <w:spacing w:after="0" w:line="360" w:lineRule="auto"/>
        <w:ind w:right="49" w:firstLine="709"/>
        <w:jc w:val="both"/>
        <w:rPr>
          <w:rFonts w:ascii="Arial" w:hAnsi="Arial" w:cs="Arial"/>
          <w:sz w:val="24"/>
          <w:szCs w:val="24"/>
        </w:rPr>
      </w:pPr>
    </w:p>
    <w:p w14:paraId="44270030" w14:textId="77777777" w:rsidR="00592770" w:rsidRPr="003C3FED" w:rsidRDefault="00592770" w:rsidP="00592770">
      <w:pPr>
        <w:autoSpaceDE w:val="0"/>
        <w:autoSpaceDN w:val="0"/>
        <w:adjustRightInd w:val="0"/>
        <w:spacing w:after="0" w:line="240" w:lineRule="auto"/>
        <w:ind w:left="1134" w:right="1185"/>
        <w:jc w:val="both"/>
        <w:rPr>
          <w:rFonts w:ascii="Arial" w:hAnsi="Arial" w:cs="Arial"/>
        </w:rPr>
      </w:pPr>
      <w:r>
        <w:rPr>
          <w:rFonts w:ascii="Arial" w:hAnsi="Arial" w:cs="Arial"/>
          <w:b/>
        </w:rPr>
        <w:t>“</w:t>
      </w:r>
      <w:r w:rsidRPr="003C3FED">
        <w:rPr>
          <w:rFonts w:ascii="Arial" w:hAnsi="Arial" w:cs="Arial"/>
          <w:b/>
        </w:rPr>
        <w:t xml:space="preserve">FUNDAMENTACION Y MOTIVACION DE LOS ACTOS ADMINISTRATIVOS. </w:t>
      </w:r>
      <w:r w:rsidRPr="003C3FED">
        <w:rPr>
          <w:rFonts w:ascii="Arial" w:hAnsi="Arial" w:cs="Arial"/>
        </w:rPr>
        <w:t xml:space="preserve">De acuerdo con el artículo 16 constitucional, todo acto de autoridad debe estar suficientemente fundado y motivado, entendiéndose por lo primero que ha de expresarse con precisión el precepto legal aplicable al caso y por lo segundo, que también deben señalarse con precisión, las circunstancias especiales, razones particulares o causas inmediatas que se hayan tenido en consideración para la emisión del acto, siendo necesario </w:t>
      </w:r>
      <w:r w:rsidRPr="003C3FED">
        <w:rPr>
          <w:rFonts w:ascii="Arial" w:hAnsi="Arial" w:cs="Arial"/>
        </w:rPr>
        <w:lastRenderedPageBreak/>
        <w:t>además, que exista adecuación entre los motivos aducidos y las normas aplicables, es decir, que en el caso concreto se configure la hipótesis normativa. Esto es, que cuando el precepto en comento previene que nadie puede ser molestado en su persona, propiedades o derechos sino en virtud de mandamiento escrito de autoridad competente que funde y motive la causa legal del procedimiento, está exigiendo a todas las autoridades que apeguen sus actos a la ley, expresando de que ley se trata y los preceptos de ella que sirvan de apoyo al mandamiento relativo. En materia administrativa, específicamente, para poder considerar un acto autoritario como correctamente fundado, es necesario que en él se citen: a).- Los cuerpos legales y preceptos que se estén aplicando al caso concreto, es decir, los supuestos normativos en que se encuadra la conducta del gobernado para que esté obligado al pago, que serán señalados con toda exactitud, precisándose los incisos, subincisos, fracciones y preceptos aplicables, y b).- Los cuerpos legales, y preceptos que otorgan competencia o facultades a las autoridades para emitir el acto en agravio del gobernado.</w:t>
      </w:r>
      <w:r w:rsidRPr="003C3FED">
        <w:rPr>
          <w:rFonts w:ascii="Arial" w:eastAsia="Arial Unicode MS" w:hAnsi="Arial" w:cs="Arial"/>
          <w:lang w:eastAsia="es-ES"/>
        </w:rPr>
        <w:t>”</w:t>
      </w:r>
      <w:r w:rsidRPr="003C3FED">
        <w:rPr>
          <w:rStyle w:val="Refdenotaalpie"/>
          <w:rFonts w:ascii="Arial" w:eastAsia="Arial Unicode MS" w:hAnsi="Arial" w:cs="Arial"/>
          <w:lang w:eastAsia="es-ES"/>
        </w:rPr>
        <w:footnoteReference w:id="12"/>
      </w:r>
    </w:p>
    <w:p w14:paraId="273F0403" w14:textId="77777777" w:rsidR="00592770" w:rsidRDefault="00592770" w:rsidP="00592770">
      <w:pPr>
        <w:autoSpaceDE w:val="0"/>
        <w:autoSpaceDN w:val="0"/>
        <w:adjustRightInd w:val="0"/>
        <w:spacing w:after="0" w:line="360" w:lineRule="auto"/>
        <w:ind w:right="49"/>
        <w:jc w:val="both"/>
        <w:rPr>
          <w:rFonts w:ascii="Arial" w:hAnsi="Arial" w:cs="Arial"/>
          <w:sz w:val="24"/>
          <w:szCs w:val="24"/>
        </w:rPr>
      </w:pPr>
    </w:p>
    <w:p w14:paraId="4E2F9B50" w14:textId="77777777" w:rsidR="0059752F" w:rsidRDefault="0059752F" w:rsidP="0059752F">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En el régimen Constitucional del Estado</w:t>
      </w:r>
      <w:r>
        <w:rPr>
          <w:rStyle w:val="Refdenotaalpie"/>
          <w:rFonts w:ascii="Arial" w:eastAsia="Arial Unicode MS" w:hAnsi="Arial" w:cs="Arial"/>
          <w:sz w:val="24"/>
          <w:szCs w:val="24"/>
          <w:lang w:eastAsia="es-ES"/>
        </w:rPr>
        <w:footnoteReference w:id="13"/>
      </w:r>
      <w:r>
        <w:rPr>
          <w:rFonts w:ascii="Arial" w:eastAsia="Arial Unicode MS" w:hAnsi="Arial" w:cs="Arial"/>
          <w:sz w:val="24"/>
          <w:szCs w:val="24"/>
          <w:lang w:eastAsia="es-ES"/>
        </w:rPr>
        <w:t xml:space="preserve">, se establecen los </w:t>
      </w:r>
      <w:r w:rsidRPr="00922028">
        <w:rPr>
          <w:rFonts w:ascii="Arial" w:eastAsia="Arial Unicode MS" w:hAnsi="Arial" w:cs="Arial"/>
          <w:sz w:val="24"/>
          <w:szCs w:val="24"/>
          <w:lang w:eastAsia="es-ES"/>
        </w:rPr>
        <w:t>fundamentos para el ejercicio del derecho de toda persona para conocer y acceder a la</w:t>
      </w:r>
      <w:r w:rsidRPr="00B25AE8">
        <w:rPr>
          <w:rFonts w:ascii="Arial" w:eastAsia="Arial Unicode MS" w:hAnsi="Arial" w:cs="Arial"/>
          <w:sz w:val="24"/>
          <w:szCs w:val="24"/>
          <w:lang w:eastAsia="es-ES"/>
        </w:rPr>
        <w:t xml:space="preserve"> información pública</w:t>
      </w:r>
      <w:r>
        <w:rPr>
          <w:rFonts w:ascii="Arial" w:eastAsia="Arial Unicode MS" w:hAnsi="Arial" w:cs="Arial"/>
          <w:sz w:val="24"/>
          <w:szCs w:val="24"/>
          <w:lang w:eastAsia="es-ES"/>
        </w:rPr>
        <w:t xml:space="preserve">, así como el imperativo de proteger a las personas contra cualquier lesión en sus derechos, resultante del tratamiento de sus datos personales, </w:t>
      </w:r>
      <w:r w:rsidRPr="003C0F1E">
        <w:rPr>
          <w:rFonts w:ascii="Arial" w:eastAsia="Arial Unicode MS" w:hAnsi="Arial" w:cs="Arial"/>
          <w:sz w:val="24"/>
          <w:szCs w:val="24"/>
          <w:lang w:eastAsia="es-ES"/>
        </w:rPr>
        <w:t>conforme a los principios y bases establecidos por el artículo 6º de la Constitución</w:t>
      </w:r>
      <w:r>
        <w:rPr>
          <w:rFonts w:ascii="Arial" w:eastAsia="Arial Unicode MS" w:hAnsi="Arial" w:cs="Arial"/>
          <w:sz w:val="24"/>
          <w:szCs w:val="24"/>
          <w:lang w:eastAsia="es-ES"/>
        </w:rPr>
        <w:t xml:space="preserve"> Federal.</w:t>
      </w:r>
    </w:p>
    <w:p w14:paraId="13662A2D" w14:textId="77777777" w:rsidR="0059752F" w:rsidRDefault="0059752F" w:rsidP="0059752F">
      <w:pPr>
        <w:spacing w:after="0" w:line="360" w:lineRule="auto"/>
        <w:ind w:firstLine="708"/>
        <w:jc w:val="both"/>
        <w:rPr>
          <w:rFonts w:ascii="Arial" w:eastAsia="Arial Unicode MS" w:hAnsi="Arial" w:cs="Arial"/>
          <w:sz w:val="24"/>
          <w:szCs w:val="24"/>
          <w:lang w:eastAsia="es-ES"/>
        </w:rPr>
      </w:pPr>
    </w:p>
    <w:p w14:paraId="516CB938" w14:textId="77777777" w:rsidR="0059752F" w:rsidRDefault="0059752F" w:rsidP="0059752F">
      <w:pPr>
        <w:spacing w:after="0" w:line="360" w:lineRule="auto"/>
        <w:ind w:firstLine="708"/>
        <w:jc w:val="both"/>
        <w:rPr>
          <w:rFonts w:ascii="Arial" w:eastAsia="Times New Roman" w:hAnsi="Arial" w:cs="Arial"/>
          <w:sz w:val="24"/>
          <w:szCs w:val="24"/>
          <w:lang w:eastAsia="es-ES"/>
        </w:rPr>
      </w:pPr>
      <w:r>
        <w:rPr>
          <w:rFonts w:ascii="Arial" w:eastAsia="Arial Unicode MS" w:hAnsi="Arial" w:cs="Arial"/>
          <w:sz w:val="24"/>
          <w:szCs w:val="24"/>
          <w:lang w:eastAsia="es-ES"/>
        </w:rPr>
        <w:t xml:space="preserve">En esa tesitura, en el ámbito local se encuentran </w:t>
      </w:r>
      <w:r>
        <w:rPr>
          <w:rFonts w:ascii="Arial" w:eastAsia="Times New Roman" w:hAnsi="Arial" w:cs="Arial"/>
          <w:sz w:val="24"/>
          <w:szCs w:val="24"/>
          <w:lang w:eastAsia="es-ES"/>
        </w:rPr>
        <w:t xml:space="preserve">las bases generales para garantizar el derecho de acceso a la información en la </w:t>
      </w:r>
      <w:r w:rsidRPr="00FE5B4F">
        <w:rPr>
          <w:rFonts w:ascii="Arial" w:eastAsia="Times New Roman" w:hAnsi="Arial" w:cs="Arial"/>
          <w:sz w:val="24"/>
          <w:szCs w:val="24"/>
          <w:lang w:eastAsia="es-ES"/>
        </w:rPr>
        <w:t>Ley de Transparencia y Acceso a la Información Pública</w:t>
      </w:r>
      <w:r>
        <w:rPr>
          <w:rFonts w:ascii="Arial" w:eastAsia="Times New Roman" w:hAnsi="Arial" w:cs="Arial"/>
          <w:sz w:val="24"/>
          <w:szCs w:val="24"/>
          <w:lang w:eastAsia="es-ES"/>
        </w:rPr>
        <w:t xml:space="preserve">. </w:t>
      </w:r>
    </w:p>
    <w:p w14:paraId="530A6E03" w14:textId="77777777" w:rsidR="0059752F" w:rsidRDefault="0059752F" w:rsidP="0059752F">
      <w:pPr>
        <w:autoSpaceDE w:val="0"/>
        <w:autoSpaceDN w:val="0"/>
        <w:adjustRightInd w:val="0"/>
        <w:spacing w:after="0" w:line="360" w:lineRule="auto"/>
        <w:ind w:firstLine="709"/>
        <w:jc w:val="both"/>
        <w:rPr>
          <w:rFonts w:ascii="Arial" w:eastAsia="Times New Roman" w:hAnsi="Arial" w:cs="Arial"/>
          <w:sz w:val="24"/>
          <w:szCs w:val="24"/>
          <w:lang w:eastAsia="es-ES"/>
        </w:rPr>
      </w:pPr>
    </w:p>
    <w:p w14:paraId="522B4CAB" w14:textId="77777777" w:rsidR="0059752F" w:rsidRDefault="0059752F" w:rsidP="0059752F">
      <w:pPr>
        <w:autoSpaceDE w:val="0"/>
        <w:autoSpaceDN w:val="0"/>
        <w:adjustRightInd w:val="0"/>
        <w:spacing w:after="0" w:line="360" w:lineRule="auto"/>
        <w:ind w:firstLine="709"/>
        <w:jc w:val="both"/>
        <w:rPr>
          <w:rFonts w:ascii="Arial" w:eastAsia="Times New Roman" w:hAnsi="Arial" w:cs="Arial"/>
          <w:sz w:val="24"/>
          <w:szCs w:val="24"/>
          <w:lang w:val="es-ES_tradnl" w:eastAsia="es-ES"/>
        </w:rPr>
      </w:pPr>
      <w:r>
        <w:rPr>
          <w:rFonts w:ascii="Arial" w:eastAsia="Times New Roman" w:hAnsi="Arial" w:cs="Arial"/>
          <w:sz w:val="24"/>
          <w:szCs w:val="24"/>
          <w:lang w:eastAsia="es-ES"/>
        </w:rPr>
        <w:t xml:space="preserve">En dicho cuerpo normativo, se establece: “toda información en posesión de cualquier autoridad, entidad, órgano y organismos de los poderes Ejecutivo, Legislativo y Judicial, órganos autónomos, partidos políticos, fideicomisos y fondos públicos, así como cualquier persona física, moral o sindicato que reciba </w:t>
      </w:r>
      <w:r>
        <w:rPr>
          <w:rFonts w:ascii="Arial" w:eastAsia="Times New Roman" w:hAnsi="Arial" w:cs="Arial"/>
          <w:sz w:val="24"/>
          <w:szCs w:val="24"/>
          <w:lang w:eastAsia="es-ES"/>
        </w:rPr>
        <w:lastRenderedPageBreak/>
        <w:t>y ejerza recursos públicos o realice actos de autoridad en el ámbito estatal y municipal, es pública,</w:t>
      </w:r>
      <w:r>
        <w:rPr>
          <w:rStyle w:val="Refdenotaalpie"/>
          <w:rFonts w:ascii="Arial" w:eastAsia="Times New Roman" w:hAnsi="Arial" w:cs="Arial"/>
          <w:sz w:val="24"/>
          <w:szCs w:val="24"/>
          <w:lang w:eastAsia="es-ES"/>
        </w:rPr>
        <w:footnoteReference w:id="14"/>
      </w:r>
      <w:r>
        <w:rPr>
          <w:rFonts w:ascii="Arial" w:eastAsia="Times New Roman" w:hAnsi="Arial" w:cs="Arial"/>
          <w:sz w:val="24"/>
          <w:szCs w:val="24"/>
          <w:lang w:eastAsia="es-ES"/>
        </w:rPr>
        <w:t xml:space="preserve"> </w:t>
      </w:r>
      <w:r w:rsidRPr="00D9126C">
        <w:rPr>
          <w:rFonts w:ascii="Arial" w:eastAsia="Times New Roman" w:hAnsi="Arial" w:cs="Arial"/>
          <w:sz w:val="24"/>
          <w:szCs w:val="24"/>
          <w:lang w:val="es-ES_tradnl" w:eastAsia="es-ES"/>
        </w:rPr>
        <w:t>salvo l</w:t>
      </w:r>
      <w:r>
        <w:rPr>
          <w:rFonts w:ascii="Arial" w:eastAsia="Times New Roman" w:hAnsi="Arial" w:cs="Arial"/>
          <w:sz w:val="24"/>
          <w:szCs w:val="24"/>
          <w:lang w:val="es-ES_tradnl" w:eastAsia="es-ES"/>
        </w:rPr>
        <w:t>as restricciones que defina la L</w:t>
      </w:r>
      <w:r w:rsidRPr="00D9126C">
        <w:rPr>
          <w:rFonts w:ascii="Arial" w:eastAsia="Times New Roman" w:hAnsi="Arial" w:cs="Arial"/>
          <w:sz w:val="24"/>
          <w:szCs w:val="24"/>
          <w:lang w:val="es-ES_tradnl" w:eastAsia="es-ES"/>
        </w:rPr>
        <w:t>ey</w:t>
      </w:r>
      <w:r>
        <w:rPr>
          <w:rStyle w:val="Refdenotaalpie"/>
          <w:rFonts w:ascii="Arial" w:eastAsia="Times New Roman" w:hAnsi="Arial" w:cs="Arial"/>
          <w:sz w:val="24"/>
          <w:szCs w:val="24"/>
          <w:lang w:val="es-ES_tradnl" w:eastAsia="es-ES"/>
        </w:rPr>
        <w:footnoteReference w:id="15"/>
      </w:r>
      <w:r>
        <w:rPr>
          <w:rFonts w:ascii="Arial" w:eastAsia="Times New Roman" w:hAnsi="Arial" w:cs="Arial"/>
          <w:sz w:val="24"/>
          <w:szCs w:val="24"/>
          <w:lang w:val="es-ES_tradnl" w:eastAsia="es-ES"/>
        </w:rPr>
        <w:t>.</w:t>
      </w:r>
    </w:p>
    <w:p w14:paraId="62292552" w14:textId="77777777" w:rsidR="0059752F" w:rsidRDefault="0059752F" w:rsidP="0059752F">
      <w:pPr>
        <w:autoSpaceDE w:val="0"/>
        <w:autoSpaceDN w:val="0"/>
        <w:adjustRightInd w:val="0"/>
        <w:spacing w:after="0" w:line="360" w:lineRule="auto"/>
        <w:ind w:firstLine="709"/>
        <w:jc w:val="both"/>
        <w:rPr>
          <w:rFonts w:ascii="Arial" w:eastAsia="Times New Roman" w:hAnsi="Arial" w:cs="Arial"/>
          <w:sz w:val="24"/>
          <w:szCs w:val="24"/>
          <w:lang w:val="es-ES_tradnl" w:eastAsia="es-ES"/>
        </w:rPr>
      </w:pPr>
    </w:p>
    <w:p w14:paraId="5F899587" w14:textId="21EDEEDC" w:rsidR="0059752F" w:rsidRDefault="0059752F" w:rsidP="0059752F">
      <w:pPr>
        <w:autoSpaceDE w:val="0"/>
        <w:autoSpaceDN w:val="0"/>
        <w:adjustRightInd w:val="0"/>
        <w:spacing w:after="0" w:line="360" w:lineRule="auto"/>
        <w:ind w:firstLine="709"/>
        <w:jc w:val="both"/>
        <w:rPr>
          <w:rFonts w:ascii="Arial" w:hAnsi="Arial" w:cs="Arial"/>
          <w:bCs/>
          <w:sz w:val="24"/>
          <w:szCs w:val="24"/>
        </w:rPr>
      </w:pPr>
      <w:r w:rsidRPr="00095CF4">
        <w:rPr>
          <w:rFonts w:ascii="Arial" w:eastAsia="Times New Roman" w:hAnsi="Arial" w:cs="Arial"/>
          <w:sz w:val="24"/>
          <w:szCs w:val="24"/>
          <w:lang w:eastAsia="es-ES"/>
        </w:rPr>
        <w:t xml:space="preserve">De esta forma, se tiene que </w:t>
      </w:r>
      <w:r w:rsidRPr="00095CF4">
        <w:rPr>
          <w:rFonts w:ascii="Arial" w:hAnsi="Arial" w:cs="Arial"/>
          <w:bCs/>
          <w:sz w:val="24"/>
          <w:szCs w:val="24"/>
        </w:rPr>
        <w:t>en el ejercicio del derecho de acceso a la información pública, se deberá atender siempre al principio de máxima publicidad</w:t>
      </w:r>
      <w:r w:rsidRPr="00095CF4">
        <w:rPr>
          <w:rStyle w:val="Refdenotaalpie"/>
          <w:rFonts w:ascii="Arial" w:hAnsi="Arial" w:cs="Arial"/>
          <w:bCs/>
          <w:sz w:val="24"/>
          <w:szCs w:val="24"/>
        </w:rPr>
        <w:footnoteReference w:id="16"/>
      </w:r>
      <w:r w:rsidRPr="00095CF4">
        <w:rPr>
          <w:rFonts w:ascii="Arial" w:hAnsi="Arial" w:cs="Arial"/>
          <w:bCs/>
          <w:sz w:val="24"/>
          <w:szCs w:val="24"/>
        </w:rPr>
        <w:t xml:space="preserve"> como eje rector en la interpretación de este derecho.</w:t>
      </w:r>
    </w:p>
    <w:p w14:paraId="3FF13A46" w14:textId="77777777" w:rsidR="00FB22A7" w:rsidRDefault="00FB22A7" w:rsidP="0059752F">
      <w:pPr>
        <w:autoSpaceDE w:val="0"/>
        <w:autoSpaceDN w:val="0"/>
        <w:adjustRightInd w:val="0"/>
        <w:spacing w:after="0" w:line="360" w:lineRule="auto"/>
        <w:ind w:firstLine="709"/>
        <w:jc w:val="both"/>
        <w:rPr>
          <w:rFonts w:ascii="Arial" w:hAnsi="Arial" w:cs="Arial"/>
          <w:bCs/>
          <w:sz w:val="24"/>
          <w:szCs w:val="24"/>
        </w:rPr>
      </w:pPr>
    </w:p>
    <w:p w14:paraId="3C3A349C" w14:textId="77777777" w:rsidR="0059752F" w:rsidRDefault="0059752F" w:rsidP="0059752F">
      <w:pPr>
        <w:autoSpaceDE w:val="0"/>
        <w:autoSpaceDN w:val="0"/>
        <w:adjustRightInd w:val="0"/>
        <w:spacing w:after="0" w:line="360" w:lineRule="auto"/>
        <w:ind w:firstLine="709"/>
        <w:jc w:val="both"/>
        <w:rPr>
          <w:rFonts w:ascii="Arial" w:eastAsia="Arial Unicode MS" w:hAnsi="Arial" w:cs="Arial"/>
          <w:b/>
          <w:sz w:val="24"/>
          <w:szCs w:val="24"/>
          <w:u w:val="single"/>
          <w:lang w:eastAsia="es-ES"/>
        </w:rPr>
      </w:pPr>
      <w:r>
        <w:rPr>
          <w:rFonts w:ascii="Arial" w:hAnsi="Arial" w:cs="Arial"/>
          <w:bCs/>
          <w:sz w:val="24"/>
          <w:szCs w:val="24"/>
        </w:rPr>
        <w:t xml:space="preserve"> </w:t>
      </w:r>
      <w:r>
        <w:rPr>
          <w:rFonts w:ascii="Arial" w:eastAsia="Times New Roman" w:hAnsi="Arial" w:cs="Arial"/>
          <w:sz w:val="24"/>
          <w:szCs w:val="24"/>
          <w:lang w:val="es-ES_tradnl" w:eastAsia="es-ES"/>
        </w:rPr>
        <w:t xml:space="preserve">No obstante, la información anteriormente mencionada, podrá ser negada por las autoridades cuando encuadre en los supuestos contemplados en el artículo </w:t>
      </w:r>
      <w:r>
        <w:rPr>
          <w:rFonts w:ascii="Arial" w:eastAsia="Arial Unicode MS" w:hAnsi="Arial" w:cs="Arial"/>
          <w:sz w:val="24"/>
          <w:szCs w:val="24"/>
          <w:lang w:eastAsia="es-ES"/>
        </w:rPr>
        <w:t>113</w:t>
      </w:r>
      <w:r>
        <w:rPr>
          <w:rStyle w:val="Refdenotaalpie"/>
          <w:rFonts w:ascii="Arial" w:eastAsia="Arial Unicode MS" w:hAnsi="Arial" w:cs="Arial"/>
          <w:sz w:val="24"/>
          <w:szCs w:val="24"/>
          <w:lang w:eastAsia="es-ES"/>
        </w:rPr>
        <w:footnoteReference w:id="17"/>
      </w:r>
      <w:r>
        <w:rPr>
          <w:rFonts w:ascii="Arial" w:eastAsia="Arial Unicode MS" w:hAnsi="Arial" w:cs="Arial"/>
          <w:sz w:val="24"/>
          <w:szCs w:val="24"/>
          <w:lang w:eastAsia="es-ES"/>
        </w:rPr>
        <w:t xml:space="preserve"> de la Ley de Transparencia y Acceso a la Información Pública del Estado de San Luis Potosí; así, los sujetos obligados podrán determinar que respecto a la entrega de la información, se actualice una excepción al derecho de acceso a la información pública: </w:t>
      </w:r>
      <w:r w:rsidRPr="00FE2E8D">
        <w:rPr>
          <w:rFonts w:ascii="Arial" w:eastAsia="Arial Unicode MS" w:hAnsi="Arial" w:cs="Arial"/>
          <w:b/>
          <w:sz w:val="24"/>
          <w:szCs w:val="24"/>
          <w:u w:val="single"/>
          <w:lang w:eastAsia="es-ES"/>
        </w:rPr>
        <w:t xml:space="preserve">información reservada e información confidencial. </w:t>
      </w:r>
    </w:p>
    <w:p w14:paraId="200112F9" w14:textId="77777777" w:rsidR="0059752F" w:rsidRPr="00FE2E8D" w:rsidRDefault="0059752F" w:rsidP="0059752F">
      <w:pPr>
        <w:autoSpaceDE w:val="0"/>
        <w:autoSpaceDN w:val="0"/>
        <w:adjustRightInd w:val="0"/>
        <w:spacing w:after="0" w:line="360" w:lineRule="auto"/>
        <w:ind w:firstLine="709"/>
        <w:jc w:val="both"/>
        <w:rPr>
          <w:rFonts w:ascii="Arial" w:eastAsia="Arial Unicode MS" w:hAnsi="Arial" w:cs="Arial"/>
          <w:b/>
          <w:sz w:val="24"/>
          <w:szCs w:val="24"/>
          <w:u w:val="single"/>
          <w:lang w:eastAsia="es-ES"/>
        </w:rPr>
      </w:pPr>
    </w:p>
    <w:p w14:paraId="6441AD2D" w14:textId="77777777" w:rsidR="0059752F" w:rsidRDefault="0059752F" w:rsidP="0059752F">
      <w:pPr>
        <w:spacing w:after="0" w:line="360" w:lineRule="auto"/>
        <w:ind w:firstLine="708"/>
        <w:jc w:val="both"/>
        <w:rPr>
          <w:rFonts w:ascii="Arial" w:eastAsia="Arial Unicode MS" w:hAnsi="Arial" w:cs="Arial"/>
          <w:b/>
          <w:sz w:val="24"/>
          <w:szCs w:val="24"/>
          <w:u w:val="single"/>
          <w:lang w:eastAsia="es-ES"/>
        </w:rPr>
      </w:pPr>
      <w:r>
        <w:rPr>
          <w:rFonts w:ascii="Arial" w:eastAsia="Arial Unicode MS" w:hAnsi="Arial" w:cs="Arial"/>
          <w:sz w:val="24"/>
          <w:szCs w:val="24"/>
          <w:lang w:eastAsia="es-ES"/>
        </w:rPr>
        <w:t xml:space="preserve">Supuestos los anteriores que se diferencian en tanto que, la </w:t>
      </w:r>
      <w:r w:rsidRPr="00212545">
        <w:rPr>
          <w:rFonts w:ascii="Arial" w:eastAsia="Arial Unicode MS" w:hAnsi="Arial" w:cs="Arial"/>
          <w:b/>
          <w:bCs/>
          <w:i/>
          <w:iCs/>
          <w:sz w:val="24"/>
          <w:szCs w:val="24"/>
          <w:u w:val="single"/>
          <w:lang w:eastAsia="es-ES"/>
        </w:rPr>
        <w:t>información confidencial</w:t>
      </w:r>
      <w:r>
        <w:rPr>
          <w:rStyle w:val="Refdenotaalpie"/>
          <w:rFonts w:ascii="Arial" w:eastAsia="Arial Unicode MS" w:hAnsi="Arial" w:cs="Arial"/>
          <w:sz w:val="24"/>
          <w:szCs w:val="24"/>
          <w:lang w:eastAsia="es-ES"/>
        </w:rPr>
        <w:footnoteReference w:id="18"/>
      </w:r>
      <w:r>
        <w:rPr>
          <w:rFonts w:ascii="Arial" w:eastAsia="Arial Unicode MS" w:hAnsi="Arial" w:cs="Arial"/>
          <w:sz w:val="24"/>
          <w:szCs w:val="24"/>
          <w:lang w:eastAsia="es-ES"/>
        </w:rPr>
        <w:t xml:space="preserve">, se compone de datos que son inherentes a una persona identificada o identificable; la protección de dichos datos, no se encuentra sujeta a un plazo de tiempo determinado y </w:t>
      </w:r>
      <w:r w:rsidRPr="0031482E">
        <w:rPr>
          <w:rFonts w:ascii="Arial" w:eastAsia="Arial Unicode MS" w:hAnsi="Arial" w:cs="Arial"/>
          <w:b/>
          <w:sz w:val="24"/>
          <w:szCs w:val="24"/>
          <w:u w:val="single"/>
          <w:lang w:eastAsia="es-ES"/>
        </w:rPr>
        <w:t>sólo podrán tener acceso a ella los titulares de la misma, sus representantes y los servidores públicos facultados para ello.</w:t>
      </w:r>
    </w:p>
    <w:p w14:paraId="469D8591" w14:textId="77777777" w:rsidR="0059752F" w:rsidRPr="0031482E" w:rsidRDefault="0059752F" w:rsidP="0059752F">
      <w:pPr>
        <w:spacing w:after="0" w:line="360" w:lineRule="auto"/>
        <w:ind w:firstLine="708"/>
        <w:jc w:val="both"/>
        <w:rPr>
          <w:rFonts w:ascii="Arial" w:eastAsia="Arial Unicode MS" w:hAnsi="Arial" w:cs="Arial"/>
          <w:b/>
          <w:sz w:val="24"/>
          <w:szCs w:val="24"/>
          <w:u w:val="single"/>
          <w:lang w:eastAsia="es-ES"/>
        </w:rPr>
      </w:pPr>
    </w:p>
    <w:p w14:paraId="2419ECEF" w14:textId="77777777" w:rsidR="0059752F" w:rsidRDefault="0059752F" w:rsidP="0059752F">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En el catálogo de datos con carácter confidencial, la Ley de la materia, de manera enunciativa más no limitativa, establece que se considera información confidencial</w:t>
      </w:r>
      <w:r>
        <w:rPr>
          <w:rStyle w:val="Refdenotaalpie"/>
          <w:rFonts w:ascii="Arial" w:eastAsia="Arial Unicode MS" w:hAnsi="Arial" w:cs="Arial"/>
          <w:sz w:val="24"/>
          <w:szCs w:val="24"/>
          <w:lang w:eastAsia="es-ES"/>
        </w:rPr>
        <w:footnoteReference w:id="19"/>
      </w:r>
      <w:r>
        <w:rPr>
          <w:rFonts w:ascii="Arial" w:eastAsia="Arial Unicode MS" w:hAnsi="Arial" w:cs="Arial"/>
          <w:sz w:val="24"/>
          <w:szCs w:val="24"/>
          <w:lang w:eastAsia="es-ES"/>
        </w:rPr>
        <w:t xml:space="preserve">: </w:t>
      </w:r>
      <w:r w:rsidRPr="001A7E41">
        <w:rPr>
          <w:rFonts w:ascii="Arial" w:eastAsia="Arial Unicode MS" w:hAnsi="Arial" w:cs="Arial"/>
          <w:sz w:val="24"/>
          <w:szCs w:val="24"/>
          <w:lang w:eastAsia="es-ES"/>
        </w:rPr>
        <w:t xml:space="preserve">los secretos bancario, fiduciario, industrial, comercial, fiscal, bursátil y postal, cuya titularidad corresponda a particulares, sujetos de derecho internacional o a sujetos obligados </w:t>
      </w:r>
      <w:r w:rsidRPr="00DB19BB">
        <w:rPr>
          <w:rFonts w:ascii="Arial" w:eastAsia="Arial Unicode MS" w:hAnsi="Arial" w:cs="Arial"/>
          <w:b/>
          <w:sz w:val="24"/>
          <w:szCs w:val="24"/>
          <w:u w:val="single"/>
          <w:lang w:eastAsia="es-ES"/>
        </w:rPr>
        <w:t>cuando no involucren el ejercicio de recursos públicos. Asimismo</w:t>
      </w:r>
      <w:r w:rsidRPr="0031482E">
        <w:rPr>
          <w:rFonts w:ascii="Arial" w:eastAsia="Arial Unicode MS" w:hAnsi="Arial" w:cs="Arial"/>
          <w:b/>
          <w:sz w:val="24"/>
          <w:szCs w:val="24"/>
          <w:u w:val="single"/>
          <w:lang w:eastAsia="es-ES"/>
        </w:rPr>
        <w:t>, será información confidencial aquella que presenten los particulares a los sujetos obligados,</w:t>
      </w:r>
      <w:r w:rsidRPr="001A7E41">
        <w:rPr>
          <w:rFonts w:ascii="Arial" w:eastAsia="Arial Unicode MS" w:hAnsi="Arial" w:cs="Arial"/>
          <w:sz w:val="24"/>
          <w:szCs w:val="24"/>
          <w:lang w:eastAsia="es-ES"/>
        </w:rPr>
        <w:t xml:space="preserve"> siempre que tengan el derecho a ello, de conformidad con lo dispuesto por las leyes o los tratados internacionales.</w:t>
      </w:r>
    </w:p>
    <w:p w14:paraId="11A35DD3" w14:textId="77777777" w:rsidR="0059752F" w:rsidRDefault="0059752F" w:rsidP="0059752F">
      <w:pPr>
        <w:spacing w:after="0" w:line="360" w:lineRule="auto"/>
        <w:ind w:firstLine="708"/>
        <w:jc w:val="both"/>
        <w:rPr>
          <w:rFonts w:ascii="Arial" w:eastAsia="Arial Unicode MS" w:hAnsi="Arial" w:cs="Arial"/>
          <w:sz w:val="24"/>
          <w:szCs w:val="24"/>
          <w:lang w:eastAsia="es-ES"/>
        </w:rPr>
      </w:pPr>
    </w:p>
    <w:p w14:paraId="2ECC5A6D" w14:textId="785E985E" w:rsidR="0059752F" w:rsidRPr="001E7054" w:rsidRDefault="0059752F" w:rsidP="000D6D87">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Por su parte, la </w:t>
      </w:r>
      <w:r w:rsidRPr="000D6D87">
        <w:rPr>
          <w:rFonts w:ascii="Arial" w:eastAsia="Arial Unicode MS" w:hAnsi="Arial" w:cs="Arial"/>
          <w:bCs/>
          <w:i/>
          <w:iCs/>
          <w:sz w:val="24"/>
          <w:szCs w:val="24"/>
          <w:lang w:eastAsia="es-ES"/>
        </w:rPr>
        <w:t>información reservada</w:t>
      </w:r>
      <w:r>
        <w:rPr>
          <w:rStyle w:val="Refdenotaalpie"/>
          <w:rFonts w:ascii="Arial" w:eastAsia="Arial Unicode MS" w:hAnsi="Arial" w:cs="Arial"/>
          <w:sz w:val="24"/>
          <w:szCs w:val="24"/>
          <w:lang w:eastAsia="es-ES"/>
        </w:rPr>
        <w:footnoteReference w:id="20"/>
      </w:r>
      <w:r>
        <w:rPr>
          <w:rFonts w:ascii="Arial" w:eastAsia="Arial Unicode MS" w:hAnsi="Arial" w:cs="Arial"/>
          <w:sz w:val="24"/>
          <w:szCs w:val="24"/>
          <w:lang w:eastAsia="es-ES"/>
        </w:rPr>
        <w:t>, es toda aquella que, una vez acreditados los elementos necesarios, los sujetos obligados determinan necesaria la restricción de su acceso al público, por un tiempo determinado; lo anterior en tanto que, con su publicación se pudiera causar una lesión al interés público.</w:t>
      </w:r>
      <w:r w:rsidR="000D6D87">
        <w:rPr>
          <w:rFonts w:ascii="Arial" w:eastAsia="Arial Unicode MS" w:hAnsi="Arial" w:cs="Arial"/>
          <w:sz w:val="24"/>
          <w:szCs w:val="24"/>
          <w:lang w:eastAsia="es-ES"/>
        </w:rPr>
        <w:t xml:space="preserve"> </w:t>
      </w:r>
      <w:r>
        <w:rPr>
          <w:rFonts w:ascii="Arial" w:eastAsia="Arial Unicode MS" w:hAnsi="Arial" w:cs="Arial"/>
          <w:sz w:val="24"/>
          <w:szCs w:val="24"/>
          <w:lang w:eastAsia="es-ES"/>
        </w:rPr>
        <w:t xml:space="preserve">Como información reservada, </w:t>
      </w:r>
      <w:r w:rsidRPr="00B07E2F">
        <w:rPr>
          <w:rFonts w:ascii="Arial" w:eastAsia="Arial Unicode MS" w:hAnsi="Arial" w:cs="Arial"/>
          <w:sz w:val="24"/>
          <w:szCs w:val="24"/>
          <w:lang w:eastAsia="es-ES"/>
        </w:rPr>
        <w:t xml:space="preserve">podrá clasificarse aquella </w:t>
      </w:r>
      <w:r>
        <w:rPr>
          <w:rFonts w:ascii="Arial" w:eastAsia="Arial Unicode MS" w:hAnsi="Arial" w:cs="Arial"/>
          <w:sz w:val="24"/>
          <w:szCs w:val="24"/>
          <w:lang w:eastAsia="es-ES"/>
        </w:rPr>
        <w:t>que actualice alguno de los supuestos del artículo 129 de la Ley de Transparencia Local</w:t>
      </w:r>
      <w:r>
        <w:rPr>
          <w:rStyle w:val="Refdenotaalpie"/>
          <w:rFonts w:ascii="Arial" w:eastAsia="Arial Unicode MS" w:hAnsi="Arial" w:cs="Arial"/>
          <w:sz w:val="24"/>
          <w:szCs w:val="24"/>
          <w:lang w:eastAsia="es-ES"/>
        </w:rPr>
        <w:footnoteReference w:id="21"/>
      </w:r>
      <w:r w:rsidR="000D6D87">
        <w:rPr>
          <w:rFonts w:ascii="Arial" w:eastAsia="Arial Unicode MS" w:hAnsi="Arial" w:cs="Arial"/>
          <w:sz w:val="24"/>
          <w:szCs w:val="24"/>
          <w:lang w:eastAsia="es-ES"/>
        </w:rPr>
        <w:t>.</w:t>
      </w:r>
    </w:p>
    <w:p w14:paraId="70B5D931" w14:textId="77777777" w:rsidR="0059752F" w:rsidRDefault="0059752F" w:rsidP="0059752F">
      <w:pPr>
        <w:spacing w:after="0" w:line="360" w:lineRule="auto"/>
        <w:ind w:firstLine="708"/>
        <w:jc w:val="both"/>
        <w:rPr>
          <w:rFonts w:ascii="Arial" w:eastAsia="Arial Unicode MS" w:hAnsi="Arial" w:cs="Arial"/>
          <w:sz w:val="24"/>
          <w:szCs w:val="24"/>
          <w:lang w:eastAsia="es-ES"/>
        </w:rPr>
      </w:pPr>
    </w:p>
    <w:p w14:paraId="0B5A2597" w14:textId="4A7DF287" w:rsidR="0059752F" w:rsidRDefault="000D6D87" w:rsidP="0059752F">
      <w:pPr>
        <w:spacing w:after="0" w:line="360" w:lineRule="auto"/>
        <w:ind w:firstLine="708"/>
        <w:jc w:val="both"/>
        <w:rPr>
          <w:rFonts w:ascii="Arial" w:hAnsi="Arial" w:cs="Arial"/>
          <w:sz w:val="24"/>
          <w:szCs w:val="24"/>
          <w:u w:val="single"/>
          <w:lang w:val="es-ES_tradnl"/>
        </w:rPr>
      </w:pPr>
      <w:r>
        <w:rPr>
          <w:rFonts w:ascii="Arial" w:eastAsia="Arial Unicode MS" w:hAnsi="Arial" w:cs="Arial"/>
          <w:sz w:val="24"/>
          <w:szCs w:val="24"/>
          <w:lang w:eastAsia="es-ES"/>
        </w:rPr>
        <w:t>A criterio de este Órgano Garante</w:t>
      </w:r>
      <w:r w:rsidR="0059752F">
        <w:rPr>
          <w:rFonts w:ascii="Arial" w:eastAsia="Arial Unicode MS" w:hAnsi="Arial" w:cs="Arial"/>
          <w:sz w:val="24"/>
          <w:szCs w:val="24"/>
          <w:lang w:eastAsia="es-ES"/>
        </w:rPr>
        <w:t xml:space="preserve">, </w:t>
      </w:r>
      <w:r w:rsidR="0059752F">
        <w:rPr>
          <w:rFonts w:ascii="Arial" w:hAnsi="Arial" w:cs="Arial"/>
          <w:sz w:val="24"/>
          <w:szCs w:val="24"/>
        </w:rPr>
        <w:t xml:space="preserve">se arriba a la convicción de que </w:t>
      </w:r>
      <w:r w:rsidR="0059752F" w:rsidRPr="003731E9">
        <w:rPr>
          <w:rFonts w:ascii="Arial" w:hAnsi="Arial" w:cs="Arial"/>
          <w:b/>
          <w:sz w:val="24"/>
          <w:szCs w:val="24"/>
        </w:rPr>
        <w:t xml:space="preserve">el sujeto </w:t>
      </w:r>
      <w:r w:rsidR="0059752F" w:rsidRPr="003731E9">
        <w:rPr>
          <w:rFonts w:ascii="Arial" w:eastAsia="Arial Unicode MS" w:hAnsi="Arial" w:cs="Arial"/>
          <w:b/>
          <w:sz w:val="24"/>
          <w:szCs w:val="24"/>
          <w:lang w:eastAsia="es-ES"/>
        </w:rPr>
        <w:t>obligado fue omiso en aplicar de manera restrictiva y limitada, la negativa al acceso a la información,</w:t>
      </w:r>
      <w:r w:rsidR="0059752F">
        <w:rPr>
          <w:rFonts w:ascii="Arial" w:eastAsia="Arial Unicode MS" w:hAnsi="Arial" w:cs="Arial"/>
          <w:sz w:val="24"/>
          <w:szCs w:val="24"/>
          <w:lang w:eastAsia="es-ES"/>
        </w:rPr>
        <w:t xml:space="preserve"> aduciendo únicamente que lo requerido es considerado información confidencial, </w:t>
      </w:r>
      <w:r w:rsidR="0059752F" w:rsidRPr="003731E9">
        <w:rPr>
          <w:rFonts w:ascii="Arial" w:eastAsia="Arial Unicode MS" w:hAnsi="Arial" w:cs="Arial"/>
          <w:sz w:val="24"/>
          <w:szCs w:val="24"/>
          <w:u w:val="single"/>
          <w:lang w:eastAsia="es-ES"/>
        </w:rPr>
        <w:t>inobservando los preceptos legales 114, 119, 120, 123, 128, 138, 142</w:t>
      </w:r>
      <w:r w:rsidR="0059752F">
        <w:rPr>
          <w:rFonts w:ascii="Arial" w:eastAsia="Arial Unicode MS" w:hAnsi="Arial" w:cs="Arial"/>
          <w:sz w:val="24"/>
          <w:szCs w:val="24"/>
          <w:u w:val="single"/>
          <w:lang w:eastAsia="es-ES"/>
        </w:rPr>
        <w:t xml:space="preserve"> </w:t>
      </w:r>
      <w:r w:rsidR="0059752F" w:rsidRPr="003731E9">
        <w:rPr>
          <w:rFonts w:ascii="Arial" w:eastAsia="Arial Unicode MS" w:hAnsi="Arial" w:cs="Arial"/>
          <w:sz w:val="24"/>
          <w:szCs w:val="24"/>
          <w:u w:val="single"/>
          <w:lang w:eastAsia="es-ES"/>
        </w:rPr>
        <w:t xml:space="preserve">y 159 de la Ley de Transparencia y Acceso a </w:t>
      </w:r>
      <w:r w:rsidR="0059752F" w:rsidRPr="003731E9">
        <w:rPr>
          <w:rFonts w:ascii="Arial" w:eastAsia="Arial Unicode MS" w:hAnsi="Arial" w:cs="Arial"/>
          <w:sz w:val="24"/>
          <w:szCs w:val="24"/>
          <w:u w:val="single"/>
          <w:lang w:eastAsia="es-ES"/>
        </w:rPr>
        <w:lastRenderedPageBreak/>
        <w:t xml:space="preserve">la Información Pública, así como lo previsto en los </w:t>
      </w:r>
      <w:r w:rsidR="0059752F" w:rsidRPr="003731E9">
        <w:rPr>
          <w:rFonts w:ascii="Arial" w:hAnsi="Arial" w:cs="Arial"/>
          <w:sz w:val="24"/>
          <w:szCs w:val="24"/>
          <w:u w:val="single"/>
          <w:lang w:val="es-ES_tradnl"/>
        </w:rPr>
        <w:t>Lineamientos Generales en Materia de Clasificación y Desclasificación de la Información, así como para la Elaboración de Versiones Públicas.</w:t>
      </w:r>
    </w:p>
    <w:p w14:paraId="1C60BDD7" w14:textId="77777777" w:rsidR="0059752F" w:rsidRPr="003731E9" w:rsidRDefault="0059752F" w:rsidP="0059752F">
      <w:pPr>
        <w:spacing w:after="0" w:line="360" w:lineRule="auto"/>
        <w:ind w:firstLine="708"/>
        <w:jc w:val="both"/>
        <w:rPr>
          <w:rFonts w:ascii="Arial" w:eastAsia="Arial Unicode MS" w:hAnsi="Arial" w:cs="Arial"/>
          <w:sz w:val="24"/>
          <w:szCs w:val="24"/>
          <w:u w:val="single"/>
          <w:lang w:eastAsia="es-ES"/>
        </w:rPr>
      </w:pPr>
    </w:p>
    <w:p w14:paraId="465FAC7C" w14:textId="4692C6B1" w:rsidR="0059752F" w:rsidRDefault="0059752F" w:rsidP="0059752F">
      <w:pPr>
        <w:spacing w:after="0" w:line="360" w:lineRule="auto"/>
        <w:ind w:firstLine="709"/>
        <w:jc w:val="both"/>
        <w:rPr>
          <w:rFonts w:ascii="Arial" w:eastAsia="Arial Unicode MS" w:hAnsi="Arial" w:cs="Arial"/>
          <w:sz w:val="24"/>
          <w:szCs w:val="24"/>
          <w:u w:val="single"/>
          <w:lang w:eastAsia="es-ES"/>
        </w:rPr>
      </w:pPr>
      <w:r>
        <w:rPr>
          <w:rFonts w:ascii="Arial" w:eastAsia="Arial Unicode MS" w:hAnsi="Arial" w:cs="Arial"/>
          <w:sz w:val="24"/>
          <w:szCs w:val="24"/>
          <w:lang w:eastAsia="es-ES"/>
        </w:rPr>
        <w:t>Existe aseveración de lo anterior, toda vez que, la autoridad no justificó la negativa de acceso a la información conforme lo previsto en el artículo 119</w:t>
      </w:r>
      <w:r>
        <w:rPr>
          <w:rStyle w:val="Refdenotaalpie"/>
          <w:rFonts w:ascii="Arial" w:eastAsia="Arial Unicode MS" w:hAnsi="Arial" w:cs="Arial"/>
          <w:sz w:val="24"/>
          <w:szCs w:val="24"/>
          <w:lang w:eastAsia="es-ES"/>
        </w:rPr>
        <w:footnoteReference w:id="22"/>
      </w:r>
      <w:r>
        <w:rPr>
          <w:rFonts w:ascii="Arial" w:eastAsia="Arial Unicode MS" w:hAnsi="Arial" w:cs="Arial"/>
          <w:sz w:val="24"/>
          <w:szCs w:val="24"/>
          <w:lang w:eastAsia="es-ES"/>
        </w:rPr>
        <w:t xml:space="preserve"> del ordenamiento legal en comento; ello, debido a que tal restricción fue aplicada de manera amplía, puesto que el obligado únicamente se limitó a señalar la situación prevista en el artículo 138 de la Ley de la materia es decir, la confidencialidad de lo solicitado, sin que se haya encuadrado conforme la naturaleza de la información, esto es, acorde a lo previsto en el lineamiento</w:t>
      </w:r>
      <w:r>
        <w:rPr>
          <w:rStyle w:val="Refdenotaalpie"/>
          <w:rFonts w:ascii="Arial" w:eastAsia="Arial Unicode MS" w:hAnsi="Arial" w:cs="Arial"/>
          <w:sz w:val="24"/>
          <w:szCs w:val="24"/>
          <w:lang w:eastAsia="es-ES"/>
        </w:rPr>
        <w:footnoteReference w:id="23"/>
      </w:r>
      <w:r>
        <w:rPr>
          <w:rFonts w:ascii="Arial" w:eastAsia="Arial Unicode MS" w:hAnsi="Arial" w:cs="Arial"/>
          <w:sz w:val="24"/>
          <w:szCs w:val="24"/>
          <w:lang w:eastAsia="es-ES"/>
        </w:rPr>
        <w:t xml:space="preserve"> trigésimo octavo</w:t>
      </w:r>
      <w:r>
        <w:rPr>
          <w:rStyle w:val="Refdenotaalpie"/>
          <w:rFonts w:ascii="Arial" w:eastAsia="Arial Unicode MS" w:hAnsi="Arial" w:cs="Arial"/>
          <w:sz w:val="24"/>
          <w:szCs w:val="24"/>
          <w:lang w:eastAsia="es-ES"/>
        </w:rPr>
        <w:footnoteReference w:id="24"/>
      </w:r>
      <w:r>
        <w:rPr>
          <w:rFonts w:ascii="Arial" w:eastAsia="Arial Unicode MS" w:hAnsi="Arial" w:cs="Arial"/>
          <w:sz w:val="24"/>
          <w:szCs w:val="24"/>
          <w:lang w:eastAsia="es-ES"/>
        </w:rPr>
        <w:t xml:space="preserve"> de los </w:t>
      </w:r>
      <w:r w:rsidRPr="00C01664">
        <w:rPr>
          <w:rFonts w:ascii="Arial" w:hAnsi="Arial" w:cs="Arial"/>
          <w:sz w:val="24"/>
          <w:szCs w:val="24"/>
          <w:lang w:val="es-ES_tradnl"/>
        </w:rPr>
        <w:t xml:space="preserve">Lineamientos Generales en Materia de Clasificación y Desclasificación de </w:t>
      </w:r>
      <w:r w:rsidRPr="00C01664">
        <w:rPr>
          <w:rFonts w:ascii="Arial" w:hAnsi="Arial" w:cs="Arial"/>
          <w:sz w:val="24"/>
          <w:szCs w:val="24"/>
          <w:lang w:val="es-ES_tradnl"/>
        </w:rPr>
        <w:lastRenderedPageBreak/>
        <w:t>la Información, así como para la Elaboración de Versiones Públicas</w:t>
      </w:r>
      <w:r>
        <w:rPr>
          <w:rFonts w:ascii="Arial" w:hAnsi="Arial" w:cs="Arial"/>
          <w:sz w:val="24"/>
          <w:szCs w:val="24"/>
          <w:lang w:val="es-ES_tradnl"/>
        </w:rPr>
        <w:t xml:space="preserve">, </w:t>
      </w:r>
      <w:r w:rsidRPr="003731E9">
        <w:rPr>
          <w:rFonts w:ascii="Arial" w:hAnsi="Arial" w:cs="Arial"/>
          <w:sz w:val="24"/>
          <w:szCs w:val="24"/>
          <w:u w:val="single"/>
          <w:lang w:val="es-ES_tradnl"/>
        </w:rPr>
        <w:t xml:space="preserve">a través de la justificación </w:t>
      </w:r>
      <w:r w:rsidRPr="003731E9">
        <w:rPr>
          <w:rFonts w:ascii="Arial" w:eastAsia="Arial Unicode MS" w:hAnsi="Arial" w:cs="Arial"/>
          <w:sz w:val="24"/>
          <w:szCs w:val="24"/>
          <w:u w:val="single"/>
          <w:lang w:eastAsia="es-ES"/>
        </w:rPr>
        <w:t>de manera fundada y motivada, la negativa de acceso a la información concedida en la respuesta que por este medio se impugna</w:t>
      </w:r>
      <w:r>
        <w:rPr>
          <w:rFonts w:ascii="Arial" w:eastAsia="Arial Unicode MS" w:hAnsi="Arial" w:cs="Arial"/>
          <w:sz w:val="24"/>
          <w:szCs w:val="24"/>
          <w:u w:val="single"/>
          <w:lang w:eastAsia="es-ES"/>
        </w:rPr>
        <w:t>.</w:t>
      </w:r>
    </w:p>
    <w:p w14:paraId="542C90FE" w14:textId="77777777" w:rsidR="0059752F" w:rsidRDefault="0059752F" w:rsidP="0059752F">
      <w:pPr>
        <w:spacing w:after="0" w:line="360" w:lineRule="auto"/>
        <w:ind w:firstLine="708"/>
        <w:jc w:val="both"/>
        <w:rPr>
          <w:rFonts w:ascii="Arial" w:eastAsia="Arial Unicode MS" w:hAnsi="Arial" w:cs="Arial"/>
          <w:sz w:val="24"/>
          <w:szCs w:val="24"/>
          <w:lang w:eastAsia="es-ES"/>
        </w:rPr>
      </w:pPr>
    </w:p>
    <w:p w14:paraId="3A97DF05" w14:textId="77777777" w:rsidR="00A428ED" w:rsidRDefault="00A428ED" w:rsidP="00A428ED">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En correlación con lo anterior, se tiene que la Ley de Transparencia y Acceso a la Información Pública del Estado de San Luis Potosí, vigente, a través de su artículo 123</w:t>
      </w:r>
      <w:r>
        <w:rPr>
          <w:rStyle w:val="Refdenotaalpie"/>
          <w:rFonts w:ascii="Arial" w:eastAsia="Arial Unicode MS" w:hAnsi="Arial" w:cs="Arial"/>
          <w:sz w:val="24"/>
          <w:szCs w:val="24"/>
          <w:lang w:eastAsia="es-ES"/>
        </w:rPr>
        <w:footnoteReference w:id="25"/>
      </w:r>
      <w:r>
        <w:rPr>
          <w:rFonts w:ascii="Arial" w:eastAsia="Arial Unicode MS" w:hAnsi="Arial" w:cs="Arial"/>
          <w:sz w:val="24"/>
          <w:szCs w:val="24"/>
          <w:lang w:eastAsia="es-ES"/>
        </w:rPr>
        <w:t xml:space="preserve">, contempla la obligatoriedad en la observancia y aplicación de los Lineamientos que en materia de clasificación de la información, emitió el Sistema Nacional de Transparencia, a que hacía referencia la Ley General de Transparencia y Acceso a la Información Pública </w:t>
      </w:r>
      <w:r w:rsidRPr="00284C08">
        <w:rPr>
          <w:rFonts w:ascii="Arial" w:eastAsia="Arial Unicode MS" w:hAnsi="Arial" w:cs="Arial"/>
          <w:sz w:val="24"/>
          <w:szCs w:val="24"/>
          <w:lang w:eastAsia="es-ES"/>
        </w:rPr>
        <w:t xml:space="preserve">publicada en la Edición Vespertina del Diario Oficial de la Federación, el lunes </w:t>
      </w:r>
      <w:r>
        <w:rPr>
          <w:rFonts w:ascii="Arial" w:eastAsia="Arial Unicode MS" w:hAnsi="Arial" w:cs="Arial"/>
          <w:sz w:val="24"/>
          <w:szCs w:val="24"/>
          <w:lang w:eastAsia="es-ES"/>
        </w:rPr>
        <w:t>04 cuatro</w:t>
      </w:r>
      <w:r w:rsidRPr="00284C08">
        <w:rPr>
          <w:rFonts w:ascii="Arial" w:eastAsia="Arial Unicode MS" w:hAnsi="Arial" w:cs="Arial"/>
          <w:sz w:val="24"/>
          <w:szCs w:val="24"/>
          <w:lang w:eastAsia="es-ES"/>
        </w:rPr>
        <w:t xml:space="preserve"> de mayo de </w:t>
      </w:r>
      <w:r>
        <w:rPr>
          <w:rFonts w:ascii="Arial" w:eastAsia="Arial Unicode MS" w:hAnsi="Arial" w:cs="Arial"/>
          <w:sz w:val="24"/>
          <w:szCs w:val="24"/>
          <w:lang w:eastAsia="es-ES"/>
        </w:rPr>
        <w:t>2015 dos mil quince.</w:t>
      </w:r>
    </w:p>
    <w:p w14:paraId="6F538713" w14:textId="77777777" w:rsidR="00A428ED" w:rsidRDefault="00A428ED" w:rsidP="00A428ED">
      <w:pPr>
        <w:spacing w:after="0" w:line="360" w:lineRule="auto"/>
        <w:ind w:firstLine="708"/>
        <w:jc w:val="both"/>
        <w:rPr>
          <w:rFonts w:ascii="Arial" w:eastAsia="Arial Unicode MS" w:hAnsi="Arial" w:cs="Arial"/>
          <w:sz w:val="24"/>
          <w:szCs w:val="24"/>
          <w:lang w:eastAsia="es-ES"/>
        </w:rPr>
      </w:pPr>
    </w:p>
    <w:p w14:paraId="7271CFF2" w14:textId="77777777" w:rsidR="00A428ED" w:rsidRDefault="00A428ED" w:rsidP="00A428ED">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Sin embargo, no pasa inadvertido para este Órgano Resolutor, que mediante publicación en el Diario Oficial de 20 veinte de marzo de 2025 dos mil veinticinco, se expidió la Ley General de Transparencia y Acceso a la Información Pública; y, entre otras circunstancias, abrogó la Ley General </w:t>
      </w:r>
      <w:r w:rsidRPr="00284C08">
        <w:rPr>
          <w:rFonts w:ascii="Arial" w:eastAsia="Arial Unicode MS" w:hAnsi="Arial" w:cs="Arial"/>
          <w:sz w:val="24"/>
          <w:szCs w:val="24"/>
          <w:lang w:eastAsia="es-ES"/>
        </w:rPr>
        <w:t xml:space="preserve">publicada en el Diario Oficial de la Federación, </w:t>
      </w:r>
      <w:r>
        <w:rPr>
          <w:rFonts w:ascii="Arial" w:eastAsia="Arial Unicode MS" w:hAnsi="Arial" w:cs="Arial"/>
          <w:sz w:val="24"/>
          <w:szCs w:val="24"/>
          <w:lang w:eastAsia="es-ES"/>
        </w:rPr>
        <w:t xml:space="preserve">el 04 cuatro </w:t>
      </w:r>
      <w:r w:rsidRPr="00284C08">
        <w:rPr>
          <w:rFonts w:ascii="Arial" w:eastAsia="Arial Unicode MS" w:hAnsi="Arial" w:cs="Arial"/>
          <w:sz w:val="24"/>
          <w:szCs w:val="24"/>
          <w:lang w:eastAsia="es-ES"/>
        </w:rPr>
        <w:t xml:space="preserve">de mayo de </w:t>
      </w:r>
      <w:r>
        <w:rPr>
          <w:rFonts w:ascii="Arial" w:eastAsia="Arial Unicode MS" w:hAnsi="Arial" w:cs="Arial"/>
          <w:sz w:val="24"/>
          <w:szCs w:val="24"/>
          <w:lang w:eastAsia="es-ES"/>
        </w:rPr>
        <w:t>2015 dos mil quince; sin que, a través de los artículos transitorios determinara el destino de las Leyes y Reglamentos secundarios, derivados de la Ley extinta.</w:t>
      </w:r>
    </w:p>
    <w:p w14:paraId="1343746C" w14:textId="77777777" w:rsidR="00A428ED" w:rsidRDefault="00A428ED" w:rsidP="00A428ED">
      <w:pPr>
        <w:spacing w:after="0" w:line="360" w:lineRule="auto"/>
        <w:ind w:firstLine="708"/>
        <w:jc w:val="both"/>
        <w:rPr>
          <w:rFonts w:ascii="Arial" w:eastAsia="Arial Unicode MS" w:hAnsi="Arial" w:cs="Arial"/>
          <w:sz w:val="24"/>
          <w:szCs w:val="24"/>
          <w:lang w:eastAsia="es-ES"/>
        </w:rPr>
      </w:pPr>
    </w:p>
    <w:p w14:paraId="1DD6104E" w14:textId="77777777" w:rsidR="00A428ED" w:rsidRDefault="00A428ED" w:rsidP="00A428ED">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A este respecto, es importante destacar que, los lineamientos comparten naturaleza con los</w:t>
      </w:r>
      <w:r w:rsidRPr="00DC162D">
        <w:rPr>
          <w:rFonts w:ascii="Arial" w:eastAsia="Arial Unicode MS" w:hAnsi="Arial" w:cs="Arial"/>
          <w:sz w:val="24"/>
          <w:szCs w:val="24"/>
          <w:lang w:eastAsia="es-ES"/>
        </w:rPr>
        <w:t xml:space="preserve"> reglamentos</w:t>
      </w:r>
      <w:r>
        <w:rPr>
          <w:rFonts w:ascii="Arial" w:eastAsia="Arial Unicode MS" w:hAnsi="Arial" w:cs="Arial"/>
          <w:sz w:val="24"/>
          <w:szCs w:val="24"/>
          <w:lang w:eastAsia="es-ES"/>
        </w:rPr>
        <w:t>, mismos que</w:t>
      </w:r>
      <w:r w:rsidRPr="00DC162D">
        <w:rPr>
          <w:rFonts w:ascii="Arial" w:eastAsia="Arial Unicode MS" w:hAnsi="Arial" w:cs="Arial"/>
          <w:sz w:val="24"/>
          <w:szCs w:val="24"/>
          <w:lang w:eastAsia="es-ES"/>
        </w:rPr>
        <w:t xml:space="preserve"> son disposiciones generales, imperativas y abstractas que </w:t>
      </w:r>
      <w:r>
        <w:rPr>
          <w:rFonts w:ascii="Arial" w:eastAsia="Arial Unicode MS" w:hAnsi="Arial" w:cs="Arial"/>
          <w:sz w:val="24"/>
          <w:szCs w:val="24"/>
          <w:lang w:eastAsia="es-ES"/>
        </w:rPr>
        <w:t>det</w:t>
      </w:r>
      <w:r w:rsidRPr="00DC162D">
        <w:rPr>
          <w:rFonts w:ascii="Arial" w:eastAsia="Arial Unicode MS" w:hAnsi="Arial" w:cs="Arial"/>
          <w:sz w:val="24"/>
          <w:szCs w:val="24"/>
          <w:lang w:eastAsia="es-ES"/>
        </w:rPr>
        <w:t>allan las hipótesis y supuestos normativos de aplicación de una ley expedida por el Congreso de la Unión.</w:t>
      </w:r>
    </w:p>
    <w:p w14:paraId="383C353C" w14:textId="77777777" w:rsidR="00A428ED" w:rsidRPr="00DC162D" w:rsidRDefault="00A428ED" w:rsidP="00A428ED">
      <w:pPr>
        <w:spacing w:after="0" w:line="360" w:lineRule="auto"/>
        <w:ind w:firstLine="708"/>
        <w:jc w:val="both"/>
        <w:rPr>
          <w:rFonts w:ascii="Arial" w:eastAsia="Arial Unicode MS" w:hAnsi="Arial" w:cs="Arial"/>
          <w:sz w:val="24"/>
          <w:szCs w:val="24"/>
          <w:lang w:eastAsia="es-ES"/>
        </w:rPr>
      </w:pPr>
      <w:r w:rsidRPr="00DC162D">
        <w:rPr>
          <w:rFonts w:ascii="Arial" w:eastAsia="Arial Unicode MS" w:hAnsi="Arial" w:cs="Arial"/>
          <w:sz w:val="24"/>
          <w:szCs w:val="24"/>
          <w:lang w:eastAsia="es-ES"/>
        </w:rPr>
        <w:t xml:space="preserve"> </w:t>
      </w:r>
    </w:p>
    <w:p w14:paraId="78D321C6" w14:textId="77777777" w:rsidR="00A428ED" w:rsidRPr="007B1C17" w:rsidRDefault="00A428ED" w:rsidP="00A428ED">
      <w:pPr>
        <w:spacing w:after="0" w:line="240" w:lineRule="auto"/>
        <w:ind w:left="1134" w:right="616"/>
        <w:jc w:val="both"/>
        <w:rPr>
          <w:rFonts w:ascii="Arial" w:eastAsia="Arial Unicode MS" w:hAnsi="Arial" w:cs="Arial"/>
          <w:lang w:eastAsia="es-ES"/>
        </w:rPr>
      </w:pPr>
      <w:r w:rsidRPr="007B1C17">
        <w:rPr>
          <w:rFonts w:ascii="Arial" w:eastAsia="Arial Unicode MS" w:hAnsi="Arial" w:cs="Arial"/>
          <w:lang w:eastAsia="es-ES"/>
        </w:rPr>
        <w:t>“I. (De reglar y éste. a su vez. del latín regulare.) Es una norma de carácter general, abstracta e impersonal expedida por el titular del Poder Ejecutivo, con la finalidad de lograr la aplicación de una ley previa. El reglamento es producto de la facultad reglamentaria contenida en el artículo 89, fracción I de la Constitución que encomienda al presidente de la República la facultad para proveer, en la esfera administrativa, a la exacta observancia de la ley.”</w:t>
      </w:r>
      <w:r w:rsidRPr="007B1C17">
        <w:rPr>
          <w:rStyle w:val="Refdenotaalpie"/>
          <w:rFonts w:ascii="Arial" w:eastAsia="Arial Unicode MS" w:hAnsi="Arial" w:cs="Arial"/>
          <w:lang w:eastAsia="es-ES"/>
        </w:rPr>
        <w:footnoteReference w:id="26"/>
      </w:r>
      <w:r w:rsidRPr="007B1C17">
        <w:rPr>
          <w:rFonts w:ascii="Arial" w:eastAsia="Arial Unicode MS" w:hAnsi="Arial" w:cs="Arial"/>
          <w:lang w:eastAsia="es-ES"/>
        </w:rPr>
        <w:t xml:space="preserve"> </w:t>
      </w:r>
    </w:p>
    <w:p w14:paraId="56C3A71C" w14:textId="77777777" w:rsidR="00A428ED" w:rsidRDefault="00A428ED" w:rsidP="00A428ED">
      <w:pPr>
        <w:spacing w:after="0" w:line="360" w:lineRule="auto"/>
        <w:ind w:firstLine="708"/>
        <w:jc w:val="both"/>
        <w:rPr>
          <w:rFonts w:ascii="Arial" w:eastAsia="Arial Unicode MS" w:hAnsi="Arial" w:cs="Arial"/>
          <w:sz w:val="24"/>
          <w:szCs w:val="24"/>
          <w:lang w:eastAsia="es-ES"/>
        </w:rPr>
      </w:pPr>
    </w:p>
    <w:p w14:paraId="2AEEB284" w14:textId="77777777" w:rsidR="00A428ED" w:rsidRDefault="00A428ED" w:rsidP="00A428ED">
      <w:pPr>
        <w:spacing w:after="0" w:line="360" w:lineRule="auto"/>
        <w:ind w:firstLine="708"/>
        <w:jc w:val="both"/>
        <w:rPr>
          <w:rFonts w:ascii="Arial" w:eastAsia="Arial Unicode MS" w:hAnsi="Arial" w:cs="Arial"/>
          <w:sz w:val="24"/>
          <w:szCs w:val="24"/>
          <w:lang w:eastAsia="es-ES"/>
        </w:rPr>
      </w:pPr>
      <w:r w:rsidRPr="00DC162D">
        <w:rPr>
          <w:rFonts w:ascii="Arial" w:eastAsia="Arial Unicode MS" w:hAnsi="Arial" w:cs="Arial"/>
          <w:sz w:val="24"/>
          <w:szCs w:val="24"/>
          <w:lang w:eastAsia="es-ES"/>
        </w:rPr>
        <w:lastRenderedPageBreak/>
        <w:t>Desde el punto de vista formal, el reglament</w:t>
      </w:r>
      <w:r>
        <w:rPr>
          <w:rFonts w:ascii="Arial" w:eastAsia="Arial Unicode MS" w:hAnsi="Arial" w:cs="Arial"/>
          <w:sz w:val="24"/>
          <w:szCs w:val="24"/>
          <w:lang w:eastAsia="es-ES"/>
        </w:rPr>
        <w:t xml:space="preserve">o es un acto administrativo al </w:t>
      </w:r>
      <w:r w:rsidRPr="00DC162D">
        <w:rPr>
          <w:rFonts w:ascii="Arial" w:eastAsia="Arial Unicode MS" w:hAnsi="Arial" w:cs="Arial"/>
          <w:sz w:val="24"/>
          <w:szCs w:val="24"/>
          <w:lang w:eastAsia="es-ES"/>
        </w:rPr>
        <w:t>provenir del Poder Ejecutivo y desde el punto de vista material es un acto legislativo, atento a que mediante el reglamento se crean disposiciones generales abstractas e impersonales que tienen por Objeto la ejecución pormenorizada de una ley emitida formal y materialmente por el Congreso de la Unión, pero sin que sea posible que el reglamento exceda del alcance del prece</w:t>
      </w:r>
      <w:r>
        <w:rPr>
          <w:rFonts w:ascii="Arial" w:eastAsia="Arial Unicode MS" w:hAnsi="Arial" w:cs="Arial"/>
          <w:sz w:val="24"/>
          <w:szCs w:val="24"/>
          <w:lang w:eastAsia="es-ES"/>
        </w:rPr>
        <w:t>pto reglamentado, contraríe o al</w:t>
      </w:r>
      <w:r w:rsidRPr="00DC162D">
        <w:rPr>
          <w:rFonts w:ascii="Arial" w:eastAsia="Arial Unicode MS" w:hAnsi="Arial" w:cs="Arial"/>
          <w:sz w:val="24"/>
          <w:szCs w:val="24"/>
          <w:lang w:eastAsia="es-ES"/>
        </w:rPr>
        <w:t xml:space="preserve">tere sus disposiciones por ser precisamente dicho precepto su medida y justificación. </w:t>
      </w:r>
    </w:p>
    <w:p w14:paraId="22434786" w14:textId="77777777" w:rsidR="00A428ED" w:rsidRPr="00DC162D" w:rsidRDefault="00A428ED" w:rsidP="00A428ED">
      <w:pPr>
        <w:spacing w:after="0" w:line="360" w:lineRule="auto"/>
        <w:ind w:firstLine="708"/>
        <w:jc w:val="both"/>
        <w:rPr>
          <w:rFonts w:ascii="Arial" w:eastAsia="Arial Unicode MS" w:hAnsi="Arial" w:cs="Arial"/>
          <w:sz w:val="24"/>
          <w:szCs w:val="24"/>
          <w:lang w:eastAsia="es-ES"/>
        </w:rPr>
      </w:pPr>
    </w:p>
    <w:p w14:paraId="0A1BA3CB" w14:textId="77777777" w:rsidR="00A428ED" w:rsidRPr="003F5E3F" w:rsidRDefault="00A428ED" w:rsidP="00A428ED">
      <w:pPr>
        <w:spacing w:after="0" w:line="360" w:lineRule="auto"/>
        <w:ind w:firstLine="708"/>
        <w:jc w:val="both"/>
        <w:rPr>
          <w:rFonts w:ascii="Arial" w:eastAsia="Arial Unicode MS" w:hAnsi="Arial" w:cs="Arial"/>
          <w:i/>
          <w:sz w:val="24"/>
          <w:szCs w:val="24"/>
          <w:lang w:eastAsia="es-ES"/>
        </w:rPr>
      </w:pPr>
      <w:r w:rsidRPr="003F5E3F">
        <w:rPr>
          <w:rFonts w:ascii="Arial" w:eastAsia="Arial Unicode MS" w:hAnsi="Arial" w:cs="Arial"/>
          <w:i/>
          <w:sz w:val="24"/>
          <w:szCs w:val="24"/>
          <w:lang w:eastAsia="es-ES"/>
        </w:rPr>
        <w:t>"El reglamento es una norma o conjunto de normas jurídicas de carácter abstracto e impersonal que expide el Poder Ejecutivo en uso de una facultad propia y que tiene por objeto facilitar la exacta observancia de las leyes expedidas por el Poder Legislativo.”</w:t>
      </w:r>
      <w:r>
        <w:rPr>
          <w:rStyle w:val="Refdenotaalpie"/>
          <w:rFonts w:ascii="Arial" w:eastAsia="Arial Unicode MS" w:hAnsi="Arial" w:cs="Arial"/>
          <w:i/>
          <w:sz w:val="24"/>
          <w:szCs w:val="24"/>
          <w:lang w:eastAsia="es-ES"/>
        </w:rPr>
        <w:footnoteReference w:id="27"/>
      </w:r>
    </w:p>
    <w:p w14:paraId="61675A7E" w14:textId="77777777" w:rsidR="00A428ED" w:rsidRDefault="00A428ED" w:rsidP="00A428ED">
      <w:pPr>
        <w:spacing w:after="0" w:line="360" w:lineRule="auto"/>
        <w:ind w:firstLine="708"/>
        <w:jc w:val="both"/>
        <w:rPr>
          <w:rFonts w:ascii="Arial" w:eastAsia="Arial Unicode MS" w:hAnsi="Arial" w:cs="Arial"/>
          <w:sz w:val="24"/>
          <w:szCs w:val="24"/>
          <w:lang w:eastAsia="es-ES"/>
        </w:rPr>
      </w:pPr>
    </w:p>
    <w:p w14:paraId="55077302" w14:textId="77777777" w:rsidR="00A428ED" w:rsidRPr="00DC162D" w:rsidRDefault="00A428ED" w:rsidP="00A428ED">
      <w:pPr>
        <w:spacing w:after="0" w:line="360" w:lineRule="auto"/>
        <w:ind w:firstLine="708"/>
        <w:jc w:val="both"/>
        <w:rPr>
          <w:rFonts w:ascii="Arial" w:eastAsia="Arial Unicode MS" w:hAnsi="Arial" w:cs="Arial"/>
          <w:sz w:val="24"/>
          <w:szCs w:val="24"/>
          <w:lang w:eastAsia="es-ES"/>
        </w:rPr>
      </w:pPr>
      <w:r w:rsidRPr="00DC162D">
        <w:rPr>
          <w:rFonts w:ascii="Arial" w:eastAsia="Arial Unicode MS" w:hAnsi="Arial" w:cs="Arial"/>
          <w:sz w:val="24"/>
          <w:szCs w:val="24"/>
          <w:lang w:eastAsia="es-ES"/>
        </w:rPr>
        <w:t xml:space="preserve">En relación con lo anterior, puede afirmarse que la ley puede existir y tener plena validez sin que haya disposiciones que la reglamenten, en tanto que el reglamento supone </w:t>
      </w:r>
      <w:r>
        <w:rPr>
          <w:rFonts w:ascii="Arial" w:eastAsia="Arial Unicode MS" w:hAnsi="Arial" w:cs="Arial"/>
          <w:sz w:val="24"/>
          <w:szCs w:val="24"/>
          <w:lang w:eastAsia="es-ES"/>
        </w:rPr>
        <w:t>s</w:t>
      </w:r>
      <w:r w:rsidRPr="00DC162D">
        <w:rPr>
          <w:rFonts w:ascii="Arial" w:eastAsia="Arial Unicode MS" w:hAnsi="Arial" w:cs="Arial"/>
          <w:sz w:val="24"/>
          <w:szCs w:val="24"/>
          <w:lang w:eastAsia="es-ES"/>
        </w:rPr>
        <w:t xml:space="preserve">iempre la preexistencia de una ley cuyos principios desarrolla y a los cuales está subordinado. </w:t>
      </w:r>
    </w:p>
    <w:p w14:paraId="19D3E866" w14:textId="77777777" w:rsidR="00A428ED" w:rsidRDefault="00A428ED" w:rsidP="00A428ED">
      <w:pPr>
        <w:spacing w:after="0" w:line="360" w:lineRule="auto"/>
        <w:ind w:firstLine="708"/>
        <w:jc w:val="both"/>
        <w:rPr>
          <w:rFonts w:ascii="Arial" w:eastAsia="Arial Unicode MS" w:hAnsi="Arial" w:cs="Arial"/>
          <w:sz w:val="24"/>
          <w:szCs w:val="24"/>
          <w:lang w:eastAsia="es-ES"/>
        </w:rPr>
      </w:pPr>
    </w:p>
    <w:p w14:paraId="71874E45" w14:textId="77777777" w:rsidR="00A428ED" w:rsidRDefault="00A428ED" w:rsidP="00A428ED">
      <w:pPr>
        <w:spacing w:after="0" w:line="360" w:lineRule="auto"/>
        <w:ind w:firstLine="708"/>
        <w:jc w:val="both"/>
        <w:rPr>
          <w:rFonts w:ascii="Arial" w:eastAsia="Arial Unicode MS" w:hAnsi="Arial" w:cs="Arial"/>
          <w:sz w:val="24"/>
          <w:szCs w:val="24"/>
          <w:lang w:eastAsia="es-ES"/>
        </w:rPr>
      </w:pPr>
      <w:r w:rsidRPr="00DC162D">
        <w:rPr>
          <w:rFonts w:ascii="Arial" w:eastAsia="Arial Unicode MS" w:hAnsi="Arial" w:cs="Arial"/>
          <w:sz w:val="24"/>
          <w:szCs w:val="24"/>
          <w:lang w:eastAsia="es-ES"/>
        </w:rPr>
        <w:t xml:space="preserve">En lo referente al reglamento, el tratadista Andrés Serra Rojas, establece </w:t>
      </w:r>
      <w:r>
        <w:rPr>
          <w:rFonts w:ascii="Arial" w:eastAsia="Arial Unicode MS" w:hAnsi="Arial" w:cs="Arial"/>
          <w:sz w:val="24"/>
          <w:szCs w:val="24"/>
          <w:lang w:eastAsia="es-ES"/>
        </w:rPr>
        <w:t xml:space="preserve">un amplio concepto al señalar: </w:t>
      </w:r>
    </w:p>
    <w:p w14:paraId="6ED29643" w14:textId="77777777" w:rsidR="00A428ED" w:rsidRDefault="00A428ED" w:rsidP="00A428ED">
      <w:pPr>
        <w:spacing w:after="0" w:line="240" w:lineRule="auto"/>
        <w:ind w:left="1134" w:right="1183"/>
        <w:jc w:val="both"/>
        <w:rPr>
          <w:rFonts w:ascii="Arial" w:eastAsia="Arial Unicode MS" w:hAnsi="Arial" w:cs="Arial"/>
          <w:lang w:eastAsia="es-ES"/>
        </w:rPr>
      </w:pPr>
    </w:p>
    <w:p w14:paraId="1FDB8972" w14:textId="77777777" w:rsidR="00A428ED" w:rsidRPr="007B1C17" w:rsidRDefault="00A428ED" w:rsidP="00A428ED">
      <w:pPr>
        <w:spacing w:after="0" w:line="240" w:lineRule="auto"/>
        <w:ind w:left="1134" w:right="1183"/>
        <w:jc w:val="both"/>
        <w:rPr>
          <w:rFonts w:ascii="Arial" w:eastAsia="Arial Unicode MS" w:hAnsi="Arial" w:cs="Arial"/>
          <w:lang w:eastAsia="es-ES"/>
        </w:rPr>
      </w:pPr>
      <w:r w:rsidRPr="007B1C17">
        <w:rPr>
          <w:rFonts w:ascii="Arial" w:eastAsia="Arial Unicode MS" w:hAnsi="Arial" w:cs="Arial"/>
          <w:lang w:eastAsia="es-ES"/>
        </w:rPr>
        <w:t>"El reglamento es el conjunto de normas administrativas, subordinadas a la ley, obligatorias generales e impersonales, expedidas unilateral y espontáneamente por el Presidente de la República, o por la Asamblea de Representantes del Distrito Federal en virtud de facultades que le han sido expresamente conferidas por la Constitución o que resultan implícitamente del ejercicio del Poder Ejecutivo.</w:t>
      </w:r>
    </w:p>
    <w:p w14:paraId="44348CB1" w14:textId="77777777" w:rsidR="00A428ED" w:rsidRPr="007B1C17" w:rsidRDefault="00A428ED" w:rsidP="00A428ED">
      <w:pPr>
        <w:spacing w:after="0" w:line="240" w:lineRule="auto"/>
        <w:ind w:left="1134" w:right="1183"/>
        <w:jc w:val="both"/>
        <w:rPr>
          <w:rFonts w:ascii="Arial" w:eastAsia="Arial Unicode MS" w:hAnsi="Arial" w:cs="Arial"/>
          <w:lang w:eastAsia="es-ES"/>
        </w:rPr>
      </w:pPr>
    </w:p>
    <w:p w14:paraId="2F063792" w14:textId="77777777" w:rsidR="00A428ED" w:rsidRPr="007B1C17" w:rsidRDefault="00A428ED" w:rsidP="00A428ED">
      <w:pPr>
        <w:spacing w:after="0" w:line="240" w:lineRule="auto"/>
        <w:ind w:left="1134" w:right="1183"/>
        <w:jc w:val="both"/>
        <w:rPr>
          <w:rFonts w:ascii="Arial" w:eastAsia="Arial Unicode MS" w:hAnsi="Arial" w:cs="Arial"/>
          <w:lang w:eastAsia="es-ES"/>
        </w:rPr>
      </w:pPr>
      <w:r w:rsidRPr="007B1C17">
        <w:rPr>
          <w:rFonts w:ascii="Arial" w:eastAsia="Arial Unicode MS" w:hAnsi="Arial" w:cs="Arial"/>
          <w:lang w:eastAsia="es-ES"/>
        </w:rPr>
        <w:t>Ese conjunto de normas en número superior al de las leyes son creadoras de una situación jurídica general, abstracta, que en ningún caso regula una situación jurídica concreta y son dictadas para la atención pormenorizada de los servicios públicos, para la ejecución de una ley, y para los demás fines de la Administración Pública"</w:t>
      </w:r>
      <w:r w:rsidRPr="007B1C17">
        <w:rPr>
          <w:rStyle w:val="Refdenotaalpie"/>
          <w:rFonts w:ascii="Arial" w:eastAsia="Arial Unicode MS" w:hAnsi="Arial" w:cs="Arial"/>
          <w:lang w:eastAsia="es-ES"/>
        </w:rPr>
        <w:footnoteReference w:id="28"/>
      </w:r>
    </w:p>
    <w:p w14:paraId="1C8EAAA4" w14:textId="77777777" w:rsidR="00A428ED" w:rsidRPr="003F5E3F" w:rsidRDefault="00A428ED" w:rsidP="00A428ED">
      <w:pPr>
        <w:spacing w:after="0" w:line="360" w:lineRule="auto"/>
        <w:ind w:firstLine="708"/>
        <w:jc w:val="both"/>
        <w:rPr>
          <w:rFonts w:ascii="Arial" w:eastAsia="Arial Unicode MS" w:hAnsi="Arial" w:cs="Arial"/>
          <w:i/>
          <w:sz w:val="24"/>
          <w:szCs w:val="24"/>
          <w:lang w:eastAsia="es-ES"/>
        </w:rPr>
      </w:pPr>
    </w:p>
    <w:p w14:paraId="28351DD0" w14:textId="77777777" w:rsidR="00A428ED" w:rsidRPr="003C54F5" w:rsidRDefault="00A428ED" w:rsidP="00A428ED">
      <w:pPr>
        <w:spacing w:after="0" w:line="360" w:lineRule="auto"/>
        <w:ind w:firstLine="708"/>
        <w:jc w:val="both"/>
        <w:rPr>
          <w:rFonts w:ascii="Arial" w:eastAsia="Arial Unicode MS" w:hAnsi="Arial" w:cs="Arial"/>
          <w:sz w:val="24"/>
          <w:szCs w:val="24"/>
          <w:lang w:eastAsia="es-ES"/>
        </w:rPr>
      </w:pPr>
      <w:r w:rsidRPr="003C54F5">
        <w:rPr>
          <w:rFonts w:ascii="Arial" w:eastAsia="Arial Unicode MS" w:hAnsi="Arial" w:cs="Arial"/>
          <w:sz w:val="24"/>
          <w:szCs w:val="24"/>
          <w:lang w:eastAsia="es-ES"/>
        </w:rPr>
        <w:t xml:space="preserve">Todo </w:t>
      </w:r>
      <w:r w:rsidRPr="002B2DE3">
        <w:rPr>
          <w:rFonts w:ascii="Arial" w:eastAsia="Arial Unicode MS" w:hAnsi="Arial" w:cs="Arial"/>
          <w:sz w:val="24"/>
          <w:szCs w:val="24"/>
          <w:u w:val="single"/>
          <w:lang w:eastAsia="es-ES"/>
        </w:rPr>
        <w:t>reglamento es una norma que complementa y amplía el contenido de una ley</w:t>
      </w:r>
      <w:r w:rsidRPr="003C54F5">
        <w:rPr>
          <w:rFonts w:ascii="Arial" w:eastAsia="Arial Unicode MS" w:hAnsi="Arial" w:cs="Arial"/>
          <w:sz w:val="24"/>
          <w:szCs w:val="24"/>
          <w:lang w:eastAsia="es-ES"/>
        </w:rPr>
        <w:t xml:space="preserve">, por lo que jerárquicamente aquél está subordinado a ésta y corre la </w:t>
      </w:r>
      <w:r w:rsidRPr="003C54F5">
        <w:rPr>
          <w:rFonts w:ascii="Arial" w:eastAsia="Arial Unicode MS" w:hAnsi="Arial" w:cs="Arial"/>
          <w:sz w:val="24"/>
          <w:szCs w:val="24"/>
          <w:lang w:eastAsia="es-ES"/>
        </w:rPr>
        <w:lastRenderedPageBreak/>
        <w:t xml:space="preserve">misma suerte, de </w:t>
      </w:r>
      <w:r>
        <w:rPr>
          <w:rFonts w:ascii="Arial" w:eastAsia="Arial Unicode MS" w:hAnsi="Arial" w:cs="Arial"/>
          <w:sz w:val="24"/>
          <w:szCs w:val="24"/>
          <w:lang w:eastAsia="es-ES"/>
        </w:rPr>
        <w:t>tal</w:t>
      </w:r>
      <w:r w:rsidRPr="003C54F5">
        <w:rPr>
          <w:rFonts w:ascii="Arial" w:eastAsia="Arial Unicode MS" w:hAnsi="Arial" w:cs="Arial"/>
          <w:sz w:val="24"/>
          <w:szCs w:val="24"/>
          <w:lang w:eastAsia="es-ES"/>
        </w:rPr>
        <w:t xml:space="preserve"> manera que si una leyes reformada, derogada o abrogada, el reglamento se verá afectado con las mismas consecuencias a pesar de que no se hubiere reformado, derogado o abrogado expresamente por otro reglamento, ya que éste no goza de la autoridad formal de una ley. </w:t>
      </w:r>
    </w:p>
    <w:p w14:paraId="18C56BF0" w14:textId="77777777" w:rsidR="00A428ED" w:rsidRDefault="00A428ED" w:rsidP="00A428ED">
      <w:pPr>
        <w:spacing w:after="0" w:line="360" w:lineRule="auto"/>
        <w:ind w:firstLine="708"/>
        <w:jc w:val="both"/>
        <w:rPr>
          <w:rFonts w:ascii="Arial" w:eastAsia="Arial Unicode MS" w:hAnsi="Arial" w:cs="Arial"/>
          <w:sz w:val="24"/>
          <w:szCs w:val="24"/>
          <w:lang w:eastAsia="es-ES"/>
        </w:rPr>
      </w:pPr>
    </w:p>
    <w:p w14:paraId="68CA9294" w14:textId="77777777" w:rsidR="00A428ED" w:rsidRDefault="00A428ED" w:rsidP="00A428ED">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El Dr. </w:t>
      </w:r>
      <w:r w:rsidRPr="003C54F5">
        <w:rPr>
          <w:rFonts w:ascii="Arial" w:eastAsia="Arial Unicode MS" w:hAnsi="Arial" w:cs="Arial"/>
          <w:sz w:val="24"/>
          <w:szCs w:val="24"/>
          <w:lang w:eastAsia="es-ES"/>
        </w:rPr>
        <w:t>Igna</w:t>
      </w:r>
      <w:r>
        <w:rPr>
          <w:rFonts w:ascii="Arial" w:eastAsia="Arial Unicode MS" w:hAnsi="Arial" w:cs="Arial"/>
          <w:sz w:val="24"/>
          <w:szCs w:val="24"/>
          <w:lang w:eastAsia="es-ES"/>
        </w:rPr>
        <w:t>cio Burgoa Orihuela en su obra “</w:t>
      </w:r>
      <w:r w:rsidRPr="003C54F5">
        <w:rPr>
          <w:rFonts w:ascii="Arial" w:eastAsia="Arial Unicode MS" w:hAnsi="Arial" w:cs="Arial"/>
          <w:sz w:val="24"/>
          <w:szCs w:val="24"/>
          <w:lang w:eastAsia="es-ES"/>
        </w:rPr>
        <w:t xml:space="preserve">Derecho Constitucional Mexicano", al definir al reglamento sostiene: </w:t>
      </w:r>
    </w:p>
    <w:p w14:paraId="3E66210A" w14:textId="77777777" w:rsidR="00A428ED" w:rsidRDefault="00A428ED" w:rsidP="00A428ED">
      <w:pPr>
        <w:spacing w:after="0" w:line="360" w:lineRule="auto"/>
        <w:ind w:firstLine="708"/>
        <w:jc w:val="both"/>
        <w:rPr>
          <w:rFonts w:ascii="Arial" w:eastAsia="Arial Unicode MS" w:hAnsi="Arial" w:cs="Arial"/>
          <w:sz w:val="24"/>
          <w:szCs w:val="24"/>
          <w:lang w:eastAsia="es-ES"/>
        </w:rPr>
      </w:pPr>
    </w:p>
    <w:p w14:paraId="6F0E5E56" w14:textId="77777777" w:rsidR="00A428ED" w:rsidRPr="007B1C17" w:rsidRDefault="00A428ED" w:rsidP="00A428ED">
      <w:pPr>
        <w:spacing w:after="0" w:line="240" w:lineRule="auto"/>
        <w:ind w:left="1134" w:right="616"/>
        <w:jc w:val="both"/>
        <w:rPr>
          <w:rFonts w:ascii="Arial" w:eastAsia="Arial Unicode MS" w:hAnsi="Arial" w:cs="Arial"/>
          <w:lang w:eastAsia="es-ES"/>
        </w:rPr>
      </w:pPr>
      <w:r w:rsidRPr="007B1C17">
        <w:rPr>
          <w:rFonts w:ascii="Arial" w:eastAsia="Arial Unicode MS" w:hAnsi="Arial" w:cs="Arial"/>
          <w:lang w:eastAsia="es-ES"/>
        </w:rPr>
        <w:t xml:space="preserve">" ... se manifiesta en la expedición de normas jurídicas abstractas, generales e impersonales cuyo objetivo estriba en pormenorizar o detallar las leyes de contenido administrativo que dicte el Congreso de la Unión para conseguir su mejor y más adecuada aplicación en los diferentes ramos que regulan." </w:t>
      </w:r>
      <w:r w:rsidRPr="007B1C17">
        <w:rPr>
          <w:rStyle w:val="Refdenotaalpie"/>
          <w:rFonts w:ascii="Arial" w:eastAsia="Arial Unicode MS" w:hAnsi="Arial" w:cs="Arial"/>
          <w:lang w:eastAsia="es-ES"/>
        </w:rPr>
        <w:footnoteReference w:id="29"/>
      </w:r>
    </w:p>
    <w:p w14:paraId="1546040D" w14:textId="77777777" w:rsidR="00A428ED" w:rsidRDefault="00A428ED" w:rsidP="00A428ED">
      <w:pPr>
        <w:spacing w:after="0" w:line="360" w:lineRule="auto"/>
        <w:ind w:firstLine="708"/>
        <w:jc w:val="both"/>
        <w:rPr>
          <w:rFonts w:ascii="Arial" w:eastAsia="Arial Unicode MS" w:hAnsi="Arial" w:cs="Arial"/>
          <w:sz w:val="24"/>
          <w:szCs w:val="24"/>
          <w:lang w:eastAsia="es-ES"/>
        </w:rPr>
      </w:pPr>
    </w:p>
    <w:p w14:paraId="3A163579" w14:textId="77777777" w:rsidR="00A428ED" w:rsidRDefault="00A428ED" w:rsidP="00A428ED">
      <w:pPr>
        <w:spacing w:after="0" w:line="360" w:lineRule="auto"/>
        <w:ind w:firstLine="708"/>
        <w:jc w:val="both"/>
        <w:rPr>
          <w:rFonts w:ascii="Arial" w:eastAsia="Arial Unicode MS" w:hAnsi="Arial" w:cs="Arial"/>
          <w:sz w:val="24"/>
          <w:szCs w:val="24"/>
          <w:lang w:eastAsia="es-ES"/>
        </w:rPr>
      </w:pPr>
      <w:r w:rsidRPr="003C54F5">
        <w:rPr>
          <w:rFonts w:ascii="Arial" w:eastAsia="Arial Unicode MS" w:hAnsi="Arial" w:cs="Arial"/>
          <w:sz w:val="24"/>
          <w:szCs w:val="24"/>
          <w:lang w:eastAsia="es-ES"/>
        </w:rPr>
        <w:t xml:space="preserve">En consecuencia, puede afirmarse que el reglamento es una manifestación unilateral de la voluntad del Poder Ejecutivo, ya sea federal o local, según el ámbito de competencia correspondiente a cada uno de ellos, creadora de normas jurídicas generales que desarrollan los principios de una ley a fin de facilitar su ejecución y observancia en la esfera administrativa. </w:t>
      </w:r>
    </w:p>
    <w:p w14:paraId="010E3921" w14:textId="77777777" w:rsidR="00A428ED" w:rsidRPr="003C54F5" w:rsidRDefault="00A428ED" w:rsidP="00A428ED">
      <w:pPr>
        <w:spacing w:after="0" w:line="360" w:lineRule="auto"/>
        <w:ind w:firstLine="708"/>
        <w:jc w:val="both"/>
        <w:rPr>
          <w:rFonts w:ascii="Arial" w:eastAsia="Arial Unicode MS" w:hAnsi="Arial" w:cs="Arial"/>
          <w:sz w:val="24"/>
          <w:szCs w:val="24"/>
          <w:lang w:eastAsia="es-ES"/>
        </w:rPr>
      </w:pPr>
    </w:p>
    <w:p w14:paraId="19B2561F" w14:textId="77777777" w:rsidR="00A428ED" w:rsidRPr="003C54F5" w:rsidRDefault="00A428ED" w:rsidP="00A428ED">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Exi</w:t>
      </w:r>
      <w:r w:rsidRPr="003C54F5">
        <w:rPr>
          <w:rFonts w:ascii="Arial" w:eastAsia="Arial Unicode MS" w:hAnsi="Arial" w:cs="Arial"/>
          <w:sz w:val="24"/>
          <w:szCs w:val="24"/>
          <w:lang w:eastAsia="es-ES"/>
        </w:rPr>
        <w:t>sten dos diferenc</w:t>
      </w:r>
      <w:r>
        <w:rPr>
          <w:rFonts w:ascii="Arial" w:eastAsia="Arial Unicode MS" w:hAnsi="Arial" w:cs="Arial"/>
          <w:sz w:val="24"/>
          <w:szCs w:val="24"/>
          <w:lang w:eastAsia="es-ES"/>
        </w:rPr>
        <w:t xml:space="preserve">ias </w:t>
      </w:r>
      <w:r w:rsidRPr="003C54F5">
        <w:rPr>
          <w:rFonts w:ascii="Arial" w:eastAsia="Arial Unicode MS" w:hAnsi="Arial" w:cs="Arial"/>
          <w:sz w:val="24"/>
          <w:szCs w:val="24"/>
          <w:lang w:eastAsia="es-ES"/>
        </w:rPr>
        <w:t xml:space="preserve">esenciales entre la ley y el reglamento, consistentes en el procedimiento de creación de ambos ordenamientos y en la jerarquía; los reglamentos son exclusivamente promulgados por los titulares del Poder Ejecutivo federal o local y son de menor jerarquía que las leyes a las cuales no deben contravenir ni desbordar. Los reglamentos son actos facultados al Poder Ejecutivo por razones lógicas, ya que la atribución genérica de crear las leyes conlleva el reconocimiento de permitirle cómo ejecutarlas. </w:t>
      </w:r>
    </w:p>
    <w:p w14:paraId="699EA067" w14:textId="77777777" w:rsidR="00A428ED" w:rsidRDefault="00A428ED" w:rsidP="00A428ED">
      <w:pPr>
        <w:spacing w:after="0" w:line="360" w:lineRule="auto"/>
        <w:ind w:firstLine="708"/>
        <w:jc w:val="both"/>
        <w:rPr>
          <w:rFonts w:ascii="Arial" w:eastAsia="Arial Unicode MS" w:hAnsi="Arial" w:cs="Arial"/>
          <w:sz w:val="24"/>
          <w:szCs w:val="24"/>
          <w:lang w:eastAsia="es-ES"/>
        </w:rPr>
      </w:pPr>
    </w:p>
    <w:p w14:paraId="057C7D28" w14:textId="77777777" w:rsidR="00A428ED" w:rsidRDefault="00A428ED" w:rsidP="00A428ED">
      <w:pPr>
        <w:spacing w:after="0" w:line="360" w:lineRule="auto"/>
        <w:ind w:firstLine="708"/>
        <w:jc w:val="both"/>
        <w:rPr>
          <w:rFonts w:ascii="Arial" w:eastAsia="Arial Unicode MS" w:hAnsi="Arial" w:cs="Arial"/>
          <w:sz w:val="24"/>
          <w:szCs w:val="24"/>
          <w:lang w:eastAsia="es-ES"/>
        </w:rPr>
      </w:pPr>
      <w:r w:rsidRPr="003C54F5">
        <w:rPr>
          <w:rFonts w:ascii="Arial" w:eastAsia="Arial Unicode MS" w:hAnsi="Arial" w:cs="Arial"/>
          <w:sz w:val="24"/>
          <w:szCs w:val="24"/>
          <w:lang w:eastAsia="es-ES"/>
        </w:rPr>
        <w:t>Sobre este particular, el jurista mexicano Mariano Coronado señala refiriéndose</w:t>
      </w:r>
      <w:r>
        <w:rPr>
          <w:rFonts w:ascii="Arial" w:eastAsia="Arial Unicode MS" w:hAnsi="Arial" w:cs="Arial"/>
          <w:sz w:val="24"/>
          <w:szCs w:val="24"/>
          <w:lang w:eastAsia="es-ES"/>
        </w:rPr>
        <w:t xml:space="preserve"> </w:t>
      </w:r>
      <w:r w:rsidRPr="003C54F5">
        <w:rPr>
          <w:rFonts w:ascii="Arial" w:eastAsia="Arial Unicode MS" w:hAnsi="Arial" w:cs="Arial"/>
          <w:sz w:val="24"/>
          <w:szCs w:val="24"/>
          <w:lang w:eastAsia="es-ES"/>
        </w:rPr>
        <w:t xml:space="preserve">a la Constitución de 1857 que la diferencia sustancial entre la ley y el reglamento: </w:t>
      </w:r>
    </w:p>
    <w:p w14:paraId="13DA085A" w14:textId="77777777" w:rsidR="00A428ED" w:rsidRPr="007B1C17" w:rsidRDefault="00A428ED" w:rsidP="00A428ED">
      <w:pPr>
        <w:spacing w:after="0" w:line="240" w:lineRule="auto"/>
        <w:ind w:left="1134" w:right="1183"/>
        <w:jc w:val="both"/>
        <w:rPr>
          <w:rFonts w:ascii="Arial" w:eastAsia="Arial Unicode MS" w:hAnsi="Arial" w:cs="Arial"/>
          <w:lang w:eastAsia="es-ES"/>
        </w:rPr>
      </w:pPr>
      <w:r w:rsidRPr="007B1C17">
        <w:rPr>
          <w:rFonts w:ascii="Arial" w:eastAsia="Arial Unicode MS" w:hAnsi="Arial" w:cs="Arial"/>
          <w:lang w:eastAsia="es-ES"/>
        </w:rPr>
        <w:t xml:space="preserve">"El reglamento difiere de la ley en que ésta establece principios, y aquél los desarrolla; ésta es perpetua, aquél varía según las circunstancias; ésta manda, aquél obedece; el reglamento, por lo tanto, no puede usurpar el dominio de la ley, imponiendo penas, creando impuestos, organizando los poderes públicos, etcétera. Se limita a desenvolver los principios de la ley, a fijar los pormenores que directamente se derivan de sus preceptos. </w:t>
      </w:r>
      <w:r w:rsidRPr="007B1C17">
        <w:rPr>
          <w:rFonts w:ascii="Arial" w:eastAsia="Arial Unicode MS" w:hAnsi="Arial" w:cs="Arial"/>
          <w:lang w:eastAsia="es-ES"/>
        </w:rPr>
        <w:lastRenderedPageBreak/>
        <w:t xml:space="preserve">En suma, el Presidente, como jefe supremo de la Administración Federal, dispone y resuelve lo conveniente para el buen despacho de ella. Por descontado se entiende que los reglamentos y demás disposiciones del Ejecutivo no han de contrariar la ley, puesto que tiene que proveer a su exacta observancia." </w:t>
      </w:r>
      <w:r w:rsidRPr="007B1C17">
        <w:rPr>
          <w:rStyle w:val="Refdenotaalpie"/>
          <w:rFonts w:ascii="Arial" w:eastAsia="Arial Unicode MS" w:hAnsi="Arial" w:cs="Arial"/>
          <w:lang w:eastAsia="es-ES"/>
        </w:rPr>
        <w:footnoteReference w:id="30"/>
      </w:r>
    </w:p>
    <w:p w14:paraId="2E7F2D9A" w14:textId="77777777" w:rsidR="00A428ED" w:rsidRDefault="00A428ED" w:rsidP="00A428ED">
      <w:pPr>
        <w:spacing w:after="0" w:line="360" w:lineRule="auto"/>
        <w:ind w:firstLine="708"/>
        <w:jc w:val="both"/>
        <w:rPr>
          <w:rFonts w:ascii="Arial" w:eastAsia="Arial Unicode MS" w:hAnsi="Arial" w:cs="Arial"/>
          <w:sz w:val="24"/>
          <w:szCs w:val="24"/>
          <w:lang w:eastAsia="es-ES"/>
        </w:rPr>
      </w:pPr>
    </w:p>
    <w:p w14:paraId="60053CAB" w14:textId="77777777" w:rsidR="00A428ED" w:rsidRDefault="00A428ED" w:rsidP="00A428ED">
      <w:pPr>
        <w:spacing w:after="0" w:line="360" w:lineRule="auto"/>
        <w:ind w:firstLine="708"/>
        <w:jc w:val="both"/>
        <w:rPr>
          <w:rFonts w:ascii="Arial" w:eastAsia="Arial Unicode MS" w:hAnsi="Arial" w:cs="Arial"/>
          <w:sz w:val="24"/>
          <w:szCs w:val="24"/>
          <w:lang w:eastAsia="es-ES"/>
        </w:rPr>
      </w:pPr>
      <w:r w:rsidRPr="003C54F5">
        <w:rPr>
          <w:rFonts w:ascii="Arial" w:eastAsia="Arial Unicode MS" w:hAnsi="Arial" w:cs="Arial"/>
          <w:sz w:val="24"/>
          <w:szCs w:val="24"/>
          <w:lang w:eastAsia="es-ES"/>
        </w:rPr>
        <w:t xml:space="preserve">El reglamento encuentra sustento en el hecho de que las leyes por su propia naturaleza no pueden prever todos los supuestos posibles, debido en gran manera a que su grado de generalidad y abstracción debe ser amplio, por lo tanto, los reglamentos tienden a detallar los supuestos previstos en la ley para que la individualización y aplicación del orden jurídico sea clara y efectiva. </w:t>
      </w:r>
    </w:p>
    <w:p w14:paraId="43F55027" w14:textId="77777777" w:rsidR="00A428ED" w:rsidRPr="003C54F5" w:rsidRDefault="00A428ED" w:rsidP="00A428ED">
      <w:pPr>
        <w:spacing w:after="0" w:line="360" w:lineRule="auto"/>
        <w:ind w:firstLine="708"/>
        <w:jc w:val="both"/>
        <w:rPr>
          <w:rFonts w:ascii="Arial" w:eastAsia="Arial Unicode MS" w:hAnsi="Arial" w:cs="Arial"/>
          <w:sz w:val="24"/>
          <w:szCs w:val="24"/>
          <w:lang w:eastAsia="es-ES"/>
        </w:rPr>
      </w:pPr>
    </w:p>
    <w:p w14:paraId="3510AE74" w14:textId="77777777" w:rsidR="00A428ED" w:rsidRPr="00B73C4D" w:rsidRDefault="00A428ED" w:rsidP="00A428ED">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L</w:t>
      </w:r>
      <w:r w:rsidRPr="003C54F5">
        <w:rPr>
          <w:rFonts w:ascii="Arial" w:eastAsia="Arial Unicode MS" w:hAnsi="Arial" w:cs="Arial"/>
          <w:sz w:val="24"/>
          <w:szCs w:val="24"/>
          <w:lang w:eastAsia="es-ES"/>
        </w:rPr>
        <w:t>os reglamentos son de naturaleza secundaria, toda vez que en el esquema de la jerarquía de las leyes, se ubican en rango inferior tanto de la Constitución como de las leyes que expide el Congreso de la Unión, y son accesorios en cuanto a que su vida depende del principal, es decir la ley que pormenorizan, por lo cual el reglamento estará vigente mientras la le</w:t>
      </w:r>
      <w:r>
        <w:rPr>
          <w:rFonts w:ascii="Arial" w:eastAsia="Arial Unicode MS" w:hAnsi="Arial" w:cs="Arial"/>
          <w:sz w:val="24"/>
          <w:szCs w:val="24"/>
          <w:lang w:eastAsia="es-ES"/>
        </w:rPr>
        <w:t>y</w:t>
      </w:r>
      <w:r w:rsidRPr="00DC162D">
        <w:rPr>
          <w:rFonts w:ascii="Arial" w:eastAsia="Arial Unicode MS" w:hAnsi="Arial" w:cs="Arial"/>
          <w:sz w:val="24"/>
          <w:szCs w:val="24"/>
          <w:lang w:eastAsia="es-ES"/>
        </w:rPr>
        <w:t xml:space="preserve"> </w:t>
      </w:r>
      <w:r>
        <w:rPr>
          <w:rFonts w:ascii="Arial" w:eastAsia="Arial Unicode MS" w:hAnsi="Arial" w:cs="Arial"/>
          <w:sz w:val="24"/>
          <w:szCs w:val="24"/>
          <w:lang w:eastAsia="es-ES"/>
        </w:rPr>
        <w:t>c</w:t>
      </w:r>
      <w:r w:rsidRPr="00B73C4D">
        <w:rPr>
          <w:rFonts w:ascii="Arial" w:eastAsia="Arial Unicode MS" w:hAnsi="Arial" w:cs="Arial"/>
          <w:sz w:val="24"/>
          <w:szCs w:val="24"/>
          <w:lang w:eastAsia="es-ES"/>
        </w:rPr>
        <w:t xml:space="preserve">onserve su vigencia. </w:t>
      </w:r>
    </w:p>
    <w:p w14:paraId="5C015A27" w14:textId="77777777" w:rsidR="00A428ED" w:rsidRDefault="00A428ED" w:rsidP="00A428ED">
      <w:pPr>
        <w:spacing w:after="0" w:line="360" w:lineRule="auto"/>
        <w:ind w:firstLine="708"/>
        <w:jc w:val="both"/>
        <w:rPr>
          <w:rFonts w:ascii="Arial" w:eastAsia="Arial Unicode MS" w:hAnsi="Arial" w:cs="Arial"/>
          <w:sz w:val="24"/>
          <w:szCs w:val="24"/>
          <w:lang w:eastAsia="es-ES"/>
        </w:rPr>
      </w:pPr>
    </w:p>
    <w:p w14:paraId="3AEC64FB" w14:textId="77777777" w:rsidR="00A428ED" w:rsidRPr="00B73C4D" w:rsidRDefault="00A428ED" w:rsidP="00A428ED">
      <w:pPr>
        <w:spacing w:after="0" w:line="360" w:lineRule="auto"/>
        <w:ind w:firstLine="708"/>
        <w:jc w:val="both"/>
        <w:rPr>
          <w:rFonts w:ascii="Arial" w:eastAsia="Arial Unicode MS" w:hAnsi="Arial" w:cs="Arial"/>
          <w:sz w:val="24"/>
          <w:szCs w:val="24"/>
          <w:lang w:eastAsia="es-ES"/>
        </w:rPr>
      </w:pPr>
      <w:r w:rsidRPr="00B73C4D">
        <w:rPr>
          <w:rFonts w:ascii="Arial" w:eastAsia="Arial Unicode MS" w:hAnsi="Arial" w:cs="Arial"/>
          <w:sz w:val="24"/>
          <w:szCs w:val="24"/>
          <w:lang w:eastAsia="es-ES"/>
        </w:rPr>
        <w:t xml:space="preserve">Así, puede afirmarse que es </w:t>
      </w:r>
      <w:r>
        <w:rPr>
          <w:rFonts w:ascii="Arial" w:eastAsia="Arial Unicode MS" w:hAnsi="Arial" w:cs="Arial"/>
          <w:sz w:val="24"/>
          <w:szCs w:val="24"/>
          <w:lang w:eastAsia="es-ES"/>
        </w:rPr>
        <w:t xml:space="preserve">competencia exclusiva de la ley </w:t>
      </w:r>
      <w:r w:rsidRPr="00B73C4D">
        <w:rPr>
          <w:rFonts w:ascii="Arial" w:eastAsia="Arial Unicode MS" w:hAnsi="Arial" w:cs="Arial"/>
          <w:sz w:val="24"/>
          <w:szCs w:val="24"/>
          <w:lang w:eastAsia="es-ES"/>
        </w:rPr>
        <w:t xml:space="preserve">la determinación del qué, quién, dónde y cuándo de una situación jurídica general, hipotética y abstracta, al reglamento de ejecución competerá, por consecuencia, el </w:t>
      </w:r>
      <w:r>
        <w:rPr>
          <w:rFonts w:ascii="Arial" w:eastAsia="Arial Unicode MS" w:hAnsi="Arial" w:cs="Arial"/>
          <w:sz w:val="24"/>
          <w:szCs w:val="24"/>
          <w:lang w:eastAsia="es-ES"/>
        </w:rPr>
        <w:t>“</w:t>
      </w:r>
      <w:r w:rsidRPr="00B73C4D">
        <w:rPr>
          <w:rFonts w:ascii="Arial" w:eastAsia="Arial Unicode MS" w:hAnsi="Arial" w:cs="Arial"/>
          <w:sz w:val="24"/>
          <w:szCs w:val="24"/>
          <w:lang w:eastAsia="es-ES"/>
        </w:rPr>
        <w:t>cómo</w:t>
      </w:r>
      <w:r>
        <w:rPr>
          <w:rFonts w:ascii="Arial" w:eastAsia="Arial Unicode MS" w:hAnsi="Arial" w:cs="Arial"/>
          <w:sz w:val="24"/>
          <w:szCs w:val="24"/>
          <w:lang w:eastAsia="es-ES"/>
        </w:rPr>
        <w:t>”</w:t>
      </w:r>
      <w:r w:rsidRPr="00B73C4D">
        <w:rPr>
          <w:rFonts w:ascii="Arial" w:eastAsia="Arial Unicode MS" w:hAnsi="Arial" w:cs="Arial"/>
          <w:sz w:val="24"/>
          <w:szCs w:val="24"/>
          <w:lang w:eastAsia="es-ES"/>
        </w:rPr>
        <w:t xml:space="preserve"> de esos mismos supuestos, es decir, </w:t>
      </w:r>
      <w:r w:rsidRPr="00AC6D8A">
        <w:rPr>
          <w:rFonts w:ascii="Arial" w:eastAsia="Arial Unicode MS" w:hAnsi="Arial" w:cs="Arial"/>
          <w:sz w:val="24"/>
          <w:szCs w:val="24"/>
          <w:u w:val="single"/>
          <w:lang w:eastAsia="es-ES"/>
        </w:rPr>
        <w:t>el reglamento desenvuelve su obligatoriedad a partir de un principio definido por la ley</w:t>
      </w:r>
      <w:r w:rsidRPr="00B73C4D">
        <w:rPr>
          <w:rFonts w:ascii="Arial" w:eastAsia="Arial Unicode MS" w:hAnsi="Arial" w:cs="Arial"/>
          <w:sz w:val="24"/>
          <w:szCs w:val="24"/>
          <w:lang w:eastAsia="es-ES"/>
        </w:rPr>
        <w:t xml:space="preserve"> y, por tanto, no puede ir más allá de ella, ni extenderla a supuestos distintos, ni mucho menos contradecirla; luego entonces, el reglamento no puede ser utilizado como instrumento para llenar lagunas de la ley, ni para reformarla o, tampoco, para remediar el olvido o la omisión. Por tal motivo, si el reglamento debe contraerse a indicar los medios para cumplir la ley, no está entonces permitido que a través de la facultad reglamentaria del ejecutivo, se cree una disposición que otorgue mayores alcances o imponga diversas ¡imitantes que la propia norma que se pretende reglamentar. </w:t>
      </w:r>
    </w:p>
    <w:p w14:paraId="19EAD0B8" w14:textId="77777777" w:rsidR="00A428ED" w:rsidRDefault="00A428ED" w:rsidP="00A428ED">
      <w:pPr>
        <w:spacing w:after="0" w:line="360" w:lineRule="auto"/>
        <w:ind w:firstLine="708"/>
        <w:jc w:val="both"/>
        <w:rPr>
          <w:rFonts w:ascii="Arial" w:eastAsia="Arial Unicode MS" w:hAnsi="Arial" w:cs="Arial"/>
          <w:sz w:val="24"/>
          <w:szCs w:val="24"/>
          <w:lang w:eastAsia="es-ES"/>
        </w:rPr>
      </w:pPr>
    </w:p>
    <w:p w14:paraId="6055ED05" w14:textId="77777777" w:rsidR="00A428ED" w:rsidRDefault="00A428ED" w:rsidP="00A428ED">
      <w:pPr>
        <w:spacing w:after="0" w:line="360" w:lineRule="auto"/>
        <w:ind w:firstLine="708"/>
        <w:jc w:val="both"/>
        <w:rPr>
          <w:rFonts w:ascii="Arial" w:eastAsia="Arial Unicode MS" w:hAnsi="Arial" w:cs="Arial"/>
          <w:sz w:val="24"/>
          <w:szCs w:val="24"/>
          <w:lang w:eastAsia="es-ES"/>
        </w:rPr>
      </w:pPr>
      <w:r w:rsidRPr="00B73C4D">
        <w:rPr>
          <w:rFonts w:ascii="Arial" w:eastAsia="Arial Unicode MS" w:hAnsi="Arial" w:cs="Arial"/>
          <w:sz w:val="24"/>
          <w:szCs w:val="24"/>
          <w:lang w:eastAsia="es-ES"/>
        </w:rPr>
        <w:lastRenderedPageBreak/>
        <w:t>En lo conce</w:t>
      </w:r>
      <w:r>
        <w:rPr>
          <w:rFonts w:ascii="Arial" w:eastAsia="Arial Unicode MS" w:hAnsi="Arial" w:cs="Arial"/>
          <w:sz w:val="24"/>
          <w:szCs w:val="24"/>
          <w:lang w:eastAsia="es-ES"/>
        </w:rPr>
        <w:t xml:space="preserve">rniente </w:t>
      </w:r>
      <w:r w:rsidRPr="00B73C4D">
        <w:rPr>
          <w:rFonts w:ascii="Arial" w:eastAsia="Arial Unicode MS" w:hAnsi="Arial" w:cs="Arial"/>
          <w:sz w:val="24"/>
          <w:szCs w:val="24"/>
          <w:lang w:eastAsia="es-ES"/>
        </w:rPr>
        <w:t>a la fuerza jurídica del re</w:t>
      </w:r>
      <w:r>
        <w:rPr>
          <w:rFonts w:ascii="Arial" w:eastAsia="Arial Unicode MS" w:hAnsi="Arial" w:cs="Arial"/>
          <w:sz w:val="24"/>
          <w:szCs w:val="24"/>
          <w:lang w:eastAsia="es-ES"/>
        </w:rPr>
        <w:t xml:space="preserve">glamento y la ley, la doctrina </w:t>
      </w:r>
      <w:r w:rsidRPr="00B73C4D">
        <w:rPr>
          <w:rFonts w:ascii="Arial" w:eastAsia="Arial Unicode MS" w:hAnsi="Arial" w:cs="Arial"/>
          <w:sz w:val="24"/>
          <w:szCs w:val="24"/>
          <w:lang w:eastAsia="es-ES"/>
        </w:rPr>
        <w:t>sostiene que ésta es la expresión de la soberanía del pueblo y su aplicación es incondicional por no estar ligada a norma alguna que no sea la constitución, en cambio el reglamento se encuentra subordinado a la ley, por lo que la aplicación del mismo no tiene el carácter de incondicional sino que por el contrario se encuentra limitado por la norma emitida con sujeción al proceso legislativo, de donde se sigue, que si bien tanto el reglamento como la ley producen situ</w:t>
      </w:r>
      <w:r>
        <w:rPr>
          <w:rFonts w:ascii="Arial" w:eastAsia="Arial Unicode MS" w:hAnsi="Arial" w:cs="Arial"/>
          <w:sz w:val="24"/>
          <w:szCs w:val="24"/>
          <w:lang w:eastAsia="es-ES"/>
        </w:rPr>
        <w:t>aciones de caráct</w:t>
      </w:r>
      <w:r w:rsidRPr="00B73C4D">
        <w:rPr>
          <w:rFonts w:ascii="Arial" w:eastAsia="Arial Unicode MS" w:hAnsi="Arial" w:cs="Arial"/>
          <w:sz w:val="24"/>
          <w:szCs w:val="24"/>
          <w:lang w:eastAsia="es-ES"/>
        </w:rPr>
        <w:t>er general y abstracto, ésta es en esencia superior a las disposiciones del reglamento, dado que el mismo no puede modificar o derogar el orden creado por la ley,</w:t>
      </w:r>
      <w:r>
        <w:rPr>
          <w:rFonts w:ascii="Arial" w:eastAsia="Arial Unicode MS" w:hAnsi="Arial" w:cs="Arial"/>
          <w:sz w:val="24"/>
          <w:szCs w:val="24"/>
          <w:lang w:eastAsia="es-ES"/>
        </w:rPr>
        <w:t xml:space="preserve"> toda vez que la existencia de l</w:t>
      </w:r>
      <w:r w:rsidRPr="00B73C4D">
        <w:rPr>
          <w:rFonts w:ascii="Arial" w:eastAsia="Arial Unicode MS" w:hAnsi="Arial" w:cs="Arial"/>
          <w:sz w:val="24"/>
          <w:szCs w:val="24"/>
          <w:lang w:eastAsia="es-ES"/>
        </w:rPr>
        <w:t xml:space="preserve">as disposiciones reglamentarias se encuentra condicionada a la ley y su finalidad consiste en desarrollar las disposiciones de ésta. </w:t>
      </w:r>
    </w:p>
    <w:p w14:paraId="5B72D246" w14:textId="77777777" w:rsidR="00A428ED" w:rsidRPr="00B73C4D" w:rsidRDefault="00A428ED" w:rsidP="00A428ED">
      <w:pPr>
        <w:spacing w:after="0" w:line="360" w:lineRule="auto"/>
        <w:ind w:firstLine="708"/>
        <w:jc w:val="both"/>
        <w:rPr>
          <w:rFonts w:ascii="Arial" w:eastAsia="Arial Unicode MS" w:hAnsi="Arial" w:cs="Arial"/>
          <w:sz w:val="24"/>
          <w:szCs w:val="24"/>
          <w:lang w:eastAsia="es-ES"/>
        </w:rPr>
      </w:pPr>
    </w:p>
    <w:p w14:paraId="5EF9B220" w14:textId="77777777" w:rsidR="00A428ED" w:rsidRDefault="00A428ED" w:rsidP="00A428ED">
      <w:pPr>
        <w:spacing w:after="0" w:line="360" w:lineRule="auto"/>
        <w:ind w:firstLine="708"/>
        <w:jc w:val="both"/>
        <w:rPr>
          <w:rFonts w:ascii="Arial" w:eastAsia="Arial Unicode MS" w:hAnsi="Arial" w:cs="Arial"/>
          <w:sz w:val="24"/>
          <w:szCs w:val="24"/>
          <w:lang w:eastAsia="es-ES"/>
        </w:rPr>
      </w:pPr>
      <w:r w:rsidRPr="00B73C4D">
        <w:rPr>
          <w:rFonts w:ascii="Arial" w:eastAsia="Arial Unicode MS" w:hAnsi="Arial" w:cs="Arial"/>
          <w:sz w:val="24"/>
          <w:szCs w:val="24"/>
          <w:lang w:eastAsia="es-ES"/>
        </w:rPr>
        <w:t>Según ha sostenido el Poder Judicial</w:t>
      </w:r>
      <w:r>
        <w:rPr>
          <w:rFonts w:ascii="Arial" w:eastAsia="Arial Unicode MS" w:hAnsi="Arial" w:cs="Arial"/>
          <w:sz w:val="24"/>
          <w:szCs w:val="24"/>
          <w:lang w:eastAsia="es-ES"/>
        </w:rPr>
        <w:t xml:space="preserve"> de la Federación en numerosos </w:t>
      </w:r>
      <w:r w:rsidRPr="00B73C4D">
        <w:rPr>
          <w:rFonts w:ascii="Arial" w:eastAsia="Arial Unicode MS" w:hAnsi="Arial" w:cs="Arial"/>
          <w:sz w:val="24"/>
          <w:szCs w:val="24"/>
          <w:lang w:eastAsia="es-ES"/>
        </w:rPr>
        <w:t>precedentes, el reglamento tiene su orig</w:t>
      </w:r>
      <w:r>
        <w:rPr>
          <w:rFonts w:ascii="Arial" w:eastAsia="Arial Unicode MS" w:hAnsi="Arial" w:cs="Arial"/>
          <w:sz w:val="24"/>
          <w:szCs w:val="24"/>
          <w:lang w:eastAsia="es-ES"/>
        </w:rPr>
        <w:t>en en el artículo 89, fracción I</w:t>
      </w:r>
      <w:r w:rsidRPr="00B73C4D">
        <w:rPr>
          <w:rFonts w:ascii="Arial" w:eastAsia="Arial Unicode MS" w:hAnsi="Arial" w:cs="Arial"/>
          <w:sz w:val="24"/>
          <w:szCs w:val="24"/>
          <w:lang w:eastAsia="es-ES"/>
        </w:rPr>
        <w:t xml:space="preserve">, Constitucional, mismo que faculta al Presidente de la República para expedir normas reglamentarias de las leyes emanadas del Congreso de la Unión, que aunque desde el punto de vista material ambas normas son similares, aquellas se distinguen de estas básicamente, en que provienen de un órgano que al emitirlas no expresa la voluntad general, sino que está instituido para acatarla, de donde se sigue que los preceptos reglamentarios son </w:t>
      </w:r>
      <w:r>
        <w:rPr>
          <w:rFonts w:ascii="Arial" w:eastAsia="Arial Unicode MS" w:hAnsi="Arial" w:cs="Arial"/>
          <w:sz w:val="24"/>
          <w:szCs w:val="24"/>
          <w:lang w:eastAsia="es-ES"/>
        </w:rPr>
        <w:t>normas</w:t>
      </w:r>
      <w:r w:rsidRPr="00B73C4D">
        <w:rPr>
          <w:rFonts w:ascii="Arial" w:eastAsia="Arial Unicode MS" w:hAnsi="Arial" w:cs="Arial"/>
          <w:sz w:val="24"/>
          <w:szCs w:val="24"/>
          <w:lang w:eastAsia="es-ES"/>
        </w:rPr>
        <w:t xml:space="preserve"> subordinadas, lo que se traduce en que el ejercicio de la facultad reglamentaria se encuentra regido por el principio de subordinación jerárquica a la ley. </w:t>
      </w:r>
    </w:p>
    <w:p w14:paraId="2C3368A4" w14:textId="77777777" w:rsidR="00A428ED" w:rsidRPr="00B73C4D" w:rsidRDefault="00A428ED" w:rsidP="00A428ED">
      <w:pPr>
        <w:spacing w:after="0" w:line="360" w:lineRule="auto"/>
        <w:ind w:firstLine="708"/>
        <w:jc w:val="both"/>
        <w:rPr>
          <w:rFonts w:ascii="Arial" w:eastAsia="Arial Unicode MS" w:hAnsi="Arial" w:cs="Arial"/>
          <w:sz w:val="24"/>
          <w:szCs w:val="24"/>
          <w:lang w:eastAsia="es-ES"/>
        </w:rPr>
      </w:pPr>
    </w:p>
    <w:p w14:paraId="4B422E73" w14:textId="77777777" w:rsidR="00A428ED" w:rsidRPr="00E16FC9" w:rsidRDefault="00A428ED" w:rsidP="00A428ED">
      <w:pPr>
        <w:spacing w:after="0" w:line="360" w:lineRule="auto"/>
        <w:ind w:firstLine="708"/>
        <w:jc w:val="both"/>
        <w:rPr>
          <w:rFonts w:ascii="Arial" w:eastAsia="Arial Unicode MS" w:hAnsi="Arial" w:cs="Arial"/>
          <w:sz w:val="24"/>
          <w:szCs w:val="24"/>
          <w:lang w:eastAsia="es-ES"/>
        </w:rPr>
      </w:pPr>
      <w:r w:rsidRPr="00B73C4D">
        <w:rPr>
          <w:rFonts w:ascii="Arial" w:eastAsia="Arial Unicode MS" w:hAnsi="Arial" w:cs="Arial"/>
          <w:sz w:val="24"/>
          <w:szCs w:val="24"/>
          <w:lang w:eastAsia="es-ES"/>
        </w:rPr>
        <w:t xml:space="preserve">Por cuanto hace a la </w:t>
      </w:r>
      <w:r>
        <w:rPr>
          <w:rFonts w:ascii="Arial" w:eastAsia="Arial Unicode MS" w:hAnsi="Arial" w:cs="Arial"/>
          <w:sz w:val="24"/>
          <w:szCs w:val="24"/>
          <w:lang w:eastAsia="es-ES"/>
        </w:rPr>
        <w:t xml:space="preserve">finalidad </w:t>
      </w:r>
      <w:r w:rsidRPr="00B73C4D">
        <w:rPr>
          <w:rFonts w:ascii="Arial" w:eastAsia="Arial Unicode MS" w:hAnsi="Arial" w:cs="Arial"/>
          <w:sz w:val="24"/>
          <w:szCs w:val="24"/>
          <w:lang w:eastAsia="es-ES"/>
        </w:rPr>
        <w:t>del reglamento, ésta es la de facilitar la aplicación de la ley, detallándola y operando como instrumento idóneo para llevar a efecto su contenido, en atención de que en el Poder Legislativo no se está en contacto directo con la realidad social del país por lo que resulta más lógico que se le encomiende al Poder Ejecutivo la elaboración de los reglamentos, ya que</w:t>
      </w:r>
      <w:r>
        <w:rPr>
          <w:rFonts w:ascii="Arial" w:eastAsia="Arial Unicode MS" w:hAnsi="Arial" w:cs="Arial"/>
          <w:sz w:val="24"/>
          <w:szCs w:val="24"/>
          <w:lang w:eastAsia="es-ES"/>
        </w:rPr>
        <w:t xml:space="preserve"> </w:t>
      </w:r>
      <w:r w:rsidRPr="00E16FC9">
        <w:rPr>
          <w:rFonts w:ascii="Arial" w:eastAsia="Arial Unicode MS" w:hAnsi="Arial" w:cs="Arial"/>
          <w:sz w:val="24"/>
          <w:szCs w:val="24"/>
          <w:lang w:eastAsia="es-ES"/>
        </w:rPr>
        <w:t>las dependencias cuentan</w:t>
      </w:r>
      <w:r>
        <w:rPr>
          <w:rFonts w:ascii="Arial" w:eastAsia="Arial Unicode MS" w:hAnsi="Arial" w:cs="Arial"/>
          <w:sz w:val="24"/>
          <w:szCs w:val="24"/>
          <w:lang w:eastAsia="es-ES"/>
        </w:rPr>
        <w:t xml:space="preserve"> </w:t>
      </w:r>
      <w:r w:rsidRPr="00E16FC9">
        <w:rPr>
          <w:rFonts w:ascii="Arial" w:eastAsia="Arial Unicode MS" w:hAnsi="Arial" w:cs="Arial"/>
          <w:sz w:val="24"/>
          <w:szCs w:val="24"/>
          <w:lang w:eastAsia="es-ES"/>
        </w:rPr>
        <w:t xml:space="preserve">con personal más especializado y que están en contacto con la realidad a la que se aplican las leyes emanadas del propio Congreso de la Unión. </w:t>
      </w:r>
    </w:p>
    <w:p w14:paraId="44FCC792" w14:textId="77777777" w:rsidR="00A428ED" w:rsidRDefault="00A428ED" w:rsidP="00A428ED">
      <w:pPr>
        <w:spacing w:after="0" w:line="360" w:lineRule="auto"/>
        <w:ind w:firstLine="708"/>
        <w:jc w:val="both"/>
        <w:rPr>
          <w:rFonts w:ascii="Arial" w:eastAsia="Arial Unicode MS" w:hAnsi="Arial" w:cs="Arial"/>
          <w:sz w:val="24"/>
          <w:szCs w:val="24"/>
          <w:lang w:eastAsia="es-ES"/>
        </w:rPr>
      </w:pPr>
    </w:p>
    <w:p w14:paraId="3081050E" w14:textId="77777777" w:rsidR="00A428ED" w:rsidRDefault="00A428ED" w:rsidP="00A428ED">
      <w:pPr>
        <w:spacing w:after="0" w:line="360" w:lineRule="auto"/>
        <w:ind w:firstLine="708"/>
        <w:jc w:val="both"/>
        <w:rPr>
          <w:rFonts w:ascii="Arial" w:eastAsia="Arial Unicode MS" w:hAnsi="Arial" w:cs="Arial"/>
          <w:sz w:val="24"/>
          <w:szCs w:val="24"/>
          <w:lang w:eastAsia="es-ES"/>
        </w:rPr>
      </w:pPr>
      <w:r w:rsidRPr="00E16FC9">
        <w:rPr>
          <w:rFonts w:ascii="Arial" w:eastAsia="Arial Unicode MS" w:hAnsi="Arial" w:cs="Arial"/>
          <w:sz w:val="24"/>
          <w:szCs w:val="24"/>
          <w:lang w:eastAsia="es-ES"/>
        </w:rPr>
        <w:t xml:space="preserve">Aunado a lo anterior, es de resaltarse que la finalidad del reglamento no se limita al ámbito administrativo, dado que la observancia de lodo reglamento </w:t>
      </w:r>
      <w:r w:rsidRPr="00E16FC9">
        <w:rPr>
          <w:rFonts w:ascii="Arial" w:eastAsia="Arial Unicode MS" w:hAnsi="Arial" w:cs="Arial"/>
          <w:sz w:val="24"/>
          <w:szCs w:val="24"/>
          <w:lang w:eastAsia="es-ES"/>
        </w:rPr>
        <w:lastRenderedPageBreak/>
        <w:t xml:space="preserve">corresponde a todo individuo que se coloque en el supuesto previsto por el mismo, el cual puede referirse a materias de distinta naturaleza, como puede ser por ejemplo, la mercantil, laboral, registral, electoral, etc. </w:t>
      </w:r>
    </w:p>
    <w:p w14:paraId="60ABBBD5" w14:textId="77777777" w:rsidR="00A428ED" w:rsidRPr="00E16FC9" w:rsidRDefault="00A428ED" w:rsidP="00A428ED">
      <w:pPr>
        <w:spacing w:after="0" w:line="360" w:lineRule="auto"/>
        <w:ind w:firstLine="708"/>
        <w:jc w:val="both"/>
        <w:rPr>
          <w:rFonts w:ascii="Arial" w:eastAsia="Arial Unicode MS" w:hAnsi="Arial" w:cs="Arial"/>
          <w:sz w:val="24"/>
          <w:szCs w:val="24"/>
          <w:lang w:eastAsia="es-ES"/>
        </w:rPr>
      </w:pPr>
    </w:p>
    <w:p w14:paraId="3751BABD" w14:textId="77777777" w:rsidR="00A428ED" w:rsidRDefault="00A428ED" w:rsidP="00A428ED">
      <w:pPr>
        <w:spacing w:after="0" w:line="360" w:lineRule="auto"/>
        <w:ind w:firstLine="708"/>
        <w:jc w:val="both"/>
        <w:rPr>
          <w:rFonts w:ascii="Arial" w:eastAsia="Arial Unicode MS" w:hAnsi="Arial" w:cs="Arial"/>
          <w:sz w:val="24"/>
          <w:szCs w:val="24"/>
          <w:lang w:eastAsia="es-ES"/>
        </w:rPr>
      </w:pPr>
      <w:r w:rsidRPr="00E16FC9">
        <w:rPr>
          <w:rFonts w:ascii="Arial" w:eastAsia="Arial Unicode MS" w:hAnsi="Arial" w:cs="Arial"/>
          <w:sz w:val="24"/>
          <w:szCs w:val="24"/>
          <w:lang w:eastAsia="es-ES"/>
        </w:rPr>
        <w:t>Conforme a nuestro derecho, no sólo el pr</w:t>
      </w:r>
      <w:r>
        <w:rPr>
          <w:rFonts w:ascii="Arial" w:eastAsia="Arial Unicode MS" w:hAnsi="Arial" w:cs="Arial"/>
          <w:sz w:val="24"/>
          <w:szCs w:val="24"/>
          <w:lang w:eastAsia="es-ES"/>
        </w:rPr>
        <w:t xml:space="preserve">esidente de la República emite </w:t>
      </w:r>
      <w:r w:rsidRPr="00E16FC9">
        <w:rPr>
          <w:rFonts w:ascii="Arial" w:eastAsia="Arial Unicode MS" w:hAnsi="Arial" w:cs="Arial"/>
          <w:sz w:val="24"/>
          <w:szCs w:val="24"/>
          <w:lang w:eastAsia="es-ES"/>
        </w:rPr>
        <w:t>reglamentos, sino que también pueden hacerlo en su ámbito de competencia los Gobernadores de las Entidades Federativas, así como el Jefe de Gobierno del Distrito Federal, los Ayuntamientos de los Municipios, así como las Secretarias de Estado o Departamentos Administrativos</w:t>
      </w:r>
      <w:r>
        <w:rPr>
          <w:rFonts w:ascii="Arial" w:eastAsia="Arial Unicode MS" w:hAnsi="Arial" w:cs="Arial"/>
          <w:sz w:val="24"/>
          <w:szCs w:val="24"/>
          <w:lang w:eastAsia="es-ES"/>
        </w:rPr>
        <w:t>.</w:t>
      </w:r>
    </w:p>
    <w:p w14:paraId="5575AEC3" w14:textId="77777777" w:rsidR="00A428ED" w:rsidRDefault="00A428ED" w:rsidP="00A428ED">
      <w:pPr>
        <w:spacing w:after="0" w:line="360" w:lineRule="auto"/>
        <w:ind w:firstLine="708"/>
        <w:jc w:val="both"/>
        <w:rPr>
          <w:rFonts w:ascii="Arial" w:eastAsia="Arial Unicode MS" w:hAnsi="Arial" w:cs="Arial"/>
          <w:sz w:val="24"/>
          <w:szCs w:val="24"/>
          <w:lang w:eastAsia="es-ES"/>
        </w:rPr>
      </w:pPr>
    </w:p>
    <w:p w14:paraId="1EBE6155" w14:textId="77777777" w:rsidR="00A428ED" w:rsidRDefault="00A428ED" w:rsidP="00A428ED">
      <w:pPr>
        <w:spacing w:after="0" w:line="360" w:lineRule="auto"/>
        <w:ind w:firstLine="708"/>
        <w:jc w:val="both"/>
        <w:rPr>
          <w:rFonts w:ascii="Arial" w:eastAsia="Arial Unicode MS" w:hAnsi="Arial" w:cs="Arial"/>
          <w:sz w:val="24"/>
          <w:szCs w:val="24"/>
          <w:lang w:eastAsia="es-ES"/>
        </w:rPr>
      </w:pPr>
      <w:r w:rsidRPr="00E16FC9">
        <w:rPr>
          <w:rFonts w:ascii="Arial" w:eastAsia="Arial Unicode MS" w:hAnsi="Arial" w:cs="Arial"/>
          <w:sz w:val="24"/>
          <w:szCs w:val="24"/>
          <w:lang w:eastAsia="es-ES"/>
        </w:rPr>
        <w:t xml:space="preserve">En cuanto a la vigencia de los reglamentos, </w:t>
      </w:r>
      <w:r>
        <w:rPr>
          <w:rFonts w:ascii="Arial" w:eastAsia="Arial Unicode MS" w:hAnsi="Arial" w:cs="Arial"/>
          <w:sz w:val="24"/>
          <w:szCs w:val="24"/>
          <w:lang w:eastAsia="es-ES"/>
        </w:rPr>
        <w:t xml:space="preserve">por regla general si una ley es </w:t>
      </w:r>
      <w:r w:rsidRPr="00E16FC9">
        <w:rPr>
          <w:rFonts w:ascii="Arial" w:eastAsia="Arial Unicode MS" w:hAnsi="Arial" w:cs="Arial"/>
          <w:sz w:val="24"/>
          <w:szCs w:val="24"/>
          <w:lang w:eastAsia="es-ES"/>
        </w:rPr>
        <w:t>reformada, derogada o abrogada, el reglamento que la detalla, se verá afectado de la misma manera, en atención de que la existencia de éste, depende de aquella, incluso en el supuesto de que la ley no se hubiese reformado, derogado o abrogado expresamente, sin embargo, ello admite una excepción que es cuando en la nueva ley se establezca que los reglamentos de la ley</w:t>
      </w:r>
      <w:r>
        <w:rPr>
          <w:rFonts w:ascii="Arial" w:eastAsia="Arial Unicode MS" w:hAnsi="Arial" w:cs="Arial"/>
          <w:sz w:val="24"/>
          <w:szCs w:val="24"/>
          <w:lang w:eastAsia="es-ES"/>
        </w:rPr>
        <w:t xml:space="preserve"> abrogada continuarán vigentes “en lo </w:t>
      </w:r>
      <w:r w:rsidRPr="00E16FC9">
        <w:rPr>
          <w:rFonts w:ascii="Arial" w:eastAsia="Arial Unicode MS" w:hAnsi="Arial" w:cs="Arial"/>
          <w:sz w:val="24"/>
          <w:szCs w:val="24"/>
          <w:lang w:eastAsia="es-ES"/>
        </w:rPr>
        <w:t>que no se opongan a la nueva ley", en cuyo caso, tales disposiciones reglamentarias continúan siendo válidas, es decir, si el legislador recupera de manera transitoria la preceptiva reglamentaria de la anterior ley, hasta en tanto se expide el reglamento de la nueva, actúa dentro de sus facultades y esto no implica invasión de la esfera de atrib</w:t>
      </w:r>
      <w:r>
        <w:rPr>
          <w:rFonts w:ascii="Arial" w:eastAsia="Arial Unicode MS" w:hAnsi="Arial" w:cs="Arial"/>
          <w:sz w:val="24"/>
          <w:szCs w:val="24"/>
          <w:lang w:eastAsia="es-ES"/>
        </w:rPr>
        <w:t>uciones del ejecutivo, toda vez</w:t>
      </w:r>
      <w:r w:rsidRPr="00E16FC9">
        <w:rPr>
          <w:rFonts w:ascii="Arial" w:eastAsia="Arial Unicode MS" w:hAnsi="Arial" w:cs="Arial"/>
          <w:sz w:val="24"/>
          <w:szCs w:val="24"/>
          <w:lang w:eastAsia="es-ES"/>
        </w:rPr>
        <w:t xml:space="preserve"> que en ese supuesto, el legislador no ejercita la facultad reglamentaria que es exclusiva del titular</w:t>
      </w:r>
      <w:r>
        <w:rPr>
          <w:rFonts w:ascii="Arial" w:eastAsia="Arial Unicode MS" w:hAnsi="Arial" w:cs="Arial"/>
          <w:sz w:val="24"/>
          <w:szCs w:val="24"/>
          <w:lang w:eastAsia="es-ES"/>
        </w:rPr>
        <w:t xml:space="preserve"> del ejecutivo en términos de lo </w:t>
      </w:r>
      <w:r w:rsidRPr="00E16FC9">
        <w:rPr>
          <w:rFonts w:ascii="Arial" w:eastAsia="Arial Unicode MS" w:hAnsi="Arial" w:cs="Arial"/>
          <w:sz w:val="24"/>
          <w:szCs w:val="24"/>
          <w:lang w:eastAsia="es-ES"/>
        </w:rPr>
        <w:t xml:space="preserve">dispuesto por el artículo 89, fracción I constitucional, dado que no existe el impedimento para que el legislador dentro de la ley establezca las reglas minuciosas y de detalle que hagan posible la aplicación de ésta. </w:t>
      </w:r>
    </w:p>
    <w:p w14:paraId="08A8C257" w14:textId="77777777" w:rsidR="00A428ED" w:rsidRDefault="00A428ED" w:rsidP="00A428ED">
      <w:pPr>
        <w:spacing w:after="0" w:line="360" w:lineRule="auto"/>
        <w:ind w:firstLine="708"/>
        <w:jc w:val="both"/>
        <w:rPr>
          <w:rFonts w:ascii="Arial" w:eastAsia="Arial Unicode MS" w:hAnsi="Arial" w:cs="Arial"/>
          <w:sz w:val="24"/>
          <w:szCs w:val="24"/>
          <w:lang w:eastAsia="es-ES"/>
        </w:rPr>
      </w:pPr>
    </w:p>
    <w:p w14:paraId="4D342985" w14:textId="77777777" w:rsidR="00A428ED" w:rsidRDefault="00A428ED" w:rsidP="00A428ED">
      <w:pPr>
        <w:spacing w:after="0" w:line="360" w:lineRule="auto"/>
        <w:ind w:firstLine="708"/>
        <w:jc w:val="both"/>
        <w:rPr>
          <w:rFonts w:ascii="Arial" w:eastAsia="Arial Unicode MS" w:hAnsi="Arial" w:cs="Arial"/>
          <w:sz w:val="24"/>
          <w:szCs w:val="24"/>
          <w:lang w:eastAsia="es-ES"/>
        </w:rPr>
      </w:pPr>
      <w:r w:rsidRPr="00E16FC9">
        <w:rPr>
          <w:rFonts w:ascii="Arial" w:eastAsia="Arial Unicode MS" w:hAnsi="Arial" w:cs="Arial"/>
          <w:sz w:val="24"/>
          <w:szCs w:val="24"/>
          <w:lang w:eastAsia="es-ES"/>
        </w:rPr>
        <w:t>Por regla general, los reglamentos expedidos por el Poder Ejecutivo tienen la finalidad de desarrollar y pormenorizar el contenido de una ley previamente expedida por el Congreso de la Unión, sin embargo, ello admite una excepción que constituye lo que la doctrina ha denominado "reglamentos autónomos", los cuales son aquellos que no son emitidos para desarrollar o ampliar el contenido de una ley, ni su validez está condicionada por norma alguna emitida por el Congreso de la Unión.</w:t>
      </w:r>
    </w:p>
    <w:p w14:paraId="6529A9B5" w14:textId="77777777" w:rsidR="00A428ED" w:rsidRDefault="00A428ED" w:rsidP="00A428ED">
      <w:pPr>
        <w:spacing w:after="0" w:line="360" w:lineRule="auto"/>
        <w:ind w:firstLine="708"/>
        <w:jc w:val="both"/>
        <w:rPr>
          <w:rFonts w:ascii="Arial" w:eastAsia="Arial Unicode MS" w:hAnsi="Arial" w:cs="Arial"/>
          <w:sz w:val="24"/>
          <w:szCs w:val="24"/>
          <w:lang w:eastAsia="es-ES"/>
        </w:rPr>
      </w:pPr>
    </w:p>
    <w:p w14:paraId="0A606F28" w14:textId="77777777" w:rsidR="00A428ED" w:rsidRDefault="00A428ED" w:rsidP="00A428ED">
      <w:pPr>
        <w:spacing w:after="0" w:line="360" w:lineRule="auto"/>
        <w:ind w:firstLine="708"/>
        <w:jc w:val="both"/>
        <w:rPr>
          <w:rFonts w:ascii="Arial" w:eastAsia="Arial Unicode MS" w:hAnsi="Arial" w:cs="Arial"/>
          <w:sz w:val="24"/>
          <w:szCs w:val="24"/>
          <w:lang w:eastAsia="es-ES"/>
        </w:rPr>
      </w:pPr>
      <w:r w:rsidRPr="00EA3971">
        <w:rPr>
          <w:rFonts w:ascii="Arial" w:eastAsia="Arial Unicode MS" w:hAnsi="Arial" w:cs="Arial"/>
          <w:sz w:val="24"/>
          <w:szCs w:val="24"/>
          <w:lang w:eastAsia="es-ES"/>
        </w:rPr>
        <w:lastRenderedPageBreak/>
        <w:t xml:space="preserve">Este tipo de reglamentos, que no está expresamente previsto en las leyes ni en la constitución, estaría constituido por aquellos dictados para regir una materia en la que precisamente no hay normas legales aplicables (de ahí justamente lo de </w:t>
      </w:r>
      <w:r>
        <w:rPr>
          <w:rFonts w:ascii="Arial" w:eastAsia="Arial Unicode MS" w:hAnsi="Arial" w:cs="Arial"/>
          <w:sz w:val="24"/>
          <w:szCs w:val="24"/>
          <w:lang w:eastAsia="es-ES"/>
        </w:rPr>
        <w:t>autónomo).</w:t>
      </w:r>
      <w:r>
        <w:rPr>
          <w:rStyle w:val="Refdenotaalpie"/>
          <w:rFonts w:ascii="Arial" w:eastAsia="Arial Unicode MS" w:hAnsi="Arial" w:cs="Arial"/>
          <w:sz w:val="24"/>
          <w:szCs w:val="24"/>
          <w:lang w:eastAsia="es-ES"/>
        </w:rPr>
        <w:footnoteReference w:id="31"/>
      </w:r>
      <w:r>
        <w:rPr>
          <w:rFonts w:ascii="Arial" w:eastAsia="Arial Unicode MS" w:hAnsi="Arial" w:cs="Arial"/>
          <w:sz w:val="24"/>
          <w:szCs w:val="24"/>
          <w:lang w:eastAsia="es-ES"/>
        </w:rPr>
        <w:t xml:space="preserve"> </w:t>
      </w:r>
    </w:p>
    <w:p w14:paraId="30950250" w14:textId="77777777" w:rsidR="00A428ED" w:rsidRDefault="00A428ED" w:rsidP="00A428ED">
      <w:pPr>
        <w:spacing w:after="0" w:line="360" w:lineRule="auto"/>
        <w:ind w:firstLine="708"/>
        <w:jc w:val="both"/>
        <w:rPr>
          <w:rFonts w:ascii="Arial" w:eastAsia="Arial Unicode MS" w:hAnsi="Arial" w:cs="Arial"/>
          <w:sz w:val="24"/>
          <w:szCs w:val="24"/>
          <w:lang w:eastAsia="es-ES"/>
        </w:rPr>
      </w:pPr>
    </w:p>
    <w:p w14:paraId="5F86740D" w14:textId="77777777" w:rsidR="00A428ED" w:rsidRDefault="00A428ED" w:rsidP="00A428ED">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Atento a lo anterior, es menester traer a contexto los criterios adoptados por el Poder Judicial, en los que se aborda la aplicación de cuerpos normativos secundarios emanados de una Ley; por medio de los cuales se rigen circunstancias específicas emanadas de los cuerpos primarios; así como la vigencia, validez y límites de estos, tal como se aprecia a continuación: </w:t>
      </w:r>
    </w:p>
    <w:p w14:paraId="441F1161" w14:textId="77777777" w:rsidR="00A428ED" w:rsidRDefault="00A428ED" w:rsidP="00A428ED">
      <w:pPr>
        <w:spacing w:after="0" w:line="360" w:lineRule="auto"/>
        <w:ind w:firstLine="708"/>
        <w:jc w:val="both"/>
        <w:rPr>
          <w:rFonts w:ascii="Arial" w:eastAsia="Arial Unicode MS" w:hAnsi="Arial" w:cs="Arial"/>
          <w:sz w:val="24"/>
          <w:szCs w:val="24"/>
          <w:lang w:eastAsia="es-ES"/>
        </w:rPr>
      </w:pPr>
    </w:p>
    <w:p w14:paraId="76EA9D56" w14:textId="77777777" w:rsidR="00A428ED" w:rsidRPr="00593A0E" w:rsidRDefault="00A428ED" w:rsidP="00A428ED">
      <w:pPr>
        <w:spacing w:after="0" w:line="240" w:lineRule="auto"/>
        <w:ind w:left="1134" w:right="1183"/>
        <w:jc w:val="both"/>
        <w:rPr>
          <w:rFonts w:ascii="Arial" w:eastAsia="Arial Unicode MS" w:hAnsi="Arial" w:cs="Arial"/>
          <w:lang w:eastAsia="es-ES"/>
        </w:rPr>
      </w:pPr>
      <w:r w:rsidRPr="00593A0E">
        <w:rPr>
          <w:rFonts w:ascii="Arial" w:eastAsia="Arial Unicode MS" w:hAnsi="Arial" w:cs="Arial"/>
          <w:b/>
          <w:lang w:eastAsia="es-ES"/>
        </w:rPr>
        <w:t xml:space="preserve">REGLAMENTOS ADMINISTRATIVOS. SUS LIMITES. </w:t>
      </w:r>
      <w:r w:rsidRPr="00593A0E">
        <w:rPr>
          <w:rFonts w:ascii="Arial" w:eastAsia="Arial Unicode MS" w:hAnsi="Arial" w:cs="Arial"/>
          <w:lang w:eastAsia="es-ES"/>
        </w:rPr>
        <w:t xml:space="preserve">Mediante el ejercicio de la facultad reglamentaria, el titular del Ejecutivo Federal puede, para mejor proveer en la esfera administrativa el cumplimiento de las leyes, dictar ordenamientos que faciliten a los destinatarios la observancia de las mismas, a través de disposiciones generales, imperativas y abstractas que detallen sus hipótesis y supuestos normativos de aplicación. Sin embargo, tal facultad (que no sólo se deduce de la fracción I del artículo 89 constitucional, sino que a la vez se confirma expresamente el contenido de la fracción VIII, inciso a), del artículo 107 de la propia Carta Suprema), por útil y necesaria que sea, debe realizarse única y exclusivamente dentro de la esfera de atribuciones propia del Poder Ejecutivo, esto es, la norma reglamentaria actúa por facultades explícitas o implícitas que se precisan en la ley, siendo únicamente esa zona donde pueden y deben expedirse reglamentos que provean a la exacta observancia de aquélla y que, por ello, compartan además su obligatoriedad. De ahí que, siendo competencia exclusiva de la ley la determinación del qué, quién, dónde y cuándo de una situación jurídica general, hipotética y abstracta, al reglamento de ejecución competerá, por consecuencia, el cómo de esos mismos supuestos, por tal virtud, si el reglamento sólo encuentra operatividad en el renglón del cómo, sus disposiciones sólo podrán referirse a las otras preguntas (qué, quién, dónde y cuándo), siempre que éstas ya estén contestadas por la ley, es decir, el reglamento desenvuelve su obligatoriedad a partir de un principio definido por la ley y, por tanto, no puede ir más allá de ella, ni extenderla a supuestos distintos, ni mucho menos, contradecirla; luego entonces, la facultad reglamentaria no puede ser utilizada como instrumento para llenar lagunas de la ley, ni para reformarla o, tampoco, para remediar el olvido o la omisión. Por tal motivo, si el reglamento debe contraerse a indicar los medios para cumplir la ley, no está entonces permitido que a través de dicha facultad, una disposición de tal naturaleza otorgue mayores alcances o imponga diversas limitantes que la propia norma que busca reglamentar, por ejemplo, creando y </w:t>
      </w:r>
      <w:r w:rsidRPr="00593A0E">
        <w:rPr>
          <w:rFonts w:ascii="Arial" w:eastAsia="Arial Unicode MS" w:hAnsi="Arial" w:cs="Arial"/>
          <w:lang w:eastAsia="es-ES"/>
        </w:rPr>
        <w:lastRenderedPageBreak/>
        <w:t>obligando a los particulares a agotar un recurso administrativo, cuando la ley que reglamenta nada previene a ese respecto.</w:t>
      </w:r>
      <w:r>
        <w:rPr>
          <w:rStyle w:val="Refdenotaalpie"/>
          <w:rFonts w:ascii="Arial" w:eastAsia="Arial Unicode MS" w:hAnsi="Arial" w:cs="Arial"/>
          <w:lang w:eastAsia="es-ES"/>
        </w:rPr>
        <w:footnoteReference w:id="32"/>
      </w:r>
    </w:p>
    <w:p w14:paraId="21A2EA0D" w14:textId="77777777" w:rsidR="00A428ED" w:rsidRPr="00593A0E" w:rsidRDefault="00A428ED" w:rsidP="00A428ED">
      <w:pPr>
        <w:spacing w:after="0" w:line="240" w:lineRule="auto"/>
        <w:ind w:left="1134" w:right="1183"/>
        <w:jc w:val="both"/>
        <w:rPr>
          <w:rFonts w:ascii="Arial" w:eastAsia="Arial Unicode MS" w:hAnsi="Arial" w:cs="Arial"/>
          <w:lang w:eastAsia="es-ES"/>
        </w:rPr>
      </w:pPr>
    </w:p>
    <w:p w14:paraId="01F9A74E" w14:textId="77777777" w:rsidR="00A428ED" w:rsidRDefault="00A428ED" w:rsidP="00A428ED">
      <w:pPr>
        <w:spacing w:after="0" w:line="240" w:lineRule="auto"/>
        <w:ind w:left="1134" w:right="1183"/>
        <w:jc w:val="both"/>
        <w:rPr>
          <w:rFonts w:ascii="Arial" w:eastAsia="Arial Unicode MS" w:hAnsi="Arial" w:cs="Arial"/>
          <w:lang w:eastAsia="es-ES"/>
        </w:rPr>
      </w:pPr>
      <w:r w:rsidRPr="00593A0E">
        <w:rPr>
          <w:rFonts w:ascii="Arial" w:eastAsia="Arial Unicode MS" w:hAnsi="Arial" w:cs="Arial"/>
          <w:b/>
          <w:lang w:eastAsia="es-ES"/>
        </w:rPr>
        <w:t xml:space="preserve">REGLAMENTOS, NO CABE SUPLENCIA DE LA QUEJA EN MATERIA DE. </w:t>
      </w:r>
      <w:r w:rsidRPr="00593A0E">
        <w:rPr>
          <w:rFonts w:ascii="Arial" w:eastAsia="Arial Unicode MS" w:hAnsi="Arial" w:cs="Arial"/>
          <w:lang w:eastAsia="es-ES"/>
        </w:rPr>
        <w:t>Aun cuando una ley y un reglamento tienen de semejanza un carácter abstracto, impersonal, general y coercitivo, sin embargo, el órgano creador de tales ordenamientos es completamente diferente, puesto que la ley emana de un acto legislativo ejecutado por el Poder cuya facultad esencial radica en la expedición de leyes, mientras que el segundo tiene la distinción formal de ser expedido por el Ejecutivo en el ejercicio de una facultad reglamentaria establecida para la mayor eficacia en aplicación y cumplimiento de la ley, por lo que este último no tiene la autoridad formal de aquélla. Así pues, no se está en el caso de suplir la deficiencia de la queja establecida por el artículo 76 de la Ley de Amparo, ni es aplicable, por lo tanto, la tesis 212 del Apéndice al Tomo XCVII del Semanario Judicial de la Federación</w:t>
      </w:r>
      <w:r>
        <w:rPr>
          <w:rStyle w:val="Refdenotaalpie"/>
          <w:rFonts w:ascii="Arial" w:eastAsia="Arial Unicode MS" w:hAnsi="Arial" w:cs="Arial"/>
          <w:lang w:eastAsia="es-ES"/>
        </w:rPr>
        <w:footnoteReference w:id="33"/>
      </w:r>
      <w:r w:rsidRPr="00593A0E">
        <w:rPr>
          <w:rFonts w:ascii="Arial" w:eastAsia="Arial Unicode MS" w:hAnsi="Arial" w:cs="Arial"/>
          <w:lang w:eastAsia="es-ES"/>
        </w:rPr>
        <w:t>.</w:t>
      </w:r>
    </w:p>
    <w:p w14:paraId="6193FFC0" w14:textId="77777777" w:rsidR="00A428ED" w:rsidRDefault="00A428ED" w:rsidP="00A428ED">
      <w:pPr>
        <w:spacing w:after="0" w:line="240" w:lineRule="auto"/>
        <w:ind w:left="1134" w:right="1183"/>
        <w:jc w:val="both"/>
        <w:rPr>
          <w:rFonts w:ascii="Arial" w:eastAsia="Arial Unicode MS" w:hAnsi="Arial" w:cs="Arial"/>
          <w:lang w:eastAsia="es-ES"/>
        </w:rPr>
      </w:pPr>
    </w:p>
    <w:p w14:paraId="05C74D3C" w14:textId="77777777" w:rsidR="00A428ED" w:rsidRDefault="00A428ED" w:rsidP="00A428ED">
      <w:pPr>
        <w:spacing w:after="0" w:line="240" w:lineRule="auto"/>
        <w:ind w:left="1134" w:right="1183"/>
        <w:jc w:val="both"/>
        <w:rPr>
          <w:rFonts w:ascii="Arial" w:eastAsia="Arial Unicode MS" w:hAnsi="Arial" w:cs="Arial"/>
          <w:lang w:eastAsia="es-ES"/>
        </w:rPr>
      </w:pPr>
      <w:r w:rsidRPr="00593A0E">
        <w:rPr>
          <w:rFonts w:ascii="Arial" w:eastAsia="Arial Unicode MS" w:hAnsi="Arial" w:cs="Arial"/>
          <w:b/>
          <w:lang w:eastAsia="es-ES"/>
        </w:rPr>
        <w:t xml:space="preserve">REGLAMENTOS. CESAN DE ESTAR VIGENTES CUANDO ES ABROGADA LA LEY EN QUE SE SUSTENTAN Y CUYOS PRECEPTOS PORMENORIZAN. </w:t>
      </w:r>
      <w:r w:rsidRPr="00593A0E">
        <w:rPr>
          <w:rFonts w:ascii="Arial" w:eastAsia="Arial Unicode MS" w:hAnsi="Arial" w:cs="Arial"/>
          <w:lang w:eastAsia="es-ES"/>
        </w:rPr>
        <w:t xml:space="preserve">Según lo previene el artículo 9o. del Código Civil, la vigencia de una ley no sólo puede cesar en cuanto a una parte de sus disposiciones, si son contrarias a las normas de la nueva ley (derogación), sino también de manera total (abrogación). Ahora bien, el artículo 2o. transitorio de la Ley Federal del Trabajo promulgada el 23 de diciembre de 1969, declara explícitamente que "se abroga" la ley anterior, lo que significa que dejan de regir todos y cada uno de sus preceptos (aun aquellos que no pugnaran en nada con ninguna de las normas que contiene el nuevo ordenamiento, ni con el sistema de éste), y dicha situación trae asimismo aparejada la insubsistencia del Reglamento de Higiene del Trabajo que se expidió sobre la base de la ley del 18 de agosto de 1931. De conformidad con lo que se concluye de las enseñanzas de los tratadistas Gabino Fraga y Felipe Tena Ramírez (y salvo casos excepcionales; por ejemplo, los "reglamentos autónomos", como lo son los denominados gubernativos y de policía), el reglamento supone siempre la preexistencia de una ley cuyas disposiciones desarrolla y pormenoriza. El concepto mismo del reglamento exige por necesidad, como requisito esencial e ineludible, la previa existencia de la ley a que aquél se refiere, y es, por tanto, lógicamente inadmisible pensar en un reglamento que desenvolviera los preceptos de una futura ley. El reglamento tiene su medida, su único fundamento y su sola justificación, en la respectiva ley, a cuyo espíritu y a cuya estructura debe apegarse estrictamente, dado que la única función de aquél consiste en determinar, de manera general y abstracta, los medios que han de emplearse para llevar a la práctica las prescripciones de la ley, desenvolviendo y detallando éstas. Así, se reitera que el reglamento debe apoyarse, específicamente, en una determinada ley, que se haya emitido con anterioridad, y que </w:t>
      </w:r>
      <w:r w:rsidRPr="00593A0E">
        <w:rPr>
          <w:rFonts w:ascii="Arial" w:eastAsia="Arial Unicode MS" w:hAnsi="Arial" w:cs="Arial"/>
          <w:lang w:eastAsia="es-ES"/>
        </w:rPr>
        <w:lastRenderedPageBreak/>
        <w:t>continúe en vigor cuando pretende aplicarse el propio reglamento. Por su parte, otro autor, Alberto Trueba Urbina, ha aclarado que "la abrogación de la Ley Federal del Trabajo de 18 de agosto de 1931 trae consigo, no sólo la derogación de todos sus preceptos y, disposiciones conexas, sino de los reglamentos expedidos en relación con la misma, como son los reglamentos de inspección del trabajo, de higiene del trabajo ... y otros más, que pierden su vigencia a partir del 1o. de mayo de 1970", razón por la cual "se deberán dictar los reglamentos que sean menester", referidos al nuevo ordenamiento legal. En estas condiciones, y puesto que el presidente de la República no ha expedido, con posterioridad al 1o. de mayo de 1970, ninguna disposición por la que decidiera mantener en vigor el Reglamento de Higiene del Trabajo a que se alude, cabe reiterar que es indebida la pretensión de aplicar, en perjuicio de la promovente, el mencionado reglamento.</w:t>
      </w:r>
      <w:r>
        <w:rPr>
          <w:rStyle w:val="Refdenotaalpie"/>
          <w:rFonts w:ascii="Arial" w:eastAsia="Arial Unicode MS" w:hAnsi="Arial" w:cs="Arial"/>
          <w:lang w:eastAsia="es-ES"/>
        </w:rPr>
        <w:footnoteReference w:id="34"/>
      </w:r>
    </w:p>
    <w:p w14:paraId="49EAB12A" w14:textId="77777777" w:rsidR="00A428ED" w:rsidRDefault="00A428ED" w:rsidP="00A428ED">
      <w:pPr>
        <w:spacing w:after="0" w:line="240" w:lineRule="auto"/>
        <w:ind w:left="1134" w:right="1183"/>
        <w:jc w:val="both"/>
        <w:rPr>
          <w:rFonts w:ascii="Arial" w:eastAsia="Arial Unicode MS" w:hAnsi="Arial" w:cs="Arial"/>
          <w:b/>
          <w:lang w:eastAsia="es-ES"/>
        </w:rPr>
      </w:pPr>
    </w:p>
    <w:p w14:paraId="4B9B8534" w14:textId="77777777" w:rsidR="00A428ED" w:rsidRDefault="00A428ED" w:rsidP="00A428ED">
      <w:pPr>
        <w:spacing w:after="0" w:line="240" w:lineRule="auto"/>
        <w:ind w:left="1134" w:right="1183"/>
        <w:jc w:val="both"/>
        <w:rPr>
          <w:rFonts w:ascii="Arial" w:eastAsia="Arial Unicode MS" w:hAnsi="Arial" w:cs="Arial"/>
          <w:lang w:eastAsia="es-ES"/>
        </w:rPr>
      </w:pPr>
      <w:r w:rsidRPr="00593A0E">
        <w:rPr>
          <w:rFonts w:ascii="Arial" w:eastAsia="Arial Unicode MS" w:hAnsi="Arial" w:cs="Arial"/>
          <w:b/>
          <w:lang w:eastAsia="es-ES"/>
        </w:rPr>
        <w:t xml:space="preserve">REGLAMENTOS. CASO EN QUE SIGUEN VIGENTES A PESAR DE QUE SE ABROGUE LA LEY EN QUE SE SUSTENTAN. </w:t>
      </w:r>
      <w:r w:rsidRPr="00593A0E">
        <w:rPr>
          <w:rFonts w:ascii="Arial" w:eastAsia="Arial Unicode MS" w:hAnsi="Arial" w:cs="Arial"/>
          <w:lang w:eastAsia="es-ES"/>
        </w:rPr>
        <w:t>Aun cuando es válido concluir que, por regla general, si una ley es reformada, derogada o abrogada, el reglamento que la detalle, se verá afectado de la misma manera, incluso en el supuesto de que no se hubiese reformado, derogado o abrogado expresamente; sin embargo, cuando en la nueva ley se establezca que los reglamentos de la ley abrogada continuarán vigentes "en lo que no se opongan a la nueva ley", tales disposiciones son válidas conforme con el principio que reza que quien puede lo más puede lo menos, ya que si el legislador está facultado para poner en vigencia nuevas leyes, resultaría incongruente que no pudiera mantener la de los reglamentos.</w:t>
      </w:r>
      <w:r>
        <w:rPr>
          <w:rStyle w:val="Refdenotaalpie"/>
          <w:rFonts w:ascii="Arial" w:eastAsia="Arial Unicode MS" w:hAnsi="Arial" w:cs="Arial"/>
          <w:lang w:eastAsia="es-ES"/>
        </w:rPr>
        <w:footnoteReference w:id="35"/>
      </w:r>
    </w:p>
    <w:p w14:paraId="2851F9C7" w14:textId="77777777" w:rsidR="00A428ED" w:rsidRPr="00593A0E" w:rsidRDefault="00A428ED" w:rsidP="00A428ED">
      <w:pPr>
        <w:spacing w:after="0" w:line="240" w:lineRule="auto"/>
        <w:ind w:left="1134" w:right="1183"/>
        <w:jc w:val="both"/>
        <w:rPr>
          <w:rFonts w:ascii="Arial" w:eastAsia="Arial Unicode MS" w:hAnsi="Arial" w:cs="Arial"/>
          <w:lang w:eastAsia="es-ES"/>
        </w:rPr>
      </w:pPr>
    </w:p>
    <w:p w14:paraId="6BE8119F" w14:textId="77777777" w:rsidR="00A428ED" w:rsidRDefault="00A428ED" w:rsidP="00A428ED">
      <w:pPr>
        <w:spacing w:after="0" w:line="240" w:lineRule="auto"/>
        <w:ind w:left="1134" w:right="1183"/>
        <w:jc w:val="both"/>
        <w:rPr>
          <w:rFonts w:ascii="Arial" w:eastAsia="Arial Unicode MS" w:hAnsi="Arial" w:cs="Arial"/>
          <w:b/>
          <w:szCs w:val="24"/>
          <w:lang w:eastAsia="es-ES"/>
        </w:rPr>
      </w:pPr>
      <w:r w:rsidRPr="000E170E">
        <w:rPr>
          <w:rFonts w:ascii="Arial" w:eastAsia="Arial Unicode MS" w:hAnsi="Arial" w:cs="Arial"/>
          <w:b/>
          <w:szCs w:val="24"/>
          <w:lang w:eastAsia="es-ES"/>
        </w:rPr>
        <w:t>REGLAMENTOS. EL LEGISLADOR ESTA FACULTADO PARA MANTENER TRANSITORIAMENTE SU VIGENCIA, AUN CUANDO LA LEY QUE DETALLABAN HUBIESE SIDO DEROGADA O ABROGADA.</w:t>
      </w:r>
      <w:r>
        <w:rPr>
          <w:rFonts w:ascii="Arial" w:eastAsia="Arial Unicode MS" w:hAnsi="Arial" w:cs="Arial"/>
          <w:b/>
          <w:szCs w:val="24"/>
          <w:lang w:eastAsia="es-ES"/>
        </w:rPr>
        <w:t xml:space="preserve"> </w:t>
      </w:r>
    </w:p>
    <w:p w14:paraId="40F8E1CB" w14:textId="77777777" w:rsidR="00A428ED" w:rsidRDefault="00A428ED" w:rsidP="00A428ED">
      <w:pPr>
        <w:spacing w:after="0" w:line="240" w:lineRule="auto"/>
        <w:ind w:left="1134" w:right="1183"/>
        <w:jc w:val="both"/>
        <w:rPr>
          <w:rFonts w:ascii="Arial" w:eastAsia="Arial Unicode MS" w:hAnsi="Arial" w:cs="Arial"/>
          <w:szCs w:val="24"/>
          <w:lang w:eastAsia="es-ES"/>
        </w:rPr>
      </w:pPr>
      <w:r w:rsidRPr="000F669F">
        <w:rPr>
          <w:rFonts w:ascii="Arial" w:eastAsia="Arial Unicode MS" w:hAnsi="Arial" w:cs="Arial"/>
          <w:b/>
          <w:szCs w:val="24"/>
          <w:lang w:eastAsia="es-ES"/>
        </w:rPr>
        <w:t>Cuando el legislador recupera de manera transitoria la preceptiva reglamentaria de la anterior ley</w:t>
      </w:r>
      <w:r w:rsidRPr="000F669F">
        <w:rPr>
          <w:rFonts w:ascii="Arial" w:eastAsia="Arial Unicode MS" w:hAnsi="Arial" w:cs="Arial"/>
          <w:szCs w:val="24"/>
          <w:lang w:eastAsia="es-ES"/>
        </w:rPr>
        <w:t xml:space="preserve">, </w:t>
      </w:r>
      <w:r w:rsidRPr="00672D8C">
        <w:rPr>
          <w:rFonts w:ascii="Arial" w:eastAsia="Arial Unicode MS" w:hAnsi="Arial" w:cs="Arial"/>
          <w:b/>
          <w:szCs w:val="24"/>
          <w:lang w:eastAsia="es-ES"/>
        </w:rPr>
        <w:t>hasta en tanto se expide el reglamento de la nueva</w:t>
      </w:r>
      <w:r w:rsidRPr="000F669F">
        <w:rPr>
          <w:rFonts w:ascii="Arial" w:eastAsia="Arial Unicode MS" w:hAnsi="Arial" w:cs="Arial"/>
          <w:szCs w:val="24"/>
          <w:lang w:eastAsia="es-ES"/>
        </w:rPr>
        <w:t xml:space="preserve">, </w:t>
      </w:r>
      <w:r w:rsidRPr="00672D8C">
        <w:rPr>
          <w:rFonts w:ascii="Arial" w:eastAsia="Arial Unicode MS" w:hAnsi="Arial" w:cs="Arial"/>
          <w:szCs w:val="24"/>
          <w:lang w:eastAsia="es-ES"/>
        </w:rPr>
        <w:t>actúa dentro de sus facultades y no invade la esfera de atribuciones del Ejecutivo,</w:t>
      </w:r>
      <w:r w:rsidRPr="000F669F">
        <w:rPr>
          <w:rFonts w:ascii="Arial" w:eastAsia="Arial Unicode MS" w:hAnsi="Arial" w:cs="Arial"/>
          <w:szCs w:val="24"/>
          <w:lang w:eastAsia="es-ES"/>
        </w:rPr>
        <w:t xml:space="preserve"> </w:t>
      </w:r>
      <w:r w:rsidRPr="000F669F">
        <w:rPr>
          <w:rFonts w:ascii="Arial" w:eastAsia="Arial Unicode MS" w:hAnsi="Arial" w:cs="Arial"/>
          <w:szCs w:val="24"/>
          <w:u w:val="single"/>
          <w:lang w:eastAsia="es-ES"/>
        </w:rPr>
        <w:t>toda vez que en ese supuesto</w:t>
      </w:r>
      <w:r w:rsidRPr="000F669F">
        <w:rPr>
          <w:rFonts w:ascii="Arial" w:eastAsia="Arial Unicode MS" w:hAnsi="Arial" w:cs="Arial"/>
          <w:szCs w:val="24"/>
          <w:lang w:eastAsia="es-ES"/>
        </w:rPr>
        <w:t xml:space="preserve">, el legislador no ejercita la facultad reglamentaria que es exclusiva del titular del Ejecutivo en términos de lo dispuesto por el artículo 89, fracción I constitucional, sino que </w:t>
      </w:r>
      <w:r w:rsidRPr="000F669F">
        <w:rPr>
          <w:rFonts w:ascii="Arial" w:eastAsia="Arial Unicode MS" w:hAnsi="Arial" w:cs="Arial"/>
          <w:b/>
          <w:szCs w:val="24"/>
          <w:lang w:eastAsia="es-ES"/>
        </w:rPr>
        <w:t>está legislando con el carácter provisional del artículo transitorio</w:t>
      </w:r>
      <w:r w:rsidRPr="000F669F">
        <w:rPr>
          <w:rFonts w:ascii="Arial" w:eastAsia="Arial Unicode MS" w:hAnsi="Arial" w:cs="Arial"/>
          <w:szCs w:val="24"/>
          <w:lang w:eastAsia="es-ES"/>
        </w:rPr>
        <w:t xml:space="preserve">, en el entendido de que </w:t>
      </w:r>
      <w:r w:rsidRPr="00672D8C">
        <w:rPr>
          <w:rFonts w:ascii="Arial" w:eastAsia="Arial Unicode MS" w:hAnsi="Arial" w:cs="Arial"/>
          <w:b/>
          <w:szCs w:val="24"/>
          <w:lang w:eastAsia="es-ES"/>
        </w:rPr>
        <w:t>no existe el impedimento para que el legislador, dentro de la ley, establezca las reglas minuciosas y de detalle que caracterizan a los reglamentos, y que hacen posible la aplicación de aquélla.</w:t>
      </w:r>
      <w:r>
        <w:rPr>
          <w:rStyle w:val="Refdenotaalpie"/>
          <w:rFonts w:ascii="Arial" w:eastAsia="Arial Unicode MS" w:hAnsi="Arial" w:cs="Arial"/>
          <w:szCs w:val="24"/>
          <w:lang w:eastAsia="es-ES"/>
        </w:rPr>
        <w:footnoteReference w:id="36"/>
      </w:r>
    </w:p>
    <w:p w14:paraId="26FB0B47" w14:textId="77777777" w:rsidR="00A428ED" w:rsidRDefault="00A428ED" w:rsidP="00A428ED">
      <w:pPr>
        <w:spacing w:after="0" w:line="240" w:lineRule="auto"/>
        <w:ind w:left="1134" w:right="1183"/>
        <w:jc w:val="right"/>
        <w:rPr>
          <w:rFonts w:ascii="Arial" w:eastAsia="Arial Unicode MS" w:hAnsi="Arial" w:cs="Arial"/>
          <w:b/>
          <w:szCs w:val="24"/>
          <w:lang w:eastAsia="es-ES"/>
        </w:rPr>
      </w:pPr>
      <w:r>
        <w:rPr>
          <w:rFonts w:ascii="Arial" w:eastAsia="Arial Unicode MS" w:hAnsi="Arial" w:cs="Arial"/>
          <w:b/>
          <w:szCs w:val="24"/>
          <w:lang w:eastAsia="es-ES"/>
        </w:rPr>
        <w:t>[Énfasis añadido]</w:t>
      </w:r>
    </w:p>
    <w:p w14:paraId="07EC772A" w14:textId="77777777" w:rsidR="00A428ED" w:rsidRDefault="00A428ED" w:rsidP="00A428ED">
      <w:pPr>
        <w:spacing w:after="0" w:line="240" w:lineRule="auto"/>
        <w:ind w:left="1134" w:right="1183"/>
        <w:jc w:val="right"/>
        <w:rPr>
          <w:rFonts w:ascii="Arial" w:eastAsia="Arial Unicode MS" w:hAnsi="Arial" w:cs="Arial"/>
          <w:b/>
          <w:szCs w:val="24"/>
          <w:lang w:eastAsia="es-ES"/>
        </w:rPr>
      </w:pPr>
    </w:p>
    <w:p w14:paraId="15A44DF8" w14:textId="77777777" w:rsidR="00A428ED" w:rsidRDefault="00A428ED" w:rsidP="00A428ED">
      <w:pPr>
        <w:spacing w:after="0" w:line="240" w:lineRule="auto"/>
        <w:ind w:left="1134" w:right="1183"/>
        <w:jc w:val="right"/>
        <w:rPr>
          <w:rFonts w:ascii="Arial" w:eastAsia="Arial Unicode MS" w:hAnsi="Arial" w:cs="Arial"/>
          <w:szCs w:val="24"/>
          <w:lang w:eastAsia="es-ES"/>
        </w:rPr>
      </w:pPr>
    </w:p>
    <w:p w14:paraId="5B4FD00D" w14:textId="77777777" w:rsidR="00A428ED" w:rsidRPr="00593A0E" w:rsidRDefault="00A428ED" w:rsidP="00A428ED">
      <w:pPr>
        <w:spacing w:after="0" w:line="240" w:lineRule="auto"/>
        <w:ind w:left="1134" w:right="1183"/>
        <w:jc w:val="both"/>
        <w:rPr>
          <w:rFonts w:ascii="Arial" w:eastAsia="Arial Unicode MS" w:hAnsi="Arial" w:cs="Arial"/>
          <w:szCs w:val="24"/>
          <w:lang w:eastAsia="es-ES"/>
        </w:rPr>
      </w:pPr>
      <w:r w:rsidRPr="00593A0E">
        <w:rPr>
          <w:rFonts w:ascii="Arial" w:eastAsia="Arial Unicode MS" w:hAnsi="Arial" w:cs="Arial"/>
          <w:b/>
          <w:szCs w:val="24"/>
          <w:lang w:eastAsia="es-ES"/>
        </w:rPr>
        <w:t>REGLAMENTOS, VALIDEZ Y VIGENCIA DE LOS.</w:t>
      </w:r>
      <w:r w:rsidRPr="00593A0E">
        <w:rPr>
          <w:rFonts w:ascii="Arial" w:eastAsia="Arial Unicode MS" w:hAnsi="Arial" w:cs="Arial"/>
          <w:szCs w:val="24"/>
          <w:lang w:eastAsia="es-ES"/>
        </w:rPr>
        <w:t xml:space="preserve"> La facultad reglamentaria del presidente de la República se ha desprendido tradicionalmente de la fracción I del artículo 89 de la Constitución Federal, que lo faculta para proveer en la esfera administrativa a la observancia de las leyes. Ahora bien, de esto se desprende, a su vez, que esa facultad no le es otorgada por el legislador ordinario, pero también que no puede expedirse un reglamento sin que se refiera a una ley, y se funde precisamente en ella para proveer en forma general y abstracta en lo necesario a la aplicación de dicha ley a los casos concretos que surjan. O sea, que sin ley no puede haber reglamentos, en principio, excepto en aquellos casos en que la propia Constitución Federal autoriza al presidente a usar en forma autónoma su facultad reglamentaria, como lo es, por ejemplo, el caso de los reglamentos gubernativos y de policía a que se refiere el artículo 21 constitucional. Pero fuera de esos casos de excepción, el estimar que el presidente está facultado para dictar disposiciones reglamentarias generales, con características materiales de leyes, aun cuando estos reglamentos no estén precisamente apoyados o dirigidos a reglamentar precisamente una ley que lo sea también en sentido formal, es decir, emanada de Congreso, equivaldría dar facultades legislativas al presidente de la República, en contravención a lo dispuesto por los artículos 49, 73 y relativos y de la mencionada Constitución. Así pues, un reglamento sólo puede tener validez legal cuando está dirigido a proveer a la aplicación de una ley concreta, a cuyos mandamientos deberá ceñirse, por lo demás, sin poderlo suprimir, modificar ni ampliar, en su sustancia. Y, en consecuencia al ser abrogada la ley en que se apoya la validez de un reglamento, éste queda también automáticamente sin materia y, por ende, sin vigencia, pues no podría subsistir un reglamento al abrogarse la ley reglamentada ya que ese reglamento vendría a implicar una facultad legislativa autónoma del presidente de la República, que la Constitución no le da. Por lo demás, si una ley es abrogada, quedan sin vigencia sus reglamentos. Y si se dicta una nueva ley, que es la que abrogó a la anterior, el presidente de la República deberá expedir un nuevo reglamento adecuado a la nueva ley o, si estima que subsiste parcialmente la materia legislativa, por contener la nueva ley disposiciones que en parte resulten iguales a las de la ley anterior abrogada, deberá decretarse en nuevo acto reglamentario a la vigencia del reglamento anterior, en lo que no contradiga a la nueva ley. Por otra parte, esto podría hacerlo el mismo Poder Legislativo, ya que si puede poner en vigencia las leyes, bien puede ordenar que se mantengan vivos los reglamentos anteriores en cuanto no contradigan a la nueva ley (y de hecho, así lo hizo en el artículo 3o. transitorio de la Ley de Seguro Social de 23 de febrero de 1973, que sustituyó a la anterior). Y la conclusión anterior es obligada cuando se trata de imponer cargas a los gobernados, con bases en un reglamento referente a una ley derogada, y no sólo de regular actos de trámite o de procedimiento, ya que éstos de cualquier manera habría de realizarlos, a menos que la ley deje su propia vigencia sujeta a la expedición de nuevos reglamentos. De lo contrario, si </w:t>
      </w:r>
      <w:r w:rsidRPr="00593A0E">
        <w:rPr>
          <w:rFonts w:ascii="Arial" w:eastAsia="Arial Unicode MS" w:hAnsi="Arial" w:cs="Arial"/>
          <w:szCs w:val="24"/>
          <w:lang w:eastAsia="es-ES"/>
        </w:rPr>
        <w:lastRenderedPageBreak/>
        <w:t>se aceptara que se impusieran a los gobernados cargas con bases en reglamentos expedidos para leyes que ya fueron abrogadas, aun cuando en la nueva ley se contengan las disposiciones en partes iguales o semejantes, se estaría violando la seguridad jurídica de los gobernados, y no podría decirse que los actos de aplicación del viejo reglamento, al imponerles cargas o causarle molestias en su persona, posesiones o patrimonio, estuviesen clara y manifiestamente fundados en disposiciones legales reglamentarias vigentes y aplicables, con lo cual se violarían las garantías de debido proceso legal y de fundamentación y motivación, en su aspecto material, que consagran los artículos 14 y 16 constitucionales.</w:t>
      </w:r>
      <w:r>
        <w:rPr>
          <w:rStyle w:val="Refdenotaalpie"/>
          <w:rFonts w:ascii="Arial" w:eastAsia="Arial Unicode MS" w:hAnsi="Arial" w:cs="Arial"/>
          <w:szCs w:val="24"/>
          <w:lang w:eastAsia="es-ES"/>
        </w:rPr>
        <w:footnoteReference w:id="37"/>
      </w:r>
    </w:p>
    <w:p w14:paraId="1FED5BF7" w14:textId="77777777" w:rsidR="00A428ED" w:rsidRPr="000F669F" w:rsidRDefault="00A428ED" w:rsidP="00A428ED">
      <w:pPr>
        <w:spacing w:after="0" w:line="240" w:lineRule="auto"/>
        <w:ind w:left="1134" w:right="1183"/>
        <w:jc w:val="both"/>
        <w:rPr>
          <w:rFonts w:ascii="Arial" w:eastAsia="Arial Unicode MS" w:hAnsi="Arial" w:cs="Arial"/>
          <w:szCs w:val="24"/>
          <w:lang w:eastAsia="es-ES"/>
        </w:rPr>
      </w:pPr>
    </w:p>
    <w:p w14:paraId="6FEDD304" w14:textId="77777777" w:rsidR="00A428ED" w:rsidRDefault="00A428ED" w:rsidP="00A428ED">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Precisado lo anterior, es de resaltar que los Legisladores, al expedir normas o leyes, podrán disponer en los artículos de Transición (Transitorios), que las normas secundarias (aquellas que emanan de la anterior) podrán continuar con vigencia, esto es, que pueden ser ejercibles en tiempo y espacio; lo cual, en un sentido negativo, conduce a que la ausencia de disposición expresa de su vigencia transitoria (hasta en tanto se emiten los cuerpos normativos por parte de las autoridades competentes), resulta en la abrogación de éstas Leyes secundarias.</w:t>
      </w:r>
    </w:p>
    <w:p w14:paraId="11C53AD0" w14:textId="77777777" w:rsidR="00A428ED" w:rsidRDefault="00A428ED" w:rsidP="00A428ED">
      <w:pPr>
        <w:spacing w:after="0" w:line="360" w:lineRule="auto"/>
        <w:ind w:firstLine="708"/>
        <w:jc w:val="both"/>
        <w:rPr>
          <w:rFonts w:ascii="Arial" w:eastAsia="Arial Unicode MS" w:hAnsi="Arial" w:cs="Arial"/>
          <w:sz w:val="24"/>
          <w:szCs w:val="24"/>
          <w:lang w:eastAsia="es-ES"/>
        </w:rPr>
      </w:pPr>
    </w:p>
    <w:p w14:paraId="566E08DD" w14:textId="77777777" w:rsidR="00A428ED" w:rsidRDefault="00A428ED" w:rsidP="00A428ED">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No obstante lo anterior, la Constitución Política de los Estados Unidos Mexicanos, a través del párrafo tercero</w:t>
      </w:r>
      <w:r>
        <w:rPr>
          <w:rStyle w:val="Refdenotaalpie"/>
          <w:rFonts w:ascii="Arial" w:eastAsia="Arial Unicode MS" w:hAnsi="Arial" w:cs="Arial"/>
          <w:sz w:val="24"/>
          <w:szCs w:val="24"/>
          <w:lang w:eastAsia="es-ES"/>
        </w:rPr>
        <w:footnoteReference w:id="38"/>
      </w:r>
      <w:r>
        <w:rPr>
          <w:rFonts w:ascii="Arial" w:eastAsia="Arial Unicode MS" w:hAnsi="Arial" w:cs="Arial"/>
          <w:sz w:val="24"/>
          <w:szCs w:val="24"/>
          <w:lang w:eastAsia="es-ES"/>
        </w:rPr>
        <w:t xml:space="preserve"> de su artículo 1°, establece que todas las Autoridades en el Estado Mexicano, dentro de su ámbito de competencias, con la finalidad de proteger los derechos humanos, deben atender entre otros principios, al de progresividad; mismo que implica el progreso gradual para lograr su plena protección y que se encuentra en estrecha vinculación con la </w:t>
      </w:r>
      <w:r w:rsidRPr="000E170E">
        <w:rPr>
          <w:rFonts w:ascii="Arial" w:eastAsia="Arial Unicode MS" w:hAnsi="Arial" w:cs="Arial"/>
          <w:i/>
          <w:sz w:val="24"/>
          <w:szCs w:val="24"/>
          <w:lang w:eastAsia="es-ES"/>
        </w:rPr>
        <w:t xml:space="preserve">“no regresividad” </w:t>
      </w:r>
      <w:r>
        <w:rPr>
          <w:rFonts w:ascii="Arial" w:eastAsia="Arial Unicode MS" w:hAnsi="Arial" w:cs="Arial"/>
          <w:sz w:val="24"/>
          <w:szCs w:val="24"/>
          <w:lang w:eastAsia="es-ES"/>
        </w:rPr>
        <w:t>en la protección y garantía de los derechos humanos, por la cual, las Autoridades poseen la prohibición de adoptar medidas regresivas en la protección de los derechos humanos (interpretación en sentido negativo del párrafo tercero del artículo 1° Constitucional).</w:t>
      </w:r>
    </w:p>
    <w:p w14:paraId="5656F52E" w14:textId="77777777" w:rsidR="00A428ED" w:rsidRDefault="00A428ED" w:rsidP="00A428ED">
      <w:pPr>
        <w:spacing w:after="0" w:line="360" w:lineRule="auto"/>
        <w:ind w:firstLine="708"/>
        <w:jc w:val="both"/>
        <w:rPr>
          <w:rFonts w:ascii="Arial" w:eastAsia="Arial Unicode MS" w:hAnsi="Arial" w:cs="Arial"/>
          <w:sz w:val="24"/>
          <w:szCs w:val="24"/>
          <w:lang w:eastAsia="es-ES"/>
        </w:rPr>
      </w:pPr>
    </w:p>
    <w:p w14:paraId="6108B8F4" w14:textId="77777777" w:rsidR="00A428ED" w:rsidRDefault="00A428ED" w:rsidP="00A428ED">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Principio el anterior que no es absoluto, pues encuentra excepciones que se justifican conforme a las circunstancias de hecho que derivaron en la regresión </w:t>
      </w:r>
      <w:r>
        <w:rPr>
          <w:rFonts w:ascii="Arial" w:eastAsia="Arial Unicode MS" w:hAnsi="Arial" w:cs="Arial"/>
          <w:sz w:val="24"/>
          <w:szCs w:val="24"/>
          <w:lang w:eastAsia="es-ES"/>
        </w:rPr>
        <w:lastRenderedPageBreak/>
        <w:t>en específico, debiendo acreditar en sus extremos la aplicación de los máximos recursos sin que pudiera satisfacerse a plenitud la tutela del derecho humano; ello sin que, con el comportamiento (activo o pasivo) de las autoridades legislativas y administrativas, se encuentren en posibilidad de causar regresión alguna en la tutela de los derechos humanos</w:t>
      </w:r>
      <w:r>
        <w:rPr>
          <w:rStyle w:val="Refdenotaalpie"/>
          <w:rFonts w:ascii="Arial" w:eastAsia="Arial Unicode MS" w:hAnsi="Arial" w:cs="Arial"/>
          <w:sz w:val="24"/>
          <w:szCs w:val="24"/>
          <w:lang w:eastAsia="es-ES"/>
        </w:rPr>
        <w:footnoteReference w:id="39"/>
      </w:r>
      <w:r>
        <w:rPr>
          <w:rFonts w:ascii="Arial" w:eastAsia="Arial Unicode MS" w:hAnsi="Arial" w:cs="Arial"/>
          <w:sz w:val="24"/>
          <w:szCs w:val="24"/>
          <w:lang w:eastAsia="es-ES"/>
        </w:rPr>
        <w:t xml:space="preserve">. </w:t>
      </w:r>
    </w:p>
    <w:p w14:paraId="26AC6147" w14:textId="77777777" w:rsidR="00A428ED" w:rsidRDefault="00A428ED" w:rsidP="00A428ED">
      <w:pPr>
        <w:spacing w:after="0" w:line="360" w:lineRule="auto"/>
        <w:ind w:firstLine="708"/>
        <w:jc w:val="both"/>
        <w:rPr>
          <w:rFonts w:ascii="Arial" w:eastAsia="Arial Unicode MS" w:hAnsi="Arial" w:cs="Arial"/>
          <w:sz w:val="24"/>
          <w:szCs w:val="24"/>
          <w:lang w:eastAsia="es-ES"/>
        </w:rPr>
      </w:pPr>
    </w:p>
    <w:p w14:paraId="3E1CA534" w14:textId="77777777" w:rsidR="00A428ED" w:rsidRDefault="00A428ED" w:rsidP="00A428ED">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En las relatadas condiciones, es de observar que, si bien la Ley General de Transparencia y Acceso a la Información Pública (publicada el veinte de marzo de dos mil veinticinco en el Diario Oficial de la Federación), contempla la aplicación obligatoria de los Lineamientos específicos emitidos por el Sistema Nacional de Acceso a la Información y que por conducto de sus Transitorios, quedó cesada de validez la Ley General de Transparencia y Acceso a la Información Pública publicada el cuatro de mayo de dos mil quince; y, por ende, de sus normas secundarias.</w:t>
      </w:r>
    </w:p>
    <w:p w14:paraId="6BFA8F82" w14:textId="77777777" w:rsidR="00A428ED" w:rsidRDefault="00A428ED" w:rsidP="00A428ED">
      <w:pPr>
        <w:spacing w:after="0" w:line="360" w:lineRule="auto"/>
        <w:ind w:firstLine="708"/>
        <w:jc w:val="both"/>
        <w:rPr>
          <w:rFonts w:ascii="Arial" w:eastAsia="Arial Unicode MS" w:hAnsi="Arial" w:cs="Arial"/>
          <w:sz w:val="24"/>
          <w:szCs w:val="24"/>
          <w:lang w:eastAsia="es-ES"/>
        </w:rPr>
      </w:pPr>
    </w:p>
    <w:p w14:paraId="06606358" w14:textId="77777777" w:rsidR="00A428ED" w:rsidRDefault="00A428ED" w:rsidP="00A428ED">
      <w:pPr>
        <w:spacing w:after="0" w:line="360" w:lineRule="auto"/>
        <w:ind w:firstLine="709"/>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Lo cierto es que, a la fecha del presente, el Sistema Nacional de Acceso a la Información, ha sido omiso en expedir los Lineamientos en </w:t>
      </w:r>
      <w:r w:rsidRPr="00E437FA">
        <w:rPr>
          <w:rFonts w:ascii="Arial" w:eastAsia="Arial Unicode MS" w:hAnsi="Arial" w:cs="Arial"/>
          <w:sz w:val="24"/>
          <w:szCs w:val="24"/>
          <w:lang w:eastAsia="es-ES"/>
        </w:rPr>
        <w:t>materia de clasificación de la información reservada y confidencial y, para la elaboración de versiones públicas</w:t>
      </w:r>
      <w:r>
        <w:rPr>
          <w:rFonts w:ascii="Arial" w:eastAsia="Arial Unicode MS" w:hAnsi="Arial" w:cs="Arial"/>
          <w:sz w:val="24"/>
          <w:szCs w:val="24"/>
          <w:lang w:eastAsia="es-ES"/>
        </w:rPr>
        <w:t>; lo cual, genera un retroceso en la adecuada tutela del Derecho Humano de Acceso a la Información Pública.</w:t>
      </w:r>
    </w:p>
    <w:p w14:paraId="3ACFD6D9" w14:textId="77777777" w:rsidR="00A428ED" w:rsidRDefault="00A428ED" w:rsidP="00A428ED">
      <w:pPr>
        <w:spacing w:after="0" w:line="360" w:lineRule="auto"/>
        <w:ind w:firstLine="708"/>
        <w:jc w:val="both"/>
        <w:rPr>
          <w:rFonts w:ascii="Arial" w:eastAsia="Arial Unicode MS" w:hAnsi="Arial" w:cs="Arial"/>
          <w:sz w:val="24"/>
          <w:szCs w:val="24"/>
          <w:lang w:eastAsia="es-ES"/>
        </w:rPr>
      </w:pPr>
    </w:p>
    <w:p w14:paraId="52721F4B" w14:textId="77777777" w:rsidR="00A428ED" w:rsidRDefault="00A428ED" w:rsidP="00A428ED">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lastRenderedPageBreak/>
        <w:t>Esto es así pues, como se precisó con antelación, la Clasificación de la Información, resulta en la excepción efectiva en el ejercicio del derecho de acceso a la información pública, obliga a las autoridades a atender todos aquellos elementos que produzcan la menor restricción y que, además, brinden una tutela efectiva y más amplia.</w:t>
      </w:r>
    </w:p>
    <w:p w14:paraId="7F275FA0" w14:textId="77777777" w:rsidR="00A428ED" w:rsidRDefault="00A428ED" w:rsidP="00A428ED">
      <w:pPr>
        <w:spacing w:after="0" w:line="360" w:lineRule="auto"/>
        <w:ind w:firstLine="708"/>
        <w:jc w:val="both"/>
        <w:rPr>
          <w:rFonts w:ascii="Arial" w:eastAsia="Arial Unicode MS" w:hAnsi="Arial" w:cs="Arial"/>
          <w:sz w:val="24"/>
          <w:szCs w:val="24"/>
          <w:lang w:eastAsia="es-ES"/>
        </w:rPr>
      </w:pPr>
    </w:p>
    <w:p w14:paraId="248C8619" w14:textId="77777777" w:rsidR="00A428ED" w:rsidRDefault="00A428ED" w:rsidP="00A428ED">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En ese sentido, los Lineamientos Generales en Materia de Clasificación y Desclasificación de la Información, así como para la Elaboración de Versiones Públicas, publicados en el Diario Oficial de la Federación el 15 quince de abril de 2016 dos mil dieciséis, establecían los criterios que los Sujetos Obligados debían atender, al momento de llevar a cabo la excepción al derecho de acceso a la información; de manera que ahondaba en los extremos que se debían satisfacer, tanto en la formalidad, como en la materialidad de la clasificación de la información. </w:t>
      </w:r>
    </w:p>
    <w:p w14:paraId="3E01220F" w14:textId="77777777" w:rsidR="00A428ED" w:rsidRDefault="00A428ED" w:rsidP="00A428ED">
      <w:pPr>
        <w:spacing w:after="0" w:line="360" w:lineRule="auto"/>
        <w:ind w:firstLine="708"/>
        <w:jc w:val="both"/>
        <w:rPr>
          <w:rFonts w:ascii="Arial" w:eastAsia="Arial Unicode MS" w:hAnsi="Arial" w:cs="Arial"/>
          <w:sz w:val="24"/>
          <w:szCs w:val="24"/>
          <w:lang w:eastAsia="es-ES"/>
        </w:rPr>
      </w:pPr>
    </w:p>
    <w:p w14:paraId="05D7AA73" w14:textId="711EA02D" w:rsidR="00665FCC" w:rsidRDefault="00665FCC" w:rsidP="00665FCC">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En este orden de ideas que se tiene establecido, se precisa que en la causa que nos ocupa, no se efectuó el procedimiento de clasificación conforme el marco legal de la materia, toda vez que, de las constancias que obran en autos, se evidencia que el titular de la unidad de transparencia del obligado, omitió </w:t>
      </w:r>
      <w:r w:rsidRPr="00D06303">
        <w:rPr>
          <w:rFonts w:ascii="Arial" w:eastAsia="Arial Unicode MS" w:hAnsi="Arial" w:cs="Arial"/>
          <w:sz w:val="24"/>
          <w:szCs w:val="24"/>
          <w:lang w:eastAsia="es-ES"/>
        </w:rPr>
        <w:t>en e</w:t>
      </w:r>
      <w:r>
        <w:rPr>
          <w:rFonts w:ascii="Arial" w:eastAsia="Arial Unicode MS" w:hAnsi="Arial" w:cs="Arial"/>
          <w:sz w:val="24"/>
          <w:szCs w:val="24"/>
          <w:lang w:eastAsia="es-ES"/>
        </w:rPr>
        <w:t xml:space="preserve">l momento procesal oportuno </w:t>
      </w:r>
      <w:r w:rsidRPr="00D06303">
        <w:rPr>
          <w:rFonts w:ascii="Arial" w:eastAsia="Arial Unicode MS" w:hAnsi="Arial" w:cs="Arial"/>
          <w:sz w:val="24"/>
          <w:szCs w:val="24"/>
          <w:lang w:eastAsia="es-ES"/>
        </w:rPr>
        <w:t>clasificar la información como confidencial atento lo previsto en el diverso 120</w:t>
      </w:r>
      <w:r w:rsidRPr="00D06303">
        <w:rPr>
          <w:rFonts w:ascii="Arial" w:eastAsia="Arial Unicode MS" w:hAnsi="Arial" w:cs="Arial"/>
          <w:sz w:val="24"/>
          <w:szCs w:val="24"/>
          <w:vertAlign w:val="superscript"/>
          <w:lang w:eastAsia="es-ES"/>
        </w:rPr>
        <w:footnoteReference w:id="40"/>
      </w:r>
      <w:r w:rsidRPr="00D06303">
        <w:rPr>
          <w:rFonts w:ascii="Arial" w:eastAsia="Arial Unicode MS" w:hAnsi="Arial" w:cs="Arial"/>
          <w:sz w:val="24"/>
          <w:szCs w:val="24"/>
          <w:lang w:eastAsia="es-ES"/>
        </w:rPr>
        <w:t xml:space="preserve"> de</w:t>
      </w:r>
      <w:r>
        <w:rPr>
          <w:rFonts w:ascii="Arial" w:eastAsia="Arial Unicode MS" w:hAnsi="Arial" w:cs="Arial"/>
          <w:sz w:val="24"/>
          <w:szCs w:val="24"/>
          <w:lang w:eastAsia="es-ES"/>
        </w:rPr>
        <w:t xml:space="preserve"> la Ley Estatal de la materia,</w:t>
      </w:r>
      <w:r w:rsidRPr="00D06303">
        <w:rPr>
          <w:rFonts w:ascii="Arial" w:eastAsia="Arial Unicode MS" w:hAnsi="Arial" w:cs="Arial"/>
          <w:sz w:val="24"/>
          <w:szCs w:val="24"/>
          <w:lang w:eastAsia="es-ES"/>
        </w:rPr>
        <w:t xml:space="preserve"> puesto que la solicitud de acceso a la información por parte del particular, debe considerarse como un elemento que activa el análisis de la información y su posterior clasificación, puesto que ésta es la que indica cuál es la información que el sujeto obligado deberá analizar y sobre la cual deberá emitir una respuesta. </w:t>
      </w:r>
    </w:p>
    <w:p w14:paraId="51124AA7" w14:textId="77777777" w:rsidR="00665FCC" w:rsidRDefault="00665FCC" w:rsidP="0059752F">
      <w:pPr>
        <w:spacing w:after="0" w:line="360" w:lineRule="auto"/>
        <w:ind w:firstLine="708"/>
        <w:jc w:val="both"/>
        <w:rPr>
          <w:rFonts w:ascii="Arial" w:eastAsia="Arial Unicode MS" w:hAnsi="Arial" w:cs="Arial"/>
          <w:sz w:val="24"/>
          <w:szCs w:val="24"/>
          <w:lang w:eastAsia="es-ES"/>
        </w:rPr>
      </w:pPr>
    </w:p>
    <w:p w14:paraId="3D09D69A" w14:textId="77777777" w:rsidR="0059752F" w:rsidRPr="00311F16" w:rsidRDefault="0059752F" w:rsidP="0059752F">
      <w:pPr>
        <w:spacing w:after="0" w:line="360" w:lineRule="auto"/>
        <w:ind w:firstLine="708"/>
        <w:jc w:val="both"/>
        <w:rPr>
          <w:rFonts w:ascii="Arial" w:eastAsia="Arial Unicode MS" w:hAnsi="Arial" w:cs="Arial"/>
          <w:b/>
          <w:sz w:val="24"/>
          <w:szCs w:val="24"/>
          <w:u w:val="single"/>
          <w:lang w:eastAsia="es-ES"/>
        </w:rPr>
      </w:pPr>
      <w:r>
        <w:rPr>
          <w:rFonts w:ascii="Arial" w:eastAsia="Arial Unicode MS" w:hAnsi="Arial" w:cs="Arial"/>
          <w:sz w:val="24"/>
          <w:szCs w:val="24"/>
          <w:lang w:eastAsia="es-ES"/>
        </w:rPr>
        <w:t>De ahí que, se arriba a la convicción de que el obligado inobservó el proceso de clasificación previsto en el artículo 114</w:t>
      </w:r>
      <w:r>
        <w:rPr>
          <w:rStyle w:val="Refdenotaalpie"/>
          <w:rFonts w:ascii="Arial" w:eastAsia="Arial Unicode MS" w:hAnsi="Arial" w:cs="Arial"/>
          <w:sz w:val="24"/>
          <w:szCs w:val="24"/>
          <w:lang w:eastAsia="es-ES"/>
        </w:rPr>
        <w:footnoteReference w:id="41"/>
      </w:r>
      <w:r w:rsidRPr="00853B00">
        <w:rPr>
          <w:rFonts w:ascii="Arial" w:eastAsia="Arial Unicode MS" w:hAnsi="Arial" w:cs="Arial"/>
          <w:sz w:val="24"/>
          <w:szCs w:val="24"/>
          <w:lang w:eastAsia="es-ES"/>
        </w:rPr>
        <w:t xml:space="preserve"> de la Ley </w:t>
      </w:r>
      <w:r>
        <w:rPr>
          <w:rFonts w:ascii="Arial" w:eastAsia="Arial Unicode MS" w:hAnsi="Arial" w:cs="Arial"/>
          <w:sz w:val="24"/>
          <w:szCs w:val="24"/>
          <w:lang w:eastAsia="es-ES"/>
        </w:rPr>
        <w:t>Local de Transparencia</w:t>
      </w:r>
      <w:r w:rsidRPr="00853B00">
        <w:rPr>
          <w:rFonts w:ascii="Arial" w:eastAsia="Arial Unicode MS" w:hAnsi="Arial" w:cs="Arial"/>
          <w:sz w:val="24"/>
          <w:szCs w:val="24"/>
          <w:lang w:eastAsia="es-ES"/>
        </w:rPr>
        <w:t>,</w:t>
      </w:r>
      <w:r>
        <w:rPr>
          <w:rFonts w:ascii="Arial" w:eastAsia="Arial Unicode MS" w:hAnsi="Arial" w:cs="Arial"/>
          <w:sz w:val="24"/>
          <w:szCs w:val="24"/>
          <w:lang w:eastAsia="es-ES"/>
        </w:rPr>
        <w:t xml:space="preserve"> puesto que el documento solicitado no fue valorado por el titular </w:t>
      </w:r>
      <w:r>
        <w:rPr>
          <w:rFonts w:ascii="Arial" w:eastAsia="Arial Unicode MS" w:hAnsi="Arial" w:cs="Arial"/>
          <w:sz w:val="24"/>
          <w:szCs w:val="24"/>
          <w:lang w:eastAsia="es-ES"/>
        </w:rPr>
        <w:lastRenderedPageBreak/>
        <w:t xml:space="preserve">del área del sujeto obligado que posee la información, </w:t>
      </w:r>
      <w:r w:rsidRPr="00311F16">
        <w:rPr>
          <w:rFonts w:ascii="Arial" w:eastAsia="Arial Unicode MS" w:hAnsi="Arial" w:cs="Arial"/>
          <w:b/>
          <w:sz w:val="24"/>
          <w:szCs w:val="24"/>
          <w:u w:val="single"/>
          <w:lang w:eastAsia="es-ES"/>
        </w:rPr>
        <w:t>remitiendo su solicitud de manera fundamentada y motivada, al Comité de Transparencia del mismo, para que éste analice y de resultar oportuno, apruebe la clasificación de la información con carácter confidencial.</w:t>
      </w:r>
    </w:p>
    <w:p w14:paraId="3D7AB7C6" w14:textId="77777777" w:rsidR="0059752F" w:rsidRDefault="0059752F" w:rsidP="0059752F">
      <w:pPr>
        <w:spacing w:after="0" w:line="360" w:lineRule="auto"/>
        <w:ind w:firstLine="708"/>
        <w:jc w:val="both"/>
        <w:rPr>
          <w:rFonts w:ascii="Arial" w:eastAsia="Arial Unicode MS" w:hAnsi="Arial" w:cs="Arial"/>
          <w:sz w:val="24"/>
          <w:szCs w:val="24"/>
          <w:lang w:eastAsia="es-ES"/>
        </w:rPr>
      </w:pPr>
    </w:p>
    <w:p w14:paraId="27E8FB00" w14:textId="05C1F572" w:rsidR="0059752F" w:rsidRDefault="0059752F" w:rsidP="0059752F">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Conforme lo anterior, se evidencia la inobservancia del precepto legal </w:t>
      </w:r>
      <w:r w:rsidRPr="00BF5D43">
        <w:rPr>
          <w:rFonts w:ascii="Arial" w:eastAsia="Arial Unicode MS" w:hAnsi="Arial" w:cs="Arial"/>
          <w:sz w:val="24"/>
          <w:szCs w:val="24"/>
          <w:lang w:eastAsia="es-ES"/>
        </w:rPr>
        <w:t>159</w:t>
      </w:r>
      <w:r w:rsidRPr="00BF5D43">
        <w:rPr>
          <w:rFonts w:ascii="Arial" w:eastAsia="Arial Unicode MS" w:hAnsi="Arial" w:cs="Arial"/>
          <w:sz w:val="24"/>
          <w:szCs w:val="24"/>
          <w:vertAlign w:val="superscript"/>
          <w:lang w:eastAsia="es-ES"/>
        </w:rPr>
        <w:footnoteReference w:id="42"/>
      </w:r>
      <w:r>
        <w:rPr>
          <w:rFonts w:ascii="Arial" w:eastAsia="Arial Unicode MS" w:hAnsi="Arial" w:cs="Arial"/>
          <w:sz w:val="24"/>
          <w:szCs w:val="24"/>
          <w:lang w:eastAsia="es-ES"/>
        </w:rPr>
        <w:t xml:space="preserve"> de la norma en cita, puesto que al configurarse una negativa al derecho de acceso a la información, el Comité de Transparencia de la autoridad, una vez analizada las circunstancias específicas del caso en concreto, debió emitir la resolución que conforme a derecho corresponda, señalando los motivos o circunstancias especiales que llevaron al Obligado a concluir que en el caso particular </w:t>
      </w:r>
      <w:r w:rsidRPr="0031250F">
        <w:rPr>
          <w:rFonts w:ascii="Arial" w:eastAsia="Arial Unicode MS" w:hAnsi="Arial" w:cs="Arial"/>
          <w:sz w:val="24"/>
          <w:szCs w:val="24"/>
          <w:lang w:eastAsia="es-ES"/>
        </w:rPr>
        <w:t xml:space="preserve">se ajusta al supuesto </w:t>
      </w:r>
      <w:r>
        <w:rPr>
          <w:rFonts w:ascii="Arial" w:eastAsia="Arial Unicode MS" w:hAnsi="Arial" w:cs="Arial"/>
          <w:sz w:val="24"/>
          <w:szCs w:val="24"/>
          <w:lang w:eastAsia="es-ES"/>
        </w:rPr>
        <w:t xml:space="preserve">de confidencialidad </w:t>
      </w:r>
      <w:r w:rsidRPr="0031250F">
        <w:rPr>
          <w:rFonts w:ascii="Arial" w:eastAsia="Arial Unicode MS" w:hAnsi="Arial" w:cs="Arial"/>
          <w:sz w:val="24"/>
          <w:szCs w:val="24"/>
          <w:lang w:eastAsia="es-ES"/>
        </w:rPr>
        <w:t>previsto por la norma legal invocada como fundamento</w:t>
      </w:r>
      <w:r>
        <w:rPr>
          <w:rFonts w:ascii="Arial" w:eastAsia="Arial Unicode MS" w:hAnsi="Arial" w:cs="Arial"/>
          <w:sz w:val="24"/>
          <w:szCs w:val="24"/>
          <w:lang w:eastAsia="es-ES"/>
        </w:rPr>
        <w:t>, en razón de configurarse una excepción al principio de máxima publicidad.</w:t>
      </w:r>
    </w:p>
    <w:p w14:paraId="2FF20133" w14:textId="77777777" w:rsidR="0059752F" w:rsidRDefault="0059752F" w:rsidP="0059752F">
      <w:pPr>
        <w:spacing w:after="0" w:line="360" w:lineRule="auto"/>
        <w:ind w:firstLine="708"/>
        <w:jc w:val="both"/>
        <w:rPr>
          <w:rFonts w:ascii="Arial" w:eastAsia="Arial Unicode MS" w:hAnsi="Arial" w:cs="Arial"/>
          <w:sz w:val="24"/>
          <w:szCs w:val="24"/>
          <w:lang w:eastAsia="es-ES"/>
        </w:rPr>
      </w:pPr>
    </w:p>
    <w:p w14:paraId="7224BEF7" w14:textId="77777777" w:rsidR="0059752F" w:rsidRPr="006D04A1" w:rsidRDefault="0059752F" w:rsidP="0059752F">
      <w:pPr>
        <w:autoSpaceDE w:val="0"/>
        <w:autoSpaceDN w:val="0"/>
        <w:adjustRightInd w:val="0"/>
        <w:spacing w:after="0" w:line="360" w:lineRule="auto"/>
        <w:ind w:firstLine="709"/>
        <w:jc w:val="both"/>
        <w:rPr>
          <w:rFonts w:ascii="Arial" w:eastAsia="Arial Unicode MS" w:hAnsi="Arial" w:cs="Arial"/>
          <w:sz w:val="24"/>
          <w:szCs w:val="24"/>
          <w:lang w:eastAsia="es-ES"/>
        </w:rPr>
      </w:pPr>
      <w:r>
        <w:rPr>
          <w:rFonts w:ascii="Arial" w:hAnsi="Arial" w:cs="Arial"/>
          <w:sz w:val="24"/>
          <w:szCs w:val="24"/>
        </w:rPr>
        <w:t xml:space="preserve">Es por lo antes señalado, que éste Órgano Garante considera menester precisar que si bien </w:t>
      </w:r>
      <w:r w:rsidRPr="006D04A1">
        <w:rPr>
          <w:rFonts w:ascii="Arial" w:hAnsi="Arial" w:cs="Arial"/>
          <w:sz w:val="24"/>
          <w:szCs w:val="24"/>
        </w:rPr>
        <w:t xml:space="preserve">el sujeto obligado, a fin de acreditar la excepción de confidencialidad de la información, emitió argumentos con la intención de relacionarla con datos que conciernen </w:t>
      </w:r>
      <w:r w:rsidRPr="006D04A1">
        <w:rPr>
          <w:rFonts w:ascii="Arial" w:eastAsia="Arial Unicode MS" w:hAnsi="Arial" w:cs="Arial"/>
          <w:sz w:val="24"/>
          <w:szCs w:val="24"/>
          <w:lang w:eastAsia="es-ES"/>
        </w:rPr>
        <w:t>a una persona y ésta, se relaciona con datos personales relacionados con</w:t>
      </w:r>
      <w:r>
        <w:rPr>
          <w:rFonts w:ascii="Arial" w:eastAsia="Arial Unicode MS" w:hAnsi="Arial" w:cs="Arial"/>
          <w:sz w:val="24"/>
          <w:szCs w:val="24"/>
          <w:lang w:eastAsia="es-ES"/>
        </w:rPr>
        <w:t xml:space="preserve"> </w:t>
      </w:r>
      <w:r w:rsidRPr="006D04A1">
        <w:rPr>
          <w:rFonts w:ascii="Arial" w:eastAsia="Arial Unicode MS" w:hAnsi="Arial" w:cs="Arial"/>
          <w:b/>
          <w:sz w:val="24"/>
          <w:szCs w:val="24"/>
          <w:u w:val="single"/>
          <w:lang w:eastAsia="es-ES"/>
        </w:rPr>
        <w:t>la información en posesión de los sujetos obligados que refiera a datos personales</w:t>
      </w:r>
      <w:r w:rsidRPr="006D04A1">
        <w:rPr>
          <w:rFonts w:ascii="Arial" w:eastAsia="Arial Unicode MS" w:hAnsi="Arial" w:cs="Arial"/>
          <w:sz w:val="24"/>
          <w:szCs w:val="24"/>
          <w:lang w:eastAsia="es-ES"/>
        </w:rPr>
        <w:t xml:space="preserve">; </w:t>
      </w:r>
      <w:r>
        <w:rPr>
          <w:rFonts w:ascii="Arial" w:eastAsia="Arial Unicode MS" w:hAnsi="Arial" w:cs="Arial"/>
          <w:sz w:val="24"/>
          <w:szCs w:val="24"/>
          <w:lang w:eastAsia="es-ES"/>
        </w:rPr>
        <w:t>cuya titularidad corresponde</w:t>
      </w:r>
      <w:r w:rsidRPr="006D04A1">
        <w:rPr>
          <w:rFonts w:ascii="Arial" w:eastAsia="Arial Unicode MS" w:hAnsi="Arial" w:cs="Arial"/>
          <w:sz w:val="24"/>
          <w:szCs w:val="24"/>
          <w:lang w:eastAsia="es-ES"/>
        </w:rPr>
        <w:t xml:space="preserve"> a particulares, cuando no involucren el ejercicio de recursos públicos; así como aquella que presenten los particulares a los sujetos obligados siempre que tengan el derecho a entregarla con ese carácter; y toda aquella información susceptible de ser tutelada por los derechos humanos a la privacidad, intimidad, honor y dignidad, que se encuentra en posesión de alguno de los entes obligados y sobre la que no puede realizarse ningún acto o hecho, sin la autorización debida de los titular</w:t>
      </w:r>
      <w:r>
        <w:rPr>
          <w:rFonts w:ascii="Arial" w:eastAsia="Arial Unicode MS" w:hAnsi="Arial" w:cs="Arial"/>
          <w:sz w:val="24"/>
          <w:szCs w:val="24"/>
          <w:lang w:eastAsia="es-ES"/>
        </w:rPr>
        <w:t>es o sus representantes legales.</w:t>
      </w:r>
    </w:p>
    <w:p w14:paraId="06BF07D7" w14:textId="77777777" w:rsidR="0059752F" w:rsidRDefault="0059752F" w:rsidP="0059752F">
      <w:pPr>
        <w:autoSpaceDE w:val="0"/>
        <w:autoSpaceDN w:val="0"/>
        <w:adjustRightInd w:val="0"/>
        <w:spacing w:after="0" w:line="360" w:lineRule="auto"/>
        <w:ind w:firstLine="709"/>
        <w:jc w:val="both"/>
        <w:rPr>
          <w:rFonts w:ascii="Arial" w:eastAsia="Arial Unicode MS" w:hAnsi="Arial" w:cs="Arial"/>
          <w:sz w:val="24"/>
          <w:szCs w:val="24"/>
          <w:u w:val="single"/>
          <w:lang w:eastAsia="es-ES"/>
        </w:rPr>
      </w:pPr>
    </w:p>
    <w:p w14:paraId="699C6B31" w14:textId="77777777" w:rsidR="0059752F" w:rsidRDefault="0059752F" w:rsidP="0059752F">
      <w:pPr>
        <w:autoSpaceDE w:val="0"/>
        <w:autoSpaceDN w:val="0"/>
        <w:adjustRightInd w:val="0"/>
        <w:spacing w:after="0" w:line="360" w:lineRule="auto"/>
        <w:ind w:firstLine="709"/>
        <w:jc w:val="both"/>
        <w:rPr>
          <w:rFonts w:ascii="Arial" w:eastAsia="Arial Unicode MS" w:hAnsi="Arial" w:cs="Arial"/>
          <w:sz w:val="24"/>
          <w:szCs w:val="24"/>
          <w:lang w:eastAsia="es-ES"/>
        </w:rPr>
      </w:pPr>
      <w:r>
        <w:rPr>
          <w:rFonts w:ascii="Arial" w:eastAsia="Arial Unicode MS" w:hAnsi="Arial" w:cs="Arial"/>
          <w:sz w:val="24"/>
          <w:szCs w:val="24"/>
          <w:lang w:eastAsia="es-ES"/>
        </w:rPr>
        <w:lastRenderedPageBreak/>
        <w:t xml:space="preserve">Así, </w:t>
      </w:r>
      <w:r>
        <w:rPr>
          <w:rFonts w:ascii="Arial" w:hAnsi="Arial" w:cs="Arial"/>
          <w:sz w:val="24"/>
          <w:szCs w:val="24"/>
        </w:rPr>
        <w:t xml:space="preserve"> </w:t>
      </w:r>
      <w:r w:rsidRPr="005C7441">
        <w:rPr>
          <w:rFonts w:ascii="Arial" w:hAnsi="Arial" w:cs="Arial"/>
          <w:b/>
          <w:bCs/>
          <w:sz w:val="24"/>
          <w:szCs w:val="24"/>
        </w:rPr>
        <w:t>para acreditar la necesidad de clasificar la información, resultaba preciso que el sujeto obligado</w:t>
      </w:r>
      <w:r>
        <w:rPr>
          <w:rFonts w:ascii="Arial" w:hAnsi="Arial" w:cs="Arial"/>
          <w:b/>
          <w:bCs/>
          <w:sz w:val="24"/>
          <w:szCs w:val="24"/>
        </w:rPr>
        <w:t xml:space="preserve"> realizara el procedimiento de clasificación que refieren los artículos 114, </w:t>
      </w:r>
      <w:r w:rsidRPr="00123ECD">
        <w:rPr>
          <w:rFonts w:ascii="Arial" w:hAnsi="Arial" w:cs="Arial"/>
          <w:b/>
          <w:bCs/>
          <w:sz w:val="24"/>
          <w:szCs w:val="24"/>
        </w:rPr>
        <w:t>119, 120, 123, 128, 138, 142</w:t>
      </w:r>
      <w:r>
        <w:rPr>
          <w:rFonts w:ascii="Arial" w:hAnsi="Arial" w:cs="Arial"/>
          <w:b/>
          <w:bCs/>
          <w:sz w:val="24"/>
          <w:szCs w:val="24"/>
        </w:rPr>
        <w:t>, 153</w:t>
      </w:r>
      <w:r w:rsidRPr="00123ECD">
        <w:rPr>
          <w:rFonts w:ascii="Arial" w:hAnsi="Arial" w:cs="Arial"/>
          <w:b/>
          <w:bCs/>
          <w:sz w:val="24"/>
          <w:szCs w:val="24"/>
        </w:rPr>
        <w:t xml:space="preserve"> y 159 de la Ley de Transparencia y A</w:t>
      </w:r>
      <w:r>
        <w:rPr>
          <w:rFonts w:ascii="Arial" w:hAnsi="Arial" w:cs="Arial"/>
          <w:b/>
          <w:bCs/>
          <w:sz w:val="24"/>
          <w:szCs w:val="24"/>
        </w:rPr>
        <w:t xml:space="preserve">cceso a la Información Pública, así como las disposiciones contenidas en </w:t>
      </w:r>
      <w:r w:rsidRPr="00123ECD">
        <w:rPr>
          <w:rFonts w:ascii="Arial" w:hAnsi="Arial" w:cs="Arial"/>
          <w:b/>
          <w:bCs/>
          <w:sz w:val="24"/>
          <w:szCs w:val="24"/>
        </w:rPr>
        <w:t xml:space="preserve">los </w:t>
      </w:r>
      <w:r w:rsidRPr="00123ECD">
        <w:rPr>
          <w:rFonts w:ascii="Arial" w:hAnsi="Arial" w:cs="Arial"/>
          <w:b/>
          <w:bCs/>
          <w:sz w:val="24"/>
          <w:szCs w:val="24"/>
          <w:lang w:val="es-ES_tradnl"/>
        </w:rPr>
        <w:t xml:space="preserve">Lineamientos Generales en Materia de Clasificación y Desclasificación de la Información, así como para la Elaboración de Versiones Públicas, a través de la justificación </w:t>
      </w:r>
      <w:r w:rsidRPr="00123ECD">
        <w:rPr>
          <w:rFonts w:ascii="Arial" w:hAnsi="Arial" w:cs="Arial"/>
          <w:b/>
          <w:bCs/>
          <w:sz w:val="24"/>
          <w:szCs w:val="24"/>
        </w:rPr>
        <w:t>de manera fundada y motivada, la negativa de acceso a la información concedida en la respuest</w:t>
      </w:r>
      <w:r>
        <w:rPr>
          <w:rFonts w:ascii="Arial" w:hAnsi="Arial" w:cs="Arial"/>
          <w:b/>
          <w:bCs/>
          <w:sz w:val="24"/>
          <w:szCs w:val="24"/>
        </w:rPr>
        <w:t xml:space="preserve">a que por este medio se impugna, </w:t>
      </w:r>
      <w:r w:rsidRPr="00E74D74">
        <w:rPr>
          <w:rFonts w:ascii="Arial" w:hAnsi="Arial" w:cs="Arial"/>
          <w:bCs/>
          <w:sz w:val="24"/>
          <w:szCs w:val="24"/>
        </w:rPr>
        <w:t xml:space="preserve">por lo que </w:t>
      </w:r>
      <w:r w:rsidRPr="00E74D74">
        <w:rPr>
          <w:rFonts w:ascii="Arial" w:eastAsia="Arial Unicode MS" w:hAnsi="Arial" w:cs="Arial"/>
          <w:sz w:val="24"/>
          <w:szCs w:val="24"/>
          <w:lang w:eastAsia="es-ES"/>
        </w:rPr>
        <w:t xml:space="preserve">por lo que se concluye que </w:t>
      </w:r>
      <w:r w:rsidRPr="00E74D74">
        <w:rPr>
          <w:rFonts w:ascii="Arial" w:eastAsia="Arial Unicode MS" w:hAnsi="Arial" w:cs="Arial"/>
          <w:b/>
          <w:sz w:val="24"/>
          <w:szCs w:val="24"/>
          <w:u w:val="single"/>
          <w:lang w:eastAsia="es-ES"/>
        </w:rPr>
        <w:t>la clasificación de la información no fue llevada conforme al derecho positivo vigente que regula las limitantes y/o restricciones del derecho de acceso a la información pública</w:t>
      </w:r>
      <w:r>
        <w:rPr>
          <w:rFonts w:ascii="Arial" w:eastAsia="Arial Unicode MS" w:hAnsi="Arial" w:cs="Arial"/>
          <w:b/>
          <w:sz w:val="24"/>
          <w:szCs w:val="24"/>
          <w:u w:val="single"/>
          <w:lang w:eastAsia="es-ES"/>
        </w:rPr>
        <w:t xml:space="preserve"> en su carácter de confidencial</w:t>
      </w:r>
      <w:r w:rsidRPr="00E74D74">
        <w:rPr>
          <w:rFonts w:ascii="Arial" w:eastAsia="Arial Unicode MS" w:hAnsi="Arial" w:cs="Arial"/>
          <w:b/>
          <w:sz w:val="24"/>
          <w:szCs w:val="24"/>
          <w:u w:val="single"/>
          <w:lang w:eastAsia="es-ES"/>
        </w:rPr>
        <w:t>.</w:t>
      </w:r>
      <w:r>
        <w:rPr>
          <w:rFonts w:ascii="Arial" w:eastAsia="Arial Unicode MS" w:hAnsi="Arial" w:cs="Arial"/>
          <w:sz w:val="24"/>
          <w:szCs w:val="24"/>
          <w:lang w:eastAsia="es-ES"/>
        </w:rPr>
        <w:t xml:space="preserve"> </w:t>
      </w:r>
    </w:p>
    <w:p w14:paraId="30C91776" w14:textId="77777777" w:rsidR="0059752F" w:rsidRDefault="0059752F" w:rsidP="0059752F">
      <w:pPr>
        <w:spacing w:after="0" w:line="360" w:lineRule="auto"/>
        <w:ind w:right="-93" w:firstLine="708"/>
        <w:jc w:val="both"/>
        <w:rPr>
          <w:rFonts w:ascii="Arial" w:eastAsia="Arial Unicode MS" w:hAnsi="Arial" w:cs="Arial"/>
          <w:sz w:val="24"/>
          <w:szCs w:val="24"/>
          <w:lang w:eastAsia="es-ES"/>
        </w:rPr>
      </w:pPr>
    </w:p>
    <w:p w14:paraId="73645C65" w14:textId="074EE9A8" w:rsidR="003D22C9" w:rsidRPr="00FA63F8" w:rsidRDefault="003D22C9" w:rsidP="003D22C9">
      <w:pPr>
        <w:autoSpaceDE w:val="0"/>
        <w:autoSpaceDN w:val="0"/>
        <w:adjustRightInd w:val="0"/>
        <w:spacing w:after="0" w:line="360" w:lineRule="auto"/>
        <w:ind w:right="49" w:firstLine="709"/>
        <w:jc w:val="both"/>
        <w:rPr>
          <w:rFonts w:ascii="Arial" w:hAnsi="Arial" w:cs="Arial"/>
          <w:b/>
          <w:sz w:val="24"/>
          <w:szCs w:val="24"/>
          <w:u w:val="single"/>
        </w:rPr>
      </w:pPr>
      <w:r w:rsidRPr="003D22C9">
        <w:rPr>
          <w:rFonts w:ascii="Arial" w:hAnsi="Arial" w:cs="Arial"/>
          <w:sz w:val="24"/>
          <w:szCs w:val="24"/>
        </w:rPr>
        <w:t xml:space="preserve">Por lo antes vertido, resulta dable determinar que el sujeto obligado </w:t>
      </w:r>
      <w:r w:rsidRPr="003D22C9">
        <w:rPr>
          <w:rFonts w:ascii="Arial" w:hAnsi="Arial" w:cs="Arial"/>
          <w:b/>
          <w:sz w:val="24"/>
          <w:szCs w:val="24"/>
          <w:u w:val="single"/>
        </w:rPr>
        <w:t>no satisfizo los elementos y requisitos para acreditar la procedencia de la clasificación de la información,</w:t>
      </w:r>
      <w:r w:rsidRPr="003D22C9">
        <w:rPr>
          <w:rFonts w:ascii="Arial" w:hAnsi="Arial" w:cs="Arial"/>
          <w:sz w:val="24"/>
          <w:szCs w:val="24"/>
        </w:rPr>
        <w:t xml:space="preserve"> en tanto que </w:t>
      </w:r>
      <w:r w:rsidRPr="00F75BF0">
        <w:rPr>
          <w:rFonts w:ascii="Arial" w:hAnsi="Arial" w:cs="Arial"/>
          <w:b/>
          <w:bCs/>
          <w:sz w:val="24"/>
          <w:szCs w:val="24"/>
          <w:u w:val="single"/>
        </w:rPr>
        <w:t xml:space="preserve">se hizo visible la omisión de proceder conforme lo previsto </w:t>
      </w:r>
      <w:r w:rsidR="00F75BF0" w:rsidRPr="00F75BF0">
        <w:rPr>
          <w:rFonts w:ascii="Arial" w:hAnsi="Arial" w:cs="Arial"/>
          <w:b/>
          <w:bCs/>
          <w:sz w:val="24"/>
          <w:szCs w:val="24"/>
          <w:u w:val="single"/>
        </w:rPr>
        <w:t xml:space="preserve">en la normatividad referida en párrafos que anteceden, </w:t>
      </w:r>
      <w:r w:rsidRPr="00F75BF0">
        <w:rPr>
          <w:rFonts w:ascii="Arial" w:hAnsi="Arial" w:cs="Arial"/>
          <w:b/>
          <w:bCs/>
          <w:sz w:val="24"/>
          <w:szCs w:val="24"/>
          <w:u w:val="single"/>
        </w:rPr>
        <w:t>incumpliendo los elementos de</w:t>
      </w:r>
      <w:r w:rsidR="00F75BF0" w:rsidRPr="00F75BF0">
        <w:rPr>
          <w:rFonts w:ascii="Arial" w:hAnsi="Arial" w:cs="Arial"/>
          <w:b/>
          <w:bCs/>
          <w:sz w:val="24"/>
          <w:szCs w:val="24"/>
          <w:u w:val="single"/>
        </w:rPr>
        <w:t xml:space="preserve"> </w:t>
      </w:r>
      <w:r w:rsidR="00F75BF0" w:rsidRPr="00FA63F8">
        <w:rPr>
          <w:rFonts w:ascii="Arial" w:hAnsi="Arial" w:cs="Arial"/>
          <w:b/>
          <w:bCs/>
          <w:sz w:val="24"/>
          <w:szCs w:val="24"/>
          <w:u w:val="single"/>
        </w:rPr>
        <w:t>la</w:t>
      </w:r>
      <w:r w:rsidRPr="00FA63F8">
        <w:rPr>
          <w:rFonts w:ascii="Arial" w:hAnsi="Arial" w:cs="Arial"/>
          <w:b/>
          <w:bCs/>
          <w:sz w:val="24"/>
          <w:szCs w:val="24"/>
          <w:u w:val="single"/>
        </w:rPr>
        <w:t xml:space="preserve"> </w:t>
      </w:r>
      <w:r w:rsidR="00F75BF0" w:rsidRPr="00FA63F8">
        <w:rPr>
          <w:rFonts w:ascii="Arial" w:hAnsi="Arial" w:cs="Arial"/>
          <w:b/>
          <w:bCs/>
          <w:sz w:val="24"/>
          <w:szCs w:val="24"/>
          <w:u w:val="single"/>
        </w:rPr>
        <w:t>adecuada f</w:t>
      </w:r>
      <w:r w:rsidRPr="00FA63F8">
        <w:rPr>
          <w:rFonts w:ascii="Arial" w:hAnsi="Arial" w:cs="Arial"/>
          <w:b/>
          <w:bCs/>
          <w:sz w:val="24"/>
          <w:szCs w:val="24"/>
          <w:u w:val="single"/>
        </w:rPr>
        <w:t>undamentación y motivación de los actos administrativos; ello toda vez que, al actualizarse una excepción al derecho de acceso a la información, se debió acreditar en sus extremos, la procedencia de la confidencialidad respecto de la documentación del aquí recurrente, a través de su justificación con el discurso lógico correspondiente</w:t>
      </w:r>
      <w:r w:rsidRPr="00FA63F8">
        <w:rPr>
          <w:rFonts w:ascii="Arial" w:hAnsi="Arial" w:cs="Arial"/>
          <w:b/>
          <w:sz w:val="24"/>
          <w:szCs w:val="24"/>
          <w:u w:val="single"/>
        </w:rPr>
        <w:t>.</w:t>
      </w:r>
    </w:p>
    <w:p w14:paraId="7966794A" w14:textId="77777777" w:rsidR="00F75BF0" w:rsidRPr="003D22C9" w:rsidRDefault="00F75BF0" w:rsidP="003D22C9">
      <w:pPr>
        <w:autoSpaceDE w:val="0"/>
        <w:autoSpaceDN w:val="0"/>
        <w:adjustRightInd w:val="0"/>
        <w:spacing w:after="0" w:line="360" w:lineRule="auto"/>
        <w:ind w:right="49" w:firstLine="709"/>
        <w:jc w:val="both"/>
        <w:rPr>
          <w:rFonts w:ascii="Arial" w:hAnsi="Arial" w:cs="Arial"/>
          <w:sz w:val="24"/>
          <w:szCs w:val="24"/>
        </w:rPr>
      </w:pPr>
    </w:p>
    <w:p w14:paraId="77FAAFA0" w14:textId="7550E794" w:rsidR="003D22C9" w:rsidRDefault="003D22C9" w:rsidP="003D22C9">
      <w:pPr>
        <w:autoSpaceDE w:val="0"/>
        <w:autoSpaceDN w:val="0"/>
        <w:adjustRightInd w:val="0"/>
        <w:spacing w:after="0" w:line="360" w:lineRule="auto"/>
        <w:ind w:right="49" w:firstLine="709"/>
        <w:jc w:val="both"/>
        <w:rPr>
          <w:rFonts w:ascii="Arial" w:hAnsi="Arial" w:cs="Arial"/>
          <w:sz w:val="24"/>
          <w:szCs w:val="24"/>
        </w:rPr>
      </w:pPr>
      <w:r w:rsidRPr="003D22C9">
        <w:rPr>
          <w:rFonts w:ascii="Arial" w:hAnsi="Arial" w:cs="Arial"/>
          <w:sz w:val="24"/>
          <w:szCs w:val="24"/>
        </w:rPr>
        <w:t>Ello pues, la clasificación de la información, como elemento restrictivo del ejercicio de acceso a la información pública, debe aplicarse de manera precisa, sin causar una lesividad a los particulares que ejercitan su derecho de acceso a la información pública.</w:t>
      </w:r>
    </w:p>
    <w:p w14:paraId="3BD1129A" w14:textId="30FFC379" w:rsidR="00FB22A7" w:rsidRDefault="00FB22A7" w:rsidP="003D22C9">
      <w:pPr>
        <w:autoSpaceDE w:val="0"/>
        <w:autoSpaceDN w:val="0"/>
        <w:adjustRightInd w:val="0"/>
        <w:spacing w:after="0" w:line="360" w:lineRule="auto"/>
        <w:ind w:right="49" w:firstLine="709"/>
        <w:jc w:val="both"/>
        <w:rPr>
          <w:rFonts w:ascii="Arial" w:hAnsi="Arial" w:cs="Arial"/>
          <w:sz w:val="24"/>
          <w:szCs w:val="24"/>
        </w:rPr>
      </w:pPr>
    </w:p>
    <w:p w14:paraId="61FFA519" w14:textId="344B5335" w:rsidR="00FB22A7" w:rsidRDefault="00FB22A7" w:rsidP="00FB22A7">
      <w:pPr>
        <w:spacing w:after="0" w:line="360" w:lineRule="auto"/>
        <w:ind w:firstLine="709"/>
        <w:jc w:val="both"/>
        <w:rPr>
          <w:rFonts w:ascii="Arial" w:hAnsi="Arial" w:cs="Arial"/>
          <w:sz w:val="24"/>
          <w:szCs w:val="24"/>
        </w:rPr>
      </w:pPr>
      <w:r>
        <w:rPr>
          <w:rFonts w:ascii="Arial" w:eastAsia="Arial Unicode MS" w:hAnsi="Arial" w:cs="Arial"/>
          <w:sz w:val="24"/>
          <w:szCs w:val="24"/>
          <w:lang w:eastAsia="es-ES"/>
        </w:rPr>
        <w:t xml:space="preserve">Ahora bien, </w:t>
      </w:r>
      <w:r w:rsidRPr="00DE64BD">
        <w:rPr>
          <w:rFonts w:ascii="Arial" w:hAnsi="Arial" w:cs="Arial"/>
          <w:sz w:val="24"/>
          <w:szCs w:val="24"/>
        </w:rPr>
        <w:t>este Organismo autónomo</w:t>
      </w:r>
      <w:r w:rsidRPr="00DE64BD">
        <w:rPr>
          <w:rStyle w:val="Refdenotaalpie"/>
          <w:rFonts w:ascii="Arial" w:hAnsi="Arial" w:cs="Arial"/>
          <w:sz w:val="24"/>
          <w:szCs w:val="24"/>
        </w:rPr>
        <w:footnoteReference w:id="43"/>
      </w:r>
      <w:r w:rsidRPr="00DE64BD">
        <w:rPr>
          <w:rFonts w:ascii="Arial" w:hAnsi="Arial" w:cs="Arial"/>
          <w:sz w:val="24"/>
          <w:szCs w:val="24"/>
        </w:rPr>
        <w:t xml:space="preserve"> responsable de los procedimientos de revisión en materia de acceso a la información</w:t>
      </w:r>
      <w:r w:rsidRPr="00DE64BD">
        <w:rPr>
          <w:rStyle w:val="Refdenotaalpie"/>
          <w:rFonts w:ascii="Arial" w:hAnsi="Arial" w:cs="Arial"/>
          <w:sz w:val="24"/>
          <w:szCs w:val="24"/>
        </w:rPr>
        <w:footnoteReference w:id="44"/>
      </w:r>
      <w:r w:rsidRPr="00DE64BD">
        <w:rPr>
          <w:rFonts w:ascii="Arial" w:hAnsi="Arial" w:cs="Arial"/>
          <w:sz w:val="24"/>
          <w:szCs w:val="24"/>
        </w:rPr>
        <w:t xml:space="preserve"> al regirse por </w:t>
      </w:r>
      <w:r w:rsidRPr="00DE64BD">
        <w:rPr>
          <w:rFonts w:ascii="Arial" w:hAnsi="Arial" w:cs="Arial"/>
          <w:sz w:val="24"/>
          <w:szCs w:val="24"/>
        </w:rPr>
        <w:lastRenderedPageBreak/>
        <w:t>el principio de expeditez, conforme al artículo 6o., apartado A, fracción IV, de la Constitución Política de los Estados Unidos Mexicanos, mientras que el derecho fundamental de acceso a la justicia, tutelado por el artículo 17 de la Norma Fundamental, compele a los órganos jurisdiccionales para que, en sus interpretaciones, remuevan o superen los obstáculos o restricciones, innecesarias o irracionales, para obtener un pronunciamiento en torno a las pretensiones de las personas, lo cual es acorde con el criterio emitido por la Corte Interamericana de Derechos Humanos al interpretar el artículo 25 de la Convención Americana sobre Derechos Humanos en la sentencia de 28 de noviembre de 2002, del caso Cantos vs. Argentina (fondo, reparaciones y costas), párrafo 52</w:t>
      </w:r>
      <w:r w:rsidRPr="00DE64BD">
        <w:rPr>
          <w:rStyle w:val="Refdenotaalpie"/>
          <w:rFonts w:ascii="Arial" w:hAnsi="Arial" w:cs="Arial"/>
          <w:sz w:val="24"/>
          <w:szCs w:val="24"/>
        </w:rPr>
        <w:footnoteReference w:id="45"/>
      </w:r>
      <w:r w:rsidRPr="00DE64BD">
        <w:rPr>
          <w:rFonts w:ascii="Arial" w:hAnsi="Arial" w:cs="Arial"/>
          <w:sz w:val="24"/>
          <w:szCs w:val="24"/>
        </w:rPr>
        <w:t xml:space="preserve">. </w:t>
      </w:r>
    </w:p>
    <w:p w14:paraId="276D9FF4" w14:textId="77777777" w:rsidR="00FB22A7" w:rsidRDefault="00FB22A7" w:rsidP="00FB22A7">
      <w:pPr>
        <w:spacing w:after="0" w:line="360" w:lineRule="auto"/>
        <w:ind w:firstLine="709"/>
        <w:jc w:val="both"/>
        <w:rPr>
          <w:rFonts w:ascii="Arial" w:hAnsi="Arial" w:cs="Arial"/>
          <w:sz w:val="24"/>
          <w:szCs w:val="24"/>
        </w:rPr>
      </w:pPr>
    </w:p>
    <w:p w14:paraId="339E0E63" w14:textId="77777777" w:rsidR="00FB22A7" w:rsidRDefault="00FB22A7" w:rsidP="00FB22A7">
      <w:pPr>
        <w:spacing w:after="0" w:line="360" w:lineRule="auto"/>
        <w:ind w:firstLine="709"/>
        <w:jc w:val="both"/>
        <w:rPr>
          <w:rFonts w:ascii="Arial" w:hAnsi="Arial" w:cs="Arial"/>
          <w:sz w:val="24"/>
          <w:szCs w:val="24"/>
        </w:rPr>
      </w:pPr>
      <w:r w:rsidRPr="00DE64BD">
        <w:rPr>
          <w:rFonts w:ascii="Arial" w:hAnsi="Arial" w:cs="Arial"/>
          <w:sz w:val="24"/>
          <w:szCs w:val="24"/>
        </w:rPr>
        <w:t xml:space="preserve">Con apoyo en ese marco jurídico, en los casos en que, ante una solicitud de información, el Sujeto Obligado </w:t>
      </w:r>
      <w:r>
        <w:rPr>
          <w:rFonts w:ascii="Arial" w:hAnsi="Arial" w:cs="Arial"/>
          <w:sz w:val="24"/>
          <w:szCs w:val="24"/>
        </w:rPr>
        <w:t>hace manifiesta la excepción en el ejercicio del derecho de acceso a la información</w:t>
      </w:r>
      <w:r w:rsidRPr="00DE64BD">
        <w:rPr>
          <w:rFonts w:ascii="Arial" w:hAnsi="Arial" w:cs="Arial"/>
          <w:sz w:val="24"/>
          <w:szCs w:val="24"/>
        </w:rPr>
        <w:t xml:space="preserve">, el particular puede impugnar la </w:t>
      </w:r>
      <w:r>
        <w:rPr>
          <w:rFonts w:ascii="Arial" w:hAnsi="Arial" w:cs="Arial"/>
          <w:sz w:val="24"/>
          <w:szCs w:val="24"/>
        </w:rPr>
        <w:t>clasificación de la información</w:t>
      </w:r>
      <w:r w:rsidRPr="00DE64BD">
        <w:rPr>
          <w:rFonts w:ascii="Arial" w:hAnsi="Arial" w:cs="Arial"/>
          <w:sz w:val="24"/>
          <w:szCs w:val="24"/>
        </w:rPr>
        <w:t>, acudiendo al procedimiento de inconformidad</w:t>
      </w:r>
      <w:r w:rsidRPr="00DE64BD">
        <w:rPr>
          <w:rStyle w:val="Refdenotaalpie"/>
          <w:rFonts w:ascii="Arial" w:hAnsi="Arial" w:cs="Arial"/>
          <w:sz w:val="24"/>
          <w:szCs w:val="24"/>
        </w:rPr>
        <w:footnoteReference w:id="46"/>
      </w:r>
      <w:r w:rsidRPr="00DE64BD">
        <w:rPr>
          <w:rFonts w:ascii="Arial" w:hAnsi="Arial" w:cs="Arial"/>
          <w:sz w:val="24"/>
          <w:szCs w:val="24"/>
        </w:rPr>
        <w:t xml:space="preserve"> b</w:t>
      </w:r>
      <w:r>
        <w:rPr>
          <w:rFonts w:ascii="Arial" w:hAnsi="Arial" w:cs="Arial"/>
          <w:sz w:val="24"/>
          <w:szCs w:val="24"/>
        </w:rPr>
        <w:t xml:space="preserve">ajo el supuesto de la fracción </w:t>
      </w:r>
      <w:r w:rsidRPr="00DE64BD">
        <w:rPr>
          <w:rFonts w:ascii="Arial" w:hAnsi="Arial" w:cs="Arial"/>
          <w:sz w:val="24"/>
          <w:szCs w:val="24"/>
        </w:rPr>
        <w:t>I</w:t>
      </w:r>
      <w:r w:rsidRPr="00DE64BD">
        <w:rPr>
          <w:rStyle w:val="Refdenotaalpie"/>
          <w:rFonts w:ascii="Arial" w:hAnsi="Arial" w:cs="Arial"/>
          <w:sz w:val="24"/>
          <w:szCs w:val="24"/>
        </w:rPr>
        <w:footnoteReference w:id="47"/>
      </w:r>
      <w:r w:rsidRPr="00DE64BD">
        <w:rPr>
          <w:rFonts w:ascii="Arial" w:hAnsi="Arial" w:cs="Arial"/>
          <w:sz w:val="24"/>
          <w:szCs w:val="24"/>
        </w:rPr>
        <w:t xml:space="preserve"> del artículo 167</w:t>
      </w:r>
      <w:r w:rsidRPr="00DE64BD">
        <w:rPr>
          <w:rStyle w:val="Refdenotaalpie"/>
          <w:rFonts w:ascii="Arial" w:hAnsi="Arial" w:cs="Arial"/>
          <w:sz w:val="24"/>
          <w:szCs w:val="24"/>
        </w:rPr>
        <w:footnoteReference w:id="48"/>
      </w:r>
      <w:r w:rsidRPr="00DE64BD">
        <w:rPr>
          <w:rFonts w:ascii="Arial" w:hAnsi="Arial" w:cs="Arial"/>
          <w:sz w:val="24"/>
          <w:szCs w:val="24"/>
        </w:rPr>
        <w:t xml:space="preserve"> de la Ley de Transparencia y Acceso a la Información Pública del Estado.</w:t>
      </w:r>
    </w:p>
    <w:p w14:paraId="519AAF06" w14:textId="77777777" w:rsidR="00FB22A7" w:rsidRPr="00DE64BD" w:rsidRDefault="00FB22A7" w:rsidP="00FB22A7">
      <w:pPr>
        <w:spacing w:after="0" w:line="360" w:lineRule="auto"/>
        <w:ind w:firstLine="709"/>
        <w:jc w:val="both"/>
        <w:rPr>
          <w:rFonts w:ascii="Arial" w:hAnsi="Arial" w:cs="Arial"/>
          <w:sz w:val="24"/>
          <w:szCs w:val="24"/>
        </w:rPr>
      </w:pPr>
    </w:p>
    <w:p w14:paraId="6CB361DE" w14:textId="3BE29C4E" w:rsidR="00FB22A7" w:rsidRPr="0057009D" w:rsidRDefault="00FB22A7" w:rsidP="00FB22A7">
      <w:pPr>
        <w:spacing w:after="0" w:line="360" w:lineRule="auto"/>
        <w:ind w:firstLine="709"/>
        <w:jc w:val="both"/>
        <w:rPr>
          <w:rFonts w:ascii="Arial" w:eastAsia="Arial Unicode MS" w:hAnsi="Arial" w:cs="Arial"/>
          <w:b/>
          <w:sz w:val="24"/>
          <w:szCs w:val="24"/>
          <w:lang w:eastAsia="es-ES"/>
        </w:rPr>
      </w:pPr>
      <w:r w:rsidRPr="00DE64BD">
        <w:rPr>
          <w:rFonts w:ascii="Arial" w:hAnsi="Arial" w:cs="Arial"/>
          <w:sz w:val="24"/>
          <w:szCs w:val="24"/>
        </w:rPr>
        <w:t>Es de recordar que e</w:t>
      </w:r>
      <w:r w:rsidRPr="00DE64BD">
        <w:rPr>
          <w:rFonts w:ascii="Arial" w:hAnsi="Arial" w:cs="Arial"/>
          <w:sz w:val="24"/>
          <w:szCs w:val="24"/>
          <w:lang w:val="es-ES_tradnl"/>
        </w:rPr>
        <w:t>l recurso de revisión nace como un medio de impugnación efectivo, sencillo y rápido, para remediar o impedir prácticas que limitan el ejercicio efectivo del derecho de acceso a la información</w:t>
      </w:r>
      <w:r w:rsidR="00761056">
        <w:rPr>
          <w:rFonts w:ascii="Arial" w:hAnsi="Arial" w:cs="Arial"/>
          <w:sz w:val="24"/>
          <w:szCs w:val="24"/>
          <w:lang w:val="es-ES_tradnl"/>
        </w:rPr>
        <w:t>, por lo que</w:t>
      </w:r>
      <w:r w:rsidR="00761056">
        <w:rPr>
          <w:rFonts w:ascii="Arial" w:eastAsia="Arial Unicode MS" w:hAnsi="Arial" w:cs="Arial"/>
          <w:sz w:val="24"/>
          <w:szCs w:val="24"/>
          <w:lang w:eastAsia="es-ES"/>
        </w:rPr>
        <w:t xml:space="preserve"> </w:t>
      </w:r>
      <w:r w:rsidRPr="0057009D">
        <w:rPr>
          <w:rFonts w:ascii="Arial" w:eastAsia="Arial Unicode MS" w:hAnsi="Arial" w:cs="Arial"/>
          <w:b/>
          <w:sz w:val="24"/>
          <w:szCs w:val="24"/>
          <w:lang w:eastAsia="es-ES"/>
        </w:rPr>
        <w:t>esta Comisión, con fundamento en lo previsto en el artículo 173</w:t>
      </w:r>
      <w:r w:rsidRPr="0057009D">
        <w:rPr>
          <w:rStyle w:val="Refdenotaalpie"/>
          <w:rFonts w:ascii="Arial" w:eastAsia="Arial Unicode MS" w:hAnsi="Arial" w:cs="Arial"/>
          <w:b/>
          <w:sz w:val="24"/>
          <w:szCs w:val="24"/>
          <w:lang w:eastAsia="es-ES"/>
        </w:rPr>
        <w:footnoteReference w:id="49"/>
      </w:r>
      <w:r w:rsidRPr="0057009D">
        <w:rPr>
          <w:rFonts w:ascii="Arial" w:eastAsia="Arial Unicode MS" w:hAnsi="Arial" w:cs="Arial"/>
          <w:b/>
          <w:sz w:val="24"/>
          <w:szCs w:val="24"/>
          <w:lang w:eastAsia="es-ES"/>
        </w:rPr>
        <w:t xml:space="preserve"> de la Ley de Transparencia y Acceso a la Información Pública del Estado, establecerá el deslinde de lo estrictamente privado, legítimamente sustraído a la </w:t>
      </w:r>
      <w:r w:rsidRPr="0057009D">
        <w:rPr>
          <w:rFonts w:ascii="Arial" w:eastAsia="Arial Unicode MS" w:hAnsi="Arial" w:cs="Arial"/>
          <w:b/>
          <w:sz w:val="24"/>
          <w:szCs w:val="24"/>
          <w:lang w:eastAsia="es-ES"/>
        </w:rPr>
        <w:lastRenderedPageBreak/>
        <w:t>observación pública, en la colisión de derechos que se ha permeado en la presente determinación</w:t>
      </w:r>
      <w:r>
        <w:rPr>
          <w:rFonts w:ascii="Arial" w:eastAsia="Arial Unicode MS" w:hAnsi="Arial" w:cs="Arial"/>
          <w:b/>
          <w:sz w:val="24"/>
          <w:szCs w:val="24"/>
          <w:lang w:eastAsia="es-ES"/>
        </w:rPr>
        <w:t xml:space="preserve"> a petición de la parte recurrente.</w:t>
      </w:r>
      <w:r w:rsidRPr="0057009D">
        <w:rPr>
          <w:rFonts w:ascii="Arial" w:eastAsia="Arial Unicode MS" w:hAnsi="Arial" w:cs="Arial"/>
          <w:b/>
          <w:sz w:val="24"/>
          <w:szCs w:val="24"/>
          <w:lang w:eastAsia="es-ES"/>
        </w:rPr>
        <w:t xml:space="preserve"> </w:t>
      </w:r>
    </w:p>
    <w:p w14:paraId="38BE787C" w14:textId="77777777" w:rsidR="00FB22A7" w:rsidRDefault="00FB22A7" w:rsidP="00FB22A7">
      <w:pPr>
        <w:spacing w:after="0" w:line="360" w:lineRule="auto"/>
        <w:ind w:firstLine="709"/>
        <w:jc w:val="both"/>
        <w:rPr>
          <w:rFonts w:ascii="Arial" w:eastAsia="Arial Unicode MS" w:hAnsi="Arial" w:cs="Arial"/>
          <w:sz w:val="24"/>
          <w:szCs w:val="24"/>
          <w:lang w:eastAsia="es-ES"/>
        </w:rPr>
      </w:pPr>
    </w:p>
    <w:p w14:paraId="7E210A2E" w14:textId="5438A999" w:rsidR="00FB22A7" w:rsidRDefault="00FB22A7" w:rsidP="00FB22A7">
      <w:pPr>
        <w:spacing w:after="0" w:line="360" w:lineRule="auto"/>
        <w:ind w:firstLine="708"/>
        <w:jc w:val="both"/>
        <w:rPr>
          <w:rFonts w:ascii="Arial" w:eastAsia="Arial Unicode MS" w:hAnsi="Arial" w:cs="Arial"/>
          <w:sz w:val="24"/>
          <w:szCs w:val="24"/>
          <w:lang w:eastAsia="es-ES"/>
        </w:rPr>
      </w:pPr>
      <w:r w:rsidRPr="008D280C">
        <w:rPr>
          <w:rFonts w:ascii="Arial" w:eastAsia="Arial Unicode MS" w:hAnsi="Arial" w:cs="Arial"/>
          <w:sz w:val="24"/>
          <w:szCs w:val="24"/>
          <w:lang w:eastAsia="es-ES"/>
        </w:rPr>
        <w:t xml:space="preserve">En torno a </w:t>
      </w:r>
      <w:r>
        <w:rPr>
          <w:rFonts w:ascii="Arial" w:eastAsia="Arial Unicode MS" w:hAnsi="Arial" w:cs="Arial"/>
          <w:sz w:val="24"/>
          <w:szCs w:val="24"/>
          <w:lang w:eastAsia="es-ES"/>
        </w:rPr>
        <w:t xml:space="preserve">los hechos presentados por las </w:t>
      </w:r>
      <w:r w:rsidRPr="008D280C">
        <w:rPr>
          <w:rFonts w:ascii="Arial" w:eastAsia="Arial Unicode MS" w:hAnsi="Arial" w:cs="Arial"/>
          <w:sz w:val="24"/>
          <w:szCs w:val="24"/>
          <w:lang w:eastAsia="es-ES"/>
        </w:rPr>
        <w:t>partes</w:t>
      </w:r>
      <w:r>
        <w:rPr>
          <w:rFonts w:ascii="Arial" w:eastAsia="Arial Unicode MS" w:hAnsi="Arial" w:cs="Arial"/>
          <w:sz w:val="24"/>
          <w:szCs w:val="24"/>
          <w:lang w:eastAsia="es-ES"/>
        </w:rPr>
        <w:t xml:space="preserve">, </w:t>
      </w:r>
      <w:r w:rsidRPr="008D280C">
        <w:rPr>
          <w:rFonts w:ascii="Arial" w:eastAsia="Arial Unicode MS" w:hAnsi="Arial" w:cs="Arial"/>
          <w:sz w:val="24"/>
          <w:szCs w:val="24"/>
          <w:lang w:eastAsia="es-ES"/>
        </w:rPr>
        <w:t xml:space="preserve">subyace un conflicto entre el derecho </w:t>
      </w:r>
      <w:r>
        <w:rPr>
          <w:rFonts w:ascii="Arial" w:eastAsia="Arial Unicode MS" w:hAnsi="Arial" w:cs="Arial"/>
          <w:sz w:val="24"/>
          <w:szCs w:val="24"/>
          <w:lang w:eastAsia="es-ES"/>
        </w:rPr>
        <w:t xml:space="preserve">de acceso a la información </w:t>
      </w:r>
      <w:r w:rsidRPr="008D280C">
        <w:rPr>
          <w:rFonts w:ascii="Arial" w:eastAsia="Arial Unicode MS" w:hAnsi="Arial" w:cs="Arial"/>
          <w:sz w:val="24"/>
          <w:szCs w:val="24"/>
          <w:lang w:eastAsia="es-ES"/>
        </w:rPr>
        <w:t xml:space="preserve">y la protección de </w:t>
      </w:r>
      <w:r>
        <w:rPr>
          <w:rFonts w:ascii="Arial" w:eastAsia="Arial Unicode MS" w:hAnsi="Arial" w:cs="Arial"/>
          <w:sz w:val="24"/>
          <w:szCs w:val="24"/>
          <w:lang w:eastAsia="es-ES"/>
        </w:rPr>
        <w:t>los datos personales. En el ámbito local, la Ley de Transparencia y Acceso a la Información, reconoce que, por parte de los sujetos obligados, se debe garantizar el ejercicio de ambos derechos.</w:t>
      </w:r>
      <w:r>
        <w:rPr>
          <w:rStyle w:val="Refdenotaalpie"/>
          <w:rFonts w:ascii="Arial" w:eastAsia="Arial Unicode MS" w:hAnsi="Arial" w:cs="Arial"/>
          <w:sz w:val="24"/>
          <w:szCs w:val="24"/>
          <w:lang w:eastAsia="es-ES"/>
        </w:rPr>
        <w:footnoteReference w:id="50"/>
      </w:r>
    </w:p>
    <w:p w14:paraId="54907E72" w14:textId="77777777" w:rsidR="00FB22A7" w:rsidRDefault="00FB22A7" w:rsidP="00FB22A7">
      <w:pPr>
        <w:spacing w:after="0" w:line="360" w:lineRule="auto"/>
        <w:ind w:firstLine="708"/>
        <w:jc w:val="both"/>
        <w:rPr>
          <w:rFonts w:ascii="Arial" w:eastAsia="Arial Unicode MS" w:hAnsi="Arial" w:cs="Arial"/>
          <w:sz w:val="24"/>
          <w:szCs w:val="24"/>
          <w:lang w:eastAsia="es-ES"/>
        </w:rPr>
      </w:pPr>
    </w:p>
    <w:p w14:paraId="464FBF71" w14:textId="77777777" w:rsidR="00FB22A7" w:rsidRDefault="00FB22A7" w:rsidP="00FB22A7">
      <w:pPr>
        <w:spacing w:after="0" w:line="360" w:lineRule="auto"/>
        <w:ind w:firstLine="708"/>
        <w:jc w:val="both"/>
        <w:rPr>
          <w:rFonts w:ascii="Arial" w:eastAsia="Arial Unicode MS" w:hAnsi="Arial" w:cs="Arial"/>
          <w:sz w:val="24"/>
          <w:szCs w:val="24"/>
          <w:lang w:eastAsia="es-ES"/>
        </w:rPr>
      </w:pPr>
      <w:r w:rsidRPr="0087118B">
        <w:rPr>
          <w:rFonts w:ascii="Arial" w:eastAsia="Arial Unicode MS" w:hAnsi="Arial" w:cs="Arial"/>
          <w:sz w:val="24"/>
          <w:szCs w:val="24"/>
          <w:lang w:eastAsia="es-ES"/>
        </w:rPr>
        <w:t>En este sentido, la prevalencia de alguno en determinado caso dependerá de la ponderación que se haga a través de un juicio de proporcionalidad. La solución del conflicto que se presenta entre ciertos derechos requiere el examen de cada caso, conforme a sus características y circunstancias, para apreciar la existencia e intensidad de los elementos en que se sustenta dicho juicio.</w:t>
      </w:r>
    </w:p>
    <w:p w14:paraId="7C703EB2" w14:textId="77777777" w:rsidR="00FB22A7" w:rsidRDefault="00FB22A7" w:rsidP="00FB22A7">
      <w:pPr>
        <w:spacing w:after="0" w:line="360" w:lineRule="auto"/>
        <w:ind w:firstLine="708"/>
        <w:jc w:val="both"/>
        <w:rPr>
          <w:rFonts w:ascii="Arial" w:eastAsia="Arial Unicode MS" w:hAnsi="Arial" w:cs="Arial"/>
          <w:sz w:val="24"/>
          <w:szCs w:val="24"/>
          <w:lang w:eastAsia="es-ES"/>
        </w:rPr>
      </w:pPr>
    </w:p>
    <w:p w14:paraId="79221B09" w14:textId="77777777" w:rsidR="00FB22A7" w:rsidRPr="00204F88" w:rsidRDefault="00FB22A7" w:rsidP="00FB22A7">
      <w:pPr>
        <w:spacing w:after="0" w:line="360" w:lineRule="auto"/>
        <w:ind w:firstLine="709"/>
        <w:jc w:val="both"/>
        <w:rPr>
          <w:rFonts w:ascii="Arial" w:eastAsia="Arial Unicode MS" w:hAnsi="Arial" w:cs="Arial"/>
          <w:bCs/>
          <w:sz w:val="24"/>
          <w:szCs w:val="24"/>
          <w:lang w:eastAsia="es-ES"/>
        </w:rPr>
      </w:pPr>
      <w:r>
        <w:rPr>
          <w:rFonts w:ascii="Arial" w:eastAsia="Arial Unicode MS" w:hAnsi="Arial" w:cs="Arial"/>
          <w:bCs/>
          <w:sz w:val="24"/>
          <w:szCs w:val="24"/>
          <w:lang w:eastAsia="es-ES"/>
        </w:rPr>
        <w:t xml:space="preserve">Respecto al contenido del derecho de acceso a la información, la Ley de Transparencia y Acceso a la Información Pública del Estado, señala que esta prerrogativa </w:t>
      </w:r>
      <w:r w:rsidRPr="009B71E3">
        <w:rPr>
          <w:rFonts w:ascii="Arial" w:eastAsia="Arial Unicode MS" w:hAnsi="Arial" w:cs="Arial"/>
          <w:bCs/>
          <w:sz w:val="24"/>
          <w:szCs w:val="24"/>
          <w:lang w:eastAsia="es-ES"/>
        </w:rPr>
        <w:t>comprende</w:t>
      </w:r>
      <w:r>
        <w:rPr>
          <w:rFonts w:ascii="Arial" w:eastAsia="Arial Unicode MS" w:hAnsi="Arial" w:cs="Arial"/>
          <w:bCs/>
          <w:sz w:val="24"/>
          <w:szCs w:val="24"/>
          <w:lang w:eastAsia="es-ES"/>
        </w:rPr>
        <w:t xml:space="preserve">: </w:t>
      </w:r>
      <w:r w:rsidRPr="00576AE6">
        <w:rPr>
          <w:rFonts w:ascii="Arial" w:eastAsia="Arial Unicode MS" w:hAnsi="Arial" w:cs="Arial"/>
          <w:bCs/>
          <w:sz w:val="24"/>
          <w:szCs w:val="24"/>
          <w:u w:val="single"/>
          <w:lang w:eastAsia="es-ES"/>
        </w:rPr>
        <w:t>solicitar, investigar, difundir, buscar y recibir información</w:t>
      </w:r>
      <w:r>
        <w:rPr>
          <w:rFonts w:ascii="Arial" w:eastAsia="Arial Unicode MS" w:hAnsi="Arial" w:cs="Arial"/>
          <w:bCs/>
          <w:sz w:val="24"/>
          <w:szCs w:val="24"/>
          <w:lang w:eastAsia="es-ES"/>
        </w:rPr>
        <w:t xml:space="preserve">, en el entendido de que </w:t>
      </w:r>
      <w:r w:rsidRPr="00576AE6">
        <w:rPr>
          <w:rFonts w:ascii="Arial" w:eastAsia="Arial Unicode MS" w:hAnsi="Arial" w:cs="Arial"/>
          <w:bCs/>
          <w:sz w:val="24"/>
          <w:szCs w:val="24"/>
          <w:u w:val="single"/>
          <w:lang w:eastAsia="es-ES"/>
        </w:rPr>
        <w:t>toda la información generada, obtenida, adquirida, transformada o en posesión de los sujetos obligados es pública y accesible a cualquier persona en los términos y condiciones que se establezcan en la Ley</w:t>
      </w:r>
      <w:r>
        <w:rPr>
          <w:rFonts w:ascii="Arial" w:eastAsia="Arial Unicode MS" w:hAnsi="Arial" w:cs="Arial"/>
          <w:bCs/>
          <w:sz w:val="24"/>
          <w:szCs w:val="24"/>
          <w:lang w:eastAsia="es-ES"/>
        </w:rPr>
        <w:t>.</w:t>
      </w:r>
      <w:r>
        <w:rPr>
          <w:rStyle w:val="Refdenotaalpie"/>
          <w:rFonts w:ascii="Arial" w:eastAsia="Arial Unicode MS" w:hAnsi="Arial" w:cs="Arial"/>
          <w:bCs/>
          <w:sz w:val="24"/>
          <w:szCs w:val="24"/>
          <w:lang w:eastAsia="es-ES"/>
        </w:rPr>
        <w:footnoteReference w:id="51"/>
      </w:r>
      <w:r>
        <w:rPr>
          <w:rFonts w:ascii="Arial" w:eastAsia="Arial Unicode MS" w:hAnsi="Arial" w:cs="Arial"/>
          <w:bCs/>
          <w:sz w:val="24"/>
          <w:szCs w:val="24"/>
          <w:lang w:eastAsia="es-ES"/>
        </w:rPr>
        <w:t xml:space="preserve"> Así, en opuesto extremo, los</w:t>
      </w:r>
      <w:r>
        <w:rPr>
          <w:rFonts w:ascii="Arial" w:eastAsia="Arial Unicode MS" w:hAnsi="Arial" w:cs="Arial"/>
          <w:bCs/>
          <w:sz w:val="24"/>
          <w:szCs w:val="24"/>
          <w:lang w:val="es-ES" w:eastAsia="es-ES"/>
        </w:rPr>
        <w:t xml:space="preserve"> </w:t>
      </w:r>
      <w:r w:rsidRPr="00FA1C06">
        <w:rPr>
          <w:rFonts w:ascii="Arial" w:eastAsia="Arial Unicode MS" w:hAnsi="Arial" w:cs="Arial"/>
          <w:bCs/>
          <w:sz w:val="24"/>
          <w:szCs w:val="24"/>
          <w:lang w:val="es-ES" w:eastAsia="es-ES"/>
        </w:rPr>
        <w:t>“dato</w:t>
      </w:r>
      <w:r>
        <w:rPr>
          <w:rFonts w:ascii="Arial" w:eastAsia="Arial Unicode MS" w:hAnsi="Arial" w:cs="Arial"/>
          <w:bCs/>
          <w:sz w:val="24"/>
          <w:szCs w:val="24"/>
          <w:lang w:val="es-ES" w:eastAsia="es-ES"/>
        </w:rPr>
        <w:t>s</w:t>
      </w:r>
      <w:r w:rsidRPr="00FA1C06">
        <w:rPr>
          <w:rFonts w:ascii="Arial" w:eastAsia="Arial Unicode MS" w:hAnsi="Arial" w:cs="Arial"/>
          <w:bCs/>
          <w:sz w:val="24"/>
          <w:szCs w:val="24"/>
          <w:lang w:val="es-ES" w:eastAsia="es-ES"/>
        </w:rPr>
        <w:t xml:space="preserve"> personal</w:t>
      </w:r>
      <w:r>
        <w:rPr>
          <w:rFonts w:ascii="Arial" w:eastAsia="Arial Unicode MS" w:hAnsi="Arial" w:cs="Arial"/>
          <w:bCs/>
          <w:sz w:val="24"/>
          <w:szCs w:val="24"/>
          <w:lang w:val="es-ES" w:eastAsia="es-ES"/>
        </w:rPr>
        <w:t>es</w:t>
      </w:r>
      <w:r w:rsidRPr="00FA1C06">
        <w:rPr>
          <w:rFonts w:ascii="Arial" w:eastAsia="Arial Unicode MS" w:hAnsi="Arial" w:cs="Arial"/>
          <w:bCs/>
          <w:sz w:val="24"/>
          <w:szCs w:val="24"/>
          <w:lang w:val="es-ES" w:eastAsia="es-ES"/>
        </w:rPr>
        <w:t xml:space="preserve">” </w:t>
      </w:r>
      <w:r>
        <w:rPr>
          <w:rFonts w:ascii="Arial" w:eastAsia="Arial Unicode MS" w:hAnsi="Arial" w:cs="Arial"/>
          <w:bCs/>
          <w:sz w:val="24"/>
          <w:szCs w:val="24"/>
          <w:lang w:val="es-ES" w:eastAsia="es-ES"/>
        </w:rPr>
        <w:t>son aquellos que conciernen a un</w:t>
      </w:r>
      <w:r w:rsidRPr="00540377">
        <w:rPr>
          <w:rFonts w:ascii="Arial" w:eastAsia="Arial Unicode MS" w:hAnsi="Arial" w:cs="Arial"/>
          <w:sz w:val="24"/>
          <w:szCs w:val="24"/>
          <w:lang w:eastAsia="es-ES"/>
        </w:rPr>
        <w:t xml:space="preserve">a persona </w:t>
      </w:r>
      <w:r>
        <w:rPr>
          <w:rFonts w:ascii="Arial" w:eastAsia="Arial Unicode MS" w:hAnsi="Arial" w:cs="Arial"/>
          <w:sz w:val="24"/>
          <w:szCs w:val="24"/>
          <w:lang w:eastAsia="es-ES"/>
        </w:rPr>
        <w:t>identificada o i</w:t>
      </w:r>
      <w:r w:rsidRPr="00540377">
        <w:rPr>
          <w:rFonts w:ascii="Arial" w:eastAsia="Arial Unicode MS" w:hAnsi="Arial" w:cs="Arial"/>
          <w:sz w:val="24"/>
          <w:szCs w:val="24"/>
          <w:lang w:eastAsia="es-ES"/>
        </w:rPr>
        <w:t>dentificable cuando su identidad pueda determinarse directa o indirectamente a través de cualquier información</w:t>
      </w:r>
      <w:r>
        <w:rPr>
          <w:rStyle w:val="Refdenotaalpie"/>
          <w:rFonts w:ascii="Arial" w:eastAsia="Arial Unicode MS" w:hAnsi="Arial" w:cs="Arial"/>
          <w:sz w:val="24"/>
          <w:szCs w:val="24"/>
          <w:lang w:eastAsia="es-ES"/>
        </w:rPr>
        <w:footnoteReference w:id="52"/>
      </w:r>
      <w:r>
        <w:rPr>
          <w:rFonts w:ascii="Arial" w:eastAsia="Arial Unicode MS" w:hAnsi="Arial" w:cs="Arial"/>
          <w:sz w:val="24"/>
          <w:szCs w:val="24"/>
          <w:lang w:eastAsia="es-ES"/>
        </w:rPr>
        <w:t xml:space="preserve">. </w:t>
      </w:r>
    </w:p>
    <w:p w14:paraId="2C742986" w14:textId="77777777" w:rsidR="00FB22A7" w:rsidRDefault="00FB22A7" w:rsidP="00FB22A7">
      <w:pPr>
        <w:spacing w:after="0" w:line="360" w:lineRule="auto"/>
        <w:ind w:right="51" w:firstLine="709"/>
        <w:jc w:val="both"/>
        <w:rPr>
          <w:rFonts w:ascii="Arial" w:eastAsia="Arial Unicode MS" w:hAnsi="Arial" w:cs="Arial"/>
          <w:sz w:val="24"/>
          <w:szCs w:val="24"/>
          <w:lang w:eastAsia="es-ES"/>
        </w:rPr>
      </w:pPr>
    </w:p>
    <w:p w14:paraId="772BF093" w14:textId="77777777" w:rsidR="00761056" w:rsidRDefault="00FB22A7" w:rsidP="00FB22A7">
      <w:pPr>
        <w:spacing w:after="0" w:line="360" w:lineRule="auto"/>
        <w:ind w:right="51" w:firstLine="709"/>
        <w:jc w:val="both"/>
        <w:rPr>
          <w:rFonts w:ascii="Arial" w:eastAsia="Arial Unicode MS" w:hAnsi="Arial" w:cs="Arial"/>
          <w:sz w:val="24"/>
          <w:szCs w:val="24"/>
          <w:lang w:eastAsia="es-ES"/>
        </w:rPr>
      </w:pPr>
      <w:r w:rsidRPr="00700018">
        <w:rPr>
          <w:rFonts w:ascii="Arial" w:eastAsia="Arial Unicode MS" w:hAnsi="Arial" w:cs="Arial"/>
          <w:sz w:val="24"/>
          <w:szCs w:val="24"/>
          <w:lang w:eastAsia="es-ES"/>
        </w:rPr>
        <w:lastRenderedPageBreak/>
        <w:t xml:space="preserve">Asimismo, la citada normatividad </w:t>
      </w:r>
      <w:r>
        <w:rPr>
          <w:rFonts w:ascii="Arial" w:eastAsia="Arial Unicode MS" w:hAnsi="Arial" w:cs="Arial"/>
          <w:sz w:val="24"/>
          <w:szCs w:val="24"/>
          <w:lang w:eastAsia="es-ES"/>
        </w:rPr>
        <w:t xml:space="preserve">prevé </w:t>
      </w:r>
      <w:r w:rsidRPr="00700018">
        <w:rPr>
          <w:rFonts w:ascii="Arial" w:eastAsia="Arial Unicode MS" w:hAnsi="Arial" w:cs="Arial"/>
          <w:sz w:val="24"/>
          <w:szCs w:val="24"/>
          <w:lang w:eastAsia="es-ES"/>
        </w:rPr>
        <w:t>que la información confidencial</w:t>
      </w:r>
      <w:r>
        <w:rPr>
          <w:rStyle w:val="Refdenotaalpie"/>
          <w:rFonts w:ascii="Arial" w:eastAsia="Arial Unicode MS" w:hAnsi="Arial" w:cs="Arial"/>
          <w:sz w:val="24"/>
          <w:szCs w:val="24"/>
          <w:lang w:eastAsia="es-ES"/>
        </w:rPr>
        <w:footnoteReference w:id="53"/>
      </w:r>
      <w:r w:rsidRPr="00700018">
        <w:rPr>
          <w:rFonts w:ascii="Arial" w:eastAsia="Arial Unicode MS" w:hAnsi="Arial" w:cs="Arial"/>
          <w:sz w:val="24"/>
          <w:szCs w:val="24"/>
          <w:lang w:eastAsia="es-ES"/>
        </w:rPr>
        <w:t xml:space="preserve"> es aquella que</w:t>
      </w:r>
      <w:r>
        <w:rPr>
          <w:rFonts w:ascii="Arial" w:eastAsia="Arial Unicode MS" w:hAnsi="Arial" w:cs="Arial"/>
          <w:sz w:val="24"/>
          <w:szCs w:val="24"/>
          <w:lang w:eastAsia="es-ES"/>
        </w:rPr>
        <w:t>:</w:t>
      </w:r>
      <w:r w:rsidRPr="00700018">
        <w:rPr>
          <w:rFonts w:ascii="Arial" w:eastAsia="Arial Unicode MS" w:hAnsi="Arial" w:cs="Arial"/>
          <w:sz w:val="24"/>
          <w:szCs w:val="24"/>
          <w:lang w:eastAsia="es-ES"/>
        </w:rPr>
        <w:t xml:space="preserve"> </w:t>
      </w:r>
    </w:p>
    <w:p w14:paraId="5A1F3B3F" w14:textId="77777777" w:rsidR="00761056" w:rsidRDefault="00761056" w:rsidP="00761056">
      <w:pPr>
        <w:pStyle w:val="Prrafodelista"/>
        <w:numPr>
          <w:ilvl w:val="0"/>
          <w:numId w:val="43"/>
        </w:numPr>
        <w:spacing w:after="0" w:line="360" w:lineRule="auto"/>
        <w:ind w:right="51"/>
        <w:jc w:val="both"/>
        <w:rPr>
          <w:rFonts w:ascii="Arial" w:eastAsia="Arial Unicode MS" w:hAnsi="Arial" w:cs="Arial"/>
          <w:sz w:val="24"/>
          <w:szCs w:val="24"/>
          <w:lang w:val="es-ES_tradnl" w:eastAsia="es-ES"/>
        </w:rPr>
      </w:pPr>
      <w:r>
        <w:rPr>
          <w:rFonts w:ascii="Arial" w:eastAsia="Arial Unicode MS" w:hAnsi="Arial" w:cs="Arial"/>
          <w:sz w:val="24"/>
          <w:szCs w:val="24"/>
          <w:lang w:val="es-ES_tradnl" w:eastAsia="es-ES"/>
        </w:rPr>
        <w:t>R</w:t>
      </w:r>
      <w:r w:rsidRPr="00761056">
        <w:rPr>
          <w:rFonts w:ascii="Arial" w:eastAsia="Arial Unicode MS" w:hAnsi="Arial" w:cs="Arial"/>
          <w:sz w:val="24"/>
          <w:szCs w:val="24"/>
          <w:lang w:val="es-ES_tradnl" w:eastAsia="es-ES"/>
        </w:rPr>
        <w:t xml:space="preserve">efiera a datos personales; </w:t>
      </w:r>
    </w:p>
    <w:p w14:paraId="6E99C984" w14:textId="77777777" w:rsidR="00761056" w:rsidRDefault="00761056" w:rsidP="00761056">
      <w:pPr>
        <w:pStyle w:val="Prrafodelista"/>
        <w:numPr>
          <w:ilvl w:val="0"/>
          <w:numId w:val="43"/>
        </w:numPr>
        <w:spacing w:after="0" w:line="360" w:lineRule="auto"/>
        <w:ind w:right="51"/>
        <w:jc w:val="both"/>
        <w:rPr>
          <w:rFonts w:ascii="Arial" w:eastAsia="Arial Unicode MS" w:hAnsi="Arial" w:cs="Arial"/>
          <w:sz w:val="24"/>
          <w:szCs w:val="24"/>
          <w:lang w:val="es-ES_tradnl" w:eastAsia="es-ES"/>
        </w:rPr>
      </w:pPr>
      <w:r>
        <w:rPr>
          <w:rFonts w:ascii="Arial" w:eastAsia="Arial Unicode MS" w:hAnsi="Arial" w:cs="Arial"/>
          <w:sz w:val="24"/>
          <w:szCs w:val="24"/>
          <w:lang w:val="es-ES_tradnl" w:eastAsia="es-ES"/>
        </w:rPr>
        <w:t>La que se</w:t>
      </w:r>
      <w:r w:rsidRPr="00761056">
        <w:rPr>
          <w:rFonts w:ascii="Arial" w:eastAsia="Arial Unicode MS" w:hAnsi="Arial" w:cs="Arial"/>
          <w:sz w:val="24"/>
          <w:szCs w:val="24"/>
          <w:lang w:val="es-ES_tradnl" w:eastAsia="es-ES"/>
        </w:rPr>
        <w:t xml:space="preserve"> refiere a los secretos bancario, fiduciario, industrial, comercial, fiscal, bursátil y postal cuya titularidad corresponda a particulares, sujetos de derecho internacional o a sujetos obligados </w:t>
      </w:r>
      <w:r w:rsidRPr="00761056">
        <w:rPr>
          <w:rFonts w:ascii="Arial" w:eastAsia="Arial Unicode MS" w:hAnsi="Arial" w:cs="Arial"/>
          <w:sz w:val="24"/>
          <w:szCs w:val="24"/>
          <w:u w:val="single"/>
          <w:lang w:val="es-ES_tradnl" w:eastAsia="es-ES"/>
        </w:rPr>
        <w:t>cuando no involucren el ejercicio de recursos públicos</w:t>
      </w:r>
      <w:r w:rsidRPr="00761056">
        <w:rPr>
          <w:rFonts w:ascii="Arial" w:eastAsia="Arial Unicode MS" w:hAnsi="Arial" w:cs="Arial"/>
          <w:sz w:val="24"/>
          <w:szCs w:val="24"/>
          <w:lang w:val="es-ES_tradnl" w:eastAsia="es-ES"/>
        </w:rPr>
        <w:t xml:space="preserve">; </w:t>
      </w:r>
    </w:p>
    <w:p w14:paraId="330D0D4A" w14:textId="6CE3FEB9" w:rsidR="00761056" w:rsidRDefault="00761056" w:rsidP="00761056">
      <w:pPr>
        <w:pStyle w:val="Prrafodelista"/>
        <w:numPr>
          <w:ilvl w:val="0"/>
          <w:numId w:val="43"/>
        </w:numPr>
        <w:spacing w:after="0" w:line="360" w:lineRule="auto"/>
        <w:ind w:right="51"/>
        <w:jc w:val="both"/>
        <w:rPr>
          <w:rFonts w:ascii="Arial" w:eastAsia="Arial Unicode MS" w:hAnsi="Arial" w:cs="Arial"/>
          <w:sz w:val="24"/>
          <w:szCs w:val="24"/>
          <w:lang w:val="es-ES_tradnl" w:eastAsia="es-ES"/>
        </w:rPr>
      </w:pPr>
      <w:r>
        <w:rPr>
          <w:rFonts w:ascii="Arial" w:eastAsia="Arial Unicode MS" w:hAnsi="Arial" w:cs="Arial"/>
          <w:sz w:val="24"/>
          <w:szCs w:val="24"/>
          <w:lang w:val="es-ES_tradnl" w:eastAsia="es-ES"/>
        </w:rPr>
        <w:t>A</w:t>
      </w:r>
      <w:r w:rsidRPr="00761056">
        <w:rPr>
          <w:rFonts w:ascii="Arial" w:eastAsia="Arial Unicode MS" w:hAnsi="Arial" w:cs="Arial"/>
          <w:sz w:val="24"/>
          <w:szCs w:val="24"/>
          <w:lang w:val="es-ES_tradnl" w:eastAsia="es-ES"/>
        </w:rPr>
        <w:t xml:space="preserve">quella que presenten los particulares a los sujetos obligados siempre que tengan el derecho a entregarla con ese carácter; </w:t>
      </w:r>
      <w:r>
        <w:rPr>
          <w:rFonts w:ascii="Arial" w:eastAsia="Arial Unicode MS" w:hAnsi="Arial" w:cs="Arial"/>
          <w:sz w:val="24"/>
          <w:szCs w:val="24"/>
          <w:lang w:val="es-ES_tradnl" w:eastAsia="es-ES"/>
        </w:rPr>
        <w:t>y</w:t>
      </w:r>
    </w:p>
    <w:p w14:paraId="73B61AA3" w14:textId="0C04FDA3" w:rsidR="00761056" w:rsidRPr="00761056" w:rsidRDefault="00761056" w:rsidP="00761056">
      <w:pPr>
        <w:pStyle w:val="Prrafodelista"/>
        <w:numPr>
          <w:ilvl w:val="0"/>
          <w:numId w:val="43"/>
        </w:numPr>
        <w:spacing w:after="0" w:line="360" w:lineRule="auto"/>
        <w:ind w:right="51"/>
        <w:jc w:val="both"/>
        <w:rPr>
          <w:rFonts w:ascii="Arial" w:eastAsia="Arial Unicode MS" w:hAnsi="Arial" w:cs="Arial"/>
          <w:sz w:val="24"/>
          <w:szCs w:val="24"/>
          <w:lang w:val="es-ES_tradnl" w:eastAsia="es-ES"/>
        </w:rPr>
      </w:pPr>
      <w:r>
        <w:rPr>
          <w:rFonts w:ascii="Arial" w:eastAsia="Arial Unicode MS" w:hAnsi="Arial" w:cs="Arial"/>
          <w:sz w:val="24"/>
          <w:szCs w:val="24"/>
          <w:lang w:val="es-ES_tradnl" w:eastAsia="es-ES"/>
        </w:rPr>
        <w:t>T</w:t>
      </w:r>
      <w:r w:rsidRPr="00761056">
        <w:rPr>
          <w:rFonts w:ascii="Arial" w:eastAsia="Arial Unicode MS" w:hAnsi="Arial" w:cs="Arial"/>
          <w:sz w:val="24"/>
          <w:szCs w:val="24"/>
          <w:lang w:val="es-ES_tradnl" w:eastAsia="es-ES"/>
        </w:rPr>
        <w:t>oda aquella información susceptible de ser tutelada por los derechos humanos a la privacidad, intimidad, honor y dignidad, que se encuentra en posesión de alguno de los entes obligados y sobre la que no puede realizarse ningún acto o hecho, sin la autorización debida de los titular</w:t>
      </w:r>
      <w:r>
        <w:rPr>
          <w:rFonts w:ascii="Arial" w:eastAsia="Arial Unicode MS" w:hAnsi="Arial" w:cs="Arial"/>
          <w:sz w:val="24"/>
          <w:szCs w:val="24"/>
          <w:lang w:val="es-ES_tradnl" w:eastAsia="es-ES"/>
        </w:rPr>
        <w:t>es o sus representantes legales</w:t>
      </w:r>
      <w:r w:rsidRPr="00761056">
        <w:rPr>
          <w:rFonts w:ascii="Arial" w:eastAsia="Arial Unicode MS" w:hAnsi="Arial" w:cs="Arial"/>
          <w:sz w:val="24"/>
          <w:szCs w:val="24"/>
          <w:lang w:val="es-ES_tradnl" w:eastAsia="es-ES"/>
        </w:rPr>
        <w:t xml:space="preserve">. </w:t>
      </w:r>
    </w:p>
    <w:p w14:paraId="2F3ADE8A" w14:textId="77777777" w:rsidR="00761056" w:rsidRDefault="00761056" w:rsidP="00FB22A7">
      <w:pPr>
        <w:spacing w:after="0" w:line="360" w:lineRule="auto"/>
        <w:ind w:right="51" w:firstLine="709"/>
        <w:jc w:val="both"/>
        <w:rPr>
          <w:rFonts w:ascii="Arial" w:eastAsia="Arial Unicode MS" w:hAnsi="Arial" w:cs="Arial"/>
          <w:sz w:val="24"/>
          <w:szCs w:val="24"/>
          <w:lang w:eastAsia="es-ES"/>
        </w:rPr>
      </w:pPr>
    </w:p>
    <w:p w14:paraId="183E5AB2" w14:textId="77777777" w:rsidR="00FB22A7" w:rsidRPr="00DE42C6" w:rsidRDefault="00FB22A7" w:rsidP="00FB22A7">
      <w:pPr>
        <w:spacing w:after="0" w:line="360" w:lineRule="auto"/>
        <w:ind w:right="51" w:firstLine="709"/>
        <w:jc w:val="both"/>
        <w:rPr>
          <w:rFonts w:ascii="Arial" w:hAnsi="Arial" w:cs="Arial"/>
          <w:sz w:val="24"/>
          <w:szCs w:val="24"/>
        </w:rPr>
      </w:pPr>
      <w:r w:rsidRPr="00DE42C6">
        <w:rPr>
          <w:rFonts w:ascii="Arial" w:hAnsi="Arial" w:cs="Arial"/>
          <w:sz w:val="24"/>
          <w:szCs w:val="24"/>
        </w:rPr>
        <w:t>En un sentido amplio, entonces, la protección de la vida privada implica poder conducir parte de la vida de uno protegido de la mirada y las injerencias de los demás, y guarda conexiones de variado tipo con pretensiones más concretas que las constituciones actuales reconocen a veces como derechos conexos: el derecho de poder tomar libremente ciertas decisiones relativas al propio plan de vida, el derecho a ver protegidas ciertas manifestaciones de la integridad física y moral, el derecho al honor o reputación, el derecho a no ser presentado bajo una falsa apariencia, el derecho a impedir la divulgación de ciertos hechos o la publicación no autorizada de cierto tipo de fotografías, la protección contra el espionaje, la protección contra el uso abusivo de las comunicaciones privadas, o la protección contra la divulgación de informaciones comunicadas o recibidas confidencialmente por un particular.</w:t>
      </w:r>
    </w:p>
    <w:p w14:paraId="2B2A1FDA" w14:textId="77777777" w:rsidR="00FB22A7" w:rsidRPr="00DE42C6" w:rsidRDefault="00FB22A7" w:rsidP="00FB22A7">
      <w:pPr>
        <w:spacing w:after="0" w:line="360" w:lineRule="auto"/>
        <w:ind w:right="51" w:firstLine="709"/>
        <w:jc w:val="both"/>
        <w:rPr>
          <w:rFonts w:ascii="Arial" w:hAnsi="Arial" w:cs="Arial"/>
          <w:sz w:val="24"/>
          <w:szCs w:val="24"/>
        </w:rPr>
      </w:pPr>
    </w:p>
    <w:p w14:paraId="0A14C916" w14:textId="77777777" w:rsidR="00FB22A7" w:rsidRPr="00DE42C6" w:rsidRDefault="00FB22A7" w:rsidP="00FB22A7">
      <w:pPr>
        <w:spacing w:after="0" w:line="360" w:lineRule="auto"/>
        <w:ind w:right="51" w:firstLine="709"/>
        <w:jc w:val="both"/>
        <w:rPr>
          <w:rFonts w:ascii="Arial" w:hAnsi="Arial" w:cs="Arial"/>
          <w:sz w:val="24"/>
          <w:szCs w:val="24"/>
        </w:rPr>
      </w:pPr>
      <w:r w:rsidRPr="00DE42C6">
        <w:rPr>
          <w:rFonts w:ascii="Arial" w:hAnsi="Arial" w:cs="Arial"/>
          <w:sz w:val="24"/>
          <w:szCs w:val="24"/>
        </w:rPr>
        <w:t xml:space="preserve">Más allá de la posibilidad de hacer este bosquejo general, lo cierto es que el contenido del derecho a la </w:t>
      </w:r>
      <w:r w:rsidRPr="000F6F72">
        <w:rPr>
          <w:rFonts w:ascii="Arial" w:hAnsi="Arial" w:cs="Arial"/>
          <w:sz w:val="24"/>
          <w:szCs w:val="24"/>
          <w:u w:val="single"/>
        </w:rPr>
        <w:t xml:space="preserve">“vida privada” </w:t>
      </w:r>
      <w:r w:rsidRPr="00DE42C6">
        <w:rPr>
          <w:rFonts w:ascii="Arial" w:hAnsi="Arial" w:cs="Arial"/>
          <w:sz w:val="24"/>
          <w:szCs w:val="24"/>
        </w:rPr>
        <w:t xml:space="preserve">está destinado a variar, legítima y </w:t>
      </w:r>
      <w:r w:rsidRPr="00DE42C6">
        <w:rPr>
          <w:rFonts w:ascii="Arial" w:hAnsi="Arial" w:cs="Arial"/>
          <w:sz w:val="24"/>
          <w:szCs w:val="24"/>
        </w:rPr>
        <w:lastRenderedPageBreak/>
        <w:t>normalmente, tanto por motivos internos al propio concepto como por motivos externos. La variabilidad interna del derecho a la privacidad alude al hecho de que el comportamiento de los titulares del mismo puede influir en la determinación de su ámbito de protección. No es sólo que el entendimiento de lo privado cambie de una cultura a otra y que haya cambiado a lo largo de la historia, sino que además forma parte del derecho a la privacidad, como lo entendemos ahora, la posibilidad de que sus titulares modulen (de palabra o de hecho) el alcance del mismo.</w:t>
      </w:r>
    </w:p>
    <w:p w14:paraId="5A731121" w14:textId="77777777" w:rsidR="00FB22A7" w:rsidRPr="00DE42C6" w:rsidRDefault="00FB22A7" w:rsidP="00FB22A7">
      <w:pPr>
        <w:spacing w:after="0" w:line="360" w:lineRule="auto"/>
        <w:ind w:right="51" w:firstLine="709"/>
        <w:jc w:val="both"/>
        <w:rPr>
          <w:rFonts w:ascii="Arial" w:hAnsi="Arial" w:cs="Arial"/>
          <w:sz w:val="24"/>
          <w:szCs w:val="24"/>
        </w:rPr>
      </w:pPr>
    </w:p>
    <w:p w14:paraId="0B650B6A" w14:textId="77777777" w:rsidR="00FB22A7" w:rsidRPr="00DE42C6" w:rsidRDefault="00FB22A7" w:rsidP="00FB22A7">
      <w:pPr>
        <w:spacing w:after="0" w:line="360" w:lineRule="auto"/>
        <w:ind w:right="51" w:firstLine="709"/>
        <w:jc w:val="both"/>
        <w:rPr>
          <w:rFonts w:ascii="Arial" w:hAnsi="Arial" w:cs="Arial"/>
          <w:sz w:val="24"/>
          <w:szCs w:val="24"/>
        </w:rPr>
      </w:pPr>
      <w:r w:rsidRPr="00DE42C6">
        <w:rPr>
          <w:rFonts w:ascii="Arial" w:hAnsi="Arial" w:cs="Arial"/>
          <w:sz w:val="24"/>
          <w:szCs w:val="24"/>
        </w:rPr>
        <w:t xml:space="preserve">Algunas personas, por poner un ejemplo, comparten con la opinión pública, con los medios de comunicación o con un círculo amplio de personas anónimas, informaciones que en el caso de otras quedan inscritas en el ámbito de lo que desean preservar del conocimiento ajeno, en ocasiones incluso utilizan </w:t>
      </w:r>
      <w:r>
        <w:rPr>
          <w:rFonts w:ascii="Arial" w:hAnsi="Arial" w:cs="Arial"/>
          <w:sz w:val="24"/>
          <w:szCs w:val="24"/>
        </w:rPr>
        <w:t>p</w:t>
      </w:r>
      <w:r w:rsidRPr="00DE42C6">
        <w:rPr>
          <w:rFonts w:ascii="Arial" w:hAnsi="Arial" w:cs="Arial"/>
          <w:sz w:val="24"/>
          <w:szCs w:val="24"/>
        </w:rPr>
        <w:t>arte de esos datos (por ejemplo, pueden comunicarlos en un libro, en los medios de comunicación, etcétera). Aunque una pauta de conducta de este tipo no implica que la persona en cuestión deje de ser titular del derecho a la privacidad, ciertamente disminuye la extensión de lo que de entrada pueda considerarse inscrito en el ámbito protegido por el mismo.</w:t>
      </w:r>
    </w:p>
    <w:p w14:paraId="3E738E9D" w14:textId="77777777" w:rsidR="00FB22A7" w:rsidRPr="00DE42C6" w:rsidRDefault="00FB22A7" w:rsidP="00FB22A7">
      <w:pPr>
        <w:spacing w:after="0" w:line="360" w:lineRule="auto"/>
        <w:ind w:right="51" w:firstLine="709"/>
        <w:jc w:val="both"/>
        <w:rPr>
          <w:rFonts w:ascii="Arial" w:hAnsi="Arial" w:cs="Arial"/>
          <w:sz w:val="24"/>
          <w:szCs w:val="24"/>
        </w:rPr>
      </w:pPr>
    </w:p>
    <w:p w14:paraId="72330435" w14:textId="77777777" w:rsidR="00FB22A7" w:rsidRDefault="00FB22A7" w:rsidP="00FB22A7">
      <w:pPr>
        <w:spacing w:after="0" w:line="360" w:lineRule="auto"/>
        <w:ind w:right="51" w:firstLine="709"/>
        <w:jc w:val="both"/>
        <w:rPr>
          <w:rFonts w:ascii="Arial" w:hAnsi="Arial" w:cs="Arial"/>
          <w:sz w:val="24"/>
          <w:szCs w:val="24"/>
        </w:rPr>
      </w:pPr>
      <w:r w:rsidRPr="00DE42C6">
        <w:rPr>
          <w:rFonts w:ascii="Arial" w:hAnsi="Arial" w:cs="Arial"/>
          <w:sz w:val="24"/>
          <w:szCs w:val="24"/>
        </w:rPr>
        <w:t xml:space="preserve">Sin embargo, la fuente de variabilidad más importante deriva no del juego de los límites internos, sino de la variabilidad de los límites externos. La variabilidad externa del derecho a la vida privada alude a la diferencia normal y esperada entre el contenido </w:t>
      </w:r>
      <w:r w:rsidRPr="00DE42C6">
        <w:rPr>
          <w:rFonts w:ascii="Arial" w:hAnsi="Arial" w:cs="Arial"/>
          <w:i/>
          <w:sz w:val="24"/>
          <w:szCs w:val="24"/>
        </w:rPr>
        <w:t>prima facie</w:t>
      </w:r>
      <w:r w:rsidRPr="00DE42C6">
        <w:rPr>
          <w:rFonts w:ascii="Arial" w:hAnsi="Arial" w:cs="Arial"/>
          <w:sz w:val="24"/>
          <w:szCs w:val="24"/>
        </w:rPr>
        <w:t xml:space="preserve"> de los derechos fundamentales y la protección real que ofrecen en casos concretos una vez contrapesados y armonizados con otros derechos e intereses que apunten en direcciones distintas e incluso opuestas a las que derivan de su contenido normativo. Aunque una pretensión pueda entonces relacionarse en principio con el ámbito generalmente protegido por el derech</w:t>
      </w:r>
      <w:r>
        <w:rPr>
          <w:rFonts w:ascii="Arial" w:hAnsi="Arial" w:cs="Arial"/>
          <w:sz w:val="24"/>
          <w:szCs w:val="24"/>
        </w:rPr>
        <w:t>o, si la misma merece prevalecer</w:t>
      </w:r>
      <w:r w:rsidRPr="00DE42C6">
        <w:rPr>
          <w:rFonts w:ascii="Arial" w:hAnsi="Arial" w:cs="Arial"/>
          <w:sz w:val="24"/>
          <w:szCs w:val="24"/>
        </w:rPr>
        <w:t xml:space="preserve"> en un caso concreto, y en qué grado, dependerá de un balance de razones desarrollado de conformidad con métodos de razonamiento jurídico bien conocidos y masivamente usados en </w:t>
      </w:r>
      <w:r>
        <w:rPr>
          <w:rFonts w:ascii="Arial" w:hAnsi="Arial" w:cs="Arial"/>
          <w:sz w:val="24"/>
          <w:szCs w:val="24"/>
        </w:rPr>
        <w:t>un E</w:t>
      </w:r>
      <w:r w:rsidRPr="00DE42C6">
        <w:rPr>
          <w:rFonts w:ascii="Arial" w:hAnsi="Arial" w:cs="Arial"/>
          <w:sz w:val="24"/>
          <w:szCs w:val="24"/>
        </w:rPr>
        <w:t>stado</w:t>
      </w:r>
      <w:r>
        <w:rPr>
          <w:rFonts w:ascii="Arial" w:hAnsi="Arial" w:cs="Arial"/>
          <w:sz w:val="24"/>
          <w:szCs w:val="24"/>
        </w:rPr>
        <w:t xml:space="preserve"> C</w:t>
      </w:r>
      <w:r w:rsidRPr="00DE42C6">
        <w:rPr>
          <w:rFonts w:ascii="Arial" w:hAnsi="Arial" w:cs="Arial"/>
          <w:sz w:val="24"/>
          <w:szCs w:val="24"/>
        </w:rPr>
        <w:t>onstitucional</w:t>
      </w:r>
      <w:r>
        <w:rPr>
          <w:rFonts w:ascii="Arial" w:hAnsi="Arial" w:cs="Arial"/>
          <w:sz w:val="24"/>
          <w:szCs w:val="24"/>
        </w:rPr>
        <w:t>.</w:t>
      </w:r>
    </w:p>
    <w:p w14:paraId="2A356A07" w14:textId="77777777" w:rsidR="00FB22A7" w:rsidRPr="00DE42C6" w:rsidRDefault="00FB22A7" w:rsidP="00FB22A7">
      <w:pPr>
        <w:spacing w:after="0" w:line="360" w:lineRule="auto"/>
        <w:ind w:right="51" w:firstLine="709"/>
        <w:jc w:val="both"/>
        <w:rPr>
          <w:rFonts w:ascii="Arial" w:hAnsi="Arial" w:cs="Arial"/>
          <w:sz w:val="24"/>
          <w:szCs w:val="24"/>
        </w:rPr>
      </w:pPr>
    </w:p>
    <w:p w14:paraId="5E316349" w14:textId="77777777" w:rsidR="00FB22A7" w:rsidRPr="00DE42C6" w:rsidRDefault="00FB22A7" w:rsidP="00FB22A7">
      <w:pPr>
        <w:spacing w:after="0" w:line="360" w:lineRule="auto"/>
        <w:ind w:right="51" w:firstLine="709"/>
        <w:jc w:val="both"/>
        <w:rPr>
          <w:rFonts w:ascii="Arial" w:hAnsi="Arial" w:cs="Arial"/>
          <w:sz w:val="24"/>
          <w:szCs w:val="24"/>
        </w:rPr>
      </w:pPr>
      <w:r w:rsidRPr="00DE42C6">
        <w:rPr>
          <w:rFonts w:ascii="Arial" w:hAnsi="Arial" w:cs="Arial"/>
          <w:sz w:val="24"/>
          <w:szCs w:val="24"/>
        </w:rPr>
        <w:t>Como es sabido, se trata de dos derechos funcionalmente esencial</w:t>
      </w:r>
      <w:r>
        <w:rPr>
          <w:rFonts w:ascii="Arial" w:hAnsi="Arial" w:cs="Arial"/>
          <w:sz w:val="24"/>
          <w:szCs w:val="24"/>
        </w:rPr>
        <w:t>es en la estructura del Estado Constitucional de D</w:t>
      </w:r>
      <w:r w:rsidRPr="00DE42C6">
        <w:rPr>
          <w:rFonts w:ascii="Arial" w:hAnsi="Arial" w:cs="Arial"/>
          <w:sz w:val="24"/>
          <w:szCs w:val="24"/>
        </w:rPr>
        <w:t>erecho que tienen una doble faceta: por un lado</w:t>
      </w:r>
      <w:r>
        <w:rPr>
          <w:rFonts w:ascii="Arial" w:hAnsi="Arial" w:cs="Arial"/>
          <w:sz w:val="24"/>
          <w:szCs w:val="24"/>
        </w:rPr>
        <w:t>,</w:t>
      </w:r>
      <w:r w:rsidRPr="00DE42C6">
        <w:rPr>
          <w:rFonts w:ascii="Arial" w:hAnsi="Arial" w:cs="Arial"/>
          <w:sz w:val="24"/>
          <w:szCs w:val="24"/>
        </w:rPr>
        <w:t xml:space="preserve"> aseguran a las personas espacios esenciales para desplegar su </w:t>
      </w:r>
      <w:r w:rsidRPr="00DE42C6">
        <w:rPr>
          <w:rFonts w:ascii="Arial" w:hAnsi="Arial" w:cs="Arial"/>
          <w:sz w:val="24"/>
          <w:szCs w:val="24"/>
        </w:rPr>
        <w:lastRenderedPageBreak/>
        <w:t>autonomía individual, espacios que deben ser respetados y protegidos por el Estado, y por otro gozan de una vertiente pública, colectiva o institucional que los convierte en piezas centrales para el adecuado funcionamiento de la democracia representativa.</w:t>
      </w:r>
    </w:p>
    <w:p w14:paraId="27BAD212" w14:textId="77777777" w:rsidR="00FB22A7" w:rsidRDefault="00FB22A7" w:rsidP="00FB22A7">
      <w:pPr>
        <w:spacing w:after="0" w:line="360" w:lineRule="auto"/>
        <w:ind w:right="51" w:firstLine="709"/>
        <w:jc w:val="both"/>
        <w:rPr>
          <w:rFonts w:ascii="Arial" w:hAnsi="Arial" w:cs="Arial"/>
          <w:sz w:val="24"/>
          <w:szCs w:val="24"/>
        </w:rPr>
      </w:pPr>
    </w:p>
    <w:p w14:paraId="4519BB41" w14:textId="77777777" w:rsidR="00FB22A7" w:rsidRPr="00DE42C6" w:rsidRDefault="00FB22A7" w:rsidP="00FB22A7">
      <w:pPr>
        <w:spacing w:after="0" w:line="360" w:lineRule="auto"/>
        <w:ind w:right="51" w:firstLine="709"/>
        <w:jc w:val="both"/>
        <w:rPr>
          <w:rFonts w:ascii="Arial" w:hAnsi="Arial" w:cs="Arial"/>
          <w:sz w:val="24"/>
          <w:szCs w:val="24"/>
        </w:rPr>
      </w:pPr>
      <w:r w:rsidRPr="00DE42C6">
        <w:rPr>
          <w:rFonts w:ascii="Arial" w:hAnsi="Arial" w:cs="Arial"/>
          <w:sz w:val="24"/>
          <w:szCs w:val="24"/>
        </w:rPr>
        <w:t>Tener plena libertad para expresar, recolectar, difundir y publicar informaciones e ideas, en otras palabras, es imprescindible no solamente como instancia esencial de auto-expresión y auto-creación, sino también como premisa para poder ejercer plenament</w:t>
      </w:r>
      <w:r>
        <w:rPr>
          <w:rFonts w:ascii="Arial" w:hAnsi="Arial" w:cs="Arial"/>
          <w:sz w:val="24"/>
          <w:szCs w:val="24"/>
        </w:rPr>
        <w:t xml:space="preserve">e otros derechos fundamentales </w:t>
      </w:r>
      <w:r w:rsidRPr="00761056">
        <w:rPr>
          <w:rFonts w:ascii="Arial" w:hAnsi="Arial" w:cs="Arial"/>
          <w:i/>
          <w:sz w:val="24"/>
          <w:szCs w:val="24"/>
        </w:rPr>
        <w:t>-el de asociarse y reunirse pacíficamente con cualquier objeto lícito, el derecho de petición o el derecho a votar y ser votado-</w:t>
      </w:r>
      <w:r w:rsidRPr="00761056">
        <w:rPr>
          <w:rFonts w:ascii="Arial" w:hAnsi="Arial" w:cs="Arial"/>
          <w:sz w:val="24"/>
          <w:szCs w:val="24"/>
        </w:rPr>
        <w:t xml:space="preserve"> y</w:t>
      </w:r>
      <w:r w:rsidRPr="00DE42C6">
        <w:rPr>
          <w:rFonts w:ascii="Arial" w:hAnsi="Arial" w:cs="Arial"/>
          <w:sz w:val="24"/>
          <w:szCs w:val="24"/>
        </w:rPr>
        <w:t xml:space="preserve"> como elemento funcional que determina la calidad de la vida democrática en un país: si los ciudadanos no tienen plena seguridad de que el derecho los protege en su posibilidad de </w:t>
      </w:r>
      <w:r>
        <w:rPr>
          <w:rFonts w:ascii="Arial" w:hAnsi="Arial" w:cs="Arial"/>
          <w:sz w:val="24"/>
          <w:szCs w:val="24"/>
        </w:rPr>
        <w:t>conocer, investigar y acceder a la información</w:t>
      </w:r>
      <w:r w:rsidRPr="00DE42C6">
        <w:rPr>
          <w:rFonts w:ascii="Arial" w:hAnsi="Arial" w:cs="Arial"/>
          <w:sz w:val="24"/>
          <w:szCs w:val="24"/>
        </w:rPr>
        <w:t>, será imposible avanzar en la obtención de un cuerpo extenso de ciudadanos activos, críticos, comprometidos con los asuntos públicos, atentos al comportamiento y a las decisiones de los gobernantes, capaces de cumplir la función que les corresponde en un régimen democrático.</w:t>
      </w:r>
    </w:p>
    <w:p w14:paraId="073187BB" w14:textId="77777777" w:rsidR="00FB22A7" w:rsidRPr="00DE42C6" w:rsidRDefault="00FB22A7" w:rsidP="00FB22A7">
      <w:pPr>
        <w:spacing w:after="0" w:line="360" w:lineRule="auto"/>
        <w:ind w:right="51" w:firstLine="709"/>
        <w:jc w:val="both"/>
        <w:rPr>
          <w:rFonts w:ascii="Arial" w:hAnsi="Arial" w:cs="Arial"/>
          <w:sz w:val="24"/>
          <w:szCs w:val="24"/>
        </w:rPr>
      </w:pPr>
    </w:p>
    <w:p w14:paraId="1230BF9E" w14:textId="77777777" w:rsidR="00FB22A7" w:rsidRDefault="00FB22A7" w:rsidP="00FB22A7">
      <w:pPr>
        <w:spacing w:after="0" w:line="360" w:lineRule="auto"/>
        <w:ind w:right="51" w:firstLine="709"/>
        <w:jc w:val="both"/>
        <w:rPr>
          <w:rFonts w:ascii="Arial" w:hAnsi="Arial" w:cs="Arial"/>
          <w:sz w:val="24"/>
          <w:szCs w:val="24"/>
        </w:rPr>
      </w:pPr>
      <w:r>
        <w:rPr>
          <w:rFonts w:ascii="Arial" w:hAnsi="Arial" w:cs="Arial"/>
          <w:sz w:val="24"/>
          <w:szCs w:val="24"/>
        </w:rPr>
        <w:t>Por tanto, d</w:t>
      </w:r>
      <w:r w:rsidRPr="005E62B3">
        <w:rPr>
          <w:rFonts w:ascii="Arial" w:hAnsi="Arial" w:cs="Arial"/>
          <w:sz w:val="24"/>
          <w:szCs w:val="24"/>
        </w:rPr>
        <w:t>ada la importancia de</w:t>
      </w:r>
      <w:r>
        <w:rPr>
          <w:rFonts w:ascii="Arial" w:hAnsi="Arial" w:cs="Arial"/>
          <w:sz w:val="24"/>
          <w:szCs w:val="24"/>
        </w:rPr>
        <w:t xml:space="preserve">l derecho de acceso a la información </w:t>
      </w:r>
      <w:r w:rsidRPr="005E62B3">
        <w:rPr>
          <w:rFonts w:ascii="Arial" w:hAnsi="Arial" w:cs="Arial"/>
          <w:sz w:val="24"/>
          <w:szCs w:val="24"/>
        </w:rPr>
        <w:t>en una sociedad democrática</w:t>
      </w:r>
      <w:r>
        <w:rPr>
          <w:rFonts w:ascii="Arial" w:hAnsi="Arial" w:cs="Arial"/>
          <w:sz w:val="24"/>
          <w:szCs w:val="24"/>
        </w:rPr>
        <w:t>, el Obligado</w:t>
      </w:r>
      <w:r w:rsidRPr="005E62B3">
        <w:rPr>
          <w:rFonts w:ascii="Arial" w:hAnsi="Arial" w:cs="Arial"/>
          <w:sz w:val="24"/>
          <w:szCs w:val="24"/>
        </w:rPr>
        <w:t xml:space="preserve"> no sólo debe minimizar las restricciones a la </w:t>
      </w:r>
      <w:r>
        <w:rPr>
          <w:rFonts w:ascii="Arial" w:hAnsi="Arial" w:cs="Arial"/>
          <w:sz w:val="24"/>
          <w:szCs w:val="24"/>
        </w:rPr>
        <w:t xml:space="preserve">divulgación </w:t>
      </w:r>
      <w:r w:rsidRPr="005E62B3">
        <w:rPr>
          <w:rFonts w:ascii="Arial" w:hAnsi="Arial" w:cs="Arial"/>
          <w:sz w:val="24"/>
          <w:szCs w:val="24"/>
        </w:rPr>
        <w:t xml:space="preserve">de la información sino también equilibrar, en la mayor medida de lo posible, la participación de las distintas informaciones en el debate público, impulsando el pluralismo informativo. En consecuencia, la equidad debe regir el flujo informativo. </w:t>
      </w:r>
    </w:p>
    <w:p w14:paraId="7333CA17" w14:textId="77777777" w:rsidR="00FB22A7" w:rsidRDefault="00FB22A7" w:rsidP="00FB22A7">
      <w:pPr>
        <w:spacing w:after="0" w:line="360" w:lineRule="auto"/>
        <w:ind w:right="51" w:firstLine="709"/>
        <w:jc w:val="both"/>
        <w:rPr>
          <w:rFonts w:ascii="Arial" w:hAnsi="Arial" w:cs="Arial"/>
          <w:sz w:val="24"/>
          <w:szCs w:val="24"/>
        </w:rPr>
      </w:pPr>
    </w:p>
    <w:p w14:paraId="24DCCF51" w14:textId="77777777" w:rsidR="00FB22A7" w:rsidRPr="0087118B" w:rsidRDefault="00FB22A7" w:rsidP="00FB22A7">
      <w:pPr>
        <w:spacing w:after="0" w:line="360" w:lineRule="auto"/>
        <w:ind w:right="51" w:firstLine="709"/>
        <w:jc w:val="both"/>
        <w:rPr>
          <w:rFonts w:ascii="Arial" w:hAnsi="Arial" w:cs="Arial"/>
          <w:sz w:val="24"/>
          <w:szCs w:val="24"/>
        </w:rPr>
      </w:pPr>
      <w:r>
        <w:rPr>
          <w:rFonts w:ascii="Arial" w:hAnsi="Arial" w:cs="Arial"/>
          <w:sz w:val="24"/>
          <w:szCs w:val="24"/>
        </w:rPr>
        <w:t xml:space="preserve">Bajo este contexto, se precisa que, </w:t>
      </w:r>
      <w:r w:rsidRPr="0087118B">
        <w:rPr>
          <w:rFonts w:ascii="Arial" w:hAnsi="Arial" w:cs="Arial"/>
          <w:sz w:val="24"/>
          <w:szCs w:val="24"/>
        </w:rPr>
        <w:t>en diversos instrumentos internacionales de los que el Estado Mexicano forma parte; así como resoluciones y sentencias vinculantes emitidas por los organismos nacionales e internacionales, así como los criterios, determinaciones y opiniones de los organismos nacionales e internacionales especializad</w:t>
      </w:r>
      <w:r>
        <w:rPr>
          <w:rFonts w:ascii="Arial" w:hAnsi="Arial" w:cs="Arial"/>
          <w:sz w:val="24"/>
          <w:szCs w:val="24"/>
        </w:rPr>
        <w:t xml:space="preserve">os, en materia de </w:t>
      </w:r>
      <w:r>
        <w:rPr>
          <w:rFonts w:ascii="Arial" w:hAnsi="Arial" w:cs="Arial"/>
          <w:sz w:val="24"/>
          <w:szCs w:val="24"/>
        </w:rPr>
        <w:lastRenderedPageBreak/>
        <w:t>transparencia</w:t>
      </w:r>
      <w:r w:rsidRPr="0087118B">
        <w:rPr>
          <w:rFonts w:ascii="Arial" w:hAnsi="Arial" w:cs="Arial"/>
          <w:sz w:val="24"/>
          <w:szCs w:val="24"/>
          <w:vertAlign w:val="superscript"/>
        </w:rPr>
        <w:footnoteReference w:id="54"/>
      </w:r>
      <w:r>
        <w:rPr>
          <w:rFonts w:ascii="Arial" w:hAnsi="Arial" w:cs="Arial"/>
          <w:sz w:val="24"/>
          <w:szCs w:val="24"/>
        </w:rPr>
        <w:t>,</w:t>
      </w:r>
      <w:r w:rsidRPr="0087118B">
        <w:rPr>
          <w:rFonts w:ascii="Arial" w:hAnsi="Arial" w:cs="Arial"/>
          <w:sz w:val="24"/>
          <w:szCs w:val="24"/>
        </w:rPr>
        <w:t xml:space="preserve"> </w:t>
      </w:r>
      <w:r>
        <w:rPr>
          <w:rFonts w:ascii="Arial" w:hAnsi="Arial" w:cs="Arial"/>
          <w:sz w:val="24"/>
          <w:szCs w:val="24"/>
        </w:rPr>
        <w:t xml:space="preserve">se ha establecido que el derecho de acceso a la información no es absoluto. </w:t>
      </w:r>
    </w:p>
    <w:p w14:paraId="460A0CC0" w14:textId="77777777" w:rsidR="00FB22A7" w:rsidRDefault="00FB22A7" w:rsidP="00FB22A7">
      <w:pPr>
        <w:spacing w:after="0" w:line="360" w:lineRule="auto"/>
        <w:ind w:right="51" w:firstLine="709"/>
        <w:jc w:val="both"/>
        <w:rPr>
          <w:rFonts w:ascii="Arial" w:hAnsi="Arial" w:cs="Arial"/>
          <w:sz w:val="24"/>
          <w:szCs w:val="24"/>
        </w:rPr>
      </w:pPr>
    </w:p>
    <w:p w14:paraId="0A97EFAE" w14:textId="77777777" w:rsidR="00FB22A7" w:rsidRPr="0087118B" w:rsidRDefault="00FB22A7" w:rsidP="00FB22A7">
      <w:pPr>
        <w:spacing w:after="0" w:line="360" w:lineRule="auto"/>
        <w:ind w:right="51" w:firstLine="709"/>
        <w:jc w:val="both"/>
        <w:rPr>
          <w:rFonts w:ascii="Arial" w:hAnsi="Arial" w:cs="Arial"/>
          <w:sz w:val="24"/>
          <w:szCs w:val="24"/>
        </w:rPr>
      </w:pPr>
      <w:r w:rsidRPr="0087118B">
        <w:rPr>
          <w:rFonts w:ascii="Arial" w:hAnsi="Arial" w:cs="Arial"/>
          <w:sz w:val="24"/>
          <w:szCs w:val="24"/>
        </w:rPr>
        <w:t>En este sentido, la Primera Sala de la Suprema Corte de Justicia de la Nación ha establecido que:</w:t>
      </w:r>
      <w:r w:rsidRPr="0087118B">
        <w:rPr>
          <w:rFonts w:ascii="Arial" w:hAnsi="Arial" w:cs="Arial"/>
          <w:i/>
          <w:sz w:val="24"/>
          <w:szCs w:val="24"/>
        </w:rPr>
        <w:t xml:space="preserve"> “el derecho de acceso a la información no es absoluto y puede limitarse en virtud del interés público, seguridad nacional, la vida privada y los datos personales.”</w:t>
      </w:r>
      <w:r w:rsidRPr="0087118B">
        <w:rPr>
          <w:rFonts w:ascii="Arial" w:hAnsi="Arial" w:cs="Arial"/>
          <w:sz w:val="24"/>
          <w:szCs w:val="24"/>
          <w:vertAlign w:val="superscript"/>
        </w:rPr>
        <w:footnoteReference w:id="55"/>
      </w:r>
    </w:p>
    <w:p w14:paraId="01D29618" w14:textId="77777777" w:rsidR="00FB22A7" w:rsidRPr="0087118B" w:rsidRDefault="00FB22A7" w:rsidP="00FB22A7">
      <w:pPr>
        <w:spacing w:after="0" w:line="360" w:lineRule="auto"/>
        <w:ind w:right="51" w:firstLine="709"/>
        <w:jc w:val="both"/>
        <w:rPr>
          <w:rFonts w:ascii="Arial" w:hAnsi="Arial" w:cs="Arial"/>
          <w:sz w:val="24"/>
          <w:szCs w:val="24"/>
        </w:rPr>
      </w:pPr>
    </w:p>
    <w:p w14:paraId="06D4CCD2" w14:textId="77777777" w:rsidR="00FB22A7" w:rsidRPr="0087118B" w:rsidRDefault="00FB22A7" w:rsidP="00FB22A7">
      <w:pPr>
        <w:spacing w:after="0" w:line="360" w:lineRule="auto"/>
        <w:ind w:right="51" w:firstLine="709"/>
        <w:jc w:val="both"/>
        <w:rPr>
          <w:rFonts w:ascii="Arial" w:hAnsi="Arial" w:cs="Arial"/>
          <w:sz w:val="24"/>
          <w:szCs w:val="24"/>
        </w:rPr>
      </w:pPr>
      <w:r w:rsidRPr="0087118B">
        <w:rPr>
          <w:rFonts w:ascii="Arial" w:hAnsi="Arial" w:cs="Arial"/>
          <w:sz w:val="24"/>
          <w:szCs w:val="24"/>
        </w:rPr>
        <w:t xml:space="preserve">Sobre esta base, aunque el derecho de acceso a la información se rige por el principio de máxima divulgación, el Cuarto Tribunal Colegiado en Materia Administrativa del Primer Circuito, precisó que este principio </w:t>
      </w:r>
      <w:r w:rsidRPr="0087118B">
        <w:rPr>
          <w:rFonts w:ascii="Arial" w:hAnsi="Arial" w:cs="Arial"/>
          <w:i/>
          <w:sz w:val="24"/>
          <w:szCs w:val="24"/>
        </w:rPr>
        <w:t>“implica para cualquier autoridad, realizar un manejo de la información bajo la premisa inicial que toda es pública y sólo por excepción, en los casos expresamente previstos en la legislación secundaria y justificables bajo determinadas circunstancias, se podrá clasificar como confidencial o reservada”.</w:t>
      </w:r>
      <w:r w:rsidRPr="0087118B">
        <w:rPr>
          <w:rFonts w:ascii="Arial" w:hAnsi="Arial" w:cs="Arial"/>
          <w:i/>
          <w:sz w:val="24"/>
          <w:szCs w:val="24"/>
          <w:vertAlign w:val="superscript"/>
        </w:rPr>
        <w:footnoteReference w:id="56"/>
      </w:r>
      <w:r w:rsidRPr="0087118B">
        <w:rPr>
          <w:rFonts w:ascii="Arial" w:hAnsi="Arial" w:cs="Arial"/>
          <w:i/>
          <w:sz w:val="24"/>
          <w:szCs w:val="24"/>
        </w:rPr>
        <w:t xml:space="preserve"> </w:t>
      </w:r>
      <w:r w:rsidRPr="0087118B">
        <w:rPr>
          <w:rFonts w:ascii="Arial" w:hAnsi="Arial" w:cs="Arial"/>
          <w:sz w:val="24"/>
          <w:szCs w:val="24"/>
        </w:rPr>
        <w:t xml:space="preserve"> </w:t>
      </w:r>
    </w:p>
    <w:p w14:paraId="2CC24D50" w14:textId="77777777" w:rsidR="00FB22A7" w:rsidRDefault="00FB22A7" w:rsidP="00FB22A7">
      <w:pPr>
        <w:spacing w:after="0" w:line="360" w:lineRule="auto"/>
        <w:ind w:right="51" w:firstLine="709"/>
        <w:jc w:val="both"/>
        <w:rPr>
          <w:rFonts w:ascii="Arial" w:hAnsi="Arial" w:cs="Arial"/>
          <w:sz w:val="24"/>
          <w:szCs w:val="24"/>
        </w:rPr>
      </w:pPr>
    </w:p>
    <w:p w14:paraId="351CC94D" w14:textId="77777777" w:rsidR="00FB22A7" w:rsidRDefault="00FB22A7" w:rsidP="00FB22A7">
      <w:pPr>
        <w:spacing w:after="0" w:line="360" w:lineRule="auto"/>
        <w:ind w:right="51" w:firstLine="709"/>
        <w:jc w:val="both"/>
        <w:rPr>
          <w:rFonts w:ascii="Arial" w:hAnsi="Arial" w:cs="Arial"/>
          <w:sz w:val="24"/>
          <w:szCs w:val="24"/>
        </w:rPr>
      </w:pPr>
      <w:r>
        <w:rPr>
          <w:rFonts w:ascii="Arial" w:hAnsi="Arial" w:cs="Arial"/>
          <w:sz w:val="24"/>
          <w:szCs w:val="24"/>
        </w:rPr>
        <w:t>Por tanto, l</w:t>
      </w:r>
      <w:r w:rsidRPr="005E62B3">
        <w:rPr>
          <w:rFonts w:ascii="Arial" w:hAnsi="Arial" w:cs="Arial"/>
          <w:sz w:val="24"/>
          <w:szCs w:val="24"/>
        </w:rPr>
        <w:t xml:space="preserve">a necesidad de proteger los derechos </w:t>
      </w:r>
      <w:r>
        <w:rPr>
          <w:rFonts w:ascii="Arial" w:hAnsi="Arial" w:cs="Arial"/>
          <w:sz w:val="24"/>
          <w:szCs w:val="24"/>
        </w:rPr>
        <w:t>de acceso a la información pública y el derecho de protección de datos personales</w:t>
      </w:r>
      <w:r w:rsidRPr="005E62B3">
        <w:rPr>
          <w:rFonts w:ascii="Arial" w:hAnsi="Arial" w:cs="Arial"/>
          <w:sz w:val="24"/>
          <w:szCs w:val="24"/>
        </w:rPr>
        <w:t xml:space="preserve">, así como otros derechos que pudieran verse afectados </w:t>
      </w:r>
      <w:r>
        <w:rPr>
          <w:rFonts w:ascii="Arial" w:hAnsi="Arial" w:cs="Arial"/>
          <w:sz w:val="24"/>
          <w:szCs w:val="24"/>
        </w:rPr>
        <w:t xml:space="preserve">en el ejercicio del primero de los derechos mencionados, se deben atender </w:t>
      </w:r>
      <w:r w:rsidRPr="005E62B3">
        <w:rPr>
          <w:rFonts w:ascii="Arial" w:hAnsi="Arial" w:cs="Arial"/>
          <w:sz w:val="24"/>
          <w:szCs w:val="24"/>
        </w:rPr>
        <w:t xml:space="preserve">los límites fijados a este respecto por la </w:t>
      </w:r>
      <w:r>
        <w:rPr>
          <w:rFonts w:ascii="Arial" w:hAnsi="Arial" w:cs="Arial"/>
          <w:sz w:val="24"/>
          <w:szCs w:val="24"/>
        </w:rPr>
        <w:t xml:space="preserve">Ley de la materia, a través de la observación del </w:t>
      </w:r>
      <w:r w:rsidRPr="005E62B3">
        <w:rPr>
          <w:rFonts w:ascii="Arial" w:hAnsi="Arial" w:cs="Arial"/>
          <w:sz w:val="24"/>
          <w:szCs w:val="24"/>
        </w:rPr>
        <w:t xml:space="preserve">criterio de estricta proporcionalidad. </w:t>
      </w:r>
    </w:p>
    <w:p w14:paraId="2C6351FF" w14:textId="77777777" w:rsidR="00FB22A7" w:rsidRDefault="00FB22A7" w:rsidP="00FB22A7">
      <w:pPr>
        <w:spacing w:after="0" w:line="360" w:lineRule="auto"/>
        <w:ind w:right="51" w:firstLine="709"/>
        <w:jc w:val="both"/>
        <w:rPr>
          <w:rFonts w:ascii="Arial" w:hAnsi="Arial" w:cs="Arial"/>
          <w:sz w:val="24"/>
          <w:szCs w:val="24"/>
        </w:rPr>
      </w:pPr>
    </w:p>
    <w:p w14:paraId="2D57BBF8" w14:textId="02FCAB2D" w:rsidR="00761056" w:rsidRDefault="00FB22A7" w:rsidP="00761056">
      <w:pPr>
        <w:spacing w:after="0" w:line="360" w:lineRule="auto"/>
        <w:ind w:right="-93" w:firstLine="708"/>
        <w:jc w:val="both"/>
        <w:rPr>
          <w:rFonts w:ascii="Arial" w:eastAsia="Arial Unicode MS" w:hAnsi="Arial" w:cs="Arial"/>
          <w:sz w:val="24"/>
          <w:szCs w:val="24"/>
          <w:lang w:eastAsia="es-ES"/>
        </w:rPr>
      </w:pPr>
      <w:r>
        <w:rPr>
          <w:rFonts w:ascii="Arial" w:hAnsi="Arial" w:cs="Arial"/>
          <w:sz w:val="24"/>
          <w:szCs w:val="24"/>
        </w:rPr>
        <w:t xml:space="preserve">Atendiendo la naturaleza de la documentación solicitada, es preciso señalar que </w:t>
      </w:r>
      <w:r w:rsidR="00761056">
        <w:rPr>
          <w:rFonts w:ascii="Arial" w:eastAsia="Arial Unicode MS" w:hAnsi="Arial" w:cs="Arial"/>
          <w:sz w:val="24"/>
          <w:szCs w:val="24"/>
          <w:lang w:eastAsia="es-ES"/>
        </w:rPr>
        <w:t>l</w:t>
      </w:r>
      <w:r w:rsidR="00761056" w:rsidRPr="0013403E">
        <w:rPr>
          <w:rFonts w:ascii="Arial" w:eastAsia="Arial Unicode MS" w:hAnsi="Arial" w:cs="Arial"/>
          <w:sz w:val="24"/>
          <w:szCs w:val="24"/>
          <w:lang w:eastAsia="es-ES"/>
        </w:rPr>
        <w:t>a ahora parte recurrente, a través de la solicitud de información número 24</w:t>
      </w:r>
      <w:r w:rsidR="00157CD1">
        <w:rPr>
          <w:rFonts w:ascii="Arial" w:eastAsia="Arial Unicode MS" w:hAnsi="Arial" w:cs="Arial"/>
          <w:sz w:val="24"/>
          <w:szCs w:val="24"/>
          <w:lang w:eastAsia="es-ES"/>
        </w:rPr>
        <w:t>1230226000082</w:t>
      </w:r>
      <w:r w:rsidR="00761056" w:rsidRPr="0013403E">
        <w:rPr>
          <w:rFonts w:ascii="Arial" w:eastAsia="Arial Unicode MS" w:hAnsi="Arial" w:cs="Arial"/>
          <w:sz w:val="24"/>
          <w:szCs w:val="24"/>
          <w:lang w:eastAsia="es-ES"/>
        </w:rPr>
        <w:t xml:space="preserve">, requirió del sujeto obligado la entrega de, entre otras </w:t>
      </w:r>
      <w:r w:rsidR="00761056" w:rsidRPr="0013403E">
        <w:rPr>
          <w:rFonts w:ascii="Arial" w:eastAsia="Arial Unicode MS" w:hAnsi="Arial" w:cs="Arial"/>
          <w:sz w:val="24"/>
          <w:szCs w:val="24"/>
          <w:lang w:eastAsia="es-ES"/>
        </w:rPr>
        <w:lastRenderedPageBreak/>
        <w:t>circunstancias, l</w:t>
      </w:r>
      <w:r w:rsidR="00761056">
        <w:rPr>
          <w:rFonts w:ascii="Arial" w:eastAsia="Arial Unicode MS" w:hAnsi="Arial" w:cs="Arial"/>
          <w:sz w:val="24"/>
          <w:szCs w:val="24"/>
          <w:lang w:eastAsia="es-ES"/>
        </w:rPr>
        <w:t>a certificación de la versión pública que se genere de la totalidad de las constancias que integran el expediente administrativo de</w:t>
      </w:r>
      <w:r w:rsidR="006D4B11">
        <w:rPr>
          <w:rFonts w:ascii="Arial" w:eastAsia="Arial Unicode MS" w:hAnsi="Arial" w:cs="Arial"/>
          <w:sz w:val="24"/>
          <w:szCs w:val="24"/>
          <w:lang w:eastAsia="es-ES"/>
        </w:rPr>
        <w:t xml:space="preserve"> </w:t>
      </w:r>
      <w:r w:rsidR="00761056">
        <w:rPr>
          <w:rFonts w:ascii="Arial" w:eastAsia="Arial Unicode MS" w:hAnsi="Arial" w:cs="Arial"/>
          <w:sz w:val="24"/>
          <w:szCs w:val="24"/>
          <w:lang w:eastAsia="es-ES"/>
        </w:rPr>
        <w:t>l</w:t>
      </w:r>
      <w:r w:rsidR="006D4B11">
        <w:rPr>
          <w:rFonts w:ascii="Arial" w:eastAsia="Arial Unicode MS" w:hAnsi="Arial" w:cs="Arial"/>
          <w:sz w:val="24"/>
          <w:szCs w:val="24"/>
          <w:lang w:eastAsia="es-ES"/>
        </w:rPr>
        <w:t xml:space="preserve">os </w:t>
      </w:r>
      <w:r w:rsidR="00761056">
        <w:rPr>
          <w:rFonts w:ascii="Arial" w:eastAsia="Arial Unicode MS" w:hAnsi="Arial" w:cs="Arial"/>
          <w:sz w:val="24"/>
          <w:szCs w:val="24"/>
          <w:lang w:eastAsia="es-ES"/>
        </w:rPr>
        <w:t>perito</w:t>
      </w:r>
      <w:r w:rsidR="006D4B11">
        <w:rPr>
          <w:rFonts w:ascii="Arial" w:eastAsia="Arial Unicode MS" w:hAnsi="Arial" w:cs="Arial"/>
          <w:sz w:val="24"/>
          <w:szCs w:val="24"/>
          <w:lang w:eastAsia="es-ES"/>
        </w:rPr>
        <w:t>s</w:t>
      </w:r>
      <w:r w:rsidR="00761056">
        <w:rPr>
          <w:rFonts w:ascii="Arial" w:eastAsia="Arial Unicode MS" w:hAnsi="Arial" w:cs="Arial"/>
          <w:sz w:val="24"/>
          <w:szCs w:val="24"/>
          <w:lang w:eastAsia="es-ES"/>
        </w:rPr>
        <w:t xml:space="preserve"> con registro: GES-PV-0806</w:t>
      </w:r>
      <w:r w:rsidR="006D4B11">
        <w:rPr>
          <w:rFonts w:ascii="Arial" w:eastAsia="Arial Unicode MS" w:hAnsi="Arial" w:cs="Arial"/>
          <w:sz w:val="24"/>
          <w:szCs w:val="24"/>
          <w:lang w:eastAsia="es-ES"/>
        </w:rPr>
        <w:t>, GES-PV-0807</w:t>
      </w:r>
      <w:r w:rsidR="00761056">
        <w:rPr>
          <w:rFonts w:ascii="Arial" w:eastAsia="Arial Unicode MS" w:hAnsi="Arial" w:cs="Arial"/>
          <w:sz w:val="24"/>
          <w:szCs w:val="24"/>
          <w:lang w:eastAsia="es-ES"/>
        </w:rPr>
        <w:t xml:space="preserve"> y </w:t>
      </w:r>
      <w:r w:rsidR="006D4B11">
        <w:rPr>
          <w:rFonts w:ascii="Arial" w:eastAsia="Arial Unicode MS" w:hAnsi="Arial" w:cs="Arial"/>
          <w:sz w:val="24"/>
          <w:szCs w:val="24"/>
          <w:lang w:eastAsia="es-ES"/>
        </w:rPr>
        <w:t xml:space="preserve">GES-PV-0705, </w:t>
      </w:r>
      <w:r w:rsidR="00761056">
        <w:rPr>
          <w:rFonts w:ascii="Arial" w:eastAsia="Arial Unicode MS" w:hAnsi="Arial" w:cs="Arial"/>
          <w:sz w:val="24"/>
          <w:szCs w:val="24"/>
          <w:lang w:eastAsia="es-ES"/>
        </w:rPr>
        <w:t>mismo que</w:t>
      </w:r>
      <w:r w:rsidR="00761056" w:rsidRPr="0013403E">
        <w:rPr>
          <w:rFonts w:ascii="Arial" w:eastAsia="Arial Unicode MS" w:hAnsi="Arial" w:cs="Arial"/>
          <w:sz w:val="24"/>
          <w:szCs w:val="24"/>
          <w:lang w:eastAsia="es-ES"/>
        </w:rPr>
        <w:t xml:space="preserve"> el sujeto obligado determinó en excepción para la entrega de información, por actualizar la </w:t>
      </w:r>
      <w:r w:rsidR="00761056">
        <w:rPr>
          <w:rFonts w:ascii="Arial" w:eastAsia="Arial Unicode MS" w:hAnsi="Arial" w:cs="Arial"/>
          <w:sz w:val="24"/>
          <w:szCs w:val="24"/>
          <w:lang w:eastAsia="es-ES"/>
        </w:rPr>
        <w:t xml:space="preserve">confidencialidad de la información y no contar con el consentimiento del titular de los datos personales para realizar la entrega de la información, conforme lo establecido en los artículos 138 y 129 </w:t>
      </w:r>
      <w:r w:rsidR="00761056" w:rsidRPr="0013403E">
        <w:rPr>
          <w:rFonts w:ascii="Arial" w:eastAsia="Arial Unicode MS" w:hAnsi="Arial" w:cs="Arial"/>
          <w:sz w:val="24"/>
          <w:szCs w:val="24"/>
          <w:lang w:eastAsia="es-ES"/>
        </w:rPr>
        <w:t>de la Ley de Transparencia y Acceso a la Información Públic</w:t>
      </w:r>
      <w:r w:rsidR="00761056">
        <w:rPr>
          <w:rFonts w:ascii="Arial" w:eastAsia="Arial Unicode MS" w:hAnsi="Arial" w:cs="Arial"/>
          <w:sz w:val="24"/>
          <w:szCs w:val="24"/>
          <w:lang w:eastAsia="es-ES"/>
        </w:rPr>
        <w:t xml:space="preserve">a del Estado de San Luis Potosí. </w:t>
      </w:r>
    </w:p>
    <w:p w14:paraId="32098C1F" w14:textId="77777777" w:rsidR="00225E5A" w:rsidRDefault="00225E5A" w:rsidP="00FB22A7">
      <w:pPr>
        <w:spacing w:after="0" w:line="360" w:lineRule="auto"/>
        <w:ind w:right="51" w:firstLine="709"/>
        <w:jc w:val="both"/>
        <w:rPr>
          <w:rFonts w:ascii="Arial" w:hAnsi="Arial" w:cs="Arial"/>
          <w:sz w:val="24"/>
          <w:szCs w:val="24"/>
        </w:rPr>
      </w:pPr>
    </w:p>
    <w:p w14:paraId="6F2EF29A" w14:textId="69F68998" w:rsidR="00761056" w:rsidRDefault="00D64FCC" w:rsidP="00FB22A7">
      <w:pPr>
        <w:spacing w:after="0" w:line="360" w:lineRule="auto"/>
        <w:ind w:right="51" w:firstLine="709"/>
        <w:jc w:val="both"/>
        <w:rPr>
          <w:rFonts w:ascii="Arial" w:hAnsi="Arial" w:cs="Arial"/>
          <w:sz w:val="24"/>
          <w:szCs w:val="24"/>
        </w:rPr>
      </w:pPr>
      <w:r>
        <w:rPr>
          <w:rFonts w:ascii="Arial" w:hAnsi="Arial" w:cs="Arial"/>
          <w:sz w:val="24"/>
          <w:szCs w:val="24"/>
        </w:rPr>
        <w:t xml:space="preserve">De conformidad con lo previsto en el </w:t>
      </w:r>
      <w:r w:rsidRPr="00D64FCC">
        <w:rPr>
          <w:rFonts w:ascii="Arial" w:hAnsi="Arial" w:cs="Arial"/>
          <w:sz w:val="24"/>
          <w:szCs w:val="24"/>
        </w:rPr>
        <w:t>Reglamento Interior de la Secretaría General de Gobierno de San Luis Potosí</w:t>
      </w:r>
      <w:r>
        <w:rPr>
          <w:rStyle w:val="Refdenotaalpie"/>
          <w:rFonts w:ascii="Arial" w:hAnsi="Arial" w:cs="Arial"/>
          <w:sz w:val="24"/>
          <w:szCs w:val="24"/>
        </w:rPr>
        <w:footnoteReference w:id="57"/>
      </w:r>
      <w:r>
        <w:rPr>
          <w:rFonts w:ascii="Arial" w:hAnsi="Arial" w:cs="Arial"/>
          <w:sz w:val="24"/>
          <w:szCs w:val="24"/>
        </w:rPr>
        <w:t xml:space="preserve">, la Secretaría </w:t>
      </w:r>
      <w:r w:rsidRPr="00D64FCC">
        <w:rPr>
          <w:rFonts w:ascii="Arial" w:hAnsi="Arial" w:cs="Arial"/>
          <w:sz w:val="24"/>
          <w:szCs w:val="24"/>
        </w:rPr>
        <w:t>General de Gobierno es una dependencia del Poder Ejecutivo del Estado, que tiene a su cargo el ejercicio de las facultades que le confieren la Constitución Política del Estado Libre y Soberano de San Luis Potosí, la Ley Orgánica de la Administración Pública del Estado, y las que se deriven de otras leyes, reglamentos, decretos, acuerdos y órdenes del titular del Poder Ejecutivo del Estado</w:t>
      </w:r>
      <w:r>
        <w:rPr>
          <w:rStyle w:val="Refdenotaalpie"/>
          <w:rFonts w:ascii="Arial" w:hAnsi="Arial" w:cs="Arial"/>
          <w:sz w:val="24"/>
          <w:szCs w:val="24"/>
        </w:rPr>
        <w:footnoteReference w:id="58"/>
      </w:r>
      <w:r w:rsidRPr="00D64FCC">
        <w:rPr>
          <w:rFonts w:ascii="Arial" w:hAnsi="Arial" w:cs="Arial"/>
          <w:sz w:val="24"/>
          <w:szCs w:val="24"/>
        </w:rPr>
        <w:t>.</w:t>
      </w:r>
    </w:p>
    <w:p w14:paraId="5D78B471" w14:textId="77777777" w:rsidR="00761056" w:rsidRDefault="00761056" w:rsidP="00FB22A7">
      <w:pPr>
        <w:spacing w:after="0" w:line="360" w:lineRule="auto"/>
        <w:ind w:right="51" w:firstLine="709"/>
        <w:jc w:val="both"/>
        <w:rPr>
          <w:rFonts w:ascii="Arial" w:hAnsi="Arial" w:cs="Arial"/>
          <w:sz w:val="24"/>
          <w:szCs w:val="24"/>
        </w:rPr>
      </w:pPr>
    </w:p>
    <w:p w14:paraId="35130965" w14:textId="0EFADA35" w:rsidR="00D64FCC" w:rsidRPr="00D64FCC" w:rsidRDefault="00D64FCC" w:rsidP="00D64FCC">
      <w:pPr>
        <w:spacing w:after="0" w:line="360" w:lineRule="auto"/>
        <w:ind w:right="51" w:firstLine="709"/>
        <w:jc w:val="both"/>
        <w:rPr>
          <w:rFonts w:ascii="Arial" w:hAnsi="Arial" w:cs="Arial"/>
          <w:sz w:val="24"/>
          <w:szCs w:val="24"/>
        </w:rPr>
      </w:pPr>
      <w:r>
        <w:rPr>
          <w:rFonts w:ascii="Arial" w:hAnsi="Arial" w:cs="Arial"/>
          <w:sz w:val="24"/>
          <w:szCs w:val="24"/>
        </w:rPr>
        <w:t>A</w:t>
      </w:r>
      <w:r w:rsidRPr="00D64FCC">
        <w:rPr>
          <w:rFonts w:ascii="Arial" w:hAnsi="Arial" w:cs="Arial"/>
          <w:sz w:val="24"/>
          <w:szCs w:val="24"/>
        </w:rPr>
        <w:t>l frente de la Secretaría General de Gobierno habrá una persona cuyo nombramiento le corresponde a la persona titular del Poder Ejecutivo del Estado, a quien se le denominará titular de la Secretaría General de Gobierno, el cual para el desahogo de los asuntos de su competencia, se auxiliará con el personal de apoyo que requiera y que se encuentre previsto en el presupuesto de egresos y quien para el ejercicio de sus facultades se auxilia</w:t>
      </w:r>
      <w:r>
        <w:rPr>
          <w:rStyle w:val="Refdenotaalpie"/>
          <w:rFonts w:ascii="Arial" w:hAnsi="Arial" w:cs="Arial"/>
          <w:sz w:val="24"/>
          <w:szCs w:val="24"/>
        </w:rPr>
        <w:footnoteReference w:id="59"/>
      </w:r>
      <w:r>
        <w:rPr>
          <w:rFonts w:ascii="Arial" w:hAnsi="Arial" w:cs="Arial"/>
          <w:sz w:val="24"/>
          <w:szCs w:val="24"/>
        </w:rPr>
        <w:t xml:space="preserve"> -en lo que aquí interesa- de la Dirección General de Gobernación</w:t>
      </w:r>
      <w:r>
        <w:rPr>
          <w:rStyle w:val="Refdenotaalpie"/>
          <w:rFonts w:ascii="Arial" w:hAnsi="Arial" w:cs="Arial"/>
          <w:sz w:val="24"/>
          <w:szCs w:val="24"/>
        </w:rPr>
        <w:footnoteReference w:id="60"/>
      </w:r>
      <w:r>
        <w:rPr>
          <w:rFonts w:ascii="Arial" w:hAnsi="Arial" w:cs="Arial"/>
          <w:sz w:val="24"/>
          <w:szCs w:val="24"/>
        </w:rPr>
        <w:t xml:space="preserve">, a quien corresponde dar trámite a las </w:t>
      </w:r>
      <w:r w:rsidRPr="00D64FCC">
        <w:rPr>
          <w:rFonts w:ascii="Arial" w:hAnsi="Arial" w:cs="Arial"/>
          <w:sz w:val="24"/>
          <w:szCs w:val="24"/>
        </w:rPr>
        <w:t>solicitudes que presenten los interesados en inscribirse en el Registro Estatal de Peritos, así como llevar un control del padrón de los mismos, en términos de las disposiciones previstas por la Ley de Perito</w:t>
      </w:r>
      <w:r>
        <w:rPr>
          <w:rFonts w:ascii="Arial" w:hAnsi="Arial" w:cs="Arial"/>
          <w:sz w:val="24"/>
          <w:szCs w:val="24"/>
        </w:rPr>
        <w:t>s del Estado de San Luis Potosí</w:t>
      </w:r>
      <w:r>
        <w:rPr>
          <w:rStyle w:val="Refdenotaalpie"/>
          <w:rFonts w:ascii="Arial" w:hAnsi="Arial" w:cs="Arial"/>
          <w:sz w:val="24"/>
          <w:szCs w:val="24"/>
        </w:rPr>
        <w:footnoteReference w:id="61"/>
      </w:r>
      <w:r>
        <w:rPr>
          <w:rFonts w:ascii="Arial" w:hAnsi="Arial" w:cs="Arial"/>
          <w:sz w:val="24"/>
          <w:szCs w:val="24"/>
        </w:rPr>
        <w:t>.</w:t>
      </w:r>
    </w:p>
    <w:p w14:paraId="1D25D029" w14:textId="77777777" w:rsidR="00D64FCC" w:rsidRDefault="00D64FCC" w:rsidP="00FB22A7">
      <w:pPr>
        <w:spacing w:after="0" w:line="360" w:lineRule="auto"/>
        <w:ind w:right="51" w:firstLine="709"/>
        <w:jc w:val="both"/>
        <w:rPr>
          <w:rFonts w:ascii="Arial" w:hAnsi="Arial" w:cs="Arial"/>
          <w:sz w:val="24"/>
          <w:szCs w:val="24"/>
        </w:rPr>
      </w:pPr>
    </w:p>
    <w:p w14:paraId="60FCDD5F" w14:textId="7FD789FA" w:rsidR="00761056" w:rsidRPr="00D64FCC" w:rsidRDefault="00D64FCC" w:rsidP="00D64FCC">
      <w:pPr>
        <w:spacing w:after="0" w:line="360" w:lineRule="auto"/>
        <w:ind w:right="51" w:firstLine="709"/>
        <w:jc w:val="both"/>
        <w:rPr>
          <w:rFonts w:ascii="Arial" w:hAnsi="Arial" w:cs="Arial"/>
          <w:sz w:val="24"/>
          <w:szCs w:val="24"/>
        </w:rPr>
      </w:pPr>
      <w:r>
        <w:rPr>
          <w:rFonts w:ascii="Arial" w:hAnsi="Arial" w:cs="Arial"/>
          <w:sz w:val="24"/>
          <w:szCs w:val="24"/>
        </w:rPr>
        <w:t xml:space="preserve">La Ley de Peritos del Estado de San Luis Potosí, </w:t>
      </w:r>
      <w:r w:rsidRPr="00D64FCC">
        <w:rPr>
          <w:rFonts w:ascii="Arial" w:hAnsi="Arial" w:cs="Arial"/>
          <w:sz w:val="24"/>
          <w:szCs w:val="24"/>
        </w:rPr>
        <w:t xml:space="preserve">establece el Registro Estatal de Peritos como un medio de control de orden público e interés general, </w:t>
      </w:r>
      <w:r w:rsidRPr="00D64FCC">
        <w:rPr>
          <w:rFonts w:ascii="Arial" w:hAnsi="Arial" w:cs="Arial"/>
          <w:sz w:val="24"/>
          <w:szCs w:val="24"/>
        </w:rPr>
        <w:lastRenderedPageBreak/>
        <w:t>que estará a cargo de la Secretaría General de Gobierno bajo las políticas y criterios que establezca la Comisión</w:t>
      </w:r>
      <w:r>
        <w:rPr>
          <w:rStyle w:val="Refdenotaalpie"/>
          <w:rFonts w:ascii="Arial" w:hAnsi="Arial" w:cs="Arial"/>
          <w:sz w:val="24"/>
          <w:szCs w:val="24"/>
        </w:rPr>
        <w:footnoteReference w:id="62"/>
      </w:r>
      <w:r w:rsidRPr="00D64FCC">
        <w:rPr>
          <w:rFonts w:ascii="Arial" w:hAnsi="Arial" w:cs="Arial"/>
          <w:sz w:val="24"/>
          <w:szCs w:val="24"/>
        </w:rPr>
        <w:t>.</w:t>
      </w:r>
    </w:p>
    <w:p w14:paraId="687D5943" w14:textId="542E2349" w:rsidR="00761056" w:rsidRDefault="00761056" w:rsidP="00FB22A7">
      <w:pPr>
        <w:spacing w:after="0" w:line="360" w:lineRule="auto"/>
        <w:ind w:right="51" w:firstLine="709"/>
        <w:jc w:val="both"/>
        <w:rPr>
          <w:rFonts w:ascii="Arial" w:hAnsi="Arial" w:cs="Arial"/>
          <w:sz w:val="24"/>
          <w:szCs w:val="24"/>
        </w:rPr>
      </w:pPr>
    </w:p>
    <w:p w14:paraId="090C7D8A" w14:textId="5C525552" w:rsidR="00D64FCC" w:rsidRDefault="00D64FCC" w:rsidP="00FB22A7">
      <w:pPr>
        <w:spacing w:after="0" w:line="360" w:lineRule="auto"/>
        <w:ind w:right="51" w:firstLine="709"/>
        <w:jc w:val="both"/>
        <w:rPr>
          <w:rFonts w:ascii="Arial" w:hAnsi="Arial" w:cs="Arial"/>
          <w:sz w:val="24"/>
          <w:szCs w:val="24"/>
        </w:rPr>
      </w:pPr>
      <w:r>
        <w:rPr>
          <w:rFonts w:ascii="Arial" w:hAnsi="Arial" w:cs="Arial"/>
          <w:sz w:val="24"/>
          <w:szCs w:val="24"/>
        </w:rPr>
        <w:t>Asimismo, dicha normatividad establece que l</w:t>
      </w:r>
      <w:r w:rsidRPr="00D64FCC">
        <w:rPr>
          <w:rFonts w:ascii="Arial" w:hAnsi="Arial" w:cs="Arial"/>
          <w:sz w:val="24"/>
          <w:szCs w:val="24"/>
        </w:rPr>
        <w:t xml:space="preserve">os poderes Legislativo y Judicial y las dependencias del Ejecutivo del Estado, de los Municipios y sus organismos descentralizados, así como los organismos constitucionales autónomos, sólo admitirán los avalúos y dictámenes periciales que hayan sido expedidos por peritos inscritos en el Registro a que se refiere el </w:t>
      </w:r>
      <w:r w:rsidR="004C70F9">
        <w:rPr>
          <w:rFonts w:ascii="Arial" w:hAnsi="Arial" w:cs="Arial"/>
          <w:sz w:val="24"/>
          <w:szCs w:val="24"/>
        </w:rPr>
        <w:t>párrafo</w:t>
      </w:r>
      <w:r w:rsidRPr="00D64FCC">
        <w:rPr>
          <w:rFonts w:ascii="Arial" w:hAnsi="Arial" w:cs="Arial"/>
          <w:sz w:val="24"/>
          <w:szCs w:val="24"/>
        </w:rPr>
        <w:t xml:space="preserve"> anterior</w:t>
      </w:r>
      <w:r w:rsidR="004C70F9">
        <w:rPr>
          <w:rStyle w:val="Refdenotaalpie"/>
          <w:rFonts w:ascii="Arial" w:hAnsi="Arial" w:cs="Arial"/>
          <w:sz w:val="24"/>
          <w:szCs w:val="24"/>
        </w:rPr>
        <w:footnoteReference w:id="63"/>
      </w:r>
      <w:r w:rsidRPr="00D64FCC">
        <w:rPr>
          <w:rFonts w:ascii="Arial" w:hAnsi="Arial" w:cs="Arial"/>
          <w:sz w:val="24"/>
          <w:szCs w:val="24"/>
        </w:rPr>
        <w:t>, así como los avalúos catastrales y los emitidos por corredores públicos de conformidad con lo previsto en sus leyes o reglamentos respectivos.</w:t>
      </w:r>
    </w:p>
    <w:p w14:paraId="5EFAD725" w14:textId="51BF9656" w:rsidR="00FB22A7" w:rsidRDefault="00FB22A7" w:rsidP="003D22C9">
      <w:pPr>
        <w:autoSpaceDE w:val="0"/>
        <w:autoSpaceDN w:val="0"/>
        <w:adjustRightInd w:val="0"/>
        <w:spacing w:after="0" w:line="360" w:lineRule="auto"/>
        <w:ind w:right="49" w:firstLine="709"/>
        <w:jc w:val="both"/>
        <w:rPr>
          <w:rFonts w:ascii="Arial" w:hAnsi="Arial" w:cs="Arial"/>
          <w:sz w:val="24"/>
          <w:szCs w:val="24"/>
        </w:rPr>
      </w:pPr>
    </w:p>
    <w:p w14:paraId="2245FE06" w14:textId="77777777" w:rsidR="004C70F9" w:rsidRDefault="004C70F9" w:rsidP="004C70F9">
      <w:pPr>
        <w:autoSpaceDE w:val="0"/>
        <w:autoSpaceDN w:val="0"/>
        <w:adjustRightInd w:val="0"/>
        <w:spacing w:after="0" w:line="360" w:lineRule="auto"/>
        <w:ind w:right="49" w:firstLine="709"/>
        <w:jc w:val="both"/>
        <w:rPr>
          <w:rFonts w:ascii="Arial" w:hAnsi="Arial" w:cs="Arial"/>
          <w:sz w:val="24"/>
          <w:szCs w:val="24"/>
        </w:rPr>
      </w:pPr>
      <w:r>
        <w:rPr>
          <w:rFonts w:ascii="Arial" w:hAnsi="Arial" w:cs="Arial"/>
          <w:sz w:val="24"/>
          <w:szCs w:val="24"/>
        </w:rPr>
        <w:t>El artículo 12 de la citada normatividad, establece los requisitos p</w:t>
      </w:r>
      <w:r w:rsidRPr="004C70F9">
        <w:rPr>
          <w:rFonts w:ascii="Arial" w:hAnsi="Arial" w:cs="Arial"/>
          <w:sz w:val="24"/>
          <w:szCs w:val="24"/>
        </w:rPr>
        <w:t xml:space="preserve">ara ejercer la actividad pericial en el Estado, </w:t>
      </w:r>
      <w:r>
        <w:rPr>
          <w:rFonts w:ascii="Arial" w:hAnsi="Arial" w:cs="Arial"/>
          <w:sz w:val="24"/>
          <w:szCs w:val="24"/>
        </w:rPr>
        <w:t xml:space="preserve">debiendo de </w:t>
      </w:r>
      <w:r w:rsidRPr="004C70F9">
        <w:rPr>
          <w:rFonts w:ascii="Arial" w:hAnsi="Arial" w:cs="Arial"/>
          <w:sz w:val="24"/>
          <w:szCs w:val="24"/>
        </w:rPr>
        <w:t>inscribirse en el Registro, presentando por escrito la solicitud correspondiente ante la Secretaría General de</w:t>
      </w:r>
      <w:r>
        <w:rPr>
          <w:rFonts w:ascii="Arial" w:hAnsi="Arial" w:cs="Arial"/>
          <w:sz w:val="24"/>
          <w:szCs w:val="24"/>
        </w:rPr>
        <w:t xml:space="preserve"> </w:t>
      </w:r>
      <w:r w:rsidRPr="004C70F9">
        <w:rPr>
          <w:rFonts w:ascii="Arial" w:hAnsi="Arial" w:cs="Arial"/>
          <w:sz w:val="24"/>
          <w:szCs w:val="24"/>
        </w:rPr>
        <w:t>Gobi</w:t>
      </w:r>
      <w:r>
        <w:rPr>
          <w:rFonts w:ascii="Arial" w:hAnsi="Arial" w:cs="Arial"/>
          <w:sz w:val="24"/>
          <w:szCs w:val="24"/>
        </w:rPr>
        <w:t>erno, debiendo anexar a ésta, la</w:t>
      </w:r>
      <w:r w:rsidRPr="004C70F9">
        <w:rPr>
          <w:rFonts w:ascii="Arial" w:hAnsi="Arial" w:cs="Arial"/>
          <w:sz w:val="24"/>
          <w:szCs w:val="24"/>
        </w:rPr>
        <w:t>s document</w:t>
      </w:r>
      <w:r>
        <w:rPr>
          <w:rFonts w:ascii="Arial" w:hAnsi="Arial" w:cs="Arial"/>
          <w:sz w:val="24"/>
          <w:szCs w:val="24"/>
        </w:rPr>
        <w:t xml:space="preserve">ales </w:t>
      </w:r>
      <w:r w:rsidRPr="004C70F9">
        <w:rPr>
          <w:rFonts w:ascii="Arial" w:hAnsi="Arial" w:cs="Arial"/>
          <w:sz w:val="24"/>
          <w:szCs w:val="24"/>
        </w:rPr>
        <w:t>que acrediten el cumplimiento de los requisitos</w:t>
      </w:r>
      <w:r>
        <w:rPr>
          <w:rFonts w:ascii="Arial" w:hAnsi="Arial" w:cs="Arial"/>
          <w:sz w:val="24"/>
          <w:szCs w:val="24"/>
        </w:rPr>
        <w:t xml:space="preserve"> enunciados en dicho numeral.</w:t>
      </w:r>
    </w:p>
    <w:p w14:paraId="21E36FBA" w14:textId="77777777" w:rsidR="004C70F9" w:rsidRDefault="004C70F9" w:rsidP="004C70F9">
      <w:pPr>
        <w:autoSpaceDE w:val="0"/>
        <w:autoSpaceDN w:val="0"/>
        <w:adjustRightInd w:val="0"/>
        <w:spacing w:after="0" w:line="360" w:lineRule="auto"/>
        <w:ind w:right="49" w:firstLine="709"/>
        <w:jc w:val="both"/>
        <w:rPr>
          <w:rFonts w:ascii="Arial" w:hAnsi="Arial" w:cs="Arial"/>
          <w:sz w:val="24"/>
          <w:szCs w:val="24"/>
        </w:rPr>
      </w:pPr>
    </w:p>
    <w:p w14:paraId="3840745B" w14:textId="5BF2A71F" w:rsidR="004C70F9" w:rsidRDefault="004C70F9" w:rsidP="004C70F9">
      <w:pPr>
        <w:autoSpaceDE w:val="0"/>
        <w:autoSpaceDN w:val="0"/>
        <w:adjustRightInd w:val="0"/>
        <w:spacing w:after="0" w:line="360" w:lineRule="auto"/>
        <w:ind w:right="49" w:firstLine="709"/>
        <w:jc w:val="both"/>
        <w:rPr>
          <w:rFonts w:ascii="Arial" w:hAnsi="Arial" w:cs="Arial"/>
          <w:sz w:val="24"/>
          <w:szCs w:val="24"/>
        </w:rPr>
      </w:pPr>
      <w:r w:rsidRPr="004C70F9">
        <w:rPr>
          <w:rFonts w:ascii="Arial" w:hAnsi="Arial" w:cs="Arial"/>
          <w:sz w:val="24"/>
          <w:szCs w:val="24"/>
        </w:rPr>
        <w:t>En caso de concederse la inscripción se asentará en el Registro y se extenderá al interesado la constancia respectiva que lo a</w:t>
      </w:r>
      <w:r>
        <w:rPr>
          <w:rFonts w:ascii="Arial" w:hAnsi="Arial" w:cs="Arial"/>
          <w:sz w:val="24"/>
          <w:szCs w:val="24"/>
        </w:rPr>
        <w:t>credite como perito autorizado</w:t>
      </w:r>
      <w:r>
        <w:rPr>
          <w:rStyle w:val="Refdenotaalpie"/>
          <w:rFonts w:ascii="Arial" w:hAnsi="Arial" w:cs="Arial"/>
          <w:sz w:val="24"/>
          <w:szCs w:val="24"/>
        </w:rPr>
        <w:footnoteReference w:id="64"/>
      </w:r>
      <w:r>
        <w:rPr>
          <w:rFonts w:ascii="Arial" w:hAnsi="Arial" w:cs="Arial"/>
          <w:sz w:val="24"/>
          <w:szCs w:val="24"/>
        </w:rPr>
        <w:t xml:space="preserve">. </w:t>
      </w:r>
      <w:r w:rsidRPr="004C70F9">
        <w:rPr>
          <w:rFonts w:ascii="Arial" w:hAnsi="Arial" w:cs="Arial"/>
          <w:sz w:val="24"/>
          <w:szCs w:val="24"/>
        </w:rPr>
        <w:t>La Constancia hará las veces de autorización para el ejercicio de esta actividad</w:t>
      </w:r>
      <w:r>
        <w:rPr>
          <w:rStyle w:val="Refdenotaalpie"/>
          <w:rFonts w:ascii="Arial" w:hAnsi="Arial" w:cs="Arial"/>
          <w:sz w:val="24"/>
          <w:szCs w:val="24"/>
        </w:rPr>
        <w:footnoteReference w:id="65"/>
      </w:r>
      <w:r w:rsidRPr="004C70F9">
        <w:rPr>
          <w:rFonts w:ascii="Arial" w:hAnsi="Arial" w:cs="Arial"/>
          <w:sz w:val="24"/>
          <w:szCs w:val="24"/>
        </w:rPr>
        <w:t>.</w:t>
      </w:r>
    </w:p>
    <w:p w14:paraId="31B1E6D2" w14:textId="77777777" w:rsidR="004C70F9" w:rsidRDefault="004C70F9" w:rsidP="004C70F9">
      <w:pPr>
        <w:autoSpaceDE w:val="0"/>
        <w:autoSpaceDN w:val="0"/>
        <w:adjustRightInd w:val="0"/>
        <w:spacing w:after="0" w:line="360" w:lineRule="auto"/>
        <w:ind w:right="49" w:firstLine="709"/>
        <w:jc w:val="both"/>
        <w:rPr>
          <w:rFonts w:ascii="Arial" w:hAnsi="Arial" w:cs="Arial"/>
          <w:sz w:val="24"/>
          <w:szCs w:val="24"/>
        </w:rPr>
      </w:pPr>
    </w:p>
    <w:p w14:paraId="58288B7F" w14:textId="239985FE" w:rsidR="004C70F9" w:rsidRDefault="004C70F9" w:rsidP="004C70F9">
      <w:pPr>
        <w:autoSpaceDE w:val="0"/>
        <w:autoSpaceDN w:val="0"/>
        <w:adjustRightInd w:val="0"/>
        <w:spacing w:after="0" w:line="360" w:lineRule="auto"/>
        <w:ind w:right="49" w:firstLine="709"/>
        <w:jc w:val="both"/>
        <w:rPr>
          <w:rFonts w:ascii="Arial" w:hAnsi="Arial" w:cs="Arial"/>
          <w:sz w:val="24"/>
          <w:szCs w:val="24"/>
        </w:rPr>
      </w:pPr>
      <w:r>
        <w:rPr>
          <w:rFonts w:ascii="Arial" w:hAnsi="Arial" w:cs="Arial"/>
          <w:sz w:val="24"/>
          <w:szCs w:val="24"/>
        </w:rPr>
        <w:t xml:space="preserve">Así, en </w:t>
      </w:r>
      <w:r w:rsidRPr="004C70F9">
        <w:rPr>
          <w:rFonts w:ascii="Arial" w:hAnsi="Arial" w:cs="Arial"/>
          <w:sz w:val="24"/>
          <w:szCs w:val="24"/>
        </w:rPr>
        <w:t>los meses de enero y julio de cada año la Secretaría publicará en el Periódico Oficial del Estado y en alguno de los de mayor circulación de la entidad, el Directorio actualizado de Peritos inscritos en el Registro Estatal, expresando sus nombres, direcciones, especialidades y datos profesionales</w:t>
      </w:r>
      <w:r>
        <w:rPr>
          <w:rStyle w:val="Refdenotaalpie"/>
          <w:rFonts w:ascii="Arial" w:hAnsi="Arial" w:cs="Arial"/>
          <w:sz w:val="24"/>
          <w:szCs w:val="24"/>
        </w:rPr>
        <w:footnoteReference w:id="66"/>
      </w:r>
      <w:r w:rsidRPr="004C70F9">
        <w:rPr>
          <w:rFonts w:ascii="Arial" w:hAnsi="Arial" w:cs="Arial"/>
          <w:sz w:val="24"/>
          <w:szCs w:val="24"/>
        </w:rPr>
        <w:t xml:space="preserve">. </w:t>
      </w:r>
      <w:r w:rsidRPr="004C70F9">
        <w:rPr>
          <w:rFonts w:ascii="Arial" w:hAnsi="Arial" w:cs="Arial"/>
          <w:sz w:val="24"/>
          <w:szCs w:val="24"/>
        </w:rPr>
        <w:lastRenderedPageBreak/>
        <w:t>Los peritos inscritos en el Registro deberán revalidar la constancia cada dos años cumpliendo con los requisitos que para tal efecto señale el Reglamento</w:t>
      </w:r>
      <w:r>
        <w:rPr>
          <w:rStyle w:val="Refdenotaalpie"/>
          <w:rFonts w:ascii="Arial" w:hAnsi="Arial" w:cs="Arial"/>
          <w:sz w:val="24"/>
          <w:szCs w:val="24"/>
        </w:rPr>
        <w:footnoteReference w:id="67"/>
      </w:r>
      <w:r w:rsidRPr="004C70F9">
        <w:rPr>
          <w:rFonts w:ascii="Arial" w:hAnsi="Arial" w:cs="Arial"/>
          <w:sz w:val="24"/>
          <w:szCs w:val="24"/>
        </w:rPr>
        <w:t xml:space="preserve">. </w:t>
      </w:r>
    </w:p>
    <w:p w14:paraId="7516DC69" w14:textId="5A9C3AD8" w:rsidR="004C70F9" w:rsidRDefault="004C70F9" w:rsidP="004C70F9">
      <w:pPr>
        <w:autoSpaceDE w:val="0"/>
        <w:autoSpaceDN w:val="0"/>
        <w:adjustRightInd w:val="0"/>
        <w:spacing w:after="0" w:line="360" w:lineRule="auto"/>
        <w:ind w:right="49" w:firstLine="709"/>
        <w:jc w:val="both"/>
        <w:rPr>
          <w:rFonts w:ascii="Arial" w:hAnsi="Arial" w:cs="Arial"/>
          <w:sz w:val="24"/>
          <w:szCs w:val="24"/>
        </w:rPr>
      </w:pPr>
    </w:p>
    <w:p w14:paraId="1485BC03" w14:textId="098C709A" w:rsidR="00225E5A" w:rsidRPr="00225E5A" w:rsidRDefault="00225E5A" w:rsidP="00225E5A">
      <w:pPr>
        <w:autoSpaceDE w:val="0"/>
        <w:autoSpaceDN w:val="0"/>
        <w:adjustRightInd w:val="0"/>
        <w:spacing w:after="0" w:line="360" w:lineRule="auto"/>
        <w:ind w:right="49" w:firstLine="709"/>
        <w:jc w:val="both"/>
        <w:rPr>
          <w:rFonts w:ascii="Arial" w:hAnsi="Arial" w:cs="Arial"/>
          <w:sz w:val="24"/>
          <w:szCs w:val="24"/>
        </w:rPr>
      </w:pPr>
      <w:r>
        <w:rPr>
          <w:rFonts w:ascii="Arial" w:hAnsi="Arial" w:cs="Arial"/>
          <w:sz w:val="24"/>
          <w:szCs w:val="24"/>
        </w:rPr>
        <w:t xml:space="preserve">Conforme lo anterior, atento </w:t>
      </w:r>
      <w:r w:rsidRPr="00225E5A">
        <w:rPr>
          <w:rFonts w:ascii="Arial" w:hAnsi="Arial" w:cs="Arial"/>
          <w:sz w:val="24"/>
          <w:szCs w:val="24"/>
          <w:u w:val="single"/>
        </w:rPr>
        <w:t>al principio de buena fé administrativa</w:t>
      </w:r>
      <w:r w:rsidRPr="00225E5A">
        <w:rPr>
          <w:rFonts w:ascii="Arial" w:hAnsi="Arial" w:cs="Arial"/>
          <w:sz w:val="24"/>
          <w:szCs w:val="24"/>
        </w:rPr>
        <w:t>, contemplado en el párrafo segundo del artículo 175,</w:t>
      </w:r>
      <w:r w:rsidRPr="00225E5A">
        <w:rPr>
          <w:rFonts w:ascii="Arial" w:hAnsi="Arial" w:cs="Arial"/>
          <w:sz w:val="24"/>
          <w:szCs w:val="24"/>
          <w:vertAlign w:val="superscript"/>
        </w:rPr>
        <w:footnoteReference w:id="68"/>
      </w:r>
      <w:r w:rsidRPr="00225E5A">
        <w:rPr>
          <w:rFonts w:ascii="Arial" w:hAnsi="Arial" w:cs="Arial"/>
          <w:sz w:val="24"/>
          <w:szCs w:val="24"/>
        </w:rPr>
        <w:t xml:space="preserve"> del Código Procesal Administrativo para el Estado de San Luis Potosí, por el cual, las manifestaciones de las partes se tendrán por ciertas, salvo prueba en contrario, </w:t>
      </w:r>
      <w:r w:rsidRPr="00225E5A">
        <w:rPr>
          <w:rFonts w:ascii="Arial" w:hAnsi="Arial" w:cs="Arial"/>
          <w:sz w:val="24"/>
          <w:szCs w:val="24"/>
          <w:u w:val="single"/>
        </w:rPr>
        <w:t>se presume cierta la existencia de</w:t>
      </w:r>
      <w:r w:rsidR="006D4B11">
        <w:rPr>
          <w:rFonts w:ascii="Arial" w:hAnsi="Arial" w:cs="Arial"/>
          <w:sz w:val="24"/>
          <w:szCs w:val="24"/>
          <w:u w:val="single"/>
        </w:rPr>
        <w:t xml:space="preserve"> </w:t>
      </w:r>
      <w:r>
        <w:rPr>
          <w:rFonts w:ascii="Arial" w:hAnsi="Arial" w:cs="Arial"/>
          <w:sz w:val="24"/>
          <w:szCs w:val="24"/>
          <w:u w:val="single"/>
        </w:rPr>
        <w:t>l</w:t>
      </w:r>
      <w:r w:rsidR="006D4B11">
        <w:rPr>
          <w:rFonts w:ascii="Arial" w:hAnsi="Arial" w:cs="Arial"/>
          <w:sz w:val="24"/>
          <w:szCs w:val="24"/>
          <w:u w:val="single"/>
        </w:rPr>
        <w:t>os</w:t>
      </w:r>
      <w:r>
        <w:rPr>
          <w:rFonts w:ascii="Arial" w:hAnsi="Arial" w:cs="Arial"/>
          <w:sz w:val="24"/>
          <w:szCs w:val="24"/>
          <w:u w:val="single"/>
        </w:rPr>
        <w:t xml:space="preserve"> expediente</w:t>
      </w:r>
      <w:r w:rsidR="006D4B11">
        <w:rPr>
          <w:rFonts w:ascii="Arial" w:hAnsi="Arial" w:cs="Arial"/>
          <w:sz w:val="24"/>
          <w:szCs w:val="24"/>
          <w:u w:val="single"/>
        </w:rPr>
        <w:t>s</w:t>
      </w:r>
      <w:r>
        <w:rPr>
          <w:rFonts w:ascii="Arial" w:hAnsi="Arial" w:cs="Arial"/>
          <w:sz w:val="24"/>
          <w:szCs w:val="24"/>
          <w:u w:val="single"/>
        </w:rPr>
        <w:t xml:space="preserve"> solicitado</w:t>
      </w:r>
      <w:r w:rsidR="006D4B11">
        <w:rPr>
          <w:rFonts w:ascii="Arial" w:hAnsi="Arial" w:cs="Arial"/>
          <w:sz w:val="24"/>
          <w:szCs w:val="24"/>
          <w:u w:val="single"/>
        </w:rPr>
        <w:t>s</w:t>
      </w:r>
      <w:r>
        <w:rPr>
          <w:rFonts w:ascii="Arial" w:hAnsi="Arial" w:cs="Arial"/>
          <w:sz w:val="24"/>
          <w:szCs w:val="24"/>
          <w:u w:val="single"/>
        </w:rPr>
        <w:t xml:space="preserve">, </w:t>
      </w:r>
      <w:r>
        <w:rPr>
          <w:rFonts w:ascii="Arial" w:hAnsi="Arial" w:cs="Arial"/>
          <w:sz w:val="24"/>
          <w:szCs w:val="24"/>
        </w:rPr>
        <w:t xml:space="preserve">toda vez que del análisis de la respuesta impugnada, se evidencia que se hizo del conocimiento del aquí recurrente, que previa identificación de la titularidad de los datos personales, se otorgaría el acceso correspondiente. </w:t>
      </w:r>
    </w:p>
    <w:p w14:paraId="7D6B4BD9" w14:textId="77777777" w:rsidR="00225E5A" w:rsidRDefault="00225E5A" w:rsidP="00225E5A">
      <w:pPr>
        <w:autoSpaceDE w:val="0"/>
        <w:autoSpaceDN w:val="0"/>
        <w:adjustRightInd w:val="0"/>
        <w:spacing w:after="0" w:line="360" w:lineRule="auto"/>
        <w:ind w:right="49" w:firstLine="709"/>
        <w:jc w:val="both"/>
        <w:rPr>
          <w:rFonts w:ascii="Arial" w:hAnsi="Arial" w:cs="Arial"/>
          <w:sz w:val="24"/>
          <w:szCs w:val="24"/>
          <w:u w:val="single"/>
        </w:rPr>
      </w:pPr>
    </w:p>
    <w:p w14:paraId="45B6E18F" w14:textId="21CE0E17" w:rsidR="00B853A9" w:rsidRDefault="00B853A9" w:rsidP="00B853A9">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En este orden de ideas que se tiene establecido, p</w:t>
      </w:r>
      <w:r w:rsidRPr="004B6CE4">
        <w:rPr>
          <w:rFonts w:ascii="Arial" w:eastAsia="Arial Unicode MS" w:hAnsi="Arial" w:cs="Arial"/>
          <w:sz w:val="24"/>
          <w:szCs w:val="24"/>
          <w:lang w:eastAsia="es-ES"/>
        </w:rPr>
        <w:t>ara que aplique la confidencialidad ba</w:t>
      </w:r>
      <w:r>
        <w:rPr>
          <w:rFonts w:ascii="Arial" w:eastAsia="Arial Unicode MS" w:hAnsi="Arial" w:cs="Arial"/>
          <w:sz w:val="24"/>
          <w:szCs w:val="24"/>
          <w:lang w:eastAsia="es-ES"/>
        </w:rPr>
        <w:t>sta con una simple –</w:t>
      </w:r>
      <w:r>
        <w:rPr>
          <w:rFonts w:ascii="Arial" w:eastAsia="Arial Unicode MS" w:hAnsi="Arial" w:cs="Arial"/>
          <w:i/>
          <w:sz w:val="24"/>
          <w:szCs w:val="24"/>
          <w:lang w:eastAsia="es-ES"/>
        </w:rPr>
        <w:t>subsunción-</w:t>
      </w:r>
      <w:r w:rsidRPr="004B6CE4">
        <w:rPr>
          <w:rFonts w:ascii="Arial" w:eastAsia="Arial Unicode MS" w:hAnsi="Arial" w:cs="Arial"/>
          <w:sz w:val="24"/>
          <w:szCs w:val="24"/>
          <w:lang w:eastAsia="es-ES"/>
        </w:rPr>
        <w:t xml:space="preserve"> en términos de silogismo lógico: en el momento que se actualice alguna de la</w:t>
      </w:r>
      <w:r>
        <w:rPr>
          <w:rFonts w:ascii="Arial" w:eastAsia="Arial Unicode MS" w:hAnsi="Arial" w:cs="Arial"/>
          <w:sz w:val="24"/>
          <w:szCs w:val="24"/>
          <w:lang w:eastAsia="es-ES"/>
        </w:rPr>
        <w:t>s causales de confidencialidad</w:t>
      </w:r>
      <w:r>
        <w:rPr>
          <w:rStyle w:val="Refdenotaalpie"/>
          <w:rFonts w:ascii="Arial" w:eastAsia="Arial Unicode MS" w:hAnsi="Arial" w:cs="Arial"/>
          <w:sz w:val="24"/>
          <w:szCs w:val="24"/>
          <w:lang w:eastAsia="es-ES"/>
        </w:rPr>
        <w:footnoteReference w:id="69"/>
      </w:r>
      <w:r w:rsidRPr="004B6CE4">
        <w:rPr>
          <w:rFonts w:ascii="Arial" w:eastAsia="Arial Unicode MS" w:hAnsi="Arial" w:cs="Arial"/>
          <w:sz w:val="24"/>
          <w:szCs w:val="24"/>
          <w:lang w:eastAsia="es-ES"/>
        </w:rPr>
        <w:t>, se subsumen las premisas fácticas a la hipótesis normativa que, como premisa mayor, sirve para aplicar la solución al caso. Si el caso específico implica que la información</w:t>
      </w:r>
      <w:r>
        <w:rPr>
          <w:rFonts w:ascii="Arial" w:eastAsia="Arial Unicode MS" w:hAnsi="Arial" w:cs="Arial"/>
          <w:sz w:val="24"/>
          <w:szCs w:val="24"/>
          <w:lang w:eastAsia="es-ES"/>
        </w:rPr>
        <w:t xml:space="preserve">: </w:t>
      </w:r>
      <w:r>
        <w:rPr>
          <w:rFonts w:ascii="Arial" w:eastAsia="Arial Unicode MS" w:hAnsi="Arial" w:cs="Arial"/>
          <w:i/>
          <w:sz w:val="24"/>
          <w:szCs w:val="24"/>
          <w:lang w:eastAsia="es-ES"/>
        </w:rPr>
        <w:t>(i)</w:t>
      </w:r>
      <w:r w:rsidRPr="004B6CE4">
        <w:rPr>
          <w:rFonts w:ascii="Arial" w:eastAsia="Arial Unicode MS" w:hAnsi="Arial" w:cs="Arial"/>
          <w:sz w:val="24"/>
          <w:szCs w:val="24"/>
          <w:lang w:eastAsia="es-ES"/>
        </w:rPr>
        <w:t xml:space="preserve"> contiene datos personales, </w:t>
      </w:r>
      <w:r>
        <w:rPr>
          <w:rFonts w:ascii="Arial" w:eastAsia="Arial Unicode MS" w:hAnsi="Arial" w:cs="Arial"/>
          <w:i/>
          <w:sz w:val="24"/>
          <w:szCs w:val="24"/>
          <w:lang w:eastAsia="es-ES"/>
        </w:rPr>
        <w:t xml:space="preserve">(ii) </w:t>
      </w:r>
      <w:r w:rsidRPr="004B6CE4">
        <w:rPr>
          <w:rFonts w:ascii="Arial" w:eastAsia="Arial Unicode MS" w:hAnsi="Arial" w:cs="Arial"/>
          <w:sz w:val="24"/>
          <w:szCs w:val="24"/>
          <w:lang w:eastAsia="es-ES"/>
        </w:rPr>
        <w:t xml:space="preserve">hay de por medio secretos legales o </w:t>
      </w:r>
      <w:r>
        <w:rPr>
          <w:rFonts w:ascii="Arial" w:eastAsia="Arial Unicode MS" w:hAnsi="Arial" w:cs="Arial"/>
          <w:i/>
          <w:sz w:val="24"/>
          <w:szCs w:val="24"/>
          <w:lang w:eastAsia="es-ES"/>
        </w:rPr>
        <w:t xml:space="preserve">(iii) </w:t>
      </w:r>
      <w:r w:rsidRPr="004B6CE4">
        <w:rPr>
          <w:rFonts w:ascii="Arial" w:eastAsia="Arial Unicode MS" w:hAnsi="Arial" w:cs="Arial"/>
          <w:sz w:val="24"/>
          <w:szCs w:val="24"/>
          <w:lang w:eastAsia="es-ES"/>
        </w:rPr>
        <w:t xml:space="preserve">la información entregada a los Sujetos Obligados fue con el carácter de confidencial con base en un derecho que le otorga esa naturaleza y, además, </w:t>
      </w:r>
      <w:r w:rsidRPr="004B6CE4">
        <w:rPr>
          <w:rFonts w:ascii="Arial" w:eastAsia="Arial Unicode MS" w:hAnsi="Arial" w:cs="Arial"/>
          <w:sz w:val="24"/>
          <w:szCs w:val="24"/>
          <w:u w:val="single"/>
          <w:lang w:eastAsia="es-ES"/>
        </w:rPr>
        <w:t>en cualquiera de los tres supuestos no se trata de una excepción al consentimiento del titular de la información,</w:t>
      </w:r>
      <w:r w:rsidRPr="004B6CE4">
        <w:rPr>
          <w:rFonts w:ascii="Arial" w:eastAsia="Arial Unicode MS" w:hAnsi="Arial" w:cs="Arial"/>
          <w:sz w:val="24"/>
          <w:szCs w:val="24"/>
          <w:lang w:eastAsia="es-ES"/>
        </w:rPr>
        <w:t xml:space="preserve"> luego entonces se concluye que esa información está protegida por la confidencialidad. Misma que se asume, a la vez como una </w:t>
      </w:r>
      <w:r w:rsidRPr="00613F4D">
        <w:rPr>
          <w:rFonts w:ascii="Arial" w:eastAsia="Arial Unicode MS" w:hAnsi="Arial" w:cs="Arial"/>
          <w:b/>
          <w:sz w:val="24"/>
          <w:szCs w:val="24"/>
          <w:lang w:eastAsia="es-ES"/>
        </w:rPr>
        <w:t>limitante constitucional</w:t>
      </w:r>
      <w:r w:rsidRPr="004B6CE4">
        <w:rPr>
          <w:rFonts w:ascii="Arial" w:eastAsia="Arial Unicode MS" w:hAnsi="Arial" w:cs="Arial"/>
          <w:sz w:val="24"/>
          <w:szCs w:val="24"/>
          <w:lang w:eastAsia="es-ES"/>
        </w:rPr>
        <w:t xml:space="preserve"> al derecho de acceso a la información y que consiste en la razón genérica de la privacidad</w:t>
      </w:r>
      <w:r>
        <w:rPr>
          <w:rStyle w:val="Refdenotaalpie"/>
          <w:rFonts w:ascii="Arial" w:eastAsia="Arial Unicode MS" w:hAnsi="Arial" w:cs="Arial"/>
          <w:sz w:val="24"/>
          <w:szCs w:val="24"/>
          <w:lang w:eastAsia="es-ES"/>
        </w:rPr>
        <w:footnoteReference w:id="70"/>
      </w:r>
      <w:r w:rsidRPr="004B6CE4">
        <w:rPr>
          <w:rFonts w:ascii="Arial" w:eastAsia="Arial Unicode MS" w:hAnsi="Arial" w:cs="Arial"/>
          <w:sz w:val="24"/>
          <w:szCs w:val="24"/>
          <w:lang w:eastAsia="es-ES"/>
        </w:rPr>
        <w:t>.</w:t>
      </w:r>
    </w:p>
    <w:p w14:paraId="78FF4B1D" w14:textId="7CFCE6B4" w:rsidR="00B853A9" w:rsidRDefault="00B853A9" w:rsidP="00B853A9">
      <w:pPr>
        <w:spacing w:after="0" w:line="360" w:lineRule="auto"/>
        <w:ind w:firstLine="708"/>
        <w:jc w:val="both"/>
        <w:rPr>
          <w:rFonts w:ascii="Arial" w:eastAsia="Arial Unicode MS" w:hAnsi="Arial" w:cs="Arial"/>
          <w:sz w:val="24"/>
          <w:szCs w:val="24"/>
          <w:lang w:eastAsia="es-ES"/>
        </w:rPr>
      </w:pPr>
    </w:p>
    <w:p w14:paraId="382365EA" w14:textId="77777777" w:rsidR="00B853A9" w:rsidRDefault="00B853A9" w:rsidP="00B853A9">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lastRenderedPageBreak/>
        <w:t xml:space="preserve">No obstante lo anterior, </w:t>
      </w:r>
      <w:r w:rsidRPr="00BB4E18">
        <w:rPr>
          <w:rFonts w:ascii="Arial" w:eastAsia="Arial Unicode MS" w:hAnsi="Arial" w:cs="Arial"/>
          <w:sz w:val="24"/>
          <w:szCs w:val="24"/>
          <w:lang w:eastAsia="es-ES"/>
        </w:rPr>
        <w:t>en casos excepcionales</w:t>
      </w:r>
      <w:r>
        <w:rPr>
          <w:rFonts w:ascii="Arial" w:eastAsia="Arial Unicode MS" w:hAnsi="Arial" w:cs="Arial"/>
          <w:sz w:val="24"/>
          <w:szCs w:val="24"/>
          <w:lang w:eastAsia="es-ES"/>
        </w:rPr>
        <w:t xml:space="preserve">, se deberá realizar </w:t>
      </w:r>
      <w:r w:rsidRPr="00BB4E18">
        <w:rPr>
          <w:rFonts w:ascii="Arial" w:eastAsia="Arial Unicode MS" w:hAnsi="Arial" w:cs="Arial"/>
          <w:sz w:val="24"/>
          <w:szCs w:val="24"/>
          <w:lang w:eastAsia="es-ES"/>
        </w:rPr>
        <w:t xml:space="preserve">una llamada </w:t>
      </w:r>
      <w:r>
        <w:rPr>
          <w:rFonts w:ascii="Arial" w:eastAsia="Arial Unicode MS" w:hAnsi="Arial" w:cs="Arial"/>
          <w:i/>
          <w:sz w:val="24"/>
          <w:szCs w:val="24"/>
          <w:lang w:eastAsia="es-ES"/>
        </w:rPr>
        <w:t>-</w:t>
      </w:r>
      <w:r w:rsidRPr="00BB4E18">
        <w:rPr>
          <w:rFonts w:ascii="Arial" w:eastAsia="Arial Unicode MS" w:hAnsi="Arial" w:cs="Arial"/>
          <w:i/>
          <w:sz w:val="24"/>
          <w:szCs w:val="24"/>
          <w:lang w:eastAsia="es-ES"/>
        </w:rPr>
        <w:t>prueba de inte</w:t>
      </w:r>
      <w:r>
        <w:rPr>
          <w:rFonts w:ascii="Arial" w:eastAsia="Arial Unicode MS" w:hAnsi="Arial" w:cs="Arial"/>
          <w:i/>
          <w:sz w:val="24"/>
          <w:szCs w:val="24"/>
          <w:lang w:eastAsia="es-ES"/>
        </w:rPr>
        <w:t>rés público-</w:t>
      </w:r>
      <w:r w:rsidRPr="00BB4E18">
        <w:rPr>
          <w:rFonts w:ascii="Arial" w:eastAsia="Arial Unicode MS" w:hAnsi="Arial" w:cs="Arial"/>
          <w:sz w:val="24"/>
          <w:szCs w:val="24"/>
          <w:lang w:eastAsia="es-ES"/>
        </w:rPr>
        <w:t xml:space="preserve">, como un mecanismo que legitimara </w:t>
      </w:r>
      <w:r>
        <w:rPr>
          <w:rFonts w:ascii="Arial" w:eastAsia="Arial Unicode MS" w:hAnsi="Arial" w:cs="Arial"/>
          <w:sz w:val="24"/>
          <w:szCs w:val="24"/>
          <w:lang w:eastAsia="es-ES"/>
        </w:rPr>
        <w:t xml:space="preserve">el levantamiento del velo de la confidencialidad a cierta información- particularmente, </w:t>
      </w:r>
      <w:r w:rsidRPr="00BB4E18">
        <w:rPr>
          <w:rFonts w:ascii="Arial" w:eastAsia="Arial Unicode MS" w:hAnsi="Arial" w:cs="Arial"/>
          <w:sz w:val="24"/>
          <w:szCs w:val="24"/>
          <w:lang w:eastAsia="es-ES"/>
        </w:rPr>
        <w:t>datos personales</w:t>
      </w:r>
      <w:r>
        <w:rPr>
          <w:rFonts w:ascii="Arial" w:eastAsia="Arial Unicode MS" w:hAnsi="Arial" w:cs="Arial"/>
          <w:sz w:val="24"/>
          <w:szCs w:val="24"/>
          <w:lang w:eastAsia="es-ES"/>
        </w:rPr>
        <w:t>-</w:t>
      </w:r>
      <w:r w:rsidRPr="00BB4E18">
        <w:rPr>
          <w:rFonts w:ascii="Arial" w:eastAsia="Arial Unicode MS" w:hAnsi="Arial" w:cs="Arial"/>
          <w:sz w:val="24"/>
          <w:szCs w:val="24"/>
          <w:lang w:eastAsia="es-ES"/>
        </w:rPr>
        <w:t xml:space="preserve"> en aras del interés público para</w:t>
      </w:r>
      <w:r>
        <w:rPr>
          <w:rFonts w:ascii="Arial" w:eastAsia="Arial Unicode MS" w:hAnsi="Arial" w:cs="Arial"/>
          <w:sz w:val="24"/>
          <w:szCs w:val="24"/>
          <w:lang w:eastAsia="es-ES"/>
        </w:rPr>
        <w:t xml:space="preserve"> que</w:t>
      </w:r>
      <w:r w:rsidRPr="00BB4E18">
        <w:rPr>
          <w:rFonts w:ascii="Arial" w:eastAsia="Arial Unicode MS" w:hAnsi="Arial" w:cs="Arial"/>
          <w:sz w:val="24"/>
          <w:szCs w:val="24"/>
          <w:lang w:eastAsia="es-ES"/>
        </w:rPr>
        <w:t xml:space="preserve"> dicha información se hiciera pública. El método para desahogar esa </w:t>
      </w:r>
      <w:r w:rsidRPr="00927159">
        <w:rPr>
          <w:rFonts w:ascii="Arial" w:eastAsia="Arial Unicode MS" w:hAnsi="Arial" w:cs="Arial"/>
          <w:i/>
          <w:sz w:val="24"/>
          <w:szCs w:val="24"/>
          <w:u w:val="single"/>
          <w:lang w:eastAsia="es-ES"/>
        </w:rPr>
        <w:t>prueba de int</w:t>
      </w:r>
      <w:r w:rsidRPr="00BB4E18">
        <w:rPr>
          <w:rFonts w:ascii="Arial" w:eastAsia="Arial Unicode MS" w:hAnsi="Arial" w:cs="Arial"/>
          <w:i/>
          <w:sz w:val="24"/>
          <w:szCs w:val="24"/>
          <w:u w:val="single"/>
          <w:lang w:eastAsia="es-ES"/>
        </w:rPr>
        <w:t>erés público</w:t>
      </w:r>
      <w:r w:rsidRPr="00BB4E18">
        <w:rPr>
          <w:rFonts w:ascii="Arial" w:eastAsia="Arial Unicode MS" w:hAnsi="Arial" w:cs="Arial"/>
          <w:sz w:val="24"/>
          <w:szCs w:val="24"/>
          <w:lang w:eastAsia="es-ES"/>
        </w:rPr>
        <w:t xml:space="preserve">, </w:t>
      </w:r>
      <w:r>
        <w:rPr>
          <w:rFonts w:ascii="Arial" w:eastAsia="Arial Unicode MS" w:hAnsi="Arial" w:cs="Arial"/>
          <w:sz w:val="24"/>
          <w:szCs w:val="24"/>
          <w:lang w:eastAsia="es-ES"/>
        </w:rPr>
        <w:t xml:space="preserve">es </w:t>
      </w:r>
      <w:r w:rsidRPr="00BB4E18">
        <w:rPr>
          <w:rFonts w:ascii="Arial" w:eastAsia="Arial Unicode MS" w:hAnsi="Arial" w:cs="Arial"/>
          <w:sz w:val="24"/>
          <w:szCs w:val="24"/>
          <w:lang w:eastAsia="es-ES"/>
        </w:rPr>
        <w:t xml:space="preserve">similar a la </w:t>
      </w:r>
      <w:r w:rsidRPr="00BB4E18">
        <w:rPr>
          <w:rFonts w:ascii="Arial" w:eastAsia="Arial Unicode MS" w:hAnsi="Arial" w:cs="Arial"/>
          <w:i/>
          <w:sz w:val="24"/>
          <w:szCs w:val="24"/>
          <w:u w:val="single"/>
          <w:lang w:eastAsia="es-ES"/>
        </w:rPr>
        <w:t>prueba de daño</w:t>
      </w:r>
      <w:r w:rsidRPr="00BB4E18">
        <w:rPr>
          <w:rFonts w:ascii="Arial" w:eastAsia="Arial Unicode MS" w:hAnsi="Arial" w:cs="Arial"/>
          <w:sz w:val="24"/>
          <w:szCs w:val="24"/>
          <w:lang w:eastAsia="es-ES"/>
        </w:rPr>
        <w:t xml:space="preserve"> en los casos de información reservada</w:t>
      </w:r>
      <w:r>
        <w:rPr>
          <w:rFonts w:ascii="Arial" w:eastAsia="Arial Unicode MS" w:hAnsi="Arial" w:cs="Arial"/>
          <w:sz w:val="24"/>
          <w:szCs w:val="24"/>
          <w:lang w:eastAsia="es-ES"/>
        </w:rPr>
        <w:t>; la primera de las mencionadas</w:t>
      </w:r>
      <w:r w:rsidRPr="00BB4E18">
        <w:rPr>
          <w:rFonts w:ascii="Arial" w:eastAsia="Arial Unicode MS" w:hAnsi="Arial" w:cs="Arial"/>
          <w:sz w:val="24"/>
          <w:szCs w:val="24"/>
          <w:lang w:eastAsia="es-ES"/>
        </w:rPr>
        <w:t xml:space="preserve">, </w:t>
      </w:r>
      <w:r>
        <w:rPr>
          <w:rFonts w:ascii="Arial" w:eastAsia="Arial Unicode MS" w:hAnsi="Arial" w:cs="Arial"/>
          <w:sz w:val="24"/>
          <w:szCs w:val="24"/>
          <w:lang w:eastAsia="es-ES"/>
        </w:rPr>
        <w:t xml:space="preserve">se tiene que hacer mediante el </w:t>
      </w:r>
      <w:r w:rsidRPr="00BB4E18">
        <w:rPr>
          <w:rFonts w:ascii="Arial" w:eastAsia="Arial Unicode MS" w:hAnsi="Arial" w:cs="Arial"/>
          <w:sz w:val="24"/>
          <w:szCs w:val="24"/>
          <w:lang w:eastAsia="es-ES"/>
        </w:rPr>
        <w:t xml:space="preserve">test de proporcionalidad. </w:t>
      </w:r>
    </w:p>
    <w:p w14:paraId="4109A30A" w14:textId="77777777" w:rsidR="00B853A9" w:rsidRDefault="00B853A9" w:rsidP="00B853A9">
      <w:pPr>
        <w:spacing w:after="0" w:line="360" w:lineRule="auto"/>
        <w:ind w:firstLine="708"/>
        <w:jc w:val="both"/>
        <w:rPr>
          <w:rFonts w:ascii="Arial" w:eastAsia="Arial Unicode MS" w:hAnsi="Arial" w:cs="Arial"/>
          <w:sz w:val="24"/>
          <w:szCs w:val="24"/>
          <w:lang w:eastAsia="es-ES"/>
        </w:rPr>
      </w:pPr>
    </w:p>
    <w:p w14:paraId="29C09917" w14:textId="77777777" w:rsidR="00B853A9" w:rsidRDefault="00B853A9" w:rsidP="00B853A9">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Para </w:t>
      </w:r>
      <w:r w:rsidRPr="005F5856">
        <w:rPr>
          <w:rFonts w:ascii="Arial" w:eastAsia="Arial Unicode MS" w:hAnsi="Arial" w:cs="Arial"/>
          <w:sz w:val="24"/>
          <w:szCs w:val="24"/>
          <w:lang w:eastAsia="es-ES"/>
        </w:rPr>
        <w:t>Upegui Mejía</w:t>
      </w:r>
      <w:r>
        <w:rPr>
          <w:rFonts w:ascii="Arial" w:eastAsia="Arial Unicode MS" w:hAnsi="Arial" w:cs="Arial"/>
          <w:sz w:val="24"/>
          <w:szCs w:val="24"/>
          <w:lang w:eastAsia="es-ES"/>
        </w:rPr>
        <w:t xml:space="preserve">, la </w:t>
      </w:r>
      <w:r w:rsidRPr="005F5856">
        <w:rPr>
          <w:rFonts w:ascii="Arial" w:eastAsia="Arial Unicode MS" w:hAnsi="Arial" w:cs="Arial"/>
          <w:i/>
          <w:sz w:val="24"/>
          <w:szCs w:val="24"/>
          <w:lang w:eastAsia="es-ES"/>
        </w:rPr>
        <w:t>-prueba de interés público-</w:t>
      </w:r>
      <w:r>
        <w:rPr>
          <w:rFonts w:ascii="Arial" w:eastAsia="Arial Unicode MS" w:hAnsi="Arial" w:cs="Arial"/>
          <w:sz w:val="24"/>
          <w:szCs w:val="24"/>
          <w:lang w:eastAsia="es-ES"/>
        </w:rPr>
        <w:t xml:space="preserve"> se define </w:t>
      </w:r>
      <w:r w:rsidRPr="005F5856">
        <w:rPr>
          <w:rFonts w:ascii="Arial" w:eastAsia="Arial Unicode MS" w:hAnsi="Arial" w:cs="Arial"/>
          <w:sz w:val="24"/>
          <w:szCs w:val="24"/>
          <w:lang w:eastAsia="es-ES"/>
        </w:rPr>
        <w:t>de la siguiente forma: “Esta metodología parte de dos premisas: aceptar que el conocimiento de cierta información personal puede revestir un interés público, y que una vez que esto ha sido verificado, el caso debe ser entendido como una colisión de derechos. La prueba consiste en aplicar la ponderación a los intereses enfrentados: el interés del particular en mantener la confidencialidad de su información personal y el inte</w:t>
      </w:r>
      <w:r>
        <w:rPr>
          <w:rFonts w:ascii="Arial" w:eastAsia="Arial Unicode MS" w:hAnsi="Arial" w:cs="Arial"/>
          <w:sz w:val="24"/>
          <w:szCs w:val="24"/>
          <w:lang w:eastAsia="es-ES"/>
        </w:rPr>
        <w:t>rés público en su revelación”.</w:t>
      </w:r>
      <w:r>
        <w:rPr>
          <w:rStyle w:val="Refdenotaalpie"/>
          <w:rFonts w:ascii="Arial" w:eastAsia="Arial Unicode MS" w:hAnsi="Arial" w:cs="Arial"/>
          <w:sz w:val="24"/>
          <w:szCs w:val="24"/>
          <w:lang w:eastAsia="es-ES"/>
        </w:rPr>
        <w:footnoteReference w:id="71"/>
      </w:r>
    </w:p>
    <w:p w14:paraId="5CBDD4C1" w14:textId="77777777" w:rsidR="00B853A9" w:rsidRPr="00BB4E18" w:rsidRDefault="00B853A9" w:rsidP="00B853A9">
      <w:pPr>
        <w:spacing w:after="0" w:line="360" w:lineRule="auto"/>
        <w:ind w:firstLine="708"/>
        <w:jc w:val="both"/>
        <w:rPr>
          <w:rFonts w:ascii="Arial" w:eastAsia="Arial Unicode MS" w:hAnsi="Arial" w:cs="Arial"/>
          <w:sz w:val="24"/>
          <w:szCs w:val="24"/>
          <w:lang w:eastAsia="es-ES"/>
        </w:rPr>
      </w:pPr>
    </w:p>
    <w:p w14:paraId="7997E24D" w14:textId="77777777" w:rsidR="00B853A9" w:rsidRDefault="00B853A9" w:rsidP="00B853A9">
      <w:pPr>
        <w:spacing w:after="0" w:line="360" w:lineRule="auto"/>
        <w:ind w:firstLine="708"/>
        <w:jc w:val="both"/>
        <w:rPr>
          <w:rFonts w:ascii="Arial" w:eastAsia="Arial Unicode MS" w:hAnsi="Arial" w:cs="Arial"/>
          <w:sz w:val="24"/>
          <w:szCs w:val="24"/>
          <w:lang w:eastAsia="es-ES"/>
        </w:rPr>
      </w:pPr>
      <w:r w:rsidRPr="00BB4E18">
        <w:rPr>
          <w:rFonts w:ascii="Arial" w:eastAsia="Arial Unicode MS" w:hAnsi="Arial" w:cs="Arial"/>
          <w:sz w:val="24"/>
          <w:szCs w:val="24"/>
          <w:lang w:eastAsia="es-ES"/>
        </w:rPr>
        <w:t xml:space="preserve">El test de proporcionalidad sustenta un criterio de racionalidad muy útil en la colisión de principios, como lo es el derecho fundamental de acceso a la información y un principio de interés público expresado en causales de reserva. Porque entre ambos principios, cuyo peso específico varía según cada caso y según las posibilidades jurídicas y fácticas, no siempre se ponderará a favor del acceso a la información, ni tampoco se hará lo propio en favor del interés público. Todo dependerá del caso para darle el peso específico a cada uno de esos principios colisionados y, sobre todo, enfáticamente se cumpla con el test de proporcionalidad: </w:t>
      </w:r>
      <w:r w:rsidRPr="00A05B6A">
        <w:rPr>
          <w:rFonts w:ascii="Arial" w:eastAsia="Arial Unicode MS" w:hAnsi="Arial" w:cs="Arial"/>
          <w:b/>
          <w:sz w:val="24"/>
          <w:szCs w:val="24"/>
          <w:u w:val="single"/>
          <w:lang w:eastAsia="es-ES"/>
        </w:rPr>
        <w:t xml:space="preserve">idoneidad, necesidad y proporcionalidad </w:t>
      </w:r>
      <w:r>
        <w:rPr>
          <w:rFonts w:ascii="Arial" w:eastAsia="Arial Unicode MS" w:hAnsi="Arial" w:cs="Arial"/>
          <w:sz w:val="24"/>
          <w:szCs w:val="24"/>
          <w:lang w:eastAsia="es-ES"/>
        </w:rPr>
        <w:t>en sentido estricto.</w:t>
      </w:r>
    </w:p>
    <w:p w14:paraId="52D19D48" w14:textId="77777777" w:rsidR="00B853A9" w:rsidRDefault="00B853A9" w:rsidP="00B853A9">
      <w:pPr>
        <w:spacing w:after="0" w:line="360" w:lineRule="auto"/>
        <w:ind w:firstLine="708"/>
        <w:jc w:val="both"/>
        <w:rPr>
          <w:rFonts w:ascii="Arial" w:eastAsia="Arial Unicode MS" w:hAnsi="Arial" w:cs="Arial"/>
          <w:sz w:val="24"/>
          <w:szCs w:val="24"/>
          <w:lang w:eastAsia="es-ES"/>
        </w:rPr>
      </w:pPr>
    </w:p>
    <w:p w14:paraId="4E8BAFFE" w14:textId="77777777" w:rsidR="00B853A9" w:rsidRDefault="00B853A9" w:rsidP="00B853A9">
      <w:pPr>
        <w:spacing w:after="0" w:line="360" w:lineRule="auto"/>
        <w:ind w:firstLine="708"/>
        <w:jc w:val="both"/>
        <w:rPr>
          <w:rFonts w:ascii="Arial" w:eastAsia="Arial Unicode MS" w:hAnsi="Arial" w:cs="Arial"/>
          <w:sz w:val="24"/>
          <w:szCs w:val="24"/>
          <w:lang w:eastAsia="es-ES"/>
        </w:rPr>
      </w:pPr>
      <w:r w:rsidRPr="00A05B6A">
        <w:rPr>
          <w:rFonts w:ascii="Arial" w:eastAsia="Arial Unicode MS" w:hAnsi="Arial" w:cs="Arial"/>
          <w:sz w:val="24"/>
          <w:szCs w:val="24"/>
          <w:lang w:eastAsia="es-ES"/>
        </w:rPr>
        <w:t>La ponderación</w:t>
      </w:r>
      <w:r>
        <w:rPr>
          <w:rFonts w:ascii="Arial" w:eastAsia="Arial Unicode MS" w:hAnsi="Arial" w:cs="Arial"/>
          <w:sz w:val="24"/>
          <w:szCs w:val="24"/>
          <w:lang w:eastAsia="es-ES"/>
        </w:rPr>
        <w:t xml:space="preserve">, como actividad </w:t>
      </w:r>
      <w:r w:rsidRPr="00A05B6A">
        <w:rPr>
          <w:rFonts w:ascii="Arial" w:eastAsia="Arial Unicode MS" w:hAnsi="Arial" w:cs="Arial"/>
          <w:sz w:val="24"/>
          <w:szCs w:val="24"/>
          <w:lang w:eastAsia="es-ES"/>
        </w:rPr>
        <w:t xml:space="preserve">intelectual </w:t>
      </w:r>
      <w:r>
        <w:rPr>
          <w:rFonts w:ascii="Arial" w:eastAsia="Arial Unicode MS" w:hAnsi="Arial" w:cs="Arial"/>
          <w:sz w:val="24"/>
          <w:szCs w:val="24"/>
          <w:lang w:eastAsia="es-ES"/>
        </w:rPr>
        <w:t xml:space="preserve">humana coadyuva </w:t>
      </w:r>
      <w:r w:rsidRPr="00A05B6A">
        <w:rPr>
          <w:rFonts w:ascii="Arial" w:eastAsia="Arial Unicode MS" w:hAnsi="Arial" w:cs="Arial"/>
          <w:sz w:val="24"/>
          <w:szCs w:val="24"/>
          <w:lang w:eastAsia="es-ES"/>
        </w:rPr>
        <w:t>para determinar la mayor valía comparativa entre dos o más opciones en una situación conf</w:t>
      </w:r>
      <w:r>
        <w:rPr>
          <w:rFonts w:ascii="Arial" w:eastAsia="Arial Unicode MS" w:hAnsi="Arial" w:cs="Arial"/>
          <w:sz w:val="24"/>
          <w:szCs w:val="24"/>
          <w:lang w:eastAsia="es-ES"/>
        </w:rPr>
        <w:t>lictual entre dichas opciones.</w:t>
      </w:r>
      <w:r w:rsidRPr="00A05B6A">
        <w:rPr>
          <w:rFonts w:ascii="Arial" w:eastAsia="Arial Unicode MS" w:hAnsi="Arial" w:cs="Arial"/>
          <w:sz w:val="24"/>
          <w:szCs w:val="24"/>
          <w:lang w:eastAsia="es-ES"/>
        </w:rPr>
        <w:t xml:space="preserve"> Dicho de otro modo</w:t>
      </w:r>
      <w:r>
        <w:rPr>
          <w:rFonts w:ascii="Arial" w:eastAsia="Arial Unicode MS" w:hAnsi="Arial" w:cs="Arial"/>
          <w:sz w:val="24"/>
          <w:szCs w:val="24"/>
          <w:lang w:eastAsia="es-ES"/>
        </w:rPr>
        <w:t>,</w:t>
      </w:r>
      <w:r w:rsidRPr="00A05B6A">
        <w:rPr>
          <w:rFonts w:ascii="Arial" w:eastAsia="Arial Unicode MS" w:hAnsi="Arial" w:cs="Arial"/>
          <w:sz w:val="24"/>
          <w:szCs w:val="24"/>
          <w:lang w:eastAsia="es-ES"/>
        </w:rPr>
        <w:t xml:space="preserve"> se sope</w:t>
      </w:r>
      <w:r>
        <w:rPr>
          <w:rFonts w:ascii="Arial" w:eastAsia="Arial Unicode MS" w:hAnsi="Arial" w:cs="Arial"/>
          <w:sz w:val="24"/>
          <w:szCs w:val="24"/>
          <w:lang w:eastAsia="es-ES"/>
        </w:rPr>
        <w:t>s</w:t>
      </w:r>
      <w:r w:rsidRPr="00A05B6A">
        <w:rPr>
          <w:rFonts w:ascii="Arial" w:eastAsia="Arial Unicode MS" w:hAnsi="Arial" w:cs="Arial"/>
          <w:sz w:val="24"/>
          <w:szCs w:val="24"/>
          <w:lang w:eastAsia="es-ES"/>
        </w:rPr>
        <w:t>a en una balanza las ventajas y desventajas, los pros y los contras, de dos o más alternativas respecto de</w:t>
      </w:r>
      <w:r>
        <w:rPr>
          <w:rFonts w:ascii="Arial" w:eastAsia="Arial Unicode MS" w:hAnsi="Arial" w:cs="Arial"/>
          <w:sz w:val="24"/>
          <w:szCs w:val="24"/>
          <w:lang w:eastAsia="es-ES"/>
        </w:rPr>
        <w:t xml:space="preserve"> </w:t>
      </w:r>
      <w:r w:rsidRPr="00A05B6A">
        <w:rPr>
          <w:rFonts w:ascii="Arial" w:eastAsia="Arial Unicode MS" w:hAnsi="Arial" w:cs="Arial"/>
          <w:sz w:val="24"/>
          <w:szCs w:val="24"/>
          <w:lang w:eastAsia="es-ES"/>
        </w:rPr>
        <w:t xml:space="preserve">una situación concreta en la que dichas opciones se conflictúan y se </w:t>
      </w:r>
      <w:r w:rsidRPr="00A05B6A">
        <w:rPr>
          <w:rFonts w:ascii="Arial" w:eastAsia="Arial Unicode MS" w:hAnsi="Arial" w:cs="Arial"/>
          <w:sz w:val="24"/>
          <w:szCs w:val="24"/>
          <w:lang w:eastAsia="es-ES"/>
        </w:rPr>
        <w:lastRenderedPageBreak/>
        <w:t>debe decidir cuál de todas ellas amerita el mayor valor para tomarla como solución a dicho conflicto</w:t>
      </w:r>
      <w:r>
        <w:rPr>
          <w:rFonts w:ascii="Arial" w:eastAsia="Arial Unicode MS" w:hAnsi="Arial" w:cs="Arial"/>
          <w:sz w:val="24"/>
          <w:szCs w:val="24"/>
          <w:lang w:eastAsia="es-ES"/>
        </w:rPr>
        <w:t>.</w:t>
      </w:r>
    </w:p>
    <w:p w14:paraId="5FEB7F22" w14:textId="77777777" w:rsidR="00B853A9" w:rsidRDefault="00B853A9" w:rsidP="00B853A9">
      <w:pPr>
        <w:spacing w:after="0" w:line="360" w:lineRule="auto"/>
        <w:ind w:firstLine="708"/>
        <w:jc w:val="both"/>
        <w:rPr>
          <w:rFonts w:ascii="Arial" w:eastAsia="Arial Unicode MS" w:hAnsi="Arial" w:cs="Arial"/>
          <w:sz w:val="24"/>
          <w:szCs w:val="24"/>
          <w:lang w:eastAsia="es-ES"/>
        </w:rPr>
      </w:pPr>
    </w:p>
    <w:p w14:paraId="68792FB7" w14:textId="77777777" w:rsidR="00B853A9" w:rsidRDefault="00B853A9" w:rsidP="00B853A9">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La distinción entre -</w:t>
      </w:r>
      <w:r w:rsidRPr="00F27AD4">
        <w:rPr>
          <w:rFonts w:ascii="Arial" w:eastAsia="Arial Unicode MS" w:hAnsi="Arial" w:cs="Arial"/>
          <w:sz w:val="24"/>
          <w:szCs w:val="24"/>
          <w:lang w:eastAsia="es-ES"/>
        </w:rPr>
        <w:t>principios y reglas</w:t>
      </w:r>
      <w:r>
        <w:rPr>
          <w:rFonts w:ascii="Arial" w:eastAsia="Arial Unicode MS" w:hAnsi="Arial" w:cs="Arial"/>
          <w:sz w:val="24"/>
          <w:szCs w:val="24"/>
          <w:lang w:eastAsia="es-ES"/>
        </w:rPr>
        <w:t>-</w:t>
      </w:r>
      <w:r w:rsidRPr="00F27AD4">
        <w:rPr>
          <w:rFonts w:ascii="Arial" w:eastAsia="Arial Unicode MS" w:hAnsi="Arial" w:cs="Arial"/>
          <w:sz w:val="24"/>
          <w:szCs w:val="24"/>
          <w:lang w:eastAsia="es-ES"/>
        </w:rPr>
        <w:t>; la definición de los primeros en e</w:t>
      </w:r>
      <w:r>
        <w:rPr>
          <w:rFonts w:ascii="Arial" w:eastAsia="Arial Unicode MS" w:hAnsi="Arial" w:cs="Arial"/>
          <w:sz w:val="24"/>
          <w:szCs w:val="24"/>
          <w:lang w:eastAsia="es-ES"/>
        </w:rPr>
        <w:t>l sentido de que son -</w:t>
      </w:r>
      <w:r w:rsidRPr="00F27AD4">
        <w:rPr>
          <w:rFonts w:ascii="Arial" w:eastAsia="Arial Unicode MS" w:hAnsi="Arial" w:cs="Arial"/>
          <w:sz w:val="24"/>
          <w:szCs w:val="24"/>
          <w:lang w:eastAsia="es-ES"/>
        </w:rPr>
        <w:t>mandatos de optimización</w:t>
      </w:r>
      <w:r>
        <w:rPr>
          <w:rFonts w:ascii="Arial" w:eastAsia="Arial Unicode MS" w:hAnsi="Arial" w:cs="Arial"/>
          <w:sz w:val="24"/>
          <w:szCs w:val="24"/>
          <w:lang w:eastAsia="es-ES"/>
        </w:rPr>
        <w:t>- sin un -peso específico- acorde a -</w:t>
      </w:r>
      <w:r w:rsidRPr="00F27AD4">
        <w:rPr>
          <w:rFonts w:ascii="Arial" w:eastAsia="Arial Unicode MS" w:hAnsi="Arial" w:cs="Arial"/>
          <w:sz w:val="24"/>
          <w:szCs w:val="24"/>
          <w:lang w:eastAsia="es-ES"/>
        </w:rPr>
        <w:t>pos</w:t>
      </w:r>
      <w:r>
        <w:rPr>
          <w:rFonts w:ascii="Arial" w:eastAsia="Arial Unicode MS" w:hAnsi="Arial" w:cs="Arial"/>
          <w:sz w:val="24"/>
          <w:szCs w:val="24"/>
          <w:lang w:eastAsia="es-ES"/>
        </w:rPr>
        <w:t>ibilidades jurídicas y fácticas-; que los -derechos fundamentales- son principios; que el -acceso a la información-</w:t>
      </w:r>
      <w:r w:rsidRPr="00F27AD4">
        <w:rPr>
          <w:rFonts w:ascii="Arial" w:eastAsia="Arial Unicode MS" w:hAnsi="Arial" w:cs="Arial"/>
          <w:sz w:val="24"/>
          <w:szCs w:val="24"/>
          <w:lang w:eastAsia="es-ES"/>
        </w:rPr>
        <w:t xml:space="preserve"> es un derecho</w:t>
      </w:r>
      <w:r>
        <w:rPr>
          <w:rFonts w:ascii="Arial" w:eastAsia="Arial Unicode MS" w:hAnsi="Arial" w:cs="Arial"/>
          <w:sz w:val="24"/>
          <w:szCs w:val="24"/>
          <w:lang w:eastAsia="es-ES"/>
        </w:rPr>
        <w:t xml:space="preserve"> fundamental en México; que el -</w:t>
      </w:r>
      <w:r w:rsidRPr="00F27AD4">
        <w:rPr>
          <w:rFonts w:ascii="Arial" w:eastAsia="Arial Unicode MS" w:hAnsi="Arial" w:cs="Arial"/>
          <w:sz w:val="24"/>
          <w:szCs w:val="24"/>
          <w:lang w:eastAsia="es-ES"/>
        </w:rPr>
        <w:t>interés de hacer públ</w:t>
      </w:r>
      <w:r>
        <w:rPr>
          <w:rFonts w:ascii="Arial" w:eastAsia="Arial Unicode MS" w:hAnsi="Arial" w:cs="Arial"/>
          <w:sz w:val="24"/>
          <w:szCs w:val="24"/>
          <w:lang w:eastAsia="es-ES"/>
        </w:rPr>
        <w:t>ica la información confidencial-</w:t>
      </w:r>
      <w:r w:rsidRPr="00F27AD4">
        <w:rPr>
          <w:rFonts w:ascii="Arial" w:eastAsia="Arial Unicode MS" w:hAnsi="Arial" w:cs="Arial"/>
          <w:sz w:val="24"/>
          <w:szCs w:val="24"/>
          <w:lang w:eastAsia="es-ES"/>
        </w:rPr>
        <w:t xml:space="preserve"> también es un principio; y que, en</w:t>
      </w:r>
      <w:r>
        <w:rPr>
          <w:rFonts w:ascii="Arial" w:eastAsia="Arial Unicode MS" w:hAnsi="Arial" w:cs="Arial"/>
          <w:sz w:val="24"/>
          <w:szCs w:val="24"/>
          <w:lang w:eastAsia="es-ES"/>
        </w:rPr>
        <w:t>tre uno y otro puede darse una –colisión-</w:t>
      </w:r>
      <w:r w:rsidRPr="00F27AD4">
        <w:rPr>
          <w:rFonts w:ascii="Arial" w:eastAsia="Arial Unicode MS" w:hAnsi="Arial" w:cs="Arial"/>
          <w:sz w:val="24"/>
          <w:szCs w:val="24"/>
          <w:lang w:eastAsia="es-ES"/>
        </w:rPr>
        <w:t>. Lo que realmente debe destacarse es que, para resolver esa colisión de principios —en nuestro cas</w:t>
      </w:r>
      <w:r>
        <w:rPr>
          <w:rFonts w:ascii="Arial" w:eastAsia="Arial Unicode MS" w:hAnsi="Arial" w:cs="Arial"/>
          <w:sz w:val="24"/>
          <w:szCs w:val="24"/>
          <w:lang w:eastAsia="es-ES"/>
        </w:rPr>
        <w:t>o confidencialidad y publicidad de la información-.</w:t>
      </w:r>
      <w:r>
        <w:rPr>
          <w:rStyle w:val="Refdenotaalpie"/>
          <w:rFonts w:ascii="Arial" w:eastAsia="Arial Unicode MS" w:hAnsi="Arial" w:cs="Arial"/>
          <w:sz w:val="24"/>
          <w:szCs w:val="24"/>
          <w:lang w:eastAsia="es-ES"/>
        </w:rPr>
        <w:footnoteReference w:id="72"/>
      </w:r>
    </w:p>
    <w:p w14:paraId="0C285CB2" w14:textId="77777777" w:rsidR="00B853A9" w:rsidRDefault="00B853A9" w:rsidP="00B853A9">
      <w:pPr>
        <w:spacing w:after="0" w:line="360" w:lineRule="auto"/>
        <w:ind w:firstLine="708"/>
        <w:jc w:val="both"/>
        <w:rPr>
          <w:rFonts w:ascii="Arial" w:eastAsia="Arial Unicode MS" w:hAnsi="Arial" w:cs="Arial"/>
          <w:sz w:val="24"/>
          <w:szCs w:val="24"/>
          <w:lang w:eastAsia="es-ES"/>
        </w:rPr>
      </w:pPr>
    </w:p>
    <w:p w14:paraId="0378CAA5" w14:textId="77777777" w:rsidR="00B853A9" w:rsidRDefault="00B853A9" w:rsidP="00B853A9">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Así, a</w:t>
      </w:r>
      <w:r w:rsidRPr="00F27AD4">
        <w:rPr>
          <w:rFonts w:ascii="Arial" w:eastAsia="Arial Unicode MS" w:hAnsi="Arial" w:cs="Arial"/>
          <w:sz w:val="24"/>
          <w:szCs w:val="24"/>
          <w:lang w:eastAsia="es-ES"/>
        </w:rPr>
        <w:t>l</w:t>
      </w:r>
      <w:r>
        <w:rPr>
          <w:rFonts w:ascii="Arial" w:eastAsia="Arial Unicode MS" w:hAnsi="Arial" w:cs="Arial"/>
          <w:sz w:val="24"/>
          <w:szCs w:val="24"/>
          <w:lang w:eastAsia="es-ES"/>
        </w:rPr>
        <w:t xml:space="preserve"> decir de Nava, -</w:t>
      </w:r>
      <w:r w:rsidRPr="00F27AD4">
        <w:rPr>
          <w:rFonts w:ascii="Arial" w:eastAsia="Arial Unicode MS" w:hAnsi="Arial" w:cs="Arial"/>
          <w:i/>
          <w:sz w:val="24"/>
          <w:szCs w:val="24"/>
          <w:lang w:eastAsia="es-ES"/>
        </w:rPr>
        <w:t>el principio de idoneidad-</w:t>
      </w:r>
      <w:r w:rsidRPr="00F27AD4">
        <w:rPr>
          <w:rFonts w:ascii="Arial" w:eastAsia="Arial Unicode MS" w:hAnsi="Arial" w:cs="Arial"/>
          <w:sz w:val="24"/>
          <w:szCs w:val="24"/>
          <w:lang w:eastAsia="es-ES"/>
        </w:rPr>
        <w:t xml:space="preserve"> implica que la afectación en uno de los principios colisionados debe satisfacer dos aspectos: el prime</w:t>
      </w:r>
      <w:r>
        <w:rPr>
          <w:rFonts w:ascii="Arial" w:eastAsia="Arial Unicode MS" w:hAnsi="Arial" w:cs="Arial"/>
          <w:sz w:val="24"/>
          <w:szCs w:val="24"/>
          <w:lang w:eastAsia="es-ES"/>
        </w:rPr>
        <w:t>ro, que la afectación tiene un -fin constitucionalmente válido- y, el segundo, que -la afectación es la adecuada-</w:t>
      </w:r>
      <w:r w:rsidRPr="00F27AD4">
        <w:rPr>
          <w:rFonts w:ascii="Arial" w:eastAsia="Arial Unicode MS" w:hAnsi="Arial" w:cs="Arial"/>
          <w:sz w:val="24"/>
          <w:szCs w:val="24"/>
          <w:lang w:eastAsia="es-ES"/>
        </w:rPr>
        <w:t xml:space="preserve"> para obte</w:t>
      </w:r>
      <w:r>
        <w:rPr>
          <w:rFonts w:ascii="Arial" w:eastAsia="Arial Unicode MS" w:hAnsi="Arial" w:cs="Arial"/>
          <w:sz w:val="24"/>
          <w:szCs w:val="24"/>
          <w:lang w:eastAsia="es-ES"/>
        </w:rPr>
        <w:t>ner ese fin</w:t>
      </w:r>
      <w:r>
        <w:rPr>
          <w:rStyle w:val="Refdenotaalpie"/>
          <w:rFonts w:ascii="Arial" w:eastAsia="Arial Unicode MS" w:hAnsi="Arial" w:cs="Arial"/>
          <w:sz w:val="24"/>
          <w:szCs w:val="24"/>
          <w:lang w:eastAsia="es-ES"/>
        </w:rPr>
        <w:footnoteReference w:id="73"/>
      </w:r>
      <w:r>
        <w:rPr>
          <w:rFonts w:ascii="Arial" w:eastAsia="Arial Unicode MS" w:hAnsi="Arial" w:cs="Arial"/>
          <w:sz w:val="24"/>
          <w:szCs w:val="24"/>
          <w:lang w:eastAsia="es-ES"/>
        </w:rPr>
        <w:t xml:space="preserve">. </w:t>
      </w:r>
    </w:p>
    <w:p w14:paraId="23BF2354" w14:textId="77777777" w:rsidR="00B853A9" w:rsidRDefault="00B853A9" w:rsidP="00B853A9">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El </w:t>
      </w:r>
      <w:r w:rsidRPr="00F27AD4">
        <w:rPr>
          <w:rFonts w:ascii="Arial" w:eastAsia="Arial Unicode MS" w:hAnsi="Arial" w:cs="Arial"/>
          <w:i/>
          <w:sz w:val="24"/>
          <w:szCs w:val="24"/>
          <w:lang w:eastAsia="es-ES"/>
        </w:rPr>
        <w:t>-principio de necesidad-</w:t>
      </w:r>
      <w:r w:rsidRPr="00F27AD4">
        <w:rPr>
          <w:rFonts w:ascii="Arial" w:eastAsia="Arial Unicode MS" w:hAnsi="Arial" w:cs="Arial"/>
          <w:sz w:val="24"/>
          <w:szCs w:val="24"/>
          <w:lang w:eastAsia="es-ES"/>
        </w:rPr>
        <w:t xml:space="preserve"> alude a la afectación a uno de los principios colisionados como la más benigna, la m</w:t>
      </w:r>
      <w:r>
        <w:rPr>
          <w:rFonts w:ascii="Arial" w:eastAsia="Arial Unicode MS" w:hAnsi="Arial" w:cs="Arial"/>
          <w:sz w:val="24"/>
          <w:szCs w:val="24"/>
          <w:lang w:eastAsia="es-ES"/>
        </w:rPr>
        <w:t>enos gravosa o la menos lesiva</w:t>
      </w:r>
      <w:r>
        <w:rPr>
          <w:rStyle w:val="Refdenotaalpie"/>
          <w:rFonts w:ascii="Arial" w:eastAsia="Arial Unicode MS" w:hAnsi="Arial" w:cs="Arial"/>
          <w:sz w:val="24"/>
          <w:szCs w:val="24"/>
          <w:lang w:eastAsia="es-ES"/>
        </w:rPr>
        <w:footnoteReference w:id="74"/>
      </w:r>
      <w:r w:rsidRPr="00F27AD4">
        <w:rPr>
          <w:rFonts w:ascii="Arial" w:eastAsia="Arial Unicode MS" w:hAnsi="Arial" w:cs="Arial"/>
          <w:sz w:val="24"/>
          <w:szCs w:val="24"/>
          <w:lang w:eastAsia="es-ES"/>
        </w:rPr>
        <w:t xml:space="preserve"> y que no existe otra medida de afectación que mejore la </w:t>
      </w:r>
      <w:r>
        <w:rPr>
          <w:rFonts w:ascii="Arial" w:eastAsia="Arial Unicode MS" w:hAnsi="Arial" w:cs="Arial"/>
          <w:sz w:val="24"/>
          <w:szCs w:val="24"/>
          <w:lang w:eastAsia="es-ES"/>
        </w:rPr>
        <w:t>optimización de dicho principio.</w:t>
      </w:r>
    </w:p>
    <w:p w14:paraId="76BB143F" w14:textId="77777777" w:rsidR="00B853A9" w:rsidRDefault="00B853A9" w:rsidP="00B853A9">
      <w:pPr>
        <w:spacing w:after="0" w:line="360" w:lineRule="auto"/>
        <w:ind w:firstLine="708"/>
        <w:jc w:val="both"/>
        <w:rPr>
          <w:rFonts w:ascii="Arial" w:eastAsia="Arial Unicode MS" w:hAnsi="Arial" w:cs="Arial"/>
          <w:sz w:val="24"/>
          <w:szCs w:val="24"/>
          <w:lang w:eastAsia="es-ES"/>
        </w:rPr>
      </w:pPr>
    </w:p>
    <w:p w14:paraId="0204A0B6" w14:textId="77777777" w:rsidR="00B853A9" w:rsidRDefault="00B853A9" w:rsidP="00B853A9">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En el </w:t>
      </w:r>
      <w:r>
        <w:rPr>
          <w:rFonts w:ascii="Arial" w:eastAsia="Arial Unicode MS" w:hAnsi="Arial" w:cs="Arial"/>
          <w:i/>
          <w:sz w:val="24"/>
          <w:szCs w:val="24"/>
          <w:lang w:eastAsia="es-ES"/>
        </w:rPr>
        <w:t xml:space="preserve">–principio de proporcionalidad- </w:t>
      </w:r>
      <w:r>
        <w:rPr>
          <w:rFonts w:ascii="Arial" w:eastAsia="Arial Unicode MS" w:hAnsi="Arial" w:cs="Arial"/>
          <w:sz w:val="24"/>
          <w:szCs w:val="24"/>
          <w:lang w:eastAsia="es-ES"/>
        </w:rPr>
        <w:t xml:space="preserve">se entiende como sopesar las </w:t>
      </w:r>
      <w:r w:rsidRPr="00855C4E">
        <w:rPr>
          <w:rFonts w:ascii="Arial" w:eastAsia="Arial Unicode MS" w:hAnsi="Arial" w:cs="Arial"/>
          <w:sz w:val="24"/>
          <w:szCs w:val="24"/>
          <w:lang w:eastAsia="es-ES"/>
        </w:rPr>
        <w:t>razones de la afectación de uno de los principios frente a las razones de afectación del otro principio. Un ejercicio de valoración del beneficio/perjuicio entre los principios colisionados, por lo que no es suficiente que la afectación sea la adecuada constitucionalmente, ni que se</w:t>
      </w:r>
      <w:r>
        <w:rPr>
          <w:rFonts w:ascii="Arial" w:eastAsia="Arial Unicode MS" w:hAnsi="Arial" w:cs="Arial"/>
          <w:sz w:val="24"/>
          <w:szCs w:val="24"/>
          <w:lang w:eastAsia="es-ES"/>
        </w:rPr>
        <w:t>a</w:t>
      </w:r>
      <w:r w:rsidRPr="00855C4E">
        <w:rPr>
          <w:rFonts w:ascii="Arial" w:eastAsia="Arial Unicode MS" w:hAnsi="Arial" w:cs="Arial"/>
          <w:sz w:val="24"/>
          <w:szCs w:val="24"/>
          <w:lang w:eastAsia="es-ES"/>
        </w:rPr>
        <w:t xml:space="preserve"> la menos lesiva en un espectro de opciones. Se requiere entonces que se confronten los principios en el caso concreto</w:t>
      </w:r>
      <w:r>
        <w:rPr>
          <w:rFonts w:ascii="Arial" w:eastAsia="Arial Unicode MS" w:hAnsi="Arial" w:cs="Arial"/>
          <w:sz w:val="24"/>
          <w:szCs w:val="24"/>
          <w:lang w:eastAsia="es-ES"/>
        </w:rPr>
        <w:t>.</w:t>
      </w:r>
    </w:p>
    <w:p w14:paraId="06962848" w14:textId="77777777" w:rsidR="00B853A9" w:rsidRDefault="00B853A9" w:rsidP="00B853A9">
      <w:pPr>
        <w:spacing w:after="0" w:line="360" w:lineRule="auto"/>
        <w:ind w:firstLine="708"/>
        <w:jc w:val="both"/>
        <w:rPr>
          <w:rFonts w:ascii="Arial" w:eastAsia="Arial Unicode MS" w:hAnsi="Arial" w:cs="Arial"/>
          <w:sz w:val="24"/>
          <w:szCs w:val="24"/>
          <w:lang w:eastAsia="es-ES"/>
        </w:rPr>
      </w:pPr>
    </w:p>
    <w:p w14:paraId="2B331E32" w14:textId="3F7177DA" w:rsidR="00B853A9" w:rsidRDefault="00B853A9" w:rsidP="00B853A9">
      <w:pPr>
        <w:spacing w:after="0" w:line="360" w:lineRule="auto"/>
        <w:ind w:firstLine="708"/>
        <w:jc w:val="both"/>
        <w:rPr>
          <w:rFonts w:ascii="Arial" w:eastAsia="Arial Unicode MS" w:hAnsi="Arial" w:cs="Arial"/>
          <w:b/>
          <w:sz w:val="24"/>
          <w:szCs w:val="24"/>
          <w:u w:val="single"/>
          <w:lang w:eastAsia="es-ES"/>
        </w:rPr>
      </w:pPr>
      <w:r w:rsidRPr="00364609">
        <w:rPr>
          <w:rFonts w:ascii="Arial" w:eastAsia="Arial Unicode MS" w:hAnsi="Arial" w:cs="Arial"/>
          <w:sz w:val="24"/>
          <w:szCs w:val="24"/>
          <w:lang w:eastAsia="es-ES"/>
        </w:rPr>
        <w:lastRenderedPageBreak/>
        <w:t>Sobre esta guisa, es</w:t>
      </w:r>
      <w:r>
        <w:rPr>
          <w:rFonts w:ascii="Arial" w:eastAsia="Arial Unicode MS" w:hAnsi="Arial" w:cs="Arial"/>
          <w:sz w:val="24"/>
          <w:szCs w:val="24"/>
          <w:lang w:eastAsia="es-ES"/>
        </w:rPr>
        <w:t xml:space="preserve"> evidente</w:t>
      </w:r>
      <w:r w:rsidRPr="00C30753">
        <w:rPr>
          <w:rFonts w:ascii="Arial" w:eastAsia="Arial Unicode MS" w:hAnsi="Arial" w:cs="Arial"/>
          <w:sz w:val="24"/>
          <w:szCs w:val="24"/>
          <w:lang w:eastAsia="es-ES"/>
        </w:rPr>
        <w:t xml:space="preserve"> que respecto a </w:t>
      </w:r>
      <w:r>
        <w:rPr>
          <w:rFonts w:ascii="Arial" w:eastAsia="Arial Unicode MS" w:hAnsi="Arial" w:cs="Arial"/>
          <w:sz w:val="24"/>
          <w:szCs w:val="24"/>
          <w:lang w:eastAsia="es-ES"/>
        </w:rPr>
        <w:t xml:space="preserve">la información confidencial, </w:t>
      </w:r>
      <w:r w:rsidR="00613F4D">
        <w:rPr>
          <w:rFonts w:ascii="Arial" w:eastAsia="Arial Unicode MS" w:hAnsi="Arial" w:cs="Arial"/>
          <w:b/>
          <w:sz w:val="24"/>
          <w:szCs w:val="24"/>
          <w:u w:val="single"/>
          <w:lang w:eastAsia="es-ES"/>
        </w:rPr>
        <w:t>el test de proporcionalidad</w:t>
      </w:r>
      <w:r w:rsidRPr="00C30753">
        <w:rPr>
          <w:rFonts w:ascii="Arial" w:eastAsia="Arial Unicode MS" w:hAnsi="Arial" w:cs="Arial"/>
          <w:b/>
          <w:sz w:val="24"/>
          <w:szCs w:val="24"/>
          <w:u w:val="single"/>
          <w:lang w:eastAsia="es-ES"/>
        </w:rPr>
        <w:t xml:space="preserve"> </w:t>
      </w:r>
      <w:r>
        <w:rPr>
          <w:rFonts w:ascii="Arial" w:eastAsia="Arial Unicode MS" w:hAnsi="Arial" w:cs="Arial"/>
          <w:b/>
          <w:sz w:val="24"/>
          <w:szCs w:val="24"/>
          <w:u w:val="single"/>
          <w:lang w:eastAsia="es-ES"/>
        </w:rPr>
        <w:t xml:space="preserve">se encuentra </w:t>
      </w:r>
      <w:r w:rsidRPr="00C30753">
        <w:rPr>
          <w:rFonts w:ascii="Arial" w:eastAsia="Arial Unicode MS" w:hAnsi="Arial" w:cs="Arial"/>
          <w:b/>
          <w:sz w:val="24"/>
          <w:szCs w:val="24"/>
          <w:u w:val="single"/>
          <w:lang w:eastAsia="es-ES"/>
        </w:rPr>
        <w:t>claramente definid</w:t>
      </w:r>
      <w:r w:rsidR="00613F4D">
        <w:rPr>
          <w:rFonts w:ascii="Arial" w:eastAsia="Arial Unicode MS" w:hAnsi="Arial" w:cs="Arial"/>
          <w:b/>
          <w:sz w:val="24"/>
          <w:szCs w:val="24"/>
          <w:u w:val="single"/>
          <w:lang w:eastAsia="es-ES"/>
        </w:rPr>
        <w:t>o</w:t>
      </w:r>
      <w:r w:rsidRPr="00C30753">
        <w:rPr>
          <w:rFonts w:ascii="Arial" w:eastAsia="Arial Unicode MS" w:hAnsi="Arial" w:cs="Arial"/>
          <w:b/>
          <w:sz w:val="24"/>
          <w:szCs w:val="24"/>
          <w:u w:val="single"/>
          <w:lang w:eastAsia="es-ES"/>
        </w:rPr>
        <w:t xml:space="preserve"> y circunscrit</w:t>
      </w:r>
      <w:r w:rsidR="00613F4D">
        <w:rPr>
          <w:rFonts w:ascii="Arial" w:eastAsia="Arial Unicode MS" w:hAnsi="Arial" w:cs="Arial"/>
          <w:b/>
          <w:sz w:val="24"/>
          <w:szCs w:val="24"/>
          <w:u w:val="single"/>
          <w:lang w:eastAsia="es-ES"/>
        </w:rPr>
        <w:t>o</w:t>
      </w:r>
      <w:r w:rsidRPr="00C30753">
        <w:rPr>
          <w:rFonts w:ascii="Arial" w:eastAsia="Arial Unicode MS" w:hAnsi="Arial" w:cs="Arial"/>
          <w:b/>
          <w:sz w:val="24"/>
          <w:szCs w:val="24"/>
          <w:u w:val="single"/>
          <w:lang w:eastAsia="es-ES"/>
        </w:rPr>
        <w:t xml:space="preserve"> a la protección de un valor determinado que es la protección de los derechos de la personalidad, en concreto la vida privada a través de datos </w:t>
      </w:r>
      <w:r>
        <w:rPr>
          <w:rFonts w:ascii="Arial" w:eastAsia="Arial Unicode MS" w:hAnsi="Arial" w:cs="Arial"/>
          <w:b/>
          <w:sz w:val="24"/>
          <w:szCs w:val="24"/>
          <w:u w:val="single"/>
          <w:lang w:eastAsia="es-ES"/>
        </w:rPr>
        <w:t xml:space="preserve">personales </w:t>
      </w:r>
      <w:r w:rsidRPr="00C30753">
        <w:rPr>
          <w:rFonts w:ascii="Arial" w:eastAsia="Arial Unicode MS" w:hAnsi="Arial" w:cs="Arial"/>
          <w:b/>
          <w:sz w:val="24"/>
          <w:szCs w:val="24"/>
          <w:u w:val="single"/>
          <w:lang w:eastAsia="es-ES"/>
        </w:rPr>
        <w:t>o datos sensibles que son de exclusivo manejo del individuo del que emanan.</w:t>
      </w:r>
      <w:r w:rsidRPr="00C30753">
        <w:rPr>
          <w:rFonts w:ascii="Arial" w:eastAsia="Arial Unicode MS" w:hAnsi="Arial" w:cs="Arial"/>
          <w:b/>
          <w:sz w:val="24"/>
          <w:szCs w:val="24"/>
          <w:u w:val="single"/>
          <w:vertAlign w:val="superscript"/>
          <w:lang w:eastAsia="es-ES"/>
        </w:rPr>
        <w:footnoteReference w:id="75"/>
      </w:r>
    </w:p>
    <w:p w14:paraId="631A39A8" w14:textId="77777777" w:rsidR="00B853A9" w:rsidRPr="001E7054" w:rsidRDefault="00B853A9" w:rsidP="00B853A9">
      <w:pPr>
        <w:spacing w:after="0" w:line="360" w:lineRule="auto"/>
        <w:ind w:firstLine="708"/>
        <w:jc w:val="both"/>
        <w:rPr>
          <w:rFonts w:ascii="Arial" w:eastAsia="Arial Unicode MS" w:hAnsi="Arial" w:cs="Arial"/>
          <w:b/>
          <w:sz w:val="24"/>
          <w:szCs w:val="24"/>
          <w:u w:val="single"/>
          <w:lang w:eastAsia="es-ES"/>
        </w:rPr>
      </w:pPr>
    </w:p>
    <w:p w14:paraId="0022C58A" w14:textId="3865AAE4" w:rsidR="00B853A9" w:rsidRDefault="00B853A9" w:rsidP="00B853A9">
      <w:pPr>
        <w:spacing w:after="0" w:line="360" w:lineRule="auto"/>
        <w:ind w:firstLine="708"/>
        <w:jc w:val="both"/>
        <w:rPr>
          <w:rFonts w:ascii="Arial" w:eastAsia="Arial Unicode MS" w:hAnsi="Arial" w:cs="Arial"/>
          <w:sz w:val="24"/>
          <w:szCs w:val="24"/>
          <w:lang w:eastAsia="es-ES"/>
        </w:rPr>
      </w:pPr>
      <w:r w:rsidRPr="001E7054">
        <w:rPr>
          <w:rFonts w:ascii="Arial" w:eastAsia="Arial Unicode MS" w:hAnsi="Arial" w:cs="Arial"/>
          <w:sz w:val="24"/>
          <w:szCs w:val="24"/>
          <w:lang w:eastAsia="es-ES"/>
        </w:rPr>
        <w:t>En ese sentido, la revelación de los datos personales cobra una capital importancia e identificación en el manejo de la información. El daño causado por el otorgamiento de ella es evidente y concreto. De cualquier manera, la legislación en materia de transparencia en el Estado mexicano establece una serie de instrucciones en materia de protección de datos en posesión de los sujetos obligados que les faculta y les obliga en materia de la información considerada como confidencial.</w:t>
      </w:r>
    </w:p>
    <w:p w14:paraId="2F59B429" w14:textId="6D77AF05" w:rsidR="007A3DFF" w:rsidRDefault="007A3DFF" w:rsidP="00B853A9">
      <w:pPr>
        <w:spacing w:after="0" w:line="360" w:lineRule="auto"/>
        <w:ind w:firstLine="708"/>
        <w:jc w:val="both"/>
        <w:rPr>
          <w:rFonts w:ascii="Arial" w:eastAsia="Arial Unicode MS" w:hAnsi="Arial" w:cs="Arial"/>
          <w:sz w:val="24"/>
          <w:szCs w:val="24"/>
          <w:lang w:eastAsia="es-ES"/>
        </w:rPr>
      </w:pPr>
    </w:p>
    <w:p w14:paraId="46A3059F" w14:textId="1500CF84" w:rsidR="007A3DFF" w:rsidRDefault="007A3DFF" w:rsidP="007A3DFF">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E</w:t>
      </w:r>
      <w:r w:rsidRPr="00002EC3">
        <w:rPr>
          <w:rFonts w:ascii="Arial" w:eastAsia="Arial Unicode MS" w:hAnsi="Arial" w:cs="Arial"/>
          <w:sz w:val="24"/>
          <w:szCs w:val="24"/>
          <w:lang w:eastAsia="es-ES"/>
        </w:rPr>
        <w:t xml:space="preserve">l criterio de interés público </w:t>
      </w:r>
      <w:r>
        <w:rPr>
          <w:rFonts w:ascii="Arial" w:eastAsia="Arial Unicode MS" w:hAnsi="Arial" w:cs="Arial"/>
          <w:sz w:val="24"/>
          <w:szCs w:val="24"/>
          <w:lang w:eastAsia="es-ES"/>
        </w:rPr>
        <w:t xml:space="preserve">se funda </w:t>
      </w:r>
      <w:r w:rsidRPr="00002EC3">
        <w:rPr>
          <w:rFonts w:ascii="Arial" w:eastAsia="Arial Unicode MS" w:hAnsi="Arial" w:cs="Arial"/>
          <w:sz w:val="24"/>
          <w:szCs w:val="24"/>
          <w:lang w:eastAsia="es-ES"/>
        </w:rPr>
        <w:t>en la información que el público considera relevante para la vida comunitaria, es decir, aquella que versa sobre hechos que puedan encerrar trascendencia pública</w:t>
      </w:r>
      <w:r>
        <w:rPr>
          <w:rFonts w:ascii="Arial" w:eastAsia="Arial Unicode MS" w:hAnsi="Arial" w:cs="Arial"/>
          <w:sz w:val="24"/>
          <w:szCs w:val="24"/>
          <w:lang w:eastAsia="es-ES"/>
        </w:rPr>
        <w:t>; así, u</w:t>
      </w:r>
      <w:r w:rsidRPr="00002EC3">
        <w:rPr>
          <w:rFonts w:ascii="Arial" w:eastAsia="Arial Unicode MS" w:hAnsi="Arial" w:cs="Arial"/>
          <w:sz w:val="24"/>
          <w:szCs w:val="24"/>
          <w:lang w:eastAsia="es-ES"/>
        </w:rPr>
        <w:t>na información se vuelve de interés público cuando miembros de la comunidad pueden justificar razonablemente un interés</w:t>
      </w:r>
      <w:r>
        <w:rPr>
          <w:rFonts w:ascii="Arial" w:eastAsia="Arial Unicode MS" w:hAnsi="Arial" w:cs="Arial"/>
          <w:sz w:val="24"/>
          <w:szCs w:val="24"/>
          <w:lang w:eastAsia="es-ES"/>
        </w:rPr>
        <w:t xml:space="preserve"> en su conocimiento y difusión.</w:t>
      </w:r>
      <w:r>
        <w:rPr>
          <w:rStyle w:val="Refdenotaalpie"/>
          <w:rFonts w:ascii="Arial" w:eastAsia="Arial Unicode MS" w:hAnsi="Arial" w:cs="Arial"/>
          <w:sz w:val="24"/>
          <w:szCs w:val="24"/>
          <w:lang w:eastAsia="es-ES"/>
        </w:rPr>
        <w:footnoteReference w:id="76"/>
      </w:r>
      <w:r w:rsidRPr="00002EC3">
        <w:rPr>
          <w:rFonts w:ascii="Arial" w:eastAsia="Arial Unicode MS" w:hAnsi="Arial" w:cs="Arial"/>
          <w:sz w:val="24"/>
          <w:szCs w:val="24"/>
          <w:lang w:eastAsia="es-ES"/>
        </w:rPr>
        <w:t xml:space="preserve"> </w:t>
      </w:r>
    </w:p>
    <w:p w14:paraId="771B7202" w14:textId="77777777" w:rsidR="007A3DFF" w:rsidRDefault="007A3DFF" w:rsidP="007A3DFF">
      <w:pPr>
        <w:spacing w:after="0" w:line="360" w:lineRule="auto"/>
        <w:ind w:firstLine="709"/>
        <w:jc w:val="both"/>
        <w:rPr>
          <w:rFonts w:ascii="Arial" w:eastAsia="Arial Unicode MS" w:hAnsi="Arial" w:cs="Arial"/>
          <w:sz w:val="24"/>
          <w:szCs w:val="24"/>
          <w:lang w:eastAsia="es-ES"/>
        </w:rPr>
      </w:pPr>
    </w:p>
    <w:p w14:paraId="72F1C157" w14:textId="0E38C804" w:rsidR="007A3DFF" w:rsidRDefault="007A3DFF" w:rsidP="007A3DFF">
      <w:pPr>
        <w:spacing w:after="0" w:line="360" w:lineRule="auto"/>
        <w:ind w:firstLine="709"/>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Por tanto, al existir </w:t>
      </w:r>
      <w:r w:rsidRPr="005E60BF">
        <w:rPr>
          <w:rFonts w:ascii="Arial" w:eastAsia="Arial Unicode MS" w:hAnsi="Arial" w:cs="Arial"/>
          <w:sz w:val="24"/>
          <w:szCs w:val="24"/>
          <w:lang w:eastAsia="es-ES"/>
        </w:rPr>
        <w:t xml:space="preserve">un legítimo interés, en el que se instala un </w:t>
      </w:r>
      <w:r w:rsidR="00613F4D">
        <w:rPr>
          <w:rFonts w:ascii="Arial" w:eastAsia="Arial Unicode MS" w:hAnsi="Arial" w:cs="Arial"/>
          <w:sz w:val="24"/>
          <w:szCs w:val="24"/>
          <w:lang w:eastAsia="es-ES"/>
        </w:rPr>
        <w:t>-</w:t>
      </w:r>
      <w:r w:rsidRPr="005E60BF">
        <w:rPr>
          <w:rFonts w:ascii="Arial" w:eastAsia="Arial Unicode MS" w:hAnsi="Arial" w:cs="Arial"/>
          <w:sz w:val="24"/>
          <w:szCs w:val="24"/>
          <w:lang w:eastAsia="es-ES"/>
        </w:rPr>
        <w:t>también legítimo</w:t>
      </w:r>
      <w:r w:rsidR="00613F4D">
        <w:rPr>
          <w:rFonts w:ascii="Arial" w:eastAsia="Arial Unicode MS" w:hAnsi="Arial" w:cs="Arial"/>
          <w:sz w:val="24"/>
          <w:szCs w:val="24"/>
          <w:lang w:eastAsia="es-ES"/>
        </w:rPr>
        <w:t>-</w:t>
      </w:r>
      <w:r w:rsidRPr="005E60BF">
        <w:rPr>
          <w:rFonts w:ascii="Arial" w:eastAsia="Arial Unicode MS" w:hAnsi="Arial" w:cs="Arial"/>
          <w:sz w:val="24"/>
          <w:szCs w:val="24"/>
          <w:lang w:eastAsia="es-ES"/>
        </w:rPr>
        <w:t xml:space="preserve"> empleo de</w:t>
      </w:r>
      <w:r>
        <w:rPr>
          <w:rFonts w:ascii="Arial" w:eastAsia="Arial Unicode MS" w:hAnsi="Arial" w:cs="Arial"/>
          <w:sz w:val="24"/>
          <w:szCs w:val="24"/>
          <w:lang w:eastAsia="es-ES"/>
        </w:rPr>
        <w:t xml:space="preserve">l derecho de acceso a la información </w:t>
      </w:r>
      <w:r w:rsidRPr="005E60BF">
        <w:rPr>
          <w:rFonts w:ascii="Arial" w:eastAsia="Arial Unicode MS" w:hAnsi="Arial" w:cs="Arial"/>
          <w:sz w:val="24"/>
          <w:szCs w:val="24"/>
          <w:lang w:eastAsia="es-ES"/>
        </w:rPr>
        <w:t xml:space="preserve">en su vertiente informativa, en conocer lo que de alguna manera compromete a la sociedad en su conjunto, incide sobre la marcha del Estado, afecta intereses o derechos generales, acarrea consecuencias importantes para la comunidad. Las tareas de gobierno -y más ampliamente, las actividades del Estado, a </w:t>
      </w:r>
      <w:r>
        <w:rPr>
          <w:rFonts w:ascii="Arial" w:eastAsia="Arial Unicode MS" w:hAnsi="Arial" w:cs="Arial"/>
          <w:sz w:val="24"/>
          <w:szCs w:val="24"/>
          <w:lang w:eastAsia="es-ES"/>
        </w:rPr>
        <w:t>través de sus diversos órganos-</w:t>
      </w:r>
      <w:r w:rsidRPr="005E60BF">
        <w:rPr>
          <w:rFonts w:ascii="Arial" w:eastAsia="Arial Unicode MS" w:hAnsi="Arial" w:cs="Arial"/>
          <w:sz w:val="24"/>
          <w:szCs w:val="24"/>
          <w:lang w:eastAsia="es-ES"/>
        </w:rPr>
        <w:t xml:space="preserve"> no son indiferentes y mucho menos debieran ser inaccesibles al conocimiento de l</w:t>
      </w:r>
      <w:r>
        <w:rPr>
          <w:rFonts w:ascii="Arial" w:eastAsia="Arial Unicode MS" w:hAnsi="Arial" w:cs="Arial"/>
          <w:sz w:val="24"/>
          <w:szCs w:val="24"/>
          <w:lang w:eastAsia="es-ES"/>
        </w:rPr>
        <w:t xml:space="preserve">as personas. </w:t>
      </w:r>
      <w:r w:rsidRPr="005E60BF">
        <w:rPr>
          <w:rFonts w:ascii="Arial" w:eastAsia="Arial Unicode MS" w:hAnsi="Arial" w:cs="Arial"/>
          <w:sz w:val="24"/>
          <w:szCs w:val="24"/>
          <w:lang w:eastAsia="es-ES"/>
        </w:rPr>
        <w:t xml:space="preserve">La democracia se construye a partir de la opinión pública, debidamente informada, que con base en esa información orienta su juicio y toma sus decisiones. Así, el ingreso en el ámbito de esas </w:t>
      </w:r>
      <w:r w:rsidRPr="005E60BF">
        <w:rPr>
          <w:rFonts w:ascii="Arial" w:eastAsia="Arial Unicode MS" w:hAnsi="Arial" w:cs="Arial"/>
          <w:sz w:val="24"/>
          <w:szCs w:val="24"/>
          <w:lang w:eastAsia="es-ES"/>
        </w:rPr>
        <w:lastRenderedPageBreak/>
        <w:t>cuestiones resultará mucho más holgado que el correspondiente a los asuntos estrictamente privados, propios de la vida personal o íntima, que no trascienden sus estrictos linderos. La llamada “transparencia” tiene en aquel ámbito uno de sus espacios naturales</w:t>
      </w:r>
      <w:r>
        <w:rPr>
          <w:rStyle w:val="Refdenotaalpie"/>
          <w:rFonts w:ascii="Arial" w:eastAsia="Arial Unicode MS" w:hAnsi="Arial" w:cs="Arial"/>
          <w:sz w:val="24"/>
          <w:szCs w:val="24"/>
          <w:lang w:eastAsia="es-ES"/>
        </w:rPr>
        <w:footnoteReference w:id="77"/>
      </w:r>
      <w:r w:rsidRPr="005E60BF">
        <w:rPr>
          <w:rFonts w:ascii="Arial" w:eastAsia="Arial Unicode MS" w:hAnsi="Arial" w:cs="Arial"/>
          <w:sz w:val="24"/>
          <w:szCs w:val="24"/>
          <w:lang w:eastAsia="es-ES"/>
        </w:rPr>
        <w:t>.</w:t>
      </w:r>
    </w:p>
    <w:p w14:paraId="3F93284F" w14:textId="77777777" w:rsidR="007A3DFF" w:rsidRDefault="007A3DFF" w:rsidP="007A3DFF">
      <w:pPr>
        <w:spacing w:after="0" w:line="360" w:lineRule="auto"/>
        <w:ind w:firstLine="709"/>
        <w:jc w:val="both"/>
        <w:rPr>
          <w:rFonts w:ascii="Arial" w:eastAsia="Arial Unicode MS" w:hAnsi="Arial" w:cs="Arial"/>
          <w:sz w:val="24"/>
          <w:szCs w:val="24"/>
          <w:lang w:eastAsia="es-ES"/>
        </w:rPr>
      </w:pPr>
    </w:p>
    <w:p w14:paraId="0B7E225D" w14:textId="77777777" w:rsidR="007A3DFF" w:rsidRDefault="007A3DFF" w:rsidP="007A3DFF">
      <w:pPr>
        <w:spacing w:after="0" w:line="360" w:lineRule="auto"/>
        <w:ind w:firstLine="709"/>
        <w:jc w:val="both"/>
        <w:rPr>
          <w:rFonts w:ascii="Arial" w:eastAsia="Arial Unicode MS" w:hAnsi="Arial" w:cs="Arial"/>
          <w:sz w:val="24"/>
          <w:szCs w:val="24"/>
          <w:lang w:eastAsia="es-ES"/>
        </w:rPr>
      </w:pPr>
      <w:r w:rsidRPr="006C4C98">
        <w:rPr>
          <w:rFonts w:ascii="Arial" w:eastAsia="Arial Unicode MS" w:hAnsi="Arial" w:cs="Arial"/>
          <w:sz w:val="24"/>
          <w:szCs w:val="24"/>
          <w:lang w:eastAsia="es-ES"/>
        </w:rPr>
        <w:t>E</w:t>
      </w:r>
      <w:r>
        <w:rPr>
          <w:rFonts w:ascii="Arial" w:eastAsia="Arial Unicode MS" w:hAnsi="Arial" w:cs="Arial"/>
          <w:sz w:val="24"/>
          <w:szCs w:val="24"/>
          <w:lang w:eastAsia="es-ES"/>
        </w:rPr>
        <w:t>n el caso concreto, e</w:t>
      </w:r>
      <w:r w:rsidRPr="006C4C98">
        <w:rPr>
          <w:rFonts w:ascii="Arial" w:eastAsia="Arial Unicode MS" w:hAnsi="Arial" w:cs="Arial"/>
          <w:sz w:val="24"/>
          <w:szCs w:val="24"/>
          <w:lang w:eastAsia="es-ES"/>
        </w:rPr>
        <w:t xml:space="preserve">l discurso político </w:t>
      </w:r>
      <w:r>
        <w:rPr>
          <w:rFonts w:ascii="Arial" w:eastAsia="Arial Unicode MS" w:hAnsi="Arial" w:cs="Arial"/>
          <w:sz w:val="24"/>
          <w:szCs w:val="24"/>
          <w:lang w:eastAsia="es-ES"/>
        </w:rPr>
        <w:t xml:space="preserve">se encuentra </w:t>
      </w:r>
      <w:r w:rsidRPr="006C4C98">
        <w:rPr>
          <w:rFonts w:ascii="Arial" w:eastAsia="Arial Unicode MS" w:hAnsi="Arial" w:cs="Arial"/>
          <w:sz w:val="24"/>
          <w:szCs w:val="24"/>
          <w:lang w:eastAsia="es-ES"/>
        </w:rPr>
        <w:t xml:space="preserve">directamente relacionado </w:t>
      </w:r>
      <w:r>
        <w:rPr>
          <w:rFonts w:ascii="Arial" w:eastAsia="Arial Unicode MS" w:hAnsi="Arial" w:cs="Arial"/>
          <w:sz w:val="24"/>
          <w:szCs w:val="24"/>
          <w:lang w:eastAsia="es-ES"/>
        </w:rPr>
        <w:t>con la dimensión social y la</w:t>
      </w:r>
      <w:r w:rsidRPr="006C4C98">
        <w:rPr>
          <w:rFonts w:ascii="Arial" w:eastAsia="Arial Unicode MS" w:hAnsi="Arial" w:cs="Arial"/>
          <w:sz w:val="24"/>
          <w:szCs w:val="24"/>
          <w:lang w:eastAsia="es-ES"/>
        </w:rPr>
        <w:t xml:space="preserve"> </w:t>
      </w:r>
      <w:r>
        <w:rPr>
          <w:rFonts w:ascii="Arial" w:eastAsia="Arial Unicode MS" w:hAnsi="Arial" w:cs="Arial"/>
          <w:sz w:val="24"/>
          <w:szCs w:val="24"/>
          <w:lang w:eastAsia="es-ES"/>
        </w:rPr>
        <w:t xml:space="preserve">función del derecho de acceso a la información. </w:t>
      </w:r>
      <w:r w:rsidRPr="006C4C98">
        <w:rPr>
          <w:rFonts w:ascii="Arial" w:eastAsia="Arial Unicode MS" w:hAnsi="Arial" w:cs="Arial"/>
          <w:sz w:val="24"/>
          <w:szCs w:val="24"/>
          <w:lang w:eastAsia="es-ES"/>
        </w:rPr>
        <w:t>Por lo tanto, la protección de su libre difusión resulta espec</w:t>
      </w:r>
      <w:r>
        <w:rPr>
          <w:rFonts w:ascii="Arial" w:eastAsia="Arial Unicode MS" w:hAnsi="Arial" w:cs="Arial"/>
          <w:sz w:val="24"/>
          <w:szCs w:val="24"/>
          <w:lang w:eastAsia="es-ES"/>
        </w:rPr>
        <w:t>ialmente relevante para que esto</w:t>
      </w:r>
      <w:r w:rsidRPr="006C4C98">
        <w:rPr>
          <w:rFonts w:ascii="Arial" w:eastAsia="Arial Unicode MS" w:hAnsi="Arial" w:cs="Arial"/>
          <w:sz w:val="24"/>
          <w:szCs w:val="24"/>
          <w:lang w:eastAsia="es-ES"/>
        </w:rPr>
        <w:t xml:space="preserve">s </w:t>
      </w:r>
      <w:r>
        <w:rPr>
          <w:rFonts w:ascii="Arial" w:eastAsia="Arial Unicode MS" w:hAnsi="Arial" w:cs="Arial"/>
          <w:sz w:val="24"/>
          <w:szCs w:val="24"/>
          <w:lang w:eastAsia="es-ES"/>
        </w:rPr>
        <w:t xml:space="preserve">derechos </w:t>
      </w:r>
      <w:r w:rsidRPr="006C4C98">
        <w:rPr>
          <w:rFonts w:ascii="Arial" w:eastAsia="Arial Unicode MS" w:hAnsi="Arial" w:cs="Arial"/>
          <w:sz w:val="24"/>
          <w:szCs w:val="24"/>
          <w:lang w:eastAsia="es-ES"/>
        </w:rPr>
        <w:t xml:space="preserve">desempeñen sus funciones de cara a la formación de la opinión pública, dentro del esquema estructural propio de la democracia representativa. Una opinión pública bien informada es el medio más adecuado para conocer y juzgar las ideas y actitudes de los dirigentes políticos. </w:t>
      </w:r>
    </w:p>
    <w:p w14:paraId="00F8FE17" w14:textId="77777777" w:rsidR="007A3DFF" w:rsidRDefault="007A3DFF" w:rsidP="007A3DFF">
      <w:pPr>
        <w:spacing w:after="0" w:line="360" w:lineRule="auto"/>
        <w:ind w:firstLine="709"/>
        <w:jc w:val="both"/>
        <w:rPr>
          <w:rFonts w:ascii="Arial" w:eastAsia="Arial Unicode MS" w:hAnsi="Arial" w:cs="Arial"/>
          <w:sz w:val="24"/>
          <w:szCs w:val="24"/>
          <w:lang w:eastAsia="es-ES"/>
        </w:rPr>
      </w:pPr>
    </w:p>
    <w:p w14:paraId="6B386396" w14:textId="77777777" w:rsidR="007A3DFF" w:rsidRDefault="007A3DFF" w:rsidP="007A3DFF">
      <w:pPr>
        <w:spacing w:after="0" w:line="360" w:lineRule="auto"/>
        <w:ind w:firstLine="709"/>
        <w:jc w:val="both"/>
        <w:rPr>
          <w:rFonts w:ascii="Arial" w:eastAsia="Arial Unicode MS" w:hAnsi="Arial" w:cs="Arial"/>
          <w:sz w:val="24"/>
          <w:szCs w:val="24"/>
          <w:lang w:eastAsia="es-ES"/>
        </w:rPr>
      </w:pPr>
      <w:r w:rsidRPr="006C4C98">
        <w:rPr>
          <w:rFonts w:ascii="Arial" w:eastAsia="Arial Unicode MS" w:hAnsi="Arial" w:cs="Arial"/>
          <w:sz w:val="24"/>
          <w:szCs w:val="24"/>
          <w:lang w:eastAsia="es-ES"/>
        </w:rPr>
        <w:t>El control ciudadano de la actividad de personas que ocupan o han ocupado en el pasado cargos públicos (funcionarios, cargos electos, miembros de partidos políticos, diplomáticos, particulares que desempeñan funciones estatales o de interés público, etcétera) fomenta la transparencia de las a</w:t>
      </w:r>
      <w:r>
        <w:rPr>
          <w:rFonts w:ascii="Arial" w:eastAsia="Arial Unicode MS" w:hAnsi="Arial" w:cs="Arial"/>
          <w:sz w:val="24"/>
          <w:szCs w:val="24"/>
          <w:lang w:eastAsia="es-ES"/>
        </w:rPr>
        <w:t xml:space="preserve">ctividades estatales y promueve el mandato </w:t>
      </w:r>
      <w:r w:rsidRPr="006C4C98">
        <w:rPr>
          <w:rFonts w:ascii="Arial" w:eastAsia="Arial Unicode MS" w:hAnsi="Arial" w:cs="Arial"/>
          <w:sz w:val="24"/>
          <w:szCs w:val="24"/>
          <w:lang w:eastAsia="es-ES"/>
        </w:rPr>
        <w:t>de todos los que tienen responsabilidades de gestión pública, lo cual necesariamente hace que exista un margen mayor para difundir afirmaciones y apreciaciones consustanciales al discurrir del debate político o sobre asuntos públicos</w:t>
      </w:r>
      <w:r w:rsidRPr="006C4C98">
        <w:rPr>
          <w:rFonts w:ascii="Arial" w:eastAsia="Arial Unicode MS" w:hAnsi="Arial" w:cs="Arial"/>
          <w:sz w:val="24"/>
          <w:szCs w:val="24"/>
          <w:vertAlign w:val="superscript"/>
          <w:lang w:eastAsia="es-ES"/>
        </w:rPr>
        <w:footnoteReference w:id="78"/>
      </w:r>
      <w:r w:rsidRPr="006C4C98">
        <w:rPr>
          <w:rFonts w:ascii="Arial" w:eastAsia="Arial Unicode MS" w:hAnsi="Arial" w:cs="Arial"/>
          <w:sz w:val="24"/>
          <w:szCs w:val="24"/>
          <w:lang w:eastAsia="es-ES"/>
        </w:rPr>
        <w:t>.</w:t>
      </w:r>
    </w:p>
    <w:p w14:paraId="5100FB00" w14:textId="77777777" w:rsidR="00B853A9" w:rsidRDefault="00B853A9" w:rsidP="00B853A9">
      <w:pPr>
        <w:spacing w:after="0" w:line="360" w:lineRule="auto"/>
        <w:ind w:firstLine="708"/>
        <w:jc w:val="both"/>
        <w:rPr>
          <w:rFonts w:ascii="Arial" w:eastAsia="Arial Unicode MS" w:hAnsi="Arial" w:cs="Arial"/>
          <w:sz w:val="24"/>
          <w:szCs w:val="24"/>
          <w:lang w:eastAsia="es-ES"/>
        </w:rPr>
      </w:pPr>
    </w:p>
    <w:p w14:paraId="62DAD686" w14:textId="77777777" w:rsidR="00B853A9" w:rsidRDefault="00B853A9" w:rsidP="00B853A9">
      <w:pPr>
        <w:spacing w:after="0" w:line="360" w:lineRule="auto"/>
        <w:ind w:firstLine="708"/>
        <w:jc w:val="both"/>
        <w:rPr>
          <w:rFonts w:ascii="Arial" w:eastAsia="Arial Unicode MS" w:hAnsi="Arial" w:cs="Arial"/>
          <w:sz w:val="24"/>
          <w:szCs w:val="24"/>
          <w:lang w:eastAsia="es-ES"/>
        </w:rPr>
      </w:pPr>
      <w:r>
        <w:rPr>
          <w:rFonts w:ascii="Arial" w:eastAsia="Arial Unicode MS" w:hAnsi="Arial" w:cs="Arial"/>
          <w:sz w:val="24"/>
          <w:szCs w:val="24"/>
          <w:lang w:eastAsia="es-ES"/>
        </w:rPr>
        <w:t xml:space="preserve">Ahora bien, </w:t>
      </w:r>
      <w:r w:rsidRPr="006A0C65">
        <w:rPr>
          <w:rFonts w:ascii="Arial" w:eastAsia="Arial Unicode MS" w:hAnsi="Arial" w:cs="Arial"/>
          <w:sz w:val="24"/>
          <w:szCs w:val="24"/>
          <w:lang w:eastAsia="es-ES"/>
        </w:rPr>
        <w:t xml:space="preserve">el marco de subsunción normativa que la </w:t>
      </w:r>
      <w:r>
        <w:rPr>
          <w:rFonts w:ascii="Arial" w:eastAsia="Arial Unicode MS" w:hAnsi="Arial" w:cs="Arial"/>
          <w:sz w:val="24"/>
          <w:szCs w:val="24"/>
          <w:lang w:eastAsia="es-ES"/>
        </w:rPr>
        <w:t xml:space="preserve">Ley de Transparencia y Acceso a la Información Pública del Estado establece para </w:t>
      </w:r>
      <w:r w:rsidRPr="006A0C65">
        <w:rPr>
          <w:rFonts w:ascii="Arial" w:eastAsia="Arial Unicode MS" w:hAnsi="Arial" w:cs="Arial"/>
          <w:sz w:val="24"/>
          <w:szCs w:val="24"/>
          <w:lang w:eastAsia="es-ES"/>
        </w:rPr>
        <w:t>levantar la confidencialidad</w:t>
      </w:r>
      <w:r>
        <w:rPr>
          <w:rFonts w:ascii="Arial" w:eastAsia="Arial Unicode MS" w:hAnsi="Arial" w:cs="Arial"/>
          <w:sz w:val="24"/>
          <w:szCs w:val="24"/>
          <w:lang w:eastAsia="es-ES"/>
        </w:rPr>
        <w:t xml:space="preserve">, se encuentra en el artículo 142, que señala </w:t>
      </w:r>
      <w:r w:rsidRPr="006A0C65">
        <w:rPr>
          <w:rFonts w:ascii="Arial" w:eastAsia="Arial Unicode MS" w:hAnsi="Arial" w:cs="Arial"/>
          <w:sz w:val="24"/>
          <w:szCs w:val="24"/>
          <w:lang w:eastAsia="es-ES"/>
        </w:rPr>
        <w:t>una lista enunciativa, aunque restringida a los primeros cinco casos:</w:t>
      </w:r>
    </w:p>
    <w:p w14:paraId="0064C865" w14:textId="77777777" w:rsidR="00B853A9" w:rsidRDefault="00B853A9" w:rsidP="00B853A9">
      <w:pPr>
        <w:spacing w:after="0" w:line="360" w:lineRule="auto"/>
        <w:ind w:firstLine="708"/>
        <w:jc w:val="both"/>
        <w:rPr>
          <w:rFonts w:ascii="Arial" w:eastAsia="Arial Unicode MS" w:hAnsi="Arial" w:cs="Arial"/>
          <w:sz w:val="24"/>
          <w:szCs w:val="24"/>
          <w:lang w:eastAsia="es-ES"/>
        </w:rPr>
      </w:pPr>
    </w:p>
    <w:p w14:paraId="35688BE1" w14:textId="77777777" w:rsidR="00B853A9" w:rsidRPr="006C4619" w:rsidRDefault="00B853A9" w:rsidP="00B853A9">
      <w:pPr>
        <w:spacing w:after="0" w:line="240" w:lineRule="auto"/>
        <w:ind w:left="1134" w:right="1750"/>
        <w:jc w:val="both"/>
        <w:rPr>
          <w:rFonts w:ascii="Arial" w:eastAsia="Arial Unicode MS" w:hAnsi="Arial" w:cs="Arial"/>
          <w:lang w:eastAsia="es-ES"/>
        </w:rPr>
      </w:pPr>
      <w:r w:rsidRPr="006C4619">
        <w:rPr>
          <w:rFonts w:ascii="Arial" w:eastAsia="Arial Unicode MS" w:hAnsi="Arial" w:cs="Arial"/>
          <w:b/>
          <w:lang w:eastAsia="es-ES"/>
        </w:rPr>
        <w:t>“ARTÍCULO 142.</w:t>
      </w:r>
      <w:r w:rsidRPr="006C4619">
        <w:rPr>
          <w:rFonts w:ascii="Arial" w:eastAsia="Arial Unicode MS" w:hAnsi="Arial" w:cs="Arial"/>
          <w:lang w:eastAsia="es-ES"/>
        </w:rPr>
        <w:t xml:space="preserve"> Para que los sujetos obligados puedan permitir el acceso a información confidencial requieren </w:t>
      </w:r>
      <w:r w:rsidRPr="006C4619">
        <w:rPr>
          <w:rFonts w:ascii="Arial" w:eastAsia="Arial Unicode MS" w:hAnsi="Arial" w:cs="Arial"/>
          <w:lang w:eastAsia="es-ES"/>
        </w:rPr>
        <w:lastRenderedPageBreak/>
        <w:t xml:space="preserve">obtener el consentimiento de los particulares titulares de la información. No se requerirá el consentimiento del titular de la información confidencial cuando: </w:t>
      </w:r>
    </w:p>
    <w:p w14:paraId="06CB11A2" w14:textId="77777777" w:rsidR="00B853A9" w:rsidRPr="006C4619" w:rsidRDefault="00B853A9" w:rsidP="00B853A9">
      <w:pPr>
        <w:spacing w:after="0" w:line="240" w:lineRule="auto"/>
        <w:ind w:left="1134" w:right="1750"/>
        <w:jc w:val="both"/>
        <w:rPr>
          <w:rFonts w:ascii="Arial" w:eastAsia="Arial Unicode MS" w:hAnsi="Arial" w:cs="Arial"/>
          <w:lang w:eastAsia="es-ES"/>
        </w:rPr>
      </w:pPr>
      <w:r w:rsidRPr="006C4619">
        <w:rPr>
          <w:rFonts w:ascii="Arial" w:eastAsia="Arial Unicode MS" w:hAnsi="Arial" w:cs="Arial"/>
          <w:lang w:eastAsia="es-ES"/>
        </w:rPr>
        <w:t xml:space="preserve">I. La información se encuentre en registros públicos o fuentes de acceso público; </w:t>
      </w:r>
    </w:p>
    <w:p w14:paraId="37701C04" w14:textId="77777777" w:rsidR="00B853A9" w:rsidRPr="006C4619" w:rsidRDefault="00B853A9" w:rsidP="00B853A9">
      <w:pPr>
        <w:spacing w:after="0" w:line="240" w:lineRule="auto"/>
        <w:ind w:left="1134" w:right="1750"/>
        <w:jc w:val="both"/>
        <w:rPr>
          <w:rFonts w:ascii="Arial" w:eastAsia="Arial Unicode MS" w:hAnsi="Arial" w:cs="Arial"/>
          <w:lang w:eastAsia="es-ES"/>
        </w:rPr>
      </w:pPr>
      <w:r w:rsidRPr="006C4619">
        <w:rPr>
          <w:rFonts w:ascii="Arial" w:eastAsia="Arial Unicode MS" w:hAnsi="Arial" w:cs="Arial"/>
          <w:lang w:eastAsia="es-ES"/>
        </w:rPr>
        <w:t xml:space="preserve">II. Por ley tenga el carácter de pública; </w:t>
      </w:r>
    </w:p>
    <w:p w14:paraId="62EF86B7" w14:textId="77777777" w:rsidR="00B853A9" w:rsidRPr="006C4619" w:rsidRDefault="00B853A9" w:rsidP="00B853A9">
      <w:pPr>
        <w:spacing w:after="0" w:line="240" w:lineRule="auto"/>
        <w:ind w:left="1134" w:right="1750"/>
        <w:jc w:val="both"/>
        <w:rPr>
          <w:rFonts w:ascii="Arial" w:eastAsia="Arial Unicode MS" w:hAnsi="Arial" w:cs="Arial"/>
          <w:lang w:eastAsia="es-ES"/>
        </w:rPr>
      </w:pPr>
      <w:r w:rsidRPr="006C4619">
        <w:rPr>
          <w:rFonts w:ascii="Arial" w:eastAsia="Arial Unicode MS" w:hAnsi="Arial" w:cs="Arial"/>
          <w:lang w:eastAsia="es-ES"/>
        </w:rPr>
        <w:t xml:space="preserve">III. Exista una orden judicial; </w:t>
      </w:r>
    </w:p>
    <w:p w14:paraId="1A0FFC57" w14:textId="77777777" w:rsidR="00B853A9" w:rsidRPr="00E66ABC" w:rsidRDefault="00B853A9" w:rsidP="00B853A9">
      <w:pPr>
        <w:spacing w:after="0" w:line="240" w:lineRule="auto"/>
        <w:ind w:left="1134" w:right="1750"/>
        <w:jc w:val="both"/>
        <w:rPr>
          <w:rFonts w:ascii="Arial" w:eastAsia="Arial Unicode MS" w:hAnsi="Arial" w:cs="Arial"/>
          <w:lang w:eastAsia="es-ES"/>
        </w:rPr>
      </w:pPr>
      <w:r w:rsidRPr="00E66ABC">
        <w:rPr>
          <w:rFonts w:ascii="Arial" w:eastAsia="Arial Unicode MS" w:hAnsi="Arial" w:cs="Arial"/>
          <w:lang w:eastAsia="es-ES"/>
        </w:rPr>
        <w:t xml:space="preserve">IV. Por razones de salubridad general, o para proteger los derechos de terceros, se requiera su publicación, o </w:t>
      </w:r>
    </w:p>
    <w:p w14:paraId="7250519F" w14:textId="77777777" w:rsidR="00B853A9" w:rsidRDefault="00B853A9" w:rsidP="00B853A9">
      <w:pPr>
        <w:spacing w:after="0" w:line="240" w:lineRule="auto"/>
        <w:ind w:left="1134" w:right="1750"/>
        <w:jc w:val="both"/>
        <w:rPr>
          <w:rFonts w:ascii="Arial" w:eastAsia="Arial Unicode MS" w:hAnsi="Arial" w:cs="Arial"/>
          <w:lang w:eastAsia="es-ES"/>
        </w:rPr>
      </w:pPr>
      <w:r w:rsidRPr="006C4619">
        <w:rPr>
          <w:rFonts w:ascii="Arial" w:eastAsia="Arial Unicode MS" w:hAnsi="Arial" w:cs="Arial"/>
          <w:lang w:eastAsia="es-ES"/>
        </w:rPr>
        <w:t>V. Cuando se transmita entre sujetos obligados y entre éstos y los sujetos de derecho internacional, en términos de los tratados y los acuerdos interinstitucionales, siempre y cuando la información se utilice para el ejercicio de facultades propias de los mismos.</w:t>
      </w:r>
    </w:p>
    <w:p w14:paraId="0E582D90" w14:textId="77777777" w:rsidR="00B853A9" w:rsidRDefault="00B853A9" w:rsidP="00B853A9">
      <w:pPr>
        <w:spacing w:after="0" w:line="240" w:lineRule="auto"/>
        <w:ind w:left="1134" w:right="1750"/>
        <w:jc w:val="both"/>
        <w:rPr>
          <w:rFonts w:ascii="Arial" w:eastAsia="Arial Unicode MS" w:hAnsi="Arial" w:cs="Arial"/>
          <w:lang w:eastAsia="es-ES"/>
        </w:rPr>
      </w:pPr>
    </w:p>
    <w:p w14:paraId="67D896E5" w14:textId="77777777" w:rsidR="00B853A9" w:rsidRDefault="00B853A9" w:rsidP="00B853A9">
      <w:pPr>
        <w:spacing w:after="0" w:line="240" w:lineRule="auto"/>
        <w:ind w:left="1134" w:right="1750"/>
        <w:jc w:val="both"/>
        <w:rPr>
          <w:rFonts w:ascii="Arial" w:eastAsia="Arial Unicode MS" w:hAnsi="Arial" w:cs="Arial"/>
          <w:lang w:eastAsia="es-ES"/>
        </w:rPr>
      </w:pPr>
      <w:r w:rsidRPr="004F16C4">
        <w:rPr>
          <w:rFonts w:ascii="Arial" w:eastAsia="Arial Unicode MS" w:hAnsi="Arial" w:cs="Arial"/>
          <w:lang w:eastAsia="es-ES"/>
        </w:rPr>
        <w:t xml:space="preserve">Para efectos de la fracción IV del presente artículo, </w:t>
      </w:r>
      <w:r w:rsidRPr="0019462D">
        <w:rPr>
          <w:rFonts w:ascii="Arial" w:eastAsia="Arial Unicode MS" w:hAnsi="Arial" w:cs="Arial"/>
          <w:b/>
          <w:lang w:eastAsia="es-ES"/>
        </w:rPr>
        <w:t>la CEGAIP deberá aplicar la prueba de interés público.</w:t>
      </w:r>
      <w:r w:rsidRPr="004F16C4">
        <w:rPr>
          <w:rFonts w:ascii="Arial" w:eastAsia="Arial Unicode MS" w:hAnsi="Arial" w:cs="Arial"/>
          <w:lang w:eastAsia="es-ES"/>
        </w:rPr>
        <w:t xml:space="preserve"> Además, </w:t>
      </w:r>
      <w:r w:rsidRPr="0019462D">
        <w:rPr>
          <w:rFonts w:ascii="Arial" w:eastAsia="Arial Unicode MS" w:hAnsi="Arial" w:cs="Arial"/>
          <w:b/>
          <w:lang w:eastAsia="es-ES"/>
        </w:rPr>
        <w:t xml:space="preserve">se deberá corroborar una conexión patente entre la información confidencial y un tema de interés público y la proporcionalidad </w:t>
      </w:r>
      <w:r w:rsidRPr="004F16C4">
        <w:rPr>
          <w:rFonts w:ascii="Arial" w:eastAsia="Arial Unicode MS" w:hAnsi="Arial" w:cs="Arial"/>
          <w:lang w:eastAsia="es-ES"/>
        </w:rPr>
        <w:t>entre la invasión a la intimidad ocasionada por la divulgación de la información confidencial y el interés público de la información.</w:t>
      </w:r>
      <w:r>
        <w:rPr>
          <w:rFonts w:ascii="Arial" w:eastAsia="Arial Unicode MS" w:hAnsi="Arial" w:cs="Arial"/>
          <w:lang w:eastAsia="es-ES"/>
        </w:rPr>
        <w:t>”</w:t>
      </w:r>
    </w:p>
    <w:p w14:paraId="7B21C81F" w14:textId="77777777" w:rsidR="00B853A9" w:rsidRDefault="00B853A9" w:rsidP="00B853A9">
      <w:pPr>
        <w:spacing w:after="0" w:line="240" w:lineRule="auto"/>
        <w:ind w:left="1134" w:right="1750"/>
        <w:jc w:val="both"/>
        <w:rPr>
          <w:rFonts w:ascii="Arial" w:eastAsia="Arial Unicode MS" w:hAnsi="Arial" w:cs="Arial"/>
          <w:lang w:eastAsia="es-ES"/>
        </w:rPr>
      </w:pPr>
    </w:p>
    <w:p w14:paraId="5A0753E8" w14:textId="77777777" w:rsidR="00B853A9" w:rsidRPr="0019462D" w:rsidRDefault="00B853A9" w:rsidP="00B853A9">
      <w:pPr>
        <w:spacing w:after="0" w:line="240" w:lineRule="auto"/>
        <w:ind w:left="1134" w:right="1750"/>
        <w:jc w:val="right"/>
        <w:rPr>
          <w:rFonts w:ascii="Arial" w:eastAsia="Arial Unicode MS" w:hAnsi="Arial" w:cs="Arial"/>
          <w:b/>
          <w:lang w:eastAsia="es-ES"/>
        </w:rPr>
      </w:pPr>
      <w:r w:rsidRPr="0019462D">
        <w:rPr>
          <w:rFonts w:ascii="Arial" w:eastAsia="Arial Unicode MS" w:hAnsi="Arial" w:cs="Arial"/>
          <w:b/>
          <w:lang w:eastAsia="es-ES"/>
        </w:rPr>
        <w:t xml:space="preserve">[Énfasis añadido] </w:t>
      </w:r>
    </w:p>
    <w:p w14:paraId="662AD4DA" w14:textId="77777777" w:rsidR="00B853A9" w:rsidRDefault="00B853A9" w:rsidP="00B853A9">
      <w:pPr>
        <w:spacing w:after="0" w:line="360" w:lineRule="auto"/>
        <w:ind w:firstLine="708"/>
        <w:jc w:val="both"/>
        <w:rPr>
          <w:rFonts w:ascii="Arial" w:eastAsia="Arial Unicode MS" w:hAnsi="Arial" w:cs="Arial"/>
          <w:sz w:val="24"/>
          <w:szCs w:val="24"/>
          <w:lang w:eastAsia="es-ES"/>
        </w:rPr>
      </w:pPr>
    </w:p>
    <w:p w14:paraId="1434ACC7" w14:textId="37304713" w:rsidR="00B853A9" w:rsidRDefault="00B853A9" w:rsidP="00B853A9">
      <w:pPr>
        <w:spacing w:after="0" w:line="360" w:lineRule="auto"/>
        <w:ind w:firstLine="708"/>
        <w:jc w:val="both"/>
        <w:rPr>
          <w:rFonts w:ascii="Arial" w:eastAsia="Arial Unicode MS" w:hAnsi="Arial" w:cs="Arial"/>
          <w:sz w:val="24"/>
          <w:szCs w:val="24"/>
          <w:lang w:eastAsia="es-ES"/>
        </w:rPr>
      </w:pPr>
      <w:r w:rsidRPr="006C4619">
        <w:rPr>
          <w:rFonts w:ascii="Arial" w:eastAsia="Arial Unicode MS" w:hAnsi="Arial" w:cs="Arial"/>
          <w:sz w:val="24"/>
          <w:szCs w:val="24"/>
          <w:lang w:eastAsia="es-ES"/>
        </w:rPr>
        <w:t xml:space="preserve">Esto significa, que la prueba de interés público: </w:t>
      </w:r>
      <w:r w:rsidRPr="006C4619">
        <w:rPr>
          <w:rFonts w:ascii="Arial" w:eastAsia="Arial Unicode MS" w:hAnsi="Arial" w:cs="Arial"/>
          <w:i/>
          <w:sz w:val="24"/>
          <w:szCs w:val="24"/>
          <w:lang w:eastAsia="es-ES"/>
        </w:rPr>
        <w:t>i)</w:t>
      </w:r>
      <w:r w:rsidRPr="006C4619">
        <w:rPr>
          <w:rFonts w:ascii="Arial" w:eastAsia="Arial Unicode MS" w:hAnsi="Arial" w:cs="Arial"/>
          <w:sz w:val="24"/>
          <w:szCs w:val="24"/>
          <w:lang w:eastAsia="es-ES"/>
        </w:rPr>
        <w:t xml:space="preserve"> está destinada a hacer pública la información confidencial; o sea, no se permite una doble vía que incluya proteger la confidencialidad; </w:t>
      </w:r>
      <w:r w:rsidRPr="006C4619">
        <w:rPr>
          <w:rFonts w:ascii="Arial" w:eastAsia="Arial Unicode MS" w:hAnsi="Arial" w:cs="Arial"/>
          <w:i/>
          <w:sz w:val="24"/>
          <w:szCs w:val="24"/>
          <w:lang w:eastAsia="es-ES"/>
        </w:rPr>
        <w:t>ii)</w:t>
      </w:r>
      <w:r w:rsidRPr="006C4619">
        <w:rPr>
          <w:rFonts w:ascii="Arial" w:eastAsia="Arial Unicode MS" w:hAnsi="Arial" w:cs="Arial"/>
          <w:sz w:val="24"/>
          <w:szCs w:val="24"/>
          <w:lang w:eastAsia="es-ES"/>
        </w:rPr>
        <w:t xml:space="preserve"> </w:t>
      </w:r>
      <w:r w:rsidRPr="00E66ABC">
        <w:rPr>
          <w:rFonts w:ascii="Arial" w:eastAsia="Arial Unicode MS" w:hAnsi="Arial" w:cs="Arial"/>
          <w:sz w:val="24"/>
          <w:szCs w:val="24"/>
          <w:lang w:eastAsia="es-ES"/>
        </w:rPr>
        <w:t xml:space="preserve">sólo procede en tres supuestos: seguridad nacional, salubridad general y protección de derechos de terceros; </w:t>
      </w:r>
      <w:r w:rsidRPr="006C4619">
        <w:rPr>
          <w:rFonts w:ascii="Arial" w:eastAsia="Arial Unicode MS" w:hAnsi="Arial" w:cs="Arial"/>
          <w:sz w:val="24"/>
          <w:szCs w:val="24"/>
          <w:lang w:eastAsia="es-ES"/>
        </w:rPr>
        <w:t xml:space="preserve">y, </w:t>
      </w:r>
      <w:r w:rsidRPr="006C4619">
        <w:rPr>
          <w:rFonts w:ascii="Arial" w:eastAsia="Arial Unicode MS" w:hAnsi="Arial" w:cs="Arial"/>
          <w:i/>
          <w:sz w:val="24"/>
          <w:szCs w:val="24"/>
          <w:lang w:eastAsia="es-ES"/>
        </w:rPr>
        <w:t>iii)</w:t>
      </w:r>
      <w:r w:rsidRPr="006C4619">
        <w:rPr>
          <w:rFonts w:ascii="Arial" w:eastAsia="Arial Unicode MS" w:hAnsi="Arial" w:cs="Arial"/>
          <w:sz w:val="24"/>
          <w:szCs w:val="24"/>
          <w:lang w:eastAsia="es-ES"/>
        </w:rPr>
        <w:t xml:space="preserve"> debe llevarse a cabo un ejercicio de</w:t>
      </w:r>
      <w:r>
        <w:rPr>
          <w:rFonts w:ascii="Arial" w:eastAsia="Arial Unicode MS" w:hAnsi="Arial" w:cs="Arial"/>
          <w:sz w:val="24"/>
          <w:szCs w:val="24"/>
          <w:lang w:eastAsia="es-ES"/>
        </w:rPr>
        <w:t xml:space="preserve"> </w:t>
      </w:r>
      <w:r w:rsidRPr="006C4619">
        <w:rPr>
          <w:rFonts w:ascii="Arial" w:eastAsia="Arial Unicode MS" w:hAnsi="Arial" w:cs="Arial"/>
          <w:sz w:val="24"/>
          <w:szCs w:val="24"/>
          <w:lang w:eastAsia="es-ES"/>
        </w:rPr>
        <w:t>ponderación</w:t>
      </w:r>
      <w:r>
        <w:rPr>
          <w:rFonts w:ascii="Arial" w:eastAsia="Arial Unicode MS" w:hAnsi="Arial" w:cs="Arial"/>
          <w:sz w:val="24"/>
          <w:szCs w:val="24"/>
          <w:lang w:eastAsia="es-ES"/>
        </w:rPr>
        <w:t>.</w:t>
      </w:r>
    </w:p>
    <w:p w14:paraId="52237B58" w14:textId="77777777" w:rsidR="00B853A9" w:rsidRDefault="00B853A9" w:rsidP="00B853A9">
      <w:pPr>
        <w:spacing w:after="0" w:line="360" w:lineRule="auto"/>
        <w:ind w:firstLine="708"/>
        <w:jc w:val="both"/>
        <w:rPr>
          <w:rFonts w:ascii="Arial" w:eastAsia="Arial Unicode MS" w:hAnsi="Arial" w:cs="Arial"/>
          <w:sz w:val="24"/>
          <w:szCs w:val="24"/>
          <w:lang w:eastAsia="es-ES"/>
        </w:rPr>
      </w:pPr>
    </w:p>
    <w:p w14:paraId="618A4D07" w14:textId="54203BA3" w:rsidR="0047142F" w:rsidRDefault="00B853A9" w:rsidP="00225E5A">
      <w:pPr>
        <w:autoSpaceDE w:val="0"/>
        <w:autoSpaceDN w:val="0"/>
        <w:adjustRightInd w:val="0"/>
        <w:spacing w:after="0" w:line="360" w:lineRule="auto"/>
        <w:ind w:right="49" w:firstLine="709"/>
        <w:jc w:val="both"/>
        <w:rPr>
          <w:rFonts w:ascii="Arial" w:hAnsi="Arial" w:cs="Arial"/>
          <w:sz w:val="24"/>
          <w:szCs w:val="24"/>
        </w:rPr>
      </w:pPr>
      <w:r>
        <w:rPr>
          <w:rFonts w:ascii="Arial" w:hAnsi="Arial" w:cs="Arial"/>
          <w:sz w:val="24"/>
          <w:szCs w:val="24"/>
        </w:rPr>
        <w:t>En el caso concreto, de las constancias que obran en autos y del Reglamento Interior de la Secretaría General de Gobierno y la Ley de Peritos del Estado de San Luis Potosí, la información del interés del solicitante (expediente administrativo de</w:t>
      </w:r>
      <w:r w:rsidR="00157CD1">
        <w:rPr>
          <w:rFonts w:ascii="Arial" w:hAnsi="Arial" w:cs="Arial"/>
          <w:sz w:val="24"/>
          <w:szCs w:val="24"/>
        </w:rPr>
        <w:t xml:space="preserve"> </w:t>
      </w:r>
      <w:r>
        <w:rPr>
          <w:rFonts w:ascii="Arial" w:hAnsi="Arial" w:cs="Arial"/>
          <w:sz w:val="24"/>
          <w:szCs w:val="24"/>
        </w:rPr>
        <w:t>l</w:t>
      </w:r>
      <w:r w:rsidR="00157CD1">
        <w:rPr>
          <w:rFonts w:ascii="Arial" w:hAnsi="Arial" w:cs="Arial"/>
          <w:sz w:val="24"/>
          <w:szCs w:val="24"/>
        </w:rPr>
        <w:t>os</w:t>
      </w:r>
      <w:r>
        <w:rPr>
          <w:rFonts w:ascii="Arial" w:hAnsi="Arial" w:cs="Arial"/>
          <w:sz w:val="24"/>
          <w:szCs w:val="24"/>
        </w:rPr>
        <w:t xml:space="preserve"> perito</w:t>
      </w:r>
      <w:r w:rsidR="00157CD1">
        <w:rPr>
          <w:rFonts w:ascii="Arial" w:hAnsi="Arial" w:cs="Arial"/>
          <w:sz w:val="24"/>
          <w:szCs w:val="24"/>
        </w:rPr>
        <w:t>s</w:t>
      </w:r>
      <w:r>
        <w:rPr>
          <w:rFonts w:ascii="Arial" w:hAnsi="Arial" w:cs="Arial"/>
          <w:sz w:val="24"/>
          <w:szCs w:val="24"/>
        </w:rPr>
        <w:t xml:space="preserve"> con registro </w:t>
      </w:r>
      <w:r w:rsidR="0047142F">
        <w:rPr>
          <w:rFonts w:ascii="Arial" w:hAnsi="Arial" w:cs="Arial"/>
          <w:sz w:val="24"/>
          <w:szCs w:val="24"/>
        </w:rPr>
        <w:t>GES-PV-0806</w:t>
      </w:r>
      <w:r w:rsidR="00157CD1">
        <w:rPr>
          <w:rFonts w:ascii="Arial" w:hAnsi="Arial" w:cs="Arial"/>
          <w:sz w:val="24"/>
          <w:szCs w:val="24"/>
        </w:rPr>
        <w:t xml:space="preserve">, GES-PV-0807 y GES-PV-0705, </w:t>
      </w:r>
      <w:r w:rsidR="0047142F">
        <w:rPr>
          <w:rFonts w:ascii="Arial" w:hAnsi="Arial" w:cs="Arial"/>
          <w:sz w:val="24"/>
          <w:szCs w:val="24"/>
        </w:rPr>
        <w:t xml:space="preserve">), no se encuentra en registros públicos o fuentes de acceso públicos, ya que dicha documentación fue entregada al Sujeto Obligado, en virtud de la realización de un trámite para poder quedar inscrito en el Registro Estatal de Peritos y obtener la </w:t>
      </w:r>
      <w:r w:rsidR="0047142F" w:rsidRPr="0047142F">
        <w:rPr>
          <w:rFonts w:ascii="Arial" w:hAnsi="Arial" w:cs="Arial"/>
          <w:sz w:val="24"/>
          <w:szCs w:val="24"/>
        </w:rPr>
        <w:t>Constancia de registro de perito autorizado</w:t>
      </w:r>
      <w:r w:rsidR="0047142F">
        <w:rPr>
          <w:rFonts w:ascii="Arial" w:hAnsi="Arial" w:cs="Arial"/>
          <w:sz w:val="24"/>
          <w:szCs w:val="24"/>
        </w:rPr>
        <w:t xml:space="preserve">; además, la Secretaría General de Gobierno, únicamente tiene la obligación de difundir en los meses de enero y julio de cada año, </w:t>
      </w:r>
      <w:r w:rsidR="0047142F" w:rsidRPr="0047142F">
        <w:rPr>
          <w:rFonts w:ascii="Arial" w:hAnsi="Arial" w:cs="Arial"/>
          <w:sz w:val="24"/>
          <w:szCs w:val="24"/>
        </w:rPr>
        <w:t>el Directorio actualizado de Peritos inscritos en el Registro Estatal, expresando sus nombres, direcciones, especialidades y datos profesionales.</w:t>
      </w:r>
    </w:p>
    <w:p w14:paraId="62CCFDD4" w14:textId="4CE1DB5B" w:rsidR="0053511D" w:rsidRDefault="0053511D" w:rsidP="00225E5A">
      <w:pPr>
        <w:autoSpaceDE w:val="0"/>
        <w:autoSpaceDN w:val="0"/>
        <w:adjustRightInd w:val="0"/>
        <w:spacing w:after="0" w:line="360" w:lineRule="auto"/>
        <w:ind w:right="49" w:firstLine="709"/>
        <w:jc w:val="both"/>
        <w:rPr>
          <w:rFonts w:ascii="Arial" w:hAnsi="Arial" w:cs="Arial"/>
          <w:sz w:val="24"/>
          <w:szCs w:val="24"/>
        </w:rPr>
      </w:pPr>
    </w:p>
    <w:p w14:paraId="16C6F1E2" w14:textId="4AD0B4A1" w:rsidR="0053511D" w:rsidRDefault="000B6AD7" w:rsidP="0053511D">
      <w:pPr>
        <w:spacing w:after="0" w:line="360" w:lineRule="auto"/>
        <w:ind w:firstLine="708"/>
        <w:jc w:val="both"/>
        <w:rPr>
          <w:rFonts w:ascii="Arial" w:hAnsi="Arial" w:cs="Arial"/>
          <w:sz w:val="24"/>
          <w:szCs w:val="24"/>
        </w:rPr>
      </w:pPr>
      <w:r>
        <w:rPr>
          <w:rFonts w:ascii="Arial" w:hAnsi="Arial" w:cs="Arial"/>
          <w:sz w:val="24"/>
          <w:szCs w:val="24"/>
        </w:rPr>
        <w:lastRenderedPageBreak/>
        <w:t>L</w:t>
      </w:r>
      <w:r w:rsidR="0053511D" w:rsidRPr="0053511D">
        <w:rPr>
          <w:rFonts w:ascii="Arial" w:hAnsi="Arial" w:cs="Arial"/>
          <w:sz w:val="24"/>
          <w:szCs w:val="24"/>
        </w:rPr>
        <w:t xml:space="preserve">a finalidad del Sujeto Obligado denominado Secretaría General de Gobierno, como ente receptor de la documentación para la acreditación e inscripción en el Registro Estatal de Peritos y el ejercicio de la profesión del perito, </w:t>
      </w:r>
      <w:r w:rsidR="0053511D" w:rsidRPr="007901A2">
        <w:rPr>
          <w:rFonts w:ascii="Arial" w:hAnsi="Arial" w:cs="Arial"/>
          <w:b/>
          <w:sz w:val="24"/>
          <w:szCs w:val="24"/>
        </w:rPr>
        <w:t>no se constituye como ente obligado a la difusión de datos</w:t>
      </w:r>
      <w:r w:rsidR="0053511D" w:rsidRPr="0053511D">
        <w:rPr>
          <w:rFonts w:ascii="Arial" w:hAnsi="Arial" w:cs="Arial"/>
          <w:sz w:val="24"/>
          <w:szCs w:val="24"/>
        </w:rPr>
        <w:t xml:space="preserve"> cuya titularidad concierna a estos, </w:t>
      </w:r>
      <w:r w:rsidR="0053511D" w:rsidRPr="007901A2">
        <w:rPr>
          <w:rFonts w:ascii="Arial" w:hAnsi="Arial" w:cs="Arial"/>
          <w:b/>
          <w:sz w:val="24"/>
          <w:szCs w:val="24"/>
          <w:u w:val="single"/>
        </w:rPr>
        <w:t>aún cuando formen parte de procesos de carácter de selección de idoneidad, para inscribirse y desempeñarse como perito</w:t>
      </w:r>
      <w:r w:rsidR="0053511D" w:rsidRPr="0053511D">
        <w:rPr>
          <w:rFonts w:ascii="Arial" w:hAnsi="Arial" w:cs="Arial"/>
          <w:sz w:val="24"/>
          <w:szCs w:val="24"/>
        </w:rPr>
        <w:t>; pues, no obstante que pudiera existir la presunción de un interés en la difusión de la información, l</w:t>
      </w:r>
      <w:r w:rsidR="0053511D">
        <w:rPr>
          <w:rFonts w:ascii="Arial" w:hAnsi="Arial" w:cs="Arial"/>
          <w:sz w:val="24"/>
          <w:szCs w:val="24"/>
        </w:rPr>
        <w:t xml:space="preserve">a autoridad aquí recurrida deberá observar en todo tratamiento de datos personales, los principios de </w:t>
      </w:r>
      <w:r w:rsidR="0053511D" w:rsidRPr="001D4382">
        <w:rPr>
          <w:rFonts w:ascii="Arial" w:hAnsi="Arial" w:cs="Arial"/>
          <w:sz w:val="24"/>
          <w:szCs w:val="24"/>
        </w:rPr>
        <w:t>licitud, finalidad, lealtad, consentimiento, calidad, proporcionalidad</w:t>
      </w:r>
      <w:r w:rsidR="0053511D">
        <w:rPr>
          <w:rFonts w:ascii="Arial" w:hAnsi="Arial" w:cs="Arial"/>
          <w:sz w:val="24"/>
          <w:szCs w:val="24"/>
        </w:rPr>
        <w:t>, información y responsabilidad</w:t>
      </w:r>
      <w:r w:rsidR="0053511D">
        <w:rPr>
          <w:rStyle w:val="Refdenotaalpie"/>
          <w:rFonts w:ascii="Arial" w:hAnsi="Arial" w:cs="Arial"/>
          <w:sz w:val="24"/>
          <w:szCs w:val="24"/>
        </w:rPr>
        <w:footnoteReference w:id="79"/>
      </w:r>
      <w:r w:rsidR="0053511D">
        <w:rPr>
          <w:rFonts w:ascii="Arial" w:hAnsi="Arial" w:cs="Arial"/>
          <w:sz w:val="24"/>
          <w:szCs w:val="24"/>
        </w:rPr>
        <w:t xml:space="preserve"> conferidos en la </w:t>
      </w:r>
      <w:r w:rsidR="0053511D" w:rsidRPr="00EF5393">
        <w:rPr>
          <w:rFonts w:ascii="Arial" w:hAnsi="Arial" w:cs="Arial"/>
          <w:sz w:val="24"/>
          <w:szCs w:val="24"/>
        </w:rPr>
        <w:t xml:space="preserve">Ley de Protección de Datos </w:t>
      </w:r>
      <w:r w:rsidR="0053511D">
        <w:rPr>
          <w:rFonts w:ascii="Arial" w:hAnsi="Arial" w:cs="Arial"/>
          <w:sz w:val="24"/>
          <w:szCs w:val="24"/>
        </w:rPr>
        <w:t>P</w:t>
      </w:r>
      <w:r w:rsidR="0053511D" w:rsidRPr="00EF5393">
        <w:rPr>
          <w:rFonts w:ascii="Arial" w:hAnsi="Arial" w:cs="Arial"/>
          <w:sz w:val="24"/>
          <w:szCs w:val="24"/>
        </w:rPr>
        <w:t>ersonales en Posesión de Sujetos Obligados del Estado de San Luis Potosí</w:t>
      </w:r>
      <w:r w:rsidR="0053511D">
        <w:rPr>
          <w:rFonts w:ascii="Arial" w:hAnsi="Arial" w:cs="Arial"/>
          <w:sz w:val="24"/>
          <w:szCs w:val="24"/>
        </w:rPr>
        <w:t>.</w:t>
      </w:r>
    </w:p>
    <w:p w14:paraId="693A31E8" w14:textId="77777777" w:rsidR="0053511D" w:rsidRDefault="0053511D" w:rsidP="0053511D">
      <w:pPr>
        <w:spacing w:after="0" w:line="360" w:lineRule="auto"/>
        <w:ind w:firstLine="708"/>
        <w:jc w:val="both"/>
        <w:rPr>
          <w:rFonts w:ascii="Arial" w:hAnsi="Arial" w:cs="Arial"/>
          <w:sz w:val="24"/>
          <w:szCs w:val="24"/>
        </w:rPr>
      </w:pPr>
    </w:p>
    <w:p w14:paraId="78998411" w14:textId="196B820F" w:rsidR="0053511D" w:rsidRPr="0053511D" w:rsidRDefault="007A3DFF" w:rsidP="0053511D">
      <w:pPr>
        <w:spacing w:after="0" w:line="360" w:lineRule="auto"/>
        <w:ind w:firstLine="708"/>
        <w:jc w:val="both"/>
        <w:rPr>
          <w:rFonts w:ascii="Arial" w:hAnsi="Arial" w:cs="Arial"/>
          <w:sz w:val="24"/>
          <w:szCs w:val="24"/>
        </w:rPr>
      </w:pPr>
      <w:r>
        <w:rPr>
          <w:rFonts w:ascii="Arial" w:hAnsi="Arial" w:cs="Arial"/>
          <w:sz w:val="24"/>
          <w:szCs w:val="24"/>
        </w:rPr>
        <w:t>Asimismo</w:t>
      </w:r>
      <w:r w:rsidR="0053511D">
        <w:rPr>
          <w:rFonts w:ascii="Arial" w:hAnsi="Arial" w:cs="Arial"/>
          <w:sz w:val="24"/>
          <w:szCs w:val="24"/>
        </w:rPr>
        <w:t xml:space="preserve">, se precisa que </w:t>
      </w:r>
      <w:r w:rsidR="0053511D" w:rsidRPr="0053511D">
        <w:rPr>
          <w:rFonts w:ascii="Arial" w:hAnsi="Arial" w:cs="Arial"/>
          <w:sz w:val="24"/>
          <w:szCs w:val="24"/>
        </w:rPr>
        <w:t>la Secretaría General de Gobierno, únicamente podrá tratar los datos personales en su posesión para finalidades distintas a aquéllas que motivaron el tratamiento original de los mismos, siempre y cuando cuente con atribuciones expresas conferidas en ley y medie el consentimiento del titular, en los términos previstos en la Ley de Protección de Datos Personales Local y demás normatividad que resulte aplicable</w:t>
      </w:r>
      <w:r w:rsidR="0053511D" w:rsidRPr="0053511D">
        <w:rPr>
          <w:rStyle w:val="Refdenotaalpie"/>
          <w:rFonts w:ascii="Arial" w:hAnsi="Arial" w:cs="Arial"/>
          <w:sz w:val="24"/>
          <w:szCs w:val="24"/>
        </w:rPr>
        <w:footnoteReference w:id="80"/>
      </w:r>
      <w:r w:rsidR="0053511D" w:rsidRPr="0053511D">
        <w:rPr>
          <w:rFonts w:ascii="Arial" w:hAnsi="Arial" w:cs="Arial"/>
          <w:sz w:val="24"/>
          <w:szCs w:val="24"/>
        </w:rPr>
        <w:t>, circunstancia que en el caso concreto, no aconteció.</w:t>
      </w:r>
    </w:p>
    <w:p w14:paraId="346C8ADE" w14:textId="77777777" w:rsidR="0053511D" w:rsidRPr="001D4382" w:rsidRDefault="0053511D" w:rsidP="0053511D">
      <w:pPr>
        <w:spacing w:after="0" w:line="360" w:lineRule="auto"/>
        <w:ind w:firstLine="708"/>
        <w:jc w:val="both"/>
        <w:rPr>
          <w:rFonts w:ascii="Arial" w:hAnsi="Arial" w:cs="Arial"/>
          <w:sz w:val="24"/>
          <w:szCs w:val="24"/>
        </w:rPr>
      </w:pPr>
      <w:r w:rsidRPr="001D4382">
        <w:rPr>
          <w:rFonts w:ascii="Arial" w:hAnsi="Arial" w:cs="Arial"/>
          <w:sz w:val="24"/>
          <w:szCs w:val="24"/>
        </w:rPr>
        <w:t> </w:t>
      </w:r>
    </w:p>
    <w:p w14:paraId="5ED91E22" w14:textId="3E357446" w:rsidR="0053511D" w:rsidRPr="0053511D" w:rsidRDefault="0053511D" w:rsidP="0053511D">
      <w:pPr>
        <w:spacing w:after="0" w:line="360" w:lineRule="auto"/>
        <w:ind w:right="51" w:firstLine="709"/>
        <w:jc w:val="both"/>
        <w:rPr>
          <w:rFonts w:ascii="Arial" w:hAnsi="Arial" w:cs="Arial"/>
          <w:sz w:val="24"/>
          <w:szCs w:val="24"/>
        </w:rPr>
      </w:pPr>
      <w:r>
        <w:rPr>
          <w:rFonts w:ascii="Arial" w:hAnsi="Arial" w:cs="Arial"/>
          <w:sz w:val="24"/>
          <w:szCs w:val="24"/>
        </w:rPr>
        <w:t xml:space="preserve">Sobre esta guisa, no pasa inadvertido para este Organismo Autónomo, el </w:t>
      </w:r>
      <w:r w:rsidRPr="003E184E">
        <w:rPr>
          <w:rFonts w:ascii="Arial" w:hAnsi="Arial" w:cs="Arial"/>
          <w:b/>
          <w:bCs/>
          <w:sz w:val="24"/>
          <w:szCs w:val="24"/>
        </w:rPr>
        <w:t>ACUERDO GENERAL 16/2011, DEL PLENO DEL CONSEJO DE LA JUDICATURA FEDERAL, QUE REGULA LA INTEGRACIÓN DE LA LISTA DE PERSONAS QUE PUEDEN FUNGIR COMO PERITOS ANTE LOS ÓRGANOS DEL PODER JUDICIAL DE LA FEDERACIÓN</w:t>
      </w:r>
      <w:r>
        <w:rPr>
          <w:rStyle w:val="Refdenotaalpie"/>
          <w:rFonts w:ascii="Arial" w:hAnsi="Arial" w:cs="Arial"/>
          <w:b/>
          <w:bCs/>
          <w:sz w:val="24"/>
          <w:szCs w:val="24"/>
        </w:rPr>
        <w:footnoteReference w:id="81"/>
      </w:r>
      <w:r>
        <w:rPr>
          <w:rFonts w:ascii="Arial" w:hAnsi="Arial" w:cs="Arial"/>
          <w:b/>
          <w:bCs/>
          <w:sz w:val="24"/>
          <w:szCs w:val="24"/>
        </w:rPr>
        <w:t xml:space="preserve"> </w:t>
      </w:r>
      <w:r w:rsidRPr="003E184E">
        <w:rPr>
          <w:rFonts w:ascii="Arial" w:hAnsi="Arial" w:cs="Arial"/>
          <w:bCs/>
          <w:sz w:val="24"/>
          <w:szCs w:val="24"/>
        </w:rPr>
        <w:t>-</w:t>
      </w:r>
      <w:r w:rsidRPr="0047142F">
        <w:rPr>
          <w:rFonts w:ascii="Arial" w:hAnsi="Arial" w:cs="Arial"/>
          <w:bCs/>
          <w:i/>
          <w:sz w:val="24"/>
          <w:szCs w:val="24"/>
        </w:rPr>
        <w:t>aplicado</w:t>
      </w:r>
      <w:r>
        <w:rPr>
          <w:rFonts w:ascii="Arial" w:hAnsi="Arial" w:cs="Arial"/>
          <w:bCs/>
          <w:sz w:val="24"/>
          <w:szCs w:val="24"/>
        </w:rPr>
        <w:t xml:space="preserve"> </w:t>
      </w:r>
      <w:r w:rsidRPr="003E184E">
        <w:rPr>
          <w:rFonts w:ascii="Arial" w:hAnsi="Arial" w:cs="Arial"/>
          <w:bCs/>
          <w:i/>
          <w:sz w:val="24"/>
          <w:szCs w:val="24"/>
        </w:rPr>
        <w:t>por analogía</w:t>
      </w:r>
      <w:r>
        <w:rPr>
          <w:rFonts w:ascii="Arial" w:hAnsi="Arial" w:cs="Arial"/>
          <w:bCs/>
          <w:sz w:val="24"/>
          <w:szCs w:val="24"/>
        </w:rPr>
        <w:t xml:space="preserve">- en el que es de explorado derecho que la </w:t>
      </w:r>
      <w:r>
        <w:rPr>
          <w:rFonts w:ascii="Arial" w:hAnsi="Arial" w:cs="Arial"/>
          <w:sz w:val="24"/>
          <w:szCs w:val="24"/>
        </w:rPr>
        <w:t>documentación aportada por los peritos se integra</w:t>
      </w:r>
      <w:r w:rsidRPr="003E184E">
        <w:rPr>
          <w:rFonts w:ascii="Arial" w:hAnsi="Arial" w:cs="Arial"/>
          <w:sz w:val="24"/>
          <w:szCs w:val="24"/>
        </w:rPr>
        <w:t xml:space="preserve"> </w:t>
      </w:r>
      <w:r>
        <w:rPr>
          <w:rFonts w:ascii="Arial" w:hAnsi="Arial" w:cs="Arial"/>
          <w:sz w:val="24"/>
          <w:szCs w:val="24"/>
        </w:rPr>
        <w:t xml:space="preserve">en </w:t>
      </w:r>
      <w:r w:rsidRPr="003E184E">
        <w:rPr>
          <w:rFonts w:ascii="Arial" w:hAnsi="Arial" w:cs="Arial"/>
          <w:sz w:val="24"/>
          <w:szCs w:val="24"/>
        </w:rPr>
        <w:t xml:space="preserve">un expediente personal cuya información se considera </w:t>
      </w:r>
      <w:r w:rsidRPr="003E184E">
        <w:rPr>
          <w:rFonts w:ascii="Arial" w:hAnsi="Arial" w:cs="Arial"/>
          <w:sz w:val="24"/>
          <w:szCs w:val="24"/>
          <w:u w:val="single"/>
        </w:rPr>
        <w:t>confidencial</w:t>
      </w:r>
      <w:r w:rsidRPr="003E184E">
        <w:rPr>
          <w:rFonts w:ascii="Arial" w:hAnsi="Arial" w:cs="Arial"/>
          <w:sz w:val="24"/>
          <w:szCs w:val="24"/>
        </w:rPr>
        <w:t>, y sólo será proporcionada a los Órganos e instituciones que se señalan en el a</w:t>
      </w:r>
      <w:r>
        <w:rPr>
          <w:rFonts w:ascii="Arial" w:hAnsi="Arial" w:cs="Arial"/>
          <w:sz w:val="24"/>
          <w:szCs w:val="24"/>
        </w:rPr>
        <w:t xml:space="preserve">rtículo 23 de dicho acuerdo, por lo que la documentación requerida en la </w:t>
      </w:r>
      <w:r>
        <w:rPr>
          <w:rFonts w:ascii="Arial" w:hAnsi="Arial" w:cs="Arial"/>
          <w:sz w:val="24"/>
          <w:szCs w:val="24"/>
        </w:rPr>
        <w:lastRenderedPageBreak/>
        <w:t xml:space="preserve">solicitud de información que se examina en la presente revisión, es de </w:t>
      </w:r>
      <w:r w:rsidRPr="00762381">
        <w:rPr>
          <w:rFonts w:ascii="Arial" w:hAnsi="Arial" w:cs="Arial"/>
          <w:b/>
          <w:bCs/>
          <w:sz w:val="24"/>
          <w:szCs w:val="24"/>
          <w:u w:val="single"/>
          <w:lang w:val="es-ES_tradnl"/>
        </w:rPr>
        <w:t>considera</w:t>
      </w:r>
      <w:r>
        <w:rPr>
          <w:rFonts w:ascii="Arial" w:hAnsi="Arial" w:cs="Arial"/>
          <w:b/>
          <w:bCs/>
          <w:sz w:val="24"/>
          <w:szCs w:val="24"/>
          <w:u w:val="single"/>
          <w:lang w:val="es-ES_tradnl"/>
        </w:rPr>
        <w:t xml:space="preserve">rse </w:t>
      </w:r>
      <w:r w:rsidRPr="00762381">
        <w:rPr>
          <w:rFonts w:ascii="Arial" w:hAnsi="Arial" w:cs="Arial"/>
          <w:b/>
          <w:bCs/>
          <w:sz w:val="24"/>
          <w:szCs w:val="24"/>
          <w:u w:val="single"/>
          <w:lang w:val="es-ES_tradnl"/>
        </w:rPr>
        <w:t xml:space="preserve">como información confidencial, por ser tutelada por los derechos humanos </w:t>
      </w:r>
      <w:r>
        <w:rPr>
          <w:rFonts w:ascii="Arial" w:eastAsia="Arial Unicode MS" w:hAnsi="Arial" w:cs="Arial"/>
          <w:b/>
          <w:sz w:val="24"/>
          <w:szCs w:val="24"/>
          <w:u w:val="single"/>
          <w:lang w:val="es-ES_tradnl" w:eastAsia="es-ES"/>
        </w:rPr>
        <w:t>a la privacidad, intimidad</w:t>
      </w:r>
      <w:r w:rsidRPr="00762381">
        <w:rPr>
          <w:rFonts w:ascii="Arial" w:eastAsia="Arial Unicode MS" w:hAnsi="Arial" w:cs="Arial"/>
          <w:b/>
          <w:sz w:val="24"/>
          <w:szCs w:val="24"/>
          <w:u w:val="single"/>
          <w:lang w:val="es-ES_tradnl" w:eastAsia="es-ES"/>
        </w:rPr>
        <w:t xml:space="preserve"> </w:t>
      </w:r>
      <w:r>
        <w:rPr>
          <w:rFonts w:ascii="Arial" w:eastAsia="Arial Unicode MS" w:hAnsi="Arial" w:cs="Arial"/>
          <w:b/>
          <w:sz w:val="24"/>
          <w:szCs w:val="24"/>
          <w:u w:val="single"/>
          <w:lang w:val="es-ES_tradnl" w:eastAsia="es-ES"/>
        </w:rPr>
        <w:t>y dignidad</w:t>
      </w:r>
      <w:r w:rsidRPr="00762381">
        <w:rPr>
          <w:rFonts w:ascii="Arial" w:eastAsia="Arial Unicode MS" w:hAnsi="Arial" w:cs="Arial"/>
          <w:b/>
          <w:sz w:val="24"/>
          <w:szCs w:val="24"/>
          <w:u w:val="single"/>
          <w:lang w:val="es-ES_tradnl" w:eastAsia="es-ES"/>
        </w:rPr>
        <w:t xml:space="preserve"> y sobre la que no puede realizarse ningún acto o hecho, sin la autorización debida de los titulares o sus representantes legales</w:t>
      </w:r>
      <w:r>
        <w:rPr>
          <w:rFonts w:ascii="Arial" w:hAnsi="Arial" w:cs="Arial"/>
          <w:b/>
          <w:bCs/>
          <w:sz w:val="24"/>
          <w:szCs w:val="24"/>
          <w:u w:val="single"/>
          <w:lang w:val="es-ES_tradnl"/>
        </w:rPr>
        <w:t xml:space="preserve">, </w:t>
      </w:r>
      <w:r>
        <w:rPr>
          <w:rFonts w:ascii="Arial" w:hAnsi="Arial" w:cs="Arial"/>
          <w:bCs/>
          <w:sz w:val="24"/>
          <w:szCs w:val="24"/>
          <w:lang w:val="es-ES_tradnl"/>
        </w:rPr>
        <w:t xml:space="preserve">por lo que no se actualiza la fracción II del artículo 142 de la Ley de Transparencia Local, esto es, que por </w:t>
      </w:r>
      <w:r w:rsidRPr="0053511D">
        <w:rPr>
          <w:rFonts w:ascii="Arial" w:hAnsi="Arial" w:cs="Arial"/>
          <w:sz w:val="24"/>
          <w:szCs w:val="24"/>
        </w:rPr>
        <w:t>le</w:t>
      </w:r>
      <w:r>
        <w:rPr>
          <w:rFonts w:ascii="Arial" w:hAnsi="Arial" w:cs="Arial"/>
          <w:sz w:val="24"/>
          <w:szCs w:val="24"/>
        </w:rPr>
        <w:t>y tenga el carácter de pública.</w:t>
      </w:r>
    </w:p>
    <w:p w14:paraId="38CDEB21" w14:textId="722EC2D2" w:rsidR="0053511D" w:rsidRDefault="0053511D" w:rsidP="0047142F">
      <w:pPr>
        <w:spacing w:after="0" w:line="360" w:lineRule="auto"/>
        <w:ind w:right="51" w:firstLine="709"/>
        <w:jc w:val="both"/>
        <w:rPr>
          <w:rFonts w:ascii="Arial" w:hAnsi="Arial" w:cs="Arial"/>
          <w:sz w:val="24"/>
          <w:szCs w:val="24"/>
        </w:rPr>
      </w:pPr>
    </w:p>
    <w:p w14:paraId="1BFC73FB" w14:textId="11CBBBCB" w:rsidR="007A3DFF" w:rsidRDefault="00157CD1" w:rsidP="00FA63F8">
      <w:pPr>
        <w:spacing w:after="0" w:line="360" w:lineRule="auto"/>
        <w:ind w:right="51" w:firstLine="709"/>
        <w:jc w:val="both"/>
        <w:rPr>
          <w:rFonts w:ascii="Arial" w:hAnsi="Arial" w:cs="Arial"/>
          <w:sz w:val="24"/>
          <w:szCs w:val="24"/>
        </w:rPr>
      </w:pPr>
      <w:r>
        <w:rPr>
          <w:rFonts w:ascii="Arial" w:hAnsi="Arial" w:cs="Arial"/>
          <w:sz w:val="24"/>
          <w:szCs w:val="24"/>
        </w:rPr>
        <w:t>Asimismo</w:t>
      </w:r>
      <w:r w:rsidR="0053511D">
        <w:rPr>
          <w:rFonts w:ascii="Arial" w:hAnsi="Arial" w:cs="Arial"/>
          <w:sz w:val="24"/>
          <w:szCs w:val="24"/>
        </w:rPr>
        <w:t xml:space="preserve">, del examen de las constancias que obran en autos, no se desprende que para levantar el velo de confidencialidad respecto del expediente solicitado y su información contenida, exista una orden judicial; existan </w:t>
      </w:r>
      <w:r w:rsidR="0053511D" w:rsidRPr="0047142F">
        <w:rPr>
          <w:rFonts w:ascii="Arial" w:hAnsi="Arial" w:cs="Arial"/>
          <w:sz w:val="24"/>
          <w:szCs w:val="24"/>
        </w:rPr>
        <w:t>razones de salubridad general, o para proteger los derechos de terceros</w:t>
      </w:r>
      <w:r w:rsidR="0053511D">
        <w:rPr>
          <w:rFonts w:ascii="Arial" w:hAnsi="Arial" w:cs="Arial"/>
          <w:sz w:val="24"/>
          <w:szCs w:val="24"/>
        </w:rPr>
        <w:t xml:space="preserve">, se requiera su publicación; ni se transmite entre los sujetos obligados </w:t>
      </w:r>
      <w:r w:rsidR="0053511D" w:rsidRPr="0047142F">
        <w:rPr>
          <w:rFonts w:ascii="Arial" w:hAnsi="Arial" w:cs="Arial"/>
          <w:sz w:val="24"/>
          <w:szCs w:val="24"/>
        </w:rPr>
        <w:t>y entre éstos y los sujetos de derecho internacional, en términos de los tratados y los acuerdos interinstitucionales, siempre y cuando la información se utilice para el ejercicio de f</w:t>
      </w:r>
      <w:r w:rsidR="0053511D">
        <w:rPr>
          <w:rFonts w:ascii="Arial" w:hAnsi="Arial" w:cs="Arial"/>
          <w:sz w:val="24"/>
          <w:szCs w:val="24"/>
        </w:rPr>
        <w:t xml:space="preserve">acultades propias de los mismos, conforme lo previsto en las fracciones III, IV y V del artículo 142 de la Ley de </w:t>
      </w:r>
      <w:r w:rsidR="00D90381">
        <w:rPr>
          <w:rFonts w:ascii="Arial" w:hAnsi="Arial" w:cs="Arial"/>
          <w:sz w:val="24"/>
          <w:szCs w:val="24"/>
        </w:rPr>
        <w:t>la materia, por lo que no se acredita</w:t>
      </w:r>
      <w:r w:rsidR="007901A2">
        <w:rPr>
          <w:rFonts w:ascii="Arial" w:hAnsi="Arial" w:cs="Arial"/>
          <w:sz w:val="24"/>
          <w:szCs w:val="24"/>
        </w:rPr>
        <w:t xml:space="preserve"> que</w:t>
      </w:r>
      <w:r w:rsidR="00D90381">
        <w:rPr>
          <w:rFonts w:ascii="Arial" w:hAnsi="Arial" w:cs="Arial"/>
          <w:sz w:val="24"/>
          <w:szCs w:val="24"/>
        </w:rPr>
        <w:t xml:space="preserve"> el beneficio del interés público de divulgar la información es mayor que el derecho del titular de la misma a mantener su confidencialidad ni se encuentra justificación o razón objetiva por las que el acceso a la información solicitada genera un beneficio al interés público, por lo que prevalece la protección del interés privado. </w:t>
      </w:r>
    </w:p>
    <w:p w14:paraId="1BBC1319" w14:textId="0B7B5D17" w:rsidR="00FA63F8" w:rsidRDefault="00FA63F8" w:rsidP="00FA63F8">
      <w:pPr>
        <w:spacing w:after="0" w:line="360" w:lineRule="auto"/>
        <w:ind w:right="51" w:firstLine="709"/>
        <w:jc w:val="both"/>
        <w:rPr>
          <w:rFonts w:ascii="Arial" w:hAnsi="Arial" w:cs="Arial"/>
          <w:sz w:val="24"/>
          <w:szCs w:val="24"/>
        </w:rPr>
      </w:pPr>
    </w:p>
    <w:p w14:paraId="6F427302" w14:textId="24EDA1B8" w:rsidR="00157CD1" w:rsidRDefault="00157CD1" w:rsidP="00157CD1">
      <w:pPr>
        <w:spacing w:after="0" w:line="360" w:lineRule="auto"/>
        <w:ind w:right="51" w:firstLine="709"/>
        <w:jc w:val="both"/>
        <w:rPr>
          <w:rFonts w:ascii="Arial" w:hAnsi="Arial" w:cs="Arial"/>
          <w:sz w:val="24"/>
          <w:szCs w:val="24"/>
        </w:rPr>
      </w:pPr>
      <w:r>
        <w:rPr>
          <w:rFonts w:ascii="Arial" w:hAnsi="Arial" w:cs="Arial"/>
          <w:sz w:val="24"/>
          <w:szCs w:val="24"/>
        </w:rPr>
        <w:t xml:space="preserve">Por otra parte, </w:t>
      </w:r>
      <w:r w:rsidR="00A428ED">
        <w:rPr>
          <w:rFonts w:ascii="Arial" w:hAnsi="Arial" w:cs="Arial"/>
          <w:sz w:val="24"/>
          <w:szCs w:val="24"/>
        </w:rPr>
        <w:t>el disidente señala que</w:t>
      </w:r>
      <w:r>
        <w:rPr>
          <w:rFonts w:ascii="Arial" w:hAnsi="Arial" w:cs="Arial"/>
          <w:sz w:val="24"/>
          <w:szCs w:val="24"/>
        </w:rPr>
        <w:t xml:space="preserve"> el sujeto obligado no realizó la entrega de la versión pública de la información solicitada a través de la plataforma, deviene fundado pero se torna inoperante; e</w:t>
      </w:r>
      <w:r w:rsidRPr="00414916">
        <w:rPr>
          <w:rFonts w:ascii="Arial" w:hAnsi="Arial" w:cs="Arial"/>
          <w:sz w:val="24"/>
          <w:szCs w:val="24"/>
        </w:rPr>
        <w:t>llo, se considera así, porque de lo expuesto</w:t>
      </w:r>
      <w:r>
        <w:rPr>
          <w:rFonts w:ascii="Arial" w:hAnsi="Arial" w:cs="Arial"/>
          <w:sz w:val="24"/>
          <w:szCs w:val="24"/>
        </w:rPr>
        <w:t xml:space="preserve"> en la respuesta que se examina, el Obligado indicó que para acceder a la documentación de su interés debería presentarse a las instalaciones que ocupan el bien inmueble de la autoridad previa identificación para acreditar la titularidad del expediente solicitado; circunstancia que para fines prácticos no atiende a la modalidad solicitada por el peticionario. </w:t>
      </w:r>
    </w:p>
    <w:p w14:paraId="63431859" w14:textId="77777777" w:rsidR="00157CD1" w:rsidRDefault="00157CD1" w:rsidP="00157CD1">
      <w:pPr>
        <w:spacing w:after="0" w:line="360" w:lineRule="auto"/>
        <w:ind w:right="51" w:firstLine="709"/>
        <w:jc w:val="both"/>
        <w:rPr>
          <w:rFonts w:ascii="Arial" w:hAnsi="Arial" w:cs="Arial"/>
          <w:sz w:val="24"/>
          <w:szCs w:val="24"/>
        </w:rPr>
      </w:pPr>
    </w:p>
    <w:p w14:paraId="2E40929C" w14:textId="249ACD26" w:rsidR="003F062E" w:rsidRDefault="00157CD1" w:rsidP="00157CD1">
      <w:pPr>
        <w:spacing w:after="0" w:line="360" w:lineRule="auto"/>
        <w:ind w:right="51" w:firstLine="709"/>
        <w:jc w:val="both"/>
        <w:rPr>
          <w:rFonts w:ascii="Arial" w:hAnsi="Arial" w:cs="Arial"/>
          <w:sz w:val="24"/>
          <w:szCs w:val="24"/>
        </w:rPr>
      </w:pPr>
      <w:r>
        <w:rPr>
          <w:rFonts w:ascii="Arial" w:hAnsi="Arial" w:cs="Arial"/>
          <w:sz w:val="24"/>
          <w:szCs w:val="24"/>
        </w:rPr>
        <w:t xml:space="preserve">A este respecto, se precisa que de conformidad en lo previsto en Lineamiento </w:t>
      </w:r>
      <w:r w:rsidRPr="00257EF4">
        <w:rPr>
          <w:rFonts w:ascii="Arial" w:hAnsi="Arial" w:cs="Arial"/>
          <w:bCs/>
          <w:sz w:val="24"/>
          <w:szCs w:val="24"/>
        </w:rPr>
        <w:t xml:space="preserve">Quincuagésimo sexto, </w:t>
      </w:r>
      <w:r>
        <w:rPr>
          <w:rFonts w:ascii="Arial" w:hAnsi="Arial" w:cs="Arial"/>
          <w:bCs/>
          <w:sz w:val="24"/>
          <w:szCs w:val="24"/>
        </w:rPr>
        <w:t xml:space="preserve">de los </w:t>
      </w:r>
      <w:r w:rsidRPr="00257EF4">
        <w:rPr>
          <w:rFonts w:ascii="Arial" w:hAnsi="Arial" w:cs="Arial"/>
          <w:bCs/>
          <w:sz w:val="24"/>
          <w:szCs w:val="24"/>
          <w:lang w:val="es-ES_tradnl"/>
        </w:rPr>
        <w:t xml:space="preserve">Lineamientos Generales en Materia de Clasificación y Desclasificación de la Información, así como para la </w:t>
      </w:r>
      <w:r w:rsidRPr="00257EF4">
        <w:rPr>
          <w:rFonts w:ascii="Arial" w:hAnsi="Arial" w:cs="Arial"/>
          <w:bCs/>
          <w:sz w:val="24"/>
          <w:szCs w:val="24"/>
          <w:lang w:val="es-ES_tradnl"/>
        </w:rPr>
        <w:lastRenderedPageBreak/>
        <w:t>El</w:t>
      </w:r>
      <w:r>
        <w:rPr>
          <w:rFonts w:ascii="Arial" w:hAnsi="Arial" w:cs="Arial"/>
          <w:bCs/>
          <w:sz w:val="24"/>
          <w:szCs w:val="24"/>
          <w:lang w:val="es-ES_tradnl"/>
        </w:rPr>
        <w:t xml:space="preserve">aboración de Versiones Públicas, </w:t>
      </w:r>
      <w:r w:rsidRPr="00257EF4">
        <w:rPr>
          <w:rFonts w:ascii="Arial" w:hAnsi="Arial" w:cs="Arial"/>
          <w:sz w:val="24"/>
          <w:szCs w:val="24"/>
        </w:rPr>
        <w:t xml:space="preserve">la elaboración de la versión pública del documento o expediente que contenga partes o secciones reservadas o confidenciales, genere costos por reproducción por derivar de una solicitud de información o determinación de una autoridad competente, </w:t>
      </w:r>
      <w:r w:rsidRPr="00257EF4">
        <w:rPr>
          <w:rFonts w:ascii="Arial" w:hAnsi="Arial" w:cs="Arial"/>
          <w:b/>
          <w:sz w:val="24"/>
          <w:szCs w:val="24"/>
        </w:rPr>
        <w:t>ésta será elaborada hasta que se haya acreditado el pago correspondiente.</w:t>
      </w:r>
      <w:r>
        <w:rPr>
          <w:rFonts w:ascii="Arial" w:hAnsi="Arial" w:cs="Arial"/>
          <w:b/>
          <w:sz w:val="24"/>
          <w:szCs w:val="24"/>
        </w:rPr>
        <w:t xml:space="preserve"> </w:t>
      </w:r>
      <w:r>
        <w:rPr>
          <w:rFonts w:ascii="Arial" w:hAnsi="Arial" w:cs="Arial"/>
          <w:sz w:val="24"/>
          <w:szCs w:val="24"/>
        </w:rPr>
        <w:t xml:space="preserve">Aunado a lo anterior, de conformidad con lo previsto en el artículo 165, fracción III de la Ley de Transparencia y Acceso a la Información Pública, </w:t>
      </w:r>
      <w:r w:rsidRPr="00084EFD">
        <w:rPr>
          <w:rFonts w:ascii="Arial" w:hAnsi="Arial" w:cs="Arial"/>
          <w:b/>
          <w:sz w:val="24"/>
          <w:szCs w:val="24"/>
        </w:rPr>
        <w:t>el pago de la certificación de documentos, deberá cubrirse de manera previa a la entrega</w:t>
      </w:r>
      <w:r w:rsidR="009D5507">
        <w:rPr>
          <w:rFonts w:ascii="Arial" w:hAnsi="Arial" w:cs="Arial"/>
          <w:b/>
          <w:sz w:val="24"/>
          <w:szCs w:val="24"/>
        </w:rPr>
        <w:t xml:space="preserve">; </w:t>
      </w:r>
      <w:r w:rsidR="009D5507">
        <w:rPr>
          <w:rFonts w:ascii="Arial" w:hAnsi="Arial" w:cs="Arial"/>
          <w:sz w:val="24"/>
          <w:szCs w:val="24"/>
        </w:rPr>
        <w:t xml:space="preserve">ante </w:t>
      </w:r>
      <w:r w:rsidRPr="00414916">
        <w:rPr>
          <w:rFonts w:ascii="Arial" w:hAnsi="Arial" w:cs="Arial"/>
          <w:sz w:val="24"/>
          <w:szCs w:val="24"/>
        </w:rPr>
        <w:t xml:space="preserve">este panorama sus </w:t>
      </w:r>
      <w:r>
        <w:rPr>
          <w:rFonts w:ascii="Arial" w:hAnsi="Arial" w:cs="Arial"/>
          <w:sz w:val="24"/>
          <w:szCs w:val="24"/>
        </w:rPr>
        <w:t>argumentos devienen inoperantes.</w:t>
      </w:r>
      <w:r w:rsidR="003F062E">
        <w:rPr>
          <w:rFonts w:ascii="Arial" w:hAnsi="Arial" w:cs="Arial"/>
          <w:sz w:val="24"/>
          <w:szCs w:val="24"/>
        </w:rPr>
        <w:t xml:space="preserve"> </w:t>
      </w:r>
      <w:r w:rsidR="003F062E" w:rsidRPr="003F062E">
        <w:rPr>
          <w:rFonts w:ascii="Arial" w:hAnsi="Arial" w:cs="Arial"/>
          <w:sz w:val="24"/>
          <w:szCs w:val="24"/>
        </w:rPr>
        <w:t>Sustenta el anterior argumento el contenido del siguiente criterio</w:t>
      </w:r>
      <w:r w:rsidR="003F062E">
        <w:rPr>
          <w:rFonts w:ascii="Arial" w:hAnsi="Arial" w:cs="Arial"/>
          <w:sz w:val="24"/>
          <w:szCs w:val="24"/>
        </w:rPr>
        <w:t xml:space="preserve">: </w:t>
      </w:r>
    </w:p>
    <w:p w14:paraId="2F7C2B85" w14:textId="77777777" w:rsidR="009D5507" w:rsidRDefault="009D5507" w:rsidP="00157CD1">
      <w:pPr>
        <w:spacing w:after="0" w:line="360" w:lineRule="auto"/>
        <w:ind w:right="51" w:firstLine="709"/>
        <w:jc w:val="both"/>
        <w:rPr>
          <w:rFonts w:ascii="Arial" w:hAnsi="Arial" w:cs="Arial"/>
          <w:sz w:val="24"/>
          <w:szCs w:val="24"/>
        </w:rPr>
      </w:pPr>
    </w:p>
    <w:p w14:paraId="3B018CA3" w14:textId="5A25B100" w:rsidR="003F062E" w:rsidRPr="003F062E" w:rsidRDefault="003F062E" w:rsidP="003F062E">
      <w:pPr>
        <w:spacing w:after="0" w:line="240" w:lineRule="auto"/>
        <w:ind w:left="1134" w:right="1183"/>
        <w:jc w:val="both"/>
        <w:rPr>
          <w:rFonts w:ascii="Arial" w:hAnsi="Arial" w:cs="Arial"/>
        </w:rPr>
      </w:pPr>
      <w:r w:rsidRPr="003F062E">
        <w:rPr>
          <w:rFonts w:ascii="Arial" w:hAnsi="Arial" w:cs="Arial"/>
          <w:b/>
        </w:rPr>
        <w:t>AGRAVIOS EN LA APELACIÓN. JURÍDICAMENTE ES POSIBLE QUE SEAN FUNDADOS, PERO INOPERANTES.</w:t>
      </w:r>
      <w:r w:rsidRPr="003F062E">
        <w:rPr>
          <w:rFonts w:ascii="Arial" w:hAnsi="Arial" w:cs="Arial"/>
        </w:rPr>
        <w:t xml:space="preserve"> Legalmente es posible que un agravio sea fundado, pero inoperante, toda vez que puede ser útil para destruir alguna o algunas de las consideraciones en que se apoyó el a quo para emitir la resolución apelada, pero también es factible que, de cualquier forma, no sirva para decidir la cuestión controvertida de manera favorable a los intereses del apelante, debido a la existencia de otras razones, diversas de las aducidas por el juez de primera instancia, aptas para concluir en el sentido en que lo hizo éste</w:t>
      </w:r>
      <w:r w:rsidR="009D5507">
        <w:rPr>
          <w:rStyle w:val="Refdenotaalpie"/>
          <w:rFonts w:ascii="Arial" w:hAnsi="Arial" w:cs="Arial"/>
        </w:rPr>
        <w:footnoteReference w:id="82"/>
      </w:r>
    </w:p>
    <w:p w14:paraId="3A081008" w14:textId="77777777" w:rsidR="00157CD1" w:rsidRDefault="00157CD1" w:rsidP="00157CD1">
      <w:pPr>
        <w:spacing w:after="0" w:line="360" w:lineRule="auto"/>
        <w:ind w:right="51" w:firstLine="709"/>
        <w:jc w:val="both"/>
        <w:rPr>
          <w:rFonts w:ascii="Arial" w:hAnsi="Arial" w:cs="Arial"/>
          <w:sz w:val="24"/>
          <w:szCs w:val="24"/>
        </w:rPr>
      </w:pPr>
    </w:p>
    <w:p w14:paraId="655702BA" w14:textId="77777777" w:rsidR="00CB7D8F" w:rsidRDefault="009D5507" w:rsidP="00CB7D8F">
      <w:pPr>
        <w:spacing w:after="0" w:line="360" w:lineRule="auto"/>
        <w:ind w:right="51" w:firstLine="709"/>
        <w:jc w:val="both"/>
        <w:rPr>
          <w:rFonts w:ascii="Arial" w:hAnsi="Arial" w:cs="Arial"/>
          <w:sz w:val="24"/>
          <w:szCs w:val="24"/>
        </w:rPr>
      </w:pPr>
      <w:r>
        <w:rPr>
          <w:rFonts w:ascii="Arial" w:hAnsi="Arial" w:cs="Arial"/>
          <w:sz w:val="24"/>
          <w:szCs w:val="24"/>
        </w:rPr>
        <w:t xml:space="preserve">Atento lo anterior, </w:t>
      </w:r>
      <w:r w:rsidRPr="009D5507">
        <w:rPr>
          <w:rFonts w:ascii="Arial" w:hAnsi="Arial" w:cs="Arial"/>
          <w:sz w:val="24"/>
          <w:szCs w:val="24"/>
        </w:rPr>
        <w:t xml:space="preserve">aun y cuando </w:t>
      </w:r>
      <w:r>
        <w:rPr>
          <w:rFonts w:ascii="Arial" w:hAnsi="Arial" w:cs="Arial"/>
          <w:sz w:val="24"/>
          <w:szCs w:val="24"/>
        </w:rPr>
        <w:t xml:space="preserve">se instruya </w:t>
      </w:r>
      <w:r w:rsidRPr="009D5507">
        <w:rPr>
          <w:rFonts w:ascii="Arial" w:hAnsi="Arial" w:cs="Arial"/>
          <w:sz w:val="24"/>
          <w:szCs w:val="24"/>
        </w:rPr>
        <w:t>en reparación de la omisión aludi</w:t>
      </w:r>
      <w:r>
        <w:rPr>
          <w:rFonts w:ascii="Arial" w:hAnsi="Arial" w:cs="Arial"/>
          <w:sz w:val="24"/>
          <w:szCs w:val="24"/>
        </w:rPr>
        <w:t xml:space="preserve">da, ningún fin práctico tendría, ya que atendiendo la modalidad solicitada, </w:t>
      </w:r>
      <w:r w:rsidRPr="009D5507">
        <w:rPr>
          <w:rFonts w:ascii="Arial" w:hAnsi="Arial" w:cs="Arial"/>
          <w:sz w:val="24"/>
          <w:szCs w:val="24"/>
        </w:rPr>
        <w:t xml:space="preserve">no se puede ordenar al sujeto obligado realice la entrega de la certificación </w:t>
      </w:r>
      <w:r>
        <w:rPr>
          <w:rFonts w:ascii="Arial" w:hAnsi="Arial" w:cs="Arial"/>
          <w:sz w:val="24"/>
          <w:szCs w:val="24"/>
        </w:rPr>
        <w:t>y</w:t>
      </w:r>
      <w:r w:rsidR="00CB7D8F">
        <w:rPr>
          <w:rFonts w:ascii="Arial" w:hAnsi="Arial" w:cs="Arial"/>
          <w:sz w:val="24"/>
          <w:szCs w:val="24"/>
        </w:rPr>
        <w:t xml:space="preserve"> la</w:t>
      </w:r>
      <w:r>
        <w:rPr>
          <w:rFonts w:ascii="Arial" w:hAnsi="Arial" w:cs="Arial"/>
          <w:sz w:val="24"/>
          <w:szCs w:val="24"/>
        </w:rPr>
        <w:t xml:space="preserve"> elaboración de la </w:t>
      </w:r>
      <w:r w:rsidRPr="009D5507">
        <w:rPr>
          <w:rFonts w:ascii="Arial" w:hAnsi="Arial" w:cs="Arial"/>
          <w:sz w:val="24"/>
          <w:szCs w:val="24"/>
        </w:rPr>
        <w:t>versión pública</w:t>
      </w:r>
      <w:r w:rsidR="00CB7D8F">
        <w:rPr>
          <w:rFonts w:ascii="Arial" w:hAnsi="Arial" w:cs="Arial"/>
          <w:sz w:val="24"/>
          <w:szCs w:val="24"/>
        </w:rPr>
        <w:t xml:space="preserve"> vía electrónica</w:t>
      </w:r>
      <w:r w:rsidRPr="009D5507">
        <w:rPr>
          <w:rFonts w:ascii="Arial" w:hAnsi="Arial" w:cs="Arial"/>
          <w:sz w:val="24"/>
          <w:szCs w:val="24"/>
        </w:rPr>
        <w:t>, sin previo pago de derechos a la Secretaría General de Gobierno, por parte del aqu</w:t>
      </w:r>
      <w:r w:rsidR="005B4573">
        <w:rPr>
          <w:rFonts w:ascii="Arial" w:hAnsi="Arial" w:cs="Arial"/>
          <w:sz w:val="24"/>
          <w:szCs w:val="24"/>
        </w:rPr>
        <w:t>í recurrente</w:t>
      </w:r>
      <w:r w:rsidR="00CB7D8F">
        <w:rPr>
          <w:rFonts w:ascii="Arial" w:hAnsi="Arial" w:cs="Arial"/>
          <w:sz w:val="24"/>
          <w:szCs w:val="24"/>
        </w:rPr>
        <w:t>.</w:t>
      </w:r>
    </w:p>
    <w:p w14:paraId="70B8A886" w14:textId="77777777" w:rsidR="00CB7D8F" w:rsidRDefault="00CB7D8F" w:rsidP="00CB7D8F">
      <w:pPr>
        <w:spacing w:after="0" w:line="360" w:lineRule="auto"/>
        <w:ind w:right="51" w:firstLine="709"/>
        <w:jc w:val="both"/>
        <w:rPr>
          <w:rFonts w:ascii="Arial" w:hAnsi="Arial" w:cs="Arial"/>
          <w:sz w:val="24"/>
          <w:szCs w:val="24"/>
        </w:rPr>
      </w:pPr>
    </w:p>
    <w:p w14:paraId="510B75BA" w14:textId="1E0CC139" w:rsidR="005B4573" w:rsidRDefault="00CB7D8F" w:rsidP="00CB7D8F">
      <w:pPr>
        <w:spacing w:after="0" w:line="360" w:lineRule="auto"/>
        <w:ind w:right="51" w:firstLine="709"/>
        <w:jc w:val="both"/>
        <w:rPr>
          <w:rFonts w:ascii="Arial" w:hAnsi="Arial" w:cs="Arial"/>
          <w:sz w:val="24"/>
          <w:szCs w:val="24"/>
        </w:rPr>
      </w:pPr>
      <w:r>
        <w:rPr>
          <w:rFonts w:ascii="Arial" w:hAnsi="Arial" w:cs="Arial"/>
          <w:sz w:val="24"/>
          <w:szCs w:val="24"/>
        </w:rPr>
        <w:t>E</w:t>
      </w:r>
      <w:r w:rsidR="005B4573">
        <w:rPr>
          <w:rFonts w:ascii="Arial" w:hAnsi="Arial" w:cs="Arial"/>
          <w:sz w:val="24"/>
          <w:szCs w:val="24"/>
        </w:rPr>
        <w:t>n suma</w:t>
      </w:r>
      <w:r>
        <w:rPr>
          <w:rFonts w:ascii="Arial" w:hAnsi="Arial" w:cs="Arial"/>
          <w:sz w:val="24"/>
          <w:szCs w:val="24"/>
        </w:rPr>
        <w:t xml:space="preserve"> a lo anterior, </w:t>
      </w:r>
      <w:r w:rsidR="005B4573">
        <w:rPr>
          <w:rFonts w:ascii="Arial" w:hAnsi="Arial" w:cs="Arial"/>
          <w:sz w:val="24"/>
          <w:szCs w:val="24"/>
        </w:rPr>
        <w:t xml:space="preserve">el hecho de que la autoridad haya señalado en su respuesta que, en caso de que el solicitante acredite ser titular de los datos personales, deberá presentarse a realizar la consulta en las instalaciones de la Dirección General de Gobernación, previa acreditación de identidad, </w:t>
      </w:r>
      <w:r>
        <w:rPr>
          <w:rFonts w:ascii="Arial" w:hAnsi="Arial" w:cs="Arial"/>
          <w:sz w:val="24"/>
          <w:szCs w:val="24"/>
        </w:rPr>
        <w:t>“</w:t>
      </w:r>
      <w:r w:rsidR="005B4573" w:rsidRPr="00CB7D8F">
        <w:rPr>
          <w:rFonts w:ascii="Arial" w:hAnsi="Arial" w:cs="Arial"/>
          <w:i/>
          <w:sz w:val="24"/>
          <w:szCs w:val="24"/>
        </w:rPr>
        <w:t>imponiendo una modalidad distinta a la solicitada</w:t>
      </w:r>
      <w:r w:rsidRPr="00CB7D8F">
        <w:rPr>
          <w:rFonts w:ascii="Arial" w:hAnsi="Arial" w:cs="Arial"/>
          <w:i/>
          <w:sz w:val="24"/>
          <w:szCs w:val="24"/>
        </w:rPr>
        <w:t>”</w:t>
      </w:r>
      <w:r w:rsidR="005B4573">
        <w:rPr>
          <w:rFonts w:ascii="Arial" w:hAnsi="Arial" w:cs="Arial"/>
          <w:sz w:val="24"/>
          <w:szCs w:val="24"/>
        </w:rPr>
        <w:t xml:space="preserve">, </w:t>
      </w:r>
      <w:r>
        <w:rPr>
          <w:rFonts w:ascii="Arial" w:hAnsi="Arial" w:cs="Arial"/>
          <w:sz w:val="24"/>
          <w:szCs w:val="24"/>
        </w:rPr>
        <w:t xml:space="preserve">es una </w:t>
      </w:r>
      <w:r w:rsidR="005B4573">
        <w:rPr>
          <w:rFonts w:ascii="Arial" w:hAnsi="Arial" w:cs="Arial"/>
          <w:sz w:val="24"/>
          <w:szCs w:val="24"/>
        </w:rPr>
        <w:t xml:space="preserve">circunstancia </w:t>
      </w:r>
      <w:r>
        <w:rPr>
          <w:rFonts w:ascii="Arial" w:hAnsi="Arial" w:cs="Arial"/>
          <w:sz w:val="24"/>
          <w:szCs w:val="24"/>
        </w:rPr>
        <w:t xml:space="preserve">de la </w:t>
      </w:r>
      <w:r w:rsidR="005B4573">
        <w:rPr>
          <w:rFonts w:ascii="Arial" w:hAnsi="Arial" w:cs="Arial"/>
          <w:sz w:val="24"/>
          <w:szCs w:val="24"/>
        </w:rPr>
        <w:t xml:space="preserve">que </w:t>
      </w:r>
      <w:r>
        <w:rPr>
          <w:rFonts w:ascii="Arial" w:hAnsi="Arial" w:cs="Arial"/>
          <w:sz w:val="24"/>
          <w:szCs w:val="24"/>
        </w:rPr>
        <w:t xml:space="preserve">la persona recurrente se duele por la </w:t>
      </w:r>
      <w:r w:rsidRPr="00CB7D8F">
        <w:rPr>
          <w:rFonts w:ascii="Arial" w:hAnsi="Arial" w:cs="Arial"/>
          <w:i/>
          <w:sz w:val="24"/>
          <w:szCs w:val="24"/>
        </w:rPr>
        <w:t>“</w:t>
      </w:r>
      <w:r w:rsidR="005B4573" w:rsidRPr="00CB7D8F">
        <w:rPr>
          <w:rFonts w:ascii="Arial" w:hAnsi="Arial" w:cs="Arial"/>
          <w:i/>
          <w:sz w:val="24"/>
          <w:szCs w:val="24"/>
        </w:rPr>
        <w:t>orientación de un trámite</w:t>
      </w:r>
      <w:r>
        <w:rPr>
          <w:rFonts w:ascii="Arial" w:hAnsi="Arial" w:cs="Arial"/>
          <w:i/>
          <w:sz w:val="24"/>
          <w:szCs w:val="24"/>
        </w:rPr>
        <w:t xml:space="preserve"> específico</w:t>
      </w:r>
      <w:r w:rsidRPr="00CB7D8F">
        <w:rPr>
          <w:rFonts w:ascii="Arial" w:hAnsi="Arial" w:cs="Arial"/>
          <w:i/>
          <w:sz w:val="24"/>
          <w:szCs w:val="24"/>
        </w:rPr>
        <w:t>”</w:t>
      </w:r>
      <w:r w:rsidR="005B4573">
        <w:rPr>
          <w:rFonts w:ascii="Arial" w:hAnsi="Arial" w:cs="Arial"/>
          <w:sz w:val="24"/>
          <w:szCs w:val="24"/>
        </w:rPr>
        <w:t xml:space="preserve">, </w:t>
      </w:r>
      <w:r>
        <w:rPr>
          <w:rFonts w:ascii="Arial" w:hAnsi="Arial" w:cs="Arial"/>
          <w:sz w:val="24"/>
          <w:szCs w:val="24"/>
        </w:rPr>
        <w:t xml:space="preserve">situación que en el caso concreto, no le causa perjuicio alguno, puesto que como </w:t>
      </w:r>
      <w:r>
        <w:rPr>
          <w:rFonts w:ascii="Arial" w:hAnsi="Arial" w:cs="Arial"/>
          <w:sz w:val="24"/>
          <w:szCs w:val="24"/>
        </w:rPr>
        <w:lastRenderedPageBreak/>
        <w:t xml:space="preserve">se precisó, atendiendo la naturaleza de la modalidad elegida, no se puede efectuar sin previo pago de derechos. </w:t>
      </w:r>
    </w:p>
    <w:p w14:paraId="115AAB80" w14:textId="77777777" w:rsidR="00CB7D8F" w:rsidRDefault="00CB7D8F" w:rsidP="00157CD1">
      <w:pPr>
        <w:spacing w:after="0" w:line="360" w:lineRule="auto"/>
        <w:ind w:right="51" w:firstLine="709"/>
        <w:jc w:val="both"/>
        <w:rPr>
          <w:rFonts w:ascii="Arial" w:hAnsi="Arial" w:cs="Arial"/>
          <w:sz w:val="24"/>
          <w:szCs w:val="24"/>
        </w:rPr>
      </w:pPr>
    </w:p>
    <w:p w14:paraId="625BDEFE" w14:textId="438014DF" w:rsidR="00157CD1" w:rsidRDefault="00CB7D8F" w:rsidP="00157CD1">
      <w:pPr>
        <w:spacing w:after="0" w:line="360" w:lineRule="auto"/>
        <w:ind w:right="51" w:firstLine="709"/>
        <w:jc w:val="both"/>
        <w:rPr>
          <w:rFonts w:ascii="Arial" w:hAnsi="Arial" w:cs="Arial"/>
          <w:sz w:val="24"/>
          <w:szCs w:val="24"/>
        </w:rPr>
      </w:pPr>
      <w:r>
        <w:rPr>
          <w:rFonts w:ascii="Arial" w:hAnsi="Arial" w:cs="Arial"/>
          <w:sz w:val="24"/>
          <w:szCs w:val="24"/>
        </w:rPr>
        <w:t xml:space="preserve">Así, el hecho de que se haya indicado que para tener acceso a lo solicitado, se debería acreditar la titularidad de los datos personales, atiende a lo establecido en el </w:t>
      </w:r>
      <w:r w:rsidR="00157CD1">
        <w:rPr>
          <w:rFonts w:ascii="Arial" w:hAnsi="Arial" w:cs="Arial"/>
          <w:sz w:val="24"/>
          <w:szCs w:val="24"/>
        </w:rPr>
        <w:t xml:space="preserve">criterio orientador 01/18 emitido por el extinto Instituto Nacional de Transparencia, Acceso a la Información pública y Protección de Datos (INAI), que señala, respecto de la entrega de datos personales </w:t>
      </w:r>
      <w:r w:rsidR="00157CD1" w:rsidRPr="00151DB1">
        <w:rPr>
          <w:rFonts w:ascii="Arial" w:hAnsi="Arial" w:cs="Arial"/>
          <w:sz w:val="24"/>
          <w:szCs w:val="24"/>
        </w:rPr>
        <w:t xml:space="preserve">a través del portal de la Plataforma Nacional de Transparencia, correo electrónico o cualquier otro medio similar resulta improcedente, sin que los sujetos obligados hayan corroborado previamente la identidad </w:t>
      </w:r>
      <w:r w:rsidR="00157CD1">
        <w:rPr>
          <w:rFonts w:ascii="Arial" w:hAnsi="Arial" w:cs="Arial"/>
          <w:sz w:val="24"/>
          <w:szCs w:val="24"/>
        </w:rPr>
        <w:t xml:space="preserve">del titular. </w:t>
      </w:r>
    </w:p>
    <w:p w14:paraId="7986992D" w14:textId="77777777" w:rsidR="00157CD1" w:rsidRDefault="00157CD1" w:rsidP="00157CD1">
      <w:pPr>
        <w:spacing w:after="0" w:line="360" w:lineRule="auto"/>
        <w:ind w:right="51" w:firstLine="709"/>
        <w:jc w:val="both"/>
        <w:rPr>
          <w:rFonts w:ascii="Arial" w:hAnsi="Arial" w:cs="Arial"/>
          <w:sz w:val="24"/>
          <w:szCs w:val="24"/>
        </w:rPr>
      </w:pPr>
    </w:p>
    <w:p w14:paraId="1AAB84A0" w14:textId="358FC29C" w:rsidR="009D5507" w:rsidRDefault="00571912" w:rsidP="00AD647E">
      <w:pPr>
        <w:autoSpaceDE w:val="0"/>
        <w:autoSpaceDN w:val="0"/>
        <w:adjustRightInd w:val="0"/>
        <w:spacing w:after="0" w:line="360" w:lineRule="auto"/>
        <w:ind w:firstLine="708"/>
        <w:jc w:val="both"/>
        <w:rPr>
          <w:rFonts w:ascii="Arial" w:hAnsi="Arial" w:cs="Arial"/>
          <w:sz w:val="24"/>
          <w:szCs w:val="24"/>
        </w:rPr>
      </w:pPr>
      <w:r>
        <w:rPr>
          <w:rFonts w:ascii="Arial" w:hAnsi="Arial" w:cs="Arial"/>
          <w:sz w:val="24"/>
          <w:szCs w:val="24"/>
        </w:rPr>
        <w:t xml:space="preserve">En diverso aspecto, el recurrente aduce como motivos de disenso, el hecho de que </w:t>
      </w:r>
      <w:r w:rsidR="00A428ED">
        <w:rPr>
          <w:rFonts w:ascii="Arial" w:hAnsi="Arial" w:cs="Arial"/>
          <w:sz w:val="24"/>
          <w:szCs w:val="24"/>
        </w:rPr>
        <w:t>l</w:t>
      </w:r>
      <w:r w:rsidR="00A428ED" w:rsidRPr="00CC2C65">
        <w:rPr>
          <w:rFonts w:ascii="Arial" w:hAnsi="Arial" w:cs="Arial"/>
          <w:sz w:val="24"/>
          <w:szCs w:val="24"/>
        </w:rPr>
        <w:t>a en</w:t>
      </w:r>
      <w:r w:rsidR="00A428ED">
        <w:rPr>
          <w:rFonts w:ascii="Arial" w:hAnsi="Arial" w:cs="Arial"/>
          <w:sz w:val="24"/>
          <w:szCs w:val="24"/>
        </w:rPr>
        <w:t xml:space="preserve">trega de información </w:t>
      </w:r>
      <w:r w:rsidR="00D35379">
        <w:rPr>
          <w:rFonts w:ascii="Arial" w:hAnsi="Arial" w:cs="Arial"/>
          <w:sz w:val="24"/>
          <w:szCs w:val="24"/>
        </w:rPr>
        <w:t xml:space="preserve">resultó </w:t>
      </w:r>
      <w:r w:rsidR="00A428ED">
        <w:rPr>
          <w:rFonts w:ascii="Arial" w:hAnsi="Arial" w:cs="Arial"/>
          <w:sz w:val="24"/>
          <w:szCs w:val="24"/>
        </w:rPr>
        <w:t>incompleta</w:t>
      </w:r>
      <w:r w:rsidR="00D35379">
        <w:rPr>
          <w:rFonts w:ascii="Arial" w:hAnsi="Arial" w:cs="Arial"/>
          <w:sz w:val="24"/>
          <w:szCs w:val="24"/>
        </w:rPr>
        <w:t xml:space="preserve"> y que ésta no </w:t>
      </w:r>
      <w:r w:rsidR="00A428ED" w:rsidRPr="00CC2C65">
        <w:rPr>
          <w:rFonts w:ascii="Arial" w:hAnsi="Arial" w:cs="Arial"/>
          <w:sz w:val="24"/>
          <w:szCs w:val="24"/>
        </w:rPr>
        <w:t>corresponde con lo solicitado</w:t>
      </w:r>
      <w:r w:rsidR="003F062E">
        <w:rPr>
          <w:rFonts w:ascii="Arial" w:hAnsi="Arial" w:cs="Arial"/>
          <w:sz w:val="24"/>
          <w:szCs w:val="24"/>
        </w:rPr>
        <w:t xml:space="preserve">, así como los </w:t>
      </w:r>
      <w:r w:rsidR="003F062E" w:rsidRPr="00CC2C65">
        <w:rPr>
          <w:rFonts w:ascii="Arial" w:hAnsi="Arial" w:cs="Arial"/>
          <w:sz w:val="24"/>
          <w:szCs w:val="24"/>
        </w:rPr>
        <w:t>costos o tiemp</w:t>
      </w:r>
      <w:r w:rsidR="003F062E">
        <w:rPr>
          <w:rFonts w:ascii="Arial" w:hAnsi="Arial" w:cs="Arial"/>
          <w:sz w:val="24"/>
          <w:szCs w:val="24"/>
        </w:rPr>
        <w:t xml:space="preserve">os de entrega de la información, </w:t>
      </w:r>
      <w:r w:rsidR="007A2BFC">
        <w:rPr>
          <w:rFonts w:ascii="Arial" w:hAnsi="Arial" w:cs="Arial"/>
          <w:sz w:val="24"/>
          <w:szCs w:val="24"/>
        </w:rPr>
        <w:t xml:space="preserve">deviene </w:t>
      </w:r>
      <w:r w:rsidR="00D35379" w:rsidRPr="00D35379">
        <w:rPr>
          <w:rFonts w:ascii="Arial" w:hAnsi="Arial" w:cs="Arial"/>
          <w:sz w:val="24"/>
          <w:szCs w:val="24"/>
        </w:rPr>
        <w:t>inoperante</w:t>
      </w:r>
      <w:r w:rsidR="007A2BFC">
        <w:rPr>
          <w:rFonts w:ascii="Arial" w:hAnsi="Arial" w:cs="Arial"/>
          <w:sz w:val="24"/>
          <w:szCs w:val="24"/>
        </w:rPr>
        <w:t xml:space="preserve">. </w:t>
      </w:r>
    </w:p>
    <w:p w14:paraId="2BB5B1AC" w14:textId="77777777" w:rsidR="009D5507" w:rsidRDefault="009D5507" w:rsidP="00AD647E">
      <w:pPr>
        <w:autoSpaceDE w:val="0"/>
        <w:autoSpaceDN w:val="0"/>
        <w:adjustRightInd w:val="0"/>
        <w:spacing w:after="0" w:line="360" w:lineRule="auto"/>
        <w:ind w:firstLine="708"/>
        <w:jc w:val="both"/>
        <w:rPr>
          <w:rFonts w:ascii="Arial" w:hAnsi="Arial" w:cs="Arial"/>
          <w:sz w:val="24"/>
          <w:szCs w:val="24"/>
        </w:rPr>
      </w:pPr>
    </w:p>
    <w:p w14:paraId="1EACD309" w14:textId="077F8833" w:rsidR="003F062E" w:rsidRDefault="00D35379" w:rsidP="00AD647E">
      <w:pPr>
        <w:autoSpaceDE w:val="0"/>
        <w:autoSpaceDN w:val="0"/>
        <w:adjustRightInd w:val="0"/>
        <w:spacing w:after="0" w:line="360" w:lineRule="auto"/>
        <w:ind w:firstLine="708"/>
        <w:jc w:val="both"/>
        <w:rPr>
          <w:rFonts w:ascii="Arial" w:hAnsi="Arial" w:cs="Arial"/>
          <w:sz w:val="24"/>
          <w:szCs w:val="24"/>
        </w:rPr>
      </w:pPr>
      <w:r w:rsidRPr="00D35379">
        <w:rPr>
          <w:rFonts w:ascii="Arial" w:hAnsi="Arial" w:cs="Arial"/>
          <w:sz w:val="24"/>
          <w:szCs w:val="24"/>
        </w:rPr>
        <w:t>Para llegar a esa conclusión es menester</w:t>
      </w:r>
      <w:r>
        <w:rPr>
          <w:rFonts w:ascii="Arial" w:hAnsi="Arial" w:cs="Arial"/>
          <w:sz w:val="24"/>
          <w:szCs w:val="24"/>
        </w:rPr>
        <w:t xml:space="preserve"> precisar que el </w:t>
      </w:r>
      <w:r w:rsidRPr="00D35379">
        <w:rPr>
          <w:rFonts w:ascii="Arial" w:hAnsi="Arial" w:cs="Arial"/>
          <w:sz w:val="24"/>
          <w:szCs w:val="24"/>
        </w:rPr>
        <w:t xml:space="preserve">recurrente debió dirigirse a evidenciar </w:t>
      </w:r>
      <w:r w:rsidR="00AD647E">
        <w:rPr>
          <w:rFonts w:ascii="Arial" w:hAnsi="Arial" w:cs="Arial"/>
          <w:sz w:val="24"/>
          <w:szCs w:val="24"/>
        </w:rPr>
        <w:t xml:space="preserve">los motivos por lo que llegó a dicha conclusión, puesto que como se ha revisado en la presente determinación, el Obligado no realizó la entrega de ninguna parte de la totalidad de lo requerido que permitiera inferir que es incompleta y que no corresponde con lo solicitado, </w:t>
      </w:r>
      <w:r w:rsidR="003F062E">
        <w:rPr>
          <w:rFonts w:ascii="Arial" w:hAnsi="Arial" w:cs="Arial"/>
          <w:sz w:val="24"/>
          <w:szCs w:val="24"/>
        </w:rPr>
        <w:t xml:space="preserve">ni tampoco se señaló en la respuesta cobro alguno por parte del sujeto obligado, </w:t>
      </w:r>
      <w:r w:rsidR="00AD647E">
        <w:rPr>
          <w:rFonts w:ascii="Arial" w:hAnsi="Arial" w:cs="Arial"/>
          <w:sz w:val="24"/>
          <w:szCs w:val="24"/>
        </w:rPr>
        <w:t xml:space="preserve">ya que se indicó que la documentación de su interés es confidencial, por lo que, al concretarse a hacer dichas afirmaciones, </w:t>
      </w:r>
      <w:r w:rsidR="00064977">
        <w:rPr>
          <w:rFonts w:ascii="Arial" w:hAnsi="Arial" w:cs="Arial"/>
          <w:sz w:val="24"/>
          <w:szCs w:val="24"/>
        </w:rPr>
        <w:t xml:space="preserve">los motivos de queja devienen </w:t>
      </w:r>
      <w:r w:rsidR="00064977" w:rsidRPr="00D35379">
        <w:rPr>
          <w:rFonts w:ascii="Arial" w:hAnsi="Arial" w:cs="Arial"/>
          <w:sz w:val="24"/>
          <w:szCs w:val="24"/>
        </w:rPr>
        <w:t>inoperantes</w:t>
      </w:r>
      <w:r w:rsidR="00064977">
        <w:rPr>
          <w:rFonts w:ascii="Arial" w:hAnsi="Arial" w:cs="Arial"/>
          <w:sz w:val="24"/>
          <w:szCs w:val="24"/>
        </w:rPr>
        <w:t>. S</w:t>
      </w:r>
      <w:r w:rsidR="00AD647E">
        <w:rPr>
          <w:rFonts w:ascii="Arial" w:hAnsi="Arial" w:cs="Arial"/>
          <w:sz w:val="24"/>
          <w:szCs w:val="24"/>
        </w:rPr>
        <w:t>irve de apoyo,</w:t>
      </w:r>
      <w:r w:rsidR="003F062E">
        <w:rPr>
          <w:rFonts w:ascii="Arial" w:hAnsi="Arial" w:cs="Arial"/>
          <w:sz w:val="24"/>
          <w:szCs w:val="24"/>
        </w:rPr>
        <w:t xml:space="preserve"> la Tesis de Jurisprudencia que señala:</w:t>
      </w:r>
    </w:p>
    <w:p w14:paraId="7101DBAE" w14:textId="77777777" w:rsidR="009D5507" w:rsidRDefault="009D5507" w:rsidP="00AD647E">
      <w:pPr>
        <w:autoSpaceDE w:val="0"/>
        <w:autoSpaceDN w:val="0"/>
        <w:adjustRightInd w:val="0"/>
        <w:spacing w:after="0" w:line="360" w:lineRule="auto"/>
        <w:ind w:firstLine="708"/>
        <w:jc w:val="both"/>
        <w:rPr>
          <w:rFonts w:ascii="Arial" w:hAnsi="Arial" w:cs="Arial"/>
          <w:sz w:val="24"/>
          <w:szCs w:val="24"/>
        </w:rPr>
      </w:pPr>
    </w:p>
    <w:p w14:paraId="402A4EA9" w14:textId="73690334" w:rsidR="00AD647E" w:rsidRPr="003F062E" w:rsidRDefault="00AD647E" w:rsidP="003F062E">
      <w:pPr>
        <w:autoSpaceDE w:val="0"/>
        <w:autoSpaceDN w:val="0"/>
        <w:adjustRightInd w:val="0"/>
        <w:spacing w:after="0" w:line="240" w:lineRule="auto"/>
        <w:ind w:left="1134" w:right="1183"/>
        <w:jc w:val="both"/>
        <w:rPr>
          <w:rFonts w:ascii="Arial" w:hAnsi="Arial" w:cs="Arial"/>
        </w:rPr>
      </w:pPr>
      <w:r w:rsidRPr="003F062E">
        <w:rPr>
          <w:rFonts w:ascii="Arial" w:hAnsi="Arial" w:cs="Arial"/>
        </w:rPr>
        <w:t xml:space="preserve"> </w:t>
      </w:r>
      <w:r w:rsidRPr="003F062E">
        <w:rPr>
          <w:rFonts w:ascii="Arial" w:hAnsi="Arial" w:cs="Arial"/>
          <w:b/>
        </w:rPr>
        <w:t>AGRAVIOS, NO DEBEN CONSIDERARSE COMO TALES LAS SIMPLES AFIRMACIONES QUE NO SE SUSTENTAN EN RAZONAMIENTO ALGUNO.</w:t>
      </w:r>
      <w:r w:rsidRPr="003F062E">
        <w:rPr>
          <w:rFonts w:ascii="Arial" w:hAnsi="Arial" w:cs="Arial"/>
        </w:rPr>
        <w:t xml:space="preserve"> Cuando el recurrente al plantear sus agravios se limita a</w:t>
      </w:r>
      <w:r w:rsidR="003F062E" w:rsidRPr="003F062E">
        <w:rPr>
          <w:rFonts w:ascii="Arial" w:hAnsi="Arial" w:cs="Arial"/>
        </w:rPr>
        <w:t xml:space="preserve"> señalar diversas conclusiones, y omite indicar los razonamientos que lo condujeron a ellas, tales manifestaciones no deben estimarse técnicamente como agravios</w:t>
      </w:r>
      <w:r w:rsidR="003F062E" w:rsidRPr="003F062E">
        <w:rPr>
          <w:rStyle w:val="Refdenotaalpie"/>
          <w:rFonts w:ascii="Arial" w:hAnsi="Arial" w:cs="Arial"/>
        </w:rPr>
        <w:footnoteReference w:id="83"/>
      </w:r>
      <w:r w:rsidR="003F062E" w:rsidRPr="003F062E">
        <w:rPr>
          <w:rFonts w:ascii="Arial" w:hAnsi="Arial" w:cs="Arial"/>
        </w:rPr>
        <w:t>.</w:t>
      </w:r>
    </w:p>
    <w:p w14:paraId="1532872E" w14:textId="1F856044" w:rsidR="00AD647E" w:rsidRDefault="00AD647E" w:rsidP="00AD647E">
      <w:pPr>
        <w:autoSpaceDE w:val="0"/>
        <w:autoSpaceDN w:val="0"/>
        <w:adjustRightInd w:val="0"/>
        <w:spacing w:after="0" w:line="360" w:lineRule="auto"/>
        <w:ind w:firstLine="708"/>
        <w:jc w:val="both"/>
        <w:rPr>
          <w:rFonts w:ascii="Arial" w:hAnsi="Arial" w:cs="Arial"/>
          <w:sz w:val="24"/>
          <w:szCs w:val="24"/>
        </w:rPr>
      </w:pPr>
    </w:p>
    <w:p w14:paraId="178AAA39" w14:textId="02104D29" w:rsidR="00064977" w:rsidRDefault="00D35379" w:rsidP="00A428ED">
      <w:pPr>
        <w:autoSpaceDE w:val="0"/>
        <w:autoSpaceDN w:val="0"/>
        <w:adjustRightInd w:val="0"/>
        <w:spacing w:after="0" w:line="360" w:lineRule="auto"/>
        <w:ind w:firstLine="708"/>
        <w:jc w:val="both"/>
        <w:rPr>
          <w:rFonts w:ascii="Arial" w:hAnsi="Arial" w:cs="Arial"/>
          <w:sz w:val="24"/>
          <w:szCs w:val="24"/>
        </w:rPr>
      </w:pPr>
      <w:r w:rsidRPr="00D35379">
        <w:rPr>
          <w:rFonts w:ascii="Arial" w:hAnsi="Arial" w:cs="Arial"/>
          <w:sz w:val="24"/>
          <w:szCs w:val="24"/>
        </w:rPr>
        <w:lastRenderedPageBreak/>
        <w:t xml:space="preserve">Por tanto, </w:t>
      </w:r>
      <w:r w:rsidR="00064977">
        <w:rPr>
          <w:rFonts w:ascii="Arial" w:hAnsi="Arial" w:cs="Arial"/>
          <w:sz w:val="24"/>
          <w:szCs w:val="24"/>
        </w:rPr>
        <w:t>se concluye que sus manifestaciones no combaten aspecto fundamental de la respuesta que por este medio se impugna para sostener la procedencia de la presente revisión.</w:t>
      </w:r>
    </w:p>
    <w:p w14:paraId="252D2DB2" w14:textId="77777777" w:rsidR="0052037D" w:rsidRDefault="0052037D" w:rsidP="00A428ED">
      <w:pPr>
        <w:autoSpaceDE w:val="0"/>
        <w:autoSpaceDN w:val="0"/>
        <w:adjustRightInd w:val="0"/>
        <w:spacing w:after="0" w:line="360" w:lineRule="auto"/>
        <w:ind w:firstLine="708"/>
        <w:jc w:val="both"/>
        <w:rPr>
          <w:rFonts w:ascii="Arial" w:hAnsi="Arial" w:cs="Arial"/>
          <w:sz w:val="24"/>
          <w:szCs w:val="24"/>
        </w:rPr>
      </w:pPr>
    </w:p>
    <w:p w14:paraId="3BAF4A8F" w14:textId="0670C29C" w:rsidR="00157CD1" w:rsidRDefault="00157CD1" w:rsidP="00157CD1">
      <w:pPr>
        <w:spacing w:after="0" w:line="360" w:lineRule="auto"/>
        <w:ind w:right="51" w:firstLine="709"/>
        <w:jc w:val="both"/>
        <w:rPr>
          <w:rFonts w:ascii="Arial" w:hAnsi="Arial" w:cs="Arial"/>
          <w:sz w:val="24"/>
          <w:szCs w:val="24"/>
          <w:lang w:val="es-ES"/>
        </w:rPr>
      </w:pPr>
      <w:r>
        <w:rPr>
          <w:rFonts w:ascii="Arial" w:hAnsi="Arial" w:cs="Arial"/>
          <w:sz w:val="24"/>
          <w:szCs w:val="24"/>
        </w:rPr>
        <w:t xml:space="preserve">Finalmente, no pasa desapercibido para esta Comisión que existe la </w:t>
      </w:r>
      <w:r w:rsidRPr="00622512">
        <w:rPr>
          <w:rFonts w:ascii="Arial" w:hAnsi="Arial" w:cs="Arial"/>
          <w:sz w:val="24"/>
          <w:szCs w:val="24"/>
          <w:lang w:val="es-ES"/>
        </w:rPr>
        <w:t xml:space="preserve">posibilidad de que el titular de la información (en su carácter de tercero interesado) se oponga ante la autoridad, dependencia o entidad, a una solicitud de acceso a sus datos personales y alegue lo que a su derecho convenga, ya sea en la primera etapa de ese procedimiento -que se desarrolla ante la unidad de </w:t>
      </w:r>
      <w:r>
        <w:rPr>
          <w:rFonts w:ascii="Arial" w:hAnsi="Arial" w:cs="Arial"/>
          <w:sz w:val="24"/>
          <w:szCs w:val="24"/>
          <w:lang w:val="es-ES"/>
        </w:rPr>
        <w:t>transparencia</w:t>
      </w:r>
      <w:r w:rsidRPr="00622512">
        <w:rPr>
          <w:rFonts w:ascii="Arial" w:hAnsi="Arial" w:cs="Arial"/>
          <w:sz w:val="24"/>
          <w:szCs w:val="24"/>
          <w:lang w:val="es-ES"/>
        </w:rPr>
        <w:t>-, o en la segunda al tramitarse el recurso de revisión</w:t>
      </w:r>
      <w:r>
        <w:rPr>
          <w:rFonts w:ascii="Arial" w:hAnsi="Arial" w:cs="Arial"/>
          <w:sz w:val="24"/>
          <w:szCs w:val="24"/>
          <w:lang w:val="es-ES"/>
        </w:rPr>
        <w:t xml:space="preserve"> –ante este Organismo Autónomo-</w:t>
      </w:r>
      <w:r w:rsidRPr="00622512">
        <w:rPr>
          <w:rFonts w:ascii="Arial" w:hAnsi="Arial" w:cs="Arial"/>
          <w:sz w:val="24"/>
          <w:szCs w:val="24"/>
          <w:lang w:val="es-ES"/>
        </w:rPr>
        <w:t>. Así, el ejercicio de la garantía de audiencia, en ambas etapas, tiene como propósito que la resolución sobre acceso a información pública cumpla con las formalidades previstas en los ordenamientos mencionados, necesarias para oír en defensa al tercero titular de la información afectado quien puede manifestar su conformidad u oposición con la divulgación de la información</w:t>
      </w:r>
      <w:r>
        <w:rPr>
          <w:rFonts w:ascii="Arial" w:hAnsi="Arial" w:cs="Arial"/>
          <w:sz w:val="24"/>
          <w:szCs w:val="24"/>
          <w:lang w:val="es-ES"/>
        </w:rPr>
        <w:t xml:space="preserve"> que</w:t>
      </w:r>
      <w:r w:rsidRPr="00622512">
        <w:rPr>
          <w:rFonts w:ascii="Arial" w:hAnsi="Arial" w:cs="Arial"/>
          <w:sz w:val="24"/>
          <w:szCs w:val="24"/>
          <w:lang w:val="es-ES"/>
        </w:rPr>
        <w:t xml:space="preserve"> </w:t>
      </w:r>
      <w:r>
        <w:rPr>
          <w:rFonts w:ascii="Arial" w:hAnsi="Arial" w:cs="Arial"/>
          <w:sz w:val="24"/>
          <w:szCs w:val="24"/>
          <w:lang w:val="es-ES"/>
        </w:rPr>
        <w:t xml:space="preserve">podría generar </w:t>
      </w:r>
      <w:r w:rsidRPr="00622512">
        <w:rPr>
          <w:rFonts w:ascii="Arial" w:hAnsi="Arial" w:cs="Arial"/>
          <w:sz w:val="24"/>
          <w:szCs w:val="24"/>
          <w:lang w:val="es-ES"/>
        </w:rPr>
        <w:t xml:space="preserve">un daño específico al valor jurídicamente protegido. </w:t>
      </w:r>
    </w:p>
    <w:p w14:paraId="4ECC297D" w14:textId="77777777" w:rsidR="00157CD1" w:rsidRDefault="00157CD1" w:rsidP="00157CD1">
      <w:pPr>
        <w:spacing w:after="0" w:line="360" w:lineRule="auto"/>
        <w:ind w:right="51" w:firstLine="709"/>
        <w:jc w:val="both"/>
        <w:rPr>
          <w:rFonts w:ascii="Arial" w:hAnsi="Arial" w:cs="Arial"/>
          <w:sz w:val="24"/>
          <w:szCs w:val="24"/>
          <w:lang w:val="es-ES"/>
        </w:rPr>
      </w:pPr>
    </w:p>
    <w:p w14:paraId="09607C93" w14:textId="77777777" w:rsidR="00157CD1" w:rsidRPr="00831013" w:rsidRDefault="00157CD1" w:rsidP="00157CD1">
      <w:pPr>
        <w:spacing w:after="0" w:line="360" w:lineRule="auto"/>
        <w:ind w:right="51" w:firstLine="709"/>
        <w:jc w:val="both"/>
        <w:rPr>
          <w:rFonts w:ascii="Arial" w:hAnsi="Arial" w:cs="Arial"/>
          <w:bCs/>
          <w:sz w:val="24"/>
          <w:szCs w:val="24"/>
        </w:rPr>
      </w:pPr>
      <w:r>
        <w:rPr>
          <w:rFonts w:ascii="Arial" w:hAnsi="Arial" w:cs="Arial"/>
          <w:sz w:val="24"/>
          <w:szCs w:val="24"/>
          <w:lang w:val="es-ES"/>
        </w:rPr>
        <w:t xml:space="preserve">Conforme lo anterior, este Organismo Autónomo, en aras de no </w:t>
      </w:r>
      <w:r w:rsidRPr="00831013">
        <w:rPr>
          <w:rFonts w:ascii="Arial" w:hAnsi="Arial" w:cs="Arial"/>
          <w:sz w:val="24"/>
          <w:szCs w:val="24"/>
          <w:lang w:val="es-ES"/>
        </w:rPr>
        <w:t>violentar en perjuicio del tercero titular de los datos, sus derechos humanos y garantías individuales amparadas por los art</w:t>
      </w:r>
      <w:r>
        <w:rPr>
          <w:rFonts w:ascii="Arial" w:hAnsi="Arial" w:cs="Arial"/>
          <w:sz w:val="24"/>
          <w:szCs w:val="24"/>
          <w:lang w:val="es-ES"/>
        </w:rPr>
        <w:t xml:space="preserve">ículos 16 y 20 Constitucionales, deberá el sujeto obligado atender a lo dispuesto en el Lineamiento </w:t>
      </w:r>
      <w:r w:rsidRPr="00831013">
        <w:rPr>
          <w:rFonts w:ascii="Arial" w:hAnsi="Arial" w:cs="Arial"/>
          <w:sz w:val="24"/>
          <w:szCs w:val="24"/>
          <w:lang w:val="es-ES"/>
        </w:rPr>
        <w:t>c</w:t>
      </w:r>
      <w:r w:rsidRPr="00831013">
        <w:rPr>
          <w:rFonts w:ascii="Arial" w:hAnsi="Arial" w:cs="Arial"/>
          <w:bCs/>
          <w:sz w:val="24"/>
          <w:szCs w:val="24"/>
        </w:rPr>
        <w:t>uadragésimo octavo</w:t>
      </w:r>
      <w:r>
        <w:rPr>
          <w:rStyle w:val="Refdenotaalpie"/>
          <w:rFonts w:ascii="Arial" w:hAnsi="Arial" w:cs="Arial"/>
          <w:bCs/>
          <w:sz w:val="24"/>
          <w:szCs w:val="24"/>
        </w:rPr>
        <w:footnoteReference w:id="84"/>
      </w:r>
      <w:r>
        <w:rPr>
          <w:rFonts w:ascii="Arial" w:hAnsi="Arial" w:cs="Arial"/>
          <w:b/>
          <w:bCs/>
          <w:sz w:val="24"/>
          <w:szCs w:val="24"/>
        </w:rPr>
        <w:t xml:space="preserve"> </w:t>
      </w:r>
      <w:r>
        <w:rPr>
          <w:rFonts w:ascii="Arial" w:hAnsi="Arial" w:cs="Arial"/>
          <w:bCs/>
          <w:sz w:val="24"/>
          <w:szCs w:val="24"/>
        </w:rPr>
        <w:t xml:space="preserve">de los </w:t>
      </w:r>
      <w:r w:rsidRPr="00257EF4">
        <w:rPr>
          <w:rFonts w:ascii="Arial" w:hAnsi="Arial" w:cs="Arial"/>
          <w:bCs/>
          <w:sz w:val="24"/>
          <w:szCs w:val="24"/>
          <w:lang w:val="es-ES_tradnl"/>
        </w:rPr>
        <w:t>Lineamientos Generales en Materia de Clasificación y Desclasificación de la Información, así como para la El</w:t>
      </w:r>
      <w:r>
        <w:rPr>
          <w:rFonts w:ascii="Arial" w:hAnsi="Arial" w:cs="Arial"/>
          <w:bCs/>
          <w:sz w:val="24"/>
          <w:szCs w:val="24"/>
          <w:lang w:val="es-ES_tradnl"/>
        </w:rPr>
        <w:t xml:space="preserve">aboración de Versiones Públicas. Sirve de apoyo a lo anterior, la Tesis de Jurisprudencia que señala: </w:t>
      </w:r>
    </w:p>
    <w:p w14:paraId="5597D6E9" w14:textId="77777777" w:rsidR="00157CD1" w:rsidRDefault="00157CD1" w:rsidP="00157CD1">
      <w:pPr>
        <w:spacing w:after="0" w:line="360" w:lineRule="auto"/>
        <w:ind w:right="51" w:firstLine="709"/>
        <w:jc w:val="both"/>
        <w:rPr>
          <w:rFonts w:ascii="Arial" w:hAnsi="Arial" w:cs="Arial"/>
          <w:sz w:val="24"/>
          <w:szCs w:val="24"/>
          <w:lang w:val="es-ES"/>
        </w:rPr>
      </w:pPr>
    </w:p>
    <w:p w14:paraId="3D1C9BBC" w14:textId="77777777" w:rsidR="00157CD1" w:rsidRPr="00956F42" w:rsidRDefault="00157CD1" w:rsidP="007A2BFC">
      <w:pPr>
        <w:spacing w:line="240" w:lineRule="auto"/>
        <w:ind w:left="1134" w:right="1183"/>
        <w:jc w:val="both"/>
        <w:rPr>
          <w:rFonts w:ascii="Arial" w:hAnsi="Arial" w:cs="Arial"/>
        </w:rPr>
      </w:pPr>
      <w:r w:rsidRPr="00831013">
        <w:rPr>
          <w:rFonts w:ascii="Arial" w:hAnsi="Arial" w:cs="Arial"/>
          <w:b/>
        </w:rPr>
        <w:t>DERECHO A LA INFORMACIÓN. EL TITULAR DE ÉSTA TIENE INTERÉS JURÍDICO PARA RECLAMAR EN AMPARO LA DETERMINACIÓN DEL INSTITUTO FEDERAL DE ACCESO A LA INFORMACIÓN Y PROTECCIÓN DE DATOS QUE ORDENA LA ELABORACIÓN DE LA VERSIÓN PÚBLICA QUE CONTIENE DATOS PERSONALES O QUE LE CONCIERNEN COMO PERSONA.</w:t>
      </w:r>
      <w:r>
        <w:rPr>
          <w:rFonts w:ascii="Arial" w:hAnsi="Arial" w:cs="Arial"/>
          <w:b/>
        </w:rPr>
        <w:t xml:space="preserve"> </w:t>
      </w:r>
      <w:r w:rsidRPr="00956F42">
        <w:rPr>
          <w:rFonts w:ascii="Arial" w:hAnsi="Arial" w:cs="Arial"/>
        </w:rPr>
        <w:t xml:space="preserve">El derecho a la protección de </w:t>
      </w:r>
      <w:r w:rsidRPr="00956F42">
        <w:rPr>
          <w:rFonts w:ascii="Arial" w:hAnsi="Arial" w:cs="Arial"/>
        </w:rPr>
        <w:lastRenderedPageBreak/>
        <w:t xml:space="preserve">los datos personales está previsto esencialmente en los artículos 6o. y 16 de la Constitución Política de los Estados Unidos Mexicanos, así como en los diversos 1, 40 y 41 del Reglamento de la Ley Federal de Transparencia y Acceso a la Información Pública Gubernamental, con la finalidad de proteger al titular de la información para que pueda manifestar su oposición a la divulgación, no sólo de sus propios datos personales, sino también de los concernientes a su persona, esto es, los que ponen en riesgo su vida, seguridad o salud, los secretos industriales, fiscales, bancarios, fiduciarios o cualquier otro considerado como tal por una disposición jurídica. De tal modo que </w:t>
      </w:r>
      <w:r w:rsidRPr="00956F42">
        <w:rPr>
          <w:rFonts w:ascii="Arial" w:hAnsi="Arial" w:cs="Arial"/>
          <w:b/>
        </w:rPr>
        <w:t>la resolución que permite el acceso a la información perteneciente a un tercero, incide en el derecho de su titular a que se proteja</w:t>
      </w:r>
      <w:r w:rsidRPr="00956F42">
        <w:rPr>
          <w:rFonts w:ascii="Arial" w:hAnsi="Arial" w:cs="Arial"/>
        </w:rPr>
        <w:t xml:space="preserve">, e incluso a oponerse a su divulgación, esto es, a intervenir en la delimitación o determinación de la parte que puede divulgarse; </w:t>
      </w:r>
      <w:r w:rsidRPr="00956F42">
        <w:rPr>
          <w:rFonts w:ascii="Arial" w:hAnsi="Arial" w:cs="Arial"/>
          <w:b/>
        </w:rPr>
        <w:t xml:space="preserve">de lo que se sigue que el titular de la información tendrá interés jurídico para reclamar en el juicio de amparo la determinación del Instituto Federal de Acceso a la Información y Protección de Datos por la cual se ordene la elaboración de la versión pública para entregarla al solicitante de la misma; en virtud de que, al ser propietario de la información, tiene el derecho a que ésta sea protegida, lo cual, a su vez, le otorga el derecho de oposición, el cual involucra la facultad de intervenir en la delimitación o determinación de la parte que puede ser del conocimiento del solicitante, </w:t>
      </w:r>
      <w:r w:rsidRPr="00831013">
        <w:rPr>
          <w:rFonts w:ascii="Arial" w:hAnsi="Arial" w:cs="Arial"/>
          <w:b/>
          <w:u w:val="single"/>
        </w:rPr>
        <w:t>antes de que se ordene la elaboración de la versión pública correspondiente, como un mecanismo para que no se trastoquen sus derechos públicos subjetivos, sin afectar el derecho de acceso a la información de los peticionarios</w:t>
      </w:r>
      <w:r w:rsidRPr="00831013">
        <w:rPr>
          <w:rFonts w:ascii="Arial" w:hAnsi="Arial" w:cs="Arial"/>
          <w:u w:val="single"/>
        </w:rPr>
        <w:t>.</w:t>
      </w:r>
      <w:r w:rsidRPr="00956F42">
        <w:rPr>
          <w:rFonts w:ascii="Arial" w:hAnsi="Arial" w:cs="Arial"/>
        </w:rPr>
        <w:t xml:space="preserve"> Ahora, la existencia del interés jurídico no puede condicionarse al sentido de la resolución reclamada, porque la determinación que ordena la elaboración de una versión pública involucra, necesariamente, el derecho del titular a la protección de la información que será publicada. Por tanto, la corrección o no de los lineamientos dados en la resolución impugnada e, incluso, el hecho de que se permita al titular de la información intervenir en su determinación o delimitación de la misma antes de que se ordene, de manera lisa y llana, la elaboración de una versión pública, constituye un aspecto que pueden llevar a conceder o negar el amparo solicitado, pero no pueden conducir a desconocer el derecho subjetivo tutelado a nivel constitucional a favor del justiciable, ni la relación de éste con el acto por virtud del cual se ordena la publicación de sus datos personales o de los datos que le conciernan como persona.</w:t>
      </w:r>
      <w:r>
        <w:rPr>
          <w:rFonts w:ascii="Arial" w:hAnsi="Arial" w:cs="Arial"/>
        </w:rPr>
        <w:t xml:space="preserve"> </w:t>
      </w:r>
      <w:r>
        <w:rPr>
          <w:rStyle w:val="Refdenotaalpie"/>
          <w:rFonts w:ascii="Arial" w:hAnsi="Arial" w:cs="Arial"/>
        </w:rPr>
        <w:footnoteReference w:id="85"/>
      </w:r>
    </w:p>
    <w:p w14:paraId="0D8F5524" w14:textId="77777777" w:rsidR="00157CD1" w:rsidRDefault="00157CD1" w:rsidP="00157CD1">
      <w:pPr>
        <w:spacing w:after="0" w:line="360" w:lineRule="auto"/>
        <w:ind w:right="51" w:firstLine="709"/>
        <w:jc w:val="both"/>
        <w:rPr>
          <w:rFonts w:ascii="Arial" w:eastAsia="Arial Unicode MS" w:hAnsi="Arial" w:cs="Arial"/>
          <w:sz w:val="24"/>
          <w:szCs w:val="24"/>
          <w:lang w:eastAsia="es-ES"/>
        </w:rPr>
      </w:pPr>
    </w:p>
    <w:p w14:paraId="4EC1F163" w14:textId="77777777" w:rsidR="00157CD1" w:rsidRDefault="00157CD1" w:rsidP="00157CD1">
      <w:pPr>
        <w:spacing w:after="0" w:line="360" w:lineRule="auto"/>
        <w:ind w:right="51" w:firstLine="709"/>
        <w:jc w:val="both"/>
        <w:rPr>
          <w:rFonts w:ascii="Arial" w:eastAsia="Arial Unicode MS" w:hAnsi="Arial" w:cs="Arial"/>
          <w:b/>
          <w:sz w:val="24"/>
          <w:szCs w:val="24"/>
          <w:u w:val="single"/>
          <w:lang w:eastAsia="es-ES"/>
        </w:rPr>
      </w:pPr>
      <w:r w:rsidRPr="00084EFD">
        <w:rPr>
          <w:rFonts w:ascii="Arial" w:eastAsia="Arial Unicode MS" w:hAnsi="Arial" w:cs="Arial"/>
          <w:sz w:val="24"/>
          <w:szCs w:val="24"/>
          <w:lang w:eastAsia="es-ES"/>
        </w:rPr>
        <w:t xml:space="preserve">De manera tal que, a criterio de éste Órgano Garante, al </w:t>
      </w:r>
      <w:r w:rsidRPr="00084EFD">
        <w:rPr>
          <w:rFonts w:ascii="Arial" w:eastAsia="Arial Unicode MS" w:hAnsi="Arial" w:cs="Arial"/>
          <w:b/>
          <w:bCs/>
          <w:sz w:val="24"/>
          <w:szCs w:val="24"/>
          <w:lang w:eastAsia="es-ES"/>
        </w:rPr>
        <w:t>resultar parcialmente fundado el agravio</w:t>
      </w:r>
      <w:r w:rsidRPr="00084EFD">
        <w:rPr>
          <w:rFonts w:ascii="Arial" w:eastAsia="Arial Unicode MS" w:hAnsi="Arial" w:cs="Arial"/>
          <w:sz w:val="24"/>
          <w:szCs w:val="24"/>
          <w:lang w:eastAsia="es-ES"/>
        </w:rPr>
        <w:t xml:space="preserve"> formulado por el ahora parte recurrente, en el sentido de que tipificación de la información solicitada con el carácter de confidencial afectó la legalidad estricta que es preciso observar al restringir el </w:t>
      </w:r>
      <w:r w:rsidRPr="00084EFD">
        <w:rPr>
          <w:rFonts w:ascii="Arial" w:eastAsia="Arial Unicode MS" w:hAnsi="Arial" w:cs="Arial"/>
          <w:sz w:val="24"/>
          <w:szCs w:val="24"/>
          <w:lang w:eastAsia="es-ES"/>
        </w:rPr>
        <w:lastRenderedPageBreak/>
        <w:t xml:space="preserve">derecho de acceso a la información, lo procedente será </w:t>
      </w:r>
      <w:r w:rsidRPr="00084EFD">
        <w:rPr>
          <w:rFonts w:ascii="Arial" w:eastAsia="Arial Unicode MS" w:hAnsi="Arial" w:cs="Arial"/>
          <w:b/>
          <w:bCs/>
          <w:sz w:val="24"/>
          <w:szCs w:val="24"/>
          <w:lang w:eastAsia="es-ES"/>
        </w:rPr>
        <w:t>REVOCAR</w:t>
      </w:r>
      <w:r w:rsidRPr="00084EFD">
        <w:rPr>
          <w:rFonts w:ascii="Arial" w:eastAsia="Arial Unicode MS" w:hAnsi="Arial" w:cs="Arial"/>
          <w:sz w:val="24"/>
          <w:szCs w:val="24"/>
          <w:lang w:eastAsia="es-ES"/>
        </w:rPr>
        <w:t xml:space="preserve"> </w:t>
      </w:r>
      <w:r w:rsidRPr="00084EFD">
        <w:rPr>
          <w:rFonts w:ascii="Arial" w:eastAsia="Arial Unicode MS" w:hAnsi="Arial" w:cs="Arial"/>
          <w:b/>
          <w:sz w:val="24"/>
          <w:szCs w:val="24"/>
          <w:lang w:eastAsia="es-ES"/>
        </w:rPr>
        <w:t xml:space="preserve">la respuesta otorgada por el </w:t>
      </w:r>
      <w:r w:rsidRPr="00084EFD">
        <w:rPr>
          <w:rFonts w:ascii="Arial" w:eastAsia="Arial Unicode MS" w:hAnsi="Arial" w:cs="Arial"/>
          <w:b/>
          <w:bCs/>
          <w:sz w:val="24"/>
          <w:szCs w:val="24"/>
          <w:lang w:eastAsia="es-ES"/>
        </w:rPr>
        <w:t>sujeto obligado</w:t>
      </w:r>
      <w:r w:rsidRPr="00084EFD">
        <w:rPr>
          <w:rFonts w:ascii="Arial" w:eastAsia="Arial Unicode MS" w:hAnsi="Arial" w:cs="Arial"/>
          <w:sz w:val="24"/>
          <w:szCs w:val="24"/>
          <w:lang w:eastAsia="es-ES"/>
        </w:rPr>
        <w:t xml:space="preserve"> y ordenar por ende, la emisión de una respuesta, en la que se siga el procedimiento que refieren los artículos 114, 119, 120, 123, 128, 138, 142, 153 y 159 de la Ley de Transparencia y Acceso a la Información Pública, así como lo previsto en los </w:t>
      </w:r>
      <w:r w:rsidRPr="00084EFD">
        <w:rPr>
          <w:rFonts w:ascii="Arial" w:eastAsia="Arial Unicode MS" w:hAnsi="Arial" w:cs="Arial"/>
          <w:sz w:val="24"/>
          <w:szCs w:val="24"/>
          <w:lang w:val="es-ES_tradnl" w:eastAsia="es-ES"/>
        </w:rPr>
        <w:t xml:space="preserve">Lineamientos Generales en Materia de Clasificación y Desclasificación de la Información, así como para la Elaboración de Versiones Públicas, </w:t>
      </w:r>
      <w:r w:rsidRPr="00084EFD">
        <w:rPr>
          <w:rFonts w:ascii="Arial" w:eastAsia="Arial Unicode MS" w:hAnsi="Arial" w:cs="Arial"/>
          <w:b/>
          <w:sz w:val="24"/>
          <w:szCs w:val="24"/>
          <w:u w:val="single"/>
          <w:lang w:eastAsia="es-ES"/>
        </w:rPr>
        <w:t>resolviendo lo que en derecho corresponde, atendiendo con total libertad de jurisdicción, la totalidad de las consideraciones vertidas en la presente resolución.</w:t>
      </w:r>
    </w:p>
    <w:p w14:paraId="1914D637" w14:textId="77777777" w:rsidR="00D45EEA" w:rsidRDefault="00D45EEA" w:rsidP="006C3BD5">
      <w:pPr>
        <w:pStyle w:val="Estilo"/>
        <w:spacing w:line="360" w:lineRule="auto"/>
        <w:ind w:firstLine="708"/>
        <w:rPr>
          <w:rFonts w:cs="Arial"/>
          <w:b/>
          <w:szCs w:val="24"/>
        </w:rPr>
      </w:pPr>
    </w:p>
    <w:p w14:paraId="33140DC1" w14:textId="27523DAD" w:rsidR="006C3BD5" w:rsidRPr="00B22A82" w:rsidRDefault="00084EFD" w:rsidP="006C3BD5">
      <w:pPr>
        <w:pStyle w:val="Estilo"/>
        <w:spacing w:line="360" w:lineRule="auto"/>
        <w:ind w:firstLine="708"/>
        <w:rPr>
          <w:rFonts w:cs="Arial"/>
          <w:szCs w:val="24"/>
        </w:rPr>
      </w:pPr>
      <w:r>
        <w:rPr>
          <w:rFonts w:cs="Arial"/>
          <w:b/>
          <w:szCs w:val="24"/>
        </w:rPr>
        <w:t>8</w:t>
      </w:r>
      <w:r w:rsidR="006C3BD5" w:rsidRPr="00B86114">
        <w:rPr>
          <w:rFonts w:cs="Arial"/>
          <w:b/>
          <w:szCs w:val="24"/>
        </w:rPr>
        <w:t xml:space="preserve">.1. Precisiones de esta resolución. </w:t>
      </w:r>
      <w:r w:rsidR="006C3BD5">
        <w:rPr>
          <w:rFonts w:cs="Arial"/>
          <w:szCs w:val="24"/>
        </w:rPr>
        <w:t>C</w:t>
      </w:r>
      <w:r w:rsidR="006C3BD5" w:rsidRPr="00B86114">
        <w:rPr>
          <w:rFonts w:cs="Arial"/>
          <w:szCs w:val="24"/>
        </w:rPr>
        <w:t xml:space="preserve">on base en las consideraciones vertidas en el considerando </w:t>
      </w:r>
      <w:r>
        <w:rPr>
          <w:rFonts w:cs="Arial"/>
          <w:b/>
          <w:szCs w:val="24"/>
        </w:rPr>
        <w:t>SEPTIMO</w:t>
      </w:r>
      <w:r w:rsidR="006C3BD5" w:rsidRPr="00B86114">
        <w:rPr>
          <w:rFonts w:cs="Arial"/>
          <w:szCs w:val="24"/>
        </w:rPr>
        <w:t xml:space="preserve"> de la presente determinación, el </w:t>
      </w:r>
      <w:r w:rsidR="006C3BD5">
        <w:rPr>
          <w:rFonts w:cs="Arial"/>
          <w:szCs w:val="24"/>
        </w:rPr>
        <w:t xml:space="preserve">Sujeto </w:t>
      </w:r>
      <w:r w:rsidR="006C3BD5" w:rsidRPr="00B86114">
        <w:rPr>
          <w:rFonts w:cs="Arial"/>
          <w:szCs w:val="24"/>
        </w:rPr>
        <w:t>Obligado</w:t>
      </w:r>
      <w:r w:rsidR="006C3BD5">
        <w:rPr>
          <w:rFonts w:cs="Arial"/>
          <w:szCs w:val="24"/>
        </w:rPr>
        <w:t xml:space="preserve"> </w:t>
      </w:r>
      <w:r w:rsidR="006C3BD5">
        <w:rPr>
          <w:rFonts w:cs="Arial"/>
          <w:bCs/>
          <w:szCs w:val="24"/>
        </w:rPr>
        <w:t xml:space="preserve">deberá emitir </w:t>
      </w:r>
      <w:r w:rsidR="006C3BD5">
        <w:rPr>
          <w:rFonts w:cs="Arial"/>
          <w:szCs w:val="24"/>
        </w:rPr>
        <w:t xml:space="preserve">una respuesta, en la que se siga el procedimiento que refieren los artículos 114, </w:t>
      </w:r>
      <w:r w:rsidR="006C3BD5" w:rsidRPr="00B22A82">
        <w:rPr>
          <w:rFonts w:cs="Arial"/>
          <w:szCs w:val="24"/>
        </w:rPr>
        <w:t xml:space="preserve">119, 120, 123, 128, 138, 142 y 159 de la Ley de Transparencia y Acceso a la Información Pública, así como lo previsto en los </w:t>
      </w:r>
      <w:r w:rsidR="006C3BD5" w:rsidRPr="00B22A82">
        <w:rPr>
          <w:rFonts w:cs="Arial"/>
          <w:szCs w:val="24"/>
          <w:lang w:val="es-ES_tradnl"/>
        </w:rPr>
        <w:t>Lineamientos Generales en Materia de Clasificación y Desclasificación de la Información, así como para la Elaboración de Versiones Públicas</w:t>
      </w:r>
      <w:r w:rsidR="006C3BD5">
        <w:rPr>
          <w:rFonts w:cs="Arial"/>
          <w:szCs w:val="24"/>
          <w:lang w:val="es-ES_tradnl"/>
        </w:rPr>
        <w:t xml:space="preserve">, </w:t>
      </w:r>
      <w:r w:rsidR="006C3BD5" w:rsidRPr="004802D0">
        <w:rPr>
          <w:rFonts w:cs="Arial"/>
          <w:szCs w:val="24"/>
        </w:rPr>
        <w:t>resolviendo lo que en derecho corresponde</w:t>
      </w:r>
      <w:r w:rsidR="006C3BD5">
        <w:rPr>
          <w:rFonts w:cs="Arial"/>
          <w:szCs w:val="24"/>
        </w:rPr>
        <w:t xml:space="preserve">, atendiendo con </w:t>
      </w:r>
      <w:r w:rsidR="006C3BD5" w:rsidRPr="004802D0">
        <w:rPr>
          <w:rFonts w:cs="Arial"/>
          <w:szCs w:val="24"/>
        </w:rPr>
        <w:t>total libertad de jurisdicción</w:t>
      </w:r>
      <w:r w:rsidR="006C3BD5">
        <w:rPr>
          <w:rFonts w:cs="Arial"/>
          <w:szCs w:val="24"/>
        </w:rPr>
        <w:t>,</w:t>
      </w:r>
      <w:r w:rsidR="006C3BD5" w:rsidRPr="00B22A82">
        <w:rPr>
          <w:rFonts w:cs="Arial"/>
          <w:szCs w:val="24"/>
        </w:rPr>
        <w:t xml:space="preserve"> la totalidad de las consideraciones vertidas en la presente resolución.</w:t>
      </w:r>
    </w:p>
    <w:p w14:paraId="23607A3C" w14:textId="77777777" w:rsidR="006C3BD5" w:rsidRDefault="006C3BD5" w:rsidP="006C3BD5">
      <w:pPr>
        <w:autoSpaceDE w:val="0"/>
        <w:autoSpaceDN w:val="0"/>
        <w:adjustRightInd w:val="0"/>
        <w:spacing w:after="0" w:line="360" w:lineRule="auto"/>
        <w:ind w:firstLine="708"/>
        <w:jc w:val="both"/>
        <w:rPr>
          <w:rFonts w:ascii="Arial" w:hAnsi="Arial" w:cs="Arial"/>
          <w:sz w:val="24"/>
          <w:szCs w:val="24"/>
        </w:rPr>
      </w:pPr>
    </w:p>
    <w:p w14:paraId="473E1076" w14:textId="08ADCD71" w:rsidR="006C3BD5" w:rsidRDefault="006C3BD5" w:rsidP="006C3BD5">
      <w:pPr>
        <w:autoSpaceDE w:val="0"/>
        <w:autoSpaceDN w:val="0"/>
        <w:adjustRightInd w:val="0"/>
        <w:spacing w:after="0" w:line="360" w:lineRule="auto"/>
        <w:jc w:val="both"/>
        <w:rPr>
          <w:rFonts w:ascii="Arial" w:hAnsi="Arial" w:cs="Arial"/>
          <w:sz w:val="24"/>
          <w:lang w:val="es-ES"/>
        </w:rPr>
      </w:pPr>
      <w:r w:rsidRPr="00B86114">
        <w:rPr>
          <w:rFonts w:ascii="Arial" w:hAnsi="Arial" w:cs="Arial"/>
          <w:b/>
          <w:sz w:val="24"/>
          <w:szCs w:val="24"/>
        </w:rPr>
        <w:tab/>
      </w:r>
      <w:r w:rsidR="00084EFD">
        <w:rPr>
          <w:rFonts w:ascii="Arial" w:hAnsi="Arial" w:cs="Arial"/>
          <w:b/>
          <w:sz w:val="24"/>
          <w:szCs w:val="24"/>
        </w:rPr>
        <w:t>8</w:t>
      </w:r>
      <w:r w:rsidRPr="000F7309">
        <w:rPr>
          <w:rFonts w:ascii="Arial" w:hAnsi="Arial" w:cs="Arial"/>
          <w:b/>
          <w:sz w:val="24"/>
          <w:szCs w:val="24"/>
        </w:rPr>
        <w:t xml:space="preserve">.2. Modalidad de entrega. </w:t>
      </w:r>
      <w:r w:rsidRPr="000F7309">
        <w:rPr>
          <w:rFonts w:ascii="Arial" w:hAnsi="Arial" w:cs="Arial"/>
          <w:sz w:val="24"/>
        </w:rPr>
        <w:t>En cuanto a la modalidad de entrega, t</w:t>
      </w:r>
      <w:r>
        <w:rPr>
          <w:rFonts w:ascii="Arial" w:hAnsi="Arial" w:cs="Arial"/>
          <w:sz w:val="24"/>
          <w:lang w:val="es-ES"/>
        </w:rPr>
        <w:t>oda vez que la</w:t>
      </w:r>
      <w:r w:rsidRPr="000F7309">
        <w:rPr>
          <w:rFonts w:ascii="Arial" w:hAnsi="Arial" w:cs="Arial"/>
          <w:sz w:val="24"/>
          <w:lang w:val="es-ES"/>
        </w:rPr>
        <w:t xml:space="preserve"> recurrente eligió como modalidad de entrega electrónica, el Obligado deberá realizar la entrega a través del correo electrónico designado por el ahora recurrente. </w:t>
      </w:r>
    </w:p>
    <w:p w14:paraId="330A4F57" w14:textId="77777777" w:rsidR="006C3BD5" w:rsidRPr="000F7309" w:rsidRDefault="006C3BD5" w:rsidP="006C3BD5">
      <w:pPr>
        <w:autoSpaceDE w:val="0"/>
        <w:autoSpaceDN w:val="0"/>
        <w:adjustRightInd w:val="0"/>
        <w:spacing w:after="0" w:line="360" w:lineRule="auto"/>
        <w:jc w:val="both"/>
        <w:rPr>
          <w:rFonts w:ascii="Arial" w:hAnsi="Arial" w:cs="Arial"/>
          <w:sz w:val="24"/>
          <w:lang w:val="es-ES"/>
        </w:rPr>
      </w:pPr>
    </w:p>
    <w:p w14:paraId="2D929998" w14:textId="3E8BEB00" w:rsidR="006C3BD5" w:rsidRPr="00B86114" w:rsidRDefault="00084EFD" w:rsidP="006C3BD5">
      <w:pPr>
        <w:autoSpaceDE w:val="0"/>
        <w:autoSpaceDN w:val="0"/>
        <w:adjustRightInd w:val="0"/>
        <w:spacing w:after="0" w:line="360" w:lineRule="auto"/>
        <w:ind w:firstLine="708"/>
        <w:jc w:val="both"/>
        <w:rPr>
          <w:rFonts w:ascii="Arial" w:hAnsi="Arial" w:cs="Arial"/>
          <w:sz w:val="24"/>
          <w:szCs w:val="24"/>
        </w:rPr>
      </w:pPr>
      <w:r>
        <w:rPr>
          <w:rFonts w:ascii="Arial" w:hAnsi="Arial" w:cs="Arial"/>
          <w:b/>
          <w:sz w:val="24"/>
          <w:szCs w:val="24"/>
        </w:rPr>
        <w:t>8</w:t>
      </w:r>
      <w:r w:rsidR="006C3BD5" w:rsidRPr="00B86114">
        <w:rPr>
          <w:rFonts w:ascii="Arial" w:hAnsi="Arial" w:cs="Arial"/>
          <w:b/>
          <w:sz w:val="24"/>
          <w:szCs w:val="24"/>
        </w:rPr>
        <w:t xml:space="preserve">.3. Plazo para el cumplimento de esta resolución. </w:t>
      </w:r>
      <w:r w:rsidR="006C3BD5" w:rsidRPr="00B86114">
        <w:rPr>
          <w:rFonts w:ascii="Arial" w:hAnsi="Arial" w:cs="Arial"/>
          <w:sz w:val="24"/>
          <w:szCs w:val="24"/>
        </w:rPr>
        <w:t xml:space="preserve">Con fundamento en el artículo 175 de la Ley de Transparencia y Acceso a la Información Pública del Estado, este Órgano Colegiado le concede al Sujeto Obligado el plazo de diez días </w:t>
      </w:r>
      <w:r w:rsidR="006C3BD5" w:rsidRPr="00B86114">
        <w:rPr>
          <w:rFonts w:ascii="Arial" w:hAnsi="Arial" w:cs="Arial"/>
          <w:bCs/>
          <w:sz w:val="24"/>
          <w:szCs w:val="24"/>
        </w:rPr>
        <w:t>contados a partir del día siguiente de su notificación,</w:t>
      </w:r>
      <w:r w:rsidR="006C3BD5" w:rsidRPr="00B86114">
        <w:rPr>
          <w:rFonts w:ascii="Arial" w:hAnsi="Arial" w:cs="Arial"/>
          <w:sz w:val="24"/>
          <w:szCs w:val="24"/>
        </w:rPr>
        <w:t xml:space="preserve"> para que dé cumplimiento a lo ordenado en la presente resolución y realice la entrega de la información al Recurrente, a través del correo electrónico señalado por la persona recurrente.</w:t>
      </w:r>
    </w:p>
    <w:p w14:paraId="6C1B1FA7" w14:textId="77777777" w:rsidR="006C3BD5" w:rsidRPr="00B86114" w:rsidRDefault="006C3BD5" w:rsidP="006C3BD5">
      <w:pPr>
        <w:autoSpaceDE w:val="0"/>
        <w:autoSpaceDN w:val="0"/>
        <w:adjustRightInd w:val="0"/>
        <w:spacing w:after="0" w:line="360" w:lineRule="auto"/>
        <w:jc w:val="both"/>
        <w:rPr>
          <w:rFonts w:ascii="Arial" w:hAnsi="Arial" w:cs="Arial"/>
          <w:b/>
          <w:sz w:val="24"/>
          <w:szCs w:val="24"/>
        </w:rPr>
      </w:pPr>
    </w:p>
    <w:p w14:paraId="679A35CA" w14:textId="4BE00440" w:rsidR="006C3BD5" w:rsidRPr="00B86114" w:rsidRDefault="006C3BD5" w:rsidP="006C3BD5">
      <w:pPr>
        <w:autoSpaceDE w:val="0"/>
        <w:autoSpaceDN w:val="0"/>
        <w:adjustRightInd w:val="0"/>
        <w:spacing w:after="0" w:line="360" w:lineRule="auto"/>
        <w:jc w:val="both"/>
        <w:rPr>
          <w:rFonts w:ascii="Arial" w:hAnsi="Arial" w:cs="Arial"/>
          <w:sz w:val="24"/>
          <w:szCs w:val="24"/>
        </w:rPr>
      </w:pPr>
      <w:r w:rsidRPr="00B86114">
        <w:rPr>
          <w:rFonts w:ascii="Arial" w:hAnsi="Arial" w:cs="Arial"/>
          <w:b/>
          <w:sz w:val="24"/>
          <w:szCs w:val="24"/>
        </w:rPr>
        <w:tab/>
      </w:r>
      <w:r w:rsidR="00084EFD">
        <w:rPr>
          <w:rFonts w:ascii="Arial" w:hAnsi="Arial" w:cs="Arial"/>
          <w:b/>
          <w:sz w:val="24"/>
          <w:szCs w:val="24"/>
        </w:rPr>
        <w:t>8</w:t>
      </w:r>
      <w:r w:rsidRPr="00B86114">
        <w:rPr>
          <w:rFonts w:ascii="Arial" w:hAnsi="Arial" w:cs="Arial"/>
          <w:b/>
          <w:sz w:val="24"/>
          <w:szCs w:val="24"/>
        </w:rPr>
        <w:t xml:space="preserve">.4. Informe sobre el cumplimento a la resolución. </w:t>
      </w:r>
      <w:r w:rsidRPr="00B86114">
        <w:rPr>
          <w:rFonts w:ascii="Arial" w:hAnsi="Arial" w:cs="Arial"/>
          <w:sz w:val="24"/>
          <w:szCs w:val="24"/>
        </w:rPr>
        <w:t xml:space="preserve">De conformidad con lo previsto en el artículo 177, segundo párrafo de la Ley de Transparencia y </w:t>
      </w:r>
      <w:r w:rsidRPr="00B86114">
        <w:rPr>
          <w:rFonts w:ascii="Arial" w:hAnsi="Arial" w:cs="Arial"/>
          <w:sz w:val="24"/>
          <w:szCs w:val="24"/>
        </w:rPr>
        <w:lastRenderedPageBreak/>
        <w:t>Acceso a la Información Pública del Estado, el Sujeto Obligado deberá de informar a este Organismo Autónomo, el cumplimento a la presente resolución en un plazo que no deberá de exceder de tres días siguientes a los d</w:t>
      </w:r>
      <w:r>
        <w:rPr>
          <w:rFonts w:ascii="Arial" w:hAnsi="Arial" w:cs="Arial"/>
          <w:sz w:val="24"/>
          <w:szCs w:val="24"/>
        </w:rPr>
        <w:t xml:space="preserve">iez </w:t>
      </w:r>
      <w:r w:rsidR="00084EFD">
        <w:rPr>
          <w:rFonts w:ascii="Arial" w:hAnsi="Arial" w:cs="Arial"/>
          <w:sz w:val="24"/>
          <w:szCs w:val="24"/>
        </w:rPr>
        <w:t>días otorgados en el punto 8</w:t>
      </w:r>
      <w:r>
        <w:rPr>
          <w:rFonts w:ascii="Arial" w:hAnsi="Arial" w:cs="Arial"/>
          <w:sz w:val="24"/>
          <w:szCs w:val="24"/>
        </w:rPr>
        <w:t>.3 del Considerando Noveno</w:t>
      </w:r>
      <w:r w:rsidRPr="00B86114">
        <w:rPr>
          <w:rFonts w:ascii="Arial" w:hAnsi="Arial" w:cs="Arial"/>
          <w:sz w:val="24"/>
          <w:szCs w:val="24"/>
        </w:rPr>
        <w:t xml:space="preserve"> de la presente determinación. </w:t>
      </w:r>
      <w:r>
        <w:rPr>
          <w:rFonts w:ascii="Arial" w:hAnsi="Arial" w:cs="Arial"/>
          <w:sz w:val="24"/>
          <w:szCs w:val="24"/>
        </w:rPr>
        <w:t xml:space="preserve"> </w:t>
      </w:r>
      <w:r w:rsidRPr="00B86114">
        <w:rPr>
          <w:rFonts w:ascii="Arial" w:hAnsi="Arial" w:cs="Arial"/>
          <w:sz w:val="24"/>
          <w:szCs w:val="24"/>
        </w:rPr>
        <w:t>Dicho plazo es concedido para que el Sujeto Obligado entregue la información para que acompañe los documentos necesarios que acrediten el cumplimento a lo aquí ordenado.</w:t>
      </w:r>
    </w:p>
    <w:p w14:paraId="220E646C" w14:textId="77777777" w:rsidR="006C3BD5" w:rsidRPr="00B86114" w:rsidRDefault="006C3BD5" w:rsidP="006C3BD5">
      <w:pPr>
        <w:autoSpaceDE w:val="0"/>
        <w:autoSpaceDN w:val="0"/>
        <w:adjustRightInd w:val="0"/>
        <w:spacing w:after="0" w:line="360" w:lineRule="auto"/>
        <w:jc w:val="both"/>
        <w:rPr>
          <w:rFonts w:ascii="Arial" w:hAnsi="Arial" w:cs="Arial"/>
          <w:b/>
          <w:sz w:val="24"/>
          <w:szCs w:val="24"/>
        </w:rPr>
      </w:pPr>
    </w:p>
    <w:p w14:paraId="1D2F3524" w14:textId="686DEC33" w:rsidR="006C3BD5" w:rsidRPr="00B86114" w:rsidRDefault="006C3BD5" w:rsidP="006C3BD5">
      <w:pPr>
        <w:autoSpaceDE w:val="0"/>
        <w:autoSpaceDN w:val="0"/>
        <w:adjustRightInd w:val="0"/>
        <w:spacing w:after="0" w:line="360" w:lineRule="auto"/>
        <w:jc w:val="both"/>
        <w:rPr>
          <w:rFonts w:ascii="Arial" w:hAnsi="Arial" w:cs="Arial"/>
          <w:sz w:val="24"/>
          <w:szCs w:val="24"/>
        </w:rPr>
      </w:pPr>
      <w:r w:rsidRPr="00B86114">
        <w:rPr>
          <w:rFonts w:ascii="Arial" w:hAnsi="Arial" w:cs="Arial"/>
          <w:b/>
          <w:sz w:val="24"/>
          <w:szCs w:val="24"/>
        </w:rPr>
        <w:tab/>
      </w:r>
      <w:r w:rsidR="00084EFD">
        <w:rPr>
          <w:rFonts w:ascii="Arial" w:hAnsi="Arial" w:cs="Arial"/>
          <w:b/>
          <w:sz w:val="24"/>
          <w:szCs w:val="24"/>
        </w:rPr>
        <w:t>8</w:t>
      </w:r>
      <w:r w:rsidRPr="00B86114">
        <w:rPr>
          <w:rFonts w:ascii="Arial" w:hAnsi="Arial" w:cs="Arial"/>
          <w:b/>
          <w:sz w:val="24"/>
          <w:szCs w:val="24"/>
        </w:rPr>
        <w:t xml:space="preserve">.5. Ampliación del plazo para dar cumplimiento a la resolución. </w:t>
      </w:r>
      <w:r w:rsidRPr="00B86114">
        <w:rPr>
          <w:rFonts w:ascii="Arial" w:hAnsi="Arial" w:cs="Arial"/>
          <w:sz w:val="24"/>
          <w:szCs w:val="24"/>
        </w:rPr>
        <w:t xml:space="preserve">Excepcionalmente, el plazo señalado en el artículo 175 de la Ley de Transparencia y Acceso a la Información Pública del Estado, podrá ampliarse cuando el asunto así lo requiera, previa fundamentación y motivación por parte del Sujeto Obligado, dicha solicitud deberá presentarse, a más tardar, </w:t>
      </w:r>
      <w:r w:rsidRPr="00B86114">
        <w:rPr>
          <w:rFonts w:ascii="Arial" w:hAnsi="Arial" w:cs="Arial"/>
          <w:sz w:val="24"/>
          <w:szCs w:val="24"/>
          <w:u w:val="single"/>
        </w:rPr>
        <w:t>dentro de los primeros tres días del plazo otorgado para el cumplimiento</w:t>
      </w:r>
      <w:r w:rsidRPr="00B86114">
        <w:rPr>
          <w:rFonts w:ascii="Arial" w:hAnsi="Arial" w:cs="Arial"/>
          <w:sz w:val="24"/>
          <w:szCs w:val="24"/>
        </w:rPr>
        <w:t>, a efecto de que este Organismo Autónomo resuelva sobre la procedencia de la misma; ello así conforme lo establecido en el numeral 183 de la normatividad en cita.</w:t>
      </w:r>
    </w:p>
    <w:p w14:paraId="37165881" w14:textId="77777777" w:rsidR="006C3BD5" w:rsidRPr="00B86114" w:rsidRDefault="006C3BD5" w:rsidP="006C3BD5">
      <w:pPr>
        <w:autoSpaceDE w:val="0"/>
        <w:autoSpaceDN w:val="0"/>
        <w:adjustRightInd w:val="0"/>
        <w:spacing w:after="0" w:line="360" w:lineRule="auto"/>
        <w:jc w:val="both"/>
        <w:rPr>
          <w:rFonts w:ascii="Arial" w:hAnsi="Arial" w:cs="Arial"/>
          <w:sz w:val="24"/>
          <w:szCs w:val="24"/>
        </w:rPr>
      </w:pPr>
    </w:p>
    <w:p w14:paraId="6F4E3011" w14:textId="66F3F04A" w:rsidR="006C3BD5" w:rsidRPr="00B86114" w:rsidRDefault="00084EFD" w:rsidP="006C3BD5">
      <w:pPr>
        <w:autoSpaceDE w:val="0"/>
        <w:autoSpaceDN w:val="0"/>
        <w:adjustRightInd w:val="0"/>
        <w:spacing w:after="0" w:line="360" w:lineRule="auto"/>
        <w:ind w:firstLine="708"/>
        <w:jc w:val="both"/>
        <w:rPr>
          <w:rFonts w:ascii="Arial" w:hAnsi="Arial" w:cs="Arial"/>
          <w:sz w:val="24"/>
          <w:szCs w:val="24"/>
        </w:rPr>
      </w:pPr>
      <w:r>
        <w:rPr>
          <w:rFonts w:ascii="Arial" w:hAnsi="Arial" w:cs="Arial"/>
          <w:b/>
          <w:sz w:val="24"/>
          <w:szCs w:val="24"/>
        </w:rPr>
        <w:t>8</w:t>
      </w:r>
      <w:r w:rsidR="006C3BD5" w:rsidRPr="00B86114">
        <w:rPr>
          <w:rFonts w:ascii="Arial" w:hAnsi="Arial" w:cs="Arial"/>
          <w:b/>
          <w:sz w:val="24"/>
          <w:szCs w:val="24"/>
        </w:rPr>
        <w:t xml:space="preserve">.6. Medida de apremio en caso de incumplimiento a la resolución. </w:t>
      </w:r>
      <w:r w:rsidR="006C3BD5" w:rsidRPr="00B86114">
        <w:rPr>
          <w:rFonts w:ascii="Arial" w:hAnsi="Arial" w:cs="Arial"/>
          <w:sz w:val="24"/>
          <w:szCs w:val="24"/>
        </w:rPr>
        <w:t xml:space="preserve">Esta Comisión Estatal de Garantía de Acceso a la Información Pública apercibe al Sujeto Obligado que, en caso de no acatar la presente resolución, podrá ser acreedor de alguna de las medidas de apremio establecidas en el artículo 190 de la Ley de Transparencia y Acceso a la Información Pública del Estado; ello así, en virtud de que este órgano colegiado debe de garantizar el debido cumplimiento al derecho humano de acceso a la información pública.  </w:t>
      </w:r>
    </w:p>
    <w:p w14:paraId="2596E8E6" w14:textId="77777777" w:rsidR="006C3BD5" w:rsidRPr="00B86114" w:rsidRDefault="006C3BD5" w:rsidP="006C3BD5">
      <w:pPr>
        <w:autoSpaceDE w:val="0"/>
        <w:autoSpaceDN w:val="0"/>
        <w:adjustRightInd w:val="0"/>
        <w:spacing w:after="0" w:line="360" w:lineRule="auto"/>
        <w:jc w:val="both"/>
        <w:rPr>
          <w:rFonts w:ascii="Arial" w:hAnsi="Arial" w:cs="Arial"/>
          <w:b/>
          <w:sz w:val="24"/>
          <w:szCs w:val="24"/>
        </w:rPr>
      </w:pPr>
    </w:p>
    <w:p w14:paraId="2971889D" w14:textId="787632ED" w:rsidR="006C3BD5" w:rsidRPr="00B86114" w:rsidRDefault="006C3BD5" w:rsidP="006C3BD5">
      <w:pPr>
        <w:autoSpaceDE w:val="0"/>
        <w:autoSpaceDN w:val="0"/>
        <w:adjustRightInd w:val="0"/>
        <w:spacing w:after="0" w:line="360" w:lineRule="auto"/>
        <w:jc w:val="both"/>
        <w:rPr>
          <w:rFonts w:ascii="Arial" w:hAnsi="Arial" w:cs="Arial"/>
          <w:b/>
          <w:sz w:val="24"/>
          <w:szCs w:val="24"/>
        </w:rPr>
      </w:pPr>
      <w:r w:rsidRPr="00B86114">
        <w:rPr>
          <w:rFonts w:ascii="Arial" w:hAnsi="Arial" w:cs="Arial"/>
          <w:b/>
          <w:sz w:val="24"/>
          <w:szCs w:val="24"/>
        </w:rPr>
        <w:tab/>
      </w:r>
      <w:r w:rsidR="00084EFD">
        <w:rPr>
          <w:rFonts w:ascii="Arial" w:hAnsi="Arial" w:cs="Arial"/>
          <w:b/>
          <w:sz w:val="24"/>
          <w:szCs w:val="24"/>
        </w:rPr>
        <w:t>8</w:t>
      </w:r>
      <w:r w:rsidRPr="00B86114">
        <w:rPr>
          <w:rFonts w:ascii="Arial" w:hAnsi="Arial" w:cs="Arial"/>
          <w:b/>
          <w:sz w:val="24"/>
          <w:szCs w:val="24"/>
        </w:rPr>
        <w:t xml:space="preserve">.7. Medio de impugnación. </w:t>
      </w:r>
      <w:r w:rsidRPr="00B86114">
        <w:rPr>
          <w:rFonts w:ascii="Arial" w:hAnsi="Arial" w:cs="Arial"/>
          <w:sz w:val="24"/>
          <w:szCs w:val="24"/>
        </w:rPr>
        <w:t>Se hace de conocimiento del Recurrente que</w:t>
      </w:r>
      <w:r>
        <w:rPr>
          <w:rFonts w:ascii="Arial" w:hAnsi="Arial" w:cs="Arial"/>
          <w:sz w:val="24"/>
          <w:szCs w:val="24"/>
        </w:rPr>
        <w:t>,</w:t>
      </w:r>
      <w:r w:rsidRPr="00B86114">
        <w:rPr>
          <w:rFonts w:ascii="Arial" w:hAnsi="Arial" w:cs="Arial"/>
          <w:sz w:val="24"/>
          <w:szCs w:val="24"/>
        </w:rPr>
        <w:t xml:space="preserve"> en caso de no estar de acuerdo con los términos de la resolución dictada por este Organismo Autónomo, podrá optar por acudir ante el Poder Judicial de la Federación</w:t>
      </w:r>
      <w:r>
        <w:rPr>
          <w:rFonts w:ascii="Arial" w:hAnsi="Arial" w:cs="Arial"/>
          <w:sz w:val="24"/>
          <w:szCs w:val="24"/>
        </w:rPr>
        <w:t xml:space="preserve">. </w:t>
      </w:r>
    </w:p>
    <w:p w14:paraId="0392A656" w14:textId="77777777" w:rsidR="006C3BD5" w:rsidRPr="00B86114" w:rsidRDefault="006C3BD5" w:rsidP="006C3BD5">
      <w:pPr>
        <w:autoSpaceDE w:val="0"/>
        <w:autoSpaceDN w:val="0"/>
        <w:adjustRightInd w:val="0"/>
        <w:spacing w:after="0" w:line="360" w:lineRule="auto"/>
        <w:jc w:val="both"/>
        <w:rPr>
          <w:rFonts w:ascii="Arial" w:hAnsi="Arial" w:cs="Arial"/>
          <w:b/>
          <w:sz w:val="24"/>
          <w:szCs w:val="24"/>
        </w:rPr>
      </w:pPr>
      <w:r w:rsidRPr="00B86114">
        <w:rPr>
          <w:rFonts w:ascii="Arial" w:hAnsi="Arial" w:cs="Arial"/>
          <w:b/>
          <w:sz w:val="24"/>
          <w:szCs w:val="24"/>
        </w:rPr>
        <w:tab/>
      </w:r>
    </w:p>
    <w:p w14:paraId="2C03E6AB" w14:textId="68711F87" w:rsidR="006C3BD5" w:rsidRPr="00B86114" w:rsidRDefault="006C3BD5" w:rsidP="006C3BD5">
      <w:pPr>
        <w:autoSpaceDE w:val="0"/>
        <w:autoSpaceDN w:val="0"/>
        <w:adjustRightInd w:val="0"/>
        <w:spacing w:after="0" w:line="360" w:lineRule="auto"/>
        <w:jc w:val="both"/>
        <w:rPr>
          <w:rFonts w:ascii="Arial" w:hAnsi="Arial" w:cs="Arial"/>
          <w:sz w:val="24"/>
          <w:szCs w:val="24"/>
        </w:rPr>
      </w:pPr>
      <w:r w:rsidRPr="00B86114">
        <w:rPr>
          <w:rFonts w:ascii="Arial" w:hAnsi="Arial" w:cs="Arial"/>
          <w:b/>
          <w:sz w:val="24"/>
          <w:szCs w:val="24"/>
        </w:rPr>
        <w:tab/>
      </w:r>
      <w:r w:rsidR="00084EFD">
        <w:rPr>
          <w:rFonts w:ascii="Arial" w:hAnsi="Arial" w:cs="Arial"/>
          <w:b/>
          <w:sz w:val="24"/>
          <w:szCs w:val="24"/>
        </w:rPr>
        <w:t>8</w:t>
      </w:r>
      <w:r w:rsidRPr="00B86114">
        <w:rPr>
          <w:rFonts w:ascii="Arial" w:hAnsi="Arial" w:cs="Arial"/>
          <w:b/>
          <w:sz w:val="24"/>
          <w:szCs w:val="24"/>
        </w:rPr>
        <w:t xml:space="preserve">.8. Definitividad. </w:t>
      </w:r>
      <w:r w:rsidRPr="00B86114">
        <w:rPr>
          <w:rFonts w:ascii="Arial" w:hAnsi="Arial" w:cs="Arial"/>
          <w:sz w:val="24"/>
          <w:szCs w:val="24"/>
        </w:rPr>
        <w:t xml:space="preserve">En esta tesitura, se informa a la autoridad responsable que, con base en lo previsto en el numeral 181 de la Ley de la materia, las resoluciones emitidas por este Órgano Colegiado son vinculatorias, definitivas e inatacables para los Sujetos Obligados. </w:t>
      </w:r>
    </w:p>
    <w:p w14:paraId="2CB4F528" w14:textId="77777777" w:rsidR="006C3BD5" w:rsidRPr="00B86114" w:rsidRDefault="006C3BD5" w:rsidP="006C3BD5">
      <w:pPr>
        <w:autoSpaceDE w:val="0"/>
        <w:autoSpaceDN w:val="0"/>
        <w:adjustRightInd w:val="0"/>
        <w:spacing w:after="0" w:line="360" w:lineRule="auto"/>
        <w:jc w:val="both"/>
        <w:rPr>
          <w:rFonts w:ascii="Arial" w:hAnsi="Arial" w:cs="Arial"/>
          <w:b/>
          <w:sz w:val="24"/>
          <w:szCs w:val="24"/>
        </w:rPr>
      </w:pPr>
      <w:r w:rsidRPr="00B86114">
        <w:rPr>
          <w:rFonts w:ascii="Arial" w:hAnsi="Arial" w:cs="Arial"/>
          <w:sz w:val="24"/>
          <w:szCs w:val="24"/>
        </w:rPr>
        <w:tab/>
      </w:r>
    </w:p>
    <w:p w14:paraId="352DBA80" w14:textId="6C206DCB" w:rsidR="006C3BD5" w:rsidRPr="00B86114" w:rsidRDefault="006C3BD5" w:rsidP="006C3BD5">
      <w:pPr>
        <w:autoSpaceDE w:val="0"/>
        <w:autoSpaceDN w:val="0"/>
        <w:adjustRightInd w:val="0"/>
        <w:spacing w:after="0" w:line="360" w:lineRule="auto"/>
        <w:jc w:val="both"/>
        <w:rPr>
          <w:rFonts w:ascii="Arial" w:hAnsi="Arial" w:cs="Arial"/>
          <w:sz w:val="24"/>
          <w:szCs w:val="24"/>
        </w:rPr>
      </w:pPr>
      <w:r w:rsidRPr="00B86114">
        <w:rPr>
          <w:rFonts w:ascii="Arial" w:hAnsi="Arial" w:cs="Arial"/>
          <w:b/>
          <w:sz w:val="24"/>
          <w:szCs w:val="24"/>
        </w:rPr>
        <w:tab/>
      </w:r>
      <w:r w:rsidR="00084EFD">
        <w:rPr>
          <w:rFonts w:ascii="Arial" w:hAnsi="Arial" w:cs="Arial"/>
          <w:b/>
          <w:sz w:val="24"/>
          <w:szCs w:val="24"/>
        </w:rPr>
        <w:t>8</w:t>
      </w:r>
      <w:r w:rsidRPr="00B86114">
        <w:rPr>
          <w:rFonts w:ascii="Arial" w:hAnsi="Arial" w:cs="Arial"/>
          <w:b/>
          <w:sz w:val="24"/>
          <w:szCs w:val="24"/>
        </w:rPr>
        <w:t xml:space="preserve">.9. Ejecutoría. </w:t>
      </w:r>
      <w:r w:rsidRPr="00B86114">
        <w:rPr>
          <w:rFonts w:ascii="Arial" w:hAnsi="Arial" w:cs="Arial"/>
          <w:sz w:val="24"/>
          <w:szCs w:val="24"/>
        </w:rPr>
        <w:t xml:space="preserve">Finalmente, se precisa que la presente resolución causa ejecutoría al día siguiente de su notificación; ello así conforme lo señalado en los numerales 148 de la Ley de Transparencia Local y el diverso 255 fracción III, del Código Procesal Administrativo para el Estado de San Luis Potosí, de aplicación supletoria. </w:t>
      </w:r>
    </w:p>
    <w:p w14:paraId="36589877" w14:textId="77777777" w:rsidR="006C3BD5" w:rsidRPr="00B86114" w:rsidRDefault="006C3BD5" w:rsidP="006C3BD5">
      <w:pPr>
        <w:autoSpaceDE w:val="0"/>
        <w:autoSpaceDN w:val="0"/>
        <w:adjustRightInd w:val="0"/>
        <w:spacing w:after="0" w:line="360" w:lineRule="auto"/>
        <w:jc w:val="both"/>
        <w:rPr>
          <w:rFonts w:ascii="Arial" w:hAnsi="Arial" w:cs="Arial"/>
          <w:sz w:val="24"/>
          <w:szCs w:val="24"/>
        </w:rPr>
      </w:pPr>
      <w:r w:rsidRPr="00B86114">
        <w:rPr>
          <w:rFonts w:ascii="Arial" w:hAnsi="Arial" w:cs="Arial"/>
          <w:sz w:val="24"/>
          <w:szCs w:val="24"/>
        </w:rPr>
        <w:tab/>
      </w:r>
    </w:p>
    <w:p w14:paraId="7FDDF082" w14:textId="77777777" w:rsidR="006C3BD5" w:rsidRPr="00B86114" w:rsidRDefault="006C3BD5" w:rsidP="006C3BD5">
      <w:pPr>
        <w:autoSpaceDE w:val="0"/>
        <w:autoSpaceDN w:val="0"/>
        <w:adjustRightInd w:val="0"/>
        <w:spacing w:after="0" w:line="360" w:lineRule="auto"/>
        <w:jc w:val="both"/>
        <w:rPr>
          <w:rFonts w:ascii="Arial" w:hAnsi="Arial" w:cs="Arial"/>
          <w:sz w:val="24"/>
          <w:szCs w:val="24"/>
        </w:rPr>
      </w:pPr>
      <w:r w:rsidRPr="00B86114">
        <w:rPr>
          <w:rFonts w:ascii="Arial" w:hAnsi="Arial" w:cs="Arial"/>
          <w:b/>
          <w:sz w:val="24"/>
          <w:szCs w:val="24"/>
        </w:rPr>
        <w:tab/>
      </w:r>
      <w:r w:rsidRPr="00B86114">
        <w:rPr>
          <w:rFonts w:ascii="Arial" w:hAnsi="Arial" w:cs="Arial"/>
          <w:sz w:val="24"/>
          <w:szCs w:val="24"/>
        </w:rPr>
        <w:t>Por lo anteriormente expuesto y fundado se:</w:t>
      </w:r>
    </w:p>
    <w:p w14:paraId="00609EEC" w14:textId="77777777" w:rsidR="006C3BD5" w:rsidRPr="00B86114" w:rsidRDefault="006C3BD5" w:rsidP="006C3BD5">
      <w:pPr>
        <w:autoSpaceDE w:val="0"/>
        <w:autoSpaceDN w:val="0"/>
        <w:adjustRightInd w:val="0"/>
        <w:spacing w:after="0" w:line="360" w:lineRule="auto"/>
        <w:jc w:val="both"/>
        <w:rPr>
          <w:rFonts w:ascii="Arial" w:hAnsi="Arial" w:cs="Arial"/>
          <w:sz w:val="24"/>
          <w:szCs w:val="24"/>
        </w:rPr>
      </w:pPr>
    </w:p>
    <w:p w14:paraId="15BD623C" w14:textId="77777777" w:rsidR="006C3BD5" w:rsidRDefault="006C3BD5" w:rsidP="006C3BD5">
      <w:pPr>
        <w:autoSpaceDE w:val="0"/>
        <w:autoSpaceDN w:val="0"/>
        <w:adjustRightInd w:val="0"/>
        <w:spacing w:after="0" w:line="360" w:lineRule="auto"/>
        <w:jc w:val="center"/>
        <w:rPr>
          <w:rFonts w:ascii="Arial" w:hAnsi="Arial" w:cs="Arial"/>
          <w:b/>
          <w:sz w:val="24"/>
          <w:szCs w:val="24"/>
        </w:rPr>
      </w:pPr>
      <w:r w:rsidRPr="00B86114">
        <w:rPr>
          <w:rFonts w:ascii="Arial" w:hAnsi="Arial" w:cs="Arial"/>
          <w:b/>
          <w:sz w:val="24"/>
          <w:szCs w:val="24"/>
        </w:rPr>
        <w:t>R E S U E L V E:</w:t>
      </w:r>
    </w:p>
    <w:p w14:paraId="1D6E4881" w14:textId="77777777" w:rsidR="006C3BD5" w:rsidRPr="00B86114" w:rsidRDefault="006C3BD5" w:rsidP="006C3BD5">
      <w:pPr>
        <w:autoSpaceDE w:val="0"/>
        <w:autoSpaceDN w:val="0"/>
        <w:adjustRightInd w:val="0"/>
        <w:spacing w:after="0" w:line="360" w:lineRule="auto"/>
        <w:jc w:val="center"/>
        <w:rPr>
          <w:rFonts w:ascii="Arial" w:hAnsi="Arial" w:cs="Arial"/>
          <w:b/>
          <w:sz w:val="24"/>
          <w:szCs w:val="24"/>
        </w:rPr>
      </w:pPr>
    </w:p>
    <w:p w14:paraId="2AE04141" w14:textId="353F38CF" w:rsidR="006C3BD5" w:rsidRPr="00B86114" w:rsidRDefault="006C3BD5" w:rsidP="006C3BD5">
      <w:pPr>
        <w:autoSpaceDE w:val="0"/>
        <w:autoSpaceDN w:val="0"/>
        <w:adjustRightInd w:val="0"/>
        <w:spacing w:after="0" w:line="360" w:lineRule="auto"/>
        <w:jc w:val="both"/>
        <w:rPr>
          <w:rFonts w:ascii="Arial" w:hAnsi="Arial" w:cs="Arial"/>
          <w:sz w:val="24"/>
          <w:szCs w:val="24"/>
        </w:rPr>
      </w:pPr>
      <w:r w:rsidRPr="00B86114">
        <w:rPr>
          <w:rFonts w:ascii="Arial" w:hAnsi="Arial" w:cs="Arial"/>
          <w:b/>
          <w:sz w:val="24"/>
          <w:szCs w:val="24"/>
        </w:rPr>
        <w:tab/>
        <w:t xml:space="preserve">ÚNICO. </w:t>
      </w:r>
      <w:r w:rsidRPr="00B86114">
        <w:rPr>
          <w:rFonts w:ascii="Arial" w:hAnsi="Arial" w:cs="Arial"/>
          <w:sz w:val="24"/>
          <w:szCs w:val="24"/>
        </w:rPr>
        <w:t xml:space="preserve">Se </w:t>
      </w:r>
      <w:r w:rsidRPr="00B86114">
        <w:rPr>
          <w:rFonts w:ascii="Arial" w:hAnsi="Arial" w:cs="Arial"/>
          <w:b/>
          <w:sz w:val="24"/>
          <w:szCs w:val="24"/>
        </w:rPr>
        <w:t>REVOCA</w:t>
      </w:r>
      <w:r w:rsidRPr="00B86114">
        <w:rPr>
          <w:rFonts w:ascii="Arial" w:hAnsi="Arial" w:cs="Arial"/>
          <w:sz w:val="24"/>
          <w:szCs w:val="24"/>
        </w:rPr>
        <w:t xml:space="preserve"> la respuesta emitida por el sujeto obligado por las razones y fundamentos expuestos en el considerando</w:t>
      </w:r>
      <w:r w:rsidRPr="00B86114">
        <w:rPr>
          <w:rFonts w:ascii="Arial" w:hAnsi="Arial" w:cs="Arial"/>
          <w:b/>
          <w:sz w:val="24"/>
          <w:szCs w:val="24"/>
        </w:rPr>
        <w:t xml:space="preserve"> </w:t>
      </w:r>
      <w:r w:rsidR="00084EFD">
        <w:rPr>
          <w:rFonts w:ascii="Arial" w:hAnsi="Arial" w:cs="Arial"/>
          <w:b/>
          <w:sz w:val="24"/>
          <w:szCs w:val="24"/>
        </w:rPr>
        <w:t>SÉPTIMO</w:t>
      </w:r>
      <w:r w:rsidRPr="00B86114">
        <w:rPr>
          <w:rFonts w:ascii="Arial" w:hAnsi="Arial" w:cs="Arial"/>
          <w:sz w:val="24"/>
          <w:szCs w:val="24"/>
        </w:rPr>
        <w:t xml:space="preserve"> de la presente resolución.</w:t>
      </w:r>
    </w:p>
    <w:p w14:paraId="78343619" w14:textId="77777777" w:rsidR="006C3BD5" w:rsidRPr="00B86114" w:rsidRDefault="006C3BD5" w:rsidP="006C3BD5">
      <w:pPr>
        <w:autoSpaceDE w:val="0"/>
        <w:autoSpaceDN w:val="0"/>
        <w:adjustRightInd w:val="0"/>
        <w:spacing w:after="0" w:line="360" w:lineRule="auto"/>
        <w:jc w:val="both"/>
        <w:rPr>
          <w:rFonts w:ascii="Arial" w:hAnsi="Arial" w:cs="Arial"/>
          <w:b/>
          <w:sz w:val="24"/>
          <w:szCs w:val="24"/>
        </w:rPr>
      </w:pPr>
    </w:p>
    <w:p w14:paraId="060C54F9" w14:textId="77777777" w:rsidR="006C3BD5" w:rsidRPr="00B86114" w:rsidRDefault="006C3BD5" w:rsidP="006C3BD5">
      <w:pPr>
        <w:autoSpaceDE w:val="0"/>
        <w:autoSpaceDN w:val="0"/>
        <w:adjustRightInd w:val="0"/>
        <w:spacing w:after="0" w:line="360" w:lineRule="auto"/>
        <w:jc w:val="both"/>
        <w:rPr>
          <w:rFonts w:ascii="Arial" w:hAnsi="Arial" w:cs="Arial"/>
          <w:sz w:val="24"/>
          <w:szCs w:val="24"/>
        </w:rPr>
      </w:pPr>
      <w:r w:rsidRPr="00B86114">
        <w:rPr>
          <w:rFonts w:ascii="Arial" w:hAnsi="Arial" w:cs="Arial"/>
          <w:b/>
          <w:sz w:val="24"/>
          <w:szCs w:val="24"/>
        </w:rPr>
        <w:tab/>
      </w:r>
      <w:r w:rsidRPr="00B86114">
        <w:rPr>
          <w:rFonts w:ascii="Arial" w:hAnsi="Arial" w:cs="Arial"/>
          <w:b/>
          <w:bCs/>
          <w:sz w:val="24"/>
          <w:szCs w:val="24"/>
        </w:rPr>
        <w:t>Notifíquese</w:t>
      </w:r>
      <w:r w:rsidRPr="00B86114">
        <w:rPr>
          <w:rFonts w:ascii="Arial" w:hAnsi="Arial" w:cs="Arial"/>
          <w:b/>
          <w:sz w:val="24"/>
          <w:szCs w:val="24"/>
        </w:rPr>
        <w:t xml:space="preserve">; </w:t>
      </w:r>
      <w:r w:rsidRPr="00B86114">
        <w:rPr>
          <w:rFonts w:ascii="Arial" w:hAnsi="Arial" w:cs="Arial"/>
          <w:sz w:val="24"/>
          <w:szCs w:val="24"/>
        </w:rPr>
        <w:t>por oficio al Sujeto Obligado y, al recurrente por el medio que designó.</w:t>
      </w:r>
    </w:p>
    <w:p w14:paraId="2224798C" w14:textId="77777777" w:rsidR="006C3BD5" w:rsidRDefault="006C3BD5" w:rsidP="006C3BD5">
      <w:pPr>
        <w:spacing w:after="0" w:line="360" w:lineRule="auto"/>
        <w:jc w:val="both"/>
        <w:rPr>
          <w:rFonts w:ascii="Arial" w:hAnsi="Arial" w:cs="Arial"/>
          <w:sz w:val="24"/>
          <w:szCs w:val="24"/>
        </w:rPr>
      </w:pPr>
    </w:p>
    <w:p w14:paraId="6C57C653" w14:textId="0B898CE6" w:rsidR="006C3BD5" w:rsidRDefault="006C3BD5" w:rsidP="006C3BD5">
      <w:pPr>
        <w:spacing w:after="0" w:line="360" w:lineRule="auto"/>
        <w:jc w:val="both"/>
        <w:rPr>
          <w:rFonts w:ascii="Arial" w:hAnsi="Arial" w:cs="Arial"/>
          <w:sz w:val="24"/>
        </w:rPr>
      </w:pPr>
      <w:r w:rsidRPr="00B86114">
        <w:rPr>
          <w:rFonts w:ascii="Arial" w:hAnsi="Arial" w:cs="Arial"/>
          <w:sz w:val="24"/>
          <w:szCs w:val="24"/>
        </w:rPr>
        <w:tab/>
      </w:r>
      <w:r w:rsidRPr="00DF0231">
        <w:rPr>
          <w:rFonts w:ascii="Arial" w:hAnsi="Arial" w:cs="Arial"/>
          <w:sz w:val="24"/>
        </w:rPr>
        <w:t xml:space="preserve">Así lo resuelve, por </w:t>
      </w:r>
      <w:r>
        <w:rPr>
          <w:rFonts w:ascii="Arial" w:hAnsi="Arial" w:cs="Arial"/>
          <w:sz w:val="24"/>
        </w:rPr>
        <w:t>mayoría</w:t>
      </w:r>
      <w:r w:rsidRPr="00DF0231">
        <w:rPr>
          <w:rFonts w:ascii="Arial" w:hAnsi="Arial" w:cs="Arial"/>
          <w:sz w:val="24"/>
        </w:rPr>
        <w:t xml:space="preserve"> de votos, el Pleno de la Comisión Estatal de Garantía de Acceso a la Información Pública, conformado por los Comisionados </w:t>
      </w:r>
      <w:r>
        <w:rPr>
          <w:rFonts w:ascii="Arial" w:hAnsi="Arial" w:cs="Arial"/>
          <w:sz w:val="24"/>
        </w:rPr>
        <w:t xml:space="preserve">José Gerardo Navarro Alviso </w:t>
      </w:r>
      <w:r w:rsidRPr="00DF0231">
        <w:rPr>
          <w:rFonts w:ascii="Arial" w:hAnsi="Arial" w:cs="Arial"/>
          <w:sz w:val="24"/>
        </w:rPr>
        <w:t xml:space="preserve">y Ana Cristina García Nales, siendo ponente </w:t>
      </w:r>
      <w:r>
        <w:rPr>
          <w:rFonts w:ascii="Arial" w:hAnsi="Arial" w:cs="Arial"/>
          <w:sz w:val="24"/>
        </w:rPr>
        <w:t>la última de los nombrados, en la Sesión Ordi</w:t>
      </w:r>
      <w:r w:rsidRPr="00DF0231">
        <w:rPr>
          <w:rFonts w:ascii="Arial" w:hAnsi="Arial" w:cs="Arial"/>
          <w:sz w:val="24"/>
        </w:rPr>
        <w:t xml:space="preserve">naria celebrada el </w:t>
      </w:r>
      <w:r w:rsidR="006D5F42">
        <w:rPr>
          <w:rFonts w:ascii="Arial" w:hAnsi="Arial" w:cs="Arial"/>
          <w:sz w:val="24"/>
        </w:rPr>
        <w:t>05 cinco de junio de 2026 dos mil veintiséis</w:t>
      </w:r>
      <w:r w:rsidRPr="00DF0231">
        <w:rPr>
          <w:rFonts w:ascii="Arial" w:hAnsi="Arial" w:cs="Arial"/>
          <w:sz w:val="24"/>
        </w:rPr>
        <w:t>, ante la Secretaria de Pleno</w:t>
      </w:r>
      <w:r>
        <w:rPr>
          <w:rFonts w:ascii="Arial" w:hAnsi="Arial" w:cs="Arial"/>
          <w:sz w:val="24"/>
        </w:rPr>
        <w:t xml:space="preserve">, Rosa María Motilla García, quién da fé. </w:t>
      </w:r>
      <w:r w:rsidRPr="00DF0231">
        <w:rPr>
          <w:rFonts w:ascii="Arial" w:hAnsi="Arial" w:cs="Arial"/>
          <w:sz w:val="24"/>
        </w:rPr>
        <w:t xml:space="preserve"> </w:t>
      </w:r>
    </w:p>
    <w:tbl>
      <w:tblPr>
        <w:tblStyle w:val="Tablaconcuadrcula"/>
        <w:tblW w:w="0" w:type="auto"/>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1"/>
        <w:gridCol w:w="4272"/>
      </w:tblGrid>
      <w:tr w:rsidR="006C3BD5" w14:paraId="68EF95D0" w14:textId="77777777" w:rsidTr="00C66906">
        <w:tc>
          <w:tcPr>
            <w:tcW w:w="4561" w:type="dxa"/>
          </w:tcPr>
          <w:p w14:paraId="7E604F84" w14:textId="77777777" w:rsidR="006C3BD5" w:rsidRPr="00DF0231" w:rsidRDefault="006C3BD5" w:rsidP="00C66906">
            <w:pPr>
              <w:jc w:val="center"/>
              <w:rPr>
                <w:rFonts w:ascii="Arial" w:hAnsi="Arial" w:cs="Arial"/>
                <w:b/>
                <w:sz w:val="24"/>
              </w:rPr>
            </w:pPr>
            <w:r w:rsidRPr="00DF0231">
              <w:rPr>
                <w:rFonts w:ascii="Arial" w:hAnsi="Arial" w:cs="Arial"/>
                <w:b/>
                <w:sz w:val="24"/>
              </w:rPr>
              <w:t>COMISIONADO PRESIDENTE</w:t>
            </w:r>
          </w:p>
          <w:p w14:paraId="4FD77469" w14:textId="77777777" w:rsidR="006C3BD5" w:rsidRPr="00DF0231" w:rsidRDefault="006C3BD5" w:rsidP="00C66906">
            <w:pPr>
              <w:jc w:val="center"/>
              <w:rPr>
                <w:rFonts w:ascii="Arial" w:hAnsi="Arial" w:cs="Arial"/>
                <w:b/>
                <w:sz w:val="24"/>
              </w:rPr>
            </w:pPr>
          </w:p>
          <w:p w14:paraId="1799CAEC" w14:textId="77777777" w:rsidR="006C3BD5" w:rsidRDefault="006C3BD5" w:rsidP="00C66906">
            <w:pPr>
              <w:ind w:left="360"/>
              <w:jc w:val="center"/>
              <w:rPr>
                <w:rFonts w:ascii="Arial" w:hAnsi="Arial" w:cs="Arial"/>
                <w:b/>
                <w:sz w:val="24"/>
              </w:rPr>
            </w:pPr>
          </w:p>
          <w:p w14:paraId="020A6CFF" w14:textId="77777777" w:rsidR="006C3BD5" w:rsidRDefault="006C3BD5" w:rsidP="00C66906">
            <w:pPr>
              <w:ind w:left="360"/>
              <w:jc w:val="center"/>
              <w:rPr>
                <w:rFonts w:ascii="Arial" w:hAnsi="Arial" w:cs="Arial"/>
                <w:b/>
                <w:sz w:val="24"/>
              </w:rPr>
            </w:pPr>
          </w:p>
          <w:p w14:paraId="65041B05" w14:textId="77777777" w:rsidR="006C3BD5" w:rsidRDefault="006C3BD5" w:rsidP="00C66906">
            <w:pPr>
              <w:ind w:left="360"/>
              <w:jc w:val="center"/>
              <w:rPr>
                <w:rFonts w:ascii="Arial" w:hAnsi="Arial" w:cs="Arial"/>
                <w:b/>
                <w:sz w:val="24"/>
              </w:rPr>
            </w:pPr>
          </w:p>
          <w:p w14:paraId="698D8B59" w14:textId="77777777" w:rsidR="006C3BD5" w:rsidRPr="00DF0231" w:rsidRDefault="006C3BD5" w:rsidP="00C66906">
            <w:pPr>
              <w:ind w:left="360"/>
              <w:jc w:val="center"/>
              <w:rPr>
                <w:rFonts w:ascii="Arial" w:hAnsi="Arial" w:cs="Arial"/>
                <w:b/>
                <w:sz w:val="24"/>
              </w:rPr>
            </w:pPr>
          </w:p>
          <w:p w14:paraId="7627C1D3" w14:textId="77777777" w:rsidR="006C3BD5" w:rsidRDefault="006C3BD5" w:rsidP="00C66906">
            <w:pPr>
              <w:spacing w:line="360" w:lineRule="auto"/>
              <w:jc w:val="center"/>
              <w:rPr>
                <w:rFonts w:ascii="Arial" w:hAnsi="Arial" w:cs="Arial"/>
                <w:sz w:val="24"/>
              </w:rPr>
            </w:pPr>
            <w:r>
              <w:rPr>
                <w:rFonts w:ascii="Arial" w:hAnsi="Arial" w:cs="Arial"/>
                <w:b/>
                <w:sz w:val="24"/>
              </w:rPr>
              <w:t>JOSÉ GERARDO NAVARRO ALVISO</w:t>
            </w:r>
          </w:p>
        </w:tc>
        <w:tc>
          <w:tcPr>
            <w:tcW w:w="4272" w:type="dxa"/>
          </w:tcPr>
          <w:p w14:paraId="6E43BC74" w14:textId="77777777" w:rsidR="006C3BD5" w:rsidRPr="00DF0231" w:rsidRDefault="006C3BD5" w:rsidP="00C66906">
            <w:pPr>
              <w:jc w:val="center"/>
              <w:rPr>
                <w:rFonts w:ascii="Arial" w:hAnsi="Arial" w:cs="Arial"/>
                <w:b/>
                <w:sz w:val="24"/>
              </w:rPr>
            </w:pPr>
            <w:r>
              <w:rPr>
                <w:rFonts w:ascii="Arial" w:hAnsi="Arial" w:cs="Arial"/>
                <w:b/>
                <w:sz w:val="24"/>
              </w:rPr>
              <w:t>COMISIONADA</w:t>
            </w:r>
          </w:p>
          <w:p w14:paraId="37A19146" w14:textId="77777777" w:rsidR="006C3BD5" w:rsidRPr="00DF0231" w:rsidRDefault="006C3BD5" w:rsidP="00C66906">
            <w:pPr>
              <w:jc w:val="center"/>
              <w:rPr>
                <w:rFonts w:ascii="Arial" w:hAnsi="Arial" w:cs="Arial"/>
                <w:b/>
                <w:sz w:val="24"/>
              </w:rPr>
            </w:pPr>
          </w:p>
          <w:p w14:paraId="4C4EE9E5" w14:textId="77777777" w:rsidR="006C3BD5" w:rsidRDefault="006C3BD5" w:rsidP="00C66906">
            <w:pPr>
              <w:jc w:val="center"/>
              <w:rPr>
                <w:rFonts w:ascii="Arial" w:hAnsi="Arial" w:cs="Arial"/>
                <w:b/>
                <w:sz w:val="24"/>
              </w:rPr>
            </w:pPr>
          </w:p>
          <w:p w14:paraId="0A6FCA44" w14:textId="77777777" w:rsidR="006C3BD5" w:rsidRDefault="006C3BD5" w:rsidP="00C66906">
            <w:pPr>
              <w:jc w:val="center"/>
              <w:rPr>
                <w:rFonts w:ascii="Arial" w:hAnsi="Arial" w:cs="Arial"/>
                <w:b/>
                <w:sz w:val="24"/>
              </w:rPr>
            </w:pPr>
          </w:p>
          <w:p w14:paraId="7DAF3E88" w14:textId="77777777" w:rsidR="006C3BD5" w:rsidRDefault="006C3BD5" w:rsidP="00C66906">
            <w:pPr>
              <w:jc w:val="center"/>
              <w:rPr>
                <w:rFonts w:ascii="Arial" w:hAnsi="Arial" w:cs="Arial"/>
                <w:b/>
                <w:sz w:val="24"/>
              </w:rPr>
            </w:pPr>
          </w:p>
          <w:p w14:paraId="46FEF193" w14:textId="77777777" w:rsidR="006C3BD5" w:rsidRPr="00DF0231" w:rsidRDefault="006C3BD5" w:rsidP="00C66906">
            <w:pPr>
              <w:jc w:val="center"/>
              <w:rPr>
                <w:rFonts w:ascii="Arial" w:hAnsi="Arial" w:cs="Arial"/>
                <w:b/>
                <w:sz w:val="24"/>
              </w:rPr>
            </w:pPr>
          </w:p>
          <w:p w14:paraId="3D866C25" w14:textId="77777777" w:rsidR="006C3BD5" w:rsidRDefault="006C3BD5" w:rsidP="00C66906">
            <w:pPr>
              <w:spacing w:line="360" w:lineRule="auto"/>
              <w:jc w:val="center"/>
              <w:rPr>
                <w:rFonts w:ascii="Arial" w:hAnsi="Arial" w:cs="Arial"/>
                <w:sz w:val="24"/>
              </w:rPr>
            </w:pPr>
            <w:r w:rsidRPr="00DF0231">
              <w:rPr>
                <w:rFonts w:ascii="Arial" w:hAnsi="Arial" w:cs="Arial"/>
                <w:b/>
                <w:sz w:val="24"/>
              </w:rPr>
              <w:t>ANA CRISTINA GARCÍA NALES</w:t>
            </w:r>
          </w:p>
        </w:tc>
      </w:tr>
      <w:tr w:rsidR="006C3BD5" w14:paraId="6143C335" w14:textId="77777777" w:rsidTr="00C66906">
        <w:trPr>
          <w:trHeight w:val="1791"/>
        </w:trPr>
        <w:tc>
          <w:tcPr>
            <w:tcW w:w="8833" w:type="dxa"/>
            <w:gridSpan w:val="2"/>
          </w:tcPr>
          <w:p w14:paraId="4A534C9D" w14:textId="77777777" w:rsidR="006C3BD5" w:rsidRDefault="006C3BD5" w:rsidP="00C66906">
            <w:pPr>
              <w:ind w:left="360" w:firstLine="2"/>
              <w:rPr>
                <w:rFonts w:ascii="Arial" w:hAnsi="Arial" w:cs="Arial"/>
                <w:b/>
                <w:sz w:val="24"/>
              </w:rPr>
            </w:pPr>
            <w:r>
              <w:rPr>
                <w:rFonts w:ascii="Arial" w:hAnsi="Arial" w:cs="Arial"/>
                <w:b/>
                <w:sz w:val="24"/>
              </w:rPr>
              <w:t xml:space="preserve">                                    </w:t>
            </w:r>
          </w:p>
          <w:p w14:paraId="78AF0D21" w14:textId="77777777" w:rsidR="006C3BD5" w:rsidRPr="00DF0231" w:rsidRDefault="006C3BD5" w:rsidP="00C66906">
            <w:pPr>
              <w:ind w:left="360" w:firstLine="2"/>
              <w:rPr>
                <w:rFonts w:ascii="Arial" w:hAnsi="Arial" w:cs="Arial"/>
                <w:b/>
                <w:sz w:val="24"/>
              </w:rPr>
            </w:pPr>
            <w:r>
              <w:rPr>
                <w:rFonts w:ascii="Arial" w:hAnsi="Arial" w:cs="Arial"/>
                <w:b/>
                <w:sz w:val="24"/>
              </w:rPr>
              <w:t xml:space="preserve">                                   </w:t>
            </w:r>
            <w:r w:rsidRPr="00DF0231">
              <w:rPr>
                <w:rFonts w:ascii="Arial" w:hAnsi="Arial" w:cs="Arial"/>
                <w:b/>
                <w:sz w:val="24"/>
              </w:rPr>
              <w:t>SECRETARIA DE PLENO</w:t>
            </w:r>
          </w:p>
          <w:p w14:paraId="6E97B2FB" w14:textId="77777777" w:rsidR="006C3BD5" w:rsidRDefault="006C3BD5" w:rsidP="00C66906">
            <w:pPr>
              <w:jc w:val="center"/>
              <w:rPr>
                <w:rFonts w:ascii="Arial" w:hAnsi="Arial" w:cs="Arial"/>
                <w:b/>
                <w:sz w:val="24"/>
              </w:rPr>
            </w:pPr>
          </w:p>
          <w:p w14:paraId="4CBA3B19" w14:textId="77777777" w:rsidR="006C3BD5" w:rsidRDefault="006C3BD5" w:rsidP="00C66906">
            <w:pPr>
              <w:jc w:val="center"/>
              <w:rPr>
                <w:rFonts w:ascii="Arial" w:hAnsi="Arial" w:cs="Arial"/>
                <w:b/>
                <w:sz w:val="24"/>
              </w:rPr>
            </w:pPr>
          </w:p>
          <w:p w14:paraId="1F7A07EC" w14:textId="77777777" w:rsidR="006C3BD5" w:rsidRPr="00DF0231" w:rsidRDefault="006C3BD5" w:rsidP="00C66906">
            <w:pPr>
              <w:jc w:val="center"/>
              <w:rPr>
                <w:rFonts w:ascii="Arial" w:hAnsi="Arial" w:cs="Arial"/>
                <w:b/>
                <w:sz w:val="24"/>
              </w:rPr>
            </w:pPr>
          </w:p>
          <w:p w14:paraId="278EBA68" w14:textId="77777777" w:rsidR="006C3BD5" w:rsidRPr="00DF0231" w:rsidRDefault="006C3BD5" w:rsidP="00C66906">
            <w:pPr>
              <w:jc w:val="center"/>
              <w:rPr>
                <w:rFonts w:ascii="Arial" w:hAnsi="Arial" w:cs="Arial"/>
                <w:b/>
                <w:sz w:val="24"/>
              </w:rPr>
            </w:pPr>
          </w:p>
          <w:p w14:paraId="2992012C" w14:textId="77777777" w:rsidR="006C3BD5" w:rsidRDefault="006C3BD5" w:rsidP="00C66906">
            <w:pPr>
              <w:spacing w:line="360" w:lineRule="auto"/>
              <w:jc w:val="center"/>
              <w:rPr>
                <w:rFonts w:ascii="Arial" w:hAnsi="Arial" w:cs="Arial"/>
                <w:sz w:val="24"/>
              </w:rPr>
            </w:pPr>
            <w:r w:rsidRPr="00DF0231">
              <w:rPr>
                <w:rFonts w:ascii="Arial" w:hAnsi="Arial" w:cs="Arial"/>
                <w:b/>
                <w:sz w:val="24"/>
              </w:rPr>
              <w:t>ROSA MARÍA MOTILLA GARCÍA</w:t>
            </w:r>
          </w:p>
        </w:tc>
      </w:tr>
    </w:tbl>
    <w:p w14:paraId="7FA4BA5E" w14:textId="3207FF58" w:rsidR="006C3BD5" w:rsidRDefault="006C3BD5" w:rsidP="006C3BD5">
      <w:pPr>
        <w:spacing w:after="240" w:line="240" w:lineRule="auto"/>
        <w:jc w:val="both"/>
        <w:rPr>
          <w:rFonts w:ascii="Arial" w:hAnsi="Arial" w:cs="Arial"/>
          <w:sz w:val="16"/>
          <w:szCs w:val="16"/>
        </w:rPr>
      </w:pPr>
      <w:r w:rsidRPr="00DF0231">
        <w:rPr>
          <w:rFonts w:ascii="Arial" w:hAnsi="Arial" w:cs="Arial"/>
          <w:sz w:val="16"/>
          <w:szCs w:val="16"/>
        </w:rPr>
        <w:t>Estas firmas pertenecen a la última foja de la resolución</w:t>
      </w:r>
      <w:r>
        <w:rPr>
          <w:rFonts w:ascii="Arial" w:hAnsi="Arial" w:cs="Arial"/>
          <w:sz w:val="16"/>
          <w:szCs w:val="16"/>
        </w:rPr>
        <w:t xml:space="preserve"> d</w:t>
      </w:r>
      <w:r w:rsidRPr="00DF0231">
        <w:rPr>
          <w:rFonts w:ascii="Arial" w:hAnsi="Arial" w:cs="Arial"/>
          <w:sz w:val="16"/>
          <w:szCs w:val="16"/>
        </w:rPr>
        <w:t xml:space="preserve">el recurso de revisión </w:t>
      </w:r>
      <w:r w:rsidR="006D5F42">
        <w:rPr>
          <w:rFonts w:ascii="Arial" w:hAnsi="Arial" w:cs="Arial"/>
          <w:sz w:val="16"/>
          <w:szCs w:val="16"/>
        </w:rPr>
        <w:t>RR-007/2026</w:t>
      </w:r>
      <w:r>
        <w:rPr>
          <w:rFonts w:ascii="Arial" w:hAnsi="Arial" w:cs="Arial"/>
          <w:sz w:val="16"/>
          <w:szCs w:val="16"/>
        </w:rPr>
        <w:t>-3</w:t>
      </w:r>
      <w:r w:rsidR="006D5F42">
        <w:rPr>
          <w:rFonts w:ascii="Arial" w:hAnsi="Arial" w:cs="Arial"/>
          <w:sz w:val="16"/>
          <w:szCs w:val="16"/>
        </w:rPr>
        <w:t xml:space="preserve"> OP</w:t>
      </w:r>
      <w:r>
        <w:rPr>
          <w:rFonts w:ascii="Arial" w:hAnsi="Arial" w:cs="Arial"/>
          <w:sz w:val="16"/>
          <w:szCs w:val="16"/>
        </w:rPr>
        <w:t xml:space="preserve">, </w:t>
      </w:r>
      <w:r w:rsidRPr="00DF0231">
        <w:rPr>
          <w:rFonts w:ascii="Arial" w:hAnsi="Arial" w:cs="Arial"/>
          <w:sz w:val="16"/>
          <w:szCs w:val="16"/>
        </w:rPr>
        <w:t xml:space="preserve">pronunciada en </w:t>
      </w:r>
      <w:r>
        <w:rPr>
          <w:rFonts w:ascii="Arial" w:hAnsi="Arial" w:cs="Arial"/>
          <w:sz w:val="16"/>
          <w:szCs w:val="16"/>
        </w:rPr>
        <w:t>Sesión Or</w:t>
      </w:r>
      <w:r w:rsidRPr="00E63B14">
        <w:rPr>
          <w:rFonts w:ascii="Arial" w:hAnsi="Arial" w:cs="Arial"/>
          <w:sz w:val="16"/>
          <w:szCs w:val="16"/>
        </w:rPr>
        <w:t>dinaria celebrada el</w:t>
      </w:r>
      <w:r>
        <w:rPr>
          <w:rFonts w:ascii="Arial" w:hAnsi="Arial" w:cs="Arial"/>
          <w:sz w:val="16"/>
          <w:szCs w:val="16"/>
        </w:rPr>
        <w:t xml:space="preserve"> 08 ocho de septiembre</w:t>
      </w:r>
      <w:r w:rsidRPr="00E63B14">
        <w:rPr>
          <w:rFonts w:ascii="Arial" w:hAnsi="Arial" w:cs="Arial"/>
          <w:sz w:val="16"/>
          <w:szCs w:val="16"/>
        </w:rPr>
        <w:t xml:space="preserve"> de 2025 dos mil veinticinco</w:t>
      </w:r>
    </w:p>
    <w:p w14:paraId="6D8E9A7D" w14:textId="77777777" w:rsidR="006C3BD5" w:rsidRDefault="006C3BD5" w:rsidP="006C3BD5">
      <w:pPr>
        <w:spacing w:after="240" w:line="240" w:lineRule="auto"/>
        <w:jc w:val="both"/>
        <w:rPr>
          <w:rFonts w:ascii="Arial" w:hAnsi="Arial" w:cs="Arial"/>
          <w:sz w:val="16"/>
          <w:szCs w:val="16"/>
        </w:rPr>
      </w:pPr>
      <w:r>
        <w:rPr>
          <w:rFonts w:ascii="Arial" w:hAnsi="Arial" w:cs="Arial"/>
          <w:sz w:val="16"/>
          <w:szCs w:val="16"/>
        </w:rPr>
        <w:t>ABCR</w:t>
      </w:r>
    </w:p>
    <w:p w14:paraId="7E2DF249" w14:textId="6328E371" w:rsidR="002410CE" w:rsidRPr="00E73683" w:rsidRDefault="002410CE" w:rsidP="002410CE">
      <w:pPr>
        <w:tabs>
          <w:tab w:val="left" w:pos="4816"/>
        </w:tabs>
        <w:spacing w:line="360" w:lineRule="auto"/>
        <w:jc w:val="both"/>
        <w:rPr>
          <w:rFonts w:ascii="Arial" w:hAnsi="Arial" w:cs="Arial"/>
          <w:sz w:val="18"/>
          <w:szCs w:val="18"/>
        </w:rPr>
      </w:pPr>
      <w:r w:rsidRPr="00E73683">
        <w:rPr>
          <w:rFonts w:ascii="Arial" w:hAnsi="Arial" w:cs="Arial"/>
          <w:sz w:val="18"/>
          <w:szCs w:val="18"/>
        </w:rPr>
        <w:t>ADRIANA BERENICE CAPETILLO REYES, PROYECTISTA ADSCRITA A LA PONENCIA TRES DE LA COMISIÓN ESTATAL DE GARANTÍA DE ACCESO A LA INFORMACIÓN PÚBLICA DE SAN LUIS POTOSI - - - - - - - - - - - - - - - - - - - - - - - - - - - - - C E R T I F I C A - - - - - - - - - - -  - - - - - - - - - - - - - - - -</w:t>
      </w:r>
      <w:r>
        <w:rPr>
          <w:rFonts w:ascii="Arial" w:hAnsi="Arial" w:cs="Arial"/>
          <w:sz w:val="18"/>
          <w:szCs w:val="18"/>
        </w:rPr>
        <w:t xml:space="preserve"> - - - - - - - -</w:t>
      </w:r>
      <w:r w:rsidRPr="00E73683">
        <w:rPr>
          <w:rFonts w:ascii="Arial" w:hAnsi="Arial" w:cs="Arial"/>
          <w:sz w:val="18"/>
          <w:szCs w:val="18"/>
        </w:rPr>
        <w:t xml:space="preserve"> QUE LA PRESENTE IMPRESIÓN QUE CONSTA DE </w:t>
      </w:r>
      <w:r w:rsidR="00576602">
        <w:rPr>
          <w:rFonts w:ascii="Arial" w:hAnsi="Arial" w:cs="Arial"/>
          <w:sz w:val="18"/>
          <w:szCs w:val="18"/>
        </w:rPr>
        <w:t>C</w:t>
      </w:r>
      <w:r w:rsidR="00D45EEA">
        <w:rPr>
          <w:rFonts w:ascii="Arial" w:hAnsi="Arial" w:cs="Arial"/>
          <w:sz w:val="18"/>
          <w:szCs w:val="18"/>
        </w:rPr>
        <w:t>INCUENTA Y SEIS</w:t>
      </w:r>
      <w:r w:rsidR="003C0806">
        <w:rPr>
          <w:rFonts w:ascii="Arial" w:hAnsi="Arial" w:cs="Arial"/>
          <w:sz w:val="18"/>
          <w:szCs w:val="18"/>
        </w:rPr>
        <w:t xml:space="preserve"> FOJAS</w:t>
      </w:r>
      <w:r w:rsidRPr="00E73683">
        <w:rPr>
          <w:rFonts w:ascii="Arial" w:hAnsi="Arial" w:cs="Arial"/>
          <w:sz w:val="18"/>
          <w:szCs w:val="18"/>
        </w:rPr>
        <w:t xml:space="preserve"> ÚTILES POR ANVERSO Y REVERSO, ES COPIA FIEL EN CONTENIDO, DE LA RESOLUCIÓN EMITIDA EN SESIÓN ORDINARIA DE PLENO DE LA COMISIÓN ESTATAL DE GARANTÍA DE ACCESO A LA INFORMACIÓN PÚBLICA, CELEBRADA EL </w:t>
      </w:r>
      <w:r w:rsidR="003C0806">
        <w:rPr>
          <w:rFonts w:ascii="Arial" w:hAnsi="Arial" w:cs="Arial"/>
          <w:sz w:val="18"/>
          <w:szCs w:val="18"/>
        </w:rPr>
        <w:t xml:space="preserve">05 CINCO DE JUNIO </w:t>
      </w:r>
      <w:r w:rsidRPr="00E73683">
        <w:rPr>
          <w:rFonts w:ascii="Arial" w:hAnsi="Arial" w:cs="Arial"/>
          <w:sz w:val="18"/>
          <w:szCs w:val="18"/>
        </w:rPr>
        <w:t>DE DOS MIL VEINTISÉIS; POR LA CUAL S</w:t>
      </w:r>
      <w:r w:rsidR="003C0806">
        <w:rPr>
          <w:rFonts w:ascii="Arial" w:hAnsi="Arial" w:cs="Arial"/>
          <w:sz w:val="18"/>
          <w:szCs w:val="18"/>
        </w:rPr>
        <w:t>E REVOCO</w:t>
      </w:r>
      <w:r>
        <w:rPr>
          <w:rFonts w:ascii="Arial" w:hAnsi="Arial" w:cs="Arial"/>
          <w:sz w:val="18"/>
          <w:szCs w:val="18"/>
        </w:rPr>
        <w:t xml:space="preserve"> EL ACTO IM</w:t>
      </w:r>
      <w:r w:rsidRPr="00E73683">
        <w:rPr>
          <w:rFonts w:ascii="Arial" w:hAnsi="Arial" w:cs="Arial"/>
          <w:sz w:val="18"/>
          <w:szCs w:val="18"/>
        </w:rPr>
        <w:t>PUGNADO, DENTRO DE LOS AUTOS RELATIVOS AL R</w:t>
      </w:r>
      <w:r w:rsidR="00576602">
        <w:rPr>
          <w:rFonts w:ascii="Arial" w:hAnsi="Arial" w:cs="Arial"/>
          <w:sz w:val="18"/>
          <w:szCs w:val="18"/>
        </w:rPr>
        <w:t>ECURSO DE REVISIÓN NÚMERO RR-017</w:t>
      </w:r>
      <w:r>
        <w:rPr>
          <w:rFonts w:ascii="Arial" w:hAnsi="Arial" w:cs="Arial"/>
          <w:sz w:val="18"/>
          <w:szCs w:val="18"/>
        </w:rPr>
        <w:t>/2026</w:t>
      </w:r>
      <w:r w:rsidRPr="00E73683">
        <w:rPr>
          <w:rFonts w:ascii="Arial" w:hAnsi="Arial" w:cs="Arial"/>
          <w:sz w:val="18"/>
          <w:szCs w:val="18"/>
        </w:rPr>
        <w:t>-3</w:t>
      </w:r>
      <w:r w:rsidR="003C0806">
        <w:rPr>
          <w:rFonts w:ascii="Arial" w:hAnsi="Arial" w:cs="Arial"/>
          <w:sz w:val="18"/>
          <w:szCs w:val="18"/>
        </w:rPr>
        <w:t xml:space="preserve"> OP</w:t>
      </w:r>
      <w:r w:rsidRPr="00E73683">
        <w:rPr>
          <w:rFonts w:ascii="Arial" w:hAnsi="Arial" w:cs="Arial"/>
          <w:sz w:val="18"/>
          <w:szCs w:val="18"/>
        </w:rPr>
        <w:t xml:space="preserve">; LO ANTERIOR, CON FUNDAMENTO EN LO DISPUESTO POR EL 51 FRACCIÓN XIII, DEL REGLAMENTO INTERIOR DE LA COMISIÓN ESTATAL DE GARANTÍA DE ACCESO A LA INFORMACIÓN PÚBLICA DE SAN LUIS POTOSÍ, EN LA CIUDAD DE SAN LUIS POTOSÍ, S.L.P., </w:t>
      </w:r>
      <w:r w:rsidR="00A61074">
        <w:rPr>
          <w:rFonts w:ascii="Arial" w:hAnsi="Arial" w:cs="Arial"/>
          <w:sz w:val="18"/>
          <w:szCs w:val="18"/>
        </w:rPr>
        <w:t xml:space="preserve">05 CINCO DE JUNIO </w:t>
      </w:r>
      <w:r w:rsidR="00A61074" w:rsidRPr="00E73683">
        <w:rPr>
          <w:rFonts w:ascii="Arial" w:hAnsi="Arial" w:cs="Arial"/>
          <w:sz w:val="18"/>
          <w:szCs w:val="18"/>
        </w:rPr>
        <w:t>DE DOS MIL VEINTISÉIS</w:t>
      </w:r>
      <w:r w:rsidRPr="00E73683">
        <w:rPr>
          <w:rFonts w:ascii="Arial" w:hAnsi="Arial" w:cs="Arial"/>
          <w:sz w:val="18"/>
          <w:szCs w:val="18"/>
        </w:rPr>
        <w:t xml:space="preserve">. </w:t>
      </w:r>
      <w:r w:rsidRPr="00E73683">
        <w:rPr>
          <w:rFonts w:ascii="Arial" w:hAnsi="Arial" w:cs="Arial"/>
          <w:i/>
          <w:sz w:val="18"/>
          <w:szCs w:val="18"/>
        </w:rPr>
        <w:t>Conste.</w:t>
      </w:r>
    </w:p>
    <w:bookmarkEnd w:id="0"/>
    <w:bookmarkEnd w:id="2"/>
    <w:p w14:paraId="43B4E3A3" w14:textId="77777777" w:rsidR="002410CE" w:rsidRDefault="002410CE" w:rsidP="002410CE">
      <w:pPr>
        <w:spacing w:after="0" w:line="360" w:lineRule="auto"/>
        <w:jc w:val="both"/>
        <w:rPr>
          <w:rFonts w:ascii="Arial" w:hAnsi="Arial" w:cs="Arial"/>
          <w:sz w:val="24"/>
        </w:rPr>
      </w:pPr>
    </w:p>
    <w:sectPr w:rsidR="002410CE" w:rsidSect="00F25EED">
      <w:headerReference w:type="default" r:id="rId8"/>
      <w:pgSz w:w="12240" w:h="20160" w:code="5"/>
      <w:pgMar w:top="2948" w:right="1418" w:bottom="2835"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677BBD" w14:textId="77777777" w:rsidR="002E0A4E" w:rsidRDefault="002E0A4E" w:rsidP="00BB58C4">
      <w:pPr>
        <w:spacing w:after="0" w:line="240" w:lineRule="auto"/>
      </w:pPr>
      <w:r>
        <w:separator/>
      </w:r>
    </w:p>
  </w:endnote>
  <w:endnote w:type="continuationSeparator" w:id="0">
    <w:p w14:paraId="673916DF" w14:textId="77777777" w:rsidR="002E0A4E" w:rsidRDefault="002E0A4E" w:rsidP="00BB5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Che">
    <w:charset w:val="81"/>
    <w:family w:val="modern"/>
    <w:pitch w:val="fixed"/>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CBFE92" w14:textId="77777777" w:rsidR="002E0A4E" w:rsidRDefault="002E0A4E" w:rsidP="00BB58C4">
      <w:pPr>
        <w:spacing w:after="0" w:line="240" w:lineRule="auto"/>
      </w:pPr>
      <w:r>
        <w:separator/>
      </w:r>
    </w:p>
  </w:footnote>
  <w:footnote w:type="continuationSeparator" w:id="0">
    <w:p w14:paraId="2EFCA441" w14:textId="77777777" w:rsidR="002E0A4E" w:rsidRDefault="002E0A4E" w:rsidP="00BB58C4">
      <w:pPr>
        <w:spacing w:after="0" w:line="240" w:lineRule="auto"/>
      </w:pPr>
      <w:r>
        <w:continuationSeparator/>
      </w:r>
    </w:p>
  </w:footnote>
  <w:footnote w:id="1">
    <w:p w14:paraId="48922567" w14:textId="77777777" w:rsidR="007E16D0" w:rsidRPr="007A18D6" w:rsidRDefault="007E16D0" w:rsidP="006D3B1C">
      <w:pPr>
        <w:pStyle w:val="Textonotapie"/>
        <w:rPr>
          <w:rFonts w:ascii="Arial" w:hAnsi="Arial" w:cs="Arial"/>
          <w:sz w:val="16"/>
          <w:szCs w:val="16"/>
        </w:rPr>
      </w:pPr>
      <w:r w:rsidRPr="007A18D6">
        <w:rPr>
          <w:rStyle w:val="Refdenotaalpie"/>
          <w:rFonts w:ascii="Arial" w:hAnsi="Arial" w:cs="Arial"/>
          <w:sz w:val="16"/>
          <w:szCs w:val="16"/>
        </w:rPr>
        <w:footnoteRef/>
      </w:r>
      <w:r w:rsidRPr="007A18D6">
        <w:rPr>
          <w:rFonts w:ascii="Arial" w:hAnsi="Arial" w:cs="Arial"/>
          <w:sz w:val="16"/>
          <w:szCs w:val="16"/>
        </w:rPr>
        <w:t xml:space="preserve"> Disponible en</w:t>
      </w:r>
    </w:p>
    <w:p w14:paraId="29B1B264" w14:textId="77777777" w:rsidR="007E16D0" w:rsidRPr="007A18D6" w:rsidRDefault="007E16D0" w:rsidP="006D3B1C">
      <w:pPr>
        <w:pStyle w:val="Textonotapie"/>
        <w:rPr>
          <w:rFonts w:ascii="Arial" w:hAnsi="Arial" w:cs="Arial"/>
          <w:sz w:val="16"/>
          <w:szCs w:val="16"/>
        </w:rPr>
      </w:pPr>
      <w:r w:rsidRPr="007A18D6">
        <w:rPr>
          <w:rFonts w:ascii="Arial" w:hAnsi="Arial" w:cs="Arial"/>
          <w:sz w:val="16"/>
          <w:szCs w:val="16"/>
        </w:rPr>
        <w:t xml:space="preserve"> </w:t>
      </w:r>
      <w:hyperlink r:id="rId1" w:history="1">
        <w:r w:rsidRPr="007A18D6">
          <w:rPr>
            <w:rStyle w:val="Hipervnculo"/>
            <w:rFonts w:ascii="Arial" w:hAnsi="Arial" w:cs="Arial"/>
            <w:sz w:val="16"/>
            <w:szCs w:val="16"/>
          </w:rPr>
          <w:t>https://snt.org.mx/wp-content/uploads/2021/08/Lineamientos_Funcionalidad_PNT_090721.pdf</w:t>
        </w:r>
      </w:hyperlink>
      <w:r w:rsidRPr="007A18D6">
        <w:rPr>
          <w:rFonts w:ascii="Arial" w:hAnsi="Arial" w:cs="Arial"/>
          <w:sz w:val="16"/>
          <w:szCs w:val="16"/>
        </w:rPr>
        <w:t xml:space="preserve"> </w:t>
      </w:r>
    </w:p>
  </w:footnote>
  <w:footnote w:id="2">
    <w:p w14:paraId="0DCEB1AE" w14:textId="77777777" w:rsidR="007E16D0" w:rsidRPr="007A18D6" w:rsidRDefault="007E16D0" w:rsidP="00FA5019">
      <w:pPr>
        <w:jc w:val="both"/>
        <w:rPr>
          <w:rFonts w:ascii="Arial" w:hAnsi="Arial" w:cs="Arial"/>
          <w:sz w:val="16"/>
          <w:szCs w:val="16"/>
        </w:rPr>
      </w:pPr>
      <w:r w:rsidRPr="007A18D6">
        <w:rPr>
          <w:rStyle w:val="Refdenotaalpie"/>
          <w:rFonts w:ascii="Arial" w:hAnsi="Arial" w:cs="Arial"/>
          <w:sz w:val="16"/>
          <w:szCs w:val="16"/>
        </w:rPr>
        <w:footnoteRef/>
      </w:r>
      <w:r w:rsidRPr="007A18D6">
        <w:rPr>
          <w:rFonts w:ascii="Arial" w:hAnsi="Arial" w:cs="Arial"/>
          <w:sz w:val="16"/>
          <w:szCs w:val="16"/>
        </w:rPr>
        <w:t xml:space="preserve"> Cfr. Jurisprudencia número VI.2o. J/323, visible en la Octava Época, de la Gaceta del Semanario Judicial de la Federación, Núm. 80, Agosto de 1994, p. 87. Instancia: Tribunales Colegiados de Circuito, con Registro electrónico: 210784, </w:t>
      </w:r>
    </w:p>
  </w:footnote>
  <w:footnote w:id="3">
    <w:p w14:paraId="4D83296A" w14:textId="77777777" w:rsidR="007E16D0" w:rsidRPr="007A18D6" w:rsidRDefault="007E16D0" w:rsidP="00FA5019">
      <w:pPr>
        <w:spacing w:after="0" w:line="240" w:lineRule="auto"/>
        <w:jc w:val="both"/>
        <w:rPr>
          <w:rFonts w:ascii="Arial" w:eastAsia="Arial Unicode MS" w:hAnsi="Arial" w:cs="Arial"/>
          <w:bCs/>
          <w:sz w:val="16"/>
          <w:szCs w:val="16"/>
          <w:lang w:eastAsia="es-ES"/>
        </w:rPr>
      </w:pPr>
      <w:r w:rsidRPr="007A18D6">
        <w:rPr>
          <w:rStyle w:val="Refdenotaalpie"/>
          <w:rFonts w:ascii="Arial" w:hAnsi="Arial" w:cs="Arial"/>
          <w:sz w:val="16"/>
          <w:szCs w:val="16"/>
        </w:rPr>
        <w:footnoteRef/>
      </w:r>
      <w:r w:rsidRPr="007A18D6">
        <w:rPr>
          <w:rFonts w:ascii="Arial" w:hAnsi="Arial" w:cs="Arial"/>
          <w:sz w:val="16"/>
          <w:szCs w:val="16"/>
        </w:rPr>
        <w:t xml:space="preserve"> </w:t>
      </w:r>
      <w:r w:rsidRPr="007A18D6">
        <w:rPr>
          <w:rFonts w:ascii="Arial" w:eastAsia="Arial Unicode MS" w:hAnsi="Arial" w:cs="Arial"/>
          <w:bCs/>
          <w:sz w:val="16"/>
          <w:szCs w:val="16"/>
          <w:lang w:eastAsia="es-ES"/>
        </w:rPr>
        <w:t xml:space="preserve">El Diccionario Jurídico Mexicano del Instituto de Investigaciones Jurídicas, Editorial Porrúa, Octava Edición, México 1995, página 2637, en relación con el sobreseimiento señala: </w:t>
      </w:r>
      <w:r w:rsidRPr="007A18D6">
        <w:rPr>
          <w:rFonts w:ascii="Arial" w:eastAsia="Arial Unicode MS" w:hAnsi="Arial" w:cs="Arial"/>
          <w:bCs/>
          <w:i/>
          <w:iCs/>
          <w:sz w:val="16"/>
          <w:szCs w:val="16"/>
          <w:lang w:eastAsia="es-ES"/>
        </w:rPr>
        <w:t>"Sobreseimiento. I. (Del latín supercedere; cesar, desistir)</w:t>
      </w:r>
      <w:r w:rsidRPr="007A18D6">
        <w:rPr>
          <w:rFonts w:ascii="Arial" w:eastAsia="Arial Unicode MS" w:hAnsi="Arial" w:cs="Arial"/>
          <w:bCs/>
          <w:sz w:val="16"/>
          <w:szCs w:val="16"/>
          <w:lang w:eastAsia="es-ES"/>
        </w:rPr>
        <w:t>. Es la resolución judicial por la cual se declara que existe un obstáculo jurídico o de hecho que impide la decisión sobre el fondo de la controversia".</w:t>
      </w:r>
    </w:p>
  </w:footnote>
  <w:footnote w:id="4">
    <w:p w14:paraId="618EA2A4" w14:textId="77777777" w:rsidR="007E16D0" w:rsidRPr="000C36C0" w:rsidRDefault="007E16D0" w:rsidP="00E4739F">
      <w:pPr>
        <w:pStyle w:val="Textonotapie"/>
        <w:rPr>
          <w:rFonts w:ascii="Arial" w:hAnsi="Arial" w:cs="Arial"/>
          <w:sz w:val="16"/>
          <w:szCs w:val="16"/>
        </w:rPr>
      </w:pPr>
      <w:r w:rsidRPr="0090625B">
        <w:rPr>
          <w:rStyle w:val="Refdenotaalpie"/>
          <w:rFonts w:ascii="Arial" w:hAnsi="Arial" w:cs="Arial"/>
          <w:sz w:val="16"/>
          <w:szCs w:val="16"/>
        </w:rPr>
        <w:footnoteRef/>
      </w:r>
      <w:r w:rsidRPr="0090625B">
        <w:rPr>
          <w:rFonts w:ascii="Arial" w:hAnsi="Arial" w:cs="Arial"/>
          <w:sz w:val="16"/>
          <w:szCs w:val="16"/>
        </w:rPr>
        <w:t>“</w:t>
      </w:r>
      <w:r w:rsidRPr="0090625B">
        <w:rPr>
          <w:rFonts w:ascii="Arial" w:hAnsi="Arial" w:cs="Arial"/>
          <w:b/>
          <w:bCs/>
          <w:sz w:val="16"/>
          <w:szCs w:val="16"/>
        </w:rPr>
        <w:t>Actos consentidos tácitamente</w:t>
      </w:r>
      <w:r w:rsidRPr="0090625B">
        <w:rPr>
          <w:rFonts w:ascii="Arial" w:hAnsi="Arial" w:cs="Arial"/>
          <w:sz w:val="16"/>
          <w:szCs w:val="16"/>
        </w:rPr>
        <w:t xml:space="preserve">. Improcedencia de su análisis. Si en su recurso de revisión, la persona recurrente no expresó </w:t>
      </w:r>
      <w:r w:rsidRPr="000C36C0">
        <w:rPr>
          <w:rFonts w:ascii="Arial" w:hAnsi="Arial" w:cs="Arial"/>
          <w:sz w:val="16"/>
          <w:szCs w:val="16"/>
        </w:rPr>
        <w:t>inconformidad alguna con ciertas partes de la respuesta otorgada, se entienden tácitamente consentidas, por ende, no deben formar parte del estudio de fondo de la resolución que emite el Instituto” Criterio número SO/001/2020, emitido por el Instituto Nacional de Transparencia, Acceso a la Información y Protección de Datos Personales.</w:t>
      </w:r>
    </w:p>
  </w:footnote>
  <w:footnote w:id="5">
    <w:p w14:paraId="31C9DCC7" w14:textId="77777777" w:rsidR="007E16D0" w:rsidRPr="001D7B5F" w:rsidRDefault="007E16D0" w:rsidP="00E4739F">
      <w:pPr>
        <w:pStyle w:val="Textonotapie"/>
        <w:rPr>
          <w:rFonts w:ascii="Arial" w:hAnsi="Arial" w:cs="Arial"/>
          <w:sz w:val="16"/>
          <w:szCs w:val="16"/>
        </w:rPr>
      </w:pPr>
      <w:r w:rsidRPr="000C36C0">
        <w:rPr>
          <w:rStyle w:val="Refdenotaalpie"/>
          <w:rFonts w:ascii="Arial" w:hAnsi="Arial" w:cs="Arial"/>
          <w:sz w:val="16"/>
          <w:szCs w:val="16"/>
        </w:rPr>
        <w:footnoteRef/>
      </w:r>
      <w:r>
        <w:rPr>
          <w:rFonts w:ascii="Arial" w:hAnsi="Arial" w:cs="Arial"/>
          <w:b/>
          <w:bCs/>
          <w:sz w:val="16"/>
          <w:szCs w:val="16"/>
          <w:lang w:val="es-ES"/>
        </w:rPr>
        <w:t>“</w:t>
      </w:r>
      <w:r w:rsidRPr="001D7B5F">
        <w:rPr>
          <w:rFonts w:ascii="Arial" w:hAnsi="Arial" w:cs="Arial"/>
          <w:b/>
          <w:bCs/>
          <w:sz w:val="16"/>
          <w:szCs w:val="16"/>
          <w:lang w:val="es-ES"/>
        </w:rPr>
        <w:t>PROCEDIMIENTO CONTENCIOSO ADMINISTRATIVO FEDERAL. CONFORME A LOS PRINCIPIOS DE CONGRUENCIA Y DE MAYOR BENEFICIO, DEBE PRIVILEGIARSE EL ESTUDIO DE LAS CUESTIONES DE FONDO FRENTE A LOS VICIOS DE FORMA QUE DEJAN INTACTA LA FACULTAD DE LA AUTORIDAD DEMANDADA PARA EMITIR UNA NUEVA RESOLUCIÓN.</w:t>
      </w:r>
      <w:r>
        <w:rPr>
          <w:rFonts w:ascii="Arial" w:hAnsi="Arial" w:cs="Arial"/>
          <w:b/>
          <w:bCs/>
          <w:sz w:val="16"/>
          <w:szCs w:val="16"/>
          <w:lang w:val="es-ES"/>
        </w:rPr>
        <w:t xml:space="preserve"> </w:t>
      </w:r>
      <w:r w:rsidRPr="001D7B5F">
        <w:rPr>
          <w:rFonts w:ascii="Arial" w:hAnsi="Arial" w:cs="Arial"/>
          <w:sz w:val="16"/>
          <w:szCs w:val="16"/>
        </w:rPr>
        <w:t>Si bien es cierto que las Salas del Tribunal Federal de Justicia Administrativa están facultadas para declarar la nulidad de las resoluciones impugnadas por un vicio formal, por ejemplo, porque la autoridad demandada no acreditó que calzaran la firma autógrafa de quien las emitió, lo cual es formalmente correcto, pues de acuerdo con diversos criterios jurisprudenciales, la omisión en los requisitos formales de los actos administrativos, como lo es la ausencia de firma autógrafa, no puede tener como consecuencia una declaración de nulidad lisa y llana, ello no implica una prohibición expresa o tácita para dejar de atender los conceptos de nulidad que plantean violaciones de fondo. Entonces, se deben aplicar los principios de congruencia y de mayor beneficio, esto es, decidir sobre la cuestión efectivamente planteada, para establecer el derecho y resolver la pretensión del actor que se deduzca de su demanda, en términos del artículo </w:t>
      </w:r>
      <w:r w:rsidRPr="007E5D2A">
        <w:rPr>
          <w:rFonts w:ascii="Arial" w:hAnsi="Arial" w:cs="Arial"/>
          <w:b/>
          <w:bCs/>
          <w:sz w:val="16"/>
          <w:szCs w:val="16"/>
        </w:rPr>
        <w:t>50, párrafo tercero, de la Ley Federal de Procedimiento Contencioso Administrativo</w:t>
      </w:r>
      <w:r w:rsidRPr="001D7B5F">
        <w:rPr>
          <w:rFonts w:ascii="Arial" w:hAnsi="Arial" w:cs="Arial"/>
          <w:sz w:val="16"/>
          <w:szCs w:val="16"/>
        </w:rPr>
        <w:t>, lo cual es acorde con el derecho a una administración de justicia completa, pronta e imparcial que establece el artículo </w:t>
      </w:r>
      <w:r w:rsidRPr="007E5D2A">
        <w:rPr>
          <w:rFonts w:ascii="Arial" w:hAnsi="Arial" w:cs="Arial"/>
          <w:b/>
          <w:bCs/>
          <w:sz w:val="16"/>
          <w:szCs w:val="16"/>
        </w:rPr>
        <w:t>17 constitucional</w:t>
      </w:r>
      <w:r w:rsidRPr="001D7B5F">
        <w:rPr>
          <w:rFonts w:ascii="Arial" w:hAnsi="Arial" w:cs="Arial"/>
          <w:sz w:val="16"/>
          <w:szCs w:val="16"/>
        </w:rPr>
        <w:t>, porque debe privilegiarse el fallo de fondo frente a los formalismos procedimentales y evitar que, al dejar intacta la facultad de la autoridad demandada para emitir una nueva resolución, haya otras instancias que, incluso, incrementen el costo de la justicia en tiempo y recursos económicos para las partes y para el Estado Mexicano.</w:t>
      </w:r>
      <w:r>
        <w:rPr>
          <w:rFonts w:ascii="Arial" w:hAnsi="Arial" w:cs="Arial"/>
          <w:sz w:val="16"/>
          <w:szCs w:val="16"/>
        </w:rPr>
        <w:t>”</w:t>
      </w:r>
    </w:p>
    <w:p w14:paraId="28278CBF" w14:textId="77777777" w:rsidR="007E16D0" w:rsidRPr="000C36C0" w:rsidRDefault="007E16D0" w:rsidP="00E4739F">
      <w:pPr>
        <w:pStyle w:val="Textonotapie"/>
        <w:rPr>
          <w:rFonts w:ascii="Arial" w:hAnsi="Arial" w:cs="Arial"/>
          <w:sz w:val="16"/>
          <w:szCs w:val="16"/>
        </w:rPr>
      </w:pPr>
      <w:r>
        <w:rPr>
          <w:rFonts w:ascii="Arial" w:hAnsi="Arial" w:cs="Arial"/>
          <w:sz w:val="16"/>
          <w:szCs w:val="16"/>
        </w:rPr>
        <w:t>Tesis n</w:t>
      </w:r>
      <w:r w:rsidRPr="000C36C0">
        <w:rPr>
          <w:rFonts w:ascii="Arial" w:hAnsi="Arial" w:cs="Arial"/>
          <w:sz w:val="16"/>
          <w:szCs w:val="16"/>
        </w:rPr>
        <w:t>úmero (IV Región)1o.20 A (10a.), visible en la Décima Época, de la Gaceta del Semanario Judicial de la Federación, Libro 80, Noviembre de 2020, Tomo III, página 2094. Instancia: Tribunales Colegiados de Circuito, con Registro electrónico: 2022374.</w:t>
      </w:r>
    </w:p>
  </w:footnote>
  <w:footnote w:id="6">
    <w:p w14:paraId="138E0C96" w14:textId="77777777" w:rsidR="007E16D0" w:rsidRPr="00D13DB0" w:rsidRDefault="007E16D0" w:rsidP="00592770">
      <w:pPr>
        <w:pStyle w:val="Textonotapie"/>
        <w:rPr>
          <w:rFonts w:ascii="Arial" w:hAnsi="Arial" w:cs="Arial"/>
          <w:sz w:val="16"/>
          <w:szCs w:val="16"/>
        </w:rPr>
      </w:pPr>
      <w:r w:rsidRPr="00D13DB0">
        <w:rPr>
          <w:rStyle w:val="Refdenotaalpie"/>
          <w:rFonts w:ascii="Arial" w:hAnsi="Arial" w:cs="Arial"/>
          <w:sz w:val="16"/>
          <w:szCs w:val="16"/>
        </w:rPr>
        <w:footnoteRef/>
      </w:r>
      <w:r w:rsidRPr="00D13DB0">
        <w:rPr>
          <w:rFonts w:ascii="Arial" w:hAnsi="Arial" w:cs="Arial"/>
          <w:sz w:val="16"/>
          <w:szCs w:val="16"/>
        </w:rPr>
        <w:t xml:space="preserve"> </w:t>
      </w:r>
      <w:r>
        <w:rPr>
          <w:rFonts w:ascii="Arial" w:hAnsi="Arial" w:cs="Arial"/>
          <w:sz w:val="16"/>
          <w:szCs w:val="16"/>
        </w:rPr>
        <w:t xml:space="preserve">[…] </w:t>
      </w:r>
      <w:r w:rsidRPr="00D13DB0">
        <w:rPr>
          <w:rFonts w:ascii="Arial" w:hAnsi="Arial" w:cs="Arial"/>
          <w:sz w:val="16"/>
          <w:szCs w:val="16"/>
        </w:rPr>
        <w:t xml:space="preserve">II. La información </w:t>
      </w:r>
      <w:r w:rsidRPr="00D23F98">
        <w:rPr>
          <w:rFonts w:ascii="Arial" w:hAnsi="Arial" w:cs="Arial"/>
          <w:sz w:val="16"/>
          <w:szCs w:val="16"/>
        </w:rPr>
        <w:t>que se refiere a la vida privada y los datos personales será protegida en los términos y con las excepciones que fijen las leyes.</w:t>
      </w:r>
      <w:r w:rsidRPr="00D13DB0">
        <w:rPr>
          <w:rFonts w:ascii="Arial" w:hAnsi="Arial" w:cs="Arial"/>
          <w:sz w:val="16"/>
          <w:szCs w:val="16"/>
        </w:rPr>
        <w:t xml:space="preserve"> Para tal efecto, los sujetos obligados contarán con las facultades suficientes para su atención. Por lo que hace a la información relacionada con los datos personales en posesión de particulares, la ley a la que se refiere el artículo 90 de esta Constitución determinará la competencia para conocer de los procedimientos relativos a su protección, verificación e imposición de sanciones.</w:t>
      </w:r>
    </w:p>
  </w:footnote>
  <w:footnote w:id="7">
    <w:p w14:paraId="4B859E33" w14:textId="77777777" w:rsidR="007E16D0" w:rsidRDefault="007E16D0" w:rsidP="00592770">
      <w:pPr>
        <w:pStyle w:val="Textonotapie"/>
        <w:rPr>
          <w:rFonts w:ascii="Arial" w:hAnsi="Arial" w:cs="Arial"/>
          <w:sz w:val="16"/>
          <w:szCs w:val="16"/>
        </w:rPr>
      </w:pPr>
      <w:r w:rsidRPr="00D13DB0">
        <w:rPr>
          <w:rStyle w:val="Refdenotaalpie"/>
          <w:rFonts w:ascii="Arial" w:hAnsi="Arial" w:cs="Arial"/>
          <w:sz w:val="16"/>
          <w:szCs w:val="16"/>
        </w:rPr>
        <w:footnoteRef/>
      </w:r>
      <w:r w:rsidRPr="00D13DB0">
        <w:rPr>
          <w:rFonts w:ascii="Arial" w:hAnsi="Arial" w:cs="Arial"/>
          <w:sz w:val="16"/>
          <w:szCs w:val="16"/>
        </w:rPr>
        <w:t xml:space="preserve"> </w:t>
      </w:r>
      <w:r>
        <w:rPr>
          <w:rFonts w:ascii="Arial" w:hAnsi="Arial" w:cs="Arial"/>
          <w:sz w:val="16"/>
          <w:szCs w:val="16"/>
        </w:rPr>
        <w:t xml:space="preserve"> </w:t>
      </w:r>
      <w:r w:rsidRPr="00D13DB0">
        <w:rPr>
          <w:rFonts w:ascii="Arial" w:hAnsi="Arial" w:cs="Arial"/>
          <w:sz w:val="16"/>
          <w:szCs w:val="16"/>
        </w:rPr>
        <w:t xml:space="preserve">Artículo 6o.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w:t>
      </w:r>
    </w:p>
    <w:p w14:paraId="6012DDD9" w14:textId="77777777" w:rsidR="007E16D0" w:rsidRDefault="007E16D0" w:rsidP="00592770">
      <w:pPr>
        <w:pStyle w:val="Textonotapie"/>
        <w:rPr>
          <w:rFonts w:ascii="Arial" w:hAnsi="Arial" w:cs="Arial"/>
          <w:sz w:val="16"/>
          <w:szCs w:val="16"/>
        </w:rPr>
      </w:pPr>
      <w:r w:rsidRPr="00D13DB0">
        <w:rPr>
          <w:rFonts w:ascii="Arial" w:hAnsi="Arial" w:cs="Arial"/>
          <w:sz w:val="16"/>
          <w:szCs w:val="16"/>
        </w:rPr>
        <w:t>El derecho a la información será garantizado por el Estado.</w:t>
      </w:r>
      <w:r w:rsidRPr="00D13DB0">
        <w:rPr>
          <w:rFonts w:eastAsiaTheme="minorHAnsi" w:cstheme="minorBidi"/>
          <w:sz w:val="22"/>
          <w:szCs w:val="22"/>
          <w:lang w:eastAsia="en-US"/>
        </w:rPr>
        <w:t xml:space="preserve"> </w:t>
      </w:r>
      <w:r w:rsidRPr="00D13DB0">
        <w:rPr>
          <w:rFonts w:ascii="Arial" w:hAnsi="Arial" w:cs="Arial"/>
          <w:sz w:val="16"/>
          <w:szCs w:val="16"/>
        </w:rPr>
        <w:t>Toda persona tiene derecho al libre acceso a información plural y oportuna, así como a buscar, recibir y difundir información e ideas de toda índole por cualquier medio de expresión.</w:t>
      </w:r>
    </w:p>
    <w:p w14:paraId="4ED5A712" w14:textId="77777777" w:rsidR="007E16D0" w:rsidRDefault="007E16D0" w:rsidP="00592770">
      <w:pPr>
        <w:pStyle w:val="Textonotapie"/>
        <w:rPr>
          <w:rFonts w:ascii="Arial" w:hAnsi="Arial" w:cs="Arial"/>
          <w:sz w:val="16"/>
          <w:szCs w:val="16"/>
        </w:rPr>
      </w:pPr>
      <w:r w:rsidRPr="00D13DB0">
        <w:rPr>
          <w:rFonts w:ascii="Arial" w:hAnsi="Arial" w:cs="Arial"/>
          <w:sz w:val="16"/>
          <w:szCs w:val="16"/>
        </w:rPr>
        <w:t xml:space="preserve">A. Para el ejercicio del derecho de acceso a la información, la Federación y las entidades federativas, en el ámbito de sus respectivas competencias, se regirán por los siguientes principios y bases: </w:t>
      </w:r>
    </w:p>
    <w:p w14:paraId="75774430" w14:textId="77777777" w:rsidR="007E16D0" w:rsidRDefault="007E16D0" w:rsidP="00592770">
      <w:pPr>
        <w:pStyle w:val="Textonotapie"/>
        <w:rPr>
          <w:rFonts w:ascii="Arial" w:hAnsi="Arial" w:cs="Arial"/>
          <w:sz w:val="16"/>
          <w:szCs w:val="16"/>
        </w:rPr>
      </w:pPr>
      <w:r w:rsidRPr="00D13DB0">
        <w:rPr>
          <w:rFonts w:ascii="Arial" w:hAnsi="Arial" w:cs="Arial"/>
          <w:sz w:val="16"/>
          <w:szCs w:val="16"/>
        </w:rPr>
        <w:t xml:space="preserve">I. 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w:t>
      </w:r>
      <w:r w:rsidRPr="00360628">
        <w:rPr>
          <w:rFonts w:ascii="Arial" w:hAnsi="Arial" w:cs="Arial"/>
          <w:sz w:val="16"/>
          <w:szCs w:val="16"/>
        </w:rPr>
        <w:t>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7B7FDFCB" w14:textId="77777777" w:rsidR="007E16D0" w:rsidRPr="00360628" w:rsidRDefault="007E16D0" w:rsidP="00592770">
      <w:pPr>
        <w:pStyle w:val="Textonotapie"/>
        <w:rPr>
          <w:rFonts w:ascii="Arial" w:hAnsi="Arial" w:cs="Arial"/>
          <w:sz w:val="16"/>
          <w:szCs w:val="16"/>
        </w:rPr>
      </w:pPr>
      <w:r w:rsidRPr="00EF5307">
        <w:rPr>
          <w:rFonts w:ascii="Arial" w:hAnsi="Arial" w:cs="Arial"/>
          <w:sz w:val="16"/>
          <w:szCs w:val="16"/>
        </w:rPr>
        <w:t>II. La información que se refiere a la vida privada y los datos personales será protegida en los términos y con las excepciones que fijen las leyes. Para tal efecto, los sujetos obligados contarán con las facultades suficientes para su atención. Por lo que hace a la información relacionada con los datos personales en posesión de particulares, la ley a la que se refiere el artículo 90 de esta Constitución determinará la competencia para conocer de los procedimientos relativos a su protección, verificación e imposición de sanciones.</w:t>
      </w:r>
    </w:p>
  </w:footnote>
  <w:footnote w:id="8">
    <w:p w14:paraId="73B96069" w14:textId="77777777" w:rsidR="007E16D0" w:rsidRDefault="007E16D0" w:rsidP="00592770">
      <w:pPr>
        <w:pStyle w:val="Textonotapie"/>
        <w:rPr>
          <w:rFonts w:ascii="Arial" w:hAnsi="Arial" w:cs="Arial"/>
          <w:sz w:val="16"/>
          <w:szCs w:val="16"/>
        </w:rPr>
      </w:pPr>
      <w:r>
        <w:rPr>
          <w:rStyle w:val="Refdenotaalpie"/>
          <w:rFonts w:ascii="Arial" w:hAnsi="Arial" w:cs="Arial"/>
          <w:sz w:val="16"/>
          <w:szCs w:val="16"/>
        </w:rPr>
        <w:footnoteRef/>
      </w:r>
      <w:r>
        <w:rPr>
          <w:rFonts w:ascii="Arial" w:hAnsi="Arial" w:cs="Arial"/>
          <w:sz w:val="16"/>
          <w:szCs w:val="16"/>
        </w:rPr>
        <w:t xml:space="preserve"> Semanario Judicial de la Federación y su Gaceta, Novena Época, Tomo XV, Marzo de 2002, página 1284, Tribunales Colegiados de Circuito, Tesis</w:t>
      </w:r>
      <w:r>
        <w:rPr>
          <w:rFonts w:eastAsiaTheme="minorHAnsi" w:cstheme="minorBidi"/>
          <w:sz w:val="22"/>
          <w:szCs w:val="22"/>
          <w:lang w:eastAsia="en-US"/>
        </w:rPr>
        <w:t xml:space="preserve"> </w:t>
      </w:r>
      <w:r>
        <w:rPr>
          <w:rFonts w:ascii="Arial" w:hAnsi="Arial" w:cs="Arial"/>
          <w:sz w:val="16"/>
          <w:szCs w:val="16"/>
        </w:rPr>
        <w:t>I.4o.A.341 A, Registro: 187637.</w:t>
      </w:r>
    </w:p>
  </w:footnote>
  <w:footnote w:id="9">
    <w:p w14:paraId="29B48B1D" w14:textId="77777777" w:rsidR="007E16D0" w:rsidRPr="004B6CE4" w:rsidRDefault="007E16D0" w:rsidP="00592770">
      <w:pPr>
        <w:pStyle w:val="Textonotapie"/>
        <w:rPr>
          <w:rFonts w:ascii="Arial" w:hAnsi="Arial" w:cs="Arial"/>
          <w:sz w:val="16"/>
          <w:szCs w:val="16"/>
          <w:lang w:val="es-ES"/>
        </w:rPr>
      </w:pPr>
      <w:r w:rsidRPr="0060272A">
        <w:rPr>
          <w:rStyle w:val="Refdenotaalpie"/>
          <w:sz w:val="16"/>
          <w:szCs w:val="16"/>
        </w:rPr>
        <w:footnoteRef/>
      </w:r>
      <w:r>
        <w:rPr>
          <w:sz w:val="16"/>
          <w:szCs w:val="16"/>
        </w:rPr>
        <w:t xml:space="preserve"> </w:t>
      </w:r>
      <w:r w:rsidRPr="004965FC">
        <w:rPr>
          <w:rFonts w:ascii="Arial" w:eastAsia="Calibri" w:hAnsi="Arial" w:cs="Arial"/>
          <w:sz w:val="16"/>
          <w:szCs w:val="16"/>
          <w:lang w:eastAsia="en-US"/>
        </w:rPr>
        <w:t>Art</w:t>
      </w:r>
      <w:r>
        <w:rPr>
          <w:rFonts w:ascii="Arial" w:eastAsia="Calibri" w:hAnsi="Arial" w:cs="Arial"/>
          <w:sz w:val="16"/>
          <w:szCs w:val="16"/>
          <w:lang w:eastAsia="en-US"/>
        </w:rPr>
        <w:t xml:space="preserve">ículo. 16. </w:t>
      </w:r>
      <w:r w:rsidRPr="004965FC">
        <w:rPr>
          <w:rFonts w:ascii="Arial" w:eastAsia="Calibri" w:hAnsi="Arial" w:cs="Arial"/>
          <w:sz w:val="16"/>
          <w:szCs w:val="16"/>
          <w:lang w:eastAsia="en-US"/>
        </w:rPr>
        <w:t xml:space="preserve">Nadie puede ser molestado en su persona, familia, domicilio, papeles o posesiones, sino en virtud de mandamiento escrito de la autoridad competente, que funde y motive la causa legal del procedimiento.” </w:t>
      </w:r>
      <w:r w:rsidRPr="004965FC">
        <w:rPr>
          <w:rFonts w:ascii="Arial" w:hAnsi="Arial" w:cs="Arial"/>
          <w:sz w:val="16"/>
          <w:szCs w:val="16"/>
        </w:rPr>
        <w:t xml:space="preserve">Artículo 16, de la Constitución Política de los Estados Unidos Mexicanos, con última reforma publicada en el Diario Oficial de la Federación, el </w:t>
      </w:r>
      <w:r w:rsidRPr="004B6CE4">
        <w:rPr>
          <w:rFonts w:ascii="Arial" w:hAnsi="Arial" w:cs="Arial"/>
          <w:sz w:val="16"/>
          <w:szCs w:val="16"/>
        </w:rPr>
        <w:t>17 diecisiete de enero de 2025 dos mil veinticinco.</w:t>
      </w:r>
    </w:p>
  </w:footnote>
  <w:footnote w:id="10">
    <w:p w14:paraId="0E49B1D4" w14:textId="77777777" w:rsidR="007E16D0" w:rsidRDefault="007E16D0" w:rsidP="00592770">
      <w:pPr>
        <w:pStyle w:val="Textonotapie"/>
        <w:rPr>
          <w:rFonts w:ascii="Arial" w:hAnsi="Arial" w:cs="Arial"/>
          <w:sz w:val="16"/>
          <w:szCs w:val="16"/>
        </w:rPr>
      </w:pPr>
      <w:r w:rsidRPr="004965FC">
        <w:rPr>
          <w:rStyle w:val="Refdenotaalpie"/>
          <w:rFonts w:ascii="Arial" w:hAnsi="Arial" w:cs="Arial"/>
          <w:sz w:val="16"/>
          <w:szCs w:val="16"/>
        </w:rPr>
        <w:footnoteRef/>
      </w:r>
      <w:r w:rsidRPr="004965FC">
        <w:rPr>
          <w:rFonts w:ascii="Arial" w:hAnsi="Arial" w:cs="Arial"/>
          <w:sz w:val="16"/>
          <w:szCs w:val="16"/>
        </w:rPr>
        <w:t xml:space="preserve"> ARTÍCULO 164. Son elementos del acto administrativo: </w:t>
      </w:r>
    </w:p>
    <w:p w14:paraId="3C37C0C5" w14:textId="77777777" w:rsidR="007E16D0" w:rsidRDefault="007E16D0" w:rsidP="00592770">
      <w:pPr>
        <w:pStyle w:val="Textonotapie"/>
        <w:rPr>
          <w:rFonts w:ascii="Arial" w:hAnsi="Arial" w:cs="Arial"/>
          <w:sz w:val="16"/>
          <w:szCs w:val="16"/>
        </w:rPr>
      </w:pPr>
      <w:r w:rsidRPr="004965FC">
        <w:rPr>
          <w:rFonts w:ascii="Arial" w:hAnsi="Arial" w:cs="Arial"/>
          <w:sz w:val="16"/>
          <w:szCs w:val="16"/>
        </w:rPr>
        <w:t xml:space="preserve">I. Ser expedido por autoridades competentes, a través de servidor público u órgano colegiado facultados para tal efecto, y en términos de las disposiciones jurídicas aplicables; </w:t>
      </w:r>
    </w:p>
    <w:p w14:paraId="41EB2C98" w14:textId="77777777" w:rsidR="007E16D0" w:rsidRDefault="007E16D0" w:rsidP="00592770">
      <w:pPr>
        <w:pStyle w:val="Textonotapie"/>
        <w:rPr>
          <w:rFonts w:ascii="Arial" w:hAnsi="Arial" w:cs="Arial"/>
          <w:sz w:val="16"/>
          <w:szCs w:val="16"/>
        </w:rPr>
      </w:pPr>
      <w:r w:rsidRPr="004965FC">
        <w:rPr>
          <w:rFonts w:ascii="Arial" w:hAnsi="Arial" w:cs="Arial"/>
          <w:sz w:val="16"/>
          <w:szCs w:val="16"/>
        </w:rPr>
        <w:t xml:space="preserve">II. Que su objeto esté previsto por el ordenamiento jurídico aplicable, determinado o determinable y preciso en cuanto a las circunstancias de tiempo y lugar; </w:t>
      </w:r>
    </w:p>
    <w:p w14:paraId="761A93B0" w14:textId="77777777" w:rsidR="007E16D0" w:rsidRDefault="007E16D0" w:rsidP="00592770">
      <w:pPr>
        <w:pStyle w:val="Textonotapie"/>
        <w:rPr>
          <w:rFonts w:ascii="Arial" w:hAnsi="Arial" w:cs="Arial"/>
          <w:sz w:val="16"/>
          <w:szCs w:val="16"/>
        </w:rPr>
      </w:pPr>
      <w:r w:rsidRPr="004965FC">
        <w:rPr>
          <w:rFonts w:ascii="Arial" w:hAnsi="Arial" w:cs="Arial"/>
          <w:sz w:val="16"/>
          <w:szCs w:val="16"/>
        </w:rPr>
        <w:t xml:space="preserve">III. Cumplir con la finalidad de interés público, derivado de las normas jurídicas que regulen la materia; </w:t>
      </w:r>
    </w:p>
    <w:p w14:paraId="74A0CA49" w14:textId="77777777" w:rsidR="007E16D0" w:rsidRDefault="007E16D0" w:rsidP="00592770">
      <w:pPr>
        <w:pStyle w:val="Textonotapie"/>
        <w:rPr>
          <w:rFonts w:ascii="Arial" w:hAnsi="Arial" w:cs="Arial"/>
          <w:sz w:val="16"/>
          <w:szCs w:val="16"/>
        </w:rPr>
      </w:pPr>
      <w:r w:rsidRPr="004965FC">
        <w:rPr>
          <w:rFonts w:ascii="Arial" w:hAnsi="Arial" w:cs="Arial"/>
          <w:sz w:val="16"/>
          <w:szCs w:val="16"/>
        </w:rPr>
        <w:t xml:space="preserve">IV. Constar por escrito, indicando la autoridad de que emana; </w:t>
      </w:r>
    </w:p>
    <w:p w14:paraId="577D3C64" w14:textId="77777777" w:rsidR="007E16D0" w:rsidRDefault="007E16D0" w:rsidP="00592770">
      <w:pPr>
        <w:pStyle w:val="Textonotapie"/>
        <w:rPr>
          <w:rFonts w:ascii="Arial" w:hAnsi="Arial" w:cs="Arial"/>
          <w:sz w:val="16"/>
          <w:szCs w:val="16"/>
        </w:rPr>
      </w:pPr>
      <w:r w:rsidRPr="004965FC">
        <w:rPr>
          <w:rFonts w:ascii="Arial" w:hAnsi="Arial" w:cs="Arial"/>
          <w:sz w:val="16"/>
          <w:szCs w:val="16"/>
        </w:rPr>
        <w:t xml:space="preserve">V. Estar fundado y motivado; </w:t>
      </w:r>
      <w:r>
        <w:rPr>
          <w:rFonts w:ascii="Arial" w:hAnsi="Arial" w:cs="Arial"/>
          <w:sz w:val="16"/>
          <w:szCs w:val="16"/>
        </w:rPr>
        <w:t>y</w:t>
      </w:r>
    </w:p>
    <w:p w14:paraId="7A82BB7D" w14:textId="77777777" w:rsidR="007E16D0" w:rsidRPr="008F0B57" w:rsidRDefault="007E16D0" w:rsidP="00592770">
      <w:pPr>
        <w:pStyle w:val="Textonotapie"/>
        <w:rPr>
          <w:rFonts w:ascii="Arial" w:hAnsi="Arial" w:cs="Arial"/>
          <w:sz w:val="16"/>
          <w:szCs w:val="16"/>
        </w:rPr>
      </w:pPr>
      <w:r w:rsidRPr="004965FC">
        <w:rPr>
          <w:rFonts w:ascii="Arial" w:hAnsi="Arial" w:cs="Arial"/>
          <w:sz w:val="16"/>
          <w:szCs w:val="16"/>
        </w:rPr>
        <w:t xml:space="preserve">VI. Ser </w:t>
      </w:r>
      <w:r w:rsidRPr="008F0B57">
        <w:rPr>
          <w:rFonts w:ascii="Arial" w:hAnsi="Arial" w:cs="Arial"/>
          <w:sz w:val="16"/>
          <w:szCs w:val="16"/>
        </w:rPr>
        <w:t xml:space="preserve">expedido sin que </w:t>
      </w:r>
      <w:r>
        <w:rPr>
          <w:rFonts w:ascii="Arial" w:hAnsi="Arial" w:cs="Arial"/>
          <w:sz w:val="16"/>
          <w:szCs w:val="16"/>
        </w:rPr>
        <w:t>medie</w:t>
      </w:r>
      <w:r w:rsidRPr="008F0B57">
        <w:rPr>
          <w:rFonts w:ascii="Arial" w:hAnsi="Arial" w:cs="Arial"/>
          <w:sz w:val="16"/>
          <w:szCs w:val="16"/>
        </w:rPr>
        <w:t xml:space="preserve"> error de hecho o de derecho sobre el objeto, causa o motivo,</w:t>
      </w:r>
      <w:r>
        <w:rPr>
          <w:rFonts w:ascii="Arial" w:hAnsi="Arial" w:cs="Arial"/>
          <w:sz w:val="16"/>
          <w:szCs w:val="16"/>
        </w:rPr>
        <w:t xml:space="preserve"> o fin del acto y su emisión, </w:t>
      </w:r>
      <w:r w:rsidRPr="008F0B57">
        <w:rPr>
          <w:rFonts w:ascii="Arial" w:hAnsi="Arial" w:cs="Arial"/>
          <w:sz w:val="16"/>
          <w:szCs w:val="16"/>
        </w:rPr>
        <w:t>VII. Ser expedido sin que medie dolo o violencia en su emisión.</w:t>
      </w:r>
    </w:p>
  </w:footnote>
  <w:footnote w:id="11">
    <w:p w14:paraId="045FB196" w14:textId="77777777" w:rsidR="007E16D0" w:rsidRDefault="007E16D0" w:rsidP="00592770">
      <w:pPr>
        <w:pStyle w:val="Textonotapie"/>
        <w:rPr>
          <w:rFonts w:ascii="Arial" w:hAnsi="Arial" w:cs="Arial"/>
          <w:sz w:val="16"/>
          <w:szCs w:val="16"/>
        </w:rPr>
      </w:pPr>
      <w:r w:rsidRPr="008F0B57">
        <w:rPr>
          <w:rStyle w:val="Refdenotaalpie"/>
          <w:rFonts w:ascii="Arial" w:hAnsi="Arial" w:cs="Arial"/>
          <w:sz w:val="16"/>
          <w:szCs w:val="16"/>
        </w:rPr>
        <w:footnoteRef/>
      </w:r>
      <w:r w:rsidRPr="008F0B57">
        <w:rPr>
          <w:rFonts w:ascii="Arial" w:hAnsi="Arial" w:cs="Arial"/>
          <w:sz w:val="16"/>
          <w:szCs w:val="16"/>
        </w:rPr>
        <w:t xml:space="preserve"> ARTÍCULO 165. Son requisitos del acto administrativo: </w:t>
      </w:r>
    </w:p>
    <w:p w14:paraId="662C6EAD" w14:textId="77777777" w:rsidR="007E16D0" w:rsidRDefault="007E16D0" w:rsidP="00592770">
      <w:pPr>
        <w:pStyle w:val="Textonotapie"/>
        <w:rPr>
          <w:rFonts w:ascii="Arial" w:hAnsi="Arial" w:cs="Arial"/>
          <w:sz w:val="16"/>
          <w:szCs w:val="16"/>
        </w:rPr>
      </w:pPr>
      <w:r w:rsidRPr="008F0B57">
        <w:rPr>
          <w:rFonts w:ascii="Arial" w:hAnsi="Arial" w:cs="Arial"/>
          <w:sz w:val="16"/>
          <w:szCs w:val="16"/>
        </w:rPr>
        <w:t xml:space="preserve">I. Que cumpla con las formalidades del procedimiento; </w:t>
      </w:r>
    </w:p>
    <w:p w14:paraId="519EE2F9" w14:textId="77777777" w:rsidR="007E16D0" w:rsidRDefault="007E16D0" w:rsidP="00592770">
      <w:pPr>
        <w:pStyle w:val="Textonotapie"/>
        <w:rPr>
          <w:rFonts w:ascii="Arial" w:hAnsi="Arial" w:cs="Arial"/>
          <w:sz w:val="16"/>
          <w:szCs w:val="16"/>
        </w:rPr>
      </w:pPr>
      <w:r w:rsidRPr="008F0B57">
        <w:rPr>
          <w:rFonts w:ascii="Arial" w:hAnsi="Arial" w:cs="Arial"/>
          <w:sz w:val="16"/>
          <w:szCs w:val="16"/>
        </w:rPr>
        <w:t xml:space="preserve">II. Que se encuentre adecuadamente fundado y motivado; </w:t>
      </w:r>
    </w:p>
    <w:p w14:paraId="57765B86" w14:textId="77777777" w:rsidR="007E16D0" w:rsidRDefault="007E16D0" w:rsidP="00592770">
      <w:pPr>
        <w:pStyle w:val="Textonotapie"/>
        <w:rPr>
          <w:rFonts w:ascii="Arial" w:hAnsi="Arial" w:cs="Arial"/>
          <w:sz w:val="16"/>
          <w:szCs w:val="16"/>
        </w:rPr>
      </w:pPr>
      <w:r w:rsidRPr="008F0B57">
        <w:rPr>
          <w:rFonts w:ascii="Arial" w:hAnsi="Arial" w:cs="Arial"/>
          <w:sz w:val="16"/>
          <w:szCs w:val="16"/>
        </w:rPr>
        <w:t xml:space="preserve">III. Que se expida de manera congruente con lo solicitado y resolver expresamente todos los puntos propuestos por el interesado o previstos por las normas. </w:t>
      </w:r>
    </w:p>
    <w:p w14:paraId="72A20130" w14:textId="77777777" w:rsidR="007E16D0" w:rsidRDefault="007E16D0" w:rsidP="00592770">
      <w:pPr>
        <w:pStyle w:val="Textonotapie"/>
        <w:rPr>
          <w:rFonts w:ascii="Arial" w:hAnsi="Arial" w:cs="Arial"/>
          <w:sz w:val="16"/>
          <w:szCs w:val="16"/>
        </w:rPr>
      </w:pPr>
      <w:r w:rsidRPr="008F0B57">
        <w:rPr>
          <w:rFonts w:ascii="Arial" w:hAnsi="Arial" w:cs="Arial"/>
          <w:sz w:val="16"/>
          <w:szCs w:val="16"/>
        </w:rPr>
        <w:t xml:space="preserve">IV. Que en su expedición se señale lugar y fecha de emisión; </w:t>
      </w:r>
    </w:p>
    <w:p w14:paraId="4C1482A7" w14:textId="77777777" w:rsidR="007E16D0" w:rsidRDefault="007E16D0" w:rsidP="00592770">
      <w:pPr>
        <w:pStyle w:val="Textonotapie"/>
        <w:rPr>
          <w:rFonts w:ascii="Arial" w:hAnsi="Arial" w:cs="Arial"/>
          <w:sz w:val="16"/>
          <w:szCs w:val="16"/>
        </w:rPr>
      </w:pPr>
      <w:r w:rsidRPr="008F0B57">
        <w:rPr>
          <w:rFonts w:ascii="Arial" w:hAnsi="Arial" w:cs="Arial"/>
          <w:sz w:val="16"/>
          <w:szCs w:val="16"/>
        </w:rPr>
        <w:t xml:space="preserve">V. Tratándose de actos administrativos que deban notificarse deberá hacerse mención de la oficina en que se encuentra y pueda ser consultado el expediente respectivo, y </w:t>
      </w:r>
    </w:p>
    <w:p w14:paraId="49E51004" w14:textId="77777777" w:rsidR="007E16D0" w:rsidRPr="008F0B57" w:rsidRDefault="007E16D0" w:rsidP="00592770">
      <w:pPr>
        <w:pStyle w:val="Textonotapie"/>
        <w:rPr>
          <w:rFonts w:ascii="Arial" w:hAnsi="Arial" w:cs="Arial"/>
          <w:sz w:val="16"/>
          <w:szCs w:val="16"/>
        </w:rPr>
      </w:pPr>
      <w:r w:rsidRPr="008F0B57">
        <w:rPr>
          <w:rFonts w:ascii="Arial" w:hAnsi="Arial" w:cs="Arial"/>
          <w:sz w:val="16"/>
          <w:szCs w:val="16"/>
        </w:rPr>
        <w:t>VI. Tratándose de actos administrativos recurribles, deberá mencionarse el recurso que proceda y el término con que se cuenta para interponerlo, así como la autoridad ante la cual puede ser presentado. […]”.</w:t>
      </w:r>
    </w:p>
  </w:footnote>
  <w:footnote w:id="12">
    <w:p w14:paraId="73A45100" w14:textId="77777777" w:rsidR="007E16D0" w:rsidRPr="003D22C9" w:rsidRDefault="007E16D0" w:rsidP="00592770">
      <w:pPr>
        <w:pStyle w:val="Textonotapie"/>
        <w:rPr>
          <w:rFonts w:ascii="Arial" w:hAnsi="Arial" w:cs="Arial"/>
          <w:sz w:val="16"/>
          <w:szCs w:val="16"/>
        </w:rPr>
      </w:pPr>
      <w:r w:rsidRPr="00557FA0">
        <w:rPr>
          <w:rStyle w:val="Refdenotaalpie"/>
          <w:rFonts w:ascii="Arial" w:hAnsi="Arial" w:cs="Arial"/>
          <w:sz w:val="16"/>
          <w:szCs w:val="16"/>
        </w:rPr>
        <w:footnoteRef/>
      </w:r>
      <w:r w:rsidRPr="00557FA0">
        <w:rPr>
          <w:rFonts w:ascii="Arial" w:hAnsi="Arial" w:cs="Arial"/>
          <w:sz w:val="16"/>
          <w:szCs w:val="16"/>
        </w:rPr>
        <w:t xml:space="preserve"> Cfr. Jurisprudencia número </w:t>
      </w:r>
      <w:r>
        <w:rPr>
          <w:rFonts w:ascii="Arial" w:hAnsi="Arial" w:cs="Arial"/>
          <w:sz w:val="16"/>
          <w:szCs w:val="16"/>
        </w:rPr>
        <w:t>VI. 2o. J/248</w:t>
      </w:r>
      <w:r w:rsidRPr="00557FA0">
        <w:rPr>
          <w:rFonts w:ascii="Arial" w:hAnsi="Arial" w:cs="Arial"/>
          <w:sz w:val="16"/>
          <w:szCs w:val="16"/>
        </w:rPr>
        <w:t xml:space="preserve">, visible en la Octava Época, de la Gaceta del Semanario Judicial de la </w:t>
      </w:r>
      <w:r w:rsidRPr="003D22C9">
        <w:rPr>
          <w:rFonts w:ascii="Arial" w:hAnsi="Arial" w:cs="Arial"/>
          <w:sz w:val="16"/>
          <w:szCs w:val="16"/>
        </w:rPr>
        <w:t>Federación, Núm. 64, Abril de 1993, página 43. Instancia: Tribunales Colegiados de Circuito, con Registro electrónico: 216534.</w:t>
      </w:r>
    </w:p>
  </w:footnote>
  <w:footnote w:id="13">
    <w:p w14:paraId="2D95C97C" w14:textId="77777777" w:rsidR="007E16D0" w:rsidRPr="00C36858" w:rsidRDefault="007E16D0" w:rsidP="0059752F">
      <w:pPr>
        <w:pStyle w:val="Textonotapie"/>
        <w:rPr>
          <w:rFonts w:ascii="Arial" w:hAnsi="Arial" w:cs="Arial"/>
          <w:sz w:val="16"/>
          <w:szCs w:val="16"/>
        </w:rPr>
      </w:pPr>
      <w:r w:rsidRPr="00C36858">
        <w:rPr>
          <w:rStyle w:val="Refdenotaalpie"/>
          <w:rFonts w:ascii="Arial" w:hAnsi="Arial" w:cs="Arial"/>
          <w:sz w:val="16"/>
          <w:szCs w:val="16"/>
        </w:rPr>
        <w:footnoteRef/>
      </w:r>
      <w:r w:rsidRPr="00C36858">
        <w:rPr>
          <w:rFonts w:ascii="Arial" w:hAnsi="Arial" w:cs="Arial"/>
          <w:sz w:val="16"/>
          <w:szCs w:val="16"/>
        </w:rPr>
        <w:t xml:space="preserve"> Artículo 17 […]</w:t>
      </w:r>
    </w:p>
    <w:p w14:paraId="665F55B0" w14:textId="77777777" w:rsidR="007E16D0" w:rsidRPr="00C36858" w:rsidRDefault="007E16D0" w:rsidP="0059752F">
      <w:pPr>
        <w:pStyle w:val="Textonotapie"/>
        <w:rPr>
          <w:rFonts w:ascii="Arial" w:hAnsi="Arial" w:cs="Arial"/>
          <w:sz w:val="16"/>
          <w:szCs w:val="16"/>
        </w:rPr>
      </w:pPr>
      <w:r w:rsidRPr="00C36858">
        <w:rPr>
          <w:rFonts w:ascii="Arial" w:hAnsi="Arial" w:cs="Arial"/>
          <w:sz w:val="16"/>
          <w:szCs w:val="16"/>
        </w:rPr>
        <w:t>III. El sistema para garantizar el acceso a la información pública. En el Estado de San Luis Potosí es derecho humano de todas las personas, conocer y acceder a la información pública</w:t>
      </w:r>
      <w:r w:rsidRPr="00C36858">
        <w:rPr>
          <w:rFonts w:ascii="Arial" w:hAnsi="Arial" w:cs="Arial"/>
          <w:b/>
          <w:sz w:val="16"/>
          <w:szCs w:val="16"/>
        </w:rPr>
        <w:t>, con las excepciones previstas en esta Constitución, y en la ley de la materia.</w:t>
      </w:r>
      <w:r>
        <w:rPr>
          <w:rFonts w:ascii="Arial" w:hAnsi="Arial" w:cs="Arial"/>
          <w:b/>
          <w:sz w:val="16"/>
          <w:szCs w:val="16"/>
        </w:rPr>
        <w:t xml:space="preserve"> </w:t>
      </w:r>
      <w:r w:rsidRPr="00C36858">
        <w:rPr>
          <w:rFonts w:ascii="Arial" w:hAnsi="Arial" w:cs="Arial"/>
          <w:sz w:val="16"/>
          <w:szCs w:val="16"/>
        </w:rPr>
        <w:t xml:space="preserve">Toda persona tiene el derecho a acceder a la información sobre sí misma o sus bienes, asentada en archivos, bases de datos y registros públicos o privados de quienes tengan el carácter de entes obligados conforme a la ley; así como a actualizar, rectificar, suprimir o mantener en reserva dicha información, en los términos de la ley. En cualquier caso, </w:t>
      </w:r>
      <w:r w:rsidRPr="00C36858">
        <w:rPr>
          <w:rFonts w:ascii="Arial" w:hAnsi="Arial" w:cs="Arial"/>
          <w:b/>
          <w:sz w:val="16"/>
          <w:szCs w:val="16"/>
        </w:rPr>
        <w:t>la ley protegerá a las personas contra cualquier lesión en sus derechos, resultante del tratamiento de sus-datos personales.</w:t>
      </w:r>
    </w:p>
  </w:footnote>
  <w:footnote w:id="14">
    <w:p w14:paraId="72673141" w14:textId="77777777" w:rsidR="007E16D0" w:rsidRPr="00F93781" w:rsidRDefault="007E16D0" w:rsidP="0059752F">
      <w:pPr>
        <w:pStyle w:val="Textonotapie"/>
        <w:rPr>
          <w:rFonts w:ascii="Arial" w:hAnsi="Arial" w:cs="Arial"/>
          <w:sz w:val="16"/>
          <w:szCs w:val="16"/>
        </w:rPr>
      </w:pPr>
      <w:r w:rsidRPr="00F93781">
        <w:rPr>
          <w:rStyle w:val="Refdenotaalpie"/>
          <w:rFonts w:ascii="Arial" w:hAnsi="Arial" w:cs="Arial"/>
          <w:sz w:val="16"/>
          <w:szCs w:val="16"/>
        </w:rPr>
        <w:footnoteRef/>
      </w:r>
      <w:r w:rsidRPr="00F93781">
        <w:rPr>
          <w:rFonts w:ascii="Arial" w:hAnsi="Arial" w:cs="Arial"/>
          <w:sz w:val="16"/>
          <w:szCs w:val="16"/>
        </w:rPr>
        <w:t xml:space="preserve"> ARTÍCULO 1°. La presente Ley es de orden público y de observancia general en el Estado de San Luis Potosí. Este Ordenamiento es reglamentario de la fracción III del artículo 17 de la Constitución Política del Estado, y acorde a lo previsto en el artículo 6° de la Constitución Política de los Estados Unidos Mexicanos, y la Ley General de Transparencia y Acceso a la Información Pública.</w:t>
      </w:r>
    </w:p>
    <w:p w14:paraId="7BD96F2A" w14:textId="77777777" w:rsidR="007E16D0" w:rsidRPr="00F93781" w:rsidRDefault="007E16D0" w:rsidP="0059752F">
      <w:pPr>
        <w:pStyle w:val="Textonotapie"/>
        <w:rPr>
          <w:rFonts w:ascii="Arial" w:hAnsi="Arial" w:cs="Arial"/>
          <w:sz w:val="16"/>
          <w:szCs w:val="16"/>
        </w:rPr>
      </w:pPr>
      <w:r w:rsidRPr="00F93781">
        <w:rPr>
          <w:rFonts w:ascii="Arial" w:hAnsi="Arial" w:cs="Arial"/>
          <w:sz w:val="16"/>
          <w:szCs w:val="16"/>
        </w:rPr>
        <w:t>Tiene por objeto transparentar el ejercicio de la función pública y establecer los principios, bases generales y procedimientos para garantizar a toda persona el derecho humano de acceso a la información en posesión de cualquier autoridad, entidad, órgano y organismo de los poderes, Legislativo; Ejecutivo; y Judicial; organismos autónomos; partidos políticos; fideicomisos y fondos públicos; así como de cualquier persona física, moral o sindicato que reciba y ejerza recursos públicos o realice actos de autoridad en el ámbito estatal y municipal.</w:t>
      </w:r>
    </w:p>
    <w:p w14:paraId="5F8A9578" w14:textId="77777777" w:rsidR="007E16D0" w:rsidRPr="00F93781" w:rsidRDefault="007E16D0" w:rsidP="0059752F">
      <w:pPr>
        <w:pStyle w:val="Textonotapie"/>
        <w:rPr>
          <w:rFonts w:ascii="Arial" w:hAnsi="Arial" w:cs="Arial"/>
          <w:sz w:val="16"/>
          <w:szCs w:val="16"/>
        </w:rPr>
      </w:pPr>
      <w:r w:rsidRPr="00F93781">
        <w:rPr>
          <w:rFonts w:ascii="Arial" w:hAnsi="Arial" w:cs="Arial"/>
          <w:sz w:val="16"/>
          <w:szCs w:val="16"/>
        </w:rPr>
        <w:t>La Ley General de Transparencia y Acceso a la Información Pública, los lineamientos que determine el Sistema Nacional de Transparencia, la Constitución Política del Estado de San Luis Potosí, la Ley de Responsabilidades Administrativas para el Estado de San Luis Potosí, el Código Procesal Administrativo para el Estado de San Luis Potosí, y demás disposiciones relacionadas con el derecho de acceso a la información y la protección de datos personales, se aplicarán de manera supletoria en lo no previsto por esta Ley.</w:t>
      </w:r>
    </w:p>
  </w:footnote>
  <w:footnote w:id="15">
    <w:p w14:paraId="6294F622" w14:textId="77777777" w:rsidR="007E16D0" w:rsidRPr="006816CB" w:rsidRDefault="007E16D0" w:rsidP="0059752F">
      <w:pPr>
        <w:pStyle w:val="Textonotapie"/>
        <w:rPr>
          <w:rFonts w:ascii="Arial" w:hAnsi="Arial" w:cs="Arial"/>
          <w:sz w:val="16"/>
          <w:szCs w:val="16"/>
        </w:rPr>
      </w:pPr>
      <w:r>
        <w:rPr>
          <w:rStyle w:val="Refdenotaalpie"/>
        </w:rPr>
        <w:footnoteRef/>
      </w:r>
      <w:r>
        <w:t xml:space="preserve"> </w:t>
      </w:r>
      <w:r w:rsidRPr="006816CB">
        <w:rPr>
          <w:rFonts w:ascii="Arial" w:hAnsi="Arial" w:cs="Arial"/>
          <w:iCs/>
          <w:sz w:val="16"/>
          <w:szCs w:val="16"/>
        </w:rPr>
        <w:t>ARTÍCULO 4°. El derecho humano de acceso a la información comprende solicitar, investigar, difundir, buscar y recibir información.</w:t>
      </w:r>
      <w:r w:rsidRPr="006816CB">
        <w:rPr>
          <w:rFonts w:ascii="Arial" w:hAnsi="Arial" w:cs="Arial"/>
          <w:bCs/>
          <w:iCs/>
          <w:sz w:val="16"/>
          <w:szCs w:val="16"/>
        </w:rPr>
        <w:t xml:space="preserve"> Toda la información generada, obtenida, adquirida, transformada o en posesión de los sujetos obligados es pública y accesible a cualquier persona en los términos y condiciones que se establezcan en la Ley</w:t>
      </w:r>
      <w:r w:rsidRPr="006816CB">
        <w:rPr>
          <w:rFonts w:ascii="Arial" w:hAnsi="Arial" w:cs="Arial"/>
          <w:iCs/>
          <w:sz w:val="16"/>
          <w:szCs w:val="16"/>
        </w:rPr>
        <w:t xml:space="preserve"> General; en los tratados internacionales de los que el Estado mexicano sea parte; la esta Ley; y la normatividad aplicable en sus respectivas competencias, </w:t>
      </w:r>
      <w:r w:rsidRPr="006816CB">
        <w:rPr>
          <w:rFonts w:ascii="Arial" w:hAnsi="Arial" w:cs="Arial"/>
          <w:bCs/>
          <w:iCs/>
          <w:sz w:val="16"/>
          <w:szCs w:val="16"/>
        </w:rPr>
        <w:t>sólo podrá ser clasificada excepcionalmente en los términos que fija la ley</w:t>
      </w:r>
    </w:p>
  </w:footnote>
  <w:footnote w:id="16">
    <w:p w14:paraId="07B35284" w14:textId="77777777" w:rsidR="007E16D0" w:rsidRPr="00254BCC" w:rsidRDefault="007E16D0" w:rsidP="0059752F">
      <w:pPr>
        <w:pStyle w:val="Textonotapie"/>
        <w:rPr>
          <w:rFonts w:ascii="Arial" w:hAnsi="Arial" w:cs="Arial"/>
          <w:sz w:val="16"/>
          <w:szCs w:val="16"/>
        </w:rPr>
      </w:pPr>
      <w:r w:rsidRPr="00254BCC">
        <w:rPr>
          <w:rStyle w:val="Refdenotaalpie"/>
          <w:rFonts w:ascii="Arial" w:hAnsi="Arial" w:cs="Arial"/>
          <w:sz w:val="16"/>
          <w:szCs w:val="16"/>
        </w:rPr>
        <w:footnoteRef/>
      </w:r>
      <w:r w:rsidRPr="00254BCC">
        <w:rPr>
          <w:rFonts w:ascii="Arial" w:hAnsi="Arial" w:cs="Arial"/>
          <w:sz w:val="16"/>
          <w:szCs w:val="16"/>
        </w:rPr>
        <w:t xml:space="preserve"> Artículo 8. […]</w:t>
      </w:r>
    </w:p>
    <w:p w14:paraId="05715578" w14:textId="77777777" w:rsidR="007E16D0" w:rsidRPr="00254BCC" w:rsidRDefault="007E16D0" w:rsidP="0059752F">
      <w:pPr>
        <w:pStyle w:val="Textonotapie"/>
        <w:rPr>
          <w:rFonts w:ascii="Arial" w:hAnsi="Arial" w:cs="Arial"/>
          <w:sz w:val="16"/>
          <w:szCs w:val="16"/>
        </w:rPr>
      </w:pPr>
      <w:r>
        <w:t xml:space="preserve"> </w:t>
      </w:r>
      <w:r w:rsidRPr="00254BCC">
        <w:rPr>
          <w:rFonts w:ascii="Arial" w:hAnsi="Arial" w:cs="Arial"/>
          <w:sz w:val="16"/>
          <w:szCs w:val="16"/>
        </w:rPr>
        <w:t>VI. Máxima Publicidad: toda la información en posesión de los sujetos obligados será pública, completa, oportuna y accesible, sujeta a un claro régimen de excepciones que deberán estar definidas y ser además legítimas y estrictamente necesarias en una sociedad democrática;</w:t>
      </w:r>
    </w:p>
  </w:footnote>
  <w:footnote w:id="17">
    <w:p w14:paraId="67E882F4" w14:textId="77777777" w:rsidR="007E16D0" w:rsidRPr="004F5146" w:rsidRDefault="007E16D0" w:rsidP="0059752F">
      <w:pPr>
        <w:pStyle w:val="Textonotapie"/>
        <w:rPr>
          <w:rFonts w:ascii="Arial" w:hAnsi="Arial" w:cs="Arial"/>
          <w:sz w:val="16"/>
          <w:szCs w:val="16"/>
        </w:rPr>
      </w:pPr>
      <w:r w:rsidRPr="00BB51BC">
        <w:rPr>
          <w:rStyle w:val="Refdenotaalpie"/>
          <w:rFonts w:ascii="Arial" w:hAnsi="Arial" w:cs="Arial"/>
          <w:sz w:val="16"/>
          <w:szCs w:val="16"/>
        </w:rPr>
        <w:footnoteRef/>
      </w:r>
      <w:r w:rsidRPr="00BB51BC">
        <w:rPr>
          <w:rFonts w:ascii="Arial" w:hAnsi="Arial" w:cs="Arial"/>
          <w:sz w:val="16"/>
          <w:szCs w:val="16"/>
        </w:rPr>
        <w:t xml:space="preserve"> ARTÍCULO 113. Las figuras jurídicas de excepción al derecho de acceso a la información pública, son las de información </w:t>
      </w:r>
      <w:r w:rsidRPr="004F5146">
        <w:rPr>
          <w:rFonts w:ascii="Arial" w:hAnsi="Arial" w:cs="Arial"/>
          <w:sz w:val="16"/>
          <w:szCs w:val="16"/>
        </w:rPr>
        <w:t>reservada, e información confidencial.</w:t>
      </w:r>
    </w:p>
  </w:footnote>
  <w:footnote w:id="18">
    <w:p w14:paraId="5DF4CAD7" w14:textId="77777777" w:rsidR="007E16D0" w:rsidRPr="004F5146" w:rsidRDefault="007E16D0" w:rsidP="0059752F">
      <w:pPr>
        <w:pStyle w:val="Estilo"/>
        <w:rPr>
          <w:rFonts w:cs="Arial"/>
          <w:sz w:val="16"/>
          <w:szCs w:val="16"/>
        </w:rPr>
      </w:pPr>
      <w:r w:rsidRPr="004F5146">
        <w:rPr>
          <w:rStyle w:val="Refdenotaalpie"/>
          <w:rFonts w:cs="Arial"/>
          <w:sz w:val="16"/>
          <w:szCs w:val="16"/>
        </w:rPr>
        <w:footnoteRef/>
      </w:r>
      <w:r w:rsidRPr="004F5146">
        <w:rPr>
          <w:rFonts w:cs="Arial"/>
          <w:sz w:val="16"/>
          <w:szCs w:val="16"/>
        </w:rPr>
        <w:t xml:space="preserve"> “ARTÍCULO 138. Se considera información confidencial la que contiene datos personales concernientes a una persona identificada o identificable</w:t>
      </w:r>
      <w:r>
        <w:rPr>
          <w:rFonts w:cs="Arial"/>
          <w:sz w:val="16"/>
          <w:szCs w:val="16"/>
        </w:rPr>
        <w:t xml:space="preserve">. </w:t>
      </w:r>
      <w:r w:rsidRPr="004F5146">
        <w:rPr>
          <w:rFonts w:cs="Arial"/>
          <w:sz w:val="16"/>
          <w:szCs w:val="16"/>
        </w:rPr>
        <w:t xml:space="preserve">La información confidencial no estará sujeta a temporalidad alguna y sólo podrán tener acceso a ella los titulares de la misma, sus representantes y los Servidores Públicos facultados para ello. </w:t>
      </w:r>
    </w:p>
  </w:footnote>
  <w:footnote w:id="19">
    <w:p w14:paraId="13169225" w14:textId="77777777" w:rsidR="007E16D0" w:rsidRPr="004F5146" w:rsidRDefault="007E16D0" w:rsidP="0059752F">
      <w:pPr>
        <w:pStyle w:val="Textonotapie"/>
        <w:rPr>
          <w:rFonts w:ascii="Arial" w:hAnsi="Arial" w:cs="Arial"/>
          <w:sz w:val="16"/>
          <w:szCs w:val="16"/>
        </w:rPr>
      </w:pPr>
      <w:r w:rsidRPr="004F5146">
        <w:rPr>
          <w:rStyle w:val="Refdenotaalpie"/>
          <w:rFonts w:ascii="Arial" w:hAnsi="Arial" w:cs="Arial"/>
          <w:sz w:val="16"/>
          <w:szCs w:val="16"/>
        </w:rPr>
        <w:footnoteRef/>
      </w:r>
      <w:r w:rsidRPr="004F5146">
        <w:rPr>
          <w:rFonts w:ascii="Arial" w:hAnsi="Arial" w:cs="Arial"/>
          <w:sz w:val="16"/>
          <w:szCs w:val="16"/>
        </w:rPr>
        <w:t xml:space="preserve"> ARTÍCULO 138.</w:t>
      </w:r>
      <w:r>
        <w:rPr>
          <w:rFonts w:ascii="Arial" w:hAnsi="Arial" w:cs="Arial"/>
          <w:sz w:val="16"/>
          <w:szCs w:val="16"/>
        </w:rPr>
        <w:t xml:space="preserve"> […] </w:t>
      </w:r>
      <w:r w:rsidRPr="004F5146">
        <w:rPr>
          <w:rFonts w:ascii="Arial" w:hAnsi="Arial" w:cs="Arial"/>
          <w:sz w:val="16"/>
          <w:szCs w:val="16"/>
        </w:rPr>
        <w:t xml:space="preserve">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63F14877" w14:textId="77777777" w:rsidR="007E16D0" w:rsidRPr="00855C4E" w:rsidRDefault="007E16D0" w:rsidP="0059752F">
      <w:pPr>
        <w:pStyle w:val="Textonotapie"/>
        <w:rPr>
          <w:rFonts w:ascii="Arial" w:hAnsi="Arial" w:cs="Arial"/>
          <w:sz w:val="16"/>
          <w:szCs w:val="16"/>
        </w:rPr>
      </w:pPr>
      <w:r w:rsidRPr="004F5146">
        <w:rPr>
          <w:rFonts w:ascii="Arial" w:hAnsi="Arial" w:cs="Arial"/>
          <w:sz w:val="16"/>
          <w:szCs w:val="16"/>
        </w:rPr>
        <w:t xml:space="preserve">Asimismo, será información confidencial aquella que presenten los particulares a los sujetos obligados, siempre que </w:t>
      </w:r>
      <w:r w:rsidRPr="00855C4E">
        <w:rPr>
          <w:rFonts w:ascii="Arial" w:hAnsi="Arial" w:cs="Arial"/>
          <w:sz w:val="16"/>
          <w:szCs w:val="16"/>
        </w:rPr>
        <w:t>tengan el derecho a ello, de conformidad con lo dispuesto por las leyes o los tratados internacionales.</w:t>
      </w:r>
    </w:p>
  </w:footnote>
  <w:footnote w:id="20">
    <w:p w14:paraId="3A75F1D2" w14:textId="77777777" w:rsidR="007E16D0" w:rsidRPr="00855C4E" w:rsidRDefault="007E16D0" w:rsidP="0059752F">
      <w:pPr>
        <w:pStyle w:val="Textonotapie"/>
        <w:rPr>
          <w:rFonts w:ascii="Arial" w:hAnsi="Arial" w:cs="Arial"/>
          <w:sz w:val="16"/>
          <w:szCs w:val="16"/>
        </w:rPr>
      </w:pPr>
      <w:r w:rsidRPr="00855C4E">
        <w:rPr>
          <w:rStyle w:val="Refdenotaalpie"/>
          <w:rFonts w:ascii="Arial" w:hAnsi="Arial" w:cs="Arial"/>
          <w:sz w:val="16"/>
          <w:szCs w:val="16"/>
        </w:rPr>
        <w:footnoteRef/>
      </w:r>
      <w:r w:rsidRPr="00855C4E">
        <w:rPr>
          <w:rFonts w:ascii="Arial" w:hAnsi="Arial" w:cs="Arial"/>
          <w:sz w:val="16"/>
          <w:szCs w:val="16"/>
        </w:rPr>
        <w:t xml:space="preserve"> “Información Reservada” Diccionario de Transparencia y Acceso a la Información Pública. Instituto Nacional de Transparencia y Acceso a la Información Pública. Primera Edición, Ciudad de México, 2019.</w:t>
      </w:r>
    </w:p>
  </w:footnote>
  <w:footnote w:id="21">
    <w:p w14:paraId="59CAD10A" w14:textId="77777777" w:rsidR="007E16D0" w:rsidRPr="00855C4E" w:rsidRDefault="007E16D0" w:rsidP="0059752F">
      <w:pPr>
        <w:pStyle w:val="Textonotapie"/>
        <w:rPr>
          <w:rFonts w:ascii="Arial" w:hAnsi="Arial" w:cs="Arial"/>
          <w:sz w:val="16"/>
          <w:szCs w:val="16"/>
        </w:rPr>
      </w:pPr>
      <w:r w:rsidRPr="00855C4E">
        <w:rPr>
          <w:rStyle w:val="Refdenotaalpie"/>
          <w:rFonts w:ascii="Arial" w:hAnsi="Arial" w:cs="Arial"/>
          <w:sz w:val="16"/>
          <w:szCs w:val="16"/>
        </w:rPr>
        <w:footnoteRef/>
      </w:r>
      <w:r w:rsidRPr="00855C4E">
        <w:rPr>
          <w:rFonts w:ascii="Arial" w:hAnsi="Arial" w:cs="Arial"/>
          <w:sz w:val="16"/>
          <w:szCs w:val="16"/>
        </w:rPr>
        <w:t xml:space="preserve"> ARTÍCULO 129. Como información reservada podrá clasificarse aquella cuya publicación:</w:t>
      </w:r>
    </w:p>
    <w:p w14:paraId="54C25EF9" w14:textId="77777777" w:rsidR="007E16D0" w:rsidRPr="00855C4E" w:rsidRDefault="007E16D0" w:rsidP="0059752F">
      <w:pPr>
        <w:pStyle w:val="Textonotapie"/>
        <w:rPr>
          <w:rFonts w:ascii="Arial" w:hAnsi="Arial" w:cs="Arial"/>
          <w:sz w:val="16"/>
          <w:szCs w:val="16"/>
        </w:rPr>
      </w:pPr>
      <w:r w:rsidRPr="00855C4E">
        <w:rPr>
          <w:rFonts w:ascii="Arial" w:hAnsi="Arial" w:cs="Arial"/>
          <w:sz w:val="16"/>
          <w:szCs w:val="16"/>
        </w:rPr>
        <w:t>I. Comprometa la seguridad pública y cuente con un propósito genuino y un efecto demostrable; II. Pueda menoscabar la conducción de las negociaciones y relaciones internacionales; III. Se entregue al Estado mexicano expresamente con ese carácter o el de confidencial por otro u otros sujetos de derecho internacional, excepto cuando se trate de violaciones graves de derechos humanos o delitos de lesa humanidad de conformidad con el derecho internacional; IV. Pueda poner en riesgo la vida, seguridad o salud de una persona física; V. Obstruya las actividades de verificación, inspección y auditoría relativas al cumplimiento de las leyes o afecte la recaudación de contribuciones; VI. Obstruya la prevención o persecución de los delitos; VII. La que contenga las opiniones, recomendaciones o puntos de vista que formen parte del proceso deliberativo de los servidores públicos, hasta en tanto no sea adoptada la decisión definitiva, la cual deberá estar documentada; VIII. Obstruya los procedimientos para fincar responsabilidad a los Servidores Públicos, en tanto no se haya dictado la resolución administrativa; IX. Afecte los derechos del debido proceso; X. Vulnere la conducción de los Expedientes judiciales o de los procedimientos administrativos seguidos en forma de juicio, en tanto no hayan causado estado; XI. Se encuentre contenida dentro de las investigaciones de hechos que la ley señale como delitos y se tramiten ante el Ministerio Público, y XII. Las que por disposición expresa de una ley tengan tal carácter, siempre que sean acordes con las bases, principios y disposiciones establecidos en esta Ley y no la contravengan; así como las previstas en tratados internacionales</w:t>
      </w:r>
    </w:p>
  </w:footnote>
  <w:footnote w:id="22">
    <w:p w14:paraId="585DA025" w14:textId="77777777" w:rsidR="007E16D0" w:rsidRPr="00C1032B" w:rsidRDefault="007E16D0" w:rsidP="0059752F">
      <w:pPr>
        <w:pStyle w:val="Textonotapie"/>
        <w:rPr>
          <w:rFonts w:ascii="Arial" w:hAnsi="Arial" w:cs="Arial"/>
          <w:sz w:val="16"/>
          <w:szCs w:val="16"/>
        </w:rPr>
      </w:pPr>
      <w:r w:rsidRPr="00C1032B">
        <w:rPr>
          <w:rStyle w:val="Refdenotaalpie"/>
          <w:rFonts w:ascii="Arial" w:hAnsi="Arial" w:cs="Arial"/>
          <w:sz w:val="16"/>
          <w:szCs w:val="16"/>
        </w:rPr>
        <w:footnoteRef/>
      </w:r>
      <w:r w:rsidRPr="00C1032B">
        <w:rPr>
          <w:rFonts w:ascii="Arial" w:hAnsi="Arial" w:cs="Arial"/>
          <w:sz w:val="16"/>
          <w:szCs w:val="16"/>
        </w:rPr>
        <w:t xml:space="preserve"> ARTÍCULO 119. Los sujetos obligados deberán aplicar, de manera restrictiva y limitada, las excepciones al derecho de acceso a la información prevista en el presente Título y deberán acreditar su procedencia. La carga de la prueba para justificar toda negativa de acceso a la información, por actualizarse cualquiera de los supuestos de reserva previstos, corresponderá a los sujetos obligados.</w:t>
      </w:r>
    </w:p>
  </w:footnote>
  <w:footnote w:id="23">
    <w:p w14:paraId="1AD5856F" w14:textId="77777777" w:rsidR="007E16D0" w:rsidRPr="00C1032B" w:rsidRDefault="007E16D0" w:rsidP="0059752F">
      <w:pPr>
        <w:pStyle w:val="Textonotapie"/>
        <w:rPr>
          <w:rFonts w:ascii="Arial" w:hAnsi="Arial" w:cs="Arial"/>
          <w:sz w:val="16"/>
          <w:szCs w:val="16"/>
        </w:rPr>
      </w:pPr>
      <w:r w:rsidRPr="00C1032B">
        <w:rPr>
          <w:rStyle w:val="Refdenotaalpie"/>
          <w:rFonts w:ascii="Arial" w:hAnsi="Arial" w:cs="Arial"/>
          <w:sz w:val="16"/>
          <w:szCs w:val="16"/>
        </w:rPr>
        <w:footnoteRef/>
      </w:r>
      <w:r w:rsidRPr="00C1032B">
        <w:rPr>
          <w:rFonts w:ascii="Arial" w:hAnsi="Arial" w:cs="Arial"/>
          <w:sz w:val="16"/>
          <w:szCs w:val="16"/>
        </w:rPr>
        <w:t xml:space="preserve"> ARTÍCULO 123. Los lineamientos generales que emita el Sistema Nacional en materia de clasificación de la información reservada y confidencial y, para la elaboración de versiones públicas, serán de observancia obligatoria para los sujetos obligados.</w:t>
      </w:r>
    </w:p>
  </w:footnote>
  <w:footnote w:id="24">
    <w:p w14:paraId="0C6CAC93" w14:textId="77777777" w:rsidR="007E16D0" w:rsidRPr="00A041BE" w:rsidRDefault="007E16D0" w:rsidP="0059752F">
      <w:pPr>
        <w:spacing w:after="0" w:line="240" w:lineRule="auto"/>
        <w:ind w:right="51"/>
        <w:jc w:val="both"/>
        <w:rPr>
          <w:rFonts w:ascii="Arial" w:hAnsi="Arial" w:cs="Arial"/>
          <w:b/>
          <w:sz w:val="16"/>
          <w:szCs w:val="16"/>
          <w:lang w:val="es-ES_tradnl"/>
        </w:rPr>
      </w:pPr>
      <w:r>
        <w:rPr>
          <w:rStyle w:val="Refdenotaalpie"/>
        </w:rPr>
        <w:footnoteRef/>
      </w:r>
      <w:r>
        <w:t xml:space="preserve"> </w:t>
      </w:r>
      <w:r w:rsidRPr="00A041BE">
        <w:rPr>
          <w:rFonts w:ascii="Arial" w:hAnsi="Arial" w:cs="Arial"/>
          <w:b/>
          <w:sz w:val="16"/>
          <w:szCs w:val="16"/>
          <w:lang w:val="es-ES_tradnl"/>
        </w:rPr>
        <w:t>Trigésimo octavo. Se considera susceptible de clasificarse como información confidencial:</w:t>
      </w:r>
    </w:p>
    <w:p w14:paraId="40252E30" w14:textId="77777777" w:rsidR="007E16D0" w:rsidRPr="00A041BE" w:rsidRDefault="007E16D0" w:rsidP="0059752F">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I.</w:t>
      </w:r>
      <w:r w:rsidRPr="00A041BE">
        <w:rPr>
          <w:rFonts w:ascii="Arial" w:hAnsi="Arial" w:cs="Arial"/>
          <w:sz w:val="16"/>
          <w:szCs w:val="16"/>
          <w:lang w:val="es-ES_tradnl"/>
        </w:rPr>
        <w:t xml:space="preserve"> Los datos personales, entendidos como cualquier información concerniente a una persona física identificada o identificable, en términos de la norma aplicable que, de manera enunciativa más no limitativa, se pueden identificar de acuer</w:t>
      </w:r>
      <w:r>
        <w:rPr>
          <w:rFonts w:ascii="Arial" w:hAnsi="Arial" w:cs="Arial"/>
          <w:sz w:val="16"/>
          <w:szCs w:val="16"/>
          <w:lang w:val="es-ES_tradnl"/>
        </w:rPr>
        <w:t>do a las siguientes categorías:</w:t>
      </w:r>
    </w:p>
    <w:p w14:paraId="6D69B669" w14:textId="77777777" w:rsidR="007E16D0" w:rsidRPr="00A041BE" w:rsidRDefault="007E16D0" w:rsidP="0059752F">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1. Datos identificativos:</w:t>
      </w:r>
      <w:r w:rsidRPr="00A041BE">
        <w:rPr>
          <w:rFonts w:ascii="Arial" w:hAnsi="Arial" w:cs="Arial"/>
          <w:sz w:val="16"/>
          <w:szCs w:val="16"/>
          <w:lang w:val="es-ES_tradnl"/>
        </w:rPr>
        <w:t xml:space="preserve"> El nombre, alias, pseudónimo, </w:t>
      </w:r>
      <w:r w:rsidRPr="00A041BE">
        <w:rPr>
          <w:rFonts w:ascii="Arial" w:hAnsi="Arial" w:cs="Arial"/>
          <w:b/>
          <w:sz w:val="16"/>
          <w:szCs w:val="16"/>
          <w:lang w:val="es-ES_tradnl"/>
        </w:rPr>
        <w:t>domicilio</w:t>
      </w:r>
      <w:r w:rsidRPr="00A041BE">
        <w:rPr>
          <w:rFonts w:ascii="Arial" w:hAnsi="Arial" w:cs="Arial"/>
          <w:sz w:val="16"/>
          <w:szCs w:val="16"/>
          <w:lang w:val="es-ES_tradnl"/>
        </w:rPr>
        <w:t xml:space="preserve">, código postal, teléfono particular, sexo, estado civil, teléfono </w:t>
      </w:r>
      <w:r w:rsidRPr="00A041BE">
        <w:rPr>
          <w:rFonts w:ascii="Arial" w:hAnsi="Arial" w:cs="Arial"/>
          <w:b/>
          <w:sz w:val="16"/>
          <w:szCs w:val="16"/>
          <w:lang w:val="es-ES_tradnl"/>
        </w:rPr>
        <w:t>celular</w:t>
      </w:r>
      <w:r w:rsidRPr="00A041BE">
        <w:rPr>
          <w:rFonts w:ascii="Arial" w:hAnsi="Arial" w:cs="Arial"/>
          <w:sz w:val="16"/>
          <w:szCs w:val="16"/>
          <w:lang w:val="es-ES_tradnl"/>
        </w:rPr>
        <w:t xml:space="preserve">, </w:t>
      </w:r>
      <w:r w:rsidRPr="00A041BE">
        <w:rPr>
          <w:rFonts w:ascii="Arial" w:hAnsi="Arial" w:cs="Arial"/>
          <w:b/>
          <w:sz w:val="16"/>
          <w:szCs w:val="16"/>
          <w:lang w:val="es-ES_tradnl"/>
        </w:rPr>
        <w:t>firma</w:t>
      </w:r>
      <w:r w:rsidRPr="00A041BE">
        <w:rPr>
          <w:rFonts w:ascii="Arial" w:hAnsi="Arial" w:cs="Arial"/>
          <w:sz w:val="16"/>
          <w:szCs w:val="16"/>
          <w:lang w:val="es-ES_tradnl"/>
        </w:rPr>
        <w:t xml:space="preserve">, clave de Registro Federal de Contribuyentes (RFC), Clave Única de Registro de Población (CURP), </w:t>
      </w:r>
      <w:r w:rsidRPr="00A041BE">
        <w:rPr>
          <w:rFonts w:ascii="Arial" w:hAnsi="Arial" w:cs="Arial"/>
          <w:b/>
          <w:sz w:val="16"/>
          <w:szCs w:val="16"/>
          <w:lang w:val="es-ES_tradnl"/>
        </w:rPr>
        <w:t>Clave de Elector</w:t>
      </w:r>
      <w:r w:rsidRPr="00A041BE">
        <w:rPr>
          <w:rFonts w:ascii="Arial" w:hAnsi="Arial" w:cs="Arial"/>
          <w:sz w:val="16"/>
          <w:szCs w:val="16"/>
          <w:lang w:val="es-ES_tradnl"/>
        </w:rPr>
        <w:t xml:space="preserve">, Matrícula del Servicio Militar Nacional, número de pasaporte, lugar y fecha de nacimiento, nacionalidad, edad, fotografía, localidad y </w:t>
      </w:r>
      <w:r>
        <w:rPr>
          <w:rFonts w:ascii="Arial" w:hAnsi="Arial" w:cs="Arial"/>
          <w:sz w:val="16"/>
          <w:szCs w:val="16"/>
          <w:lang w:val="es-ES_tradnl"/>
        </w:rPr>
        <w:t xml:space="preserve">sección electoral, y análogos. </w:t>
      </w:r>
    </w:p>
    <w:p w14:paraId="0B87C538" w14:textId="77777777" w:rsidR="007E16D0" w:rsidRPr="00A041BE" w:rsidRDefault="007E16D0" w:rsidP="0059752F">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2. Datos de origen</w:t>
      </w:r>
      <w:r w:rsidRPr="00A041BE">
        <w:rPr>
          <w:rFonts w:ascii="Arial" w:hAnsi="Arial" w:cs="Arial"/>
          <w:sz w:val="16"/>
          <w:szCs w:val="16"/>
          <w:lang w:val="es-ES_tradnl"/>
        </w:rPr>
        <w:t>: Origen, etnia, raza, color de piel, color de ojos, color y tipo de cabello, est</w:t>
      </w:r>
      <w:r>
        <w:rPr>
          <w:rFonts w:ascii="Arial" w:hAnsi="Arial" w:cs="Arial"/>
          <w:sz w:val="16"/>
          <w:szCs w:val="16"/>
          <w:lang w:val="es-ES_tradnl"/>
        </w:rPr>
        <w:t xml:space="preserve">atura, complexión, y análogos. </w:t>
      </w:r>
    </w:p>
    <w:p w14:paraId="72A5BE8C" w14:textId="77777777" w:rsidR="007E16D0" w:rsidRPr="00A041BE" w:rsidRDefault="007E16D0" w:rsidP="0059752F">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3. Datos ideológicos:</w:t>
      </w:r>
      <w:r w:rsidRPr="00A041BE">
        <w:rPr>
          <w:rFonts w:ascii="Arial" w:hAnsi="Arial" w:cs="Arial"/>
          <w:sz w:val="16"/>
          <w:szCs w:val="16"/>
          <w:lang w:val="es-ES_tradnl"/>
        </w:rPr>
        <w:t xml:space="preserve"> Ideologías, creencias, opinión política, afiliación política, opinión pública, afiliación sindical, religión, con</w:t>
      </w:r>
      <w:r>
        <w:rPr>
          <w:rFonts w:ascii="Arial" w:hAnsi="Arial" w:cs="Arial"/>
          <w:sz w:val="16"/>
          <w:szCs w:val="16"/>
          <w:lang w:val="es-ES_tradnl"/>
        </w:rPr>
        <w:t xml:space="preserve">vicción filosófica y análogos. </w:t>
      </w:r>
    </w:p>
    <w:p w14:paraId="5B8BEC74" w14:textId="77777777" w:rsidR="007E16D0" w:rsidRPr="00A041BE" w:rsidRDefault="007E16D0" w:rsidP="0059752F">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4. Datos sobre la salud:</w:t>
      </w:r>
      <w:r w:rsidRPr="00A041BE">
        <w:rPr>
          <w:rFonts w:ascii="Arial" w:hAnsi="Arial" w:cs="Arial"/>
          <w:sz w:val="16"/>
          <w:szCs w:val="16"/>
          <w:lang w:val="es-ES_tradnl"/>
        </w:rPr>
        <w:t xml:space="preserve"> El expediente clínico de cualquier atención médica, historial médico, referencias o descripción de sintomatologías, detección de enfermedades, incapacidades médicas, discapacidades, intervenciones quirúrgicas, vacunas, consumo de estupefacientes, uso de aparatos oftalmológicos, ortopédicos, auditivos, prótesis, estado físico o mental de la persona, así como la información sobre la vida </w:t>
      </w:r>
      <w:r>
        <w:rPr>
          <w:rFonts w:ascii="Arial" w:hAnsi="Arial" w:cs="Arial"/>
          <w:sz w:val="16"/>
          <w:szCs w:val="16"/>
          <w:lang w:val="es-ES_tradnl"/>
        </w:rPr>
        <w:t xml:space="preserve">sexual, y análogos. </w:t>
      </w:r>
    </w:p>
    <w:p w14:paraId="21FB180D" w14:textId="77777777" w:rsidR="007E16D0" w:rsidRPr="00A041BE" w:rsidRDefault="007E16D0" w:rsidP="0059752F">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5. Datos Laborales:</w:t>
      </w:r>
      <w:r w:rsidRPr="00A041BE">
        <w:rPr>
          <w:rFonts w:ascii="Arial" w:hAnsi="Arial" w:cs="Arial"/>
          <w:sz w:val="16"/>
          <w:szCs w:val="16"/>
          <w:lang w:val="es-ES_tradnl"/>
        </w:rPr>
        <w:t xml:space="preserve"> Número de seguridad social, documentos de reclutamiento o selección, nombramiento, incidencia, capacitación, actividades extracurriculares, referencias laborales, referencias personales, solicitud de empleo, hoja d</w:t>
      </w:r>
      <w:r>
        <w:rPr>
          <w:rFonts w:ascii="Arial" w:hAnsi="Arial" w:cs="Arial"/>
          <w:sz w:val="16"/>
          <w:szCs w:val="16"/>
          <w:lang w:val="es-ES_tradnl"/>
        </w:rPr>
        <w:t>e servicio, y análogos.</w:t>
      </w:r>
    </w:p>
    <w:p w14:paraId="38D67281" w14:textId="77777777" w:rsidR="007E16D0" w:rsidRPr="00A041BE" w:rsidRDefault="007E16D0" w:rsidP="0059752F">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 xml:space="preserve"> 6. Datos patrimoniales</w:t>
      </w:r>
      <w:r w:rsidRPr="00A041BE">
        <w:rPr>
          <w:rFonts w:ascii="Arial" w:hAnsi="Arial" w:cs="Arial"/>
          <w:sz w:val="16"/>
          <w:szCs w:val="16"/>
          <w:lang w:val="es-ES_tradnl"/>
        </w:rPr>
        <w:t>: Bienes muebles e inmuebles de su propiedad, información fiscal, historial crediticio, ingresos y egresos, número de cuenta bancaria y/o CLABE interbancaria de personas físicas y morales privadas, inversiones, seguros, fianzas, servicios contratados, referencias personales, beneficiarios, dependientes económicos, decisi</w:t>
      </w:r>
      <w:r>
        <w:rPr>
          <w:rFonts w:ascii="Arial" w:hAnsi="Arial" w:cs="Arial"/>
          <w:sz w:val="16"/>
          <w:szCs w:val="16"/>
          <w:lang w:val="es-ES_tradnl"/>
        </w:rPr>
        <w:t xml:space="preserve">ones patrimoniales y análogos. </w:t>
      </w:r>
    </w:p>
    <w:p w14:paraId="15F39928" w14:textId="77777777" w:rsidR="007E16D0" w:rsidRPr="00A041BE" w:rsidRDefault="007E16D0" w:rsidP="0059752F">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7. Datos sobre situación jurídica o legal</w:t>
      </w:r>
      <w:r w:rsidRPr="00A041BE">
        <w:rPr>
          <w:rFonts w:ascii="Arial" w:hAnsi="Arial" w:cs="Arial"/>
          <w:sz w:val="16"/>
          <w:szCs w:val="16"/>
          <w:lang w:val="es-ES_tradnl"/>
        </w:rPr>
        <w:t>: La información relativa a una persona que se encuentre o haya sido sujeta a un procedimiento administrativo seguido en forma de juicio o jurisdiccional en materia laboral, civil, penal, fiscal, administrativa o de cualquier otr</w:t>
      </w:r>
      <w:r>
        <w:rPr>
          <w:rFonts w:ascii="Arial" w:hAnsi="Arial" w:cs="Arial"/>
          <w:sz w:val="16"/>
          <w:szCs w:val="16"/>
          <w:lang w:val="es-ES_tradnl"/>
        </w:rPr>
        <w:t>a rama del Derecho, y análogos;</w:t>
      </w:r>
    </w:p>
    <w:p w14:paraId="3D474249" w14:textId="77777777" w:rsidR="007E16D0" w:rsidRPr="00A041BE" w:rsidRDefault="007E16D0" w:rsidP="0059752F">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8. Datos académicos</w:t>
      </w:r>
      <w:r w:rsidRPr="00A041BE">
        <w:rPr>
          <w:rFonts w:ascii="Arial" w:hAnsi="Arial" w:cs="Arial"/>
          <w:sz w:val="16"/>
          <w:szCs w:val="16"/>
          <w:lang w:val="es-ES_tradnl"/>
        </w:rPr>
        <w:t>: Trayectoria educativa, avances de créditos, tipos de exámenes, promedio, calificaciones, títulos, cédula profesional, certificado</w:t>
      </w:r>
      <w:r>
        <w:rPr>
          <w:rFonts w:ascii="Arial" w:hAnsi="Arial" w:cs="Arial"/>
          <w:sz w:val="16"/>
          <w:szCs w:val="16"/>
          <w:lang w:val="es-ES_tradnl"/>
        </w:rPr>
        <w:t xml:space="preserve">s, reconocimientos y análogos, </w:t>
      </w:r>
    </w:p>
    <w:p w14:paraId="71C6D18B" w14:textId="77777777" w:rsidR="007E16D0" w:rsidRPr="00A041BE" w:rsidRDefault="007E16D0" w:rsidP="0059752F">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9. Datos de tránsito y movimientos migratorios:</w:t>
      </w:r>
      <w:r w:rsidRPr="00A041BE">
        <w:rPr>
          <w:rFonts w:ascii="Arial" w:hAnsi="Arial" w:cs="Arial"/>
          <w:sz w:val="16"/>
          <w:szCs w:val="16"/>
          <w:lang w:val="es-ES_tradnl"/>
        </w:rPr>
        <w:t xml:space="preserve"> Información relativa al tránsito de las personas dentro y fuera del país, así como información migratoria, cédul</w:t>
      </w:r>
      <w:r>
        <w:rPr>
          <w:rFonts w:ascii="Arial" w:hAnsi="Arial" w:cs="Arial"/>
          <w:sz w:val="16"/>
          <w:szCs w:val="16"/>
          <w:lang w:val="es-ES_tradnl"/>
        </w:rPr>
        <w:t xml:space="preserve">a migratoria, visa, pasaporte. </w:t>
      </w:r>
    </w:p>
    <w:p w14:paraId="7361B854" w14:textId="77777777" w:rsidR="007E16D0" w:rsidRPr="00A041BE" w:rsidRDefault="007E16D0" w:rsidP="0059752F">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10. Datos electrónicos</w:t>
      </w:r>
      <w:r w:rsidRPr="00A041BE">
        <w:rPr>
          <w:rFonts w:ascii="Arial" w:hAnsi="Arial" w:cs="Arial"/>
          <w:sz w:val="16"/>
          <w:szCs w:val="16"/>
          <w:lang w:val="es-ES_tradnl"/>
        </w:rPr>
        <w:t xml:space="preserve">: Firma electrónica, </w:t>
      </w:r>
      <w:r w:rsidRPr="00A041BE">
        <w:rPr>
          <w:rFonts w:ascii="Arial" w:hAnsi="Arial" w:cs="Arial"/>
          <w:b/>
          <w:sz w:val="16"/>
          <w:szCs w:val="16"/>
          <w:lang w:val="es-ES_tradnl"/>
        </w:rPr>
        <w:t>dirección de correo electrónico</w:t>
      </w:r>
      <w:r>
        <w:rPr>
          <w:rFonts w:ascii="Arial" w:hAnsi="Arial" w:cs="Arial"/>
          <w:sz w:val="16"/>
          <w:szCs w:val="16"/>
          <w:lang w:val="es-ES_tradnl"/>
        </w:rPr>
        <w:t xml:space="preserve">, código QR. </w:t>
      </w:r>
    </w:p>
    <w:p w14:paraId="06E97205" w14:textId="77777777" w:rsidR="007E16D0" w:rsidRPr="00A041BE" w:rsidRDefault="007E16D0" w:rsidP="0059752F">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11. Datos biométricos</w:t>
      </w:r>
      <w:r w:rsidRPr="00A041BE">
        <w:rPr>
          <w:rFonts w:ascii="Arial" w:hAnsi="Arial" w:cs="Arial"/>
          <w:sz w:val="16"/>
          <w:szCs w:val="16"/>
          <w:lang w:val="es-ES_tradnl"/>
        </w:rPr>
        <w:t>: Huella dactilar, reconocimiento facial, reconocimiento de iris, reconocimiento de la geometría de la mano, reconocimiento vascular, reconocimiento de escritura, reconocimiento de voz, reconocimiento de escritura de teclado y análogos.</w:t>
      </w:r>
    </w:p>
    <w:p w14:paraId="44C7D4E6" w14:textId="77777777" w:rsidR="007E16D0" w:rsidRPr="00A041BE" w:rsidRDefault="007E16D0" w:rsidP="0059752F">
      <w:pPr>
        <w:spacing w:after="0" w:line="240" w:lineRule="auto"/>
        <w:ind w:right="51"/>
        <w:jc w:val="both"/>
        <w:rPr>
          <w:rFonts w:ascii="Arial" w:hAnsi="Arial" w:cs="Arial"/>
          <w:sz w:val="16"/>
          <w:szCs w:val="16"/>
          <w:lang w:val="es-ES_tradnl"/>
        </w:rPr>
      </w:pPr>
      <w:r w:rsidRPr="00A041BE">
        <w:rPr>
          <w:rFonts w:ascii="Arial" w:hAnsi="Arial" w:cs="Arial"/>
          <w:b/>
          <w:sz w:val="16"/>
          <w:szCs w:val="16"/>
          <w:lang w:val="es-ES_tradnl"/>
        </w:rPr>
        <w:t>II.</w:t>
      </w:r>
      <w:r w:rsidRPr="00A041BE">
        <w:rPr>
          <w:rFonts w:ascii="Arial" w:hAnsi="Arial" w:cs="Arial"/>
          <w:sz w:val="16"/>
          <w:szCs w:val="16"/>
          <w:lang w:val="es-ES_tradnl"/>
        </w:rPr>
        <w:t xml:space="preserve"> La que se entregue con tal carácter por los particulares a los sujetos obligados, siempre y cuando tengan el derecho de entregar con dicho carácter la información, de conformidad con lo dispuesto en las leyes o en los Tratados Internacionales de los que el Estado mexicano sea parte, y </w:t>
      </w:r>
    </w:p>
    <w:p w14:paraId="413F6667" w14:textId="77777777" w:rsidR="007E16D0" w:rsidRPr="005D7D19" w:rsidRDefault="007E16D0" w:rsidP="0059752F">
      <w:pPr>
        <w:spacing w:after="0" w:line="240" w:lineRule="auto"/>
        <w:ind w:right="51"/>
        <w:jc w:val="both"/>
        <w:rPr>
          <w:rFonts w:ascii="Arial" w:hAnsi="Arial" w:cs="Arial"/>
          <w:sz w:val="16"/>
          <w:szCs w:val="16"/>
        </w:rPr>
      </w:pPr>
      <w:r w:rsidRPr="00A041BE">
        <w:rPr>
          <w:rFonts w:ascii="Arial" w:hAnsi="Arial" w:cs="Arial"/>
          <w:b/>
          <w:sz w:val="16"/>
          <w:szCs w:val="16"/>
          <w:lang w:val="es-ES_tradnl"/>
        </w:rPr>
        <w:t>III</w:t>
      </w:r>
      <w:r w:rsidRPr="00A041BE">
        <w:rPr>
          <w:rFonts w:ascii="Arial" w:hAnsi="Arial" w:cs="Arial"/>
          <w:sz w:val="16"/>
          <w:szCs w:val="16"/>
          <w:lang w:val="es-ES_tradnl"/>
        </w:rPr>
        <w:t>. Los secretos bancario, fiduciario, industrial, comercial, fiscal, bursátil y postal cuya titularidad corresponda a particulares, sujetos de derecho internacional o a sujetos obligados cuando no involucren el ejercicio de recursos públicos</w:t>
      </w:r>
      <w:r>
        <w:rPr>
          <w:rFonts w:ascii="Arial" w:hAnsi="Arial" w:cs="Arial"/>
          <w:sz w:val="16"/>
          <w:szCs w:val="16"/>
        </w:rPr>
        <w:t>.”</w:t>
      </w:r>
    </w:p>
  </w:footnote>
  <w:footnote w:id="25">
    <w:p w14:paraId="4C845D09" w14:textId="77777777" w:rsidR="00A428ED" w:rsidRPr="00BD3442" w:rsidRDefault="00A428ED" w:rsidP="00A428ED">
      <w:pPr>
        <w:pStyle w:val="Estilo"/>
        <w:rPr>
          <w:sz w:val="16"/>
        </w:rPr>
      </w:pPr>
      <w:r w:rsidRPr="00BD3442">
        <w:rPr>
          <w:rStyle w:val="Refdenotaalpie"/>
          <w:sz w:val="16"/>
        </w:rPr>
        <w:footnoteRef/>
      </w:r>
      <w:r w:rsidRPr="00BD3442">
        <w:rPr>
          <w:sz w:val="16"/>
        </w:rPr>
        <w:t xml:space="preserve"> ARTÍCULO 123. Los lineamientos generales que emita el Sistema Nacional en materia de clasificación de la información reservada y confidencial y, para la elaboración de versiones públicas, serán de observancia obligatoria para los sujetos obligados.</w:t>
      </w:r>
    </w:p>
  </w:footnote>
  <w:footnote w:id="26">
    <w:p w14:paraId="0CF1F5F8" w14:textId="77777777" w:rsidR="00A428ED" w:rsidRPr="003F5E3F" w:rsidRDefault="00A428ED" w:rsidP="00A428ED">
      <w:pPr>
        <w:pStyle w:val="Textonotapie"/>
        <w:rPr>
          <w:rFonts w:ascii="Arial" w:hAnsi="Arial" w:cs="Arial"/>
          <w:sz w:val="16"/>
          <w:szCs w:val="16"/>
        </w:rPr>
      </w:pPr>
      <w:r w:rsidRPr="003F5E3F">
        <w:rPr>
          <w:rStyle w:val="Refdenotaalpie"/>
          <w:rFonts w:ascii="Arial" w:hAnsi="Arial" w:cs="Arial"/>
          <w:sz w:val="16"/>
          <w:szCs w:val="16"/>
        </w:rPr>
        <w:footnoteRef/>
      </w:r>
      <w:r w:rsidRPr="003F5E3F">
        <w:rPr>
          <w:rFonts w:ascii="Arial" w:hAnsi="Arial" w:cs="Arial"/>
          <w:sz w:val="16"/>
          <w:szCs w:val="16"/>
        </w:rPr>
        <w:t xml:space="preserve"> “REGLAMENTO” Diccionario Multimedia “DICCIONARIO JURÍDICO 2000”, Editorial Desarrollo Jurídico Copyright 2000, México 2000, DJ2K-2205.</w:t>
      </w:r>
    </w:p>
  </w:footnote>
  <w:footnote w:id="27">
    <w:p w14:paraId="3975DA73" w14:textId="77777777" w:rsidR="00A428ED" w:rsidRPr="003F5E3F" w:rsidRDefault="00A428ED" w:rsidP="00A428ED">
      <w:pPr>
        <w:pStyle w:val="Textonotapie"/>
        <w:rPr>
          <w:rFonts w:ascii="Arial" w:hAnsi="Arial" w:cs="Arial"/>
          <w:sz w:val="16"/>
          <w:szCs w:val="16"/>
        </w:rPr>
      </w:pPr>
      <w:r w:rsidRPr="003F5E3F">
        <w:rPr>
          <w:rStyle w:val="Refdenotaalpie"/>
          <w:rFonts w:ascii="Arial" w:hAnsi="Arial" w:cs="Arial"/>
          <w:sz w:val="16"/>
          <w:szCs w:val="16"/>
        </w:rPr>
        <w:footnoteRef/>
      </w:r>
      <w:r w:rsidRPr="003F5E3F">
        <w:rPr>
          <w:rFonts w:ascii="Arial" w:hAnsi="Arial" w:cs="Arial"/>
          <w:sz w:val="16"/>
          <w:szCs w:val="16"/>
        </w:rPr>
        <w:t xml:space="preserve"> FRAGA, Gabino. "DERECHO ADMINISTRATIVO" vigésima Octava Edición, Editorial Porrúa, México 1989. pág 104.</w:t>
      </w:r>
    </w:p>
  </w:footnote>
  <w:footnote w:id="28">
    <w:p w14:paraId="794A3FD2" w14:textId="77777777" w:rsidR="00A428ED" w:rsidRPr="003F5E3F" w:rsidRDefault="00A428ED" w:rsidP="00A428ED">
      <w:pPr>
        <w:pStyle w:val="Textonotapie"/>
        <w:rPr>
          <w:rFonts w:ascii="Arial" w:hAnsi="Arial" w:cs="Arial"/>
          <w:sz w:val="16"/>
          <w:szCs w:val="16"/>
        </w:rPr>
      </w:pPr>
      <w:r w:rsidRPr="003F5E3F">
        <w:rPr>
          <w:rStyle w:val="Refdenotaalpie"/>
          <w:rFonts w:ascii="Arial" w:hAnsi="Arial" w:cs="Arial"/>
          <w:sz w:val="16"/>
          <w:szCs w:val="16"/>
        </w:rPr>
        <w:footnoteRef/>
      </w:r>
      <w:r>
        <w:rPr>
          <w:rFonts w:ascii="Arial" w:hAnsi="Arial" w:cs="Arial"/>
          <w:sz w:val="16"/>
          <w:szCs w:val="16"/>
        </w:rPr>
        <w:t xml:space="preserve"> SERRA ROJAS, And</w:t>
      </w:r>
      <w:r w:rsidRPr="003F5E3F">
        <w:rPr>
          <w:rFonts w:ascii="Arial" w:hAnsi="Arial" w:cs="Arial"/>
          <w:sz w:val="16"/>
          <w:szCs w:val="16"/>
        </w:rPr>
        <w:t xml:space="preserve">rés, </w:t>
      </w:r>
      <w:r>
        <w:rPr>
          <w:rFonts w:ascii="Arial" w:hAnsi="Arial" w:cs="Arial"/>
          <w:sz w:val="16"/>
          <w:szCs w:val="16"/>
        </w:rPr>
        <w:t>“Derecho Administrativo segundo curso” Decimonovena Edición, Porrúa, México 1999.</w:t>
      </w:r>
    </w:p>
  </w:footnote>
  <w:footnote w:id="29">
    <w:p w14:paraId="307F5785" w14:textId="77777777" w:rsidR="00A428ED" w:rsidRDefault="00A428ED" w:rsidP="00A428ED">
      <w:pPr>
        <w:pStyle w:val="Textonotapie"/>
      </w:pPr>
      <w:r w:rsidRPr="003F5E3F">
        <w:rPr>
          <w:rStyle w:val="Refdenotaalpie"/>
          <w:rFonts w:ascii="Arial" w:hAnsi="Arial" w:cs="Arial"/>
          <w:sz w:val="16"/>
          <w:szCs w:val="16"/>
        </w:rPr>
        <w:footnoteRef/>
      </w:r>
      <w:r w:rsidRPr="003F5E3F">
        <w:rPr>
          <w:rFonts w:ascii="Arial" w:hAnsi="Arial" w:cs="Arial"/>
          <w:sz w:val="16"/>
          <w:szCs w:val="16"/>
        </w:rPr>
        <w:t xml:space="preserve"> BURGOA ORIHUELA, Ignacio, </w:t>
      </w:r>
      <w:r>
        <w:rPr>
          <w:rFonts w:ascii="Arial" w:hAnsi="Arial" w:cs="Arial"/>
          <w:sz w:val="16"/>
          <w:szCs w:val="16"/>
        </w:rPr>
        <w:t>“</w:t>
      </w:r>
      <w:r w:rsidRPr="002B2DE3">
        <w:rPr>
          <w:rFonts w:ascii="Arial" w:hAnsi="Arial" w:cs="Arial"/>
          <w:sz w:val="16"/>
          <w:szCs w:val="16"/>
        </w:rPr>
        <w:t>Derecho Constitucional Mexicano</w:t>
      </w:r>
      <w:r>
        <w:rPr>
          <w:rFonts w:ascii="Arial" w:hAnsi="Arial" w:cs="Arial"/>
          <w:sz w:val="16"/>
          <w:szCs w:val="16"/>
        </w:rPr>
        <w:t>” Novena Edición, Porrúa México 1994</w:t>
      </w:r>
      <w:r w:rsidRPr="003F5E3F">
        <w:rPr>
          <w:rFonts w:ascii="Arial" w:hAnsi="Arial" w:cs="Arial"/>
          <w:sz w:val="16"/>
          <w:szCs w:val="16"/>
        </w:rPr>
        <w:t>. pág. 780.</w:t>
      </w:r>
    </w:p>
  </w:footnote>
  <w:footnote w:id="30">
    <w:p w14:paraId="204D6974" w14:textId="77777777" w:rsidR="00A428ED" w:rsidRPr="003F5E3F" w:rsidRDefault="00A428ED" w:rsidP="00A428ED">
      <w:pPr>
        <w:pStyle w:val="Textonotapie"/>
        <w:rPr>
          <w:rFonts w:ascii="Arial" w:hAnsi="Arial" w:cs="Arial"/>
          <w:sz w:val="16"/>
          <w:szCs w:val="16"/>
        </w:rPr>
      </w:pPr>
      <w:r w:rsidRPr="003F5E3F">
        <w:rPr>
          <w:rStyle w:val="Refdenotaalpie"/>
          <w:rFonts w:ascii="Arial" w:hAnsi="Arial" w:cs="Arial"/>
          <w:sz w:val="16"/>
          <w:szCs w:val="16"/>
        </w:rPr>
        <w:footnoteRef/>
      </w:r>
      <w:r w:rsidRPr="003F5E3F">
        <w:rPr>
          <w:rFonts w:ascii="Arial" w:hAnsi="Arial" w:cs="Arial"/>
          <w:sz w:val="16"/>
          <w:szCs w:val="16"/>
        </w:rPr>
        <w:t xml:space="preserve"> CORONADO, Mariano. "Elementos de Derecho constitucional". Citado por CERRA ROJAS, Andres, Op. cit. página 222.</w:t>
      </w:r>
    </w:p>
  </w:footnote>
  <w:footnote w:id="31">
    <w:p w14:paraId="54D33C57" w14:textId="77777777" w:rsidR="00A428ED" w:rsidRPr="003F5E3F" w:rsidRDefault="00A428ED" w:rsidP="00A428ED">
      <w:pPr>
        <w:pStyle w:val="Textonotapie"/>
        <w:rPr>
          <w:rFonts w:ascii="Arial" w:hAnsi="Arial" w:cs="Arial"/>
          <w:sz w:val="16"/>
          <w:szCs w:val="16"/>
        </w:rPr>
      </w:pPr>
      <w:r w:rsidRPr="003F5E3F">
        <w:rPr>
          <w:rStyle w:val="Refdenotaalpie"/>
          <w:rFonts w:ascii="Arial" w:hAnsi="Arial" w:cs="Arial"/>
          <w:sz w:val="16"/>
          <w:szCs w:val="16"/>
        </w:rPr>
        <w:footnoteRef/>
      </w:r>
      <w:r w:rsidRPr="003F5E3F">
        <w:rPr>
          <w:rFonts w:ascii="Arial" w:hAnsi="Arial" w:cs="Arial"/>
          <w:sz w:val="16"/>
          <w:szCs w:val="16"/>
        </w:rPr>
        <w:t xml:space="preserve"> GORDILLO AGUSTÍN. Citado por MARTÍNEZ MORALES Rafaél I. "Derecho Administrativo 1er y 2do. Cursos" Cuarta Edición, Editorial Oxford University Press, pág 308.</w:t>
      </w:r>
    </w:p>
  </w:footnote>
  <w:footnote w:id="32">
    <w:p w14:paraId="46BEAE18" w14:textId="77777777" w:rsidR="00A428ED" w:rsidRPr="00086726" w:rsidRDefault="00A428ED" w:rsidP="00A428ED">
      <w:pPr>
        <w:pStyle w:val="Textonotapie"/>
        <w:rPr>
          <w:rFonts w:ascii="Arial" w:hAnsi="Arial" w:cs="Arial"/>
          <w:sz w:val="16"/>
          <w:szCs w:val="16"/>
        </w:rPr>
      </w:pPr>
      <w:r w:rsidRPr="00086726">
        <w:rPr>
          <w:rStyle w:val="Refdenotaalpie"/>
          <w:rFonts w:ascii="Arial" w:hAnsi="Arial" w:cs="Arial"/>
          <w:sz w:val="16"/>
          <w:szCs w:val="16"/>
        </w:rPr>
        <w:footnoteRef/>
      </w:r>
      <w:r w:rsidRPr="00086726">
        <w:rPr>
          <w:rFonts w:ascii="Arial" w:hAnsi="Arial" w:cs="Arial"/>
          <w:sz w:val="16"/>
          <w:szCs w:val="16"/>
        </w:rPr>
        <w:t xml:space="preserve"> Cfr. Jurisprudencia número I. 3o. A. J/25 , visible en la Octava Época, de la Gaceta del Semanario Judicial de la Federación, Libro 13, Enero 1991, Tomo VII, página 83. Instancia: Tribunales Colegiados de Circuito, con Registro electrónico:  2236</w:t>
      </w:r>
      <w:r>
        <w:rPr>
          <w:rFonts w:ascii="Arial" w:hAnsi="Arial" w:cs="Arial"/>
          <w:sz w:val="16"/>
          <w:szCs w:val="16"/>
        </w:rPr>
        <w:t>1</w:t>
      </w:r>
      <w:r w:rsidRPr="00086726">
        <w:rPr>
          <w:rFonts w:ascii="Arial" w:hAnsi="Arial" w:cs="Arial"/>
          <w:sz w:val="16"/>
          <w:szCs w:val="16"/>
        </w:rPr>
        <w:t>1.</w:t>
      </w:r>
    </w:p>
  </w:footnote>
  <w:footnote w:id="33">
    <w:p w14:paraId="1C29BC6B" w14:textId="77777777" w:rsidR="00A428ED" w:rsidRPr="00086726" w:rsidRDefault="00A428ED" w:rsidP="00A428ED">
      <w:pPr>
        <w:pStyle w:val="Textonotapie"/>
        <w:rPr>
          <w:rFonts w:ascii="Arial" w:hAnsi="Arial" w:cs="Arial"/>
          <w:sz w:val="16"/>
          <w:szCs w:val="16"/>
        </w:rPr>
      </w:pPr>
      <w:r w:rsidRPr="00086726">
        <w:rPr>
          <w:rStyle w:val="Refdenotaalpie"/>
          <w:rFonts w:ascii="Arial" w:hAnsi="Arial" w:cs="Arial"/>
          <w:sz w:val="16"/>
          <w:szCs w:val="16"/>
        </w:rPr>
        <w:footnoteRef/>
      </w:r>
      <w:r w:rsidRPr="00086726">
        <w:rPr>
          <w:rFonts w:ascii="Arial" w:hAnsi="Arial" w:cs="Arial"/>
          <w:sz w:val="16"/>
          <w:szCs w:val="16"/>
        </w:rPr>
        <w:t xml:space="preserve"> Cfr. Tesis Aislada, visible en la Quinta Época, de la Gaceta del Seman</w:t>
      </w:r>
      <w:r>
        <w:rPr>
          <w:rFonts w:ascii="Arial" w:hAnsi="Arial" w:cs="Arial"/>
          <w:sz w:val="16"/>
          <w:szCs w:val="16"/>
        </w:rPr>
        <w:t>ario Judicial de la Federación,</w:t>
      </w:r>
      <w:r w:rsidRPr="00086726">
        <w:rPr>
          <w:rFonts w:ascii="Arial" w:hAnsi="Arial" w:cs="Arial"/>
          <w:sz w:val="16"/>
          <w:szCs w:val="16"/>
        </w:rPr>
        <w:t> Tomo CXXIX, página 762 . Instancia: Segunda Sala de la Suprema Corte de Justicia de la Nación, con Registro electrónico:  316251</w:t>
      </w:r>
    </w:p>
  </w:footnote>
  <w:footnote w:id="34">
    <w:p w14:paraId="082E055A" w14:textId="77777777" w:rsidR="00A428ED" w:rsidRPr="00086726" w:rsidRDefault="00A428ED" w:rsidP="00A428ED">
      <w:pPr>
        <w:pStyle w:val="Textonotapie"/>
        <w:rPr>
          <w:rFonts w:ascii="Arial" w:hAnsi="Arial" w:cs="Arial"/>
          <w:sz w:val="16"/>
          <w:szCs w:val="16"/>
        </w:rPr>
      </w:pPr>
      <w:r w:rsidRPr="00086726">
        <w:rPr>
          <w:rStyle w:val="Refdenotaalpie"/>
          <w:rFonts w:ascii="Arial" w:hAnsi="Arial" w:cs="Arial"/>
          <w:sz w:val="16"/>
          <w:szCs w:val="16"/>
        </w:rPr>
        <w:footnoteRef/>
      </w:r>
      <w:r w:rsidRPr="00086726">
        <w:rPr>
          <w:rFonts w:ascii="Arial" w:hAnsi="Arial" w:cs="Arial"/>
          <w:sz w:val="16"/>
          <w:szCs w:val="16"/>
        </w:rPr>
        <w:t xml:space="preserve"> Cfr. Tesis Aislada, visible en la Séptima Época, de la Gaceta del Semanario Judicial de la Federación, Volumen 103-108, Sexta Parte, página 198. Instancia: Tribunales Colegiados de Circuito, con Registro electrónico:  252861</w:t>
      </w:r>
    </w:p>
  </w:footnote>
  <w:footnote w:id="35">
    <w:p w14:paraId="6890152D" w14:textId="77777777" w:rsidR="00A428ED" w:rsidRPr="00086726" w:rsidRDefault="00A428ED" w:rsidP="00A428ED">
      <w:pPr>
        <w:pStyle w:val="Textonotapie"/>
        <w:rPr>
          <w:rFonts w:ascii="Arial" w:hAnsi="Arial" w:cs="Arial"/>
          <w:sz w:val="16"/>
          <w:szCs w:val="16"/>
        </w:rPr>
      </w:pPr>
      <w:r w:rsidRPr="00086726">
        <w:rPr>
          <w:rStyle w:val="Refdenotaalpie"/>
          <w:rFonts w:ascii="Arial" w:hAnsi="Arial" w:cs="Arial"/>
          <w:sz w:val="16"/>
          <w:szCs w:val="16"/>
        </w:rPr>
        <w:footnoteRef/>
      </w:r>
      <w:r w:rsidRPr="00086726">
        <w:rPr>
          <w:rFonts w:ascii="Arial" w:hAnsi="Arial" w:cs="Arial"/>
          <w:sz w:val="16"/>
          <w:szCs w:val="16"/>
        </w:rPr>
        <w:t xml:space="preserve"> Cfr. Tesis Aislada, número:  P. XIX/96, visible en la Novena Época, de la Gaceta del Semanario Judicial de la Federación, Tomo III, Marzo de 1996, página 465 . Instancia: Tribunales Colegiados de Circuito, con Registro electrónico:  200184</w:t>
      </w:r>
    </w:p>
  </w:footnote>
  <w:footnote w:id="36">
    <w:p w14:paraId="7A89441F" w14:textId="77777777" w:rsidR="00A428ED" w:rsidRPr="00086726" w:rsidRDefault="00A428ED" w:rsidP="00A428ED">
      <w:pPr>
        <w:pStyle w:val="Textonotapie"/>
        <w:rPr>
          <w:rFonts w:ascii="Arial" w:hAnsi="Arial" w:cs="Arial"/>
          <w:sz w:val="16"/>
          <w:szCs w:val="16"/>
        </w:rPr>
      </w:pPr>
      <w:r w:rsidRPr="00086726">
        <w:rPr>
          <w:rStyle w:val="Refdenotaalpie"/>
          <w:rFonts w:ascii="Arial" w:hAnsi="Arial" w:cs="Arial"/>
          <w:sz w:val="16"/>
          <w:szCs w:val="16"/>
        </w:rPr>
        <w:footnoteRef/>
      </w:r>
      <w:r w:rsidRPr="00086726">
        <w:rPr>
          <w:rFonts w:ascii="Arial" w:hAnsi="Arial" w:cs="Arial"/>
          <w:sz w:val="16"/>
          <w:szCs w:val="16"/>
        </w:rPr>
        <w:t xml:space="preserve">Semanario Judicial de la Federación y su Gaceta, Novena Época, </w:t>
      </w:r>
      <w:r w:rsidRPr="00086726">
        <w:rPr>
          <w:rStyle w:val="ng-star-inserted"/>
          <w:rFonts w:ascii="Arial" w:hAnsi="Arial" w:cs="Arial"/>
          <w:sz w:val="16"/>
          <w:szCs w:val="16"/>
        </w:rPr>
        <w:t>Tomo III, Marzo de 1996</w:t>
      </w:r>
      <w:r w:rsidRPr="00086726">
        <w:rPr>
          <w:rFonts w:ascii="Arial" w:hAnsi="Arial" w:cs="Arial"/>
          <w:sz w:val="16"/>
          <w:szCs w:val="16"/>
        </w:rPr>
        <w:t xml:space="preserve">, Pleno de la Suprema Corte de Justicia de la Nación, p. </w:t>
      </w:r>
      <w:r>
        <w:rPr>
          <w:rFonts w:ascii="Arial" w:hAnsi="Arial" w:cs="Arial"/>
          <w:sz w:val="16"/>
          <w:szCs w:val="16"/>
        </w:rPr>
        <w:t>465</w:t>
      </w:r>
      <w:r w:rsidRPr="00086726">
        <w:rPr>
          <w:rFonts w:ascii="Arial" w:hAnsi="Arial" w:cs="Arial"/>
          <w:sz w:val="16"/>
          <w:szCs w:val="16"/>
        </w:rPr>
        <w:t>, Tesis: P. XX/96, Registro: 200185.</w:t>
      </w:r>
    </w:p>
  </w:footnote>
  <w:footnote w:id="37">
    <w:p w14:paraId="7F076539" w14:textId="77777777" w:rsidR="00A428ED" w:rsidRDefault="00A428ED" w:rsidP="00A428ED">
      <w:pPr>
        <w:pStyle w:val="Textonotapie"/>
      </w:pPr>
      <w:r>
        <w:rPr>
          <w:rStyle w:val="Refdenotaalpie"/>
        </w:rPr>
        <w:footnoteRef/>
      </w:r>
      <w:r>
        <w:t xml:space="preserve"> </w:t>
      </w:r>
      <w:r w:rsidRPr="00086726">
        <w:rPr>
          <w:rFonts w:ascii="Arial" w:hAnsi="Arial" w:cs="Arial"/>
          <w:sz w:val="16"/>
          <w:szCs w:val="16"/>
        </w:rPr>
        <w:t xml:space="preserve">Cfr. Tesis Aislada, número:  P. XIX/96, visible en la </w:t>
      </w:r>
      <w:r>
        <w:rPr>
          <w:rFonts w:ascii="Arial" w:hAnsi="Arial" w:cs="Arial"/>
          <w:sz w:val="16"/>
          <w:szCs w:val="16"/>
        </w:rPr>
        <w:t>Séptima</w:t>
      </w:r>
      <w:r w:rsidRPr="00086726">
        <w:rPr>
          <w:rFonts w:ascii="Arial" w:hAnsi="Arial" w:cs="Arial"/>
          <w:sz w:val="16"/>
          <w:szCs w:val="16"/>
        </w:rPr>
        <w:t xml:space="preserve"> Época, de la Gaceta del Semanario Judicial de la Federación, </w:t>
      </w:r>
      <w:r w:rsidRPr="00EC3105">
        <w:rPr>
          <w:rFonts w:ascii="Arial" w:hAnsi="Arial" w:cs="Arial"/>
          <w:sz w:val="16"/>
          <w:szCs w:val="16"/>
        </w:rPr>
        <w:t>Volumen 61, Sexta Parte, página 53</w:t>
      </w:r>
      <w:r w:rsidRPr="00086726">
        <w:rPr>
          <w:rFonts w:ascii="Arial" w:hAnsi="Arial" w:cs="Arial"/>
          <w:sz w:val="16"/>
          <w:szCs w:val="16"/>
        </w:rPr>
        <w:t>. Instancia: Tribunales Colegiados de Circuito, con Registro electrónico:  </w:t>
      </w:r>
      <w:r w:rsidRPr="00EC3105">
        <w:rPr>
          <w:rFonts w:ascii="Arial" w:hAnsi="Arial" w:cs="Arial"/>
          <w:sz w:val="16"/>
          <w:szCs w:val="16"/>
        </w:rPr>
        <w:t>255178</w:t>
      </w:r>
      <w:r>
        <w:rPr>
          <w:rFonts w:ascii="Arial" w:hAnsi="Arial" w:cs="Arial"/>
          <w:sz w:val="16"/>
          <w:szCs w:val="16"/>
        </w:rPr>
        <w:t>.</w:t>
      </w:r>
    </w:p>
  </w:footnote>
  <w:footnote w:id="38">
    <w:p w14:paraId="59C34799" w14:textId="77777777" w:rsidR="00A428ED" w:rsidRPr="00DA6DE5" w:rsidRDefault="00A428ED" w:rsidP="00A428ED">
      <w:pPr>
        <w:pStyle w:val="Textonotapie"/>
        <w:rPr>
          <w:rFonts w:ascii="Arial" w:hAnsi="Arial" w:cs="Arial"/>
          <w:sz w:val="16"/>
          <w:szCs w:val="16"/>
        </w:rPr>
      </w:pPr>
      <w:r w:rsidRPr="00DA6DE5">
        <w:rPr>
          <w:rStyle w:val="Refdenotaalpie"/>
          <w:rFonts w:ascii="Arial" w:hAnsi="Arial" w:cs="Arial"/>
          <w:sz w:val="16"/>
          <w:szCs w:val="16"/>
        </w:rPr>
        <w:footnoteRef/>
      </w:r>
      <w:r w:rsidRPr="00DA6DE5">
        <w:rPr>
          <w:rFonts w:ascii="Arial" w:hAnsi="Arial" w:cs="Arial"/>
          <w:sz w:val="16"/>
          <w:szCs w:val="16"/>
        </w:rPr>
        <w:t xml:space="preserve"> “[…]</w:t>
      </w:r>
      <w:r w:rsidRPr="00DA6DE5">
        <w:rPr>
          <w:rFonts w:ascii="Arial" w:hAnsi="Arial" w:cs="Arial"/>
          <w:i/>
          <w:sz w:val="16"/>
          <w:szCs w:val="16"/>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r w:rsidRPr="00DA6DE5">
        <w:rPr>
          <w:rFonts w:ascii="Arial" w:hAnsi="Arial" w:cs="Arial"/>
          <w:sz w:val="16"/>
          <w:szCs w:val="16"/>
        </w:rPr>
        <w:t>[…]” Constitución Política de los Estados Unidos Mexicanos, con última Reforma publicada en el Diario Oficial de la Federación, el quince de octubre de dos mil veinticinco.</w:t>
      </w:r>
    </w:p>
  </w:footnote>
  <w:footnote w:id="39">
    <w:p w14:paraId="339E9738" w14:textId="77777777" w:rsidR="00A428ED" w:rsidRPr="00DA6DE5" w:rsidRDefault="00A428ED" w:rsidP="00A428ED">
      <w:pPr>
        <w:spacing w:after="0" w:line="240" w:lineRule="auto"/>
        <w:jc w:val="both"/>
        <w:rPr>
          <w:rFonts w:ascii="Arial" w:eastAsia="Times New Roman" w:hAnsi="Arial" w:cs="Arial"/>
          <w:sz w:val="16"/>
          <w:szCs w:val="16"/>
          <w:lang w:eastAsia="es-MX"/>
        </w:rPr>
      </w:pPr>
      <w:r w:rsidRPr="00DA6DE5">
        <w:rPr>
          <w:rStyle w:val="Refdenotaalpie"/>
          <w:rFonts w:ascii="Arial" w:hAnsi="Arial" w:cs="Arial"/>
          <w:sz w:val="16"/>
          <w:szCs w:val="16"/>
        </w:rPr>
        <w:footnoteRef/>
      </w:r>
      <w:r w:rsidRPr="00DA6DE5">
        <w:rPr>
          <w:rFonts w:ascii="Arial" w:hAnsi="Arial" w:cs="Arial"/>
          <w:sz w:val="16"/>
          <w:szCs w:val="16"/>
        </w:rPr>
        <w:t xml:space="preserve"> “</w:t>
      </w:r>
      <w:r w:rsidRPr="00DA6DE5">
        <w:rPr>
          <w:rFonts w:ascii="Arial" w:eastAsia="Times New Roman" w:hAnsi="Arial" w:cs="Arial"/>
          <w:sz w:val="16"/>
          <w:szCs w:val="16"/>
          <w:lang w:eastAsia="es-MX"/>
        </w:rPr>
        <w:t>PRINCIPIO DE PROGRESIVIDAD DE LOS DERECHOS HUMANOS. LA PROHIBICIÓN QUE TIENEN LAS AUTORIDADES DEL ESTADO MEXICANO DE ADOPTAR MEDIDAS REGRESIVAS NO ES ABSOLUTA, PUES EXCEPCIONALMENTE ÉSTAS SON ADMISIBLES SI SE JUSTIFICAN PLENAMENTE.</w:t>
      </w:r>
    </w:p>
    <w:p w14:paraId="661C02A1" w14:textId="77777777" w:rsidR="00A428ED" w:rsidRPr="006B7D88" w:rsidRDefault="00A428ED" w:rsidP="00A428ED">
      <w:pPr>
        <w:spacing w:after="0" w:line="240" w:lineRule="auto"/>
        <w:jc w:val="both"/>
        <w:rPr>
          <w:rFonts w:ascii="Arial" w:eastAsia="Times New Roman" w:hAnsi="Arial" w:cs="Arial"/>
          <w:sz w:val="16"/>
          <w:szCs w:val="16"/>
          <w:lang w:eastAsia="es-MX"/>
        </w:rPr>
      </w:pPr>
      <w:r w:rsidRPr="00DA6DE5">
        <w:rPr>
          <w:rFonts w:ascii="Arial" w:eastAsia="Times New Roman" w:hAnsi="Arial" w:cs="Arial"/>
          <w:sz w:val="16"/>
          <w:szCs w:val="16"/>
          <w:lang w:eastAsia="es-MX"/>
        </w:rPr>
        <w:t xml:space="preserve">El principio referido impone al Estado, entre otras cuestiones, la prohibición de regresividad, la cual no es absoluta y puede haber circunstancias que justifiquen una regresión en cuanto al alcance y tutela de un determinado derecho fundamental. Sin embargo, dichas circunstancias están sujetas a un escrutinio estricto, pues implican la restricción de un derecho humano. En este sentido, </w:t>
      </w:r>
      <w:r w:rsidRPr="00DA6DE5">
        <w:rPr>
          <w:rFonts w:ascii="Arial" w:eastAsia="Times New Roman" w:hAnsi="Arial" w:cs="Arial"/>
          <w:b/>
          <w:sz w:val="16"/>
          <w:szCs w:val="16"/>
          <w:lang w:eastAsia="es-MX"/>
        </w:rPr>
        <w:t>corresponde a la autoridad que pretende realizar una medida regresiva</w:t>
      </w:r>
      <w:r w:rsidRPr="00DA6DE5">
        <w:rPr>
          <w:rFonts w:ascii="Arial" w:eastAsia="Times New Roman" w:hAnsi="Arial" w:cs="Arial"/>
          <w:sz w:val="16"/>
          <w:szCs w:val="16"/>
          <w:lang w:eastAsia="es-MX"/>
        </w:rPr>
        <w:t xml:space="preserve"> (legislativa, administrativa o, incluso, judicial) </w:t>
      </w:r>
      <w:r w:rsidRPr="00DA6DE5">
        <w:rPr>
          <w:rFonts w:ascii="Arial" w:eastAsia="Times New Roman" w:hAnsi="Arial" w:cs="Arial"/>
          <w:b/>
          <w:sz w:val="16"/>
          <w:szCs w:val="16"/>
          <w:lang w:eastAsia="es-MX"/>
        </w:rPr>
        <w:t>justificar plenamente esa decisión</w:t>
      </w:r>
      <w:r w:rsidRPr="00DA6DE5">
        <w:rPr>
          <w:rFonts w:ascii="Arial" w:eastAsia="Times New Roman" w:hAnsi="Arial" w:cs="Arial"/>
          <w:sz w:val="16"/>
          <w:szCs w:val="16"/>
          <w:lang w:eastAsia="es-MX"/>
        </w:rPr>
        <w:t xml:space="preserve">. En efecto, en virtud de que el artículo </w:t>
      </w:r>
      <w:hyperlink r:id="rId2" w:history="1">
        <w:r w:rsidRPr="00DA6DE5">
          <w:rPr>
            <w:rFonts w:ascii="Arial" w:eastAsia="Times New Roman" w:hAnsi="Arial" w:cs="Arial"/>
            <w:b/>
            <w:bCs/>
            <w:color w:val="0000FF"/>
            <w:sz w:val="16"/>
            <w:szCs w:val="16"/>
            <w:u w:val="single"/>
            <w:lang w:eastAsia="es-MX"/>
          </w:rPr>
          <w:t>1o. de la Constitución Política de los Estados Unidos Mexicanos</w:t>
        </w:r>
      </w:hyperlink>
      <w:r w:rsidRPr="00DA6DE5">
        <w:rPr>
          <w:rFonts w:ascii="Arial" w:eastAsia="Times New Roman" w:hAnsi="Arial" w:cs="Arial"/>
          <w:sz w:val="16"/>
          <w:szCs w:val="16"/>
          <w:lang w:eastAsia="es-MX"/>
        </w:rPr>
        <w:t xml:space="preserve"> impone a todas las autoridades del Estado Mexicano la obligación de respetar el principio de progresividad, </w:t>
      </w:r>
      <w:r w:rsidRPr="00DA6DE5">
        <w:rPr>
          <w:rFonts w:ascii="Arial" w:eastAsia="Times New Roman" w:hAnsi="Arial" w:cs="Arial"/>
          <w:b/>
          <w:sz w:val="16"/>
          <w:szCs w:val="16"/>
          <w:lang w:eastAsia="es-MX"/>
        </w:rPr>
        <w:t>cuando cualquier autoridad, en el ámbito de su competencia,</w:t>
      </w:r>
      <w:r w:rsidRPr="006B7D88">
        <w:rPr>
          <w:rFonts w:ascii="Arial" w:eastAsia="Times New Roman" w:hAnsi="Arial" w:cs="Arial"/>
          <w:b/>
          <w:sz w:val="16"/>
          <w:szCs w:val="16"/>
          <w:lang w:eastAsia="es-MX"/>
        </w:rPr>
        <w:t xml:space="preserve"> adopta una medida regresiva en perjuicio de un derecho humano y alega para justificar su actuación</w:t>
      </w:r>
      <w:r w:rsidRPr="006B7D88">
        <w:rPr>
          <w:rFonts w:ascii="Arial" w:eastAsia="Times New Roman" w:hAnsi="Arial" w:cs="Arial"/>
          <w:sz w:val="16"/>
          <w:szCs w:val="16"/>
          <w:lang w:eastAsia="es-MX"/>
        </w:rPr>
        <w:t xml:space="preserve">, por ejemplo, la falta de recursos, </w:t>
      </w:r>
      <w:r w:rsidRPr="006B7D88">
        <w:rPr>
          <w:rFonts w:ascii="Arial" w:eastAsia="Times New Roman" w:hAnsi="Arial" w:cs="Arial"/>
          <w:b/>
          <w:sz w:val="16"/>
          <w:szCs w:val="16"/>
          <w:lang w:eastAsia="es-MX"/>
        </w:rPr>
        <w:t>en ella recae la carga de probar fehacientemente esa situación</w:t>
      </w:r>
      <w:r w:rsidRPr="006B7D88">
        <w:rPr>
          <w:rFonts w:ascii="Arial" w:eastAsia="Times New Roman" w:hAnsi="Arial" w:cs="Arial"/>
          <w:sz w:val="16"/>
          <w:szCs w:val="16"/>
          <w:lang w:eastAsia="es-MX"/>
        </w:rPr>
        <w:t xml:space="preserve">, es decir, no sólo la carencia de recursos, sino que realizó todos los esfuerzos posibles para utilizar los recursos a su disposición, en el entendido de que las acciones y omisiones que impliquen regresión en el alcance y la tutela de un derecho humano sólo pueden justificarse si: a) se acredita la falta de recursos; b) se demuestra que se realizaron todos los esfuerzos necesarios para obtenerlos, sin éxito; y, c) se demuestra que se aplicó el máximo de los recursos o que los recursos de que se disponía se aplicaron a tutelar otro derecho humano (y no cualquier objetivo social), y que la importancia relativa de satisfacerlo prioritariamente, era mayor. </w:t>
      </w:r>
      <w:r w:rsidRPr="006B7D88">
        <w:rPr>
          <w:rFonts w:ascii="Arial" w:eastAsia="Times New Roman" w:hAnsi="Arial" w:cs="Arial"/>
          <w:b/>
          <w:sz w:val="16"/>
          <w:szCs w:val="16"/>
          <w:lang w:eastAsia="es-MX"/>
        </w:rPr>
        <w:t>Esto es, si bien es cierto que las autoridades legislativas y administrativas tienen, en ciertos ámbitos, un holgado margen de actuación para diseñar políticas públicas, determinar su prioridad relativa y asignar recursos, también lo es que dicha libertad se restringe significativamente cuando está en juego la garantía de los diversos derechos humanos reconocidos por nuestro sistema jurídico, ya que éstos, en tanto normas que expresan el reconocimiento de principios de justicia de la máxima importancia moral, tienen prioridad prima facie frente a cualquier otro objetivo social o colectivo, pues en una sociedad liberal y democrática, estos últimos tienen solamente valor instrumental y no final, como los derechos humanos.</w:t>
      </w:r>
      <w:r>
        <w:rPr>
          <w:rFonts w:ascii="Arial" w:eastAsia="Times New Roman" w:hAnsi="Arial" w:cs="Arial"/>
          <w:b/>
          <w:sz w:val="16"/>
          <w:szCs w:val="16"/>
          <w:lang w:eastAsia="es-MX"/>
        </w:rPr>
        <w:t xml:space="preserve">” </w:t>
      </w:r>
      <w:r w:rsidRPr="0090625B">
        <w:rPr>
          <w:rFonts w:ascii="Arial" w:hAnsi="Arial" w:cs="Arial"/>
          <w:sz w:val="16"/>
          <w:szCs w:val="16"/>
        </w:rPr>
        <w:t xml:space="preserve">Cfr. Jurisprudencia número </w:t>
      </w:r>
      <w:r w:rsidRPr="009548BA">
        <w:rPr>
          <w:rFonts w:ascii="Arial" w:hAnsi="Arial" w:cs="Arial"/>
          <w:sz w:val="16"/>
          <w:szCs w:val="16"/>
        </w:rPr>
        <w:t>1a./J. 87/2017 (10a.)</w:t>
      </w:r>
      <w:r w:rsidRPr="0090625B">
        <w:rPr>
          <w:rFonts w:ascii="Arial" w:hAnsi="Arial" w:cs="Arial"/>
          <w:sz w:val="16"/>
          <w:szCs w:val="16"/>
        </w:rPr>
        <w:t xml:space="preserve">, visible en la Décima Época, de la Gaceta del Semanario Judicial de la Federación </w:t>
      </w:r>
      <w:r w:rsidRPr="009548BA">
        <w:rPr>
          <w:rStyle w:val="ng-star-inserted"/>
          <w:rFonts w:ascii="Arial" w:hAnsi="Arial" w:cs="Arial"/>
          <w:sz w:val="16"/>
          <w:szCs w:val="16"/>
        </w:rPr>
        <w:t>Libro 47, Octubre de 2017, Tomo I, página 188</w:t>
      </w:r>
      <w:r w:rsidRPr="0090625B">
        <w:rPr>
          <w:rFonts w:ascii="Arial" w:hAnsi="Arial" w:cs="Arial"/>
          <w:sz w:val="16"/>
          <w:szCs w:val="16"/>
        </w:rPr>
        <w:t xml:space="preserve">. Instancia: </w:t>
      </w:r>
      <w:r>
        <w:rPr>
          <w:rFonts w:ascii="Arial" w:hAnsi="Arial" w:cs="Arial"/>
          <w:sz w:val="16"/>
          <w:szCs w:val="16"/>
        </w:rPr>
        <w:t>Primera Sala de la Suprema Corte de Justicia de la Nación</w:t>
      </w:r>
      <w:r w:rsidRPr="0090625B">
        <w:rPr>
          <w:rFonts w:ascii="Arial" w:hAnsi="Arial" w:cs="Arial"/>
          <w:sz w:val="16"/>
          <w:szCs w:val="16"/>
        </w:rPr>
        <w:t xml:space="preserve">, con Registro electrónico: </w:t>
      </w:r>
      <w:r w:rsidRPr="009548BA">
        <w:rPr>
          <w:rFonts w:ascii="Arial" w:hAnsi="Arial" w:cs="Arial"/>
          <w:sz w:val="16"/>
          <w:szCs w:val="16"/>
        </w:rPr>
        <w:t>2015304</w:t>
      </w:r>
      <w:r w:rsidRPr="0090625B">
        <w:rPr>
          <w:rFonts w:ascii="Arial" w:hAnsi="Arial" w:cs="Arial"/>
          <w:sz w:val="16"/>
          <w:szCs w:val="16"/>
        </w:rPr>
        <w:t>.</w:t>
      </w:r>
    </w:p>
  </w:footnote>
  <w:footnote w:id="40">
    <w:p w14:paraId="3DB2C170" w14:textId="77777777" w:rsidR="00665FCC" w:rsidRPr="00C1032B" w:rsidRDefault="00665FCC" w:rsidP="00665FCC">
      <w:pPr>
        <w:pStyle w:val="Textonotapie"/>
        <w:rPr>
          <w:rFonts w:ascii="Arial" w:hAnsi="Arial" w:cs="Arial"/>
          <w:sz w:val="16"/>
          <w:szCs w:val="16"/>
        </w:rPr>
      </w:pPr>
      <w:r w:rsidRPr="00C1032B">
        <w:rPr>
          <w:rStyle w:val="Refdenotaalpie"/>
          <w:rFonts w:ascii="Arial" w:hAnsi="Arial" w:cs="Arial"/>
          <w:sz w:val="16"/>
          <w:szCs w:val="16"/>
        </w:rPr>
        <w:footnoteRef/>
      </w:r>
      <w:r w:rsidRPr="00C1032B">
        <w:rPr>
          <w:rFonts w:ascii="Arial" w:hAnsi="Arial" w:cs="Arial"/>
          <w:sz w:val="16"/>
          <w:szCs w:val="16"/>
        </w:rPr>
        <w:t xml:space="preserve"> ARTÍCULO 120. La clasificación de la información se llevará a cabo en el momento en que: </w:t>
      </w:r>
    </w:p>
    <w:p w14:paraId="0DB3C05B" w14:textId="77777777" w:rsidR="00665FCC" w:rsidRPr="00C1032B" w:rsidRDefault="00665FCC" w:rsidP="00665FCC">
      <w:pPr>
        <w:pStyle w:val="Textonotapie"/>
        <w:rPr>
          <w:rFonts w:ascii="Arial" w:hAnsi="Arial" w:cs="Arial"/>
          <w:sz w:val="16"/>
          <w:szCs w:val="16"/>
        </w:rPr>
      </w:pPr>
      <w:r w:rsidRPr="00C1032B">
        <w:rPr>
          <w:rFonts w:ascii="Arial" w:hAnsi="Arial" w:cs="Arial"/>
          <w:sz w:val="16"/>
          <w:szCs w:val="16"/>
        </w:rPr>
        <w:t xml:space="preserve">I. Se reciba una solicitud de acceso a la información; </w:t>
      </w:r>
    </w:p>
    <w:p w14:paraId="43E70E4B" w14:textId="77777777" w:rsidR="00665FCC" w:rsidRDefault="00665FCC" w:rsidP="00665FCC">
      <w:pPr>
        <w:pStyle w:val="Textonotapie"/>
        <w:rPr>
          <w:rFonts w:ascii="Arial" w:hAnsi="Arial" w:cs="Arial"/>
          <w:sz w:val="16"/>
          <w:szCs w:val="16"/>
        </w:rPr>
      </w:pPr>
      <w:r w:rsidRPr="00EF0945">
        <w:rPr>
          <w:rFonts w:ascii="Arial" w:hAnsi="Arial" w:cs="Arial"/>
          <w:sz w:val="16"/>
          <w:szCs w:val="16"/>
        </w:rPr>
        <w:t xml:space="preserve">II. Se determine mediante resolución de autoridad competente, o </w:t>
      </w:r>
    </w:p>
    <w:p w14:paraId="121C25AC" w14:textId="77777777" w:rsidR="00665FCC" w:rsidRPr="00EF0945" w:rsidRDefault="00665FCC" w:rsidP="00665FCC">
      <w:pPr>
        <w:pStyle w:val="Textonotapie"/>
        <w:rPr>
          <w:rFonts w:ascii="Arial" w:hAnsi="Arial" w:cs="Arial"/>
          <w:sz w:val="16"/>
          <w:szCs w:val="16"/>
        </w:rPr>
      </w:pPr>
      <w:r w:rsidRPr="00EF0945">
        <w:rPr>
          <w:rFonts w:ascii="Arial" w:hAnsi="Arial" w:cs="Arial"/>
          <w:sz w:val="16"/>
          <w:szCs w:val="16"/>
        </w:rPr>
        <w:t>III. Se generen versiones públicas para dar cumplimiento a las obligaciones de transparencia previstas en esta Ley.</w:t>
      </w:r>
    </w:p>
  </w:footnote>
  <w:footnote w:id="41">
    <w:p w14:paraId="24BF2EC8" w14:textId="77777777" w:rsidR="007E16D0" w:rsidRPr="00BB51BC" w:rsidRDefault="007E16D0" w:rsidP="0059752F">
      <w:pPr>
        <w:pStyle w:val="Textonotapie"/>
        <w:rPr>
          <w:rFonts w:ascii="Arial" w:hAnsi="Arial" w:cs="Arial"/>
          <w:sz w:val="16"/>
          <w:szCs w:val="16"/>
        </w:rPr>
      </w:pPr>
      <w:r w:rsidRPr="003E3A0D">
        <w:rPr>
          <w:rStyle w:val="Refdenotaalpie"/>
          <w:rFonts w:ascii="Arial" w:hAnsi="Arial" w:cs="Arial"/>
          <w:sz w:val="16"/>
          <w:szCs w:val="16"/>
        </w:rPr>
        <w:footnoteRef/>
      </w:r>
      <w:r w:rsidRPr="003E3A0D">
        <w:rPr>
          <w:rFonts w:ascii="Arial" w:hAnsi="Arial" w:cs="Arial"/>
          <w:sz w:val="16"/>
          <w:szCs w:val="16"/>
        </w:rPr>
        <w:t xml:space="preserve"> ARTÍCULO 114. La clasificación</w:t>
      </w:r>
      <w:r w:rsidRPr="00BB51BC">
        <w:rPr>
          <w:rFonts w:ascii="Arial" w:hAnsi="Arial" w:cs="Arial"/>
          <w:sz w:val="16"/>
          <w:szCs w:val="16"/>
        </w:rPr>
        <w:t xml:space="preserve"> es el proceso mediante el cual el sujeto obligado determina que la información en su poder actualizar alguno de los supuestos de reserva o confidencialidad, de conformidad con lo dispuesto en el presente Título. Los supuestos de reserva o confidencialidad previstos en las leyes deberán ser acordes con las bases, principios y disposiciones establecidos en esta Ley y, en ningún caso, podrán contravenirla. Los titulares de las Áreas de los sujetos obligados serán los responsables de clasificar la información, de conformidad con lo dispuesto en, la Ley General y esta Ley.</w:t>
      </w:r>
    </w:p>
  </w:footnote>
  <w:footnote w:id="42">
    <w:p w14:paraId="557286B2" w14:textId="77777777" w:rsidR="007E16D0" w:rsidRDefault="007E16D0" w:rsidP="0059752F">
      <w:pPr>
        <w:pStyle w:val="Textonotapie"/>
        <w:rPr>
          <w:rFonts w:ascii="Arial" w:hAnsi="Arial" w:cs="Arial"/>
          <w:sz w:val="16"/>
          <w:szCs w:val="16"/>
        </w:rPr>
      </w:pPr>
      <w:r w:rsidRPr="00BB51BC">
        <w:rPr>
          <w:rStyle w:val="Refdenotaalpie"/>
          <w:rFonts w:ascii="Arial" w:hAnsi="Arial" w:cs="Arial"/>
          <w:sz w:val="16"/>
          <w:szCs w:val="16"/>
        </w:rPr>
        <w:footnoteRef/>
      </w:r>
      <w:r w:rsidRPr="00BB51BC">
        <w:rPr>
          <w:rFonts w:ascii="Arial" w:hAnsi="Arial" w:cs="Arial"/>
          <w:sz w:val="16"/>
          <w:szCs w:val="16"/>
        </w:rPr>
        <w:t xml:space="preserve"> </w:t>
      </w:r>
      <w:r w:rsidRPr="00B9342C">
        <w:rPr>
          <w:rFonts w:ascii="Arial" w:hAnsi="Arial" w:cs="Arial"/>
          <w:sz w:val="16"/>
          <w:szCs w:val="16"/>
        </w:rPr>
        <w:t>ARTÍCULO 159. En caso de que los sujetos obligados consideren que los documentos o la información deba ser clasificada, se sujetará a lo siguiente: El Área deberá remitir la solicitud, así como un escrito en el que funde y motive la clasificación al Comité de Transparencia, mismo</w:t>
      </w:r>
      <w:r w:rsidRPr="00BB51BC">
        <w:rPr>
          <w:rFonts w:ascii="Arial" w:hAnsi="Arial" w:cs="Arial"/>
          <w:sz w:val="16"/>
          <w:szCs w:val="16"/>
        </w:rPr>
        <w:t xml:space="preserve"> que deberá resolver para: </w:t>
      </w:r>
    </w:p>
    <w:p w14:paraId="25A644EA" w14:textId="77777777" w:rsidR="007E16D0" w:rsidRDefault="007E16D0" w:rsidP="0059752F">
      <w:pPr>
        <w:pStyle w:val="Textonotapie"/>
        <w:rPr>
          <w:rFonts w:ascii="Arial" w:hAnsi="Arial" w:cs="Arial"/>
          <w:sz w:val="16"/>
          <w:szCs w:val="16"/>
        </w:rPr>
      </w:pPr>
      <w:r w:rsidRPr="00BB51BC">
        <w:rPr>
          <w:rFonts w:ascii="Arial" w:hAnsi="Arial" w:cs="Arial"/>
          <w:sz w:val="16"/>
          <w:szCs w:val="16"/>
        </w:rPr>
        <w:t xml:space="preserve">I. Confirmar la clasificación; </w:t>
      </w:r>
    </w:p>
    <w:p w14:paraId="76AE8E36" w14:textId="77777777" w:rsidR="007E16D0" w:rsidRDefault="007E16D0" w:rsidP="0059752F">
      <w:pPr>
        <w:pStyle w:val="Textonotapie"/>
        <w:rPr>
          <w:rFonts w:ascii="Arial" w:hAnsi="Arial" w:cs="Arial"/>
          <w:sz w:val="16"/>
          <w:szCs w:val="16"/>
        </w:rPr>
      </w:pPr>
      <w:r w:rsidRPr="00BB51BC">
        <w:rPr>
          <w:rFonts w:ascii="Arial" w:hAnsi="Arial" w:cs="Arial"/>
          <w:sz w:val="16"/>
          <w:szCs w:val="16"/>
        </w:rPr>
        <w:t xml:space="preserve">II. Modificar la clasificación y otorgar total o parcialmente el acceso a la información, y </w:t>
      </w:r>
    </w:p>
    <w:p w14:paraId="21929937" w14:textId="77777777" w:rsidR="007E16D0" w:rsidRPr="0031250F" w:rsidRDefault="007E16D0" w:rsidP="0059752F">
      <w:pPr>
        <w:pStyle w:val="Textonotapie"/>
        <w:rPr>
          <w:rFonts w:ascii="Arial" w:hAnsi="Arial" w:cs="Arial"/>
          <w:sz w:val="16"/>
          <w:szCs w:val="16"/>
        </w:rPr>
      </w:pPr>
      <w:r w:rsidRPr="00BB51BC">
        <w:rPr>
          <w:rFonts w:ascii="Arial" w:hAnsi="Arial" w:cs="Arial"/>
          <w:sz w:val="16"/>
          <w:szCs w:val="16"/>
        </w:rPr>
        <w:t>III. Revocar la clasificación y conceder el acceso a la información. El Comité de Transparencia podrá tener acceso a la</w:t>
      </w:r>
      <w:r>
        <w:rPr>
          <w:rFonts w:ascii="Arial" w:hAnsi="Arial" w:cs="Arial"/>
          <w:sz w:val="16"/>
          <w:szCs w:val="16"/>
        </w:rPr>
        <w:t xml:space="preserve"> </w:t>
      </w:r>
      <w:r w:rsidRPr="0031250F">
        <w:rPr>
          <w:rFonts w:ascii="Arial" w:hAnsi="Arial" w:cs="Arial"/>
          <w:sz w:val="16"/>
          <w:szCs w:val="16"/>
        </w:rPr>
        <w:t>información que esté en poder del Área correspondiente, de la cual se haya solicitado su clasificación. La resolución del Comité de Transparencia será notificada al interesado en el plazo de respuesta a la solicitud que establece el artículo 154 de la presente Ley</w:t>
      </w:r>
    </w:p>
  </w:footnote>
  <w:footnote w:id="43">
    <w:p w14:paraId="537732DB" w14:textId="77777777" w:rsidR="007E16D0" w:rsidRPr="00EC32C8" w:rsidRDefault="007E16D0" w:rsidP="00FB22A7">
      <w:pPr>
        <w:pStyle w:val="Textonotapie"/>
        <w:rPr>
          <w:rFonts w:ascii="Arial" w:hAnsi="Arial" w:cs="Arial"/>
          <w:sz w:val="16"/>
          <w:szCs w:val="16"/>
        </w:rPr>
      </w:pPr>
      <w:r w:rsidRPr="00F63CAE">
        <w:rPr>
          <w:rStyle w:val="Refdenotaalpie"/>
          <w:rFonts w:ascii="Arial" w:hAnsi="Arial" w:cs="Arial"/>
          <w:sz w:val="16"/>
          <w:szCs w:val="16"/>
        </w:rPr>
        <w:footnoteRef/>
      </w:r>
      <w:r w:rsidRPr="00F63CAE">
        <w:rPr>
          <w:rFonts w:ascii="Arial" w:hAnsi="Arial" w:cs="Arial"/>
          <w:sz w:val="16"/>
          <w:szCs w:val="16"/>
        </w:rPr>
        <w:t xml:space="preserve"> ARTÍCULO 34. La CEGAIP funcionará de forma colegiada en reuniones de Pleno, mismas que serán públicas con excepción de aquellas que vulneren el derecho a la privacidad de las personas, y se desarrollarán en los términos que señale su </w:t>
      </w:r>
      <w:r w:rsidRPr="00EC32C8">
        <w:rPr>
          <w:rFonts w:ascii="Arial" w:hAnsi="Arial" w:cs="Arial"/>
          <w:sz w:val="16"/>
          <w:szCs w:val="16"/>
        </w:rPr>
        <w:t>reglamento interior. Todas sus acciones, deliberaciones y resoluciones tendrán el carácter de públicas. El Pleno tendrá en el ámbito de su competencia, las siguientes atribuciones:</w:t>
      </w:r>
    </w:p>
  </w:footnote>
  <w:footnote w:id="44">
    <w:p w14:paraId="1EE6CAFC" w14:textId="77777777" w:rsidR="007E16D0" w:rsidRPr="00EC32C8" w:rsidRDefault="007E16D0" w:rsidP="00FB22A7">
      <w:pPr>
        <w:pStyle w:val="Textonotapie"/>
        <w:rPr>
          <w:rFonts w:ascii="Arial" w:hAnsi="Arial" w:cs="Arial"/>
          <w:sz w:val="16"/>
          <w:szCs w:val="16"/>
        </w:rPr>
      </w:pPr>
      <w:r w:rsidRPr="00EC32C8">
        <w:rPr>
          <w:rStyle w:val="Refdenotaalpie"/>
          <w:rFonts w:ascii="Arial" w:hAnsi="Arial" w:cs="Arial"/>
          <w:sz w:val="16"/>
          <w:szCs w:val="16"/>
        </w:rPr>
        <w:footnoteRef/>
      </w:r>
      <w:r w:rsidRPr="00EC32C8">
        <w:rPr>
          <w:rFonts w:ascii="Arial" w:hAnsi="Arial" w:cs="Arial"/>
          <w:sz w:val="16"/>
          <w:szCs w:val="16"/>
        </w:rPr>
        <w:t xml:space="preserve"> II. Recibir, dar trámite y resolver los recursos que interpongan las personas que hubiesen solicitado información a los sujetos obligados;</w:t>
      </w:r>
    </w:p>
  </w:footnote>
  <w:footnote w:id="45">
    <w:p w14:paraId="1705EDB5" w14:textId="77777777" w:rsidR="007E16D0" w:rsidRPr="00EC32C8" w:rsidRDefault="007E16D0" w:rsidP="00FB22A7">
      <w:pPr>
        <w:pStyle w:val="Textonotapie"/>
        <w:rPr>
          <w:rFonts w:ascii="Arial" w:hAnsi="Arial" w:cs="Arial"/>
          <w:sz w:val="16"/>
          <w:szCs w:val="16"/>
        </w:rPr>
      </w:pPr>
      <w:r w:rsidRPr="00EC32C8">
        <w:rPr>
          <w:rStyle w:val="Refdenotaalpie"/>
          <w:rFonts w:ascii="Arial" w:hAnsi="Arial" w:cs="Arial"/>
          <w:sz w:val="16"/>
          <w:szCs w:val="16"/>
        </w:rPr>
        <w:footnoteRef/>
      </w:r>
      <w:r w:rsidRPr="00EC32C8">
        <w:rPr>
          <w:rFonts w:ascii="Arial" w:hAnsi="Arial" w:cs="Arial"/>
          <w:sz w:val="16"/>
          <w:szCs w:val="16"/>
        </w:rPr>
        <w:t xml:space="preserve"> Gaceta del Semanario Judicial de la Federación, Décima Época, Libro 3, Tomo III, febrero de 2014, Tribunales Colegiados de Circuito, p. 2578, Tesis: IV.2o.A.71 A (10a.), Registro: 2005698.</w:t>
      </w:r>
    </w:p>
  </w:footnote>
  <w:footnote w:id="46">
    <w:p w14:paraId="597CE928" w14:textId="77777777" w:rsidR="007E16D0" w:rsidRPr="00EC32C8" w:rsidRDefault="007E16D0" w:rsidP="00FB22A7">
      <w:pPr>
        <w:pStyle w:val="Textonotapie"/>
        <w:rPr>
          <w:rFonts w:ascii="Arial" w:hAnsi="Arial" w:cs="Arial"/>
          <w:sz w:val="16"/>
          <w:szCs w:val="16"/>
        </w:rPr>
      </w:pPr>
      <w:r w:rsidRPr="00EC32C8">
        <w:rPr>
          <w:rStyle w:val="Refdenotaalpie"/>
          <w:rFonts w:ascii="Arial" w:hAnsi="Arial" w:cs="Arial"/>
          <w:sz w:val="16"/>
          <w:szCs w:val="16"/>
        </w:rPr>
        <w:footnoteRef/>
      </w:r>
      <w:r w:rsidRPr="00EC32C8">
        <w:rPr>
          <w:rFonts w:ascii="Arial" w:hAnsi="Arial" w:cs="Arial"/>
          <w:sz w:val="16"/>
          <w:szCs w:val="16"/>
        </w:rPr>
        <w:t xml:space="preserve"> ARTÍCULO 166. El solicitante podrá interponer, por sí mismo o a través de su representante, de manera directa o por medios electrónicos, recurso de revisión ante la CEGAIP o ante la Unidad de Transparencia que haya conocido de la solicitud dentro de los quince días siguientes a la fecha de la notificación de la respuesta, o del vencimiento del plazo para su</w:t>
      </w:r>
      <w:r>
        <w:rPr>
          <w:rFonts w:ascii="Arial" w:hAnsi="Arial" w:cs="Arial"/>
          <w:sz w:val="16"/>
          <w:szCs w:val="16"/>
        </w:rPr>
        <w:t xml:space="preserve"> </w:t>
      </w:r>
      <w:r w:rsidRPr="00EC32C8">
        <w:rPr>
          <w:rFonts w:ascii="Arial" w:hAnsi="Arial" w:cs="Arial"/>
          <w:sz w:val="16"/>
          <w:szCs w:val="16"/>
        </w:rPr>
        <w:t>notificación.</w:t>
      </w:r>
    </w:p>
  </w:footnote>
  <w:footnote w:id="47">
    <w:p w14:paraId="28098A69" w14:textId="77777777" w:rsidR="007E16D0" w:rsidRPr="00BD4ABB" w:rsidRDefault="007E16D0" w:rsidP="00FB22A7">
      <w:pPr>
        <w:pStyle w:val="Textonotapie"/>
        <w:rPr>
          <w:rFonts w:ascii="Arial" w:hAnsi="Arial" w:cs="Arial"/>
          <w:sz w:val="16"/>
          <w:szCs w:val="16"/>
        </w:rPr>
      </w:pPr>
      <w:r w:rsidRPr="00EC32C8">
        <w:rPr>
          <w:rStyle w:val="Refdenotaalpie"/>
          <w:rFonts w:ascii="Arial" w:hAnsi="Arial" w:cs="Arial"/>
          <w:sz w:val="16"/>
          <w:szCs w:val="16"/>
        </w:rPr>
        <w:footnoteRef/>
      </w:r>
      <w:r w:rsidRPr="00EC32C8">
        <w:rPr>
          <w:rFonts w:ascii="Arial" w:hAnsi="Arial" w:cs="Arial"/>
          <w:sz w:val="16"/>
          <w:szCs w:val="16"/>
        </w:rPr>
        <w:t xml:space="preserve"> </w:t>
      </w:r>
      <w:r w:rsidRPr="001B1295">
        <w:rPr>
          <w:rFonts w:ascii="Arial" w:hAnsi="Arial" w:cs="Arial"/>
          <w:sz w:val="16"/>
          <w:szCs w:val="16"/>
        </w:rPr>
        <w:t>I. La clasificación de la información</w:t>
      </w:r>
    </w:p>
  </w:footnote>
  <w:footnote w:id="48">
    <w:p w14:paraId="110FA0AF" w14:textId="77777777" w:rsidR="007E16D0" w:rsidRPr="00BD4ABB" w:rsidRDefault="007E16D0" w:rsidP="00FB22A7">
      <w:pPr>
        <w:pStyle w:val="Textonotapie"/>
        <w:rPr>
          <w:rFonts w:ascii="Arial" w:hAnsi="Arial" w:cs="Arial"/>
          <w:sz w:val="16"/>
          <w:szCs w:val="16"/>
        </w:rPr>
      </w:pPr>
      <w:r w:rsidRPr="00BD4ABB">
        <w:rPr>
          <w:rStyle w:val="Refdenotaalpie"/>
          <w:rFonts w:ascii="Arial" w:hAnsi="Arial" w:cs="Arial"/>
          <w:sz w:val="16"/>
          <w:szCs w:val="16"/>
        </w:rPr>
        <w:footnoteRef/>
      </w:r>
      <w:r w:rsidRPr="00BD4ABB">
        <w:rPr>
          <w:rFonts w:ascii="Arial" w:hAnsi="Arial" w:cs="Arial"/>
          <w:sz w:val="16"/>
          <w:szCs w:val="16"/>
        </w:rPr>
        <w:t xml:space="preserve"> ARTÍCULO 167. El recurso de revisión procederá en contra de:</w:t>
      </w:r>
    </w:p>
  </w:footnote>
  <w:footnote w:id="49">
    <w:p w14:paraId="2CB2747B" w14:textId="77777777" w:rsidR="007E16D0" w:rsidRPr="00455D46" w:rsidRDefault="007E16D0" w:rsidP="00FB22A7">
      <w:pPr>
        <w:pStyle w:val="Textonotapie"/>
        <w:rPr>
          <w:rFonts w:ascii="Arial" w:hAnsi="Arial" w:cs="Arial"/>
          <w:sz w:val="16"/>
          <w:szCs w:val="16"/>
        </w:rPr>
      </w:pPr>
      <w:r w:rsidRPr="00455D46">
        <w:rPr>
          <w:rStyle w:val="Refdenotaalpie"/>
          <w:rFonts w:ascii="Arial" w:hAnsi="Arial" w:cs="Arial"/>
          <w:sz w:val="16"/>
          <w:szCs w:val="16"/>
        </w:rPr>
        <w:footnoteRef/>
      </w:r>
      <w:r w:rsidRPr="00455D46">
        <w:rPr>
          <w:rFonts w:ascii="Arial" w:hAnsi="Arial" w:cs="Arial"/>
          <w:sz w:val="16"/>
          <w:szCs w:val="16"/>
        </w:rPr>
        <w:t xml:space="preserve"> ARTÍCULO 173. La CEGAIP, al resolver el recurso de revisión, deberá aplicar una prueba de interés público con base en elementos de idoneidad, necesidad y proporcionalidad, cuando exista una colisión de derechos. Para estos efectos, se entenderá por: </w:t>
      </w:r>
    </w:p>
    <w:p w14:paraId="552B6208" w14:textId="77777777" w:rsidR="007E16D0" w:rsidRPr="00455D46" w:rsidRDefault="007E16D0" w:rsidP="00FB22A7">
      <w:pPr>
        <w:pStyle w:val="Textonotapie"/>
        <w:rPr>
          <w:rFonts w:ascii="Arial" w:hAnsi="Arial" w:cs="Arial"/>
          <w:sz w:val="16"/>
          <w:szCs w:val="16"/>
        </w:rPr>
      </w:pPr>
      <w:r w:rsidRPr="00455D46">
        <w:rPr>
          <w:rFonts w:ascii="Arial" w:hAnsi="Arial" w:cs="Arial"/>
          <w:sz w:val="16"/>
          <w:szCs w:val="16"/>
        </w:rPr>
        <w:t>I. Idoneidad: La legitimidad del derecho adoptado como preferente, que sea el adecuado para el logro de un fin constitucionalmente válido o apto para conseguir el fin pretendido;</w:t>
      </w:r>
    </w:p>
    <w:p w14:paraId="7C5CB474" w14:textId="77777777" w:rsidR="007E16D0" w:rsidRPr="009B71E3" w:rsidRDefault="007E16D0" w:rsidP="00FB22A7">
      <w:pPr>
        <w:pStyle w:val="Textonotapie"/>
        <w:rPr>
          <w:rFonts w:ascii="Arial" w:hAnsi="Arial" w:cs="Arial"/>
          <w:sz w:val="16"/>
          <w:szCs w:val="16"/>
        </w:rPr>
      </w:pPr>
      <w:r w:rsidRPr="00455D46">
        <w:rPr>
          <w:rFonts w:ascii="Arial" w:hAnsi="Arial" w:cs="Arial"/>
          <w:sz w:val="16"/>
          <w:szCs w:val="16"/>
        </w:rPr>
        <w:t xml:space="preserve">II. </w:t>
      </w:r>
      <w:r w:rsidRPr="009B71E3">
        <w:rPr>
          <w:rFonts w:ascii="Arial" w:hAnsi="Arial" w:cs="Arial"/>
          <w:sz w:val="16"/>
          <w:szCs w:val="16"/>
        </w:rPr>
        <w:t xml:space="preserve">Necesidad: La falta de un medio alternativo menos lesivo a la apertura de la información, para satisfacer el interés público, y </w:t>
      </w:r>
    </w:p>
    <w:p w14:paraId="0B83C765" w14:textId="77777777" w:rsidR="007E16D0" w:rsidRPr="00204F88" w:rsidRDefault="007E16D0" w:rsidP="00FB22A7">
      <w:pPr>
        <w:pStyle w:val="Textonotapie"/>
        <w:rPr>
          <w:rFonts w:ascii="Arial" w:hAnsi="Arial" w:cs="Arial"/>
          <w:sz w:val="16"/>
          <w:szCs w:val="16"/>
        </w:rPr>
      </w:pPr>
      <w:r w:rsidRPr="009B71E3">
        <w:rPr>
          <w:rFonts w:ascii="Arial" w:hAnsi="Arial" w:cs="Arial"/>
          <w:sz w:val="16"/>
          <w:szCs w:val="16"/>
        </w:rPr>
        <w:t xml:space="preserve">III. </w:t>
      </w:r>
      <w:r w:rsidRPr="00204F88">
        <w:rPr>
          <w:rFonts w:ascii="Arial" w:hAnsi="Arial" w:cs="Arial"/>
          <w:sz w:val="16"/>
          <w:szCs w:val="16"/>
        </w:rPr>
        <w:t>Proporcionalidad: El equilibrio entre perjuicio y beneficio a favor del interés público, a fin de que la decisión tomada represente un beneficio mayor al perjuicio que podría causar a la población.</w:t>
      </w:r>
    </w:p>
  </w:footnote>
  <w:footnote w:id="50">
    <w:p w14:paraId="59852DE7" w14:textId="77777777" w:rsidR="007E16D0" w:rsidRPr="00204F88" w:rsidRDefault="007E16D0" w:rsidP="00FB22A7">
      <w:pPr>
        <w:pStyle w:val="Textonotapie"/>
        <w:rPr>
          <w:rFonts w:ascii="Arial" w:hAnsi="Arial" w:cs="Arial"/>
          <w:sz w:val="16"/>
          <w:szCs w:val="16"/>
        </w:rPr>
      </w:pPr>
      <w:r w:rsidRPr="00204F88">
        <w:rPr>
          <w:rStyle w:val="Refdenotaalpie"/>
          <w:rFonts w:ascii="Arial" w:hAnsi="Arial" w:cs="Arial"/>
          <w:sz w:val="16"/>
          <w:szCs w:val="16"/>
        </w:rPr>
        <w:footnoteRef/>
      </w:r>
      <w:r w:rsidRPr="00204F88">
        <w:rPr>
          <w:rFonts w:ascii="Arial" w:hAnsi="Arial" w:cs="Arial"/>
          <w:sz w:val="16"/>
          <w:szCs w:val="16"/>
        </w:rPr>
        <w:t xml:space="preserve"> ARTÍCULO 23. Son sujetos obligados a transparentar y permitir el acceso a su información y proteger los datos personales que obren en su poder: cualquier autoridad, entidad, órgano y organismo de los poderes, Ejecutivo; Legislativo; y Judicial; y municipios, órganos autónomos, partidos políticos, candidatas y candidatos independientes, fideicomisos y fondos públicos, así como cualquier persona física, moral o sindicatos que reciban y ejerzan recursos públicos o realicen actos de autoridad en el ámbito estatal y municipal.</w:t>
      </w:r>
    </w:p>
  </w:footnote>
  <w:footnote w:id="51">
    <w:p w14:paraId="653EEA4E" w14:textId="77777777" w:rsidR="007E16D0" w:rsidRPr="009B71E3" w:rsidRDefault="007E16D0" w:rsidP="00FB22A7">
      <w:pPr>
        <w:pStyle w:val="Textonotapie"/>
        <w:rPr>
          <w:rFonts w:ascii="Arial" w:hAnsi="Arial" w:cs="Arial"/>
          <w:sz w:val="16"/>
          <w:szCs w:val="16"/>
        </w:rPr>
      </w:pPr>
      <w:r w:rsidRPr="009B71E3">
        <w:rPr>
          <w:rStyle w:val="Refdenotaalpie"/>
          <w:rFonts w:ascii="Arial" w:hAnsi="Arial" w:cs="Arial"/>
          <w:sz w:val="16"/>
          <w:szCs w:val="16"/>
        </w:rPr>
        <w:footnoteRef/>
      </w:r>
      <w:r w:rsidRPr="009B71E3">
        <w:rPr>
          <w:rFonts w:ascii="Arial" w:hAnsi="Arial" w:cs="Arial"/>
          <w:sz w:val="16"/>
          <w:szCs w:val="16"/>
        </w:rPr>
        <w:t xml:space="preserve"> ARTÍCULO 4°. El derecho humano de acceso a la información comprende solicitar, investigar, difundir, buscar y recibir información. Toda la información generada, obtenida, adquirida, transformada o en posesión de los sujetos obligados es pública y accesible a cualquier persona en los términos y condiciones que se establezcan en la Ley General; en los tratados internacionales de los que el Estado mexicano sea parte; la esta Ley; y la normatividad aplicable en sus respectivas competencias, sólo podrá ser clasificada excepcionalmente en los términos que fija la ley</w:t>
      </w:r>
      <w:r>
        <w:rPr>
          <w:rFonts w:ascii="Arial" w:hAnsi="Arial" w:cs="Arial"/>
          <w:sz w:val="16"/>
          <w:szCs w:val="16"/>
        </w:rPr>
        <w:t xml:space="preserve"> […].</w:t>
      </w:r>
    </w:p>
  </w:footnote>
  <w:footnote w:id="52">
    <w:p w14:paraId="39AFA80D" w14:textId="77777777" w:rsidR="007E16D0" w:rsidRPr="005F0121" w:rsidRDefault="007E16D0" w:rsidP="00FB22A7">
      <w:pPr>
        <w:pStyle w:val="Textonotapie"/>
        <w:rPr>
          <w:rFonts w:ascii="Arial" w:hAnsi="Arial" w:cs="Arial"/>
          <w:sz w:val="16"/>
          <w:szCs w:val="16"/>
          <w:lang w:val="es-ES_tradnl"/>
        </w:rPr>
      </w:pPr>
      <w:r w:rsidRPr="005F0121">
        <w:rPr>
          <w:rStyle w:val="Refdenotaalpie"/>
          <w:rFonts w:ascii="Arial" w:hAnsi="Arial" w:cs="Arial"/>
          <w:sz w:val="16"/>
          <w:szCs w:val="16"/>
        </w:rPr>
        <w:footnoteRef/>
      </w:r>
      <w:r w:rsidRPr="005F0121">
        <w:rPr>
          <w:rFonts w:ascii="Arial" w:hAnsi="Arial" w:cs="Arial"/>
          <w:sz w:val="16"/>
          <w:szCs w:val="16"/>
        </w:rPr>
        <w:t xml:space="preserve"> Artículo 3º. </w:t>
      </w:r>
      <w:r w:rsidRPr="005F0121">
        <w:rPr>
          <w:rFonts w:ascii="Arial" w:hAnsi="Arial" w:cs="Arial"/>
          <w:sz w:val="16"/>
          <w:szCs w:val="16"/>
          <w:lang w:val="es-ES_tradnl"/>
        </w:rPr>
        <w:t>Para los efectos de la presente Ley se entenderá por:</w:t>
      </w:r>
    </w:p>
    <w:p w14:paraId="22CEBBEA" w14:textId="77777777" w:rsidR="007E16D0" w:rsidRPr="005F0121" w:rsidRDefault="007E16D0" w:rsidP="00FB22A7">
      <w:pPr>
        <w:pStyle w:val="Textonotapie"/>
        <w:rPr>
          <w:rFonts w:ascii="Arial" w:hAnsi="Arial" w:cs="Arial"/>
          <w:sz w:val="16"/>
          <w:szCs w:val="16"/>
          <w:lang w:val="es-ES_tradnl"/>
        </w:rPr>
      </w:pPr>
      <w:r w:rsidRPr="005F0121">
        <w:rPr>
          <w:rFonts w:ascii="Arial" w:hAnsi="Arial" w:cs="Arial"/>
          <w:sz w:val="16"/>
          <w:szCs w:val="16"/>
          <w:lang w:val="es-ES_tradnl"/>
        </w:rPr>
        <w:t>[…]</w:t>
      </w:r>
    </w:p>
    <w:p w14:paraId="700BB488" w14:textId="77777777" w:rsidR="007E16D0" w:rsidRPr="00700018" w:rsidRDefault="007E16D0" w:rsidP="00FB22A7">
      <w:pPr>
        <w:pStyle w:val="Textonotapie"/>
        <w:rPr>
          <w:rFonts w:ascii="Arial" w:hAnsi="Arial" w:cs="Arial"/>
          <w:sz w:val="16"/>
          <w:szCs w:val="16"/>
          <w:lang w:val="es-ES_tradnl"/>
        </w:rPr>
      </w:pPr>
      <w:r w:rsidRPr="005F0121">
        <w:rPr>
          <w:rFonts w:ascii="Arial" w:hAnsi="Arial" w:cs="Arial"/>
          <w:sz w:val="16"/>
          <w:szCs w:val="16"/>
          <w:lang w:val="es-ES_tradnl"/>
        </w:rPr>
        <w:t xml:space="preserve">XI. Datos personales: toda información sobre una persona física identificada o identificable, como lo es la relativa a su origen étnico o racial, características físicas, morales o emocionales, a su vida afectiva y familiar, domicilio, número telefónico, correo electrónico, patrimonio, ideología y opiniones políticas, afiliación sindical, creencias o convicciones religiosas o filosóficas, los estados de salud físicos o mentales, información genética, preferencia sexual, y otras análogas que afecten su intimidad. Se considerará identificable toda persona cuya identidad pueda determinarse, directa o </w:t>
      </w:r>
      <w:r w:rsidRPr="00700018">
        <w:rPr>
          <w:rFonts w:ascii="Arial" w:hAnsi="Arial" w:cs="Arial"/>
          <w:sz w:val="16"/>
          <w:szCs w:val="16"/>
          <w:lang w:val="es-ES_tradnl"/>
        </w:rPr>
        <w:t>indirectamente, en particular mediante un número de identificación o uno o varios elementos específicos, característicos de su identidad física, fisiológica, psíquica, económica, cultural o social.</w:t>
      </w:r>
      <w:r>
        <w:rPr>
          <w:rFonts w:ascii="Arial" w:hAnsi="Arial" w:cs="Arial"/>
          <w:sz w:val="16"/>
          <w:szCs w:val="16"/>
          <w:lang w:val="es-ES_tradnl"/>
        </w:rPr>
        <w:t xml:space="preserve"> […]”</w:t>
      </w:r>
      <w:r w:rsidRPr="00700018">
        <w:rPr>
          <w:rFonts w:ascii="Arial" w:hAnsi="Arial" w:cs="Arial"/>
          <w:sz w:val="16"/>
          <w:szCs w:val="16"/>
          <w:lang w:val="es-ES_tradnl"/>
        </w:rPr>
        <w:tab/>
      </w:r>
    </w:p>
    <w:p w14:paraId="0C19ABE9" w14:textId="77777777" w:rsidR="007E16D0" w:rsidRPr="00700018" w:rsidRDefault="007E16D0" w:rsidP="00FB22A7">
      <w:pPr>
        <w:pStyle w:val="Textonotapie"/>
        <w:rPr>
          <w:rFonts w:ascii="Arial" w:hAnsi="Arial" w:cs="Arial"/>
          <w:sz w:val="16"/>
          <w:szCs w:val="16"/>
        </w:rPr>
      </w:pPr>
      <w:r w:rsidRPr="00700018">
        <w:rPr>
          <w:rFonts w:ascii="Arial" w:hAnsi="Arial" w:cs="Arial"/>
          <w:sz w:val="16"/>
          <w:szCs w:val="16"/>
        </w:rPr>
        <w:t xml:space="preserve">fracción XI de la Ley de Transparencia y Acceso a la Información Pública del Estado.  </w:t>
      </w:r>
    </w:p>
  </w:footnote>
  <w:footnote w:id="53">
    <w:p w14:paraId="4FE4CFB4" w14:textId="77777777" w:rsidR="007E16D0" w:rsidRPr="00700018" w:rsidRDefault="007E16D0" w:rsidP="00FB22A7">
      <w:pPr>
        <w:pStyle w:val="Textonotapie"/>
        <w:rPr>
          <w:rFonts w:ascii="Arial" w:hAnsi="Arial" w:cs="Arial"/>
          <w:sz w:val="16"/>
          <w:szCs w:val="16"/>
          <w:lang w:val="es-ES_tradnl"/>
        </w:rPr>
      </w:pPr>
      <w:r w:rsidRPr="00700018">
        <w:rPr>
          <w:rStyle w:val="Refdenotaalpie"/>
          <w:rFonts w:ascii="Arial" w:hAnsi="Arial" w:cs="Arial"/>
          <w:sz w:val="16"/>
          <w:szCs w:val="16"/>
        </w:rPr>
        <w:footnoteRef/>
      </w:r>
      <w:r w:rsidRPr="00700018">
        <w:rPr>
          <w:rFonts w:ascii="Arial" w:hAnsi="Arial" w:cs="Arial"/>
          <w:sz w:val="16"/>
          <w:szCs w:val="16"/>
        </w:rPr>
        <w:t xml:space="preserve"> </w:t>
      </w:r>
      <w:r w:rsidRPr="00700018">
        <w:rPr>
          <w:rFonts w:ascii="Arial" w:hAnsi="Arial" w:cs="Arial"/>
          <w:sz w:val="16"/>
          <w:szCs w:val="16"/>
          <w:lang w:val="es-ES_tradnl"/>
        </w:rPr>
        <w:t>“XVII. Información confidencial</w:t>
      </w:r>
      <w:r w:rsidRPr="00700018">
        <w:rPr>
          <w:rFonts w:ascii="Arial" w:hAnsi="Arial" w:cs="Arial"/>
          <w:b/>
          <w:sz w:val="16"/>
          <w:szCs w:val="16"/>
          <w:lang w:val="es-ES_tradnl"/>
        </w:rPr>
        <w:t>.</w:t>
      </w:r>
      <w:r w:rsidRPr="00700018">
        <w:rPr>
          <w:rFonts w:ascii="Arial" w:hAnsi="Arial" w:cs="Arial"/>
          <w:sz w:val="16"/>
          <w:szCs w:val="16"/>
          <w:lang w:val="es-ES_tradnl"/>
        </w:rPr>
        <w:t xml:space="preserve"> la información en posesión de los sujetos obligados que refiera a datos personales; la que se refiere a los secretos bancario, fiduciario, industrial, comercial, fiscal, bursátil y postal cuya titularidad corresponda a particulares, sujetos de derecho internacional o a sujetos obligados cuando no involucren el ejercicio de recursos públicos; así como aquella que presenten los particulares a los sujetos obligados siempre que tengan el derecho a entregarla con ese carácter; y toda aquella información susceptible de ser tutelada por los derechos humanos a la privacidad, intimidad, honor y dignidad, que se encuentra en posesión de alguno de los entes obligados y sobre la que no puede realizarse ningún acto o hecho, sin la autorización debida de los titulares o sus representantes legales”. </w:t>
      </w:r>
    </w:p>
  </w:footnote>
  <w:footnote w:id="54">
    <w:p w14:paraId="1800FFDD" w14:textId="77777777" w:rsidR="007E16D0" w:rsidRDefault="007E16D0" w:rsidP="00FB22A7">
      <w:pPr>
        <w:pStyle w:val="Textonotapie"/>
        <w:rPr>
          <w:rFonts w:ascii="Arial" w:hAnsi="Arial" w:cs="Arial"/>
          <w:sz w:val="16"/>
          <w:szCs w:val="16"/>
        </w:rPr>
      </w:pPr>
      <w:r w:rsidRPr="004C182E">
        <w:rPr>
          <w:rStyle w:val="Refdenotaalpie"/>
          <w:rFonts w:ascii="Arial" w:hAnsi="Arial" w:cs="Arial"/>
          <w:sz w:val="16"/>
          <w:szCs w:val="16"/>
        </w:rPr>
        <w:footnoteRef/>
      </w:r>
      <w:r w:rsidRPr="004C182E">
        <w:rPr>
          <w:rFonts w:ascii="Arial" w:hAnsi="Arial" w:cs="Arial"/>
          <w:sz w:val="16"/>
          <w:szCs w:val="16"/>
        </w:rPr>
        <w:t xml:space="preserve"> ARTÍCULO 7°. El derecho de acceso a la información o la clasificación de la información se interpretarán bajo los principios establecidos en la Constitución Política de los Estados Unidos Mexicanos; los tratados internacionales de los que el Estado mexicano sea parte; y la presente Ley. </w:t>
      </w:r>
    </w:p>
    <w:p w14:paraId="79648218" w14:textId="77777777" w:rsidR="007E16D0" w:rsidRDefault="007E16D0" w:rsidP="00FB22A7">
      <w:pPr>
        <w:pStyle w:val="Textonotapie"/>
        <w:rPr>
          <w:rFonts w:ascii="Arial" w:hAnsi="Arial" w:cs="Arial"/>
          <w:sz w:val="16"/>
          <w:szCs w:val="16"/>
        </w:rPr>
      </w:pPr>
      <w:r w:rsidRPr="004C182E">
        <w:rPr>
          <w:rFonts w:ascii="Arial" w:hAnsi="Arial" w:cs="Arial"/>
          <w:sz w:val="16"/>
          <w:szCs w:val="16"/>
        </w:rPr>
        <w:t xml:space="preserve">En la aplicación e interpretación de la presente Ley deberá prevalecer el principio de máxima publicidad, conforme a lo dispuesto en la Constitución Política de los Estados Unidos Mexicanos; en los tratados internacionales de los que el Estado mexicano sea parte; así como en las resoluciones y sentencias vinculantes que emitan los órganos nacionales e internacionales especializados, favoreciendo en todo tiempo a las personas la protección más amplia. </w:t>
      </w:r>
    </w:p>
    <w:p w14:paraId="1FDFD77E" w14:textId="77777777" w:rsidR="007E16D0" w:rsidRPr="004C182E" w:rsidRDefault="007E16D0" w:rsidP="00FB22A7">
      <w:pPr>
        <w:pStyle w:val="Textonotapie"/>
        <w:rPr>
          <w:rFonts w:ascii="Arial" w:hAnsi="Arial" w:cs="Arial"/>
          <w:sz w:val="16"/>
          <w:szCs w:val="16"/>
        </w:rPr>
      </w:pPr>
      <w:r w:rsidRPr="004C182E">
        <w:rPr>
          <w:rFonts w:ascii="Arial" w:hAnsi="Arial" w:cs="Arial"/>
          <w:sz w:val="16"/>
          <w:szCs w:val="16"/>
        </w:rPr>
        <w:t>Para el caso de la interpretación, se podrá tomar en cuenta los criterios, determinaciones y opiniones de los organismos nacionales e internacionales, en materia de transparencia. Las disposiciones que regulen aspectos de transparencia y acceso a la información previstas en la legislación Estatal en su conjunto, deberán interpretarse armónicamente con la Ley General, atendiendo al principio pro persona.</w:t>
      </w:r>
    </w:p>
  </w:footnote>
  <w:footnote w:id="55">
    <w:p w14:paraId="695AD184" w14:textId="77777777" w:rsidR="007E16D0" w:rsidRPr="004C182E" w:rsidRDefault="007E16D0" w:rsidP="00FB22A7">
      <w:pPr>
        <w:pStyle w:val="Textonotapie"/>
        <w:rPr>
          <w:rFonts w:ascii="Arial" w:hAnsi="Arial" w:cs="Arial"/>
          <w:sz w:val="16"/>
          <w:szCs w:val="16"/>
        </w:rPr>
      </w:pPr>
      <w:r w:rsidRPr="004C182E">
        <w:rPr>
          <w:rStyle w:val="Refdenotaalpie"/>
          <w:rFonts w:ascii="Arial" w:hAnsi="Arial" w:cs="Arial"/>
          <w:sz w:val="16"/>
          <w:szCs w:val="16"/>
        </w:rPr>
        <w:footnoteRef/>
      </w:r>
      <w:r w:rsidRPr="004C182E">
        <w:rPr>
          <w:rFonts w:ascii="Arial" w:hAnsi="Arial" w:cs="Arial"/>
          <w:sz w:val="16"/>
          <w:szCs w:val="16"/>
        </w:rPr>
        <w:t xml:space="preserve"> Tesis Aislada:</w:t>
      </w:r>
      <w:r w:rsidRPr="004C182E">
        <w:rPr>
          <w:rFonts w:ascii="Arial" w:hAnsi="Arial" w:cs="Arial"/>
          <w:b/>
          <w:bCs/>
          <w:sz w:val="16"/>
          <w:szCs w:val="16"/>
        </w:rPr>
        <w:t> </w:t>
      </w:r>
      <w:r w:rsidRPr="004C182E">
        <w:rPr>
          <w:rFonts w:ascii="Arial" w:hAnsi="Arial" w:cs="Arial"/>
          <w:sz w:val="16"/>
          <w:szCs w:val="16"/>
        </w:rPr>
        <w:t>1a. VII/2012 (10a.), visible en la Décima Época, de la Gaceta del Semanario Judicial de la Federación, Libro V, Febrero de 2012, Tomo 1, página 655</w:t>
      </w:r>
      <w:r>
        <w:rPr>
          <w:rFonts w:ascii="Arial" w:hAnsi="Arial" w:cs="Arial"/>
          <w:sz w:val="16"/>
          <w:szCs w:val="16"/>
        </w:rPr>
        <w:t xml:space="preserve">, </w:t>
      </w:r>
      <w:r w:rsidRPr="004C182E">
        <w:rPr>
          <w:rFonts w:ascii="Arial" w:hAnsi="Arial" w:cs="Arial"/>
          <w:sz w:val="16"/>
          <w:szCs w:val="16"/>
        </w:rPr>
        <w:t xml:space="preserve">Instancia: </w:t>
      </w:r>
      <w:r>
        <w:rPr>
          <w:rFonts w:ascii="Arial" w:hAnsi="Arial" w:cs="Arial"/>
          <w:sz w:val="16"/>
          <w:szCs w:val="16"/>
        </w:rPr>
        <w:t>Primera Sala</w:t>
      </w:r>
      <w:r w:rsidRPr="004C182E">
        <w:rPr>
          <w:rFonts w:ascii="Arial" w:hAnsi="Arial" w:cs="Arial"/>
          <w:sz w:val="16"/>
          <w:szCs w:val="16"/>
        </w:rPr>
        <w:t>, con Registro electrónico: 2000233</w:t>
      </w:r>
      <w:r>
        <w:rPr>
          <w:rFonts w:ascii="Arial" w:hAnsi="Arial" w:cs="Arial"/>
          <w:sz w:val="16"/>
          <w:szCs w:val="16"/>
        </w:rPr>
        <w:t>.</w:t>
      </w:r>
    </w:p>
  </w:footnote>
  <w:footnote w:id="56">
    <w:p w14:paraId="5C249F80" w14:textId="77777777" w:rsidR="007E16D0" w:rsidRPr="007F0190" w:rsidRDefault="007E16D0" w:rsidP="00FB22A7">
      <w:pPr>
        <w:pStyle w:val="Textonotapie"/>
        <w:rPr>
          <w:rFonts w:ascii="Arial" w:hAnsi="Arial" w:cs="Arial"/>
          <w:sz w:val="16"/>
          <w:szCs w:val="16"/>
        </w:rPr>
      </w:pPr>
      <w:r w:rsidRPr="004C182E">
        <w:rPr>
          <w:rStyle w:val="Refdenotaalpie"/>
          <w:rFonts w:ascii="Arial" w:hAnsi="Arial" w:cs="Arial"/>
          <w:sz w:val="16"/>
          <w:szCs w:val="16"/>
        </w:rPr>
        <w:footnoteRef/>
      </w:r>
      <w:r w:rsidRPr="004C182E">
        <w:rPr>
          <w:rFonts w:ascii="Arial" w:hAnsi="Arial" w:cs="Arial"/>
          <w:sz w:val="16"/>
          <w:szCs w:val="16"/>
        </w:rPr>
        <w:t xml:space="preserve"> Tesis Aislada:</w:t>
      </w:r>
      <w:r w:rsidRPr="004C182E">
        <w:rPr>
          <w:rFonts w:ascii="Arial" w:hAnsi="Arial" w:cs="Arial"/>
          <w:b/>
          <w:bCs/>
          <w:sz w:val="16"/>
          <w:szCs w:val="16"/>
        </w:rPr>
        <w:t> </w:t>
      </w:r>
      <w:r w:rsidRPr="004C182E">
        <w:rPr>
          <w:rFonts w:ascii="Arial" w:hAnsi="Arial" w:cs="Arial"/>
          <w:sz w:val="16"/>
          <w:szCs w:val="16"/>
        </w:rPr>
        <w:t xml:space="preserve">I.4o.A.40 A (10a.), visible en la Décima Época, de la Gaceta del Semanario Judicial de la Federación, </w:t>
      </w:r>
      <w:r w:rsidRPr="007F0190">
        <w:rPr>
          <w:rFonts w:ascii="Arial" w:hAnsi="Arial" w:cs="Arial"/>
          <w:sz w:val="16"/>
          <w:szCs w:val="16"/>
        </w:rPr>
        <w:t>Libro XVIII, Marzo de 2013, Tomo 3, página 1899 Instancia: Tribunales Colegiados de Circuito, con Registro electrónico: 2002944.</w:t>
      </w:r>
    </w:p>
  </w:footnote>
  <w:footnote w:id="57">
    <w:p w14:paraId="7B76414A" w14:textId="77777777" w:rsidR="007E16D0" w:rsidRPr="00D64FCC" w:rsidRDefault="007E16D0">
      <w:pPr>
        <w:pStyle w:val="Textonotapie"/>
        <w:rPr>
          <w:rFonts w:ascii="Arial" w:hAnsi="Arial" w:cs="Arial"/>
          <w:sz w:val="16"/>
          <w:szCs w:val="16"/>
        </w:rPr>
      </w:pPr>
      <w:r w:rsidRPr="00D64FCC">
        <w:rPr>
          <w:rStyle w:val="Refdenotaalpie"/>
          <w:rFonts w:ascii="Arial" w:hAnsi="Arial" w:cs="Arial"/>
          <w:sz w:val="16"/>
          <w:szCs w:val="16"/>
        </w:rPr>
        <w:footnoteRef/>
      </w:r>
      <w:r w:rsidRPr="00D64FCC">
        <w:rPr>
          <w:rFonts w:ascii="Arial" w:hAnsi="Arial" w:cs="Arial"/>
          <w:sz w:val="16"/>
          <w:szCs w:val="16"/>
        </w:rPr>
        <w:t>Disponible en:</w:t>
      </w:r>
    </w:p>
    <w:p w14:paraId="1496230E" w14:textId="3D50641B" w:rsidR="007E16D0" w:rsidRPr="00D64FCC" w:rsidRDefault="002E0A4E">
      <w:pPr>
        <w:pStyle w:val="Textonotapie"/>
        <w:rPr>
          <w:rFonts w:ascii="Arial" w:hAnsi="Arial" w:cs="Arial"/>
          <w:sz w:val="16"/>
          <w:szCs w:val="16"/>
        </w:rPr>
      </w:pPr>
      <w:hyperlink r:id="rId3" w:history="1">
        <w:r w:rsidR="007E16D0" w:rsidRPr="00D64FCC">
          <w:rPr>
            <w:rStyle w:val="Hipervnculo"/>
            <w:rFonts w:ascii="Arial" w:hAnsi="Arial" w:cs="Arial"/>
            <w:sz w:val="16"/>
            <w:szCs w:val="16"/>
          </w:rPr>
          <w:t>http://www.cegaipslp.org.mx/HV2020Tres.nsf/nombre_de_la_vista/7C42ECB368F78EF28625866B006135EE/$File/SLP+REGLAMENTO+INTERIOR+SGG+(14-MAR-2020).PDF</w:t>
        </w:r>
      </w:hyperlink>
      <w:r w:rsidR="007E16D0" w:rsidRPr="00D64FCC">
        <w:rPr>
          <w:rFonts w:ascii="Arial" w:hAnsi="Arial" w:cs="Arial"/>
          <w:sz w:val="16"/>
          <w:szCs w:val="16"/>
        </w:rPr>
        <w:t xml:space="preserve"> </w:t>
      </w:r>
    </w:p>
  </w:footnote>
  <w:footnote w:id="58">
    <w:p w14:paraId="7B06991A" w14:textId="22C39CB6" w:rsidR="007E16D0" w:rsidRPr="00D64FCC" w:rsidRDefault="007E16D0">
      <w:pPr>
        <w:pStyle w:val="Textonotapie"/>
        <w:rPr>
          <w:rFonts w:ascii="Arial" w:hAnsi="Arial" w:cs="Arial"/>
          <w:sz w:val="16"/>
          <w:szCs w:val="16"/>
        </w:rPr>
      </w:pPr>
      <w:r w:rsidRPr="00D64FCC">
        <w:rPr>
          <w:rStyle w:val="Refdenotaalpie"/>
          <w:rFonts w:ascii="Arial" w:hAnsi="Arial" w:cs="Arial"/>
          <w:sz w:val="16"/>
          <w:szCs w:val="16"/>
        </w:rPr>
        <w:footnoteRef/>
      </w:r>
      <w:r w:rsidRPr="00D64FCC">
        <w:rPr>
          <w:rFonts w:ascii="Arial" w:hAnsi="Arial" w:cs="Arial"/>
          <w:sz w:val="16"/>
          <w:szCs w:val="16"/>
        </w:rPr>
        <w:t xml:space="preserve"> Artículo 1º.</w:t>
      </w:r>
    </w:p>
  </w:footnote>
  <w:footnote w:id="59">
    <w:p w14:paraId="19E507F6" w14:textId="069D5D2B" w:rsidR="007E16D0" w:rsidRPr="00D64FCC" w:rsidRDefault="007E16D0">
      <w:pPr>
        <w:pStyle w:val="Textonotapie"/>
        <w:rPr>
          <w:rFonts w:ascii="Arial" w:hAnsi="Arial" w:cs="Arial"/>
          <w:sz w:val="16"/>
          <w:szCs w:val="16"/>
        </w:rPr>
      </w:pPr>
      <w:r w:rsidRPr="00D64FCC">
        <w:rPr>
          <w:rStyle w:val="Refdenotaalpie"/>
          <w:rFonts w:ascii="Arial" w:hAnsi="Arial" w:cs="Arial"/>
          <w:sz w:val="16"/>
          <w:szCs w:val="16"/>
        </w:rPr>
        <w:footnoteRef/>
      </w:r>
      <w:r w:rsidRPr="00D64FCC">
        <w:rPr>
          <w:rFonts w:ascii="Arial" w:hAnsi="Arial" w:cs="Arial"/>
          <w:sz w:val="16"/>
          <w:szCs w:val="16"/>
        </w:rPr>
        <w:t xml:space="preserve"> Artículo 3º </w:t>
      </w:r>
    </w:p>
  </w:footnote>
  <w:footnote w:id="60">
    <w:p w14:paraId="03A564DD" w14:textId="2221AD43" w:rsidR="007E16D0" w:rsidRPr="00D64FCC" w:rsidRDefault="007E16D0" w:rsidP="00D64FCC">
      <w:pPr>
        <w:pStyle w:val="Textonotapie"/>
        <w:rPr>
          <w:rFonts w:ascii="Arial" w:hAnsi="Arial" w:cs="Arial"/>
          <w:sz w:val="16"/>
          <w:szCs w:val="16"/>
        </w:rPr>
      </w:pPr>
      <w:r w:rsidRPr="00D64FCC">
        <w:rPr>
          <w:rStyle w:val="Refdenotaalpie"/>
          <w:rFonts w:ascii="Arial" w:hAnsi="Arial" w:cs="Arial"/>
          <w:sz w:val="16"/>
          <w:szCs w:val="16"/>
        </w:rPr>
        <w:footnoteRef/>
      </w:r>
      <w:r w:rsidRPr="00D64FCC">
        <w:rPr>
          <w:rFonts w:ascii="Arial" w:hAnsi="Arial" w:cs="Arial"/>
          <w:sz w:val="16"/>
          <w:szCs w:val="16"/>
        </w:rPr>
        <w:t xml:space="preserve"> Artículo 37. La persona titular de la Dirección General de Gobernación tendrá las siguientes facultades:</w:t>
      </w:r>
    </w:p>
  </w:footnote>
  <w:footnote w:id="61">
    <w:p w14:paraId="4891DF1F" w14:textId="2E5FE516" w:rsidR="007E16D0" w:rsidRPr="00D64FCC" w:rsidRDefault="007E16D0" w:rsidP="00D64FCC">
      <w:pPr>
        <w:pStyle w:val="Textonotapie"/>
        <w:rPr>
          <w:rFonts w:ascii="Arial" w:hAnsi="Arial" w:cs="Arial"/>
          <w:sz w:val="16"/>
          <w:szCs w:val="16"/>
        </w:rPr>
      </w:pPr>
      <w:r w:rsidRPr="00D64FCC">
        <w:rPr>
          <w:rStyle w:val="Refdenotaalpie"/>
          <w:rFonts w:ascii="Arial" w:hAnsi="Arial" w:cs="Arial"/>
          <w:sz w:val="16"/>
          <w:szCs w:val="16"/>
        </w:rPr>
        <w:footnoteRef/>
      </w:r>
      <w:r w:rsidRPr="00D64FCC">
        <w:rPr>
          <w:rFonts w:ascii="Arial" w:hAnsi="Arial" w:cs="Arial"/>
          <w:sz w:val="16"/>
          <w:szCs w:val="16"/>
        </w:rPr>
        <w:t xml:space="preserve"> XIV. Dar trámite a las solicitudes que presenten los interesados en inscribirse en el Registro Estatal de Peritos, así como llevar un control del padrón de los mismos, en términos de las disposiciones previstas por la Ley de Peritos del Estado de San Luis Potosí;</w:t>
      </w:r>
    </w:p>
  </w:footnote>
  <w:footnote w:id="62">
    <w:p w14:paraId="0AD54013" w14:textId="1AC79C97" w:rsidR="007E16D0" w:rsidRPr="00D64FCC" w:rsidRDefault="007E16D0" w:rsidP="00D64FCC">
      <w:pPr>
        <w:pStyle w:val="Textonotapie"/>
        <w:rPr>
          <w:rFonts w:ascii="Arial" w:hAnsi="Arial" w:cs="Arial"/>
          <w:sz w:val="16"/>
          <w:szCs w:val="16"/>
        </w:rPr>
      </w:pPr>
      <w:r w:rsidRPr="00D64FCC">
        <w:rPr>
          <w:rStyle w:val="Refdenotaalpie"/>
          <w:rFonts w:ascii="Arial" w:hAnsi="Arial" w:cs="Arial"/>
          <w:sz w:val="16"/>
          <w:szCs w:val="16"/>
        </w:rPr>
        <w:footnoteRef/>
      </w:r>
      <w:r w:rsidRPr="00D64FCC">
        <w:rPr>
          <w:rFonts w:ascii="Arial" w:hAnsi="Arial" w:cs="Arial"/>
          <w:sz w:val="16"/>
          <w:szCs w:val="16"/>
        </w:rPr>
        <w:t xml:space="preserve"> ARTÍCULO 3º- Se establece el Registro Estatal de Peritos como un medio de control de orden público e interés general, que estará a cargo de la Secretaría General de Gobierno bajo las políticas y criterios que establezca la Comisión.</w:t>
      </w:r>
    </w:p>
  </w:footnote>
  <w:footnote w:id="63">
    <w:p w14:paraId="5DA0103E" w14:textId="5006BF87" w:rsidR="007E16D0" w:rsidRPr="004C70F9" w:rsidRDefault="007E16D0">
      <w:pPr>
        <w:pStyle w:val="Textonotapie"/>
        <w:rPr>
          <w:rFonts w:ascii="Arial" w:hAnsi="Arial" w:cs="Arial"/>
          <w:sz w:val="16"/>
          <w:szCs w:val="16"/>
        </w:rPr>
      </w:pPr>
      <w:r w:rsidRPr="004C70F9">
        <w:rPr>
          <w:rStyle w:val="Refdenotaalpie"/>
          <w:rFonts w:ascii="Arial" w:hAnsi="Arial" w:cs="Arial"/>
          <w:sz w:val="16"/>
          <w:szCs w:val="16"/>
        </w:rPr>
        <w:footnoteRef/>
      </w:r>
      <w:r w:rsidRPr="004C70F9">
        <w:rPr>
          <w:rFonts w:ascii="Arial" w:hAnsi="Arial" w:cs="Arial"/>
          <w:sz w:val="16"/>
          <w:szCs w:val="16"/>
        </w:rPr>
        <w:t xml:space="preserve"> ARTÍCULO 4º - Los poderes Legislativo y Judicial y las dependencias del Ejecutivo del Estado, de los Municipios y sus organismos descentralizados, así como los organismos constitucionales autónomos, sólo admitirán los avalúos y dictámenes periciales que hayan sido expedidos por peritos inscritos en el Registro a que se refiere el artículo anterior, así como los avalúos catastrales y los emitidos por corredores públicos de conformidad con lo previsto en sus leyes o reglamentos respectivos.</w:t>
      </w:r>
    </w:p>
  </w:footnote>
  <w:footnote w:id="64">
    <w:p w14:paraId="12D8A57E" w14:textId="0034E74F" w:rsidR="007E16D0" w:rsidRPr="004C70F9" w:rsidRDefault="007E16D0">
      <w:pPr>
        <w:pStyle w:val="Textonotapie"/>
        <w:rPr>
          <w:rFonts w:ascii="Arial" w:hAnsi="Arial" w:cs="Arial"/>
          <w:sz w:val="16"/>
          <w:szCs w:val="16"/>
        </w:rPr>
      </w:pPr>
      <w:r w:rsidRPr="004C70F9">
        <w:rPr>
          <w:rStyle w:val="Refdenotaalpie"/>
          <w:rFonts w:ascii="Arial" w:hAnsi="Arial" w:cs="Arial"/>
          <w:sz w:val="16"/>
          <w:szCs w:val="16"/>
        </w:rPr>
        <w:footnoteRef/>
      </w:r>
      <w:r w:rsidRPr="004C70F9">
        <w:rPr>
          <w:rFonts w:ascii="Arial" w:hAnsi="Arial" w:cs="Arial"/>
          <w:sz w:val="16"/>
          <w:szCs w:val="16"/>
        </w:rPr>
        <w:t xml:space="preserve"> ARTÍCULO 15.- La Comisión examinará la solicitud y documentos anexos y resolverá lo conducente en un término de veinte días hábiles contados a partir de la recepción de la misma. En caso de concederse la inscripción se asentará en el Registro y se extenderá al interesado la constancia respectiva que lo acredite como perito autorizado, en un plazo que no excederá de cinco días hábiles, contados a partir de la resolución que conceda la inscripción como perito autorizado.</w:t>
      </w:r>
    </w:p>
  </w:footnote>
  <w:footnote w:id="65">
    <w:p w14:paraId="07023532" w14:textId="6FFAA9F0" w:rsidR="007E16D0" w:rsidRPr="004C70F9" w:rsidRDefault="007E16D0">
      <w:pPr>
        <w:pStyle w:val="Textonotapie"/>
        <w:rPr>
          <w:rFonts w:ascii="Arial" w:hAnsi="Arial" w:cs="Arial"/>
          <w:sz w:val="16"/>
          <w:szCs w:val="16"/>
        </w:rPr>
      </w:pPr>
      <w:r w:rsidRPr="004C70F9">
        <w:rPr>
          <w:rStyle w:val="Refdenotaalpie"/>
          <w:rFonts w:ascii="Arial" w:hAnsi="Arial" w:cs="Arial"/>
          <w:sz w:val="16"/>
          <w:szCs w:val="16"/>
        </w:rPr>
        <w:footnoteRef/>
      </w:r>
      <w:r w:rsidRPr="004C70F9">
        <w:rPr>
          <w:rFonts w:ascii="Arial" w:hAnsi="Arial" w:cs="Arial"/>
          <w:sz w:val="16"/>
          <w:szCs w:val="16"/>
        </w:rPr>
        <w:t xml:space="preserve"> ARTÍCULO 16.- La Constancia de Registro de Perito Autorizado a que se refiere el artículo anterior, deberá contener las firmas de autorización del Presidente y Secretarios de la Comisión, además de la del propio interesado, requisitos sin los cuales carecerá de validez. La Constancia hará las veces de autorización para el ejercicio de esta actividad.</w:t>
      </w:r>
    </w:p>
  </w:footnote>
  <w:footnote w:id="66">
    <w:p w14:paraId="0BDE4641" w14:textId="407263EA" w:rsidR="007E16D0" w:rsidRPr="004C70F9" w:rsidRDefault="007E16D0" w:rsidP="004C70F9">
      <w:pPr>
        <w:pStyle w:val="Textonotapie"/>
        <w:rPr>
          <w:rFonts w:ascii="Arial" w:hAnsi="Arial" w:cs="Arial"/>
          <w:sz w:val="16"/>
          <w:szCs w:val="16"/>
        </w:rPr>
      </w:pPr>
      <w:r w:rsidRPr="004C70F9">
        <w:rPr>
          <w:rStyle w:val="Refdenotaalpie"/>
          <w:rFonts w:ascii="Arial" w:hAnsi="Arial" w:cs="Arial"/>
          <w:sz w:val="16"/>
          <w:szCs w:val="16"/>
        </w:rPr>
        <w:footnoteRef/>
      </w:r>
      <w:r w:rsidRPr="004C70F9">
        <w:rPr>
          <w:rFonts w:ascii="Arial" w:hAnsi="Arial" w:cs="Arial"/>
          <w:sz w:val="16"/>
          <w:szCs w:val="16"/>
        </w:rPr>
        <w:t xml:space="preserve"> ARTÍCULO 18.-En los meses de enero y julio de cada año la Secretaría publicará en el Periódico Oficial del Estado y en alguno de los de mayor circulación de la entidad, el Directorio actualizado de Peritos inscritos en el Registro Estatal, expresando sus nombres, direcciones, especialidades y datos profesionales.</w:t>
      </w:r>
    </w:p>
  </w:footnote>
  <w:footnote w:id="67">
    <w:p w14:paraId="53B6386A" w14:textId="2CF117A9" w:rsidR="007E16D0" w:rsidRPr="00225E5A" w:rsidRDefault="007E16D0" w:rsidP="00225E5A">
      <w:pPr>
        <w:pStyle w:val="Textonotapie"/>
        <w:rPr>
          <w:rFonts w:ascii="Arial" w:hAnsi="Arial" w:cs="Arial"/>
          <w:sz w:val="16"/>
          <w:szCs w:val="16"/>
        </w:rPr>
      </w:pPr>
      <w:r w:rsidRPr="004C70F9">
        <w:rPr>
          <w:rStyle w:val="Refdenotaalpie"/>
          <w:rFonts w:ascii="Arial" w:hAnsi="Arial" w:cs="Arial"/>
          <w:sz w:val="16"/>
          <w:szCs w:val="16"/>
        </w:rPr>
        <w:footnoteRef/>
      </w:r>
      <w:r w:rsidRPr="004C70F9">
        <w:rPr>
          <w:rFonts w:ascii="Arial" w:hAnsi="Arial" w:cs="Arial"/>
          <w:sz w:val="16"/>
          <w:szCs w:val="16"/>
        </w:rPr>
        <w:t xml:space="preserve"> </w:t>
      </w:r>
      <w:r w:rsidRPr="00225E5A">
        <w:rPr>
          <w:rFonts w:ascii="Arial" w:hAnsi="Arial" w:cs="Arial"/>
          <w:sz w:val="16"/>
          <w:szCs w:val="16"/>
        </w:rPr>
        <w:t>ARTÍCULO 19.- Los peritos inscritos en el Registro deberán revalidar la constancia cada dos años cumpliendo con los requisitos que para tal efecto señale el Reglamento.</w:t>
      </w:r>
    </w:p>
  </w:footnote>
  <w:footnote w:id="68">
    <w:p w14:paraId="25F72FFD" w14:textId="77777777" w:rsidR="007E16D0" w:rsidRPr="00225E5A" w:rsidRDefault="007E16D0" w:rsidP="00225E5A">
      <w:pPr>
        <w:spacing w:after="0" w:line="240" w:lineRule="auto"/>
        <w:jc w:val="both"/>
        <w:rPr>
          <w:rFonts w:ascii="Arial" w:hAnsi="Arial" w:cs="Arial"/>
          <w:sz w:val="16"/>
          <w:szCs w:val="16"/>
        </w:rPr>
      </w:pPr>
      <w:r w:rsidRPr="00225E5A">
        <w:rPr>
          <w:rStyle w:val="Refdenotaalpie"/>
          <w:rFonts w:ascii="Arial" w:hAnsi="Arial" w:cs="Arial"/>
          <w:sz w:val="16"/>
          <w:szCs w:val="16"/>
        </w:rPr>
        <w:footnoteRef/>
      </w:r>
      <w:r w:rsidRPr="00225E5A">
        <w:rPr>
          <w:rFonts w:ascii="Arial" w:hAnsi="Arial" w:cs="Arial"/>
          <w:sz w:val="16"/>
          <w:szCs w:val="16"/>
        </w:rPr>
        <w:t xml:space="preserve"> ARTÍCULO 175. La actuación administrativa en el procedimiento se desarrollará con arreglo a los principios de economía, celeridad, eficacia, legalidad, publicidad, audiencia, igualdad y buena fe.</w:t>
      </w:r>
    </w:p>
    <w:p w14:paraId="16F8D481" w14:textId="77777777" w:rsidR="007E16D0" w:rsidRPr="00225E5A" w:rsidRDefault="007E16D0" w:rsidP="00225E5A">
      <w:pPr>
        <w:spacing w:after="0" w:line="240" w:lineRule="auto"/>
        <w:jc w:val="both"/>
        <w:rPr>
          <w:rFonts w:ascii="Arial" w:hAnsi="Arial" w:cs="Arial"/>
          <w:sz w:val="16"/>
          <w:szCs w:val="16"/>
        </w:rPr>
      </w:pPr>
      <w:r w:rsidRPr="00225E5A">
        <w:rPr>
          <w:rFonts w:ascii="Arial" w:hAnsi="Arial" w:cs="Arial"/>
          <w:sz w:val="16"/>
          <w:szCs w:val="16"/>
        </w:rPr>
        <w:t>Las manifestaciones, informes o declaraciones rendidas por los interesados a la autoridad competente, se presumirán ciertas salvo prueba en contrario, quedando sujetas al control y verificación de la autoridad.</w:t>
      </w:r>
    </w:p>
    <w:p w14:paraId="62FD194D" w14:textId="77777777" w:rsidR="007E16D0" w:rsidRPr="00225E5A" w:rsidRDefault="007E16D0" w:rsidP="00225E5A">
      <w:pPr>
        <w:spacing w:after="0" w:line="240" w:lineRule="auto"/>
        <w:jc w:val="both"/>
        <w:rPr>
          <w:rFonts w:ascii="Arial" w:hAnsi="Arial" w:cs="Arial"/>
          <w:sz w:val="16"/>
          <w:szCs w:val="16"/>
        </w:rPr>
      </w:pPr>
      <w:r w:rsidRPr="00225E5A">
        <w:rPr>
          <w:rFonts w:ascii="Arial" w:hAnsi="Arial" w:cs="Arial"/>
          <w:sz w:val="16"/>
          <w:szCs w:val="16"/>
        </w:rPr>
        <w:t>Si los informes o declaraciones proporcionados por el particular resultan falsos, se aplicarán las sanciones administrativas correspondientes, sin perjuicio de la responsabilidad penal que por tal motivo pudiera resultar.</w:t>
      </w:r>
    </w:p>
  </w:footnote>
  <w:footnote w:id="69">
    <w:p w14:paraId="602A17C9" w14:textId="77777777" w:rsidR="007E16D0" w:rsidRPr="004B6CE4" w:rsidRDefault="007E16D0" w:rsidP="00B853A9">
      <w:pPr>
        <w:pStyle w:val="Textonotapie"/>
        <w:rPr>
          <w:rFonts w:ascii="Arial" w:hAnsi="Arial" w:cs="Arial"/>
          <w:sz w:val="16"/>
          <w:szCs w:val="16"/>
        </w:rPr>
      </w:pPr>
      <w:r w:rsidRPr="004B6CE4">
        <w:rPr>
          <w:rStyle w:val="Refdenotaalpie"/>
          <w:rFonts w:ascii="Arial" w:hAnsi="Arial" w:cs="Arial"/>
          <w:sz w:val="16"/>
          <w:szCs w:val="16"/>
        </w:rPr>
        <w:footnoteRef/>
      </w:r>
      <w:r w:rsidRPr="004B6CE4">
        <w:rPr>
          <w:rFonts w:ascii="Arial" w:hAnsi="Arial" w:cs="Arial"/>
          <w:sz w:val="16"/>
          <w:szCs w:val="16"/>
        </w:rPr>
        <w:t xml:space="preserve"> Causales que se reducen, esencialmente, en las siguientes: datos personales, secretos legales y aquella información que con tal carácter entreguen los particulares a los Sujetos Obligados —específicamente, instituciones públicas—, siempre que dicha determinación proceda.</w:t>
      </w:r>
    </w:p>
  </w:footnote>
  <w:footnote w:id="70">
    <w:p w14:paraId="49DF617F" w14:textId="77777777" w:rsidR="007E16D0" w:rsidRPr="005F5856" w:rsidRDefault="007E16D0" w:rsidP="00B853A9">
      <w:pPr>
        <w:pStyle w:val="Textonotapie"/>
        <w:rPr>
          <w:rFonts w:ascii="Arial" w:hAnsi="Arial" w:cs="Arial"/>
          <w:sz w:val="16"/>
          <w:szCs w:val="16"/>
        </w:rPr>
      </w:pPr>
      <w:r w:rsidRPr="00927159">
        <w:rPr>
          <w:rStyle w:val="Refdenotaalpie"/>
          <w:rFonts w:ascii="Arial" w:hAnsi="Arial" w:cs="Arial"/>
          <w:sz w:val="16"/>
          <w:szCs w:val="16"/>
        </w:rPr>
        <w:footnoteRef/>
      </w:r>
      <w:r w:rsidRPr="00927159">
        <w:rPr>
          <w:rFonts w:ascii="Arial" w:hAnsi="Arial" w:cs="Arial"/>
          <w:sz w:val="16"/>
          <w:szCs w:val="16"/>
        </w:rPr>
        <w:t xml:space="preserve"> </w:t>
      </w:r>
      <w:r w:rsidRPr="00927159">
        <w:rPr>
          <w:rFonts w:ascii="Arial" w:hAnsi="Arial" w:cs="Arial"/>
          <w:i/>
          <w:sz w:val="16"/>
          <w:szCs w:val="16"/>
        </w:rPr>
        <w:t xml:space="preserve">Cfr. </w:t>
      </w:r>
      <w:r w:rsidRPr="00927159">
        <w:rPr>
          <w:rFonts w:ascii="Arial" w:hAnsi="Arial" w:cs="Arial"/>
          <w:sz w:val="16"/>
          <w:szCs w:val="16"/>
        </w:rPr>
        <w:t xml:space="preserve">Castillo Porras, Gregorio, en </w:t>
      </w:r>
      <w:r w:rsidRPr="00927159">
        <w:rPr>
          <w:rFonts w:ascii="Arial" w:hAnsi="Arial" w:cs="Arial"/>
          <w:i/>
          <w:sz w:val="16"/>
          <w:szCs w:val="16"/>
        </w:rPr>
        <w:t>“La prueba de interés público y la falta de ponderación en la información confidencial”</w:t>
      </w:r>
      <w:r w:rsidRPr="00927159">
        <w:rPr>
          <w:rFonts w:ascii="Arial" w:hAnsi="Arial" w:cs="Arial"/>
          <w:sz w:val="16"/>
          <w:szCs w:val="16"/>
        </w:rPr>
        <w:t xml:space="preserve">. REVISTA DE INVESTIGACIONES JURÍDICAS, Año 47, México 2023, Núm. 47. Disponible en </w:t>
      </w:r>
      <w:hyperlink r:id="rId4" w:history="1">
        <w:r w:rsidRPr="005F5856">
          <w:rPr>
            <w:rStyle w:val="Hipervnculo"/>
            <w:rFonts w:ascii="Arial" w:hAnsi="Arial" w:cs="Arial"/>
            <w:sz w:val="16"/>
            <w:szCs w:val="16"/>
          </w:rPr>
          <w:t>https://www.eld.edu.mx/Revista-de-Investigaciones-Juridicas/RIJ-47/Capitulos/3.-LA-PRUEBA-DE-INTERES-PUBLICO-Y-LA-FALTA-DE-PONDERACION-EN-LA-INFORMACION-CONFIDENCIAL.pdf</w:t>
        </w:r>
      </w:hyperlink>
      <w:r w:rsidRPr="005F5856">
        <w:rPr>
          <w:rFonts w:ascii="Arial" w:hAnsi="Arial" w:cs="Arial"/>
          <w:sz w:val="16"/>
          <w:szCs w:val="16"/>
        </w:rPr>
        <w:t xml:space="preserve"> </w:t>
      </w:r>
    </w:p>
  </w:footnote>
  <w:footnote w:id="71">
    <w:p w14:paraId="4994148B" w14:textId="77777777" w:rsidR="007E16D0" w:rsidRPr="005F5856" w:rsidRDefault="007E16D0" w:rsidP="00B853A9">
      <w:pPr>
        <w:pStyle w:val="Textonotapie"/>
        <w:rPr>
          <w:rFonts w:ascii="Arial" w:hAnsi="Arial" w:cs="Arial"/>
          <w:sz w:val="16"/>
          <w:szCs w:val="16"/>
        </w:rPr>
      </w:pPr>
      <w:r w:rsidRPr="005F5856">
        <w:rPr>
          <w:rStyle w:val="Refdenotaalpie"/>
          <w:rFonts w:ascii="Arial" w:hAnsi="Arial" w:cs="Arial"/>
          <w:sz w:val="16"/>
          <w:szCs w:val="16"/>
        </w:rPr>
        <w:footnoteRef/>
      </w:r>
      <w:r w:rsidRPr="005F5856">
        <w:rPr>
          <w:rFonts w:ascii="Arial" w:hAnsi="Arial" w:cs="Arial"/>
          <w:sz w:val="16"/>
          <w:szCs w:val="16"/>
        </w:rPr>
        <w:t xml:space="preserve"> Upegui Mejía, Juan Carlos. “Crítica a la ponderación como test de proporcionalidad para decidir sobre la publicidad de la información personal en poder del Estado en México”, en Revista de Estudios de Derecho a la Información. Número 5, pág. 41.</w:t>
      </w:r>
    </w:p>
  </w:footnote>
  <w:footnote w:id="72">
    <w:p w14:paraId="50E506C8" w14:textId="77777777" w:rsidR="007E16D0" w:rsidRPr="000463D2" w:rsidRDefault="007E16D0" w:rsidP="00B853A9">
      <w:pPr>
        <w:pStyle w:val="Textonotapie"/>
        <w:rPr>
          <w:rFonts w:ascii="Arial" w:hAnsi="Arial" w:cs="Arial"/>
          <w:sz w:val="16"/>
          <w:szCs w:val="16"/>
        </w:rPr>
      </w:pPr>
      <w:r>
        <w:rPr>
          <w:rStyle w:val="Refdenotaalpie"/>
        </w:rPr>
        <w:footnoteRef/>
      </w:r>
      <w:r>
        <w:t xml:space="preserve"> </w:t>
      </w:r>
      <w:r w:rsidRPr="000463D2">
        <w:rPr>
          <w:rFonts w:ascii="Arial" w:hAnsi="Arial" w:cs="Arial"/>
          <w:i/>
          <w:sz w:val="16"/>
          <w:szCs w:val="16"/>
        </w:rPr>
        <w:t xml:space="preserve">Cfr. </w:t>
      </w:r>
      <w:r w:rsidRPr="000463D2">
        <w:rPr>
          <w:rFonts w:ascii="Arial" w:hAnsi="Arial" w:cs="Arial"/>
          <w:sz w:val="16"/>
          <w:szCs w:val="16"/>
        </w:rPr>
        <w:t xml:space="preserve">Castillo Porras, Gregorio, en </w:t>
      </w:r>
      <w:r w:rsidRPr="000463D2">
        <w:rPr>
          <w:rFonts w:ascii="Arial" w:hAnsi="Arial" w:cs="Arial"/>
          <w:i/>
          <w:sz w:val="16"/>
          <w:szCs w:val="16"/>
        </w:rPr>
        <w:t>“La prueba de interés público y la falta de ponderación en la información confidencial”</w:t>
      </w:r>
      <w:r w:rsidRPr="000463D2">
        <w:rPr>
          <w:rFonts w:ascii="Arial" w:hAnsi="Arial" w:cs="Arial"/>
          <w:sz w:val="16"/>
          <w:szCs w:val="16"/>
        </w:rPr>
        <w:t xml:space="preserve">. REVISTA DE INVESTIGACIONES JURÍDICAS, Año 47, México 2023, Núm. 47. Disponible en </w:t>
      </w:r>
      <w:hyperlink r:id="rId5" w:history="1">
        <w:r w:rsidRPr="000463D2">
          <w:rPr>
            <w:rStyle w:val="Hipervnculo"/>
            <w:rFonts w:ascii="Arial" w:hAnsi="Arial" w:cs="Arial"/>
            <w:sz w:val="16"/>
            <w:szCs w:val="16"/>
          </w:rPr>
          <w:t>https://www.eld.edu.mx/Revista-de-Investigaciones-Juridicas/RIJ-47/Capitulos/3.-LA-PRUEBA-DE-INTERES-PUBLICO-Y-LA-FALTA-DE-PONDERACION-EN-LA-INFORMACION-CONFIDENCIAL.pdf</w:t>
        </w:r>
      </w:hyperlink>
    </w:p>
  </w:footnote>
  <w:footnote w:id="73">
    <w:p w14:paraId="7D41FF98" w14:textId="77777777" w:rsidR="007E16D0" w:rsidRPr="00F27AD4" w:rsidRDefault="007E16D0" w:rsidP="00B853A9">
      <w:pPr>
        <w:pStyle w:val="Textonotapie"/>
        <w:rPr>
          <w:rFonts w:ascii="Arial" w:hAnsi="Arial" w:cs="Arial"/>
          <w:sz w:val="16"/>
          <w:szCs w:val="16"/>
        </w:rPr>
      </w:pPr>
      <w:r w:rsidRPr="00F27AD4">
        <w:rPr>
          <w:rStyle w:val="Refdenotaalpie"/>
          <w:rFonts w:ascii="Arial" w:hAnsi="Arial" w:cs="Arial"/>
          <w:sz w:val="16"/>
          <w:szCs w:val="16"/>
        </w:rPr>
        <w:footnoteRef/>
      </w:r>
      <w:r w:rsidRPr="00F27AD4">
        <w:rPr>
          <w:rFonts w:ascii="Arial" w:hAnsi="Arial" w:cs="Arial"/>
          <w:sz w:val="16"/>
          <w:szCs w:val="16"/>
        </w:rPr>
        <w:t xml:space="preserve"> Nava Tovar, Alejandro</w:t>
      </w:r>
      <w:r w:rsidRPr="00F27AD4">
        <w:rPr>
          <w:rFonts w:ascii="Arial" w:hAnsi="Arial" w:cs="Arial"/>
          <w:i/>
          <w:sz w:val="16"/>
          <w:szCs w:val="16"/>
        </w:rPr>
        <w:t>. La institucionalización de la razón. La filosofía del Derecho de Robert Alexy</w:t>
      </w:r>
      <w:r w:rsidRPr="00F27AD4">
        <w:rPr>
          <w:rFonts w:ascii="Arial" w:hAnsi="Arial" w:cs="Arial"/>
          <w:sz w:val="16"/>
          <w:szCs w:val="16"/>
        </w:rPr>
        <w:t>. Edit. Anthropos, México, 2015, pág. 180.</w:t>
      </w:r>
    </w:p>
  </w:footnote>
  <w:footnote w:id="74">
    <w:p w14:paraId="67F75B5C" w14:textId="77777777" w:rsidR="007E16D0" w:rsidRPr="00F27AD4" w:rsidRDefault="007E16D0" w:rsidP="00B853A9">
      <w:pPr>
        <w:pStyle w:val="Textonotapie"/>
        <w:rPr>
          <w:rFonts w:ascii="Arial" w:hAnsi="Arial" w:cs="Arial"/>
          <w:sz w:val="16"/>
          <w:szCs w:val="16"/>
        </w:rPr>
      </w:pPr>
      <w:r w:rsidRPr="00F27AD4">
        <w:rPr>
          <w:rStyle w:val="Refdenotaalpie"/>
          <w:rFonts w:ascii="Arial" w:hAnsi="Arial" w:cs="Arial"/>
          <w:sz w:val="16"/>
          <w:szCs w:val="16"/>
        </w:rPr>
        <w:footnoteRef/>
      </w:r>
      <w:r w:rsidRPr="00F27AD4">
        <w:rPr>
          <w:rFonts w:ascii="Arial" w:hAnsi="Arial" w:cs="Arial"/>
          <w:sz w:val="16"/>
          <w:szCs w:val="16"/>
        </w:rPr>
        <w:t xml:space="preserve"> </w:t>
      </w:r>
      <w:r>
        <w:rPr>
          <w:rFonts w:ascii="Arial" w:hAnsi="Arial" w:cs="Arial"/>
          <w:sz w:val="16"/>
          <w:szCs w:val="16"/>
        </w:rPr>
        <w:t xml:space="preserve">Ibídem. </w:t>
      </w:r>
      <w:r w:rsidRPr="00F27AD4">
        <w:rPr>
          <w:rFonts w:ascii="Arial" w:hAnsi="Arial" w:cs="Arial"/>
          <w:sz w:val="16"/>
          <w:szCs w:val="16"/>
        </w:rPr>
        <w:t>La idea de la medida o afectación menos lesiva proviene de la Corte Suprema de los Estados Unid</w:t>
      </w:r>
      <w:r>
        <w:rPr>
          <w:rFonts w:ascii="Arial" w:hAnsi="Arial" w:cs="Arial"/>
          <w:sz w:val="16"/>
          <w:szCs w:val="16"/>
        </w:rPr>
        <w:t>os de América, en la figura de -least restrictive means-</w:t>
      </w:r>
      <w:r w:rsidRPr="00F27AD4">
        <w:rPr>
          <w:rFonts w:ascii="Arial" w:hAnsi="Arial" w:cs="Arial"/>
          <w:sz w:val="16"/>
          <w:szCs w:val="16"/>
        </w:rPr>
        <w:t xml:space="preserve"> y es un criterio que se utiliza para analizar leyes atacas de inconstitucionalidad en tanto violenten derechos fundamentales y si dicha afectación es, dentro de un abanico de posibilidades, la menos lesiva. Aunque, con </w:t>
      </w:r>
      <w:r>
        <w:rPr>
          <w:rFonts w:ascii="Arial" w:hAnsi="Arial" w:cs="Arial"/>
          <w:sz w:val="16"/>
          <w:szCs w:val="16"/>
        </w:rPr>
        <w:t xml:space="preserve">Robert </w:t>
      </w:r>
      <w:r w:rsidRPr="00F27AD4">
        <w:rPr>
          <w:rFonts w:ascii="Arial" w:hAnsi="Arial" w:cs="Arial"/>
          <w:sz w:val="16"/>
          <w:szCs w:val="16"/>
        </w:rPr>
        <w:t>Alexy debe adicionarse que, no sólo se trate de la menos lesiva, sino que se busca un fin constitucionalmente legítimo.</w:t>
      </w:r>
    </w:p>
  </w:footnote>
  <w:footnote w:id="75">
    <w:p w14:paraId="19AC190F" w14:textId="77777777" w:rsidR="007E16D0" w:rsidRPr="008A172E" w:rsidRDefault="007E16D0" w:rsidP="00B853A9">
      <w:pPr>
        <w:pStyle w:val="Textonotapie"/>
        <w:rPr>
          <w:rFonts w:ascii="Arial" w:hAnsi="Arial" w:cs="Arial"/>
          <w:sz w:val="16"/>
          <w:szCs w:val="16"/>
        </w:rPr>
      </w:pPr>
      <w:r w:rsidRPr="008A172E">
        <w:rPr>
          <w:rStyle w:val="Refdenotaalpie"/>
          <w:rFonts w:ascii="Arial" w:hAnsi="Arial" w:cs="Arial"/>
          <w:sz w:val="16"/>
          <w:szCs w:val="16"/>
        </w:rPr>
        <w:footnoteRef/>
      </w:r>
      <w:r w:rsidRPr="008A172E">
        <w:rPr>
          <w:rFonts w:ascii="Arial" w:hAnsi="Arial" w:cs="Arial"/>
          <w:sz w:val="16"/>
          <w:szCs w:val="16"/>
        </w:rPr>
        <w:t xml:space="preserve"> La Ley de Acceso a la Información Pública Gubernamental en su Artículo 3o. refiere que los datos personales son: “Cualquier información concerniente a una persona física identificada o identificable”.</w:t>
      </w:r>
    </w:p>
  </w:footnote>
  <w:footnote w:id="76">
    <w:p w14:paraId="7604F49D" w14:textId="77777777" w:rsidR="007E16D0" w:rsidRPr="00E87B8F" w:rsidRDefault="007E16D0" w:rsidP="007A3DFF">
      <w:pPr>
        <w:pStyle w:val="Textonotapie"/>
        <w:rPr>
          <w:rFonts w:ascii="Arial" w:hAnsi="Arial" w:cs="Arial"/>
          <w:sz w:val="16"/>
          <w:szCs w:val="16"/>
        </w:rPr>
      </w:pPr>
      <w:r w:rsidRPr="007A58EF">
        <w:rPr>
          <w:rStyle w:val="Refdenotaalpie"/>
          <w:rFonts w:ascii="Arial" w:hAnsi="Arial" w:cs="Arial"/>
          <w:sz w:val="16"/>
          <w:szCs w:val="16"/>
        </w:rPr>
        <w:footnoteRef/>
      </w:r>
      <w:r w:rsidRPr="007A58EF">
        <w:rPr>
          <w:rFonts w:ascii="Arial" w:hAnsi="Arial" w:cs="Arial"/>
          <w:sz w:val="16"/>
          <w:szCs w:val="16"/>
        </w:rPr>
        <w:t xml:space="preserve"> Cfr. LIBERTAD DE EXPRESIÓN. LA</w:t>
      </w:r>
      <w:r w:rsidRPr="00E87B8F">
        <w:rPr>
          <w:rFonts w:ascii="Arial" w:hAnsi="Arial" w:cs="Arial"/>
          <w:sz w:val="16"/>
          <w:szCs w:val="16"/>
        </w:rPr>
        <w:t xml:space="preserve"> DIFUSIÓN DE INFORMACIÓN SOBRE LA VIDA PRIVADA DE LAS PERSONAS PUEDE AMPARARSE POR ESTE DERECHO SI S</w:t>
      </w:r>
      <w:r>
        <w:rPr>
          <w:rFonts w:ascii="Arial" w:hAnsi="Arial" w:cs="Arial"/>
          <w:sz w:val="16"/>
          <w:szCs w:val="16"/>
        </w:rPr>
        <w:t xml:space="preserve">E JUSTIFICA SU INTERÉS PÚBLICO. </w:t>
      </w:r>
      <w:r w:rsidRPr="00E87B8F">
        <w:rPr>
          <w:rFonts w:ascii="Arial" w:hAnsi="Arial" w:cs="Arial"/>
          <w:sz w:val="16"/>
          <w:szCs w:val="16"/>
        </w:rPr>
        <w:t>Jurisprudencia número 1a. CXXXII/2013 (10a.)</w:t>
      </w:r>
      <w:r>
        <w:rPr>
          <w:rFonts w:ascii="Arial" w:hAnsi="Arial" w:cs="Arial"/>
          <w:sz w:val="16"/>
          <w:szCs w:val="16"/>
        </w:rPr>
        <w:t>, visible en la D</w:t>
      </w:r>
      <w:r w:rsidRPr="00E87B8F">
        <w:rPr>
          <w:rFonts w:ascii="Arial" w:hAnsi="Arial" w:cs="Arial"/>
          <w:sz w:val="16"/>
          <w:szCs w:val="16"/>
        </w:rPr>
        <w:t xml:space="preserve">écima Época, de la Gaceta del Semanario Judicial de la Federación, Libro XX, Mayo de 2013, Tomo 1, página 553. Instancia: </w:t>
      </w:r>
      <w:r>
        <w:rPr>
          <w:rFonts w:ascii="Arial" w:hAnsi="Arial" w:cs="Arial"/>
          <w:sz w:val="16"/>
          <w:szCs w:val="16"/>
        </w:rPr>
        <w:t>Primera Sala</w:t>
      </w:r>
      <w:r w:rsidRPr="00E87B8F">
        <w:rPr>
          <w:rFonts w:ascii="Arial" w:hAnsi="Arial" w:cs="Arial"/>
          <w:sz w:val="16"/>
          <w:szCs w:val="16"/>
        </w:rPr>
        <w:t xml:space="preserve">, con Registro electrónico: </w:t>
      </w:r>
      <w:r>
        <w:rPr>
          <w:rFonts w:ascii="Arial" w:hAnsi="Arial" w:cs="Arial"/>
          <w:sz w:val="16"/>
          <w:szCs w:val="16"/>
        </w:rPr>
        <w:t>2003636</w:t>
      </w:r>
      <w:r w:rsidRPr="00E87B8F">
        <w:rPr>
          <w:rFonts w:ascii="Arial" w:hAnsi="Arial" w:cs="Arial"/>
          <w:sz w:val="16"/>
          <w:szCs w:val="16"/>
        </w:rPr>
        <w:t>.</w:t>
      </w:r>
    </w:p>
  </w:footnote>
  <w:footnote w:id="77">
    <w:p w14:paraId="37291309" w14:textId="77777777" w:rsidR="007E16D0" w:rsidRPr="00113406" w:rsidRDefault="007E16D0" w:rsidP="007A3DFF">
      <w:pPr>
        <w:pStyle w:val="Textonotapie"/>
        <w:rPr>
          <w:rFonts w:ascii="Arial" w:hAnsi="Arial" w:cs="Arial"/>
          <w:sz w:val="16"/>
          <w:szCs w:val="16"/>
        </w:rPr>
      </w:pPr>
      <w:r w:rsidRPr="00113406">
        <w:rPr>
          <w:rStyle w:val="Refdenotaalpie"/>
          <w:rFonts w:ascii="Arial" w:hAnsi="Arial" w:cs="Arial"/>
          <w:sz w:val="16"/>
          <w:szCs w:val="16"/>
        </w:rPr>
        <w:footnoteRef/>
      </w:r>
      <w:r w:rsidRPr="00113406">
        <w:rPr>
          <w:rFonts w:ascii="Arial" w:hAnsi="Arial" w:cs="Arial"/>
          <w:sz w:val="16"/>
          <w:szCs w:val="16"/>
        </w:rPr>
        <w:t xml:space="preserve"> </w:t>
      </w:r>
      <w:r w:rsidRPr="00113406">
        <w:rPr>
          <w:rFonts w:ascii="Arial" w:hAnsi="Arial" w:cs="Arial"/>
          <w:i/>
          <w:sz w:val="16"/>
          <w:szCs w:val="16"/>
        </w:rPr>
        <w:t xml:space="preserve">Cfr. </w:t>
      </w:r>
      <w:r w:rsidRPr="00113406">
        <w:rPr>
          <w:rFonts w:ascii="Arial" w:hAnsi="Arial" w:cs="Arial"/>
          <w:sz w:val="16"/>
          <w:szCs w:val="16"/>
        </w:rPr>
        <w:t xml:space="preserve">Corte Interamericana de Derechos Humanos, Caso Herrera Ulloa vs. Costa Rica, Sentencia del 02 de julio de 2004, Voto concurrente razonado del Juez Sergio García Ramírez, No. 04, párrafo 23-24, consultado </w:t>
      </w:r>
      <w:hyperlink r:id="rId6" w:history="1">
        <w:r w:rsidRPr="00113406">
          <w:rPr>
            <w:rStyle w:val="Hipervnculo"/>
            <w:rFonts w:ascii="Arial" w:hAnsi="Arial" w:cs="Arial"/>
            <w:sz w:val="16"/>
            <w:szCs w:val="16"/>
          </w:rPr>
          <w:t>https://www.corteidh.or.cr/docs/casos/articulos/seriec_107_esp.pdf</w:t>
        </w:r>
      </w:hyperlink>
      <w:r w:rsidRPr="00113406">
        <w:rPr>
          <w:rFonts w:ascii="Arial" w:hAnsi="Arial" w:cs="Arial"/>
          <w:sz w:val="16"/>
          <w:szCs w:val="16"/>
        </w:rPr>
        <w:t xml:space="preserve"> </w:t>
      </w:r>
    </w:p>
  </w:footnote>
  <w:footnote w:id="78">
    <w:p w14:paraId="3DCC1E9B" w14:textId="77777777" w:rsidR="007E16D0" w:rsidRPr="0071722F" w:rsidRDefault="007E16D0" w:rsidP="007A3DFF">
      <w:pPr>
        <w:pStyle w:val="Textonotapie"/>
        <w:rPr>
          <w:rFonts w:ascii="Arial" w:hAnsi="Arial" w:cs="Arial"/>
          <w:sz w:val="16"/>
          <w:szCs w:val="16"/>
        </w:rPr>
      </w:pPr>
      <w:r w:rsidRPr="0071722F">
        <w:rPr>
          <w:rStyle w:val="Refdenotaalpie"/>
          <w:rFonts w:ascii="Arial" w:hAnsi="Arial" w:cs="Arial"/>
          <w:sz w:val="16"/>
          <w:szCs w:val="16"/>
        </w:rPr>
        <w:footnoteRef/>
      </w:r>
      <w:r w:rsidRPr="0071722F">
        <w:rPr>
          <w:rFonts w:ascii="Arial" w:hAnsi="Arial" w:cs="Arial"/>
          <w:sz w:val="16"/>
          <w:szCs w:val="16"/>
        </w:rPr>
        <w:t xml:space="preserve"> Véanse los párrafos 32 a 47 del capítulo III del Informe Anual sobre Libertad de Expresión 2008, elaborado por la Relatoría Especial para la Libertad de Expresión de la Organización de Estados Americanos, donde se sintetiza y se destacan las sentencias de la Corte Interamericana —así como otros documentos, informes y decisiones— que permiten calificar al discurso político o sobre asuntos públicos como “discurso especialmente protegido” bajo las normas básicas del sistema (obligatorias, claro está, para todos los Estados). La otra categoría que la Relatoría estima debe ser calificada de “discurso especialmente protegido” en el contexto del sistema es el discurso “que expresa elementos esenciales de la identidad o la dignidad personales” (véase, ibid., párrafos 48 a 51). Destacando igualmente la especial posición del discurso sobre asuntos públicos en una democracia, tenemos resoluciones del Tribunal Europeo de Derechos Humanos como Caso Feldek c. Slovakia, Sentencia de 12 de julio de 2001, Demanda No. 29032/95, párrafo 83 y Caso Sürek y Özdemir c. Turquía, Sentencia de 8 de julio de 1999, Demandas Nos. 23927/94 y 24277/94, párrafo 60.</w:t>
      </w:r>
    </w:p>
  </w:footnote>
  <w:footnote w:id="79">
    <w:p w14:paraId="388CCBC6" w14:textId="77777777" w:rsidR="007E16D0" w:rsidRPr="003E7331" w:rsidRDefault="007E16D0" w:rsidP="0053511D">
      <w:pPr>
        <w:pStyle w:val="Textonotapie"/>
        <w:rPr>
          <w:rFonts w:ascii="Arial" w:hAnsi="Arial" w:cs="Arial"/>
          <w:sz w:val="16"/>
          <w:szCs w:val="16"/>
        </w:rPr>
      </w:pPr>
      <w:r w:rsidRPr="003E7331">
        <w:rPr>
          <w:rStyle w:val="Refdenotaalpie"/>
          <w:rFonts w:ascii="Arial" w:hAnsi="Arial" w:cs="Arial"/>
          <w:sz w:val="16"/>
          <w:szCs w:val="16"/>
        </w:rPr>
        <w:footnoteRef/>
      </w:r>
      <w:r w:rsidRPr="003E7331">
        <w:rPr>
          <w:rFonts w:ascii="Arial" w:hAnsi="Arial" w:cs="Arial"/>
          <w:sz w:val="16"/>
          <w:szCs w:val="16"/>
        </w:rPr>
        <w:t xml:space="preserve"> ARTÍCULO 13. En todo tratamiento de datos personales que efectúe el responsable deberá observar los principios de licitud, finalidad, lealtad, consentimiento, calidad, proporcionalidad, información y responsabilidad.</w:t>
      </w:r>
    </w:p>
  </w:footnote>
  <w:footnote w:id="80">
    <w:p w14:paraId="0C723CC1" w14:textId="77777777" w:rsidR="007E16D0" w:rsidRPr="003E7331" w:rsidRDefault="007E16D0" w:rsidP="0053511D">
      <w:pPr>
        <w:pStyle w:val="Textonotapie"/>
        <w:rPr>
          <w:rFonts w:ascii="Arial" w:hAnsi="Arial" w:cs="Arial"/>
          <w:sz w:val="16"/>
          <w:szCs w:val="16"/>
        </w:rPr>
      </w:pPr>
      <w:r w:rsidRPr="003E7331">
        <w:rPr>
          <w:rStyle w:val="Refdenotaalpie"/>
          <w:rFonts w:ascii="Arial" w:hAnsi="Arial" w:cs="Arial"/>
          <w:sz w:val="16"/>
          <w:szCs w:val="16"/>
        </w:rPr>
        <w:footnoteRef/>
      </w:r>
      <w:r w:rsidRPr="003E7331">
        <w:rPr>
          <w:rFonts w:ascii="Arial" w:hAnsi="Arial" w:cs="Arial"/>
          <w:sz w:val="16"/>
          <w:szCs w:val="16"/>
        </w:rPr>
        <w:t xml:space="preserve"> ARTÍCULO 16. El responsable podrá tratar los datos personales en su posesión para finalidades distintas a aquéllas que motivaron el tratamiento original de los mismos, siempre y cuando cuente con atribuciones expresas conferidas en ley y medie el consentimiento del titular, en los términos previstos en la presente Ley y demás normatividad que resulte aplicable.</w:t>
      </w:r>
    </w:p>
  </w:footnote>
  <w:footnote w:id="81">
    <w:p w14:paraId="5A174BC1" w14:textId="77777777" w:rsidR="007E16D0" w:rsidRPr="006D5F42" w:rsidRDefault="007E16D0" w:rsidP="0053511D">
      <w:pPr>
        <w:pStyle w:val="Textonotapie"/>
        <w:rPr>
          <w:sz w:val="16"/>
          <w:szCs w:val="16"/>
        </w:rPr>
      </w:pPr>
      <w:r w:rsidRPr="006D5F42">
        <w:rPr>
          <w:rStyle w:val="Refdenotaalpie"/>
          <w:sz w:val="16"/>
          <w:szCs w:val="16"/>
        </w:rPr>
        <w:footnoteRef/>
      </w:r>
      <w:r w:rsidRPr="006D5F42">
        <w:rPr>
          <w:sz w:val="16"/>
          <w:szCs w:val="16"/>
        </w:rPr>
        <w:t xml:space="preserve"> I</w:t>
      </w:r>
      <w:r w:rsidRPr="006D5F42">
        <w:rPr>
          <w:bCs/>
          <w:sz w:val="16"/>
          <w:szCs w:val="16"/>
        </w:rPr>
        <w:t>nstancia</w:t>
      </w:r>
      <w:r w:rsidRPr="006D5F42">
        <w:rPr>
          <w:b/>
          <w:bCs/>
          <w:sz w:val="16"/>
          <w:szCs w:val="16"/>
        </w:rPr>
        <w:t>: </w:t>
      </w:r>
      <w:r w:rsidRPr="006D5F42">
        <w:rPr>
          <w:sz w:val="16"/>
          <w:szCs w:val="16"/>
        </w:rPr>
        <w:t>Pleno del Consejo de la Judicatura Federal. Semanario Judicial de la Federación y su Gaceta.</w:t>
      </w:r>
      <w:r w:rsidRPr="006D5F42">
        <w:rPr>
          <w:sz w:val="16"/>
          <w:szCs w:val="16"/>
        </w:rPr>
        <w:br/>
        <w:t xml:space="preserve">Tomo XXXIII, Junio de 2011 , página 1643, </w:t>
      </w:r>
      <w:r w:rsidRPr="006D5F42">
        <w:rPr>
          <w:bCs/>
          <w:sz w:val="16"/>
          <w:szCs w:val="16"/>
        </w:rPr>
        <w:t>Registro digital:</w:t>
      </w:r>
      <w:r w:rsidRPr="006D5F42">
        <w:rPr>
          <w:b/>
          <w:bCs/>
          <w:sz w:val="16"/>
          <w:szCs w:val="16"/>
        </w:rPr>
        <w:t> </w:t>
      </w:r>
      <w:r w:rsidRPr="006D5F42">
        <w:rPr>
          <w:sz w:val="16"/>
          <w:szCs w:val="16"/>
        </w:rPr>
        <w:t xml:space="preserve">2104. Novena Época. </w:t>
      </w:r>
    </w:p>
  </w:footnote>
  <w:footnote w:id="82">
    <w:p w14:paraId="730432AD" w14:textId="6F8927AC" w:rsidR="009D5507" w:rsidRPr="009D5507" w:rsidRDefault="009D5507">
      <w:pPr>
        <w:pStyle w:val="Textonotapie"/>
        <w:rPr>
          <w:rFonts w:ascii="Arial" w:hAnsi="Arial" w:cs="Arial"/>
          <w:sz w:val="16"/>
          <w:szCs w:val="16"/>
        </w:rPr>
      </w:pPr>
      <w:r w:rsidRPr="009D5507">
        <w:rPr>
          <w:rStyle w:val="Refdenotaalpie"/>
          <w:rFonts w:ascii="Arial" w:hAnsi="Arial" w:cs="Arial"/>
          <w:sz w:val="16"/>
          <w:szCs w:val="16"/>
        </w:rPr>
        <w:footnoteRef/>
      </w:r>
      <w:r w:rsidRPr="009D5507">
        <w:rPr>
          <w:rFonts w:ascii="Arial" w:hAnsi="Arial" w:cs="Arial"/>
          <w:sz w:val="16"/>
          <w:szCs w:val="16"/>
        </w:rPr>
        <w:t xml:space="preserve"> Registro: 221887, Octava Época, Tribunales Colegiados de Circuito, Semanario Judicial de la Federación, VIII Septiembre de 1991, Pág.:93.</w:t>
      </w:r>
    </w:p>
  </w:footnote>
  <w:footnote w:id="83">
    <w:p w14:paraId="4D1A5621" w14:textId="7C8307A6" w:rsidR="003F062E" w:rsidRPr="003F062E" w:rsidRDefault="003F062E" w:rsidP="003F062E">
      <w:pPr>
        <w:pStyle w:val="Textonotapie"/>
        <w:rPr>
          <w:rFonts w:ascii="Arial" w:hAnsi="Arial" w:cs="Arial"/>
          <w:sz w:val="16"/>
          <w:szCs w:val="16"/>
        </w:rPr>
      </w:pPr>
      <w:r w:rsidRPr="003F062E">
        <w:rPr>
          <w:rStyle w:val="Refdenotaalpie"/>
          <w:rFonts w:ascii="Arial" w:hAnsi="Arial" w:cs="Arial"/>
          <w:sz w:val="16"/>
          <w:szCs w:val="16"/>
        </w:rPr>
        <w:footnoteRef/>
      </w:r>
      <w:r w:rsidRPr="003F062E">
        <w:rPr>
          <w:rFonts w:ascii="Arial" w:hAnsi="Arial" w:cs="Arial"/>
          <w:sz w:val="16"/>
          <w:szCs w:val="16"/>
        </w:rPr>
        <w:t xml:space="preserve"> No. Registro: 225402, Tesis aislada, Materia(s): Común, Octava Época, Instancia: Tribunales Colegiados de Circuito, Fuente: Semanario Judicial de la Federación, V, Segunda Parte-1, Enero a Junio de 1990, Página: 57.</w:t>
      </w:r>
    </w:p>
  </w:footnote>
  <w:footnote w:id="84">
    <w:p w14:paraId="01563C5C" w14:textId="77777777" w:rsidR="00157CD1" w:rsidRPr="00831013" w:rsidRDefault="00157CD1" w:rsidP="00157CD1">
      <w:pPr>
        <w:pStyle w:val="Textonotapie"/>
        <w:rPr>
          <w:rFonts w:ascii="Arial" w:hAnsi="Arial" w:cs="Arial"/>
          <w:sz w:val="16"/>
          <w:szCs w:val="16"/>
        </w:rPr>
      </w:pPr>
      <w:r>
        <w:rPr>
          <w:rStyle w:val="Refdenotaalpie"/>
        </w:rPr>
        <w:footnoteRef/>
      </w:r>
      <w:r>
        <w:t xml:space="preserve"> </w:t>
      </w:r>
      <w:r w:rsidRPr="00831013">
        <w:rPr>
          <w:rFonts w:ascii="Arial" w:hAnsi="Arial" w:cs="Arial"/>
          <w:b/>
          <w:bCs/>
          <w:sz w:val="16"/>
          <w:szCs w:val="16"/>
        </w:rPr>
        <w:t xml:space="preserve">Cuadragésimo octavo. </w:t>
      </w:r>
      <w:r w:rsidRPr="00831013">
        <w:rPr>
          <w:rFonts w:ascii="Arial" w:hAnsi="Arial" w:cs="Arial"/>
          <w:sz w:val="16"/>
          <w:szCs w:val="16"/>
        </w:rPr>
        <w:t xml:space="preserve">Los documentos y expedientes clasificados como confidenciales sólo podrán ser comunicados a terceros siempre y cuando exista disposición legal expresa que lo justifique o cuando se cuente con el consentimiento del titular. </w:t>
      </w:r>
    </w:p>
    <w:p w14:paraId="64563D48" w14:textId="77777777" w:rsidR="00157CD1" w:rsidRPr="00831013" w:rsidRDefault="00157CD1" w:rsidP="00157CD1">
      <w:pPr>
        <w:pStyle w:val="Textonotapie"/>
        <w:rPr>
          <w:rFonts w:ascii="Arial" w:hAnsi="Arial" w:cs="Arial"/>
          <w:b/>
          <w:sz w:val="16"/>
          <w:szCs w:val="16"/>
        </w:rPr>
      </w:pPr>
      <w:r w:rsidRPr="00831013">
        <w:rPr>
          <w:rFonts w:ascii="Arial" w:hAnsi="Arial" w:cs="Arial"/>
          <w:sz w:val="16"/>
          <w:szCs w:val="16"/>
        </w:rPr>
        <w:t xml:space="preserve">Cuando un sujeto obligado reciba una solicitud de acceso a información confidencial por parte de un tercero, el Comité de Transparencia, podrá en caso de que ello sea posible, requerir al particular titular de la misma autorización para entregarla, conforme a los plazos establecidos en la normativa aplicable para tal efecto. </w:t>
      </w:r>
      <w:r w:rsidRPr="00831013">
        <w:rPr>
          <w:rFonts w:ascii="Arial" w:hAnsi="Arial" w:cs="Arial"/>
          <w:b/>
          <w:sz w:val="16"/>
          <w:szCs w:val="16"/>
        </w:rPr>
        <w:t>El silencio del particular será considerado como una negativa.</w:t>
      </w:r>
    </w:p>
  </w:footnote>
  <w:footnote w:id="85">
    <w:p w14:paraId="5B79E546" w14:textId="77777777" w:rsidR="00157CD1" w:rsidRPr="00956F42" w:rsidRDefault="00157CD1" w:rsidP="00157CD1">
      <w:pPr>
        <w:spacing w:after="0" w:line="240" w:lineRule="auto"/>
        <w:jc w:val="both"/>
      </w:pPr>
      <w:r w:rsidRPr="00956F42">
        <w:rPr>
          <w:rStyle w:val="Refdenotaalpie"/>
          <w:rFonts w:ascii="Arial" w:hAnsi="Arial" w:cs="Arial"/>
          <w:sz w:val="16"/>
          <w:szCs w:val="16"/>
        </w:rPr>
        <w:footnoteRef/>
      </w:r>
      <w:r w:rsidRPr="00956F42">
        <w:rPr>
          <w:rFonts w:ascii="Arial" w:hAnsi="Arial" w:cs="Arial"/>
          <w:sz w:val="16"/>
          <w:szCs w:val="16"/>
        </w:rPr>
        <w:t xml:space="preserve"> Época: Décima Época, Registro: 2006753, Instancia: Plenos de Circuito, Tipo de Tesis: Jurisprudencia, Fuente: Gaceta del Semanario Judicial de la Federación, Libro 7, Junio de 2</w:t>
      </w:r>
      <w:r>
        <w:rPr>
          <w:rFonts w:ascii="Arial" w:hAnsi="Arial" w:cs="Arial"/>
          <w:sz w:val="16"/>
          <w:szCs w:val="16"/>
        </w:rPr>
        <w:t xml:space="preserve">014, Tomo II, Materia(s): Común. </w:t>
      </w:r>
      <w:r w:rsidRPr="00956F42">
        <w:rPr>
          <w:rFonts w:ascii="Arial" w:hAnsi="Arial" w:cs="Arial"/>
          <w:sz w:val="16"/>
          <w:szCs w:val="16"/>
        </w:rPr>
        <w:t>Tesis: PC.I.A. J/12 K (10a.), Página: 1127.</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EBE29" w14:textId="58504C2D" w:rsidR="007E16D0" w:rsidRDefault="007E16D0">
    <w:pPr>
      <w:pStyle w:val="Encabezado"/>
      <w:jc w:val="center"/>
    </w:pPr>
    <w:r>
      <w:rPr>
        <w:noProof/>
        <w:lang w:eastAsia="es-MX"/>
      </w:rPr>
      <w:drawing>
        <wp:anchor distT="0" distB="0" distL="114300" distR="114300" simplePos="0" relativeHeight="251659264" behindDoc="1" locked="0" layoutInCell="1" allowOverlap="1" wp14:anchorId="03EFB77B" wp14:editId="58CF992C">
          <wp:simplePos x="0" y="0"/>
          <wp:positionH relativeFrom="page">
            <wp:posOffset>20955</wp:posOffset>
          </wp:positionH>
          <wp:positionV relativeFrom="paragraph">
            <wp:posOffset>-526415</wp:posOffset>
          </wp:positionV>
          <wp:extent cx="8182335" cy="12877800"/>
          <wp:effectExtent l="0" t="0" r="9525"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82335" cy="128778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23023284"/>
        <w:docPartObj>
          <w:docPartGallery w:val="Page Numbers (Top of Page)"/>
          <w:docPartUnique/>
        </w:docPartObj>
      </w:sdtPr>
      <w:sdtEndPr/>
      <w:sdtContent>
        <w:r>
          <w:fldChar w:fldCharType="begin"/>
        </w:r>
        <w:r>
          <w:instrText>PAGE   \* MERGEFORMAT</w:instrText>
        </w:r>
        <w:r>
          <w:fldChar w:fldCharType="separate"/>
        </w:r>
        <w:r w:rsidR="00EA65AE">
          <w:rPr>
            <w:noProof/>
          </w:rPr>
          <w:t>53</w:t>
        </w:r>
        <w:r>
          <w:fldChar w:fldCharType="end"/>
        </w:r>
      </w:sdtContent>
    </w:sdt>
  </w:p>
  <w:p w14:paraId="73B62FEB" w14:textId="18370400" w:rsidR="007E16D0" w:rsidRDefault="007E16D0">
    <w:pPr>
      <w:pStyle w:val="Encabezado"/>
      <w:jc w:val="center"/>
    </w:pPr>
  </w:p>
  <w:p w14:paraId="11A12D19" w14:textId="2D6FFD7A" w:rsidR="007E16D0" w:rsidRDefault="007E16D0">
    <w:pPr>
      <w:pStyle w:val="Encabezado"/>
      <w:jc w:val="center"/>
    </w:pPr>
  </w:p>
  <w:p w14:paraId="3C5C0923" w14:textId="7B0FF51F" w:rsidR="007E16D0" w:rsidRDefault="007E16D0">
    <w:pPr>
      <w:pStyle w:val="Encabezado"/>
      <w:jc w:val="center"/>
    </w:pPr>
  </w:p>
  <w:p w14:paraId="167ADC62" w14:textId="77777777" w:rsidR="007E16D0" w:rsidRDefault="007E16D0" w:rsidP="00E25AE4">
    <w:pPr>
      <w:pStyle w:val="Encabezado"/>
      <w:tabs>
        <w:tab w:val="left" w:pos="5954"/>
      </w:tabs>
      <w:jc w:val="right"/>
      <w:rPr>
        <w:sz w:val="20"/>
        <w:szCs w:val="20"/>
      </w:rPr>
    </w:pPr>
  </w:p>
  <w:p w14:paraId="2E3B98D4" w14:textId="77777777" w:rsidR="007E16D0" w:rsidRDefault="007E16D0">
    <w:pPr>
      <w:pStyle w:val="Encabezado"/>
      <w:jc w:val="center"/>
    </w:pPr>
  </w:p>
  <w:p w14:paraId="4E5FFEF8" w14:textId="46E567DF" w:rsidR="007E16D0" w:rsidRDefault="007E16D0">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AFE981"/>
    <w:multiLevelType w:val="hybridMultilevel"/>
    <w:tmpl w:val="F07EEBA8"/>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031EEFF"/>
    <w:multiLevelType w:val="hybridMultilevel"/>
    <w:tmpl w:val="74F28C03"/>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15905C2"/>
    <w:multiLevelType w:val="hybridMultilevel"/>
    <w:tmpl w:val="C5BCE97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105D73"/>
    <w:multiLevelType w:val="hybridMultilevel"/>
    <w:tmpl w:val="9E1623A0"/>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4" w15:restartNumberingAfterBreak="0">
    <w:nsid w:val="09750DA9"/>
    <w:multiLevelType w:val="hybridMultilevel"/>
    <w:tmpl w:val="507E70F8"/>
    <w:lvl w:ilvl="0" w:tplc="54A4733C">
      <w:start w:val="1"/>
      <w:numFmt w:val="decimal"/>
      <w:lvlText w:val="%1."/>
      <w:lvlJc w:val="left"/>
      <w:pPr>
        <w:ind w:left="1068" w:hanging="360"/>
      </w:pPr>
      <w:rPr>
        <w:rFonts w:hint="default"/>
      </w:rPr>
    </w:lvl>
    <w:lvl w:ilvl="1" w:tplc="080A0019">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5" w15:restartNumberingAfterBreak="0">
    <w:nsid w:val="11702233"/>
    <w:multiLevelType w:val="hybridMultilevel"/>
    <w:tmpl w:val="D7BC0876"/>
    <w:lvl w:ilvl="0" w:tplc="090C7AE2">
      <w:start w:val="1"/>
      <w:numFmt w:val="lowerLetter"/>
      <w:lvlText w:val="%1."/>
      <w:lvlJc w:val="left"/>
      <w:pPr>
        <w:ind w:left="720" w:hanging="360"/>
      </w:pPr>
      <w:rPr>
        <w:rFonts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142A46F5"/>
    <w:multiLevelType w:val="hybridMultilevel"/>
    <w:tmpl w:val="1B968D86"/>
    <w:lvl w:ilvl="0" w:tplc="8072F42A">
      <w:start w:val="1"/>
      <w:numFmt w:val="lowerLetter"/>
      <w:lvlText w:val="%1)"/>
      <w:lvlJc w:val="left"/>
      <w:pPr>
        <w:ind w:left="2850" w:hanging="360"/>
      </w:pPr>
      <w:rPr>
        <w:rFonts w:hint="default"/>
      </w:rPr>
    </w:lvl>
    <w:lvl w:ilvl="1" w:tplc="D9287C22">
      <w:start w:val="1"/>
      <w:numFmt w:val="decimal"/>
      <w:lvlText w:val="%2."/>
      <w:lvlJc w:val="left"/>
      <w:pPr>
        <w:ind w:left="3615" w:hanging="405"/>
      </w:pPr>
      <w:rPr>
        <w:rFonts w:cs="Arial" w:hint="default"/>
      </w:rPr>
    </w:lvl>
    <w:lvl w:ilvl="2" w:tplc="080A001B" w:tentative="1">
      <w:start w:val="1"/>
      <w:numFmt w:val="lowerRoman"/>
      <w:lvlText w:val="%3."/>
      <w:lvlJc w:val="right"/>
      <w:pPr>
        <w:ind w:left="4290" w:hanging="180"/>
      </w:pPr>
    </w:lvl>
    <w:lvl w:ilvl="3" w:tplc="080A000F" w:tentative="1">
      <w:start w:val="1"/>
      <w:numFmt w:val="decimal"/>
      <w:lvlText w:val="%4."/>
      <w:lvlJc w:val="left"/>
      <w:pPr>
        <w:ind w:left="5010" w:hanging="360"/>
      </w:pPr>
    </w:lvl>
    <w:lvl w:ilvl="4" w:tplc="080A0019" w:tentative="1">
      <w:start w:val="1"/>
      <w:numFmt w:val="lowerLetter"/>
      <w:lvlText w:val="%5."/>
      <w:lvlJc w:val="left"/>
      <w:pPr>
        <w:ind w:left="5730" w:hanging="360"/>
      </w:pPr>
    </w:lvl>
    <w:lvl w:ilvl="5" w:tplc="080A001B" w:tentative="1">
      <w:start w:val="1"/>
      <w:numFmt w:val="lowerRoman"/>
      <w:lvlText w:val="%6."/>
      <w:lvlJc w:val="right"/>
      <w:pPr>
        <w:ind w:left="6450" w:hanging="180"/>
      </w:pPr>
    </w:lvl>
    <w:lvl w:ilvl="6" w:tplc="080A000F" w:tentative="1">
      <w:start w:val="1"/>
      <w:numFmt w:val="decimal"/>
      <w:lvlText w:val="%7."/>
      <w:lvlJc w:val="left"/>
      <w:pPr>
        <w:ind w:left="7170" w:hanging="360"/>
      </w:pPr>
    </w:lvl>
    <w:lvl w:ilvl="7" w:tplc="080A0019" w:tentative="1">
      <w:start w:val="1"/>
      <w:numFmt w:val="lowerLetter"/>
      <w:lvlText w:val="%8."/>
      <w:lvlJc w:val="left"/>
      <w:pPr>
        <w:ind w:left="7890" w:hanging="360"/>
      </w:pPr>
    </w:lvl>
    <w:lvl w:ilvl="8" w:tplc="080A001B" w:tentative="1">
      <w:start w:val="1"/>
      <w:numFmt w:val="lowerRoman"/>
      <w:lvlText w:val="%9."/>
      <w:lvlJc w:val="right"/>
      <w:pPr>
        <w:ind w:left="8610" w:hanging="180"/>
      </w:pPr>
    </w:lvl>
  </w:abstractNum>
  <w:abstractNum w:abstractNumId="7" w15:restartNumberingAfterBreak="0">
    <w:nsid w:val="14B35DA0"/>
    <w:multiLevelType w:val="hybridMultilevel"/>
    <w:tmpl w:val="47002450"/>
    <w:lvl w:ilvl="0" w:tplc="080A0019">
      <w:start w:val="1"/>
      <w:numFmt w:val="lowerLetter"/>
      <w:lvlText w:val="%1."/>
      <w:lvlJc w:val="left"/>
      <w:pPr>
        <w:ind w:left="1788" w:hanging="360"/>
      </w:p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8" w15:restartNumberingAfterBreak="0">
    <w:nsid w:val="14FF2410"/>
    <w:multiLevelType w:val="hybridMultilevel"/>
    <w:tmpl w:val="442474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53555E1"/>
    <w:multiLevelType w:val="hybridMultilevel"/>
    <w:tmpl w:val="3FA8693E"/>
    <w:lvl w:ilvl="0" w:tplc="04C2E6D0">
      <w:start w:val="1"/>
      <w:numFmt w:val="decimal"/>
      <w:lvlText w:val="%1."/>
      <w:lvlJc w:val="left"/>
      <w:pPr>
        <w:ind w:left="1777" w:hanging="360"/>
      </w:pPr>
      <w:rPr>
        <w:rFonts w:hint="default"/>
      </w:rPr>
    </w:lvl>
    <w:lvl w:ilvl="1" w:tplc="040A0019" w:tentative="1">
      <w:start w:val="1"/>
      <w:numFmt w:val="lowerLetter"/>
      <w:lvlText w:val="%2."/>
      <w:lvlJc w:val="left"/>
      <w:pPr>
        <w:ind w:left="2497" w:hanging="360"/>
      </w:pPr>
    </w:lvl>
    <w:lvl w:ilvl="2" w:tplc="040A001B" w:tentative="1">
      <w:start w:val="1"/>
      <w:numFmt w:val="lowerRoman"/>
      <w:lvlText w:val="%3."/>
      <w:lvlJc w:val="right"/>
      <w:pPr>
        <w:ind w:left="3217" w:hanging="180"/>
      </w:pPr>
    </w:lvl>
    <w:lvl w:ilvl="3" w:tplc="040A000F" w:tentative="1">
      <w:start w:val="1"/>
      <w:numFmt w:val="decimal"/>
      <w:lvlText w:val="%4."/>
      <w:lvlJc w:val="left"/>
      <w:pPr>
        <w:ind w:left="3937" w:hanging="360"/>
      </w:pPr>
    </w:lvl>
    <w:lvl w:ilvl="4" w:tplc="040A0019" w:tentative="1">
      <w:start w:val="1"/>
      <w:numFmt w:val="lowerLetter"/>
      <w:lvlText w:val="%5."/>
      <w:lvlJc w:val="left"/>
      <w:pPr>
        <w:ind w:left="4657" w:hanging="360"/>
      </w:pPr>
    </w:lvl>
    <w:lvl w:ilvl="5" w:tplc="040A001B" w:tentative="1">
      <w:start w:val="1"/>
      <w:numFmt w:val="lowerRoman"/>
      <w:lvlText w:val="%6."/>
      <w:lvlJc w:val="right"/>
      <w:pPr>
        <w:ind w:left="5377" w:hanging="180"/>
      </w:pPr>
    </w:lvl>
    <w:lvl w:ilvl="6" w:tplc="040A000F" w:tentative="1">
      <w:start w:val="1"/>
      <w:numFmt w:val="decimal"/>
      <w:lvlText w:val="%7."/>
      <w:lvlJc w:val="left"/>
      <w:pPr>
        <w:ind w:left="6097" w:hanging="360"/>
      </w:pPr>
    </w:lvl>
    <w:lvl w:ilvl="7" w:tplc="040A0019" w:tentative="1">
      <w:start w:val="1"/>
      <w:numFmt w:val="lowerLetter"/>
      <w:lvlText w:val="%8."/>
      <w:lvlJc w:val="left"/>
      <w:pPr>
        <w:ind w:left="6817" w:hanging="360"/>
      </w:pPr>
    </w:lvl>
    <w:lvl w:ilvl="8" w:tplc="040A001B" w:tentative="1">
      <w:start w:val="1"/>
      <w:numFmt w:val="lowerRoman"/>
      <w:lvlText w:val="%9."/>
      <w:lvlJc w:val="right"/>
      <w:pPr>
        <w:ind w:left="7537" w:hanging="180"/>
      </w:pPr>
    </w:lvl>
  </w:abstractNum>
  <w:abstractNum w:abstractNumId="10" w15:restartNumberingAfterBreak="0">
    <w:nsid w:val="18290BF6"/>
    <w:multiLevelType w:val="hybridMultilevel"/>
    <w:tmpl w:val="CF544C1A"/>
    <w:lvl w:ilvl="0" w:tplc="7C507EEE">
      <w:start w:val="1"/>
      <w:numFmt w:val="upperLetter"/>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11" w15:restartNumberingAfterBreak="0">
    <w:nsid w:val="18B51763"/>
    <w:multiLevelType w:val="hybridMultilevel"/>
    <w:tmpl w:val="2E2815E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2" w15:restartNumberingAfterBreak="0">
    <w:nsid w:val="18C164C4"/>
    <w:multiLevelType w:val="hybridMultilevel"/>
    <w:tmpl w:val="48900D4A"/>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3" w15:restartNumberingAfterBreak="0">
    <w:nsid w:val="1ED4500F"/>
    <w:multiLevelType w:val="hybridMultilevel"/>
    <w:tmpl w:val="4D4CBDB8"/>
    <w:lvl w:ilvl="0" w:tplc="080A000F">
      <w:start w:val="1"/>
      <w:numFmt w:val="decimal"/>
      <w:lvlText w:val="%1."/>
      <w:lvlJc w:val="lef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14" w15:restartNumberingAfterBreak="0">
    <w:nsid w:val="217533E2"/>
    <w:multiLevelType w:val="hybridMultilevel"/>
    <w:tmpl w:val="6B3E97C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5" w15:restartNumberingAfterBreak="0">
    <w:nsid w:val="221118F3"/>
    <w:multiLevelType w:val="hybridMultilevel"/>
    <w:tmpl w:val="23EEB090"/>
    <w:lvl w:ilvl="0" w:tplc="080A000F">
      <w:start w:val="1"/>
      <w:numFmt w:val="decimal"/>
      <w:lvlText w:val="%1."/>
      <w:lvlJc w:val="left"/>
      <w:pPr>
        <w:ind w:left="1426" w:hanging="360"/>
      </w:pPr>
      <w:rPr>
        <w:rFonts w:hint="default"/>
      </w:rPr>
    </w:lvl>
    <w:lvl w:ilvl="1" w:tplc="CA56F742">
      <w:numFmt w:val="bullet"/>
      <w:lvlText w:val="-"/>
      <w:lvlJc w:val="left"/>
      <w:pPr>
        <w:ind w:left="2146" w:hanging="360"/>
      </w:pPr>
      <w:rPr>
        <w:rFonts w:ascii="Arial" w:eastAsiaTheme="minorHAnsi" w:hAnsi="Arial" w:cs="Arial" w:hint="default"/>
      </w:rPr>
    </w:lvl>
    <w:lvl w:ilvl="2" w:tplc="080A001B" w:tentative="1">
      <w:start w:val="1"/>
      <w:numFmt w:val="lowerRoman"/>
      <w:lvlText w:val="%3."/>
      <w:lvlJc w:val="right"/>
      <w:pPr>
        <w:ind w:left="2866" w:hanging="180"/>
      </w:pPr>
    </w:lvl>
    <w:lvl w:ilvl="3" w:tplc="080A000F" w:tentative="1">
      <w:start w:val="1"/>
      <w:numFmt w:val="decimal"/>
      <w:lvlText w:val="%4."/>
      <w:lvlJc w:val="left"/>
      <w:pPr>
        <w:ind w:left="3586" w:hanging="360"/>
      </w:pPr>
    </w:lvl>
    <w:lvl w:ilvl="4" w:tplc="080A0019" w:tentative="1">
      <w:start w:val="1"/>
      <w:numFmt w:val="lowerLetter"/>
      <w:lvlText w:val="%5."/>
      <w:lvlJc w:val="left"/>
      <w:pPr>
        <w:ind w:left="4306" w:hanging="360"/>
      </w:pPr>
    </w:lvl>
    <w:lvl w:ilvl="5" w:tplc="080A001B" w:tentative="1">
      <w:start w:val="1"/>
      <w:numFmt w:val="lowerRoman"/>
      <w:lvlText w:val="%6."/>
      <w:lvlJc w:val="right"/>
      <w:pPr>
        <w:ind w:left="5026" w:hanging="180"/>
      </w:pPr>
    </w:lvl>
    <w:lvl w:ilvl="6" w:tplc="080A000F" w:tentative="1">
      <w:start w:val="1"/>
      <w:numFmt w:val="decimal"/>
      <w:lvlText w:val="%7."/>
      <w:lvlJc w:val="left"/>
      <w:pPr>
        <w:ind w:left="5746" w:hanging="360"/>
      </w:pPr>
    </w:lvl>
    <w:lvl w:ilvl="7" w:tplc="080A0019" w:tentative="1">
      <w:start w:val="1"/>
      <w:numFmt w:val="lowerLetter"/>
      <w:lvlText w:val="%8."/>
      <w:lvlJc w:val="left"/>
      <w:pPr>
        <w:ind w:left="6466" w:hanging="360"/>
      </w:pPr>
    </w:lvl>
    <w:lvl w:ilvl="8" w:tplc="080A001B" w:tentative="1">
      <w:start w:val="1"/>
      <w:numFmt w:val="lowerRoman"/>
      <w:lvlText w:val="%9."/>
      <w:lvlJc w:val="right"/>
      <w:pPr>
        <w:ind w:left="7186" w:hanging="180"/>
      </w:pPr>
    </w:lvl>
  </w:abstractNum>
  <w:abstractNum w:abstractNumId="16" w15:restartNumberingAfterBreak="0">
    <w:nsid w:val="234A0883"/>
    <w:multiLevelType w:val="hybridMultilevel"/>
    <w:tmpl w:val="CF544C1A"/>
    <w:lvl w:ilvl="0" w:tplc="FFFFFFFF">
      <w:start w:val="1"/>
      <w:numFmt w:val="upp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 w15:restartNumberingAfterBreak="0">
    <w:nsid w:val="271A4604"/>
    <w:multiLevelType w:val="hybridMultilevel"/>
    <w:tmpl w:val="AFB41D68"/>
    <w:lvl w:ilvl="0" w:tplc="40F2F88C">
      <w:start w:val="1"/>
      <w:numFmt w:val="upperRoman"/>
      <w:lvlText w:val="%1."/>
      <w:lvlJc w:val="left"/>
      <w:pPr>
        <w:ind w:left="1854" w:hanging="72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8" w15:restartNumberingAfterBreak="0">
    <w:nsid w:val="27DA1168"/>
    <w:multiLevelType w:val="hybridMultilevel"/>
    <w:tmpl w:val="B402694C"/>
    <w:lvl w:ilvl="0" w:tplc="2BA02758">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9" w15:restartNumberingAfterBreak="0">
    <w:nsid w:val="295DEB99"/>
    <w:multiLevelType w:val="hybridMultilevel"/>
    <w:tmpl w:val="CFF20CE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2CFB98C0"/>
    <w:multiLevelType w:val="hybridMultilevel"/>
    <w:tmpl w:val="796AE296"/>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2DED230F"/>
    <w:multiLevelType w:val="hybridMultilevel"/>
    <w:tmpl w:val="78F4B4B6"/>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2" w15:restartNumberingAfterBreak="0">
    <w:nsid w:val="32E70808"/>
    <w:multiLevelType w:val="hybridMultilevel"/>
    <w:tmpl w:val="99E808F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62B4E6D"/>
    <w:multiLevelType w:val="hybridMultilevel"/>
    <w:tmpl w:val="A5982510"/>
    <w:lvl w:ilvl="0" w:tplc="3A680E52">
      <w:start w:val="1"/>
      <w:numFmt w:val="decimal"/>
      <w:lvlText w:val="%1."/>
      <w:lvlJc w:val="left"/>
      <w:pPr>
        <w:ind w:left="1494" w:hanging="36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24" w15:restartNumberingAfterBreak="0">
    <w:nsid w:val="381377F4"/>
    <w:multiLevelType w:val="hybridMultilevel"/>
    <w:tmpl w:val="400C98A4"/>
    <w:lvl w:ilvl="0" w:tplc="C64CC836">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5" w15:restartNumberingAfterBreak="0">
    <w:nsid w:val="3CE27AC1"/>
    <w:multiLevelType w:val="hybridMultilevel"/>
    <w:tmpl w:val="96E0A094"/>
    <w:lvl w:ilvl="0" w:tplc="080A001B">
      <w:start w:val="1"/>
      <w:numFmt w:val="lowerRoman"/>
      <w:lvlText w:val="%1."/>
      <w:lvlJc w:val="righ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26" w15:restartNumberingAfterBreak="0">
    <w:nsid w:val="4B0240B5"/>
    <w:multiLevelType w:val="hybridMultilevel"/>
    <w:tmpl w:val="3D7414D8"/>
    <w:lvl w:ilvl="0" w:tplc="CA56F742">
      <w:numFmt w:val="bullet"/>
      <w:lvlText w:val="-"/>
      <w:lvlJc w:val="left"/>
      <w:pPr>
        <w:ind w:left="1428" w:hanging="360"/>
      </w:pPr>
      <w:rPr>
        <w:rFonts w:ascii="Arial" w:eastAsiaTheme="minorHAnsi" w:hAnsi="Arial" w:cs="Arial" w:hint="default"/>
      </w:rPr>
    </w:lvl>
    <w:lvl w:ilvl="1" w:tplc="040A0003" w:tentative="1">
      <w:start w:val="1"/>
      <w:numFmt w:val="bullet"/>
      <w:lvlText w:val="o"/>
      <w:lvlJc w:val="left"/>
      <w:pPr>
        <w:ind w:left="2148" w:hanging="360"/>
      </w:pPr>
      <w:rPr>
        <w:rFonts w:ascii="Courier New" w:hAnsi="Courier New" w:cs="Courier New" w:hint="default"/>
      </w:rPr>
    </w:lvl>
    <w:lvl w:ilvl="2" w:tplc="040A0005" w:tentative="1">
      <w:start w:val="1"/>
      <w:numFmt w:val="bullet"/>
      <w:lvlText w:val=""/>
      <w:lvlJc w:val="left"/>
      <w:pPr>
        <w:ind w:left="2868" w:hanging="360"/>
      </w:pPr>
      <w:rPr>
        <w:rFonts w:ascii="Wingdings" w:hAnsi="Wingdings" w:hint="default"/>
      </w:rPr>
    </w:lvl>
    <w:lvl w:ilvl="3" w:tplc="040A0001" w:tentative="1">
      <w:start w:val="1"/>
      <w:numFmt w:val="bullet"/>
      <w:lvlText w:val=""/>
      <w:lvlJc w:val="left"/>
      <w:pPr>
        <w:ind w:left="3588" w:hanging="360"/>
      </w:pPr>
      <w:rPr>
        <w:rFonts w:ascii="Symbol" w:hAnsi="Symbol" w:hint="default"/>
      </w:rPr>
    </w:lvl>
    <w:lvl w:ilvl="4" w:tplc="040A0003" w:tentative="1">
      <w:start w:val="1"/>
      <w:numFmt w:val="bullet"/>
      <w:lvlText w:val="o"/>
      <w:lvlJc w:val="left"/>
      <w:pPr>
        <w:ind w:left="4308" w:hanging="360"/>
      </w:pPr>
      <w:rPr>
        <w:rFonts w:ascii="Courier New" w:hAnsi="Courier New" w:cs="Courier New" w:hint="default"/>
      </w:rPr>
    </w:lvl>
    <w:lvl w:ilvl="5" w:tplc="040A0005" w:tentative="1">
      <w:start w:val="1"/>
      <w:numFmt w:val="bullet"/>
      <w:lvlText w:val=""/>
      <w:lvlJc w:val="left"/>
      <w:pPr>
        <w:ind w:left="5028" w:hanging="360"/>
      </w:pPr>
      <w:rPr>
        <w:rFonts w:ascii="Wingdings" w:hAnsi="Wingdings" w:hint="default"/>
      </w:rPr>
    </w:lvl>
    <w:lvl w:ilvl="6" w:tplc="040A0001" w:tentative="1">
      <w:start w:val="1"/>
      <w:numFmt w:val="bullet"/>
      <w:lvlText w:val=""/>
      <w:lvlJc w:val="left"/>
      <w:pPr>
        <w:ind w:left="5748" w:hanging="360"/>
      </w:pPr>
      <w:rPr>
        <w:rFonts w:ascii="Symbol" w:hAnsi="Symbol" w:hint="default"/>
      </w:rPr>
    </w:lvl>
    <w:lvl w:ilvl="7" w:tplc="040A0003" w:tentative="1">
      <w:start w:val="1"/>
      <w:numFmt w:val="bullet"/>
      <w:lvlText w:val="o"/>
      <w:lvlJc w:val="left"/>
      <w:pPr>
        <w:ind w:left="6468" w:hanging="360"/>
      </w:pPr>
      <w:rPr>
        <w:rFonts w:ascii="Courier New" w:hAnsi="Courier New" w:cs="Courier New" w:hint="default"/>
      </w:rPr>
    </w:lvl>
    <w:lvl w:ilvl="8" w:tplc="040A0005" w:tentative="1">
      <w:start w:val="1"/>
      <w:numFmt w:val="bullet"/>
      <w:lvlText w:val=""/>
      <w:lvlJc w:val="left"/>
      <w:pPr>
        <w:ind w:left="7188" w:hanging="360"/>
      </w:pPr>
      <w:rPr>
        <w:rFonts w:ascii="Wingdings" w:hAnsi="Wingdings" w:hint="default"/>
      </w:rPr>
    </w:lvl>
  </w:abstractNum>
  <w:abstractNum w:abstractNumId="27" w15:restartNumberingAfterBreak="0">
    <w:nsid w:val="4B7C264A"/>
    <w:multiLevelType w:val="hybridMultilevel"/>
    <w:tmpl w:val="47002450"/>
    <w:lvl w:ilvl="0" w:tplc="080A0019">
      <w:start w:val="1"/>
      <w:numFmt w:val="lowerLetter"/>
      <w:lvlText w:val="%1."/>
      <w:lvlJc w:val="left"/>
      <w:pPr>
        <w:ind w:left="1788" w:hanging="360"/>
      </w:p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28" w15:restartNumberingAfterBreak="0">
    <w:nsid w:val="4D713629"/>
    <w:multiLevelType w:val="hybridMultilevel"/>
    <w:tmpl w:val="E86E75FE"/>
    <w:lvl w:ilvl="0" w:tplc="94C83028">
      <w:start w:val="1"/>
      <w:numFmt w:val="upperRoman"/>
      <w:lvlText w:val="%1."/>
      <w:lvlJc w:val="left"/>
      <w:pPr>
        <w:ind w:left="1428" w:hanging="72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29" w15:restartNumberingAfterBreak="0">
    <w:nsid w:val="4EBE0DB8"/>
    <w:multiLevelType w:val="hybridMultilevel"/>
    <w:tmpl w:val="23EEB090"/>
    <w:lvl w:ilvl="0" w:tplc="080A000F">
      <w:start w:val="1"/>
      <w:numFmt w:val="decimal"/>
      <w:lvlText w:val="%1."/>
      <w:lvlJc w:val="left"/>
      <w:pPr>
        <w:ind w:left="1426" w:hanging="360"/>
      </w:pPr>
      <w:rPr>
        <w:rFonts w:hint="default"/>
      </w:rPr>
    </w:lvl>
    <w:lvl w:ilvl="1" w:tplc="CA56F742">
      <w:numFmt w:val="bullet"/>
      <w:lvlText w:val="-"/>
      <w:lvlJc w:val="left"/>
      <w:pPr>
        <w:ind w:left="2146" w:hanging="360"/>
      </w:pPr>
      <w:rPr>
        <w:rFonts w:ascii="Arial" w:eastAsiaTheme="minorHAnsi" w:hAnsi="Arial" w:cs="Arial" w:hint="default"/>
      </w:rPr>
    </w:lvl>
    <w:lvl w:ilvl="2" w:tplc="080A001B" w:tentative="1">
      <w:start w:val="1"/>
      <w:numFmt w:val="lowerRoman"/>
      <w:lvlText w:val="%3."/>
      <w:lvlJc w:val="right"/>
      <w:pPr>
        <w:ind w:left="2866" w:hanging="180"/>
      </w:pPr>
    </w:lvl>
    <w:lvl w:ilvl="3" w:tplc="080A000F" w:tentative="1">
      <w:start w:val="1"/>
      <w:numFmt w:val="decimal"/>
      <w:lvlText w:val="%4."/>
      <w:lvlJc w:val="left"/>
      <w:pPr>
        <w:ind w:left="3586" w:hanging="360"/>
      </w:pPr>
    </w:lvl>
    <w:lvl w:ilvl="4" w:tplc="080A0019" w:tentative="1">
      <w:start w:val="1"/>
      <w:numFmt w:val="lowerLetter"/>
      <w:lvlText w:val="%5."/>
      <w:lvlJc w:val="left"/>
      <w:pPr>
        <w:ind w:left="4306" w:hanging="360"/>
      </w:pPr>
    </w:lvl>
    <w:lvl w:ilvl="5" w:tplc="080A001B" w:tentative="1">
      <w:start w:val="1"/>
      <w:numFmt w:val="lowerRoman"/>
      <w:lvlText w:val="%6."/>
      <w:lvlJc w:val="right"/>
      <w:pPr>
        <w:ind w:left="5026" w:hanging="180"/>
      </w:pPr>
    </w:lvl>
    <w:lvl w:ilvl="6" w:tplc="080A000F" w:tentative="1">
      <w:start w:val="1"/>
      <w:numFmt w:val="decimal"/>
      <w:lvlText w:val="%7."/>
      <w:lvlJc w:val="left"/>
      <w:pPr>
        <w:ind w:left="5746" w:hanging="360"/>
      </w:pPr>
    </w:lvl>
    <w:lvl w:ilvl="7" w:tplc="080A0019" w:tentative="1">
      <w:start w:val="1"/>
      <w:numFmt w:val="lowerLetter"/>
      <w:lvlText w:val="%8."/>
      <w:lvlJc w:val="left"/>
      <w:pPr>
        <w:ind w:left="6466" w:hanging="360"/>
      </w:pPr>
    </w:lvl>
    <w:lvl w:ilvl="8" w:tplc="080A001B" w:tentative="1">
      <w:start w:val="1"/>
      <w:numFmt w:val="lowerRoman"/>
      <w:lvlText w:val="%9."/>
      <w:lvlJc w:val="right"/>
      <w:pPr>
        <w:ind w:left="7186" w:hanging="180"/>
      </w:pPr>
    </w:lvl>
  </w:abstractNum>
  <w:abstractNum w:abstractNumId="30" w15:restartNumberingAfterBreak="0">
    <w:nsid w:val="4F69437C"/>
    <w:multiLevelType w:val="hybridMultilevel"/>
    <w:tmpl w:val="6EF4EACE"/>
    <w:lvl w:ilvl="0" w:tplc="96E4234A">
      <w:start w:val="2"/>
      <w:numFmt w:val="lowerLetter"/>
      <w:lvlText w:val="%1."/>
      <w:lvlJc w:val="left"/>
      <w:pPr>
        <w:ind w:left="1068"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1574625"/>
    <w:multiLevelType w:val="hybridMultilevel"/>
    <w:tmpl w:val="255489D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17A7940"/>
    <w:multiLevelType w:val="hybridMultilevel"/>
    <w:tmpl w:val="B50C4456"/>
    <w:lvl w:ilvl="0" w:tplc="3C16877A">
      <w:start w:val="1"/>
      <w:numFmt w:val="lowerLetter"/>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3" w15:restartNumberingAfterBreak="0">
    <w:nsid w:val="555C7D8F"/>
    <w:multiLevelType w:val="hybridMultilevel"/>
    <w:tmpl w:val="59E410D2"/>
    <w:lvl w:ilvl="0" w:tplc="3FB43114">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4" w15:restartNumberingAfterBreak="0">
    <w:nsid w:val="5582111E"/>
    <w:multiLevelType w:val="hybridMultilevel"/>
    <w:tmpl w:val="DE1212A8"/>
    <w:lvl w:ilvl="0" w:tplc="027C93B0">
      <w:start w:val="1"/>
      <w:numFmt w:val="decimal"/>
      <w:lvlText w:val="%1."/>
      <w:lvlJc w:val="left"/>
      <w:pPr>
        <w:ind w:left="928"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55A979F0"/>
    <w:multiLevelType w:val="multilevel"/>
    <w:tmpl w:val="55A979F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61E7A4D"/>
    <w:multiLevelType w:val="hybridMultilevel"/>
    <w:tmpl w:val="AFBC348C"/>
    <w:lvl w:ilvl="0" w:tplc="42A895E0">
      <w:start w:val="1"/>
      <w:numFmt w:val="lowerLetter"/>
      <w:lvlText w:val="%1."/>
      <w:lvlJc w:val="left"/>
      <w:pPr>
        <w:ind w:left="1788" w:hanging="360"/>
      </w:pPr>
      <w:rPr>
        <w:b/>
      </w:r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37" w15:restartNumberingAfterBreak="0">
    <w:nsid w:val="56577FDA"/>
    <w:multiLevelType w:val="hybridMultilevel"/>
    <w:tmpl w:val="5F10709E"/>
    <w:lvl w:ilvl="0" w:tplc="7C565B98">
      <w:start w:val="1"/>
      <w:numFmt w:val="decimal"/>
      <w:lvlText w:val="%1."/>
      <w:lvlJc w:val="left"/>
      <w:pPr>
        <w:ind w:left="1068" w:hanging="360"/>
      </w:pPr>
      <w:rPr>
        <w:rFonts w:hint="default"/>
      </w:rPr>
    </w:lvl>
    <w:lvl w:ilvl="1" w:tplc="040A0019" w:tentative="1">
      <w:start w:val="1"/>
      <w:numFmt w:val="lowerLetter"/>
      <w:lvlText w:val="%2."/>
      <w:lvlJc w:val="left"/>
      <w:pPr>
        <w:ind w:left="1788" w:hanging="360"/>
      </w:pPr>
    </w:lvl>
    <w:lvl w:ilvl="2" w:tplc="040A001B" w:tentative="1">
      <w:start w:val="1"/>
      <w:numFmt w:val="lowerRoman"/>
      <w:lvlText w:val="%3."/>
      <w:lvlJc w:val="right"/>
      <w:pPr>
        <w:ind w:left="2508" w:hanging="180"/>
      </w:pPr>
    </w:lvl>
    <w:lvl w:ilvl="3" w:tplc="040A000F" w:tentative="1">
      <w:start w:val="1"/>
      <w:numFmt w:val="decimal"/>
      <w:lvlText w:val="%4."/>
      <w:lvlJc w:val="left"/>
      <w:pPr>
        <w:ind w:left="3228" w:hanging="360"/>
      </w:pPr>
    </w:lvl>
    <w:lvl w:ilvl="4" w:tplc="040A0019" w:tentative="1">
      <w:start w:val="1"/>
      <w:numFmt w:val="lowerLetter"/>
      <w:lvlText w:val="%5."/>
      <w:lvlJc w:val="left"/>
      <w:pPr>
        <w:ind w:left="3948" w:hanging="360"/>
      </w:pPr>
    </w:lvl>
    <w:lvl w:ilvl="5" w:tplc="040A001B" w:tentative="1">
      <w:start w:val="1"/>
      <w:numFmt w:val="lowerRoman"/>
      <w:lvlText w:val="%6."/>
      <w:lvlJc w:val="right"/>
      <w:pPr>
        <w:ind w:left="4668" w:hanging="180"/>
      </w:pPr>
    </w:lvl>
    <w:lvl w:ilvl="6" w:tplc="040A000F" w:tentative="1">
      <w:start w:val="1"/>
      <w:numFmt w:val="decimal"/>
      <w:lvlText w:val="%7."/>
      <w:lvlJc w:val="left"/>
      <w:pPr>
        <w:ind w:left="5388" w:hanging="360"/>
      </w:pPr>
    </w:lvl>
    <w:lvl w:ilvl="7" w:tplc="040A0019" w:tentative="1">
      <w:start w:val="1"/>
      <w:numFmt w:val="lowerLetter"/>
      <w:lvlText w:val="%8."/>
      <w:lvlJc w:val="left"/>
      <w:pPr>
        <w:ind w:left="6108" w:hanging="360"/>
      </w:pPr>
    </w:lvl>
    <w:lvl w:ilvl="8" w:tplc="040A001B" w:tentative="1">
      <w:start w:val="1"/>
      <w:numFmt w:val="lowerRoman"/>
      <w:lvlText w:val="%9."/>
      <w:lvlJc w:val="right"/>
      <w:pPr>
        <w:ind w:left="6828" w:hanging="180"/>
      </w:pPr>
    </w:lvl>
  </w:abstractNum>
  <w:abstractNum w:abstractNumId="38" w15:restartNumberingAfterBreak="0">
    <w:nsid w:val="5B5A50E7"/>
    <w:multiLevelType w:val="hybridMultilevel"/>
    <w:tmpl w:val="D248BB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5E093BFE"/>
    <w:multiLevelType w:val="hybridMultilevel"/>
    <w:tmpl w:val="7BA6F79A"/>
    <w:lvl w:ilvl="0" w:tplc="7FE61094">
      <w:start w:val="1"/>
      <w:numFmt w:val="decimal"/>
      <w:lvlText w:val="%1."/>
      <w:lvlJc w:val="left"/>
      <w:pPr>
        <w:ind w:left="1464" w:hanging="396"/>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40" w15:restartNumberingAfterBreak="0">
    <w:nsid w:val="5F534E2E"/>
    <w:multiLevelType w:val="hybridMultilevel"/>
    <w:tmpl w:val="186A187E"/>
    <w:lvl w:ilvl="0" w:tplc="080A000F">
      <w:start w:val="1"/>
      <w:numFmt w:val="decimal"/>
      <w:lvlText w:val="%1."/>
      <w:lvlJc w:val="left"/>
      <w:pPr>
        <w:ind w:left="1854" w:hanging="360"/>
      </w:pPr>
      <w:rPr>
        <w:rFonts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41" w15:restartNumberingAfterBreak="0">
    <w:nsid w:val="6B060B36"/>
    <w:multiLevelType w:val="hybridMultilevel"/>
    <w:tmpl w:val="CF544C1A"/>
    <w:lvl w:ilvl="0" w:tplc="FFFFFFFF">
      <w:start w:val="1"/>
      <w:numFmt w:val="upp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2" w15:restartNumberingAfterBreak="0">
    <w:nsid w:val="6B654E3F"/>
    <w:multiLevelType w:val="hybridMultilevel"/>
    <w:tmpl w:val="A01CE860"/>
    <w:lvl w:ilvl="0" w:tplc="080A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C762C53"/>
    <w:multiLevelType w:val="hybridMultilevel"/>
    <w:tmpl w:val="68805AAA"/>
    <w:lvl w:ilvl="0" w:tplc="9DE4DE32">
      <w:start w:val="9"/>
      <w:numFmt w:val="lowerLetter"/>
      <w:lvlText w:val="%1."/>
      <w:lvlJc w:val="left"/>
      <w:pPr>
        <w:ind w:left="1788"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EC0AFBE"/>
    <w:multiLevelType w:val="hybridMultilevel"/>
    <w:tmpl w:val="47005C01"/>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71EF362C"/>
    <w:multiLevelType w:val="hybridMultilevel"/>
    <w:tmpl w:val="47002450"/>
    <w:lvl w:ilvl="0" w:tplc="080A0019">
      <w:start w:val="1"/>
      <w:numFmt w:val="lowerLetter"/>
      <w:lvlText w:val="%1."/>
      <w:lvlJc w:val="left"/>
      <w:pPr>
        <w:ind w:left="1788" w:hanging="360"/>
      </w:pPr>
    </w:lvl>
    <w:lvl w:ilvl="1" w:tplc="080A0019" w:tentative="1">
      <w:start w:val="1"/>
      <w:numFmt w:val="lowerLetter"/>
      <w:lvlText w:val="%2."/>
      <w:lvlJc w:val="left"/>
      <w:pPr>
        <w:ind w:left="2508" w:hanging="360"/>
      </w:pPr>
    </w:lvl>
    <w:lvl w:ilvl="2" w:tplc="080A001B" w:tentative="1">
      <w:start w:val="1"/>
      <w:numFmt w:val="lowerRoman"/>
      <w:lvlText w:val="%3."/>
      <w:lvlJc w:val="right"/>
      <w:pPr>
        <w:ind w:left="3228" w:hanging="180"/>
      </w:pPr>
    </w:lvl>
    <w:lvl w:ilvl="3" w:tplc="080A000F" w:tentative="1">
      <w:start w:val="1"/>
      <w:numFmt w:val="decimal"/>
      <w:lvlText w:val="%4."/>
      <w:lvlJc w:val="left"/>
      <w:pPr>
        <w:ind w:left="3948" w:hanging="360"/>
      </w:pPr>
    </w:lvl>
    <w:lvl w:ilvl="4" w:tplc="080A0019" w:tentative="1">
      <w:start w:val="1"/>
      <w:numFmt w:val="lowerLetter"/>
      <w:lvlText w:val="%5."/>
      <w:lvlJc w:val="left"/>
      <w:pPr>
        <w:ind w:left="4668" w:hanging="360"/>
      </w:pPr>
    </w:lvl>
    <w:lvl w:ilvl="5" w:tplc="080A001B" w:tentative="1">
      <w:start w:val="1"/>
      <w:numFmt w:val="lowerRoman"/>
      <w:lvlText w:val="%6."/>
      <w:lvlJc w:val="right"/>
      <w:pPr>
        <w:ind w:left="5388" w:hanging="180"/>
      </w:pPr>
    </w:lvl>
    <w:lvl w:ilvl="6" w:tplc="080A000F" w:tentative="1">
      <w:start w:val="1"/>
      <w:numFmt w:val="decimal"/>
      <w:lvlText w:val="%7."/>
      <w:lvlJc w:val="left"/>
      <w:pPr>
        <w:ind w:left="6108" w:hanging="360"/>
      </w:pPr>
    </w:lvl>
    <w:lvl w:ilvl="7" w:tplc="080A0019" w:tentative="1">
      <w:start w:val="1"/>
      <w:numFmt w:val="lowerLetter"/>
      <w:lvlText w:val="%8."/>
      <w:lvlJc w:val="left"/>
      <w:pPr>
        <w:ind w:left="6828" w:hanging="360"/>
      </w:pPr>
    </w:lvl>
    <w:lvl w:ilvl="8" w:tplc="080A001B" w:tentative="1">
      <w:start w:val="1"/>
      <w:numFmt w:val="lowerRoman"/>
      <w:lvlText w:val="%9."/>
      <w:lvlJc w:val="right"/>
      <w:pPr>
        <w:ind w:left="7548" w:hanging="180"/>
      </w:pPr>
    </w:lvl>
  </w:abstractNum>
  <w:abstractNum w:abstractNumId="46" w15:restartNumberingAfterBreak="0">
    <w:nsid w:val="738E6B02"/>
    <w:multiLevelType w:val="hybridMultilevel"/>
    <w:tmpl w:val="DBC82328"/>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47" w15:restartNumberingAfterBreak="0">
    <w:nsid w:val="74842C6F"/>
    <w:multiLevelType w:val="hybridMultilevel"/>
    <w:tmpl w:val="B06A414A"/>
    <w:lvl w:ilvl="0" w:tplc="080A0013">
      <w:start w:val="1"/>
      <w:numFmt w:val="upperRoman"/>
      <w:lvlText w:val="%1."/>
      <w:lvlJc w:val="right"/>
      <w:pPr>
        <w:ind w:left="1854" w:hanging="360"/>
      </w:pPr>
    </w:lvl>
    <w:lvl w:ilvl="1" w:tplc="080A0019" w:tentative="1">
      <w:start w:val="1"/>
      <w:numFmt w:val="lowerLetter"/>
      <w:lvlText w:val="%2."/>
      <w:lvlJc w:val="left"/>
      <w:pPr>
        <w:ind w:left="2574" w:hanging="360"/>
      </w:pPr>
    </w:lvl>
    <w:lvl w:ilvl="2" w:tplc="080A001B" w:tentative="1">
      <w:start w:val="1"/>
      <w:numFmt w:val="lowerRoman"/>
      <w:lvlText w:val="%3."/>
      <w:lvlJc w:val="right"/>
      <w:pPr>
        <w:ind w:left="3294" w:hanging="180"/>
      </w:pPr>
    </w:lvl>
    <w:lvl w:ilvl="3" w:tplc="080A000F" w:tentative="1">
      <w:start w:val="1"/>
      <w:numFmt w:val="decimal"/>
      <w:lvlText w:val="%4."/>
      <w:lvlJc w:val="left"/>
      <w:pPr>
        <w:ind w:left="4014" w:hanging="360"/>
      </w:pPr>
    </w:lvl>
    <w:lvl w:ilvl="4" w:tplc="080A0019" w:tentative="1">
      <w:start w:val="1"/>
      <w:numFmt w:val="lowerLetter"/>
      <w:lvlText w:val="%5."/>
      <w:lvlJc w:val="left"/>
      <w:pPr>
        <w:ind w:left="4734" w:hanging="360"/>
      </w:pPr>
    </w:lvl>
    <w:lvl w:ilvl="5" w:tplc="080A001B" w:tentative="1">
      <w:start w:val="1"/>
      <w:numFmt w:val="lowerRoman"/>
      <w:lvlText w:val="%6."/>
      <w:lvlJc w:val="right"/>
      <w:pPr>
        <w:ind w:left="5454" w:hanging="180"/>
      </w:pPr>
    </w:lvl>
    <w:lvl w:ilvl="6" w:tplc="080A000F" w:tentative="1">
      <w:start w:val="1"/>
      <w:numFmt w:val="decimal"/>
      <w:lvlText w:val="%7."/>
      <w:lvlJc w:val="left"/>
      <w:pPr>
        <w:ind w:left="6174" w:hanging="360"/>
      </w:pPr>
    </w:lvl>
    <w:lvl w:ilvl="7" w:tplc="080A0019" w:tentative="1">
      <w:start w:val="1"/>
      <w:numFmt w:val="lowerLetter"/>
      <w:lvlText w:val="%8."/>
      <w:lvlJc w:val="left"/>
      <w:pPr>
        <w:ind w:left="6894" w:hanging="360"/>
      </w:pPr>
    </w:lvl>
    <w:lvl w:ilvl="8" w:tplc="080A001B" w:tentative="1">
      <w:start w:val="1"/>
      <w:numFmt w:val="lowerRoman"/>
      <w:lvlText w:val="%9."/>
      <w:lvlJc w:val="right"/>
      <w:pPr>
        <w:ind w:left="7614" w:hanging="180"/>
      </w:pPr>
    </w:lvl>
  </w:abstractNum>
  <w:abstractNum w:abstractNumId="48" w15:restartNumberingAfterBreak="0">
    <w:nsid w:val="793F498E"/>
    <w:multiLevelType w:val="hybridMultilevel"/>
    <w:tmpl w:val="155609AC"/>
    <w:lvl w:ilvl="0" w:tplc="080A000F">
      <w:start w:val="1"/>
      <w:numFmt w:val="decimal"/>
      <w:lvlText w:val="%1."/>
      <w:lvlJc w:val="left"/>
      <w:pPr>
        <w:ind w:left="142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D1F6251"/>
    <w:multiLevelType w:val="hybridMultilevel"/>
    <w:tmpl w:val="D7206A9A"/>
    <w:lvl w:ilvl="0" w:tplc="412208D2">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23"/>
  </w:num>
  <w:num w:numId="4">
    <w:abstractNumId w:val="29"/>
  </w:num>
  <w:num w:numId="5">
    <w:abstractNumId w:val="33"/>
  </w:num>
  <w:num w:numId="6">
    <w:abstractNumId w:val="18"/>
  </w:num>
  <w:num w:numId="7">
    <w:abstractNumId w:val="49"/>
  </w:num>
  <w:num w:numId="8">
    <w:abstractNumId w:val="24"/>
  </w:num>
  <w:num w:numId="9">
    <w:abstractNumId w:val="25"/>
  </w:num>
  <w:num w:numId="10">
    <w:abstractNumId w:val="4"/>
  </w:num>
  <w:num w:numId="11">
    <w:abstractNumId w:val="9"/>
  </w:num>
  <w:num w:numId="12">
    <w:abstractNumId w:val="10"/>
  </w:num>
  <w:num w:numId="13">
    <w:abstractNumId w:val="41"/>
  </w:num>
  <w:num w:numId="14">
    <w:abstractNumId w:val="16"/>
  </w:num>
  <w:num w:numId="15">
    <w:abstractNumId w:val="26"/>
  </w:num>
  <w:num w:numId="16">
    <w:abstractNumId w:val="32"/>
  </w:num>
  <w:num w:numId="17">
    <w:abstractNumId w:val="37"/>
  </w:num>
  <w:num w:numId="18">
    <w:abstractNumId w:val="8"/>
  </w:num>
  <w:num w:numId="19">
    <w:abstractNumId w:val="39"/>
  </w:num>
  <w:num w:numId="20">
    <w:abstractNumId w:val="42"/>
  </w:num>
  <w:num w:numId="21">
    <w:abstractNumId w:val="13"/>
  </w:num>
  <w:num w:numId="22">
    <w:abstractNumId w:val="21"/>
  </w:num>
  <w:num w:numId="23">
    <w:abstractNumId w:val="15"/>
  </w:num>
  <w:num w:numId="24">
    <w:abstractNumId w:val="48"/>
  </w:num>
  <w:num w:numId="25">
    <w:abstractNumId w:val="34"/>
  </w:num>
  <w:num w:numId="26">
    <w:abstractNumId w:val="36"/>
  </w:num>
  <w:num w:numId="27">
    <w:abstractNumId w:val="7"/>
  </w:num>
  <w:num w:numId="28">
    <w:abstractNumId w:val="27"/>
  </w:num>
  <w:num w:numId="29">
    <w:abstractNumId w:val="45"/>
  </w:num>
  <w:num w:numId="30">
    <w:abstractNumId w:val="43"/>
  </w:num>
  <w:num w:numId="31">
    <w:abstractNumId w:val="5"/>
  </w:num>
  <w:num w:numId="32">
    <w:abstractNumId w:val="30"/>
  </w:num>
  <w:num w:numId="33">
    <w:abstractNumId w:val="47"/>
  </w:num>
  <w:num w:numId="34">
    <w:abstractNumId w:val="17"/>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5"/>
  </w:num>
  <w:num w:numId="37">
    <w:abstractNumId w:val="22"/>
  </w:num>
  <w:num w:numId="38">
    <w:abstractNumId w:val="38"/>
  </w:num>
  <w:num w:numId="39">
    <w:abstractNumId w:val="31"/>
  </w:num>
  <w:num w:numId="40">
    <w:abstractNumId w:val="11"/>
  </w:num>
  <w:num w:numId="41">
    <w:abstractNumId w:val="12"/>
  </w:num>
  <w:num w:numId="42">
    <w:abstractNumId w:val="46"/>
  </w:num>
  <w:num w:numId="43">
    <w:abstractNumId w:val="3"/>
  </w:num>
  <w:num w:numId="44">
    <w:abstractNumId w:val="1"/>
  </w:num>
  <w:num w:numId="45">
    <w:abstractNumId w:val="2"/>
  </w:num>
  <w:num w:numId="46">
    <w:abstractNumId w:val="20"/>
  </w:num>
  <w:num w:numId="47">
    <w:abstractNumId w:val="19"/>
  </w:num>
  <w:num w:numId="48">
    <w:abstractNumId w:val="0"/>
  </w:num>
  <w:num w:numId="49">
    <w:abstractNumId w:val="44"/>
  </w:num>
  <w:num w:numId="50">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8C4"/>
    <w:rsid w:val="000026CB"/>
    <w:rsid w:val="00006E2A"/>
    <w:rsid w:val="00010D66"/>
    <w:rsid w:val="000124BC"/>
    <w:rsid w:val="00016245"/>
    <w:rsid w:val="00017BD8"/>
    <w:rsid w:val="00025290"/>
    <w:rsid w:val="00027381"/>
    <w:rsid w:val="00031333"/>
    <w:rsid w:val="000336AF"/>
    <w:rsid w:val="00035D9B"/>
    <w:rsid w:val="00035E7E"/>
    <w:rsid w:val="00037320"/>
    <w:rsid w:val="00040FD8"/>
    <w:rsid w:val="00042328"/>
    <w:rsid w:val="00043C35"/>
    <w:rsid w:val="00046E7E"/>
    <w:rsid w:val="000538E6"/>
    <w:rsid w:val="000571B3"/>
    <w:rsid w:val="00064977"/>
    <w:rsid w:val="000655EE"/>
    <w:rsid w:val="000726B3"/>
    <w:rsid w:val="00072F3D"/>
    <w:rsid w:val="00073158"/>
    <w:rsid w:val="0007486E"/>
    <w:rsid w:val="00077AAF"/>
    <w:rsid w:val="0008377E"/>
    <w:rsid w:val="00084EFD"/>
    <w:rsid w:val="00087DF6"/>
    <w:rsid w:val="00090994"/>
    <w:rsid w:val="000A1D2F"/>
    <w:rsid w:val="000A264B"/>
    <w:rsid w:val="000A7739"/>
    <w:rsid w:val="000B47F3"/>
    <w:rsid w:val="000B6AD7"/>
    <w:rsid w:val="000C198E"/>
    <w:rsid w:val="000C36C0"/>
    <w:rsid w:val="000C3D5B"/>
    <w:rsid w:val="000D6D87"/>
    <w:rsid w:val="000E016B"/>
    <w:rsid w:val="000E2DF5"/>
    <w:rsid w:val="000E34A3"/>
    <w:rsid w:val="000E40C4"/>
    <w:rsid w:val="000E6056"/>
    <w:rsid w:val="000F1090"/>
    <w:rsid w:val="000F2744"/>
    <w:rsid w:val="000F3069"/>
    <w:rsid w:val="000F38EE"/>
    <w:rsid w:val="000F3F91"/>
    <w:rsid w:val="000F7309"/>
    <w:rsid w:val="0010128F"/>
    <w:rsid w:val="00102018"/>
    <w:rsid w:val="0010230D"/>
    <w:rsid w:val="00103099"/>
    <w:rsid w:val="0010669C"/>
    <w:rsid w:val="00113311"/>
    <w:rsid w:val="00116052"/>
    <w:rsid w:val="00116558"/>
    <w:rsid w:val="00117D8F"/>
    <w:rsid w:val="00120E40"/>
    <w:rsid w:val="001223E7"/>
    <w:rsid w:val="00123D10"/>
    <w:rsid w:val="001300D8"/>
    <w:rsid w:val="00130183"/>
    <w:rsid w:val="00131B97"/>
    <w:rsid w:val="001324A5"/>
    <w:rsid w:val="00132635"/>
    <w:rsid w:val="0013403E"/>
    <w:rsid w:val="00136AF9"/>
    <w:rsid w:val="00137098"/>
    <w:rsid w:val="0013733B"/>
    <w:rsid w:val="00142DE9"/>
    <w:rsid w:val="00144720"/>
    <w:rsid w:val="00146A2F"/>
    <w:rsid w:val="0015065F"/>
    <w:rsid w:val="001515C7"/>
    <w:rsid w:val="001527F4"/>
    <w:rsid w:val="00154235"/>
    <w:rsid w:val="001545B5"/>
    <w:rsid w:val="001556D1"/>
    <w:rsid w:val="0015714F"/>
    <w:rsid w:val="00157CD1"/>
    <w:rsid w:val="00163669"/>
    <w:rsid w:val="001653FC"/>
    <w:rsid w:val="001656DD"/>
    <w:rsid w:val="00167759"/>
    <w:rsid w:val="001727BD"/>
    <w:rsid w:val="00177240"/>
    <w:rsid w:val="00177C7B"/>
    <w:rsid w:val="00180183"/>
    <w:rsid w:val="00185BD2"/>
    <w:rsid w:val="00197707"/>
    <w:rsid w:val="001A4540"/>
    <w:rsid w:val="001B1295"/>
    <w:rsid w:val="001B1A10"/>
    <w:rsid w:val="001B1BF6"/>
    <w:rsid w:val="001B27D5"/>
    <w:rsid w:val="001C055B"/>
    <w:rsid w:val="001C2C4E"/>
    <w:rsid w:val="001D72F3"/>
    <w:rsid w:val="001D7A79"/>
    <w:rsid w:val="001D7B5F"/>
    <w:rsid w:val="001E43FD"/>
    <w:rsid w:val="001E5ECD"/>
    <w:rsid w:val="001E68C6"/>
    <w:rsid w:val="001F0211"/>
    <w:rsid w:val="001F257A"/>
    <w:rsid w:val="001F2A31"/>
    <w:rsid w:val="001F3F21"/>
    <w:rsid w:val="001F4BD0"/>
    <w:rsid w:val="001F56EE"/>
    <w:rsid w:val="002020A1"/>
    <w:rsid w:val="00202ADF"/>
    <w:rsid w:val="00203923"/>
    <w:rsid w:val="002042AA"/>
    <w:rsid w:val="002047AC"/>
    <w:rsid w:val="00206731"/>
    <w:rsid w:val="00211156"/>
    <w:rsid w:val="00212545"/>
    <w:rsid w:val="00216656"/>
    <w:rsid w:val="00217BB5"/>
    <w:rsid w:val="00217EF2"/>
    <w:rsid w:val="00220D5B"/>
    <w:rsid w:val="002231F8"/>
    <w:rsid w:val="00225E5A"/>
    <w:rsid w:val="00226920"/>
    <w:rsid w:val="00226D01"/>
    <w:rsid w:val="002270DD"/>
    <w:rsid w:val="00230FDA"/>
    <w:rsid w:val="0023277F"/>
    <w:rsid w:val="00233756"/>
    <w:rsid w:val="00240A2D"/>
    <w:rsid w:val="002410CE"/>
    <w:rsid w:val="0025007D"/>
    <w:rsid w:val="00250696"/>
    <w:rsid w:val="00252377"/>
    <w:rsid w:val="00257EF4"/>
    <w:rsid w:val="0026070F"/>
    <w:rsid w:val="0026510F"/>
    <w:rsid w:val="00266708"/>
    <w:rsid w:val="00267DA5"/>
    <w:rsid w:val="00267E5B"/>
    <w:rsid w:val="0028125F"/>
    <w:rsid w:val="002818ED"/>
    <w:rsid w:val="00282125"/>
    <w:rsid w:val="00283772"/>
    <w:rsid w:val="002840C0"/>
    <w:rsid w:val="002969BA"/>
    <w:rsid w:val="002976DB"/>
    <w:rsid w:val="002A1989"/>
    <w:rsid w:val="002A620F"/>
    <w:rsid w:val="002A64CA"/>
    <w:rsid w:val="002A6D06"/>
    <w:rsid w:val="002B5A9F"/>
    <w:rsid w:val="002B6DF6"/>
    <w:rsid w:val="002C0E23"/>
    <w:rsid w:val="002C2E4E"/>
    <w:rsid w:val="002C72AE"/>
    <w:rsid w:val="002D790F"/>
    <w:rsid w:val="002E0A4E"/>
    <w:rsid w:val="002E0CAE"/>
    <w:rsid w:val="002E463A"/>
    <w:rsid w:val="002E59EC"/>
    <w:rsid w:val="002F00EE"/>
    <w:rsid w:val="003002FF"/>
    <w:rsid w:val="0030142D"/>
    <w:rsid w:val="003045F0"/>
    <w:rsid w:val="0031250F"/>
    <w:rsid w:val="0031482E"/>
    <w:rsid w:val="00315962"/>
    <w:rsid w:val="003177A7"/>
    <w:rsid w:val="003258AD"/>
    <w:rsid w:val="0033042C"/>
    <w:rsid w:val="0033349C"/>
    <w:rsid w:val="00334132"/>
    <w:rsid w:val="00337919"/>
    <w:rsid w:val="003424A4"/>
    <w:rsid w:val="00350E0B"/>
    <w:rsid w:val="00351C82"/>
    <w:rsid w:val="0035474C"/>
    <w:rsid w:val="00355714"/>
    <w:rsid w:val="003624C0"/>
    <w:rsid w:val="00363337"/>
    <w:rsid w:val="00364609"/>
    <w:rsid w:val="003659A3"/>
    <w:rsid w:val="00366D05"/>
    <w:rsid w:val="00372B1B"/>
    <w:rsid w:val="00372F75"/>
    <w:rsid w:val="00376A0E"/>
    <w:rsid w:val="00380565"/>
    <w:rsid w:val="003878E6"/>
    <w:rsid w:val="00397C34"/>
    <w:rsid w:val="003A0202"/>
    <w:rsid w:val="003A5D68"/>
    <w:rsid w:val="003A69A3"/>
    <w:rsid w:val="003A7898"/>
    <w:rsid w:val="003B3FED"/>
    <w:rsid w:val="003B5957"/>
    <w:rsid w:val="003C0806"/>
    <w:rsid w:val="003C0AF6"/>
    <w:rsid w:val="003C1533"/>
    <w:rsid w:val="003C3FED"/>
    <w:rsid w:val="003C4D24"/>
    <w:rsid w:val="003D02B7"/>
    <w:rsid w:val="003D22C9"/>
    <w:rsid w:val="003D4630"/>
    <w:rsid w:val="003D723F"/>
    <w:rsid w:val="003D777C"/>
    <w:rsid w:val="003E184E"/>
    <w:rsid w:val="003E1CE4"/>
    <w:rsid w:val="003E3A7C"/>
    <w:rsid w:val="003E3E83"/>
    <w:rsid w:val="003E4197"/>
    <w:rsid w:val="003E4F47"/>
    <w:rsid w:val="003E5B72"/>
    <w:rsid w:val="003F062E"/>
    <w:rsid w:val="003F12A7"/>
    <w:rsid w:val="003F371B"/>
    <w:rsid w:val="004006AC"/>
    <w:rsid w:val="00404429"/>
    <w:rsid w:val="00407E40"/>
    <w:rsid w:val="00411979"/>
    <w:rsid w:val="004246C0"/>
    <w:rsid w:val="00426412"/>
    <w:rsid w:val="00427129"/>
    <w:rsid w:val="00431F8E"/>
    <w:rsid w:val="0043351E"/>
    <w:rsid w:val="004413F0"/>
    <w:rsid w:val="00443E18"/>
    <w:rsid w:val="00446628"/>
    <w:rsid w:val="004600CF"/>
    <w:rsid w:val="00460288"/>
    <w:rsid w:val="004629E7"/>
    <w:rsid w:val="00463C97"/>
    <w:rsid w:val="0047142F"/>
    <w:rsid w:val="00472463"/>
    <w:rsid w:val="004736C0"/>
    <w:rsid w:val="00475298"/>
    <w:rsid w:val="004800A0"/>
    <w:rsid w:val="00480233"/>
    <w:rsid w:val="00480BE0"/>
    <w:rsid w:val="00485272"/>
    <w:rsid w:val="00495229"/>
    <w:rsid w:val="004965FC"/>
    <w:rsid w:val="004A2E68"/>
    <w:rsid w:val="004B4DD1"/>
    <w:rsid w:val="004C3E2D"/>
    <w:rsid w:val="004C70F9"/>
    <w:rsid w:val="004D0694"/>
    <w:rsid w:val="004D2C9A"/>
    <w:rsid w:val="004E2B2F"/>
    <w:rsid w:val="004E2B8F"/>
    <w:rsid w:val="004E37A0"/>
    <w:rsid w:val="004F5DF0"/>
    <w:rsid w:val="004F6EE5"/>
    <w:rsid w:val="0050010E"/>
    <w:rsid w:val="00503156"/>
    <w:rsid w:val="00504AE0"/>
    <w:rsid w:val="00504B28"/>
    <w:rsid w:val="00505F4B"/>
    <w:rsid w:val="00511ADB"/>
    <w:rsid w:val="005155ED"/>
    <w:rsid w:val="00517022"/>
    <w:rsid w:val="0052037D"/>
    <w:rsid w:val="00522594"/>
    <w:rsid w:val="005234AE"/>
    <w:rsid w:val="00523AA1"/>
    <w:rsid w:val="00523BDD"/>
    <w:rsid w:val="00526678"/>
    <w:rsid w:val="00533B9E"/>
    <w:rsid w:val="00534B46"/>
    <w:rsid w:val="0053511D"/>
    <w:rsid w:val="0053744C"/>
    <w:rsid w:val="0054471F"/>
    <w:rsid w:val="00545F96"/>
    <w:rsid w:val="005475F3"/>
    <w:rsid w:val="00547D80"/>
    <w:rsid w:val="00552FC8"/>
    <w:rsid w:val="00564B53"/>
    <w:rsid w:val="00566190"/>
    <w:rsid w:val="00571912"/>
    <w:rsid w:val="00573797"/>
    <w:rsid w:val="00576602"/>
    <w:rsid w:val="0058178A"/>
    <w:rsid w:val="00582F0A"/>
    <w:rsid w:val="00583179"/>
    <w:rsid w:val="00592770"/>
    <w:rsid w:val="0059752F"/>
    <w:rsid w:val="00597598"/>
    <w:rsid w:val="005B4573"/>
    <w:rsid w:val="005C7441"/>
    <w:rsid w:val="005D0AE8"/>
    <w:rsid w:val="005D1245"/>
    <w:rsid w:val="005D3D3E"/>
    <w:rsid w:val="005D62D1"/>
    <w:rsid w:val="005E35EB"/>
    <w:rsid w:val="005E68AB"/>
    <w:rsid w:val="005F11A3"/>
    <w:rsid w:val="005F2E5B"/>
    <w:rsid w:val="005F4721"/>
    <w:rsid w:val="005F50EE"/>
    <w:rsid w:val="005F65C1"/>
    <w:rsid w:val="006002F6"/>
    <w:rsid w:val="00600B83"/>
    <w:rsid w:val="0060122A"/>
    <w:rsid w:val="0060272A"/>
    <w:rsid w:val="00612F87"/>
    <w:rsid w:val="00613F4D"/>
    <w:rsid w:val="00615B5E"/>
    <w:rsid w:val="00621CB8"/>
    <w:rsid w:val="006250BF"/>
    <w:rsid w:val="006262D8"/>
    <w:rsid w:val="006272E4"/>
    <w:rsid w:val="00627823"/>
    <w:rsid w:val="00631115"/>
    <w:rsid w:val="00631C3C"/>
    <w:rsid w:val="0063300E"/>
    <w:rsid w:val="00643C55"/>
    <w:rsid w:val="00646191"/>
    <w:rsid w:val="00652872"/>
    <w:rsid w:val="00654DB9"/>
    <w:rsid w:val="00656423"/>
    <w:rsid w:val="00656495"/>
    <w:rsid w:val="006568D7"/>
    <w:rsid w:val="00664695"/>
    <w:rsid w:val="00664E03"/>
    <w:rsid w:val="00665FCC"/>
    <w:rsid w:val="00667350"/>
    <w:rsid w:val="00674D40"/>
    <w:rsid w:val="006772DF"/>
    <w:rsid w:val="00680439"/>
    <w:rsid w:val="00685483"/>
    <w:rsid w:val="00687DE0"/>
    <w:rsid w:val="00692242"/>
    <w:rsid w:val="006938ED"/>
    <w:rsid w:val="006A0C3F"/>
    <w:rsid w:val="006A2E9D"/>
    <w:rsid w:val="006A5FC8"/>
    <w:rsid w:val="006B1BE3"/>
    <w:rsid w:val="006C3BD5"/>
    <w:rsid w:val="006C3F7A"/>
    <w:rsid w:val="006D04A1"/>
    <w:rsid w:val="006D0A2F"/>
    <w:rsid w:val="006D108C"/>
    <w:rsid w:val="006D3B1C"/>
    <w:rsid w:val="006D4351"/>
    <w:rsid w:val="006D4B11"/>
    <w:rsid w:val="006D5F42"/>
    <w:rsid w:val="006D6953"/>
    <w:rsid w:val="006D7F4D"/>
    <w:rsid w:val="006E4B3A"/>
    <w:rsid w:val="006E5101"/>
    <w:rsid w:val="006F66FC"/>
    <w:rsid w:val="006F70A4"/>
    <w:rsid w:val="0070456E"/>
    <w:rsid w:val="007048C8"/>
    <w:rsid w:val="00710A16"/>
    <w:rsid w:val="007144E3"/>
    <w:rsid w:val="00714BE5"/>
    <w:rsid w:val="0072093A"/>
    <w:rsid w:val="00720F5B"/>
    <w:rsid w:val="00721350"/>
    <w:rsid w:val="00721565"/>
    <w:rsid w:val="00725AE8"/>
    <w:rsid w:val="00735406"/>
    <w:rsid w:val="0074000D"/>
    <w:rsid w:val="007404B0"/>
    <w:rsid w:val="00741B77"/>
    <w:rsid w:val="00741C15"/>
    <w:rsid w:val="0074223C"/>
    <w:rsid w:val="0074480B"/>
    <w:rsid w:val="00745A63"/>
    <w:rsid w:val="00746F0C"/>
    <w:rsid w:val="00751A2B"/>
    <w:rsid w:val="00761056"/>
    <w:rsid w:val="00767258"/>
    <w:rsid w:val="00773A23"/>
    <w:rsid w:val="00776105"/>
    <w:rsid w:val="007824BC"/>
    <w:rsid w:val="00785FA6"/>
    <w:rsid w:val="007901A2"/>
    <w:rsid w:val="007902E0"/>
    <w:rsid w:val="0079131A"/>
    <w:rsid w:val="00793EC5"/>
    <w:rsid w:val="007953BC"/>
    <w:rsid w:val="00797E8E"/>
    <w:rsid w:val="007A00FF"/>
    <w:rsid w:val="007A0851"/>
    <w:rsid w:val="007A18D6"/>
    <w:rsid w:val="007A1D5F"/>
    <w:rsid w:val="007A2BFC"/>
    <w:rsid w:val="007A3DFF"/>
    <w:rsid w:val="007B1A9B"/>
    <w:rsid w:val="007B42FD"/>
    <w:rsid w:val="007B43B8"/>
    <w:rsid w:val="007C0712"/>
    <w:rsid w:val="007C161A"/>
    <w:rsid w:val="007C6199"/>
    <w:rsid w:val="007C65B4"/>
    <w:rsid w:val="007D0819"/>
    <w:rsid w:val="007D15CB"/>
    <w:rsid w:val="007D39E8"/>
    <w:rsid w:val="007E145D"/>
    <w:rsid w:val="007E16D0"/>
    <w:rsid w:val="007E5D2A"/>
    <w:rsid w:val="007E7010"/>
    <w:rsid w:val="007F11CA"/>
    <w:rsid w:val="007F44CA"/>
    <w:rsid w:val="0080586F"/>
    <w:rsid w:val="00807CD1"/>
    <w:rsid w:val="00820BA6"/>
    <w:rsid w:val="00821AFA"/>
    <w:rsid w:val="008256D8"/>
    <w:rsid w:val="00843E8B"/>
    <w:rsid w:val="008509D1"/>
    <w:rsid w:val="008516EC"/>
    <w:rsid w:val="00853B00"/>
    <w:rsid w:val="00857A08"/>
    <w:rsid w:val="00860069"/>
    <w:rsid w:val="00861372"/>
    <w:rsid w:val="008636AE"/>
    <w:rsid w:val="00864397"/>
    <w:rsid w:val="008659B3"/>
    <w:rsid w:val="00866359"/>
    <w:rsid w:val="00867FF4"/>
    <w:rsid w:val="008716A7"/>
    <w:rsid w:val="00872F9F"/>
    <w:rsid w:val="0088237E"/>
    <w:rsid w:val="00884105"/>
    <w:rsid w:val="008871B5"/>
    <w:rsid w:val="00890178"/>
    <w:rsid w:val="00893A6B"/>
    <w:rsid w:val="0089640A"/>
    <w:rsid w:val="008A172E"/>
    <w:rsid w:val="008A2984"/>
    <w:rsid w:val="008A484F"/>
    <w:rsid w:val="008A50B0"/>
    <w:rsid w:val="008B13B7"/>
    <w:rsid w:val="008B432F"/>
    <w:rsid w:val="008B4F50"/>
    <w:rsid w:val="008B5AC0"/>
    <w:rsid w:val="008B6E0E"/>
    <w:rsid w:val="008D329D"/>
    <w:rsid w:val="008D69FD"/>
    <w:rsid w:val="008D6B24"/>
    <w:rsid w:val="008E3926"/>
    <w:rsid w:val="008E4105"/>
    <w:rsid w:val="008E7E4C"/>
    <w:rsid w:val="008F0B57"/>
    <w:rsid w:val="008F189E"/>
    <w:rsid w:val="008F277C"/>
    <w:rsid w:val="008F48A9"/>
    <w:rsid w:val="008F56B8"/>
    <w:rsid w:val="00904021"/>
    <w:rsid w:val="0090625B"/>
    <w:rsid w:val="00910225"/>
    <w:rsid w:val="00911049"/>
    <w:rsid w:val="009126CA"/>
    <w:rsid w:val="009132DC"/>
    <w:rsid w:val="00917490"/>
    <w:rsid w:val="00921825"/>
    <w:rsid w:val="00922E1A"/>
    <w:rsid w:val="00927A9E"/>
    <w:rsid w:val="0093057A"/>
    <w:rsid w:val="00932B52"/>
    <w:rsid w:val="00933F44"/>
    <w:rsid w:val="0094274E"/>
    <w:rsid w:val="00947841"/>
    <w:rsid w:val="00947B46"/>
    <w:rsid w:val="009519C2"/>
    <w:rsid w:val="00961BEA"/>
    <w:rsid w:val="00962316"/>
    <w:rsid w:val="00972359"/>
    <w:rsid w:val="00980E19"/>
    <w:rsid w:val="00984130"/>
    <w:rsid w:val="00984ED1"/>
    <w:rsid w:val="00993A23"/>
    <w:rsid w:val="00995AA0"/>
    <w:rsid w:val="00997453"/>
    <w:rsid w:val="00997D9B"/>
    <w:rsid w:val="009A07B7"/>
    <w:rsid w:val="009A23FF"/>
    <w:rsid w:val="009A266D"/>
    <w:rsid w:val="009A4001"/>
    <w:rsid w:val="009A44D7"/>
    <w:rsid w:val="009A6A1A"/>
    <w:rsid w:val="009B1A81"/>
    <w:rsid w:val="009B43FB"/>
    <w:rsid w:val="009B4AFE"/>
    <w:rsid w:val="009B7559"/>
    <w:rsid w:val="009C41D1"/>
    <w:rsid w:val="009D18E4"/>
    <w:rsid w:val="009D5507"/>
    <w:rsid w:val="009D5E48"/>
    <w:rsid w:val="009E0446"/>
    <w:rsid w:val="009E09E8"/>
    <w:rsid w:val="009E0BA7"/>
    <w:rsid w:val="009E11EC"/>
    <w:rsid w:val="009E2B97"/>
    <w:rsid w:val="009F46E5"/>
    <w:rsid w:val="009F49AF"/>
    <w:rsid w:val="009F6B4D"/>
    <w:rsid w:val="00A0577F"/>
    <w:rsid w:val="00A0642B"/>
    <w:rsid w:val="00A1443B"/>
    <w:rsid w:val="00A16DFB"/>
    <w:rsid w:val="00A234B9"/>
    <w:rsid w:val="00A30399"/>
    <w:rsid w:val="00A351D3"/>
    <w:rsid w:val="00A42363"/>
    <w:rsid w:val="00A428ED"/>
    <w:rsid w:val="00A46234"/>
    <w:rsid w:val="00A512AC"/>
    <w:rsid w:val="00A55918"/>
    <w:rsid w:val="00A56E15"/>
    <w:rsid w:val="00A609C8"/>
    <w:rsid w:val="00A61074"/>
    <w:rsid w:val="00A658DC"/>
    <w:rsid w:val="00A67ACC"/>
    <w:rsid w:val="00A72695"/>
    <w:rsid w:val="00A80D96"/>
    <w:rsid w:val="00A81098"/>
    <w:rsid w:val="00A81866"/>
    <w:rsid w:val="00A91AC3"/>
    <w:rsid w:val="00AA2412"/>
    <w:rsid w:val="00AB18DC"/>
    <w:rsid w:val="00AB3CED"/>
    <w:rsid w:val="00AB4516"/>
    <w:rsid w:val="00AC0390"/>
    <w:rsid w:val="00AC129A"/>
    <w:rsid w:val="00AC335F"/>
    <w:rsid w:val="00AC48FA"/>
    <w:rsid w:val="00AD0240"/>
    <w:rsid w:val="00AD25A6"/>
    <w:rsid w:val="00AD3385"/>
    <w:rsid w:val="00AD647E"/>
    <w:rsid w:val="00AE0D52"/>
    <w:rsid w:val="00AE24B6"/>
    <w:rsid w:val="00AE452E"/>
    <w:rsid w:val="00AE6680"/>
    <w:rsid w:val="00AE6EA3"/>
    <w:rsid w:val="00AE6EED"/>
    <w:rsid w:val="00AE7345"/>
    <w:rsid w:val="00AE7B3C"/>
    <w:rsid w:val="00AF1783"/>
    <w:rsid w:val="00AF1E38"/>
    <w:rsid w:val="00AF29F8"/>
    <w:rsid w:val="00AF5841"/>
    <w:rsid w:val="00B0679B"/>
    <w:rsid w:val="00B13CA3"/>
    <w:rsid w:val="00B224C2"/>
    <w:rsid w:val="00B238D1"/>
    <w:rsid w:val="00B2726D"/>
    <w:rsid w:val="00B332B8"/>
    <w:rsid w:val="00B35C7D"/>
    <w:rsid w:val="00B367EE"/>
    <w:rsid w:val="00B4223C"/>
    <w:rsid w:val="00B43012"/>
    <w:rsid w:val="00B444DD"/>
    <w:rsid w:val="00B6163E"/>
    <w:rsid w:val="00B61E78"/>
    <w:rsid w:val="00B63221"/>
    <w:rsid w:val="00B66AEF"/>
    <w:rsid w:val="00B66CD3"/>
    <w:rsid w:val="00B705C8"/>
    <w:rsid w:val="00B7234C"/>
    <w:rsid w:val="00B72B31"/>
    <w:rsid w:val="00B734D7"/>
    <w:rsid w:val="00B74607"/>
    <w:rsid w:val="00B76AF1"/>
    <w:rsid w:val="00B80C24"/>
    <w:rsid w:val="00B80D26"/>
    <w:rsid w:val="00B83671"/>
    <w:rsid w:val="00B853A9"/>
    <w:rsid w:val="00B86114"/>
    <w:rsid w:val="00B87D15"/>
    <w:rsid w:val="00B9342C"/>
    <w:rsid w:val="00B934BF"/>
    <w:rsid w:val="00B945DB"/>
    <w:rsid w:val="00BA12A5"/>
    <w:rsid w:val="00BA7927"/>
    <w:rsid w:val="00BA7B7E"/>
    <w:rsid w:val="00BB4439"/>
    <w:rsid w:val="00BB51BC"/>
    <w:rsid w:val="00BB58C4"/>
    <w:rsid w:val="00BB76BC"/>
    <w:rsid w:val="00BC051E"/>
    <w:rsid w:val="00BC2D4D"/>
    <w:rsid w:val="00BD1FDC"/>
    <w:rsid w:val="00BD2839"/>
    <w:rsid w:val="00BD2B59"/>
    <w:rsid w:val="00BE3561"/>
    <w:rsid w:val="00BE57D5"/>
    <w:rsid w:val="00BF0403"/>
    <w:rsid w:val="00BF0F17"/>
    <w:rsid w:val="00BF1BCF"/>
    <w:rsid w:val="00BF2E83"/>
    <w:rsid w:val="00BF4212"/>
    <w:rsid w:val="00BF5D40"/>
    <w:rsid w:val="00BF76BC"/>
    <w:rsid w:val="00C133CA"/>
    <w:rsid w:val="00C1710E"/>
    <w:rsid w:val="00C22141"/>
    <w:rsid w:val="00C22D53"/>
    <w:rsid w:val="00C22E74"/>
    <w:rsid w:val="00C240B8"/>
    <w:rsid w:val="00C27A47"/>
    <w:rsid w:val="00C30B2F"/>
    <w:rsid w:val="00C31133"/>
    <w:rsid w:val="00C338D0"/>
    <w:rsid w:val="00C37D11"/>
    <w:rsid w:val="00C43FD1"/>
    <w:rsid w:val="00C56811"/>
    <w:rsid w:val="00C6078B"/>
    <w:rsid w:val="00C60C6C"/>
    <w:rsid w:val="00C61723"/>
    <w:rsid w:val="00C62CA9"/>
    <w:rsid w:val="00C66906"/>
    <w:rsid w:val="00C70877"/>
    <w:rsid w:val="00C741DB"/>
    <w:rsid w:val="00C74D95"/>
    <w:rsid w:val="00C8255A"/>
    <w:rsid w:val="00C862C0"/>
    <w:rsid w:val="00C913A0"/>
    <w:rsid w:val="00C92ADE"/>
    <w:rsid w:val="00C94280"/>
    <w:rsid w:val="00C94B34"/>
    <w:rsid w:val="00C95AB7"/>
    <w:rsid w:val="00C95B29"/>
    <w:rsid w:val="00CA4586"/>
    <w:rsid w:val="00CA6AD2"/>
    <w:rsid w:val="00CB0B39"/>
    <w:rsid w:val="00CB23D1"/>
    <w:rsid w:val="00CB37E1"/>
    <w:rsid w:val="00CB7D8F"/>
    <w:rsid w:val="00CC2C65"/>
    <w:rsid w:val="00CC56CD"/>
    <w:rsid w:val="00CC74BD"/>
    <w:rsid w:val="00CD1307"/>
    <w:rsid w:val="00CF14E2"/>
    <w:rsid w:val="00CF15B8"/>
    <w:rsid w:val="00CF1ACC"/>
    <w:rsid w:val="00D10700"/>
    <w:rsid w:val="00D12106"/>
    <w:rsid w:val="00D12B58"/>
    <w:rsid w:val="00D13CEC"/>
    <w:rsid w:val="00D23541"/>
    <w:rsid w:val="00D23888"/>
    <w:rsid w:val="00D3256E"/>
    <w:rsid w:val="00D32BD5"/>
    <w:rsid w:val="00D3311D"/>
    <w:rsid w:val="00D35379"/>
    <w:rsid w:val="00D370D5"/>
    <w:rsid w:val="00D400A4"/>
    <w:rsid w:val="00D42945"/>
    <w:rsid w:val="00D439D9"/>
    <w:rsid w:val="00D45EEA"/>
    <w:rsid w:val="00D474F1"/>
    <w:rsid w:val="00D506DD"/>
    <w:rsid w:val="00D52309"/>
    <w:rsid w:val="00D55C75"/>
    <w:rsid w:val="00D64C7E"/>
    <w:rsid w:val="00D64FCC"/>
    <w:rsid w:val="00D65CEF"/>
    <w:rsid w:val="00D67A32"/>
    <w:rsid w:val="00D7055B"/>
    <w:rsid w:val="00D73737"/>
    <w:rsid w:val="00D746C9"/>
    <w:rsid w:val="00D75D83"/>
    <w:rsid w:val="00D77857"/>
    <w:rsid w:val="00D80679"/>
    <w:rsid w:val="00D82007"/>
    <w:rsid w:val="00D830B0"/>
    <w:rsid w:val="00D8333F"/>
    <w:rsid w:val="00D87E97"/>
    <w:rsid w:val="00D90381"/>
    <w:rsid w:val="00D92734"/>
    <w:rsid w:val="00D935FA"/>
    <w:rsid w:val="00D979D7"/>
    <w:rsid w:val="00DB0379"/>
    <w:rsid w:val="00DB19BB"/>
    <w:rsid w:val="00DB3740"/>
    <w:rsid w:val="00DB5F8E"/>
    <w:rsid w:val="00DC0D44"/>
    <w:rsid w:val="00DC1C0A"/>
    <w:rsid w:val="00DC4860"/>
    <w:rsid w:val="00DC5C10"/>
    <w:rsid w:val="00DD226C"/>
    <w:rsid w:val="00DD2BA2"/>
    <w:rsid w:val="00DE370C"/>
    <w:rsid w:val="00DE4F67"/>
    <w:rsid w:val="00DE7713"/>
    <w:rsid w:val="00DF2CC8"/>
    <w:rsid w:val="00DF4D4A"/>
    <w:rsid w:val="00DF5287"/>
    <w:rsid w:val="00DF53A5"/>
    <w:rsid w:val="00E014D4"/>
    <w:rsid w:val="00E067B5"/>
    <w:rsid w:val="00E118F1"/>
    <w:rsid w:val="00E11E76"/>
    <w:rsid w:val="00E134F5"/>
    <w:rsid w:val="00E15983"/>
    <w:rsid w:val="00E15CA7"/>
    <w:rsid w:val="00E2201B"/>
    <w:rsid w:val="00E25AE4"/>
    <w:rsid w:val="00E264AC"/>
    <w:rsid w:val="00E30026"/>
    <w:rsid w:val="00E31C4D"/>
    <w:rsid w:val="00E320CD"/>
    <w:rsid w:val="00E32947"/>
    <w:rsid w:val="00E33DFE"/>
    <w:rsid w:val="00E342A6"/>
    <w:rsid w:val="00E361CE"/>
    <w:rsid w:val="00E362CD"/>
    <w:rsid w:val="00E4294E"/>
    <w:rsid w:val="00E44932"/>
    <w:rsid w:val="00E4739F"/>
    <w:rsid w:val="00E515A3"/>
    <w:rsid w:val="00E54AE5"/>
    <w:rsid w:val="00E61CD8"/>
    <w:rsid w:val="00E630FC"/>
    <w:rsid w:val="00E63B14"/>
    <w:rsid w:val="00E66ABC"/>
    <w:rsid w:val="00E70C64"/>
    <w:rsid w:val="00E73683"/>
    <w:rsid w:val="00E7509F"/>
    <w:rsid w:val="00E835DD"/>
    <w:rsid w:val="00E843F2"/>
    <w:rsid w:val="00E86952"/>
    <w:rsid w:val="00E87B4C"/>
    <w:rsid w:val="00E91E7D"/>
    <w:rsid w:val="00E92722"/>
    <w:rsid w:val="00E92C9A"/>
    <w:rsid w:val="00E97FC1"/>
    <w:rsid w:val="00EA65AE"/>
    <w:rsid w:val="00EA6A97"/>
    <w:rsid w:val="00EA6BAA"/>
    <w:rsid w:val="00EB3DFA"/>
    <w:rsid w:val="00EC39F4"/>
    <w:rsid w:val="00EC3EC5"/>
    <w:rsid w:val="00ED2CEE"/>
    <w:rsid w:val="00ED3CC4"/>
    <w:rsid w:val="00ED4552"/>
    <w:rsid w:val="00ED6B74"/>
    <w:rsid w:val="00EE1ED0"/>
    <w:rsid w:val="00EE5AAB"/>
    <w:rsid w:val="00EE5ADF"/>
    <w:rsid w:val="00EE70D5"/>
    <w:rsid w:val="00EE7AF6"/>
    <w:rsid w:val="00EF0332"/>
    <w:rsid w:val="00EF0945"/>
    <w:rsid w:val="00EF12FF"/>
    <w:rsid w:val="00EF24FB"/>
    <w:rsid w:val="00EF5104"/>
    <w:rsid w:val="00EF685D"/>
    <w:rsid w:val="00F06187"/>
    <w:rsid w:val="00F062BD"/>
    <w:rsid w:val="00F07E4A"/>
    <w:rsid w:val="00F10AD6"/>
    <w:rsid w:val="00F117E0"/>
    <w:rsid w:val="00F13448"/>
    <w:rsid w:val="00F14F93"/>
    <w:rsid w:val="00F24D61"/>
    <w:rsid w:val="00F25088"/>
    <w:rsid w:val="00F25EED"/>
    <w:rsid w:val="00F3006C"/>
    <w:rsid w:val="00F3096A"/>
    <w:rsid w:val="00F44775"/>
    <w:rsid w:val="00F45B92"/>
    <w:rsid w:val="00F460D8"/>
    <w:rsid w:val="00F466F2"/>
    <w:rsid w:val="00F47B79"/>
    <w:rsid w:val="00F47FC3"/>
    <w:rsid w:val="00F61D24"/>
    <w:rsid w:val="00F725B7"/>
    <w:rsid w:val="00F75BF0"/>
    <w:rsid w:val="00F77BEB"/>
    <w:rsid w:val="00F80F75"/>
    <w:rsid w:val="00F821B0"/>
    <w:rsid w:val="00F84FA8"/>
    <w:rsid w:val="00F9430F"/>
    <w:rsid w:val="00F9451E"/>
    <w:rsid w:val="00F94925"/>
    <w:rsid w:val="00F9615F"/>
    <w:rsid w:val="00FA34E5"/>
    <w:rsid w:val="00FA3B9E"/>
    <w:rsid w:val="00FA3D21"/>
    <w:rsid w:val="00FA5019"/>
    <w:rsid w:val="00FA63F8"/>
    <w:rsid w:val="00FA783E"/>
    <w:rsid w:val="00FA7E83"/>
    <w:rsid w:val="00FB22A7"/>
    <w:rsid w:val="00FB2909"/>
    <w:rsid w:val="00FB2913"/>
    <w:rsid w:val="00FB6615"/>
    <w:rsid w:val="00FC546B"/>
    <w:rsid w:val="00FC7411"/>
    <w:rsid w:val="00FD3669"/>
    <w:rsid w:val="00FD4776"/>
    <w:rsid w:val="00FD5162"/>
    <w:rsid w:val="00FD67CD"/>
    <w:rsid w:val="00FE2A7F"/>
    <w:rsid w:val="00FE33F8"/>
    <w:rsid w:val="00FE39F3"/>
    <w:rsid w:val="00FE3C7E"/>
    <w:rsid w:val="00FE63C3"/>
    <w:rsid w:val="00FE78E9"/>
    <w:rsid w:val="00FF12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0563C"/>
  <w15:docId w15:val="{2D9AB3DE-A645-4E6E-8AE6-0710331B9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57A"/>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B58C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B58C4"/>
  </w:style>
  <w:style w:type="paragraph" w:styleId="Piedepgina">
    <w:name w:val="footer"/>
    <w:basedOn w:val="Normal"/>
    <w:link w:val="PiedepginaCar"/>
    <w:uiPriority w:val="99"/>
    <w:unhideWhenUsed/>
    <w:rsid w:val="00BB58C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B58C4"/>
  </w:style>
  <w:style w:type="table" w:styleId="Tablaconcuadrcula">
    <w:name w:val="Table Grid"/>
    <w:basedOn w:val="Tablanormal"/>
    <w:uiPriority w:val="59"/>
    <w:rsid w:val="0093057A"/>
    <w:pPr>
      <w:spacing w:after="0" w:line="240" w:lineRule="auto"/>
    </w:pPr>
    <w:rPr>
      <w:rFonts w:eastAsia="Times New Roman"/>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aliases w:val="callout,Footnote anchor,Ref,de nota al pie,ftref,BVI fnr,16 Point,Superscript 6 Point,(Diplomarbeit FZ),Footnote Reference,Texto de nota al pie,Footnotes refss,Appel note de bas de page,Footnote number,referencia nota al pie,f,4_G,R"/>
    <w:basedOn w:val="Fuentedeprrafopredeter"/>
    <w:link w:val="4GChar"/>
    <w:uiPriority w:val="99"/>
    <w:unhideWhenUsed/>
    <w:qFormat/>
    <w:rsid w:val="0093057A"/>
    <w:rPr>
      <w:vertAlign w:val="superscript"/>
    </w:rPr>
  </w:style>
  <w:style w:type="paragraph" w:styleId="Textonotapie">
    <w:name w:val="footnote text"/>
    <w:aliases w:val="Footnote Text Char Char Char Char Char,Footnote Text Char Char Char Char,Ref. de nota al pie1,FA Fu,Footnote Text Char Char Char,Footnote Text Cha,FA Fußnotentext,FA Fu?notentext,Footnote Text Char Char,FA Fuﬂnotentext,Ca,FA Fu?notente"/>
    <w:basedOn w:val="Normal"/>
    <w:link w:val="TextonotapieCar"/>
    <w:uiPriority w:val="99"/>
    <w:unhideWhenUsed/>
    <w:qFormat/>
    <w:rsid w:val="0093057A"/>
    <w:pPr>
      <w:spacing w:after="0" w:line="240" w:lineRule="auto"/>
      <w:jc w:val="both"/>
    </w:pPr>
    <w:rPr>
      <w:rFonts w:eastAsia="Times New Roman" w:cs="Times New Roman"/>
      <w:sz w:val="20"/>
      <w:szCs w:val="20"/>
      <w:lang w:eastAsia="es-ES"/>
    </w:rPr>
  </w:style>
  <w:style w:type="character" w:customStyle="1" w:styleId="TextonotapieCar">
    <w:name w:val="Texto nota pie Car"/>
    <w:aliases w:val="Footnote Text Char Char Char Char Char Car,Footnote Text Char Char Char Char Car,Ref. de nota al pie1 Car,FA Fu Car,Footnote Text Char Char Char Car,Footnote Text Cha Car,FA Fußnotentext Car,FA Fu?notentext Car,FA Fuﬂnotentext Car"/>
    <w:basedOn w:val="Fuentedeprrafopredeter"/>
    <w:link w:val="Textonotapie"/>
    <w:uiPriority w:val="99"/>
    <w:rsid w:val="0093057A"/>
    <w:rPr>
      <w:rFonts w:eastAsia="Times New Roman" w:cs="Times New Roman"/>
      <w:sz w:val="20"/>
      <w:szCs w:val="20"/>
      <w:lang w:val="es-MX"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3057A"/>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3057A"/>
    <w:rPr>
      <w:lang w:val="es-MX"/>
    </w:rPr>
  </w:style>
  <w:style w:type="character" w:styleId="Hipervnculo">
    <w:name w:val="Hyperlink"/>
    <w:basedOn w:val="Fuentedeprrafopredeter"/>
    <w:uiPriority w:val="99"/>
    <w:unhideWhenUsed/>
    <w:rsid w:val="000124BC"/>
    <w:rPr>
      <w:color w:val="0563C1" w:themeColor="hyperlink"/>
      <w:u w:val="single"/>
    </w:rPr>
  </w:style>
  <w:style w:type="paragraph" w:customStyle="1" w:styleId="xmsonormal">
    <w:name w:val="xmsonormal"/>
    <w:basedOn w:val="Normal"/>
    <w:rsid w:val="00D400A4"/>
    <w:pPr>
      <w:spacing w:before="100" w:beforeAutospacing="1" w:after="100" w:afterAutospacing="1" w:line="240" w:lineRule="auto"/>
    </w:pPr>
    <w:rPr>
      <w:rFonts w:ascii="Times New Roman" w:hAnsi="Times New Roman" w:cs="Times New Roman"/>
      <w:sz w:val="24"/>
      <w:szCs w:val="24"/>
      <w:lang w:eastAsia="es-MX"/>
    </w:rPr>
  </w:style>
  <w:style w:type="paragraph" w:styleId="Textoindependiente">
    <w:name w:val="Body Text"/>
    <w:basedOn w:val="Normal"/>
    <w:link w:val="TextoindependienteCar"/>
    <w:uiPriority w:val="99"/>
    <w:semiHidden/>
    <w:unhideWhenUsed/>
    <w:rsid w:val="00AC129A"/>
    <w:pPr>
      <w:spacing w:after="120"/>
    </w:pPr>
  </w:style>
  <w:style w:type="character" w:customStyle="1" w:styleId="TextoindependienteCar">
    <w:name w:val="Texto independiente Car"/>
    <w:basedOn w:val="Fuentedeprrafopredeter"/>
    <w:link w:val="Textoindependiente"/>
    <w:uiPriority w:val="99"/>
    <w:semiHidden/>
    <w:rsid w:val="00AC129A"/>
    <w:rPr>
      <w:lang w:val="es-MX"/>
    </w:rPr>
  </w:style>
  <w:style w:type="paragraph" w:styleId="Textoindependienteprimerasangra">
    <w:name w:val="Body Text First Indent"/>
    <w:basedOn w:val="Textoindependiente"/>
    <w:link w:val="TextoindependienteprimerasangraCar"/>
    <w:rsid w:val="00AC129A"/>
    <w:pPr>
      <w:spacing w:line="360" w:lineRule="auto"/>
      <w:ind w:firstLine="210"/>
      <w:jc w:val="both"/>
    </w:pPr>
    <w:rPr>
      <w:rFonts w:eastAsia="Times New Roman" w:cs="Times New Roman"/>
      <w:sz w:val="26"/>
      <w:szCs w:val="24"/>
      <w:lang w:eastAsia="es-ES"/>
    </w:rPr>
  </w:style>
  <w:style w:type="character" w:customStyle="1" w:styleId="TextoindependienteprimerasangraCar">
    <w:name w:val="Texto independiente primera sangría Car"/>
    <w:basedOn w:val="TextoindependienteCar"/>
    <w:link w:val="Textoindependienteprimerasangra"/>
    <w:rsid w:val="00AC129A"/>
    <w:rPr>
      <w:rFonts w:eastAsia="Times New Roman" w:cs="Times New Roman"/>
      <w:sz w:val="26"/>
      <w:szCs w:val="24"/>
      <w:lang w:val="es-MX" w:eastAsia="es-ES"/>
    </w:rPr>
  </w:style>
  <w:style w:type="paragraph" w:styleId="Textodeglobo">
    <w:name w:val="Balloon Text"/>
    <w:basedOn w:val="Normal"/>
    <w:link w:val="TextodegloboCar"/>
    <w:uiPriority w:val="99"/>
    <w:semiHidden/>
    <w:unhideWhenUsed/>
    <w:rsid w:val="007F44C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F44CA"/>
    <w:rPr>
      <w:rFonts w:ascii="Segoe UI" w:hAnsi="Segoe UI" w:cs="Segoe UI"/>
      <w:sz w:val="18"/>
      <w:szCs w:val="18"/>
      <w:lang w:val="es-MX"/>
    </w:rPr>
  </w:style>
  <w:style w:type="paragraph" w:styleId="NormalWeb">
    <w:name w:val="Normal (Web)"/>
    <w:basedOn w:val="Normal"/>
    <w:uiPriority w:val="99"/>
    <w:unhideWhenUsed/>
    <w:rsid w:val="00F9451E"/>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corte4fondo">
    <w:name w:val="corte4 fondo"/>
    <w:basedOn w:val="Normal"/>
    <w:link w:val="corte4fondoCar1"/>
    <w:qFormat/>
    <w:rsid w:val="00566190"/>
    <w:pPr>
      <w:spacing w:after="0" w:line="360" w:lineRule="auto"/>
      <w:ind w:firstLine="709"/>
      <w:jc w:val="both"/>
    </w:pPr>
    <w:rPr>
      <w:rFonts w:ascii="Arial" w:eastAsia="Times New Roman" w:hAnsi="Arial" w:cs="Times New Roman"/>
      <w:sz w:val="30"/>
      <w:szCs w:val="20"/>
      <w:lang w:val="x-none" w:eastAsia="es-MX"/>
    </w:rPr>
  </w:style>
  <w:style w:type="character" w:customStyle="1" w:styleId="corte4fondoCar1">
    <w:name w:val="corte4 fondo Car1"/>
    <w:link w:val="corte4fondo"/>
    <w:rsid w:val="00566190"/>
    <w:rPr>
      <w:rFonts w:ascii="Arial" w:eastAsia="Times New Roman" w:hAnsi="Arial" w:cs="Times New Roman"/>
      <w:sz w:val="30"/>
      <w:szCs w:val="20"/>
      <w:lang w:val="x-none" w:eastAsia="es-MX"/>
    </w:rPr>
  </w:style>
  <w:style w:type="paragraph" w:customStyle="1" w:styleId="Estilo">
    <w:name w:val="Estilo"/>
    <w:basedOn w:val="Sinespaciado"/>
    <w:link w:val="EstiloCar"/>
    <w:qFormat/>
    <w:rsid w:val="007E7010"/>
    <w:pPr>
      <w:jc w:val="both"/>
    </w:pPr>
    <w:rPr>
      <w:rFonts w:ascii="Arial" w:hAnsi="Arial"/>
      <w:sz w:val="24"/>
    </w:rPr>
  </w:style>
  <w:style w:type="character" w:customStyle="1" w:styleId="EstiloCar">
    <w:name w:val="Estilo Car"/>
    <w:basedOn w:val="Fuentedeprrafopredeter"/>
    <w:link w:val="Estilo"/>
    <w:rsid w:val="007E7010"/>
    <w:rPr>
      <w:rFonts w:ascii="Arial" w:hAnsi="Arial"/>
      <w:sz w:val="24"/>
      <w:lang w:val="es-MX"/>
    </w:rPr>
  </w:style>
  <w:style w:type="paragraph" w:styleId="Sinespaciado">
    <w:name w:val="No Spacing"/>
    <w:uiPriority w:val="1"/>
    <w:qFormat/>
    <w:rsid w:val="007E7010"/>
    <w:pPr>
      <w:spacing w:after="0" w:line="240" w:lineRule="auto"/>
    </w:pPr>
    <w:rPr>
      <w:lang w:val="es-MX"/>
    </w:rPr>
  </w:style>
  <w:style w:type="character" w:customStyle="1" w:styleId="text-justify">
    <w:name w:val="text-justify"/>
    <w:basedOn w:val="Fuentedeprrafopredeter"/>
    <w:rsid w:val="00E134F5"/>
  </w:style>
  <w:style w:type="character" w:customStyle="1" w:styleId="ng-star-inserted">
    <w:name w:val="ng-star-inserted"/>
    <w:basedOn w:val="Fuentedeprrafopredeter"/>
    <w:rsid w:val="00F10AD6"/>
  </w:style>
  <w:style w:type="table" w:styleId="Tabladecuadrcula1clara">
    <w:name w:val="Grid Table 1 Light"/>
    <w:basedOn w:val="Tablanormal"/>
    <w:uiPriority w:val="46"/>
    <w:rsid w:val="006938E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adecuadrcula4-nfasis5">
    <w:name w:val="Grid Table 4 Accent 5"/>
    <w:basedOn w:val="Tablanormal"/>
    <w:uiPriority w:val="49"/>
    <w:rsid w:val="006938ED"/>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Refdecomentario">
    <w:name w:val="annotation reference"/>
    <w:basedOn w:val="Fuentedeprrafopredeter"/>
    <w:uiPriority w:val="99"/>
    <w:semiHidden/>
    <w:unhideWhenUsed/>
    <w:rsid w:val="001515C7"/>
    <w:rPr>
      <w:sz w:val="16"/>
      <w:szCs w:val="16"/>
    </w:rPr>
  </w:style>
  <w:style w:type="paragraph" w:styleId="Textocomentario">
    <w:name w:val="annotation text"/>
    <w:basedOn w:val="Normal"/>
    <w:link w:val="TextocomentarioCar"/>
    <w:uiPriority w:val="99"/>
    <w:semiHidden/>
    <w:unhideWhenUsed/>
    <w:rsid w:val="001515C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515C7"/>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1515C7"/>
    <w:rPr>
      <w:b/>
      <w:bCs/>
    </w:rPr>
  </w:style>
  <w:style w:type="character" w:customStyle="1" w:styleId="AsuntodelcomentarioCar">
    <w:name w:val="Asunto del comentario Car"/>
    <w:basedOn w:val="TextocomentarioCar"/>
    <w:link w:val="Asuntodelcomentario"/>
    <w:uiPriority w:val="99"/>
    <w:semiHidden/>
    <w:rsid w:val="001515C7"/>
    <w:rPr>
      <w:b/>
      <w:bCs/>
      <w:sz w:val="20"/>
      <w:szCs w:val="20"/>
      <w:lang w:val="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FA5019"/>
    <w:pPr>
      <w:spacing w:after="0" w:line="240" w:lineRule="auto"/>
      <w:jc w:val="both"/>
    </w:pPr>
    <w:rPr>
      <w:vertAlign w:val="superscript"/>
      <w:lang w:val="es-ES"/>
    </w:rPr>
  </w:style>
  <w:style w:type="table" w:styleId="Tabladecuadrcula4-nfasis3">
    <w:name w:val="Grid Table 4 Accent 3"/>
    <w:basedOn w:val="Tablanormal"/>
    <w:uiPriority w:val="49"/>
    <w:rsid w:val="004246C0"/>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exto">
    <w:name w:val="Texto"/>
    <w:basedOn w:val="Normal"/>
    <w:link w:val="TextoCar"/>
    <w:qFormat/>
    <w:rsid w:val="007B43B8"/>
    <w:pPr>
      <w:spacing w:after="101" w:line="216" w:lineRule="exact"/>
      <w:ind w:firstLine="288"/>
      <w:jc w:val="both"/>
    </w:pPr>
    <w:rPr>
      <w:rFonts w:ascii="Arial" w:eastAsia="Times New Roman" w:hAnsi="Arial" w:cs="Arial"/>
      <w:sz w:val="18"/>
      <w:szCs w:val="20"/>
      <w:lang w:val="es-ES"/>
    </w:rPr>
  </w:style>
  <w:style w:type="character" w:customStyle="1" w:styleId="TextoCar">
    <w:name w:val="Texto Car"/>
    <w:link w:val="Texto"/>
    <w:locked/>
    <w:rsid w:val="007B43B8"/>
    <w:rPr>
      <w:rFonts w:ascii="Arial" w:eastAsia="Times New Roman" w:hAnsi="Arial" w:cs="Arial"/>
      <w:sz w:val="18"/>
      <w:szCs w:val="20"/>
    </w:rPr>
  </w:style>
  <w:style w:type="character" w:styleId="Textoennegrita">
    <w:name w:val="Strong"/>
    <w:basedOn w:val="Fuentedeprrafopredeter"/>
    <w:uiPriority w:val="22"/>
    <w:qFormat/>
    <w:rsid w:val="007B43B8"/>
    <w:rPr>
      <w:b/>
      <w:bCs/>
    </w:rPr>
  </w:style>
  <w:style w:type="paragraph" w:customStyle="1" w:styleId="Default">
    <w:name w:val="Default"/>
    <w:rsid w:val="00142DE9"/>
    <w:pPr>
      <w:autoSpaceDE w:val="0"/>
      <w:autoSpaceDN w:val="0"/>
      <w:adjustRightInd w:val="0"/>
      <w:spacing w:after="0" w:line="240" w:lineRule="auto"/>
    </w:pPr>
    <w:rPr>
      <w:rFonts w:ascii="Arial" w:hAnsi="Arial" w:cs="Arial"/>
      <w:color w:val="000000"/>
      <w:sz w:val="24"/>
      <w:szCs w:val="24"/>
      <w:lang w:val="es-MX"/>
    </w:rPr>
  </w:style>
  <w:style w:type="table" w:styleId="Tablanormal4">
    <w:name w:val="Plain Table 4"/>
    <w:basedOn w:val="Tablanormal"/>
    <w:uiPriority w:val="44"/>
    <w:rsid w:val="0031596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30463">
      <w:bodyDiv w:val="1"/>
      <w:marLeft w:val="0"/>
      <w:marRight w:val="0"/>
      <w:marTop w:val="0"/>
      <w:marBottom w:val="0"/>
      <w:divBdr>
        <w:top w:val="none" w:sz="0" w:space="0" w:color="auto"/>
        <w:left w:val="none" w:sz="0" w:space="0" w:color="auto"/>
        <w:bottom w:val="none" w:sz="0" w:space="0" w:color="auto"/>
        <w:right w:val="none" w:sz="0" w:space="0" w:color="auto"/>
      </w:divBdr>
    </w:div>
    <w:div w:id="254635781">
      <w:bodyDiv w:val="1"/>
      <w:marLeft w:val="0"/>
      <w:marRight w:val="0"/>
      <w:marTop w:val="0"/>
      <w:marBottom w:val="0"/>
      <w:divBdr>
        <w:top w:val="none" w:sz="0" w:space="0" w:color="auto"/>
        <w:left w:val="none" w:sz="0" w:space="0" w:color="auto"/>
        <w:bottom w:val="none" w:sz="0" w:space="0" w:color="auto"/>
        <w:right w:val="none" w:sz="0" w:space="0" w:color="auto"/>
      </w:divBdr>
    </w:div>
    <w:div w:id="331955087">
      <w:bodyDiv w:val="1"/>
      <w:marLeft w:val="0"/>
      <w:marRight w:val="0"/>
      <w:marTop w:val="0"/>
      <w:marBottom w:val="0"/>
      <w:divBdr>
        <w:top w:val="none" w:sz="0" w:space="0" w:color="auto"/>
        <w:left w:val="none" w:sz="0" w:space="0" w:color="auto"/>
        <w:bottom w:val="none" w:sz="0" w:space="0" w:color="auto"/>
        <w:right w:val="none" w:sz="0" w:space="0" w:color="auto"/>
      </w:divBdr>
      <w:divsChild>
        <w:div w:id="501549421">
          <w:marLeft w:val="0"/>
          <w:marRight w:val="0"/>
          <w:marTop w:val="0"/>
          <w:marBottom w:val="0"/>
          <w:divBdr>
            <w:top w:val="none" w:sz="0" w:space="0" w:color="auto"/>
            <w:left w:val="none" w:sz="0" w:space="0" w:color="auto"/>
            <w:bottom w:val="none" w:sz="0" w:space="0" w:color="auto"/>
            <w:right w:val="none" w:sz="0" w:space="0" w:color="auto"/>
          </w:divBdr>
          <w:divsChild>
            <w:div w:id="1454786249">
              <w:marLeft w:val="0"/>
              <w:marRight w:val="0"/>
              <w:marTop w:val="0"/>
              <w:marBottom w:val="0"/>
              <w:divBdr>
                <w:top w:val="none" w:sz="0" w:space="0" w:color="auto"/>
                <w:left w:val="none" w:sz="0" w:space="0" w:color="auto"/>
                <w:bottom w:val="none" w:sz="0" w:space="0" w:color="auto"/>
                <w:right w:val="none" w:sz="0" w:space="0" w:color="auto"/>
              </w:divBdr>
            </w:div>
          </w:divsChild>
        </w:div>
        <w:div w:id="977681719">
          <w:marLeft w:val="0"/>
          <w:marRight w:val="0"/>
          <w:marTop w:val="0"/>
          <w:marBottom w:val="0"/>
          <w:divBdr>
            <w:top w:val="none" w:sz="0" w:space="0" w:color="auto"/>
            <w:left w:val="none" w:sz="0" w:space="0" w:color="auto"/>
            <w:bottom w:val="none" w:sz="0" w:space="0" w:color="auto"/>
            <w:right w:val="none" w:sz="0" w:space="0" w:color="auto"/>
          </w:divBdr>
          <w:divsChild>
            <w:div w:id="930696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452917">
      <w:bodyDiv w:val="1"/>
      <w:marLeft w:val="0"/>
      <w:marRight w:val="0"/>
      <w:marTop w:val="0"/>
      <w:marBottom w:val="0"/>
      <w:divBdr>
        <w:top w:val="none" w:sz="0" w:space="0" w:color="auto"/>
        <w:left w:val="none" w:sz="0" w:space="0" w:color="auto"/>
        <w:bottom w:val="none" w:sz="0" w:space="0" w:color="auto"/>
        <w:right w:val="none" w:sz="0" w:space="0" w:color="auto"/>
      </w:divBdr>
    </w:div>
    <w:div w:id="471874108">
      <w:bodyDiv w:val="1"/>
      <w:marLeft w:val="0"/>
      <w:marRight w:val="0"/>
      <w:marTop w:val="0"/>
      <w:marBottom w:val="0"/>
      <w:divBdr>
        <w:top w:val="none" w:sz="0" w:space="0" w:color="auto"/>
        <w:left w:val="none" w:sz="0" w:space="0" w:color="auto"/>
        <w:bottom w:val="none" w:sz="0" w:space="0" w:color="auto"/>
        <w:right w:val="none" w:sz="0" w:space="0" w:color="auto"/>
      </w:divBdr>
    </w:div>
    <w:div w:id="473376901">
      <w:bodyDiv w:val="1"/>
      <w:marLeft w:val="0"/>
      <w:marRight w:val="0"/>
      <w:marTop w:val="0"/>
      <w:marBottom w:val="0"/>
      <w:divBdr>
        <w:top w:val="none" w:sz="0" w:space="0" w:color="auto"/>
        <w:left w:val="none" w:sz="0" w:space="0" w:color="auto"/>
        <w:bottom w:val="none" w:sz="0" w:space="0" w:color="auto"/>
        <w:right w:val="none" w:sz="0" w:space="0" w:color="auto"/>
      </w:divBdr>
    </w:div>
    <w:div w:id="586155656">
      <w:bodyDiv w:val="1"/>
      <w:marLeft w:val="0"/>
      <w:marRight w:val="0"/>
      <w:marTop w:val="0"/>
      <w:marBottom w:val="0"/>
      <w:divBdr>
        <w:top w:val="none" w:sz="0" w:space="0" w:color="auto"/>
        <w:left w:val="none" w:sz="0" w:space="0" w:color="auto"/>
        <w:bottom w:val="none" w:sz="0" w:space="0" w:color="auto"/>
        <w:right w:val="none" w:sz="0" w:space="0" w:color="auto"/>
      </w:divBdr>
    </w:div>
    <w:div w:id="726689731">
      <w:bodyDiv w:val="1"/>
      <w:marLeft w:val="0"/>
      <w:marRight w:val="0"/>
      <w:marTop w:val="0"/>
      <w:marBottom w:val="0"/>
      <w:divBdr>
        <w:top w:val="none" w:sz="0" w:space="0" w:color="auto"/>
        <w:left w:val="none" w:sz="0" w:space="0" w:color="auto"/>
        <w:bottom w:val="none" w:sz="0" w:space="0" w:color="auto"/>
        <w:right w:val="none" w:sz="0" w:space="0" w:color="auto"/>
      </w:divBdr>
    </w:div>
    <w:div w:id="786243763">
      <w:bodyDiv w:val="1"/>
      <w:marLeft w:val="0"/>
      <w:marRight w:val="0"/>
      <w:marTop w:val="0"/>
      <w:marBottom w:val="0"/>
      <w:divBdr>
        <w:top w:val="none" w:sz="0" w:space="0" w:color="auto"/>
        <w:left w:val="none" w:sz="0" w:space="0" w:color="auto"/>
        <w:bottom w:val="none" w:sz="0" w:space="0" w:color="auto"/>
        <w:right w:val="none" w:sz="0" w:space="0" w:color="auto"/>
      </w:divBdr>
    </w:div>
    <w:div w:id="843279727">
      <w:bodyDiv w:val="1"/>
      <w:marLeft w:val="0"/>
      <w:marRight w:val="0"/>
      <w:marTop w:val="0"/>
      <w:marBottom w:val="0"/>
      <w:divBdr>
        <w:top w:val="none" w:sz="0" w:space="0" w:color="auto"/>
        <w:left w:val="none" w:sz="0" w:space="0" w:color="auto"/>
        <w:bottom w:val="none" w:sz="0" w:space="0" w:color="auto"/>
        <w:right w:val="none" w:sz="0" w:space="0" w:color="auto"/>
      </w:divBdr>
    </w:div>
    <w:div w:id="852888477">
      <w:bodyDiv w:val="1"/>
      <w:marLeft w:val="0"/>
      <w:marRight w:val="0"/>
      <w:marTop w:val="0"/>
      <w:marBottom w:val="0"/>
      <w:divBdr>
        <w:top w:val="none" w:sz="0" w:space="0" w:color="auto"/>
        <w:left w:val="none" w:sz="0" w:space="0" w:color="auto"/>
        <w:bottom w:val="none" w:sz="0" w:space="0" w:color="auto"/>
        <w:right w:val="none" w:sz="0" w:space="0" w:color="auto"/>
      </w:divBdr>
    </w:div>
    <w:div w:id="864054430">
      <w:bodyDiv w:val="1"/>
      <w:marLeft w:val="0"/>
      <w:marRight w:val="0"/>
      <w:marTop w:val="0"/>
      <w:marBottom w:val="0"/>
      <w:divBdr>
        <w:top w:val="none" w:sz="0" w:space="0" w:color="auto"/>
        <w:left w:val="none" w:sz="0" w:space="0" w:color="auto"/>
        <w:bottom w:val="none" w:sz="0" w:space="0" w:color="auto"/>
        <w:right w:val="none" w:sz="0" w:space="0" w:color="auto"/>
      </w:divBdr>
    </w:div>
    <w:div w:id="1018198031">
      <w:bodyDiv w:val="1"/>
      <w:marLeft w:val="0"/>
      <w:marRight w:val="0"/>
      <w:marTop w:val="0"/>
      <w:marBottom w:val="0"/>
      <w:divBdr>
        <w:top w:val="none" w:sz="0" w:space="0" w:color="auto"/>
        <w:left w:val="none" w:sz="0" w:space="0" w:color="auto"/>
        <w:bottom w:val="none" w:sz="0" w:space="0" w:color="auto"/>
        <w:right w:val="none" w:sz="0" w:space="0" w:color="auto"/>
      </w:divBdr>
    </w:div>
    <w:div w:id="1064373552">
      <w:bodyDiv w:val="1"/>
      <w:marLeft w:val="0"/>
      <w:marRight w:val="0"/>
      <w:marTop w:val="0"/>
      <w:marBottom w:val="0"/>
      <w:divBdr>
        <w:top w:val="none" w:sz="0" w:space="0" w:color="auto"/>
        <w:left w:val="none" w:sz="0" w:space="0" w:color="auto"/>
        <w:bottom w:val="none" w:sz="0" w:space="0" w:color="auto"/>
        <w:right w:val="none" w:sz="0" w:space="0" w:color="auto"/>
      </w:divBdr>
    </w:div>
    <w:div w:id="1092124201">
      <w:bodyDiv w:val="1"/>
      <w:marLeft w:val="0"/>
      <w:marRight w:val="0"/>
      <w:marTop w:val="0"/>
      <w:marBottom w:val="0"/>
      <w:divBdr>
        <w:top w:val="none" w:sz="0" w:space="0" w:color="auto"/>
        <w:left w:val="none" w:sz="0" w:space="0" w:color="auto"/>
        <w:bottom w:val="none" w:sz="0" w:space="0" w:color="auto"/>
        <w:right w:val="none" w:sz="0" w:space="0" w:color="auto"/>
      </w:divBdr>
    </w:div>
    <w:div w:id="1142455705">
      <w:bodyDiv w:val="1"/>
      <w:marLeft w:val="0"/>
      <w:marRight w:val="0"/>
      <w:marTop w:val="0"/>
      <w:marBottom w:val="0"/>
      <w:divBdr>
        <w:top w:val="none" w:sz="0" w:space="0" w:color="auto"/>
        <w:left w:val="none" w:sz="0" w:space="0" w:color="auto"/>
        <w:bottom w:val="none" w:sz="0" w:space="0" w:color="auto"/>
        <w:right w:val="none" w:sz="0" w:space="0" w:color="auto"/>
      </w:divBdr>
      <w:divsChild>
        <w:div w:id="2043089825">
          <w:marLeft w:val="0"/>
          <w:marRight w:val="0"/>
          <w:marTop w:val="0"/>
          <w:marBottom w:val="101"/>
          <w:divBdr>
            <w:top w:val="none" w:sz="0" w:space="0" w:color="auto"/>
            <w:left w:val="none" w:sz="0" w:space="0" w:color="auto"/>
            <w:bottom w:val="none" w:sz="0" w:space="0" w:color="auto"/>
            <w:right w:val="none" w:sz="0" w:space="0" w:color="auto"/>
          </w:divBdr>
        </w:div>
        <w:div w:id="588151979">
          <w:marLeft w:val="0"/>
          <w:marRight w:val="0"/>
          <w:marTop w:val="0"/>
          <w:marBottom w:val="101"/>
          <w:divBdr>
            <w:top w:val="none" w:sz="0" w:space="0" w:color="auto"/>
            <w:left w:val="none" w:sz="0" w:space="0" w:color="auto"/>
            <w:bottom w:val="none" w:sz="0" w:space="0" w:color="auto"/>
            <w:right w:val="none" w:sz="0" w:space="0" w:color="auto"/>
          </w:divBdr>
        </w:div>
        <w:div w:id="1350252672">
          <w:marLeft w:val="0"/>
          <w:marRight w:val="0"/>
          <w:marTop w:val="0"/>
          <w:marBottom w:val="101"/>
          <w:divBdr>
            <w:top w:val="none" w:sz="0" w:space="0" w:color="auto"/>
            <w:left w:val="none" w:sz="0" w:space="0" w:color="auto"/>
            <w:bottom w:val="none" w:sz="0" w:space="0" w:color="auto"/>
            <w:right w:val="none" w:sz="0" w:space="0" w:color="auto"/>
          </w:divBdr>
        </w:div>
        <w:div w:id="680086474">
          <w:marLeft w:val="0"/>
          <w:marRight w:val="0"/>
          <w:marTop w:val="0"/>
          <w:marBottom w:val="101"/>
          <w:divBdr>
            <w:top w:val="none" w:sz="0" w:space="0" w:color="auto"/>
            <w:left w:val="none" w:sz="0" w:space="0" w:color="auto"/>
            <w:bottom w:val="none" w:sz="0" w:space="0" w:color="auto"/>
            <w:right w:val="none" w:sz="0" w:space="0" w:color="auto"/>
          </w:divBdr>
        </w:div>
        <w:div w:id="639924901">
          <w:marLeft w:val="0"/>
          <w:marRight w:val="0"/>
          <w:marTop w:val="0"/>
          <w:marBottom w:val="101"/>
          <w:divBdr>
            <w:top w:val="none" w:sz="0" w:space="0" w:color="auto"/>
            <w:left w:val="none" w:sz="0" w:space="0" w:color="auto"/>
            <w:bottom w:val="none" w:sz="0" w:space="0" w:color="auto"/>
            <w:right w:val="none" w:sz="0" w:space="0" w:color="auto"/>
          </w:divBdr>
        </w:div>
        <w:div w:id="1266159693">
          <w:marLeft w:val="0"/>
          <w:marRight w:val="0"/>
          <w:marTop w:val="0"/>
          <w:marBottom w:val="101"/>
          <w:divBdr>
            <w:top w:val="none" w:sz="0" w:space="0" w:color="auto"/>
            <w:left w:val="none" w:sz="0" w:space="0" w:color="auto"/>
            <w:bottom w:val="none" w:sz="0" w:space="0" w:color="auto"/>
            <w:right w:val="none" w:sz="0" w:space="0" w:color="auto"/>
          </w:divBdr>
        </w:div>
        <w:div w:id="1484002790">
          <w:marLeft w:val="0"/>
          <w:marRight w:val="0"/>
          <w:marTop w:val="0"/>
          <w:marBottom w:val="101"/>
          <w:divBdr>
            <w:top w:val="none" w:sz="0" w:space="0" w:color="auto"/>
            <w:left w:val="none" w:sz="0" w:space="0" w:color="auto"/>
            <w:bottom w:val="none" w:sz="0" w:space="0" w:color="auto"/>
            <w:right w:val="none" w:sz="0" w:space="0" w:color="auto"/>
          </w:divBdr>
        </w:div>
        <w:div w:id="348485495">
          <w:marLeft w:val="0"/>
          <w:marRight w:val="0"/>
          <w:marTop w:val="0"/>
          <w:marBottom w:val="101"/>
          <w:divBdr>
            <w:top w:val="none" w:sz="0" w:space="0" w:color="auto"/>
            <w:left w:val="none" w:sz="0" w:space="0" w:color="auto"/>
            <w:bottom w:val="none" w:sz="0" w:space="0" w:color="auto"/>
            <w:right w:val="none" w:sz="0" w:space="0" w:color="auto"/>
          </w:divBdr>
        </w:div>
      </w:divsChild>
    </w:div>
    <w:div w:id="1159466538">
      <w:bodyDiv w:val="1"/>
      <w:marLeft w:val="0"/>
      <w:marRight w:val="0"/>
      <w:marTop w:val="0"/>
      <w:marBottom w:val="0"/>
      <w:divBdr>
        <w:top w:val="none" w:sz="0" w:space="0" w:color="auto"/>
        <w:left w:val="none" w:sz="0" w:space="0" w:color="auto"/>
        <w:bottom w:val="none" w:sz="0" w:space="0" w:color="auto"/>
        <w:right w:val="none" w:sz="0" w:space="0" w:color="auto"/>
      </w:divBdr>
    </w:div>
    <w:div w:id="1477916859">
      <w:bodyDiv w:val="1"/>
      <w:marLeft w:val="0"/>
      <w:marRight w:val="0"/>
      <w:marTop w:val="0"/>
      <w:marBottom w:val="0"/>
      <w:divBdr>
        <w:top w:val="none" w:sz="0" w:space="0" w:color="auto"/>
        <w:left w:val="none" w:sz="0" w:space="0" w:color="auto"/>
        <w:bottom w:val="none" w:sz="0" w:space="0" w:color="auto"/>
        <w:right w:val="none" w:sz="0" w:space="0" w:color="auto"/>
      </w:divBdr>
    </w:div>
    <w:div w:id="1515608624">
      <w:bodyDiv w:val="1"/>
      <w:marLeft w:val="0"/>
      <w:marRight w:val="0"/>
      <w:marTop w:val="0"/>
      <w:marBottom w:val="0"/>
      <w:divBdr>
        <w:top w:val="none" w:sz="0" w:space="0" w:color="auto"/>
        <w:left w:val="none" w:sz="0" w:space="0" w:color="auto"/>
        <w:bottom w:val="none" w:sz="0" w:space="0" w:color="auto"/>
        <w:right w:val="none" w:sz="0" w:space="0" w:color="auto"/>
      </w:divBdr>
    </w:div>
    <w:div w:id="1636906173">
      <w:bodyDiv w:val="1"/>
      <w:marLeft w:val="0"/>
      <w:marRight w:val="0"/>
      <w:marTop w:val="0"/>
      <w:marBottom w:val="0"/>
      <w:divBdr>
        <w:top w:val="none" w:sz="0" w:space="0" w:color="auto"/>
        <w:left w:val="none" w:sz="0" w:space="0" w:color="auto"/>
        <w:bottom w:val="none" w:sz="0" w:space="0" w:color="auto"/>
        <w:right w:val="none" w:sz="0" w:space="0" w:color="auto"/>
      </w:divBdr>
    </w:div>
    <w:div w:id="21211452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egaipslp.org.mx/HV2020Tres.nsf/nombre_de_la_vista/7C42ECB368F78EF28625866B006135EE/$File/SLP+REGLAMENTO+INTERIOR+SGG+(14-MAR-2020).PDF" TargetMode="External"/><Relationship Id="rId2" Type="http://schemas.openxmlformats.org/officeDocument/2006/relationships/hyperlink" Target="javascript:void(0)" TargetMode="External"/><Relationship Id="rId1" Type="http://schemas.openxmlformats.org/officeDocument/2006/relationships/hyperlink" Target="https://snt.org.mx/wp-content/uploads/2021/08/Lineamientos_Funcionalidad_PNT_090721.pdf" TargetMode="External"/><Relationship Id="rId6" Type="http://schemas.openxmlformats.org/officeDocument/2006/relationships/hyperlink" Target="https://www.corteidh.or.cr/docs/casos/articulos/seriec_107_esp.pdf" TargetMode="External"/><Relationship Id="rId5" Type="http://schemas.openxmlformats.org/officeDocument/2006/relationships/hyperlink" Target="https://www.eld.edu.mx/Revista-de-Investigaciones-Juridicas/RIJ-47/Capitulos/3.-LA-PRUEBA-DE-INTERES-PUBLICO-Y-LA-FALTA-DE-PONDERACION-EN-LA-INFORMACION-CONFIDENCIAL.pdf" TargetMode="External"/><Relationship Id="rId4" Type="http://schemas.openxmlformats.org/officeDocument/2006/relationships/hyperlink" Target="https://www.eld.edu.mx/Revista-de-Investigaciones-Juridicas/RIJ-47/Capitulos/3.-LA-PRUEBA-DE-INTERES-PUBLICO-Y-LA-FALTA-DE-PONDERACION-EN-LA-INFORMACION-CONFIDENCIAL.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DD0791-231B-4EB5-9815-8276B7127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2281</TotalTime>
  <Pages>54</Pages>
  <Words>16854</Words>
  <Characters>92699</Characters>
  <Application>Microsoft Office Word</Application>
  <DocSecurity>0</DocSecurity>
  <Lines>772</Lines>
  <Paragraphs>218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Martínez Martínez</dc:creator>
  <cp:keywords/>
  <dc:description/>
  <cp:lastModifiedBy>Ponencia3</cp:lastModifiedBy>
  <cp:revision>42</cp:revision>
  <cp:lastPrinted>2026-04-22T21:12:00Z</cp:lastPrinted>
  <dcterms:created xsi:type="dcterms:W3CDTF">2026-02-05T21:00:00Z</dcterms:created>
  <dcterms:modified xsi:type="dcterms:W3CDTF">2026-05-29T14:36:00Z</dcterms:modified>
</cp:coreProperties>
</file>