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A8135" w14:textId="66A5089E" w:rsidR="003067C2" w:rsidRPr="001A34EB" w:rsidRDefault="008B0306" w:rsidP="00635D31">
      <w:pPr>
        <w:spacing w:line="360" w:lineRule="auto"/>
        <w:ind w:left="1985" w:right="2034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ART</w:t>
      </w:r>
      <w:r w:rsidR="00203216" w:rsidRPr="001A34E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ICULO</w:t>
      </w:r>
      <w:r w:rsidR="00516592" w:rsidRPr="001A34E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84 FRACCIÓ</w:t>
      </w:r>
      <w:r w:rsidR="006F27CC" w:rsidRPr="001A34E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N</w:t>
      </w:r>
      <w:r w:rsidR="00203216" w:rsidRPr="001A34EB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</w:t>
      </w:r>
      <w:r w:rsidR="00777FF4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LI</w:t>
      </w:r>
    </w:p>
    <w:p w14:paraId="5C349B2F" w14:textId="77777777" w:rsidR="00203216" w:rsidRDefault="00203216" w:rsidP="00635D31">
      <w:pPr>
        <w:spacing w:line="360" w:lineRule="auto"/>
        <w:ind w:left="1985" w:right="2034"/>
        <w:jc w:val="center"/>
        <w:rPr>
          <w:rFonts w:ascii="Arial" w:eastAsia="Times New Roman" w:hAnsi="Arial" w:cs="Arial"/>
          <w:color w:val="000000"/>
          <w:sz w:val="28"/>
          <w:szCs w:val="28"/>
          <w:lang w:eastAsia="es-MX"/>
        </w:rPr>
      </w:pPr>
    </w:p>
    <w:p w14:paraId="0F1AB705" w14:textId="0C576002" w:rsidR="006F27CC" w:rsidRDefault="00C052F5" w:rsidP="00E562FC">
      <w:pPr>
        <w:spacing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s-MX"/>
        </w:rPr>
      </w:pPr>
      <w:r w:rsidRPr="00C052F5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Este sujeto obligado si está facultado para generar la información requerida</w:t>
      </w:r>
      <w:r>
        <w:rPr>
          <w:rFonts w:ascii="Arial" w:eastAsia="Times New Roman" w:hAnsi="Arial" w:cs="Arial"/>
          <w:color w:val="000000"/>
          <w:sz w:val="28"/>
          <w:szCs w:val="28"/>
          <w:lang w:eastAsia="es-MX"/>
        </w:rPr>
        <w:t>, c</w:t>
      </w:r>
      <w:r w:rsidR="006F27CC" w:rsidRPr="00F30699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on fundamento en lo dispuesto por los artículos 122 ter</w:t>
      </w:r>
      <w:r w:rsidR="0046548F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.,</w:t>
      </w:r>
      <w:r w:rsidR="006F27CC" w:rsidRPr="00F30699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de la Constitución Política del Estado de San Luis Potosí</w:t>
      </w:r>
      <w:r w:rsidR="0046548F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, 26 fracción I del Reglamento Interno de la Fiscalía General del Estado,</w:t>
      </w:r>
      <w:r w:rsidR="006F27CC" w:rsidRPr="00F30699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</w:t>
      </w:r>
      <w:r w:rsidR="0046548F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se informa que </w:t>
      </w:r>
      <w:r w:rsidR="006F27CC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durante el </w:t>
      </w:r>
      <w:r w:rsidR="006F27CC" w:rsidRPr="002C1E2A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mes </w:t>
      </w:r>
      <w:r w:rsidR="002C1E2A" w:rsidRPr="002C1E2A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reportado</w:t>
      </w:r>
      <w:r w:rsidR="00635D31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</w:t>
      </w:r>
      <w:r w:rsidR="006F27CC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la Fiscalía General del </w:t>
      </w:r>
      <w:r w:rsidR="006F27CC" w:rsidRPr="0046548F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Estado</w:t>
      </w:r>
      <w:r w:rsidR="006F27CC" w:rsidRPr="002C1E2A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 no realizó</w:t>
      </w:r>
      <w:r w:rsidR="0046548F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 xml:space="preserve">, </w:t>
      </w:r>
      <w:r w:rsidR="0046548F" w:rsidRPr="0046548F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donativos a instituciones no lucrativas destinadas a actividades educativas, culturales, de salud, de investigación científica, de aplicación de nuevas tecnologías o de beneficencia</w:t>
      </w:r>
      <w:r w:rsidR="00635D31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,</w:t>
      </w:r>
      <w:r w:rsidR="006F27CC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</w:t>
      </w:r>
      <w:r w:rsidR="0046548F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por no haber sido necesario para las funciones principales de la Administración, </w:t>
      </w:r>
      <w:r w:rsidR="002C1E2A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razón la anterior, por la que </w:t>
      </w:r>
      <w:r w:rsidR="002C1E2A" w:rsidRPr="002C1E2A">
        <w:rPr>
          <w:rFonts w:ascii="Arial" w:eastAsia="Times New Roman" w:hAnsi="Arial" w:cs="Arial"/>
          <w:b/>
          <w:color w:val="000000"/>
          <w:sz w:val="28"/>
          <w:szCs w:val="28"/>
          <w:lang w:eastAsia="es-MX"/>
        </w:rPr>
        <w:t>no se cuenta con un contrato de donación que reportar</w:t>
      </w:r>
      <w:r w:rsidR="002C1E2A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. Como lo solicita el formato correspondiente al </w:t>
      </w:r>
      <w:r w:rsidR="00F8334A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artículo 84 fracción </w:t>
      </w:r>
      <w:proofErr w:type="gramStart"/>
      <w:r w:rsidR="00F8334A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LI </w:t>
      </w:r>
      <w:r w:rsidR="002C1E2A" w:rsidRPr="002C1E2A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de</w:t>
      </w:r>
      <w:proofErr w:type="gramEnd"/>
      <w:r w:rsidR="002C1E2A" w:rsidRPr="002C1E2A">
        <w:rPr>
          <w:rFonts w:ascii="Arial" w:eastAsia="Times New Roman" w:hAnsi="Arial" w:cs="Arial"/>
          <w:color w:val="000000"/>
          <w:sz w:val="28"/>
          <w:szCs w:val="28"/>
          <w:lang w:eastAsia="es-MX"/>
        </w:rPr>
        <w:t xml:space="preserve"> la Ley de Transparencia y Acceso a la Información Pública del Estado de San Luis Potosí</w:t>
      </w:r>
      <w:r w:rsidR="002C1E2A">
        <w:rPr>
          <w:rFonts w:ascii="Arial" w:eastAsia="Times New Roman" w:hAnsi="Arial" w:cs="Arial"/>
          <w:color w:val="000000"/>
          <w:sz w:val="28"/>
          <w:szCs w:val="28"/>
          <w:lang w:eastAsia="es-MX"/>
        </w:rPr>
        <w:t>.</w:t>
      </w:r>
    </w:p>
    <w:p w14:paraId="6EB35954" w14:textId="7176CCD8" w:rsidR="00AB39D2" w:rsidRDefault="00AB39D2" w:rsidP="00E562FC">
      <w:pPr>
        <w:spacing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es-MX"/>
        </w:rPr>
      </w:pPr>
    </w:p>
    <w:p w14:paraId="759D78DF" w14:textId="7438A4B9" w:rsidR="00AB39D2" w:rsidRPr="00AB39D2" w:rsidRDefault="001A34EB" w:rsidP="00E562FC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</w:pPr>
      <w:r w:rsidRPr="001A34EB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*</w:t>
      </w:r>
      <w:r w:rsidR="00AB39D2" w:rsidRPr="00AB39D2">
        <w:rPr>
          <w:rFonts w:ascii="Arial" w:eastAsia="Times New Roman" w:hAnsi="Arial" w:cs="Arial"/>
          <w:b/>
          <w:color w:val="000000"/>
          <w:sz w:val="20"/>
          <w:szCs w:val="20"/>
          <w:lang w:eastAsia="es-MX"/>
        </w:rPr>
        <w:t>Constitución Política del Estado de San Luis Potosí</w:t>
      </w:r>
    </w:p>
    <w:p w14:paraId="3AE1D9EC" w14:textId="356C7603" w:rsidR="00AB39D2" w:rsidRPr="00AB39D2" w:rsidRDefault="00AB39D2" w:rsidP="00AB39D2">
      <w:pPr>
        <w:spacing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AB39D2">
        <w:rPr>
          <w:rFonts w:ascii="Arial" w:eastAsia="Times New Roman" w:hAnsi="Arial" w:cs="Arial"/>
          <w:b/>
          <w:color w:val="000000"/>
          <w:sz w:val="18"/>
          <w:szCs w:val="18"/>
          <w:lang w:eastAsia="es-MX"/>
        </w:rPr>
        <w:t>ARTÍCULO  122 TER.</w:t>
      </w:r>
      <w:r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 Corresponde al Ministerio Público la investigación y la persecución ante  los tribunales,  de todos  los delitos del fuero común; para ello contará con facultades para solicitar las medidas   cautelares   contra  los  imputados;   buscar  y  presentar  las  pruebas   que  acrediten  la participación de éstos en hechos que las leyes señalen como delito;  procurará que los  juicios en materia  penal  se  sigan  con  toda  regularidad  para  que  la  impartición  de  justicia  sea  pronta  y expedita;   pedirá  la  aplicación  de  las  penas,  e  intervendrá  en  todos  los  a</w:t>
      </w:r>
      <w:r w:rsidR="001A34E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suntos  que  la  ley determine.</w:t>
      </w:r>
    </w:p>
    <w:p w14:paraId="0342361D" w14:textId="74E79CE9" w:rsidR="00AB39D2" w:rsidRPr="00AB39D2" w:rsidRDefault="00AB39D2" w:rsidP="00AB39D2">
      <w:pPr>
        <w:spacing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La Fiscalía General contará, al menos, con las fiscalías especializadas en delitos relacionados con hechos de corrupción, y en materia de delitos electorales; los titulares de las mismas serán electos y removidos en los mismos términos que para el caso del Fiscal General del Estado; los titulares de las demás fiscalías, así como los servidores públicos de esa institución, serán designados y removidos por el Fiscal General en los</w:t>
      </w:r>
      <w:r w:rsidR="001A34E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términos que la ley determine.</w:t>
      </w:r>
    </w:p>
    <w:p w14:paraId="1E22A42B" w14:textId="28929CFB" w:rsidR="00AB39D2" w:rsidRPr="00AB39D2" w:rsidRDefault="00AB39D2" w:rsidP="00AB39D2">
      <w:pPr>
        <w:spacing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La ley establecerá un servicio profesional de carrera que reglamente las bases para el ingreso, permanencia, ascensos, formación, profesionalización, y actualización de los </w:t>
      </w:r>
      <w:r w:rsidR="001A34EB"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servidores públicos</w:t>
      </w:r>
      <w:r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de la Fiscalía, regido por los principios de, legalidad, objetividad, eficiencia, mérito, profesionalismo, </w:t>
      </w:r>
      <w:r w:rsidR="001A34EB"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honradez y</w:t>
      </w:r>
      <w:r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respeto a los derechos humanos</w:t>
      </w:r>
      <w:r w:rsidR="001A34E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.</w:t>
      </w:r>
    </w:p>
    <w:p w14:paraId="3200D0DA" w14:textId="77777777" w:rsidR="00AB39D2" w:rsidRPr="00AB39D2" w:rsidRDefault="00AB39D2" w:rsidP="00AB39D2">
      <w:pPr>
        <w:spacing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</w:p>
    <w:p w14:paraId="7FE27597" w14:textId="747B85C3" w:rsidR="0046548F" w:rsidRDefault="00AB39D2" w:rsidP="00AB39D2">
      <w:pPr>
        <w:spacing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lastRenderedPageBreak/>
        <w:t xml:space="preserve">El Fiscal General </w:t>
      </w:r>
      <w:r w:rsidR="001A34EB"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presentaría</w:t>
      </w:r>
      <w:r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(sic) a los poderes, Legislativo; y Ejecutivo, un informe escrito de sus </w:t>
      </w:r>
      <w:r w:rsidR="001A34EB"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actividades, la</w:t>
      </w:r>
      <w:r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primera quincena del mes de noviembre de cada año; con excepción del último año de su periodo constitucional, en cuyo caso deberá hacerlo la primera quincena del mes de octubre; y, en su caso, </w:t>
      </w:r>
      <w:r w:rsidR="001A34EB"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comparecerá (</w:t>
      </w:r>
      <w:r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sic) personalmente al Congreso del Estado a la glosa del mismo, en un plazo no mayor a treinta días </w:t>
      </w:r>
      <w:r w:rsidR="001A34EB"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posteriores a</w:t>
      </w:r>
      <w:r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la entrega del </w:t>
      </w:r>
      <w:r w:rsidR="001A34EB" w:rsidRPr="00AB39D2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informe escrito</w:t>
      </w:r>
      <w:r w:rsidR="001A34E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.</w:t>
      </w:r>
    </w:p>
    <w:p w14:paraId="41C77211" w14:textId="1B6FC321" w:rsidR="001A34EB" w:rsidRDefault="001A34EB" w:rsidP="00AB39D2">
      <w:pPr>
        <w:spacing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</w:p>
    <w:p w14:paraId="2EA2DEB9" w14:textId="18118C1B" w:rsidR="001A34EB" w:rsidRDefault="001A34EB" w:rsidP="001A34EB">
      <w:pPr>
        <w:spacing w:line="36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  <w:lang w:eastAsia="es-MX"/>
        </w:rPr>
      </w:pPr>
      <w:r w:rsidRPr="001A34EB">
        <w:rPr>
          <w:rFonts w:ascii="Arial" w:eastAsia="Times New Roman" w:hAnsi="Arial" w:cs="Arial"/>
          <w:b/>
          <w:color w:val="000000"/>
          <w:sz w:val="18"/>
          <w:szCs w:val="18"/>
          <w:lang w:eastAsia="es-MX"/>
        </w:rPr>
        <w:t>*REGLAMENTO INTERNO DE LA FISCALÍA GENERAL DEL ESTADO DE SAN LUIS POTOSÍ</w:t>
      </w:r>
    </w:p>
    <w:p w14:paraId="66790453" w14:textId="7B8B6B5E" w:rsidR="001A34EB" w:rsidRPr="001A34EB" w:rsidRDefault="001A34EB" w:rsidP="001A34EB">
      <w:pPr>
        <w:spacing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1A34EB">
        <w:rPr>
          <w:rFonts w:ascii="Arial" w:eastAsia="Times New Roman" w:hAnsi="Arial" w:cs="Arial"/>
          <w:b/>
          <w:color w:val="000000"/>
          <w:sz w:val="18"/>
          <w:szCs w:val="18"/>
          <w:lang w:eastAsia="es-MX"/>
        </w:rPr>
        <w:t>Artículo 26.</w:t>
      </w:r>
      <w:r w:rsidRPr="001A34E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 Director General de Administración</w:t>
      </w:r>
    </w:p>
    <w:p w14:paraId="7DBA84BC" w14:textId="700A7C69" w:rsidR="001A34EB" w:rsidRPr="001A34EB" w:rsidRDefault="001A34EB" w:rsidP="001A34EB">
      <w:pPr>
        <w:spacing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1A34E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Al frente de la Dirección General de Administración de la Fiscalía General del Estado, habrá un Director General, quien será nombrado y removido libremente por el Fiscal General, quien para el correcto desempeño de su función contará</w:t>
      </w:r>
      <w:r>
        <w:rPr>
          <w:rFonts w:ascii="Arial" w:eastAsia="Times New Roman" w:hAnsi="Arial" w:cs="Arial"/>
          <w:color w:val="000000"/>
          <w:sz w:val="18"/>
          <w:szCs w:val="18"/>
          <w:lang w:eastAsia="es-MX"/>
        </w:rPr>
        <w:t xml:space="preserve"> con las facultades siguientes:</w:t>
      </w:r>
    </w:p>
    <w:p w14:paraId="299D915F" w14:textId="77831A0D" w:rsidR="001A34EB" w:rsidRPr="00AB39D2" w:rsidRDefault="001A34EB" w:rsidP="001A34EB">
      <w:pPr>
        <w:spacing w:line="36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1A34E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l. Administrar   los   recursos humanos, materiales, financieros, patrimoniales, presupuestales   y cualquier otro asignado a la Fiscalía General de conformidad con las políticas, en esta materia, aprobadas por el Fiscal General;</w:t>
      </w:r>
    </w:p>
    <w:sectPr w:rsidR="001A34EB" w:rsidRPr="00AB39D2" w:rsidSect="00717CF8">
      <w:headerReference w:type="default" r:id="rId8"/>
      <w:footerReference w:type="default" r:id="rId9"/>
      <w:pgSz w:w="12240" w:h="15840" w:code="1"/>
      <w:pgMar w:top="2268" w:right="1134" w:bottom="1418" w:left="1134" w:header="709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3924B4" w14:textId="77777777" w:rsidR="00DE37EA" w:rsidRDefault="00DE37EA" w:rsidP="00961F3B">
      <w:r>
        <w:separator/>
      </w:r>
    </w:p>
  </w:endnote>
  <w:endnote w:type="continuationSeparator" w:id="0">
    <w:p w14:paraId="323EA6EB" w14:textId="77777777" w:rsidR="00DE37EA" w:rsidRDefault="00DE37EA" w:rsidP="0096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E60BD" w14:textId="0B6E6B33" w:rsidR="00FA5484" w:rsidRPr="0017647F" w:rsidRDefault="00717045" w:rsidP="00717045">
    <w:pPr>
      <w:pStyle w:val="Piedepgina"/>
      <w:jc w:val="right"/>
      <w:rPr>
        <w:rFonts w:ascii="Arial" w:hAnsi="Arial" w:cs="Arial"/>
        <w:noProof/>
        <w:color w:val="000000" w:themeColor="text1"/>
        <w:sz w:val="14"/>
        <w:szCs w:val="14"/>
        <w:lang w:eastAsia="es-ES_tradnl"/>
      </w:rPr>
    </w:pPr>
    <w:r w:rsidRPr="0017647F">
      <w:rPr>
        <w:rFonts w:ascii="Arial" w:hAnsi="Arial" w:cs="Arial"/>
        <w:noProof/>
        <w:sz w:val="14"/>
        <w:szCs w:val="14"/>
        <w:lang w:val="es-MX" w:eastAsia="es-MX"/>
      </w:rPr>
      <w:drawing>
        <wp:anchor distT="0" distB="0" distL="114300" distR="114300" simplePos="0" relativeHeight="251660288" behindDoc="1" locked="0" layoutInCell="1" allowOverlap="1" wp14:anchorId="42B66EF1" wp14:editId="5533FE4B">
          <wp:simplePos x="0" y="0"/>
          <wp:positionH relativeFrom="column">
            <wp:posOffset>-760095</wp:posOffset>
          </wp:positionH>
          <wp:positionV relativeFrom="paragraph">
            <wp:posOffset>72621</wp:posOffset>
          </wp:positionV>
          <wp:extent cx="7991475" cy="802640"/>
          <wp:effectExtent l="0" t="0" r="952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e-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802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647F">
      <w:rPr>
        <w:rFonts w:ascii="Arial" w:hAnsi="Arial" w:cs="Arial"/>
        <w:noProof/>
        <w:color w:val="000000" w:themeColor="text1"/>
        <w:sz w:val="14"/>
        <w:szCs w:val="14"/>
        <w:lang w:eastAsia="es-ES_tradnl"/>
      </w:rPr>
      <w:t>Fi</w:t>
    </w:r>
    <w:r w:rsidR="00FA5484" w:rsidRPr="0017647F">
      <w:rPr>
        <w:rFonts w:ascii="Arial" w:hAnsi="Arial" w:cs="Arial"/>
        <w:noProof/>
        <w:color w:val="000000" w:themeColor="text1"/>
        <w:sz w:val="14"/>
        <w:szCs w:val="14"/>
        <w:lang w:eastAsia="es-ES_tradnl"/>
      </w:rPr>
      <w:t>scalía General del Estado de S</w:t>
    </w:r>
    <w:r w:rsidR="0017647F" w:rsidRPr="0017647F">
      <w:rPr>
        <w:rFonts w:ascii="Arial" w:hAnsi="Arial" w:cs="Arial"/>
        <w:noProof/>
        <w:color w:val="000000" w:themeColor="text1"/>
        <w:sz w:val="14"/>
        <w:szCs w:val="14"/>
        <w:lang w:eastAsia="es-ES_tradnl"/>
      </w:rPr>
      <w:t>.</w:t>
    </w:r>
    <w:r w:rsidR="00FA5484" w:rsidRPr="0017647F">
      <w:rPr>
        <w:rFonts w:ascii="Arial" w:hAnsi="Arial" w:cs="Arial"/>
        <w:noProof/>
        <w:color w:val="000000" w:themeColor="text1"/>
        <w:sz w:val="14"/>
        <w:szCs w:val="14"/>
        <w:lang w:eastAsia="es-ES_tradnl"/>
      </w:rPr>
      <w:t>L</w:t>
    </w:r>
    <w:r w:rsidR="0017647F" w:rsidRPr="0017647F">
      <w:rPr>
        <w:rFonts w:ascii="Arial" w:hAnsi="Arial" w:cs="Arial"/>
        <w:noProof/>
        <w:color w:val="000000" w:themeColor="text1"/>
        <w:sz w:val="14"/>
        <w:szCs w:val="14"/>
        <w:lang w:eastAsia="es-ES_tradnl"/>
      </w:rPr>
      <w:t>.</w:t>
    </w:r>
    <w:r w:rsidR="00FA5484" w:rsidRPr="0017647F">
      <w:rPr>
        <w:rFonts w:ascii="Arial" w:hAnsi="Arial" w:cs="Arial"/>
        <w:noProof/>
        <w:color w:val="000000" w:themeColor="text1"/>
        <w:sz w:val="14"/>
        <w:szCs w:val="14"/>
        <w:lang w:eastAsia="es-ES_tradnl"/>
      </w:rPr>
      <w:t>P</w:t>
    </w:r>
    <w:r w:rsidR="0017647F" w:rsidRPr="0017647F">
      <w:rPr>
        <w:rFonts w:ascii="Arial" w:hAnsi="Arial" w:cs="Arial"/>
        <w:noProof/>
        <w:color w:val="000000" w:themeColor="text1"/>
        <w:sz w:val="14"/>
        <w:szCs w:val="14"/>
        <w:lang w:eastAsia="es-ES_tradnl"/>
      </w:rPr>
      <w:t>.</w:t>
    </w:r>
  </w:p>
  <w:p w14:paraId="28545F2B" w14:textId="19DBACEA" w:rsidR="002054C1" w:rsidRDefault="0017647F" w:rsidP="008C1FCF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>
      <w:rPr>
        <w:rFonts w:ascii="Arial" w:hAnsi="Arial" w:cs="Arial"/>
        <w:noProof/>
        <w:color w:val="000000" w:themeColor="text1"/>
        <w:sz w:val="13"/>
        <w:lang w:eastAsia="es-ES_tradnl"/>
      </w:rPr>
      <w:t>Dirección General de Administración</w:t>
    </w:r>
  </w:p>
  <w:p w14:paraId="26436FCB" w14:textId="112DE26E" w:rsidR="008C1FCF" w:rsidRPr="00E27D91" w:rsidRDefault="00244CB1" w:rsidP="008C1FCF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 w:rsidRPr="00E27D91">
      <w:rPr>
        <w:rFonts w:ascii="Arial" w:hAnsi="Arial" w:cs="Arial"/>
        <w:noProof/>
        <w:color w:val="000000" w:themeColor="text1"/>
        <w:sz w:val="13"/>
        <w:lang w:eastAsia="es-ES_tradnl"/>
      </w:rPr>
      <w:t>Eje Vial No. 100, Zona Centro,</w:t>
    </w:r>
  </w:p>
  <w:p w14:paraId="62007D79" w14:textId="1606BC50" w:rsidR="00244CB1" w:rsidRPr="00E27D91" w:rsidRDefault="00244CB1" w:rsidP="00244CB1">
    <w:pPr>
      <w:pStyle w:val="Piedepgina"/>
      <w:jc w:val="right"/>
      <w:rPr>
        <w:rFonts w:ascii="Arial" w:hAnsi="Arial" w:cs="Arial"/>
        <w:noProof/>
        <w:color w:val="000000" w:themeColor="text1"/>
        <w:sz w:val="13"/>
        <w:lang w:eastAsia="es-ES_tradnl"/>
      </w:rPr>
    </w:pPr>
    <w:r w:rsidRPr="00E27D91">
      <w:rPr>
        <w:rFonts w:ascii="Arial" w:hAnsi="Arial" w:cs="Arial"/>
        <w:noProof/>
        <w:color w:val="000000" w:themeColor="text1"/>
        <w:sz w:val="13"/>
        <w:lang w:eastAsia="es-ES_tradnl"/>
      </w:rPr>
      <w:t>San Luis Potosí, S.L.P. C.P. 78000</w:t>
    </w:r>
  </w:p>
  <w:p w14:paraId="47DA70DC" w14:textId="3FD978EE" w:rsidR="00244CB1" w:rsidRPr="008C1FCF" w:rsidRDefault="00244CB1" w:rsidP="00244CB1">
    <w:pPr>
      <w:pStyle w:val="Piedepgina"/>
      <w:jc w:val="right"/>
      <w:rPr>
        <w:rFonts w:ascii="Arial" w:hAnsi="Arial" w:cs="Arial"/>
        <w:noProof/>
        <w:color w:val="000000" w:themeColor="text1"/>
        <w:sz w:val="16"/>
        <w:lang w:eastAsia="es-ES_tradnl"/>
      </w:rPr>
    </w:pPr>
    <w:r w:rsidRPr="00E27D91">
      <w:rPr>
        <w:rFonts w:ascii="Arial" w:hAnsi="Arial" w:cs="Arial"/>
        <w:noProof/>
        <w:color w:val="000000" w:themeColor="text1"/>
        <w:sz w:val="13"/>
        <w:lang w:eastAsia="es-ES_tradnl"/>
      </w:rPr>
      <w:t xml:space="preserve">Tel. 01 (444) </w:t>
    </w:r>
    <w:r w:rsidR="0017647F">
      <w:rPr>
        <w:rFonts w:ascii="Arial" w:hAnsi="Arial" w:cs="Arial"/>
        <w:noProof/>
        <w:color w:val="000000" w:themeColor="text1"/>
        <w:sz w:val="13"/>
        <w:lang w:eastAsia="es-ES_tradnl"/>
      </w:rPr>
      <w:t>814 09 14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4BCDF" w14:textId="77777777" w:rsidR="00DE37EA" w:rsidRDefault="00DE37EA" w:rsidP="00961F3B">
      <w:r>
        <w:separator/>
      </w:r>
    </w:p>
  </w:footnote>
  <w:footnote w:type="continuationSeparator" w:id="0">
    <w:p w14:paraId="5509B3FB" w14:textId="77777777" w:rsidR="00DE37EA" w:rsidRDefault="00DE37EA" w:rsidP="0096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A499F" w14:textId="10A3FE60" w:rsidR="00961F3B" w:rsidRDefault="00BE6BCF" w:rsidP="00850661">
    <w:pPr>
      <w:pStyle w:val="Encabezado"/>
      <w:tabs>
        <w:tab w:val="clear" w:pos="4419"/>
        <w:tab w:val="clear" w:pos="8838"/>
        <w:tab w:val="left" w:pos="812"/>
      </w:tabs>
    </w:pPr>
    <w:r w:rsidRPr="00BE6BCF">
      <w:rPr>
        <w:noProof/>
        <w:lang w:val="es-MX" w:eastAsia="es-MX"/>
      </w:rPr>
      <w:drawing>
        <wp:anchor distT="0" distB="0" distL="114300" distR="114300" simplePos="0" relativeHeight="251660799" behindDoc="1" locked="0" layoutInCell="1" allowOverlap="1" wp14:anchorId="34E303C8" wp14:editId="77CC397E">
          <wp:simplePos x="0" y="0"/>
          <wp:positionH relativeFrom="column">
            <wp:posOffset>-710565</wp:posOffset>
          </wp:positionH>
          <wp:positionV relativeFrom="paragraph">
            <wp:posOffset>-488315</wp:posOffset>
          </wp:positionV>
          <wp:extent cx="7896225" cy="1431513"/>
          <wp:effectExtent l="0" t="0" r="0" b="0"/>
          <wp:wrapNone/>
          <wp:docPr id="1" name="Imagen 1" descr="Z:\Diseños a Revision\2018\FISCALIA\Aplicaciones\Papeleria\Hoja Membretada\Nuevos Formatos\Administrativo\Logo a Color\Background_logo Color-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iseños a Revision\2018\FISCALIA\Aplicaciones\Papeleria\Hoja Membretada\Nuevos Formatos\Administrativo\Logo a Color\Background_logo Color-2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96225" cy="14315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w:t xml:space="preserve"> </w:t>
    </w:r>
    <w:r w:rsidR="0085066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3317C"/>
    <w:multiLevelType w:val="hybridMultilevel"/>
    <w:tmpl w:val="4F7CA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3B"/>
    <w:rsid w:val="00033360"/>
    <w:rsid w:val="000516AB"/>
    <w:rsid w:val="000621CA"/>
    <w:rsid w:val="00074CBB"/>
    <w:rsid w:val="0009152F"/>
    <w:rsid w:val="000A7304"/>
    <w:rsid w:val="000F34F2"/>
    <w:rsid w:val="00117406"/>
    <w:rsid w:val="00153CD1"/>
    <w:rsid w:val="001569ED"/>
    <w:rsid w:val="00171D96"/>
    <w:rsid w:val="00174F96"/>
    <w:rsid w:val="0017647F"/>
    <w:rsid w:val="001804EB"/>
    <w:rsid w:val="00196E5A"/>
    <w:rsid w:val="001A0FF2"/>
    <w:rsid w:val="001A32B1"/>
    <w:rsid w:val="001A34EB"/>
    <w:rsid w:val="001C1FF5"/>
    <w:rsid w:val="00203216"/>
    <w:rsid w:val="002054C1"/>
    <w:rsid w:val="00207633"/>
    <w:rsid w:val="00237339"/>
    <w:rsid w:val="00244CB1"/>
    <w:rsid w:val="002648E0"/>
    <w:rsid w:val="00274D5A"/>
    <w:rsid w:val="002C182D"/>
    <w:rsid w:val="002C1E2A"/>
    <w:rsid w:val="002C1F57"/>
    <w:rsid w:val="002D0260"/>
    <w:rsid w:val="002E6FF2"/>
    <w:rsid w:val="003054AA"/>
    <w:rsid w:val="003067C2"/>
    <w:rsid w:val="003311E5"/>
    <w:rsid w:val="00337E40"/>
    <w:rsid w:val="00350C59"/>
    <w:rsid w:val="00374FE9"/>
    <w:rsid w:val="003D662C"/>
    <w:rsid w:val="00433942"/>
    <w:rsid w:val="0044282E"/>
    <w:rsid w:val="00445F9A"/>
    <w:rsid w:val="0046548F"/>
    <w:rsid w:val="00485BA6"/>
    <w:rsid w:val="00487010"/>
    <w:rsid w:val="00497E2D"/>
    <w:rsid w:val="004A184C"/>
    <w:rsid w:val="004A5909"/>
    <w:rsid w:val="004B1662"/>
    <w:rsid w:val="004B2979"/>
    <w:rsid w:val="004E261F"/>
    <w:rsid w:val="00516592"/>
    <w:rsid w:val="00551DF0"/>
    <w:rsid w:val="00580FCC"/>
    <w:rsid w:val="00584602"/>
    <w:rsid w:val="005A1DFB"/>
    <w:rsid w:val="005C750C"/>
    <w:rsid w:val="005D6F7B"/>
    <w:rsid w:val="005F3150"/>
    <w:rsid w:val="005F457C"/>
    <w:rsid w:val="00632FF3"/>
    <w:rsid w:val="00633FD2"/>
    <w:rsid w:val="00635D31"/>
    <w:rsid w:val="00644FC6"/>
    <w:rsid w:val="006639DB"/>
    <w:rsid w:val="00670B8D"/>
    <w:rsid w:val="00675F4D"/>
    <w:rsid w:val="00676125"/>
    <w:rsid w:val="00677AEE"/>
    <w:rsid w:val="00687D08"/>
    <w:rsid w:val="006B4084"/>
    <w:rsid w:val="006C1C60"/>
    <w:rsid w:val="006E1395"/>
    <w:rsid w:val="006E6D1D"/>
    <w:rsid w:val="006F27CC"/>
    <w:rsid w:val="00717045"/>
    <w:rsid w:val="00717CF8"/>
    <w:rsid w:val="00771908"/>
    <w:rsid w:val="00772913"/>
    <w:rsid w:val="007768CC"/>
    <w:rsid w:val="00777FF4"/>
    <w:rsid w:val="00781D2F"/>
    <w:rsid w:val="007A28F6"/>
    <w:rsid w:val="007B43AD"/>
    <w:rsid w:val="007C531F"/>
    <w:rsid w:val="007D6585"/>
    <w:rsid w:val="007F0237"/>
    <w:rsid w:val="00845198"/>
    <w:rsid w:val="00850661"/>
    <w:rsid w:val="00854CCF"/>
    <w:rsid w:val="00857B5F"/>
    <w:rsid w:val="008B0306"/>
    <w:rsid w:val="008C1FCF"/>
    <w:rsid w:val="008D3B76"/>
    <w:rsid w:val="00931B62"/>
    <w:rsid w:val="009445F1"/>
    <w:rsid w:val="00951C80"/>
    <w:rsid w:val="009527D5"/>
    <w:rsid w:val="00961F3B"/>
    <w:rsid w:val="00963406"/>
    <w:rsid w:val="009739A0"/>
    <w:rsid w:val="009774A5"/>
    <w:rsid w:val="009D1416"/>
    <w:rsid w:val="009D3B91"/>
    <w:rsid w:val="00A00378"/>
    <w:rsid w:val="00A3119E"/>
    <w:rsid w:val="00A5547F"/>
    <w:rsid w:val="00A720FD"/>
    <w:rsid w:val="00AB39D2"/>
    <w:rsid w:val="00AE70C4"/>
    <w:rsid w:val="00AE72A2"/>
    <w:rsid w:val="00AF2FB4"/>
    <w:rsid w:val="00AF7A5D"/>
    <w:rsid w:val="00B00015"/>
    <w:rsid w:val="00B47C27"/>
    <w:rsid w:val="00BA4D30"/>
    <w:rsid w:val="00BE6BCF"/>
    <w:rsid w:val="00C01500"/>
    <w:rsid w:val="00C052F5"/>
    <w:rsid w:val="00C45988"/>
    <w:rsid w:val="00C5041B"/>
    <w:rsid w:val="00C60803"/>
    <w:rsid w:val="00C96F2F"/>
    <w:rsid w:val="00CD23C1"/>
    <w:rsid w:val="00D015D3"/>
    <w:rsid w:val="00D024F4"/>
    <w:rsid w:val="00D05377"/>
    <w:rsid w:val="00D22267"/>
    <w:rsid w:val="00D23898"/>
    <w:rsid w:val="00D449A0"/>
    <w:rsid w:val="00D44B8D"/>
    <w:rsid w:val="00D96174"/>
    <w:rsid w:val="00DC686A"/>
    <w:rsid w:val="00DD6DC7"/>
    <w:rsid w:val="00DE37EA"/>
    <w:rsid w:val="00E122EA"/>
    <w:rsid w:val="00E1624C"/>
    <w:rsid w:val="00E21D0D"/>
    <w:rsid w:val="00E27D91"/>
    <w:rsid w:val="00E334C7"/>
    <w:rsid w:val="00E562FC"/>
    <w:rsid w:val="00E7366C"/>
    <w:rsid w:val="00E80BD7"/>
    <w:rsid w:val="00E82FD0"/>
    <w:rsid w:val="00EC29D1"/>
    <w:rsid w:val="00ED1602"/>
    <w:rsid w:val="00F0180B"/>
    <w:rsid w:val="00F1741C"/>
    <w:rsid w:val="00F46007"/>
    <w:rsid w:val="00F47D67"/>
    <w:rsid w:val="00F65B28"/>
    <w:rsid w:val="00F74AE8"/>
    <w:rsid w:val="00F8334A"/>
    <w:rsid w:val="00F9333F"/>
    <w:rsid w:val="00FA5484"/>
    <w:rsid w:val="00FD3263"/>
    <w:rsid w:val="00FD344D"/>
    <w:rsid w:val="00FD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689F07"/>
  <w14:defaultImageDpi w14:val="32767"/>
  <w15:docId w15:val="{4D7A59AD-D8D7-4C88-9F89-32010A533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1F3B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61F3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1F3B"/>
    <w:rPr>
      <w:rFonts w:eastAsiaTheme="minorEastAsia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61F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F3B"/>
    <w:rPr>
      <w:rFonts w:eastAsiaTheme="minorEastAsia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34C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4C7"/>
    <w:rPr>
      <w:rFonts w:ascii="Segoe UI" w:eastAsiaTheme="minorEastAsia" w:hAnsi="Segoe UI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F47D67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487010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87010"/>
    <w:rPr>
      <w:rFonts w:eastAsiaTheme="minorEastAsia"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487010"/>
    <w:rPr>
      <w:vertAlign w:val="superscript"/>
    </w:rPr>
  </w:style>
  <w:style w:type="paragraph" w:styleId="Ttulo">
    <w:name w:val="Title"/>
    <w:basedOn w:val="Normal"/>
    <w:link w:val="TtuloCar"/>
    <w:qFormat/>
    <w:rsid w:val="00117406"/>
    <w:pPr>
      <w:jc w:val="center"/>
    </w:pPr>
    <w:rPr>
      <w:rFonts w:ascii="Bookman Old Style" w:eastAsia="Times New Roman" w:hAnsi="Bookman Old Style" w:cs="Times New Roman"/>
      <w:i/>
      <w:sz w:val="22"/>
      <w:szCs w:val="20"/>
      <w:lang w:val="es-MX"/>
    </w:rPr>
  </w:style>
  <w:style w:type="character" w:customStyle="1" w:styleId="TtuloCar">
    <w:name w:val="Título Car"/>
    <w:basedOn w:val="Fuentedeprrafopredeter"/>
    <w:link w:val="Ttulo"/>
    <w:rsid w:val="00117406"/>
    <w:rPr>
      <w:rFonts w:ascii="Bookman Old Style" w:eastAsia="Times New Roman" w:hAnsi="Bookman Old Style" w:cs="Times New Roman"/>
      <w:i/>
      <w:sz w:val="22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720B5-3E26-488A-B4B0-48DA9B84C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FGESLP</cp:lastModifiedBy>
  <cp:revision>4</cp:revision>
  <cp:lastPrinted>2024-04-05T15:51:00Z</cp:lastPrinted>
  <dcterms:created xsi:type="dcterms:W3CDTF">2026-02-03T18:23:00Z</dcterms:created>
  <dcterms:modified xsi:type="dcterms:W3CDTF">2026-07-21T16:32:00Z</dcterms:modified>
</cp:coreProperties>
</file>