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A8135" w14:textId="2A96ADF2" w:rsidR="003067C2" w:rsidRPr="00D31EEE" w:rsidRDefault="00E459F1" w:rsidP="003067C2">
      <w:pPr>
        <w:spacing w:line="360" w:lineRule="auto"/>
        <w:ind w:left="1985" w:right="2034"/>
        <w:jc w:val="both"/>
        <w:rPr>
          <w:rFonts w:ascii="Arial" w:eastAsia="Times New Roman" w:hAnsi="Arial" w:cs="Arial"/>
          <w:b/>
          <w:color w:val="000000"/>
          <w:sz w:val="28"/>
          <w:szCs w:val="28"/>
          <w:lang w:eastAsia="es-MX"/>
        </w:rPr>
      </w:pPr>
      <w:r w:rsidRPr="00D31EEE">
        <w:rPr>
          <w:rFonts w:ascii="Arial" w:eastAsia="Times New Roman" w:hAnsi="Arial" w:cs="Arial"/>
          <w:b/>
          <w:color w:val="000000"/>
          <w:sz w:val="28"/>
          <w:szCs w:val="28"/>
          <w:lang w:eastAsia="es-MX"/>
        </w:rPr>
        <w:t>ARTÍ</w:t>
      </w:r>
      <w:r w:rsidR="00203216" w:rsidRPr="00D31EEE">
        <w:rPr>
          <w:rFonts w:ascii="Arial" w:eastAsia="Times New Roman" w:hAnsi="Arial" w:cs="Arial"/>
          <w:b/>
          <w:color w:val="000000"/>
          <w:sz w:val="28"/>
          <w:szCs w:val="28"/>
          <w:lang w:eastAsia="es-MX"/>
        </w:rPr>
        <w:t>CULO</w:t>
      </w:r>
      <w:r w:rsidRPr="00D31EEE">
        <w:rPr>
          <w:rFonts w:ascii="Arial" w:eastAsia="Times New Roman" w:hAnsi="Arial" w:cs="Arial"/>
          <w:b/>
          <w:color w:val="000000"/>
          <w:sz w:val="28"/>
          <w:szCs w:val="28"/>
          <w:lang w:eastAsia="es-MX"/>
        </w:rPr>
        <w:t xml:space="preserve"> 84 FRACCIÓ</w:t>
      </w:r>
      <w:r w:rsidR="006F27CC" w:rsidRPr="00D31EEE">
        <w:rPr>
          <w:rFonts w:ascii="Arial" w:eastAsia="Times New Roman" w:hAnsi="Arial" w:cs="Arial"/>
          <w:b/>
          <w:color w:val="000000"/>
          <w:sz w:val="28"/>
          <w:szCs w:val="28"/>
          <w:lang w:eastAsia="es-MX"/>
        </w:rPr>
        <w:t>N</w:t>
      </w:r>
      <w:r w:rsidR="00203216" w:rsidRPr="00D31EEE">
        <w:rPr>
          <w:rFonts w:ascii="Arial" w:eastAsia="Times New Roman" w:hAnsi="Arial" w:cs="Arial"/>
          <w:b/>
          <w:color w:val="000000"/>
          <w:sz w:val="28"/>
          <w:szCs w:val="28"/>
          <w:lang w:eastAsia="es-MX"/>
        </w:rPr>
        <w:t xml:space="preserve"> X</w:t>
      </w:r>
      <w:r w:rsidR="00762ECE">
        <w:rPr>
          <w:rFonts w:ascii="Arial" w:eastAsia="Times New Roman" w:hAnsi="Arial" w:cs="Arial"/>
          <w:b/>
          <w:color w:val="000000"/>
          <w:sz w:val="28"/>
          <w:szCs w:val="28"/>
          <w:lang w:eastAsia="es-MX"/>
        </w:rPr>
        <w:t>XXI</w:t>
      </w:r>
    </w:p>
    <w:p w14:paraId="5C349B2F" w14:textId="77777777" w:rsidR="00203216" w:rsidRDefault="00203216" w:rsidP="003067C2">
      <w:pPr>
        <w:spacing w:line="360" w:lineRule="auto"/>
        <w:ind w:left="1985" w:right="2034"/>
        <w:jc w:val="both"/>
        <w:rPr>
          <w:rFonts w:ascii="Arial" w:eastAsia="Times New Roman" w:hAnsi="Arial" w:cs="Arial"/>
          <w:color w:val="000000"/>
          <w:sz w:val="28"/>
          <w:szCs w:val="28"/>
          <w:lang w:eastAsia="es-MX"/>
        </w:rPr>
      </w:pPr>
    </w:p>
    <w:p w14:paraId="3FE71A34" w14:textId="77777777" w:rsidR="00A962AA" w:rsidRDefault="00A962AA" w:rsidP="002D0387">
      <w:pPr>
        <w:spacing w:line="360" w:lineRule="auto"/>
        <w:jc w:val="both"/>
        <w:rPr>
          <w:rFonts w:ascii="Arial" w:eastAsia="Times New Roman" w:hAnsi="Arial" w:cs="Arial"/>
          <w:color w:val="000000"/>
          <w:sz w:val="28"/>
          <w:szCs w:val="28"/>
          <w:lang w:eastAsia="es-MX"/>
        </w:rPr>
      </w:pPr>
    </w:p>
    <w:p w14:paraId="2FCE9654" w14:textId="010FE7F9" w:rsidR="00A962AA" w:rsidRDefault="00A962AA" w:rsidP="00FE4FDD">
      <w:pPr>
        <w:jc w:val="both"/>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C</w:t>
      </w:r>
      <w:r w:rsidRPr="00F30699">
        <w:rPr>
          <w:rFonts w:ascii="Arial" w:eastAsia="Times New Roman" w:hAnsi="Arial" w:cs="Arial"/>
          <w:color w:val="000000"/>
          <w:sz w:val="28"/>
          <w:szCs w:val="28"/>
          <w:lang w:eastAsia="es-MX"/>
        </w:rPr>
        <w:t>on fundamento en lo dispuesto por los artículos 122 ter</w:t>
      </w:r>
      <w:r>
        <w:rPr>
          <w:rFonts w:ascii="Arial" w:eastAsia="Times New Roman" w:hAnsi="Arial" w:cs="Arial"/>
          <w:color w:val="000000"/>
          <w:sz w:val="28"/>
          <w:szCs w:val="28"/>
          <w:lang w:eastAsia="es-MX"/>
        </w:rPr>
        <w:t>.,</w:t>
      </w:r>
      <w:r w:rsidRPr="00F30699">
        <w:rPr>
          <w:rFonts w:ascii="Arial" w:eastAsia="Times New Roman" w:hAnsi="Arial" w:cs="Arial"/>
          <w:color w:val="000000"/>
          <w:sz w:val="28"/>
          <w:szCs w:val="28"/>
          <w:lang w:eastAsia="es-MX"/>
        </w:rPr>
        <w:t xml:space="preserve"> de la Constitución Política del Estado de San Luis Potosí</w:t>
      </w:r>
      <w:r>
        <w:rPr>
          <w:rFonts w:ascii="Arial" w:eastAsia="Times New Roman" w:hAnsi="Arial" w:cs="Arial"/>
          <w:color w:val="000000"/>
          <w:sz w:val="28"/>
          <w:szCs w:val="28"/>
          <w:lang w:eastAsia="es-MX"/>
        </w:rPr>
        <w:t>, 26 fracción I del Reglamento Interno de la Fiscalía General del Estado,</w:t>
      </w:r>
      <w:r w:rsidRPr="00F30699">
        <w:rPr>
          <w:rFonts w:ascii="Arial" w:eastAsia="Times New Roman" w:hAnsi="Arial" w:cs="Arial"/>
          <w:color w:val="000000"/>
          <w:sz w:val="28"/>
          <w:szCs w:val="28"/>
          <w:lang w:eastAsia="es-MX"/>
        </w:rPr>
        <w:t xml:space="preserve"> </w:t>
      </w:r>
      <w:r w:rsidR="00FE4FDD">
        <w:rPr>
          <w:rFonts w:ascii="Arial" w:eastAsia="Times New Roman" w:hAnsi="Arial" w:cs="Arial"/>
          <w:color w:val="000000"/>
          <w:sz w:val="28"/>
          <w:szCs w:val="28"/>
          <w:lang w:eastAsia="es-MX"/>
        </w:rPr>
        <w:t>artículo 32- A- del Código Fiscal de la Federación, es que la Fiscalía General del Estado</w:t>
      </w:r>
      <w:r w:rsidR="00F268E3" w:rsidRPr="00F268E3">
        <w:t xml:space="preserve"> </w:t>
      </w:r>
      <w:r w:rsidR="00F268E3" w:rsidRPr="00F268E3">
        <w:rPr>
          <w:rFonts w:ascii="Arial" w:eastAsia="Times New Roman" w:hAnsi="Arial" w:cs="Arial"/>
          <w:color w:val="000000"/>
          <w:sz w:val="28"/>
          <w:szCs w:val="28"/>
          <w:lang w:eastAsia="es-MX"/>
        </w:rPr>
        <w:t>es un Ente Autónomo cuyos Estados Financieros forman parte de la Cuenta Pública del Gobierno del Estado</w:t>
      </w:r>
      <w:r w:rsidR="00F268E3">
        <w:rPr>
          <w:rFonts w:ascii="Arial" w:eastAsia="Times New Roman" w:hAnsi="Arial" w:cs="Arial"/>
          <w:color w:val="000000"/>
          <w:sz w:val="28"/>
          <w:szCs w:val="28"/>
          <w:lang w:eastAsia="es-MX"/>
        </w:rPr>
        <w:t>, derivado a ello es que se</w:t>
      </w:r>
      <w:r w:rsidR="00FE4FDD">
        <w:rPr>
          <w:rFonts w:ascii="Arial" w:eastAsia="Times New Roman" w:hAnsi="Arial" w:cs="Arial"/>
          <w:color w:val="000000"/>
          <w:sz w:val="28"/>
          <w:szCs w:val="28"/>
          <w:lang w:eastAsia="es-MX"/>
        </w:rPr>
        <w:t xml:space="preserve"> optó por </w:t>
      </w:r>
      <w:r w:rsidR="00FE4FDD" w:rsidRPr="009A003C">
        <w:rPr>
          <w:rFonts w:ascii="Arial" w:eastAsia="Times New Roman" w:hAnsi="Arial" w:cs="Arial"/>
          <w:b/>
          <w:color w:val="000000"/>
          <w:sz w:val="28"/>
          <w:szCs w:val="28"/>
          <w:lang w:eastAsia="es-MX"/>
        </w:rPr>
        <w:t xml:space="preserve">NO </w:t>
      </w:r>
      <w:r w:rsidR="00683DA3" w:rsidRPr="009A003C">
        <w:rPr>
          <w:rFonts w:ascii="Arial" w:eastAsia="Times New Roman" w:hAnsi="Arial" w:cs="Arial"/>
          <w:b/>
          <w:color w:val="000000"/>
          <w:sz w:val="28"/>
          <w:szCs w:val="28"/>
          <w:lang w:eastAsia="es-MX"/>
        </w:rPr>
        <w:t>DICTAMINAR SUS ESTADOS FINANCIEROS</w:t>
      </w:r>
      <w:r w:rsidR="00683DA3">
        <w:rPr>
          <w:rFonts w:ascii="Arial" w:eastAsia="Times New Roman" w:hAnsi="Arial" w:cs="Arial"/>
          <w:color w:val="000000"/>
          <w:sz w:val="28"/>
          <w:szCs w:val="28"/>
          <w:lang w:eastAsia="es-MX"/>
        </w:rPr>
        <w:t xml:space="preserve">. Razón por la cual en </w:t>
      </w:r>
      <w:r w:rsidR="00683DA3" w:rsidRPr="00683DA3">
        <w:rPr>
          <w:rFonts w:ascii="Arial" w:eastAsia="Times New Roman" w:hAnsi="Arial" w:cs="Arial"/>
          <w:b/>
          <w:color w:val="000000"/>
          <w:sz w:val="28"/>
          <w:szCs w:val="28"/>
          <w:lang w:eastAsia="es-MX"/>
        </w:rPr>
        <w:t xml:space="preserve">el mes reportado no se cuenta con </w:t>
      </w:r>
      <w:r w:rsidR="00F237D0">
        <w:rPr>
          <w:rFonts w:ascii="Arial" w:eastAsia="Times New Roman" w:hAnsi="Arial" w:cs="Arial"/>
          <w:b/>
          <w:color w:val="000000"/>
          <w:sz w:val="28"/>
          <w:szCs w:val="28"/>
          <w:lang w:eastAsia="es-MX"/>
        </w:rPr>
        <w:t>Estados Financieros Dictaminados.</w:t>
      </w:r>
      <w:bookmarkStart w:id="0" w:name="_GoBack"/>
      <w:bookmarkEnd w:id="0"/>
    </w:p>
    <w:p w14:paraId="2D1E81F4" w14:textId="79957A69" w:rsidR="00A962AA" w:rsidRDefault="00A962AA" w:rsidP="002D0387">
      <w:pPr>
        <w:spacing w:line="360" w:lineRule="auto"/>
        <w:jc w:val="both"/>
        <w:rPr>
          <w:rFonts w:ascii="Arial" w:eastAsia="Times New Roman" w:hAnsi="Arial" w:cs="Arial"/>
          <w:color w:val="000000"/>
          <w:sz w:val="28"/>
          <w:szCs w:val="28"/>
          <w:lang w:eastAsia="es-MX"/>
        </w:rPr>
      </w:pPr>
    </w:p>
    <w:p w14:paraId="7685FC06" w14:textId="0D2256A9" w:rsidR="00683DA3" w:rsidRDefault="00683DA3" w:rsidP="002D0387">
      <w:pPr>
        <w:spacing w:line="360" w:lineRule="auto"/>
        <w:jc w:val="both"/>
        <w:rPr>
          <w:rFonts w:ascii="Arial" w:eastAsia="Times New Roman" w:hAnsi="Arial" w:cs="Arial"/>
          <w:color w:val="000000"/>
          <w:sz w:val="28"/>
          <w:szCs w:val="28"/>
          <w:lang w:eastAsia="es-MX"/>
        </w:rPr>
      </w:pPr>
    </w:p>
    <w:p w14:paraId="79635B32" w14:textId="73AE8A24" w:rsidR="00683DA3" w:rsidRPr="004C3B70" w:rsidRDefault="00683DA3" w:rsidP="002D0387">
      <w:pPr>
        <w:spacing w:line="360" w:lineRule="auto"/>
        <w:jc w:val="both"/>
        <w:rPr>
          <w:rFonts w:ascii="Arial" w:eastAsia="Times New Roman" w:hAnsi="Arial" w:cs="Arial"/>
          <w:b/>
          <w:color w:val="000000"/>
          <w:sz w:val="20"/>
          <w:szCs w:val="20"/>
          <w:lang w:eastAsia="es-MX"/>
        </w:rPr>
      </w:pPr>
      <w:r w:rsidRPr="004C3B70">
        <w:rPr>
          <w:rFonts w:ascii="Arial" w:eastAsia="Times New Roman" w:hAnsi="Arial" w:cs="Arial"/>
          <w:b/>
          <w:color w:val="000000"/>
          <w:sz w:val="20"/>
          <w:szCs w:val="20"/>
          <w:lang w:eastAsia="es-MX"/>
        </w:rPr>
        <w:t>Código Fiscal de la Federación</w:t>
      </w:r>
    </w:p>
    <w:p w14:paraId="319604A8" w14:textId="154DDA3F" w:rsidR="00B50967" w:rsidRDefault="00683DA3" w:rsidP="00683DA3">
      <w:pPr>
        <w:jc w:val="both"/>
        <w:rPr>
          <w:sz w:val="18"/>
          <w:szCs w:val="18"/>
        </w:rPr>
      </w:pPr>
      <w:r w:rsidRPr="00683DA3">
        <w:rPr>
          <w:b/>
          <w:sz w:val="18"/>
          <w:szCs w:val="18"/>
        </w:rPr>
        <w:t>Artículo 32-A</w:t>
      </w:r>
      <w:r w:rsidRPr="00683DA3">
        <w:rPr>
          <w:sz w:val="18"/>
          <w:szCs w:val="18"/>
        </w:rPr>
        <w:t xml:space="preserve">. Las personas físicas con actividades empresariales y las personas morales, que en el ejercicio inmediato anterior hayan obtenido ingresos acumulables superiores a $122,814,830.00, que el valor de su activo determinado en los términos de las reglas de carácter general que al efecto emita el Servicio de Administración Tributaria, sea superior a $97,023,720.00 o que por lo menos trescientos de sus trabajadores les hayan prestado servicios en cada uno de los meses del ejercicio inmediato anterior, podrán optar por dictaminar, en los términos del artículo 52 del Código Fiscal de la Federación, sus estados financieros por contador público autorizado. No podrán ejercer la opción a que se refiere este artículo las entidades paraestatales de la Administración Pública Federal. Los contribuyentes que opten por hacer dictaminar sus estados financieros a que se refiere el párrafo anterior, lo manifestarán al presentar la declaración del ejercicio del impuesto sobre la renta que corresponda al ejercicio por el que se ejerza la opción. Esta opción deberá ejercerse dentro del plazo que las disposiciones legales establezcan para la presentación de la declaración del ejercicio del impuesto sobre la renta. No se dará efecto legal alguno al ejercicio de la opción fuera del plazo mencionado. Los contribuyentes que hayan optado por presentar el dictamen de los estados financieros formulado por contador público registrado deberán presentarlo dentro de los plazos autorizados, incluyendo la información y documentación, de acuerdo con lo dispuesto por el Reglamento de este Código y las reglas de carácter general que al efecto emita el Servicio de Administración Tributaria, a más tardar el 15 de julio del año inmediato posterior a la terminación del ejercicio de que se trate. En el caso de que en el dictamen se determinen diferencias de impuestos a pagar, éstas deberán enterarse mediante declaración complementaria en las oficinas autorizadas dentro de los diez días posteriores a la presentación del dictamen. Los contribuyentes que ejerzan la opción a que se refiere este artículo, tendrán por cumplida la obligación de presentar la información a que se refiere </w:t>
      </w:r>
      <w:r w:rsidR="008C7BD6">
        <w:rPr>
          <w:sz w:val="18"/>
          <w:szCs w:val="18"/>
        </w:rPr>
        <w:t>el artículo 32-H de este Código.</w:t>
      </w:r>
      <w:r w:rsidR="004C3B70">
        <w:rPr>
          <w:sz w:val="18"/>
          <w:szCs w:val="18"/>
        </w:rPr>
        <w:t xml:space="preserve"> </w:t>
      </w:r>
    </w:p>
    <w:p w14:paraId="66BA5769" w14:textId="15B83DA6" w:rsidR="004C3B70" w:rsidRDefault="004C3B70" w:rsidP="00683DA3">
      <w:pPr>
        <w:jc w:val="both"/>
        <w:rPr>
          <w:sz w:val="18"/>
          <w:szCs w:val="18"/>
        </w:rPr>
      </w:pPr>
    </w:p>
    <w:p w14:paraId="2D1CA805" w14:textId="77777777" w:rsidR="004C3B70" w:rsidRPr="00AB39D2" w:rsidRDefault="004C3B70" w:rsidP="004C3B70">
      <w:pPr>
        <w:spacing w:line="360" w:lineRule="auto"/>
        <w:jc w:val="both"/>
        <w:rPr>
          <w:rFonts w:ascii="Arial" w:eastAsia="Times New Roman" w:hAnsi="Arial" w:cs="Arial"/>
          <w:b/>
          <w:color w:val="000000"/>
          <w:sz w:val="20"/>
          <w:szCs w:val="20"/>
          <w:lang w:eastAsia="es-MX"/>
        </w:rPr>
      </w:pPr>
      <w:r w:rsidRPr="001A34EB">
        <w:rPr>
          <w:rFonts w:ascii="Arial" w:eastAsia="Times New Roman" w:hAnsi="Arial" w:cs="Arial"/>
          <w:b/>
          <w:color w:val="000000"/>
          <w:sz w:val="20"/>
          <w:szCs w:val="20"/>
          <w:lang w:eastAsia="es-MX"/>
        </w:rPr>
        <w:t>*</w:t>
      </w:r>
      <w:r w:rsidRPr="00AB39D2">
        <w:rPr>
          <w:rFonts w:ascii="Arial" w:eastAsia="Times New Roman" w:hAnsi="Arial" w:cs="Arial"/>
          <w:b/>
          <w:color w:val="000000"/>
          <w:sz w:val="20"/>
          <w:szCs w:val="20"/>
          <w:lang w:eastAsia="es-MX"/>
        </w:rPr>
        <w:t>Constitución Política del Estado de San Luis Potosí</w:t>
      </w:r>
    </w:p>
    <w:p w14:paraId="3F66A567" w14:textId="77777777" w:rsidR="004C3B70" w:rsidRPr="004C3B70" w:rsidRDefault="004C3B70" w:rsidP="004C3B70">
      <w:pPr>
        <w:pStyle w:val="Sinespaciado"/>
        <w:rPr>
          <w:rFonts w:eastAsia="Times New Roman"/>
          <w:sz w:val="18"/>
          <w:szCs w:val="18"/>
          <w:lang w:eastAsia="es-MX"/>
        </w:rPr>
      </w:pPr>
      <w:r w:rsidRPr="004C3B70">
        <w:rPr>
          <w:rFonts w:eastAsia="Times New Roman"/>
          <w:b/>
          <w:sz w:val="18"/>
          <w:szCs w:val="18"/>
          <w:lang w:eastAsia="es-MX"/>
        </w:rPr>
        <w:t>ARTÍCULO  122 TER.</w:t>
      </w:r>
      <w:r w:rsidRPr="004C3B70">
        <w:rPr>
          <w:rFonts w:eastAsia="Times New Roman"/>
          <w:sz w:val="18"/>
          <w:szCs w:val="18"/>
          <w:lang w:eastAsia="es-MX"/>
        </w:rPr>
        <w:t xml:space="preserve">  Corresponde al Ministerio Público la investigación y la persecución ante  los tribunales,  de todos  los delitos del fuero común; para ello contará con facultades para solicitar las medidas   cautelares   contra  los  imputados;   buscar  y  presentar  las  pruebas   que  acrediten  la participación de éstos en hechos que las leyes señalen como delito;  procurará que los  juicios en materia  penal  se  sigan  con  toda  regularidad  para  que  la  impartición  de  justicia  sea  pronta  y expedita;   pedirá  la  aplicación  de  las  penas,  e  intervendrá  en  todos  los  asuntos  que  la  ley determine.</w:t>
      </w:r>
    </w:p>
    <w:p w14:paraId="5FE4353C" w14:textId="77777777" w:rsidR="004C3B70" w:rsidRPr="004C3B70" w:rsidRDefault="004C3B70" w:rsidP="004C3B70">
      <w:pPr>
        <w:pStyle w:val="Sinespaciado"/>
        <w:rPr>
          <w:rFonts w:eastAsia="Times New Roman"/>
          <w:sz w:val="18"/>
          <w:szCs w:val="18"/>
          <w:lang w:eastAsia="es-MX"/>
        </w:rPr>
      </w:pPr>
      <w:r w:rsidRPr="004C3B70">
        <w:rPr>
          <w:rFonts w:eastAsia="Times New Roman"/>
          <w:sz w:val="18"/>
          <w:szCs w:val="18"/>
          <w:lang w:eastAsia="es-MX"/>
        </w:rPr>
        <w:t xml:space="preserve">La Fiscalía General contará, al menos, con las fiscalías especializadas en delitos relacionados con hechos de corrupción, y en materia de delitos electorales; los titulares de las mismas serán electos y removidos en los mismos términos que para el caso del Fiscal General del </w:t>
      </w:r>
      <w:r w:rsidRPr="004C3B70">
        <w:rPr>
          <w:rFonts w:eastAsia="Times New Roman"/>
          <w:sz w:val="18"/>
          <w:szCs w:val="18"/>
          <w:lang w:eastAsia="es-MX"/>
        </w:rPr>
        <w:lastRenderedPageBreak/>
        <w:t>Estado; los titulares de las demás fiscalías, así como los servidores públicos de esa institución, serán designados y removidos por el Fiscal General en los términos que la ley determine.</w:t>
      </w:r>
    </w:p>
    <w:p w14:paraId="50DB3050" w14:textId="77777777" w:rsidR="004C3B70" w:rsidRPr="004C3B70" w:rsidRDefault="004C3B70" w:rsidP="004C3B70">
      <w:pPr>
        <w:pStyle w:val="Sinespaciado"/>
        <w:rPr>
          <w:rFonts w:eastAsia="Times New Roman"/>
          <w:sz w:val="18"/>
          <w:szCs w:val="18"/>
          <w:lang w:eastAsia="es-MX"/>
        </w:rPr>
      </w:pPr>
      <w:r w:rsidRPr="004C3B70">
        <w:rPr>
          <w:rFonts w:eastAsia="Times New Roman"/>
          <w:sz w:val="18"/>
          <w:szCs w:val="18"/>
          <w:lang w:eastAsia="es-MX"/>
        </w:rPr>
        <w:t>La ley establecerá un servicio profesional de carrera que reglamente las bases para el ingreso, permanencia, ascensos, formación, profesionalización, y actualización de los servidores públicos de la Fiscalía, regido por los principios de, legalidad, objetividad, eficiencia, mérito, profesionalismo, honradez y respeto a los derechos humanos.</w:t>
      </w:r>
    </w:p>
    <w:p w14:paraId="03D94E06" w14:textId="77777777" w:rsidR="004C3B70" w:rsidRPr="004C3B70" w:rsidRDefault="004C3B70" w:rsidP="004C3B70">
      <w:pPr>
        <w:pStyle w:val="Sinespaciado"/>
        <w:rPr>
          <w:rFonts w:eastAsia="Times New Roman"/>
          <w:sz w:val="18"/>
          <w:szCs w:val="18"/>
          <w:lang w:eastAsia="es-MX"/>
        </w:rPr>
      </w:pPr>
    </w:p>
    <w:p w14:paraId="4292F14E" w14:textId="77777777" w:rsidR="004C3B70" w:rsidRPr="004C3B70" w:rsidRDefault="004C3B70" w:rsidP="004C3B70">
      <w:pPr>
        <w:pStyle w:val="Sinespaciado"/>
        <w:rPr>
          <w:rFonts w:eastAsia="Times New Roman"/>
          <w:sz w:val="18"/>
          <w:szCs w:val="18"/>
          <w:lang w:eastAsia="es-MX"/>
        </w:rPr>
      </w:pPr>
      <w:r w:rsidRPr="004C3B70">
        <w:rPr>
          <w:rFonts w:eastAsia="Times New Roman"/>
          <w:sz w:val="18"/>
          <w:szCs w:val="18"/>
          <w:lang w:eastAsia="es-MX"/>
        </w:rPr>
        <w:t>El Fiscal General presentaría (sic) a los poderes, Legislativo; y Ejecutivo, un informe escrito de sus actividades, la primera quincena del mes de noviembre de cada año; con excepción del último año de su periodo constitucional, en cuyo caso deberá hacerlo la primera quincena del mes de octubre; y, en su caso, comparecerá (sic) personalmente al Congreso del Estado a la glosa del mismo, en un plazo no mayor a treinta días posteriores a la entrega del informe escrito.</w:t>
      </w:r>
    </w:p>
    <w:p w14:paraId="1A400EDC" w14:textId="77777777" w:rsidR="004C3B70" w:rsidRPr="004C3B70" w:rsidRDefault="004C3B70" w:rsidP="004C3B70">
      <w:pPr>
        <w:pStyle w:val="Sinespaciado"/>
        <w:rPr>
          <w:rFonts w:eastAsia="Times New Roman"/>
          <w:sz w:val="18"/>
          <w:szCs w:val="18"/>
          <w:lang w:eastAsia="es-MX"/>
        </w:rPr>
      </w:pPr>
    </w:p>
    <w:p w14:paraId="2686D960" w14:textId="77777777" w:rsidR="004C3B70" w:rsidRPr="004C3B70" w:rsidRDefault="004C3B70" w:rsidP="004C3B70">
      <w:pPr>
        <w:pStyle w:val="Sinespaciado"/>
        <w:rPr>
          <w:rFonts w:ascii="Arial" w:eastAsia="Times New Roman" w:hAnsi="Arial" w:cs="Arial"/>
          <w:b/>
          <w:sz w:val="20"/>
          <w:szCs w:val="20"/>
          <w:lang w:eastAsia="es-MX"/>
        </w:rPr>
      </w:pPr>
      <w:r w:rsidRPr="004C3B70">
        <w:rPr>
          <w:rFonts w:ascii="Arial" w:eastAsia="Times New Roman" w:hAnsi="Arial" w:cs="Arial"/>
          <w:b/>
          <w:sz w:val="20"/>
          <w:szCs w:val="20"/>
          <w:lang w:eastAsia="es-MX"/>
        </w:rPr>
        <w:t>*REGLAMENTO INTERNO DE LA FISCALÍA GENERAL DEL ESTADO DE SAN LUIS POTOSÍ</w:t>
      </w:r>
    </w:p>
    <w:p w14:paraId="1E4E0E58" w14:textId="77777777" w:rsidR="004C3B70" w:rsidRPr="004C3B70" w:rsidRDefault="004C3B70" w:rsidP="004C3B70">
      <w:pPr>
        <w:pStyle w:val="Sinespaciado"/>
        <w:rPr>
          <w:rFonts w:eastAsia="Times New Roman"/>
          <w:sz w:val="18"/>
          <w:szCs w:val="18"/>
          <w:lang w:eastAsia="es-MX"/>
        </w:rPr>
      </w:pPr>
      <w:r w:rsidRPr="004C3B70">
        <w:rPr>
          <w:rFonts w:eastAsia="Times New Roman"/>
          <w:b/>
          <w:sz w:val="18"/>
          <w:szCs w:val="18"/>
          <w:lang w:eastAsia="es-MX"/>
        </w:rPr>
        <w:t>Artículo 26.</w:t>
      </w:r>
      <w:r w:rsidRPr="004C3B70">
        <w:rPr>
          <w:rFonts w:eastAsia="Times New Roman"/>
          <w:sz w:val="18"/>
          <w:szCs w:val="18"/>
          <w:lang w:eastAsia="es-MX"/>
        </w:rPr>
        <w:t xml:space="preserve">  Director General de Administración</w:t>
      </w:r>
    </w:p>
    <w:p w14:paraId="338910F9" w14:textId="77777777" w:rsidR="004C3B70" w:rsidRPr="004C3B70" w:rsidRDefault="004C3B70" w:rsidP="004C3B70">
      <w:pPr>
        <w:pStyle w:val="Sinespaciado"/>
        <w:rPr>
          <w:rFonts w:eastAsia="Times New Roman"/>
          <w:sz w:val="18"/>
          <w:szCs w:val="18"/>
          <w:lang w:eastAsia="es-MX"/>
        </w:rPr>
      </w:pPr>
      <w:r w:rsidRPr="004C3B70">
        <w:rPr>
          <w:rFonts w:eastAsia="Times New Roman"/>
          <w:sz w:val="18"/>
          <w:szCs w:val="18"/>
          <w:lang w:eastAsia="es-MX"/>
        </w:rPr>
        <w:t>Al frente de la Dirección General de Administración de la Fiscalía General del Estado, habrá un Director General, quien será nombrado y removido libremente por el Fiscal General, quien para el correcto desempeño de su función contará con las facultades siguientes:</w:t>
      </w:r>
    </w:p>
    <w:p w14:paraId="2C5CF37B" w14:textId="77777777" w:rsidR="004C3B70" w:rsidRPr="004C3B70" w:rsidRDefault="004C3B70" w:rsidP="004C3B70">
      <w:pPr>
        <w:pStyle w:val="Sinespaciado"/>
        <w:rPr>
          <w:rFonts w:eastAsia="Times New Roman"/>
          <w:sz w:val="18"/>
          <w:szCs w:val="18"/>
          <w:lang w:eastAsia="es-MX"/>
        </w:rPr>
      </w:pPr>
      <w:r w:rsidRPr="004C3B70">
        <w:rPr>
          <w:rFonts w:eastAsia="Times New Roman"/>
          <w:sz w:val="18"/>
          <w:szCs w:val="18"/>
          <w:lang w:eastAsia="es-MX"/>
        </w:rPr>
        <w:t>l. Administrar   los   recursos humanos, materiales, financieros, patrimoniales, presupuestales   y cualquier otro asignado a la Fiscalía General de conformidad con las políticas, en esta materia, aprobadas por el Fiscal General;</w:t>
      </w:r>
    </w:p>
    <w:p w14:paraId="5821CF5D" w14:textId="77777777" w:rsidR="004C3B70" w:rsidRPr="00683DA3" w:rsidRDefault="004C3B70" w:rsidP="00683DA3">
      <w:pPr>
        <w:jc w:val="both"/>
        <w:rPr>
          <w:rFonts w:ascii="Arial" w:eastAsia="Times New Roman" w:hAnsi="Arial" w:cs="Arial"/>
          <w:color w:val="000000"/>
          <w:sz w:val="18"/>
          <w:szCs w:val="18"/>
          <w:lang w:eastAsia="es-MX"/>
        </w:rPr>
      </w:pPr>
    </w:p>
    <w:sectPr w:rsidR="004C3B70" w:rsidRPr="00683DA3" w:rsidSect="00717CF8">
      <w:headerReference w:type="default" r:id="rId8"/>
      <w:footerReference w:type="default" r:id="rId9"/>
      <w:pgSz w:w="12240" w:h="15840" w:code="1"/>
      <w:pgMar w:top="2268" w:right="1134" w:bottom="1418" w:left="1134" w:header="709" w:footer="141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02B14" w14:textId="77777777" w:rsidR="003B5351" w:rsidRDefault="003B5351" w:rsidP="00961F3B">
      <w:r>
        <w:separator/>
      </w:r>
    </w:p>
  </w:endnote>
  <w:endnote w:type="continuationSeparator" w:id="0">
    <w:p w14:paraId="320F907F" w14:textId="77777777" w:rsidR="003B5351" w:rsidRDefault="003B5351" w:rsidP="00961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E60BD" w14:textId="71014E08" w:rsidR="00FA5484" w:rsidRDefault="00717045" w:rsidP="00717045">
    <w:pPr>
      <w:pStyle w:val="Piedepgina"/>
      <w:jc w:val="right"/>
      <w:rPr>
        <w:rFonts w:ascii="Arial" w:hAnsi="Arial" w:cs="Arial"/>
        <w:noProof/>
        <w:color w:val="000000" w:themeColor="text1"/>
        <w:sz w:val="13"/>
        <w:lang w:eastAsia="es-ES_tradnl"/>
      </w:rPr>
    </w:pPr>
    <w:r w:rsidRPr="00E27D91">
      <w:rPr>
        <w:rFonts w:ascii="Arial" w:hAnsi="Arial" w:cs="Arial"/>
        <w:noProof/>
        <w:sz w:val="13"/>
        <w:lang w:val="es-MX" w:eastAsia="es-MX"/>
      </w:rPr>
      <w:drawing>
        <wp:anchor distT="0" distB="0" distL="114300" distR="114300" simplePos="0" relativeHeight="251660288" behindDoc="1" locked="0" layoutInCell="1" allowOverlap="1" wp14:anchorId="42B66EF1" wp14:editId="5533FE4B">
          <wp:simplePos x="0" y="0"/>
          <wp:positionH relativeFrom="column">
            <wp:posOffset>-760095</wp:posOffset>
          </wp:positionH>
          <wp:positionV relativeFrom="paragraph">
            <wp:posOffset>72621</wp:posOffset>
          </wp:positionV>
          <wp:extent cx="7991475" cy="80264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12.png"/>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000000" w:themeColor="text1"/>
        <w:sz w:val="13"/>
        <w:lang w:eastAsia="es-ES_tradnl"/>
      </w:rPr>
      <w:t>Fi</w:t>
    </w:r>
    <w:r w:rsidR="00FA5484">
      <w:rPr>
        <w:rFonts w:ascii="Arial" w:hAnsi="Arial" w:cs="Arial"/>
        <w:noProof/>
        <w:color w:val="000000" w:themeColor="text1"/>
        <w:sz w:val="13"/>
        <w:lang w:eastAsia="es-ES_tradnl"/>
      </w:rPr>
      <w:t>scalía General del Estado de SLP</w:t>
    </w:r>
  </w:p>
  <w:p w14:paraId="28545F2B" w14:textId="6505EC0F" w:rsidR="002054C1" w:rsidRDefault="00FB4152" w:rsidP="008C1FCF">
    <w:pPr>
      <w:pStyle w:val="Piedepgina"/>
      <w:jc w:val="right"/>
      <w:rPr>
        <w:rFonts w:ascii="Arial" w:hAnsi="Arial" w:cs="Arial"/>
        <w:noProof/>
        <w:color w:val="000000" w:themeColor="text1"/>
        <w:sz w:val="13"/>
        <w:lang w:eastAsia="es-ES_tradnl"/>
      </w:rPr>
    </w:pPr>
    <w:r>
      <w:rPr>
        <w:rFonts w:ascii="Arial" w:hAnsi="Arial" w:cs="Arial"/>
        <w:noProof/>
        <w:color w:val="000000" w:themeColor="text1"/>
        <w:sz w:val="13"/>
        <w:lang w:eastAsia="es-ES_tradnl"/>
      </w:rPr>
      <w:t>Dirección General de Administración</w:t>
    </w:r>
  </w:p>
  <w:p w14:paraId="26436FCB" w14:textId="112DE26E" w:rsidR="008C1FCF" w:rsidRPr="00E27D91" w:rsidRDefault="00244CB1" w:rsidP="008C1FCF">
    <w:pPr>
      <w:pStyle w:val="Piedepgina"/>
      <w:jc w:val="right"/>
      <w:rPr>
        <w:rFonts w:ascii="Arial" w:hAnsi="Arial" w:cs="Arial"/>
        <w:noProof/>
        <w:color w:val="000000" w:themeColor="text1"/>
        <w:sz w:val="13"/>
        <w:lang w:eastAsia="es-ES_tradnl"/>
      </w:rPr>
    </w:pPr>
    <w:r w:rsidRPr="00E27D91">
      <w:rPr>
        <w:rFonts w:ascii="Arial" w:hAnsi="Arial" w:cs="Arial"/>
        <w:noProof/>
        <w:color w:val="000000" w:themeColor="text1"/>
        <w:sz w:val="13"/>
        <w:lang w:eastAsia="es-ES_tradnl"/>
      </w:rPr>
      <w:t>Eje Vial No. 100, Zona Centro,</w:t>
    </w:r>
  </w:p>
  <w:p w14:paraId="62007D79" w14:textId="1606BC50" w:rsidR="00244CB1" w:rsidRPr="00E27D91" w:rsidRDefault="00244CB1" w:rsidP="00244CB1">
    <w:pPr>
      <w:pStyle w:val="Piedepgina"/>
      <w:jc w:val="right"/>
      <w:rPr>
        <w:rFonts w:ascii="Arial" w:hAnsi="Arial" w:cs="Arial"/>
        <w:noProof/>
        <w:color w:val="000000" w:themeColor="text1"/>
        <w:sz w:val="13"/>
        <w:lang w:eastAsia="es-ES_tradnl"/>
      </w:rPr>
    </w:pPr>
    <w:r w:rsidRPr="00E27D91">
      <w:rPr>
        <w:rFonts w:ascii="Arial" w:hAnsi="Arial" w:cs="Arial"/>
        <w:noProof/>
        <w:color w:val="000000" w:themeColor="text1"/>
        <w:sz w:val="13"/>
        <w:lang w:eastAsia="es-ES_tradnl"/>
      </w:rPr>
      <w:t>San Luis Potosí, S.L.P. C.P. 78000</w:t>
    </w:r>
  </w:p>
  <w:p w14:paraId="47DA70DC" w14:textId="5CE2FACC" w:rsidR="00244CB1" w:rsidRPr="008C1FCF" w:rsidRDefault="00244CB1" w:rsidP="00244CB1">
    <w:pPr>
      <w:pStyle w:val="Piedepgina"/>
      <w:jc w:val="right"/>
      <w:rPr>
        <w:rFonts w:ascii="Arial" w:hAnsi="Arial" w:cs="Arial"/>
        <w:noProof/>
        <w:color w:val="000000" w:themeColor="text1"/>
        <w:sz w:val="16"/>
        <w:lang w:eastAsia="es-ES_tradnl"/>
      </w:rPr>
    </w:pPr>
    <w:r w:rsidRPr="00E27D91">
      <w:rPr>
        <w:rFonts w:ascii="Arial" w:hAnsi="Arial" w:cs="Arial"/>
        <w:noProof/>
        <w:color w:val="000000" w:themeColor="text1"/>
        <w:sz w:val="13"/>
        <w:lang w:eastAsia="es-ES_tradnl"/>
      </w:rPr>
      <w:t>Tel. 01 (444) 812 26 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5EF93" w14:textId="77777777" w:rsidR="003B5351" w:rsidRDefault="003B5351" w:rsidP="00961F3B">
      <w:r>
        <w:separator/>
      </w:r>
    </w:p>
  </w:footnote>
  <w:footnote w:type="continuationSeparator" w:id="0">
    <w:p w14:paraId="02C9C278" w14:textId="77777777" w:rsidR="003B5351" w:rsidRDefault="003B5351" w:rsidP="00961F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A499F" w14:textId="10A3FE60" w:rsidR="00961F3B" w:rsidRDefault="00BE6BCF" w:rsidP="00850661">
    <w:pPr>
      <w:pStyle w:val="Encabezado"/>
      <w:tabs>
        <w:tab w:val="clear" w:pos="4419"/>
        <w:tab w:val="clear" w:pos="8838"/>
        <w:tab w:val="left" w:pos="812"/>
      </w:tabs>
    </w:pPr>
    <w:r w:rsidRPr="00BE6BCF">
      <w:rPr>
        <w:noProof/>
        <w:lang w:val="es-MX" w:eastAsia="es-MX"/>
      </w:rPr>
      <w:drawing>
        <wp:anchor distT="0" distB="0" distL="114300" distR="114300" simplePos="0" relativeHeight="251660799" behindDoc="1" locked="0" layoutInCell="1" allowOverlap="1" wp14:anchorId="34E303C8" wp14:editId="77CC397E">
          <wp:simplePos x="0" y="0"/>
          <wp:positionH relativeFrom="column">
            <wp:posOffset>-710565</wp:posOffset>
          </wp:positionH>
          <wp:positionV relativeFrom="paragraph">
            <wp:posOffset>-488315</wp:posOffset>
          </wp:positionV>
          <wp:extent cx="7896225" cy="1431513"/>
          <wp:effectExtent l="0" t="0" r="0" b="0"/>
          <wp:wrapNone/>
          <wp:docPr id="1" name="Imagen 1" descr="Z:\Diseños a Revision\2018\FISCALIA\Aplicaciones\Papeleria\Hoja Membretada\Nuevos Formatos\Administrativo\Logo a Color\Background_logo Color-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iseños a Revision\2018\FISCALIA\Aplicaciones\Papeleria\Hoja Membretada\Nuevos Formatos\Administrativo\Logo a Color\Background_logo Color-2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6225" cy="143151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MX" w:eastAsia="es-MX"/>
      </w:rPr>
      <w:t xml:space="preserve"> </w:t>
    </w:r>
    <w:r w:rsidR="00850661">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73317C"/>
    <w:multiLevelType w:val="hybridMultilevel"/>
    <w:tmpl w:val="4F7CA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F3B"/>
    <w:rsid w:val="00033360"/>
    <w:rsid w:val="000516AB"/>
    <w:rsid w:val="000621CA"/>
    <w:rsid w:val="00074CBB"/>
    <w:rsid w:val="0009152F"/>
    <w:rsid w:val="000A7304"/>
    <w:rsid w:val="000F34F2"/>
    <w:rsid w:val="001129F9"/>
    <w:rsid w:val="00117406"/>
    <w:rsid w:val="00153CD1"/>
    <w:rsid w:val="001569ED"/>
    <w:rsid w:val="00174F96"/>
    <w:rsid w:val="001804EB"/>
    <w:rsid w:val="00196E5A"/>
    <w:rsid w:val="001A0FF2"/>
    <w:rsid w:val="001A32B1"/>
    <w:rsid w:val="001C1FF5"/>
    <w:rsid w:val="00203216"/>
    <w:rsid w:val="002054C1"/>
    <w:rsid w:val="00207633"/>
    <w:rsid w:val="00237339"/>
    <w:rsid w:val="00244CB1"/>
    <w:rsid w:val="002648E0"/>
    <w:rsid w:val="00274D5A"/>
    <w:rsid w:val="002C182D"/>
    <w:rsid w:val="002C1F57"/>
    <w:rsid w:val="002D0260"/>
    <w:rsid w:val="002D0387"/>
    <w:rsid w:val="002E6FF2"/>
    <w:rsid w:val="003054AA"/>
    <w:rsid w:val="003067C2"/>
    <w:rsid w:val="003311E5"/>
    <w:rsid w:val="003364AA"/>
    <w:rsid w:val="00337E40"/>
    <w:rsid w:val="00350C59"/>
    <w:rsid w:val="00374FE9"/>
    <w:rsid w:val="00380488"/>
    <w:rsid w:val="0039132B"/>
    <w:rsid w:val="003B5351"/>
    <w:rsid w:val="00433942"/>
    <w:rsid w:val="0044282E"/>
    <w:rsid w:val="00445F9A"/>
    <w:rsid w:val="00485BA6"/>
    <w:rsid w:val="00487010"/>
    <w:rsid w:val="00497E2D"/>
    <w:rsid w:val="004A184C"/>
    <w:rsid w:val="004A5909"/>
    <w:rsid w:val="004B1662"/>
    <w:rsid w:val="004C3B70"/>
    <w:rsid w:val="004E261F"/>
    <w:rsid w:val="004E465F"/>
    <w:rsid w:val="00550B75"/>
    <w:rsid w:val="00551DF0"/>
    <w:rsid w:val="00580FCC"/>
    <w:rsid w:val="00584602"/>
    <w:rsid w:val="005A1DFB"/>
    <w:rsid w:val="005C750C"/>
    <w:rsid w:val="005D6F7B"/>
    <w:rsid w:val="005F0DA0"/>
    <w:rsid w:val="005F457C"/>
    <w:rsid w:val="00633FD2"/>
    <w:rsid w:val="006639DB"/>
    <w:rsid w:val="00670B8D"/>
    <w:rsid w:val="00675F4D"/>
    <w:rsid w:val="00676125"/>
    <w:rsid w:val="00677AEE"/>
    <w:rsid w:val="00683DA3"/>
    <w:rsid w:val="00687D08"/>
    <w:rsid w:val="006B4084"/>
    <w:rsid w:val="006C1C60"/>
    <w:rsid w:val="006E6D1D"/>
    <w:rsid w:val="006F27CC"/>
    <w:rsid w:val="00717045"/>
    <w:rsid w:val="00717CF8"/>
    <w:rsid w:val="007313C1"/>
    <w:rsid w:val="00762ECE"/>
    <w:rsid w:val="00771908"/>
    <w:rsid w:val="00772913"/>
    <w:rsid w:val="007768CC"/>
    <w:rsid w:val="00781D2F"/>
    <w:rsid w:val="007A28F6"/>
    <w:rsid w:val="007B43AD"/>
    <w:rsid w:val="007C531F"/>
    <w:rsid w:val="007D6585"/>
    <w:rsid w:val="007F0237"/>
    <w:rsid w:val="00845198"/>
    <w:rsid w:val="00850661"/>
    <w:rsid w:val="00854CCF"/>
    <w:rsid w:val="0086360D"/>
    <w:rsid w:val="008C1FCF"/>
    <w:rsid w:val="008C7BD6"/>
    <w:rsid w:val="008D3B76"/>
    <w:rsid w:val="00931B62"/>
    <w:rsid w:val="009445F1"/>
    <w:rsid w:val="00951C80"/>
    <w:rsid w:val="009527D5"/>
    <w:rsid w:val="00961F3B"/>
    <w:rsid w:val="009774A5"/>
    <w:rsid w:val="009A003C"/>
    <w:rsid w:val="009D1416"/>
    <w:rsid w:val="009D3B91"/>
    <w:rsid w:val="00A00378"/>
    <w:rsid w:val="00A3119E"/>
    <w:rsid w:val="00A5547F"/>
    <w:rsid w:val="00A720FD"/>
    <w:rsid w:val="00A962AA"/>
    <w:rsid w:val="00AD3D7C"/>
    <w:rsid w:val="00AE70C4"/>
    <w:rsid w:val="00AE72A2"/>
    <w:rsid w:val="00AF2FB4"/>
    <w:rsid w:val="00AF7A5D"/>
    <w:rsid w:val="00B00015"/>
    <w:rsid w:val="00B47C27"/>
    <w:rsid w:val="00B50967"/>
    <w:rsid w:val="00B94D54"/>
    <w:rsid w:val="00BA4D30"/>
    <w:rsid w:val="00BE6BCF"/>
    <w:rsid w:val="00C01500"/>
    <w:rsid w:val="00C23B4B"/>
    <w:rsid w:val="00C23FAD"/>
    <w:rsid w:val="00C45988"/>
    <w:rsid w:val="00C5041B"/>
    <w:rsid w:val="00C60803"/>
    <w:rsid w:val="00C87EB4"/>
    <w:rsid w:val="00C96F2F"/>
    <w:rsid w:val="00CD23C1"/>
    <w:rsid w:val="00D024F4"/>
    <w:rsid w:val="00D05377"/>
    <w:rsid w:val="00D22267"/>
    <w:rsid w:val="00D23898"/>
    <w:rsid w:val="00D31EEE"/>
    <w:rsid w:val="00D35E6C"/>
    <w:rsid w:val="00D449A0"/>
    <w:rsid w:val="00D44B8D"/>
    <w:rsid w:val="00D96174"/>
    <w:rsid w:val="00DC686A"/>
    <w:rsid w:val="00DD6DC7"/>
    <w:rsid w:val="00E122EA"/>
    <w:rsid w:val="00E1624C"/>
    <w:rsid w:val="00E21D0D"/>
    <w:rsid w:val="00E27D91"/>
    <w:rsid w:val="00E334C7"/>
    <w:rsid w:val="00E459F1"/>
    <w:rsid w:val="00E7366C"/>
    <w:rsid w:val="00E80BD7"/>
    <w:rsid w:val="00E82FD0"/>
    <w:rsid w:val="00E94B6C"/>
    <w:rsid w:val="00EC29D1"/>
    <w:rsid w:val="00ED1602"/>
    <w:rsid w:val="00F0180B"/>
    <w:rsid w:val="00F1741C"/>
    <w:rsid w:val="00F237D0"/>
    <w:rsid w:val="00F268E3"/>
    <w:rsid w:val="00F46007"/>
    <w:rsid w:val="00F47D67"/>
    <w:rsid w:val="00F65B28"/>
    <w:rsid w:val="00F9333F"/>
    <w:rsid w:val="00FA5484"/>
    <w:rsid w:val="00FB4152"/>
    <w:rsid w:val="00FD3263"/>
    <w:rsid w:val="00FD7A01"/>
    <w:rsid w:val="00FE4FD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89F07"/>
  <w14:defaultImageDpi w14:val="32767"/>
  <w15:docId w15:val="{4D7A59AD-D8D7-4C88-9F89-32010A533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F3B"/>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1F3B"/>
    <w:pPr>
      <w:tabs>
        <w:tab w:val="center" w:pos="4419"/>
        <w:tab w:val="right" w:pos="8838"/>
      </w:tabs>
    </w:pPr>
  </w:style>
  <w:style w:type="character" w:customStyle="1" w:styleId="EncabezadoCar">
    <w:name w:val="Encabezado Car"/>
    <w:basedOn w:val="Fuentedeprrafopredeter"/>
    <w:link w:val="Encabezado"/>
    <w:uiPriority w:val="99"/>
    <w:rsid w:val="00961F3B"/>
    <w:rPr>
      <w:rFonts w:eastAsiaTheme="minorEastAsia"/>
      <w:lang w:eastAsia="es-ES"/>
    </w:rPr>
  </w:style>
  <w:style w:type="paragraph" w:styleId="Piedepgina">
    <w:name w:val="footer"/>
    <w:basedOn w:val="Normal"/>
    <w:link w:val="PiedepginaCar"/>
    <w:uiPriority w:val="99"/>
    <w:unhideWhenUsed/>
    <w:rsid w:val="00961F3B"/>
    <w:pPr>
      <w:tabs>
        <w:tab w:val="center" w:pos="4419"/>
        <w:tab w:val="right" w:pos="8838"/>
      </w:tabs>
    </w:pPr>
  </w:style>
  <w:style w:type="character" w:customStyle="1" w:styleId="PiedepginaCar">
    <w:name w:val="Pie de página Car"/>
    <w:basedOn w:val="Fuentedeprrafopredeter"/>
    <w:link w:val="Piedepgina"/>
    <w:uiPriority w:val="99"/>
    <w:rsid w:val="00961F3B"/>
    <w:rPr>
      <w:rFonts w:eastAsiaTheme="minorEastAsia"/>
      <w:lang w:eastAsia="es-ES"/>
    </w:rPr>
  </w:style>
  <w:style w:type="paragraph" w:styleId="Textodeglobo">
    <w:name w:val="Balloon Text"/>
    <w:basedOn w:val="Normal"/>
    <w:link w:val="TextodegloboCar"/>
    <w:uiPriority w:val="99"/>
    <w:semiHidden/>
    <w:unhideWhenUsed/>
    <w:rsid w:val="00E334C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34C7"/>
    <w:rPr>
      <w:rFonts w:ascii="Segoe UI" w:eastAsiaTheme="minorEastAsia" w:hAnsi="Segoe UI" w:cs="Segoe UI"/>
      <w:sz w:val="18"/>
      <w:szCs w:val="18"/>
      <w:lang w:eastAsia="es-ES"/>
    </w:rPr>
  </w:style>
  <w:style w:type="paragraph" w:styleId="Prrafodelista">
    <w:name w:val="List Paragraph"/>
    <w:basedOn w:val="Normal"/>
    <w:uiPriority w:val="34"/>
    <w:qFormat/>
    <w:rsid w:val="00F47D67"/>
    <w:pPr>
      <w:ind w:left="720"/>
      <w:contextualSpacing/>
    </w:pPr>
  </w:style>
  <w:style w:type="paragraph" w:styleId="Textonotapie">
    <w:name w:val="footnote text"/>
    <w:basedOn w:val="Normal"/>
    <w:link w:val="TextonotapieCar"/>
    <w:uiPriority w:val="99"/>
    <w:semiHidden/>
    <w:unhideWhenUsed/>
    <w:rsid w:val="00487010"/>
    <w:rPr>
      <w:sz w:val="20"/>
      <w:szCs w:val="20"/>
    </w:rPr>
  </w:style>
  <w:style w:type="character" w:customStyle="1" w:styleId="TextonotapieCar">
    <w:name w:val="Texto nota pie Car"/>
    <w:basedOn w:val="Fuentedeprrafopredeter"/>
    <w:link w:val="Textonotapie"/>
    <w:uiPriority w:val="99"/>
    <w:semiHidden/>
    <w:rsid w:val="00487010"/>
    <w:rPr>
      <w:rFonts w:eastAsiaTheme="minorEastAsia"/>
      <w:sz w:val="20"/>
      <w:szCs w:val="20"/>
      <w:lang w:eastAsia="es-ES"/>
    </w:rPr>
  </w:style>
  <w:style w:type="character" w:styleId="Refdenotaalpie">
    <w:name w:val="footnote reference"/>
    <w:basedOn w:val="Fuentedeprrafopredeter"/>
    <w:uiPriority w:val="99"/>
    <w:semiHidden/>
    <w:unhideWhenUsed/>
    <w:rsid w:val="00487010"/>
    <w:rPr>
      <w:vertAlign w:val="superscript"/>
    </w:rPr>
  </w:style>
  <w:style w:type="paragraph" w:styleId="Ttulo">
    <w:name w:val="Title"/>
    <w:basedOn w:val="Normal"/>
    <w:link w:val="TtuloCar"/>
    <w:qFormat/>
    <w:rsid w:val="00117406"/>
    <w:pPr>
      <w:jc w:val="center"/>
    </w:pPr>
    <w:rPr>
      <w:rFonts w:ascii="Bookman Old Style" w:eastAsia="Times New Roman" w:hAnsi="Bookman Old Style" w:cs="Times New Roman"/>
      <w:i/>
      <w:sz w:val="22"/>
      <w:szCs w:val="20"/>
      <w:lang w:val="es-MX"/>
    </w:rPr>
  </w:style>
  <w:style w:type="character" w:customStyle="1" w:styleId="TtuloCar">
    <w:name w:val="Título Car"/>
    <w:basedOn w:val="Fuentedeprrafopredeter"/>
    <w:link w:val="Ttulo"/>
    <w:rsid w:val="00117406"/>
    <w:rPr>
      <w:rFonts w:ascii="Bookman Old Style" w:eastAsia="Times New Roman" w:hAnsi="Bookman Old Style" w:cs="Times New Roman"/>
      <w:i/>
      <w:sz w:val="22"/>
      <w:szCs w:val="20"/>
      <w:lang w:val="es-MX" w:eastAsia="es-ES"/>
    </w:rPr>
  </w:style>
  <w:style w:type="paragraph" w:styleId="Sinespaciado">
    <w:name w:val="No Spacing"/>
    <w:uiPriority w:val="1"/>
    <w:qFormat/>
    <w:rsid w:val="004C3B70"/>
    <w:rPr>
      <w:rFonts w:eastAsiaTheme="minorEastAsia"/>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5408">
      <w:bodyDiv w:val="1"/>
      <w:marLeft w:val="0"/>
      <w:marRight w:val="0"/>
      <w:marTop w:val="0"/>
      <w:marBottom w:val="0"/>
      <w:divBdr>
        <w:top w:val="none" w:sz="0" w:space="0" w:color="auto"/>
        <w:left w:val="none" w:sz="0" w:space="0" w:color="auto"/>
        <w:bottom w:val="none" w:sz="0" w:space="0" w:color="auto"/>
        <w:right w:val="none" w:sz="0" w:space="0" w:color="auto"/>
      </w:divBdr>
    </w:div>
    <w:div w:id="1158838130">
      <w:bodyDiv w:val="1"/>
      <w:marLeft w:val="0"/>
      <w:marRight w:val="0"/>
      <w:marTop w:val="0"/>
      <w:marBottom w:val="0"/>
      <w:divBdr>
        <w:top w:val="none" w:sz="0" w:space="0" w:color="auto"/>
        <w:left w:val="none" w:sz="0" w:space="0" w:color="auto"/>
        <w:bottom w:val="none" w:sz="0" w:space="0" w:color="auto"/>
        <w:right w:val="none" w:sz="0" w:space="0" w:color="auto"/>
      </w:divBdr>
    </w:div>
    <w:div w:id="1678533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3F28F-B679-4146-9DB6-623141D40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832</Words>
  <Characters>4580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FGESLP</cp:lastModifiedBy>
  <cp:revision>3</cp:revision>
  <cp:lastPrinted>2019-03-05T19:06:00Z</cp:lastPrinted>
  <dcterms:created xsi:type="dcterms:W3CDTF">2026-02-03T17:49:00Z</dcterms:created>
  <dcterms:modified xsi:type="dcterms:W3CDTF">2026-07-21T16:13:00Z</dcterms:modified>
</cp:coreProperties>
</file>