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2E90" w:rsidRDefault="00DA22FD">
      <w:pPr>
        <w:pStyle w:val="Ttulo"/>
        <w:spacing w:before="0" w:after="0"/>
        <w:ind w:left="708" w:hanging="708"/>
        <w:jc w:val="right"/>
        <w:rPr>
          <w:rFonts w:ascii="Arial" w:hAnsi="Arial" w:cs="Arial"/>
          <w:color w:val="4472C4" w:themeColor="accent5"/>
          <w:sz w:val="24"/>
          <w:szCs w:val="24"/>
        </w:rPr>
      </w:pPr>
      <w:r>
        <w:rPr>
          <w:rFonts w:ascii="Arial" w:hAnsi="Arial" w:cs="Arial"/>
          <w:color w:val="4472C4" w:themeColor="accent5"/>
          <w:sz w:val="24"/>
          <w:szCs w:val="24"/>
        </w:rPr>
        <w:t xml:space="preserve">                                                 RECURSO DE REVISIÓN 314/2026-2</w:t>
      </w:r>
    </w:p>
    <w:p w:rsidR="009C2E90" w:rsidRDefault="00DA22FD">
      <w:pPr>
        <w:pStyle w:val="corte1datos"/>
        <w:spacing w:line="276" w:lineRule="auto"/>
        <w:jc w:val="right"/>
        <w:rPr>
          <w:rFonts w:cs="Arial"/>
          <w:color w:val="4472C4" w:themeColor="accent5"/>
          <w:sz w:val="24"/>
          <w:szCs w:val="24"/>
          <w:lang w:val="es-MX"/>
        </w:rPr>
      </w:pPr>
      <w:r>
        <w:rPr>
          <w:rFonts w:cs="Arial"/>
          <w:color w:val="4472C4" w:themeColor="accent5"/>
          <w:sz w:val="24"/>
          <w:szCs w:val="24"/>
          <w:lang w:val="es-MX"/>
        </w:rPr>
        <w:t xml:space="preserve">   </w:t>
      </w:r>
    </w:p>
    <w:p w:rsidR="009C2E90" w:rsidRDefault="009C2E90">
      <w:pPr>
        <w:pStyle w:val="corte2ponente"/>
        <w:spacing w:line="276" w:lineRule="auto"/>
        <w:jc w:val="right"/>
        <w:rPr>
          <w:rFonts w:cs="Arial"/>
          <w:color w:val="4472C4" w:themeColor="accent5"/>
          <w:sz w:val="24"/>
          <w:szCs w:val="24"/>
          <w:lang w:val="es-MX"/>
        </w:rPr>
      </w:pPr>
    </w:p>
    <w:p w:rsidR="009C2E90" w:rsidRDefault="00DA22FD">
      <w:pPr>
        <w:pStyle w:val="corte2ponente"/>
        <w:spacing w:line="276" w:lineRule="auto"/>
        <w:jc w:val="right"/>
        <w:rPr>
          <w:rFonts w:cs="Arial"/>
          <w:color w:val="4472C4" w:themeColor="accent5"/>
          <w:sz w:val="24"/>
          <w:szCs w:val="24"/>
          <w:lang w:val="es-MX"/>
        </w:rPr>
      </w:pPr>
      <w:r>
        <w:rPr>
          <w:rFonts w:cs="Arial"/>
          <w:color w:val="4472C4" w:themeColor="accent5"/>
          <w:sz w:val="24"/>
          <w:szCs w:val="24"/>
        </w:rPr>
        <w:t>COMISIONADO PONENTE:</w:t>
      </w:r>
      <w:r>
        <w:rPr>
          <w:rFonts w:cs="Arial"/>
          <w:color w:val="4472C4" w:themeColor="accent5"/>
          <w:sz w:val="24"/>
          <w:szCs w:val="24"/>
          <w:lang w:val="es-MX"/>
        </w:rPr>
        <w:t xml:space="preserve"> </w:t>
      </w:r>
    </w:p>
    <w:p w:rsidR="009C2E90" w:rsidRDefault="00DA22FD">
      <w:pPr>
        <w:pStyle w:val="corte2ponente"/>
        <w:spacing w:line="276" w:lineRule="auto"/>
        <w:jc w:val="right"/>
        <w:rPr>
          <w:rFonts w:cs="Arial"/>
          <w:color w:val="4472C4" w:themeColor="accent5"/>
          <w:sz w:val="24"/>
          <w:szCs w:val="24"/>
        </w:rPr>
      </w:pPr>
      <w:r>
        <w:rPr>
          <w:rFonts w:eastAsia="Arial Unicode MS" w:cs="Arial"/>
          <w:caps w:val="0"/>
          <w:color w:val="4472C4" w:themeColor="accent5"/>
          <w:sz w:val="24"/>
          <w:szCs w:val="24"/>
        </w:rPr>
        <w:t>LIC. JOSÉ GERARDO NAVARRO ALVISO</w:t>
      </w:r>
      <w:r>
        <w:rPr>
          <w:rFonts w:cs="Arial"/>
          <w:caps w:val="0"/>
          <w:color w:val="4472C4" w:themeColor="accent5"/>
          <w:sz w:val="24"/>
          <w:szCs w:val="24"/>
        </w:rPr>
        <w:t xml:space="preserve"> </w:t>
      </w:r>
    </w:p>
    <w:p w:rsidR="009C2E90" w:rsidRDefault="00DA22FD">
      <w:pPr>
        <w:pStyle w:val="corte2ponente"/>
        <w:spacing w:line="276" w:lineRule="auto"/>
        <w:jc w:val="right"/>
        <w:rPr>
          <w:rFonts w:cs="Arial"/>
          <w:color w:val="4472C4" w:themeColor="accent5"/>
          <w:sz w:val="24"/>
          <w:szCs w:val="24"/>
          <w:lang w:val="es-MX"/>
        </w:rPr>
      </w:pPr>
      <w:r>
        <w:rPr>
          <w:rFonts w:cs="Arial"/>
          <w:color w:val="4472C4" w:themeColor="accent5"/>
          <w:sz w:val="24"/>
          <w:szCs w:val="24"/>
          <w:lang w:val="es-MX"/>
        </w:rPr>
        <w:t xml:space="preserve">                                                                                                                                                                                                                                                                </w:t>
      </w:r>
      <w:r>
        <w:rPr>
          <w:rFonts w:cs="Arial"/>
          <w:color w:val="4472C4" w:themeColor="accent5"/>
          <w:sz w:val="24"/>
          <w:szCs w:val="24"/>
          <w:lang w:val="es-MX"/>
        </w:rPr>
        <w:t xml:space="preserve">                                                                                                                                                                                                                                                                </w:t>
      </w:r>
      <w:r>
        <w:rPr>
          <w:rFonts w:cs="Arial"/>
          <w:color w:val="4472C4" w:themeColor="accent5"/>
          <w:sz w:val="24"/>
          <w:szCs w:val="24"/>
          <w:lang w:val="es-MX"/>
        </w:rPr>
        <w:t xml:space="preserve">                                                                                                                                                                                                                                                                </w:t>
      </w:r>
      <w:r>
        <w:rPr>
          <w:rFonts w:cs="Arial"/>
          <w:color w:val="4472C4" w:themeColor="accent5"/>
          <w:sz w:val="24"/>
          <w:szCs w:val="24"/>
          <w:lang w:val="es-MX"/>
        </w:rPr>
        <w:t xml:space="preserve">                                                                                                                                                                                                                                                                </w:t>
      </w:r>
      <w:r>
        <w:rPr>
          <w:rFonts w:cs="Arial"/>
          <w:color w:val="4472C4" w:themeColor="accent5"/>
          <w:sz w:val="24"/>
          <w:szCs w:val="24"/>
          <w:lang w:val="es-MX"/>
        </w:rPr>
        <w:t xml:space="preserve">                                                                                                                                                                                                                                                                </w:t>
      </w:r>
      <w:r>
        <w:rPr>
          <w:rFonts w:cs="Arial"/>
          <w:color w:val="4472C4" w:themeColor="accent5"/>
          <w:sz w:val="24"/>
          <w:szCs w:val="24"/>
          <w:lang w:val="es-MX"/>
        </w:rPr>
        <w:t xml:space="preserve">                                                                                                                                                                                                                                                                </w:t>
      </w:r>
      <w:r>
        <w:rPr>
          <w:rFonts w:cs="Arial"/>
          <w:color w:val="4472C4" w:themeColor="accent5"/>
          <w:sz w:val="24"/>
          <w:szCs w:val="24"/>
          <w:lang w:val="es-MX"/>
        </w:rPr>
        <w:t xml:space="preserve">                                                                                                                                                                                                                                                                </w:t>
      </w:r>
      <w:r>
        <w:rPr>
          <w:rFonts w:cs="Arial"/>
          <w:color w:val="4472C4" w:themeColor="accent5"/>
          <w:sz w:val="24"/>
          <w:szCs w:val="24"/>
          <w:lang w:val="es-MX"/>
        </w:rPr>
        <w:t xml:space="preserve">                                                                                                                                                                                                                                                                </w:t>
      </w:r>
      <w:r>
        <w:rPr>
          <w:rFonts w:cs="Arial"/>
          <w:color w:val="4472C4" w:themeColor="accent5"/>
          <w:sz w:val="24"/>
          <w:szCs w:val="24"/>
          <w:lang w:val="es-MX"/>
        </w:rPr>
        <w:t xml:space="preserve">                                                                  </w:t>
      </w:r>
    </w:p>
    <w:p w:rsidR="009C2E90" w:rsidRDefault="00DA22FD">
      <w:pPr>
        <w:pStyle w:val="corte2ponente"/>
        <w:spacing w:line="276" w:lineRule="auto"/>
        <w:jc w:val="right"/>
        <w:rPr>
          <w:rFonts w:cs="Arial"/>
          <w:color w:val="4472C4" w:themeColor="accent5"/>
          <w:sz w:val="24"/>
          <w:szCs w:val="24"/>
        </w:rPr>
      </w:pPr>
      <w:r>
        <w:rPr>
          <w:rFonts w:cs="Arial"/>
          <w:caps w:val="0"/>
          <w:color w:val="4472C4" w:themeColor="accent5"/>
          <w:sz w:val="24"/>
          <w:szCs w:val="24"/>
          <w:lang w:val="es-MX"/>
        </w:rPr>
        <w:t xml:space="preserve">            </w:t>
      </w:r>
      <w:r>
        <w:rPr>
          <w:rFonts w:cs="Arial"/>
          <w:caps w:val="0"/>
          <w:color w:val="4472C4" w:themeColor="accent5"/>
          <w:sz w:val="24"/>
          <w:szCs w:val="24"/>
        </w:rPr>
        <w:t>SUJETO OBLIGADO:</w:t>
      </w:r>
    </w:p>
    <w:p w:rsidR="009C2E90" w:rsidRDefault="00DA22FD">
      <w:pPr>
        <w:pStyle w:val="corte4fondo"/>
        <w:spacing w:line="276" w:lineRule="auto"/>
        <w:ind w:firstLine="0"/>
        <w:jc w:val="right"/>
        <w:rPr>
          <w:rFonts w:cs="Arial"/>
          <w:b/>
          <w:color w:val="4472C4" w:themeColor="accent5"/>
          <w:sz w:val="24"/>
          <w:szCs w:val="24"/>
          <w:lang w:val="es-MX"/>
        </w:rPr>
      </w:pPr>
      <w:r>
        <w:rPr>
          <w:rFonts w:cs="Arial"/>
          <w:b/>
          <w:color w:val="4472C4" w:themeColor="accent5"/>
          <w:sz w:val="24"/>
          <w:szCs w:val="24"/>
        </w:rPr>
        <w:t>ORGANISMO INTERMUNICIPAL METROPOLITANO DE AGUA POTABLE, ALCANTARILLADO, SANEAMIENTO Y SERVICIOS CONEXOS DE LOS MUNICIPIOS DE CERRO DE SAN PEDRO, SAN LUIS POTOSÍ</w:t>
      </w:r>
      <w:r>
        <w:rPr>
          <w:rFonts w:cs="Arial"/>
          <w:b/>
          <w:color w:val="4472C4" w:themeColor="accent5"/>
          <w:sz w:val="24"/>
          <w:szCs w:val="24"/>
        </w:rPr>
        <w:t xml:space="preserve"> Y SOLEDAD DE GRACIANO SÁNCHEZ (INTERAPAS)</w:t>
      </w:r>
      <w:r>
        <w:rPr>
          <w:rFonts w:cs="Arial"/>
          <w:b/>
          <w:color w:val="4472C4" w:themeColor="accent5"/>
          <w:sz w:val="24"/>
          <w:szCs w:val="24"/>
          <w:lang w:val="es-MX"/>
        </w:rPr>
        <w:t>.</w:t>
      </w:r>
    </w:p>
    <w:p w:rsidR="009C2E90" w:rsidRDefault="00DA22FD">
      <w:pPr>
        <w:pStyle w:val="corte4fondo"/>
        <w:tabs>
          <w:tab w:val="left" w:pos="2620"/>
        </w:tabs>
        <w:spacing w:line="276" w:lineRule="auto"/>
        <w:ind w:firstLine="708"/>
        <w:jc w:val="right"/>
        <w:rPr>
          <w:rFonts w:cs="Arial"/>
          <w:color w:val="4472C4" w:themeColor="accent5"/>
          <w:sz w:val="24"/>
          <w:szCs w:val="24"/>
        </w:rPr>
      </w:pPr>
      <w:r>
        <w:rPr>
          <w:rFonts w:cs="Arial"/>
          <w:color w:val="4472C4" w:themeColor="accent5"/>
          <w:sz w:val="24"/>
          <w:szCs w:val="24"/>
        </w:rPr>
        <w:tab/>
      </w:r>
    </w:p>
    <w:p w:rsidR="009C2E90" w:rsidRDefault="00DA22FD">
      <w:pPr>
        <w:pStyle w:val="corte4fondo"/>
        <w:spacing w:line="276" w:lineRule="auto"/>
        <w:ind w:firstLine="708"/>
        <w:rPr>
          <w:rFonts w:cs="Arial"/>
          <w:color w:val="4472C4" w:themeColor="accent5"/>
          <w:sz w:val="24"/>
          <w:szCs w:val="24"/>
          <w:lang w:val="es-MX"/>
        </w:rPr>
      </w:pPr>
      <w:r>
        <w:rPr>
          <w:rFonts w:cs="Arial"/>
          <w:color w:val="4472C4" w:themeColor="accent5"/>
          <w:sz w:val="24"/>
          <w:szCs w:val="24"/>
          <w:lang w:val="es-MX"/>
        </w:rPr>
        <w:t xml:space="preserve">         </w:t>
      </w:r>
    </w:p>
    <w:p w:rsidR="009C2E90" w:rsidRDefault="00DA22FD">
      <w:pPr>
        <w:pStyle w:val="corte4fondo"/>
        <w:spacing w:line="276" w:lineRule="auto"/>
        <w:ind w:firstLine="708"/>
        <w:rPr>
          <w:rFonts w:cs="Arial"/>
          <w:b/>
          <w:color w:val="4472C4" w:themeColor="accent5"/>
          <w:sz w:val="24"/>
          <w:szCs w:val="24"/>
          <w:vertAlign w:val="subscript"/>
        </w:rPr>
      </w:pPr>
      <w:r>
        <w:rPr>
          <w:rFonts w:cs="Arial"/>
          <w:color w:val="4472C4" w:themeColor="accent5"/>
          <w:sz w:val="24"/>
          <w:szCs w:val="24"/>
          <w:lang w:val="es-MX"/>
        </w:rPr>
        <w:t xml:space="preserve">      </w:t>
      </w:r>
      <w:r>
        <w:rPr>
          <w:rFonts w:cs="Arial"/>
          <w:color w:val="4472C4" w:themeColor="accent5"/>
          <w:sz w:val="24"/>
          <w:szCs w:val="24"/>
        </w:rPr>
        <w:t xml:space="preserve">San Luis Potosí, San Luis Potosí. Acuerdo del Pleno de la Comisión Estatal de Garantía de Acceso a la Información Pública, correspondiente a la </w:t>
      </w:r>
      <w:r>
        <w:rPr>
          <w:rFonts w:cs="Arial"/>
          <w:color w:val="4472C4" w:themeColor="accent5"/>
          <w:sz w:val="24"/>
          <w:szCs w:val="24"/>
          <w:lang w:val="es-MX"/>
        </w:rPr>
        <w:t>S</w:t>
      </w:r>
      <w:r>
        <w:rPr>
          <w:rFonts w:cs="Arial"/>
          <w:color w:val="4472C4" w:themeColor="accent5"/>
          <w:sz w:val="24"/>
          <w:szCs w:val="24"/>
        </w:rPr>
        <w:t xml:space="preserve">esión </w:t>
      </w:r>
      <w:r>
        <w:rPr>
          <w:rFonts w:cs="Arial"/>
          <w:color w:val="4472C4" w:themeColor="accent5"/>
          <w:sz w:val="24"/>
          <w:szCs w:val="24"/>
          <w:lang w:val="es-MX"/>
        </w:rPr>
        <w:t>Extrao</w:t>
      </w:r>
      <w:r>
        <w:rPr>
          <w:rFonts w:cs="Arial"/>
          <w:color w:val="4472C4" w:themeColor="accent5"/>
          <w:sz w:val="24"/>
          <w:szCs w:val="24"/>
          <w:lang w:val="es-MX"/>
        </w:rPr>
        <w:t xml:space="preserve">rdinaria de </w:t>
      </w:r>
      <w:r>
        <w:rPr>
          <w:rFonts w:cs="Arial"/>
          <w:color w:val="4472C4" w:themeColor="accent5"/>
          <w:sz w:val="24"/>
          <w:szCs w:val="24"/>
          <w:lang w:val="es-MX"/>
        </w:rPr>
        <w:t xml:space="preserve">27 veintisiete </w:t>
      </w:r>
      <w:r>
        <w:rPr>
          <w:rFonts w:cs="Arial"/>
          <w:color w:val="4472C4" w:themeColor="accent5"/>
          <w:sz w:val="24"/>
          <w:szCs w:val="24"/>
          <w:lang w:val="es-MX"/>
        </w:rPr>
        <w:t xml:space="preserve">de agosto </w:t>
      </w:r>
      <w:r>
        <w:rPr>
          <w:rFonts w:cs="Arial"/>
          <w:color w:val="4472C4" w:themeColor="accent5"/>
          <w:sz w:val="24"/>
          <w:szCs w:val="24"/>
          <w:lang w:val="es-MX"/>
        </w:rPr>
        <w:t>de 2026 dos mil veintiséis</w:t>
      </w:r>
      <w:r>
        <w:rPr>
          <w:rFonts w:cs="Arial"/>
          <w:color w:val="4472C4" w:themeColor="accent5"/>
          <w:sz w:val="24"/>
          <w:szCs w:val="24"/>
        </w:rPr>
        <w:t xml:space="preserve">. </w:t>
      </w:r>
    </w:p>
    <w:p w:rsidR="009C2E90" w:rsidRDefault="009C2E90">
      <w:pPr>
        <w:pStyle w:val="corte4fondo"/>
        <w:spacing w:line="276" w:lineRule="auto"/>
        <w:ind w:firstLine="708"/>
        <w:rPr>
          <w:rFonts w:cs="Arial"/>
          <w:color w:val="4472C4" w:themeColor="accent5"/>
          <w:sz w:val="24"/>
          <w:szCs w:val="24"/>
        </w:rPr>
      </w:pPr>
    </w:p>
    <w:p w:rsidR="009C2E90" w:rsidRDefault="009C2E90">
      <w:pPr>
        <w:pStyle w:val="corte4fondo"/>
        <w:spacing w:line="276" w:lineRule="auto"/>
        <w:ind w:firstLine="708"/>
        <w:rPr>
          <w:rFonts w:cs="Arial"/>
          <w:b/>
          <w:color w:val="4472C4" w:themeColor="accent5"/>
          <w:sz w:val="24"/>
          <w:szCs w:val="24"/>
          <w:vertAlign w:val="subscript"/>
        </w:rPr>
      </w:pPr>
    </w:p>
    <w:p w:rsidR="009C2E90" w:rsidRDefault="009C2E90">
      <w:pPr>
        <w:pStyle w:val="corte4fondo"/>
        <w:spacing w:line="276" w:lineRule="auto"/>
        <w:ind w:firstLine="0"/>
        <w:rPr>
          <w:rFonts w:cs="Arial"/>
          <w:b/>
          <w:color w:val="4472C4" w:themeColor="accent5"/>
          <w:sz w:val="24"/>
          <w:szCs w:val="24"/>
        </w:rPr>
      </w:pPr>
    </w:p>
    <w:p w:rsidR="009C2E90" w:rsidRDefault="00DA22FD">
      <w:pPr>
        <w:pStyle w:val="corte4fondo"/>
        <w:spacing w:line="276" w:lineRule="auto"/>
        <w:rPr>
          <w:rFonts w:cs="Arial"/>
          <w:color w:val="4472C4" w:themeColor="accent5"/>
          <w:sz w:val="24"/>
          <w:szCs w:val="24"/>
        </w:rPr>
      </w:pPr>
      <w:r>
        <w:rPr>
          <w:rFonts w:cs="Arial"/>
          <w:b/>
          <w:color w:val="4472C4" w:themeColor="accent5"/>
          <w:sz w:val="24"/>
          <w:szCs w:val="24"/>
        </w:rPr>
        <w:t>VISTOS</w:t>
      </w:r>
      <w:r>
        <w:rPr>
          <w:rFonts w:cs="Arial"/>
          <w:color w:val="4472C4" w:themeColor="accent5"/>
          <w:sz w:val="24"/>
          <w:szCs w:val="24"/>
        </w:rPr>
        <w:t>, para resolver, los autos del recurso de revisión identificado al rubro; y</w:t>
      </w:r>
    </w:p>
    <w:p w:rsidR="009C2E90" w:rsidRDefault="00DA22FD">
      <w:pPr>
        <w:pStyle w:val="corte4fondo"/>
        <w:spacing w:line="276" w:lineRule="auto"/>
        <w:rPr>
          <w:rFonts w:cs="Arial"/>
          <w:color w:val="4472C4" w:themeColor="accent5"/>
          <w:sz w:val="24"/>
          <w:szCs w:val="24"/>
          <w:lang w:val="es-MX"/>
        </w:rPr>
      </w:pPr>
      <w:r>
        <w:rPr>
          <w:rFonts w:cs="Arial"/>
          <w:color w:val="4472C4" w:themeColor="accent5"/>
          <w:sz w:val="24"/>
          <w:szCs w:val="24"/>
          <w:lang w:val="es-MX"/>
        </w:rPr>
        <w:t xml:space="preserve">          </w:t>
      </w:r>
    </w:p>
    <w:p w:rsidR="009C2E90" w:rsidRDefault="00DA22FD">
      <w:pPr>
        <w:pStyle w:val="corte4fondo"/>
        <w:spacing w:line="276" w:lineRule="auto"/>
        <w:jc w:val="center"/>
        <w:rPr>
          <w:rFonts w:cs="Arial"/>
          <w:color w:val="4472C4" w:themeColor="accent5"/>
          <w:sz w:val="24"/>
          <w:szCs w:val="24"/>
        </w:rPr>
      </w:pPr>
      <w:r>
        <w:rPr>
          <w:rFonts w:cs="Arial"/>
          <w:b/>
          <w:color w:val="4472C4" w:themeColor="accent5"/>
          <w:sz w:val="24"/>
          <w:szCs w:val="24"/>
        </w:rPr>
        <w:t>R E S U L T A N D O</w:t>
      </w:r>
      <w:r>
        <w:rPr>
          <w:rFonts w:cs="Arial"/>
          <w:color w:val="4472C4" w:themeColor="accent5"/>
          <w:sz w:val="24"/>
          <w:szCs w:val="24"/>
        </w:rPr>
        <w:t>:</w:t>
      </w:r>
    </w:p>
    <w:p w:rsidR="009C2E90" w:rsidRDefault="009C2E90">
      <w:pPr>
        <w:pStyle w:val="corte4fondo"/>
        <w:spacing w:line="276" w:lineRule="auto"/>
        <w:jc w:val="center"/>
        <w:rPr>
          <w:rFonts w:cs="Arial"/>
          <w:color w:val="4472C4" w:themeColor="accent5"/>
          <w:sz w:val="24"/>
          <w:szCs w:val="24"/>
        </w:rPr>
      </w:pPr>
    </w:p>
    <w:p w:rsidR="009C2E90" w:rsidRDefault="00DA22FD">
      <w:pPr>
        <w:spacing w:after="0"/>
        <w:ind w:firstLine="709"/>
        <w:jc w:val="both"/>
        <w:rPr>
          <w:rFonts w:ascii="Arial" w:eastAsia="Times New Roman" w:hAnsi="Arial" w:cs="Arial"/>
          <w:color w:val="4472C4" w:themeColor="accent5"/>
          <w:sz w:val="24"/>
          <w:szCs w:val="24"/>
          <w:lang w:eastAsia="es-MX"/>
        </w:rPr>
      </w:pPr>
      <w:r>
        <w:rPr>
          <w:rFonts w:ascii="Arial" w:eastAsia="Times New Roman" w:hAnsi="Arial" w:cs="Arial"/>
          <w:b/>
          <w:color w:val="4472C4" w:themeColor="accent5"/>
          <w:sz w:val="24"/>
          <w:szCs w:val="24"/>
          <w:lang w:eastAsia="es-MX"/>
        </w:rPr>
        <w:t xml:space="preserve">I. Solicitud de acceso a la información pública. </w:t>
      </w:r>
      <w:r>
        <w:rPr>
          <w:rFonts w:ascii="Arial" w:eastAsia="Times New Roman" w:hAnsi="Arial" w:cs="Arial"/>
          <w:color w:val="4472C4" w:themeColor="accent5"/>
          <w:sz w:val="24"/>
          <w:szCs w:val="24"/>
          <w:lang w:eastAsia="es-MX"/>
        </w:rPr>
        <w:t xml:space="preserve">Según consta en la Plataforma Nacional de Transparencia con </w:t>
      </w:r>
      <w:r>
        <w:rPr>
          <w:rFonts w:ascii="Arial" w:eastAsia="Times New Roman" w:hAnsi="Arial" w:cs="Arial"/>
          <w:color w:val="4472C4" w:themeColor="accent5"/>
          <w:sz w:val="24"/>
          <w:szCs w:val="24"/>
          <w:lang w:eastAsia="es-MX"/>
        </w:rPr>
        <w:t>folio   241487126000040, el 18 dieciocho de mayo de 2026 dos mil veintiséis, el</w:t>
      </w:r>
      <w:r>
        <w:rPr>
          <w:rFonts w:ascii="Arial" w:hAnsi="Arial" w:cs="Arial"/>
          <w:b/>
          <w:color w:val="4472C4" w:themeColor="accent5"/>
          <w:sz w:val="24"/>
          <w:szCs w:val="24"/>
        </w:rPr>
        <w:t xml:space="preserve"> Organismo Intermunicipal Metropolitano De Agua Potable, Alcantarillado, Saneamiento y Servicios Conexos de los Municipios de Cerro de San Pedro, San Luis Potosí y Soledad de Gr</w:t>
      </w:r>
      <w:r>
        <w:rPr>
          <w:rFonts w:ascii="Arial" w:hAnsi="Arial" w:cs="Arial"/>
          <w:b/>
          <w:color w:val="4472C4" w:themeColor="accent5"/>
          <w:sz w:val="24"/>
          <w:szCs w:val="24"/>
        </w:rPr>
        <w:t>aciano Sánchez (INTERAPAS),</w:t>
      </w:r>
      <w:r>
        <w:rPr>
          <w:rFonts w:ascii="Arial" w:eastAsia="Times New Roman" w:hAnsi="Arial" w:cs="Arial"/>
          <w:b/>
          <w:color w:val="4472C4" w:themeColor="accent5"/>
          <w:sz w:val="24"/>
          <w:szCs w:val="24"/>
          <w:lang w:eastAsia="es-MX"/>
        </w:rPr>
        <w:t xml:space="preserve"> </w:t>
      </w:r>
      <w:r>
        <w:rPr>
          <w:rFonts w:ascii="Arial" w:eastAsia="Times New Roman" w:hAnsi="Arial" w:cs="Arial"/>
          <w:color w:val="4472C4" w:themeColor="accent5"/>
          <w:sz w:val="24"/>
          <w:szCs w:val="24"/>
          <w:lang w:eastAsia="es-MX"/>
        </w:rPr>
        <w:t>recibió una solicitud de acceso a la información pública</w:t>
      </w:r>
      <w:r>
        <w:rPr>
          <w:rStyle w:val="Refdenotaalpie"/>
          <w:rFonts w:ascii="Arial" w:eastAsia="Times New Roman" w:hAnsi="Arial" w:cs="Arial"/>
          <w:color w:val="4472C4" w:themeColor="accent5"/>
          <w:sz w:val="24"/>
          <w:szCs w:val="24"/>
          <w:lang w:eastAsia="es-MX"/>
        </w:rPr>
        <w:footnoteReference w:id="1"/>
      </w:r>
      <w:r>
        <w:rPr>
          <w:rFonts w:ascii="Arial" w:eastAsia="Times New Roman" w:hAnsi="Arial" w:cs="Arial"/>
          <w:color w:val="4472C4" w:themeColor="accent5"/>
          <w:sz w:val="24"/>
          <w:szCs w:val="24"/>
          <w:lang w:eastAsia="es-MX"/>
        </w:rPr>
        <w:t xml:space="preserve"> en donde se le pidió la información siguiente:  </w:t>
      </w:r>
    </w:p>
    <w:p w:rsidR="009C2E90" w:rsidRDefault="009C2E90">
      <w:pPr>
        <w:ind w:firstLine="708"/>
        <w:jc w:val="both"/>
        <w:rPr>
          <w:rFonts w:ascii="Arial" w:hAnsi="Arial" w:cs="Arial"/>
          <w:i/>
          <w:color w:val="4472C4" w:themeColor="accent5"/>
          <w:sz w:val="20"/>
          <w:szCs w:val="20"/>
        </w:rPr>
      </w:pPr>
    </w:p>
    <w:p w:rsidR="009C2E90" w:rsidRDefault="00DA22FD">
      <w:pPr>
        <w:ind w:firstLine="708"/>
        <w:jc w:val="both"/>
        <w:rPr>
          <w:rFonts w:ascii="Arial" w:hAnsi="Arial" w:cs="Arial"/>
          <w:i/>
          <w:color w:val="4472C4" w:themeColor="accent5"/>
          <w:sz w:val="20"/>
          <w:szCs w:val="20"/>
        </w:rPr>
      </w:pPr>
      <w:r>
        <w:rPr>
          <w:rFonts w:ascii="Arial" w:hAnsi="Arial" w:cs="Arial"/>
          <w:i/>
          <w:color w:val="4472C4" w:themeColor="accent5"/>
          <w:sz w:val="20"/>
          <w:szCs w:val="20"/>
        </w:rPr>
        <w:t xml:space="preserve">“Solicito copia de los siguientes documentos y registros que obren en poder de INTERAPAS: </w:t>
      </w:r>
    </w:p>
    <w:p w:rsidR="009C2E90" w:rsidRDefault="00DA22FD">
      <w:pPr>
        <w:ind w:firstLine="708"/>
        <w:jc w:val="both"/>
        <w:rPr>
          <w:rFonts w:ascii="Arial" w:hAnsi="Arial" w:cs="Arial"/>
          <w:i/>
          <w:color w:val="4472C4" w:themeColor="accent5"/>
          <w:sz w:val="20"/>
          <w:szCs w:val="20"/>
        </w:rPr>
      </w:pPr>
      <w:r>
        <w:rPr>
          <w:rFonts w:ascii="Arial" w:hAnsi="Arial" w:cs="Arial"/>
          <w:i/>
          <w:color w:val="4472C4" w:themeColor="accent5"/>
          <w:sz w:val="20"/>
          <w:szCs w:val="20"/>
        </w:rPr>
        <w:t>1. El acta o constancia de la</w:t>
      </w:r>
      <w:r>
        <w:rPr>
          <w:rFonts w:ascii="Arial" w:hAnsi="Arial" w:cs="Arial"/>
          <w:i/>
          <w:color w:val="4472C4" w:themeColor="accent5"/>
          <w:sz w:val="20"/>
          <w:szCs w:val="20"/>
        </w:rPr>
        <w:t xml:space="preserve"> notificación realizada por el Lic. Mario G. </w:t>
      </w:r>
      <w:proofErr w:type="spellStart"/>
      <w:r>
        <w:rPr>
          <w:rFonts w:ascii="Arial" w:hAnsi="Arial" w:cs="Arial"/>
          <w:i/>
          <w:color w:val="4472C4" w:themeColor="accent5"/>
          <w:sz w:val="20"/>
          <w:szCs w:val="20"/>
        </w:rPr>
        <w:t>Obdoba</w:t>
      </w:r>
      <w:proofErr w:type="spellEnd"/>
      <w:r>
        <w:rPr>
          <w:rFonts w:ascii="Arial" w:hAnsi="Arial" w:cs="Arial"/>
          <w:i/>
          <w:color w:val="4472C4" w:themeColor="accent5"/>
          <w:sz w:val="20"/>
          <w:szCs w:val="20"/>
        </w:rPr>
        <w:t xml:space="preserve"> Sánchez (constancia de habilitación 101/2026) en el domicilio Av. </w:t>
      </w:r>
      <w:proofErr w:type="spellStart"/>
      <w:r>
        <w:rPr>
          <w:rFonts w:ascii="Arial" w:hAnsi="Arial" w:cs="Arial"/>
          <w:i/>
          <w:color w:val="4472C4" w:themeColor="accent5"/>
          <w:sz w:val="20"/>
          <w:szCs w:val="20"/>
        </w:rPr>
        <w:t>Tatanacho</w:t>
      </w:r>
      <w:proofErr w:type="spellEnd"/>
      <w:r>
        <w:rPr>
          <w:rFonts w:ascii="Arial" w:hAnsi="Arial" w:cs="Arial"/>
          <w:i/>
          <w:color w:val="4472C4" w:themeColor="accent5"/>
          <w:sz w:val="20"/>
          <w:szCs w:val="20"/>
        </w:rPr>
        <w:t xml:space="preserve"> 738, Fraccionamiento Tangamanga, San Luis Potosí, el día 3 de marzo de 2026, donde conste la hora, el tiempo de espera, si se fi</w:t>
      </w:r>
      <w:r>
        <w:rPr>
          <w:rFonts w:ascii="Arial" w:hAnsi="Arial" w:cs="Arial"/>
          <w:i/>
          <w:color w:val="4472C4" w:themeColor="accent5"/>
          <w:sz w:val="20"/>
          <w:szCs w:val="20"/>
        </w:rPr>
        <w:t>jó citatorio y las razones por las que no se practicó la notificación personal.</w:t>
      </w:r>
    </w:p>
    <w:p w:rsidR="009C2E90" w:rsidRDefault="00DA22FD">
      <w:pPr>
        <w:ind w:firstLine="708"/>
        <w:jc w:val="both"/>
        <w:rPr>
          <w:rFonts w:ascii="Arial" w:hAnsi="Arial" w:cs="Arial"/>
          <w:i/>
          <w:color w:val="4472C4" w:themeColor="accent5"/>
          <w:sz w:val="20"/>
          <w:szCs w:val="20"/>
        </w:rPr>
      </w:pPr>
      <w:r>
        <w:rPr>
          <w:rFonts w:ascii="Arial" w:hAnsi="Arial" w:cs="Arial"/>
          <w:i/>
          <w:color w:val="4472C4" w:themeColor="accent5"/>
          <w:sz w:val="20"/>
          <w:szCs w:val="20"/>
        </w:rPr>
        <w:t xml:space="preserve"> 2. El expediente o registro de las acciones de supervisión, seguimiento o procedimiento administrativo que la Unidad Jurídica o cualquier área de INTERAPAS haya generado respe</w:t>
      </w:r>
      <w:r>
        <w:rPr>
          <w:rFonts w:ascii="Arial" w:hAnsi="Arial" w:cs="Arial"/>
          <w:i/>
          <w:color w:val="4472C4" w:themeColor="accent5"/>
          <w:sz w:val="20"/>
          <w:szCs w:val="20"/>
        </w:rPr>
        <w:t xml:space="preserve">cto de ese domicilio desde el 3 de marzo de 2026 hasta la fecha de respuesta. </w:t>
      </w:r>
    </w:p>
    <w:p w:rsidR="009C2E90" w:rsidRDefault="00DA22FD">
      <w:pPr>
        <w:ind w:firstLine="708"/>
        <w:jc w:val="both"/>
        <w:rPr>
          <w:rFonts w:ascii="Arial" w:hAnsi="Arial" w:cs="Arial"/>
          <w:i/>
          <w:color w:val="4472C4" w:themeColor="accent5"/>
          <w:sz w:val="20"/>
          <w:szCs w:val="20"/>
        </w:rPr>
      </w:pPr>
      <w:r>
        <w:rPr>
          <w:rFonts w:ascii="Arial" w:hAnsi="Arial" w:cs="Arial"/>
          <w:i/>
          <w:color w:val="4472C4" w:themeColor="accent5"/>
          <w:sz w:val="20"/>
          <w:szCs w:val="20"/>
        </w:rPr>
        <w:t xml:space="preserve">3. El oficio, acuerdo o resolución mediante el cual se haya determinado no iniciar procedimiento de restricción o suspensión del servicio de agua potable y drenaje en ese mismo </w:t>
      </w:r>
      <w:r>
        <w:rPr>
          <w:rFonts w:ascii="Arial" w:hAnsi="Arial" w:cs="Arial"/>
          <w:i/>
          <w:color w:val="4472C4" w:themeColor="accent5"/>
          <w:sz w:val="20"/>
          <w:szCs w:val="20"/>
        </w:rPr>
        <w:t xml:space="preserve">predio, a pesar del oficio DC/SC/0877/2026 y la notificación realizada. </w:t>
      </w:r>
    </w:p>
    <w:p w:rsidR="009C2E90" w:rsidRDefault="00DA22FD">
      <w:pPr>
        <w:ind w:firstLine="708"/>
        <w:jc w:val="both"/>
        <w:rPr>
          <w:rFonts w:ascii="Arial" w:hAnsi="Arial" w:cs="Arial"/>
          <w:i/>
          <w:color w:val="4472C4" w:themeColor="accent5"/>
          <w:sz w:val="20"/>
          <w:szCs w:val="20"/>
        </w:rPr>
      </w:pPr>
      <w:r>
        <w:rPr>
          <w:rFonts w:ascii="Arial" w:hAnsi="Arial" w:cs="Arial"/>
          <w:i/>
          <w:color w:val="4472C4" w:themeColor="accent5"/>
          <w:sz w:val="20"/>
          <w:szCs w:val="20"/>
        </w:rPr>
        <w:lastRenderedPageBreak/>
        <w:t>4. El contrato de prestación de servicios que INTERAPAS tenga registrado para el inmueble ubicado en Avenida Parque Chapultepec número 96, Colinas del Parque, código postal 78260, San</w:t>
      </w:r>
      <w:r>
        <w:rPr>
          <w:rFonts w:ascii="Arial" w:hAnsi="Arial" w:cs="Arial"/>
          <w:i/>
          <w:color w:val="4472C4" w:themeColor="accent5"/>
          <w:sz w:val="20"/>
          <w:szCs w:val="20"/>
        </w:rPr>
        <w:t xml:space="preserve"> Luis Potosí, o en su defecto el registro de inspecciones, notificaciones o adeudos relacionados con ese domicilio. 5. Copia de la constancia de habilitación número 101/2026 expedida por el Mtro. Arturo </w:t>
      </w:r>
      <w:proofErr w:type="spellStart"/>
      <w:r>
        <w:rPr>
          <w:rFonts w:ascii="Arial" w:hAnsi="Arial" w:cs="Arial"/>
          <w:i/>
          <w:color w:val="4472C4" w:themeColor="accent5"/>
          <w:sz w:val="20"/>
          <w:szCs w:val="20"/>
        </w:rPr>
        <w:t>Jaimes</w:t>
      </w:r>
      <w:proofErr w:type="spellEnd"/>
      <w:r>
        <w:rPr>
          <w:rFonts w:ascii="Arial" w:hAnsi="Arial" w:cs="Arial"/>
          <w:i/>
          <w:color w:val="4472C4" w:themeColor="accent5"/>
          <w:sz w:val="20"/>
          <w:szCs w:val="20"/>
        </w:rPr>
        <w:t xml:space="preserve"> </w:t>
      </w:r>
      <w:proofErr w:type="spellStart"/>
      <w:r>
        <w:rPr>
          <w:rFonts w:ascii="Arial" w:hAnsi="Arial" w:cs="Arial"/>
          <w:i/>
          <w:color w:val="4472C4" w:themeColor="accent5"/>
          <w:sz w:val="20"/>
          <w:szCs w:val="20"/>
        </w:rPr>
        <w:t>Nuñez</w:t>
      </w:r>
      <w:proofErr w:type="spellEnd"/>
      <w:r>
        <w:rPr>
          <w:rFonts w:ascii="Arial" w:hAnsi="Arial" w:cs="Arial"/>
          <w:i/>
          <w:color w:val="4472C4" w:themeColor="accent5"/>
          <w:sz w:val="20"/>
          <w:szCs w:val="20"/>
        </w:rPr>
        <w:t xml:space="preserve"> al Lic. Mario G. </w:t>
      </w:r>
      <w:proofErr w:type="spellStart"/>
      <w:r>
        <w:rPr>
          <w:rFonts w:ascii="Arial" w:hAnsi="Arial" w:cs="Arial"/>
          <w:i/>
          <w:color w:val="4472C4" w:themeColor="accent5"/>
          <w:sz w:val="20"/>
          <w:szCs w:val="20"/>
        </w:rPr>
        <w:t>Obdoba</w:t>
      </w:r>
      <w:proofErr w:type="spellEnd"/>
      <w:r>
        <w:rPr>
          <w:rFonts w:ascii="Arial" w:hAnsi="Arial" w:cs="Arial"/>
          <w:i/>
          <w:color w:val="4472C4" w:themeColor="accent5"/>
          <w:sz w:val="20"/>
          <w:szCs w:val="20"/>
        </w:rPr>
        <w:t xml:space="preserve"> Sánchez, con ind</w:t>
      </w:r>
      <w:r>
        <w:rPr>
          <w:rFonts w:ascii="Arial" w:hAnsi="Arial" w:cs="Arial"/>
          <w:i/>
          <w:color w:val="4472C4" w:themeColor="accent5"/>
          <w:sz w:val="20"/>
          <w:szCs w:val="20"/>
        </w:rPr>
        <w:t>icación de funciones y vigencia.</w:t>
      </w:r>
    </w:p>
    <w:p w:rsidR="009C2E90" w:rsidRDefault="00DA22FD">
      <w:pPr>
        <w:ind w:firstLine="708"/>
        <w:jc w:val="both"/>
        <w:rPr>
          <w:rFonts w:ascii="Arial" w:hAnsi="Arial" w:cs="Arial"/>
          <w:i/>
          <w:color w:val="4472C4" w:themeColor="accent5"/>
          <w:sz w:val="20"/>
          <w:szCs w:val="20"/>
        </w:rPr>
      </w:pPr>
      <w:r>
        <w:rPr>
          <w:rFonts w:ascii="Arial" w:hAnsi="Arial" w:cs="Arial"/>
          <w:i/>
          <w:color w:val="4472C4" w:themeColor="accent5"/>
          <w:sz w:val="20"/>
          <w:szCs w:val="20"/>
        </w:rPr>
        <w:t xml:space="preserve"> 6. Cualquier convenio, contrato, acuerdo administrativo o programa general (por volumen, edificio, condominio o similar) que INTERAPAS haya suscrito o implementado y que ampare o permita la prestación del servicio de agua </w:t>
      </w:r>
      <w:r>
        <w:rPr>
          <w:rFonts w:ascii="Arial" w:hAnsi="Arial" w:cs="Arial"/>
          <w:i/>
          <w:color w:val="4472C4" w:themeColor="accent5"/>
          <w:sz w:val="20"/>
          <w:szCs w:val="20"/>
        </w:rPr>
        <w:t xml:space="preserve">potable y drenaje en el domicilio de Av. </w:t>
      </w:r>
      <w:proofErr w:type="spellStart"/>
      <w:r>
        <w:rPr>
          <w:rFonts w:ascii="Arial" w:hAnsi="Arial" w:cs="Arial"/>
          <w:i/>
          <w:color w:val="4472C4" w:themeColor="accent5"/>
          <w:sz w:val="20"/>
          <w:szCs w:val="20"/>
        </w:rPr>
        <w:t>Tatanacho</w:t>
      </w:r>
      <w:proofErr w:type="spellEnd"/>
      <w:r>
        <w:rPr>
          <w:rFonts w:ascii="Arial" w:hAnsi="Arial" w:cs="Arial"/>
          <w:i/>
          <w:color w:val="4472C4" w:themeColor="accent5"/>
          <w:sz w:val="20"/>
          <w:szCs w:val="20"/>
        </w:rPr>
        <w:t xml:space="preserve"> 738 sin un contrato individual vigente. </w:t>
      </w:r>
    </w:p>
    <w:p w:rsidR="009C2E90" w:rsidRDefault="00DA22FD">
      <w:pPr>
        <w:ind w:firstLine="708"/>
        <w:jc w:val="both"/>
        <w:rPr>
          <w:rFonts w:ascii="Arial" w:hAnsi="Arial" w:cs="Arial"/>
          <w:i/>
          <w:color w:val="4472C4" w:themeColor="accent5"/>
          <w:sz w:val="20"/>
          <w:szCs w:val="20"/>
        </w:rPr>
      </w:pPr>
      <w:r>
        <w:rPr>
          <w:rFonts w:ascii="Arial" w:hAnsi="Arial" w:cs="Arial"/>
          <w:i/>
          <w:color w:val="4472C4" w:themeColor="accent5"/>
          <w:sz w:val="20"/>
          <w:szCs w:val="20"/>
        </w:rPr>
        <w:t>7. El expediente de queja o investigación que la Contraloría Interna de INTERAPAS haya abierto, si existe, respecto de la notificación y falta de seguimiento en ese</w:t>
      </w:r>
      <w:r>
        <w:rPr>
          <w:rFonts w:ascii="Arial" w:hAnsi="Arial" w:cs="Arial"/>
          <w:i/>
          <w:color w:val="4472C4" w:themeColor="accent5"/>
          <w:sz w:val="20"/>
          <w:szCs w:val="20"/>
        </w:rPr>
        <w:t xml:space="preserve"> domicilio, así como respecto de la actuación del notificador y del funcionario que lo habilitó. </w:t>
      </w:r>
    </w:p>
    <w:p w:rsidR="009C2E90" w:rsidRDefault="00DA22FD">
      <w:pPr>
        <w:ind w:firstLine="708"/>
        <w:jc w:val="both"/>
        <w:rPr>
          <w:rFonts w:ascii="Arial" w:hAnsi="Arial" w:cs="Arial"/>
          <w:i/>
          <w:color w:val="4472C4" w:themeColor="accent5"/>
          <w:sz w:val="20"/>
          <w:szCs w:val="20"/>
        </w:rPr>
      </w:pPr>
      <w:r>
        <w:rPr>
          <w:rFonts w:ascii="Arial" w:hAnsi="Arial" w:cs="Arial"/>
          <w:i/>
          <w:color w:val="4472C4" w:themeColor="accent5"/>
          <w:sz w:val="20"/>
          <w:szCs w:val="20"/>
        </w:rPr>
        <w:t>8. El registro de proveedores, contratistas o despachos externos que hayan prestado servicios legales o de consultoría a INTERAPAS durante los años 2024, 2025</w:t>
      </w:r>
      <w:r>
        <w:rPr>
          <w:rFonts w:ascii="Arial" w:hAnsi="Arial" w:cs="Arial"/>
          <w:i/>
          <w:color w:val="4472C4" w:themeColor="accent5"/>
          <w:sz w:val="20"/>
          <w:szCs w:val="20"/>
        </w:rPr>
        <w:t xml:space="preserve"> y 2026, en el que aparezca la firma "Hernández </w:t>
      </w:r>
      <w:proofErr w:type="spellStart"/>
      <w:r>
        <w:rPr>
          <w:rFonts w:ascii="Arial" w:hAnsi="Arial" w:cs="Arial"/>
          <w:i/>
          <w:color w:val="4472C4" w:themeColor="accent5"/>
          <w:sz w:val="20"/>
          <w:szCs w:val="20"/>
        </w:rPr>
        <w:t>Degaldillo</w:t>
      </w:r>
      <w:proofErr w:type="spellEnd"/>
      <w:r>
        <w:rPr>
          <w:rFonts w:ascii="Arial" w:hAnsi="Arial" w:cs="Arial"/>
          <w:i/>
          <w:color w:val="4472C4" w:themeColor="accent5"/>
          <w:sz w:val="20"/>
          <w:szCs w:val="20"/>
        </w:rPr>
        <w:t xml:space="preserve">, Faz y Asociados S.C.", "Nicolás Hernández Delgadillo" o "Guillermo Faz Aguilar", así como los contratos, convenios o facturas derivados de dicha prestación de servicios. </w:t>
      </w:r>
    </w:p>
    <w:p w:rsidR="009C2E90" w:rsidRDefault="00DA22FD">
      <w:pPr>
        <w:ind w:firstLine="708"/>
        <w:jc w:val="both"/>
        <w:rPr>
          <w:rFonts w:ascii="Arial" w:hAnsi="Arial" w:cs="Arial"/>
          <w:i/>
          <w:color w:val="4472C4" w:themeColor="accent5"/>
          <w:sz w:val="20"/>
          <w:szCs w:val="20"/>
        </w:rPr>
      </w:pPr>
      <w:r>
        <w:rPr>
          <w:rFonts w:ascii="Arial" w:hAnsi="Arial" w:cs="Arial"/>
          <w:i/>
          <w:color w:val="4472C4" w:themeColor="accent5"/>
          <w:sz w:val="20"/>
          <w:szCs w:val="20"/>
        </w:rPr>
        <w:t xml:space="preserve">9. El oficio mediante el </w:t>
      </w:r>
      <w:r>
        <w:rPr>
          <w:rFonts w:ascii="Arial" w:hAnsi="Arial" w:cs="Arial"/>
          <w:i/>
          <w:color w:val="4472C4" w:themeColor="accent5"/>
          <w:sz w:val="20"/>
          <w:szCs w:val="20"/>
        </w:rPr>
        <w:t xml:space="preserve">cual la Contraloría Interna de INTERAPAS o la Contraloría Municipal de San Luis Potosí haya dado respuesta a la investigación por conflicto de intereses mencionada en el caso del bar </w:t>
      </w:r>
      <w:proofErr w:type="spellStart"/>
      <w:r>
        <w:rPr>
          <w:rFonts w:ascii="Arial" w:hAnsi="Arial" w:cs="Arial"/>
          <w:i/>
          <w:color w:val="4472C4" w:themeColor="accent5"/>
          <w:sz w:val="20"/>
          <w:szCs w:val="20"/>
        </w:rPr>
        <w:t>Rich</w:t>
      </w:r>
      <w:proofErr w:type="spellEnd"/>
      <w:r>
        <w:rPr>
          <w:rFonts w:ascii="Arial" w:hAnsi="Arial" w:cs="Arial"/>
          <w:i/>
          <w:color w:val="4472C4" w:themeColor="accent5"/>
          <w:sz w:val="20"/>
          <w:szCs w:val="20"/>
        </w:rPr>
        <w:t>, en la que aparece como abogado defensor Nicolás Hernández Delgadill</w:t>
      </w:r>
      <w:r>
        <w:rPr>
          <w:rFonts w:ascii="Arial" w:hAnsi="Arial" w:cs="Arial"/>
          <w:i/>
          <w:color w:val="4472C4" w:themeColor="accent5"/>
          <w:sz w:val="20"/>
          <w:szCs w:val="20"/>
        </w:rPr>
        <w:t xml:space="preserve">o, en su calidad de socio del despacho que representa al propietario del inmueble de Av. </w:t>
      </w:r>
      <w:proofErr w:type="spellStart"/>
      <w:r>
        <w:rPr>
          <w:rFonts w:ascii="Arial" w:hAnsi="Arial" w:cs="Arial"/>
          <w:i/>
          <w:color w:val="4472C4" w:themeColor="accent5"/>
          <w:sz w:val="20"/>
          <w:szCs w:val="20"/>
        </w:rPr>
        <w:t>Tatanacho</w:t>
      </w:r>
      <w:proofErr w:type="spellEnd"/>
      <w:r>
        <w:rPr>
          <w:rFonts w:ascii="Arial" w:hAnsi="Arial" w:cs="Arial"/>
          <w:i/>
          <w:color w:val="4472C4" w:themeColor="accent5"/>
          <w:sz w:val="20"/>
          <w:szCs w:val="20"/>
        </w:rPr>
        <w:t xml:space="preserve"> 738.” Sic.</w:t>
      </w:r>
    </w:p>
    <w:p w:rsidR="009C2E90" w:rsidRDefault="00DA22FD">
      <w:pPr>
        <w:spacing w:after="0"/>
        <w:ind w:firstLine="708"/>
        <w:jc w:val="both"/>
        <w:rPr>
          <w:rFonts w:ascii="Arial" w:eastAsia="Times New Roman" w:hAnsi="Arial" w:cs="Arial"/>
          <w:color w:val="4472C4" w:themeColor="accent5"/>
          <w:sz w:val="24"/>
          <w:szCs w:val="24"/>
          <w:lang w:eastAsia="es-MX"/>
        </w:rPr>
      </w:pPr>
      <w:r>
        <w:rPr>
          <w:rFonts w:ascii="Arial" w:eastAsia="Times New Roman" w:hAnsi="Arial" w:cs="Arial"/>
          <w:b/>
          <w:color w:val="4472C4" w:themeColor="accent5"/>
          <w:sz w:val="24"/>
          <w:szCs w:val="24"/>
          <w:lang w:eastAsia="es-MX"/>
        </w:rPr>
        <w:t xml:space="preserve">II. Respuesta a la solicitud de acceso a la información pública. </w:t>
      </w:r>
      <w:r>
        <w:rPr>
          <w:rFonts w:ascii="Arial" w:eastAsia="Times New Roman" w:hAnsi="Arial" w:cs="Arial"/>
          <w:color w:val="4472C4" w:themeColor="accent5"/>
          <w:sz w:val="24"/>
          <w:szCs w:val="24"/>
          <w:lang w:eastAsia="es-MX"/>
        </w:rPr>
        <w:t>El 01 uno de junio de 2026 dos mil veintiséis, sujeto obligado</w:t>
      </w:r>
      <w:r>
        <w:rPr>
          <w:rFonts w:ascii="Arial" w:eastAsia="Times New Roman" w:hAnsi="Arial" w:cs="Arial"/>
          <w:b/>
          <w:color w:val="4472C4" w:themeColor="accent5"/>
          <w:sz w:val="24"/>
          <w:szCs w:val="24"/>
          <w:lang w:eastAsia="es-MX"/>
        </w:rPr>
        <w:t xml:space="preserve"> </w:t>
      </w:r>
      <w:r>
        <w:rPr>
          <w:rFonts w:ascii="Arial" w:eastAsia="Times New Roman" w:hAnsi="Arial" w:cs="Arial"/>
          <w:color w:val="4472C4" w:themeColor="accent5"/>
          <w:sz w:val="24"/>
          <w:szCs w:val="24"/>
          <w:lang w:eastAsia="es-MX"/>
        </w:rPr>
        <w:t>notificó al solici</w:t>
      </w:r>
      <w:r>
        <w:rPr>
          <w:rFonts w:ascii="Arial" w:eastAsia="Times New Roman" w:hAnsi="Arial" w:cs="Arial"/>
          <w:color w:val="4472C4" w:themeColor="accent5"/>
          <w:sz w:val="24"/>
          <w:szCs w:val="24"/>
          <w:lang w:eastAsia="es-MX"/>
        </w:rPr>
        <w:t>tante, por el mismo medio electrónico, la respuesta a la solicitud de acceso a la información pública</w:t>
      </w:r>
      <w:r>
        <w:rPr>
          <w:rStyle w:val="Refdenotaalpie"/>
          <w:rFonts w:ascii="Arial" w:eastAsia="Times New Roman" w:hAnsi="Arial" w:cs="Arial"/>
          <w:color w:val="4472C4" w:themeColor="accent5"/>
          <w:sz w:val="24"/>
          <w:szCs w:val="24"/>
          <w:lang w:eastAsia="es-MX"/>
        </w:rPr>
        <w:footnoteReference w:id="2"/>
      </w:r>
      <w:r>
        <w:rPr>
          <w:rFonts w:ascii="Arial" w:eastAsia="Times New Roman" w:hAnsi="Arial" w:cs="Arial"/>
          <w:color w:val="4472C4" w:themeColor="accent5"/>
          <w:sz w:val="24"/>
          <w:szCs w:val="24"/>
          <w:lang w:eastAsia="es-MX"/>
        </w:rPr>
        <w:t>:</w:t>
      </w:r>
    </w:p>
    <w:p w:rsidR="009C2E90" w:rsidRDefault="009C2E90">
      <w:pPr>
        <w:spacing w:after="0"/>
        <w:ind w:firstLine="708"/>
        <w:jc w:val="both"/>
        <w:rPr>
          <w:rFonts w:ascii="Arial" w:eastAsia="Times New Roman" w:hAnsi="Arial" w:cs="Arial"/>
          <w:color w:val="4472C4" w:themeColor="accent5"/>
          <w:sz w:val="24"/>
          <w:szCs w:val="24"/>
          <w:lang w:eastAsia="es-MX"/>
        </w:rPr>
      </w:pPr>
    </w:p>
    <w:p w:rsidR="009C2E90" w:rsidRDefault="00DA22FD">
      <w:pPr>
        <w:spacing w:after="0"/>
        <w:ind w:firstLine="709"/>
        <w:jc w:val="both"/>
        <w:rPr>
          <w:rFonts w:ascii="Arial" w:eastAsia="Times New Roman" w:hAnsi="Arial" w:cs="Arial"/>
          <w:color w:val="4472C4" w:themeColor="accent5"/>
          <w:sz w:val="24"/>
          <w:szCs w:val="24"/>
          <w:lang w:eastAsia="es-MX"/>
        </w:rPr>
      </w:pPr>
      <w:r>
        <w:rPr>
          <w:rFonts w:ascii="Arial" w:eastAsia="Times New Roman" w:hAnsi="Arial" w:cs="Arial"/>
          <w:i/>
          <w:color w:val="4472C4" w:themeColor="accent5"/>
          <w:sz w:val="20"/>
          <w:szCs w:val="20"/>
          <w:lang w:eastAsia="es-MX"/>
        </w:rPr>
        <w:t xml:space="preserve">“ADJUNTO RESPUESTA”  </w:t>
      </w:r>
    </w:p>
    <w:p w:rsidR="009C2E90" w:rsidRDefault="009C2E90">
      <w:pPr>
        <w:pStyle w:val="Encabezado"/>
        <w:spacing w:line="276" w:lineRule="auto"/>
        <w:ind w:firstLine="708"/>
        <w:jc w:val="both"/>
        <w:rPr>
          <w:rFonts w:ascii="Arial" w:hAnsi="Arial" w:cs="Arial"/>
          <w:b/>
          <w:color w:val="4472C4" w:themeColor="accent5"/>
          <w:sz w:val="24"/>
          <w:szCs w:val="24"/>
        </w:rPr>
      </w:pPr>
    </w:p>
    <w:p w:rsidR="009C2E90" w:rsidRDefault="00DA22FD">
      <w:pPr>
        <w:pStyle w:val="Encabezado"/>
        <w:spacing w:line="276" w:lineRule="auto"/>
        <w:ind w:firstLine="708"/>
        <w:jc w:val="both"/>
        <w:rPr>
          <w:rFonts w:ascii="Arial" w:hAnsi="Arial" w:cs="Arial"/>
          <w:color w:val="4472C4" w:themeColor="accent5"/>
          <w:sz w:val="24"/>
          <w:szCs w:val="24"/>
        </w:rPr>
      </w:pPr>
      <w:proofErr w:type="spellStart"/>
      <w:r>
        <w:rPr>
          <w:rFonts w:ascii="Arial" w:hAnsi="Arial" w:cs="Arial"/>
          <w:b/>
          <w:color w:val="4472C4" w:themeColor="accent5"/>
          <w:sz w:val="24"/>
          <w:szCs w:val="24"/>
        </w:rPr>
        <w:t>Ill</w:t>
      </w:r>
      <w:proofErr w:type="spellEnd"/>
      <w:r>
        <w:rPr>
          <w:rFonts w:ascii="Arial" w:hAnsi="Arial" w:cs="Arial"/>
          <w:b/>
          <w:color w:val="4472C4" w:themeColor="accent5"/>
          <w:sz w:val="24"/>
          <w:szCs w:val="24"/>
        </w:rPr>
        <w:t xml:space="preserve">. Interposición del recurso. </w:t>
      </w:r>
      <w:r>
        <w:rPr>
          <w:rFonts w:ascii="Arial" w:hAnsi="Arial" w:cs="Arial"/>
          <w:color w:val="4472C4" w:themeColor="accent5"/>
          <w:sz w:val="24"/>
          <w:szCs w:val="24"/>
        </w:rPr>
        <w:t xml:space="preserve">El </w:t>
      </w:r>
      <w:r>
        <w:rPr>
          <w:rFonts w:ascii="Arial" w:eastAsia="Times New Roman" w:hAnsi="Arial" w:cs="Arial"/>
          <w:color w:val="4472C4" w:themeColor="accent5"/>
          <w:sz w:val="24"/>
          <w:szCs w:val="24"/>
          <w:lang w:eastAsia="es-MX"/>
        </w:rPr>
        <w:t xml:space="preserve">15 quince de junio </w:t>
      </w:r>
      <w:r>
        <w:rPr>
          <w:rFonts w:ascii="Arial" w:hAnsi="Arial" w:cs="Arial"/>
          <w:color w:val="4472C4" w:themeColor="accent5"/>
          <w:sz w:val="24"/>
          <w:szCs w:val="24"/>
        </w:rPr>
        <w:t xml:space="preserve">de 2026 dos mil veintiséis, con sello de recibido en la Oficialía de </w:t>
      </w:r>
      <w:r>
        <w:rPr>
          <w:rFonts w:ascii="Arial" w:hAnsi="Arial" w:cs="Arial"/>
          <w:color w:val="4472C4" w:themeColor="accent5"/>
          <w:sz w:val="24"/>
          <w:szCs w:val="24"/>
        </w:rPr>
        <w:t>Partes de esta Comisión el 18 dieciocho del mismo mes y año, a través del Sistema de Comunicación con los Sujetos Obligados de la Plataforma Nacional de Transparencia San Luis Potosí, el solicitante de la información interpuso recurso de revisión contra la</w:t>
      </w:r>
      <w:r>
        <w:rPr>
          <w:rFonts w:ascii="Arial" w:hAnsi="Arial" w:cs="Arial"/>
          <w:color w:val="4472C4" w:themeColor="accent5"/>
          <w:sz w:val="24"/>
          <w:szCs w:val="24"/>
        </w:rPr>
        <w:t xml:space="preserve"> respuesta a su solicitud de acceso a la información pública mencionada en el punto anterior.</w:t>
      </w:r>
    </w:p>
    <w:p w:rsidR="009C2E90" w:rsidRDefault="009C2E90">
      <w:pPr>
        <w:pStyle w:val="corte4fondo"/>
        <w:spacing w:line="276" w:lineRule="auto"/>
        <w:ind w:firstLine="708"/>
        <w:rPr>
          <w:rFonts w:cs="Arial"/>
          <w:color w:val="4472C4" w:themeColor="accent5"/>
          <w:sz w:val="24"/>
          <w:szCs w:val="24"/>
          <w:lang w:val="es-MX"/>
        </w:rPr>
      </w:pPr>
    </w:p>
    <w:p w:rsidR="009C2E90" w:rsidRDefault="00DA22FD">
      <w:pPr>
        <w:spacing w:after="0"/>
        <w:ind w:firstLine="709"/>
        <w:jc w:val="both"/>
        <w:rPr>
          <w:rFonts w:ascii="Arial" w:eastAsia="Times New Roman" w:hAnsi="Arial" w:cs="Arial"/>
          <w:color w:val="4472C4" w:themeColor="accent5"/>
          <w:sz w:val="24"/>
          <w:szCs w:val="24"/>
          <w:lang w:eastAsia="es-MX"/>
        </w:rPr>
      </w:pPr>
      <w:r>
        <w:rPr>
          <w:rFonts w:ascii="Arial" w:hAnsi="Arial" w:cs="Arial"/>
          <w:b/>
          <w:color w:val="4472C4" w:themeColor="accent5"/>
          <w:sz w:val="24"/>
          <w:szCs w:val="24"/>
        </w:rPr>
        <w:t>IV.</w:t>
      </w:r>
      <w:r>
        <w:rPr>
          <w:rFonts w:ascii="Arial" w:eastAsia="Times New Roman" w:hAnsi="Arial" w:cs="Arial"/>
          <w:color w:val="4472C4" w:themeColor="accent5"/>
          <w:sz w:val="24"/>
          <w:szCs w:val="24"/>
          <w:lang w:eastAsia="es-MX"/>
        </w:rPr>
        <w:t xml:space="preserve"> </w:t>
      </w:r>
      <w:r>
        <w:rPr>
          <w:rFonts w:ascii="Arial" w:eastAsia="Times New Roman" w:hAnsi="Arial" w:cs="Arial"/>
          <w:b/>
          <w:color w:val="4472C4" w:themeColor="accent5"/>
          <w:sz w:val="24"/>
          <w:szCs w:val="24"/>
          <w:lang w:eastAsia="es-MX"/>
        </w:rPr>
        <w:t xml:space="preserve">Trámite del recurso de revisión ante esta Comisión Estatal de Garantía de Acceso a la Información Pública. </w:t>
      </w:r>
      <w:r>
        <w:rPr>
          <w:rFonts w:ascii="Arial" w:eastAsia="Times New Roman" w:hAnsi="Arial" w:cs="Arial"/>
          <w:color w:val="4472C4" w:themeColor="accent5"/>
          <w:sz w:val="24"/>
          <w:szCs w:val="24"/>
          <w:lang w:eastAsia="es-MX"/>
        </w:rPr>
        <w:t>Mediante auto de 18 dieciocho de junio de 2026 dos</w:t>
      </w:r>
      <w:r>
        <w:rPr>
          <w:rFonts w:ascii="Arial" w:eastAsia="Times New Roman" w:hAnsi="Arial" w:cs="Arial"/>
          <w:color w:val="4472C4" w:themeColor="accent5"/>
          <w:sz w:val="24"/>
          <w:szCs w:val="24"/>
          <w:lang w:eastAsia="es-MX"/>
        </w:rPr>
        <w:t xml:space="preserve"> mil veintiséis, la presidencia de esta Comisión de Transparencia tuvo por recibido el recurso de revisión, por lo que, por razón de turno, tocó conocer a esta ponencia por lo que se le turnó dicho expediente para que procediera, previo su análisis, a su a</w:t>
      </w:r>
      <w:r>
        <w:rPr>
          <w:rFonts w:ascii="Arial" w:eastAsia="Times New Roman" w:hAnsi="Arial" w:cs="Arial"/>
          <w:color w:val="4472C4" w:themeColor="accent5"/>
          <w:sz w:val="24"/>
          <w:szCs w:val="24"/>
          <w:lang w:eastAsia="es-MX"/>
        </w:rPr>
        <w:t xml:space="preserve">dmisión o </w:t>
      </w:r>
      <w:proofErr w:type="spellStart"/>
      <w:r>
        <w:rPr>
          <w:rFonts w:ascii="Arial" w:eastAsia="Times New Roman" w:hAnsi="Arial" w:cs="Arial"/>
          <w:color w:val="4472C4" w:themeColor="accent5"/>
          <w:sz w:val="24"/>
          <w:szCs w:val="24"/>
          <w:lang w:eastAsia="es-MX"/>
        </w:rPr>
        <w:t>desechamiento</w:t>
      </w:r>
      <w:proofErr w:type="spellEnd"/>
      <w:r>
        <w:rPr>
          <w:rFonts w:ascii="Arial" w:eastAsia="Times New Roman" w:hAnsi="Arial" w:cs="Arial"/>
          <w:color w:val="4472C4" w:themeColor="accent5"/>
          <w:sz w:val="24"/>
          <w:szCs w:val="24"/>
          <w:lang w:eastAsia="es-MX"/>
        </w:rPr>
        <w:t xml:space="preserve"> según fuera el caso.</w:t>
      </w:r>
    </w:p>
    <w:p w:rsidR="009C2E90" w:rsidRDefault="009C2E90">
      <w:pPr>
        <w:spacing w:after="0"/>
        <w:ind w:firstLine="709"/>
        <w:jc w:val="both"/>
        <w:rPr>
          <w:rFonts w:ascii="Arial" w:eastAsia="Times New Roman" w:hAnsi="Arial" w:cs="Arial"/>
          <w:color w:val="4472C4" w:themeColor="accent5"/>
          <w:sz w:val="24"/>
          <w:szCs w:val="24"/>
          <w:lang w:eastAsia="es-MX"/>
        </w:rPr>
      </w:pPr>
    </w:p>
    <w:p w:rsidR="009C2E90" w:rsidRDefault="00DA22FD">
      <w:pPr>
        <w:pStyle w:val="corte4fondo"/>
        <w:spacing w:line="276" w:lineRule="auto"/>
        <w:rPr>
          <w:rFonts w:cs="Arial"/>
          <w:color w:val="4472C4" w:themeColor="accent5"/>
          <w:sz w:val="24"/>
          <w:szCs w:val="24"/>
          <w:lang w:val="es-MX"/>
        </w:rPr>
      </w:pPr>
      <w:r>
        <w:rPr>
          <w:rFonts w:cs="Arial"/>
          <w:b/>
          <w:color w:val="4472C4" w:themeColor="accent5"/>
          <w:sz w:val="24"/>
          <w:szCs w:val="24"/>
        </w:rPr>
        <w:t xml:space="preserve">V. Auto de admisión y trámite. </w:t>
      </w:r>
      <w:r>
        <w:rPr>
          <w:rFonts w:cs="Arial"/>
          <w:color w:val="4472C4" w:themeColor="accent5"/>
          <w:sz w:val="24"/>
          <w:szCs w:val="24"/>
        </w:rPr>
        <w:t>Por proveído</w:t>
      </w:r>
      <w:r>
        <w:rPr>
          <w:rFonts w:cs="Arial"/>
          <w:color w:val="4472C4" w:themeColor="accent5"/>
          <w:sz w:val="24"/>
          <w:szCs w:val="24"/>
          <w:lang w:val="es-MX"/>
        </w:rPr>
        <w:t xml:space="preserve"> de 19 diecinueve de junio de 2026 dos mil veintiséis</w:t>
      </w:r>
      <w:r>
        <w:rPr>
          <w:rFonts w:cs="Arial"/>
          <w:color w:val="4472C4" w:themeColor="accent5"/>
          <w:sz w:val="24"/>
          <w:szCs w:val="24"/>
        </w:rPr>
        <w:t>,</w:t>
      </w:r>
      <w:r>
        <w:rPr>
          <w:rFonts w:cs="Arial"/>
          <w:color w:val="4472C4" w:themeColor="accent5"/>
          <w:sz w:val="24"/>
          <w:szCs w:val="24"/>
          <w:lang w:val="es-MX"/>
        </w:rPr>
        <w:t xml:space="preserve"> la unidad de ponencia </w:t>
      </w:r>
      <w:r>
        <w:rPr>
          <w:rFonts w:cs="Arial"/>
          <w:color w:val="4472C4" w:themeColor="accent5"/>
          <w:sz w:val="24"/>
          <w:szCs w:val="24"/>
        </w:rPr>
        <w:t xml:space="preserve">acordó </w:t>
      </w:r>
      <w:r>
        <w:rPr>
          <w:rFonts w:cs="Arial"/>
          <w:color w:val="4472C4" w:themeColor="accent5"/>
          <w:sz w:val="24"/>
          <w:szCs w:val="24"/>
          <w:lang w:val="es-MX"/>
        </w:rPr>
        <w:t>en los siguientes términos:</w:t>
      </w:r>
    </w:p>
    <w:p w:rsidR="009C2E90" w:rsidRDefault="009C2E90">
      <w:pPr>
        <w:pStyle w:val="corte4fondo"/>
        <w:spacing w:line="276" w:lineRule="auto"/>
        <w:rPr>
          <w:rFonts w:cs="Arial"/>
          <w:color w:val="4472C4" w:themeColor="accent5"/>
          <w:sz w:val="24"/>
          <w:szCs w:val="24"/>
        </w:rPr>
      </w:pPr>
    </w:p>
    <w:p w:rsidR="009C2E90" w:rsidRDefault="00DA22FD">
      <w:pPr>
        <w:pStyle w:val="corte4fondo"/>
        <w:numPr>
          <w:ilvl w:val="0"/>
          <w:numId w:val="1"/>
        </w:numPr>
        <w:spacing w:line="276" w:lineRule="auto"/>
        <w:rPr>
          <w:rFonts w:cs="Arial"/>
          <w:color w:val="4472C4" w:themeColor="accent5"/>
          <w:sz w:val="24"/>
          <w:szCs w:val="24"/>
        </w:rPr>
      </w:pPr>
      <w:r>
        <w:rPr>
          <w:rFonts w:cs="Arial"/>
          <w:color w:val="4472C4" w:themeColor="accent5"/>
          <w:sz w:val="24"/>
          <w:szCs w:val="24"/>
        </w:rPr>
        <w:t>Admitió a trámite el presente recurso de revisión.</w:t>
      </w:r>
      <w:r>
        <w:rPr>
          <w:rFonts w:cs="Arial"/>
          <w:color w:val="4472C4" w:themeColor="accent5"/>
          <w:sz w:val="24"/>
          <w:szCs w:val="24"/>
          <w:lang w:val="es-MX"/>
        </w:rPr>
        <w:t xml:space="preserve">           </w:t>
      </w:r>
    </w:p>
    <w:p w:rsidR="009C2E90" w:rsidRDefault="00DA22FD">
      <w:pPr>
        <w:numPr>
          <w:ilvl w:val="0"/>
          <w:numId w:val="2"/>
        </w:numPr>
        <w:spacing w:after="0"/>
        <w:jc w:val="both"/>
        <w:rPr>
          <w:rFonts w:ascii="Arial" w:hAnsi="Arial" w:cs="Arial"/>
          <w:b/>
          <w:color w:val="4472C4" w:themeColor="accent5"/>
          <w:sz w:val="24"/>
          <w:szCs w:val="24"/>
        </w:rPr>
      </w:pPr>
      <w:r>
        <w:rPr>
          <w:rFonts w:ascii="Arial" w:eastAsia="Times New Roman" w:hAnsi="Arial" w:cs="Arial"/>
          <w:color w:val="4472C4" w:themeColor="accent5"/>
          <w:sz w:val="24"/>
          <w:szCs w:val="24"/>
          <w:lang w:eastAsia="es-MX"/>
        </w:rPr>
        <w:t xml:space="preserve">Tuvo como sujeto obligado al </w:t>
      </w:r>
      <w:r>
        <w:rPr>
          <w:rFonts w:ascii="Arial" w:hAnsi="Arial" w:cs="Arial"/>
          <w:b/>
          <w:color w:val="4472C4" w:themeColor="accent5"/>
          <w:sz w:val="24"/>
          <w:szCs w:val="24"/>
        </w:rPr>
        <w:t>Organismo Intermunicipal Metropolitano De Agua Potable, Alcantarillado, Saneamiento y Servicios Conexos de los Municipios de Cerro de San Pedro, San Luis Potosí y Soledad de Graciano Sánchez (INTERAPAS)</w:t>
      </w:r>
      <w:r>
        <w:rPr>
          <w:rFonts w:ascii="Arial" w:eastAsia="Times New Roman" w:hAnsi="Arial" w:cs="Arial"/>
          <w:b/>
          <w:color w:val="4472C4" w:themeColor="accent5"/>
          <w:sz w:val="24"/>
          <w:szCs w:val="24"/>
          <w:lang w:eastAsia="es-MX"/>
        </w:rPr>
        <w:t>.</w:t>
      </w:r>
    </w:p>
    <w:p w:rsidR="009C2E90" w:rsidRDefault="00DA22FD">
      <w:pPr>
        <w:numPr>
          <w:ilvl w:val="0"/>
          <w:numId w:val="2"/>
        </w:numPr>
        <w:spacing w:after="0"/>
        <w:jc w:val="both"/>
        <w:rPr>
          <w:rFonts w:ascii="Arial" w:hAnsi="Arial" w:cs="Arial"/>
          <w:color w:val="4472C4" w:themeColor="accent5"/>
          <w:sz w:val="24"/>
          <w:szCs w:val="24"/>
        </w:rPr>
      </w:pPr>
      <w:r>
        <w:rPr>
          <w:rFonts w:ascii="Arial" w:hAnsi="Arial" w:cs="Arial"/>
          <w:color w:val="4472C4" w:themeColor="accent5"/>
          <w:sz w:val="24"/>
          <w:szCs w:val="24"/>
        </w:rPr>
        <w:t>Se actualiz</w:t>
      </w:r>
      <w:r>
        <w:rPr>
          <w:rFonts w:ascii="Arial" w:hAnsi="Arial" w:cs="Arial"/>
          <w:color w:val="4472C4" w:themeColor="accent5"/>
          <w:sz w:val="24"/>
          <w:szCs w:val="24"/>
        </w:rPr>
        <w:t xml:space="preserve">ó la hipótesis establecida en la fracción IV y V, del artículo 167 de la Ley de Transparencia y Acceso a la Información Pública del Estado. </w:t>
      </w:r>
    </w:p>
    <w:p w:rsidR="009C2E90" w:rsidRDefault="00DA22FD">
      <w:pPr>
        <w:numPr>
          <w:ilvl w:val="0"/>
          <w:numId w:val="2"/>
        </w:numPr>
        <w:spacing w:after="0"/>
        <w:jc w:val="both"/>
        <w:rPr>
          <w:rFonts w:ascii="Arial" w:eastAsia="Times New Roman" w:hAnsi="Arial" w:cs="Arial"/>
          <w:color w:val="4472C4" w:themeColor="accent5"/>
          <w:sz w:val="24"/>
          <w:szCs w:val="24"/>
          <w:lang w:eastAsia="es-MX"/>
        </w:rPr>
      </w:pPr>
      <w:r>
        <w:rPr>
          <w:rFonts w:ascii="Arial" w:eastAsia="Times New Roman" w:hAnsi="Arial" w:cs="Arial"/>
          <w:color w:val="4472C4" w:themeColor="accent5"/>
          <w:sz w:val="24"/>
          <w:szCs w:val="24"/>
          <w:lang w:eastAsia="es-MX"/>
        </w:rPr>
        <w:t>Se puso a disposición de las partes el expediente para que en un plazo máximo de 7 siete días manifestaran lo que a</w:t>
      </w:r>
      <w:r>
        <w:rPr>
          <w:rFonts w:ascii="Arial" w:eastAsia="Times New Roman" w:hAnsi="Arial" w:cs="Arial"/>
          <w:color w:val="4472C4" w:themeColor="accent5"/>
          <w:sz w:val="24"/>
          <w:szCs w:val="24"/>
          <w:lang w:eastAsia="es-MX"/>
        </w:rPr>
        <w:t xml:space="preserve"> su derecho conviniera –ofrecer pruebas y alegar-.  </w:t>
      </w:r>
    </w:p>
    <w:p w:rsidR="009C2E90" w:rsidRDefault="00DA22FD">
      <w:pPr>
        <w:numPr>
          <w:ilvl w:val="0"/>
          <w:numId w:val="1"/>
        </w:numPr>
        <w:spacing w:after="0"/>
        <w:jc w:val="both"/>
        <w:rPr>
          <w:rFonts w:ascii="Arial" w:eastAsia="Times New Roman" w:hAnsi="Arial" w:cs="Arial"/>
          <w:color w:val="4472C4" w:themeColor="accent5"/>
          <w:sz w:val="24"/>
          <w:szCs w:val="24"/>
          <w:lang w:eastAsia="es-MX"/>
        </w:rPr>
      </w:pPr>
      <w:r>
        <w:rPr>
          <w:rFonts w:ascii="Arial" w:eastAsia="Times New Roman" w:hAnsi="Arial" w:cs="Arial"/>
          <w:color w:val="4472C4" w:themeColor="accent5"/>
          <w:sz w:val="24"/>
          <w:szCs w:val="24"/>
          <w:lang w:eastAsia="es-MX"/>
        </w:rPr>
        <w:t xml:space="preserve">Se le tuvo al recurrente por señalada dirección electrónica para oír notificaciones.     </w:t>
      </w:r>
    </w:p>
    <w:p w:rsidR="009C2E90" w:rsidRDefault="009C2E90">
      <w:pPr>
        <w:spacing w:after="0"/>
        <w:jc w:val="both"/>
        <w:rPr>
          <w:rFonts w:ascii="Arial" w:eastAsia="Times New Roman" w:hAnsi="Arial" w:cs="Arial"/>
          <w:color w:val="4472C4" w:themeColor="accent5"/>
          <w:sz w:val="24"/>
          <w:szCs w:val="24"/>
          <w:lang w:eastAsia="es-MX"/>
        </w:rPr>
      </w:pPr>
    </w:p>
    <w:p w:rsidR="009C2E90" w:rsidRDefault="00DA22FD">
      <w:pPr>
        <w:spacing w:after="0"/>
        <w:ind w:firstLine="708"/>
        <w:jc w:val="both"/>
        <w:rPr>
          <w:rFonts w:ascii="Arial" w:hAnsi="Arial" w:cs="Arial"/>
          <w:color w:val="4472C4" w:themeColor="accent5"/>
          <w:sz w:val="24"/>
          <w:szCs w:val="24"/>
        </w:rPr>
      </w:pPr>
      <w:r>
        <w:rPr>
          <w:rFonts w:ascii="Arial" w:eastAsia="Times New Roman" w:hAnsi="Arial" w:cs="Arial"/>
          <w:color w:val="4472C4" w:themeColor="accent5"/>
          <w:sz w:val="24"/>
          <w:szCs w:val="24"/>
          <w:lang w:eastAsia="es-MX"/>
        </w:rPr>
        <w:t xml:space="preserve">Asimismo, </w:t>
      </w:r>
      <w:r>
        <w:rPr>
          <w:rFonts w:ascii="Arial" w:hAnsi="Arial" w:cs="Arial"/>
          <w:color w:val="4472C4" w:themeColor="accent5"/>
          <w:sz w:val="24"/>
          <w:szCs w:val="24"/>
        </w:rPr>
        <w:t>se le requirió al sujeto obligado para que señalaran personas y domicilio para oír y recibir notificac</w:t>
      </w:r>
      <w:r>
        <w:rPr>
          <w:rFonts w:ascii="Arial" w:hAnsi="Arial" w:cs="Arial"/>
          <w:color w:val="4472C4" w:themeColor="accent5"/>
          <w:sz w:val="24"/>
          <w:szCs w:val="24"/>
        </w:rPr>
        <w:t>iones, así como para que el servidor público que comparezca a realizar manifestaciones remitiera copia certificada del nombramiento que lo acreditara como tal.</w:t>
      </w:r>
    </w:p>
    <w:p w:rsidR="009C2E90" w:rsidRDefault="009C2E90">
      <w:pPr>
        <w:pStyle w:val="corte4fondo"/>
        <w:tabs>
          <w:tab w:val="left" w:pos="0"/>
        </w:tabs>
        <w:spacing w:line="276" w:lineRule="auto"/>
        <w:ind w:left="1429" w:firstLine="0"/>
        <w:rPr>
          <w:rFonts w:cs="Arial"/>
          <w:color w:val="4472C4" w:themeColor="accent5"/>
          <w:sz w:val="24"/>
          <w:szCs w:val="24"/>
          <w:lang w:val="es-MX"/>
        </w:rPr>
      </w:pPr>
    </w:p>
    <w:p w:rsidR="009C2E90" w:rsidRDefault="00DA22FD">
      <w:pPr>
        <w:pStyle w:val="corte4fondo"/>
        <w:tabs>
          <w:tab w:val="left" w:pos="0"/>
        </w:tabs>
        <w:spacing w:line="276" w:lineRule="auto"/>
        <w:rPr>
          <w:rFonts w:cs="Arial"/>
          <w:color w:val="4472C4" w:themeColor="accent5"/>
          <w:sz w:val="24"/>
          <w:szCs w:val="24"/>
          <w:lang w:val="es-MX"/>
        </w:rPr>
      </w:pPr>
      <w:r>
        <w:rPr>
          <w:rFonts w:cs="Arial"/>
          <w:color w:val="4472C4" w:themeColor="accent5"/>
          <w:sz w:val="24"/>
          <w:szCs w:val="24"/>
        </w:rPr>
        <w:t>Finalmente,</w:t>
      </w:r>
      <w:r>
        <w:rPr>
          <w:rFonts w:cs="Arial"/>
          <w:color w:val="4472C4" w:themeColor="accent5"/>
          <w:sz w:val="24"/>
          <w:szCs w:val="24"/>
          <w:lang w:val="es-MX"/>
        </w:rPr>
        <w:t xml:space="preserve"> se le hizo saber al recurrente que en términos del artículo 67 de la Ley de Protecc</w:t>
      </w:r>
      <w:r>
        <w:rPr>
          <w:rFonts w:cs="Arial"/>
          <w:color w:val="4472C4" w:themeColor="accent5"/>
          <w:sz w:val="24"/>
          <w:szCs w:val="24"/>
          <w:lang w:val="es-MX"/>
        </w:rPr>
        <w:t xml:space="preserve">ión de Datos Personales en Posesión de los Sujetos Obligados del estado de San Luis Potosí  se encontraba a salvo su derecho para oponerse a la publicación de sus datos personales. </w:t>
      </w:r>
    </w:p>
    <w:p w:rsidR="009C2E90" w:rsidRDefault="009C2E90">
      <w:pPr>
        <w:spacing w:after="0"/>
        <w:ind w:firstLine="709"/>
        <w:jc w:val="both"/>
        <w:rPr>
          <w:rFonts w:ascii="Arial" w:eastAsia="Times New Roman" w:hAnsi="Arial" w:cs="Arial"/>
          <w:color w:val="4472C4" w:themeColor="accent5"/>
          <w:sz w:val="24"/>
          <w:szCs w:val="24"/>
          <w:lang w:eastAsia="es-MX"/>
        </w:rPr>
      </w:pPr>
    </w:p>
    <w:p w:rsidR="009C2E90" w:rsidRDefault="00DA22FD">
      <w:pPr>
        <w:pStyle w:val="corte4fondo"/>
        <w:tabs>
          <w:tab w:val="left" w:pos="0"/>
        </w:tabs>
        <w:spacing w:line="276" w:lineRule="auto"/>
        <w:ind w:firstLine="0"/>
        <w:rPr>
          <w:rFonts w:cs="Arial"/>
          <w:color w:val="4472C4" w:themeColor="accent5"/>
          <w:sz w:val="24"/>
          <w:szCs w:val="24"/>
        </w:rPr>
      </w:pPr>
      <w:r>
        <w:rPr>
          <w:rFonts w:cs="Arial"/>
          <w:b/>
          <w:color w:val="4472C4" w:themeColor="accent5"/>
          <w:sz w:val="24"/>
          <w:szCs w:val="24"/>
        </w:rPr>
        <w:tab/>
        <w:t>V</w:t>
      </w:r>
      <w:r>
        <w:rPr>
          <w:rFonts w:cs="Arial"/>
          <w:b/>
          <w:color w:val="4472C4" w:themeColor="accent5"/>
          <w:sz w:val="24"/>
          <w:szCs w:val="24"/>
          <w:lang w:val="es-MX"/>
        </w:rPr>
        <w:t>I</w:t>
      </w:r>
      <w:r>
        <w:rPr>
          <w:rFonts w:cs="Arial"/>
          <w:b/>
          <w:color w:val="4472C4" w:themeColor="accent5"/>
          <w:sz w:val="24"/>
          <w:szCs w:val="24"/>
        </w:rPr>
        <w:t>. Informe sujeto obligado</w:t>
      </w:r>
      <w:r>
        <w:rPr>
          <w:rFonts w:cs="Arial"/>
          <w:color w:val="4472C4" w:themeColor="accent5"/>
          <w:sz w:val="24"/>
          <w:szCs w:val="24"/>
        </w:rPr>
        <w:t>. Por proveído de</w:t>
      </w:r>
      <w:r>
        <w:rPr>
          <w:rFonts w:cs="Arial"/>
          <w:color w:val="4472C4" w:themeColor="accent5"/>
          <w:sz w:val="24"/>
          <w:szCs w:val="24"/>
          <w:lang w:val="es-MX"/>
        </w:rPr>
        <w:t xml:space="preserve"> 09 nueve de julio de 2026 dos mil veintiséis</w:t>
      </w:r>
      <w:r>
        <w:rPr>
          <w:rFonts w:cs="Arial"/>
          <w:color w:val="4472C4" w:themeColor="accent5"/>
          <w:sz w:val="24"/>
          <w:szCs w:val="24"/>
        </w:rPr>
        <w:t>, el ponente del presente asunto tuvo:</w:t>
      </w:r>
    </w:p>
    <w:p w:rsidR="009C2E90" w:rsidRDefault="00DA22FD">
      <w:pPr>
        <w:pStyle w:val="corte4fondo"/>
        <w:tabs>
          <w:tab w:val="left" w:pos="0"/>
        </w:tabs>
        <w:spacing w:line="276" w:lineRule="auto"/>
        <w:ind w:firstLine="0"/>
        <w:rPr>
          <w:rFonts w:cs="Arial"/>
          <w:color w:val="4472C4" w:themeColor="accent5"/>
          <w:sz w:val="24"/>
          <w:szCs w:val="24"/>
          <w:lang w:val="es-MX"/>
        </w:rPr>
      </w:pPr>
      <w:r>
        <w:rPr>
          <w:rFonts w:cs="Arial"/>
          <w:color w:val="4472C4" w:themeColor="accent5"/>
          <w:sz w:val="24"/>
          <w:szCs w:val="24"/>
          <w:lang w:val="es-MX"/>
        </w:rPr>
        <w:t>.</w:t>
      </w:r>
    </w:p>
    <w:p w:rsidR="009C2E90" w:rsidRDefault="00DA22FD">
      <w:pPr>
        <w:pStyle w:val="corte4fondo"/>
        <w:numPr>
          <w:ilvl w:val="0"/>
          <w:numId w:val="3"/>
        </w:numPr>
        <w:spacing w:line="276" w:lineRule="auto"/>
        <w:rPr>
          <w:rFonts w:cs="Arial"/>
          <w:color w:val="4472C4" w:themeColor="accent5"/>
          <w:sz w:val="24"/>
          <w:szCs w:val="24"/>
        </w:rPr>
      </w:pPr>
      <w:r>
        <w:rPr>
          <w:rFonts w:cs="Arial"/>
          <w:color w:val="4472C4" w:themeColor="accent5"/>
          <w:sz w:val="24"/>
          <w:szCs w:val="24"/>
        </w:rPr>
        <w:t>Por recibido el oficio</w:t>
      </w:r>
      <w:r>
        <w:rPr>
          <w:rFonts w:cs="Arial"/>
          <w:color w:val="4472C4" w:themeColor="accent5"/>
          <w:sz w:val="24"/>
          <w:szCs w:val="24"/>
          <w:lang w:val="es-MX"/>
        </w:rPr>
        <w:t xml:space="preserve"> IN/DG/UT/286/2026 recibido en la Oficialía de Partes de esta Comisión el 03 tres de julio de julio de 2026 dos mil veintiséis</w:t>
      </w:r>
      <w:r>
        <w:rPr>
          <w:rFonts w:cs="Arial"/>
          <w:color w:val="4472C4" w:themeColor="accent5"/>
          <w:sz w:val="24"/>
          <w:szCs w:val="24"/>
        </w:rPr>
        <w:t>,</w:t>
      </w:r>
      <w:r>
        <w:rPr>
          <w:rFonts w:cs="Arial"/>
          <w:color w:val="4472C4" w:themeColor="accent5"/>
          <w:sz w:val="24"/>
          <w:szCs w:val="24"/>
          <w:lang w:val="es-MX"/>
        </w:rPr>
        <w:t xml:space="preserve"> </w:t>
      </w:r>
      <w:r>
        <w:rPr>
          <w:rFonts w:cs="Arial"/>
          <w:color w:val="4472C4" w:themeColor="accent5"/>
          <w:sz w:val="24"/>
          <w:szCs w:val="24"/>
        </w:rPr>
        <w:t>signado por</w:t>
      </w:r>
      <w:r>
        <w:rPr>
          <w:rFonts w:cs="Arial"/>
          <w:color w:val="4472C4" w:themeColor="accent5"/>
          <w:sz w:val="24"/>
          <w:szCs w:val="24"/>
          <w:lang w:val="es-MX"/>
        </w:rPr>
        <w:t xml:space="preserve"> el Titul</w:t>
      </w:r>
      <w:r>
        <w:rPr>
          <w:rFonts w:cs="Arial"/>
          <w:color w:val="4472C4" w:themeColor="accent5"/>
          <w:sz w:val="24"/>
          <w:szCs w:val="24"/>
          <w:lang w:val="es-MX"/>
        </w:rPr>
        <w:t>ar de la Unidad de Transparencia</w:t>
      </w:r>
      <w:r>
        <w:rPr>
          <w:rFonts w:cs="Arial"/>
          <w:color w:val="4472C4" w:themeColor="accent5"/>
          <w:sz w:val="24"/>
          <w:szCs w:val="24"/>
        </w:rPr>
        <w:t>, junto con anexo.</w:t>
      </w:r>
      <w:r>
        <w:rPr>
          <w:rFonts w:cs="Arial"/>
          <w:b/>
          <w:color w:val="4472C4" w:themeColor="accent5"/>
          <w:sz w:val="24"/>
          <w:szCs w:val="24"/>
        </w:rPr>
        <w:t xml:space="preserve"> </w:t>
      </w:r>
    </w:p>
    <w:p w:rsidR="009C2E90" w:rsidRDefault="00DA22FD">
      <w:pPr>
        <w:pStyle w:val="corte4fondo"/>
        <w:numPr>
          <w:ilvl w:val="0"/>
          <w:numId w:val="3"/>
        </w:numPr>
        <w:spacing w:line="276" w:lineRule="auto"/>
        <w:rPr>
          <w:rFonts w:cs="Arial"/>
          <w:color w:val="4472C4" w:themeColor="accent5"/>
          <w:sz w:val="24"/>
          <w:szCs w:val="24"/>
        </w:rPr>
      </w:pPr>
      <w:r>
        <w:rPr>
          <w:rFonts w:cs="Arial"/>
          <w:color w:val="4472C4" w:themeColor="accent5"/>
          <w:sz w:val="24"/>
          <w:szCs w:val="24"/>
        </w:rPr>
        <w:t>Por reconocida la personalidad del sujeto obligado</w:t>
      </w:r>
    </w:p>
    <w:p w:rsidR="009C2E90" w:rsidRDefault="00DA22FD">
      <w:pPr>
        <w:pStyle w:val="corte4fondo"/>
        <w:numPr>
          <w:ilvl w:val="0"/>
          <w:numId w:val="3"/>
        </w:numPr>
        <w:spacing w:line="276" w:lineRule="auto"/>
        <w:rPr>
          <w:rFonts w:cs="Arial"/>
          <w:color w:val="4472C4" w:themeColor="accent5"/>
          <w:sz w:val="24"/>
          <w:szCs w:val="24"/>
        </w:rPr>
      </w:pPr>
      <w:r>
        <w:rPr>
          <w:rFonts w:cs="Arial"/>
          <w:color w:val="4472C4" w:themeColor="accent5"/>
          <w:sz w:val="24"/>
          <w:szCs w:val="24"/>
        </w:rPr>
        <w:t>Por expresados los argumentos relacionados con el presente asunto.</w:t>
      </w:r>
    </w:p>
    <w:p w:rsidR="009C2E90" w:rsidRDefault="00DA22FD">
      <w:pPr>
        <w:pStyle w:val="corte4fondo"/>
        <w:numPr>
          <w:ilvl w:val="0"/>
          <w:numId w:val="3"/>
        </w:numPr>
        <w:spacing w:line="276" w:lineRule="auto"/>
        <w:rPr>
          <w:rFonts w:cs="Arial"/>
          <w:color w:val="4472C4" w:themeColor="accent5"/>
          <w:sz w:val="24"/>
          <w:szCs w:val="24"/>
        </w:rPr>
      </w:pPr>
      <w:r>
        <w:rPr>
          <w:rFonts w:cs="Arial"/>
          <w:color w:val="4472C4" w:themeColor="accent5"/>
          <w:sz w:val="24"/>
          <w:szCs w:val="24"/>
        </w:rPr>
        <w:t>Por ofrecidas las pruebas documentales que adjuntó al oficio de cuenta.</w:t>
      </w:r>
    </w:p>
    <w:p w:rsidR="009C2E90" w:rsidRDefault="00DA22FD">
      <w:pPr>
        <w:pStyle w:val="corte4fondo"/>
        <w:numPr>
          <w:ilvl w:val="0"/>
          <w:numId w:val="3"/>
        </w:numPr>
        <w:spacing w:line="276" w:lineRule="auto"/>
        <w:rPr>
          <w:rFonts w:cs="Arial"/>
          <w:color w:val="4472C4" w:themeColor="accent5"/>
          <w:sz w:val="24"/>
          <w:szCs w:val="24"/>
        </w:rPr>
      </w:pPr>
      <w:r>
        <w:rPr>
          <w:rFonts w:cs="Arial"/>
          <w:color w:val="4472C4" w:themeColor="accent5"/>
          <w:sz w:val="24"/>
          <w:szCs w:val="24"/>
        </w:rPr>
        <w:t xml:space="preserve">Por señalando </w:t>
      </w:r>
      <w:r>
        <w:rPr>
          <w:rFonts w:cs="Arial"/>
          <w:color w:val="4472C4" w:themeColor="accent5"/>
          <w:sz w:val="24"/>
          <w:szCs w:val="24"/>
        </w:rPr>
        <w:t>domicilio para oír y recibir notificaciones</w:t>
      </w:r>
      <w:r>
        <w:rPr>
          <w:rFonts w:cs="Arial"/>
          <w:color w:val="4472C4" w:themeColor="accent5"/>
          <w:sz w:val="24"/>
          <w:szCs w:val="24"/>
          <w:lang w:val="es-MX"/>
        </w:rPr>
        <w:t>.</w:t>
      </w:r>
    </w:p>
    <w:p w:rsidR="009C2E90" w:rsidRDefault="00DA22FD">
      <w:pPr>
        <w:pStyle w:val="NormalWeb"/>
        <w:ind w:firstLine="708"/>
        <w:jc w:val="both"/>
        <w:rPr>
          <w:rFonts w:ascii="Arial" w:hAnsi="Arial" w:cs="Arial"/>
          <w:color w:val="4472C4" w:themeColor="accent5"/>
        </w:rPr>
      </w:pPr>
      <w:r>
        <w:rPr>
          <w:rFonts w:ascii="Arial" w:hAnsi="Arial" w:cs="Arial"/>
          <w:color w:val="4472C4" w:themeColor="accent5"/>
        </w:rPr>
        <w:t>Respecto de la parte recurrente, se advirtió que no compareció a formular, manifestaciones, alegatos y/o presentar pruebas que estimara convenientes.</w:t>
      </w:r>
    </w:p>
    <w:p w:rsidR="009C2E90" w:rsidRDefault="00DA22FD">
      <w:pPr>
        <w:pStyle w:val="NormalWeb"/>
        <w:ind w:firstLine="708"/>
        <w:jc w:val="both"/>
        <w:rPr>
          <w:rFonts w:ascii="Arial" w:hAnsi="Arial" w:cs="Arial"/>
          <w:color w:val="4472C4" w:themeColor="accent5"/>
        </w:rPr>
      </w:pPr>
      <w:r>
        <w:rPr>
          <w:rFonts w:ascii="Arial" w:hAnsi="Arial" w:cs="Arial"/>
          <w:color w:val="4472C4" w:themeColor="accent5"/>
        </w:rPr>
        <w:t>Para concluir, se declaró cerrado el periodo de instrucción y</w:t>
      </w:r>
      <w:r>
        <w:rPr>
          <w:rFonts w:ascii="Arial" w:hAnsi="Arial" w:cs="Arial"/>
          <w:color w:val="4472C4" w:themeColor="accent5"/>
        </w:rPr>
        <w:t xml:space="preserve"> procedió a elaborar el proyecto de resolución respectivo.</w:t>
      </w:r>
    </w:p>
    <w:p w:rsidR="009C2E90" w:rsidRDefault="00DA22FD">
      <w:pPr>
        <w:pStyle w:val="NormalWeb"/>
        <w:ind w:firstLine="708"/>
        <w:jc w:val="both"/>
        <w:rPr>
          <w:rFonts w:ascii="Arial" w:hAnsi="Arial" w:cs="Arial"/>
          <w:color w:val="4472C4" w:themeColor="accent5"/>
        </w:rPr>
      </w:pPr>
      <w:r>
        <w:rPr>
          <w:rFonts w:ascii="Arial" w:hAnsi="Arial" w:cs="Arial"/>
          <w:color w:val="4472C4" w:themeColor="accent5"/>
        </w:rPr>
        <w:t xml:space="preserve">VIII. Auto de ampliación para resolver. El 03 tres de agosto de 2026 dos mil </w:t>
      </w:r>
      <w:r>
        <w:rPr>
          <w:rFonts w:ascii="Arial" w:hAnsi="Arial" w:cs="Arial"/>
          <w:color w:val="4472C4" w:themeColor="accent5"/>
          <w:lang w:val="es-MX"/>
        </w:rPr>
        <w:t>veintiséis</w:t>
      </w:r>
      <w:r>
        <w:rPr>
          <w:rFonts w:ascii="Arial" w:hAnsi="Arial" w:cs="Arial"/>
          <w:color w:val="4472C4" w:themeColor="accent5"/>
        </w:rPr>
        <w:t>, esta ponencia decretó la ampliación del término para resolver, de conformidad con el artículo 1705 de la ley</w:t>
      </w:r>
      <w:r>
        <w:rPr>
          <w:rFonts w:ascii="Arial" w:hAnsi="Arial" w:cs="Arial"/>
          <w:color w:val="4472C4" w:themeColor="accent5"/>
        </w:rPr>
        <w:t xml:space="preserve"> de la materia, concatenado con el numeral vigésimo séptimo fracción V6, de los Lineamientos para la Recepción, Sustanciación, Resolución y Cumplimiento de los Recurso de Revisión.</w:t>
      </w:r>
    </w:p>
    <w:p w:rsidR="009C2E90" w:rsidRDefault="00DA22FD">
      <w:pPr>
        <w:pStyle w:val="NormalWeb"/>
        <w:jc w:val="both"/>
        <w:rPr>
          <w:rFonts w:ascii="Arial" w:hAnsi="Arial" w:cs="Arial"/>
          <w:color w:val="4472C4" w:themeColor="accent5"/>
        </w:rPr>
      </w:pPr>
      <w:r>
        <w:rPr>
          <w:rFonts w:ascii="Arial" w:hAnsi="Arial" w:cs="Arial"/>
          <w:color w:val="4472C4" w:themeColor="accent5"/>
        </w:rPr>
        <w:t>Consecuentemente, remitió de nueva cuenta el presente expediente para elabo</w:t>
      </w:r>
      <w:r>
        <w:rPr>
          <w:rFonts w:ascii="Arial" w:hAnsi="Arial" w:cs="Arial"/>
          <w:color w:val="4472C4" w:themeColor="accent5"/>
        </w:rPr>
        <w:t>rar el proyecto de resolución correspondiente.</w:t>
      </w:r>
    </w:p>
    <w:p w:rsidR="009C2E90" w:rsidRDefault="009C2E90">
      <w:pPr>
        <w:pStyle w:val="corte4fondo"/>
        <w:spacing w:line="276" w:lineRule="auto"/>
        <w:ind w:left="1510" w:firstLine="0"/>
        <w:rPr>
          <w:rFonts w:cs="Arial"/>
          <w:color w:val="4472C4" w:themeColor="accent5"/>
          <w:sz w:val="24"/>
          <w:szCs w:val="24"/>
        </w:rPr>
      </w:pPr>
    </w:p>
    <w:p w:rsidR="009C2E90" w:rsidRDefault="00DA22FD">
      <w:pPr>
        <w:autoSpaceDE w:val="0"/>
        <w:autoSpaceDN w:val="0"/>
        <w:adjustRightInd w:val="0"/>
        <w:spacing w:after="0"/>
        <w:jc w:val="center"/>
        <w:rPr>
          <w:rFonts w:ascii="Arial" w:hAnsi="Arial" w:cs="Arial"/>
          <w:b/>
          <w:color w:val="4472C4" w:themeColor="accent5"/>
          <w:sz w:val="24"/>
          <w:szCs w:val="24"/>
        </w:rPr>
      </w:pPr>
      <w:r>
        <w:rPr>
          <w:rFonts w:ascii="Arial" w:hAnsi="Arial" w:cs="Arial"/>
          <w:b/>
          <w:color w:val="4472C4" w:themeColor="accent5"/>
          <w:sz w:val="24"/>
          <w:szCs w:val="24"/>
        </w:rPr>
        <w:t>C O N S I D E R A N D O</w:t>
      </w:r>
    </w:p>
    <w:p w:rsidR="009C2E90" w:rsidRDefault="009C2E90">
      <w:pPr>
        <w:autoSpaceDE w:val="0"/>
        <w:autoSpaceDN w:val="0"/>
        <w:adjustRightInd w:val="0"/>
        <w:spacing w:after="0"/>
        <w:jc w:val="center"/>
        <w:rPr>
          <w:rFonts w:ascii="Arial" w:hAnsi="Arial" w:cs="Arial"/>
          <w:color w:val="4472C4" w:themeColor="accent5"/>
          <w:sz w:val="24"/>
          <w:szCs w:val="24"/>
        </w:rPr>
      </w:pPr>
    </w:p>
    <w:p w:rsidR="009C2E90" w:rsidRDefault="00DA22FD">
      <w:pPr>
        <w:spacing w:after="0"/>
        <w:ind w:firstLine="709"/>
        <w:jc w:val="both"/>
        <w:rPr>
          <w:rFonts w:ascii="Arial" w:eastAsia="Times New Roman" w:hAnsi="Arial" w:cs="Arial"/>
          <w:color w:val="4472C4" w:themeColor="accent5"/>
          <w:sz w:val="24"/>
          <w:szCs w:val="24"/>
          <w:lang w:eastAsia="es-MX"/>
        </w:rPr>
      </w:pPr>
      <w:r>
        <w:rPr>
          <w:rFonts w:ascii="Arial" w:eastAsia="Times New Roman" w:hAnsi="Arial" w:cs="Arial"/>
          <w:b/>
          <w:color w:val="4472C4" w:themeColor="accent5"/>
          <w:sz w:val="24"/>
          <w:szCs w:val="24"/>
          <w:lang w:eastAsia="es-MX"/>
        </w:rPr>
        <w:t xml:space="preserve">PRIMERO. Competencia. </w:t>
      </w:r>
      <w:r>
        <w:rPr>
          <w:rFonts w:ascii="Arial" w:eastAsia="Times New Roman" w:hAnsi="Arial" w:cs="Arial"/>
          <w:color w:val="4472C4" w:themeColor="accent5"/>
          <w:sz w:val="24"/>
          <w:szCs w:val="24"/>
          <w:lang w:eastAsia="es-MX"/>
        </w:rPr>
        <w:t>Esta Comisión Estatal de Garantía de Acceso a la Información Pública es competente para conocer del presente asunto, de acuerdo con los artículos 6, párrafo cuarto, apartado A, fracción IV, de la Constitución Política de los Estados Unidos Mexicanos; 17, f</w:t>
      </w:r>
      <w:r>
        <w:rPr>
          <w:rFonts w:ascii="Arial" w:eastAsia="Times New Roman" w:hAnsi="Arial" w:cs="Arial"/>
          <w:color w:val="4472C4" w:themeColor="accent5"/>
          <w:sz w:val="24"/>
          <w:szCs w:val="24"/>
          <w:lang w:eastAsia="es-MX"/>
        </w:rPr>
        <w:t xml:space="preserve">racción III, párrafo tercero, de la Constitución Política del Estado Libre y Soberano de San Luis Potosí; 27, primer párrafo, 34, fracciones I y II, 35, fracción I, y 175 de la Ley de Transparencia y Acceso a la Información Pública de este Estado. </w:t>
      </w:r>
    </w:p>
    <w:p w:rsidR="009C2E90" w:rsidRDefault="009C2E90">
      <w:pPr>
        <w:spacing w:after="0"/>
        <w:ind w:firstLine="709"/>
        <w:jc w:val="both"/>
        <w:rPr>
          <w:rFonts w:ascii="Arial" w:eastAsia="Times New Roman" w:hAnsi="Arial" w:cs="Arial"/>
          <w:color w:val="4472C4" w:themeColor="accent5"/>
          <w:sz w:val="24"/>
          <w:szCs w:val="24"/>
          <w:lang w:eastAsia="es-MX"/>
        </w:rPr>
      </w:pPr>
    </w:p>
    <w:p w:rsidR="009C2E90" w:rsidRDefault="00DA22FD">
      <w:pPr>
        <w:spacing w:after="0"/>
        <w:ind w:firstLine="709"/>
        <w:jc w:val="both"/>
        <w:rPr>
          <w:rFonts w:ascii="Arial" w:eastAsia="Times New Roman" w:hAnsi="Arial" w:cs="Arial"/>
          <w:color w:val="4472C4" w:themeColor="accent5"/>
          <w:sz w:val="24"/>
          <w:szCs w:val="24"/>
          <w:lang w:eastAsia="es-MX"/>
        </w:rPr>
      </w:pPr>
      <w:r>
        <w:rPr>
          <w:rFonts w:ascii="Arial" w:eastAsia="Times New Roman" w:hAnsi="Arial" w:cs="Arial"/>
          <w:color w:val="4472C4" w:themeColor="accent5"/>
          <w:sz w:val="24"/>
          <w:szCs w:val="24"/>
          <w:lang w:eastAsia="es-MX"/>
        </w:rPr>
        <w:t>Asimis</w:t>
      </w:r>
      <w:r>
        <w:rPr>
          <w:rFonts w:ascii="Arial" w:eastAsia="Times New Roman" w:hAnsi="Arial" w:cs="Arial"/>
          <w:color w:val="4472C4" w:themeColor="accent5"/>
          <w:sz w:val="24"/>
          <w:szCs w:val="24"/>
          <w:lang w:eastAsia="es-MX"/>
        </w:rPr>
        <w:t>mo, de acuerdo con el Decreto que propone reformar el artículo noveno transitorio, del “Decreto 0506.- Decreto que reforma los artículos 17 y 124 Bis de la constitución Política del Estado Libre y Soberano de San Luis Potosí, en materia de Transparencia, A</w:t>
      </w:r>
      <w:r>
        <w:rPr>
          <w:rFonts w:ascii="Arial" w:eastAsia="Times New Roman" w:hAnsi="Arial" w:cs="Arial"/>
          <w:color w:val="4472C4" w:themeColor="accent5"/>
          <w:sz w:val="24"/>
          <w:szCs w:val="24"/>
          <w:lang w:eastAsia="es-MX"/>
        </w:rPr>
        <w:t>cceso a la Información Pública y Protección de Datos Personales.</w:t>
      </w:r>
    </w:p>
    <w:p w:rsidR="009C2E90" w:rsidRDefault="009C2E90">
      <w:pPr>
        <w:spacing w:after="0"/>
        <w:ind w:firstLine="709"/>
        <w:jc w:val="both"/>
        <w:rPr>
          <w:rFonts w:ascii="Arial" w:eastAsia="Times New Roman" w:hAnsi="Arial" w:cs="Arial"/>
          <w:color w:val="4472C4" w:themeColor="accent5"/>
          <w:sz w:val="24"/>
          <w:szCs w:val="24"/>
          <w:lang w:eastAsia="es-MX"/>
        </w:rPr>
      </w:pPr>
    </w:p>
    <w:p w:rsidR="009C2E90" w:rsidRDefault="00DA22FD">
      <w:pPr>
        <w:spacing w:after="0"/>
        <w:ind w:firstLine="709"/>
        <w:jc w:val="both"/>
        <w:rPr>
          <w:rFonts w:ascii="Arial" w:eastAsia="Times New Roman" w:hAnsi="Arial" w:cs="Arial"/>
          <w:color w:val="4472C4" w:themeColor="accent5"/>
          <w:sz w:val="24"/>
          <w:szCs w:val="24"/>
          <w:lang w:eastAsia="es-MX"/>
        </w:rPr>
      </w:pPr>
      <w:r>
        <w:rPr>
          <w:rFonts w:ascii="Arial" w:eastAsia="Times New Roman" w:hAnsi="Arial" w:cs="Arial"/>
          <w:b/>
          <w:color w:val="4472C4" w:themeColor="accent5"/>
          <w:sz w:val="24"/>
          <w:szCs w:val="24"/>
          <w:lang w:eastAsia="es-MX"/>
        </w:rPr>
        <w:t xml:space="preserve">SEGUNDO. Procedencia. </w:t>
      </w:r>
      <w:r>
        <w:rPr>
          <w:rFonts w:ascii="Arial" w:eastAsia="Times New Roman" w:hAnsi="Arial" w:cs="Arial"/>
          <w:color w:val="4472C4" w:themeColor="accent5"/>
          <w:sz w:val="24"/>
          <w:szCs w:val="24"/>
          <w:lang w:eastAsia="es-MX"/>
        </w:rPr>
        <w:t xml:space="preserve">El presente recurso de revisión es procedente en términos del artículo 166, 167 y 168 de la Ley de Transparencia y Acceso a la Información Pública del Estado ya que el </w:t>
      </w:r>
      <w:r>
        <w:rPr>
          <w:rFonts w:ascii="Arial" w:eastAsia="Times New Roman" w:hAnsi="Arial" w:cs="Arial"/>
          <w:color w:val="4472C4" w:themeColor="accent5"/>
          <w:sz w:val="24"/>
          <w:szCs w:val="24"/>
          <w:lang w:eastAsia="es-MX"/>
        </w:rPr>
        <w:t xml:space="preserve">recurrente se inconforme por la respuesta a su solicitud de acceso a la información pública por parte del sujeto obligado. </w:t>
      </w:r>
    </w:p>
    <w:p w:rsidR="009C2E90" w:rsidRDefault="009C2E90">
      <w:pPr>
        <w:spacing w:after="0"/>
        <w:ind w:firstLine="709"/>
        <w:jc w:val="both"/>
        <w:rPr>
          <w:rFonts w:ascii="Arial" w:eastAsia="Times New Roman" w:hAnsi="Arial" w:cs="Arial"/>
          <w:color w:val="4472C4" w:themeColor="accent5"/>
          <w:sz w:val="24"/>
          <w:szCs w:val="24"/>
          <w:lang w:eastAsia="es-MX"/>
        </w:rPr>
      </w:pPr>
    </w:p>
    <w:p w:rsidR="009C2E90" w:rsidRDefault="00DA22FD">
      <w:pPr>
        <w:spacing w:after="0"/>
        <w:ind w:firstLine="709"/>
        <w:jc w:val="both"/>
        <w:rPr>
          <w:rFonts w:ascii="Arial" w:eastAsia="Times New Roman" w:hAnsi="Arial" w:cs="Arial"/>
          <w:color w:val="4472C4" w:themeColor="accent5"/>
          <w:sz w:val="24"/>
          <w:szCs w:val="24"/>
          <w:lang w:eastAsia="es-MX"/>
        </w:rPr>
      </w:pPr>
      <w:r>
        <w:rPr>
          <w:rFonts w:ascii="Arial" w:eastAsia="Times New Roman" w:hAnsi="Arial" w:cs="Arial"/>
          <w:b/>
          <w:color w:val="4472C4" w:themeColor="accent5"/>
          <w:sz w:val="24"/>
          <w:szCs w:val="24"/>
          <w:lang w:eastAsia="es-MX"/>
        </w:rPr>
        <w:t>TERCERO. Oportunidad del recurso</w:t>
      </w:r>
      <w:r>
        <w:rPr>
          <w:rFonts w:ascii="Arial" w:eastAsia="Times New Roman" w:hAnsi="Arial" w:cs="Arial"/>
          <w:color w:val="4472C4" w:themeColor="accent5"/>
          <w:sz w:val="24"/>
          <w:szCs w:val="24"/>
          <w:lang w:eastAsia="es-MX"/>
        </w:rPr>
        <w:t>. La interposición del escrito inicial del recurso de revisión fue oportuna al presentarse dentro d</w:t>
      </w:r>
      <w:r>
        <w:rPr>
          <w:rFonts w:ascii="Arial" w:eastAsia="Times New Roman" w:hAnsi="Arial" w:cs="Arial"/>
          <w:color w:val="4472C4" w:themeColor="accent5"/>
          <w:sz w:val="24"/>
          <w:szCs w:val="24"/>
          <w:lang w:eastAsia="es-MX"/>
        </w:rPr>
        <w:t>el plazo de quince días a que se refiere el artículo 166 de la Ley de Transparencia y Acceso a la Información Pública del Estado, como se expone a continuación:</w:t>
      </w:r>
    </w:p>
    <w:p w:rsidR="009C2E90" w:rsidRDefault="009C2E90">
      <w:pPr>
        <w:pStyle w:val="corte4fondo"/>
        <w:spacing w:line="276" w:lineRule="auto"/>
        <w:rPr>
          <w:rFonts w:cs="Arial"/>
          <w:color w:val="4472C4" w:themeColor="accent5"/>
          <w:sz w:val="24"/>
          <w:szCs w:val="24"/>
          <w:lang w:val="es-MX"/>
        </w:rPr>
      </w:pPr>
    </w:p>
    <w:p w:rsidR="009C2E90" w:rsidRDefault="00DA22FD">
      <w:pPr>
        <w:pStyle w:val="corte4fondo"/>
        <w:numPr>
          <w:ilvl w:val="0"/>
          <w:numId w:val="4"/>
        </w:numPr>
        <w:spacing w:line="276" w:lineRule="auto"/>
        <w:rPr>
          <w:rFonts w:cs="Arial"/>
          <w:color w:val="4472C4" w:themeColor="accent5"/>
          <w:sz w:val="24"/>
          <w:szCs w:val="24"/>
        </w:rPr>
      </w:pPr>
      <w:r>
        <w:rPr>
          <w:rFonts w:cs="Arial"/>
          <w:color w:val="4472C4" w:themeColor="accent5"/>
          <w:sz w:val="24"/>
          <w:szCs w:val="24"/>
        </w:rPr>
        <w:t>El</w:t>
      </w:r>
      <w:r>
        <w:rPr>
          <w:rFonts w:cs="Arial"/>
          <w:color w:val="4472C4" w:themeColor="accent5"/>
          <w:sz w:val="24"/>
          <w:szCs w:val="24"/>
          <w:lang w:val="es-MX"/>
        </w:rPr>
        <w:t xml:space="preserve"> 01 uno de junio de 2026 dos mil veintiséis</w:t>
      </w:r>
      <w:r>
        <w:rPr>
          <w:rFonts w:cs="Arial"/>
          <w:color w:val="4472C4" w:themeColor="accent5"/>
          <w:sz w:val="24"/>
          <w:szCs w:val="24"/>
        </w:rPr>
        <w:t>, el solicitante de la información fue notificado</w:t>
      </w:r>
      <w:r>
        <w:rPr>
          <w:rFonts w:cs="Arial"/>
          <w:color w:val="4472C4" w:themeColor="accent5"/>
          <w:sz w:val="24"/>
          <w:szCs w:val="24"/>
        </w:rPr>
        <w:t xml:space="preserve"> de la respuesta a su solicitud.</w:t>
      </w:r>
    </w:p>
    <w:p w:rsidR="009C2E90" w:rsidRDefault="00DA22FD">
      <w:pPr>
        <w:pStyle w:val="corte4fondo"/>
        <w:numPr>
          <w:ilvl w:val="0"/>
          <w:numId w:val="4"/>
        </w:numPr>
        <w:spacing w:line="276" w:lineRule="auto"/>
        <w:rPr>
          <w:rFonts w:cs="Arial"/>
          <w:color w:val="4472C4" w:themeColor="accent5"/>
          <w:sz w:val="24"/>
          <w:szCs w:val="24"/>
        </w:rPr>
      </w:pPr>
      <w:r>
        <w:rPr>
          <w:rFonts w:cs="Arial"/>
          <w:color w:val="4472C4" w:themeColor="accent5"/>
          <w:sz w:val="24"/>
          <w:szCs w:val="24"/>
        </w:rPr>
        <w:t xml:space="preserve">Por lo tanto, el plazo de los </w:t>
      </w:r>
      <w:r>
        <w:rPr>
          <w:rFonts w:cs="Arial"/>
          <w:color w:val="4472C4" w:themeColor="accent5"/>
          <w:sz w:val="24"/>
          <w:szCs w:val="24"/>
          <w:lang w:val="es-MX"/>
        </w:rPr>
        <w:t xml:space="preserve">15 </w:t>
      </w:r>
      <w:r>
        <w:rPr>
          <w:rFonts w:cs="Arial"/>
          <w:color w:val="4472C4" w:themeColor="accent5"/>
          <w:sz w:val="24"/>
          <w:szCs w:val="24"/>
        </w:rPr>
        <w:t xml:space="preserve">quince días hábiles para interponer el recurso de revisión transcurrió del </w:t>
      </w:r>
      <w:r>
        <w:rPr>
          <w:rFonts w:cs="Arial"/>
          <w:color w:val="4472C4" w:themeColor="accent5"/>
          <w:sz w:val="24"/>
          <w:szCs w:val="24"/>
          <w:lang w:val="es-MX"/>
        </w:rPr>
        <w:t>02 dos de junio de 2026 dos mil veintiséis al 22 veintidós de junio del año en curso</w:t>
      </w:r>
      <w:r>
        <w:rPr>
          <w:rFonts w:cs="Arial"/>
          <w:color w:val="4472C4" w:themeColor="accent5"/>
          <w:sz w:val="24"/>
          <w:szCs w:val="24"/>
        </w:rPr>
        <w:t xml:space="preserve">. </w:t>
      </w:r>
    </w:p>
    <w:p w:rsidR="009C2E90" w:rsidRDefault="00DA22FD">
      <w:pPr>
        <w:pStyle w:val="corte4fondo"/>
        <w:numPr>
          <w:ilvl w:val="0"/>
          <w:numId w:val="4"/>
        </w:numPr>
        <w:spacing w:line="276" w:lineRule="auto"/>
        <w:rPr>
          <w:rFonts w:cs="Arial"/>
          <w:color w:val="4472C4" w:themeColor="accent5"/>
          <w:sz w:val="24"/>
          <w:szCs w:val="24"/>
        </w:rPr>
      </w:pPr>
      <w:r>
        <w:rPr>
          <w:rFonts w:cs="Arial"/>
          <w:color w:val="4472C4" w:themeColor="accent5"/>
          <w:sz w:val="24"/>
          <w:szCs w:val="24"/>
        </w:rPr>
        <w:t>Siendo inhábiles los días</w:t>
      </w:r>
      <w:r>
        <w:rPr>
          <w:rFonts w:cs="Arial"/>
          <w:color w:val="4472C4" w:themeColor="accent5"/>
          <w:sz w:val="24"/>
          <w:szCs w:val="24"/>
          <w:lang w:val="es-MX"/>
        </w:rPr>
        <w:t xml:space="preserve"> 06</w:t>
      </w:r>
      <w:r>
        <w:rPr>
          <w:rFonts w:cs="Arial"/>
          <w:color w:val="4472C4" w:themeColor="accent5"/>
          <w:sz w:val="24"/>
          <w:szCs w:val="24"/>
          <w:lang w:val="es-MX"/>
        </w:rPr>
        <w:t xml:space="preserve"> seis, 07 siete, 13 trece, 14 catorce, 20 veinte y 21 veintiuno de junio de 2026 dos mil veintiséis</w:t>
      </w:r>
      <w:r>
        <w:rPr>
          <w:rFonts w:cs="Arial"/>
          <w:color w:val="4472C4" w:themeColor="accent5"/>
          <w:sz w:val="24"/>
          <w:szCs w:val="24"/>
        </w:rPr>
        <w:t xml:space="preserve">, </w:t>
      </w:r>
      <w:r>
        <w:rPr>
          <w:rFonts w:cs="Arial"/>
          <w:color w:val="4472C4" w:themeColor="accent5"/>
          <w:sz w:val="24"/>
          <w:szCs w:val="24"/>
          <w:lang w:val="es-MX"/>
        </w:rPr>
        <w:t xml:space="preserve">conforme </w:t>
      </w:r>
      <w:r>
        <w:rPr>
          <w:rFonts w:cs="Arial"/>
          <w:color w:val="4472C4" w:themeColor="accent5"/>
          <w:sz w:val="24"/>
          <w:szCs w:val="24"/>
        </w:rPr>
        <w:t>al calendario de actividades de este Organismo.</w:t>
      </w:r>
    </w:p>
    <w:p w:rsidR="009C2E90" w:rsidRDefault="00DA22FD">
      <w:pPr>
        <w:pStyle w:val="corte4fondo"/>
        <w:numPr>
          <w:ilvl w:val="0"/>
          <w:numId w:val="5"/>
        </w:numPr>
        <w:spacing w:line="276" w:lineRule="auto"/>
        <w:ind w:left="1353"/>
        <w:rPr>
          <w:rFonts w:cs="Arial"/>
          <w:color w:val="4472C4" w:themeColor="accent5"/>
          <w:sz w:val="24"/>
          <w:szCs w:val="24"/>
        </w:rPr>
      </w:pPr>
      <w:r>
        <w:rPr>
          <w:rFonts w:cs="Arial"/>
          <w:color w:val="4472C4" w:themeColor="accent5"/>
          <w:sz w:val="24"/>
          <w:szCs w:val="24"/>
        </w:rPr>
        <w:t xml:space="preserve">Consecuentemente, </w:t>
      </w:r>
      <w:r>
        <w:rPr>
          <w:rFonts w:cs="Arial"/>
          <w:color w:val="4472C4" w:themeColor="accent5"/>
          <w:sz w:val="24"/>
          <w:szCs w:val="24"/>
          <w:lang w:val="es-MX"/>
        </w:rPr>
        <w:t>si  el 15 quince de junio del año en curso</w:t>
      </w:r>
      <w:r>
        <w:rPr>
          <w:rFonts w:cs="Arial"/>
          <w:color w:val="4472C4" w:themeColor="accent5"/>
          <w:sz w:val="24"/>
          <w:szCs w:val="24"/>
        </w:rPr>
        <w:t xml:space="preserve">, el recurrente interpuso el citado </w:t>
      </w:r>
      <w:r>
        <w:rPr>
          <w:rFonts w:cs="Arial"/>
          <w:color w:val="4472C4" w:themeColor="accent5"/>
          <w:sz w:val="24"/>
          <w:szCs w:val="24"/>
        </w:rPr>
        <w:t>medio de impugnación ante esta Comisión de Transparencia, resulta claro que es oportuna su presentación.</w:t>
      </w:r>
    </w:p>
    <w:p w:rsidR="009C2E90" w:rsidRDefault="009C2E90">
      <w:pPr>
        <w:spacing w:after="0"/>
        <w:jc w:val="both"/>
        <w:rPr>
          <w:rFonts w:ascii="Arial" w:eastAsia="Times New Roman" w:hAnsi="Arial" w:cs="Arial"/>
          <w:color w:val="4472C4" w:themeColor="accent5"/>
          <w:sz w:val="24"/>
          <w:szCs w:val="24"/>
          <w:lang w:eastAsia="es-MX"/>
        </w:rPr>
      </w:pPr>
    </w:p>
    <w:p w:rsidR="009C2E90" w:rsidRDefault="00DA22FD">
      <w:pPr>
        <w:pStyle w:val="corte4fondo"/>
        <w:spacing w:line="276" w:lineRule="auto"/>
        <w:ind w:firstLine="708"/>
        <w:rPr>
          <w:rFonts w:cs="Arial"/>
          <w:color w:val="4472C4" w:themeColor="accent5"/>
          <w:sz w:val="24"/>
          <w:szCs w:val="24"/>
        </w:rPr>
      </w:pPr>
      <w:r>
        <w:rPr>
          <w:rFonts w:cs="Arial"/>
          <w:b/>
          <w:color w:val="4472C4" w:themeColor="accent5"/>
          <w:sz w:val="24"/>
          <w:szCs w:val="24"/>
        </w:rPr>
        <w:t>CUARTO. Certeza del acto reclamado</w:t>
      </w:r>
      <w:r>
        <w:rPr>
          <w:rFonts w:cs="Arial"/>
          <w:color w:val="4472C4" w:themeColor="accent5"/>
          <w:sz w:val="24"/>
          <w:szCs w:val="24"/>
        </w:rPr>
        <w:t>. Es cierto lo que se le reclama al sujeto obligado en virtud de que la solicitud de acceso a la información pública</w:t>
      </w:r>
      <w:r>
        <w:rPr>
          <w:rFonts w:cs="Arial"/>
          <w:color w:val="4472C4" w:themeColor="accent5"/>
          <w:sz w:val="24"/>
          <w:szCs w:val="24"/>
        </w:rPr>
        <w:t xml:space="preserve"> fue dirigida</w:t>
      </w:r>
      <w:r>
        <w:rPr>
          <w:rFonts w:cs="Arial"/>
          <w:color w:val="4472C4" w:themeColor="accent5"/>
          <w:sz w:val="24"/>
          <w:szCs w:val="24"/>
          <w:lang w:val="es-MX"/>
        </w:rPr>
        <w:t xml:space="preserve"> al Organismo </w:t>
      </w:r>
      <w:r>
        <w:rPr>
          <w:rFonts w:cs="Arial"/>
          <w:color w:val="4472C4" w:themeColor="accent5"/>
          <w:sz w:val="24"/>
          <w:szCs w:val="24"/>
        </w:rPr>
        <w:t>de que se trata</w:t>
      </w:r>
      <w:r>
        <w:rPr>
          <w:rFonts w:cs="Arial"/>
          <w:color w:val="4472C4" w:themeColor="accent5"/>
          <w:sz w:val="24"/>
          <w:szCs w:val="24"/>
          <w:lang w:val="es-MX"/>
        </w:rPr>
        <w:t xml:space="preserve"> como sujeto obligado</w:t>
      </w:r>
      <w:r>
        <w:rPr>
          <w:rFonts w:cs="Arial"/>
          <w:color w:val="4472C4" w:themeColor="accent5"/>
          <w:sz w:val="24"/>
          <w:szCs w:val="24"/>
        </w:rPr>
        <w:t xml:space="preserve"> de acuerdo al registro de la Plataforma Nacional de Transparencia. </w:t>
      </w:r>
    </w:p>
    <w:p w:rsidR="009C2E90" w:rsidRDefault="009C2E90">
      <w:pPr>
        <w:pStyle w:val="corte4fondo"/>
        <w:spacing w:line="276" w:lineRule="auto"/>
        <w:rPr>
          <w:rFonts w:cs="Arial"/>
          <w:color w:val="4472C4" w:themeColor="accent5"/>
          <w:sz w:val="24"/>
          <w:szCs w:val="24"/>
        </w:rPr>
      </w:pPr>
    </w:p>
    <w:p w:rsidR="009C2E90" w:rsidRDefault="00DA22FD">
      <w:pPr>
        <w:pStyle w:val="corte4fondo"/>
        <w:spacing w:line="276" w:lineRule="auto"/>
        <w:ind w:firstLine="0"/>
        <w:rPr>
          <w:rFonts w:cs="Arial"/>
          <w:color w:val="4472C4" w:themeColor="accent5"/>
          <w:sz w:val="24"/>
          <w:szCs w:val="24"/>
          <w:lang w:val="es-MX"/>
        </w:rPr>
      </w:pPr>
      <w:r>
        <w:rPr>
          <w:rFonts w:cs="Arial"/>
          <w:color w:val="4472C4" w:themeColor="accent5"/>
          <w:sz w:val="24"/>
          <w:szCs w:val="24"/>
          <w:lang w:val="es-MX"/>
        </w:rPr>
        <w:tab/>
      </w:r>
      <w:r>
        <w:rPr>
          <w:rFonts w:cs="Arial"/>
          <w:b/>
          <w:color w:val="4472C4" w:themeColor="accent5"/>
          <w:sz w:val="24"/>
          <w:szCs w:val="24"/>
          <w:lang w:val="es-MX"/>
        </w:rPr>
        <w:t>SEXTO</w:t>
      </w:r>
      <w:r>
        <w:rPr>
          <w:rFonts w:cs="Arial"/>
          <w:color w:val="4472C4" w:themeColor="accent5"/>
          <w:sz w:val="24"/>
          <w:szCs w:val="24"/>
          <w:lang w:val="es-MX"/>
        </w:rPr>
        <w:t xml:space="preserve">. </w:t>
      </w:r>
      <w:r>
        <w:rPr>
          <w:rFonts w:cs="Arial"/>
          <w:b/>
          <w:color w:val="4472C4" w:themeColor="accent5"/>
          <w:sz w:val="24"/>
          <w:szCs w:val="24"/>
          <w:lang w:val="es-MX"/>
        </w:rPr>
        <w:t>Sobreseimiento</w:t>
      </w:r>
      <w:r>
        <w:rPr>
          <w:rFonts w:cs="Arial"/>
          <w:color w:val="4472C4" w:themeColor="accent5"/>
          <w:sz w:val="24"/>
          <w:szCs w:val="24"/>
          <w:lang w:val="es-MX"/>
        </w:rPr>
        <w:t xml:space="preserve">. Dicha figura del sobreseimiento es la resolución por parte de esta Comisión Estatal de Garantía de </w:t>
      </w:r>
      <w:r>
        <w:rPr>
          <w:rFonts w:cs="Arial"/>
          <w:color w:val="4472C4" w:themeColor="accent5"/>
          <w:sz w:val="24"/>
          <w:szCs w:val="24"/>
          <w:lang w:val="es-MX"/>
        </w:rPr>
        <w:t>Acceso a la Información Pública de carácter definitivo porque pone fin al procedimiento sin resolver las cuestiones de fondo, es decir, porque se haya actualizado alguno de los supuestos que establece el referido artículo 180 de la Ley de Transparencia y A</w:t>
      </w:r>
      <w:r>
        <w:rPr>
          <w:rFonts w:cs="Arial"/>
          <w:color w:val="4472C4" w:themeColor="accent5"/>
          <w:sz w:val="24"/>
          <w:szCs w:val="24"/>
          <w:lang w:val="es-MX"/>
        </w:rPr>
        <w:t>cceso a la Información Pública del Estado.</w:t>
      </w:r>
    </w:p>
    <w:p w:rsidR="009C2E90" w:rsidRDefault="009C2E90">
      <w:pPr>
        <w:pStyle w:val="corte4fondo"/>
        <w:spacing w:line="276" w:lineRule="auto"/>
        <w:ind w:firstLine="0"/>
        <w:rPr>
          <w:rFonts w:cs="Arial"/>
          <w:color w:val="4472C4" w:themeColor="accent5"/>
          <w:sz w:val="24"/>
          <w:szCs w:val="24"/>
          <w:lang w:val="es-MX"/>
        </w:rPr>
      </w:pPr>
    </w:p>
    <w:p w:rsidR="009C2E90" w:rsidRDefault="00DA22FD">
      <w:pPr>
        <w:pStyle w:val="corte4fondo"/>
        <w:spacing w:line="276" w:lineRule="auto"/>
        <w:ind w:firstLine="0"/>
        <w:rPr>
          <w:rFonts w:cs="Arial"/>
          <w:color w:val="4472C4" w:themeColor="accent5"/>
          <w:sz w:val="24"/>
          <w:szCs w:val="24"/>
          <w:lang w:val="es-MX"/>
        </w:rPr>
      </w:pPr>
      <w:r>
        <w:rPr>
          <w:rFonts w:cs="Arial"/>
          <w:color w:val="4472C4" w:themeColor="accent5"/>
          <w:sz w:val="24"/>
          <w:szCs w:val="24"/>
          <w:lang w:val="es-MX"/>
        </w:rPr>
        <w:tab/>
        <w:t>Ahora, está Comisión de Transparencia analiza la procedencia del sobreseimiento, en virtud de que de acuerdo con la Ley de Transparencia esta figura es una cuestión de orden público que impide, como se ha dicho,</w:t>
      </w:r>
      <w:r>
        <w:rPr>
          <w:rFonts w:cs="Arial"/>
          <w:color w:val="4472C4" w:themeColor="accent5"/>
          <w:sz w:val="24"/>
          <w:szCs w:val="24"/>
          <w:lang w:val="es-MX"/>
        </w:rPr>
        <w:t xml:space="preserve"> entrar al fondo del asunto. </w:t>
      </w:r>
    </w:p>
    <w:p w:rsidR="009C2E90" w:rsidRDefault="009C2E90">
      <w:pPr>
        <w:pStyle w:val="corte4fondo"/>
        <w:spacing w:line="276" w:lineRule="auto"/>
        <w:ind w:firstLine="0"/>
        <w:rPr>
          <w:rFonts w:cs="Arial"/>
          <w:color w:val="4472C4" w:themeColor="accent5"/>
          <w:sz w:val="24"/>
          <w:szCs w:val="24"/>
          <w:lang w:val="es-MX"/>
        </w:rPr>
      </w:pPr>
    </w:p>
    <w:p w:rsidR="009C2E90" w:rsidRDefault="00DA22FD">
      <w:pPr>
        <w:pStyle w:val="corte4fondo"/>
        <w:spacing w:line="276" w:lineRule="auto"/>
        <w:ind w:firstLine="0"/>
        <w:rPr>
          <w:rFonts w:cs="Arial"/>
          <w:color w:val="4472C4" w:themeColor="accent5"/>
          <w:sz w:val="24"/>
          <w:szCs w:val="24"/>
          <w:lang w:val="es-MX"/>
        </w:rPr>
      </w:pPr>
      <w:r>
        <w:rPr>
          <w:rFonts w:cs="Arial"/>
          <w:color w:val="4472C4" w:themeColor="accent5"/>
          <w:sz w:val="24"/>
          <w:szCs w:val="24"/>
          <w:lang w:val="es-MX"/>
        </w:rPr>
        <w:tab/>
      </w:r>
      <w:r>
        <w:rPr>
          <w:rFonts w:cs="Arial"/>
          <w:b/>
          <w:color w:val="4472C4" w:themeColor="accent5"/>
          <w:sz w:val="24"/>
          <w:szCs w:val="24"/>
          <w:lang w:val="es-MX"/>
        </w:rPr>
        <w:t>6.1. Objetivo de la Ley de Transparencia</w:t>
      </w:r>
      <w:r>
        <w:rPr>
          <w:rFonts w:cs="Arial"/>
          <w:color w:val="4472C4" w:themeColor="accent5"/>
          <w:sz w:val="24"/>
          <w:szCs w:val="24"/>
          <w:lang w:val="es-MX"/>
        </w:rPr>
        <w:t>.</w:t>
      </w:r>
    </w:p>
    <w:p w:rsidR="009C2E90" w:rsidRDefault="009C2E90">
      <w:pPr>
        <w:pStyle w:val="corte4fondo"/>
        <w:spacing w:line="276" w:lineRule="auto"/>
        <w:ind w:firstLine="0"/>
        <w:rPr>
          <w:rFonts w:cs="Arial"/>
          <w:color w:val="4472C4" w:themeColor="accent5"/>
          <w:sz w:val="24"/>
          <w:szCs w:val="24"/>
          <w:lang w:val="es-MX"/>
        </w:rPr>
      </w:pPr>
    </w:p>
    <w:p w:rsidR="009C2E90" w:rsidRDefault="00DA22FD">
      <w:pPr>
        <w:pStyle w:val="NormalWeb"/>
        <w:spacing w:before="0" w:beforeAutospacing="0" w:after="0" w:afterAutospacing="0" w:line="276" w:lineRule="auto"/>
        <w:jc w:val="both"/>
        <w:rPr>
          <w:rFonts w:ascii="Arial" w:eastAsia="Arial Unicode MS" w:hAnsi="Arial" w:cs="Arial"/>
          <w:color w:val="4472C4" w:themeColor="accent5"/>
        </w:rPr>
      </w:pPr>
      <w:r>
        <w:rPr>
          <w:rFonts w:ascii="Arial" w:hAnsi="Arial" w:cs="Arial"/>
          <w:color w:val="4472C4" w:themeColor="accent5"/>
          <w:lang w:val="es-MX" w:eastAsia="es-MX"/>
        </w:rPr>
        <w:tab/>
      </w:r>
      <w:r>
        <w:rPr>
          <w:rFonts w:ascii="Arial" w:eastAsia="Arial Unicode MS" w:hAnsi="Arial" w:cs="Arial"/>
          <w:color w:val="4472C4" w:themeColor="accent5"/>
        </w:rPr>
        <w:t>Ahora, es necesario precisar que</w:t>
      </w:r>
      <w:r>
        <w:rPr>
          <w:rFonts w:ascii="Arial" w:eastAsia="Arial Unicode MS" w:hAnsi="Arial" w:cs="Arial"/>
          <w:color w:val="4472C4" w:themeColor="accent5"/>
        </w:rPr>
        <w:tab/>
        <w:t xml:space="preserve"> de conformidad con el segundo párrafo, del artículo 1°</w:t>
      </w:r>
      <w:r>
        <w:rPr>
          <w:rStyle w:val="Refdenotaalpie"/>
          <w:rFonts w:ascii="Arial" w:eastAsia="Arial Unicode MS" w:hAnsi="Arial" w:cs="Arial"/>
          <w:color w:val="4472C4" w:themeColor="accent5"/>
        </w:rPr>
        <w:footnoteReference w:id="3"/>
      </w:r>
      <w:r>
        <w:rPr>
          <w:rFonts w:ascii="Arial" w:eastAsia="Arial Unicode MS" w:hAnsi="Arial" w:cs="Arial"/>
          <w:color w:val="4472C4" w:themeColor="accent5"/>
        </w:rPr>
        <w:t xml:space="preserve"> de la Ley de Transparencia, uno de los objetivos de ésta es garantizar el ejercicio del de</w:t>
      </w:r>
      <w:r>
        <w:rPr>
          <w:rFonts w:ascii="Arial" w:eastAsia="Arial Unicode MS" w:hAnsi="Arial" w:cs="Arial"/>
          <w:color w:val="4472C4" w:themeColor="accent5"/>
        </w:rPr>
        <w:t xml:space="preserve">recho de acceso a la información pública. </w:t>
      </w:r>
    </w:p>
    <w:p w:rsidR="009C2E90" w:rsidRDefault="00DA22FD">
      <w:pPr>
        <w:pStyle w:val="NormalWeb"/>
        <w:spacing w:before="0" w:beforeAutospacing="0" w:after="0" w:afterAutospacing="0" w:line="276" w:lineRule="auto"/>
        <w:jc w:val="both"/>
        <w:rPr>
          <w:rFonts w:ascii="Arial" w:hAnsi="Arial" w:cs="Arial"/>
          <w:color w:val="4472C4" w:themeColor="accent5"/>
        </w:rPr>
      </w:pPr>
      <w:r>
        <w:rPr>
          <w:rFonts w:ascii="Arial" w:eastAsia="Arial Unicode MS" w:hAnsi="Arial" w:cs="Arial"/>
          <w:color w:val="4472C4" w:themeColor="accent5"/>
        </w:rPr>
        <w:tab/>
      </w:r>
      <w:r>
        <w:rPr>
          <w:rFonts w:ascii="Arial" w:eastAsia="Arial Unicode MS" w:hAnsi="Arial" w:cs="Arial"/>
          <w:color w:val="4472C4" w:themeColor="accent5"/>
        </w:rPr>
        <w:tab/>
      </w:r>
    </w:p>
    <w:p w:rsidR="009C2E90" w:rsidRDefault="00DA22FD">
      <w:pPr>
        <w:pStyle w:val="NormalWeb"/>
        <w:tabs>
          <w:tab w:val="left" w:pos="0"/>
        </w:tabs>
        <w:spacing w:before="0" w:beforeAutospacing="0" w:after="0" w:afterAutospacing="0" w:line="276" w:lineRule="auto"/>
        <w:jc w:val="both"/>
        <w:rPr>
          <w:rFonts w:ascii="Arial" w:eastAsia="Arial Unicode MS" w:hAnsi="Arial" w:cs="Arial"/>
          <w:b/>
          <w:color w:val="4472C4" w:themeColor="accent5"/>
        </w:rPr>
      </w:pPr>
      <w:r>
        <w:rPr>
          <w:rFonts w:ascii="Arial" w:hAnsi="Arial" w:cs="Arial"/>
          <w:b/>
          <w:color w:val="4472C4" w:themeColor="accent5"/>
          <w:lang w:val="es-MX"/>
        </w:rPr>
        <w:tab/>
        <w:t>6</w:t>
      </w:r>
      <w:r>
        <w:rPr>
          <w:rFonts w:ascii="Arial" w:eastAsia="Arial Unicode MS" w:hAnsi="Arial" w:cs="Arial"/>
          <w:b/>
          <w:color w:val="4472C4" w:themeColor="accent5"/>
        </w:rPr>
        <w:t>.1.1 Sobreseimiento advertido por esta comisión.</w:t>
      </w:r>
    </w:p>
    <w:p w:rsidR="009C2E90" w:rsidRDefault="009C2E90">
      <w:pPr>
        <w:pStyle w:val="NormalWeb"/>
        <w:tabs>
          <w:tab w:val="left" w:pos="0"/>
        </w:tabs>
        <w:spacing w:before="0" w:beforeAutospacing="0" w:after="0" w:afterAutospacing="0" w:line="276" w:lineRule="auto"/>
        <w:ind w:left="708"/>
        <w:jc w:val="both"/>
        <w:rPr>
          <w:rFonts w:ascii="Arial" w:eastAsia="Arial Unicode MS" w:hAnsi="Arial" w:cs="Arial"/>
          <w:b/>
          <w:color w:val="4472C4" w:themeColor="accent5"/>
        </w:rPr>
      </w:pPr>
    </w:p>
    <w:p w:rsidR="009C2E90" w:rsidRDefault="00DA22FD">
      <w:pPr>
        <w:pStyle w:val="NormalWeb"/>
        <w:tabs>
          <w:tab w:val="left" w:pos="0"/>
        </w:tabs>
        <w:spacing w:before="0" w:beforeAutospacing="0" w:after="0" w:afterAutospacing="0" w:line="276" w:lineRule="auto"/>
        <w:jc w:val="both"/>
        <w:rPr>
          <w:rFonts w:ascii="Arial" w:eastAsia="Arial Unicode MS" w:hAnsi="Arial" w:cs="Arial"/>
          <w:color w:val="4472C4" w:themeColor="accent5"/>
        </w:rPr>
      </w:pPr>
      <w:r>
        <w:rPr>
          <w:rFonts w:ascii="Arial" w:eastAsia="Arial Unicode MS" w:hAnsi="Arial" w:cs="Arial"/>
          <w:color w:val="4472C4" w:themeColor="accent5"/>
        </w:rPr>
        <w:tab/>
      </w:r>
      <w:r>
        <w:rPr>
          <w:rFonts w:ascii="Arial" w:eastAsia="Arial Unicode MS" w:hAnsi="Arial" w:cs="Arial"/>
          <w:color w:val="4472C4" w:themeColor="accent5"/>
        </w:rPr>
        <w:t>Como se ha dicho, el sobreseimiento es de orden público y, por lo tanto, lo aleguen o no las partes, esta Comisión de Transparencia está obligada a analizar si se actualiza alguna de las causales previstas en el numeral 180 de la Ley Estatal de Transparenc</w:t>
      </w:r>
      <w:r>
        <w:rPr>
          <w:rFonts w:ascii="Arial" w:eastAsia="Arial Unicode MS" w:hAnsi="Arial" w:cs="Arial"/>
          <w:color w:val="4472C4" w:themeColor="accent5"/>
        </w:rPr>
        <w:t xml:space="preserve">ia, mismo que refiere: </w:t>
      </w:r>
    </w:p>
    <w:p w:rsidR="009C2E90" w:rsidRDefault="009C2E90">
      <w:pPr>
        <w:pStyle w:val="NormalWeb"/>
        <w:tabs>
          <w:tab w:val="left" w:pos="0"/>
        </w:tabs>
        <w:spacing w:before="0" w:beforeAutospacing="0" w:after="0" w:afterAutospacing="0" w:line="276" w:lineRule="auto"/>
        <w:jc w:val="both"/>
        <w:rPr>
          <w:rFonts w:ascii="Arial" w:eastAsia="Arial Unicode MS" w:hAnsi="Arial" w:cs="Arial"/>
          <w:b/>
          <w:color w:val="4472C4" w:themeColor="accent5"/>
        </w:rPr>
      </w:pPr>
    </w:p>
    <w:p w:rsidR="009C2E90" w:rsidRDefault="00DA22FD">
      <w:pPr>
        <w:pStyle w:val="corte4fondo"/>
        <w:spacing w:line="276" w:lineRule="auto"/>
        <w:ind w:firstLine="708"/>
        <w:rPr>
          <w:rFonts w:cs="Arial"/>
          <w:i/>
          <w:color w:val="4472C4" w:themeColor="accent5"/>
          <w:sz w:val="20"/>
        </w:rPr>
      </w:pPr>
      <w:r>
        <w:rPr>
          <w:rFonts w:cs="Arial"/>
          <w:b/>
          <w:i/>
          <w:color w:val="4472C4" w:themeColor="accent5"/>
          <w:sz w:val="20"/>
        </w:rPr>
        <w:t>ARTÍCULO 180.</w:t>
      </w:r>
      <w:r>
        <w:rPr>
          <w:rFonts w:cs="Arial"/>
          <w:i/>
          <w:color w:val="4472C4" w:themeColor="accent5"/>
          <w:sz w:val="20"/>
        </w:rPr>
        <w:t xml:space="preserve"> El recurso será sobreseído, en todo o en parte, cuando, una vez admitido, se actualicen alguno de los siguientes supuestos:</w:t>
      </w:r>
    </w:p>
    <w:p w:rsidR="009C2E90" w:rsidRDefault="009C2E90">
      <w:pPr>
        <w:pStyle w:val="corte4fondo"/>
        <w:spacing w:line="276" w:lineRule="auto"/>
        <w:ind w:firstLine="708"/>
        <w:rPr>
          <w:rFonts w:cs="Arial"/>
          <w:i/>
          <w:color w:val="4472C4" w:themeColor="accent5"/>
          <w:sz w:val="20"/>
        </w:rPr>
      </w:pPr>
    </w:p>
    <w:p w:rsidR="009C2E90" w:rsidRDefault="00DA22FD">
      <w:pPr>
        <w:pStyle w:val="NormalWeb"/>
        <w:numPr>
          <w:ilvl w:val="0"/>
          <w:numId w:val="6"/>
        </w:numPr>
        <w:shd w:val="clear" w:color="auto" w:fill="FFFFFF"/>
        <w:spacing w:before="0" w:beforeAutospacing="0" w:after="0" w:afterAutospacing="0" w:line="276" w:lineRule="auto"/>
        <w:ind w:right="616"/>
        <w:jc w:val="both"/>
        <w:rPr>
          <w:rFonts w:ascii="Arial" w:hAnsi="Arial" w:cs="Arial"/>
          <w:i/>
          <w:color w:val="4472C4" w:themeColor="accent5"/>
          <w:sz w:val="20"/>
          <w:szCs w:val="20"/>
        </w:rPr>
      </w:pPr>
      <w:r>
        <w:rPr>
          <w:rFonts w:ascii="Arial" w:hAnsi="Arial" w:cs="Arial"/>
          <w:i/>
          <w:color w:val="4472C4" w:themeColor="accent5"/>
          <w:sz w:val="20"/>
          <w:szCs w:val="20"/>
        </w:rPr>
        <w:t>El recurrente se desista;</w:t>
      </w:r>
    </w:p>
    <w:p w:rsidR="009C2E90" w:rsidRDefault="00DA22FD">
      <w:pPr>
        <w:pStyle w:val="NormalWeb"/>
        <w:numPr>
          <w:ilvl w:val="0"/>
          <w:numId w:val="6"/>
        </w:numPr>
        <w:shd w:val="clear" w:color="auto" w:fill="FFFFFF"/>
        <w:spacing w:before="0" w:beforeAutospacing="0" w:after="0" w:afterAutospacing="0" w:line="276" w:lineRule="auto"/>
        <w:ind w:right="616"/>
        <w:jc w:val="both"/>
        <w:rPr>
          <w:rFonts w:ascii="Arial" w:hAnsi="Arial" w:cs="Arial"/>
          <w:i/>
          <w:color w:val="4472C4" w:themeColor="accent5"/>
          <w:sz w:val="20"/>
          <w:szCs w:val="20"/>
        </w:rPr>
      </w:pPr>
      <w:r>
        <w:rPr>
          <w:rFonts w:ascii="Arial" w:hAnsi="Arial" w:cs="Arial"/>
          <w:i/>
          <w:color w:val="4472C4" w:themeColor="accent5"/>
          <w:sz w:val="20"/>
          <w:szCs w:val="20"/>
        </w:rPr>
        <w:t xml:space="preserve">El recurrente fallezca; </w:t>
      </w:r>
    </w:p>
    <w:p w:rsidR="009C2E90" w:rsidRDefault="00DA22FD">
      <w:pPr>
        <w:pStyle w:val="NormalWeb"/>
        <w:numPr>
          <w:ilvl w:val="0"/>
          <w:numId w:val="6"/>
        </w:numPr>
        <w:shd w:val="clear" w:color="auto" w:fill="FFFFFF"/>
        <w:spacing w:before="0" w:beforeAutospacing="0" w:after="0" w:afterAutospacing="0" w:line="276" w:lineRule="auto"/>
        <w:ind w:right="616"/>
        <w:jc w:val="both"/>
        <w:rPr>
          <w:rFonts w:ascii="Arial" w:hAnsi="Arial" w:cs="Arial"/>
          <w:b/>
          <w:i/>
          <w:color w:val="4472C4" w:themeColor="accent5"/>
          <w:sz w:val="20"/>
          <w:szCs w:val="20"/>
        </w:rPr>
      </w:pPr>
      <w:r>
        <w:rPr>
          <w:rFonts w:ascii="Arial" w:hAnsi="Arial" w:cs="Arial"/>
          <w:b/>
          <w:i/>
          <w:color w:val="4472C4" w:themeColor="accent5"/>
          <w:sz w:val="20"/>
          <w:szCs w:val="20"/>
        </w:rPr>
        <w:t xml:space="preserve">El sujeto obligado responsable del acto lo modifique o revoque de tal manera que el recurso de revisión quede sin materia, o </w:t>
      </w:r>
    </w:p>
    <w:p w:rsidR="009C2E90" w:rsidRDefault="00DA22FD">
      <w:pPr>
        <w:pStyle w:val="NormalWeb"/>
        <w:shd w:val="clear" w:color="auto" w:fill="FFFFFF"/>
        <w:spacing w:before="0" w:beforeAutospacing="0" w:after="0" w:afterAutospacing="0" w:line="276" w:lineRule="auto"/>
        <w:ind w:left="709" w:right="616"/>
        <w:jc w:val="both"/>
        <w:rPr>
          <w:rFonts w:ascii="Arial" w:hAnsi="Arial" w:cs="Arial"/>
          <w:i/>
          <w:color w:val="4472C4" w:themeColor="accent5"/>
          <w:sz w:val="20"/>
          <w:szCs w:val="20"/>
        </w:rPr>
      </w:pPr>
      <w:r>
        <w:rPr>
          <w:rFonts w:ascii="Arial" w:hAnsi="Arial" w:cs="Arial"/>
          <w:i/>
          <w:color w:val="4472C4" w:themeColor="accent5"/>
          <w:sz w:val="20"/>
          <w:szCs w:val="20"/>
        </w:rPr>
        <w:t>IV. Admitido el recurso de revisión, aparezca alguna causal de improcedencia en los términos del presente Capítulo.</w:t>
      </w:r>
    </w:p>
    <w:p w:rsidR="009C2E90" w:rsidRDefault="00DA22FD">
      <w:pPr>
        <w:pStyle w:val="NormalWeb"/>
        <w:shd w:val="clear" w:color="auto" w:fill="FFFFFF"/>
        <w:spacing w:before="0" w:beforeAutospacing="0" w:after="0" w:afterAutospacing="0" w:line="276" w:lineRule="auto"/>
        <w:ind w:firstLine="709"/>
        <w:jc w:val="both"/>
        <w:rPr>
          <w:rFonts w:ascii="Arial" w:hAnsi="Arial" w:cs="Arial"/>
          <w:b/>
          <w:color w:val="4472C4" w:themeColor="accent5"/>
          <w:sz w:val="22"/>
          <w:szCs w:val="22"/>
        </w:rPr>
      </w:pPr>
      <w:r>
        <w:rPr>
          <w:rFonts w:ascii="Arial" w:hAnsi="Arial" w:cs="Arial"/>
          <w:b/>
          <w:color w:val="4472C4" w:themeColor="accent5"/>
          <w:sz w:val="22"/>
          <w:szCs w:val="22"/>
        </w:rPr>
        <w:t> </w:t>
      </w:r>
    </w:p>
    <w:p w:rsidR="009C2E90" w:rsidRDefault="00DA22FD">
      <w:pPr>
        <w:pStyle w:val="NormalWeb"/>
        <w:shd w:val="clear" w:color="auto" w:fill="FFFFFF"/>
        <w:spacing w:before="0" w:beforeAutospacing="0" w:after="0" w:afterAutospacing="0" w:line="276" w:lineRule="auto"/>
        <w:ind w:firstLine="709"/>
        <w:jc w:val="both"/>
        <w:rPr>
          <w:rFonts w:ascii="Arial" w:hAnsi="Arial" w:cs="Arial"/>
          <w:color w:val="4472C4" w:themeColor="accent5"/>
        </w:rPr>
      </w:pPr>
      <w:r>
        <w:rPr>
          <w:rFonts w:ascii="Arial" w:hAnsi="Arial" w:cs="Arial"/>
          <w:color w:val="4472C4" w:themeColor="accent5"/>
        </w:rPr>
        <w:t xml:space="preserve">Conforme a lo anterior, el </w:t>
      </w:r>
      <w:r>
        <w:rPr>
          <w:rStyle w:val="il"/>
          <w:rFonts w:ascii="Arial" w:hAnsi="Arial" w:cs="Arial"/>
          <w:color w:val="4472C4" w:themeColor="accent5"/>
        </w:rPr>
        <w:t xml:space="preserve">sobreseimiento </w:t>
      </w:r>
      <w:r>
        <w:rPr>
          <w:rFonts w:ascii="Arial" w:hAnsi="Arial" w:cs="Arial"/>
          <w:color w:val="4472C4" w:themeColor="accent5"/>
        </w:rPr>
        <w:t xml:space="preserve">podrá actualizarse en aquellos casos en los que; </w:t>
      </w:r>
    </w:p>
    <w:p w:rsidR="009C2E90" w:rsidRDefault="009C2E90">
      <w:pPr>
        <w:pStyle w:val="NormalWeb"/>
        <w:shd w:val="clear" w:color="auto" w:fill="FFFFFF"/>
        <w:spacing w:before="0" w:beforeAutospacing="0" w:after="0" w:afterAutospacing="0" w:line="276" w:lineRule="auto"/>
        <w:ind w:firstLine="709"/>
        <w:jc w:val="both"/>
        <w:rPr>
          <w:rFonts w:ascii="Arial" w:hAnsi="Arial" w:cs="Arial"/>
          <w:color w:val="4472C4" w:themeColor="accent5"/>
        </w:rPr>
      </w:pPr>
    </w:p>
    <w:p w:rsidR="009C2E90" w:rsidRDefault="00DA22FD">
      <w:pPr>
        <w:pStyle w:val="NormalWeb"/>
        <w:shd w:val="clear" w:color="auto" w:fill="FFFFFF"/>
        <w:spacing w:before="0" w:beforeAutospacing="0" w:after="0" w:afterAutospacing="0" w:line="276" w:lineRule="auto"/>
        <w:ind w:left="708" w:firstLine="1"/>
        <w:jc w:val="both"/>
        <w:rPr>
          <w:rFonts w:ascii="Arial" w:hAnsi="Arial" w:cs="Arial"/>
          <w:color w:val="4472C4" w:themeColor="accent5"/>
        </w:rPr>
      </w:pPr>
      <w:r>
        <w:rPr>
          <w:rFonts w:ascii="Arial" w:hAnsi="Arial" w:cs="Arial"/>
          <w:color w:val="4472C4" w:themeColor="accent5"/>
        </w:rPr>
        <w:t>1</w:t>
      </w:r>
      <w:r>
        <w:rPr>
          <w:rFonts w:ascii="Arial" w:hAnsi="Arial" w:cs="Arial"/>
          <w:b/>
          <w:color w:val="4472C4" w:themeColor="accent5"/>
        </w:rPr>
        <w:t xml:space="preserve">. </w:t>
      </w:r>
      <w:r>
        <w:rPr>
          <w:rFonts w:ascii="Arial" w:hAnsi="Arial" w:cs="Arial"/>
          <w:color w:val="4472C4" w:themeColor="accent5"/>
        </w:rPr>
        <w:t>El recurrente se desista, es decir, cuando el actor, decide, a su propio derecho, abandonar la instancia o no continuar con una acción</w:t>
      </w:r>
      <w:hyperlink r:id="rId9" w:anchor="m_3838750572679398274__ftn1" w:history="1"/>
      <w:r>
        <w:rPr>
          <w:rFonts w:ascii="Arial" w:hAnsi="Arial" w:cs="Arial"/>
          <w:color w:val="4472C4" w:themeColor="accent5"/>
        </w:rPr>
        <w:t xml:space="preserve">; </w:t>
      </w:r>
    </w:p>
    <w:p w:rsidR="009C2E90" w:rsidRDefault="00DA22FD">
      <w:pPr>
        <w:pStyle w:val="NormalWeb"/>
        <w:shd w:val="clear" w:color="auto" w:fill="FFFFFF"/>
        <w:spacing w:before="0" w:beforeAutospacing="0" w:after="0" w:afterAutospacing="0" w:line="276" w:lineRule="auto"/>
        <w:ind w:left="708" w:firstLine="1"/>
        <w:jc w:val="both"/>
        <w:rPr>
          <w:rFonts w:ascii="Arial" w:hAnsi="Arial" w:cs="Arial"/>
          <w:color w:val="4472C4" w:themeColor="accent5"/>
        </w:rPr>
      </w:pPr>
      <w:r>
        <w:rPr>
          <w:rFonts w:ascii="Arial" w:hAnsi="Arial" w:cs="Arial"/>
          <w:color w:val="4472C4" w:themeColor="accent5"/>
        </w:rPr>
        <w:t xml:space="preserve">2. Cuando el recurrente, es decir quien promueve el recurso de revisión, fallezca; </w:t>
      </w:r>
    </w:p>
    <w:p w:rsidR="009C2E90" w:rsidRDefault="00DA22FD">
      <w:pPr>
        <w:pStyle w:val="NormalWeb"/>
        <w:shd w:val="clear" w:color="auto" w:fill="FFFFFF"/>
        <w:spacing w:before="0" w:beforeAutospacing="0" w:after="0" w:afterAutospacing="0" w:line="276" w:lineRule="auto"/>
        <w:ind w:left="708" w:firstLine="1"/>
        <w:jc w:val="both"/>
        <w:rPr>
          <w:rFonts w:ascii="Arial" w:hAnsi="Arial" w:cs="Arial"/>
          <w:b/>
          <w:color w:val="4472C4" w:themeColor="accent5"/>
        </w:rPr>
      </w:pPr>
      <w:r>
        <w:rPr>
          <w:rFonts w:ascii="Arial" w:hAnsi="Arial" w:cs="Arial"/>
          <w:b/>
          <w:bCs/>
          <w:color w:val="4472C4" w:themeColor="accent5"/>
        </w:rPr>
        <w:t xml:space="preserve">3. Cuando el sujeto obligado modifique o revoque el acto de manera que el recurso de revisión quede sin materia, </w:t>
      </w:r>
      <w:r>
        <w:rPr>
          <w:rFonts w:ascii="Arial" w:hAnsi="Arial" w:cs="Arial"/>
          <w:b/>
          <w:bCs/>
          <w:color w:val="4472C4" w:themeColor="accent5"/>
        </w:rPr>
        <w:t>esto es, cuando el sujeto obligado realice las cuestiones por las cuales se satisfaga las pretensiones del que promueve</w:t>
      </w:r>
      <w:r>
        <w:rPr>
          <w:rFonts w:ascii="Arial" w:hAnsi="Arial" w:cs="Arial"/>
          <w:b/>
          <w:color w:val="4472C4" w:themeColor="accent5"/>
        </w:rPr>
        <w:t>; y,</w:t>
      </w:r>
    </w:p>
    <w:p w:rsidR="009C2E90" w:rsidRDefault="00DA22FD">
      <w:pPr>
        <w:pStyle w:val="NormalWeb"/>
        <w:shd w:val="clear" w:color="auto" w:fill="FFFFFF"/>
        <w:spacing w:before="0" w:beforeAutospacing="0" w:after="0" w:afterAutospacing="0" w:line="276" w:lineRule="auto"/>
        <w:ind w:left="708" w:firstLine="61"/>
        <w:jc w:val="both"/>
        <w:rPr>
          <w:rFonts w:ascii="Arial" w:hAnsi="Arial" w:cs="Arial"/>
          <w:b/>
          <w:color w:val="4472C4" w:themeColor="accent5"/>
        </w:rPr>
      </w:pPr>
      <w:r>
        <w:rPr>
          <w:rFonts w:ascii="Arial" w:hAnsi="Arial" w:cs="Arial"/>
          <w:b/>
          <w:color w:val="4472C4" w:themeColor="accent5"/>
        </w:rPr>
        <w:t>4. Cuando de manera posterior a la admisión del recurso de revisión, se actualice una causal de improcedencia.</w:t>
      </w:r>
    </w:p>
    <w:p w:rsidR="009C2E90" w:rsidRDefault="009C2E90">
      <w:pPr>
        <w:pStyle w:val="NormalWeb"/>
        <w:shd w:val="clear" w:color="auto" w:fill="FFFFFF"/>
        <w:spacing w:before="0" w:beforeAutospacing="0" w:after="0" w:afterAutospacing="0" w:line="276" w:lineRule="auto"/>
        <w:ind w:left="708" w:firstLine="61"/>
        <w:jc w:val="both"/>
        <w:rPr>
          <w:rFonts w:ascii="Arial" w:hAnsi="Arial" w:cs="Arial"/>
          <w:color w:val="4472C4" w:themeColor="accent5"/>
        </w:rPr>
      </w:pPr>
    </w:p>
    <w:p w:rsidR="009C2E90" w:rsidRDefault="00DA22FD">
      <w:pPr>
        <w:pStyle w:val="NormalWeb"/>
        <w:shd w:val="clear" w:color="auto" w:fill="FFFFFF"/>
        <w:spacing w:before="0" w:beforeAutospacing="0" w:after="0" w:afterAutospacing="0" w:line="276" w:lineRule="auto"/>
        <w:ind w:firstLine="709"/>
        <w:jc w:val="both"/>
        <w:rPr>
          <w:rFonts w:ascii="Arial" w:hAnsi="Arial" w:cs="Arial"/>
          <w:color w:val="4472C4" w:themeColor="accent5"/>
        </w:rPr>
      </w:pPr>
      <w:r>
        <w:rPr>
          <w:rFonts w:ascii="Arial" w:hAnsi="Arial" w:cs="Arial"/>
          <w:color w:val="4472C4" w:themeColor="accent5"/>
        </w:rPr>
        <w:t xml:space="preserve">Expuesto lo previo, a fin de acreditar la causal de sobreseimiento, </w:t>
      </w:r>
      <w:r>
        <w:rPr>
          <w:rFonts w:ascii="Arial" w:eastAsia="Arial Unicode MS" w:hAnsi="Arial" w:cs="Arial"/>
          <w:color w:val="4472C4" w:themeColor="accent5"/>
        </w:rPr>
        <w:t xml:space="preserve">así como para </w:t>
      </w:r>
      <w:r>
        <w:rPr>
          <w:rFonts w:ascii="Arial" w:hAnsi="Arial" w:cs="Arial"/>
          <w:color w:val="4472C4" w:themeColor="accent5"/>
        </w:rPr>
        <w:t>una mejor apreciación este Órgano Garante procede a efectuar la comparación de   la información solicitada, en contraposición con el agravio formulado en su recurso de revisi</w:t>
      </w:r>
      <w:r>
        <w:rPr>
          <w:rFonts w:ascii="Arial" w:hAnsi="Arial" w:cs="Arial"/>
          <w:color w:val="4472C4" w:themeColor="accent5"/>
        </w:rPr>
        <w:t>ón y la respuesta otorgada por el sujeto obligado; circunstancia que resulta como sigue:</w:t>
      </w:r>
    </w:p>
    <w:p w:rsidR="009C2E90" w:rsidRDefault="009C2E90">
      <w:pPr>
        <w:pStyle w:val="NormalWeb"/>
        <w:shd w:val="clear" w:color="auto" w:fill="FFFFFF"/>
        <w:spacing w:before="0" w:beforeAutospacing="0" w:after="0" w:afterAutospacing="0" w:line="276" w:lineRule="auto"/>
        <w:ind w:firstLine="709"/>
        <w:jc w:val="both"/>
        <w:rPr>
          <w:rFonts w:ascii="Arial" w:hAnsi="Arial" w:cs="Arial"/>
          <w:color w:val="4472C4" w:themeColor="accent5"/>
          <w:sz w:val="20"/>
          <w:szCs w:val="20"/>
        </w:rPr>
      </w:pPr>
    </w:p>
    <w:tbl>
      <w:tblPr>
        <w:tblW w:w="0" w:type="auto"/>
        <w:tblBorders>
          <w:top w:val="single" w:sz="8" w:space="0" w:color="4F81BD"/>
          <w:left w:val="single" w:sz="8" w:space="0" w:color="4F81BD"/>
          <w:bottom w:val="single" w:sz="8" w:space="0" w:color="4F81BD"/>
          <w:right w:val="single" w:sz="8" w:space="0" w:color="4F81BD"/>
          <w:insideH w:val="single" w:sz="4" w:space="0" w:color="auto"/>
          <w:insideV w:val="single" w:sz="4" w:space="0" w:color="auto"/>
        </w:tblBorders>
        <w:tblLook w:val="04A0"/>
      </w:tblPr>
      <w:tblGrid>
        <w:gridCol w:w="2580"/>
        <w:gridCol w:w="2667"/>
        <w:gridCol w:w="4657"/>
      </w:tblGrid>
      <w:tr w:rsidR="009C2E90">
        <w:tc>
          <w:tcPr>
            <w:tcW w:w="0" w:type="auto"/>
            <w:shd w:val="clear" w:color="auto" w:fill="4F81BD"/>
          </w:tcPr>
          <w:p w:rsidR="009C2E90" w:rsidRDefault="00DA22FD">
            <w:pPr>
              <w:pStyle w:val="NormalWeb"/>
              <w:spacing w:before="0" w:beforeAutospacing="0" w:after="0" w:afterAutospacing="0" w:line="276" w:lineRule="auto"/>
              <w:jc w:val="center"/>
              <w:rPr>
                <w:rFonts w:ascii="Arial" w:hAnsi="Arial" w:cs="Arial"/>
                <w:b/>
                <w:bCs/>
                <w:sz w:val="20"/>
                <w:szCs w:val="20"/>
              </w:rPr>
            </w:pPr>
            <w:r>
              <w:rPr>
                <w:rFonts w:ascii="Arial" w:hAnsi="Arial" w:cs="Arial"/>
                <w:b/>
                <w:bCs/>
                <w:sz w:val="20"/>
                <w:szCs w:val="20"/>
              </w:rPr>
              <w:t>INFORMACIÓN SOLICITADA</w:t>
            </w:r>
          </w:p>
        </w:tc>
        <w:tc>
          <w:tcPr>
            <w:tcW w:w="0" w:type="auto"/>
            <w:shd w:val="clear" w:color="auto" w:fill="4F81BD"/>
          </w:tcPr>
          <w:p w:rsidR="009C2E90" w:rsidRDefault="00DA22FD">
            <w:pPr>
              <w:pStyle w:val="NormalWeb"/>
              <w:spacing w:before="0" w:beforeAutospacing="0" w:after="0" w:afterAutospacing="0" w:line="276" w:lineRule="auto"/>
              <w:jc w:val="center"/>
              <w:rPr>
                <w:rFonts w:ascii="Arial" w:hAnsi="Arial" w:cs="Arial"/>
                <w:b/>
                <w:bCs/>
                <w:sz w:val="20"/>
                <w:szCs w:val="20"/>
              </w:rPr>
            </w:pPr>
            <w:r>
              <w:rPr>
                <w:rFonts w:ascii="Arial" w:hAnsi="Arial" w:cs="Arial"/>
                <w:b/>
                <w:bCs/>
                <w:sz w:val="20"/>
                <w:szCs w:val="20"/>
              </w:rPr>
              <w:t>AGRAVIOS FORMULADOS</w:t>
            </w:r>
          </w:p>
        </w:tc>
        <w:tc>
          <w:tcPr>
            <w:tcW w:w="4657" w:type="dxa"/>
            <w:shd w:val="clear" w:color="auto" w:fill="4F81BD"/>
          </w:tcPr>
          <w:p w:rsidR="009C2E90" w:rsidRDefault="00DA22FD">
            <w:pPr>
              <w:pStyle w:val="NormalWeb"/>
              <w:spacing w:before="0" w:beforeAutospacing="0" w:after="0" w:afterAutospacing="0" w:line="276" w:lineRule="auto"/>
              <w:jc w:val="center"/>
              <w:rPr>
                <w:rFonts w:ascii="Arial" w:hAnsi="Arial" w:cs="Arial"/>
                <w:b/>
                <w:bCs/>
                <w:sz w:val="20"/>
                <w:szCs w:val="20"/>
              </w:rPr>
            </w:pPr>
            <w:r>
              <w:rPr>
                <w:rFonts w:ascii="Arial" w:hAnsi="Arial" w:cs="Arial"/>
                <w:b/>
                <w:bCs/>
                <w:sz w:val="20"/>
                <w:szCs w:val="20"/>
              </w:rPr>
              <w:t xml:space="preserve"> MODIFICACIÓN A LA RESPUESTA</w:t>
            </w:r>
          </w:p>
        </w:tc>
      </w:tr>
      <w:tr w:rsidR="009C2E90">
        <w:tc>
          <w:tcPr>
            <w:tcW w:w="0" w:type="auto"/>
          </w:tcPr>
          <w:p w:rsidR="009C2E90" w:rsidRDefault="00DA22FD">
            <w:pPr>
              <w:jc w:val="both"/>
              <w:rPr>
                <w:rFonts w:ascii="Arial" w:hAnsi="Arial" w:cs="Arial"/>
                <w:i/>
                <w:color w:val="4472C4" w:themeColor="accent5"/>
                <w:sz w:val="20"/>
                <w:szCs w:val="20"/>
              </w:rPr>
            </w:pPr>
            <w:r>
              <w:rPr>
                <w:rFonts w:ascii="Arial" w:hAnsi="Arial" w:cs="Arial"/>
                <w:i/>
                <w:color w:val="4472C4" w:themeColor="accent5"/>
                <w:sz w:val="20"/>
                <w:szCs w:val="20"/>
              </w:rPr>
              <w:t xml:space="preserve">1. El acta o constancia de la notificación realizada por el Lic. Mario G. </w:t>
            </w:r>
            <w:proofErr w:type="spellStart"/>
            <w:r>
              <w:rPr>
                <w:rFonts w:ascii="Arial" w:hAnsi="Arial" w:cs="Arial"/>
                <w:i/>
                <w:color w:val="4472C4" w:themeColor="accent5"/>
                <w:sz w:val="20"/>
                <w:szCs w:val="20"/>
              </w:rPr>
              <w:t>Obdoba</w:t>
            </w:r>
            <w:proofErr w:type="spellEnd"/>
            <w:r>
              <w:rPr>
                <w:rFonts w:ascii="Arial" w:hAnsi="Arial" w:cs="Arial"/>
                <w:i/>
                <w:color w:val="4472C4" w:themeColor="accent5"/>
                <w:sz w:val="20"/>
                <w:szCs w:val="20"/>
              </w:rPr>
              <w:t xml:space="preserve"> Sánchez </w:t>
            </w:r>
            <w:r>
              <w:rPr>
                <w:rFonts w:ascii="Arial" w:hAnsi="Arial" w:cs="Arial"/>
                <w:i/>
                <w:color w:val="4472C4" w:themeColor="accent5"/>
                <w:sz w:val="20"/>
                <w:szCs w:val="20"/>
              </w:rPr>
              <w:t xml:space="preserve">(constancia de habilitación 101/2026) en el domicilio Av. </w:t>
            </w:r>
            <w:proofErr w:type="spellStart"/>
            <w:r>
              <w:rPr>
                <w:rFonts w:ascii="Arial" w:hAnsi="Arial" w:cs="Arial"/>
                <w:i/>
                <w:color w:val="4472C4" w:themeColor="accent5"/>
                <w:sz w:val="20"/>
                <w:szCs w:val="20"/>
              </w:rPr>
              <w:t>Tatanacho</w:t>
            </w:r>
            <w:proofErr w:type="spellEnd"/>
            <w:r>
              <w:rPr>
                <w:rFonts w:ascii="Arial" w:hAnsi="Arial" w:cs="Arial"/>
                <w:i/>
                <w:color w:val="4472C4" w:themeColor="accent5"/>
                <w:sz w:val="20"/>
                <w:szCs w:val="20"/>
              </w:rPr>
              <w:t xml:space="preserve"> 738, Fraccionamiento Tangamanga, San Luis Potosí, el día 3 de marzo de 2026, donde conste la hora, el tiempo de espera, si se fijó citatorio y las razones por las que no se practicó la not</w:t>
            </w:r>
            <w:r>
              <w:rPr>
                <w:rFonts w:ascii="Arial" w:hAnsi="Arial" w:cs="Arial"/>
                <w:i/>
                <w:color w:val="4472C4" w:themeColor="accent5"/>
                <w:sz w:val="20"/>
                <w:szCs w:val="20"/>
              </w:rPr>
              <w:t>ificación personal.</w:t>
            </w:r>
          </w:p>
          <w:p w:rsidR="009C2E90" w:rsidRDefault="00DA22FD">
            <w:pPr>
              <w:jc w:val="both"/>
              <w:rPr>
                <w:rFonts w:ascii="Arial" w:hAnsi="Arial" w:cs="Arial"/>
                <w:i/>
                <w:color w:val="4472C4" w:themeColor="accent5"/>
                <w:sz w:val="20"/>
                <w:szCs w:val="20"/>
              </w:rPr>
            </w:pPr>
            <w:r>
              <w:rPr>
                <w:rFonts w:ascii="Arial" w:hAnsi="Arial" w:cs="Arial"/>
                <w:i/>
                <w:color w:val="4472C4" w:themeColor="accent5"/>
                <w:sz w:val="20"/>
                <w:szCs w:val="20"/>
              </w:rPr>
              <w:t xml:space="preserve"> 2. El expediente o registro de las acciones de supervisión, seguimiento o procedimiento administrativo que la Unidad Jurídica o cualquier área de INTERAPAS haya generado respecto de ese domicilio desde el 3 de marzo de 2026 hasta la fe</w:t>
            </w:r>
            <w:r>
              <w:rPr>
                <w:rFonts w:ascii="Arial" w:hAnsi="Arial" w:cs="Arial"/>
                <w:i/>
                <w:color w:val="4472C4" w:themeColor="accent5"/>
                <w:sz w:val="20"/>
                <w:szCs w:val="20"/>
              </w:rPr>
              <w:t xml:space="preserve">cha de respuesta. </w:t>
            </w:r>
          </w:p>
          <w:p w:rsidR="009C2E90" w:rsidRDefault="00DA22FD">
            <w:pPr>
              <w:jc w:val="both"/>
              <w:rPr>
                <w:rFonts w:ascii="Arial" w:hAnsi="Arial" w:cs="Arial"/>
                <w:i/>
                <w:color w:val="4472C4" w:themeColor="accent5"/>
                <w:sz w:val="20"/>
                <w:szCs w:val="20"/>
              </w:rPr>
            </w:pPr>
            <w:r>
              <w:rPr>
                <w:rFonts w:ascii="Arial" w:hAnsi="Arial" w:cs="Arial"/>
                <w:i/>
                <w:color w:val="4472C4" w:themeColor="accent5"/>
                <w:sz w:val="20"/>
                <w:szCs w:val="20"/>
              </w:rPr>
              <w:t>3. El oficio, acuerdo o resolución mediante el cual se haya determinado no iniciar procedimiento de restricción o suspensión del servicio de agua potable y drenaje en ese mismo predio, a pesar del oficio DC/SC/0877/2026 y la notificación</w:t>
            </w:r>
            <w:r>
              <w:rPr>
                <w:rFonts w:ascii="Arial" w:hAnsi="Arial" w:cs="Arial"/>
                <w:i/>
                <w:color w:val="4472C4" w:themeColor="accent5"/>
                <w:sz w:val="20"/>
                <w:szCs w:val="20"/>
              </w:rPr>
              <w:t xml:space="preserve"> realizada. </w:t>
            </w:r>
          </w:p>
          <w:p w:rsidR="009C2E90" w:rsidRDefault="00DA22FD">
            <w:pPr>
              <w:jc w:val="both"/>
              <w:rPr>
                <w:rFonts w:ascii="Arial" w:hAnsi="Arial" w:cs="Arial"/>
                <w:i/>
                <w:color w:val="4472C4" w:themeColor="accent5"/>
                <w:sz w:val="20"/>
                <w:szCs w:val="20"/>
              </w:rPr>
            </w:pPr>
            <w:r>
              <w:rPr>
                <w:rFonts w:ascii="Arial" w:hAnsi="Arial" w:cs="Arial"/>
                <w:i/>
                <w:color w:val="4472C4" w:themeColor="accent5"/>
                <w:sz w:val="20"/>
                <w:szCs w:val="20"/>
              </w:rPr>
              <w:t>4. El contrato de prestación de servicios que INTERAPAS tenga registrado para el inmueble ubicado en Avenida Parque Chapultepec número 96, Colinas del Parque, código postal 78260, San Luis Potosí, o en su defecto el registro de inspecciones, n</w:t>
            </w:r>
            <w:r>
              <w:rPr>
                <w:rFonts w:ascii="Arial" w:hAnsi="Arial" w:cs="Arial"/>
                <w:i/>
                <w:color w:val="4472C4" w:themeColor="accent5"/>
                <w:sz w:val="20"/>
                <w:szCs w:val="20"/>
              </w:rPr>
              <w:t xml:space="preserve">otificaciones o adeudos relacionados con ese domicilio. 5. Copia de la constancia de habilitación número 101/2026 expedida por el Mtro. Arturo </w:t>
            </w:r>
            <w:proofErr w:type="spellStart"/>
            <w:r>
              <w:rPr>
                <w:rFonts w:ascii="Arial" w:hAnsi="Arial" w:cs="Arial"/>
                <w:i/>
                <w:color w:val="4472C4" w:themeColor="accent5"/>
                <w:sz w:val="20"/>
                <w:szCs w:val="20"/>
              </w:rPr>
              <w:t>Jaimes</w:t>
            </w:r>
            <w:proofErr w:type="spellEnd"/>
            <w:r>
              <w:rPr>
                <w:rFonts w:ascii="Arial" w:hAnsi="Arial" w:cs="Arial"/>
                <w:i/>
                <w:color w:val="4472C4" w:themeColor="accent5"/>
                <w:sz w:val="20"/>
                <w:szCs w:val="20"/>
              </w:rPr>
              <w:t xml:space="preserve"> </w:t>
            </w:r>
            <w:proofErr w:type="spellStart"/>
            <w:r>
              <w:rPr>
                <w:rFonts w:ascii="Arial" w:hAnsi="Arial" w:cs="Arial"/>
                <w:i/>
                <w:color w:val="4472C4" w:themeColor="accent5"/>
                <w:sz w:val="20"/>
                <w:szCs w:val="20"/>
              </w:rPr>
              <w:t>Nuñez</w:t>
            </w:r>
            <w:proofErr w:type="spellEnd"/>
            <w:r>
              <w:rPr>
                <w:rFonts w:ascii="Arial" w:hAnsi="Arial" w:cs="Arial"/>
                <w:i/>
                <w:color w:val="4472C4" w:themeColor="accent5"/>
                <w:sz w:val="20"/>
                <w:szCs w:val="20"/>
              </w:rPr>
              <w:t xml:space="preserve"> al Lic. Mario G. </w:t>
            </w:r>
            <w:proofErr w:type="spellStart"/>
            <w:r>
              <w:rPr>
                <w:rFonts w:ascii="Arial" w:hAnsi="Arial" w:cs="Arial"/>
                <w:i/>
                <w:color w:val="4472C4" w:themeColor="accent5"/>
                <w:sz w:val="20"/>
                <w:szCs w:val="20"/>
              </w:rPr>
              <w:t>Obdoba</w:t>
            </w:r>
            <w:proofErr w:type="spellEnd"/>
            <w:r>
              <w:rPr>
                <w:rFonts w:ascii="Arial" w:hAnsi="Arial" w:cs="Arial"/>
                <w:i/>
                <w:color w:val="4472C4" w:themeColor="accent5"/>
                <w:sz w:val="20"/>
                <w:szCs w:val="20"/>
              </w:rPr>
              <w:t xml:space="preserve"> Sánchez, con indicación de funciones y vigencia.</w:t>
            </w:r>
          </w:p>
          <w:p w:rsidR="009C2E90" w:rsidRDefault="00DA22FD">
            <w:pPr>
              <w:jc w:val="both"/>
              <w:rPr>
                <w:rFonts w:ascii="Arial" w:hAnsi="Arial" w:cs="Arial"/>
                <w:i/>
                <w:color w:val="4472C4" w:themeColor="accent5"/>
                <w:sz w:val="20"/>
                <w:szCs w:val="20"/>
              </w:rPr>
            </w:pPr>
            <w:r>
              <w:rPr>
                <w:rFonts w:ascii="Arial" w:hAnsi="Arial" w:cs="Arial"/>
                <w:i/>
                <w:color w:val="4472C4" w:themeColor="accent5"/>
                <w:sz w:val="20"/>
                <w:szCs w:val="20"/>
              </w:rPr>
              <w:t xml:space="preserve">6. Cualquier convenio, contrato, acuerdo administrativo o programa general (por volumen, edificio, condominio o similar) que INTERAPAS haya suscrito o implementado y que ampare o permita la prestación del servicio de agua potable y drenaje en el domicilio </w:t>
            </w:r>
            <w:r>
              <w:rPr>
                <w:rFonts w:ascii="Arial" w:hAnsi="Arial" w:cs="Arial"/>
                <w:i/>
                <w:color w:val="4472C4" w:themeColor="accent5"/>
                <w:sz w:val="20"/>
                <w:szCs w:val="20"/>
              </w:rPr>
              <w:t xml:space="preserve">de Av. </w:t>
            </w:r>
            <w:proofErr w:type="spellStart"/>
            <w:r>
              <w:rPr>
                <w:rFonts w:ascii="Arial" w:hAnsi="Arial" w:cs="Arial"/>
                <w:i/>
                <w:color w:val="4472C4" w:themeColor="accent5"/>
                <w:sz w:val="20"/>
                <w:szCs w:val="20"/>
              </w:rPr>
              <w:t>Tatanacho</w:t>
            </w:r>
            <w:proofErr w:type="spellEnd"/>
            <w:r>
              <w:rPr>
                <w:rFonts w:ascii="Arial" w:hAnsi="Arial" w:cs="Arial"/>
                <w:i/>
                <w:color w:val="4472C4" w:themeColor="accent5"/>
                <w:sz w:val="20"/>
                <w:szCs w:val="20"/>
              </w:rPr>
              <w:t xml:space="preserve"> 738 sin un contrato individual vigente. </w:t>
            </w:r>
          </w:p>
          <w:p w:rsidR="009C2E90" w:rsidRDefault="00DA22FD">
            <w:pPr>
              <w:jc w:val="both"/>
              <w:rPr>
                <w:rFonts w:ascii="Arial" w:hAnsi="Arial" w:cs="Arial"/>
                <w:i/>
                <w:color w:val="4472C4" w:themeColor="accent5"/>
                <w:sz w:val="20"/>
                <w:szCs w:val="20"/>
              </w:rPr>
            </w:pPr>
            <w:r>
              <w:rPr>
                <w:rFonts w:ascii="Arial" w:hAnsi="Arial" w:cs="Arial"/>
                <w:i/>
                <w:color w:val="4472C4" w:themeColor="accent5"/>
                <w:sz w:val="20"/>
                <w:szCs w:val="20"/>
              </w:rPr>
              <w:t>7. El expediente de queja o investigación que la Contraloría Interna de INTERAPAS haya abierto, si existe, respecto de la notificación y falta de seguimiento en ese domicilio, así como respecto de l</w:t>
            </w:r>
            <w:r>
              <w:rPr>
                <w:rFonts w:ascii="Arial" w:hAnsi="Arial" w:cs="Arial"/>
                <w:i/>
                <w:color w:val="4472C4" w:themeColor="accent5"/>
                <w:sz w:val="20"/>
                <w:szCs w:val="20"/>
              </w:rPr>
              <w:t xml:space="preserve">a actuación del notificador y del funcionario que lo habilitó. </w:t>
            </w:r>
          </w:p>
          <w:p w:rsidR="009C2E90" w:rsidRDefault="00DA22FD">
            <w:pPr>
              <w:jc w:val="both"/>
              <w:rPr>
                <w:rFonts w:ascii="Arial" w:hAnsi="Arial" w:cs="Arial"/>
                <w:i/>
                <w:color w:val="4472C4" w:themeColor="accent5"/>
                <w:sz w:val="20"/>
                <w:szCs w:val="20"/>
              </w:rPr>
            </w:pPr>
            <w:r>
              <w:rPr>
                <w:rFonts w:ascii="Arial" w:hAnsi="Arial" w:cs="Arial"/>
                <w:i/>
                <w:color w:val="4472C4" w:themeColor="accent5"/>
                <w:sz w:val="20"/>
                <w:szCs w:val="20"/>
              </w:rPr>
              <w:t>8. El registro de proveedores, contratistas o despachos externos que hayan prestado servicios legales o de consultoría a INTERAPAS durante los años 2024, 2025 y 2026, en el que aparezca la fir</w:t>
            </w:r>
            <w:r>
              <w:rPr>
                <w:rFonts w:ascii="Arial" w:hAnsi="Arial" w:cs="Arial"/>
                <w:i/>
                <w:color w:val="4472C4" w:themeColor="accent5"/>
                <w:sz w:val="20"/>
                <w:szCs w:val="20"/>
              </w:rPr>
              <w:t xml:space="preserve">ma "Hernández </w:t>
            </w:r>
            <w:proofErr w:type="spellStart"/>
            <w:r>
              <w:rPr>
                <w:rFonts w:ascii="Arial" w:hAnsi="Arial" w:cs="Arial"/>
                <w:i/>
                <w:color w:val="4472C4" w:themeColor="accent5"/>
                <w:sz w:val="20"/>
                <w:szCs w:val="20"/>
              </w:rPr>
              <w:t>Degaldillo</w:t>
            </w:r>
            <w:proofErr w:type="spellEnd"/>
            <w:r>
              <w:rPr>
                <w:rFonts w:ascii="Arial" w:hAnsi="Arial" w:cs="Arial"/>
                <w:i/>
                <w:color w:val="4472C4" w:themeColor="accent5"/>
                <w:sz w:val="20"/>
                <w:szCs w:val="20"/>
              </w:rPr>
              <w:t xml:space="preserve">, Faz y Asociados S.C.", "Nicolás Hernández Delgadillo" o "Guillermo Faz Aguilar", así como los contratos, convenios o facturas derivados de dicha prestación de servicios. </w:t>
            </w:r>
          </w:p>
          <w:p w:rsidR="009C2E90" w:rsidRDefault="00DA22FD">
            <w:pPr>
              <w:ind w:firstLine="708"/>
              <w:jc w:val="both"/>
              <w:rPr>
                <w:rFonts w:ascii="Arial" w:hAnsi="Arial" w:cs="Arial"/>
                <w:i/>
                <w:color w:val="4472C4" w:themeColor="accent5"/>
                <w:sz w:val="20"/>
                <w:szCs w:val="20"/>
              </w:rPr>
            </w:pPr>
            <w:r>
              <w:rPr>
                <w:rFonts w:ascii="Arial" w:hAnsi="Arial" w:cs="Arial"/>
                <w:i/>
                <w:color w:val="4472C4" w:themeColor="accent5"/>
                <w:sz w:val="20"/>
                <w:szCs w:val="20"/>
              </w:rPr>
              <w:t>9. El oficio mediante el cual la Contraloría Interna de INT</w:t>
            </w:r>
            <w:r>
              <w:rPr>
                <w:rFonts w:ascii="Arial" w:hAnsi="Arial" w:cs="Arial"/>
                <w:i/>
                <w:color w:val="4472C4" w:themeColor="accent5"/>
                <w:sz w:val="20"/>
                <w:szCs w:val="20"/>
              </w:rPr>
              <w:t xml:space="preserve">ERAPAS o la Contraloría Municipal de San Luis Potosí haya dado respuesta a la investigación por conflicto de intereses mencionada en el caso del bar </w:t>
            </w:r>
            <w:proofErr w:type="spellStart"/>
            <w:r>
              <w:rPr>
                <w:rFonts w:ascii="Arial" w:hAnsi="Arial" w:cs="Arial"/>
                <w:i/>
                <w:color w:val="4472C4" w:themeColor="accent5"/>
                <w:sz w:val="20"/>
                <w:szCs w:val="20"/>
              </w:rPr>
              <w:t>Rich</w:t>
            </w:r>
            <w:proofErr w:type="spellEnd"/>
            <w:r>
              <w:rPr>
                <w:rFonts w:ascii="Arial" w:hAnsi="Arial" w:cs="Arial"/>
                <w:i/>
                <w:color w:val="4472C4" w:themeColor="accent5"/>
                <w:sz w:val="20"/>
                <w:szCs w:val="20"/>
              </w:rPr>
              <w:t>, en la que aparece como abogado defensor Nicolás Hernández Delgadillo, en su calidad de socio del desp</w:t>
            </w:r>
            <w:r>
              <w:rPr>
                <w:rFonts w:ascii="Arial" w:hAnsi="Arial" w:cs="Arial"/>
                <w:i/>
                <w:color w:val="4472C4" w:themeColor="accent5"/>
                <w:sz w:val="20"/>
                <w:szCs w:val="20"/>
              </w:rPr>
              <w:t xml:space="preserve">acho que representa al propietario del inmueble de Av. </w:t>
            </w:r>
            <w:proofErr w:type="spellStart"/>
            <w:r>
              <w:rPr>
                <w:rFonts w:ascii="Arial" w:hAnsi="Arial" w:cs="Arial"/>
                <w:i/>
                <w:color w:val="4472C4" w:themeColor="accent5"/>
                <w:sz w:val="20"/>
                <w:szCs w:val="20"/>
              </w:rPr>
              <w:t>Tatanacho</w:t>
            </w:r>
            <w:proofErr w:type="spellEnd"/>
            <w:r>
              <w:rPr>
                <w:rFonts w:ascii="Arial" w:hAnsi="Arial" w:cs="Arial"/>
                <w:i/>
                <w:color w:val="4472C4" w:themeColor="accent5"/>
                <w:sz w:val="20"/>
                <w:szCs w:val="20"/>
              </w:rPr>
              <w:t xml:space="preserve"> 738.” Sic.</w:t>
            </w:r>
          </w:p>
          <w:p w:rsidR="009C2E90" w:rsidRDefault="009C2E90">
            <w:pPr>
              <w:spacing w:after="0"/>
              <w:jc w:val="both"/>
              <w:rPr>
                <w:rFonts w:ascii="Arial" w:hAnsi="Arial" w:cs="Arial"/>
                <w:color w:val="4472C4" w:themeColor="accent5"/>
                <w:sz w:val="20"/>
                <w:szCs w:val="20"/>
              </w:rPr>
            </w:pPr>
          </w:p>
        </w:tc>
        <w:tc>
          <w:tcPr>
            <w:tcW w:w="0" w:type="auto"/>
          </w:tcPr>
          <w:p w:rsidR="009C2E90" w:rsidRDefault="00DA22FD">
            <w:pPr>
              <w:pStyle w:val="corte4fondo"/>
              <w:spacing w:line="276" w:lineRule="auto"/>
              <w:ind w:firstLine="0"/>
              <w:rPr>
                <w:rFonts w:cs="Arial"/>
                <w:color w:val="4472C4" w:themeColor="accent5"/>
                <w:sz w:val="20"/>
                <w:lang w:val="es-MX"/>
              </w:rPr>
            </w:pPr>
            <w:r>
              <w:rPr>
                <w:rFonts w:cs="Arial"/>
                <w:color w:val="4472C4" w:themeColor="accent5"/>
                <w:sz w:val="20"/>
                <w:lang w:val="es-MX"/>
              </w:rPr>
              <w:t xml:space="preserve"> La respuesta proporcionada mediante oficio IN/DG/UT/233/2026 no contiene la información sustantiva que originalmente solicité. La misma se limita a hacer referencia a un document</w:t>
            </w:r>
            <w:r>
              <w:rPr>
                <w:rFonts w:cs="Arial"/>
                <w:color w:val="4472C4" w:themeColor="accent5"/>
                <w:sz w:val="20"/>
                <w:lang w:val="es-MX"/>
              </w:rPr>
              <w:t xml:space="preserve">o interno (el oficio mencionado) sin que se haya entregado copia del mismo ni se haya permitido a acceder a su contenido. </w:t>
            </w:r>
          </w:p>
          <w:p w:rsidR="009C2E90" w:rsidRDefault="00DA22FD">
            <w:pPr>
              <w:pStyle w:val="corte4fondo"/>
              <w:spacing w:line="276" w:lineRule="auto"/>
              <w:ind w:firstLine="0"/>
              <w:rPr>
                <w:rFonts w:cs="Arial"/>
                <w:color w:val="4472C4" w:themeColor="accent5"/>
                <w:sz w:val="20"/>
                <w:lang w:val="es-MX"/>
              </w:rPr>
            </w:pPr>
            <w:r>
              <w:rPr>
                <w:rFonts w:cs="Arial"/>
                <w:color w:val="4472C4" w:themeColor="accent5"/>
                <w:sz w:val="20"/>
                <w:lang w:val="es-MX"/>
              </w:rPr>
              <w:t>La respuesta actual resulta ineficaz e incompleta, pues no satisface el objeto de mi petición, violando con ello los principios de má</w:t>
            </w:r>
            <w:r>
              <w:rPr>
                <w:rFonts w:cs="Arial"/>
                <w:color w:val="4472C4" w:themeColor="accent5"/>
                <w:sz w:val="20"/>
                <w:lang w:val="es-MX"/>
              </w:rPr>
              <w:t xml:space="preserve">xima publicidad y congruencia. </w:t>
            </w:r>
          </w:p>
          <w:p w:rsidR="009C2E90" w:rsidRDefault="00DA22FD">
            <w:pPr>
              <w:pStyle w:val="corte4fondo"/>
              <w:spacing w:line="276" w:lineRule="auto"/>
              <w:ind w:firstLine="0"/>
              <w:rPr>
                <w:rFonts w:cs="Arial"/>
                <w:color w:val="4472C4" w:themeColor="accent5"/>
                <w:sz w:val="20"/>
                <w:lang w:val="es-MX"/>
              </w:rPr>
            </w:pPr>
            <w:r>
              <w:rPr>
                <w:rFonts w:cs="Arial"/>
                <w:color w:val="4472C4" w:themeColor="accent5"/>
                <w:sz w:val="20"/>
                <w:lang w:val="es-MX"/>
              </w:rPr>
              <w:t>Entregarme copia simple o certificada del oficio IN/DG/UT/233/2026, así como de los anexos informes o documentos a los que dicho oficio Hace referencia.</w:t>
            </w:r>
          </w:p>
          <w:p w:rsidR="009C2E90" w:rsidRDefault="00DA22FD">
            <w:pPr>
              <w:pStyle w:val="corte4fondo"/>
              <w:spacing w:line="276" w:lineRule="auto"/>
              <w:ind w:firstLine="0"/>
              <w:rPr>
                <w:rFonts w:cs="Arial"/>
                <w:color w:val="4472C4" w:themeColor="accent5"/>
                <w:sz w:val="20"/>
                <w:lang w:val="es-MX"/>
              </w:rPr>
            </w:pPr>
            <w:r>
              <w:rPr>
                <w:rFonts w:cs="Arial"/>
                <w:i/>
                <w:color w:val="4472C4" w:themeColor="accent5"/>
                <w:sz w:val="20"/>
                <w:lang w:val="es-MX"/>
              </w:rPr>
              <w:t xml:space="preserve"> </w:t>
            </w:r>
          </w:p>
        </w:tc>
        <w:tc>
          <w:tcPr>
            <w:tcW w:w="4657" w:type="dxa"/>
          </w:tcPr>
          <w:p w:rsidR="009C2E90" w:rsidRDefault="00DA22FD">
            <w:pPr>
              <w:pStyle w:val="NormalWeb"/>
              <w:tabs>
                <w:tab w:val="left" w:pos="247"/>
              </w:tabs>
              <w:spacing w:before="0" w:beforeAutospacing="0" w:after="0" w:afterAutospacing="0" w:line="276" w:lineRule="auto"/>
              <w:jc w:val="both"/>
              <w:rPr>
                <w:rFonts w:ascii="Arial" w:hAnsi="Arial" w:cs="Arial"/>
                <w:bCs/>
                <w:color w:val="4472C4" w:themeColor="accent5"/>
                <w:sz w:val="20"/>
                <w:szCs w:val="20"/>
              </w:rPr>
            </w:pPr>
            <w:r>
              <w:rPr>
                <w:rFonts w:ascii="Arial" w:hAnsi="Arial" w:cs="Arial"/>
                <w:bCs/>
                <w:color w:val="4472C4" w:themeColor="accent5"/>
                <w:sz w:val="20"/>
                <w:szCs w:val="20"/>
              </w:rPr>
              <w:t>En alcance a la respuesta proporcionada al solicitante.</w:t>
            </w:r>
          </w:p>
          <w:p w:rsidR="009C2E90" w:rsidRDefault="00DA22FD">
            <w:pPr>
              <w:pStyle w:val="NormalWeb"/>
              <w:tabs>
                <w:tab w:val="left" w:pos="247"/>
              </w:tabs>
              <w:spacing w:before="0" w:beforeAutospacing="0" w:after="0" w:afterAutospacing="0" w:line="276" w:lineRule="auto"/>
              <w:jc w:val="both"/>
              <w:rPr>
                <w:rFonts w:ascii="Arial" w:hAnsi="Arial" w:cs="Arial"/>
                <w:bCs/>
                <w:color w:val="4472C4" w:themeColor="accent5"/>
                <w:sz w:val="20"/>
                <w:szCs w:val="20"/>
              </w:rPr>
            </w:pPr>
            <w:r>
              <w:rPr>
                <w:rFonts w:ascii="Arial" w:hAnsi="Arial" w:cs="Arial"/>
                <w:bCs/>
                <w:color w:val="4472C4" w:themeColor="accent5"/>
                <w:sz w:val="20"/>
                <w:szCs w:val="20"/>
              </w:rPr>
              <w:t xml:space="preserve">Oficio </w:t>
            </w:r>
            <w:r>
              <w:rPr>
                <w:rFonts w:ascii="Arial" w:hAnsi="Arial" w:cs="Arial"/>
                <w:bCs/>
                <w:color w:val="4472C4" w:themeColor="accent5"/>
                <w:sz w:val="20"/>
                <w:szCs w:val="20"/>
              </w:rPr>
              <w:t>IN/DG/UT/286/2026 de 03 de julio de 2026, signado por el Titular de la Unidad de Transparencia.</w:t>
            </w:r>
          </w:p>
          <w:p w:rsidR="009C2E90" w:rsidRDefault="00DA22FD">
            <w:pPr>
              <w:pStyle w:val="NormalWeb"/>
              <w:tabs>
                <w:tab w:val="left" w:pos="247"/>
              </w:tabs>
              <w:spacing w:before="0" w:beforeAutospacing="0" w:after="0" w:afterAutospacing="0" w:line="276" w:lineRule="auto"/>
              <w:jc w:val="both"/>
              <w:rPr>
                <w:rFonts w:ascii="Arial" w:hAnsi="Arial" w:cs="Arial"/>
                <w:bCs/>
                <w:color w:val="4472C4" w:themeColor="accent5"/>
                <w:sz w:val="20"/>
                <w:szCs w:val="20"/>
              </w:rPr>
            </w:pPr>
            <w:r>
              <w:rPr>
                <w:rFonts w:ascii="Arial" w:hAnsi="Arial" w:cs="Arial"/>
                <w:bCs/>
                <w:color w:val="4472C4" w:themeColor="accent5"/>
                <w:sz w:val="20"/>
                <w:szCs w:val="20"/>
              </w:rPr>
              <w:t>Correo electrónico enviado de la dirección electrónica institucional de la unidad de transparencia de fecha 03 tres de julio de 2026 dos mil veintiséis, del que</w:t>
            </w:r>
            <w:r>
              <w:rPr>
                <w:rFonts w:ascii="Arial" w:hAnsi="Arial" w:cs="Arial"/>
                <w:bCs/>
                <w:color w:val="4472C4" w:themeColor="accent5"/>
                <w:sz w:val="20"/>
                <w:szCs w:val="20"/>
              </w:rPr>
              <w:t xml:space="preserve"> se aprecian 18 dieciocho archivos adjuntos </w:t>
            </w:r>
          </w:p>
          <w:p w:rsidR="009C2E90" w:rsidRDefault="00DA22FD">
            <w:pPr>
              <w:pStyle w:val="NormalWeb"/>
              <w:tabs>
                <w:tab w:val="left" w:pos="247"/>
              </w:tabs>
              <w:spacing w:before="0" w:beforeAutospacing="0" w:after="0" w:afterAutospacing="0" w:line="276" w:lineRule="auto"/>
              <w:jc w:val="both"/>
              <w:rPr>
                <w:rFonts w:ascii="Arial" w:hAnsi="Arial" w:cs="Arial"/>
                <w:bCs/>
                <w:color w:val="4472C4" w:themeColor="accent5"/>
                <w:sz w:val="20"/>
                <w:szCs w:val="20"/>
              </w:rPr>
            </w:pPr>
            <w:r>
              <w:rPr>
                <w:rFonts w:ascii="Arial" w:hAnsi="Arial" w:cs="Arial"/>
                <w:bCs/>
                <w:color w:val="4472C4" w:themeColor="accent5"/>
                <w:sz w:val="20"/>
                <w:szCs w:val="20"/>
              </w:rPr>
              <w:t xml:space="preserve">Con lo anterior, se advierte que la Unidad de Transparencia incorporó al oficio de respuesta el contenido sustancial de los pronunciamientos emitidos por las unidades administrativas competentes, permitiendo al </w:t>
            </w:r>
            <w:r>
              <w:rPr>
                <w:rFonts w:ascii="Arial" w:hAnsi="Arial" w:cs="Arial"/>
                <w:bCs/>
                <w:color w:val="4472C4" w:themeColor="accent5"/>
                <w:sz w:val="20"/>
                <w:szCs w:val="20"/>
              </w:rPr>
              <w:t>solicitante conocer la información localizada respecto de cada uno de los puntos planteados.</w:t>
            </w:r>
          </w:p>
          <w:p w:rsidR="009C2E90" w:rsidRDefault="00DA22FD">
            <w:pPr>
              <w:pStyle w:val="NormalWeb"/>
              <w:tabs>
                <w:tab w:val="left" w:pos="247"/>
              </w:tabs>
              <w:spacing w:before="0" w:beforeAutospacing="0" w:after="0" w:afterAutospacing="0" w:line="276" w:lineRule="auto"/>
              <w:jc w:val="both"/>
              <w:rPr>
                <w:rFonts w:ascii="Arial" w:hAnsi="Arial" w:cs="Arial"/>
                <w:bCs/>
                <w:color w:val="4472C4" w:themeColor="accent5"/>
                <w:sz w:val="20"/>
                <w:szCs w:val="20"/>
              </w:rPr>
            </w:pPr>
            <w:r>
              <w:rPr>
                <w:rFonts w:ascii="Arial" w:hAnsi="Arial" w:cs="Arial"/>
                <w:bCs/>
                <w:color w:val="4472C4" w:themeColor="accent5"/>
                <w:sz w:val="20"/>
                <w:szCs w:val="20"/>
              </w:rPr>
              <w:t xml:space="preserve">Asimismo, es importante mencionar que </w:t>
            </w:r>
            <w:r>
              <w:rPr>
                <w:rFonts w:ascii="Arial" w:hAnsi="Arial" w:cs="Arial"/>
                <w:bCs/>
                <w:color w:val="4472C4" w:themeColor="accent5"/>
                <w:sz w:val="20"/>
                <w:szCs w:val="20"/>
                <w:lang w:val="es-MX"/>
              </w:rPr>
              <w:t>d</w:t>
            </w:r>
            <w:r>
              <w:rPr>
                <w:rFonts w:ascii="Arial" w:hAnsi="Arial" w:cs="Arial"/>
                <w:bCs/>
                <w:color w:val="4472C4" w:themeColor="accent5"/>
                <w:sz w:val="20"/>
                <w:szCs w:val="20"/>
              </w:rPr>
              <w:t>el análisis de las constancias que integran el expediente administrativo se advierte que parte de la documentación localizad</w:t>
            </w:r>
            <w:r>
              <w:rPr>
                <w:rFonts w:ascii="Arial" w:hAnsi="Arial" w:cs="Arial"/>
                <w:bCs/>
                <w:color w:val="4472C4" w:themeColor="accent5"/>
                <w:sz w:val="20"/>
                <w:szCs w:val="20"/>
              </w:rPr>
              <w:t xml:space="preserve">a por las unidades administrativas contenía datos personales cuya divulgación se encuentra restringida por l legislación aplicable en materia de transparencia y protección de datos personales. </w:t>
            </w:r>
          </w:p>
          <w:p w:rsidR="009C2E90" w:rsidRDefault="009C2E90">
            <w:pPr>
              <w:pStyle w:val="NormalWeb"/>
              <w:tabs>
                <w:tab w:val="left" w:pos="247"/>
              </w:tabs>
              <w:spacing w:before="0" w:beforeAutospacing="0" w:after="0" w:afterAutospacing="0" w:line="276" w:lineRule="auto"/>
              <w:jc w:val="both"/>
              <w:rPr>
                <w:rFonts w:ascii="Arial" w:hAnsi="Arial" w:cs="Arial"/>
                <w:bCs/>
                <w:color w:val="4472C4" w:themeColor="accent5"/>
                <w:sz w:val="20"/>
                <w:szCs w:val="20"/>
              </w:rPr>
            </w:pPr>
          </w:p>
          <w:p w:rsidR="009C2E90" w:rsidRDefault="00DA22FD">
            <w:pPr>
              <w:pStyle w:val="NormalWeb"/>
              <w:tabs>
                <w:tab w:val="left" w:pos="247"/>
              </w:tabs>
              <w:spacing w:before="0" w:beforeAutospacing="0" w:after="0" w:afterAutospacing="0" w:line="276" w:lineRule="auto"/>
              <w:jc w:val="both"/>
              <w:rPr>
                <w:rFonts w:ascii="Arial" w:hAnsi="Arial" w:cs="Arial"/>
                <w:bCs/>
                <w:color w:val="4472C4" w:themeColor="accent5"/>
                <w:sz w:val="20"/>
                <w:szCs w:val="20"/>
              </w:rPr>
            </w:pPr>
            <w:r>
              <w:rPr>
                <w:rFonts w:ascii="Arial" w:hAnsi="Arial" w:cs="Arial"/>
                <w:bCs/>
                <w:color w:val="4472C4" w:themeColor="accent5"/>
                <w:sz w:val="20"/>
                <w:szCs w:val="20"/>
              </w:rPr>
              <w:t xml:space="preserve">En consecuencia, la documentación puesta a disposición de la </w:t>
            </w:r>
            <w:r>
              <w:rPr>
                <w:rFonts w:ascii="Arial" w:hAnsi="Arial" w:cs="Arial"/>
                <w:bCs/>
                <w:color w:val="4472C4" w:themeColor="accent5"/>
                <w:sz w:val="20"/>
                <w:szCs w:val="20"/>
              </w:rPr>
              <w:t>persona solicitante fue entregada salvaguardando los datos personales protegidos por la ley.</w:t>
            </w:r>
          </w:p>
          <w:p w:rsidR="009C2E90" w:rsidRDefault="009C2E90">
            <w:pPr>
              <w:pStyle w:val="NormalWeb"/>
              <w:tabs>
                <w:tab w:val="left" w:pos="247"/>
              </w:tabs>
              <w:spacing w:before="0" w:beforeAutospacing="0" w:after="0" w:afterAutospacing="0" w:line="276" w:lineRule="auto"/>
              <w:jc w:val="both"/>
              <w:rPr>
                <w:rFonts w:ascii="Arial" w:hAnsi="Arial" w:cs="Arial"/>
                <w:i/>
                <w:color w:val="4472C4" w:themeColor="accent5"/>
                <w:sz w:val="20"/>
                <w:szCs w:val="20"/>
              </w:rPr>
            </w:pPr>
          </w:p>
        </w:tc>
      </w:tr>
    </w:tbl>
    <w:p w:rsidR="009C2E90" w:rsidRDefault="009C2E90">
      <w:pPr>
        <w:spacing w:after="0"/>
        <w:ind w:firstLine="708"/>
        <w:jc w:val="both"/>
        <w:rPr>
          <w:rFonts w:ascii="Arial" w:hAnsi="Arial" w:cs="Arial"/>
          <w:color w:val="4472C4" w:themeColor="accent5"/>
        </w:rPr>
      </w:pPr>
    </w:p>
    <w:p w:rsidR="009C2E90" w:rsidRDefault="00DA22FD">
      <w:pPr>
        <w:spacing w:after="0"/>
        <w:ind w:firstLine="708"/>
        <w:jc w:val="both"/>
        <w:rPr>
          <w:rFonts w:ascii="Arial" w:hAnsi="Arial" w:cs="Arial"/>
          <w:color w:val="4472C4" w:themeColor="accent5"/>
          <w:sz w:val="24"/>
          <w:szCs w:val="24"/>
        </w:rPr>
      </w:pPr>
      <w:r>
        <w:rPr>
          <w:rFonts w:ascii="Arial" w:hAnsi="Arial" w:cs="Arial"/>
          <w:color w:val="4472C4" w:themeColor="accent5"/>
          <w:sz w:val="24"/>
          <w:szCs w:val="24"/>
        </w:rPr>
        <w:t>Como se ve, la autoridad responsable durante la sustanciación del presente recurso complementó su respuesta inicial, asimismo resulta un hecho notorio, tal y como lo dijo el sujeto obligado del expediente se desprende que la solicitud fue recibida, turnada</w:t>
      </w:r>
      <w:r>
        <w:rPr>
          <w:rFonts w:ascii="Arial" w:hAnsi="Arial" w:cs="Arial"/>
          <w:color w:val="4472C4" w:themeColor="accent5"/>
          <w:sz w:val="24"/>
          <w:szCs w:val="24"/>
        </w:rPr>
        <w:t xml:space="preserve"> oportunamente a las unidades administrativas competentes para la localización de la información, atendida mediante los pronunciamientos emitidos por dichas áreas e integrada en la respuesta institucional contenida en el oficio IN/DG/UT/233/202, mismo que </w:t>
      </w:r>
      <w:r>
        <w:rPr>
          <w:rFonts w:ascii="Arial" w:hAnsi="Arial" w:cs="Arial"/>
          <w:color w:val="4472C4" w:themeColor="accent5"/>
          <w:sz w:val="24"/>
          <w:szCs w:val="24"/>
        </w:rPr>
        <w:t xml:space="preserve">fue notificado a la persona solicitante a través de la Plataforma Nacional de Transparencia dentro del plazo legalmente establecido. </w:t>
      </w:r>
    </w:p>
    <w:p w:rsidR="009C2E90" w:rsidRDefault="009C2E90">
      <w:pPr>
        <w:spacing w:after="0"/>
        <w:ind w:firstLine="708"/>
        <w:jc w:val="both"/>
        <w:rPr>
          <w:rFonts w:ascii="Arial" w:hAnsi="Arial" w:cs="Arial"/>
          <w:color w:val="4472C4" w:themeColor="accent5"/>
          <w:sz w:val="24"/>
          <w:szCs w:val="24"/>
        </w:rPr>
      </w:pPr>
    </w:p>
    <w:p w:rsidR="009C2E90" w:rsidRDefault="00DA22FD">
      <w:pPr>
        <w:pStyle w:val="corte4fondo"/>
        <w:spacing w:line="276" w:lineRule="auto"/>
        <w:ind w:firstLine="708"/>
        <w:rPr>
          <w:rFonts w:cs="Arial"/>
          <w:color w:val="4472C4" w:themeColor="accent5"/>
          <w:sz w:val="24"/>
          <w:szCs w:val="24"/>
          <w:lang w:val="es-MX"/>
        </w:rPr>
      </w:pPr>
      <w:r>
        <w:rPr>
          <w:rFonts w:cs="Arial"/>
          <w:color w:val="4472C4" w:themeColor="accent5"/>
          <w:sz w:val="24"/>
          <w:szCs w:val="24"/>
        </w:rPr>
        <w:t>Asimismo, se advierte que de la integración de la respuesta obra el acuerdo previamente emitido, Acuerdo C.T.-A.C. 001/20</w:t>
      </w:r>
      <w:r>
        <w:rPr>
          <w:rFonts w:cs="Arial"/>
          <w:color w:val="4472C4" w:themeColor="accent5"/>
          <w:sz w:val="24"/>
          <w:szCs w:val="24"/>
        </w:rPr>
        <w:t xml:space="preserve">25, emitido por su Comité de </w:t>
      </w:r>
      <w:r>
        <w:rPr>
          <w:rFonts w:cs="Arial"/>
          <w:color w:val="4472C4" w:themeColor="accent5"/>
          <w:sz w:val="24"/>
          <w:szCs w:val="24"/>
          <w:lang w:val="es-MX"/>
        </w:rPr>
        <w:t>Transparencia</w:t>
      </w:r>
      <w:r>
        <w:rPr>
          <w:rFonts w:cs="Arial"/>
          <w:color w:val="4472C4" w:themeColor="accent5"/>
          <w:sz w:val="24"/>
          <w:szCs w:val="24"/>
        </w:rPr>
        <w:t xml:space="preserve"> de 20 veinte de octubre de 2025 dos mil veinticinco, circunstancia por la cual ante la manifestación del recurrente a saber: </w:t>
      </w:r>
      <w:r>
        <w:rPr>
          <w:rFonts w:cs="Arial"/>
          <w:color w:val="4472C4" w:themeColor="accent5"/>
          <w:sz w:val="24"/>
          <w:szCs w:val="24"/>
          <w:lang w:val="es-MX"/>
        </w:rPr>
        <w:t>la misma se limita a hacer referencia a un documento interno (el oficio IN/DG/UT/233/202</w:t>
      </w:r>
      <w:r>
        <w:rPr>
          <w:rFonts w:cs="Arial"/>
          <w:color w:val="4472C4" w:themeColor="accent5"/>
          <w:sz w:val="24"/>
          <w:szCs w:val="24"/>
          <w:lang w:val="es-MX"/>
        </w:rPr>
        <w:t>6) sin que se haya entregado copia del mismo ni se haya permitido a acceder a su contenido</w:t>
      </w:r>
      <w:r>
        <w:rPr>
          <w:rFonts w:cs="Arial"/>
          <w:color w:val="4472C4" w:themeColor="accent5"/>
          <w:sz w:val="24"/>
          <w:szCs w:val="24"/>
          <w:lang w:val="es-MX"/>
        </w:rPr>
        <w:t xml:space="preserve">, agravio que </w:t>
      </w:r>
      <w:r>
        <w:rPr>
          <w:rFonts w:cs="Arial"/>
          <w:bCs/>
          <w:color w:val="4472C4" w:themeColor="accent5"/>
          <w:sz w:val="24"/>
          <w:szCs w:val="24"/>
          <w:lang w:val="es-MX"/>
        </w:rPr>
        <w:t xml:space="preserve">deviene infundado </w:t>
      </w:r>
      <w:r>
        <w:rPr>
          <w:rFonts w:cs="Arial"/>
          <w:color w:val="4472C4" w:themeColor="accent5"/>
          <w:sz w:val="24"/>
          <w:szCs w:val="24"/>
          <w:lang w:val="es-MX"/>
        </w:rPr>
        <w:t xml:space="preserve">por que las constancias referidas obran tanto en la Plataforma Nacional de Transparencia como en autos del presente expediente. </w:t>
      </w:r>
    </w:p>
    <w:p w:rsidR="009C2E90" w:rsidRDefault="009C2E90">
      <w:pPr>
        <w:spacing w:after="0"/>
        <w:ind w:firstLine="708"/>
        <w:jc w:val="both"/>
        <w:rPr>
          <w:rFonts w:ascii="Arial" w:hAnsi="Arial" w:cs="Arial"/>
          <w:color w:val="4472C4" w:themeColor="accent5"/>
        </w:rPr>
      </w:pPr>
    </w:p>
    <w:p w:rsidR="009C2E90" w:rsidRDefault="00DA22FD">
      <w:pPr>
        <w:spacing w:after="0"/>
        <w:ind w:firstLine="708"/>
        <w:jc w:val="both"/>
        <w:rPr>
          <w:rFonts w:ascii="Arial" w:hAnsi="Arial" w:cs="Arial"/>
          <w:color w:val="4472C4" w:themeColor="accent5"/>
          <w:sz w:val="24"/>
          <w:szCs w:val="24"/>
          <w:lang w:eastAsia="es-MX"/>
        </w:rPr>
      </w:pPr>
      <w:r>
        <w:rPr>
          <w:rFonts w:ascii="Arial" w:hAnsi="Arial" w:cs="Arial"/>
          <w:color w:val="4472C4" w:themeColor="accent5"/>
          <w:sz w:val="24"/>
          <w:szCs w:val="24"/>
        </w:rPr>
        <w:t xml:space="preserve">En </w:t>
      </w:r>
      <w:r>
        <w:rPr>
          <w:rFonts w:ascii="Arial" w:hAnsi="Arial" w:cs="Arial"/>
          <w:color w:val="4472C4" w:themeColor="accent5"/>
          <w:sz w:val="24"/>
          <w:szCs w:val="24"/>
        </w:rPr>
        <w:t>ese tenor, es preciso indicar que, en relación con el material documental que obra en el expediente y aquellas constancias obtenidas de la Plataforma Nacional de Transparencia, así como de los demás medios autorizados como correo electrónico</w:t>
      </w:r>
      <w:r>
        <w:rPr>
          <w:rFonts w:ascii="Arial" w:hAnsi="Arial" w:cs="Arial"/>
          <w:color w:val="4472C4" w:themeColor="accent5"/>
          <w:sz w:val="24"/>
          <w:szCs w:val="24"/>
          <w:lang w:eastAsia="es-MX"/>
        </w:rPr>
        <w:t>, este Órgano C</w:t>
      </w:r>
      <w:r>
        <w:rPr>
          <w:rFonts w:ascii="Arial" w:hAnsi="Arial" w:cs="Arial"/>
          <w:color w:val="4472C4" w:themeColor="accent5"/>
          <w:sz w:val="24"/>
          <w:szCs w:val="24"/>
          <w:lang w:eastAsia="es-MX"/>
        </w:rPr>
        <w:t>olegiado le otorga valor probatorio en virtud de ser expedidas por el sujeto obligado en ejercicio de sus atribuciones, con fundamento en el artículo 74 del Código Procesal Administrativo para el Estado de San Luis Potosí, en aplicación supletoria a la Ley</w:t>
      </w:r>
      <w:r>
        <w:rPr>
          <w:rFonts w:ascii="Arial" w:hAnsi="Arial" w:cs="Arial"/>
          <w:color w:val="4472C4" w:themeColor="accent5"/>
          <w:sz w:val="24"/>
          <w:szCs w:val="24"/>
          <w:lang w:eastAsia="es-MX"/>
        </w:rPr>
        <w:t xml:space="preserve"> de Transparencia y Acceso a la Información, de conformidad con lo establecido en el artículo 1° de la misma.</w:t>
      </w:r>
    </w:p>
    <w:p w:rsidR="009C2E90" w:rsidRDefault="009C2E90">
      <w:pPr>
        <w:spacing w:after="0"/>
        <w:ind w:firstLine="708"/>
        <w:jc w:val="both"/>
        <w:rPr>
          <w:rFonts w:ascii="Arial" w:hAnsi="Arial" w:cs="Arial"/>
          <w:color w:val="4472C4" w:themeColor="accent5"/>
          <w:sz w:val="24"/>
          <w:szCs w:val="24"/>
          <w:lang w:eastAsia="es-MX"/>
        </w:rPr>
      </w:pPr>
    </w:p>
    <w:p w:rsidR="009C2E90" w:rsidRDefault="00DA22FD">
      <w:pPr>
        <w:spacing w:after="0"/>
        <w:ind w:firstLine="708"/>
        <w:jc w:val="both"/>
        <w:rPr>
          <w:rFonts w:ascii="Arial" w:hAnsi="Arial" w:cs="Arial"/>
          <w:color w:val="4472C4" w:themeColor="accent5"/>
          <w:sz w:val="24"/>
          <w:szCs w:val="24"/>
          <w:lang w:eastAsia="es-MX"/>
        </w:rPr>
      </w:pPr>
      <w:r>
        <w:rPr>
          <w:rFonts w:ascii="Arial" w:hAnsi="Arial" w:cs="Arial"/>
          <w:color w:val="4472C4" w:themeColor="accent5"/>
          <w:sz w:val="24"/>
          <w:szCs w:val="24"/>
          <w:lang w:eastAsia="es-MX"/>
        </w:rPr>
        <w:t xml:space="preserve">Sirve de criterio orientador la tesis aislada de la Segunda Sala de la Suprema Corte de justicia de la Nación, </w:t>
      </w:r>
      <w:proofErr w:type="gramStart"/>
      <w:r>
        <w:rPr>
          <w:rFonts w:ascii="Arial" w:hAnsi="Arial" w:cs="Arial"/>
          <w:color w:val="4472C4" w:themeColor="accent5"/>
          <w:sz w:val="24"/>
          <w:szCs w:val="24"/>
          <w:lang w:eastAsia="es-MX"/>
        </w:rPr>
        <w:t>Registro</w:t>
      </w:r>
      <w:proofErr w:type="gramEnd"/>
      <w:r>
        <w:rPr>
          <w:rFonts w:ascii="Arial" w:hAnsi="Arial" w:cs="Arial"/>
          <w:color w:val="4472C4" w:themeColor="accent5"/>
          <w:sz w:val="24"/>
          <w:szCs w:val="24"/>
          <w:lang w:eastAsia="es-MX"/>
        </w:rPr>
        <w:t xml:space="preserve"> digital: 268431, cuyo rub</w:t>
      </w:r>
      <w:r>
        <w:rPr>
          <w:rFonts w:ascii="Arial" w:hAnsi="Arial" w:cs="Arial"/>
          <w:color w:val="4472C4" w:themeColor="accent5"/>
          <w:sz w:val="24"/>
          <w:szCs w:val="24"/>
          <w:lang w:eastAsia="es-MX"/>
        </w:rPr>
        <w:t>ro es:</w:t>
      </w:r>
    </w:p>
    <w:p w:rsidR="009C2E90" w:rsidRDefault="009C2E90">
      <w:pPr>
        <w:spacing w:after="0"/>
        <w:ind w:firstLine="708"/>
        <w:jc w:val="both"/>
        <w:rPr>
          <w:rFonts w:ascii="Arial" w:hAnsi="Arial" w:cs="Arial"/>
          <w:i/>
          <w:color w:val="4472C4" w:themeColor="accent5"/>
          <w:sz w:val="24"/>
          <w:szCs w:val="24"/>
          <w:lang w:eastAsia="es-MX"/>
        </w:rPr>
      </w:pPr>
    </w:p>
    <w:p w:rsidR="009C2E90" w:rsidRDefault="00DA22FD">
      <w:pPr>
        <w:spacing w:after="0"/>
        <w:ind w:firstLine="708"/>
        <w:jc w:val="both"/>
        <w:rPr>
          <w:rFonts w:ascii="Arial" w:hAnsi="Arial" w:cs="Arial"/>
          <w:i/>
          <w:color w:val="4472C4" w:themeColor="accent5"/>
          <w:sz w:val="20"/>
          <w:szCs w:val="20"/>
          <w:lang w:eastAsia="es-MX"/>
        </w:rPr>
      </w:pPr>
      <w:r>
        <w:rPr>
          <w:rFonts w:ascii="Arial" w:hAnsi="Arial" w:cs="Arial"/>
          <w:i/>
          <w:color w:val="4472C4" w:themeColor="accent5"/>
          <w:sz w:val="20"/>
          <w:szCs w:val="20"/>
          <w:lang w:eastAsia="es-MX"/>
        </w:rPr>
        <w:t xml:space="preserve">“[…] </w:t>
      </w:r>
      <w:r>
        <w:rPr>
          <w:rFonts w:ascii="Arial" w:hAnsi="Arial" w:cs="Arial"/>
          <w:b/>
          <w:i/>
          <w:color w:val="4472C4" w:themeColor="accent5"/>
          <w:sz w:val="20"/>
          <w:szCs w:val="20"/>
          <w:lang w:eastAsia="es-MX"/>
        </w:rPr>
        <w:t>DOCUMENTOS PUBLICOS, PRUEBA DE.”, DOCUMENTOS PUBLICOS, PRUEBA DE.</w:t>
      </w:r>
      <w:r>
        <w:rPr>
          <w:rFonts w:ascii="Arial" w:hAnsi="Arial" w:cs="Arial"/>
          <w:i/>
          <w:color w:val="4472C4" w:themeColor="accent5"/>
          <w:sz w:val="20"/>
          <w:szCs w:val="20"/>
          <w:lang w:eastAsia="es-MX"/>
        </w:rPr>
        <w:t xml:space="preserve"> Si bien es cierto que los documentos públicos hacen prueba plena de los hechos legalmente afirmados por la autoridad de que aquellos proceden, también lo es que, en caso de esta</w:t>
      </w:r>
      <w:r>
        <w:rPr>
          <w:rFonts w:ascii="Arial" w:hAnsi="Arial" w:cs="Arial"/>
          <w:i/>
          <w:color w:val="4472C4" w:themeColor="accent5"/>
          <w:sz w:val="20"/>
          <w:szCs w:val="20"/>
          <w:lang w:eastAsia="es-MX"/>
        </w:rPr>
        <w:t>r contradicho su contenido por otras pruebas, su valor queda a la libre apreciación del tribunal, de tal manera que lo hecho constar en un documento público puede ser desvirtuado por otras pruebas que, en concepto, del juzgador, sean plenas para contradeci</w:t>
      </w:r>
      <w:r>
        <w:rPr>
          <w:rFonts w:ascii="Arial" w:hAnsi="Arial" w:cs="Arial"/>
          <w:i/>
          <w:color w:val="4472C4" w:themeColor="accent5"/>
          <w:sz w:val="20"/>
          <w:szCs w:val="20"/>
          <w:lang w:eastAsia="es-MX"/>
        </w:rPr>
        <w:t>r lo asentado en aquel documento. […]” (sic)</w:t>
      </w:r>
    </w:p>
    <w:p w:rsidR="009C2E90" w:rsidRDefault="009C2E90">
      <w:pPr>
        <w:spacing w:after="0"/>
        <w:ind w:firstLine="708"/>
        <w:jc w:val="both"/>
        <w:rPr>
          <w:rFonts w:ascii="Arial" w:hAnsi="Arial" w:cs="Arial"/>
          <w:i/>
          <w:color w:val="4472C4" w:themeColor="accent5"/>
          <w:sz w:val="24"/>
          <w:szCs w:val="24"/>
          <w:lang w:eastAsia="es-MX"/>
        </w:rPr>
      </w:pPr>
    </w:p>
    <w:p w:rsidR="009C2E90" w:rsidRDefault="00DA22FD">
      <w:pPr>
        <w:spacing w:after="0"/>
        <w:ind w:firstLine="708"/>
        <w:jc w:val="both"/>
        <w:rPr>
          <w:rFonts w:ascii="Arial" w:hAnsi="Arial" w:cs="Arial"/>
          <w:color w:val="4472C4" w:themeColor="accent5"/>
          <w:sz w:val="24"/>
          <w:szCs w:val="24"/>
          <w:lang w:eastAsia="es-MX"/>
        </w:rPr>
      </w:pPr>
      <w:r>
        <w:rPr>
          <w:rFonts w:ascii="Arial" w:hAnsi="Arial" w:cs="Arial"/>
          <w:color w:val="4472C4" w:themeColor="accent5"/>
          <w:sz w:val="24"/>
          <w:szCs w:val="24"/>
          <w:lang w:eastAsia="es-MX"/>
        </w:rPr>
        <w:t>De la anterior, se desprende que los documentos públicos hacen prueba plena de los hechos legalmente afirmados por la autoridad de que aquellos proceden, y su valor queda a la libre apreciación de esta Comisión</w:t>
      </w:r>
      <w:r>
        <w:rPr>
          <w:rFonts w:ascii="Arial" w:hAnsi="Arial" w:cs="Arial"/>
          <w:color w:val="4472C4" w:themeColor="accent5"/>
          <w:sz w:val="24"/>
          <w:szCs w:val="24"/>
          <w:lang w:eastAsia="es-MX"/>
        </w:rPr>
        <w:t>.</w:t>
      </w:r>
    </w:p>
    <w:p w:rsidR="009C2E90" w:rsidRDefault="009C2E90">
      <w:pPr>
        <w:spacing w:after="0"/>
        <w:ind w:firstLine="708"/>
        <w:jc w:val="both"/>
        <w:rPr>
          <w:rFonts w:ascii="Arial" w:hAnsi="Arial" w:cs="Arial"/>
          <w:color w:val="4472C4" w:themeColor="accent5"/>
          <w:lang w:eastAsia="es-MX"/>
        </w:rPr>
      </w:pPr>
    </w:p>
    <w:p w:rsidR="009C2E90" w:rsidRDefault="00DA22FD">
      <w:pPr>
        <w:pStyle w:val="NormalWeb"/>
        <w:tabs>
          <w:tab w:val="left" w:pos="0"/>
        </w:tabs>
        <w:spacing w:before="0" w:beforeAutospacing="0" w:after="0" w:afterAutospacing="0" w:line="276" w:lineRule="auto"/>
        <w:jc w:val="both"/>
        <w:rPr>
          <w:rFonts w:ascii="Arial" w:eastAsia="Arial Unicode MS" w:hAnsi="Arial" w:cs="Arial"/>
          <w:b/>
          <w:color w:val="4472C4" w:themeColor="accent5"/>
        </w:rPr>
      </w:pPr>
      <w:r>
        <w:rPr>
          <w:rFonts w:ascii="Arial" w:eastAsia="Arial Unicode MS" w:hAnsi="Arial" w:cs="Arial"/>
          <w:color w:val="4472C4" w:themeColor="accent5"/>
        </w:rPr>
        <w:tab/>
      </w:r>
      <w:r>
        <w:rPr>
          <w:rFonts w:ascii="Arial" w:eastAsia="Arial Unicode MS" w:hAnsi="Arial" w:cs="Arial"/>
          <w:b/>
          <w:color w:val="4472C4" w:themeColor="accent5"/>
        </w:rPr>
        <w:t>6.1.2. Notificación de la respuesta a la solicitud de acceso a la información pública.</w:t>
      </w:r>
    </w:p>
    <w:p w:rsidR="009C2E90" w:rsidRDefault="009C2E90">
      <w:pPr>
        <w:pStyle w:val="NormalWeb"/>
        <w:tabs>
          <w:tab w:val="left" w:pos="0"/>
        </w:tabs>
        <w:spacing w:before="0" w:beforeAutospacing="0" w:after="0" w:afterAutospacing="0" w:line="276" w:lineRule="auto"/>
        <w:jc w:val="both"/>
        <w:rPr>
          <w:rFonts w:ascii="Arial" w:eastAsia="Arial Unicode MS" w:hAnsi="Arial" w:cs="Arial"/>
          <w:b/>
          <w:color w:val="4472C4" w:themeColor="accent5"/>
        </w:rPr>
      </w:pPr>
    </w:p>
    <w:p w:rsidR="009C2E90" w:rsidRDefault="00DA22FD">
      <w:pPr>
        <w:pStyle w:val="NormalWeb"/>
        <w:tabs>
          <w:tab w:val="left" w:pos="0"/>
        </w:tabs>
        <w:spacing w:before="0" w:beforeAutospacing="0" w:after="0" w:afterAutospacing="0" w:line="276" w:lineRule="auto"/>
        <w:jc w:val="both"/>
        <w:rPr>
          <w:rFonts w:ascii="Arial" w:eastAsia="Arial Unicode MS" w:hAnsi="Arial" w:cs="Arial"/>
          <w:color w:val="4472C4" w:themeColor="accent5"/>
        </w:rPr>
      </w:pPr>
      <w:r>
        <w:rPr>
          <w:rFonts w:ascii="Arial" w:eastAsia="Arial Unicode MS" w:hAnsi="Arial" w:cs="Arial"/>
          <w:color w:val="4472C4" w:themeColor="accent5"/>
        </w:rPr>
        <w:tab/>
        <w:t>De ahí que para que el sobreseimiento se pueda actualizar, es necesario que se acredite que efectivamente el ahora recurrente ya se allegó de esa respuesta.</w:t>
      </w:r>
    </w:p>
    <w:p w:rsidR="009C2E90" w:rsidRDefault="009C2E90">
      <w:pPr>
        <w:pStyle w:val="NormalWeb"/>
        <w:tabs>
          <w:tab w:val="left" w:pos="0"/>
        </w:tabs>
        <w:spacing w:before="0" w:beforeAutospacing="0" w:after="0" w:afterAutospacing="0" w:line="276" w:lineRule="auto"/>
        <w:jc w:val="both"/>
        <w:rPr>
          <w:rFonts w:ascii="Arial" w:eastAsia="Arial Unicode MS" w:hAnsi="Arial" w:cs="Arial"/>
          <w:color w:val="4472C4" w:themeColor="accent5"/>
        </w:rPr>
      </w:pPr>
    </w:p>
    <w:p w:rsidR="009C2E90" w:rsidRDefault="00DA22FD">
      <w:pPr>
        <w:pStyle w:val="NormalWeb"/>
        <w:tabs>
          <w:tab w:val="left" w:pos="0"/>
        </w:tabs>
        <w:spacing w:before="0" w:beforeAutospacing="0" w:after="0" w:afterAutospacing="0" w:line="276" w:lineRule="auto"/>
        <w:jc w:val="both"/>
        <w:rPr>
          <w:rFonts w:ascii="Arial" w:eastAsia="Arial Unicode MS" w:hAnsi="Arial" w:cs="Arial"/>
          <w:color w:val="4472C4" w:themeColor="accent5"/>
        </w:rPr>
      </w:pPr>
      <w:r>
        <w:rPr>
          <w:rFonts w:ascii="Arial" w:eastAsia="Arial Unicode MS" w:hAnsi="Arial" w:cs="Arial"/>
          <w:color w:val="4472C4" w:themeColor="accent5"/>
        </w:rPr>
        <w:tab/>
      </w:r>
      <w:r>
        <w:rPr>
          <w:rFonts w:ascii="Arial" w:eastAsia="Arial Unicode MS" w:hAnsi="Arial" w:cs="Arial"/>
          <w:color w:val="4472C4" w:themeColor="accent5"/>
        </w:rPr>
        <w:t>Ahora, está Comisión al revisar la documentación que el sujeto obligado envío en su informe se aprecia el envío del correo electrónico al ahora recurrente, mismo que señaló para oír y recibir notificaciones.</w:t>
      </w:r>
    </w:p>
    <w:p w:rsidR="009C2E90" w:rsidRDefault="00DA22FD">
      <w:pPr>
        <w:pStyle w:val="NormalWeb"/>
        <w:tabs>
          <w:tab w:val="left" w:pos="0"/>
        </w:tabs>
        <w:spacing w:before="0" w:beforeAutospacing="0" w:after="0" w:afterAutospacing="0" w:line="276" w:lineRule="auto"/>
        <w:jc w:val="both"/>
        <w:rPr>
          <w:rFonts w:ascii="Arial" w:eastAsia="Arial Unicode MS" w:hAnsi="Arial" w:cs="Arial"/>
          <w:color w:val="4472C4" w:themeColor="accent5"/>
        </w:rPr>
      </w:pPr>
      <w:r>
        <w:rPr>
          <w:rFonts w:ascii="Arial" w:eastAsia="Arial Unicode MS" w:hAnsi="Arial" w:cs="Arial"/>
          <w:color w:val="4472C4" w:themeColor="accent5"/>
        </w:rPr>
        <w:t xml:space="preserve">  </w:t>
      </w:r>
    </w:p>
    <w:p w:rsidR="009C2E90" w:rsidRDefault="00DA22FD">
      <w:pPr>
        <w:pStyle w:val="NormalWeb"/>
        <w:tabs>
          <w:tab w:val="left" w:pos="0"/>
        </w:tabs>
        <w:spacing w:before="0" w:beforeAutospacing="0" w:after="0" w:afterAutospacing="0" w:line="276" w:lineRule="auto"/>
        <w:jc w:val="both"/>
        <w:rPr>
          <w:rFonts w:ascii="Arial" w:eastAsia="Arial Unicode MS" w:hAnsi="Arial" w:cs="Arial"/>
          <w:bCs/>
          <w:color w:val="4472C4" w:themeColor="accent5"/>
        </w:rPr>
      </w:pPr>
      <w:r>
        <w:rPr>
          <w:rFonts w:ascii="Arial" w:eastAsia="Arial Unicode MS" w:hAnsi="Arial" w:cs="Arial"/>
          <w:color w:val="4472C4" w:themeColor="accent5"/>
        </w:rPr>
        <w:tab/>
      </w:r>
      <w:r>
        <w:rPr>
          <w:rFonts w:ascii="Arial" w:eastAsia="Arial Unicode MS" w:hAnsi="Arial" w:cs="Arial"/>
          <w:bCs/>
          <w:color w:val="4472C4" w:themeColor="accent5"/>
        </w:rPr>
        <w:t>En ese sentido, el Tribunal Colegiado en Mat</w:t>
      </w:r>
      <w:r>
        <w:rPr>
          <w:rFonts w:ascii="Arial" w:eastAsia="Arial Unicode MS" w:hAnsi="Arial" w:cs="Arial"/>
          <w:bCs/>
          <w:color w:val="4472C4" w:themeColor="accent5"/>
        </w:rPr>
        <w:t>erias de Trabajo y Administrativa del Décimo Tercer Circuito, emitió un criterio relacionado con la cuestión que nos ocupa, misma que establece:</w:t>
      </w:r>
    </w:p>
    <w:p w:rsidR="009C2E90" w:rsidRDefault="009C2E90">
      <w:pPr>
        <w:spacing w:after="0"/>
        <w:ind w:firstLine="709"/>
        <w:jc w:val="both"/>
        <w:rPr>
          <w:rFonts w:ascii="Arial" w:eastAsia="Arial Unicode MS" w:hAnsi="Arial" w:cs="Arial"/>
          <w:b/>
          <w:bCs/>
          <w:color w:val="4472C4" w:themeColor="accent5"/>
          <w:sz w:val="24"/>
          <w:szCs w:val="24"/>
          <w:lang w:eastAsia="es-ES"/>
        </w:rPr>
      </w:pPr>
    </w:p>
    <w:p w:rsidR="009C2E90" w:rsidRDefault="00DA22FD">
      <w:pPr>
        <w:spacing w:after="0"/>
        <w:ind w:left="1134" w:right="1183"/>
        <w:jc w:val="both"/>
        <w:rPr>
          <w:rFonts w:ascii="Arial" w:eastAsia="Arial Unicode MS" w:hAnsi="Arial" w:cs="Arial"/>
          <w:bCs/>
          <w:i/>
          <w:color w:val="4472C4" w:themeColor="accent5"/>
          <w:sz w:val="20"/>
          <w:szCs w:val="20"/>
          <w:lang w:eastAsia="es-ES"/>
        </w:rPr>
      </w:pPr>
      <w:r>
        <w:rPr>
          <w:rFonts w:ascii="Arial" w:eastAsia="Arial Unicode MS" w:hAnsi="Arial" w:cs="Arial"/>
          <w:b/>
          <w:bCs/>
          <w:i/>
          <w:color w:val="4472C4" w:themeColor="accent5"/>
          <w:sz w:val="20"/>
          <w:szCs w:val="20"/>
          <w:lang w:eastAsia="es-ES"/>
        </w:rPr>
        <w:t>“NOTIFICACIÓN ELECTRÓNICA. AL PRACTICARLA, LA AUTORIDAD DEBE ANEXAR EN AUTOS DEL EXPEDIENTE ADMINISTRATIVO O J</w:t>
      </w:r>
      <w:r>
        <w:rPr>
          <w:rFonts w:ascii="Arial" w:eastAsia="Arial Unicode MS" w:hAnsi="Arial" w:cs="Arial"/>
          <w:b/>
          <w:bCs/>
          <w:i/>
          <w:color w:val="4472C4" w:themeColor="accent5"/>
          <w:sz w:val="20"/>
          <w:szCs w:val="20"/>
          <w:lang w:eastAsia="es-ES"/>
        </w:rPr>
        <w:t xml:space="preserve">UDICIAL DEL QUE DERIVE, LA CONSTANCIA FEHACIENTE DE RECEPCIÓN POR SU DESTINATARIO. </w:t>
      </w:r>
      <w:r>
        <w:rPr>
          <w:rFonts w:ascii="Arial" w:eastAsia="Arial Unicode MS" w:hAnsi="Arial" w:cs="Arial"/>
          <w:bCs/>
          <w:i/>
          <w:color w:val="4472C4" w:themeColor="accent5"/>
          <w:sz w:val="20"/>
          <w:szCs w:val="20"/>
          <w:lang w:eastAsia="es-ES"/>
        </w:rPr>
        <w:t>La notificación electrónica es el acto mediante el cual, con las formalidades legales preestablecidas, se da a conocer a los interesados a través de medios electrónicos y te</w:t>
      </w:r>
      <w:r>
        <w:rPr>
          <w:rFonts w:ascii="Arial" w:eastAsia="Arial Unicode MS" w:hAnsi="Arial" w:cs="Arial"/>
          <w:bCs/>
          <w:i/>
          <w:color w:val="4472C4" w:themeColor="accent5"/>
          <w:sz w:val="20"/>
          <w:szCs w:val="20"/>
          <w:lang w:eastAsia="es-ES"/>
        </w:rPr>
        <w:t>lemáticos, tales como una página web o correo electrónico, un acuerdo administrativo o resolución judicial, por lo que, al practicarla, la autoridad debe anexar en autos del expediente administrativo o judicial del que derive, la constancia fehaciente de r</w:t>
      </w:r>
      <w:r>
        <w:rPr>
          <w:rFonts w:ascii="Arial" w:eastAsia="Arial Unicode MS" w:hAnsi="Arial" w:cs="Arial"/>
          <w:bCs/>
          <w:i/>
          <w:color w:val="4472C4" w:themeColor="accent5"/>
          <w:sz w:val="20"/>
          <w:szCs w:val="20"/>
          <w:lang w:eastAsia="es-ES"/>
        </w:rPr>
        <w:t>ecepción por su destinatario, sin que baste la razón actuarial de que se realizó de esa manera, pues la omisión de esa constancia constituye una violación que transgrede las leyes del procedimiento y afecta las defensas del quejoso, la cual actualiza el su</w:t>
      </w:r>
      <w:r>
        <w:rPr>
          <w:rFonts w:ascii="Arial" w:eastAsia="Arial Unicode MS" w:hAnsi="Arial" w:cs="Arial"/>
          <w:bCs/>
          <w:i/>
          <w:color w:val="4472C4" w:themeColor="accent5"/>
          <w:sz w:val="20"/>
          <w:szCs w:val="20"/>
          <w:lang w:eastAsia="es-ES"/>
        </w:rPr>
        <w:t>puesto previsto en la </w:t>
      </w:r>
      <w:hyperlink r:id="rId10" w:history="1">
        <w:r>
          <w:rPr>
            <w:rStyle w:val="Hipervnculo"/>
            <w:rFonts w:ascii="Arial" w:eastAsia="Arial Unicode MS" w:hAnsi="Arial" w:cs="Arial"/>
            <w:bCs/>
            <w:i/>
            <w:color w:val="4472C4" w:themeColor="accent5"/>
            <w:sz w:val="20"/>
            <w:szCs w:val="20"/>
            <w:lang w:eastAsia="es-ES"/>
          </w:rPr>
          <w:t>fracción I del artículo 172 de la Ley de Amparo</w:t>
        </w:r>
      </w:hyperlink>
      <w:r>
        <w:rPr>
          <w:rFonts w:ascii="Arial" w:eastAsia="Arial Unicode MS" w:hAnsi="Arial" w:cs="Arial"/>
          <w:bCs/>
          <w:i/>
          <w:color w:val="4472C4" w:themeColor="accent5"/>
          <w:sz w:val="20"/>
          <w:szCs w:val="20"/>
          <w:lang w:eastAsia="es-ES"/>
        </w:rPr>
        <w:t>, vigente a partir del 3 de abril de 2013”.</w:t>
      </w:r>
      <w:r>
        <w:rPr>
          <w:rFonts w:ascii="Arial" w:eastAsia="Arial Unicode MS" w:hAnsi="Arial" w:cs="Arial"/>
          <w:bCs/>
          <w:i/>
          <w:color w:val="4472C4" w:themeColor="accent5"/>
          <w:sz w:val="20"/>
          <w:szCs w:val="20"/>
          <w:vertAlign w:val="superscript"/>
          <w:lang w:eastAsia="es-ES"/>
        </w:rPr>
        <w:footnoteReference w:id="4"/>
      </w:r>
    </w:p>
    <w:p w:rsidR="009C2E90" w:rsidRDefault="009C2E90">
      <w:pPr>
        <w:pStyle w:val="corte4fondo"/>
        <w:spacing w:line="276" w:lineRule="auto"/>
        <w:ind w:firstLine="708"/>
        <w:rPr>
          <w:rFonts w:cs="Arial"/>
          <w:color w:val="4472C4" w:themeColor="accent5"/>
          <w:sz w:val="24"/>
          <w:szCs w:val="24"/>
          <w:highlight w:val="yellow"/>
          <w:lang w:val="es-MX"/>
        </w:rPr>
      </w:pPr>
    </w:p>
    <w:p w:rsidR="009C2E90" w:rsidRDefault="00DA22FD">
      <w:pPr>
        <w:pStyle w:val="corte4fondo"/>
        <w:spacing w:line="276" w:lineRule="auto"/>
        <w:ind w:firstLine="708"/>
        <w:rPr>
          <w:rFonts w:eastAsia="Arial Unicode MS" w:cs="Arial"/>
          <w:bCs/>
          <w:color w:val="4472C4" w:themeColor="accent5"/>
          <w:sz w:val="24"/>
          <w:szCs w:val="24"/>
          <w:lang w:eastAsia="es-ES"/>
        </w:rPr>
      </w:pPr>
      <w:r>
        <w:rPr>
          <w:rFonts w:cs="Arial"/>
          <w:bCs/>
          <w:color w:val="4472C4" w:themeColor="accent5"/>
          <w:sz w:val="24"/>
          <w:szCs w:val="24"/>
        </w:rPr>
        <w:t xml:space="preserve">Ahora, </w:t>
      </w:r>
      <w:r>
        <w:rPr>
          <w:rFonts w:eastAsia="Arial Unicode MS" w:cs="Arial"/>
          <w:color w:val="4472C4" w:themeColor="accent5"/>
          <w:sz w:val="24"/>
          <w:szCs w:val="24"/>
        </w:rPr>
        <w:t xml:space="preserve">para que el sobreseimiento se pueda actualizar, es necesario que se documente que efectivamente el recurrente ya se allegó de esa respuesta, es decir, </w:t>
      </w:r>
      <w:r>
        <w:rPr>
          <w:rFonts w:cs="Arial"/>
          <w:bCs/>
          <w:color w:val="4472C4" w:themeColor="accent5"/>
          <w:sz w:val="24"/>
          <w:szCs w:val="24"/>
        </w:rPr>
        <w:t xml:space="preserve">que </w:t>
      </w:r>
      <w:r>
        <w:rPr>
          <w:rFonts w:eastAsia="Arial Unicode MS" w:cs="Arial"/>
          <w:bCs/>
          <w:color w:val="4472C4" w:themeColor="accent5"/>
          <w:sz w:val="24"/>
          <w:szCs w:val="24"/>
          <w:lang w:eastAsia="es-ES"/>
        </w:rPr>
        <w:t xml:space="preserve">se notificó el contenido generado durante la sustanciación del presente </w:t>
      </w:r>
      <w:r>
        <w:rPr>
          <w:rFonts w:eastAsia="Arial Unicode MS" w:cs="Arial"/>
          <w:bCs/>
          <w:color w:val="4472C4" w:themeColor="accent5"/>
          <w:sz w:val="24"/>
          <w:szCs w:val="24"/>
          <w:lang w:val="es-MX" w:eastAsia="es-ES"/>
        </w:rPr>
        <w:t>r</w:t>
      </w:r>
      <w:r>
        <w:rPr>
          <w:rFonts w:eastAsia="Arial Unicode MS" w:cs="Arial"/>
          <w:bCs/>
          <w:color w:val="4472C4" w:themeColor="accent5"/>
          <w:sz w:val="24"/>
          <w:szCs w:val="24"/>
          <w:lang w:eastAsia="es-ES"/>
        </w:rPr>
        <w:t>ecurso, relativo a la inform</w:t>
      </w:r>
      <w:r>
        <w:rPr>
          <w:rFonts w:eastAsia="Arial Unicode MS" w:cs="Arial"/>
          <w:bCs/>
          <w:color w:val="4472C4" w:themeColor="accent5"/>
          <w:sz w:val="24"/>
          <w:szCs w:val="24"/>
          <w:lang w:eastAsia="es-ES"/>
        </w:rPr>
        <w:t>ación solicitada, lo que implica que existe convicción con respecto a la notificación de la respuesta.</w:t>
      </w:r>
    </w:p>
    <w:p w:rsidR="009C2E90" w:rsidRDefault="009C2E90">
      <w:pPr>
        <w:pStyle w:val="NormalWeb"/>
        <w:tabs>
          <w:tab w:val="left" w:pos="0"/>
        </w:tabs>
        <w:spacing w:before="0" w:beforeAutospacing="0" w:after="0" w:afterAutospacing="0" w:line="276" w:lineRule="auto"/>
        <w:jc w:val="both"/>
        <w:rPr>
          <w:rFonts w:ascii="Arial" w:hAnsi="Arial" w:cs="Arial"/>
          <w:bCs/>
          <w:color w:val="4472C4" w:themeColor="accent5"/>
        </w:rPr>
      </w:pPr>
    </w:p>
    <w:p w:rsidR="009C2E90" w:rsidRDefault="00DA22FD">
      <w:pPr>
        <w:pStyle w:val="NormalWeb"/>
        <w:tabs>
          <w:tab w:val="left" w:pos="0"/>
        </w:tabs>
        <w:spacing w:before="0" w:beforeAutospacing="0" w:after="0" w:afterAutospacing="0" w:line="276" w:lineRule="auto"/>
        <w:ind w:left="708"/>
        <w:jc w:val="both"/>
        <w:rPr>
          <w:rFonts w:ascii="Arial" w:eastAsia="Arial Unicode MS" w:hAnsi="Arial" w:cs="Arial"/>
          <w:b/>
          <w:color w:val="4472C4" w:themeColor="accent5"/>
        </w:rPr>
      </w:pPr>
      <w:r>
        <w:rPr>
          <w:rFonts w:ascii="Arial" w:eastAsia="Arial Unicode MS" w:hAnsi="Arial" w:cs="Arial"/>
          <w:b/>
          <w:color w:val="4472C4" w:themeColor="accent5"/>
        </w:rPr>
        <w:t>6.1.3. Modificación del acto reclamado para que el recurso quede sin materia.</w:t>
      </w:r>
    </w:p>
    <w:p w:rsidR="009C2E90" w:rsidRDefault="009C2E90">
      <w:pPr>
        <w:pStyle w:val="NormalWeb"/>
        <w:tabs>
          <w:tab w:val="left" w:pos="0"/>
        </w:tabs>
        <w:spacing w:before="0" w:beforeAutospacing="0" w:after="0" w:afterAutospacing="0" w:line="276" w:lineRule="auto"/>
        <w:ind w:left="708"/>
        <w:jc w:val="both"/>
        <w:rPr>
          <w:rFonts w:ascii="Arial" w:eastAsia="Arial Unicode MS" w:hAnsi="Arial" w:cs="Arial"/>
          <w:b/>
          <w:color w:val="4472C4" w:themeColor="accent5"/>
        </w:rPr>
      </w:pPr>
    </w:p>
    <w:p w:rsidR="009C2E90" w:rsidRDefault="00DA22FD">
      <w:pPr>
        <w:pStyle w:val="NormalWeb"/>
        <w:tabs>
          <w:tab w:val="left" w:pos="0"/>
        </w:tabs>
        <w:spacing w:before="0" w:beforeAutospacing="0" w:after="0" w:afterAutospacing="0" w:line="276" w:lineRule="auto"/>
        <w:jc w:val="both"/>
        <w:rPr>
          <w:rFonts w:ascii="Arial" w:eastAsia="Arial Unicode MS" w:hAnsi="Arial" w:cs="Arial"/>
          <w:color w:val="4472C4" w:themeColor="accent5"/>
        </w:rPr>
      </w:pPr>
      <w:r>
        <w:rPr>
          <w:rFonts w:ascii="Arial" w:eastAsia="Arial Unicode MS" w:hAnsi="Arial" w:cs="Arial"/>
          <w:color w:val="4472C4" w:themeColor="accent5"/>
        </w:rPr>
        <w:tab/>
        <w:t>Como se ha dicho, para que proceda el sobreseimiento es necesario que el</w:t>
      </w:r>
      <w:r>
        <w:rPr>
          <w:rFonts w:ascii="Arial" w:eastAsia="Arial Unicode MS" w:hAnsi="Arial" w:cs="Arial"/>
          <w:color w:val="4472C4" w:themeColor="accent5"/>
        </w:rPr>
        <w:t xml:space="preserve"> sujeto obligado modifique el acto que se le reclama para el efecto de que el recurso quede sin materia.</w:t>
      </w:r>
    </w:p>
    <w:p w:rsidR="009C2E90" w:rsidRDefault="009C2E90">
      <w:pPr>
        <w:pStyle w:val="NormalWeb"/>
        <w:tabs>
          <w:tab w:val="left" w:pos="0"/>
        </w:tabs>
        <w:spacing w:before="0" w:beforeAutospacing="0" w:after="0" w:afterAutospacing="0" w:line="276" w:lineRule="auto"/>
        <w:jc w:val="both"/>
        <w:rPr>
          <w:rFonts w:ascii="Arial" w:eastAsia="Arial Unicode MS" w:hAnsi="Arial" w:cs="Arial"/>
          <w:color w:val="4472C4" w:themeColor="accent5"/>
        </w:rPr>
      </w:pPr>
    </w:p>
    <w:p w:rsidR="009C2E90" w:rsidRDefault="00DA22FD">
      <w:pPr>
        <w:pStyle w:val="corte4fondo"/>
        <w:spacing w:line="276" w:lineRule="auto"/>
        <w:ind w:firstLine="0"/>
        <w:rPr>
          <w:rFonts w:eastAsia="Arial Unicode MS" w:cs="Arial"/>
          <w:color w:val="4472C4" w:themeColor="accent5"/>
          <w:sz w:val="24"/>
          <w:szCs w:val="24"/>
        </w:rPr>
      </w:pPr>
      <w:r>
        <w:rPr>
          <w:rFonts w:eastAsia="Arial Unicode MS" w:cs="Arial"/>
          <w:color w:val="4472C4" w:themeColor="accent5"/>
        </w:rPr>
        <w:tab/>
      </w:r>
      <w:r>
        <w:rPr>
          <w:rFonts w:eastAsia="Arial Unicode MS" w:cs="Arial"/>
          <w:color w:val="4472C4" w:themeColor="accent5"/>
          <w:sz w:val="24"/>
          <w:szCs w:val="24"/>
        </w:rPr>
        <w:t xml:space="preserve">En el caso, si la materia del presente recurso es porque la respuesta resulta incompleta, </w:t>
      </w:r>
      <w:r>
        <w:rPr>
          <w:rFonts w:eastAsia="Arial Unicode MS" w:cs="Arial"/>
          <w:b/>
          <w:color w:val="4472C4" w:themeColor="accent5"/>
          <w:sz w:val="24"/>
          <w:szCs w:val="24"/>
        </w:rPr>
        <w:t>dicha omisión ha sido subsanada por la autoridad</w:t>
      </w:r>
      <w:r>
        <w:rPr>
          <w:rFonts w:eastAsia="Arial Unicode MS" w:cs="Arial"/>
          <w:color w:val="4472C4" w:themeColor="accent5"/>
          <w:sz w:val="24"/>
          <w:szCs w:val="24"/>
        </w:rPr>
        <w:t>, ya que la</w:t>
      </w:r>
      <w:r>
        <w:rPr>
          <w:rFonts w:eastAsia="Arial Unicode MS" w:cs="Arial"/>
          <w:color w:val="4472C4" w:themeColor="accent5"/>
          <w:sz w:val="24"/>
          <w:szCs w:val="24"/>
        </w:rPr>
        <w:t xml:space="preserve"> autoridad responsable emitió un alcance en el que adjuntó </w:t>
      </w:r>
      <w:r>
        <w:rPr>
          <w:rFonts w:eastAsia="Arial Unicode MS" w:cs="Arial"/>
          <w:color w:val="4472C4" w:themeColor="accent5"/>
          <w:sz w:val="24"/>
          <w:szCs w:val="24"/>
          <w:lang w:val="es-MX"/>
        </w:rPr>
        <w:t xml:space="preserve">de nueva cuenta el </w:t>
      </w:r>
      <w:r>
        <w:rPr>
          <w:rFonts w:cs="Arial"/>
          <w:color w:val="4472C4" w:themeColor="accent5"/>
          <w:sz w:val="24"/>
          <w:szCs w:val="24"/>
          <w:lang w:val="es-MX"/>
        </w:rPr>
        <w:t>oficio IN/DG/UT/233/2026, así como los anexos informes o documentos a los que dicho oficio hace referencia</w:t>
      </w:r>
      <w:r>
        <w:rPr>
          <w:rFonts w:eastAsia="Arial Unicode MS" w:cs="Arial"/>
          <w:color w:val="4472C4" w:themeColor="accent5"/>
          <w:sz w:val="24"/>
          <w:szCs w:val="24"/>
        </w:rPr>
        <w:t>.</w:t>
      </w:r>
    </w:p>
    <w:p w:rsidR="009C2E90" w:rsidRDefault="00DA22FD">
      <w:pPr>
        <w:pStyle w:val="NormalWeb"/>
        <w:tabs>
          <w:tab w:val="left" w:pos="0"/>
        </w:tabs>
        <w:spacing w:before="0" w:beforeAutospacing="0" w:after="0" w:afterAutospacing="0" w:line="276" w:lineRule="auto"/>
        <w:jc w:val="both"/>
        <w:rPr>
          <w:rFonts w:ascii="Arial" w:eastAsia="Arial Unicode MS" w:hAnsi="Arial" w:cs="Arial"/>
          <w:color w:val="4472C4" w:themeColor="accent5"/>
        </w:rPr>
      </w:pPr>
      <w:r>
        <w:rPr>
          <w:rFonts w:ascii="Arial" w:eastAsia="Arial Unicode MS" w:hAnsi="Arial" w:cs="Arial"/>
          <w:color w:val="4472C4" w:themeColor="accent5"/>
        </w:rPr>
        <w:tab/>
      </w:r>
    </w:p>
    <w:p w:rsidR="009C2E90" w:rsidRDefault="00DA22FD">
      <w:pPr>
        <w:pStyle w:val="NormalWeb"/>
        <w:tabs>
          <w:tab w:val="left" w:pos="0"/>
        </w:tabs>
        <w:spacing w:before="0" w:beforeAutospacing="0" w:after="0" w:afterAutospacing="0" w:line="276" w:lineRule="auto"/>
        <w:jc w:val="both"/>
        <w:rPr>
          <w:rFonts w:ascii="Arial" w:hAnsi="Arial" w:cs="Arial"/>
          <w:color w:val="4472C4" w:themeColor="accent5"/>
        </w:rPr>
      </w:pPr>
      <w:r>
        <w:rPr>
          <w:rFonts w:ascii="Arial" w:eastAsia="Arial Unicode MS" w:hAnsi="Arial" w:cs="Arial"/>
          <w:color w:val="4472C4" w:themeColor="accent5"/>
        </w:rPr>
        <w:tab/>
        <w:t xml:space="preserve">Por lo anteriormente expuesto, quedó visto, que el sujeto obligado </w:t>
      </w:r>
      <w:r>
        <w:rPr>
          <w:rFonts w:ascii="Arial" w:eastAsia="Arial Unicode MS" w:hAnsi="Arial" w:cs="Arial"/>
          <w:color w:val="4472C4" w:themeColor="accent5"/>
        </w:rPr>
        <w:t>justificó haber notificado el alcance a la respuesta inicial acreditando tal circunstancia de manera fehaciente.</w:t>
      </w:r>
    </w:p>
    <w:p w:rsidR="009C2E90" w:rsidRDefault="009C2E90">
      <w:pPr>
        <w:pStyle w:val="NormalWeb"/>
        <w:shd w:val="clear" w:color="auto" w:fill="FFFFFF"/>
        <w:spacing w:before="0" w:beforeAutospacing="0" w:after="0" w:afterAutospacing="0" w:line="276" w:lineRule="auto"/>
        <w:ind w:firstLine="709"/>
        <w:jc w:val="both"/>
        <w:rPr>
          <w:rFonts w:ascii="Arial" w:hAnsi="Arial" w:cs="Arial"/>
          <w:color w:val="4472C4" w:themeColor="accent5"/>
        </w:rPr>
      </w:pPr>
    </w:p>
    <w:p w:rsidR="009C2E90" w:rsidRDefault="00DA22FD">
      <w:pPr>
        <w:pStyle w:val="NormalWeb"/>
        <w:tabs>
          <w:tab w:val="left" w:pos="0"/>
        </w:tabs>
        <w:spacing w:before="0" w:beforeAutospacing="0" w:after="0" w:afterAutospacing="0" w:line="276" w:lineRule="auto"/>
        <w:jc w:val="both"/>
        <w:rPr>
          <w:rFonts w:ascii="Arial" w:hAnsi="Arial" w:cs="Arial"/>
          <w:color w:val="4472C4" w:themeColor="accent5"/>
        </w:rPr>
      </w:pPr>
      <w:r>
        <w:rPr>
          <w:rFonts w:ascii="Arial" w:eastAsia="Arial Unicode MS" w:hAnsi="Arial" w:cs="Arial"/>
          <w:color w:val="4472C4" w:themeColor="accent5"/>
        </w:rPr>
        <w:tab/>
      </w:r>
      <w:r>
        <w:rPr>
          <w:rFonts w:ascii="Arial" w:hAnsi="Arial" w:cs="Arial"/>
          <w:color w:val="4472C4" w:themeColor="accent5"/>
        </w:rPr>
        <w:t xml:space="preserve">En consecuencia, se </w:t>
      </w:r>
      <w:r>
        <w:rPr>
          <w:rFonts w:ascii="Arial" w:hAnsi="Arial" w:cs="Arial"/>
          <w:b/>
          <w:color w:val="4472C4" w:themeColor="accent5"/>
        </w:rPr>
        <w:t xml:space="preserve">SOBRESEE </w:t>
      </w:r>
      <w:r>
        <w:rPr>
          <w:rFonts w:ascii="Arial" w:hAnsi="Arial" w:cs="Arial"/>
          <w:color w:val="4472C4" w:themeColor="accent5"/>
        </w:rPr>
        <w:t>el presente recurso de revisión.</w:t>
      </w:r>
    </w:p>
    <w:p w:rsidR="009C2E90" w:rsidRDefault="009C2E90">
      <w:pPr>
        <w:pStyle w:val="NormalWeb"/>
        <w:tabs>
          <w:tab w:val="left" w:pos="0"/>
        </w:tabs>
        <w:spacing w:before="0" w:beforeAutospacing="0" w:after="0" w:afterAutospacing="0" w:line="276" w:lineRule="auto"/>
        <w:jc w:val="both"/>
        <w:rPr>
          <w:rFonts w:ascii="Arial" w:hAnsi="Arial" w:cs="Arial"/>
          <w:color w:val="4472C4" w:themeColor="accent5"/>
        </w:rPr>
      </w:pPr>
    </w:p>
    <w:p w:rsidR="009C2E90" w:rsidRDefault="00DA22FD">
      <w:pPr>
        <w:spacing w:after="0"/>
        <w:jc w:val="both"/>
        <w:rPr>
          <w:rFonts w:ascii="Arial" w:hAnsi="Arial" w:cs="Arial"/>
          <w:color w:val="4472C4" w:themeColor="accent5"/>
          <w:sz w:val="24"/>
          <w:szCs w:val="24"/>
          <w:lang w:val="es-ES"/>
        </w:rPr>
      </w:pPr>
      <w:r>
        <w:rPr>
          <w:rFonts w:ascii="Arial" w:hAnsi="Arial" w:cs="Arial"/>
          <w:color w:val="4472C4" w:themeColor="accent5"/>
          <w:sz w:val="24"/>
          <w:szCs w:val="24"/>
          <w:lang w:val="es-ES"/>
        </w:rPr>
        <w:tab/>
        <w:t>Por lo anteriormente expuesto y fundado se:</w:t>
      </w:r>
    </w:p>
    <w:p w:rsidR="009C2E90" w:rsidRDefault="009C2E90">
      <w:pPr>
        <w:spacing w:after="0"/>
        <w:jc w:val="center"/>
        <w:rPr>
          <w:rFonts w:ascii="Arial" w:hAnsi="Arial" w:cs="Arial"/>
          <w:b/>
          <w:color w:val="4472C4" w:themeColor="accent5"/>
          <w:lang w:val="es-ES"/>
        </w:rPr>
      </w:pPr>
    </w:p>
    <w:p w:rsidR="009C2E90" w:rsidRDefault="00DA22FD">
      <w:pPr>
        <w:spacing w:after="0"/>
        <w:jc w:val="center"/>
        <w:rPr>
          <w:rFonts w:ascii="Arial" w:hAnsi="Arial" w:cs="Arial"/>
          <w:b/>
          <w:color w:val="4472C4" w:themeColor="accent5"/>
          <w:lang w:val="es-ES"/>
        </w:rPr>
      </w:pPr>
      <w:r>
        <w:rPr>
          <w:rFonts w:ascii="Arial" w:hAnsi="Arial" w:cs="Arial"/>
          <w:b/>
          <w:color w:val="4472C4" w:themeColor="accent5"/>
          <w:lang w:val="es-ES"/>
        </w:rPr>
        <w:t xml:space="preserve">A C U E R D A: </w:t>
      </w:r>
    </w:p>
    <w:p w:rsidR="009C2E90" w:rsidRDefault="009C2E90">
      <w:pPr>
        <w:spacing w:after="0"/>
        <w:jc w:val="center"/>
        <w:rPr>
          <w:rFonts w:ascii="Arial" w:hAnsi="Arial" w:cs="Arial"/>
          <w:b/>
          <w:color w:val="4472C4" w:themeColor="accent5"/>
          <w:sz w:val="24"/>
          <w:szCs w:val="24"/>
          <w:lang w:val="es-ES"/>
        </w:rPr>
      </w:pPr>
    </w:p>
    <w:p w:rsidR="009C2E90" w:rsidRDefault="00DA22FD">
      <w:pPr>
        <w:spacing w:after="0"/>
        <w:jc w:val="both"/>
        <w:rPr>
          <w:rFonts w:ascii="Arial" w:hAnsi="Arial" w:cs="Arial"/>
          <w:color w:val="4472C4" w:themeColor="accent5"/>
          <w:sz w:val="24"/>
          <w:szCs w:val="24"/>
          <w:lang w:val="es-ES"/>
        </w:rPr>
      </w:pPr>
      <w:r>
        <w:rPr>
          <w:rFonts w:ascii="Arial" w:hAnsi="Arial" w:cs="Arial"/>
          <w:b/>
          <w:color w:val="4472C4" w:themeColor="accent5"/>
          <w:sz w:val="24"/>
          <w:szCs w:val="24"/>
          <w:lang w:val="es-ES"/>
        </w:rPr>
        <w:tab/>
        <w:t>PRIMERO.</w:t>
      </w:r>
      <w:r>
        <w:rPr>
          <w:rFonts w:ascii="Arial" w:hAnsi="Arial" w:cs="Arial"/>
          <w:color w:val="4472C4" w:themeColor="accent5"/>
          <w:sz w:val="24"/>
          <w:szCs w:val="24"/>
          <w:lang w:val="es-ES"/>
        </w:rPr>
        <w:t xml:space="preserve"> Con fundamento en el artículo 180, fracción III de la Ley de Transparencia y Acceso a la Información Pública del Estado, se</w:t>
      </w:r>
      <w:r>
        <w:rPr>
          <w:rFonts w:ascii="Arial" w:hAnsi="Arial" w:cs="Arial"/>
          <w:b/>
          <w:color w:val="4472C4" w:themeColor="accent5"/>
          <w:sz w:val="24"/>
          <w:szCs w:val="24"/>
          <w:lang w:val="es-ES"/>
        </w:rPr>
        <w:t xml:space="preserve"> SOBRESEE </w:t>
      </w:r>
      <w:r>
        <w:rPr>
          <w:rFonts w:ascii="Arial" w:hAnsi="Arial" w:cs="Arial"/>
          <w:color w:val="4472C4" w:themeColor="accent5"/>
          <w:sz w:val="24"/>
          <w:szCs w:val="24"/>
          <w:lang w:val="es-ES"/>
        </w:rPr>
        <w:t>el presente recurso de revisión citado al rubro en los términos del considerando sexto de la presente resolución.</w:t>
      </w:r>
    </w:p>
    <w:p w:rsidR="009C2E90" w:rsidRDefault="009C2E90">
      <w:pPr>
        <w:pStyle w:val="corte4fondo"/>
        <w:tabs>
          <w:tab w:val="left" w:pos="567"/>
        </w:tabs>
        <w:spacing w:line="276" w:lineRule="auto"/>
        <w:ind w:firstLine="0"/>
        <w:rPr>
          <w:rFonts w:cs="Arial"/>
          <w:b/>
          <w:color w:val="4472C4" w:themeColor="accent5"/>
          <w:sz w:val="24"/>
          <w:szCs w:val="24"/>
        </w:rPr>
      </w:pPr>
    </w:p>
    <w:p w:rsidR="009C2E90" w:rsidRDefault="00DA22FD">
      <w:pPr>
        <w:pStyle w:val="corte4fondo"/>
        <w:tabs>
          <w:tab w:val="left" w:pos="567"/>
        </w:tabs>
        <w:spacing w:line="276" w:lineRule="auto"/>
        <w:rPr>
          <w:rFonts w:cs="Arial"/>
          <w:color w:val="4472C4" w:themeColor="accent5"/>
          <w:sz w:val="24"/>
          <w:szCs w:val="24"/>
        </w:rPr>
      </w:pPr>
      <w:r>
        <w:rPr>
          <w:rFonts w:cs="Arial"/>
          <w:b/>
          <w:color w:val="4472C4" w:themeColor="accent5"/>
          <w:sz w:val="24"/>
          <w:szCs w:val="24"/>
        </w:rPr>
        <w:t>Notifíq</w:t>
      </w:r>
      <w:r>
        <w:rPr>
          <w:rFonts w:cs="Arial"/>
          <w:b/>
          <w:color w:val="4472C4" w:themeColor="accent5"/>
          <w:sz w:val="24"/>
          <w:szCs w:val="24"/>
        </w:rPr>
        <w:t xml:space="preserve">uese; </w:t>
      </w:r>
      <w:r>
        <w:rPr>
          <w:rFonts w:cs="Arial"/>
          <w:color w:val="4472C4" w:themeColor="accent5"/>
          <w:sz w:val="24"/>
          <w:szCs w:val="24"/>
        </w:rPr>
        <w:t>por oficio a las autoridades</w:t>
      </w:r>
      <w:r>
        <w:rPr>
          <w:rFonts w:cs="Arial"/>
          <w:b/>
          <w:color w:val="4472C4" w:themeColor="accent5"/>
          <w:sz w:val="24"/>
          <w:szCs w:val="24"/>
        </w:rPr>
        <w:t xml:space="preserve"> </w:t>
      </w:r>
      <w:r>
        <w:rPr>
          <w:rFonts w:cs="Arial"/>
          <w:color w:val="4472C4" w:themeColor="accent5"/>
          <w:sz w:val="24"/>
          <w:szCs w:val="24"/>
        </w:rPr>
        <w:t>y a la</w:t>
      </w:r>
      <w:r>
        <w:rPr>
          <w:rFonts w:cs="Arial"/>
          <w:color w:val="4472C4" w:themeColor="accent5"/>
          <w:sz w:val="24"/>
          <w:szCs w:val="24"/>
          <w:lang w:val="es-MX"/>
        </w:rPr>
        <w:t xml:space="preserve"> parte</w:t>
      </w:r>
      <w:r>
        <w:rPr>
          <w:rFonts w:cs="Arial"/>
          <w:color w:val="4472C4" w:themeColor="accent5"/>
          <w:sz w:val="24"/>
          <w:szCs w:val="24"/>
        </w:rPr>
        <w:t xml:space="preserve"> recurrente por el medio que designó</w:t>
      </w:r>
      <w:r>
        <w:rPr>
          <w:rFonts w:cs="Arial"/>
          <w:color w:val="4472C4" w:themeColor="accent5"/>
          <w:sz w:val="24"/>
          <w:szCs w:val="24"/>
          <w:lang w:val="es-MX"/>
        </w:rPr>
        <w:t xml:space="preserve">, lo anterior, en cumplimiento al acuerdo </w:t>
      </w:r>
      <w:r>
        <w:rPr>
          <w:rFonts w:cs="Arial"/>
          <w:b/>
          <w:color w:val="4472C4" w:themeColor="accent5"/>
          <w:sz w:val="24"/>
          <w:szCs w:val="24"/>
          <w:lang w:val="es-MX"/>
        </w:rPr>
        <w:t>CEGAIP 204/2023</w:t>
      </w:r>
      <w:r>
        <w:rPr>
          <w:rFonts w:cs="Arial"/>
          <w:color w:val="4472C4" w:themeColor="accent5"/>
          <w:sz w:val="24"/>
          <w:szCs w:val="24"/>
          <w:lang w:val="es-MX"/>
        </w:rPr>
        <w:t xml:space="preserve"> emitido por el Pleno de este Organismo en Sesión Extraordinaria de 15 quince de febrero de 2023 dos mil veintitrés.</w:t>
      </w:r>
    </w:p>
    <w:p w:rsidR="009C2E90" w:rsidRDefault="009C2E90">
      <w:pPr>
        <w:pStyle w:val="corte4fondo"/>
        <w:tabs>
          <w:tab w:val="left" w:pos="567"/>
        </w:tabs>
        <w:spacing w:line="276" w:lineRule="auto"/>
        <w:rPr>
          <w:rFonts w:cs="Arial"/>
          <w:color w:val="4472C4" w:themeColor="accent5"/>
          <w:sz w:val="24"/>
          <w:szCs w:val="24"/>
        </w:rPr>
      </w:pPr>
    </w:p>
    <w:p w:rsidR="009C2E90" w:rsidRDefault="00DA22FD">
      <w:pPr>
        <w:pStyle w:val="corte4fondo"/>
        <w:tabs>
          <w:tab w:val="left" w:pos="567"/>
        </w:tabs>
        <w:spacing w:line="276" w:lineRule="auto"/>
        <w:rPr>
          <w:rFonts w:cs="Arial"/>
          <w:color w:val="4472C4" w:themeColor="accent5"/>
          <w:sz w:val="24"/>
          <w:szCs w:val="24"/>
        </w:rPr>
      </w:pPr>
      <w:r>
        <w:rPr>
          <w:rFonts w:cs="Arial"/>
          <w:color w:val="4472C4" w:themeColor="accent5"/>
          <w:sz w:val="24"/>
          <w:szCs w:val="24"/>
        </w:rPr>
        <w:t xml:space="preserve">Así, por </w:t>
      </w:r>
      <w:r>
        <w:rPr>
          <w:rFonts w:cs="Arial"/>
          <w:color w:val="4472C4" w:themeColor="accent5"/>
          <w:sz w:val="24"/>
          <w:szCs w:val="24"/>
          <w:lang w:val="es-MX"/>
        </w:rPr>
        <w:t xml:space="preserve">mayoría </w:t>
      </w:r>
      <w:r>
        <w:rPr>
          <w:rFonts w:cs="Arial"/>
          <w:color w:val="4472C4" w:themeColor="accent5"/>
          <w:sz w:val="24"/>
          <w:szCs w:val="24"/>
        </w:rPr>
        <w:t xml:space="preserve">de votos lo resolvió la Comisión Estatal de Garantía de Acceso a la Información Pública, integrado </w:t>
      </w:r>
      <w:r>
        <w:rPr>
          <w:rFonts w:cs="Arial"/>
          <w:color w:val="4472C4" w:themeColor="accent5"/>
          <w:sz w:val="24"/>
          <w:szCs w:val="24"/>
          <w:lang w:val="es-MX"/>
        </w:rPr>
        <w:t xml:space="preserve">por el Comisionado José Gerardo Navarro </w:t>
      </w:r>
      <w:proofErr w:type="spellStart"/>
      <w:r>
        <w:rPr>
          <w:rFonts w:cs="Arial"/>
          <w:color w:val="4472C4" w:themeColor="accent5"/>
          <w:sz w:val="24"/>
          <w:szCs w:val="24"/>
          <w:lang w:val="es-MX"/>
        </w:rPr>
        <w:t>Alviso</w:t>
      </w:r>
      <w:proofErr w:type="spellEnd"/>
      <w:r>
        <w:rPr>
          <w:rFonts w:cs="Arial"/>
          <w:color w:val="4472C4" w:themeColor="accent5"/>
          <w:sz w:val="24"/>
          <w:szCs w:val="24"/>
        </w:rPr>
        <w:t>, Presidente y por la Comisionada</w:t>
      </w:r>
      <w:r>
        <w:rPr>
          <w:rFonts w:cs="Arial"/>
          <w:color w:val="4472C4" w:themeColor="accent5"/>
          <w:sz w:val="24"/>
          <w:szCs w:val="24"/>
          <w:lang w:val="es-MX"/>
        </w:rPr>
        <w:t xml:space="preserve"> </w:t>
      </w:r>
      <w:r>
        <w:rPr>
          <w:rFonts w:cs="Arial"/>
          <w:color w:val="4472C4" w:themeColor="accent5"/>
          <w:sz w:val="24"/>
          <w:szCs w:val="24"/>
        </w:rPr>
        <w:t>Ana Cristina García Nales</w:t>
      </w:r>
      <w:r>
        <w:rPr>
          <w:rFonts w:cs="Arial"/>
          <w:color w:val="4472C4" w:themeColor="accent5"/>
          <w:sz w:val="24"/>
          <w:szCs w:val="24"/>
          <w:lang w:val="es-MX"/>
        </w:rPr>
        <w:t>, conforme al Decreto 0506</w:t>
      </w:r>
      <w:r>
        <w:rPr>
          <w:rStyle w:val="Refdenotaalpie"/>
          <w:rFonts w:cs="Arial"/>
          <w:color w:val="4472C4" w:themeColor="accent5"/>
          <w:sz w:val="24"/>
          <w:szCs w:val="24"/>
          <w:lang w:val="es-MX"/>
        </w:rPr>
        <w:footnoteReference w:id="5"/>
      </w:r>
      <w:r>
        <w:rPr>
          <w:rFonts w:cs="Arial"/>
          <w:color w:val="4472C4" w:themeColor="accent5"/>
          <w:sz w:val="24"/>
          <w:szCs w:val="24"/>
          <w:lang w:val="es-MX"/>
        </w:rPr>
        <w:t>,</w:t>
      </w:r>
      <w:r>
        <w:rPr>
          <w:rFonts w:cs="Arial"/>
          <w:color w:val="4472C4" w:themeColor="accent5"/>
          <w:sz w:val="24"/>
          <w:szCs w:val="24"/>
        </w:rPr>
        <w:t xml:space="preserve">  sie</w:t>
      </w:r>
      <w:r>
        <w:rPr>
          <w:rFonts w:cs="Arial"/>
          <w:color w:val="4472C4" w:themeColor="accent5"/>
          <w:sz w:val="24"/>
          <w:szCs w:val="24"/>
        </w:rPr>
        <w:t xml:space="preserve">ndo ponente </w:t>
      </w:r>
      <w:r>
        <w:rPr>
          <w:rFonts w:cs="Arial"/>
          <w:color w:val="4472C4" w:themeColor="accent5"/>
          <w:sz w:val="24"/>
          <w:szCs w:val="24"/>
          <w:lang w:val="es-MX"/>
        </w:rPr>
        <w:t xml:space="preserve">el primero </w:t>
      </w:r>
      <w:r>
        <w:rPr>
          <w:rFonts w:cs="Arial"/>
          <w:color w:val="4472C4" w:themeColor="accent5"/>
          <w:sz w:val="24"/>
          <w:szCs w:val="24"/>
        </w:rPr>
        <w:t xml:space="preserve">de los nombrados, quienes, en unión de la Licenciada Rosa María Motilla García, Secretaria Pleno que da fe, firman esta resolución. </w:t>
      </w:r>
    </w:p>
    <w:p w:rsidR="009C2E90" w:rsidRDefault="009C2E90">
      <w:pPr>
        <w:spacing w:after="0"/>
        <w:ind w:left="360" w:firstLine="900"/>
        <w:jc w:val="both"/>
        <w:rPr>
          <w:rFonts w:ascii="Arial" w:eastAsia="Arial Unicode MS" w:hAnsi="Arial" w:cs="Arial"/>
          <w:b/>
          <w:color w:val="4472C4" w:themeColor="accent5"/>
          <w:sz w:val="24"/>
          <w:szCs w:val="24"/>
        </w:rPr>
      </w:pPr>
    </w:p>
    <w:tbl>
      <w:tblPr>
        <w:tblW w:w="9900" w:type="dxa"/>
        <w:jc w:val="center"/>
        <w:tblLook w:val="04A0"/>
      </w:tblPr>
      <w:tblGrid>
        <w:gridCol w:w="4552"/>
        <w:gridCol w:w="154"/>
        <w:gridCol w:w="180"/>
        <w:gridCol w:w="5014"/>
      </w:tblGrid>
      <w:tr w:rsidR="009C2E90">
        <w:trPr>
          <w:trHeight w:val="2654"/>
          <w:jc w:val="center"/>
        </w:trPr>
        <w:tc>
          <w:tcPr>
            <w:tcW w:w="4706" w:type="dxa"/>
            <w:gridSpan w:val="2"/>
          </w:tcPr>
          <w:p w:rsidR="009C2E90" w:rsidRDefault="00DA22FD">
            <w:pPr>
              <w:spacing w:after="0"/>
              <w:ind w:left="360"/>
              <w:rPr>
                <w:rFonts w:ascii="Arial" w:eastAsia="Arial Unicode MS" w:hAnsi="Arial" w:cs="Arial"/>
                <w:b/>
                <w:color w:val="4472C4" w:themeColor="accent5"/>
                <w:sz w:val="24"/>
                <w:szCs w:val="24"/>
              </w:rPr>
            </w:pPr>
            <w:r>
              <w:rPr>
                <w:rFonts w:ascii="Arial" w:eastAsia="Arial Unicode MS" w:hAnsi="Arial" w:cs="Arial"/>
                <w:b/>
                <w:color w:val="4472C4" w:themeColor="accent5"/>
                <w:sz w:val="24"/>
                <w:szCs w:val="24"/>
              </w:rPr>
              <w:t xml:space="preserve">  COMISIONADO PRESIDENTE</w:t>
            </w:r>
          </w:p>
          <w:p w:rsidR="009C2E90" w:rsidRDefault="00DA22FD">
            <w:pPr>
              <w:spacing w:after="0"/>
              <w:jc w:val="center"/>
              <w:rPr>
                <w:rFonts w:ascii="Arial" w:eastAsia="Arial Unicode MS" w:hAnsi="Arial" w:cs="Arial"/>
                <w:b/>
                <w:color w:val="4472C4" w:themeColor="accent5"/>
                <w:sz w:val="24"/>
                <w:szCs w:val="24"/>
              </w:rPr>
            </w:pPr>
            <w:r>
              <w:rPr>
                <w:rFonts w:ascii="Arial" w:eastAsia="Arial Unicode MS" w:hAnsi="Arial" w:cs="Arial"/>
                <w:b/>
                <w:color w:val="4472C4" w:themeColor="accent5"/>
                <w:sz w:val="24"/>
                <w:szCs w:val="24"/>
              </w:rPr>
              <w:t xml:space="preserve"> </w:t>
            </w:r>
          </w:p>
          <w:p w:rsidR="009C2E90" w:rsidRDefault="009C2E90">
            <w:pPr>
              <w:spacing w:after="0"/>
              <w:ind w:left="360" w:firstLine="708"/>
              <w:jc w:val="center"/>
              <w:rPr>
                <w:rFonts w:ascii="Arial" w:eastAsia="Arial Unicode MS" w:hAnsi="Arial" w:cs="Arial"/>
                <w:b/>
                <w:color w:val="4472C4" w:themeColor="accent5"/>
                <w:sz w:val="24"/>
                <w:szCs w:val="24"/>
              </w:rPr>
            </w:pPr>
          </w:p>
          <w:p w:rsidR="009C2E90" w:rsidRDefault="009C2E90">
            <w:pPr>
              <w:spacing w:after="0"/>
              <w:ind w:left="360" w:firstLine="708"/>
              <w:jc w:val="center"/>
              <w:rPr>
                <w:rFonts w:ascii="Arial" w:eastAsia="Arial Unicode MS" w:hAnsi="Arial" w:cs="Arial"/>
                <w:b/>
                <w:color w:val="4472C4" w:themeColor="accent5"/>
                <w:sz w:val="24"/>
                <w:szCs w:val="24"/>
              </w:rPr>
            </w:pPr>
          </w:p>
          <w:p w:rsidR="009C2E90" w:rsidRDefault="009C2E90">
            <w:pPr>
              <w:spacing w:after="0"/>
              <w:ind w:left="360" w:firstLine="708"/>
              <w:jc w:val="center"/>
              <w:rPr>
                <w:rFonts w:ascii="Arial" w:eastAsia="Arial Unicode MS" w:hAnsi="Arial" w:cs="Arial"/>
                <w:b/>
                <w:color w:val="4472C4" w:themeColor="accent5"/>
                <w:sz w:val="24"/>
                <w:szCs w:val="24"/>
              </w:rPr>
            </w:pPr>
          </w:p>
          <w:p w:rsidR="009C2E90" w:rsidRDefault="00DA22FD">
            <w:pPr>
              <w:spacing w:after="0"/>
              <w:jc w:val="center"/>
              <w:rPr>
                <w:rFonts w:ascii="Arial" w:eastAsia="Arial Unicode MS" w:hAnsi="Arial" w:cs="Arial"/>
                <w:b/>
                <w:color w:val="4472C4" w:themeColor="accent5"/>
                <w:sz w:val="24"/>
                <w:szCs w:val="24"/>
              </w:rPr>
            </w:pPr>
            <w:r>
              <w:rPr>
                <w:rFonts w:ascii="Arial" w:eastAsia="Arial Unicode MS" w:hAnsi="Arial" w:cs="Arial"/>
                <w:b/>
                <w:color w:val="4472C4" w:themeColor="accent5"/>
                <w:sz w:val="24"/>
                <w:szCs w:val="24"/>
              </w:rPr>
              <w:t>LIC. JOSE GERARDO NAVARRO ALVISO</w:t>
            </w:r>
          </w:p>
        </w:tc>
        <w:tc>
          <w:tcPr>
            <w:tcW w:w="5194" w:type="dxa"/>
            <w:gridSpan w:val="2"/>
          </w:tcPr>
          <w:p w:rsidR="009C2E90" w:rsidRDefault="00DA22FD">
            <w:pPr>
              <w:spacing w:after="0"/>
              <w:ind w:left="360" w:firstLine="708"/>
              <w:rPr>
                <w:rFonts w:ascii="Arial" w:eastAsia="Arial Unicode MS" w:hAnsi="Arial" w:cs="Arial"/>
                <w:b/>
                <w:color w:val="4472C4" w:themeColor="accent5"/>
                <w:sz w:val="24"/>
                <w:szCs w:val="24"/>
              </w:rPr>
            </w:pPr>
            <w:r>
              <w:rPr>
                <w:rFonts w:ascii="Arial" w:eastAsia="Arial Unicode MS" w:hAnsi="Arial" w:cs="Arial"/>
                <w:b/>
                <w:color w:val="4472C4" w:themeColor="accent5"/>
                <w:sz w:val="24"/>
                <w:szCs w:val="24"/>
              </w:rPr>
              <w:t xml:space="preserve">     COMISIONADA</w:t>
            </w:r>
          </w:p>
          <w:p w:rsidR="009C2E90" w:rsidRDefault="009C2E90">
            <w:pPr>
              <w:spacing w:after="0"/>
              <w:ind w:left="360" w:firstLine="708"/>
              <w:jc w:val="center"/>
              <w:rPr>
                <w:rFonts w:ascii="Arial" w:eastAsia="Arial Unicode MS" w:hAnsi="Arial" w:cs="Arial"/>
                <w:b/>
                <w:color w:val="4472C4" w:themeColor="accent5"/>
                <w:sz w:val="24"/>
                <w:szCs w:val="24"/>
              </w:rPr>
            </w:pPr>
          </w:p>
          <w:p w:rsidR="009C2E90" w:rsidRDefault="009C2E90">
            <w:pPr>
              <w:spacing w:after="0"/>
              <w:ind w:left="360" w:firstLine="708"/>
              <w:jc w:val="center"/>
              <w:rPr>
                <w:rFonts w:ascii="Arial" w:eastAsia="Arial Unicode MS" w:hAnsi="Arial" w:cs="Arial"/>
                <w:b/>
                <w:color w:val="4472C4" w:themeColor="accent5"/>
                <w:sz w:val="24"/>
                <w:szCs w:val="24"/>
              </w:rPr>
            </w:pPr>
          </w:p>
          <w:p w:rsidR="009C2E90" w:rsidRDefault="009C2E90">
            <w:pPr>
              <w:tabs>
                <w:tab w:val="left" w:pos="1358"/>
              </w:tabs>
              <w:spacing w:after="0"/>
              <w:ind w:firstLine="36"/>
              <w:jc w:val="center"/>
              <w:rPr>
                <w:rFonts w:ascii="Arial" w:eastAsia="Arial Unicode MS" w:hAnsi="Arial" w:cs="Arial"/>
                <w:b/>
                <w:color w:val="4472C4" w:themeColor="accent5"/>
                <w:sz w:val="24"/>
                <w:szCs w:val="24"/>
              </w:rPr>
            </w:pPr>
          </w:p>
          <w:p w:rsidR="009C2E90" w:rsidRDefault="00DA22FD">
            <w:pPr>
              <w:spacing w:after="0"/>
              <w:ind w:left="360"/>
              <w:rPr>
                <w:rFonts w:ascii="Arial" w:eastAsia="Arial Unicode MS" w:hAnsi="Arial" w:cs="Arial"/>
                <w:b/>
                <w:color w:val="4472C4" w:themeColor="accent5"/>
                <w:sz w:val="24"/>
                <w:szCs w:val="24"/>
                <w:highlight w:val="yellow"/>
              </w:rPr>
            </w:pPr>
            <w:r>
              <w:rPr>
                <w:rFonts w:ascii="Arial" w:eastAsia="Arial Unicode MS" w:hAnsi="Arial" w:cs="Arial"/>
                <w:b/>
                <w:color w:val="4472C4" w:themeColor="accent5"/>
                <w:sz w:val="24"/>
                <w:szCs w:val="24"/>
              </w:rPr>
              <w:t xml:space="preserve">          ANA CRISTINA GARCÍA NALES</w:t>
            </w:r>
          </w:p>
          <w:p w:rsidR="009C2E90" w:rsidRDefault="009C2E90">
            <w:pPr>
              <w:spacing w:after="0"/>
              <w:ind w:left="360"/>
              <w:rPr>
                <w:rFonts w:ascii="Arial" w:eastAsia="Arial Unicode MS" w:hAnsi="Arial" w:cs="Arial"/>
                <w:b/>
                <w:color w:val="4472C4" w:themeColor="accent5"/>
                <w:sz w:val="24"/>
                <w:szCs w:val="24"/>
                <w:highlight w:val="yellow"/>
              </w:rPr>
            </w:pPr>
          </w:p>
          <w:p w:rsidR="009C2E90" w:rsidRDefault="009C2E90">
            <w:pPr>
              <w:spacing w:after="0"/>
              <w:ind w:left="360"/>
              <w:rPr>
                <w:rFonts w:ascii="Arial" w:eastAsia="Arial Unicode MS" w:hAnsi="Arial" w:cs="Arial"/>
                <w:b/>
                <w:color w:val="4472C4" w:themeColor="accent5"/>
                <w:sz w:val="24"/>
                <w:szCs w:val="24"/>
                <w:highlight w:val="yellow"/>
              </w:rPr>
            </w:pPr>
          </w:p>
          <w:p w:rsidR="009C2E90" w:rsidRDefault="009C2E90">
            <w:pPr>
              <w:spacing w:after="0"/>
              <w:jc w:val="center"/>
              <w:rPr>
                <w:rFonts w:ascii="Arial" w:eastAsia="Arial Unicode MS" w:hAnsi="Arial" w:cs="Arial"/>
                <w:b/>
                <w:color w:val="4472C4" w:themeColor="accent5"/>
                <w:sz w:val="24"/>
                <w:szCs w:val="24"/>
                <w:highlight w:val="yellow"/>
              </w:rPr>
            </w:pPr>
          </w:p>
          <w:p w:rsidR="009C2E90" w:rsidRDefault="009C2E90">
            <w:pPr>
              <w:spacing w:after="0"/>
              <w:jc w:val="center"/>
              <w:rPr>
                <w:rFonts w:ascii="Arial" w:eastAsia="Arial Unicode MS" w:hAnsi="Arial" w:cs="Arial"/>
                <w:b/>
                <w:color w:val="4472C4" w:themeColor="accent5"/>
                <w:sz w:val="24"/>
                <w:szCs w:val="24"/>
              </w:rPr>
            </w:pPr>
          </w:p>
        </w:tc>
      </w:tr>
      <w:tr w:rsidR="009C2E90">
        <w:trPr>
          <w:trHeight w:val="2085"/>
          <w:jc w:val="center"/>
        </w:trPr>
        <w:tc>
          <w:tcPr>
            <w:tcW w:w="4552" w:type="dxa"/>
          </w:tcPr>
          <w:p w:rsidR="009C2E90" w:rsidRDefault="00DA22FD">
            <w:pPr>
              <w:spacing w:after="0"/>
              <w:ind w:left="360" w:firstLine="708"/>
              <w:jc w:val="both"/>
              <w:rPr>
                <w:rFonts w:ascii="Arial" w:eastAsia="Arial Unicode MS" w:hAnsi="Arial" w:cs="Arial"/>
                <w:b/>
                <w:color w:val="4472C4" w:themeColor="accent5"/>
                <w:sz w:val="24"/>
                <w:szCs w:val="24"/>
              </w:rPr>
            </w:pPr>
            <w:r>
              <w:rPr>
                <w:rFonts w:ascii="Arial" w:eastAsia="Arial Unicode MS" w:hAnsi="Arial" w:cs="Arial"/>
                <w:b/>
                <w:color w:val="4472C4" w:themeColor="accent5"/>
                <w:sz w:val="24"/>
                <w:szCs w:val="24"/>
              </w:rPr>
              <w:t>SECRETARIA DE PLENO</w:t>
            </w:r>
          </w:p>
          <w:p w:rsidR="009C2E90" w:rsidRDefault="009C2E90">
            <w:pPr>
              <w:spacing w:after="0"/>
              <w:ind w:left="360" w:firstLine="708"/>
              <w:jc w:val="both"/>
              <w:rPr>
                <w:rFonts w:ascii="Arial" w:eastAsia="Arial Unicode MS" w:hAnsi="Arial" w:cs="Arial"/>
                <w:b/>
                <w:color w:val="4472C4" w:themeColor="accent5"/>
                <w:sz w:val="24"/>
                <w:szCs w:val="24"/>
              </w:rPr>
            </w:pPr>
          </w:p>
          <w:p w:rsidR="009C2E90" w:rsidRDefault="009C2E90">
            <w:pPr>
              <w:spacing w:after="0"/>
              <w:ind w:left="360" w:firstLine="708"/>
              <w:jc w:val="both"/>
              <w:rPr>
                <w:rFonts w:ascii="Arial" w:eastAsia="Arial Unicode MS" w:hAnsi="Arial" w:cs="Arial"/>
                <w:b/>
                <w:color w:val="4472C4" w:themeColor="accent5"/>
                <w:sz w:val="24"/>
                <w:szCs w:val="24"/>
              </w:rPr>
            </w:pPr>
          </w:p>
          <w:p w:rsidR="009C2E90" w:rsidRDefault="009C2E90">
            <w:pPr>
              <w:spacing w:after="0"/>
              <w:ind w:left="360" w:firstLine="708"/>
              <w:jc w:val="both"/>
              <w:rPr>
                <w:rFonts w:ascii="Arial" w:eastAsia="Arial Unicode MS" w:hAnsi="Arial" w:cs="Arial"/>
                <w:b/>
                <w:color w:val="4472C4" w:themeColor="accent5"/>
                <w:sz w:val="24"/>
                <w:szCs w:val="24"/>
              </w:rPr>
            </w:pPr>
          </w:p>
          <w:p w:rsidR="009C2E90" w:rsidRDefault="00DA22FD">
            <w:pPr>
              <w:tabs>
                <w:tab w:val="left" w:pos="1358"/>
              </w:tabs>
              <w:spacing w:after="0"/>
              <w:ind w:firstLine="36"/>
              <w:jc w:val="center"/>
              <w:rPr>
                <w:rFonts w:ascii="Arial" w:eastAsia="Arial Unicode MS" w:hAnsi="Arial" w:cs="Arial"/>
                <w:b/>
                <w:color w:val="4472C4" w:themeColor="accent5"/>
                <w:sz w:val="24"/>
                <w:szCs w:val="24"/>
              </w:rPr>
            </w:pPr>
            <w:r>
              <w:rPr>
                <w:rFonts w:ascii="Arial" w:eastAsia="Arial Unicode MS" w:hAnsi="Arial" w:cs="Arial"/>
                <w:b/>
                <w:color w:val="4472C4" w:themeColor="accent5"/>
                <w:sz w:val="24"/>
                <w:szCs w:val="24"/>
              </w:rPr>
              <w:t>LIC. ROSA MARÍA MOTILLA GARCÍA</w:t>
            </w:r>
          </w:p>
        </w:tc>
        <w:tc>
          <w:tcPr>
            <w:tcW w:w="334" w:type="dxa"/>
            <w:gridSpan w:val="2"/>
          </w:tcPr>
          <w:p w:rsidR="009C2E90" w:rsidRDefault="009C2E90">
            <w:pPr>
              <w:spacing w:after="0"/>
              <w:ind w:left="360" w:firstLine="708"/>
              <w:jc w:val="center"/>
              <w:rPr>
                <w:rFonts w:ascii="Arial" w:eastAsia="Arial Unicode MS" w:hAnsi="Arial" w:cs="Arial"/>
                <w:b/>
                <w:color w:val="4472C4" w:themeColor="accent5"/>
                <w:sz w:val="24"/>
                <w:szCs w:val="24"/>
              </w:rPr>
            </w:pPr>
          </w:p>
        </w:tc>
        <w:tc>
          <w:tcPr>
            <w:tcW w:w="5014" w:type="dxa"/>
          </w:tcPr>
          <w:p w:rsidR="009C2E90" w:rsidRDefault="009C2E90">
            <w:pPr>
              <w:spacing w:after="0"/>
              <w:ind w:left="360" w:hanging="360"/>
              <w:jc w:val="both"/>
              <w:rPr>
                <w:rFonts w:ascii="Arial" w:eastAsia="Arial Unicode MS" w:hAnsi="Arial" w:cs="Arial"/>
                <w:b/>
                <w:color w:val="4472C4" w:themeColor="accent5"/>
                <w:sz w:val="24"/>
                <w:szCs w:val="24"/>
              </w:rPr>
            </w:pPr>
          </w:p>
        </w:tc>
      </w:tr>
    </w:tbl>
    <w:p w:rsidR="009C2E90" w:rsidRDefault="009C2E90">
      <w:pPr>
        <w:pStyle w:val="corte4fondo"/>
        <w:spacing w:line="276" w:lineRule="auto"/>
        <w:ind w:firstLine="0"/>
        <w:rPr>
          <w:rFonts w:cs="Arial"/>
          <w:color w:val="4472C4" w:themeColor="accent5"/>
          <w:sz w:val="14"/>
          <w:szCs w:val="14"/>
        </w:rPr>
      </w:pPr>
    </w:p>
    <w:p w:rsidR="009C2E90" w:rsidRDefault="00DA22FD">
      <w:pPr>
        <w:pStyle w:val="corte4fondo"/>
        <w:spacing w:line="276" w:lineRule="auto"/>
        <w:ind w:firstLine="0"/>
        <w:rPr>
          <w:rFonts w:cs="Arial"/>
          <w:color w:val="4472C4" w:themeColor="accent5"/>
          <w:sz w:val="14"/>
          <w:szCs w:val="14"/>
          <w:lang w:val="es-MX"/>
        </w:rPr>
      </w:pPr>
      <w:r>
        <w:rPr>
          <w:rFonts w:cs="Arial"/>
          <w:color w:val="4472C4" w:themeColor="accent5"/>
          <w:sz w:val="14"/>
          <w:szCs w:val="14"/>
        </w:rPr>
        <w:t xml:space="preserve">ESTA FOJA CORRESPONDE A LA RESOLUCIÓN DEL RECURSO DE REVISIÓN </w:t>
      </w:r>
      <w:r>
        <w:rPr>
          <w:rFonts w:cs="Arial"/>
          <w:color w:val="4472C4" w:themeColor="accent5"/>
          <w:sz w:val="14"/>
          <w:szCs w:val="14"/>
          <w:lang w:val="es-MX"/>
        </w:rPr>
        <w:t>314/2026-2</w:t>
      </w:r>
      <w:r>
        <w:rPr>
          <w:rFonts w:cs="Arial"/>
          <w:color w:val="4472C4" w:themeColor="accent5"/>
          <w:sz w:val="14"/>
          <w:szCs w:val="14"/>
        </w:rPr>
        <w:t xml:space="preserve"> EMITIDA POR EL PLENO DE LA COMISIÓN ESTATAL DE GARANTÍA Y ACCESO A LA INFORMACIÓN PÚBLICA, EN SESIÓN </w:t>
      </w:r>
      <w:r>
        <w:rPr>
          <w:rFonts w:cs="Arial"/>
          <w:color w:val="4472C4" w:themeColor="accent5"/>
          <w:sz w:val="14"/>
          <w:szCs w:val="14"/>
          <w:lang w:val="es-MX"/>
        </w:rPr>
        <w:t>EXTRA</w:t>
      </w:r>
      <w:r>
        <w:rPr>
          <w:rFonts w:cs="Arial"/>
          <w:color w:val="4472C4" w:themeColor="accent5"/>
          <w:sz w:val="14"/>
          <w:szCs w:val="14"/>
          <w:lang w:val="es-MX"/>
        </w:rPr>
        <w:t>O</w:t>
      </w:r>
      <w:r>
        <w:rPr>
          <w:rFonts w:cs="Arial"/>
          <w:color w:val="4472C4" w:themeColor="accent5"/>
          <w:sz w:val="14"/>
          <w:szCs w:val="14"/>
        </w:rPr>
        <w:t>RDINARIA</w:t>
      </w:r>
      <w:r>
        <w:rPr>
          <w:rFonts w:cs="Arial"/>
          <w:color w:val="4472C4" w:themeColor="accent5"/>
          <w:sz w:val="14"/>
          <w:szCs w:val="14"/>
          <w:lang w:val="es-MX"/>
        </w:rPr>
        <w:t xml:space="preserve"> DE </w:t>
      </w:r>
      <w:r>
        <w:rPr>
          <w:rFonts w:cs="Arial"/>
          <w:color w:val="4472C4" w:themeColor="accent5"/>
          <w:sz w:val="14"/>
          <w:szCs w:val="14"/>
          <w:lang w:val="es-MX"/>
        </w:rPr>
        <w:t xml:space="preserve">27 VEINTISIETE </w:t>
      </w:r>
      <w:r>
        <w:rPr>
          <w:rFonts w:cs="Arial"/>
          <w:color w:val="4472C4" w:themeColor="accent5"/>
          <w:sz w:val="14"/>
          <w:szCs w:val="14"/>
          <w:lang w:val="es-MX"/>
        </w:rPr>
        <w:t>DE AGOSTO DE 2026 DOS MIL VEINTISÉIS</w:t>
      </w:r>
      <w:r>
        <w:rPr>
          <w:rFonts w:cs="Arial"/>
          <w:color w:val="4472C4" w:themeColor="accent5"/>
          <w:sz w:val="14"/>
          <w:szCs w:val="14"/>
        </w:rPr>
        <w:t xml:space="preserve">. </w:t>
      </w:r>
      <w:r>
        <w:rPr>
          <w:rFonts w:cs="Arial"/>
          <w:color w:val="4472C4" w:themeColor="accent5"/>
          <w:sz w:val="14"/>
          <w:szCs w:val="14"/>
          <w:lang w:val="es-MX"/>
        </w:rPr>
        <w:t xml:space="preserve">                                                                                   </w:t>
      </w:r>
      <w:r>
        <w:rPr>
          <w:rFonts w:cs="Arial"/>
          <w:color w:val="4472C4" w:themeColor="accent5"/>
          <w:sz w:val="14"/>
          <w:szCs w:val="14"/>
          <w:lang w:val="es-MX"/>
        </w:rPr>
        <w:t xml:space="preserve">                                                                                                      </w:t>
      </w:r>
    </w:p>
    <w:p w:rsidR="009C2E90" w:rsidRDefault="009C2E90">
      <w:pPr>
        <w:pStyle w:val="corte4fondo"/>
        <w:spacing w:line="276" w:lineRule="auto"/>
        <w:ind w:firstLine="0"/>
        <w:rPr>
          <w:rFonts w:cs="Arial"/>
          <w:i/>
          <w:color w:val="4472C4" w:themeColor="accent5"/>
          <w:sz w:val="12"/>
          <w:szCs w:val="12"/>
          <w:lang w:val="es-MX"/>
        </w:rPr>
      </w:pPr>
      <w:bookmarkStart w:id="0" w:name="_GoBack"/>
      <w:bookmarkEnd w:id="0"/>
    </w:p>
    <w:p w:rsidR="009C2E90" w:rsidRDefault="009C2E90">
      <w:pPr>
        <w:pStyle w:val="corte4fondo"/>
        <w:spacing w:line="276" w:lineRule="auto"/>
        <w:ind w:firstLine="0"/>
        <w:rPr>
          <w:rFonts w:cs="Arial"/>
          <w:i/>
          <w:color w:val="4472C4" w:themeColor="accent5"/>
          <w:sz w:val="12"/>
          <w:szCs w:val="12"/>
          <w:lang w:val="es-MX"/>
        </w:rPr>
      </w:pPr>
    </w:p>
    <w:p w:rsidR="009C2E90" w:rsidRDefault="009C2E90">
      <w:pPr>
        <w:pStyle w:val="corte4fondo"/>
        <w:spacing w:line="276" w:lineRule="auto"/>
        <w:ind w:firstLine="0"/>
        <w:rPr>
          <w:rFonts w:cs="Arial"/>
          <w:i/>
          <w:color w:val="4472C4" w:themeColor="accent5"/>
          <w:sz w:val="12"/>
          <w:szCs w:val="12"/>
          <w:lang w:val="es-MX"/>
        </w:rPr>
      </w:pPr>
    </w:p>
    <w:p w:rsidR="009C2E90" w:rsidRDefault="00DA22FD">
      <w:pPr>
        <w:pStyle w:val="corte4fondo"/>
        <w:spacing w:line="276" w:lineRule="auto"/>
        <w:ind w:firstLine="0"/>
        <w:rPr>
          <w:rFonts w:cs="Arial"/>
          <w:color w:val="4472C4" w:themeColor="accent5"/>
        </w:rPr>
      </w:pPr>
      <w:r>
        <w:rPr>
          <w:rFonts w:cs="Arial"/>
          <w:i/>
          <w:color w:val="4472C4" w:themeColor="accent5"/>
          <w:sz w:val="12"/>
          <w:szCs w:val="12"/>
          <w:lang w:val="es-MX"/>
        </w:rPr>
        <w:t>M</w:t>
      </w:r>
      <w:r>
        <w:rPr>
          <w:rFonts w:cs="Arial"/>
          <w:i/>
          <w:color w:val="4472C4" w:themeColor="accent5"/>
          <w:sz w:val="12"/>
          <w:szCs w:val="12"/>
        </w:rPr>
        <w:t>EMH</w:t>
      </w:r>
    </w:p>
    <w:p w:rsidR="009C2E90" w:rsidRDefault="009C2E90">
      <w:pPr>
        <w:rPr>
          <w:lang w:val="zh-CN" w:eastAsia="es-MX"/>
        </w:rPr>
      </w:pPr>
    </w:p>
    <w:p w:rsidR="009C2E90" w:rsidRDefault="00DA22FD">
      <w:pPr>
        <w:tabs>
          <w:tab w:val="left" w:pos="6090"/>
        </w:tabs>
        <w:rPr>
          <w:lang w:val="zh-CN" w:eastAsia="es-MX"/>
        </w:rPr>
      </w:pPr>
      <w:r>
        <w:rPr>
          <w:lang w:val="zh-CN" w:eastAsia="es-MX"/>
        </w:rPr>
        <w:tab/>
      </w:r>
    </w:p>
    <w:sectPr w:rsidR="009C2E90" w:rsidSect="009C2E90">
      <w:headerReference w:type="default" r:id="rId11"/>
      <w:footerReference w:type="default" r:id="rId12"/>
      <w:type w:val="continuous"/>
      <w:pgSz w:w="12240" w:h="20160"/>
      <w:pgMar w:top="2835" w:right="851" w:bottom="3005"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22FD" w:rsidRDefault="00DA22FD">
      <w:pPr>
        <w:spacing w:line="240" w:lineRule="auto"/>
      </w:pPr>
      <w:r>
        <w:separator/>
      </w:r>
    </w:p>
  </w:endnote>
  <w:endnote w:type="continuationSeparator" w:id="0">
    <w:p w:rsidR="00DA22FD" w:rsidRDefault="00DA22F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 w:name="等线">
    <w:panose1 w:val="00000000000000000000"/>
    <w:charset w:val="8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E90" w:rsidRDefault="009C2E90">
    <w:pPr>
      <w:pStyle w:val="Piedepgina"/>
    </w:pPr>
    <w:r>
      <w:rPr>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4097" type="#_x0000_t75" style="position:absolute;margin-left:-216.15pt;margin-top:-89.75pt;width:725pt;height:78pt;z-index:-251658240">
          <v:imagedata r:id="rId1" o:title=""/>
        </v:shape>
        <o:OLEObject Type="Embed" ProgID="PBrush" ShapeID="_x0000_s4097" DrawAspect="Content" ObjectID="_1848834731" r:id="rId2"/>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22FD" w:rsidRDefault="00DA22FD">
      <w:pPr>
        <w:spacing w:after="0"/>
      </w:pPr>
      <w:r>
        <w:separator/>
      </w:r>
    </w:p>
  </w:footnote>
  <w:footnote w:type="continuationSeparator" w:id="0">
    <w:p w:rsidR="00DA22FD" w:rsidRDefault="00DA22FD">
      <w:pPr>
        <w:spacing w:after="0"/>
      </w:pPr>
      <w:r>
        <w:continuationSeparator/>
      </w:r>
    </w:p>
  </w:footnote>
  <w:footnote w:id="1">
    <w:p w:rsidR="009C2E90" w:rsidRDefault="00DA22FD">
      <w:pPr>
        <w:pStyle w:val="Textonotapie"/>
        <w:rPr>
          <w:rFonts w:ascii="Arial" w:hAnsi="Arial" w:cs="Arial"/>
          <w:sz w:val="14"/>
          <w:szCs w:val="14"/>
          <w:lang w:val="es-MX"/>
        </w:rPr>
      </w:pPr>
      <w:r>
        <w:rPr>
          <w:rStyle w:val="Refdenotaalpie"/>
          <w:rFonts w:ascii="Arial" w:hAnsi="Arial" w:cs="Arial"/>
          <w:color w:val="4472C4" w:themeColor="accent5"/>
          <w:sz w:val="14"/>
          <w:szCs w:val="14"/>
        </w:rPr>
        <w:footnoteRef/>
      </w:r>
      <w:r>
        <w:rPr>
          <w:rFonts w:ascii="Arial" w:hAnsi="Arial" w:cs="Arial"/>
          <w:color w:val="4472C4" w:themeColor="accent5"/>
          <w:sz w:val="14"/>
          <w:szCs w:val="14"/>
        </w:rPr>
        <w:t xml:space="preserve"> </w:t>
      </w:r>
      <w:r>
        <w:rPr>
          <w:rFonts w:ascii="Arial" w:hAnsi="Arial" w:cs="Arial"/>
          <w:color w:val="4472C4" w:themeColor="accent5"/>
          <w:sz w:val="14"/>
          <w:szCs w:val="14"/>
          <w:lang w:val="es-MX"/>
        </w:rPr>
        <w:t>Visible a foja 7 de autos y en PNT</w:t>
      </w:r>
    </w:p>
  </w:footnote>
  <w:footnote w:id="2">
    <w:p w:rsidR="009C2E90" w:rsidRDefault="00DA22FD">
      <w:pPr>
        <w:pStyle w:val="Textonotapie"/>
        <w:rPr>
          <w:rFonts w:ascii="Arial" w:hAnsi="Arial" w:cs="Arial"/>
          <w:color w:val="4BACC6"/>
          <w:sz w:val="14"/>
          <w:szCs w:val="14"/>
        </w:rPr>
      </w:pPr>
      <w:r>
        <w:rPr>
          <w:rStyle w:val="Refdenotaalpie"/>
          <w:rFonts w:ascii="Arial" w:hAnsi="Arial" w:cs="Arial"/>
          <w:color w:val="4472C4" w:themeColor="accent5"/>
          <w:sz w:val="14"/>
          <w:szCs w:val="14"/>
        </w:rPr>
        <w:footnoteRef/>
      </w:r>
      <w:r>
        <w:rPr>
          <w:rFonts w:ascii="Arial" w:hAnsi="Arial" w:cs="Arial"/>
          <w:color w:val="4472C4" w:themeColor="accent5"/>
          <w:sz w:val="14"/>
          <w:szCs w:val="14"/>
        </w:rPr>
        <w:t xml:space="preserve"> Visible a foja 3 y 4 de autos y en PNT </w:t>
      </w:r>
    </w:p>
  </w:footnote>
  <w:footnote w:id="3">
    <w:p w:rsidR="009C2E90" w:rsidRDefault="00DA22FD">
      <w:pPr>
        <w:pStyle w:val="Default"/>
        <w:jc w:val="both"/>
        <w:rPr>
          <w:rFonts w:eastAsia="Arial Unicode MS"/>
          <w:color w:val="5B9BD5" w:themeColor="accent1"/>
          <w:sz w:val="14"/>
          <w:szCs w:val="14"/>
        </w:rPr>
      </w:pPr>
      <w:r>
        <w:rPr>
          <w:rStyle w:val="Refdenotaalpie"/>
          <w:rFonts w:eastAsia="Arial Unicode MS"/>
          <w:color w:val="5B9BD5" w:themeColor="accent1"/>
          <w:sz w:val="14"/>
          <w:szCs w:val="14"/>
        </w:rPr>
        <w:footnoteRef/>
      </w:r>
      <w:r>
        <w:rPr>
          <w:rFonts w:eastAsia="Arial Unicode MS"/>
          <w:color w:val="5B9BD5" w:themeColor="accent1"/>
          <w:sz w:val="14"/>
          <w:szCs w:val="14"/>
        </w:rPr>
        <w:t xml:space="preserve"> </w:t>
      </w:r>
      <w:r>
        <w:rPr>
          <w:rFonts w:eastAsia="Arial Unicode MS"/>
          <w:b/>
          <w:color w:val="5B9BD5" w:themeColor="accent1"/>
          <w:sz w:val="14"/>
          <w:szCs w:val="14"/>
        </w:rPr>
        <w:t>ARTÍCULO 1°.</w:t>
      </w:r>
      <w:r>
        <w:rPr>
          <w:rFonts w:eastAsia="Arial Unicode MS"/>
          <w:color w:val="5B9BD5" w:themeColor="accent1"/>
          <w:sz w:val="14"/>
          <w:szCs w:val="14"/>
        </w:rPr>
        <w:t xml:space="preserve"> – […] Tiene por objeto transparentar el ejercicio de la función pública y establecer los principios, bases generales y procedimientos para garantizar a toda persona el derecho humano de acceso a la información en posesión de cualquier autoridad, entidad, </w:t>
      </w:r>
      <w:r>
        <w:rPr>
          <w:rFonts w:eastAsia="Arial Unicode MS"/>
          <w:color w:val="5B9BD5" w:themeColor="accent1"/>
          <w:sz w:val="14"/>
          <w:szCs w:val="14"/>
        </w:rPr>
        <w:t>órgano y organismo de los poderes, Legislativo; Ejecutivo; y Judicial; organismos autónomos; partidos políticos; fideicomisos y fondos públicos; así como de cualquier persona física, moral o sindicato que reciba y ejerza recursos públicos o realice actos d</w:t>
      </w:r>
      <w:r>
        <w:rPr>
          <w:rFonts w:eastAsia="Arial Unicode MS"/>
          <w:color w:val="5B9BD5" w:themeColor="accent1"/>
          <w:sz w:val="14"/>
          <w:szCs w:val="14"/>
        </w:rPr>
        <w:t>e autoridad en el ámbito estatal y municipal.</w:t>
      </w:r>
    </w:p>
    <w:p w:rsidR="009C2E90" w:rsidRDefault="009C2E90">
      <w:pPr>
        <w:pStyle w:val="Default"/>
        <w:jc w:val="both"/>
        <w:rPr>
          <w:rFonts w:eastAsia="Arial Unicode MS"/>
          <w:color w:val="5B9BD5" w:themeColor="accent1"/>
          <w:sz w:val="14"/>
          <w:szCs w:val="14"/>
        </w:rPr>
      </w:pPr>
    </w:p>
  </w:footnote>
  <w:footnote w:id="4">
    <w:p w:rsidR="009C2E90" w:rsidRDefault="00DA22FD">
      <w:pPr>
        <w:pStyle w:val="Textonotapie"/>
        <w:rPr>
          <w:sz w:val="14"/>
          <w:szCs w:val="14"/>
        </w:rPr>
      </w:pPr>
      <w:r>
        <w:rPr>
          <w:rStyle w:val="Refdenotaalpie"/>
          <w:rFonts w:ascii="Arial" w:hAnsi="Arial" w:cs="Arial"/>
          <w:color w:val="4472C4" w:themeColor="accent5"/>
          <w:sz w:val="14"/>
          <w:szCs w:val="14"/>
        </w:rPr>
        <w:footnoteRef/>
      </w:r>
      <w:r>
        <w:rPr>
          <w:rFonts w:ascii="Arial" w:hAnsi="Arial" w:cs="Arial"/>
          <w:color w:val="4472C4" w:themeColor="accent5"/>
          <w:sz w:val="14"/>
          <w:szCs w:val="14"/>
        </w:rPr>
        <w:t xml:space="preserve">Cfr. Tesis Aislada XIII.T.A.3 A (10a.), visible en la Décima Época, de la Gaceta del Semanario Judicial de la Federación, Libro XXIV, Septiembre de 2013, Tomo 3, página 2616. Instancia: Tribunales Colegiados </w:t>
      </w:r>
      <w:r>
        <w:rPr>
          <w:rFonts w:ascii="Arial" w:hAnsi="Arial" w:cs="Arial"/>
          <w:color w:val="4472C4" w:themeColor="accent5"/>
          <w:sz w:val="14"/>
          <w:szCs w:val="14"/>
        </w:rPr>
        <w:t>de Circuito, con Registro electrónico: 2004530.</w:t>
      </w:r>
    </w:p>
  </w:footnote>
  <w:footnote w:id="5">
    <w:p w:rsidR="009C2E90" w:rsidRDefault="00DA22FD">
      <w:pPr>
        <w:spacing w:after="0"/>
        <w:jc w:val="both"/>
        <w:rPr>
          <w:rFonts w:ascii="Arial" w:eastAsia="Times New Roman" w:hAnsi="Arial" w:cs="Arial"/>
          <w:color w:val="4472C4" w:themeColor="accent5"/>
          <w:sz w:val="14"/>
          <w:szCs w:val="14"/>
          <w:lang w:eastAsia="es-MX"/>
        </w:rPr>
      </w:pPr>
      <w:r>
        <w:rPr>
          <w:rStyle w:val="Refdenotaalpie"/>
          <w:rFonts w:ascii="Arial" w:hAnsi="Arial" w:cs="Arial"/>
          <w:color w:val="4472C4" w:themeColor="accent5"/>
          <w:sz w:val="14"/>
          <w:szCs w:val="14"/>
        </w:rPr>
        <w:footnoteRef/>
      </w:r>
      <w:r>
        <w:rPr>
          <w:rFonts w:ascii="Arial" w:hAnsi="Arial" w:cs="Arial"/>
          <w:color w:val="4472C4" w:themeColor="accent5"/>
          <w:sz w:val="14"/>
          <w:szCs w:val="14"/>
        </w:rPr>
        <w:t xml:space="preserve"> </w:t>
      </w:r>
      <w:r>
        <w:rPr>
          <w:rFonts w:ascii="Arial" w:eastAsia="Times New Roman" w:hAnsi="Arial" w:cs="Arial"/>
          <w:color w:val="4472C4" w:themeColor="accent5"/>
          <w:sz w:val="14"/>
          <w:szCs w:val="14"/>
          <w:lang w:eastAsia="es-MX"/>
        </w:rPr>
        <w:t xml:space="preserve">Decreto que reforma los artículos 17 y 124 Bis de la constitución Política del Estado Libre y Soberano de San Luis Potosí, en materia de Transparencia, Acceso a la Información Pública y Protección de Datos </w:t>
      </w:r>
      <w:r>
        <w:rPr>
          <w:rFonts w:ascii="Arial" w:eastAsia="Times New Roman" w:hAnsi="Arial" w:cs="Arial"/>
          <w:color w:val="4472C4" w:themeColor="accent5"/>
          <w:sz w:val="14"/>
          <w:szCs w:val="14"/>
          <w:lang w:eastAsia="es-MX"/>
        </w:rPr>
        <w:t>Personales.</w:t>
      </w:r>
    </w:p>
    <w:p w:rsidR="009C2E90" w:rsidRDefault="009C2E90">
      <w:pPr>
        <w:pStyle w:val="Textonotapie"/>
        <w:rPr>
          <w:rFonts w:asciiTheme="minorHAnsi" w:hAnsiTheme="minorHAnsi"/>
          <w:lang w:val="es-MX"/>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E90" w:rsidRDefault="00DA22FD">
    <w:pPr>
      <w:pStyle w:val="Encabezado"/>
      <w:rPr>
        <w:rFonts w:ascii="Arial" w:hAnsi="Arial" w:cs="Arial"/>
        <w:b/>
        <w:sz w:val="24"/>
        <w:szCs w:val="24"/>
      </w:rPr>
    </w:pPr>
    <w:r>
      <w:rPr>
        <w:rFonts w:ascii="Arial" w:hAnsi="Arial" w:cs="Arial"/>
        <w:b/>
        <w:noProof/>
        <w:sz w:val="24"/>
        <w:szCs w:val="24"/>
        <w:lang w:eastAsia="es-MX"/>
      </w:rPr>
      <w:drawing>
        <wp:anchor distT="0" distB="0" distL="114300" distR="114300" simplePos="0" relativeHeight="251657216" behindDoc="1" locked="0" layoutInCell="1" allowOverlap="1">
          <wp:simplePos x="0" y="0"/>
          <wp:positionH relativeFrom="column">
            <wp:posOffset>-409575</wp:posOffset>
          </wp:positionH>
          <wp:positionV relativeFrom="paragraph">
            <wp:posOffset>-449580</wp:posOffset>
          </wp:positionV>
          <wp:extent cx="7539990" cy="1295400"/>
          <wp:effectExtent l="0" t="0" r="0" b="0"/>
          <wp:wrapNone/>
          <wp:docPr id="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8"/>
                  <pic:cNvPicPr>
                    <a:picLocks noChangeAspect="1" noChangeArrowheads="1"/>
                  </pic:cNvPicPr>
                </pic:nvPicPr>
                <pic:blipFill>
                  <a:blip r:embed="rId1">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2791"/>
                  <a:stretch>
                    <a:fillRect/>
                  </a:stretch>
                </pic:blipFill>
                <pic:spPr>
                  <a:xfrm>
                    <a:off x="0" y="0"/>
                    <a:ext cx="7539990" cy="1295400"/>
                  </a:xfrm>
                  <a:prstGeom prst="rect">
                    <a:avLst/>
                  </a:prstGeom>
                  <a:noFill/>
                </pic:spPr>
              </pic:pic>
            </a:graphicData>
          </a:graphic>
        </wp:anchor>
      </w:drawing>
    </w:r>
  </w:p>
  <w:p w:rsidR="009C2E90" w:rsidRDefault="00DA22FD">
    <w:pPr>
      <w:pStyle w:val="Encabezado"/>
      <w:jc w:val="center"/>
      <w:rPr>
        <w:b/>
        <w:bCs/>
      </w:rPr>
    </w:pPr>
    <w:r>
      <w:rPr>
        <w:lang w:val="es-ES"/>
      </w:rPr>
      <w:t xml:space="preserve">Página </w:t>
    </w:r>
    <w:r w:rsidR="009C2E90">
      <w:rPr>
        <w:b/>
        <w:bCs/>
      </w:rPr>
      <w:fldChar w:fldCharType="begin"/>
    </w:r>
    <w:r>
      <w:rPr>
        <w:b/>
        <w:bCs/>
      </w:rPr>
      <w:instrText>PAGE</w:instrText>
    </w:r>
    <w:r w:rsidR="009C2E90">
      <w:rPr>
        <w:b/>
        <w:bCs/>
      </w:rPr>
      <w:fldChar w:fldCharType="separate"/>
    </w:r>
    <w:r w:rsidR="000747A9">
      <w:rPr>
        <w:b/>
        <w:bCs/>
        <w:noProof/>
      </w:rPr>
      <w:t>1</w:t>
    </w:r>
    <w:r w:rsidR="009C2E90">
      <w:rPr>
        <w:b/>
        <w:bCs/>
      </w:rPr>
      <w:fldChar w:fldCharType="end"/>
    </w:r>
    <w:r>
      <w:rPr>
        <w:lang w:val="es-ES"/>
      </w:rPr>
      <w:t xml:space="preserve"> de </w:t>
    </w:r>
    <w:r w:rsidR="009C2E90">
      <w:rPr>
        <w:b/>
        <w:bCs/>
      </w:rPr>
      <w:fldChar w:fldCharType="begin"/>
    </w:r>
    <w:r>
      <w:rPr>
        <w:b/>
        <w:bCs/>
      </w:rPr>
      <w:instrText>NUMPAGES</w:instrText>
    </w:r>
    <w:r w:rsidR="009C2E90">
      <w:rPr>
        <w:b/>
        <w:bCs/>
      </w:rPr>
      <w:fldChar w:fldCharType="separate"/>
    </w:r>
    <w:r w:rsidR="000747A9">
      <w:rPr>
        <w:b/>
        <w:bCs/>
        <w:noProof/>
      </w:rPr>
      <w:t>1</w:t>
    </w:r>
    <w:r w:rsidR="009C2E90">
      <w:rPr>
        <w:b/>
        <w:bCs/>
      </w:rPr>
      <w:fldChar w:fldCharType="end"/>
    </w:r>
  </w:p>
  <w:p w:rsidR="009C2E90" w:rsidRDefault="009C2E90">
    <w:pPr>
      <w:pStyle w:val="Encabezado"/>
      <w:jc w:val="center"/>
      <w:rPr>
        <w:b/>
        <w:bCs/>
      </w:rPr>
    </w:pPr>
  </w:p>
  <w:p w:rsidR="009C2E90" w:rsidRDefault="00DA22FD">
    <w:pPr>
      <w:pStyle w:val="Encabezado"/>
      <w:jc w:val="right"/>
      <w:rPr>
        <w:color w:val="5B9BD5" w:themeColor="accent1"/>
      </w:rPr>
    </w:pPr>
    <w:r>
      <w:rPr>
        <w:rFonts w:ascii="Arial" w:hAnsi="Arial" w:cs="Arial"/>
        <w:color w:val="5B9BD5" w:themeColor="accent1"/>
      </w:rPr>
      <w:t>RECURSO DE REVISIÓN 314/2026-2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C24D7"/>
    <w:multiLevelType w:val="multilevel"/>
    <w:tmpl w:val="0B8C24D7"/>
    <w:lvl w:ilvl="0">
      <w:start w:val="1"/>
      <w:numFmt w:val="bullet"/>
      <w:lvlText w:val=""/>
      <w:lvlJc w:val="left"/>
      <w:pPr>
        <w:ind w:left="1510" w:hanging="360"/>
      </w:pPr>
      <w:rPr>
        <w:rFonts w:ascii="Symbol" w:hAnsi="Symbol" w:hint="default"/>
      </w:rPr>
    </w:lvl>
    <w:lvl w:ilvl="1">
      <w:start w:val="1"/>
      <w:numFmt w:val="bullet"/>
      <w:lvlText w:val="o"/>
      <w:lvlJc w:val="left"/>
      <w:pPr>
        <w:ind w:left="2230" w:hanging="360"/>
      </w:pPr>
      <w:rPr>
        <w:rFonts w:ascii="Courier New" w:hAnsi="Courier New" w:cs="Courier New" w:hint="default"/>
      </w:rPr>
    </w:lvl>
    <w:lvl w:ilvl="2">
      <w:start w:val="1"/>
      <w:numFmt w:val="bullet"/>
      <w:lvlText w:val=""/>
      <w:lvlJc w:val="left"/>
      <w:pPr>
        <w:ind w:left="2950" w:hanging="360"/>
      </w:pPr>
      <w:rPr>
        <w:rFonts w:ascii="Wingdings" w:hAnsi="Wingdings" w:hint="default"/>
      </w:rPr>
    </w:lvl>
    <w:lvl w:ilvl="3">
      <w:start w:val="1"/>
      <w:numFmt w:val="bullet"/>
      <w:lvlText w:val=""/>
      <w:lvlJc w:val="left"/>
      <w:pPr>
        <w:ind w:left="3670" w:hanging="360"/>
      </w:pPr>
      <w:rPr>
        <w:rFonts w:ascii="Symbol" w:hAnsi="Symbol" w:hint="default"/>
      </w:rPr>
    </w:lvl>
    <w:lvl w:ilvl="4">
      <w:start w:val="1"/>
      <w:numFmt w:val="bullet"/>
      <w:lvlText w:val="o"/>
      <w:lvlJc w:val="left"/>
      <w:pPr>
        <w:ind w:left="4390" w:hanging="360"/>
      </w:pPr>
      <w:rPr>
        <w:rFonts w:ascii="Courier New" w:hAnsi="Courier New" w:cs="Courier New" w:hint="default"/>
      </w:rPr>
    </w:lvl>
    <w:lvl w:ilvl="5">
      <w:start w:val="1"/>
      <w:numFmt w:val="bullet"/>
      <w:lvlText w:val=""/>
      <w:lvlJc w:val="left"/>
      <w:pPr>
        <w:ind w:left="5110" w:hanging="360"/>
      </w:pPr>
      <w:rPr>
        <w:rFonts w:ascii="Wingdings" w:hAnsi="Wingdings" w:hint="default"/>
      </w:rPr>
    </w:lvl>
    <w:lvl w:ilvl="6">
      <w:start w:val="1"/>
      <w:numFmt w:val="bullet"/>
      <w:lvlText w:val=""/>
      <w:lvlJc w:val="left"/>
      <w:pPr>
        <w:ind w:left="5830" w:hanging="360"/>
      </w:pPr>
      <w:rPr>
        <w:rFonts w:ascii="Symbol" w:hAnsi="Symbol" w:hint="default"/>
      </w:rPr>
    </w:lvl>
    <w:lvl w:ilvl="7">
      <w:start w:val="1"/>
      <w:numFmt w:val="bullet"/>
      <w:lvlText w:val="o"/>
      <w:lvlJc w:val="left"/>
      <w:pPr>
        <w:ind w:left="6550" w:hanging="360"/>
      </w:pPr>
      <w:rPr>
        <w:rFonts w:ascii="Courier New" w:hAnsi="Courier New" w:cs="Courier New" w:hint="default"/>
      </w:rPr>
    </w:lvl>
    <w:lvl w:ilvl="8">
      <w:start w:val="1"/>
      <w:numFmt w:val="bullet"/>
      <w:lvlText w:val=""/>
      <w:lvlJc w:val="left"/>
      <w:pPr>
        <w:ind w:left="7270" w:hanging="360"/>
      </w:pPr>
      <w:rPr>
        <w:rFonts w:ascii="Wingdings" w:hAnsi="Wingdings" w:hint="default"/>
      </w:rPr>
    </w:lvl>
  </w:abstractNum>
  <w:abstractNum w:abstractNumId="1">
    <w:nsid w:val="26CE6665"/>
    <w:multiLevelType w:val="multilevel"/>
    <w:tmpl w:val="26CE666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nsid w:val="2D820CD2"/>
    <w:multiLevelType w:val="multilevel"/>
    <w:tmpl w:val="2D820CD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
    <w:nsid w:val="5A9021AF"/>
    <w:multiLevelType w:val="multilevel"/>
    <w:tmpl w:val="5A9021AF"/>
    <w:lvl w:ilvl="0">
      <w:start w:val="1"/>
      <w:numFmt w:val="upperRoman"/>
      <w:lvlText w:val="%1."/>
      <w:lvlJc w:val="left"/>
      <w:pPr>
        <w:ind w:left="1429" w:hanging="72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nsid w:val="62157BB7"/>
    <w:multiLevelType w:val="multilevel"/>
    <w:tmpl w:val="62157BB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nsid w:val="702745E5"/>
    <w:multiLevelType w:val="multilevel"/>
    <w:tmpl w:val="702745E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0"/>
  </w:num>
  <w:num w:numId="4">
    <w:abstractNumId w:val="5"/>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mirrorMargins/>
  <w:proofState w:spelling="clean" w:grammar="clean"/>
  <w:defaultTabStop w:val="708"/>
  <w:hyphenationZone w:val="425"/>
  <w:noPunctuationKerning/>
  <w:characterSpacingControl w:val="doNotCompress"/>
  <w:hdrShapeDefaults>
    <o:shapedefaults v:ext="edit" spidmax="6146"/>
    <o:shapelayout v:ext="edit">
      <o:idmap v:ext="edit" data="3,4"/>
    </o:shapelayout>
  </w:hdrShapeDefaults>
  <w:footnotePr>
    <w:footnote w:id="-1"/>
    <w:footnote w:id="0"/>
  </w:footnotePr>
  <w:endnotePr>
    <w:endnote w:id="-1"/>
    <w:endnote w:id="0"/>
  </w:endnotePr>
  <w:compat>
    <w:doNotExpandShiftReturn/>
    <w:doNotWrapTextWithPunct/>
    <w:doNotUseEastAsianBreakRules/>
    <w:useFELayout/>
  </w:compat>
  <w:rsids>
    <w:rsidRoot w:val="00C46EBA"/>
    <w:rsid w:val="00000E26"/>
    <w:rsid w:val="00006E1A"/>
    <w:rsid w:val="00011E10"/>
    <w:rsid w:val="0001619B"/>
    <w:rsid w:val="000165EC"/>
    <w:rsid w:val="00023589"/>
    <w:rsid w:val="0002366B"/>
    <w:rsid w:val="00027726"/>
    <w:rsid w:val="0004632C"/>
    <w:rsid w:val="00052369"/>
    <w:rsid w:val="00065887"/>
    <w:rsid w:val="000668A6"/>
    <w:rsid w:val="000747A9"/>
    <w:rsid w:val="00083EE6"/>
    <w:rsid w:val="00091C06"/>
    <w:rsid w:val="0009542B"/>
    <w:rsid w:val="000B538B"/>
    <w:rsid w:val="000C1BC4"/>
    <w:rsid w:val="000C239A"/>
    <w:rsid w:val="000C388B"/>
    <w:rsid w:val="000D4779"/>
    <w:rsid w:val="000E15B9"/>
    <w:rsid w:val="000E246B"/>
    <w:rsid w:val="001111CC"/>
    <w:rsid w:val="00114FC2"/>
    <w:rsid w:val="00116580"/>
    <w:rsid w:val="00117B91"/>
    <w:rsid w:val="00120125"/>
    <w:rsid w:val="00120A27"/>
    <w:rsid w:val="001328B4"/>
    <w:rsid w:val="00137B39"/>
    <w:rsid w:val="0014238A"/>
    <w:rsid w:val="00152B09"/>
    <w:rsid w:val="00152CF4"/>
    <w:rsid w:val="00156AE7"/>
    <w:rsid w:val="00161620"/>
    <w:rsid w:val="0017179C"/>
    <w:rsid w:val="00187762"/>
    <w:rsid w:val="001920E7"/>
    <w:rsid w:val="00194266"/>
    <w:rsid w:val="001A7909"/>
    <w:rsid w:val="001B12B2"/>
    <w:rsid w:val="001B20A7"/>
    <w:rsid w:val="001B7A90"/>
    <w:rsid w:val="001C5704"/>
    <w:rsid w:val="001D10FF"/>
    <w:rsid w:val="001D3529"/>
    <w:rsid w:val="001E5B70"/>
    <w:rsid w:val="001F096F"/>
    <w:rsid w:val="00217D79"/>
    <w:rsid w:val="002316CB"/>
    <w:rsid w:val="00237435"/>
    <w:rsid w:val="002544DA"/>
    <w:rsid w:val="00254590"/>
    <w:rsid w:val="00260AE6"/>
    <w:rsid w:val="00285050"/>
    <w:rsid w:val="002851B9"/>
    <w:rsid w:val="002B3444"/>
    <w:rsid w:val="002B7029"/>
    <w:rsid w:val="002C2874"/>
    <w:rsid w:val="002C38F7"/>
    <w:rsid w:val="002C753B"/>
    <w:rsid w:val="002E3CED"/>
    <w:rsid w:val="002E7B78"/>
    <w:rsid w:val="00301648"/>
    <w:rsid w:val="003105AE"/>
    <w:rsid w:val="00310CEA"/>
    <w:rsid w:val="00311D73"/>
    <w:rsid w:val="00330FDB"/>
    <w:rsid w:val="00336718"/>
    <w:rsid w:val="00337389"/>
    <w:rsid w:val="003422E1"/>
    <w:rsid w:val="00345A5E"/>
    <w:rsid w:val="00351A0D"/>
    <w:rsid w:val="00367DF6"/>
    <w:rsid w:val="00383BEF"/>
    <w:rsid w:val="00387995"/>
    <w:rsid w:val="00391AA6"/>
    <w:rsid w:val="00393B3E"/>
    <w:rsid w:val="00395E85"/>
    <w:rsid w:val="003A084A"/>
    <w:rsid w:val="003A1456"/>
    <w:rsid w:val="003A49CE"/>
    <w:rsid w:val="003B52EB"/>
    <w:rsid w:val="003C0026"/>
    <w:rsid w:val="003C135D"/>
    <w:rsid w:val="003C19ED"/>
    <w:rsid w:val="003D6953"/>
    <w:rsid w:val="003F35FC"/>
    <w:rsid w:val="003F5551"/>
    <w:rsid w:val="003F6DB3"/>
    <w:rsid w:val="00402DD4"/>
    <w:rsid w:val="00403A88"/>
    <w:rsid w:val="0044012A"/>
    <w:rsid w:val="0048042E"/>
    <w:rsid w:val="00480898"/>
    <w:rsid w:val="004944A0"/>
    <w:rsid w:val="00497627"/>
    <w:rsid w:val="004A30D2"/>
    <w:rsid w:val="004A7216"/>
    <w:rsid w:val="004B2F18"/>
    <w:rsid w:val="004B55D5"/>
    <w:rsid w:val="004C61E7"/>
    <w:rsid w:val="004C7A38"/>
    <w:rsid w:val="004D2378"/>
    <w:rsid w:val="004E0E87"/>
    <w:rsid w:val="004F06A3"/>
    <w:rsid w:val="004F7480"/>
    <w:rsid w:val="005044D3"/>
    <w:rsid w:val="005718D2"/>
    <w:rsid w:val="00571EAD"/>
    <w:rsid w:val="00575B08"/>
    <w:rsid w:val="00576EE6"/>
    <w:rsid w:val="00596DAC"/>
    <w:rsid w:val="005A016F"/>
    <w:rsid w:val="005A0AED"/>
    <w:rsid w:val="005A0D28"/>
    <w:rsid w:val="005A49F3"/>
    <w:rsid w:val="005A783A"/>
    <w:rsid w:val="005B67DB"/>
    <w:rsid w:val="005C6B8A"/>
    <w:rsid w:val="005D47A8"/>
    <w:rsid w:val="005E497D"/>
    <w:rsid w:val="005F2B1C"/>
    <w:rsid w:val="005F7CDA"/>
    <w:rsid w:val="0060368A"/>
    <w:rsid w:val="0060491C"/>
    <w:rsid w:val="00605BAE"/>
    <w:rsid w:val="00614402"/>
    <w:rsid w:val="00615116"/>
    <w:rsid w:val="006159A9"/>
    <w:rsid w:val="00625CD8"/>
    <w:rsid w:val="00634D3B"/>
    <w:rsid w:val="006510F7"/>
    <w:rsid w:val="0066695D"/>
    <w:rsid w:val="00673083"/>
    <w:rsid w:val="0068129E"/>
    <w:rsid w:val="00682EE2"/>
    <w:rsid w:val="0068521D"/>
    <w:rsid w:val="00695A1F"/>
    <w:rsid w:val="006A0266"/>
    <w:rsid w:val="006B2384"/>
    <w:rsid w:val="006B2412"/>
    <w:rsid w:val="006B5B5E"/>
    <w:rsid w:val="006B7573"/>
    <w:rsid w:val="006C5793"/>
    <w:rsid w:val="006F1504"/>
    <w:rsid w:val="00703157"/>
    <w:rsid w:val="00714B23"/>
    <w:rsid w:val="00726EB9"/>
    <w:rsid w:val="0074665B"/>
    <w:rsid w:val="00755444"/>
    <w:rsid w:val="007644C0"/>
    <w:rsid w:val="00775EB1"/>
    <w:rsid w:val="00783D48"/>
    <w:rsid w:val="007864C6"/>
    <w:rsid w:val="00797713"/>
    <w:rsid w:val="007A1C7E"/>
    <w:rsid w:val="007A20EB"/>
    <w:rsid w:val="007B37EA"/>
    <w:rsid w:val="007C1CC5"/>
    <w:rsid w:val="007D1660"/>
    <w:rsid w:val="007D1A46"/>
    <w:rsid w:val="007E1950"/>
    <w:rsid w:val="007F69C3"/>
    <w:rsid w:val="007F6AC4"/>
    <w:rsid w:val="00803DC5"/>
    <w:rsid w:val="00811517"/>
    <w:rsid w:val="00843312"/>
    <w:rsid w:val="0085792B"/>
    <w:rsid w:val="00875106"/>
    <w:rsid w:val="008A4D95"/>
    <w:rsid w:val="008B1606"/>
    <w:rsid w:val="008B455C"/>
    <w:rsid w:val="008B79E0"/>
    <w:rsid w:val="008C28FF"/>
    <w:rsid w:val="008C403E"/>
    <w:rsid w:val="008E012D"/>
    <w:rsid w:val="008E1583"/>
    <w:rsid w:val="008F3064"/>
    <w:rsid w:val="00902576"/>
    <w:rsid w:val="009054B0"/>
    <w:rsid w:val="00921808"/>
    <w:rsid w:val="00932ECE"/>
    <w:rsid w:val="00933ED5"/>
    <w:rsid w:val="00940747"/>
    <w:rsid w:val="00946B8F"/>
    <w:rsid w:val="009522D7"/>
    <w:rsid w:val="00962DF2"/>
    <w:rsid w:val="00980877"/>
    <w:rsid w:val="00982C34"/>
    <w:rsid w:val="00983338"/>
    <w:rsid w:val="009A1844"/>
    <w:rsid w:val="009A4793"/>
    <w:rsid w:val="009A5F3F"/>
    <w:rsid w:val="009C2E90"/>
    <w:rsid w:val="009D2A8F"/>
    <w:rsid w:val="009D4D46"/>
    <w:rsid w:val="009F5D86"/>
    <w:rsid w:val="00A12251"/>
    <w:rsid w:val="00A16A4C"/>
    <w:rsid w:val="00A266B9"/>
    <w:rsid w:val="00A528AF"/>
    <w:rsid w:val="00A528B3"/>
    <w:rsid w:val="00A57C82"/>
    <w:rsid w:val="00A636DA"/>
    <w:rsid w:val="00A70F2D"/>
    <w:rsid w:val="00A87C42"/>
    <w:rsid w:val="00A94083"/>
    <w:rsid w:val="00AA713B"/>
    <w:rsid w:val="00AB7F66"/>
    <w:rsid w:val="00AC41CE"/>
    <w:rsid w:val="00AC45F9"/>
    <w:rsid w:val="00AC623B"/>
    <w:rsid w:val="00AC746F"/>
    <w:rsid w:val="00AE0430"/>
    <w:rsid w:val="00AE1331"/>
    <w:rsid w:val="00AE13AF"/>
    <w:rsid w:val="00AE5AE9"/>
    <w:rsid w:val="00AF4488"/>
    <w:rsid w:val="00B078EE"/>
    <w:rsid w:val="00B329AA"/>
    <w:rsid w:val="00B535B0"/>
    <w:rsid w:val="00B70A90"/>
    <w:rsid w:val="00B84519"/>
    <w:rsid w:val="00B86B3B"/>
    <w:rsid w:val="00B87AE0"/>
    <w:rsid w:val="00B943A6"/>
    <w:rsid w:val="00B96888"/>
    <w:rsid w:val="00BC5F5F"/>
    <w:rsid w:val="00BC7E8E"/>
    <w:rsid w:val="00BE65DA"/>
    <w:rsid w:val="00BE672B"/>
    <w:rsid w:val="00BF0AD0"/>
    <w:rsid w:val="00BF6B49"/>
    <w:rsid w:val="00BF6CAD"/>
    <w:rsid w:val="00C00E3B"/>
    <w:rsid w:val="00C02CB9"/>
    <w:rsid w:val="00C07EA9"/>
    <w:rsid w:val="00C140FD"/>
    <w:rsid w:val="00C21455"/>
    <w:rsid w:val="00C22C60"/>
    <w:rsid w:val="00C3415E"/>
    <w:rsid w:val="00C44F9E"/>
    <w:rsid w:val="00C46EBA"/>
    <w:rsid w:val="00C5446C"/>
    <w:rsid w:val="00C62A70"/>
    <w:rsid w:val="00C85243"/>
    <w:rsid w:val="00CB48B6"/>
    <w:rsid w:val="00CD14F1"/>
    <w:rsid w:val="00CF32D1"/>
    <w:rsid w:val="00CF4EBD"/>
    <w:rsid w:val="00CF6874"/>
    <w:rsid w:val="00D278C9"/>
    <w:rsid w:val="00D362B8"/>
    <w:rsid w:val="00D60B46"/>
    <w:rsid w:val="00D61612"/>
    <w:rsid w:val="00D62B91"/>
    <w:rsid w:val="00D66772"/>
    <w:rsid w:val="00D73A66"/>
    <w:rsid w:val="00D7425C"/>
    <w:rsid w:val="00DA0FAC"/>
    <w:rsid w:val="00DA1A6A"/>
    <w:rsid w:val="00DA22FD"/>
    <w:rsid w:val="00DA271C"/>
    <w:rsid w:val="00DC390A"/>
    <w:rsid w:val="00DE1ACD"/>
    <w:rsid w:val="00DE5848"/>
    <w:rsid w:val="00DF6120"/>
    <w:rsid w:val="00E04638"/>
    <w:rsid w:val="00E2384A"/>
    <w:rsid w:val="00E33645"/>
    <w:rsid w:val="00E356A3"/>
    <w:rsid w:val="00E40C20"/>
    <w:rsid w:val="00E568B5"/>
    <w:rsid w:val="00E65274"/>
    <w:rsid w:val="00E70589"/>
    <w:rsid w:val="00EA39CB"/>
    <w:rsid w:val="00EB0C73"/>
    <w:rsid w:val="00EB43C8"/>
    <w:rsid w:val="00EC5B3E"/>
    <w:rsid w:val="00ED4425"/>
    <w:rsid w:val="00EE7C9C"/>
    <w:rsid w:val="00F02398"/>
    <w:rsid w:val="00F032DD"/>
    <w:rsid w:val="00F03F82"/>
    <w:rsid w:val="00F16878"/>
    <w:rsid w:val="00F22AFF"/>
    <w:rsid w:val="00F475FA"/>
    <w:rsid w:val="00F702D5"/>
    <w:rsid w:val="00F86B9F"/>
    <w:rsid w:val="00FA16ED"/>
    <w:rsid w:val="00FA456C"/>
    <w:rsid w:val="00FA519C"/>
    <w:rsid w:val="00FB5B9E"/>
    <w:rsid w:val="00FE2B47"/>
    <w:rsid w:val="00FE4B9F"/>
    <w:rsid w:val="064C3E56"/>
    <w:rsid w:val="198C3BC0"/>
    <w:rsid w:val="19A51E46"/>
    <w:rsid w:val="500D2444"/>
    <w:rsid w:val="50854E71"/>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header" w:semiHidden="0" w:qFormat="1"/>
    <w:lsdException w:name="footer" w:semiHidden="0" w:qFormat="1"/>
    <w:lsdException w:name="caption" w:uiPriority="35" w:qFormat="1"/>
    <w:lsdException w:name="footnote reference" w:semiHidden="0"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39" w:unhideWhenUsed="0"/>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E90"/>
    <w:pPr>
      <w:spacing w:after="200" w:line="276"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uiPriority w:val="99"/>
    <w:unhideWhenUsed/>
    <w:qFormat/>
    <w:rsid w:val="009C2E90"/>
    <w:rPr>
      <w:vertAlign w:val="superscript"/>
    </w:rPr>
  </w:style>
  <w:style w:type="character" w:styleId="Hipervnculo">
    <w:name w:val="Hyperlink"/>
    <w:basedOn w:val="Fuentedeprrafopredeter"/>
    <w:uiPriority w:val="99"/>
    <w:unhideWhenUsed/>
    <w:qFormat/>
    <w:rsid w:val="009C2E90"/>
    <w:rPr>
      <w:color w:val="0000FF"/>
      <w:u w:val="single"/>
    </w:rPr>
  </w:style>
  <w:style w:type="paragraph" w:styleId="Textonotapie">
    <w:name w:val="footnote text"/>
    <w:basedOn w:val="Normal"/>
    <w:link w:val="TextonotapieCar"/>
    <w:uiPriority w:val="99"/>
    <w:unhideWhenUsed/>
    <w:qFormat/>
    <w:rsid w:val="009C2E90"/>
    <w:pPr>
      <w:spacing w:after="0" w:line="240" w:lineRule="auto"/>
      <w:jc w:val="both"/>
    </w:pPr>
    <w:rPr>
      <w:rFonts w:ascii="Times New Roman" w:eastAsia="Times New Roman" w:hAnsi="Times New Roman" w:cstheme="minorBidi"/>
      <w:lang w:val="es-ES" w:eastAsia="es-ES"/>
    </w:rPr>
  </w:style>
  <w:style w:type="paragraph" w:styleId="Textodeglobo">
    <w:name w:val="Balloon Text"/>
    <w:basedOn w:val="Normal"/>
    <w:link w:val="TextodegloboCar"/>
    <w:uiPriority w:val="99"/>
    <w:semiHidden/>
    <w:unhideWhenUsed/>
    <w:qFormat/>
    <w:rsid w:val="009C2E90"/>
    <w:pPr>
      <w:spacing w:after="0" w:line="240" w:lineRule="auto"/>
    </w:pPr>
    <w:rPr>
      <w:rFonts w:ascii="Segoe UI" w:hAnsi="Segoe UI" w:cs="Segoe UI"/>
      <w:sz w:val="18"/>
      <w:szCs w:val="18"/>
    </w:rPr>
  </w:style>
  <w:style w:type="paragraph" w:styleId="Encabezado">
    <w:name w:val="header"/>
    <w:basedOn w:val="Normal"/>
    <w:link w:val="EncabezadoCar"/>
    <w:uiPriority w:val="99"/>
    <w:unhideWhenUsed/>
    <w:qFormat/>
    <w:rsid w:val="009C2E90"/>
    <w:pPr>
      <w:tabs>
        <w:tab w:val="center" w:pos="4419"/>
        <w:tab w:val="right" w:pos="8838"/>
      </w:tabs>
      <w:spacing w:after="0" w:line="240" w:lineRule="auto"/>
    </w:pPr>
    <w:rPr>
      <w:sz w:val="20"/>
      <w:szCs w:val="20"/>
    </w:rPr>
  </w:style>
  <w:style w:type="paragraph" w:styleId="NormalWeb">
    <w:name w:val="Normal (Web)"/>
    <w:basedOn w:val="Normal"/>
    <w:uiPriority w:val="99"/>
    <w:unhideWhenUsed/>
    <w:qFormat/>
    <w:rsid w:val="009C2E90"/>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Piedepgina">
    <w:name w:val="footer"/>
    <w:basedOn w:val="Normal"/>
    <w:link w:val="PiedepginaCar"/>
    <w:uiPriority w:val="99"/>
    <w:unhideWhenUsed/>
    <w:qFormat/>
    <w:rsid w:val="009C2E90"/>
    <w:pPr>
      <w:tabs>
        <w:tab w:val="center" w:pos="4419"/>
        <w:tab w:val="right" w:pos="8838"/>
      </w:tabs>
      <w:spacing w:after="0" w:line="240" w:lineRule="auto"/>
    </w:pPr>
    <w:rPr>
      <w:sz w:val="20"/>
      <w:szCs w:val="20"/>
    </w:rPr>
  </w:style>
  <w:style w:type="paragraph" w:styleId="Ttulo">
    <w:name w:val="Title"/>
    <w:basedOn w:val="Normal"/>
    <w:next w:val="Normal"/>
    <w:link w:val="TtuloCar"/>
    <w:uiPriority w:val="10"/>
    <w:qFormat/>
    <w:rsid w:val="009C2E90"/>
    <w:pPr>
      <w:spacing w:before="240" w:after="60"/>
      <w:jc w:val="center"/>
      <w:outlineLvl w:val="0"/>
    </w:pPr>
    <w:rPr>
      <w:rFonts w:ascii="Cambria" w:eastAsia="Times New Roman" w:hAnsi="Cambria"/>
      <w:b/>
      <w:bCs/>
      <w:kern w:val="28"/>
      <w:sz w:val="32"/>
      <w:szCs w:val="32"/>
    </w:rPr>
  </w:style>
  <w:style w:type="character" w:customStyle="1" w:styleId="EncabezadoCar">
    <w:name w:val="Encabezado Car"/>
    <w:basedOn w:val="Fuentedeprrafopredeter"/>
    <w:link w:val="Encabezado"/>
    <w:uiPriority w:val="99"/>
    <w:qFormat/>
    <w:rsid w:val="009C2E90"/>
    <w:rPr>
      <w:rFonts w:ascii="Calibri" w:eastAsia="Calibri" w:hAnsi="Calibri" w:cs="Times New Roman"/>
      <w:sz w:val="20"/>
      <w:szCs w:val="20"/>
    </w:rPr>
  </w:style>
  <w:style w:type="character" w:customStyle="1" w:styleId="PiedepginaCar">
    <w:name w:val="Pie de página Car"/>
    <w:basedOn w:val="Fuentedeprrafopredeter"/>
    <w:link w:val="Piedepgina"/>
    <w:uiPriority w:val="99"/>
    <w:qFormat/>
    <w:rsid w:val="009C2E90"/>
    <w:rPr>
      <w:rFonts w:ascii="Calibri" w:eastAsia="Calibri" w:hAnsi="Calibri" w:cs="Times New Roman"/>
      <w:sz w:val="20"/>
      <w:szCs w:val="20"/>
    </w:rPr>
  </w:style>
  <w:style w:type="character" w:customStyle="1" w:styleId="TextonotapieCar">
    <w:name w:val="Texto nota pie Car"/>
    <w:link w:val="Textonotapie"/>
    <w:uiPriority w:val="99"/>
    <w:qFormat/>
    <w:locked/>
    <w:rsid w:val="009C2E90"/>
    <w:rPr>
      <w:rFonts w:ascii="Times New Roman" w:eastAsia="Times New Roman" w:hAnsi="Times New Roman"/>
      <w:lang w:val="es-ES" w:eastAsia="es-ES"/>
    </w:rPr>
  </w:style>
  <w:style w:type="character" w:customStyle="1" w:styleId="TextonotapieCar1">
    <w:name w:val="Texto nota pie Car1"/>
    <w:basedOn w:val="Fuentedeprrafopredeter"/>
    <w:uiPriority w:val="99"/>
    <w:semiHidden/>
    <w:qFormat/>
    <w:rsid w:val="009C2E90"/>
    <w:rPr>
      <w:rFonts w:ascii="Calibri" w:eastAsia="Calibri" w:hAnsi="Calibri" w:cs="Times New Roman"/>
      <w:sz w:val="20"/>
      <w:szCs w:val="20"/>
    </w:rPr>
  </w:style>
  <w:style w:type="paragraph" w:customStyle="1" w:styleId="corte1datos">
    <w:name w:val="corte1 datos"/>
    <w:basedOn w:val="Normal"/>
    <w:link w:val="corte1datosCar"/>
    <w:qFormat/>
    <w:rsid w:val="009C2E90"/>
    <w:pPr>
      <w:spacing w:after="0" w:line="240" w:lineRule="auto"/>
      <w:ind w:left="2552"/>
    </w:pPr>
    <w:rPr>
      <w:rFonts w:ascii="Arial" w:eastAsia="Times New Roman" w:hAnsi="Arial"/>
      <w:b/>
      <w:caps/>
      <w:sz w:val="30"/>
      <w:szCs w:val="20"/>
      <w:lang w:val="zh-CN" w:eastAsia="es-MX"/>
    </w:rPr>
  </w:style>
  <w:style w:type="paragraph" w:customStyle="1" w:styleId="corte2ponente">
    <w:name w:val="corte2 ponente"/>
    <w:basedOn w:val="Normal"/>
    <w:link w:val="corte2ponenteCar"/>
    <w:uiPriority w:val="99"/>
    <w:qFormat/>
    <w:rsid w:val="009C2E90"/>
    <w:pPr>
      <w:spacing w:after="0" w:line="240" w:lineRule="auto"/>
    </w:pPr>
    <w:rPr>
      <w:rFonts w:ascii="Arial" w:eastAsia="Times New Roman" w:hAnsi="Arial"/>
      <w:b/>
      <w:caps/>
      <w:sz w:val="30"/>
      <w:szCs w:val="20"/>
      <w:lang w:val="zh-CN" w:eastAsia="es-MX"/>
    </w:rPr>
  </w:style>
  <w:style w:type="paragraph" w:customStyle="1" w:styleId="corte4fondo">
    <w:name w:val="corte4 fondo"/>
    <w:basedOn w:val="Normal"/>
    <w:link w:val="corte4fondoCar1"/>
    <w:qFormat/>
    <w:rsid w:val="009C2E90"/>
    <w:pPr>
      <w:spacing w:after="0" w:line="360" w:lineRule="auto"/>
      <w:ind w:firstLine="709"/>
      <w:jc w:val="both"/>
    </w:pPr>
    <w:rPr>
      <w:rFonts w:ascii="Arial" w:eastAsia="Times New Roman" w:hAnsi="Arial"/>
      <w:sz w:val="30"/>
      <w:szCs w:val="20"/>
      <w:lang w:val="zh-CN" w:eastAsia="es-MX"/>
    </w:rPr>
  </w:style>
  <w:style w:type="character" w:customStyle="1" w:styleId="corte2ponenteCar">
    <w:name w:val="corte2 ponente Car"/>
    <w:link w:val="corte2ponente"/>
    <w:uiPriority w:val="99"/>
    <w:qFormat/>
    <w:rsid w:val="009C2E90"/>
    <w:rPr>
      <w:rFonts w:ascii="Arial" w:eastAsia="Times New Roman" w:hAnsi="Arial" w:cs="Times New Roman"/>
      <w:b/>
      <w:caps/>
      <w:sz w:val="30"/>
      <w:szCs w:val="20"/>
      <w:lang w:val="zh-CN" w:eastAsia="es-MX"/>
    </w:rPr>
  </w:style>
  <w:style w:type="character" w:customStyle="1" w:styleId="corte4fondoCar1">
    <w:name w:val="corte4 fondo Car1"/>
    <w:link w:val="corte4fondo"/>
    <w:qFormat/>
    <w:rsid w:val="009C2E90"/>
    <w:rPr>
      <w:rFonts w:ascii="Arial" w:eastAsia="Times New Roman" w:hAnsi="Arial" w:cs="Times New Roman"/>
      <w:sz w:val="30"/>
      <w:szCs w:val="20"/>
      <w:lang w:val="zh-CN" w:eastAsia="es-MX"/>
    </w:rPr>
  </w:style>
  <w:style w:type="character" w:customStyle="1" w:styleId="corte1datosCar">
    <w:name w:val="corte1 datos Car"/>
    <w:link w:val="corte1datos"/>
    <w:qFormat/>
    <w:rsid w:val="009C2E90"/>
    <w:rPr>
      <w:rFonts w:ascii="Arial" w:eastAsia="Times New Roman" w:hAnsi="Arial" w:cs="Times New Roman"/>
      <w:b/>
      <w:caps/>
      <w:sz w:val="30"/>
      <w:szCs w:val="20"/>
      <w:lang w:val="zh-CN" w:eastAsia="es-MX"/>
    </w:rPr>
  </w:style>
  <w:style w:type="paragraph" w:styleId="Prrafodelista">
    <w:name w:val="List Paragraph"/>
    <w:basedOn w:val="Normal"/>
    <w:link w:val="PrrafodelistaCar"/>
    <w:uiPriority w:val="34"/>
    <w:qFormat/>
    <w:rsid w:val="009C2E90"/>
    <w:pPr>
      <w:ind w:left="720"/>
      <w:contextualSpacing/>
    </w:pPr>
    <w:rPr>
      <w:sz w:val="20"/>
      <w:szCs w:val="20"/>
      <w:lang w:val="zh-CN" w:eastAsia="zh-CN"/>
    </w:rPr>
  </w:style>
  <w:style w:type="character" w:customStyle="1" w:styleId="TtuloCar">
    <w:name w:val="Título Car"/>
    <w:basedOn w:val="Fuentedeprrafopredeter"/>
    <w:link w:val="Ttulo"/>
    <w:uiPriority w:val="10"/>
    <w:qFormat/>
    <w:rsid w:val="009C2E90"/>
    <w:rPr>
      <w:rFonts w:ascii="Cambria" w:eastAsia="Times New Roman" w:hAnsi="Cambria" w:cs="Times New Roman"/>
      <w:b/>
      <w:bCs/>
      <w:kern w:val="28"/>
      <w:sz w:val="32"/>
      <w:szCs w:val="32"/>
    </w:rPr>
  </w:style>
  <w:style w:type="character" w:customStyle="1" w:styleId="PrrafodelistaCar">
    <w:name w:val="Párrafo de lista Car"/>
    <w:link w:val="Prrafodelista"/>
    <w:uiPriority w:val="34"/>
    <w:qFormat/>
    <w:locked/>
    <w:rsid w:val="009C2E90"/>
    <w:rPr>
      <w:rFonts w:ascii="Calibri" w:eastAsia="Calibri" w:hAnsi="Calibri" w:cs="Times New Roman"/>
      <w:sz w:val="20"/>
      <w:szCs w:val="20"/>
      <w:lang w:val="zh-CN" w:eastAsia="zh-CN"/>
    </w:rPr>
  </w:style>
  <w:style w:type="paragraph" w:customStyle="1" w:styleId="Default">
    <w:name w:val="Default"/>
    <w:qFormat/>
    <w:rsid w:val="009C2E90"/>
    <w:pPr>
      <w:autoSpaceDE w:val="0"/>
      <w:autoSpaceDN w:val="0"/>
      <w:adjustRightInd w:val="0"/>
    </w:pPr>
    <w:rPr>
      <w:rFonts w:ascii="Arial" w:eastAsia="Calibri" w:hAnsi="Arial" w:cs="Arial"/>
      <w:color w:val="000000"/>
      <w:sz w:val="24"/>
      <w:szCs w:val="24"/>
    </w:rPr>
  </w:style>
  <w:style w:type="character" w:customStyle="1" w:styleId="TextodegloboCar">
    <w:name w:val="Texto de globo Car"/>
    <w:basedOn w:val="Fuentedeprrafopredeter"/>
    <w:link w:val="Textodeglobo"/>
    <w:uiPriority w:val="99"/>
    <w:semiHidden/>
    <w:qFormat/>
    <w:rsid w:val="009C2E90"/>
    <w:rPr>
      <w:rFonts w:ascii="Segoe UI" w:eastAsia="Calibri" w:hAnsi="Segoe UI" w:cs="Segoe UI"/>
      <w:sz w:val="18"/>
      <w:szCs w:val="18"/>
    </w:rPr>
  </w:style>
  <w:style w:type="character" w:customStyle="1" w:styleId="il">
    <w:name w:val="il"/>
    <w:basedOn w:val="Fuentedeprrafopredeter"/>
    <w:qFormat/>
    <w:rsid w:val="009C2E90"/>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javascript:AbrirModal(1)" TargetMode="External"/><Relationship Id="rId4" Type="http://schemas.openxmlformats.org/officeDocument/2006/relationships/styles" Target="styles.xml"/><Relationship Id="rId9" Type="http://schemas.openxmlformats.org/officeDocument/2006/relationships/hyperlink" Target="https://mail.google.com/mail/u/0/"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8018F6B-D2C5-477D-A9DA-42446F67F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4204</Words>
  <Characters>23123</Characters>
  <Application>Microsoft Office Word</Application>
  <DocSecurity>0</DocSecurity>
  <Lines>192</Lines>
  <Paragraphs>54</Paragraphs>
  <ScaleCrop>false</ScaleCrop>
  <Company>Hewlett-Packard Company</Company>
  <LinksUpToDate>false</LinksUpToDate>
  <CharactersWithSpaces>27273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cegaip</cp:lastModifiedBy>
  <cp:revision>2</cp:revision>
  <cp:lastPrinted>2026-04-22T15:23:00Z</cp:lastPrinted>
  <dcterms:created xsi:type="dcterms:W3CDTF">2026-08-21T22:25:00Z</dcterms:created>
  <dcterms:modified xsi:type="dcterms:W3CDTF">2026-08-21T22:25:00Z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eyJoZGlkIjoiZjg5YzIyODE4NWMzODRlZTAyZmUxZTk0ZmQ1YTAyNGMifQ==</vt:lpwstr>
  </property>
  <property fmtid="{D5CDD505-2E9C-101B-9397-08002B2CF9AE}" pid="3" name="KSOProductBuildVer">
    <vt:lpwstr>2058-12.1.0.28032</vt:lpwstr>
  </property>
  <property fmtid="{D5CDD505-2E9C-101B-9397-08002B2CF9AE}" pid="4" name="ICV">
    <vt:lpwstr>5A81F6AF633C415BA2C446F6E090B42B_12</vt:lpwstr>
  </property>
</Properties>
</file>