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A49B05" w14:textId="77777777" w:rsidR="00624872" w:rsidRPr="00624872" w:rsidRDefault="00624872" w:rsidP="00624872">
      <w:pPr>
        <w:spacing w:line="360" w:lineRule="auto"/>
        <w:ind w:firstLine="708"/>
        <w:jc w:val="both"/>
        <w:rPr>
          <w:rFonts w:ascii="Arial" w:eastAsia="Batang" w:hAnsi="Arial" w:cs="Arial"/>
          <w:sz w:val="22"/>
        </w:rPr>
      </w:pPr>
      <w:r w:rsidRPr="00624872">
        <w:rPr>
          <w:rFonts w:ascii="Arial" w:eastAsia="Batang" w:hAnsi="Arial" w:cs="Arial"/>
          <w:b/>
          <w:sz w:val="22"/>
        </w:rPr>
        <w:t>Vistos. I.</w:t>
      </w:r>
      <w:r w:rsidRPr="00624872">
        <w:rPr>
          <w:rFonts w:ascii="Arial" w:eastAsia="Batang" w:hAnsi="Arial" w:cs="Arial"/>
          <w:sz w:val="22"/>
        </w:rPr>
        <w:t xml:space="preserve"> El estado procesal del expediente citado al rubro, se procede a realizar el acuerdo correspondiente conforme a los siguientes: </w:t>
      </w:r>
    </w:p>
    <w:p w14:paraId="08F278FF" w14:textId="7BE4FC0D" w:rsidR="006E3DBD" w:rsidRPr="00B93599" w:rsidRDefault="006E3DBD" w:rsidP="006E3DBD">
      <w:pPr>
        <w:spacing w:line="360" w:lineRule="auto"/>
        <w:ind w:right="111"/>
        <w:jc w:val="center"/>
        <w:rPr>
          <w:rFonts w:ascii="Arial" w:eastAsia="Arial" w:hAnsi="Arial" w:cs="Arial"/>
          <w:b/>
          <w:spacing w:val="1"/>
          <w:sz w:val="22"/>
          <w:szCs w:val="22"/>
          <w:lang w:eastAsia="en-US"/>
        </w:rPr>
      </w:pPr>
    </w:p>
    <w:p w14:paraId="1AA679FB" w14:textId="78973D29" w:rsidR="00A27C50" w:rsidRPr="00B93599" w:rsidRDefault="00A27C50" w:rsidP="006E3DBD">
      <w:pPr>
        <w:spacing w:line="360" w:lineRule="auto"/>
        <w:ind w:right="111"/>
        <w:jc w:val="center"/>
        <w:rPr>
          <w:rFonts w:ascii="Arial" w:eastAsia="Arial" w:hAnsi="Arial" w:cs="Arial"/>
          <w:b/>
          <w:spacing w:val="1"/>
          <w:sz w:val="22"/>
          <w:szCs w:val="22"/>
          <w:lang w:eastAsia="en-US"/>
        </w:rPr>
      </w:pPr>
      <w:r w:rsidRPr="00B93599">
        <w:rPr>
          <w:rFonts w:ascii="Arial" w:eastAsia="Arial" w:hAnsi="Arial" w:cs="Arial"/>
          <w:b/>
          <w:spacing w:val="1"/>
          <w:sz w:val="22"/>
          <w:szCs w:val="22"/>
          <w:lang w:eastAsia="en-US"/>
        </w:rPr>
        <w:t>ANTECEDENTES</w:t>
      </w:r>
    </w:p>
    <w:p w14:paraId="39481309" w14:textId="0C0721CF" w:rsidR="00A27C50" w:rsidRPr="00B93599" w:rsidRDefault="00A27C50" w:rsidP="006E3DBD">
      <w:pPr>
        <w:spacing w:line="360" w:lineRule="auto"/>
        <w:ind w:right="111"/>
        <w:jc w:val="center"/>
        <w:rPr>
          <w:rFonts w:ascii="Arial" w:eastAsia="Arial" w:hAnsi="Arial" w:cs="Arial"/>
          <w:b/>
          <w:spacing w:val="1"/>
          <w:sz w:val="22"/>
          <w:szCs w:val="22"/>
          <w:lang w:eastAsia="en-US"/>
        </w:rPr>
      </w:pPr>
    </w:p>
    <w:p w14:paraId="65643562" w14:textId="42E91957" w:rsidR="004652C3" w:rsidRPr="005475F3" w:rsidRDefault="00EC3236" w:rsidP="004652C3">
      <w:pPr>
        <w:spacing w:line="360" w:lineRule="auto"/>
        <w:ind w:firstLine="709"/>
        <w:jc w:val="both"/>
        <w:rPr>
          <w:rFonts w:ascii="Arial" w:eastAsia="Arial Unicode MS" w:hAnsi="Arial" w:cs="Arial"/>
        </w:rPr>
      </w:pPr>
      <w:r w:rsidRPr="00EC3236">
        <w:rPr>
          <w:rFonts w:ascii="Arial" w:eastAsia="Arial Unicode MS" w:hAnsi="Arial" w:cs="Arial"/>
          <w:b/>
          <w:sz w:val="22"/>
        </w:rPr>
        <w:t>PRIMERO.</w:t>
      </w:r>
      <w:r w:rsidRPr="00EC3236">
        <w:rPr>
          <w:rFonts w:ascii="Arial" w:eastAsia="Arial Unicode MS" w:hAnsi="Arial" w:cs="Arial"/>
          <w:sz w:val="22"/>
        </w:rPr>
        <w:t xml:space="preserve"> </w:t>
      </w:r>
      <w:r w:rsidRPr="00EC3236">
        <w:rPr>
          <w:rFonts w:ascii="Arial" w:eastAsia="Arial Unicode MS" w:hAnsi="Arial" w:cs="Arial"/>
          <w:b/>
          <w:sz w:val="22"/>
        </w:rPr>
        <w:t>Solicitud de acceso a la información pública.</w:t>
      </w:r>
      <w:r w:rsidRPr="004652C3">
        <w:rPr>
          <w:rFonts w:ascii="Arial" w:eastAsia="Arial Unicode MS" w:hAnsi="Arial" w:cs="Arial"/>
          <w:sz w:val="20"/>
        </w:rPr>
        <w:t xml:space="preserve"> </w:t>
      </w:r>
      <w:r w:rsidR="004652C3" w:rsidRPr="004652C3">
        <w:rPr>
          <w:rFonts w:ascii="Arial" w:eastAsia="Arial Unicode MS" w:hAnsi="Arial" w:cs="Arial"/>
          <w:sz w:val="22"/>
        </w:rPr>
        <w:t xml:space="preserve">El </w:t>
      </w:r>
      <w:r w:rsidR="00492AEE">
        <w:rPr>
          <w:rFonts w:ascii="Arial" w:eastAsia="Arial Unicode MS" w:hAnsi="Arial" w:cs="Arial"/>
          <w:sz w:val="22"/>
        </w:rPr>
        <w:t>20 veinte de octubre de 2025 dos mil veinticinco</w:t>
      </w:r>
      <w:r w:rsidR="004652C3" w:rsidRPr="004652C3">
        <w:rPr>
          <w:rFonts w:ascii="Arial" w:eastAsia="Arial Unicode MS" w:hAnsi="Arial" w:cs="Arial"/>
          <w:sz w:val="22"/>
        </w:rPr>
        <w:t>, la persona recurrente presentó una solicitud de</w:t>
      </w:r>
      <w:r w:rsidR="00492AEE">
        <w:rPr>
          <w:rFonts w:ascii="Arial" w:eastAsia="Arial Unicode MS" w:hAnsi="Arial" w:cs="Arial"/>
          <w:sz w:val="22"/>
        </w:rPr>
        <w:t xml:space="preserve"> acceso a la información, ante el</w:t>
      </w:r>
      <w:r w:rsidR="004652C3" w:rsidRPr="004652C3">
        <w:rPr>
          <w:rFonts w:ascii="Arial" w:eastAsia="Arial Unicode MS" w:hAnsi="Arial" w:cs="Arial"/>
          <w:sz w:val="22"/>
        </w:rPr>
        <w:t xml:space="preserve"> </w:t>
      </w:r>
      <w:r w:rsidR="00492AEE">
        <w:rPr>
          <w:rFonts w:ascii="Arial" w:eastAsia="Arial Unicode MS" w:hAnsi="Arial" w:cs="Arial"/>
          <w:b/>
          <w:sz w:val="22"/>
        </w:rPr>
        <w:t>Municipio de Rioverde</w:t>
      </w:r>
      <w:r w:rsidR="004652C3" w:rsidRPr="004652C3">
        <w:rPr>
          <w:rFonts w:ascii="Arial" w:eastAsia="Arial Unicode MS" w:hAnsi="Arial" w:cs="Arial"/>
          <w:sz w:val="22"/>
        </w:rPr>
        <w:t xml:space="preserve">, a la cual le fue asignado el folio </w:t>
      </w:r>
      <w:r w:rsidR="00492AEE">
        <w:rPr>
          <w:rFonts w:ascii="Arial" w:eastAsia="Arial Unicode MS" w:hAnsi="Arial" w:cs="Arial"/>
          <w:sz w:val="22"/>
        </w:rPr>
        <w:t>240474025000069</w:t>
      </w:r>
      <w:r w:rsidR="004652C3" w:rsidRPr="004652C3">
        <w:rPr>
          <w:rFonts w:ascii="Arial" w:eastAsia="Arial Unicode MS" w:hAnsi="Arial" w:cs="Arial"/>
          <w:sz w:val="22"/>
        </w:rPr>
        <w:t xml:space="preserve">, en la que se requirió: </w:t>
      </w:r>
    </w:p>
    <w:p w14:paraId="5060DA06" w14:textId="77777777" w:rsidR="004652C3" w:rsidRPr="005475F3" w:rsidRDefault="004652C3" w:rsidP="004652C3">
      <w:pPr>
        <w:spacing w:line="360" w:lineRule="auto"/>
        <w:ind w:firstLine="709"/>
        <w:jc w:val="both"/>
        <w:rPr>
          <w:rFonts w:ascii="Arial" w:eastAsia="Arial Unicode MS" w:hAnsi="Arial" w:cs="Arial"/>
        </w:rPr>
      </w:pPr>
    </w:p>
    <w:p w14:paraId="02B3C2CC" w14:textId="77777777" w:rsidR="00492AEE" w:rsidRDefault="004652C3" w:rsidP="00492AEE">
      <w:pPr>
        <w:pStyle w:val="Prrafodelista"/>
        <w:spacing w:after="0" w:line="240" w:lineRule="auto"/>
        <w:ind w:left="1134" w:right="1185"/>
        <w:jc w:val="both"/>
        <w:rPr>
          <w:rStyle w:val="text-justify"/>
          <w:rFonts w:ascii="Arial" w:hAnsi="Arial" w:cs="Arial"/>
          <w:sz w:val="20"/>
          <w:szCs w:val="20"/>
        </w:rPr>
      </w:pPr>
      <w:r w:rsidRPr="00492AEE">
        <w:rPr>
          <w:rFonts w:ascii="Arial" w:eastAsia="Arial Unicode MS" w:hAnsi="Arial" w:cs="Arial"/>
          <w:sz w:val="20"/>
          <w:szCs w:val="20"/>
          <w:lang w:eastAsia="es-ES"/>
        </w:rPr>
        <w:t>“</w:t>
      </w:r>
      <w:r w:rsidR="00492AEE" w:rsidRPr="00492AEE">
        <w:rPr>
          <w:rStyle w:val="text-justify"/>
          <w:rFonts w:ascii="Arial" w:hAnsi="Arial" w:cs="Arial"/>
          <w:sz w:val="20"/>
          <w:szCs w:val="20"/>
        </w:rPr>
        <w:t xml:space="preserve">Asunto: Solicitud de información sobre la obra pública denominada “Construcción de Espacio Público Multideportivo en el Complejo Ferrocarrilero – Alberca Semi Olímpica” Licitación Pública Estatal No.: LO-EST-245800026-55-2024 A quien corresponda: Con fundamento en lo dispuesto por los artículos 6º, apartado A, fracción I de la Constitución Política de los Estados Unidos Mexicanos, así como los artículos 4, 5, 6, 8, 69 y demás relativos de la Ley de Transparencia y Acceso a la Información Pública del Estado de San Luis Potosí, solicito atentamente se me proporcione la siguiente información relacionada con la obra pública referida: </w:t>
      </w:r>
    </w:p>
    <w:p w14:paraId="291C6C10" w14:textId="77777777" w:rsidR="00492AEE" w:rsidRDefault="00492AEE" w:rsidP="00492AEE">
      <w:pPr>
        <w:pStyle w:val="Prrafodelista"/>
        <w:spacing w:after="0" w:line="240" w:lineRule="auto"/>
        <w:ind w:left="1134" w:right="1185"/>
        <w:jc w:val="both"/>
        <w:rPr>
          <w:rStyle w:val="text-justify"/>
          <w:rFonts w:ascii="Arial" w:hAnsi="Arial" w:cs="Arial"/>
          <w:sz w:val="20"/>
          <w:szCs w:val="20"/>
        </w:rPr>
      </w:pPr>
      <w:r w:rsidRPr="00492AEE">
        <w:rPr>
          <w:rStyle w:val="text-justify"/>
          <w:rFonts w:ascii="Arial" w:hAnsi="Arial" w:cs="Arial"/>
          <w:sz w:val="20"/>
          <w:szCs w:val="20"/>
        </w:rPr>
        <w:t xml:space="preserve">I. DATOS DE LA OBRA • Nombre de la obra: Construcción de Espacio Público Multideportivo en el Complejo Ferrocarrilero “Alberca Semi Olímpica” • Número de licitación: LO-EST-245800026-55-2024 • Ejercicio fiscal: 2024 </w:t>
      </w:r>
    </w:p>
    <w:p w14:paraId="626A20B9" w14:textId="77777777" w:rsidR="00492AEE" w:rsidRDefault="00492AEE" w:rsidP="00492AEE">
      <w:pPr>
        <w:pStyle w:val="Prrafodelista"/>
        <w:spacing w:after="0" w:line="240" w:lineRule="auto"/>
        <w:ind w:left="1134" w:right="1185"/>
        <w:jc w:val="both"/>
        <w:rPr>
          <w:rStyle w:val="text-justify"/>
          <w:rFonts w:ascii="Arial" w:hAnsi="Arial" w:cs="Arial"/>
          <w:sz w:val="20"/>
          <w:szCs w:val="20"/>
        </w:rPr>
      </w:pPr>
      <w:r w:rsidRPr="00492AEE">
        <w:rPr>
          <w:rStyle w:val="text-justify"/>
          <w:rFonts w:ascii="Arial" w:hAnsi="Arial" w:cs="Arial"/>
          <w:sz w:val="20"/>
          <w:szCs w:val="20"/>
        </w:rPr>
        <w:t xml:space="preserve">II. INFORMACIÓN SOLICITADA 1. Copia digital del proyecto ejecutivo completo (planos arquitectónicos, estructurales, eléctricos, hidráulicos y de acabados). 2. Catálogo de conceptos y presupuesto detallado aprobado para la obra. 3. Contrato de obra pública celebrado con la empresa adjudicada, incluyendo anexos técnicos, legales y financieros. 4. Acta de fallo del procedimiento de licitación y documentación de evaluación de propuestas. 5. Bitácora de obra (digital o escaneada) y reportes de supervisión emitidos por la autoridad contratante. 6. Convenios modificatorios, en su caso (ampliaciones de plazo, incrementos o reducciones al monto original). 7. Estimaciones de avance físico-financiero mensuales o acumuladas. 8. Informe de supervisión técnica o de control de calidad de los trabajos ejecutados. 9. Acta de entrega-recepción de la obra (si ya fue concluida). 10. Monto total ejercido y fuente de financiamiento (recursos estatales, federales o municipales). </w:t>
      </w:r>
    </w:p>
    <w:p w14:paraId="1ADC6848" w14:textId="77777777" w:rsidR="00492AEE" w:rsidRDefault="00492AEE" w:rsidP="00492AEE">
      <w:pPr>
        <w:pStyle w:val="Prrafodelista"/>
        <w:spacing w:after="0" w:line="240" w:lineRule="auto"/>
        <w:ind w:left="1134" w:right="1185"/>
        <w:jc w:val="both"/>
        <w:rPr>
          <w:rStyle w:val="text-justify"/>
          <w:rFonts w:ascii="Arial" w:hAnsi="Arial" w:cs="Arial"/>
          <w:sz w:val="20"/>
          <w:szCs w:val="20"/>
        </w:rPr>
      </w:pPr>
      <w:r w:rsidRPr="00492AEE">
        <w:rPr>
          <w:rStyle w:val="text-justify"/>
          <w:rFonts w:ascii="Arial" w:hAnsi="Arial" w:cs="Arial"/>
          <w:sz w:val="20"/>
          <w:szCs w:val="20"/>
        </w:rPr>
        <w:t xml:space="preserve">III. MODALIDAD DE ENTREGA Solicito que la información sea proporcionada en formato digital (PDF o similar) y remitida por medio de la Plataforma Nacional de Transparencia o al correo electrónico registrado en la solicitud. </w:t>
      </w:r>
    </w:p>
    <w:p w14:paraId="25E18B75" w14:textId="69130CBC" w:rsidR="004652C3" w:rsidRPr="00492AEE" w:rsidRDefault="00492AEE" w:rsidP="00492AEE">
      <w:pPr>
        <w:pStyle w:val="Prrafodelista"/>
        <w:spacing w:after="0" w:line="240" w:lineRule="auto"/>
        <w:ind w:left="1134" w:right="1185"/>
        <w:jc w:val="both"/>
        <w:rPr>
          <w:rFonts w:ascii="Arial" w:eastAsia="Arial Unicode MS" w:hAnsi="Arial" w:cs="Arial"/>
          <w:sz w:val="20"/>
          <w:szCs w:val="20"/>
          <w:lang w:eastAsia="es-ES"/>
        </w:rPr>
      </w:pPr>
      <w:r w:rsidRPr="00492AEE">
        <w:rPr>
          <w:rStyle w:val="text-justify"/>
          <w:rFonts w:ascii="Arial" w:hAnsi="Arial" w:cs="Arial"/>
          <w:sz w:val="20"/>
          <w:szCs w:val="20"/>
        </w:rPr>
        <w:t>IV. FUNDAMENTO LEGAL Esta solicitud se realiza con base en: • Artículo 6º, apartado A, fracción I de la Constitución Política de los Estados Unidos Mexicanos; • Artículos 4, 5, 6, 8, 69, 70 y demás aplicables de la Ley de Transparencia y Acceso a la Información Pública del Estado de San Luis Potosí; • Artículo 12 del Reglamento de la Ley de Transparencia del Estado. Nombre del solicitante: Salvador López Aguilar Domicilio para oír y recibir notificaciones: CALLE CASA GRANDE 107, FRACCIONAMIENTO LOS NOGALES Correo electrónico: chavodel8000@hotmail.com Teléfono (opcional): 4444818631 Fecha: 20/10/2025</w:t>
      </w:r>
      <w:r w:rsidR="004652C3" w:rsidRPr="00492AEE">
        <w:rPr>
          <w:rFonts w:ascii="Arial" w:eastAsia="Arial Unicode MS" w:hAnsi="Arial" w:cs="Arial"/>
          <w:sz w:val="20"/>
          <w:szCs w:val="20"/>
          <w:lang w:eastAsia="es-ES"/>
        </w:rPr>
        <w:t>”</w:t>
      </w:r>
    </w:p>
    <w:p w14:paraId="4081B72A" w14:textId="20BBF2F4" w:rsidR="00A27C50" w:rsidRPr="004652C3" w:rsidRDefault="00A27C50" w:rsidP="004652C3">
      <w:pPr>
        <w:spacing w:line="360" w:lineRule="auto"/>
        <w:ind w:firstLine="709"/>
        <w:jc w:val="both"/>
        <w:rPr>
          <w:rFonts w:ascii="Arial" w:hAnsi="Arial" w:cs="Arial"/>
          <w:bCs/>
          <w:iCs/>
          <w:sz w:val="20"/>
          <w:szCs w:val="22"/>
          <w:lang w:val="es-MX"/>
        </w:rPr>
      </w:pPr>
      <w:r w:rsidRPr="004652C3">
        <w:rPr>
          <w:rFonts w:ascii="Arial" w:hAnsi="Arial" w:cs="Arial"/>
          <w:bCs/>
          <w:iCs/>
          <w:sz w:val="20"/>
          <w:szCs w:val="22"/>
          <w:lang w:val="es-MX"/>
        </w:rPr>
        <w:t xml:space="preserve">                                                                                                     </w:t>
      </w:r>
    </w:p>
    <w:p w14:paraId="0B2E0707" w14:textId="3578F2F2" w:rsidR="004652C3" w:rsidRPr="004652C3" w:rsidRDefault="00A27C50" w:rsidP="004652C3">
      <w:pPr>
        <w:spacing w:line="360" w:lineRule="auto"/>
        <w:ind w:right="51" w:firstLine="708"/>
        <w:jc w:val="both"/>
        <w:rPr>
          <w:rFonts w:ascii="Arial" w:hAnsi="Arial" w:cs="Arial"/>
          <w:sz w:val="22"/>
          <w:szCs w:val="22"/>
        </w:rPr>
      </w:pPr>
      <w:r w:rsidRPr="00B93599">
        <w:rPr>
          <w:rFonts w:ascii="Arial" w:hAnsi="Arial" w:cs="Arial"/>
          <w:b/>
          <w:sz w:val="22"/>
          <w:szCs w:val="22"/>
        </w:rPr>
        <w:lastRenderedPageBreak/>
        <w:t>SEGUNDO</w:t>
      </w:r>
      <w:r w:rsidRPr="004652C3">
        <w:rPr>
          <w:rFonts w:ascii="Arial" w:hAnsi="Arial" w:cs="Arial"/>
          <w:b/>
          <w:sz w:val="22"/>
          <w:szCs w:val="22"/>
        </w:rPr>
        <w:t>.</w:t>
      </w:r>
      <w:r w:rsidRPr="004652C3">
        <w:rPr>
          <w:rFonts w:ascii="Arial" w:hAnsi="Arial" w:cs="Arial"/>
          <w:sz w:val="22"/>
          <w:szCs w:val="22"/>
        </w:rPr>
        <w:t xml:space="preserve"> </w:t>
      </w:r>
      <w:r w:rsidR="004652C3" w:rsidRPr="004652C3">
        <w:rPr>
          <w:rFonts w:ascii="Arial" w:hAnsi="Arial" w:cs="Arial"/>
          <w:sz w:val="22"/>
          <w:szCs w:val="22"/>
        </w:rPr>
        <w:t xml:space="preserve">El </w:t>
      </w:r>
      <w:r w:rsidR="00492AEE">
        <w:rPr>
          <w:rFonts w:ascii="Arial" w:hAnsi="Arial" w:cs="Arial"/>
          <w:sz w:val="22"/>
          <w:szCs w:val="22"/>
        </w:rPr>
        <w:t>04 cuatro de noviembre de 2025 dos mil veinticinco</w:t>
      </w:r>
      <w:r w:rsidR="004652C3" w:rsidRPr="004652C3">
        <w:rPr>
          <w:rFonts w:ascii="Arial" w:hAnsi="Arial" w:cs="Arial"/>
          <w:sz w:val="22"/>
          <w:szCs w:val="22"/>
        </w:rPr>
        <w:t xml:space="preserve">, este Órgano Garante recibió el recurso de revisión interpuesto por la ahora recurrente, en contra de la respuesta de la solicitud de información, en la que señaló: </w:t>
      </w:r>
    </w:p>
    <w:p w14:paraId="7FD0538F" w14:textId="77777777" w:rsidR="004652C3" w:rsidRPr="004652C3" w:rsidRDefault="004652C3" w:rsidP="004652C3">
      <w:pPr>
        <w:spacing w:line="360" w:lineRule="auto"/>
        <w:ind w:right="51" w:firstLine="708"/>
        <w:jc w:val="both"/>
        <w:rPr>
          <w:rFonts w:ascii="Arial" w:hAnsi="Arial" w:cs="Arial"/>
          <w:sz w:val="22"/>
          <w:szCs w:val="22"/>
        </w:rPr>
      </w:pPr>
    </w:p>
    <w:p w14:paraId="762281BE" w14:textId="63F21628" w:rsidR="004652C3" w:rsidRPr="004652C3" w:rsidRDefault="004652C3" w:rsidP="004652C3">
      <w:pPr>
        <w:ind w:left="1134" w:right="1183"/>
        <w:jc w:val="both"/>
        <w:rPr>
          <w:rFonts w:ascii="Arial" w:hAnsi="Arial" w:cs="Arial"/>
          <w:sz w:val="20"/>
          <w:szCs w:val="22"/>
        </w:rPr>
      </w:pPr>
      <w:r w:rsidRPr="004652C3">
        <w:rPr>
          <w:rFonts w:ascii="Arial" w:hAnsi="Arial" w:cs="Arial"/>
          <w:sz w:val="20"/>
          <w:szCs w:val="22"/>
        </w:rPr>
        <w:t>“</w:t>
      </w:r>
      <w:r w:rsidR="00CC7E26">
        <w:rPr>
          <w:rFonts w:ascii="Arial" w:hAnsi="Arial" w:cs="Arial"/>
          <w:sz w:val="20"/>
          <w:szCs w:val="22"/>
        </w:rPr>
        <w:t>La respuesta emitida por la autoridad competente en esta plataforma no informa nada sobre los cuestionamientos y solicitudes de información planteadas</w:t>
      </w:r>
      <w:r w:rsidRPr="004652C3">
        <w:rPr>
          <w:rFonts w:ascii="Arial" w:hAnsi="Arial" w:cs="Arial"/>
          <w:sz w:val="20"/>
          <w:szCs w:val="22"/>
        </w:rPr>
        <w:t xml:space="preserve">”. </w:t>
      </w:r>
    </w:p>
    <w:p w14:paraId="2D2B6A1A" w14:textId="0899B128" w:rsidR="007B55B0" w:rsidRPr="00B93599" w:rsidRDefault="007B55B0" w:rsidP="00A27C50">
      <w:pPr>
        <w:spacing w:line="360" w:lineRule="auto"/>
        <w:ind w:right="-91" w:firstLine="708"/>
        <w:jc w:val="both"/>
        <w:rPr>
          <w:rFonts w:ascii="Arial" w:hAnsi="Arial" w:cs="Arial"/>
          <w:sz w:val="22"/>
          <w:szCs w:val="22"/>
          <w:lang w:val="es-MX"/>
        </w:rPr>
      </w:pPr>
    </w:p>
    <w:p w14:paraId="4B5C9CCD" w14:textId="5C790C18" w:rsidR="00A27C50" w:rsidRPr="00B93599" w:rsidRDefault="007B55B0" w:rsidP="00A27C50">
      <w:pPr>
        <w:spacing w:line="360" w:lineRule="auto"/>
        <w:ind w:right="-91" w:firstLine="708"/>
        <w:jc w:val="both"/>
        <w:rPr>
          <w:rFonts w:ascii="Arial" w:hAnsi="Arial" w:cs="Arial"/>
          <w:sz w:val="22"/>
          <w:szCs w:val="22"/>
          <w:lang w:val="es-MX"/>
        </w:rPr>
      </w:pPr>
      <w:r w:rsidRPr="00B93599">
        <w:rPr>
          <w:rFonts w:ascii="Arial" w:hAnsi="Arial" w:cs="Arial"/>
          <w:b/>
          <w:sz w:val="22"/>
          <w:szCs w:val="22"/>
          <w:lang w:val="es-MX"/>
        </w:rPr>
        <w:t>TERCERO.</w:t>
      </w:r>
      <w:r w:rsidRPr="00B93599">
        <w:rPr>
          <w:rFonts w:ascii="Arial" w:hAnsi="Arial" w:cs="Arial"/>
          <w:sz w:val="22"/>
          <w:szCs w:val="22"/>
          <w:lang w:val="es-MX"/>
        </w:rPr>
        <w:t xml:space="preserve"> Con fecha </w:t>
      </w:r>
      <w:r w:rsidR="00EC3236">
        <w:rPr>
          <w:rFonts w:ascii="Arial" w:hAnsi="Arial" w:cs="Arial"/>
          <w:sz w:val="22"/>
          <w:szCs w:val="22"/>
          <w:lang w:val="es-MX"/>
        </w:rPr>
        <w:t>cinco de noviembre de dos mil veinticinco</w:t>
      </w:r>
      <w:r w:rsidR="00A27C50" w:rsidRPr="00B93599">
        <w:rPr>
          <w:rFonts w:ascii="Arial" w:hAnsi="Arial" w:cs="Arial"/>
          <w:sz w:val="22"/>
          <w:szCs w:val="22"/>
          <w:lang w:val="es-MX"/>
        </w:rPr>
        <w:t xml:space="preserve">, derivado de la interposición del presente recurso de revisión, este Órgano Garante determinó </w:t>
      </w:r>
      <w:r w:rsidR="001D1951">
        <w:rPr>
          <w:rFonts w:ascii="Arial" w:hAnsi="Arial" w:cs="Arial"/>
          <w:b/>
          <w:sz w:val="22"/>
          <w:szCs w:val="22"/>
          <w:lang w:val="es-MX"/>
        </w:rPr>
        <w:t>REVOCAR</w:t>
      </w:r>
      <w:r w:rsidRPr="00B93599">
        <w:rPr>
          <w:rFonts w:ascii="Arial" w:hAnsi="Arial" w:cs="Arial"/>
          <w:sz w:val="22"/>
          <w:szCs w:val="22"/>
          <w:lang w:val="es-MX"/>
        </w:rPr>
        <w:t xml:space="preserve"> la</w:t>
      </w:r>
      <w:r w:rsidR="00A27C50" w:rsidRPr="00B93599">
        <w:rPr>
          <w:rFonts w:ascii="Arial" w:hAnsi="Arial" w:cs="Arial"/>
          <w:sz w:val="22"/>
          <w:szCs w:val="22"/>
          <w:lang w:val="es-MX"/>
        </w:rPr>
        <w:t xml:space="preserve"> respuesta del Sujeto Obligado, por lo que se le conminó para efecto de </w:t>
      </w:r>
      <w:r w:rsidR="004310F2" w:rsidRPr="00B93599">
        <w:rPr>
          <w:rFonts w:ascii="Arial" w:hAnsi="Arial" w:cs="Arial"/>
          <w:sz w:val="22"/>
          <w:szCs w:val="22"/>
          <w:lang w:val="es-MX"/>
        </w:rPr>
        <w:t>que</w:t>
      </w:r>
      <w:r w:rsidR="00A27C50" w:rsidRPr="00B93599">
        <w:rPr>
          <w:rFonts w:ascii="Arial" w:hAnsi="Arial" w:cs="Arial"/>
          <w:sz w:val="22"/>
          <w:szCs w:val="22"/>
          <w:lang w:val="es-MX"/>
        </w:rPr>
        <w:t xml:space="preserve">:  </w:t>
      </w:r>
    </w:p>
    <w:p w14:paraId="3AF83672" w14:textId="77777777" w:rsidR="00A27C50" w:rsidRPr="00B93599" w:rsidRDefault="00A27C50" w:rsidP="00A27C50">
      <w:pPr>
        <w:ind w:left="1134" w:right="1183"/>
        <w:jc w:val="both"/>
        <w:rPr>
          <w:rFonts w:ascii="Arial" w:hAnsi="Arial" w:cs="Arial"/>
          <w:sz w:val="22"/>
          <w:szCs w:val="22"/>
          <w:shd w:val="clear" w:color="auto" w:fill="FFFFFF"/>
          <w:lang w:val="es-MX" w:eastAsia="es-MX"/>
        </w:rPr>
      </w:pPr>
    </w:p>
    <w:p w14:paraId="562A6985" w14:textId="77777777" w:rsidR="00CC7E26" w:rsidRPr="00CC7E26" w:rsidRDefault="00CC7E26" w:rsidP="00CC7E26">
      <w:pPr>
        <w:pStyle w:val="Estilo"/>
        <w:ind w:left="1134" w:right="1185"/>
        <w:rPr>
          <w:rFonts w:cs="Arial"/>
          <w:sz w:val="20"/>
          <w:szCs w:val="24"/>
        </w:rPr>
      </w:pPr>
      <w:r w:rsidRPr="00CC7E26">
        <w:rPr>
          <w:rFonts w:cs="Arial"/>
          <w:b/>
          <w:sz w:val="20"/>
          <w:szCs w:val="24"/>
        </w:rPr>
        <w:t xml:space="preserve">8.1. Precisiones de esta resolución. </w:t>
      </w:r>
      <w:r w:rsidRPr="00CC7E26">
        <w:rPr>
          <w:rFonts w:cs="Arial"/>
          <w:sz w:val="20"/>
          <w:szCs w:val="24"/>
        </w:rPr>
        <w:t xml:space="preserve">El Sujeto Obligado </w:t>
      </w:r>
      <w:r w:rsidRPr="00CC7E26">
        <w:rPr>
          <w:rFonts w:cs="Arial"/>
          <w:bCs/>
          <w:sz w:val="20"/>
          <w:szCs w:val="24"/>
        </w:rPr>
        <w:t>deberá realizar la entrega de la información solicitada por la ahora parte recurrente, con excepción de aquella que actualice alguna de las causales de restricción del ejercicio del derecho de acceso a la información pública precisadas en la Ley de la materia</w:t>
      </w:r>
      <w:r w:rsidRPr="00CC7E26">
        <w:rPr>
          <w:rFonts w:cs="Arial"/>
          <w:sz w:val="20"/>
          <w:szCs w:val="24"/>
          <w:lang w:val="es-ES_tradnl"/>
        </w:rPr>
        <w:t xml:space="preserve">. </w:t>
      </w:r>
    </w:p>
    <w:p w14:paraId="24120B76" w14:textId="77777777" w:rsidR="00CC7E26" w:rsidRPr="00CC7E26" w:rsidRDefault="00CC7E26" w:rsidP="00CC7E26">
      <w:pPr>
        <w:pStyle w:val="Textoindependienteprimerasangra"/>
        <w:numPr>
          <w:ilvl w:val="0"/>
          <w:numId w:val="5"/>
        </w:numPr>
        <w:spacing w:after="0" w:line="240" w:lineRule="auto"/>
        <w:ind w:left="1134" w:right="1185" w:firstLine="0"/>
        <w:rPr>
          <w:rFonts w:ascii="Arial" w:hAnsi="Arial" w:cs="Arial"/>
          <w:sz w:val="20"/>
        </w:rPr>
      </w:pPr>
      <w:r w:rsidRPr="00CC7E26">
        <w:rPr>
          <w:rFonts w:ascii="Arial" w:hAnsi="Arial" w:cs="Arial"/>
          <w:sz w:val="20"/>
        </w:rPr>
        <w:t>En caso de que se actualice la figura de excepción al derecho de acceso a la información de confidencialidad, el Obligado deberá proceder conforme a lo establecido en el artículo 159 de la Ley de Transparencia y Acceso a la Información Pública del Estado es decir, que en caso de que los sujetos obligados consideren que los documentos o la información deba ser clasificada, el Comité de Transparencia, deberá resolver sobre si es procedente la clasificación y notificar la resolución al particular, en los términos señalados en el considerando cuarto.</w:t>
      </w:r>
    </w:p>
    <w:p w14:paraId="634E6C21" w14:textId="77777777" w:rsidR="00CC7E26" w:rsidRPr="00CC7E26" w:rsidRDefault="00CC7E26" w:rsidP="00CC7E26">
      <w:pPr>
        <w:pStyle w:val="Textoindependienteprimerasangra"/>
        <w:spacing w:after="0" w:line="240" w:lineRule="auto"/>
        <w:ind w:left="1134" w:right="1185" w:firstLine="0"/>
        <w:rPr>
          <w:rFonts w:ascii="Arial" w:hAnsi="Arial" w:cs="Arial"/>
          <w:sz w:val="22"/>
        </w:rPr>
      </w:pPr>
      <w:r w:rsidRPr="00CC7E26">
        <w:rPr>
          <w:rFonts w:ascii="Arial" w:hAnsi="Arial" w:cs="Arial"/>
          <w:sz w:val="20"/>
        </w:rPr>
        <w:t>Asimismo, el Obligado deberá realizar la versión pública que corresponda conforme lo establecido en el artículo 125 de la Ley de Transparencia Local, observando para su elaboración lo establecido en el artículo sexagésimo de los Lineamientos de Clasificación Desclasificación de la Información, así como para la Elaboración de Versiones Públicas.</w:t>
      </w:r>
    </w:p>
    <w:p w14:paraId="6228C18F" w14:textId="5ACBC3FB" w:rsidR="004652C3" w:rsidRPr="004652C3" w:rsidRDefault="004652C3" w:rsidP="004652C3">
      <w:pPr>
        <w:pStyle w:val="Prrafodelista"/>
        <w:spacing w:after="0" w:line="240" w:lineRule="auto"/>
        <w:ind w:left="1134" w:right="1185"/>
        <w:jc w:val="both"/>
        <w:rPr>
          <w:rFonts w:ascii="Arial" w:eastAsia="Arial" w:hAnsi="Arial" w:cs="Arial"/>
          <w:bCs/>
          <w:sz w:val="20"/>
          <w:szCs w:val="20"/>
        </w:rPr>
      </w:pPr>
    </w:p>
    <w:p w14:paraId="133292CF" w14:textId="77777777" w:rsidR="00DD32E0" w:rsidRPr="00B93599" w:rsidRDefault="00DD32E0" w:rsidP="00DD32E0">
      <w:pPr>
        <w:tabs>
          <w:tab w:val="left" w:pos="7371"/>
        </w:tabs>
        <w:ind w:left="1134" w:right="1070"/>
        <w:contextualSpacing/>
        <w:jc w:val="both"/>
        <w:rPr>
          <w:rFonts w:ascii="Arial" w:hAnsi="Arial" w:cs="Arial"/>
          <w:sz w:val="22"/>
          <w:szCs w:val="22"/>
          <w:lang w:val="es-MX"/>
        </w:rPr>
      </w:pPr>
    </w:p>
    <w:p w14:paraId="7D04407C" w14:textId="77777777" w:rsidR="00CC7E26" w:rsidRPr="00CC7E26" w:rsidRDefault="00CC7E26" w:rsidP="00CC7E26">
      <w:pPr>
        <w:spacing w:line="360" w:lineRule="auto"/>
        <w:ind w:firstLine="709"/>
        <w:jc w:val="both"/>
        <w:rPr>
          <w:rFonts w:ascii="Arial" w:eastAsia="Arial" w:hAnsi="Arial" w:cs="Arial"/>
          <w:bCs/>
          <w:iCs/>
          <w:spacing w:val="1"/>
          <w:sz w:val="22"/>
          <w:szCs w:val="20"/>
        </w:rPr>
      </w:pPr>
      <w:r w:rsidRPr="00CC7E26">
        <w:rPr>
          <w:rFonts w:ascii="Arial" w:eastAsia="Arial" w:hAnsi="Arial" w:cs="Arial"/>
          <w:b/>
          <w:bCs/>
          <w:iCs/>
          <w:spacing w:val="1"/>
          <w:sz w:val="22"/>
          <w:szCs w:val="20"/>
        </w:rPr>
        <w:t xml:space="preserve">CUARTO. Requerimiento. </w:t>
      </w:r>
      <w:r w:rsidRPr="00CC7E26">
        <w:rPr>
          <w:rFonts w:ascii="Arial" w:eastAsia="Arial" w:hAnsi="Arial" w:cs="Arial"/>
          <w:bCs/>
          <w:iCs/>
          <w:spacing w:val="1"/>
          <w:sz w:val="22"/>
          <w:szCs w:val="20"/>
        </w:rPr>
        <w:t xml:space="preserve">El 26 veintiséis de enero de 2026 dos mil veintiséis, se dictó un proveído por el que se requirió al sujeto obligado para efecto de que otorgue cumplimiento a la resolución de 05 cinco de diciembre de 2025 dos mil veinticinco. </w:t>
      </w:r>
    </w:p>
    <w:p w14:paraId="272AD22E" w14:textId="77777777" w:rsidR="00CC7E26" w:rsidRPr="00CC7E26" w:rsidRDefault="00CC7E26" w:rsidP="00CC7E26">
      <w:pPr>
        <w:spacing w:line="360" w:lineRule="auto"/>
        <w:ind w:firstLine="709"/>
        <w:jc w:val="both"/>
        <w:rPr>
          <w:rFonts w:ascii="Arial" w:eastAsia="Arial" w:hAnsi="Arial" w:cs="Arial"/>
          <w:bCs/>
          <w:iCs/>
          <w:spacing w:val="1"/>
          <w:sz w:val="22"/>
          <w:szCs w:val="20"/>
        </w:rPr>
      </w:pPr>
    </w:p>
    <w:p w14:paraId="30CDEF60" w14:textId="6F84781D" w:rsidR="00CC7E26" w:rsidRDefault="00CC7E26" w:rsidP="00CC7E26">
      <w:pPr>
        <w:spacing w:line="360" w:lineRule="auto"/>
        <w:ind w:firstLine="709"/>
        <w:jc w:val="both"/>
        <w:rPr>
          <w:rFonts w:ascii="Arial" w:eastAsia="Arial" w:hAnsi="Arial" w:cs="Arial"/>
          <w:bCs/>
          <w:iCs/>
          <w:spacing w:val="1"/>
          <w:sz w:val="22"/>
          <w:szCs w:val="20"/>
        </w:rPr>
      </w:pPr>
      <w:r w:rsidRPr="00CC7E26">
        <w:rPr>
          <w:rFonts w:ascii="Arial" w:eastAsia="Arial" w:hAnsi="Arial" w:cs="Arial"/>
          <w:b/>
          <w:bCs/>
          <w:iCs/>
          <w:spacing w:val="1"/>
          <w:sz w:val="22"/>
          <w:szCs w:val="20"/>
        </w:rPr>
        <w:t xml:space="preserve">QUINTO. Ampliación del Plazo para cumplimentar la determinación de Pleno. </w:t>
      </w:r>
      <w:r w:rsidRPr="00CC7E26">
        <w:rPr>
          <w:rFonts w:ascii="Arial" w:eastAsia="Arial" w:hAnsi="Arial" w:cs="Arial"/>
          <w:bCs/>
          <w:iCs/>
          <w:spacing w:val="1"/>
          <w:sz w:val="22"/>
          <w:szCs w:val="20"/>
        </w:rPr>
        <w:t xml:space="preserve">El 05 cinco de febrero de 2026 dos mil veintiséis, se dictó un proveído por el cual se concedió al sujeto obligado, una prórroga de 10 días hábiles para cumplimentar la resolución que nos ocupa. </w:t>
      </w:r>
    </w:p>
    <w:p w14:paraId="4800D7F0" w14:textId="47CFEE16" w:rsidR="00CC7E26" w:rsidRDefault="00CC7E26" w:rsidP="00CC7E26">
      <w:pPr>
        <w:spacing w:line="360" w:lineRule="auto"/>
        <w:ind w:firstLine="709"/>
        <w:jc w:val="both"/>
        <w:rPr>
          <w:rFonts w:ascii="Arial" w:eastAsia="Arial" w:hAnsi="Arial" w:cs="Arial"/>
          <w:bCs/>
          <w:iCs/>
          <w:spacing w:val="1"/>
          <w:sz w:val="22"/>
          <w:szCs w:val="20"/>
        </w:rPr>
      </w:pPr>
    </w:p>
    <w:p w14:paraId="0E8AC202" w14:textId="77777777" w:rsidR="00CC7E26" w:rsidRPr="00CC7E26" w:rsidRDefault="00CC7E26" w:rsidP="00CC7E26">
      <w:pPr>
        <w:spacing w:line="360" w:lineRule="auto"/>
        <w:ind w:firstLine="709"/>
        <w:jc w:val="both"/>
        <w:rPr>
          <w:rFonts w:ascii="Arial" w:eastAsia="Arial" w:hAnsi="Arial" w:cs="Arial"/>
          <w:bCs/>
          <w:iCs/>
          <w:spacing w:val="1"/>
          <w:sz w:val="22"/>
          <w:szCs w:val="22"/>
        </w:rPr>
      </w:pPr>
      <w:r w:rsidRPr="00CC7E26">
        <w:rPr>
          <w:rFonts w:ascii="Arial" w:eastAsia="Arial" w:hAnsi="Arial" w:cs="Arial"/>
          <w:b/>
          <w:bCs/>
          <w:iCs/>
          <w:spacing w:val="1"/>
          <w:sz w:val="22"/>
          <w:szCs w:val="20"/>
        </w:rPr>
        <w:t xml:space="preserve">SEXTO. </w:t>
      </w:r>
      <w:r>
        <w:rPr>
          <w:rFonts w:ascii="Arial" w:eastAsia="Arial" w:hAnsi="Arial" w:cs="Arial"/>
          <w:b/>
          <w:bCs/>
          <w:iCs/>
          <w:spacing w:val="1"/>
          <w:sz w:val="22"/>
          <w:szCs w:val="20"/>
        </w:rPr>
        <w:tab/>
        <w:t>Manifestaciones de las partes.</w:t>
      </w:r>
      <w:r w:rsidRPr="00CC7E26">
        <w:rPr>
          <w:rFonts w:ascii="Arial" w:eastAsia="Arial" w:hAnsi="Arial" w:cs="Arial"/>
          <w:b/>
          <w:bCs/>
          <w:iCs/>
          <w:spacing w:val="1"/>
          <w:sz w:val="22"/>
          <w:szCs w:val="22"/>
        </w:rPr>
        <w:t xml:space="preserve"> </w:t>
      </w:r>
      <w:r w:rsidRPr="00CC7E26">
        <w:rPr>
          <w:rFonts w:ascii="Arial" w:eastAsia="Arial" w:hAnsi="Arial" w:cs="Arial"/>
          <w:bCs/>
          <w:iCs/>
          <w:spacing w:val="1"/>
          <w:sz w:val="22"/>
          <w:szCs w:val="22"/>
        </w:rPr>
        <w:t xml:space="preserve">El 23 veintitrés de febrero de 2026 dos mil veintiséis, se dictó un Acuerdo a través del cual se recibió el documento por el cual el Sujeto Obligado pretende acreditar el cumplimiento a la presente </w:t>
      </w:r>
      <w:r w:rsidRPr="00CC7E26">
        <w:rPr>
          <w:rFonts w:ascii="Arial" w:eastAsia="Arial" w:hAnsi="Arial" w:cs="Arial"/>
          <w:bCs/>
          <w:iCs/>
          <w:spacing w:val="1"/>
          <w:sz w:val="22"/>
          <w:szCs w:val="22"/>
        </w:rPr>
        <w:lastRenderedPageBreak/>
        <w:t xml:space="preserve">resolución, a través del “DRIVE” consultable en </w:t>
      </w:r>
      <w:hyperlink r:id="rId8" w:history="1">
        <w:r w:rsidRPr="00CC7E26">
          <w:rPr>
            <w:rStyle w:val="Hipervnculo"/>
            <w:rFonts w:ascii="Arial" w:eastAsia="Arial" w:hAnsi="Arial" w:cs="Arial"/>
            <w:bCs/>
            <w:iCs/>
            <w:spacing w:val="1"/>
            <w:sz w:val="22"/>
            <w:szCs w:val="22"/>
          </w:rPr>
          <w:t>https://drive.google.com/file/d/10dcujSDb49GzXNadepMMQAeUpkZVjzut/view</w:t>
        </w:r>
      </w:hyperlink>
      <w:r w:rsidRPr="00CC7E26">
        <w:rPr>
          <w:rFonts w:ascii="Arial" w:eastAsia="Arial" w:hAnsi="Arial" w:cs="Arial"/>
          <w:bCs/>
          <w:iCs/>
          <w:spacing w:val="1"/>
          <w:sz w:val="22"/>
          <w:szCs w:val="22"/>
        </w:rPr>
        <w:t xml:space="preserve">   </w:t>
      </w:r>
    </w:p>
    <w:p w14:paraId="7C4183DD" w14:textId="77777777" w:rsidR="00CC7E26" w:rsidRPr="00CC7E26" w:rsidRDefault="00CC7E26" w:rsidP="00CC7E26">
      <w:pPr>
        <w:spacing w:line="360" w:lineRule="auto"/>
        <w:ind w:firstLine="709"/>
        <w:jc w:val="both"/>
        <w:rPr>
          <w:rFonts w:ascii="Arial" w:eastAsia="Arial" w:hAnsi="Arial" w:cs="Arial"/>
          <w:bCs/>
          <w:iCs/>
          <w:spacing w:val="1"/>
          <w:sz w:val="22"/>
          <w:szCs w:val="22"/>
        </w:rPr>
      </w:pPr>
    </w:p>
    <w:p w14:paraId="786CBDE0" w14:textId="44B4CAB8" w:rsidR="00CC7E26" w:rsidRPr="00CC7E26" w:rsidRDefault="00CC7E26" w:rsidP="00CC7E26">
      <w:pPr>
        <w:spacing w:line="360" w:lineRule="auto"/>
        <w:ind w:firstLine="709"/>
        <w:jc w:val="both"/>
        <w:rPr>
          <w:rFonts w:ascii="Arial" w:eastAsia="Arial" w:hAnsi="Arial" w:cs="Arial"/>
          <w:bCs/>
          <w:i/>
          <w:iCs/>
          <w:spacing w:val="1"/>
          <w:sz w:val="22"/>
          <w:szCs w:val="22"/>
        </w:rPr>
      </w:pPr>
      <w:r w:rsidRPr="00CC7E26">
        <w:rPr>
          <w:rFonts w:ascii="Arial" w:eastAsia="Arial" w:hAnsi="Arial" w:cs="Arial"/>
          <w:bCs/>
          <w:iCs/>
          <w:spacing w:val="1"/>
          <w:sz w:val="22"/>
          <w:szCs w:val="22"/>
        </w:rPr>
        <w:t xml:space="preserve">Por su parte, la persona recurrente, remitió una comunicación a través del correo institucional de esta Ponencia Instructora, señalando: </w:t>
      </w:r>
      <w:r w:rsidRPr="00CC7E26">
        <w:rPr>
          <w:rFonts w:ascii="Arial" w:eastAsia="Arial" w:hAnsi="Arial" w:cs="Arial"/>
          <w:bCs/>
          <w:i/>
          <w:iCs/>
          <w:spacing w:val="1"/>
          <w:sz w:val="22"/>
          <w:szCs w:val="22"/>
        </w:rPr>
        <w:t xml:space="preserve">“Agradezco la información enviada; revisando la información solicitada quedaron unos puntos pendientes de entregar. Espero se pueda completar la información que requerí; anexo encontrarás una imagen con los puntos entregados y faltantes. Gracias. </w:t>
      </w:r>
      <w:r>
        <w:rPr>
          <w:rFonts w:ascii="Arial" w:eastAsia="Arial" w:hAnsi="Arial" w:cs="Arial"/>
          <w:bCs/>
          <w:i/>
          <w:iCs/>
          <w:spacing w:val="1"/>
          <w:sz w:val="22"/>
          <w:szCs w:val="22"/>
        </w:rPr>
        <w:t>[…]”.</w:t>
      </w:r>
    </w:p>
    <w:p w14:paraId="0EEDA80C" w14:textId="56873ABE" w:rsidR="00CC7E26" w:rsidRDefault="00CC7E26" w:rsidP="00CC7E26">
      <w:pPr>
        <w:spacing w:line="360" w:lineRule="auto"/>
        <w:ind w:firstLine="709"/>
        <w:jc w:val="both"/>
        <w:rPr>
          <w:rFonts w:ascii="Arial" w:eastAsia="Arial" w:hAnsi="Arial" w:cs="Arial"/>
          <w:b/>
          <w:bCs/>
          <w:iCs/>
          <w:spacing w:val="1"/>
          <w:sz w:val="22"/>
          <w:szCs w:val="20"/>
        </w:rPr>
      </w:pPr>
    </w:p>
    <w:p w14:paraId="1CE572A7" w14:textId="19F979D3" w:rsidR="00CC7E26" w:rsidRDefault="00CC7E26" w:rsidP="00CC7E26">
      <w:pPr>
        <w:spacing w:line="360" w:lineRule="auto"/>
        <w:ind w:firstLine="709"/>
        <w:jc w:val="both"/>
        <w:rPr>
          <w:rFonts w:ascii="Arial" w:eastAsia="Arial" w:hAnsi="Arial" w:cs="Arial"/>
          <w:bCs/>
          <w:iCs/>
          <w:spacing w:val="1"/>
          <w:sz w:val="22"/>
          <w:szCs w:val="20"/>
        </w:rPr>
      </w:pPr>
      <w:r>
        <w:rPr>
          <w:rFonts w:ascii="Arial" w:eastAsia="Arial" w:hAnsi="Arial" w:cs="Arial"/>
          <w:b/>
          <w:bCs/>
          <w:iCs/>
          <w:spacing w:val="1"/>
          <w:sz w:val="22"/>
          <w:szCs w:val="20"/>
        </w:rPr>
        <w:t xml:space="preserve">Séptimo. Segundo requerimiento. </w:t>
      </w:r>
      <w:r w:rsidR="003035B4" w:rsidRPr="003035B4">
        <w:rPr>
          <w:rFonts w:ascii="Arial" w:eastAsia="Arial" w:hAnsi="Arial" w:cs="Arial"/>
          <w:bCs/>
          <w:iCs/>
          <w:spacing w:val="1"/>
          <w:sz w:val="22"/>
          <w:szCs w:val="20"/>
        </w:rPr>
        <w:t xml:space="preserve">Con fecha 12 doce de </w:t>
      </w:r>
      <w:r w:rsidR="003035B4">
        <w:rPr>
          <w:rFonts w:ascii="Arial" w:eastAsia="Arial" w:hAnsi="Arial" w:cs="Arial"/>
          <w:bCs/>
          <w:iCs/>
          <w:spacing w:val="1"/>
          <w:sz w:val="22"/>
          <w:szCs w:val="20"/>
        </w:rPr>
        <w:t>m</w:t>
      </w:r>
      <w:r w:rsidR="003035B4" w:rsidRPr="003035B4">
        <w:rPr>
          <w:rFonts w:ascii="Arial" w:eastAsia="Arial" w:hAnsi="Arial" w:cs="Arial"/>
          <w:bCs/>
          <w:iCs/>
          <w:spacing w:val="1"/>
          <w:sz w:val="22"/>
          <w:szCs w:val="20"/>
        </w:rPr>
        <w:t xml:space="preserve">arzo de </w:t>
      </w:r>
      <w:r w:rsidR="003035B4">
        <w:rPr>
          <w:rFonts w:ascii="Arial" w:eastAsia="Arial" w:hAnsi="Arial" w:cs="Arial"/>
          <w:bCs/>
          <w:iCs/>
          <w:spacing w:val="1"/>
          <w:sz w:val="22"/>
          <w:szCs w:val="20"/>
        </w:rPr>
        <w:t>2026 dos mil veintiséis, se emitió un acuerdo por el cual se determinó que, las constancias exhibidas por el sujeto obligado, no resultaban suficientes a fin de cumplimentar la resolución dictada en el presente asunto, por lo que se requirió nuevamente al sujeto obligado para efecto de que entregara la información faltante, consistente en:</w:t>
      </w:r>
    </w:p>
    <w:p w14:paraId="12C34F00" w14:textId="4A0F4C89" w:rsidR="003035B4" w:rsidRDefault="003035B4" w:rsidP="00CC7E26">
      <w:pPr>
        <w:spacing w:line="360" w:lineRule="auto"/>
        <w:ind w:firstLine="709"/>
        <w:jc w:val="both"/>
        <w:rPr>
          <w:rFonts w:ascii="Arial" w:eastAsia="Arial" w:hAnsi="Arial" w:cs="Arial"/>
          <w:bCs/>
          <w:iCs/>
          <w:spacing w:val="1"/>
          <w:sz w:val="22"/>
          <w:szCs w:val="20"/>
        </w:rPr>
      </w:pPr>
    </w:p>
    <w:p w14:paraId="762FA4B9" w14:textId="77777777" w:rsidR="003035B4" w:rsidRDefault="003035B4" w:rsidP="003035B4">
      <w:pPr>
        <w:pStyle w:val="Prrafodelista"/>
        <w:numPr>
          <w:ilvl w:val="0"/>
          <w:numId w:val="9"/>
        </w:numPr>
        <w:spacing w:line="240" w:lineRule="auto"/>
        <w:jc w:val="both"/>
        <w:rPr>
          <w:rFonts w:ascii="Arial" w:eastAsia="Arial" w:hAnsi="Arial" w:cs="Arial"/>
          <w:bCs/>
          <w:iCs/>
          <w:spacing w:val="1"/>
          <w:szCs w:val="20"/>
        </w:rPr>
      </w:pPr>
      <w:r w:rsidRPr="003035B4">
        <w:rPr>
          <w:rFonts w:ascii="Arial" w:eastAsia="Arial" w:hAnsi="Arial" w:cs="Arial"/>
          <w:bCs/>
          <w:iCs/>
          <w:spacing w:val="1"/>
          <w:szCs w:val="20"/>
        </w:rPr>
        <w:t xml:space="preserve">Bitácora de obra y reportes de supervisión; </w:t>
      </w:r>
    </w:p>
    <w:p w14:paraId="4E7E5854" w14:textId="77777777" w:rsidR="003035B4" w:rsidRDefault="003035B4" w:rsidP="003035B4">
      <w:pPr>
        <w:pStyle w:val="Prrafodelista"/>
        <w:numPr>
          <w:ilvl w:val="0"/>
          <w:numId w:val="9"/>
        </w:numPr>
        <w:spacing w:line="240" w:lineRule="auto"/>
        <w:jc w:val="both"/>
        <w:rPr>
          <w:rFonts w:ascii="Arial" w:eastAsia="Arial" w:hAnsi="Arial" w:cs="Arial"/>
          <w:bCs/>
          <w:iCs/>
          <w:spacing w:val="1"/>
          <w:szCs w:val="20"/>
        </w:rPr>
      </w:pPr>
      <w:r w:rsidRPr="003035B4">
        <w:rPr>
          <w:rFonts w:ascii="Arial" w:eastAsia="Arial" w:hAnsi="Arial" w:cs="Arial"/>
          <w:bCs/>
          <w:iCs/>
          <w:spacing w:val="1"/>
          <w:szCs w:val="20"/>
        </w:rPr>
        <w:t xml:space="preserve">Convenios modificatorios; y, </w:t>
      </w:r>
    </w:p>
    <w:p w14:paraId="47F7FD62" w14:textId="1F45A958" w:rsidR="003035B4" w:rsidRPr="003035B4" w:rsidRDefault="003035B4" w:rsidP="003035B4">
      <w:pPr>
        <w:pStyle w:val="Prrafodelista"/>
        <w:numPr>
          <w:ilvl w:val="0"/>
          <w:numId w:val="9"/>
        </w:numPr>
        <w:spacing w:line="240" w:lineRule="auto"/>
        <w:jc w:val="both"/>
        <w:rPr>
          <w:rFonts w:ascii="Arial" w:eastAsia="Arial" w:hAnsi="Arial" w:cs="Arial"/>
          <w:bCs/>
          <w:iCs/>
          <w:spacing w:val="1"/>
          <w:szCs w:val="20"/>
        </w:rPr>
      </w:pPr>
      <w:r w:rsidRPr="003035B4">
        <w:rPr>
          <w:rFonts w:ascii="Arial" w:eastAsia="Arial" w:hAnsi="Arial" w:cs="Arial"/>
          <w:bCs/>
          <w:iCs/>
          <w:spacing w:val="1"/>
          <w:szCs w:val="20"/>
        </w:rPr>
        <w:t>Estimaciones de avance físico-financiero mensuales</w:t>
      </w:r>
    </w:p>
    <w:p w14:paraId="5006B4F4" w14:textId="2F951718" w:rsidR="00FD493F" w:rsidRPr="003035B4" w:rsidRDefault="00FD493F" w:rsidP="00BE5415">
      <w:pPr>
        <w:tabs>
          <w:tab w:val="left" w:pos="709"/>
        </w:tabs>
        <w:spacing w:line="360" w:lineRule="auto"/>
        <w:ind w:right="49" w:firstLine="709"/>
        <w:contextualSpacing/>
        <w:jc w:val="both"/>
        <w:rPr>
          <w:rFonts w:ascii="Arial" w:hAnsi="Arial" w:cs="Arial"/>
          <w:sz w:val="22"/>
          <w:szCs w:val="22"/>
          <w:shd w:val="clear" w:color="auto" w:fill="FFFFFF"/>
          <w:lang w:val="es-MX" w:eastAsia="es-MX"/>
        </w:rPr>
      </w:pPr>
    </w:p>
    <w:p w14:paraId="1B4D1D88" w14:textId="74BC9F29" w:rsidR="003035B4" w:rsidRDefault="003035B4" w:rsidP="00101B45">
      <w:pPr>
        <w:tabs>
          <w:tab w:val="left" w:pos="709"/>
        </w:tabs>
        <w:spacing w:line="360" w:lineRule="auto"/>
        <w:ind w:right="49" w:firstLine="709"/>
        <w:contextualSpacing/>
        <w:jc w:val="both"/>
        <w:rPr>
          <w:rFonts w:ascii="Arial" w:eastAsiaTheme="minorHAnsi" w:hAnsi="Arial" w:cs="Arial"/>
          <w:sz w:val="22"/>
          <w:lang w:val="es-MX" w:eastAsia="en-US"/>
        </w:rPr>
      </w:pPr>
      <w:r w:rsidRPr="001D1951">
        <w:rPr>
          <w:rFonts w:ascii="Arial" w:eastAsiaTheme="minorHAnsi" w:hAnsi="Arial" w:cs="Arial"/>
          <w:b/>
          <w:sz w:val="22"/>
          <w:lang w:val="es-MX" w:eastAsia="en-US"/>
        </w:rPr>
        <w:t>Octavo. Incumplimiento a la resolución.</w:t>
      </w:r>
      <w:r>
        <w:rPr>
          <w:rFonts w:ascii="Arial" w:eastAsiaTheme="minorHAnsi" w:hAnsi="Arial" w:cs="Arial"/>
          <w:sz w:val="22"/>
          <w:lang w:val="es-MX" w:eastAsia="en-US"/>
        </w:rPr>
        <w:t xml:space="preserve"> Con fecha 07 siete de abril de 2026 dos mil veintiséis</w:t>
      </w:r>
      <w:r w:rsidR="001D1951">
        <w:rPr>
          <w:rFonts w:ascii="Arial" w:eastAsiaTheme="minorHAnsi" w:hAnsi="Arial" w:cs="Arial"/>
          <w:sz w:val="22"/>
          <w:lang w:val="es-MX" w:eastAsia="en-US"/>
        </w:rPr>
        <w:t>, se emitió acuerdo por el cual, se precisó que, toda vez que había transcurrido en exceso el plazo con que contaba el sujeto obligado, a fin de dar cumplimiento al auto de 12 doce de marzo de 2026 dos mil veintiséis, se declaró incumplida la resolución dictada el 05 cinco de diciembre de 2025 dos mil veinticinco; y se requirió nuevamente al sujeto obligado, para efecto de que exhibiera la documentación solicitada.</w:t>
      </w:r>
    </w:p>
    <w:p w14:paraId="6E0ED757" w14:textId="6A78585E" w:rsidR="001D1951" w:rsidRDefault="001D1951" w:rsidP="00101B45">
      <w:pPr>
        <w:tabs>
          <w:tab w:val="left" w:pos="709"/>
        </w:tabs>
        <w:spacing w:line="360" w:lineRule="auto"/>
        <w:ind w:right="49" w:firstLine="709"/>
        <w:contextualSpacing/>
        <w:jc w:val="both"/>
        <w:rPr>
          <w:rFonts w:ascii="Arial" w:eastAsiaTheme="minorHAnsi" w:hAnsi="Arial" w:cs="Arial"/>
          <w:sz w:val="22"/>
          <w:lang w:val="es-MX" w:eastAsia="en-US"/>
        </w:rPr>
      </w:pPr>
    </w:p>
    <w:p w14:paraId="25E2FC85" w14:textId="5B961A0F" w:rsidR="001D1951" w:rsidRPr="001D1951" w:rsidRDefault="001D1951" w:rsidP="00101B45">
      <w:pPr>
        <w:tabs>
          <w:tab w:val="left" w:pos="709"/>
        </w:tabs>
        <w:spacing w:line="360" w:lineRule="auto"/>
        <w:ind w:right="49" w:firstLine="709"/>
        <w:contextualSpacing/>
        <w:jc w:val="both"/>
        <w:rPr>
          <w:rFonts w:ascii="Arial" w:eastAsiaTheme="minorHAnsi" w:hAnsi="Arial" w:cs="Arial"/>
          <w:sz w:val="22"/>
          <w:lang w:val="es-MX" w:eastAsia="en-US"/>
        </w:rPr>
      </w:pPr>
      <w:r w:rsidRPr="001D1951">
        <w:rPr>
          <w:rFonts w:ascii="Arial" w:eastAsiaTheme="minorHAnsi" w:hAnsi="Arial" w:cs="Arial"/>
          <w:b/>
          <w:sz w:val="22"/>
          <w:lang w:val="es-MX" w:eastAsia="en-US"/>
        </w:rPr>
        <w:t xml:space="preserve">Noveno. Entrega de información. </w:t>
      </w:r>
      <w:r>
        <w:rPr>
          <w:rFonts w:ascii="Arial" w:eastAsiaTheme="minorHAnsi" w:hAnsi="Arial" w:cs="Arial"/>
          <w:sz w:val="22"/>
          <w:lang w:val="es-MX" w:eastAsia="en-US"/>
        </w:rPr>
        <w:t>Mediante auto de 27 veintisiete de abril de 2026 dos mil veintiséis, se tuvo por recibida la comunicación electrónica, remitida por el sujeto obligado, a través de la cual realizó manifestaciones en relación al cumplimiento otorgado a la resolución de mérito y ofreció pruebas.</w:t>
      </w:r>
    </w:p>
    <w:p w14:paraId="46E3394B" w14:textId="77777777" w:rsidR="003035B4" w:rsidRDefault="003035B4" w:rsidP="00101B45">
      <w:pPr>
        <w:tabs>
          <w:tab w:val="left" w:pos="709"/>
        </w:tabs>
        <w:spacing w:line="360" w:lineRule="auto"/>
        <w:ind w:right="49" w:firstLine="709"/>
        <w:contextualSpacing/>
        <w:jc w:val="both"/>
        <w:rPr>
          <w:rFonts w:ascii="Arial" w:eastAsiaTheme="minorHAnsi" w:hAnsi="Arial" w:cs="Arial"/>
          <w:sz w:val="22"/>
          <w:lang w:val="es-MX" w:eastAsia="en-US"/>
        </w:rPr>
      </w:pPr>
    </w:p>
    <w:p w14:paraId="05A3B3A3" w14:textId="62433208" w:rsidR="00101B45" w:rsidRPr="004652C3" w:rsidRDefault="00101B45" w:rsidP="00101B45">
      <w:pPr>
        <w:tabs>
          <w:tab w:val="left" w:pos="709"/>
        </w:tabs>
        <w:spacing w:line="360" w:lineRule="auto"/>
        <w:ind w:right="49" w:firstLine="709"/>
        <w:contextualSpacing/>
        <w:jc w:val="both"/>
        <w:rPr>
          <w:rFonts w:ascii="Arial" w:hAnsi="Arial" w:cs="Arial"/>
          <w:sz w:val="20"/>
          <w:szCs w:val="22"/>
          <w:shd w:val="clear" w:color="auto" w:fill="FFFFFF"/>
          <w:lang w:val="es-MX" w:eastAsia="es-MX"/>
        </w:rPr>
      </w:pPr>
      <w:r w:rsidRPr="004652C3">
        <w:rPr>
          <w:rFonts w:ascii="Arial" w:eastAsiaTheme="minorHAnsi" w:hAnsi="Arial" w:cs="Arial"/>
          <w:sz w:val="22"/>
          <w:lang w:val="es-MX" w:eastAsia="en-US"/>
        </w:rPr>
        <w:t>En razón de lo anterior, se otorgó a la ahora parte recurrente el plazo de cinco días hábiles, a efecto de que realizara las manifestaciones que conforme a derecho correspondieran, respecto de la documentación exhibida por el sujeto obligado; sin que a la fecha del presente ocurriera a desahogar dicha vista; y,</w:t>
      </w:r>
    </w:p>
    <w:p w14:paraId="2A5E29B5" w14:textId="77777777" w:rsidR="00A27C50" w:rsidRPr="00B93599" w:rsidRDefault="00A27C50" w:rsidP="006E3DBD">
      <w:pPr>
        <w:spacing w:line="360" w:lineRule="auto"/>
        <w:ind w:right="111"/>
        <w:jc w:val="center"/>
        <w:rPr>
          <w:rFonts w:ascii="Arial" w:eastAsia="Arial" w:hAnsi="Arial" w:cs="Arial"/>
          <w:b/>
          <w:spacing w:val="1"/>
          <w:sz w:val="22"/>
          <w:szCs w:val="22"/>
          <w:lang w:eastAsia="en-US"/>
        </w:rPr>
      </w:pPr>
    </w:p>
    <w:p w14:paraId="24AA31E5" w14:textId="502A15C2" w:rsidR="008E2C25" w:rsidRPr="00B93599" w:rsidRDefault="00CF4E16" w:rsidP="008E2C25">
      <w:pPr>
        <w:spacing w:line="360" w:lineRule="auto"/>
        <w:ind w:firstLine="708"/>
        <w:jc w:val="center"/>
        <w:rPr>
          <w:rFonts w:ascii="Arial" w:hAnsi="Arial" w:cs="Arial"/>
          <w:b/>
          <w:sz w:val="22"/>
          <w:szCs w:val="22"/>
        </w:rPr>
      </w:pPr>
      <w:r w:rsidRPr="00B93599">
        <w:rPr>
          <w:rFonts w:ascii="Arial" w:hAnsi="Arial" w:cs="Arial"/>
          <w:b/>
          <w:sz w:val="22"/>
          <w:szCs w:val="22"/>
        </w:rPr>
        <w:t>CONSIDERANDO</w:t>
      </w:r>
    </w:p>
    <w:p w14:paraId="3048D1F8" w14:textId="77777777" w:rsidR="008E2C25" w:rsidRPr="00B93599" w:rsidRDefault="008E2C25" w:rsidP="008E2C25">
      <w:pPr>
        <w:spacing w:line="360" w:lineRule="auto"/>
        <w:jc w:val="both"/>
        <w:rPr>
          <w:rFonts w:ascii="Arial" w:hAnsi="Arial" w:cs="Arial"/>
          <w:b/>
          <w:sz w:val="22"/>
          <w:szCs w:val="22"/>
        </w:rPr>
      </w:pPr>
      <w:r w:rsidRPr="00B93599">
        <w:rPr>
          <w:rFonts w:ascii="Arial" w:hAnsi="Arial" w:cs="Arial"/>
          <w:b/>
          <w:sz w:val="22"/>
          <w:szCs w:val="22"/>
        </w:rPr>
        <w:lastRenderedPageBreak/>
        <w:tab/>
      </w:r>
    </w:p>
    <w:p w14:paraId="2166E116" w14:textId="77777777" w:rsidR="004652C3" w:rsidRPr="004652C3" w:rsidRDefault="008E2C25" w:rsidP="004652C3">
      <w:pPr>
        <w:spacing w:line="360" w:lineRule="auto"/>
        <w:ind w:firstLine="708"/>
        <w:jc w:val="both"/>
        <w:rPr>
          <w:rFonts w:ascii="Arial" w:eastAsia="Calibri" w:hAnsi="Arial" w:cs="Arial"/>
          <w:sz w:val="22"/>
          <w:szCs w:val="22"/>
        </w:rPr>
      </w:pPr>
      <w:r w:rsidRPr="00B93599">
        <w:rPr>
          <w:rFonts w:ascii="Arial" w:eastAsia="Arial" w:hAnsi="Arial" w:cs="Arial"/>
          <w:b/>
          <w:spacing w:val="1"/>
          <w:sz w:val="22"/>
          <w:szCs w:val="22"/>
        </w:rPr>
        <w:t xml:space="preserve">PRIMERO. </w:t>
      </w:r>
      <w:r w:rsidR="004652C3" w:rsidRPr="004652C3">
        <w:rPr>
          <w:rFonts w:ascii="Arial" w:hAnsi="Arial" w:cs="Arial"/>
          <w:sz w:val="22"/>
          <w:szCs w:val="22"/>
        </w:rPr>
        <w:t xml:space="preserve">La Comisionada Ponente es competente para conocer el presente asunto, en términos de lo establecido en el </w:t>
      </w:r>
      <w:r w:rsidR="004652C3" w:rsidRPr="004652C3">
        <w:rPr>
          <w:rFonts w:ascii="Arial" w:hAnsi="Arial" w:cs="Arial"/>
          <w:sz w:val="22"/>
        </w:rPr>
        <w:t>Transitorio OCTAVO del DECRETO 0506, publicado en la edición extraordinaria del miércoles 01 primero de abril de 2026 dos mil veintiséis, del Periódico Oficial del Estado de San Luis Potosí, en correlación con</w:t>
      </w:r>
      <w:r w:rsidR="004652C3" w:rsidRPr="004652C3">
        <w:rPr>
          <w:rFonts w:ascii="Arial" w:hAnsi="Arial" w:cs="Arial"/>
          <w:sz w:val="22"/>
          <w:szCs w:val="22"/>
        </w:rPr>
        <w:t xml:space="preserve"> los artículos 27, </w:t>
      </w:r>
      <w:r w:rsidR="004652C3" w:rsidRPr="004652C3">
        <w:rPr>
          <w:rFonts w:ascii="Arial" w:hAnsi="Arial" w:cs="Arial"/>
          <w:sz w:val="22"/>
          <w:szCs w:val="22"/>
          <w:shd w:val="clear" w:color="auto" w:fill="FFFFFF"/>
        </w:rPr>
        <w:t>34 fracción I y II</w:t>
      </w:r>
      <w:r w:rsidR="004652C3" w:rsidRPr="004652C3">
        <w:rPr>
          <w:rFonts w:ascii="Arial" w:hAnsi="Arial" w:cs="Arial"/>
          <w:sz w:val="22"/>
          <w:szCs w:val="22"/>
        </w:rPr>
        <w:t xml:space="preserve"> y 174 fracción I de la Ley de Transparencia y Acceso a la Información Pública del Estado de San Luis Potosí, así como por el artículo 8º, fracción II </w:t>
      </w:r>
      <w:r w:rsidR="004652C3" w:rsidRPr="004652C3">
        <w:rPr>
          <w:rFonts w:ascii="Arial" w:eastAsia="Calibri" w:hAnsi="Arial" w:cs="Arial"/>
          <w:sz w:val="22"/>
          <w:szCs w:val="22"/>
        </w:rPr>
        <w:t>del Reglamento Interior de la Comisión Estatal de Garantía de Acceso a la Información Pública.</w:t>
      </w:r>
    </w:p>
    <w:p w14:paraId="02D5C683" w14:textId="77777777" w:rsidR="004652C3" w:rsidRPr="004652C3" w:rsidRDefault="004652C3" w:rsidP="004652C3">
      <w:pPr>
        <w:pStyle w:val="Sinespaciado"/>
        <w:rPr>
          <w:rFonts w:ascii="Arial" w:eastAsia="Calibri" w:hAnsi="Arial" w:cs="Arial"/>
        </w:rPr>
      </w:pPr>
    </w:p>
    <w:p w14:paraId="058985A8" w14:textId="5E2D47EF" w:rsidR="008E2C25" w:rsidRPr="004652C3" w:rsidRDefault="004652C3" w:rsidP="004652C3">
      <w:pPr>
        <w:spacing w:line="360" w:lineRule="auto"/>
        <w:ind w:firstLine="709"/>
        <w:jc w:val="both"/>
        <w:rPr>
          <w:rFonts w:ascii="Arial" w:hAnsi="Arial" w:cs="Arial"/>
          <w:sz w:val="20"/>
          <w:szCs w:val="22"/>
        </w:rPr>
      </w:pPr>
      <w:r w:rsidRPr="004652C3">
        <w:rPr>
          <w:rFonts w:ascii="Arial" w:hAnsi="Arial" w:cs="Arial"/>
          <w:sz w:val="22"/>
          <w:szCs w:val="22"/>
        </w:rPr>
        <w:t xml:space="preserve">La suscrita es competente para dictar el presente Acuerdo, de conformidad con lo establecido en los artículos 27 y </w:t>
      </w:r>
      <w:r w:rsidRPr="004652C3">
        <w:rPr>
          <w:rFonts w:ascii="Arial" w:hAnsi="Arial" w:cs="Arial"/>
          <w:sz w:val="22"/>
          <w:szCs w:val="22"/>
          <w:shd w:val="clear" w:color="auto" w:fill="FFFFFF"/>
        </w:rPr>
        <w:t xml:space="preserve">34 fracción I y II de la Ley de Transparencia y Acceso a la Información Pública del Estado de San Luis Potosí; así como los artículos 2°, 5º, </w:t>
      </w:r>
      <w:r w:rsidRPr="004652C3">
        <w:rPr>
          <w:rFonts w:ascii="Arial" w:hAnsi="Arial" w:cs="Arial"/>
          <w:sz w:val="22"/>
          <w:szCs w:val="22"/>
        </w:rPr>
        <w:t xml:space="preserve">8º fracción II y </w:t>
      </w:r>
      <w:r w:rsidRPr="004652C3">
        <w:rPr>
          <w:rFonts w:ascii="Arial" w:eastAsia="Calibri" w:hAnsi="Arial" w:cs="Arial"/>
          <w:sz w:val="22"/>
          <w:szCs w:val="22"/>
        </w:rPr>
        <w:t>51 fracción VII del Reglamento Interior de la Comisión Estatal de Garantía de Acceso a la Información Pública, en correlación con el Acuerdo CEGAIP-738/2023, emitido por el Pleno de este Órgano Garante el 05 cinco de octubre de 2023 dos mil veintitrés y publicado en el Periódico Oficial del Estado el 01 primero de noviembre del mismo año.</w:t>
      </w:r>
    </w:p>
    <w:p w14:paraId="41813264" w14:textId="52BEA770" w:rsidR="00315D18" w:rsidRPr="006E3DBD" w:rsidRDefault="00315D18" w:rsidP="00315D18">
      <w:pPr>
        <w:spacing w:line="360" w:lineRule="auto"/>
        <w:ind w:right="111" w:firstLine="567"/>
        <w:jc w:val="both"/>
        <w:rPr>
          <w:rFonts w:ascii="Arial" w:eastAsia="Arial" w:hAnsi="Arial" w:cs="Arial"/>
          <w:spacing w:val="1"/>
          <w:sz w:val="22"/>
          <w:szCs w:val="22"/>
          <w:lang w:eastAsia="en-US"/>
        </w:rPr>
      </w:pPr>
    </w:p>
    <w:p w14:paraId="5EB1C9C9" w14:textId="50AB42F8" w:rsidR="00101B45" w:rsidRPr="00101B45" w:rsidRDefault="00101B45" w:rsidP="00101B45">
      <w:pPr>
        <w:spacing w:line="360" w:lineRule="auto"/>
        <w:ind w:right="111" w:firstLine="708"/>
        <w:jc w:val="both"/>
        <w:rPr>
          <w:rFonts w:ascii="Arial" w:hAnsi="Arial" w:cs="Arial"/>
          <w:sz w:val="22"/>
        </w:rPr>
      </w:pPr>
      <w:r w:rsidRPr="00101B45">
        <w:rPr>
          <w:rFonts w:ascii="Arial" w:hAnsi="Arial" w:cs="Arial"/>
          <w:b/>
          <w:sz w:val="22"/>
        </w:rPr>
        <w:t>SEGUNDO.</w:t>
      </w:r>
      <w:r w:rsidRPr="00101B45">
        <w:rPr>
          <w:rFonts w:ascii="Arial" w:hAnsi="Arial" w:cs="Arial"/>
          <w:sz w:val="22"/>
        </w:rPr>
        <w:t xml:space="preserve"> </w:t>
      </w:r>
      <w:r w:rsidRPr="00101B45">
        <w:rPr>
          <w:rFonts w:ascii="Arial" w:hAnsi="Arial" w:cs="Arial"/>
          <w:b/>
          <w:sz w:val="22"/>
        </w:rPr>
        <w:t>Preclusión de derecho a manifestar</w:t>
      </w:r>
      <w:r w:rsidRPr="00101B45">
        <w:rPr>
          <w:rFonts w:ascii="Arial" w:hAnsi="Arial" w:cs="Arial"/>
          <w:sz w:val="22"/>
        </w:rPr>
        <w:t xml:space="preserve">. Se comunica a la parte recurrente, que el plazo legal concedido para que manifestara lo que a su derecho conviniera o aportara elementos que estimaran pertinentes, feneció el día </w:t>
      </w:r>
      <w:r w:rsidR="001D1951">
        <w:rPr>
          <w:rFonts w:ascii="Arial" w:hAnsi="Arial" w:cs="Arial"/>
          <w:sz w:val="22"/>
        </w:rPr>
        <w:t>06 seis de mayo de 2026 dos mil veintiséis</w:t>
      </w:r>
      <w:r w:rsidRPr="00101B45">
        <w:rPr>
          <w:rFonts w:ascii="Arial" w:hAnsi="Arial" w:cs="Arial"/>
          <w:sz w:val="22"/>
        </w:rPr>
        <w:t xml:space="preserve">, de conformidad con los artículos 184 y 185 de la Ley de Transparencia y Acceso a la Información Pública del Estado. </w:t>
      </w:r>
    </w:p>
    <w:p w14:paraId="6597105D" w14:textId="77777777" w:rsidR="00101B45" w:rsidRPr="00101B45" w:rsidRDefault="00101B45" w:rsidP="00101B45">
      <w:pPr>
        <w:spacing w:line="360" w:lineRule="auto"/>
        <w:ind w:right="111"/>
        <w:jc w:val="both"/>
        <w:rPr>
          <w:rFonts w:ascii="Arial" w:eastAsia="Arial" w:hAnsi="Arial" w:cs="Arial"/>
          <w:b/>
          <w:spacing w:val="1"/>
          <w:sz w:val="22"/>
        </w:rPr>
      </w:pPr>
    </w:p>
    <w:p w14:paraId="6F5BB2A6" w14:textId="4ACEB452" w:rsidR="00101B45" w:rsidRPr="00101B45" w:rsidRDefault="00101B45" w:rsidP="00101B45">
      <w:pPr>
        <w:spacing w:line="360" w:lineRule="auto"/>
        <w:ind w:right="111" w:firstLine="708"/>
        <w:jc w:val="both"/>
        <w:rPr>
          <w:rFonts w:ascii="Arial" w:hAnsi="Arial" w:cs="Arial"/>
          <w:sz w:val="22"/>
        </w:rPr>
      </w:pPr>
      <w:r w:rsidRPr="00101B45">
        <w:rPr>
          <w:rFonts w:ascii="Arial" w:hAnsi="Arial" w:cs="Arial"/>
          <w:sz w:val="22"/>
        </w:rPr>
        <w:t>En razón de lo anterior, se tiene por precluído el derecho de la parte recurrente para realizar las manifestaciones que estimaran convenientes, en razón de que no se recibieron manifestaciones ni pruebas, conforme a lo previsto en los artículos 184 y 185 de la Ley de Transparencia y Acceso a la Información Pública del Estado.</w:t>
      </w:r>
    </w:p>
    <w:p w14:paraId="0EB632C1" w14:textId="77777777" w:rsidR="00101B45" w:rsidRPr="00101B45" w:rsidRDefault="00101B45" w:rsidP="00101B45">
      <w:pPr>
        <w:spacing w:line="360" w:lineRule="auto"/>
        <w:ind w:right="111" w:firstLine="708"/>
        <w:jc w:val="both"/>
        <w:rPr>
          <w:rFonts w:ascii="Arial" w:hAnsi="Arial" w:cs="Arial"/>
          <w:sz w:val="22"/>
        </w:rPr>
      </w:pPr>
    </w:p>
    <w:p w14:paraId="10C577FB" w14:textId="77777777" w:rsidR="00101B45" w:rsidRPr="00101B45" w:rsidRDefault="00101B45" w:rsidP="00101B45">
      <w:pPr>
        <w:spacing w:line="360" w:lineRule="auto"/>
        <w:ind w:firstLine="708"/>
        <w:jc w:val="both"/>
        <w:rPr>
          <w:rFonts w:ascii="Arial" w:hAnsi="Arial" w:cs="Arial"/>
          <w:sz w:val="22"/>
          <w:szCs w:val="22"/>
          <w:lang w:eastAsia="es-MX"/>
        </w:rPr>
      </w:pPr>
      <w:r w:rsidRPr="00101B45">
        <w:rPr>
          <w:rFonts w:ascii="Arial" w:hAnsi="Arial" w:cs="Arial"/>
          <w:b/>
          <w:sz w:val="22"/>
          <w:szCs w:val="22"/>
          <w:lang w:eastAsia="es-MX"/>
        </w:rPr>
        <w:t>TERCERO.</w:t>
      </w:r>
      <w:r w:rsidRPr="00101B45">
        <w:rPr>
          <w:rFonts w:ascii="Arial" w:hAnsi="Arial" w:cs="Arial"/>
          <w:sz w:val="22"/>
          <w:szCs w:val="22"/>
          <w:lang w:eastAsia="es-MX"/>
        </w:rPr>
        <w:t xml:space="preserve"> </w:t>
      </w:r>
      <w:r w:rsidRPr="00101B45">
        <w:rPr>
          <w:rFonts w:ascii="Arial" w:hAnsi="Arial" w:cs="Arial"/>
          <w:b/>
          <w:sz w:val="22"/>
          <w:szCs w:val="22"/>
          <w:lang w:eastAsia="es-MX"/>
        </w:rPr>
        <w:t xml:space="preserve">Análisis de constancias. </w:t>
      </w:r>
      <w:r w:rsidRPr="00101B45">
        <w:rPr>
          <w:rFonts w:ascii="Arial" w:eastAsia="Arial" w:hAnsi="Arial" w:cs="Arial"/>
          <w:spacing w:val="1"/>
          <w:sz w:val="22"/>
          <w:szCs w:val="22"/>
        </w:rPr>
        <w:t>Una vez precisados los Antecedentes, con fundamento en lo establecido en el artículo 185 de la Ley de Transparencia y Acceso a la Información Pública del Estado, esta Comisión entrará al estudio de las constancias que integran el presente expediente.</w:t>
      </w:r>
    </w:p>
    <w:p w14:paraId="3DA7F4B3" w14:textId="776C3B23" w:rsidR="00101B45" w:rsidRDefault="00101B45" w:rsidP="00315D18">
      <w:pPr>
        <w:spacing w:line="360" w:lineRule="auto"/>
        <w:ind w:firstLine="567"/>
        <w:jc w:val="both"/>
        <w:rPr>
          <w:rFonts w:ascii="Arial" w:eastAsia="Arial" w:hAnsi="Arial" w:cs="Arial"/>
          <w:b/>
          <w:spacing w:val="1"/>
          <w:sz w:val="22"/>
          <w:szCs w:val="22"/>
        </w:rPr>
      </w:pPr>
    </w:p>
    <w:p w14:paraId="0E2596EB" w14:textId="417D5AF1" w:rsidR="007E5043" w:rsidRDefault="007E5043" w:rsidP="007E5043">
      <w:pPr>
        <w:spacing w:line="360" w:lineRule="auto"/>
        <w:ind w:firstLine="567"/>
        <w:jc w:val="both"/>
        <w:rPr>
          <w:rFonts w:ascii="Arial" w:eastAsia="Arial" w:hAnsi="Arial" w:cs="Arial"/>
          <w:spacing w:val="1"/>
          <w:sz w:val="22"/>
          <w:szCs w:val="22"/>
        </w:rPr>
      </w:pPr>
      <w:r>
        <w:rPr>
          <w:rFonts w:ascii="Arial" w:eastAsia="Arial" w:hAnsi="Arial" w:cs="Arial"/>
          <w:spacing w:val="1"/>
          <w:sz w:val="22"/>
          <w:szCs w:val="22"/>
        </w:rPr>
        <w:t xml:space="preserve">Conforme a lo expuesto mediante auto de 12 doce de marzo de 2026 dos mil veintiséis, el sujeto obligado resultó omiso en la entrega de 1. </w:t>
      </w:r>
      <w:r w:rsidRPr="007E5043">
        <w:rPr>
          <w:rFonts w:ascii="Arial" w:eastAsia="Arial" w:hAnsi="Arial" w:cs="Arial"/>
          <w:spacing w:val="1"/>
          <w:sz w:val="22"/>
          <w:szCs w:val="22"/>
        </w:rPr>
        <w:t xml:space="preserve">Bitácora de obra y reportes de supervisión; </w:t>
      </w:r>
      <w:r>
        <w:rPr>
          <w:rFonts w:ascii="Arial" w:eastAsia="Arial" w:hAnsi="Arial" w:cs="Arial"/>
          <w:spacing w:val="1"/>
          <w:sz w:val="22"/>
          <w:szCs w:val="22"/>
        </w:rPr>
        <w:t xml:space="preserve">2. </w:t>
      </w:r>
      <w:r w:rsidRPr="007E5043">
        <w:rPr>
          <w:rFonts w:ascii="Arial" w:eastAsia="Arial" w:hAnsi="Arial" w:cs="Arial"/>
          <w:spacing w:val="1"/>
          <w:sz w:val="22"/>
          <w:szCs w:val="22"/>
        </w:rPr>
        <w:t>Convenios modificatorios; y, 3.</w:t>
      </w:r>
      <w:r>
        <w:rPr>
          <w:rFonts w:ascii="Arial" w:eastAsia="Arial" w:hAnsi="Arial" w:cs="Arial"/>
          <w:spacing w:val="1"/>
          <w:sz w:val="22"/>
          <w:szCs w:val="22"/>
        </w:rPr>
        <w:t xml:space="preserve"> </w:t>
      </w:r>
      <w:r w:rsidRPr="007E5043">
        <w:rPr>
          <w:rFonts w:ascii="Arial" w:eastAsia="Arial" w:hAnsi="Arial" w:cs="Arial"/>
          <w:spacing w:val="1"/>
          <w:sz w:val="22"/>
          <w:szCs w:val="22"/>
        </w:rPr>
        <w:t xml:space="preserve">Estimaciones de avance </w:t>
      </w:r>
      <w:r w:rsidRPr="007E5043">
        <w:rPr>
          <w:rFonts w:ascii="Arial" w:eastAsia="Arial" w:hAnsi="Arial" w:cs="Arial"/>
          <w:spacing w:val="1"/>
          <w:sz w:val="22"/>
          <w:szCs w:val="22"/>
        </w:rPr>
        <w:lastRenderedPageBreak/>
        <w:t>físico-financiero mensuales</w:t>
      </w:r>
      <w:r>
        <w:rPr>
          <w:rFonts w:ascii="Arial" w:eastAsia="Arial" w:hAnsi="Arial" w:cs="Arial"/>
          <w:spacing w:val="1"/>
          <w:sz w:val="22"/>
          <w:szCs w:val="22"/>
        </w:rPr>
        <w:t>; a fin de otorgar el debido cumplimiento a la resolución dictada el 05 cinco de diciembre de 2025 dos mil veinticinco.</w:t>
      </w:r>
    </w:p>
    <w:p w14:paraId="0FB2A33C" w14:textId="77777777" w:rsidR="007E5043" w:rsidRPr="007E5043" w:rsidRDefault="007E5043" w:rsidP="007E5043">
      <w:pPr>
        <w:spacing w:line="360" w:lineRule="auto"/>
        <w:ind w:firstLine="567"/>
        <w:jc w:val="both"/>
        <w:rPr>
          <w:rFonts w:ascii="Arial" w:eastAsia="Arial" w:hAnsi="Arial" w:cs="Arial"/>
          <w:spacing w:val="1"/>
          <w:sz w:val="22"/>
          <w:szCs w:val="22"/>
        </w:rPr>
      </w:pPr>
    </w:p>
    <w:p w14:paraId="4459ED5A" w14:textId="15B3899C" w:rsidR="00101B45" w:rsidRPr="00101B45" w:rsidRDefault="00101B45" w:rsidP="00101B45">
      <w:pPr>
        <w:autoSpaceDE w:val="0"/>
        <w:autoSpaceDN w:val="0"/>
        <w:adjustRightInd w:val="0"/>
        <w:spacing w:line="360" w:lineRule="auto"/>
        <w:ind w:right="49" w:firstLine="709"/>
        <w:contextualSpacing/>
        <w:jc w:val="both"/>
        <w:rPr>
          <w:rFonts w:ascii="Arial" w:hAnsi="Arial" w:cs="Arial"/>
          <w:sz w:val="22"/>
        </w:rPr>
      </w:pPr>
      <w:r w:rsidRPr="00101B45">
        <w:rPr>
          <w:rFonts w:ascii="Arial" w:eastAsiaTheme="minorHAnsi" w:hAnsi="Arial" w:cs="Arial"/>
          <w:sz w:val="22"/>
          <w:lang w:val="es-MX" w:eastAsia="en-US"/>
        </w:rPr>
        <w:t xml:space="preserve">Es por lo anterior, que el sujeto obligado </w:t>
      </w:r>
      <w:r w:rsidR="007E5043">
        <w:rPr>
          <w:rFonts w:ascii="Arial" w:eastAsiaTheme="minorHAnsi" w:hAnsi="Arial" w:cs="Arial"/>
          <w:sz w:val="22"/>
          <w:lang w:val="es-MX" w:eastAsia="en-US"/>
        </w:rPr>
        <w:t>remitió el correo electrónico dirigido a la cuenta de correo electrónico institucional de esta Unidad de Ponencia, por medio del cual exhibió la digitalización de lo siguiente</w:t>
      </w:r>
      <w:r w:rsidRPr="00101B45">
        <w:rPr>
          <w:rFonts w:ascii="Arial" w:hAnsi="Arial" w:cs="Arial"/>
          <w:sz w:val="22"/>
        </w:rPr>
        <w:t>:</w:t>
      </w:r>
    </w:p>
    <w:p w14:paraId="48F3699D" w14:textId="77777777" w:rsidR="00101B45" w:rsidRPr="002041E4" w:rsidRDefault="00101B45" w:rsidP="00101B45">
      <w:pPr>
        <w:autoSpaceDE w:val="0"/>
        <w:autoSpaceDN w:val="0"/>
        <w:adjustRightInd w:val="0"/>
        <w:spacing w:line="360" w:lineRule="auto"/>
        <w:ind w:right="49" w:firstLine="709"/>
        <w:contextualSpacing/>
        <w:jc w:val="both"/>
        <w:rPr>
          <w:rFonts w:ascii="Arial" w:hAnsi="Arial" w:cs="Arial"/>
          <w:sz w:val="22"/>
        </w:rPr>
      </w:pPr>
    </w:p>
    <w:p w14:paraId="45FC2F1B" w14:textId="48103A85" w:rsidR="007E5043" w:rsidRPr="007E5043" w:rsidRDefault="007E5043" w:rsidP="007E5043">
      <w:pPr>
        <w:pStyle w:val="Prrafodelista"/>
        <w:numPr>
          <w:ilvl w:val="0"/>
          <w:numId w:val="10"/>
        </w:numPr>
        <w:autoSpaceDE w:val="0"/>
        <w:autoSpaceDN w:val="0"/>
        <w:adjustRightInd w:val="0"/>
        <w:ind w:right="1183"/>
        <w:jc w:val="both"/>
        <w:rPr>
          <w:rFonts w:ascii="Arial" w:hAnsi="Arial" w:cs="Arial"/>
          <w:sz w:val="20"/>
        </w:rPr>
      </w:pPr>
      <w:r w:rsidRPr="007E5043">
        <w:rPr>
          <w:rFonts w:ascii="Arial" w:hAnsi="Arial" w:cs="Arial"/>
          <w:sz w:val="20"/>
        </w:rPr>
        <w:t>Oficio sin número, emitido por el Jefe de la Unidad de Transparencia del Municipio de Rioverde, por medio del cual informa a esta Unidad Administrativa, el cumplimiento otorgado a la resolución de mérito.</w:t>
      </w:r>
    </w:p>
    <w:p w14:paraId="43AB7902" w14:textId="77777777" w:rsidR="007E5043" w:rsidRDefault="007E5043" w:rsidP="007E5043">
      <w:pPr>
        <w:pStyle w:val="Prrafodelista"/>
        <w:numPr>
          <w:ilvl w:val="0"/>
          <w:numId w:val="10"/>
        </w:numPr>
        <w:autoSpaceDE w:val="0"/>
        <w:autoSpaceDN w:val="0"/>
        <w:adjustRightInd w:val="0"/>
        <w:ind w:right="1183"/>
        <w:jc w:val="both"/>
        <w:rPr>
          <w:rFonts w:ascii="Arial" w:hAnsi="Arial" w:cs="Arial"/>
          <w:sz w:val="20"/>
        </w:rPr>
      </w:pPr>
      <w:r>
        <w:rPr>
          <w:rFonts w:ascii="Arial" w:hAnsi="Arial" w:cs="Arial"/>
          <w:sz w:val="20"/>
        </w:rPr>
        <w:t>Impresión de pantalla, del correo electrónico dirigido a la dirección de correo electrónico señalado por la ahora parte recurrente a efecto de recibir notificaciones.</w:t>
      </w:r>
    </w:p>
    <w:p w14:paraId="11A47833" w14:textId="42F7312D" w:rsidR="007E5043" w:rsidRDefault="007E5043" w:rsidP="007E5043">
      <w:pPr>
        <w:pStyle w:val="Prrafodelista"/>
        <w:numPr>
          <w:ilvl w:val="0"/>
          <w:numId w:val="10"/>
        </w:numPr>
        <w:autoSpaceDE w:val="0"/>
        <w:autoSpaceDN w:val="0"/>
        <w:adjustRightInd w:val="0"/>
        <w:ind w:right="1183"/>
        <w:jc w:val="both"/>
        <w:rPr>
          <w:rFonts w:ascii="Arial" w:hAnsi="Arial" w:cs="Arial"/>
          <w:sz w:val="20"/>
        </w:rPr>
      </w:pPr>
      <w:r>
        <w:rPr>
          <w:rFonts w:ascii="Arial" w:hAnsi="Arial" w:cs="Arial"/>
          <w:sz w:val="20"/>
        </w:rPr>
        <w:t>Oficio sin número, emitido</w:t>
      </w:r>
      <w:r w:rsidR="00FA6B10">
        <w:rPr>
          <w:rFonts w:ascii="Arial" w:hAnsi="Arial" w:cs="Arial"/>
          <w:sz w:val="20"/>
        </w:rPr>
        <w:t xml:space="preserve"> el 22 veintidós de abril de 2026 dos mil veintiséis,</w:t>
      </w:r>
      <w:r>
        <w:rPr>
          <w:rFonts w:ascii="Arial" w:hAnsi="Arial" w:cs="Arial"/>
          <w:sz w:val="20"/>
        </w:rPr>
        <w:t xml:space="preserve"> por el Jefe de la Unidad de Transparencia del Sujeto Obligado, por el cual otorga la nueva respuesta, en atención a la resolución dictada en los autos del presente asunto.</w:t>
      </w:r>
    </w:p>
    <w:p w14:paraId="26F8C6E3" w14:textId="1F9DFA47" w:rsidR="00BB218E" w:rsidRPr="007E5043" w:rsidRDefault="00BB218E" w:rsidP="007E5043">
      <w:pPr>
        <w:pStyle w:val="Prrafodelista"/>
        <w:numPr>
          <w:ilvl w:val="0"/>
          <w:numId w:val="10"/>
        </w:numPr>
        <w:autoSpaceDE w:val="0"/>
        <w:autoSpaceDN w:val="0"/>
        <w:adjustRightInd w:val="0"/>
        <w:ind w:right="1183"/>
        <w:jc w:val="both"/>
        <w:rPr>
          <w:rFonts w:ascii="Arial" w:hAnsi="Arial" w:cs="Arial"/>
          <w:sz w:val="20"/>
        </w:rPr>
      </w:pPr>
      <w:r w:rsidRPr="007E5043">
        <w:rPr>
          <w:rFonts w:ascii="Arial" w:hAnsi="Arial" w:cs="Arial"/>
          <w:sz w:val="20"/>
        </w:rPr>
        <w:t>.</w:t>
      </w:r>
      <w:r w:rsidR="00FA6B10">
        <w:rPr>
          <w:rFonts w:ascii="Arial" w:hAnsi="Arial" w:cs="Arial"/>
          <w:sz w:val="20"/>
        </w:rPr>
        <w:t xml:space="preserve"> Bitácora de Obra, Convenios modificatorios y Estimaciones de avance físico-financiero mensuales y acumuladas, informes de supervisión técnica y de control de calidad.</w:t>
      </w:r>
    </w:p>
    <w:p w14:paraId="72DD6F62" w14:textId="7E40606B" w:rsidR="002231A1" w:rsidRPr="007B194A" w:rsidRDefault="002231A1" w:rsidP="00101B45">
      <w:pPr>
        <w:autoSpaceDE w:val="0"/>
        <w:autoSpaceDN w:val="0"/>
        <w:adjustRightInd w:val="0"/>
        <w:ind w:left="1134" w:right="1183"/>
        <w:contextualSpacing/>
        <w:jc w:val="both"/>
        <w:rPr>
          <w:rFonts w:ascii="Arial" w:hAnsi="Arial" w:cs="Arial"/>
          <w:sz w:val="18"/>
        </w:rPr>
      </w:pPr>
    </w:p>
    <w:p w14:paraId="665A7B04" w14:textId="77777777" w:rsidR="007B194A" w:rsidRPr="002041E4" w:rsidRDefault="007B194A" w:rsidP="00101B45">
      <w:pPr>
        <w:ind w:firstLine="708"/>
        <w:jc w:val="both"/>
        <w:rPr>
          <w:rFonts w:ascii="Arial" w:hAnsi="Arial" w:cs="Arial"/>
        </w:rPr>
      </w:pPr>
    </w:p>
    <w:p w14:paraId="2745AEDC" w14:textId="3F5E0D3F" w:rsidR="002231A1" w:rsidRDefault="002231A1" w:rsidP="002231A1">
      <w:pPr>
        <w:spacing w:line="360" w:lineRule="auto"/>
        <w:ind w:firstLine="709"/>
        <w:jc w:val="both"/>
        <w:rPr>
          <w:rFonts w:ascii="Arial" w:hAnsi="Arial" w:cs="Arial"/>
          <w:sz w:val="22"/>
          <w:szCs w:val="22"/>
        </w:rPr>
      </w:pPr>
      <w:r w:rsidRPr="009517DD">
        <w:rPr>
          <w:rFonts w:ascii="Arial" w:hAnsi="Arial" w:cs="Arial"/>
          <w:sz w:val="22"/>
          <w:szCs w:val="22"/>
        </w:rPr>
        <w:t xml:space="preserve">En este sentido, se estima que la respuesta otorgada por el </w:t>
      </w:r>
      <w:r>
        <w:rPr>
          <w:rFonts w:ascii="Arial" w:hAnsi="Arial" w:cs="Arial"/>
          <w:sz w:val="22"/>
          <w:szCs w:val="22"/>
        </w:rPr>
        <w:t>Sujeto O</w:t>
      </w:r>
      <w:r w:rsidRPr="009517DD">
        <w:rPr>
          <w:rFonts w:ascii="Arial" w:hAnsi="Arial" w:cs="Arial"/>
          <w:sz w:val="22"/>
          <w:szCs w:val="22"/>
        </w:rPr>
        <w:t>bligado atiende los efectos señalados en la determinación</w:t>
      </w:r>
      <w:r>
        <w:rPr>
          <w:rFonts w:ascii="Arial" w:hAnsi="Arial" w:cs="Arial"/>
          <w:sz w:val="22"/>
          <w:szCs w:val="22"/>
        </w:rPr>
        <w:t xml:space="preserve"> adoptada por el Pleno de esta C</w:t>
      </w:r>
      <w:r w:rsidRPr="009517DD">
        <w:rPr>
          <w:rFonts w:ascii="Arial" w:hAnsi="Arial" w:cs="Arial"/>
          <w:sz w:val="22"/>
          <w:szCs w:val="22"/>
        </w:rPr>
        <w:t xml:space="preserve">omisión, ello así en virtud de que se atienden los puntos formulados </w:t>
      </w:r>
      <w:r>
        <w:rPr>
          <w:rFonts w:ascii="Arial" w:hAnsi="Arial" w:cs="Arial"/>
          <w:sz w:val="22"/>
          <w:szCs w:val="22"/>
        </w:rPr>
        <w:t>en la solicitud de acceso</w:t>
      </w:r>
      <w:r w:rsidR="007B194A">
        <w:rPr>
          <w:rFonts w:ascii="Arial" w:hAnsi="Arial" w:cs="Arial"/>
          <w:sz w:val="22"/>
          <w:szCs w:val="22"/>
        </w:rPr>
        <w:t xml:space="preserve">, en tanto que se otorgó acceso a la ahora parte recurrente, de </w:t>
      </w:r>
      <w:r w:rsidR="005D26DE">
        <w:rPr>
          <w:rFonts w:ascii="Arial" w:hAnsi="Arial" w:cs="Arial"/>
          <w:sz w:val="22"/>
          <w:szCs w:val="22"/>
        </w:rPr>
        <w:t xml:space="preserve">la nueva respuesta a la solicitud de acceso a la información pública, consistente en el oficio </w:t>
      </w:r>
      <w:r w:rsidR="00FA6B10">
        <w:rPr>
          <w:rFonts w:ascii="Arial" w:hAnsi="Arial" w:cs="Arial"/>
          <w:sz w:val="22"/>
          <w:szCs w:val="22"/>
        </w:rPr>
        <w:t>sin número</w:t>
      </w:r>
      <w:r w:rsidR="005D26DE">
        <w:rPr>
          <w:rFonts w:ascii="Arial" w:hAnsi="Arial" w:cs="Arial"/>
          <w:sz w:val="22"/>
          <w:szCs w:val="22"/>
        </w:rPr>
        <w:t>,</w:t>
      </w:r>
      <w:r w:rsidR="00FA6B10">
        <w:rPr>
          <w:rFonts w:ascii="Arial" w:hAnsi="Arial" w:cs="Arial"/>
          <w:sz w:val="22"/>
          <w:szCs w:val="22"/>
        </w:rPr>
        <w:t xml:space="preserve"> emitido el 22 veintidós de abril de 2026 dos mil veintiséis,</w:t>
      </w:r>
      <w:r w:rsidR="005D26DE">
        <w:rPr>
          <w:rFonts w:ascii="Arial" w:hAnsi="Arial" w:cs="Arial"/>
          <w:sz w:val="22"/>
          <w:szCs w:val="22"/>
        </w:rPr>
        <w:t xml:space="preserve"> donde es posible advertir, entre otras circunstancias, </w:t>
      </w:r>
      <w:r w:rsidR="00FA6B10">
        <w:rPr>
          <w:rFonts w:ascii="Arial" w:hAnsi="Arial" w:cs="Arial"/>
          <w:sz w:val="22"/>
          <w:szCs w:val="22"/>
        </w:rPr>
        <w:t xml:space="preserve">la digitalización de: 1. la </w:t>
      </w:r>
      <w:r w:rsidR="00FA6B10" w:rsidRPr="00FA6B10">
        <w:rPr>
          <w:rFonts w:ascii="Arial" w:hAnsi="Arial" w:cs="Arial"/>
          <w:sz w:val="22"/>
          <w:szCs w:val="22"/>
        </w:rPr>
        <w:t>Bitácora de Obra</w:t>
      </w:r>
      <w:r w:rsidR="00FA6B10">
        <w:rPr>
          <w:rFonts w:ascii="Arial" w:hAnsi="Arial" w:cs="Arial"/>
          <w:sz w:val="22"/>
          <w:szCs w:val="22"/>
        </w:rPr>
        <w:t xml:space="preserve">; 2. Convenios modificatorios; </w:t>
      </w:r>
      <w:r w:rsidR="00FA6B10" w:rsidRPr="00FA6B10">
        <w:rPr>
          <w:rFonts w:ascii="Arial" w:hAnsi="Arial" w:cs="Arial"/>
          <w:sz w:val="22"/>
          <w:szCs w:val="22"/>
        </w:rPr>
        <w:t>y</w:t>
      </w:r>
      <w:r w:rsidR="00FA6B10">
        <w:rPr>
          <w:rFonts w:ascii="Arial" w:hAnsi="Arial" w:cs="Arial"/>
          <w:sz w:val="22"/>
          <w:szCs w:val="22"/>
        </w:rPr>
        <w:t>, 3.</w:t>
      </w:r>
      <w:r w:rsidR="00FA6B10" w:rsidRPr="00FA6B10">
        <w:rPr>
          <w:rFonts w:ascii="Arial" w:hAnsi="Arial" w:cs="Arial"/>
          <w:sz w:val="22"/>
          <w:szCs w:val="22"/>
        </w:rPr>
        <w:t xml:space="preserve"> Estimaciones de avance físico-financiero mensuales y acumuladas, informes de supervisión técnica y de control de calidad</w:t>
      </w:r>
      <w:r w:rsidR="005D26DE">
        <w:rPr>
          <w:rFonts w:ascii="Arial" w:hAnsi="Arial" w:cs="Arial"/>
          <w:sz w:val="22"/>
          <w:szCs w:val="22"/>
        </w:rPr>
        <w:t>.</w:t>
      </w:r>
    </w:p>
    <w:p w14:paraId="37520524" w14:textId="77777777" w:rsidR="002231A1" w:rsidRPr="009517DD" w:rsidRDefault="002231A1" w:rsidP="002231A1">
      <w:pPr>
        <w:spacing w:line="360" w:lineRule="auto"/>
        <w:ind w:firstLine="709"/>
        <w:jc w:val="both"/>
        <w:rPr>
          <w:rFonts w:ascii="Arial" w:hAnsi="Arial" w:cs="Arial"/>
          <w:sz w:val="22"/>
          <w:szCs w:val="22"/>
        </w:rPr>
      </w:pPr>
    </w:p>
    <w:p w14:paraId="609BFA09" w14:textId="77777777" w:rsidR="002231A1" w:rsidRDefault="002231A1" w:rsidP="002231A1">
      <w:pPr>
        <w:spacing w:line="360" w:lineRule="auto"/>
        <w:ind w:firstLine="709"/>
        <w:jc w:val="both"/>
        <w:rPr>
          <w:rFonts w:ascii="Arial" w:hAnsi="Arial" w:cs="Arial"/>
          <w:sz w:val="22"/>
          <w:szCs w:val="22"/>
        </w:rPr>
      </w:pPr>
      <w:r w:rsidRPr="009517DD">
        <w:rPr>
          <w:rFonts w:ascii="Arial" w:hAnsi="Arial" w:cs="Arial"/>
          <w:sz w:val="22"/>
          <w:szCs w:val="22"/>
        </w:rPr>
        <w:t xml:space="preserve">Por otra parte, es necesario precisar que la notificación que acredita la autoridad es de naturaleza electrónica, misma que debe ser entendida como el acto mediante el cual se da a conocer al interesado a través de un medio remoto una decisión administrativa, y por ello debe contar con un documento que de manera fehaciente demuestre la notificación al destinario, ya que de otro modo se violentaría en perjuicio del solicitante la garantía de seguridad jurídica que le asiste. </w:t>
      </w:r>
    </w:p>
    <w:p w14:paraId="5AD421CE" w14:textId="77777777" w:rsidR="002231A1" w:rsidRPr="009517DD" w:rsidRDefault="002231A1" w:rsidP="002231A1">
      <w:pPr>
        <w:spacing w:line="360" w:lineRule="auto"/>
        <w:ind w:firstLine="709"/>
        <w:jc w:val="both"/>
        <w:rPr>
          <w:rFonts w:ascii="Arial" w:hAnsi="Arial" w:cs="Arial"/>
          <w:sz w:val="22"/>
          <w:szCs w:val="22"/>
        </w:rPr>
      </w:pPr>
    </w:p>
    <w:p w14:paraId="1721C351" w14:textId="284472E4" w:rsidR="002231A1" w:rsidRPr="009517DD" w:rsidRDefault="002231A1" w:rsidP="002231A1">
      <w:pPr>
        <w:spacing w:line="360" w:lineRule="auto"/>
        <w:ind w:firstLine="708"/>
        <w:jc w:val="both"/>
        <w:rPr>
          <w:rFonts w:ascii="Arial" w:hAnsi="Arial" w:cs="Arial"/>
          <w:sz w:val="22"/>
          <w:szCs w:val="22"/>
        </w:rPr>
      </w:pPr>
      <w:r w:rsidRPr="009517DD">
        <w:rPr>
          <w:rFonts w:ascii="Arial" w:hAnsi="Arial" w:cs="Arial"/>
          <w:sz w:val="22"/>
          <w:szCs w:val="22"/>
        </w:rPr>
        <w:t>En ese sentido, el Tribunal Colegiado en Materias de Trabajo y Administrativa del Décimo Tercer Circuito, emitió un criterio relacionado con la cuestión que nos ocupa, mismo que se identifica con el número XIII.T.A.3 A (10a.), y que establece:</w:t>
      </w:r>
    </w:p>
    <w:p w14:paraId="054EA7FC" w14:textId="77777777" w:rsidR="002231A1" w:rsidRPr="009517DD" w:rsidRDefault="002231A1" w:rsidP="002231A1">
      <w:pPr>
        <w:spacing w:line="360" w:lineRule="auto"/>
        <w:jc w:val="both"/>
        <w:rPr>
          <w:rFonts w:ascii="Arial" w:hAnsi="Arial" w:cs="Arial"/>
          <w:sz w:val="22"/>
          <w:szCs w:val="22"/>
        </w:rPr>
      </w:pPr>
    </w:p>
    <w:p w14:paraId="358F32CF" w14:textId="77777777" w:rsidR="002231A1" w:rsidRPr="00C7333F" w:rsidRDefault="002231A1" w:rsidP="002231A1">
      <w:pPr>
        <w:ind w:left="1134" w:right="1072"/>
        <w:jc w:val="both"/>
        <w:rPr>
          <w:rFonts w:ascii="Arial" w:hAnsi="Arial" w:cs="Arial"/>
          <w:sz w:val="20"/>
          <w:szCs w:val="20"/>
        </w:rPr>
      </w:pPr>
      <w:r w:rsidRPr="00C7333F">
        <w:rPr>
          <w:rFonts w:ascii="Arial" w:hAnsi="Arial" w:cs="Arial"/>
          <w:b/>
          <w:bCs/>
          <w:sz w:val="20"/>
          <w:szCs w:val="20"/>
        </w:rPr>
        <w:t xml:space="preserve">“NOTIFICACIÓN ELECTRÓNICA. AL PRACTICARLA, LA AUTORIDAD DEBE ANEXAR EN AUTOS DEL EXPEDIENTE ADMINISTRATIVO O JUDICIAL DEL QUE DERIVE, LA CONSTANCIA FEHACIENTE DE RECEPCIÓN POR SU DESTINATARIO. </w:t>
      </w:r>
      <w:r w:rsidRPr="00C7333F">
        <w:rPr>
          <w:rFonts w:ascii="Arial" w:hAnsi="Arial" w:cs="Arial"/>
          <w:sz w:val="20"/>
          <w:szCs w:val="20"/>
        </w:rPr>
        <w:t>La </w:t>
      </w:r>
      <w:r w:rsidRPr="00C7333F">
        <w:rPr>
          <w:rFonts w:ascii="Arial" w:hAnsi="Arial" w:cs="Arial"/>
          <w:bCs/>
          <w:sz w:val="20"/>
          <w:szCs w:val="20"/>
        </w:rPr>
        <w:t>notificación</w:t>
      </w:r>
      <w:r w:rsidRPr="00C7333F">
        <w:rPr>
          <w:rFonts w:ascii="Arial" w:hAnsi="Arial" w:cs="Arial"/>
          <w:sz w:val="20"/>
          <w:szCs w:val="20"/>
        </w:rPr>
        <w:t> </w:t>
      </w:r>
      <w:r w:rsidRPr="00C7333F">
        <w:rPr>
          <w:rFonts w:ascii="Arial" w:hAnsi="Arial" w:cs="Arial"/>
          <w:bCs/>
          <w:sz w:val="20"/>
          <w:szCs w:val="20"/>
        </w:rPr>
        <w:t>electrónica</w:t>
      </w:r>
      <w:r w:rsidRPr="00C7333F">
        <w:rPr>
          <w:rFonts w:ascii="Arial" w:hAnsi="Arial" w:cs="Arial"/>
          <w:sz w:val="20"/>
          <w:szCs w:val="20"/>
        </w:rPr>
        <w:t> es el acto mediante el cual, con las formalidades legales preestablecidas, se da a conocer a los interesados a través de medios electrónicos y telemáticos, tales como una página web o correo electrónico, un acuerdo administrativo o resolución judicial, por lo que, al practicarla, la autoridad debe anexar en autos del expediente administrativo o judicial del que derive, la constancia fehaciente de recepción por su destinatario, sin que baste la razón actuarial de que se realizó de esa manera, pues la omisión de esa constancia constituye una violación que transgrede las leyes del procedimiento y afecta las defensas del quejoso, la cual actualiza el supuesto previsto en la </w:t>
      </w:r>
      <w:hyperlink r:id="rId9" w:history="1">
        <w:r w:rsidRPr="00C7333F">
          <w:rPr>
            <w:rStyle w:val="Hipervnculo"/>
            <w:rFonts w:ascii="Arial" w:hAnsi="Arial" w:cs="Arial"/>
            <w:color w:val="auto"/>
            <w:sz w:val="20"/>
            <w:szCs w:val="20"/>
          </w:rPr>
          <w:t>fracción I del artículo 172 de la Ley de Amparo</w:t>
        </w:r>
      </w:hyperlink>
      <w:r w:rsidRPr="00C7333F">
        <w:rPr>
          <w:rFonts w:ascii="Arial" w:hAnsi="Arial" w:cs="Arial"/>
          <w:sz w:val="20"/>
          <w:szCs w:val="20"/>
        </w:rPr>
        <w:t>, vigente a partir del 3 de abril de 2013”.</w:t>
      </w:r>
    </w:p>
    <w:p w14:paraId="519CF4E2" w14:textId="77777777" w:rsidR="002231A1" w:rsidRPr="009517DD" w:rsidRDefault="002231A1" w:rsidP="002231A1">
      <w:pPr>
        <w:spacing w:line="360" w:lineRule="auto"/>
        <w:ind w:firstLine="708"/>
        <w:jc w:val="both"/>
        <w:rPr>
          <w:rFonts w:ascii="Arial" w:hAnsi="Arial" w:cs="Arial"/>
          <w:sz w:val="22"/>
          <w:szCs w:val="22"/>
        </w:rPr>
      </w:pPr>
    </w:p>
    <w:p w14:paraId="0D6B5919" w14:textId="77777777" w:rsidR="002231A1" w:rsidRPr="009517DD" w:rsidRDefault="002231A1" w:rsidP="002231A1">
      <w:pPr>
        <w:spacing w:line="360" w:lineRule="auto"/>
        <w:ind w:firstLine="708"/>
        <w:jc w:val="both"/>
        <w:rPr>
          <w:rFonts w:ascii="Arial" w:hAnsi="Arial" w:cs="Arial"/>
          <w:sz w:val="22"/>
          <w:szCs w:val="22"/>
        </w:rPr>
      </w:pPr>
      <w:r w:rsidRPr="009517DD">
        <w:rPr>
          <w:rFonts w:ascii="Arial" w:hAnsi="Arial" w:cs="Arial"/>
          <w:sz w:val="22"/>
          <w:szCs w:val="22"/>
        </w:rPr>
        <w:t>En razón de la tesis invocada y del análisis de</w:t>
      </w:r>
      <w:r>
        <w:rPr>
          <w:rFonts w:ascii="Arial" w:hAnsi="Arial" w:cs="Arial"/>
          <w:sz w:val="22"/>
          <w:szCs w:val="22"/>
        </w:rPr>
        <w:t xml:space="preserve"> las constancias referidas</w:t>
      </w:r>
      <w:r w:rsidRPr="009517DD">
        <w:rPr>
          <w:rFonts w:ascii="Arial" w:hAnsi="Arial" w:cs="Arial"/>
          <w:sz w:val="22"/>
          <w:szCs w:val="22"/>
        </w:rPr>
        <w:t>, se puede verificar que</w:t>
      </w:r>
      <w:r>
        <w:rPr>
          <w:rFonts w:ascii="Arial" w:hAnsi="Arial" w:cs="Arial"/>
          <w:sz w:val="22"/>
          <w:szCs w:val="22"/>
        </w:rPr>
        <w:t xml:space="preserve"> se</w:t>
      </w:r>
      <w:r w:rsidRPr="009517DD">
        <w:rPr>
          <w:rFonts w:ascii="Arial" w:hAnsi="Arial" w:cs="Arial"/>
          <w:sz w:val="22"/>
          <w:szCs w:val="22"/>
        </w:rPr>
        <w:t xml:space="preserve"> notificó la información generada al particular a través del correo electrónico que designó para tal efecto.</w:t>
      </w:r>
    </w:p>
    <w:p w14:paraId="16E149CA" w14:textId="77777777" w:rsidR="002231A1" w:rsidRPr="00B93599" w:rsidRDefault="002231A1" w:rsidP="008E2C25">
      <w:pPr>
        <w:spacing w:line="360" w:lineRule="auto"/>
        <w:ind w:firstLine="709"/>
        <w:jc w:val="both"/>
        <w:rPr>
          <w:rFonts w:ascii="Arial" w:hAnsi="Arial" w:cs="Arial"/>
          <w:sz w:val="22"/>
          <w:szCs w:val="22"/>
        </w:rPr>
      </w:pPr>
    </w:p>
    <w:p w14:paraId="71BE5077" w14:textId="3E1A7DC2" w:rsidR="00E61093" w:rsidRPr="00B93599" w:rsidRDefault="008F4DFE" w:rsidP="00E61093">
      <w:pPr>
        <w:pStyle w:val="Textoindependienteprimerasangra"/>
        <w:spacing w:after="0"/>
        <w:ind w:firstLine="708"/>
        <w:rPr>
          <w:rFonts w:ascii="Arial" w:hAnsi="Arial" w:cs="Arial"/>
          <w:sz w:val="22"/>
          <w:szCs w:val="22"/>
        </w:rPr>
      </w:pPr>
      <w:r w:rsidRPr="00B93599">
        <w:rPr>
          <w:rFonts w:ascii="Arial" w:hAnsi="Arial" w:cs="Arial"/>
          <w:sz w:val="22"/>
          <w:szCs w:val="22"/>
        </w:rPr>
        <w:t>Ahora bien, d</w:t>
      </w:r>
      <w:r w:rsidR="00E61093" w:rsidRPr="00B93599">
        <w:rPr>
          <w:rFonts w:ascii="Arial" w:hAnsi="Arial" w:cs="Arial"/>
          <w:sz w:val="22"/>
          <w:szCs w:val="22"/>
        </w:rPr>
        <w:t xml:space="preserve">e un análisis a las constancias que corren agregadas al presente procedimiento, es de precisarse que la recurrente no presentó inconformidad alguna respecto de la información notificada y entregada por el Obligado, a través del medio autorizado para recibir notificaciones, por lo que se colige que se muestra conforme con el contenido de la respuesta y sus demás extremos al no señalar agravio alguno al respecto. Sirve de apoyo la Tesis de VI.3o.C. J/60, Seminario Judicial de la Federación y su Gaceta, Novena Época, t. XXII, diciembre de 2005, p. 2365, cuyo rubro y texto señalan: </w:t>
      </w:r>
    </w:p>
    <w:p w14:paraId="2D21E1B0" w14:textId="77777777" w:rsidR="00E61093" w:rsidRPr="00B93599" w:rsidRDefault="00E61093" w:rsidP="00E61093">
      <w:pPr>
        <w:pStyle w:val="Textoindependienteprimerasangra"/>
        <w:spacing w:after="0"/>
        <w:ind w:firstLine="708"/>
        <w:rPr>
          <w:rFonts w:ascii="Arial" w:hAnsi="Arial" w:cs="Arial"/>
          <w:sz w:val="22"/>
          <w:szCs w:val="22"/>
        </w:rPr>
      </w:pPr>
    </w:p>
    <w:p w14:paraId="07DBEB8B" w14:textId="77777777" w:rsidR="00E61093" w:rsidRPr="00C7333F" w:rsidRDefault="00E61093" w:rsidP="00E61093">
      <w:pPr>
        <w:spacing w:after="240"/>
        <w:ind w:left="1134" w:right="1183"/>
        <w:jc w:val="both"/>
        <w:rPr>
          <w:rFonts w:ascii="Arial" w:hAnsi="Arial" w:cs="Arial"/>
          <w:sz w:val="20"/>
          <w:szCs w:val="22"/>
        </w:rPr>
      </w:pPr>
      <w:r w:rsidRPr="00C7333F">
        <w:rPr>
          <w:rFonts w:ascii="Arial" w:hAnsi="Arial" w:cs="Arial"/>
          <w:b/>
          <w:sz w:val="20"/>
          <w:szCs w:val="22"/>
        </w:rPr>
        <w:t>“ACTOS CONSENTIDOS. SON LOS QUE NO SE IMPUGNAN MEDIANTE EL RECURSO IDÓNEO.</w:t>
      </w:r>
      <w:r w:rsidRPr="00C7333F">
        <w:rPr>
          <w:rFonts w:ascii="Arial" w:hAnsi="Arial" w:cs="Arial"/>
          <w:sz w:val="20"/>
          <w:szCs w:val="22"/>
        </w:rPr>
        <w:t xml:space="preserve"> 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1AE7D55E" w14:textId="5CE58A87" w:rsidR="00E61093" w:rsidRDefault="00E61093" w:rsidP="00E61093">
      <w:pPr>
        <w:spacing w:line="360" w:lineRule="auto"/>
        <w:ind w:firstLine="708"/>
        <w:jc w:val="both"/>
        <w:rPr>
          <w:rFonts w:ascii="Arial" w:hAnsi="Arial" w:cs="Arial"/>
          <w:sz w:val="22"/>
          <w:szCs w:val="22"/>
        </w:rPr>
      </w:pPr>
      <w:r w:rsidRPr="00B93599">
        <w:rPr>
          <w:rFonts w:ascii="Arial" w:hAnsi="Arial" w:cs="Arial"/>
          <w:sz w:val="22"/>
          <w:szCs w:val="22"/>
        </w:rPr>
        <w:t xml:space="preserve">La manifestación de conformidad representa que se le puso a disposición la información que solicitó, por conducto del área administrativa que posee la documentación que corresponde a su petición; sirve para robustecer lo anterior el criterio 01/2020 emitido por el Instituto Nacional de Transparencia y Acceso a la Información y Protección de Datos Personales (INAI), que señala: </w:t>
      </w:r>
    </w:p>
    <w:p w14:paraId="6D00445E" w14:textId="77777777" w:rsidR="005D26DE" w:rsidRPr="00B93599" w:rsidRDefault="005D26DE" w:rsidP="00E61093">
      <w:pPr>
        <w:spacing w:line="360" w:lineRule="auto"/>
        <w:ind w:firstLine="708"/>
        <w:jc w:val="both"/>
        <w:rPr>
          <w:rFonts w:ascii="Arial" w:hAnsi="Arial" w:cs="Arial"/>
          <w:sz w:val="22"/>
          <w:szCs w:val="22"/>
        </w:rPr>
      </w:pPr>
    </w:p>
    <w:p w14:paraId="21928713" w14:textId="7425B59C" w:rsidR="00E61093" w:rsidRPr="00C7333F" w:rsidRDefault="00E61093" w:rsidP="00E61093">
      <w:pPr>
        <w:ind w:left="1134" w:right="1185"/>
        <w:jc w:val="both"/>
        <w:rPr>
          <w:rFonts w:ascii="Arial" w:hAnsi="Arial" w:cs="Arial"/>
          <w:sz w:val="20"/>
          <w:szCs w:val="22"/>
        </w:rPr>
      </w:pPr>
      <w:r w:rsidRPr="00C7333F">
        <w:rPr>
          <w:rFonts w:ascii="Arial" w:hAnsi="Arial" w:cs="Arial"/>
          <w:b/>
          <w:bCs/>
          <w:sz w:val="20"/>
          <w:szCs w:val="22"/>
        </w:rPr>
        <w:t>“Actos consentidos tácitamente. Improcedencia de su análisis.</w:t>
      </w:r>
      <w:r w:rsidRPr="00C7333F">
        <w:rPr>
          <w:rFonts w:ascii="Arial" w:hAnsi="Arial" w:cs="Arial"/>
          <w:sz w:val="20"/>
          <w:szCs w:val="22"/>
        </w:rPr>
        <w:t xml:space="preserve">  Si en su recurso de revisión, la persona recurrente no expresó </w:t>
      </w:r>
      <w:r w:rsidRPr="00C7333F">
        <w:rPr>
          <w:rFonts w:ascii="Arial" w:hAnsi="Arial" w:cs="Arial"/>
          <w:sz w:val="20"/>
          <w:szCs w:val="22"/>
        </w:rPr>
        <w:lastRenderedPageBreak/>
        <w:t xml:space="preserve">inconformidad alguna con ciertas partes de la respuesta otorgada, se entienden tácitamente consentidas, por ende, no deben formar parte del estudio de fondo de la resolución que emite el Instituto.”  </w:t>
      </w:r>
    </w:p>
    <w:p w14:paraId="19957E02" w14:textId="1D8FA7A6" w:rsidR="00E61093" w:rsidRPr="00B93599" w:rsidRDefault="00E61093" w:rsidP="008E2C25">
      <w:pPr>
        <w:spacing w:line="360" w:lineRule="auto"/>
        <w:ind w:firstLine="709"/>
        <w:jc w:val="both"/>
        <w:rPr>
          <w:rFonts w:ascii="Arial" w:hAnsi="Arial" w:cs="Arial"/>
          <w:sz w:val="22"/>
          <w:szCs w:val="22"/>
        </w:rPr>
      </w:pPr>
    </w:p>
    <w:p w14:paraId="049B1ABD" w14:textId="77777777" w:rsidR="008E2C25" w:rsidRPr="00B93599" w:rsidRDefault="008E2C25" w:rsidP="008E2C25">
      <w:pPr>
        <w:spacing w:line="360" w:lineRule="auto"/>
        <w:ind w:firstLine="708"/>
        <w:jc w:val="both"/>
        <w:rPr>
          <w:rFonts w:ascii="Arial" w:hAnsi="Arial" w:cs="Arial"/>
          <w:sz w:val="22"/>
          <w:szCs w:val="22"/>
        </w:rPr>
      </w:pPr>
      <w:r w:rsidRPr="00B93599">
        <w:rPr>
          <w:rFonts w:ascii="Arial" w:hAnsi="Arial" w:cs="Arial"/>
          <w:sz w:val="22"/>
          <w:szCs w:val="22"/>
        </w:rPr>
        <w:t>En ese tenor y al no advertirse que el particular haya realizado manifestaciones de inconformidad, se colige que se muestra conforme con la respuesta emitida por el sujeto obligado.</w:t>
      </w:r>
    </w:p>
    <w:p w14:paraId="4D5D6E2C" w14:textId="77777777" w:rsidR="008E2C25" w:rsidRPr="00B93599" w:rsidRDefault="008E2C25" w:rsidP="008E2C25">
      <w:pPr>
        <w:spacing w:line="360" w:lineRule="auto"/>
        <w:ind w:firstLine="708"/>
        <w:jc w:val="both"/>
        <w:rPr>
          <w:rFonts w:ascii="Arial" w:hAnsi="Arial" w:cs="Arial"/>
          <w:sz w:val="22"/>
          <w:szCs w:val="22"/>
        </w:rPr>
      </w:pPr>
    </w:p>
    <w:p w14:paraId="14585997" w14:textId="77777777" w:rsidR="008E2C25" w:rsidRPr="00B93599" w:rsidRDefault="008E2C25" w:rsidP="008E2C25">
      <w:pPr>
        <w:spacing w:line="360" w:lineRule="auto"/>
        <w:ind w:firstLine="708"/>
        <w:rPr>
          <w:rFonts w:ascii="Arial" w:hAnsi="Arial" w:cs="Arial"/>
          <w:sz w:val="22"/>
          <w:szCs w:val="22"/>
        </w:rPr>
      </w:pPr>
      <w:r w:rsidRPr="00B93599">
        <w:rPr>
          <w:rFonts w:ascii="Arial" w:hAnsi="Arial" w:cs="Arial"/>
          <w:sz w:val="22"/>
          <w:szCs w:val="22"/>
        </w:rPr>
        <w:t>Por lo anteriormente expuesto y fundado, se emite el siguiente:</w:t>
      </w:r>
    </w:p>
    <w:p w14:paraId="1C71B3E6" w14:textId="77777777" w:rsidR="008E2C25" w:rsidRPr="00B93599" w:rsidRDefault="008E2C25" w:rsidP="008E2C25">
      <w:pPr>
        <w:spacing w:line="360" w:lineRule="auto"/>
        <w:jc w:val="center"/>
        <w:rPr>
          <w:rFonts w:ascii="Arial" w:hAnsi="Arial" w:cs="Arial"/>
          <w:b/>
          <w:sz w:val="22"/>
          <w:szCs w:val="22"/>
        </w:rPr>
      </w:pPr>
    </w:p>
    <w:p w14:paraId="510F4151" w14:textId="77777777" w:rsidR="008E2C25" w:rsidRPr="00B93599" w:rsidRDefault="008E2C25" w:rsidP="008E2C25">
      <w:pPr>
        <w:spacing w:line="360" w:lineRule="auto"/>
        <w:jc w:val="center"/>
        <w:rPr>
          <w:rFonts w:ascii="Arial" w:hAnsi="Arial" w:cs="Arial"/>
          <w:b/>
          <w:sz w:val="22"/>
          <w:szCs w:val="22"/>
        </w:rPr>
      </w:pPr>
      <w:r w:rsidRPr="00B93599">
        <w:rPr>
          <w:rFonts w:ascii="Arial" w:hAnsi="Arial" w:cs="Arial"/>
          <w:b/>
          <w:sz w:val="22"/>
          <w:szCs w:val="22"/>
        </w:rPr>
        <w:t>ACUERDO</w:t>
      </w:r>
    </w:p>
    <w:p w14:paraId="51499432" w14:textId="77777777" w:rsidR="008E2C25" w:rsidRPr="00B93599" w:rsidRDefault="008E2C25" w:rsidP="008E2C25">
      <w:pPr>
        <w:spacing w:line="360" w:lineRule="auto"/>
        <w:jc w:val="center"/>
        <w:rPr>
          <w:rFonts w:ascii="Arial" w:hAnsi="Arial" w:cs="Arial"/>
          <w:b/>
          <w:sz w:val="22"/>
          <w:szCs w:val="22"/>
        </w:rPr>
      </w:pPr>
    </w:p>
    <w:p w14:paraId="0EC71EDB" w14:textId="77777777" w:rsidR="008E2C25" w:rsidRPr="00B93599" w:rsidRDefault="008E2C25" w:rsidP="008E2C25">
      <w:pPr>
        <w:spacing w:line="360" w:lineRule="auto"/>
        <w:ind w:right="111" w:firstLine="708"/>
        <w:jc w:val="both"/>
        <w:rPr>
          <w:rFonts w:ascii="Arial" w:hAnsi="Arial" w:cs="Arial"/>
          <w:spacing w:val="1"/>
          <w:sz w:val="22"/>
          <w:szCs w:val="22"/>
        </w:rPr>
      </w:pPr>
      <w:r w:rsidRPr="00B93599">
        <w:rPr>
          <w:rFonts w:ascii="Arial" w:hAnsi="Arial" w:cs="Arial"/>
          <w:b/>
          <w:spacing w:val="1"/>
          <w:sz w:val="22"/>
          <w:szCs w:val="22"/>
        </w:rPr>
        <w:t xml:space="preserve">PRIMERO. </w:t>
      </w:r>
      <w:r w:rsidRPr="00B93599">
        <w:rPr>
          <w:rFonts w:ascii="Arial" w:hAnsi="Arial" w:cs="Arial"/>
          <w:spacing w:val="1"/>
          <w:sz w:val="22"/>
          <w:szCs w:val="22"/>
        </w:rPr>
        <w:t xml:space="preserve">Con base en el artículo 185 de la Ley de Transparencia y Acceso a la Información Pública del Estado, declara </w:t>
      </w:r>
      <w:r w:rsidRPr="00B93599">
        <w:rPr>
          <w:rFonts w:ascii="Arial" w:hAnsi="Arial" w:cs="Arial"/>
          <w:b/>
          <w:spacing w:val="1"/>
          <w:sz w:val="22"/>
          <w:szCs w:val="22"/>
          <w:u w:val="single"/>
        </w:rPr>
        <w:t>cumplida</w:t>
      </w:r>
      <w:r w:rsidRPr="00B93599">
        <w:rPr>
          <w:rFonts w:ascii="Arial" w:hAnsi="Arial" w:cs="Arial"/>
          <w:spacing w:val="1"/>
          <w:sz w:val="22"/>
          <w:szCs w:val="22"/>
        </w:rPr>
        <w:t xml:space="preserve"> la resolución que en definitiva se dictó en el presente asunto.</w:t>
      </w:r>
    </w:p>
    <w:p w14:paraId="07F75F20" w14:textId="77777777" w:rsidR="008E2C25" w:rsidRPr="00B93599" w:rsidRDefault="008E2C25" w:rsidP="008E2C25">
      <w:pPr>
        <w:spacing w:line="360" w:lineRule="auto"/>
        <w:jc w:val="center"/>
        <w:rPr>
          <w:rFonts w:ascii="Arial" w:hAnsi="Arial" w:cs="Arial"/>
          <w:sz w:val="22"/>
          <w:szCs w:val="22"/>
        </w:rPr>
      </w:pPr>
    </w:p>
    <w:p w14:paraId="3808FE81" w14:textId="77777777" w:rsidR="008E2C25" w:rsidRPr="00B93599" w:rsidRDefault="008E2C25" w:rsidP="008E2C25">
      <w:pPr>
        <w:spacing w:line="360" w:lineRule="auto"/>
        <w:ind w:firstLine="708"/>
        <w:jc w:val="both"/>
        <w:rPr>
          <w:rFonts w:ascii="Arial" w:hAnsi="Arial" w:cs="Arial"/>
          <w:sz w:val="22"/>
          <w:szCs w:val="22"/>
        </w:rPr>
      </w:pPr>
      <w:r w:rsidRPr="00B93599">
        <w:rPr>
          <w:rFonts w:ascii="Arial" w:hAnsi="Arial" w:cs="Arial"/>
          <w:b/>
          <w:sz w:val="22"/>
          <w:szCs w:val="22"/>
        </w:rPr>
        <w:t xml:space="preserve">SEGUNDO. </w:t>
      </w:r>
      <w:r w:rsidRPr="00B93599">
        <w:rPr>
          <w:rFonts w:ascii="Arial" w:hAnsi="Arial" w:cs="Arial"/>
          <w:sz w:val="22"/>
          <w:szCs w:val="22"/>
        </w:rPr>
        <w:t>Con fundamento en el numeral Vigésimo Noveno de los Lineamientos para la Recepción, Substanciación, Resolución y Cumplimiento de los Recursos de Revisión promovidos ante la CEGAIP,</w:t>
      </w:r>
      <w:r w:rsidRPr="00B93599">
        <w:rPr>
          <w:rFonts w:ascii="Arial" w:hAnsi="Arial" w:cs="Arial"/>
          <w:b/>
          <w:sz w:val="22"/>
          <w:szCs w:val="22"/>
        </w:rPr>
        <w:t xml:space="preserve"> se remite el presente asunto al Archivo de Concentración de este Órgano Garante, </w:t>
      </w:r>
      <w:r w:rsidRPr="00B93599">
        <w:rPr>
          <w:rFonts w:ascii="Arial" w:hAnsi="Arial" w:cs="Arial"/>
          <w:sz w:val="22"/>
          <w:szCs w:val="22"/>
        </w:rPr>
        <w:t>como asunto concluido.</w:t>
      </w:r>
    </w:p>
    <w:p w14:paraId="4C187753" w14:textId="77777777" w:rsidR="008E2C25" w:rsidRPr="00B93599" w:rsidRDefault="008E2C25" w:rsidP="008E2C25">
      <w:pPr>
        <w:spacing w:line="360" w:lineRule="auto"/>
        <w:jc w:val="both"/>
        <w:rPr>
          <w:rFonts w:ascii="Arial" w:hAnsi="Arial" w:cs="Arial"/>
          <w:b/>
          <w:sz w:val="22"/>
          <w:szCs w:val="22"/>
        </w:rPr>
      </w:pPr>
    </w:p>
    <w:p w14:paraId="61A68A89" w14:textId="7DC6EAC2" w:rsidR="008E2C25" w:rsidRPr="00B93599" w:rsidRDefault="008E2C25" w:rsidP="008E2C25">
      <w:pPr>
        <w:spacing w:line="360" w:lineRule="auto"/>
        <w:ind w:firstLine="708"/>
        <w:jc w:val="both"/>
        <w:rPr>
          <w:rFonts w:ascii="Arial" w:hAnsi="Arial" w:cs="Arial"/>
          <w:sz w:val="22"/>
          <w:szCs w:val="22"/>
        </w:rPr>
      </w:pPr>
      <w:r w:rsidRPr="00B93599">
        <w:rPr>
          <w:rFonts w:ascii="Arial" w:hAnsi="Arial" w:cs="Arial"/>
          <w:b/>
          <w:sz w:val="22"/>
          <w:szCs w:val="22"/>
        </w:rPr>
        <w:t>TERCERO.</w:t>
      </w:r>
      <w:r w:rsidRPr="00B93599">
        <w:rPr>
          <w:rFonts w:ascii="Arial" w:hAnsi="Arial" w:cs="Arial"/>
          <w:sz w:val="22"/>
          <w:szCs w:val="22"/>
        </w:rPr>
        <w:t xml:space="preserve"> Notifíquese.</w:t>
      </w:r>
    </w:p>
    <w:p w14:paraId="4D1D8C60" w14:textId="77777777" w:rsidR="008E2C25" w:rsidRPr="00B93599" w:rsidRDefault="008E2C25" w:rsidP="008E2C25">
      <w:pPr>
        <w:spacing w:line="360" w:lineRule="auto"/>
        <w:jc w:val="both"/>
        <w:rPr>
          <w:rFonts w:ascii="Arial" w:hAnsi="Arial" w:cs="Arial"/>
          <w:i/>
          <w:sz w:val="22"/>
          <w:szCs w:val="22"/>
        </w:rPr>
      </w:pPr>
    </w:p>
    <w:p w14:paraId="019F1A37" w14:textId="517BFF4F" w:rsidR="008E2C25" w:rsidRPr="00B93599" w:rsidRDefault="008E2C25" w:rsidP="008E2C25">
      <w:pPr>
        <w:spacing w:line="360" w:lineRule="auto"/>
        <w:jc w:val="both"/>
        <w:rPr>
          <w:rFonts w:ascii="Arial" w:hAnsi="Arial" w:cs="Arial"/>
          <w:sz w:val="22"/>
          <w:szCs w:val="22"/>
        </w:rPr>
      </w:pPr>
      <w:r w:rsidRPr="00B93599">
        <w:rPr>
          <w:rFonts w:ascii="Arial" w:hAnsi="Arial" w:cs="Arial"/>
          <w:sz w:val="22"/>
          <w:szCs w:val="22"/>
        </w:rPr>
        <w:tab/>
        <w:t xml:space="preserve">Así lo proveyó y firma Adriana Berenice Capetillo Reyes, Proyectista Adscrita a la Ponencia 3 de la Comisión Estatal de Garantía de Acceso a la Información Pública, en la Ciudad de San Luis Potosí, S. L. P., a </w:t>
      </w:r>
      <w:r w:rsidR="00FA6B10">
        <w:rPr>
          <w:rFonts w:ascii="Arial" w:hAnsi="Arial" w:cs="Arial"/>
          <w:sz w:val="22"/>
          <w:szCs w:val="22"/>
        </w:rPr>
        <w:t>07 siete de mayo de 2026 dos mil veintiséis</w:t>
      </w:r>
      <w:bookmarkStart w:id="0" w:name="_GoBack"/>
      <w:bookmarkEnd w:id="0"/>
      <w:r w:rsidRPr="00B93599">
        <w:rPr>
          <w:rFonts w:ascii="Arial" w:hAnsi="Arial" w:cs="Arial"/>
          <w:sz w:val="22"/>
          <w:szCs w:val="22"/>
        </w:rPr>
        <w:t xml:space="preserve">. </w:t>
      </w:r>
    </w:p>
    <w:p w14:paraId="4FBD7391" w14:textId="77777777" w:rsidR="008E2C25" w:rsidRPr="00B93599" w:rsidRDefault="008E2C25" w:rsidP="008E2C25">
      <w:pPr>
        <w:spacing w:line="360" w:lineRule="auto"/>
        <w:jc w:val="both"/>
        <w:rPr>
          <w:rFonts w:ascii="Arial" w:hAnsi="Arial" w:cs="Arial"/>
          <w:sz w:val="22"/>
          <w:szCs w:val="22"/>
        </w:rPr>
      </w:pPr>
    </w:p>
    <w:p w14:paraId="3207555F" w14:textId="77777777" w:rsidR="008E2C25" w:rsidRPr="00B93599" w:rsidRDefault="008E2C25" w:rsidP="008E2C25">
      <w:pPr>
        <w:spacing w:line="360" w:lineRule="auto"/>
        <w:jc w:val="both"/>
        <w:rPr>
          <w:rFonts w:ascii="Arial" w:hAnsi="Arial" w:cs="Arial"/>
          <w:sz w:val="22"/>
          <w:szCs w:val="22"/>
        </w:rPr>
      </w:pPr>
    </w:p>
    <w:p w14:paraId="5E62FEB1" w14:textId="77777777" w:rsidR="008E2C25" w:rsidRPr="00B93599" w:rsidRDefault="008E2C25" w:rsidP="008E2C25">
      <w:pPr>
        <w:spacing w:line="360" w:lineRule="auto"/>
        <w:jc w:val="center"/>
        <w:rPr>
          <w:rFonts w:ascii="Arial" w:hAnsi="Arial" w:cs="Arial"/>
          <w:b/>
          <w:sz w:val="22"/>
          <w:szCs w:val="22"/>
        </w:rPr>
      </w:pPr>
      <w:r w:rsidRPr="00B93599">
        <w:rPr>
          <w:rFonts w:ascii="Arial" w:hAnsi="Arial" w:cs="Arial"/>
          <w:b/>
          <w:sz w:val="22"/>
          <w:szCs w:val="22"/>
        </w:rPr>
        <w:t>Adriana Berenice Capetillo Reyes</w:t>
      </w:r>
    </w:p>
    <w:p w14:paraId="16D1BCB2" w14:textId="58C06CA7" w:rsidR="008E2C25" w:rsidRPr="00B93599" w:rsidRDefault="008E2C25" w:rsidP="008E2C25">
      <w:pPr>
        <w:spacing w:line="360" w:lineRule="auto"/>
        <w:jc w:val="center"/>
        <w:rPr>
          <w:rFonts w:ascii="Arial" w:hAnsi="Arial" w:cs="Arial"/>
          <w:b/>
          <w:sz w:val="22"/>
          <w:szCs w:val="22"/>
        </w:rPr>
      </w:pPr>
      <w:r w:rsidRPr="00B93599">
        <w:rPr>
          <w:rFonts w:ascii="Arial" w:hAnsi="Arial" w:cs="Arial"/>
          <w:b/>
          <w:sz w:val="22"/>
          <w:szCs w:val="22"/>
        </w:rPr>
        <w:t>Proyectista Adscrita a Ponencia Tres</w:t>
      </w:r>
    </w:p>
    <w:p w14:paraId="3C58A0FA" w14:textId="2FB08A9C" w:rsidR="00A20DB4" w:rsidRDefault="00C7333F" w:rsidP="00C7333F">
      <w:pPr>
        <w:spacing w:line="360" w:lineRule="auto"/>
        <w:rPr>
          <w:rFonts w:ascii="Arial" w:hAnsi="Arial" w:cs="Arial"/>
          <w:b/>
          <w:sz w:val="12"/>
          <w:szCs w:val="22"/>
        </w:rPr>
      </w:pPr>
      <w:r>
        <w:rPr>
          <w:rFonts w:ascii="Arial" w:hAnsi="Arial" w:cs="Arial"/>
          <w:b/>
          <w:sz w:val="12"/>
          <w:szCs w:val="22"/>
        </w:rPr>
        <w:t>Elaboró: ANR</w:t>
      </w:r>
    </w:p>
    <w:p w14:paraId="22C24FED" w14:textId="77777777" w:rsidR="00C7333F" w:rsidRPr="00C7333F" w:rsidRDefault="00C7333F" w:rsidP="00C7333F">
      <w:pPr>
        <w:spacing w:line="360" w:lineRule="auto"/>
        <w:rPr>
          <w:rFonts w:ascii="Arial" w:hAnsi="Arial" w:cs="Arial"/>
          <w:b/>
          <w:sz w:val="12"/>
          <w:szCs w:val="22"/>
        </w:rPr>
      </w:pPr>
    </w:p>
    <w:p w14:paraId="18454161" w14:textId="77777777" w:rsidR="00C7333F" w:rsidRPr="00B93599" w:rsidRDefault="00C7333F" w:rsidP="008E2C25">
      <w:pPr>
        <w:spacing w:line="360" w:lineRule="auto"/>
        <w:jc w:val="center"/>
        <w:rPr>
          <w:rFonts w:ascii="Arial" w:hAnsi="Arial" w:cs="Arial"/>
          <w:b/>
          <w:sz w:val="22"/>
          <w:szCs w:val="22"/>
        </w:rPr>
      </w:pPr>
    </w:p>
    <w:p w14:paraId="6E9B98BF" w14:textId="2C67CE36" w:rsidR="00AD7F20" w:rsidRPr="00B93599" w:rsidRDefault="00AD7F20" w:rsidP="006E3DBD">
      <w:pPr>
        <w:spacing w:line="360" w:lineRule="auto"/>
        <w:jc w:val="both"/>
        <w:rPr>
          <w:rFonts w:ascii="Arial" w:hAnsi="Arial" w:cs="Arial"/>
          <w:sz w:val="16"/>
          <w:szCs w:val="22"/>
        </w:rPr>
      </w:pPr>
      <w:r w:rsidRPr="00B93599">
        <w:rPr>
          <w:rFonts w:ascii="Arial" w:hAnsi="Arial" w:cs="Arial"/>
          <w:sz w:val="16"/>
          <w:szCs w:val="22"/>
        </w:rPr>
        <w:t xml:space="preserve">A las ocho horas del día ___ de ___________ de _____, notifiqué el auto que antecede por lista que se fija y publica en los estrados de esta Comisión Estatal de Garantía de Acceso a la Información Pública, de conformidad con el artículo 46, fracción I, del Reglamento Interior de esta Comisión, para constancia legal. - - - - - - - - - - - - - - - - - - - - - - - - - - - - - - - - - - - -- - - - - - - - - - - - - - - - - - - - - - - - - - - - - - - - - - - - - - - - - - - - - - - - -  - - - - - - - - - - - - - - - - - - - - - - - - - - - -- - -DOY FE </w:t>
      </w:r>
    </w:p>
    <w:p w14:paraId="30E7B1EC" w14:textId="7BF89320" w:rsidR="00C7333F" w:rsidRDefault="00C7333F" w:rsidP="006E3DBD">
      <w:pPr>
        <w:spacing w:line="360" w:lineRule="auto"/>
        <w:jc w:val="center"/>
        <w:rPr>
          <w:rFonts w:ascii="Arial" w:hAnsi="Arial" w:cs="Arial"/>
          <w:b/>
          <w:sz w:val="16"/>
          <w:szCs w:val="22"/>
        </w:rPr>
      </w:pPr>
    </w:p>
    <w:p w14:paraId="0A313215" w14:textId="77777777" w:rsidR="00C7333F" w:rsidRPr="00C7333F" w:rsidRDefault="00C7333F" w:rsidP="006E3DBD">
      <w:pPr>
        <w:spacing w:line="360" w:lineRule="auto"/>
        <w:jc w:val="center"/>
        <w:rPr>
          <w:rFonts w:ascii="Arial" w:hAnsi="Arial" w:cs="Arial"/>
          <w:b/>
          <w:sz w:val="16"/>
          <w:szCs w:val="22"/>
        </w:rPr>
      </w:pPr>
    </w:p>
    <w:p w14:paraId="7EEE1D12" w14:textId="77777777" w:rsidR="00AD7F20" w:rsidRPr="00B93599" w:rsidRDefault="00AD7F20" w:rsidP="006E3DBD">
      <w:pPr>
        <w:spacing w:line="360" w:lineRule="auto"/>
        <w:jc w:val="center"/>
        <w:rPr>
          <w:rFonts w:ascii="Arial" w:hAnsi="Arial" w:cs="Arial"/>
          <w:b/>
          <w:sz w:val="16"/>
          <w:szCs w:val="22"/>
        </w:rPr>
      </w:pPr>
      <w:r w:rsidRPr="00B93599">
        <w:rPr>
          <w:rFonts w:ascii="Arial" w:hAnsi="Arial" w:cs="Arial"/>
          <w:b/>
          <w:sz w:val="16"/>
          <w:szCs w:val="22"/>
        </w:rPr>
        <w:t>Javier Pérez Limón</w:t>
      </w:r>
    </w:p>
    <w:p w14:paraId="4634D006" w14:textId="0CC98F75" w:rsidR="00BB58C4" w:rsidRPr="00B93599" w:rsidRDefault="00AD7F20" w:rsidP="006E3DBD">
      <w:pPr>
        <w:spacing w:line="360" w:lineRule="auto"/>
        <w:jc w:val="center"/>
        <w:rPr>
          <w:sz w:val="16"/>
          <w:szCs w:val="22"/>
        </w:rPr>
      </w:pPr>
      <w:r w:rsidRPr="00B93599">
        <w:rPr>
          <w:rFonts w:ascii="Arial" w:hAnsi="Arial" w:cs="Arial"/>
          <w:b/>
          <w:sz w:val="16"/>
          <w:szCs w:val="22"/>
        </w:rPr>
        <w:t>Notificador</w:t>
      </w:r>
    </w:p>
    <w:sectPr w:rsidR="00BB58C4" w:rsidRPr="00B93599" w:rsidSect="00151D88">
      <w:headerReference w:type="default" r:id="rId10"/>
      <w:pgSz w:w="12240" w:h="20160" w:code="5"/>
      <w:pgMar w:top="2948" w:right="1418" w:bottom="2835"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29ABEE" w14:textId="77777777" w:rsidR="00E93392" w:rsidRDefault="00E93392" w:rsidP="00BB58C4">
      <w:r>
        <w:separator/>
      </w:r>
    </w:p>
  </w:endnote>
  <w:endnote w:type="continuationSeparator" w:id="0">
    <w:p w14:paraId="6A5B3444" w14:textId="77777777" w:rsidR="00E93392" w:rsidRDefault="00E93392" w:rsidP="00BB5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608396" w14:textId="77777777" w:rsidR="00E93392" w:rsidRDefault="00E93392" w:rsidP="00BB58C4">
      <w:r>
        <w:separator/>
      </w:r>
    </w:p>
  </w:footnote>
  <w:footnote w:type="continuationSeparator" w:id="0">
    <w:p w14:paraId="07AC7533" w14:textId="77777777" w:rsidR="00E93392" w:rsidRDefault="00E93392" w:rsidP="00BB58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EBE29" w14:textId="2298ED72" w:rsidR="00BE5415" w:rsidRDefault="00BE5415">
    <w:pPr>
      <w:pStyle w:val="Encabezado"/>
      <w:jc w:val="center"/>
    </w:pPr>
    <w:r>
      <w:rPr>
        <w:noProof/>
        <w:lang w:eastAsia="es-MX"/>
      </w:rPr>
      <w:drawing>
        <wp:anchor distT="0" distB="0" distL="114300" distR="114300" simplePos="0" relativeHeight="251659264" behindDoc="1" locked="0" layoutInCell="1" allowOverlap="1" wp14:anchorId="03EFB77B" wp14:editId="58CF992C">
          <wp:simplePos x="0" y="0"/>
          <wp:positionH relativeFrom="page">
            <wp:posOffset>20955</wp:posOffset>
          </wp:positionH>
          <wp:positionV relativeFrom="paragraph">
            <wp:posOffset>-526415</wp:posOffset>
          </wp:positionV>
          <wp:extent cx="8182335" cy="12877800"/>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82335" cy="128778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23023284"/>
        <w:docPartObj>
          <w:docPartGallery w:val="Page Numbers (Top of Page)"/>
          <w:docPartUnique/>
        </w:docPartObj>
      </w:sdtPr>
      <w:sdtEndPr/>
      <w:sdtContent>
        <w:r>
          <w:fldChar w:fldCharType="begin"/>
        </w:r>
        <w:r>
          <w:instrText>PAGE   \* MERGEFORMAT</w:instrText>
        </w:r>
        <w:r>
          <w:fldChar w:fldCharType="separate"/>
        </w:r>
        <w:r w:rsidR="00FA1E45">
          <w:rPr>
            <w:noProof/>
          </w:rPr>
          <w:t>7</w:t>
        </w:r>
        <w:r>
          <w:fldChar w:fldCharType="end"/>
        </w:r>
      </w:sdtContent>
    </w:sdt>
  </w:p>
  <w:p w14:paraId="73B62FEB" w14:textId="18370400" w:rsidR="00BE5415" w:rsidRDefault="00BE5415">
    <w:pPr>
      <w:pStyle w:val="Encabezado"/>
      <w:jc w:val="center"/>
    </w:pPr>
  </w:p>
  <w:p w14:paraId="11A12D19" w14:textId="2D6FFD7A" w:rsidR="00BE5415" w:rsidRDefault="00BE5415">
    <w:pPr>
      <w:pStyle w:val="Encabezado"/>
      <w:jc w:val="center"/>
    </w:pPr>
  </w:p>
  <w:p w14:paraId="3C5C0923" w14:textId="7B0FF51F" w:rsidR="00BE5415" w:rsidRDefault="00BE5415">
    <w:pPr>
      <w:pStyle w:val="Encabezado"/>
      <w:jc w:val="center"/>
    </w:pPr>
  </w:p>
  <w:p w14:paraId="1EF4CA24" w14:textId="071C05A6" w:rsidR="00BE5415" w:rsidRDefault="00BE5415" w:rsidP="00151D88">
    <w:pPr>
      <w:pStyle w:val="Encabezado"/>
      <w:tabs>
        <w:tab w:val="left" w:pos="5954"/>
      </w:tabs>
      <w:jc w:val="right"/>
      <w:rPr>
        <w:sz w:val="20"/>
        <w:szCs w:val="20"/>
      </w:rPr>
    </w:pPr>
    <w:r w:rsidRPr="00485956">
      <w:rPr>
        <w:b/>
        <w:sz w:val="26"/>
        <w:szCs w:val="26"/>
      </w:rPr>
      <w:t>RR-</w:t>
    </w:r>
    <w:r w:rsidR="00492AEE">
      <w:rPr>
        <w:b/>
        <w:sz w:val="26"/>
        <w:szCs w:val="26"/>
      </w:rPr>
      <w:t>989</w:t>
    </w:r>
    <w:r w:rsidRPr="00485956">
      <w:rPr>
        <w:b/>
        <w:sz w:val="26"/>
        <w:szCs w:val="26"/>
      </w:rPr>
      <w:t>/202</w:t>
    </w:r>
    <w:r w:rsidR="00492AEE">
      <w:rPr>
        <w:b/>
        <w:sz w:val="26"/>
        <w:szCs w:val="26"/>
      </w:rPr>
      <w:t>5</w:t>
    </w:r>
    <w:r w:rsidRPr="00485956">
      <w:rPr>
        <w:b/>
        <w:sz w:val="26"/>
        <w:szCs w:val="26"/>
      </w:rPr>
      <w:t>-3</w:t>
    </w:r>
  </w:p>
  <w:p w14:paraId="167ADC62" w14:textId="77777777" w:rsidR="00BE5415" w:rsidRDefault="00BE5415" w:rsidP="00E25AE4">
    <w:pPr>
      <w:pStyle w:val="Encabezado"/>
      <w:tabs>
        <w:tab w:val="left" w:pos="5954"/>
      </w:tabs>
      <w:jc w:val="right"/>
      <w:rPr>
        <w:sz w:val="20"/>
        <w:szCs w:val="20"/>
      </w:rPr>
    </w:pPr>
  </w:p>
  <w:p w14:paraId="2E3B98D4" w14:textId="77777777" w:rsidR="00BE5415" w:rsidRDefault="00BE5415">
    <w:pPr>
      <w:pStyle w:val="Encabezado"/>
      <w:jc w:val="center"/>
    </w:pPr>
  </w:p>
  <w:p w14:paraId="4E5FFEF8" w14:textId="46E567DF" w:rsidR="00BE5415" w:rsidRDefault="00BE541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C7D69"/>
    <w:multiLevelType w:val="hybridMultilevel"/>
    <w:tmpl w:val="E7B6CD12"/>
    <w:lvl w:ilvl="0" w:tplc="1A662D80">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 w15:restartNumberingAfterBreak="0">
    <w:nsid w:val="18B51763"/>
    <w:multiLevelType w:val="hybridMultilevel"/>
    <w:tmpl w:val="2E2815E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217533E2"/>
    <w:multiLevelType w:val="hybridMultilevel"/>
    <w:tmpl w:val="6B3E97C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 w15:restartNumberingAfterBreak="0">
    <w:nsid w:val="31A128ED"/>
    <w:multiLevelType w:val="hybridMultilevel"/>
    <w:tmpl w:val="82F2DFC2"/>
    <w:lvl w:ilvl="0" w:tplc="548CF19C">
      <w:start w:val="1"/>
      <w:numFmt w:val="decimal"/>
      <w:lvlText w:val="%1."/>
      <w:lvlJc w:val="left"/>
      <w:pPr>
        <w:ind w:left="1494" w:hanging="36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4" w15:restartNumberingAfterBreak="0">
    <w:nsid w:val="4D713629"/>
    <w:multiLevelType w:val="hybridMultilevel"/>
    <w:tmpl w:val="E86E75FE"/>
    <w:lvl w:ilvl="0" w:tplc="94C83028">
      <w:start w:val="1"/>
      <w:numFmt w:val="upperRoman"/>
      <w:lvlText w:val="%1."/>
      <w:lvlJc w:val="left"/>
      <w:pPr>
        <w:ind w:left="1428" w:hanging="72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5" w15:restartNumberingAfterBreak="0">
    <w:nsid w:val="4E8E65B7"/>
    <w:multiLevelType w:val="hybridMultilevel"/>
    <w:tmpl w:val="50C85B3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56972177"/>
    <w:multiLevelType w:val="hybridMultilevel"/>
    <w:tmpl w:val="385C85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EED7030"/>
    <w:multiLevelType w:val="hybridMultilevel"/>
    <w:tmpl w:val="50C85B3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63D65309"/>
    <w:multiLevelType w:val="hybridMultilevel"/>
    <w:tmpl w:val="99606338"/>
    <w:lvl w:ilvl="0" w:tplc="0584D270">
      <w:start w:val="1"/>
      <w:numFmt w:val="decimal"/>
      <w:lvlText w:val="%1."/>
      <w:lvlJc w:val="left"/>
      <w:pPr>
        <w:ind w:left="1069" w:hanging="360"/>
      </w:pPr>
      <w:rPr>
        <w:rFonts w:hint="default"/>
      </w:rPr>
    </w:lvl>
    <w:lvl w:ilvl="1" w:tplc="080A0019">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73C64EC9"/>
    <w:multiLevelType w:val="hybridMultilevel"/>
    <w:tmpl w:val="3FDAF046"/>
    <w:lvl w:ilvl="0" w:tplc="508C93F8">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0"/>
  </w:num>
  <w:num w:numId="5">
    <w:abstractNumId w:val="7"/>
  </w:num>
  <w:num w:numId="6">
    <w:abstractNumId w:val="8"/>
  </w:num>
  <w:num w:numId="7">
    <w:abstractNumId w:val="5"/>
  </w:num>
  <w:num w:numId="8">
    <w:abstractNumId w:val="1"/>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8C4"/>
    <w:rsid w:val="0002054E"/>
    <w:rsid w:val="00064E4F"/>
    <w:rsid w:val="000B0032"/>
    <w:rsid w:val="000D588A"/>
    <w:rsid w:val="000E016B"/>
    <w:rsid w:val="00101B45"/>
    <w:rsid w:val="0013713C"/>
    <w:rsid w:val="00151D88"/>
    <w:rsid w:val="001555AE"/>
    <w:rsid w:val="00183019"/>
    <w:rsid w:val="00197E0D"/>
    <w:rsid w:val="001B1DC6"/>
    <w:rsid w:val="001C6C84"/>
    <w:rsid w:val="001D1951"/>
    <w:rsid w:val="001D470D"/>
    <w:rsid w:val="002052B5"/>
    <w:rsid w:val="0020679C"/>
    <w:rsid w:val="002231A1"/>
    <w:rsid w:val="002632EA"/>
    <w:rsid w:val="00263982"/>
    <w:rsid w:val="002758C7"/>
    <w:rsid w:val="002A20FF"/>
    <w:rsid w:val="002F0A47"/>
    <w:rsid w:val="002F4635"/>
    <w:rsid w:val="00302132"/>
    <w:rsid w:val="003035B4"/>
    <w:rsid w:val="003143BF"/>
    <w:rsid w:val="00315D18"/>
    <w:rsid w:val="003C267A"/>
    <w:rsid w:val="003E0797"/>
    <w:rsid w:val="003F0E7E"/>
    <w:rsid w:val="004310F2"/>
    <w:rsid w:val="00454EB5"/>
    <w:rsid w:val="004652C3"/>
    <w:rsid w:val="00471043"/>
    <w:rsid w:val="00474E72"/>
    <w:rsid w:val="00492AEE"/>
    <w:rsid w:val="00537924"/>
    <w:rsid w:val="00541994"/>
    <w:rsid w:val="005B51A9"/>
    <w:rsid w:val="005B557F"/>
    <w:rsid w:val="005B7A82"/>
    <w:rsid w:val="005D26DE"/>
    <w:rsid w:val="0061492F"/>
    <w:rsid w:val="00624872"/>
    <w:rsid w:val="00636CA1"/>
    <w:rsid w:val="00647770"/>
    <w:rsid w:val="00657AD7"/>
    <w:rsid w:val="006E3DBD"/>
    <w:rsid w:val="006F1374"/>
    <w:rsid w:val="007B194A"/>
    <w:rsid w:val="007B55B0"/>
    <w:rsid w:val="007C3966"/>
    <w:rsid w:val="007E5043"/>
    <w:rsid w:val="008329D4"/>
    <w:rsid w:val="00847F9F"/>
    <w:rsid w:val="00866027"/>
    <w:rsid w:val="008726E7"/>
    <w:rsid w:val="0089243F"/>
    <w:rsid w:val="008A0502"/>
    <w:rsid w:val="008B5177"/>
    <w:rsid w:val="008D5FA8"/>
    <w:rsid w:val="008E2C25"/>
    <w:rsid w:val="008F0F03"/>
    <w:rsid w:val="008F4DFE"/>
    <w:rsid w:val="0093057A"/>
    <w:rsid w:val="00953DF5"/>
    <w:rsid w:val="009B3806"/>
    <w:rsid w:val="009D7D9D"/>
    <w:rsid w:val="00A20DB4"/>
    <w:rsid w:val="00A2232F"/>
    <w:rsid w:val="00A27C50"/>
    <w:rsid w:val="00A43A1F"/>
    <w:rsid w:val="00AD0240"/>
    <w:rsid w:val="00AD7F20"/>
    <w:rsid w:val="00B21F15"/>
    <w:rsid w:val="00B2223F"/>
    <w:rsid w:val="00B24175"/>
    <w:rsid w:val="00B4223C"/>
    <w:rsid w:val="00B80066"/>
    <w:rsid w:val="00B93195"/>
    <w:rsid w:val="00B93599"/>
    <w:rsid w:val="00BB218E"/>
    <w:rsid w:val="00BB58C4"/>
    <w:rsid w:val="00BC77DF"/>
    <w:rsid w:val="00BD1346"/>
    <w:rsid w:val="00BD2B59"/>
    <w:rsid w:val="00BE5415"/>
    <w:rsid w:val="00BF76BC"/>
    <w:rsid w:val="00C205A5"/>
    <w:rsid w:val="00C7333F"/>
    <w:rsid w:val="00C777B6"/>
    <w:rsid w:val="00C84C80"/>
    <w:rsid w:val="00CA225F"/>
    <w:rsid w:val="00CC7E26"/>
    <w:rsid w:val="00CF4E16"/>
    <w:rsid w:val="00D55C81"/>
    <w:rsid w:val="00DD32E0"/>
    <w:rsid w:val="00DE5436"/>
    <w:rsid w:val="00DF098B"/>
    <w:rsid w:val="00E014D4"/>
    <w:rsid w:val="00E20206"/>
    <w:rsid w:val="00E25AE4"/>
    <w:rsid w:val="00E55B03"/>
    <w:rsid w:val="00E61093"/>
    <w:rsid w:val="00E62A1B"/>
    <w:rsid w:val="00E862F4"/>
    <w:rsid w:val="00E93392"/>
    <w:rsid w:val="00EA3EE3"/>
    <w:rsid w:val="00EC3236"/>
    <w:rsid w:val="00F0324E"/>
    <w:rsid w:val="00F034A9"/>
    <w:rsid w:val="00F2018D"/>
    <w:rsid w:val="00F42B82"/>
    <w:rsid w:val="00F835C7"/>
    <w:rsid w:val="00FA1E45"/>
    <w:rsid w:val="00FA6B10"/>
    <w:rsid w:val="00FB2176"/>
    <w:rsid w:val="00FD49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0563C"/>
  <w15:chartTrackingRefBased/>
  <w15:docId w15:val="{FAE9E4EF-55D8-4E83-A4CD-FB75AA06D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D88"/>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B58C4"/>
    <w:pPr>
      <w:tabs>
        <w:tab w:val="center" w:pos="4252"/>
        <w:tab w:val="right" w:pos="8504"/>
      </w:tabs>
    </w:pPr>
    <w:rPr>
      <w:rFonts w:asciiTheme="minorHAnsi" w:eastAsiaTheme="minorHAnsi" w:hAnsiTheme="minorHAnsi" w:cstheme="minorBidi"/>
      <w:sz w:val="22"/>
      <w:szCs w:val="22"/>
      <w:lang w:val="es-MX" w:eastAsia="en-US"/>
    </w:rPr>
  </w:style>
  <w:style w:type="character" w:customStyle="1" w:styleId="EncabezadoCar">
    <w:name w:val="Encabezado Car"/>
    <w:basedOn w:val="Fuentedeprrafopredeter"/>
    <w:link w:val="Encabezado"/>
    <w:uiPriority w:val="99"/>
    <w:rsid w:val="00BB58C4"/>
  </w:style>
  <w:style w:type="paragraph" w:styleId="Piedepgina">
    <w:name w:val="footer"/>
    <w:basedOn w:val="Normal"/>
    <w:link w:val="PiedepginaCar"/>
    <w:uiPriority w:val="99"/>
    <w:unhideWhenUsed/>
    <w:rsid w:val="00BB58C4"/>
    <w:pPr>
      <w:tabs>
        <w:tab w:val="center" w:pos="4252"/>
        <w:tab w:val="right" w:pos="8504"/>
      </w:tabs>
    </w:pPr>
  </w:style>
  <w:style w:type="character" w:customStyle="1" w:styleId="PiedepginaCar">
    <w:name w:val="Pie de página Car"/>
    <w:basedOn w:val="Fuentedeprrafopredeter"/>
    <w:link w:val="Piedepgina"/>
    <w:uiPriority w:val="99"/>
    <w:rsid w:val="00BB58C4"/>
  </w:style>
  <w:style w:type="table" w:styleId="Tablaconcuadrcula">
    <w:name w:val="Table Grid"/>
    <w:basedOn w:val="Tablanormal"/>
    <w:uiPriority w:val="59"/>
    <w:rsid w:val="0093057A"/>
    <w:pPr>
      <w:spacing w:after="0" w:line="240" w:lineRule="auto"/>
    </w:pPr>
    <w:rPr>
      <w:rFonts w:eastAsia="Times New Roman"/>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aliases w:val="callout,Footnote anchor,Ref,de nota al pie,ftref,BVI fnr,16 Point,Superscript 6 Point,(Diplomarbeit FZ),Footnote Reference,Texto de nota al pie,Footnotes refss,Appel note de bas de page,Footnote number,referencia nota al pie,f,4_G,R"/>
    <w:basedOn w:val="Fuentedeprrafopredeter"/>
    <w:link w:val="4GChar"/>
    <w:uiPriority w:val="99"/>
    <w:unhideWhenUsed/>
    <w:qFormat/>
    <w:rsid w:val="0093057A"/>
    <w:rPr>
      <w:vertAlign w:val="superscript"/>
    </w:rPr>
  </w:style>
  <w:style w:type="paragraph" w:styleId="Textonotapie">
    <w:name w:val="footnote text"/>
    <w:aliases w:val="Footnote Text Char Char Char Char Char,Footnote Text Char Char Char Char,Ref. de nota al pie1,FA Fu,Footnote Text Char Char Char,Footnote Text Cha,FA Fußnotentext,FA Fu?notentext,Footnote Text Char Char,FA Fuﬂnotentext,Ca,FA Fu?notente"/>
    <w:basedOn w:val="Normal"/>
    <w:link w:val="TextonotapieCar"/>
    <w:uiPriority w:val="99"/>
    <w:unhideWhenUsed/>
    <w:qFormat/>
    <w:rsid w:val="0093057A"/>
    <w:pPr>
      <w:jc w:val="both"/>
    </w:pPr>
    <w:rPr>
      <w:rFonts w:asciiTheme="minorHAnsi" w:hAnsiTheme="minorHAnsi"/>
      <w:sz w:val="20"/>
      <w:szCs w:val="20"/>
      <w:lang w:val="es-MX"/>
    </w:rPr>
  </w:style>
  <w:style w:type="character" w:customStyle="1" w:styleId="TextonotapieCar">
    <w:name w:val="Texto nota pie Car"/>
    <w:aliases w:val="Footnote Text Char Char Char Char Char Car,Footnote Text Char Char Char Char Car,Ref. de nota al pie1 Car,FA Fu Car,Footnote Text Char Char Char Car,Footnote Text Cha Car,FA Fußnotentext Car,FA Fu?notentext Car,FA Fuﬂnotentext Car"/>
    <w:basedOn w:val="Fuentedeprrafopredeter"/>
    <w:link w:val="Textonotapie"/>
    <w:uiPriority w:val="99"/>
    <w:rsid w:val="0093057A"/>
    <w:rPr>
      <w:rFonts w:eastAsia="Times New Roman" w:cs="Times New Roman"/>
      <w:sz w:val="20"/>
      <w:szCs w:val="20"/>
      <w:lang w:val="es-MX"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3057A"/>
    <w:pPr>
      <w:spacing w:after="160" w:line="259" w:lineRule="auto"/>
      <w:ind w:left="720"/>
      <w:contextualSpacing/>
    </w:pPr>
    <w:rPr>
      <w:rFonts w:asciiTheme="minorHAnsi" w:eastAsiaTheme="minorHAnsi" w:hAnsiTheme="minorHAnsi" w:cstheme="minorBidi"/>
      <w:sz w:val="22"/>
      <w:szCs w:val="22"/>
      <w:lang w:val="es-MX" w:eastAsia="en-U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3057A"/>
    <w:rPr>
      <w:lang w:val="es-MX"/>
    </w:rPr>
  </w:style>
  <w:style w:type="character" w:styleId="Hipervnculo">
    <w:name w:val="Hyperlink"/>
    <w:basedOn w:val="Fuentedeprrafopredeter"/>
    <w:uiPriority w:val="99"/>
    <w:unhideWhenUsed/>
    <w:rsid w:val="00471043"/>
    <w:rPr>
      <w:color w:val="0563C1" w:themeColor="hyperlink"/>
      <w:u w:val="single"/>
    </w:rPr>
  </w:style>
  <w:style w:type="paragraph" w:styleId="Textodeglobo">
    <w:name w:val="Balloon Text"/>
    <w:basedOn w:val="Normal"/>
    <w:link w:val="TextodegloboCar"/>
    <w:uiPriority w:val="99"/>
    <w:semiHidden/>
    <w:unhideWhenUsed/>
    <w:rsid w:val="00E2020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20206"/>
    <w:rPr>
      <w:rFonts w:ascii="Segoe UI" w:eastAsia="Times New Roman" w:hAnsi="Segoe UI" w:cs="Segoe UI"/>
      <w:sz w:val="18"/>
      <w:szCs w:val="18"/>
      <w:lang w:eastAsia="es-ES"/>
    </w:rPr>
  </w:style>
  <w:style w:type="paragraph" w:styleId="Textoindependiente">
    <w:name w:val="Body Text"/>
    <w:basedOn w:val="Normal"/>
    <w:link w:val="TextoindependienteCar"/>
    <w:uiPriority w:val="99"/>
    <w:semiHidden/>
    <w:unhideWhenUsed/>
    <w:rsid w:val="008E2C25"/>
    <w:pPr>
      <w:spacing w:after="120"/>
    </w:pPr>
  </w:style>
  <w:style w:type="character" w:customStyle="1" w:styleId="TextoindependienteCar">
    <w:name w:val="Texto independiente Car"/>
    <w:basedOn w:val="Fuentedeprrafopredeter"/>
    <w:link w:val="Textoindependiente"/>
    <w:uiPriority w:val="99"/>
    <w:semiHidden/>
    <w:rsid w:val="008E2C25"/>
    <w:rPr>
      <w:rFonts w:ascii="Times New Roman" w:eastAsia="Times New Roman" w:hAnsi="Times New Roman" w:cs="Times New Roman"/>
      <w:sz w:val="24"/>
      <w:szCs w:val="24"/>
      <w:lang w:eastAsia="es-ES"/>
    </w:rPr>
  </w:style>
  <w:style w:type="paragraph" w:styleId="Textoindependienteprimerasangra">
    <w:name w:val="Body Text First Indent"/>
    <w:basedOn w:val="Textoindependiente"/>
    <w:link w:val="TextoindependienteprimerasangraCar"/>
    <w:uiPriority w:val="99"/>
    <w:rsid w:val="008E2C25"/>
    <w:pPr>
      <w:spacing w:line="360" w:lineRule="auto"/>
      <w:ind w:firstLine="210"/>
      <w:jc w:val="both"/>
    </w:pPr>
    <w:rPr>
      <w:rFonts w:ascii="Calibri" w:hAnsi="Calibri"/>
      <w:sz w:val="26"/>
      <w:lang w:val="es-MX"/>
    </w:rPr>
  </w:style>
  <w:style w:type="character" w:customStyle="1" w:styleId="TextoindependienteprimerasangraCar">
    <w:name w:val="Texto independiente primera sangría Car"/>
    <w:basedOn w:val="TextoindependienteCar"/>
    <w:link w:val="Textoindependienteprimerasangra"/>
    <w:uiPriority w:val="99"/>
    <w:rsid w:val="008E2C25"/>
    <w:rPr>
      <w:rFonts w:ascii="Calibri" w:eastAsia="Times New Roman" w:hAnsi="Calibri" w:cs="Times New Roman"/>
      <w:sz w:val="26"/>
      <w:szCs w:val="24"/>
      <w:lang w:val="es-MX" w:eastAsia="es-ES"/>
    </w:rPr>
  </w:style>
  <w:style w:type="paragraph" w:customStyle="1" w:styleId="Estilo">
    <w:name w:val="Estilo"/>
    <w:basedOn w:val="Sinespaciado"/>
    <w:link w:val="EstiloCar"/>
    <w:qFormat/>
    <w:rsid w:val="00EC3236"/>
    <w:pPr>
      <w:jc w:val="both"/>
    </w:pPr>
    <w:rPr>
      <w:rFonts w:ascii="Arial" w:eastAsiaTheme="minorHAnsi" w:hAnsi="Arial" w:cstheme="minorBidi"/>
      <w:szCs w:val="22"/>
      <w:lang w:val="es-MX" w:eastAsia="en-US"/>
    </w:rPr>
  </w:style>
  <w:style w:type="character" w:customStyle="1" w:styleId="EstiloCar">
    <w:name w:val="Estilo Car"/>
    <w:basedOn w:val="Fuentedeprrafopredeter"/>
    <w:link w:val="Estilo"/>
    <w:rsid w:val="00EC3236"/>
    <w:rPr>
      <w:rFonts w:ascii="Arial" w:hAnsi="Arial"/>
      <w:sz w:val="24"/>
      <w:lang w:val="es-MX"/>
    </w:rPr>
  </w:style>
  <w:style w:type="paragraph" w:styleId="Sinespaciado">
    <w:name w:val="No Spacing"/>
    <w:link w:val="SinespaciadoCar"/>
    <w:uiPriority w:val="1"/>
    <w:qFormat/>
    <w:rsid w:val="00EC3236"/>
    <w:pPr>
      <w:spacing w:after="0" w:line="240" w:lineRule="auto"/>
    </w:pPr>
    <w:rPr>
      <w:rFonts w:ascii="Times New Roman" w:eastAsia="Times New Roman" w:hAnsi="Times New Roman" w:cs="Times New Roman"/>
      <w:sz w:val="24"/>
      <w:szCs w:val="24"/>
      <w:lang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4652C3"/>
    <w:pPr>
      <w:jc w:val="both"/>
    </w:pPr>
    <w:rPr>
      <w:rFonts w:asciiTheme="minorHAnsi" w:eastAsiaTheme="minorHAnsi" w:hAnsiTheme="minorHAnsi" w:cstheme="minorBidi"/>
      <w:sz w:val="22"/>
      <w:szCs w:val="22"/>
      <w:vertAlign w:val="superscript"/>
      <w:lang w:eastAsia="en-US"/>
    </w:rPr>
  </w:style>
  <w:style w:type="character" w:customStyle="1" w:styleId="SinespaciadoCar">
    <w:name w:val="Sin espaciado Car"/>
    <w:link w:val="Sinespaciado"/>
    <w:uiPriority w:val="1"/>
    <w:locked/>
    <w:rsid w:val="004652C3"/>
    <w:rPr>
      <w:rFonts w:ascii="Times New Roman" w:eastAsia="Times New Roman" w:hAnsi="Times New Roman" w:cs="Times New Roman"/>
      <w:sz w:val="24"/>
      <w:szCs w:val="24"/>
      <w:lang w:eastAsia="es-ES"/>
    </w:rPr>
  </w:style>
  <w:style w:type="character" w:customStyle="1" w:styleId="text-justify">
    <w:name w:val="text-justify"/>
    <w:basedOn w:val="Fuentedeprrafopredeter"/>
    <w:rsid w:val="00492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0dcujSDb49GzXNadepMMQAeUpkZVjzut/vie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1814B-9ECE-40F5-A50A-BD1E24149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2758</Words>
  <Characters>15169</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Martínez Martínez</dc:creator>
  <cp:keywords/>
  <dc:description/>
  <cp:lastModifiedBy>cegaip</cp:lastModifiedBy>
  <cp:revision>2</cp:revision>
  <cp:lastPrinted>2026-05-07T16:48:00Z</cp:lastPrinted>
  <dcterms:created xsi:type="dcterms:W3CDTF">2026-05-07T17:26:00Z</dcterms:created>
  <dcterms:modified xsi:type="dcterms:W3CDTF">2026-05-07T17:26:00Z</dcterms:modified>
</cp:coreProperties>
</file>