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1000CC">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1000CC">
        <w:rPr>
          <w:rFonts w:ascii="Arial" w:hAnsi="Arial" w:cs="Arial"/>
          <w:b/>
          <w:sz w:val="24"/>
          <w:szCs w:val="24"/>
        </w:rPr>
        <w:t>junio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1000CC">
        <w:rPr>
          <w:rFonts w:ascii="Arial" w:hAnsi="Arial" w:cs="Arial"/>
          <w:b/>
          <w:sz w:val="24"/>
          <w:szCs w:val="24"/>
        </w:rPr>
        <w:t>sexta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1C5B35">
        <w:rPr>
          <w:rFonts w:ascii="Arial" w:hAnsi="Arial" w:cs="Arial"/>
          <w:sz w:val="24"/>
          <w:szCs w:val="24"/>
        </w:rPr>
        <w:t>,</w:t>
      </w:r>
      <w:r w:rsidRPr="00115CE3">
        <w:rPr>
          <w:rFonts w:ascii="Arial" w:hAnsi="Arial" w:cs="Arial"/>
          <w:sz w:val="24"/>
          <w:szCs w:val="24"/>
        </w:rPr>
        <w:t xml:space="preserve"> mediante oficio</w:t>
      </w:r>
      <w:r w:rsidR="004E1EAB">
        <w:rPr>
          <w:rFonts w:ascii="Arial" w:hAnsi="Arial" w:cs="Arial"/>
          <w:sz w:val="24"/>
          <w:szCs w:val="24"/>
        </w:rPr>
        <w:t xml:space="preserve"> </w:t>
      </w:r>
      <w:r w:rsidR="00CD69B4" w:rsidRPr="006E39D1">
        <w:rPr>
          <w:rFonts w:ascii="Arial" w:hAnsi="Arial" w:cs="Arial"/>
          <w:b/>
          <w:sz w:val="24"/>
          <w:szCs w:val="24"/>
        </w:rPr>
        <w:t>DGA</w:t>
      </w:r>
      <w:r w:rsidR="00CD69B4">
        <w:rPr>
          <w:rFonts w:ascii="Arial" w:hAnsi="Arial" w:cs="Arial"/>
          <w:b/>
          <w:sz w:val="24"/>
          <w:szCs w:val="24"/>
        </w:rPr>
        <w:t>/</w:t>
      </w:r>
      <w:r w:rsidR="003F378D">
        <w:rPr>
          <w:rFonts w:ascii="Arial" w:hAnsi="Arial" w:cs="Arial"/>
          <w:b/>
          <w:sz w:val="24"/>
          <w:szCs w:val="24"/>
        </w:rPr>
        <w:t>DRH/</w:t>
      </w:r>
      <w:r w:rsidR="001000CC">
        <w:rPr>
          <w:rFonts w:ascii="Arial" w:hAnsi="Arial" w:cs="Arial"/>
          <w:b/>
          <w:sz w:val="24"/>
          <w:szCs w:val="24"/>
        </w:rPr>
        <w:t>1540</w:t>
      </w:r>
      <w:r w:rsidR="004E1EAB" w:rsidRPr="004E1EAB">
        <w:rPr>
          <w:rFonts w:ascii="Arial" w:hAnsi="Arial" w:cs="Arial"/>
          <w:b/>
          <w:sz w:val="24"/>
          <w:szCs w:val="24"/>
        </w:rPr>
        <w:t>/2026</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w:t>
      </w:r>
      <w:r w:rsidR="006E39D1">
        <w:rPr>
          <w:rFonts w:ascii="Arial" w:hAnsi="Arial" w:cs="Arial"/>
          <w:b/>
          <w:sz w:val="24"/>
          <w:szCs w:val="24"/>
        </w:rPr>
        <w:t>2</w:t>
      </w:r>
      <w:r w:rsidR="001000CC">
        <w:rPr>
          <w:rFonts w:ascii="Arial" w:hAnsi="Arial" w:cs="Arial"/>
          <w:b/>
          <w:sz w:val="24"/>
          <w:szCs w:val="24"/>
        </w:rPr>
        <w:t>5</w:t>
      </w:r>
      <w:r w:rsidR="001C5B35">
        <w:rPr>
          <w:rFonts w:ascii="Arial" w:hAnsi="Arial" w:cs="Arial"/>
          <w:b/>
          <w:sz w:val="24"/>
          <w:szCs w:val="24"/>
        </w:rPr>
        <w:t xml:space="preserve"> de </w:t>
      </w:r>
      <w:r w:rsidR="001000CC">
        <w:rPr>
          <w:rFonts w:ascii="Arial" w:hAnsi="Arial" w:cs="Arial"/>
          <w:b/>
          <w:sz w:val="24"/>
          <w:szCs w:val="24"/>
        </w:rPr>
        <w:t>mayo</w:t>
      </w:r>
      <w:r w:rsidR="001C5B35">
        <w:rPr>
          <w:rFonts w:ascii="Arial" w:hAnsi="Arial" w:cs="Arial"/>
          <w:b/>
          <w:sz w:val="24"/>
          <w:szCs w:val="24"/>
        </w:rPr>
        <w:t xml:space="preserve">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1000CC">
        <w:rPr>
          <w:rFonts w:ascii="Arial" w:hAnsi="Arial" w:cs="Arial"/>
          <w:b/>
          <w:sz w:val="24"/>
          <w:szCs w:val="24"/>
        </w:rPr>
        <w:t xml:space="preserve">total </w:t>
      </w:r>
      <w:r w:rsidR="00CD69B4">
        <w:rPr>
          <w:rFonts w:ascii="Arial" w:hAnsi="Arial" w:cs="Arial"/>
          <w:b/>
          <w:sz w:val="24"/>
          <w:szCs w:val="24"/>
        </w:rPr>
        <w:t>AR/0</w:t>
      </w:r>
      <w:r w:rsidR="001000CC">
        <w:rPr>
          <w:rFonts w:ascii="Arial" w:hAnsi="Arial" w:cs="Arial"/>
          <w:b/>
          <w:sz w:val="24"/>
          <w:szCs w:val="24"/>
        </w:rPr>
        <w:t>30</w:t>
      </w:r>
      <w:r w:rsidR="004E1EAB">
        <w:rPr>
          <w:rFonts w:ascii="Arial" w:hAnsi="Arial" w:cs="Arial"/>
          <w:b/>
          <w:sz w:val="24"/>
          <w:szCs w:val="24"/>
        </w:rPr>
        <w:t>/2026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3F378D">
        <w:rPr>
          <w:rFonts w:ascii="Arial" w:hAnsi="Arial" w:cs="Arial"/>
          <w:b/>
          <w:sz w:val="24"/>
          <w:szCs w:val="24"/>
        </w:rPr>
        <w:t>1</w:t>
      </w:r>
      <w:r w:rsidR="001000CC">
        <w:rPr>
          <w:rFonts w:ascii="Arial" w:hAnsi="Arial" w:cs="Arial"/>
          <w:b/>
          <w:sz w:val="24"/>
          <w:szCs w:val="24"/>
        </w:rPr>
        <w:t>70</w:t>
      </w:r>
      <w:r w:rsidR="0053156B" w:rsidRPr="00115CE3">
        <w:rPr>
          <w:rFonts w:ascii="Arial" w:hAnsi="Arial" w:cs="Arial"/>
          <w:sz w:val="24"/>
          <w:szCs w:val="24"/>
        </w:rPr>
        <w:t>-24046982</w:t>
      </w:r>
      <w:r w:rsidR="00102849">
        <w:rPr>
          <w:rFonts w:ascii="Arial" w:hAnsi="Arial" w:cs="Arial"/>
          <w:sz w:val="24"/>
          <w:szCs w:val="24"/>
        </w:rPr>
        <w:t>6</w:t>
      </w:r>
      <w:r w:rsidR="0053156B" w:rsidRPr="00115CE3">
        <w:rPr>
          <w:rFonts w:ascii="Arial" w:hAnsi="Arial" w:cs="Arial"/>
          <w:sz w:val="24"/>
          <w:szCs w:val="24"/>
        </w:rPr>
        <w:t>00</w:t>
      </w:r>
      <w:r w:rsidR="003F378D" w:rsidRPr="003F378D">
        <w:rPr>
          <w:rFonts w:ascii="Arial" w:hAnsi="Arial" w:cs="Arial"/>
          <w:b/>
          <w:sz w:val="24"/>
          <w:szCs w:val="24"/>
        </w:rPr>
        <w:t>1</w:t>
      </w:r>
      <w:r w:rsidR="001000CC">
        <w:rPr>
          <w:rFonts w:ascii="Arial" w:hAnsi="Arial" w:cs="Arial"/>
          <w:b/>
          <w:sz w:val="24"/>
          <w:szCs w:val="24"/>
        </w:rPr>
        <w:t>70</w:t>
      </w:r>
      <w:r w:rsidR="0053156B" w:rsidRPr="00115CE3">
        <w:rPr>
          <w:rFonts w:ascii="Arial" w:hAnsi="Arial" w:cs="Arial"/>
          <w:sz w:val="24"/>
          <w:szCs w:val="24"/>
        </w:rPr>
        <w:t>-202</w:t>
      </w:r>
      <w:r w:rsidR="00102849">
        <w:rPr>
          <w:rFonts w:ascii="Arial" w:hAnsi="Arial" w:cs="Arial"/>
          <w:sz w:val="24"/>
          <w:szCs w:val="24"/>
        </w:rPr>
        <w:t>6</w:t>
      </w:r>
      <w:r w:rsidR="0053156B" w:rsidRPr="00115CE3">
        <w:rPr>
          <w:rFonts w:ascii="Arial" w:hAnsi="Arial" w:cs="Arial"/>
          <w:sz w:val="24"/>
          <w:szCs w:val="24"/>
        </w:rPr>
        <w:t xml:space="preserve"> realizada por</w:t>
      </w:r>
      <w:r w:rsidR="003F378D">
        <w:rPr>
          <w:rFonts w:ascii="Arial" w:hAnsi="Arial" w:cs="Arial"/>
          <w:sz w:val="24"/>
          <w:szCs w:val="24"/>
        </w:rPr>
        <w:t xml:space="preserve"> </w:t>
      </w:r>
      <w:r w:rsidR="001000CC" w:rsidRPr="001000CC">
        <w:rPr>
          <w:rFonts w:ascii="Arial" w:hAnsi="Arial" w:cs="Arial"/>
          <w:b/>
          <w:sz w:val="24"/>
          <w:szCs w:val="24"/>
        </w:rPr>
        <w:t>Ariadna López</w:t>
      </w:r>
      <w:r w:rsidR="000C23C7">
        <w:rPr>
          <w:rFonts w:ascii="Arial" w:hAnsi="Arial" w:cs="Arial"/>
          <w:sz w:val="24"/>
          <w:szCs w:val="24"/>
        </w:rPr>
        <w:t>, quien manifiesta su deseo de acceder a la siguiente información:</w:t>
      </w:r>
    </w:p>
    <w:p w:rsidR="001000CC" w:rsidRPr="001000CC" w:rsidRDefault="001000CC" w:rsidP="001000CC">
      <w:pPr>
        <w:tabs>
          <w:tab w:val="left" w:pos="9639"/>
        </w:tabs>
        <w:spacing w:after="0" w:line="240" w:lineRule="auto"/>
        <w:jc w:val="both"/>
        <w:rPr>
          <w:rFonts w:ascii="Arial" w:hAnsi="Arial" w:cs="Arial"/>
          <w:sz w:val="20"/>
          <w:szCs w:val="20"/>
        </w:rPr>
      </w:pPr>
      <w:r w:rsidRPr="001000CC">
        <w:rPr>
          <w:rFonts w:ascii="Arial" w:hAnsi="Arial" w:cs="Arial"/>
          <w:sz w:val="20"/>
          <w:szCs w:val="20"/>
        </w:rPr>
        <w:t>¿Existe una fiscalía o unidad especializada para investigar el delito de tortura? Especificar si se trata de</w:t>
      </w:r>
      <w:r>
        <w:rPr>
          <w:rFonts w:ascii="Arial" w:hAnsi="Arial" w:cs="Arial"/>
          <w:sz w:val="20"/>
          <w:szCs w:val="20"/>
        </w:rPr>
        <w:t xml:space="preserve"> </w:t>
      </w:r>
      <w:r w:rsidRPr="001000CC">
        <w:rPr>
          <w:rFonts w:ascii="Arial" w:hAnsi="Arial" w:cs="Arial"/>
          <w:sz w:val="20"/>
          <w:szCs w:val="20"/>
        </w:rPr>
        <w:t>fiscalía o unidad especializada.</w:t>
      </w:r>
    </w:p>
    <w:p w:rsidR="001000CC" w:rsidRPr="001000CC" w:rsidRDefault="001000CC" w:rsidP="001000CC">
      <w:pPr>
        <w:tabs>
          <w:tab w:val="left" w:pos="9639"/>
        </w:tabs>
        <w:spacing w:after="0" w:line="240" w:lineRule="auto"/>
        <w:jc w:val="both"/>
        <w:rPr>
          <w:rFonts w:ascii="Arial" w:hAnsi="Arial" w:cs="Arial"/>
          <w:sz w:val="20"/>
          <w:szCs w:val="20"/>
        </w:rPr>
      </w:pPr>
      <w:r w:rsidRPr="001000CC">
        <w:rPr>
          <w:rFonts w:ascii="Arial" w:hAnsi="Arial" w:cs="Arial"/>
          <w:sz w:val="20"/>
          <w:szCs w:val="20"/>
        </w:rPr>
        <w:t>¿Cuál es el número de agentes del ministerio público con que cuenta la Fiscalía o Unidad especializada</w:t>
      </w:r>
      <w:r>
        <w:rPr>
          <w:rFonts w:ascii="Arial" w:hAnsi="Arial" w:cs="Arial"/>
          <w:sz w:val="20"/>
          <w:szCs w:val="20"/>
        </w:rPr>
        <w:t xml:space="preserve"> </w:t>
      </w:r>
      <w:r w:rsidRPr="001000CC">
        <w:rPr>
          <w:rFonts w:ascii="Arial" w:hAnsi="Arial" w:cs="Arial"/>
          <w:sz w:val="20"/>
          <w:szCs w:val="20"/>
        </w:rPr>
        <w:t>para investigar el delito de tortura? Desagregar por fiscalía o por unidad a la que pertenecen.</w:t>
      </w:r>
    </w:p>
    <w:p w:rsidR="00102849" w:rsidRDefault="001000CC" w:rsidP="001000CC">
      <w:pPr>
        <w:tabs>
          <w:tab w:val="left" w:pos="9639"/>
        </w:tabs>
        <w:spacing w:after="0" w:line="240" w:lineRule="auto"/>
        <w:jc w:val="both"/>
        <w:rPr>
          <w:rFonts w:ascii="Arial" w:hAnsi="Arial" w:cs="Arial"/>
          <w:sz w:val="20"/>
          <w:szCs w:val="20"/>
        </w:rPr>
      </w:pPr>
      <w:r w:rsidRPr="001000CC">
        <w:rPr>
          <w:rFonts w:ascii="Arial" w:hAnsi="Arial" w:cs="Arial"/>
          <w:sz w:val="20"/>
          <w:szCs w:val="20"/>
        </w:rPr>
        <w:t>¿Cuál es el presupuesto total asignado y ejercido por la fiscalía o unidad especializada para investigar el</w:t>
      </w:r>
      <w:r>
        <w:rPr>
          <w:rFonts w:ascii="Arial" w:hAnsi="Arial" w:cs="Arial"/>
          <w:sz w:val="20"/>
          <w:szCs w:val="20"/>
        </w:rPr>
        <w:t xml:space="preserve"> </w:t>
      </w:r>
      <w:r w:rsidRPr="001000CC">
        <w:rPr>
          <w:rFonts w:ascii="Arial" w:hAnsi="Arial" w:cs="Arial"/>
          <w:sz w:val="20"/>
          <w:szCs w:val="20"/>
        </w:rPr>
        <w:t xml:space="preserve">delito de tortura durante 2025? </w:t>
      </w:r>
      <w:r w:rsidR="00102849">
        <w:rPr>
          <w:rFonts w:ascii="Arial" w:hAnsi="Arial" w:cs="Arial"/>
          <w:sz w:val="20"/>
          <w:szCs w:val="20"/>
        </w:rPr>
        <w:t>[SIC]</w:t>
      </w:r>
    </w:p>
    <w:p w:rsidR="00102849" w:rsidRDefault="00102849" w:rsidP="00102849">
      <w:pPr>
        <w:spacing w:after="0" w:line="240" w:lineRule="auto"/>
        <w:jc w:val="both"/>
        <w:rPr>
          <w:rFonts w:ascii="Arial" w:hAnsi="Arial" w:cs="Arial"/>
          <w:b/>
          <w:sz w:val="24"/>
          <w:szCs w:val="24"/>
        </w:rPr>
      </w:pPr>
    </w:p>
    <w:p w:rsidR="00BF3665" w:rsidRDefault="009819AE" w:rsidP="00102849">
      <w:pPr>
        <w:spacing w:after="0"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1000CC">
        <w:rPr>
          <w:rFonts w:ascii="Arial" w:hAnsi="Arial" w:cs="Arial"/>
          <w:b/>
          <w:sz w:val="24"/>
          <w:szCs w:val="24"/>
        </w:rPr>
        <w:t>totalmente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3F378D">
        <w:rPr>
          <w:rFonts w:ascii="Arial" w:hAnsi="Arial" w:cs="Arial"/>
          <w:sz w:val="24"/>
          <w:szCs w:val="24"/>
        </w:rPr>
        <w:t>ones I y</w:t>
      </w:r>
      <w:r w:rsidR="00D63EFF">
        <w:rPr>
          <w:rFonts w:ascii="Arial" w:hAnsi="Arial" w:cs="Arial"/>
          <w:sz w:val="24"/>
          <w:szCs w:val="24"/>
        </w:rPr>
        <w:t xml:space="preserve"> </w:t>
      </w:r>
      <w:r w:rsidR="005160BF" w:rsidRPr="00115CE3">
        <w:rPr>
          <w:rFonts w:ascii="Arial" w:hAnsi="Arial" w:cs="Arial"/>
          <w:sz w:val="24"/>
          <w:szCs w:val="24"/>
        </w:rPr>
        <w:t>X</w:t>
      </w:r>
      <w:r w:rsidR="003F378D">
        <w:rPr>
          <w:rFonts w:ascii="Arial" w:hAnsi="Arial" w:cs="Arial"/>
          <w:sz w:val="24"/>
          <w:szCs w:val="24"/>
        </w:rPr>
        <w:t>I</w:t>
      </w:r>
      <w:r w:rsidR="005160BF" w:rsidRPr="00115CE3">
        <w:rPr>
          <w:rFonts w:ascii="Arial" w:hAnsi="Arial" w:cs="Arial"/>
          <w:sz w:val="24"/>
          <w:szCs w:val="24"/>
        </w:rPr>
        <w:t>I</w:t>
      </w:r>
      <w:r w:rsidRPr="00115CE3">
        <w:rPr>
          <w:rFonts w:ascii="Arial" w:hAnsi="Arial" w:cs="Arial"/>
          <w:sz w:val="24"/>
          <w:szCs w:val="24"/>
        </w:rPr>
        <w:t xml:space="preserve"> de la LTAIPSLP.</w:t>
      </w:r>
    </w:p>
    <w:p w:rsidR="0056548A" w:rsidRDefault="0056548A" w:rsidP="00102849">
      <w:pPr>
        <w:spacing w:after="0"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1000CC">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D69B4">
        <w:rPr>
          <w:rFonts w:ascii="Arial" w:hAnsi="Arial" w:cs="Arial"/>
          <w:b/>
          <w:sz w:val="24"/>
          <w:szCs w:val="24"/>
        </w:rPr>
        <w:t>AR/0</w:t>
      </w:r>
      <w:r w:rsidR="001000CC">
        <w:rPr>
          <w:rFonts w:ascii="Arial" w:hAnsi="Arial" w:cs="Arial"/>
          <w:b/>
          <w:sz w:val="24"/>
          <w:szCs w:val="24"/>
        </w:rPr>
        <w:t>30</w:t>
      </w:r>
      <w:r w:rsidR="00CD69B4">
        <w:rPr>
          <w:rFonts w:ascii="Arial" w:hAnsi="Arial" w:cs="Arial"/>
          <w:b/>
          <w:sz w:val="24"/>
          <w:szCs w:val="24"/>
        </w:rPr>
        <w:t>/2026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1000CC">
        <w:rPr>
          <w:rFonts w:ascii="Arial" w:hAnsi="Arial" w:cs="Arial"/>
          <w:b/>
          <w:sz w:val="24"/>
          <w:szCs w:val="24"/>
        </w:rPr>
        <w:t>total</w:t>
      </w:r>
      <w:r w:rsidR="00CD69B4">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1000CC">
        <w:rPr>
          <w:rFonts w:ascii="Arial" w:hAnsi="Arial" w:cs="Arial"/>
          <w:b/>
          <w:sz w:val="24"/>
          <w:szCs w:val="24"/>
        </w:rPr>
        <w:t>30</w:t>
      </w:r>
      <w:r w:rsidR="00CD69B4">
        <w:rPr>
          <w:rFonts w:ascii="Arial" w:hAnsi="Arial" w:cs="Arial"/>
          <w:b/>
          <w:sz w:val="24"/>
          <w:szCs w:val="24"/>
        </w:rPr>
        <w:t>/2026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1000CC">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1000CC">
        <w:rPr>
          <w:rFonts w:ascii="Arial" w:hAnsi="Arial" w:cs="Arial"/>
          <w:b/>
          <w:sz w:val="24"/>
          <w:szCs w:val="24"/>
        </w:rPr>
        <w:t>30</w:t>
      </w:r>
      <w:r w:rsidR="00CD69B4">
        <w:rPr>
          <w:rFonts w:ascii="Arial" w:hAnsi="Arial" w:cs="Arial"/>
          <w:b/>
          <w:sz w:val="24"/>
          <w:szCs w:val="24"/>
        </w:rPr>
        <w:t>/2026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3F2181" w:rsidRDefault="003F2181" w:rsidP="003358AA">
      <w:pPr>
        <w:autoSpaceDE w:val="0"/>
        <w:autoSpaceDN w:val="0"/>
        <w:adjustRightInd w:val="0"/>
        <w:spacing w:line="240" w:lineRule="auto"/>
        <w:jc w:val="both"/>
        <w:rPr>
          <w:rFonts w:ascii="Arial" w:hAnsi="Arial" w:cs="Arial"/>
          <w:sz w:val="24"/>
          <w:szCs w:val="24"/>
          <w:u w:val="single"/>
        </w:rPr>
      </w:pPr>
    </w:p>
    <w:p w:rsidR="006228D1" w:rsidRPr="006228D1" w:rsidRDefault="007336C3" w:rsidP="006228D1">
      <w:pPr>
        <w:autoSpaceDE w:val="0"/>
        <w:autoSpaceDN w:val="0"/>
        <w:adjustRightInd w:val="0"/>
        <w:spacing w:after="0" w:line="240" w:lineRule="auto"/>
        <w:jc w:val="both"/>
        <w:rPr>
          <w:rFonts w:ascii="Arial" w:hAnsi="Arial" w:cs="Arial"/>
          <w:sz w:val="24"/>
          <w:szCs w:val="24"/>
        </w:rPr>
      </w:pPr>
      <w:r w:rsidRPr="00115CE3">
        <w:rPr>
          <w:rFonts w:ascii="Arial" w:hAnsi="Arial" w:cs="Arial"/>
          <w:sz w:val="24"/>
          <w:szCs w:val="24"/>
          <w:u w:val="single"/>
        </w:rPr>
        <w:t>Motivación</w:t>
      </w:r>
      <w:r w:rsidRPr="006E39D1">
        <w:rPr>
          <w:rFonts w:ascii="Arial" w:hAnsi="Arial" w:cs="Arial"/>
          <w:sz w:val="24"/>
          <w:szCs w:val="24"/>
        </w:rPr>
        <w:t>.</w:t>
      </w:r>
      <w:r w:rsidR="006E39D1" w:rsidRPr="006E39D1">
        <w:t xml:space="preserve"> </w:t>
      </w:r>
      <w:r w:rsidR="006228D1" w:rsidRPr="006228D1">
        <w:rPr>
          <w:rFonts w:ascii="Arial" w:hAnsi="Arial" w:cs="Arial"/>
          <w:sz w:val="24"/>
          <w:szCs w:val="24"/>
        </w:rPr>
        <w:t>Ahora bien, la información solicitada no se limita a datos genéricos o agregados de carácter administrativo, sino que comprende un volumen amplio y altamente desagregado de información estructural, funcional y operativa relativa al personal adscrito a los Órganos Táctico Operativos de esta Fiscalía, incluyendo, de manera enunciativa mas no limitativa, datos sobre:</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“Del periodo del 21 de mayo del 2025 al 21 de mayo de 2026, de la Fiscalía Especializada en la Investigación de Delitos de Tortura y Otros Tratos o Penas Crueles, Inhumanos o Degradantes, de la Fiscalía General del Estado de San Luis Potosí, en cuanto a:</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¿Cuál es el número de agentes del ministerio público con que cuenta la Fiscalía especializada para investigar el delito de tortura? Desagregados por fiscalía a la que pertenecen.”</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La divulgación de dicha información, en los términos solicitados, permitiría a terceros reconstruir de manera indirecta pero precisa la capacidad operativa, táctica y de reacción de la Fiscalía de su interés, identificar zonas de cobertura, concentración o debilidad institucional, así como inferir patrones de operación, niveles de especialización y distribución territorial del personal encargado de funciones sensibles de investigación y persecución del delito.</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 xml:space="preserve">Es procedente puesto que el darla a conocer contraviene lo dispuesto en el artículo 129 fracciones I y XII, de la Ley de Transparencia y Acceso a la Información Pública del Estado del Estado de San Luis Potosí, en el que se considera: “Articulo 129. Como información reservada podrá clasificarse aquella cuya publicación, I. Comprometa la seguridad pública y cuente con un propósito genuino y un efecto demostrable; y XII. Las que por disposición expresa de una ley </w:t>
      </w:r>
      <w:r w:rsidRPr="006228D1">
        <w:rPr>
          <w:rFonts w:ascii="Arial" w:hAnsi="Arial" w:cs="Arial"/>
          <w:sz w:val="24"/>
          <w:szCs w:val="24"/>
        </w:rPr>
        <w:lastRenderedPageBreak/>
        <w:t>tengan tal carácter, siempre que sean acordes con las bases, principios y disposiciones establecidos en esta Ley y no la contravengan; así como las previstas en tratados internacionales.” siempre que se ajusten a los principios de legalidad y proporcionalidad.</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Debe destacarse que esta Fiscalía General del Estado forma parte del Sistema Nacional y Estatal de Seguridad Pública, conforme a lo dispuesto por el artículo 21 de la Constitución Política de los Estados Unidos Mexicanos y el artículo 3 de la Ley del Sistema de Seguridad Pública del Estado de San Luis Potosí, por lo que su organización, funcionamiento, recursos humanos y bases de datos constituyen información estratégica del Estado mexicano.</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En particular, el artículo 93 Bis de la Ley del Sistema de Seguridad Pública del Estado de San Luis Potosí establece que toda la información contenida en las bases de datos del sistema es de carácter reservado, incluyendo aquella relativa al personal de seguridad pública. A su vez, el artículo 99 del mismo ordenamiento prevé que el Registro de Personal de Seguridad Pública contiene información que permite identificar, localizar, conocer adscripciones, actividades, rangos y movimientos del personal, información que guarda una coincidencia sustancial y directa con los datos solicitados.</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La entrega de la información requerida contravendría de manera directa estas disposiciones, al permitir que datos estratégicos sobre el personal operativo y sustantivo salgan del ámbito institucional y sean potencialmente utilizados por organizaciones delictivas, ya sea para anticipar la capacidad de respuesta estatal, obstaculizar investigaciones, evadir la acción de la justicia, o ejercer actos de presión, intimidación, corrupción o violencia contra servidores públicos y sus núcleos familiares.</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Asimismo, la divulgación relativa a un área táctico operativa específica, como lo es la Fiscalía Especializada en la Investigación de Delitos de Tortura y otros Tratos o Penas Crueles, Inhumanos o Degradantes, permitiría correlacionar hechos operativos con capacidades institucionales, lo cual debilitaría la función investigadora, afectaría la integración de carpetas de investigación y comprometería la eficacia de los programas y estrategias de seguridad pública.</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Desde la perspectiva de la prueba de daño, se acredita que:</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w:t>
      </w:r>
      <w:r w:rsidRPr="006228D1">
        <w:rPr>
          <w:rFonts w:ascii="Arial" w:hAnsi="Arial" w:cs="Arial"/>
          <w:sz w:val="24"/>
          <w:szCs w:val="24"/>
        </w:rPr>
        <w:tab/>
        <w:t>El daño es cierto y verificable, al tratarse de información cuya divulgación expone directamente funciones sustantivas de seguridad y procuración de justicia;</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w:t>
      </w:r>
      <w:r w:rsidRPr="006228D1">
        <w:rPr>
          <w:rFonts w:ascii="Arial" w:hAnsi="Arial" w:cs="Arial"/>
          <w:sz w:val="24"/>
          <w:szCs w:val="24"/>
        </w:rPr>
        <w:tab/>
        <w:t>El daño es específico, pues impacta de manera directa en la integridad del personal, la operatividad institucional y el orden público;</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w:t>
      </w:r>
      <w:r w:rsidRPr="006228D1">
        <w:rPr>
          <w:rFonts w:ascii="Arial" w:hAnsi="Arial" w:cs="Arial"/>
          <w:sz w:val="24"/>
          <w:szCs w:val="24"/>
        </w:rPr>
        <w:tab/>
        <w:t>El daño es mayor al interés público de divulgación, dado que la afectación a la seguridad pública y a la procuración de justicia resulta irreparable;</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w:t>
      </w:r>
      <w:r w:rsidRPr="006228D1">
        <w:rPr>
          <w:rFonts w:ascii="Arial" w:hAnsi="Arial" w:cs="Arial"/>
          <w:sz w:val="24"/>
          <w:szCs w:val="24"/>
        </w:rPr>
        <w:tab/>
        <w:t>La reserva es idónea, necesaria y proporcional, al limitarse exclusivamente a aquella información cuya difusión genera el riesgo descrito.</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lastRenderedPageBreak/>
        <w:t>Este razonamiento es acorde con el criterio sostenido por la Suprema Corte de Justicia de la Nación, particularmente en la Controversia Constitucional número 325/2019, en la que se reconoce la validez constitucional de la reserva de información vinculada a seguridad pública y procuración de justicia, cuando su divulgación compromete funciones esenciales del Estado y bienes jurídicos de máxima relevancia.</w:t>
      </w:r>
    </w:p>
    <w:p w:rsidR="006228D1" w:rsidRPr="006228D1" w:rsidRDefault="006228D1" w:rsidP="006228D1">
      <w:pPr>
        <w:autoSpaceDE w:val="0"/>
        <w:autoSpaceDN w:val="0"/>
        <w:adjustRightInd w:val="0"/>
        <w:spacing w:after="0" w:line="240" w:lineRule="auto"/>
        <w:jc w:val="both"/>
        <w:rPr>
          <w:rFonts w:ascii="Arial" w:hAnsi="Arial" w:cs="Arial"/>
          <w:sz w:val="24"/>
          <w:szCs w:val="24"/>
        </w:rPr>
      </w:pPr>
    </w:p>
    <w:p w:rsidR="006228D1" w:rsidRPr="006228D1" w:rsidRDefault="006228D1" w:rsidP="006228D1">
      <w:pPr>
        <w:autoSpaceDE w:val="0"/>
        <w:autoSpaceDN w:val="0"/>
        <w:adjustRightInd w:val="0"/>
        <w:spacing w:after="0" w:line="240" w:lineRule="auto"/>
        <w:jc w:val="both"/>
        <w:rPr>
          <w:rFonts w:ascii="Arial" w:hAnsi="Arial" w:cs="Arial"/>
          <w:sz w:val="24"/>
          <w:szCs w:val="24"/>
        </w:rPr>
      </w:pPr>
      <w:r w:rsidRPr="006228D1">
        <w:rPr>
          <w:rFonts w:ascii="Arial" w:hAnsi="Arial" w:cs="Arial"/>
          <w:sz w:val="24"/>
          <w:szCs w:val="24"/>
        </w:rPr>
        <w:t>En suma, la divulgación de la información materia del presente Acuerdo colocaría en estado de vulnerabilidad a la Fiscalía General del Estado de San Luis Potosí, comprometería la vida, integridad y seguridad de sus servidores públicos, facilitaría la actuación de la delincuencia organizada, incrementaría los riesgos de corrupción y cooptación institucional, y obstaculizaría la correcta persecución de los delitos, afectando con ello el interés público y el orden social.</w:t>
      </w:r>
    </w:p>
    <w:p w:rsidR="00635CCD" w:rsidRPr="006228D1" w:rsidRDefault="00635CCD" w:rsidP="003F378D">
      <w:pPr>
        <w:autoSpaceDE w:val="0"/>
        <w:autoSpaceDN w:val="0"/>
        <w:adjustRightInd w:val="0"/>
        <w:spacing w:line="240" w:lineRule="auto"/>
        <w:jc w:val="both"/>
        <w:rPr>
          <w:rFonts w:ascii="Arial" w:hAnsi="Arial" w:cs="Arial"/>
          <w:sz w:val="24"/>
          <w:szCs w:val="24"/>
        </w:rPr>
      </w:pPr>
    </w:p>
    <w:p w:rsidR="00F97B38" w:rsidRDefault="00045C57" w:rsidP="00775249">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56548A">
        <w:rPr>
          <w:rFonts w:ascii="Arial" w:hAnsi="Arial" w:cs="Arial"/>
          <w:sz w:val="24"/>
          <w:szCs w:val="24"/>
        </w:rPr>
        <w:t xml:space="preserve">ón </w:t>
      </w:r>
      <w:r w:rsidR="00635CCD">
        <w:rPr>
          <w:rFonts w:ascii="Arial" w:hAnsi="Arial" w:cs="Arial"/>
          <w:sz w:val="24"/>
          <w:szCs w:val="24"/>
        </w:rPr>
        <w:t xml:space="preserve">I y </w:t>
      </w:r>
      <w:r w:rsidR="00F36F63">
        <w:rPr>
          <w:rFonts w:ascii="Arial" w:hAnsi="Arial" w:cs="Arial"/>
          <w:sz w:val="24"/>
          <w:szCs w:val="24"/>
        </w:rPr>
        <w:t>XI</w:t>
      </w:r>
      <w:r w:rsidR="00635CCD">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56548A">
        <w:rPr>
          <w:rFonts w:ascii="Arial" w:hAnsi="Arial" w:cs="Arial"/>
          <w:sz w:val="24"/>
          <w:szCs w:val="24"/>
        </w:rPr>
        <w:t xml:space="preserve"> </w:t>
      </w:r>
      <w:r w:rsidR="00635CCD">
        <w:rPr>
          <w:rFonts w:ascii="Arial" w:hAnsi="Arial" w:cs="Arial"/>
          <w:sz w:val="24"/>
          <w:szCs w:val="24"/>
        </w:rPr>
        <w:t>Décimo octavo y Trigésimo segundo</w:t>
      </w:r>
      <w:r w:rsidR="00551990" w:rsidRPr="00115CE3">
        <w:rPr>
          <w:rFonts w:ascii="Arial" w:hAnsi="Arial" w:cs="Arial"/>
          <w:sz w:val="24"/>
          <w:szCs w:val="24"/>
        </w:rPr>
        <w:t xml:space="preserve">,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w:t>
      </w:r>
      <w:r w:rsidR="003F2181">
        <w:rPr>
          <w:rFonts w:ascii="Arial" w:hAnsi="Arial" w:cs="Arial"/>
          <w:sz w:val="24"/>
          <w:szCs w:val="24"/>
        </w:rPr>
        <w:t xml:space="preserve">que </w:t>
      </w:r>
      <w:r w:rsidR="00635CCD">
        <w:rPr>
          <w:rFonts w:ascii="Arial" w:hAnsi="Arial" w:cs="Arial"/>
          <w:sz w:val="24"/>
          <w:szCs w:val="24"/>
        </w:rPr>
        <w:t xml:space="preserve">comprometa la seguridad pública y aquella que otra Ley así lo determine.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56548A">
        <w:rPr>
          <w:rFonts w:ascii="Arial" w:hAnsi="Arial" w:cs="Arial"/>
          <w:sz w:val="24"/>
          <w:szCs w:val="24"/>
        </w:rPr>
        <w:t xml:space="preserve">17, 88, 122 BIS, de la Constitución Política del Estado de San Luis Potosí, 3º, 5º, 22, I, d), 56, XXVI, 93, 93 BIS, 98, 99, I, III, y 107 de la Ley del </w:t>
      </w:r>
      <w:r w:rsidR="00635CCD">
        <w:rPr>
          <w:rFonts w:ascii="Arial" w:hAnsi="Arial" w:cs="Arial"/>
          <w:sz w:val="24"/>
          <w:szCs w:val="24"/>
        </w:rPr>
        <w:t>S</w:t>
      </w:r>
      <w:r w:rsidR="0056548A">
        <w:rPr>
          <w:rFonts w:ascii="Arial" w:hAnsi="Arial" w:cs="Arial"/>
          <w:sz w:val="24"/>
          <w:szCs w:val="24"/>
        </w:rPr>
        <w:t>istema de Seguridad Pública del Estado de San Luis Potosí</w:t>
      </w:r>
      <w:r>
        <w:rPr>
          <w:rFonts w:ascii="Arial" w:hAnsi="Arial" w:cs="Arial"/>
          <w:sz w:val="24"/>
          <w:szCs w:val="24"/>
        </w:rPr>
        <w:t xml:space="preserve">,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 xml:space="preserve">Se deberá fundar la clasificación, al citar la fracción y la hipótesis de la causal aplicable del artículo 113 de la Ley General, vinculándola con el Lineamiento específico del presente </w:t>
      </w:r>
      <w:r w:rsidRPr="007E043D">
        <w:rPr>
          <w:rFonts w:ascii="Arial" w:hAnsi="Arial" w:cs="Arial"/>
          <w:i/>
        </w:rPr>
        <w:lastRenderedPageBreak/>
        <w:t>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Default="00DB7A5A" w:rsidP="00C25A0E">
      <w:pPr>
        <w:spacing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B9260F">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36BB2" w:rsidRP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Default="00036BB2" w:rsidP="00036BB2">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3F2181" w:rsidRPr="00FA347A" w:rsidRDefault="00A508ED" w:rsidP="00FA347A">
      <w:pPr>
        <w:pStyle w:val="Default"/>
        <w:jc w:val="both"/>
      </w:pPr>
      <w:r>
        <w:t xml:space="preserve">No aplica, toda vez que nos encontramos con una </w:t>
      </w:r>
      <w:r w:rsidR="00FA347A" w:rsidRPr="00FA347A">
        <w:rPr>
          <w:b/>
        </w:rPr>
        <w:t xml:space="preserve">reserva </w:t>
      </w:r>
      <w:r w:rsidR="001000CC">
        <w:rPr>
          <w:b/>
        </w:rPr>
        <w:t>total</w:t>
      </w:r>
      <w:r w:rsidR="00FA347A" w:rsidRPr="00FA347A">
        <w:rPr>
          <w:b/>
        </w:rPr>
        <w:t xml:space="preserve"> </w:t>
      </w:r>
      <w:r w:rsidR="003F2181" w:rsidRPr="00FA347A">
        <w:t xml:space="preserve">de la información que se requiere para dar atención a la </w:t>
      </w:r>
      <w:r w:rsidR="001000CC" w:rsidRPr="001000CC">
        <w:t>solicitud de acceso a la información</w:t>
      </w:r>
      <w:r w:rsidR="001000CC" w:rsidRPr="00FA347A">
        <w:rPr>
          <w:b/>
        </w:rPr>
        <w:t xml:space="preserve"> </w:t>
      </w:r>
      <w:r w:rsidR="003F2181" w:rsidRPr="00FA347A">
        <w:rPr>
          <w:b/>
        </w:rPr>
        <w:t>No. UT-SI-P-</w:t>
      </w:r>
      <w:r w:rsidR="00635CCD">
        <w:rPr>
          <w:b/>
        </w:rPr>
        <w:t>1</w:t>
      </w:r>
      <w:r w:rsidR="001000CC">
        <w:rPr>
          <w:b/>
        </w:rPr>
        <w:t>70</w:t>
      </w:r>
      <w:r w:rsidR="003F2181" w:rsidRPr="00FA347A">
        <w:rPr>
          <w:b/>
        </w:rPr>
        <w:t>-240469826000</w:t>
      </w:r>
      <w:r w:rsidR="00635CCD">
        <w:rPr>
          <w:b/>
        </w:rPr>
        <w:t>1</w:t>
      </w:r>
      <w:r w:rsidR="001000CC">
        <w:rPr>
          <w:b/>
        </w:rPr>
        <w:t>70</w:t>
      </w:r>
      <w:r w:rsidR="003F2181" w:rsidRPr="00FA347A">
        <w:rPr>
          <w:b/>
        </w:rPr>
        <w:t>-2026</w:t>
      </w:r>
      <w:r w:rsidR="003F2181" w:rsidRPr="00FA347A">
        <w:t xml:space="preserve">, </w:t>
      </w:r>
      <w:r>
        <w:t>en cuanto a</w:t>
      </w:r>
      <w:r w:rsidR="003F2181" w:rsidRPr="00FA347A">
        <w:t>:</w:t>
      </w:r>
    </w:p>
    <w:p w:rsidR="00635CCD" w:rsidRDefault="00635CCD" w:rsidP="00635CCD">
      <w:pPr>
        <w:pStyle w:val="Default"/>
        <w:jc w:val="both"/>
      </w:pPr>
    </w:p>
    <w:p w:rsidR="006228D1" w:rsidRPr="006228D1" w:rsidRDefault="006228D1" w:rsidP="006228D1">
      <w:pPr>
        <w:pStyle w:val="Prrafodelista"/>
        <w:ind w:left="0"/>
        <w:jc w:val="both"/>
        <w:rPr>
          <w:rFonts w:ascii="Arial" w:hAnsi="Arial" w:cs="Arial"/>
        </w:rPr>
      </w:pPr>
      <w:r w:rsidRPr="006228D1">
        <w:rPr>
          <w:rFonts w:ascii="Arial" w:hAnsi="Arial" w:cs="Arial"/>
        </w:rPr>
        <w:t>“Del periodo del 21 de mayo del 2025 al 21 de mayo de 2026, de la Fiscalía Especializada en la Investigación de Delitos de Tortura y Otros Tratos o Penas Crueles, Inhumanos o Degradantes, de la Fiscalía General del Estado de San Luis Potosí, en cuanto a:</w:t>
      </w:r>
    </w:p>
    <w:p w:rsidR="006228D1" w:rsidRPr="006228D1" w:rsidRDefault="006228D1" w:rsidP="006228D1">
      <w:pPr>
        <w:pStyle w:val="Prrafodelista"/>
        <w:ind w:left="0"/>
        <w:jc w:val="both"/>
        <w:rPr>
          <w:rFonts w:ascii="Arial" w:hAnsi="Arial" w:cs="Arial"/>
        </w:rPr>
      </w:pPr>
    </w:p>
    <w:p w:rsidR="00635CCD" w:rsidRDefault="006228D1" w:rsidP="006228D1">
      <w:pPr>
        <w:pStyle w:val="Prrafodelista"/>
        <w:ind w:left="0"/>
        <w:jc w:val="both"/>
        <w:rPr>
          <w:rFonts w:ascii="Arial" w:hAnsi="Arial" w:cs="Arial"/>
        </w:rPr>
      </w:pPr>
      <w:r w:rsidRPr="006228D1">
        <w:rPr>
          <w:rFonts w:ascii="Arial" w:hAnsi="Arial" w:cs="Arial"/>
        </w:rPr>
        <w:t>¿Cuál es el número de agentes del ministerio público con que cuenta la Fiscalía especializada para investigar el delito de tortura? Desagregados por fiscalía a la que pertenecen.”</w:t>
      </w:r>
    </w:p>
    <w:p w:rsidR="006228D1" w:rsidRPr="00635CCD" w:rsidRDefault="006228D1" w:rsidP="006228D1">
      <w:pPr>
        <w:pStyle w:val="Prrafodelista"/>
        <w:ind w:left="0"/>
        <w:jc w:val="both"/>
        <w:rPr>
          <w:rFonts w:ascii="Arial" w:hAnsi="Arial" w:cs="Arial"/>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1000C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1000CC">
        <w:rPr>
          <w:rFonts w:ascii="Arial" w:eastAsia="Times New Roman" w:hAnsi="Arial" w:cs="Arial"/>
          <w:b/>
          <w:sz w:val="24"/>
          <w:szCs w:val="24"/>
        </w:rPr>
        <w:t>junio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635CCD" w:rsidP="00C25A0E">
      <w:pPr>
        <w:spacing w:line="240" w:lineRule="auto"/>
        <w:jc w:val="both"/>
        <w:rPr>
          <w:rFonts w:ascii="Arial" w:hAnsi="Arial" w:cs="Arial"/>
          <w:sz w:val="24"/>
          <w:szCs w:val="24"/>
        </w:rPr>
      </w:pPr>
      <w:r>
        <w:rPr>
          <w:rFonts w:ascii="Arial" w:hAnsi="Arial" w:cs="Arial"/>
          <w:sz w:val="24"/>
          <w:szCs w:val="24"/>
        </w:rPr>
        <w:t>No se realizan versiones públicas.</w:t>
      </w:r>
      <w:r w:rsidR="001E22D9" w:rsidRPr="000E378A">
        <w:rPr>
          <w:rFonts w:ascii="Arial" w:hAnsi="Arial" w:cs="Arial"/>
          <w:sz w:val="24"/>
          <w:szCs w:val="24"/>
        </w:rPr>
        <w:t xml:space="preserve">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2E3E0B">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2E3E0B">
        <w:rPr>
          <w:rFonts w:ascii="Arial" w:hAnsi="Arial" w:cs="Arial"/>
          <w:b/>
          <w:sz w:val="24"/>
          <w:szCs w:val="24"/>
        </w:rPr>
        <w:t>30</w:t>
      </w:r>
      <w:r w:rsidR="00CD69B4">
        <w:rPr>
          <w:rFonts w:ascii="Arial" w:hAnsi="Arial" w:cs="Arial"/>
          <w:b/>
          <w:sz w:val="24"/>
          <w:szCs w:val="24"/>
        </w:rPr>
        <w:t>/2026</w:t>
      </w:r>
      <w:r w:rsidR="00CD69B4"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635CCD" w:rsidRDefault="00635CCD" w:rsidP="00C25A0E">
      <w:pPr>
        <w:spacing w:line="240" w:lineRule="auto"/>
        <w:jc w:val="both"/>
        <w:rPr>
          <w:rFonts w:ascii="Arial" w:hAnsi="Arial" w:cs="Arial"/>
          <w:sz w:val="24"/>
          <w:szCs w:val="24"/>
        </w:rPr>
      </w:pPr>
      <w:r>
        <w:rPr>
          <w:rFonts w:ascii="Arial" w:hAnsi="Arial" w:cs="Arial"/>
          <w:sz w:val="24"/>
          <w:szCs w:val="24"/>
        </w:rPr>
        <w:t>Se instruye al director General de Administración, para que de respuesta en tiempo y forma a la solicitud de acceso que dio origen al presente acuerdo.</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25844823"/>
      <w:bookmarkStart w:id="2" w:name="_Hlk207360276"/>
      <w:bookmarkStart w:id="3"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2E3E0B">
        <w:rPr>
          <w:rFonts w:ascii="Arial" w:hAnsi="Arial" w:cs="Arial"/>
          <w:b/>
          <w:sz w:val="24"/>
          <w:szCs w:val="24"/>
        </w:rPr>
        <w:t>total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2E3E0B">
        <w:rPr>
          <w:rFonts w:ascii="Arial" w:hAnsi="Arial" w:cs="Arial"/>
          <w:b/>
          <w:sz w:val="24"/>
          <w:szCs w:val="24"/>
        </w:rPr>
        <w:t>30</w:t>
      </w:r>
      <w:r w:rsidR="00CD69B4">
        <w:rPr>
          <w:rFonts w:ascii="Arial" w:hAnsi="Arial" w:cs="Arial"/>
          <w:b/>
          <w:sz w:val="24"/>
          <w:szCs w:val="24"/>
        </w:rPr>
        <w:t>/2026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w:t>
      </w:r>
      <w:r w:rsidR="00B9260F">
        <w:rPr>
          <w:rFonts w:ascii="Arial" w:hAnsi="Arial" w:cs="Arial"/>
          <w:sz w:val="24"/>
          <w:szCs w:val="24"/>
        </w:rPr>
        <w:t>Director General de Administración, Cesar Isidro Cruz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DD3D30" w:rsidRDefault="00476EF2" w:rsidP="00DD3D3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DD3D30" w:rsidRPr="00115CE3">
        <w:rPr>
          <w:rFonts w:ascii="Arial" w:hAnsi="Arial" w:cs="Arial"/>
          <w:sz w:val="24"/>
          <w:szCs w:val="24"/>
        </w:rPr>
        <w:t>Se instruye</w:t>
      </w:r>
      <w:r w:rsidR="00DD3D30">
        <w:rPr>
          <w:rFonts w:ascii="Arial" w:hAnsi="Arial" w:cs="Arial"/>
          <w:sz w:val="24"/>
          <w:szCs w:val="24"/>
        </w:rPr>
        <w:t xml:space="preserve"> al</w:t>
      </w:r>
      <w:r w:rsidR="00DD3D30" w:rsidRPr="00115CE3">
        <w:rPr>
          <w:rFonts w:ascii="Arial" w:hAnsi="Arial" w:cs="Arial"/>
          <w:sz w:val="24"/>
          <w:szCs w:val="24"/>
        </w:rPr>
        <w:t xml:space="preserve"> </w:t>
      </w:r>
      <w:r w:rsidR="00DD3D30">
        <w:rPr>
          <w:rFonts w:ascii="Arial" w:hAnsi="Arial" w:cs="Arial"/>
          <w:sz w:val="24"/>
          <w:szCs w:val="24"/>
        </w:rPr>
        <w:t>Director General de Administración, Cesar Isidro Cruz</w:t>
      </w:r>
      <w:r w:rsidR="00DD3D30" w:rsidRPr="00115CE3">
        <w:rPr>
          <w:rFonts w:ascii="Arial" w:hAnsi="Arial" w:cs="Arial"/>
          <w:sz w:val="24"/>
          <w:szCs w:val="24"/>
        </w:rPr>
        <w:t xml:space="preserve">, para que dé cumplimiento a los efectos de la presente resolución establecidos en el considerando </w:t>
      </w:r>
      <w:r w:rsidR="00DD3D30" w:rsidRPr="00115CE3">
        <w:rPr>
          <w:rFonts w:ascii="Arial" w:hAnsi="Arial" w:cs="Arial"/>
          <w:i/>
          <w:sz w:val="24"/>
          <w:szCs w:val="24"/>
        </w:rPr>
        <w:t>tercero</w:t>
      </w:r>
      <w:r w:rsidR="00DD3D30" w:rsidRPr="00115CE3">
        <w:rPr>
          <w:rFonts w:ascii="Arial" w:hAnsi="Arial" w:cs="Arial"/>
          <w:sz w:val="24"/>
          <w:szCs w:val="24"/>
        </w:rPr>
        <w:t xml:space="preserve"> fracción V.</w:t>
      </w:r>
    </w:p>
    <w:bookmarkEnd w:id="1"/>
    <w:p w:rsidR="00DD3D30" w:rsidRDefault="00DD3D30" w:rsidP="00C25A0E">
      <w:pPr>
        <w:spacing w:after="0" w:line="240" w:lineRule="auto"/>
        <w:jc w:val="both"/>
        <w:rPr>
          <w:rFonts w:ascii="Arial" w:hAnsi="Arial" w:cs="Arial"/>
          <w:sz w:val="24"/>
          <w:szCs w:val="24"/>
        </w:rPr>
      </w:pPr>
    </w:p>
    <w:bookmarkEnd w:id="2"/>
    <w:p w:rsidR="003358AA" w:rsidRPr="005C5CF9" w:rsidRDefault="009819AE" w:rsidP="003358AA">
      <w:pPr>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2E3E0B">
        <w:rPr>
          <w:rFonts w:ascii="Arial" w:hAnsi="Arial" w:cs="Arial"/>
          <w:b/>
          <w:sz w:val="24"/>
          <w:szCs w:val="24"/>
        </w:rPr>
        <w:t>9</w:t>
      </w:r>
      <w:r w:rsidR="00635CCD">
        <w:rPr>
          <w:rFonts w:ascii="Arial" w:hAnsi="Arial" w:cs="Arial"/>
          <w:b/>
          <w:sz w:val="24"/>
          <w:szCs w:val="24"/>
        </w:rPr>
        <w:t>8</w:t>
      </w:r>
      <w:r w:rsidRPr="00115CE3">
        <w:rPr>
          <w:rFonts w:ascii="Arial" w:hAnsi="Arial" w:cs="Arial"/>
          <w:b/>
          <w:sz w:val="24"/>
          <w:szCs w:val="24"/>
        </w:rPr>
        <w:t>-202</w:t>
      </w:r>
      <w:r w:rsidR="00F042CD">
        <w:rPr>
          <w:rFonts w:ascii="Arial" w:hAnsi="Arial" w:cs="Arial"/>
          <w:b/>
          <w:sz w:val="24"/>
          <w:szCs w:val="24"/>
        </w:rPr>
        <w:t>6</w:t>
      </w:r>
      <w:r w:rsidR="00635CCD">
        <w:rPr>
          <w:rFonts w:ascii="Arial" w:hAnsi="Arial" w:cs="Arial"/>
          <w:b/>
          <w:sz w:val="24"/>
          <w:szCs w:val="24"/>
        </w:rPr>
        <w:t xml:space="preserve">. </w:t>
      </w:r>
    </w:p>
    <w:bookmarkEnd w:id="3"/>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FA347A" w:rsidRDefault="00FA347A" w:rsidP="00EF1D58">
      <w:pPr>
        <w:spacing w:after="0"/>
        <w:jc w:val="both"/>
        <w:rPr>
          <w:rFonts w:ascii="Arial" w:hAnsi="Arial" w:cs="Arial"/>
          <w:sz w:val="24"/>
          <w:szCs w:val="24"/>
          <w:highlight w:val="yellow"/>
        </w:rPr>
      </w:pPr>
    </w:p>
    <w:p w:rsidR="007C48B7" w:rsidRDefault="007C48B7"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FA347A" w:rsidRDefault="00FA347A"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FA347A" w:rsidRDefault="00FA347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1000CC">
      <w:headerReference w:type="even" r:id="rId9"/>
      <w:headerReference w:type="default" r:id="rId10"/>
      <w:footerReference w:type="even" r:id="rId11"/>
      <w:footerReference w:type="default" r:id="rId12"/>
      <w:headerReference w:type="first" r:id="rId13"/>
      <w:footerReference w:type="first" r:id="rId14"/>
      <w:pgSz w:w="12240" w:h="15840"/>
      <w:pgMar w:top="929" w:right="900"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0F07" w:rsidRDefault="00F50F07">
      <w:r>
        <w:separator/>
      </w:r>
    </w:p>
  </w:endnote>
  <w:endnote w:type="continuationSeparator" w:id="0">
    <w:p w:rsidR="00F50F07" w:rsidRDefault="00F50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5B67" w:rsidRDefault="00865B6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5B67" w:rsidRDefault="00865B6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0F07" w:rsidRDefault="00F50F07">
      <w:r>
        <w:separator/>
      </w:r>
    </w:p>
  </w:footnote>
  <w:footnote w:type="continuationSeparator" w:id="0">
    <w:p w:rsidR="00F50F07" w:rsidRDefault="00F50F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5B67" w:rsidRDefault="00865B6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954" o:spid="_x0000_s4098" type="#_x0000_t136" style="position:absolute;margin-left:0;margin-top:0;width:616.65pt;height:102.75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865B67">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955" o:spid="_x0000_s4099" type="#_x0000_t136" style="position:absolute;margin-left:0;margin-top:0;width:616.65pt;height:102.75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1000CC">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1000CC">
            <w:rPr>
              <w:rFonts w:ascii="Arial" w:hAnsi="Arial" w:cs="Arial"/>
              <w:color w:val="FFFFFF" w:themeColor="background1"/>
              <w:sz w:val="18"/>
              <w:szCs w:val="18"/>
              <w:lang w:val="es-ES"/>
            </w:rPr>
            <w:t>junio</w:t>
          </w:r>
          <w:r w:rsidR="003F378D">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1000CC">
            <w:rPr>
              <w:rFonts w:ascii="Arial" w:hAnsi="Arial" w:cs="Arial"/>
              <w:color w:val="FFFFFF" w:themeColor="background1"/>
              <w:sz w:val="18"/>
              <w:szCs w:val="18"/>
              <w:lang w:val="es-ES"/>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1000CC">
            <w:rPr>
              <w:rFonts w:ascii="Arial" w:hAnsi="Arial" w:cs="Arial"/>
              <w:color w:val="FFFFFF" w:themeColor="background1"/>
              <w:sz w:val="18"/>
              <w:szCs w:val="18"/>
              <w:lang w:val="es-ES"/>
            </w:rPr>
            <w:t xml:space="preserve">total </w:t>
          </w:r>
          <w:r w:rsidR="00B9260F">
            <w:rPr>
              <w:rFonts w:ascii="Arial" w:hAnsi="Arial" w:cs="Arial"/>
              <w:b/>
              <w:color w:val="FFFFFF" w:themeColor="background1"/>
              <w:sz w:val="18"/>
              <w:szCs w:val="18"/>
              <w:lang w:val="es-ES"/>
            </w:rPr>
            <w:t>AR/0</w:t>
          </w:r>
          <w:r w:rsidR="001000CC">
            <w:rPr>
              <w:rFonts w:ascii="Arial" w:hAnsi="Arial" w:cs="Arial"/>
              <w:b/>
              <w:color w:val="FFFFFF" w:themeColor="background1"/>
              <w:sz w:val="18"/>
              <w:szCs w:val="18"/>
              <w:lang w:val="es-ES"/>
            </w:rPr>
            <w:t>30</w:t>
          </w:r>
          <w:r w:rsidR="00B9260F">
            <w:rPr>
              <w:rFonts w:ascii="Arial" w:hAnsi="Arial" w:cs="Arial"/>
              <w:b/>
              <w:color w:val="FFFFFF" w:themeColor="background1"/>
              <w:sz w:val="18"/>
              <w:szCs w:val="18"/>
              <w:lang w:val="es-ES"/>
            </w:rPr>
            <w:t>/2026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B9260F">
            <w:rPr>
              <w:rFonts w:ascii="Arial" w:hAnsi="Arial" w:cs="Arial"/>
              <w:color w:val="FFFFFF" w:themeColor="background1"/>
              <w:sz w:val="18"/>
              <w:szCs w:val="18"/>
              <w:lang w:val="es-ES"/>
            </w:rPr>
            <w:t>Director General de Administración</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5B67" w:rsidRDefault="00865B6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56953" o:spid="_x0000_s4097" type="#_x0000_t136" style="position:absolute;margin-left:0;margin-top:0;width:616.65pt;height:102.75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64656"/>
    <w:multiLevelType w:val="hybridMultilevel"/>
    <w:tmpl w:val="4D9A9D32"/>
    <w:lvl w:ilvl="0" w:tplc="080A0001">
      <w:start w:val="1"/>
      <w:numFmt w:val="bullet"/>
      <w:lvlText w:val=""/>
      <w:lvlJc w:val="left"/>
      <w:pPr>
        <w:ind w:left="1428" w:hanging="360"/>
      </w:pPr>
      <w:rPr>
        <w:rFonts w:ascii="Symbol" w:hAnsi="Symbol" w:hint="default"/>
      </w:rPr>
    </w:lvl>
    <w:lvl w:ilvl="1" w:tplc="080A000F">
      <w:start w:val="1"/>
      <w:numFmt w:val="decimal"/>
      <w:lvlText w:val="%2."/>
      <w:lvlJc w:val="left"/>
      <w:pPr>
        <w:ind w:left="2148" w:hanging="360"/>
      </w:pPr>
      <w:rPr>
        <w:rFonts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DE23FCD"/>
    <w:multiLevelType w:val="hybridMultilevel"/>
    <w:tmpl w:val="F8E02EC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C97115"/>
    <w:multiLevelType w:val="multilevel"/>
    <w:tmpl w:val="E64A5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1853B9F"/>
    <w:multiLevelType w:val="hybridMultilevel"/>
    <w:tmpl w:val="91C8262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1"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3"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5"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DCC085E"/>
    <w:multiLevelType w:val="hybridMultilevel"/>
    <w:tmpl w:val="CF9E94D0"/>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4EF496C"/>
    <w:multiLevelType w:val="multilevel"/>
    <w:tmpl w:val="D26C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1"/>
  </w:num>
  <w:num w:numId="2">
    <w:abstractNumId w:val="9"/>
  </w:num>
  <w:num w:numId="3">
    <w:abstractNumId w:val="22"/>
  </w:num>
  <w:num w:numId="4">
    <w:abstractNumId w:val="17"/>
  </w:num>
  <w:num w:numId="5">
    <w:abstractNumId w:val="19"/>
  </w:num>
  <w:num w:numId="6">
    <w:abstractNumId w:val="6"/>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10"/>
  </w:num>
  <w:num w:numId="13">
    <w:abstractNumId w:val="4"/>
  </w:num>
  <w:num w:numId="14">
    <w:abstractNumId w:val="15"/>
  </w:num>
  <w:num w:numId="15">
    <w:abstractNumId w:val="16"/>
  </w:num>
  <w:num w:numId="16">
    <w:abstractNumId w:val="5"/>
  </w:num>
  <w:num w:numId="17">
    <w:abstractNumId w:val="20"/>
  </w:num>
  <w:num w:numId="18">
    <w:abstractNumId w:val="24"/>
  </w:num>
  <w:num w:numId="19">
    <w:abstractNumId w:val="14"/>
  </w:num>
  <w:num w:numId="20">
    <w:abstractNumId w:val="13"/>
  </w:num>
  <w:num w:numId="21">
    <w:abstractNumId w:val="3"/>
  </w:num>
  <w:num w:numId="22">
    <w:abstractNumId w:val="23"/>
  </w:num>
  <w:num w:numId="23">
    <w:abstractNumId w:val="21"/>
  </w:num>
  <w:num w:numId="24">
    <w:abstractNumId w:val="0"/>
  </w:num>
  <w:num w:numId="25">
    <w:abstractNumId w:val="8"/>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6101"/>
    <w:rsid w:val="000F7924"/>
    <w:rsid w:val="001000CC"/>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5F8"/>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3033"/>
    <w:rsid w:val="00244AD2"/>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656"/>
    <w:rsid w:val="002E1A1F"/>
    <w:rsid w:val="002E1D10"/>
    <w:rsid w:val="002E3E0B"/>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8AA"/>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B1A45"/>
    <w:rsid w:val="003C1381"/>
    <w:rsid w:val="003C17BE"/>
    <w:rsid w:val="003C1914"/>
    <w:rsid w:val="003C2D3B"/>
    <w:rsid w:val="003C7D26"/>
    <w:rsid w:val="003D24D7"/>
    <w:rsid w:val="003D3322"/>
    <w:rsid w:val="003D379C"/>
    <w:rsid w:val="003D6E37"/>
    <w:rsid w:val="003D721A"/>
    <w:rsid w:val="003E03FF"/>
    <w:rsid w:val="003E59C5"/>
    <w:rsid w:val="003E74F2"/>
    <w:rsid w:val="003F2181"/>
    <w:rsid w:val="003F378D"/>
    <w:rsid w:val="003F4311"/>
    <w:rsid w:val="003F5F79"/>
    <w:rsid w:val="003F62EE"/>
    <w:rsid w:val="003F7702"/>
    <w:rsid w:val="00400739"/>
    <w:rsid w:val="004019BE"/>
    <w:rsid w:val="00402430"/>
    <w:rsid w:val="00404637"/>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2AE"/>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5CF9"/>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28D1"/>
    <w:rsid w:val="006235C6"/>
    <w:rsid w:val="00624454"/>
    <w:rsid w:val="006272C3"/>
    <w:rsid w:val="0062770E"/>
    <w:rsid w:val="00627959"/>
    <w:rsid w:val="00631FA4"/>
    <w:rsid w:val="00633FD2"/>
    <w:rsid w:val="006356BE"/>
    <w:rsid w:val="00635CCD"/>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39D1"/>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5249"/>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48B7"/>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3EC0"/>
    <w:rsid w:val="0082794C"/>
    <w:rsid w:val="00831099"/>
    <w:rsid w:val="00832DD2"/>
    <w:rsid w:val="00842F00"/>
    <w:rsid w:val="00845198"/>
    <w:rsid w:val="008458CE"/>
    <w:rsid w:val="00850661"/>
    <w:rsid w:val="00854CCF"/>
    <w:rsid w:val="008565C9"/>
    <w:rsid w:val="0086255E"/>
    <w:rsid w:val="0086360B"/>
    <w:rsid w:val="00865B67"/>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B6861"/>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2E79"/>
    <w:rsid w:val="00A23464"/>
    <w:rsid w:val="00A30513"/>
    <w:rsid w:val="00A30971"/>
    <w:rsid w:val="00A3119E"/>
    <w:rsid w:val="00A3671F"/>
    <w:rsid w:val="00A42F99"/>
    <w:rsid w:val="00A430C0"/>
    <w:rsid w:val="00A44A53"/>
    <w:rsid w:val="00A45B78"/>
    <w:rsid w:val="00A45C43"/>
    <w:rsid w:val="00A5063A"/>
    <w:rsid w:val="00A508ED"/>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5437"/>
    <w:rsid w:val="00AF62D8"/>
    <w:rsid w:val="00AF7A5D"/>
    <w:rsid w:val="00B00015"/>
    <w:rsid w:val="00B0559D"/>
    <w:rsid w:val="00B06822"/>
    <w:rsid w:val="00B115D6"/>
    <w:rsid w:val="00B11FCD"/>
    <w:rsid w:val="00B147E2"/>
    <w:rsid w:val="00B219F9"/>
    <w:rsid w:val="00B22B99"/>
    <w:rsid w:val="00B243B5"/>
    <w:rsid w:val="00B245B6"/>
    <w:rsid w:val="00B3003C"/>
    <w:rsid w:val="00B32A02"/>
    <w:rsid w:val="00B34B1F"/>
    <w:rsid w:val="00B368C8"/>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BB7"/>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2202"/>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3D30"/>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0F0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347A"/>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38443">
      <w:bodyDiv w:val="1"/>
      <w:marLeft w:val="0"/>
      <w:marRight w:val="0"/>
      <w:marTop w:val="0"/>
      <w:marBottom w:val="0"/>
      <w:divBdr>
        <w:top w:val="none" w:sz="0" w:space="0" w:color="auto"/>
        <w:left w:val="none" w:sz="0" w:space="0" w:color="auto"/>
        <w:bottom w:val="none" w:sz="0" w:space="0" w:color="auto"/>
        <w:right w:val="none" w:sz="0" w:space="0" w:color="auto"/>
      </w:divBdr>
    </w:div>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77556093">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182861735">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 w:id="18757265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12801D-3930-4150-A304-C308258A8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7</Pages>
  <Words>2789</Words>
  <Characters>15343</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2025-12-23T21:40:00Z</cp:lastPrinted>
  <dcterms:created xsi:type="dcterms:W3CDTF">2026-03-31T17:18:00Z</dcterms:created>
  <dcterms:modified xsi:type="dcterms:W3CDTF">2026-06-23T21:28:00Z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