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7E6994C"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A279A">
        <w:rPr>
          <w:rFonts w:ascii="AvantGarde Bk BT" w:hAnsi="AvantGarde Bk BT" w:cs="Arial"/>
          <w:b/>
          <w:color w:val="000000" w:themeColor="text1"/>
          <w:sz w:val="24"/>
          <w:szCs w:val="24"/>
        </w:rPr>
        <w:t>0</w:t>
      </w:r>
      <w:r w:rsidR="00A00F41">
        <w:rPr>
          <w:rFonts w:ascii="AvantGarde Bk BT" w:hAnsi="AvantGarde Bk BT" w:cs="Arial"/>
          <w:b/>
          <w:color w:val="000000" w:themeColor="text1"/>
          <w:sz w:val="24"/>
          <w:szCs w:val="24"/>
        </w:rPr>
        <w:t>7</w:t>
      </w:r>
      <w:r w:rsidR="009A279A">
        <w:rPr>
          <w:rFonts w:ascii="AvantGarde Bk BT" w:hAnsi="AvantGarde Bk BT" w:cs="Arial"/>
          <w:b/>
          <w:color w:val="000000" w:themeColor="text1"/>
          <w:sz w:val="24"/>
          <w:szCs w:val="24"/>
        </w:rPr>
        <w:t>2</w:t>
      </w:r>
      <w:r w:rsidR="00126008">
        <w:rPr>
          <w:rFonts w:ascii="AvantGarde Bk BT" w:hAnsi="AvantGarde Bk BT" w:cs="Arial"/>
          <w:b/>
          <w:color w:val="000000" w:themeColor="text1"/>
          <w:sz w:val="24"/>
          <w:szCs w:val="24"/>
        </w:rPr>
        <w:t>/</w:t>
      </w:r>
      <w:r w:rsidR="00A00F41">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64F35A0" w:rsidR="0004274F" w:rsidRPr="007C5605" w:rsidRDefault="009A279A"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PODER JUDICIAL DEL ESTADO DE SAN LUIS POTOSÍ</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5586379"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2C2039">
        <w:rPr>
          <w:rFonts w:ascii="AvantGarde Bk BT" w:hAnsi="AvantGarde Bk BT" w:cs="Arial"/>
          <w:color w:val="000000" w:themeColor="text1"/>
          <w:sz w:val="24"/>
          <w:szCs w:val="24"/>
        </w:rPr>
        <w:t>ocho de abril</w:t>
      </w:r>
      <w:r w:rsidR="00A00F41">
        <w:rPr>
          <w:rFonts w:ascii="AvantGarde Bk BT" w:hAnsi="AvantGarde Bk BT" w:cs="Arial"/>
          <w:color w:val="000000" w:themeColor="text1"/>
          <w:sz w:val="24"/>
          <w:szCs w:val="24"/>
        </w:rPr>
        <w:t xml:space="preserve">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7462C8D9"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2C2039">
        <w:rPr>
          <w:rFonts w:ascii="AvantGarde Bk BT" w:hAnsi="AvantGarde Bk BT" w:cs="Arial"/>
          <w:color w:val="000000" w:themeColor="text1"/>
          <w:sz w:val="24"/>
          <w:szCs w:val="24"/>
        </w:rPr>
        <w:t>veintiuno de enero</w:t>
      </w:r>
      <w:r w:rsidR="00710E8F">
        <w:rPr>
          <w:rFonts w:ascii="AvantGarde Bk BT" w:hAnsi="AvantGarde Bk BT" w:cs="Arial"/>
          <w:color w:val="000000" w:themeColor="text1"/>
          <w:sz w:val="24"/>
          <w:szCs w:val="24"/>
        </w:rPr>
        <w:t xml:space="preserve"> de dos mil </w:t>
      </w:r>
      <w:r w:rsidR="002C2039">
        <w:rPr>
          <w:rFonts w:ascii="AvantGarde Bk BT" w:hAnsi="AvantGarde Bk BT" w:cs="Arial"/>
          <w:color w:val="000000" w:themeColor="text1"/>
          <w:sz w:val="24"/>
          <w:szCs w:val="24"/>
        </w:rPr>
        <w:t>veintiséis</w:t>
      </w:r>
      <w:r w:rsidR="00EE5D0F">
        <w:rPr>
          <w:rFonts w:ascii="AvantGarde Bk BT" w:hAnsi="AvantGarde Bk BT" w:cs="Arial"/>
          <w:color w:val="000000" w:themeColor="text1"/>
          <w:sz w:val="24"/>
          <w:szCs w:val="24"/>
        </w:rPr>
        <w:t xml:space="preserve"> </w:t>
      </w:r>
      <w:r w:rsidR="002C2039">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2C2039">
        <w:rPr>
          <w:rFonts w:ascii="AvantGarde Bk BT" w:hAnsi="AvantGarde Bk BT" w:cs="Arial"/>
          <w:b/>
          <w:color w:val="000000" w:themeColor="text1"/>
          <w:sz w:val="24"/>
          <w:szCs w:val="24"/>
        </w:rPr>
        <w:t>PODER JUDICIAL DEL ESTADO DE SAN LUIS POTOSÍ</w:t>
      </w:r>
      <w:r w:rsidR="002C203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w:t>
      </w:r>
      <w:r w:rsidR="000C5159">
        <w:rPr>
          <w:rFonts w:ascii="AvantGarde Bk BT" w:hAnsi="AvantGarde Bk BT" w:cs="Arial"/>
          <w:color w:val="000000" w:themeColor="text1"/>
          <w:sz w:val="24"/>
          <w:szCs w:val="24"/>
        </w:rPr>
        <w:t xml:space="preserve"> </w:t>
      </w:r>
      <w:r w:rsidR="00C56E66">
        <w:rPr>
          <w:rFonts w:ascii="AvantGarde Bk BT" w:hAnsi="AvantGarde Bk BT" w:cs="Arial"/>
          <w:color w:val="000000" w:themeColor="text1"/>
          <w:sz w:val="24"/>
          <w:szCs w:val="24"/>
        </w:rPr>
        <w:t xml:space="preserve">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 xml:space="preserve">la Plataforma Nacional de Transparencia y quedó registrada con el número de folio </w:t>
      </w:r>
      <w:r w:rsidR="002C2039">
        <w:rPr>
          <w:rFonts w:ascii="AvantGarde Bk BT" w:hAnsi="AvantGarde Bk BT" w:cs="Arial"/>
          <w:color w:val="000000" w:themeColor="text1"/>
          <w:sz w:val="24"/>
          <w:szCs w:val="24"/>
        </w:rPr>
        <w:t>241</w:t>
      </w:r>
      <w:r w:rsidR="00A00F41" w:rsidRPr="00A00F41">
        <w:rPr>
          <w:rFonts w:ascii="AvantGarde Bk BT" w:hAnsi="AvantGarde Bk BT" w:cs="Arial"/>
          <w:color w:val="000000" w:themeColor="text1"/>
          <w:sz w:val="24"/>
          <w:szCs w:val="24"/>
        </w:rPr>
        <w:t>4</w:t>
      </w:r>
      <w:r w:rsidR="002C2039">
        <w:rPr>
          <w:rFonts w:ascii="AvantGarde Bk BT" w:hAnsi="AvantGarde Bk BT" w:cs="Arial"/>
          <w:color w:val="000000" w:themeColor="text1"/>
          <w:sz w:val="24"/>
          <w:szCs w:val="24"/>
        </w:rPr>
        <w:t>81826000016</w:t>
      </w:r>
      <w:r>
        <w:rPr>
          <w:rFonts w:ascii="AvantGarde Bk BT" w:hAnsi="AvantGarde Bk BT" w:cs="Arial"/>
          <w:color w:val="000000" w:themeColor="text1"/>
          <w:sz w:val="24"/>
          <w:szCs w:val="24"/>
        </w:rPr>
        <w:t xml:space="preserve"> (Visible de foja </w:t>
      </w:r>
      <w:r w:rsidR="002C2039">
        <w:rPr>
          <w:rFonts w:ascii="AvantGarde Bk BT" w:hAnsi="AvantGarde Bk BT" w:cs="Arial"/>
          <w:color w:val="000000" w:themeColor="text1"/>
          <w:sz w:val="24"/>
          <w:szCs w:val="24"/>
        </w:rPr>
        <w:t>07</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37818C9" w14:textId="3203D37A" w:rsidR="002C2039" w:rsidRPr="002C2039"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2C2039">
        <w:rPr>
          <w:rFonts w:ascii="AvantGarde Bk BT" w:hAnsi="AvantGarde Bk BT" w:cs="Arial"/>
          <w:b/>
          <w:color w:val="000000" w:themeColor="text1"/>
          <w:sz w:val="24"/>
          <w:szCs w:val="24"/>
        </w:rPr>
        <w:t xml:space="preserve">Ampliación del plazo de respuesta. </w:t>
      </w:r>
      <w:r w:rsidR="002C2039">
        <w:rPr>
          <w:rFonts w:ascii="AvantGarde Bk BT" w:hAnsi="AvantGarde Bk BT" w:cs="Arial"/>
          <w:color w:val="000000" w:themeColor="text1"/>
          <w:sz w:val="24"/>
          <w:szCs w:val="24"/>
        </w:rPr>
        <w:t>El cinco de febrero de dos mil veintiséis el</w:t>
      </w:r>
      <w:r w:rsidR="002C2039">
        <w:rPr>
          <w:rFonts w:ascii="AvantGarde Bk BT" w:hAnsi="AvantGarde Bk BT" w:cs="Arial"/>
          <w:b/>
          <w:color w:val="000000" w:themeColor="text1"/>
          <w:sz w:val="24"/>
          <w:szCs w:val="24"/>
        </w:rPr>
        <w:t xml:space="preserve"> PODER JUDICIAL DEL ESTADO DE SAN LUIS POTOSÍ</w:t>
      </w:r>
      <w:r w:rsidR="002C2039">
        <w:rPr>
          <w:rFonts w:ascii="AvantGarde Bk BT" w:hAnsi="AvantGarde Bk BT" w:cs="Arial"/>
          <w:color w:val="000000" w:themeColor="text1"/>
          <w:sz w:val="24"/>
          <w:szCs w:val="24"/>
        </w:rPr>
        <w:t xml:space="preserve"> notificó a la persona solicitante de la información la ampliación del plazo para responder la solicitud de información.</w:t>
      </w:r>
    </w:p>
    <w:p w14:paraId="743928FA" w14:textId="4E239A3D" w:rsidR="000C5159" w:rsidRPr="000C5159" w:rsidRDefault="002C2039"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00F41">
        <w:rPr>
          <w:rFonts w:ascii="AvantGarde Bk BT" w:hAnsi="AvantGarde Bk BT" w:cs="Arial"/>
          <w:b/>
          <w:color w:val="000000" w:themeColor="text1"/>
          <w:sz w:val="24"/>
          <w:szCs w:val="24"/>
        </w:rPr>
        <w:t>Respuesta de la solicitud de información</w:t>
      </w:r>
      <w:r w:rsidR="00A00F41" w:rsidRPr="003E53AD">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El</w:t>
      </w:r>
      <w:r w:rsidR="00A00F41" w:rsidRPr="003E53AD">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PODER JUDICIAL DEL ESTADO DE SAN LUIS POTOSÍ</w:t>
      </w:r>
      <w:r w:rsidR="00A00F41">
        <w:rPr>
          <w:rFonts w:ascii="AvantGarde Bk BT" w:hAnsi="AvantGarde Bk BT" w:cs="Arial"/>
          <w:color w:val="000000" w:themeColor="text1"/>
          <w:sz w:val="24"/>
          <w:szCs w:val="24"/>
        </w:rPr>
        <w:t xml:space="preserve"> respondió</w:t>
      </w:r>
      <w:r w:rsidR="00A00F41" w:rsidRPr="00F56862">
        <w:rPr>
          <w:rFonts w:ascii="AvantGarde Bk BT" w:hAnsi="AvantGarde Bk BT" w:cs="Arial"/>
          <w:color w:val="000000" w:themeColor="text1"/>
          <w:sz w:val="24"/>
          <w:szCs w:val="24"/>
        </w:rPr>
        <w:t xml:space="preserve"> la solicitud de información el </w:t>
      </w:r>
      <w:r>
        <w:rPr>
          <w:rFonts w:ascii="AvantGarde Bk BT" w:hAnsi="AvantGarde Bk BT" w:cs="Arial"/>
          <w:color w:val="000000" w:themeColor="text1"/>
          <w:sz w:val="24"/>
          <w:szCs w:val="24"/>
        </w:rPr>
        <w:t>dieciocho de febrero de dos mil veintiséis.</w:t>
      </w:r>
      <w:r w:rsidR="00A00F41">
        <w:rPr>
          <w:rFonts w:ascii="AvantGarde Bk BT" w:hAnsi="AvantGarde Bk BT" w:cs="Arial"/>
          <w:color w:val="000000" w:themeColor="text1"/>
          <w:sz w:val="24"/>
          <w:szCs w:val="24"/>
        </w:rPr>
        <w:t xml:space="preserve"> (Visible a foja 03 </w:t>
      </w:r>
      <w:r w:rsidR="00A00F41" w:rsidRPr="00F56862">
        <w:rPr>
          <w:rFonts w:ascii="AvantGarde Bk BT" w:hAnsi="AvantGarde Bk BT" w:cs="Arial"/>
          <w:color w:val="000000" w:themeColor="text1"/>
          <w:sz w:val="24"/>
          <w:szCs w:val="24"/>
        </w:rPr>
        <w:t>de autos.)</w:t>
      </w:r>
    </w:p>
    <w:p w14:paraId="75C77F87" w14:textId="493BB157" w:rsidR="00476D4C" w:rsidRPr="00476D4C" w:rsidRDefault="00C271FA"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00F41" w:rsidRPr="007C5605">
        <w:rPr>
          <w:rFonts w:ascii="AvantGarde Bk BT" w:hAnsi="AvantGarde Bk BT" w:cs="Arial"/>
          <w:b/>
          <w:color w:val="000000" w:themeColor="text1"/>
          <w:sz w:val="24"/>
          <w:szCs w:val="24"/>
        </w:rPr>
        <w:t>Interposición del recurso.</w:t>
      </w:r>
      <w:r w:rsidR="00A00F41" w:rsidRPr="007C5605">
        <w:rPr>
          <w:rFonts w:ascii="AvantGarde Bk BT" w:hAnsi="AvantGarde Bk BT" w:cs="Arial"/>
          <w:color w:val="000000" w:themeColor="text1"/>
          <w:sz w:val="24"/>
          <w:szCs w:val="24"/>
        </w:rPr>
        <w:t xml:space="preserve"> El </w:t>
      </w:r>
      <w:r w:rsidR="00A00F41">
        <w:rPr>
          <w:rFonts w:ascii="AvantGarde Bk BT" w:hAnsi="AvantGarde Bk BT" w:cs="Arial"/>
          <w:color w:val="000000" w:themeColor="text1"/>
          <w:sz w:val="24"/>
          <w:szCs w:val="24"/>
        </w:rPr>
        <w:t xml:space="preserve">diecinueve de </w:t>
      </w:r>
      <w:r>
        <w:rPr>
          <w:rFonts w:ascii="AvantGarde Bk BT" w:hAnsi="AvantGarde Bk BT" w:cs="Arial"/>
          <w:color w:val="000000" w:themeColor="text1"/>
          <w:sz w:val="24"/>
          <w:szCs w:val="24"/>
        </w:rPr>
        <w:t>febrero de dos mil veintiséis</w:t>
      </w:r>
      <w:r w:rsidR="00A00F41" w:rsidRPr="007C5605">
        <w:rPr>
          <w:rFonts w:ascii="AvantGarde Bk BT" w:hAnsi="AvantGarde Bk BT" w:cs="Arial"/>
          <w:color w:val="000000" w:themeColor="text1"/>
          <w:sz w:val="24"/>
          <w:szCs w:val="24"/>
        </w:rPr>
        <w:t xml:space="preserve"> </w:t>
      </w:r>
      <w:r w:rsidR="00A00F41">
        <w:rPr>
          <w:rFonts w:ascii="AvantGarde Bk BT" w:hAnsi="AvantGarde Bk BT" w:cs="Arial"/>
          <w:color w:val="000000" w:themeColor="text1"/>
          <w:sz w:val="24"/>
          <w:szCs w:val="24"/>
        </w:rPr>
        <w:t xml:space="preserve">la persona solicitante </w:t>
      </w:r>
      <w:r w:rsidR="00A00F41" w:rsidRPr="007C5605">
        <w:rPr>
          <w:rFonts w:ascii="AvantGarde Bk BT" w:hAnsi="AvantGarde Bk BT" w:cs="Arial"/>
          <w:color w:val="000000" w:themeColor="text1"/>
          <w:sz w:val="24"/>
          <w:szCs w:val="24"/>
        </w:rPr>
        <w:t xml:space="preserve">de la información interpuso el recurso de revisión en contra de la </w:t>
      </w:r>
      <w:r>
        <w:rPr>
          <w:rFonts w:ascii="AvantGarde Bk BT" w:hAnsi="AvantGarde Bk BT" w:cs="Arial"/>
          <w:color w:val="000000" w:themeColor="text1"/>
          <w:sz w:val="24"/>
          <w:szCs w:val="24"/>
        </w:rPr>
        <w:t>respuesta</w:t>
      </w:r>
      <w:r w:rsidR="00A00F41">
        <w:rPr>
          <w:rFonts w:ascii="AvantGarde Bk BT" w:hAnsi="AvantGarde Bk BT" w:cs="Arial"/>
          <w:color w:val="000000" w:themeColor="text1"/>
          <w:sz w:val="24"/>
          <w:szCs w:val="24"/>
        </w:rPr>
        <w:t>. (visible de foja 01 de autos.)</w:t>
      </w:r>
    </w:p>
    <w:p w14:paraId="6E0B267D" w14:textId="6183C36B" w:rsidR="00CB72BB" w:rsidRPr="00CB72BB" w:rsidRDefault="00C271FA" w:rsidP="004E2C5A">
      <w:pPr>
        <w:pStyle w:val="corte4fondo"/>
        <w:spacing w:after="240"/>
        <w:ind w:left="142"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lastRenderedPageBreak/>
        <w:t>QUINTO.</w:t>
      </w:r>
      <w:r w:rsidRPr="006B4C8C">
        <w:rPr>
          <w:rFonts w:ascii="AvantGarde Bk BT" w:hAnsi="AvantGarde Bk BT" w:cs="Arial"/>
          <w:color w:val="000000" w:themeColor="text1"/>
          <w:sz w:val="24"/>
          <w:szCs w:val="24"/>
        </w:rPr>
        <w:t xml:space="preserve"> </w:t>
      </w:r>
      <w:r w:rsidR="00A00F41"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00F41"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diecinueve de febrero</w:t>
      </w:r>
      <w:r w:rsidR="00A00F41">
        <w:rPr>
          <w:rFonts w:ascii="AvantGarde Bk BT" w:hAnsi="AvantGarde Bk BT" w:cs="Arial"/>
          <w:color w:val="000000" w:themeColor="text1"/>
          <w:sz w:val="24"/>
          <w:szCs w:val="24"/>
        </w:rPr>
        <w:t xml:space="preserve"> de dos mil veintiséis</w:t>
      </w:r>
      <w:r w:rsidR="00A00F41" w:rsidRPr="007C5605">
        <w:rPr>
          <w:rFonts w:ascii="AvantGarde Bk BT" w:hAnsi="AvantGarde Bk BT" w:cs="Arial"/>
          <w:color w:val="000000" w:themeColor="text1"/>
          <w:sz w:val="24"/>
          <w:szCs w:val="24"/>
        </w:rPr>
        <w:t xml:space="preserve"> la presidencia de esta Comisión de Transparencia</w:t>
      </w:r>
      <w:r w:rsidR="00A00F41">
        <w:rPr>
          <w:rFonts w:ascii="AvantGarde Bk BT" w:hAnsi="AvantGarde Bk BT" w:cs="Arial"/>
          <w:color w:val="000000" w:themeColor="text1"/>
          <w:sz w:val="24"/>
          <w:szCs w:val="24"/>
        </w:rPr>
        <w:t>, por conducto de la Secretaría de Pleno,</w:t>
      </w:r>
      <w:r w:rsidR="00A00F41" w:rsidRPr="007C5605">
        <w:rPr>
          <w:rFonts w:ascii="AvantGarde Bk BT" w:hAnsi="AvantGarde Bk BT" w:cs="Arial"/>
          <w:color w:val="000000" w:themeColor="text1"/>
          <w:sz w:val="24"/>
          <w:szCs w:val="24"/>
        </w:rPr>
        <w:t xml:space="preserve"> tuvo por recibido el recurso de revisión, </w:t>
      </w:r>
      <w:proofErr w:type="gramStart"/>
      <w:r w:rsidR="00A00F41" w:rsidRPr="007C5605">
        <w:rPr>
          <w:rFonts w:ascii="AvantGarde Bk BT" w:hAnsi="AvantGarde Bk BT" w:cs="Arial"/>
          <w:color w:val="000000" w:themeColor="text1"/>
          <w:sz w:val="24"/>
          <w:szCs w:val="24"/>
        </w:rPr>
        <w:t>que</w:t>
      </w:r>
      <w:proofErr w:type="gramEnd"/>
      <w:r w:rsidR="00A00F41" w:rsidRPr="007C5605">
        <w:rPr>
          <w:rFonts w:ascii="AvantGarde Bk BT" w:hAnsi="AvantGarde Bk BT" w:cs="Arial"/>
          <w:color w:val="000000" w:themeColor="text1"/>
          <w:sz w:val="24"/>
          <w:szCs w:val="24"/>
        </w:rPr>
        <w:t xml:space="preserve"> por razón de turno, tocó conocer a la ponencia del </w:t>
      </w:r>
      <w:r w:rsidR="00A00F41">
        <w:rPr>
          <w:rFonts w:ascii="AvantGarde Bk BT" w:hAnsi="AvantGarde Bk BT" w:cs="Arial"/>
          <w:color w:val="000000" w:themeColor="text1"/>
          <w:sz w:val="24"/>
          <w:szCs w:val="24"/>
        </w:rPr>
        <w:t xml:space="preserve">Comisionado Licenciado José Gerardo Navarro </w:t>
      </w:r>
      <w:proofErr w:type="spellStart"/>
      <w:r w:rsidR="00A00F41">
        <w:rPr>
          <w:rFonts w:ascii="AvantGarde Bk BT" w:hAnsi="AvantGarde Bk BT" w:cs="Arial"/>
          <w:color w:val="000000" w:themeColor="text1"/>
          <w:sz w:val="24"/>
          <w:szCs w:val="24"/>
        </w:rPr>
        <w:t>Alviso</w:t>
      </w:r>
      <w:proofErr w:type="spellEnd"/>
      <w:r w:rsidR="00A00F41" w:rsidRPr="007C5605">
        <w:rPr>
          <w:rFonts w:ascii="AvantGarde Bk BT" w:hAnsi="AvantGarde Bk BT" w:cs="Arial"/>
          <w:color w:val="000000" w:themeColor="text1"/>
          <w:sz w:val="24"/>
          <w:szCs w:val="24"/>
        </w:rPr>
        <w:t xml:space="preserve"> para que procediera, previo su análisis, a su admisión o </w:t>
      </w:r>
      <w:proofErr w:type="spellStart"/>
      <w:r w:rsidR="00A00F41" w:rsidRPr="007C5605">
        <w:rPr>
          <w:rFonts w:ascii="AvantGarde Bk BT" w:hAnsi="AvantGarde Bk BT" w:cs="Arial"/>
          <w:color w:val="000000" w:themeColor="text1"/>
          <w:sz w:val="24"/>
          <w:szCs w:val="24"/>
        </w:rPr>
        <w:t>desechamiento</w:t>
      </w:r>
      <w:proofErr w:type="spellEnd"/>
      <w:r w:rsidR="00A00F41" w:rsidRPr="007C5605">
        <w:rPr>
          <w:rFonts w:ascii="AvantGarde Bk BT" w:hAnsi="AvantGarde Bk BT" w:cs="Arial"/>
          <w:color w:val="000000" w:themeColor="text1"/>
          <w:sz w:val="24"/>
          <w:szCs w:val="24"/>
        </w:rPr>
        <w:t xml:space="preserve"> según fuera el caso.</w:t>
      </w:r>
    </w:p>
    <w:p w14:paraId="002479BF" w14:textId="719A3C23" w:rsidR="00A00F41" w:rsidRPr="007C5605" w:rsidRDefault="00C271FA" w:rsidP="00A00F41">
      <w:pPr>
        <w:pStyle w:val="corte4fondo"/>
        <w:tabs>
          <w:tab w:val="left" w:pos="567"/>
        </w:tabs>
        <w:ind w:left="113" w:firstLine="680"/>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A00F41" w:rsidRPr="003D5C15">
        <w:rPr>
          <w:rFonts w:ascii="AvantGarde Bk BT" w:hAnsi="AvantGarde Bk BT" w:cs="Arial"/>
          <w:b/>
          <w:color w:val="000000" w:themeColor="text1"/>
          <w:sz w:val="24"/>
          <w:szCs w:val="24"/>
        </w:rPr>
        <w:t>Auto de admisión</w:t>
      </w:r>
      <w:r w:rsidR="00A00F41">
        <w:rPr>
          <w:rFonts w:ascii="AvantGarde Bk BT" w:hAnsi="AvantGarde Bk BT" w:cs="Arial"/>
          <w:color w:val="000000" w:themeColor="text1"/>
          <w:sz w:val="24"/>
          <w:szCs w:val="24"/>
        </w:rPr>
        <w:t xml:space="preserve">. Por proveído de </w:t>
      </w:r>
      <w:r>
        <w:rPr>
          <w:rFonts w:ascii="AvantGarde Bk BT" w:hAnsi="AvantGarde Bk BT" w:cs="Arial"/>
          <w:color w:val="000000" w:themeColor="text1"/>
          <w:sz w:val="24"/>
          <w:szCs w:val="24"/>
        </w:rPr>
        <w:t>diecinueve de febrero</w:t>
      </w:r>
      <w:r w:rsidR="002E4587">
        <w:rPr>
          <w:rFonts w:ascii="AvantGarde Bk BT" w:hAnsi="AvantGarde Bk BT" w:cs="Arial"/>
          <w:color w:val="000000" w:themeColor="text1"/>
          <w:sz w:val="24"/>
          <w:szCs w:val="24"/>
        </w:rPr>
        <w:t xml:space="preserve"> de dos mil veintiséis</w:t>
      </w:r>
      <w:r w:rsidR="00A00F41">
        <w:rPr>
          <w:rFonts w:ascii="AvantGarde Bk BT" w:hAnsi="AvantGarde Bk BT" w:cs="Arial"/>
          <w:color w:val="000000" w:themeColor="text1"/>
          <w:sz w:val="24"/>
          <w:szCs w:val="24"/>
        </w:rPr>
        <w:t>, esta Comisión</w:t>
      </w:r>
      <w:r w:rsidR="00A00F41" w:rsidRPr="007C5605">
        <w:rPr>
          <w:rFonts w:ascii="AvantGarde Bk BT" w:hAnsi="AvantGarde Bk BT" w:cs="Arial"/>
          <w:color w:val="000000" w:themeColor="text1"/>
          <w:sz w:val="24"/>
          <w:szCs w:val="24"/>
        </w:rPr>
        <w:t>:</w:t>
      </w:r>
    </w:p>
    <w:p w14:paraId="125F549A"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E3D64F8" w14:textId="3EA82823" w:rsidR="00A00F41" w:rsidRPr="00D85914"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C271FA">
        <w:rPr>
          <w:rFonts w:ascii="AvantGarde Bk BT" w:hAnsi="AvantGarde Bk BT" w:cs="Arial"/>
          <w:b/>
          <w:color w:val="000000" w:themeColor="text1"/>
          <w:sz w:val="24"/>
          <w:szCs w:val="24"/>
        </w:rPr>
        <w:t>RR-0</w:t>
      </w:r>
      <w:r w:rsidR="002E4587">
        <w:rPr>
          <w:rFonts w:ascii="AvantGarde Bk BT" w:hAnsi="AvantGarde Bk BT" w:cs="Arial"/>
          <w:b/>
          <w:color w:val="000000" w:themeColor="text1"/>
          <w:sz w:val="24"/>
          <w:szCs w:val="24"/>
        </w:rPr>
        <w:t>7</w:t>
      </w:r>
      <w:r w:rsidR="00C271FA">
        <w:rPr>
          <w:rFonts w:ascii="AvantGarde Bk BT" w:hAnsi="AvantGarde Bk BT" w:cs="Arial"/>
          <w:b/>
          <w:color w:val="000000" w:themeColor="text1"/>
          <w:sz w:val="24"/>
          <w:szCs w:val="24"/>
        </w:rPr>
        <w:t>2</w:t>
      </w:r>
      <w:r w:rsidR="002E4587">
        <w:rPr>
          <w:rFonts w:ascii="AvantGarde Bk BT" w:hAnsi="AvantGarde Bk BT" w:cs="Arial"/>
          <w:b/>
          <w:color w:val="000000" w:themeColor="text1"/>
          <w:sz w:val="24"/>
          <w:szCs w:val="24"/>
        </w:rPr>
        <w:t>/2026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457822C"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6C29BC9B" w14:textId="3845473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sidR="002E4587">
        <w:rPr>
          <w:rFonts w:ascii="AvantGarde Bk BT" w:hAnsi="AvantGarde Bk BT" w:cs="Arial"/>
          <w:color w:val="000000" w:themeColor="text1"/>
          <w:sz w:val="24"/>
          <w:szCs w:val="24"/>
        </w:rPr>
        <w:t>parcialmente a trámite</w:t>
      </w:r>
      <w:r w:rsidRPr="006932D1">
        <w:rPr>
          <w:rFonts w:ascii="AvantGarde Bk BT" w:hAnsi="AvantGarde Bk BT" w:cs="Arial"/>
          <w:color w:val="000000" w:themeColor="text1"/>
          <w:sz w:val="24"/>
          <w:szCs w:val="24"/>
        </w:rPr>
        <w:t xml:space="preserve"> el medio de impugnación en atención a la</w:t>
      </w:r>
      <w:r w:rsidR="00C271FA">
        <w:rPr>
          <w:rFonts w:ascii="AvantGarde Bk BT" w:hAnsi="AvantGarde Bk BT" w:cs="Arial"/>
          <w:color w:val="000000" w:themeColor="text1"/>
          <w:sz w:val="24"/>
          <w:szCs w:val="24"/>
        </w:rPr>
        <w:t>s</w:t>
      </w:r>
      <w:r w:rsidRPr="006932D1">
        <w:rPr>
          <w:rFonts w:ascii="AvantGarde Bk BT" w:hAnsi="AvantGarde Bk BT" w:cs="Arial"/>
          <w:color w:val="000000" w:themeColor="text1"/>
          <w:sz w:val="24"/>
          <w:szCs w:val="24"/>
        </w:rPr>
        <w:t xml:space="preserve"> hipóte</w:t>
      </w:r>
      <w:r>
        <w:rPr>
          <w:rFonts w:ascii="AvantGarde Bk BT" w:hAnsi="AvantGarde Bk BT" w:cs="Arial"/>
          <w:color w:val="000000" w:themeColor="text1"/>
          <w:sz w:val="24"/>
          <w:szCs w:val="24"/>
        </w:rPr>
        <w:t>sis establecida</w:t>
      </w:r>
      <w:r w:rsidR="00C271F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en </w:t>
      </w:r>
      <w:r w:rsidRPr="00AF12A6">
        <w:rPr>
          <w:rFonts w:ascii="AvantGarde Bk BT" w:hAnsi="AvantGarde Bk BT" w:cs="Arial"/>
          <w:b/>
          <w:color w:val="000000" w:themeColor="text1"/>
          <w:sz w:val="24"/>
          <w:szCs w:val="24"/>
        </w:rPr>
        <w:t>la</w:t>
      </w:r>
      <w:r w:rsidR="00C271FA">
        <w:rPr>
          <w:rFonts w:ascii="AvantGarde Bk BT" w:hAnsi="AvantGarde Bk BT" w:cs="Arial"/>
          <w:b/>
          <w:color w:val="000000" w:themeColor="text1"/>
          <w:sz w:val="24"/>
          <w:szCs w:val="24"/>
        </w:rPr>
        <w:t>s fracciones</w:t>
      </w:r>
      <w:r w:rsidRPr="00AF12A6">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I </w:t>
      </w:r>
      <w:r w:rsidR="00C271FA">
        <w:rPr>
          <w:rFonts w:ascii="AvantGarde Bk BT" w:hAnsi="AvantGarde Bk BT" w:cs="Arial"/>
          <w:b/>
          <w:color w:val="000000" w:themeColor="text1"/>
          <w:sz w:val="24"/>
          <w:szCs w:val="24"/>
        </w:rPr>
        <w:t xml:space="preserve">y VII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1835725C" w14:textId="5E99CE8E" w:rsidR="00A00F41" w:rsidRPr="00D6546A"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sidR="00C271FA">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C271FA">
        <w:rPr>
          <w:rFonts w:ascii="AvantGarde Bk BT" w:hAnsi="AvantGarde Bk BT" w:cs="Arial"/>
          <w:b/>
          <w:color w:val="000000" w:themeColor="text1"/>
          <w:sz w:val="24"/>
          <w:szCs w:val="24"/>
        </w:rPr>
        <w:t>PODER JUDICIAL DEL ESTADO DE SAN LUIS POTOSÍ</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570E433"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66EF5BE1"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07A4C166"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569C26CB"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376947CB" w14:textId="7C2C47C9" w:rsidR="004E2C5A" w:rsidRPr="002E4587" w:rsidRDefault="00A00F41" w:rsidP="002E4587">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7B40C589" w14:textId="0D7355EC" w:rsidR="00C271FA" w:rsidRPr="00D63D8E" w:rsidRDefault="00C271FA" w:rsidP="00C271F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 Recepción del informe del sujeto obligado y c</w:t>
      </w:r>
      <w:r w:rsidRPr="00DC67E0">
        <w:rPr>
          <w:rFonts w:ascii="AvantGarde Bk BT" w:hAnsi="AvantGarde Bk BT" w:cs="Arial"/>
          <w:b/>
          <w:color w:val="000000" w:themeColor="text1"/>
          <w:sz w:val="24"/>
          <w:szCs w:val="24"/>
        </w:rPr>
        <w:t>ierre de instrucción.</w:t>
      </w:r>
      <w:r w:rsidRPr="00DC67E0">
        <w:rPr>
          <w:rFonts w:ascii="AvantGarde Bk BT" w:hAnsi="AvantGarde Bk BT" w:cs="Arial"/>
          <w:color w:val="000000" w:themeColor="text1"/>
          <w:sz w:val="24"/>
          <w:szCs w:val="24"/>
        </w:rPr>
        <w:t xml:space="preserve"> </w:t>
      </w:r>
      <w:r w:rsidRPr="00D63D8E">
        <w:rPr>
          <w:rFonts w:ascii="AvantGarde Bk BT" w:hAnsi="AvantGarde Bk BT" w:cs="Arial"/>
          <w:color w:val="000000" w:themeColor="text1"/>
          <w:sz w:val="24"/>
          <w:szCs w:val="24"/>
        </w:rPr>
        <w:t xml:space="preserve">Mediante el auto del </w:t>
      </w:r>
      <w:r>
        <w:rPr>
          <w:rFonts w:ascii="AvantGarde Bk BT" w:hAnsi="AvantGarde Bk BT" w:cs="Arial"/>
          <w:color w:val="000000" w:themeColor="text1"/>
          <w:sz w:val="24"/>
          <w:szCs w:val="24"/>
        </w:rPr>
        <w:t>cuatro de marzo de dos mil veintiséis</w:t>
      </w:r>
      <w:r w:rsidRPr="00D63D8E">
        <w:rPr>
          <w:rFonts w:ascii="AvantGarde Bk BT" w:hAnsi="AvantGarde Bk BT" w:cs="Arial"/>
          <w:color w:val="000000" w:themeColor="text1"/>
          <w:sz w:val="24"/>
          <w:szCs w:val="24"/>
        </w:rPr>
        <w:t>, esta Comisión:</w:t>
      </w:r>
    </w:p>
    <w:p w14:paraId="7EE707CF" w14:textId="3227D05D" w:rsidR="00C271FA" w:rsidRPr="00D63D8E" w:rsidRDefault="00C271FA" w:rsidP="00C271FA">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a los autos el oficio UT/124/2026, signado por Mariano Agustín Olguín Huerta, Titular de la Unidad de Transparencia del sujeto obligado, recibido en la Oficialía de Partes de esta Comisión el tres de marzo de dos mil veintiséis</w:t>
      </w:r>
      <w:r w:rsidRPr="00D63D8E">
        <w:rPr>
          <w:rFonts w:ascii="AvantGarde Bk BT" w:hAnsi="AvantGarde Bk BT" w:cs="Arial"/>
          <w:color w:val="000000" w:themeColor="text1"/>
          <w:sz w:val="24"/>
          <w:szCs w:val="24"/>
        </w:rPr>
        <w:t>.</w:t>
      </w:r>
    </w:p>
    <w:p w14:paraId="002397E6" w14:textId="4BB99C3C" w:rsidR="00C271FA" w:rsidRPr="00D63D8E" w:rsidRDefault="00C271FA" w:rsidP="00C271FA">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rendido</w:t>
      </w:r>
      <w:r w:rsidRPr="00D63D8E">
        <w:rPr>
          <w:rFonts w:ascii="AvantGarde Bk BT" w:hAnsi="AvantGarde Bk BT" w:cs="Arial"/>
          <w:color w:val="000000" w:themeColor="text1"/>
          <w:sz w:val="24"/>
          <w:szCs w:val="24"/>
        </w:rPr>
        <w:t xml:space="preserve"> el informe del sujeto obligado, así como</w:t>
      </w:r>
      <w:r>
        <w:rPr>
          <w:rFonts w:ascii="AvantGarde Bk BT" w:hAnsi="AvantGarde Bk BT" w:cs="Arial"/>
          <w:color w:val="000000" w:themeColor="text1"/>
          <w:sz w:val="24"/>
          <w:szCs w:val="24"/>
        </w:rPr>
        <w:t xml:space="preserve"> ofrecidas</w:t>
      </w:r>
      <w:r w:rsidRPr="00D63D8E">
        <w:rPr>
          <w:rFonts w:ascii="AvantGarde Bk BT" w:hAnsi="AvantGarde Bk BT" w:cs="Arial"/>
          <w:color w:val="000000" w:themeColor="text1"/>
          <w:sz w:val="24"/>
          <w:szCs w:val="24"/>
        </w:rPr>
        <w:t xml:space="preserve"> las pruebas de su intención.</w:t>
      </w:r>
    </w:p>
    <w:p w14:paraId="7087043B" w14:textId="77777777" w:rsidR="00C271FA" w:rsidRPr="00D63D8E" w:rsidRDefault="00C271FA" w:rsidP="00C271FA">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En cuanto al peticionario, feneció el plazo para que presentara pruebas y manifestara lo que a su derecho conviniera.</w:t>
      </w:r>
    </w:p>
    <w:p w14:paraId="06BA35B0" w14:textId="7F8DCCCD" w:rsidR="00C271FA" w:rsidRPr="00D63D8E" w:rsidRDefault="00C271FA" w:rsidP="00C271FA">
      <w:pPr>
        <w:pStyle w:val="corte4fondo"/>
        <w:numPr>
          <w:ilvl w:val="0"/>
          <w:numId w:val="44"/>
        </w:numPr>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w:t>
      </w:r>
      <w:r w:rsidRPr="00D63D8E">
        <w:rPr>
          <w:rFonts w:ascii="AvantGarde Bk BT" w:hAnsi="AvantGarde Bk BT" w:cs="Arial"/>
          <w:color w:val="000000" w:themeColor="text1"/>
          <w:sz w:val="24"/>
          <w:szCs w:val="24"/>
        </w:rPr>
        <w:t xml:space="preserve">decretó el cierre del periodo de instrucción con fundamento en lo previsto por el artículo 174, fracciones V y VII de la Ley de la materia y procedió a elaborar el proyecto de resolución.  </w:t>
      </w:r>
    </w:p>
    <w:p w14:paraId="0C72F3DF" w14:textId="19D4294A" w:rsidR="00E215D2" w:rsidRDefault="00CC35B6" w:rsidP="00C271FA">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756C5F">
        <w:rPr>
          <w:rFonts w:ascii="AvantGarde Bk BT" w:hAnsi="AvantGarde Bk BT" w:cs="Arial"/>
          <w:color w:val="000000" w:themeColor="text1"/>
          <w:sz w:val="24"/>
          <w:szCs w:val="24"/>
        </w:rPr>
        <w:lastRenderedPageBreak/>
        <w:t>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46005E43"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782DDF">
        <w:rPr>
          <w:rFonts w:ascii="AvantGarde Bk BT" w:hAnsi="AvantGarde Bk BT" w:cs="Arial"/>
          <w:color w:val="000000" w:themeColor="text1"/>
          <w:sz w:val="24"/>
          <w:szCs w:val="24"/>
        </w:rPr>
        <w:t>dieciocho de febrero de dos mil veintiséis</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2E0531C7"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782DDF">
        <w:rPr>
          <w:rFonts w:ascii="AvantGarde Bk BT" w:hAnsi="AvantGarde Bk BT" w:cs="Arial"/>
          <w:color w:val="000000" w:themeColor="text1"/>
          <w:sz w:val="24"/>
          <w:szCs w:val="24"/>
        </w:rPr>
        <w:t>diecinueve de febrero al once de marzo</w:t>
      </w:r>
      <w:r w:rsidR="002E4587">
        <w:rPr>
          <w:rFonts w:ascii="AvantGarde Bk BT" w:hAnsi="AvantGarde Bk BT" w:cs="Arial"/>
          <w:color w:val="000000" w:themeColor="text1"/>
          <w:sz w:val="24"/>
          <w:szCs w:val="24"/>
        </w:rPr>
        <w:t xml:space="preserve"> de dos mil veintiséis</w:t>
      </w:r>
      <w:r>
        <w:rPr>
          <w:rFonts w:ascii="AvantGarde Bk BT" w:hAnsi="AvantGarde Bk BT" w:cs="Arial"/>
          <w:color w:val="000000" w:themeColor="text1"/>
          <w:sz w:val="24"/>
          <w:szCs w:val="24"/>
        </w:rPr>
        <w:t xml:space="preserve">, sin tomar en cuenta </w:t>
      </w:r>
      <w:r w:rsidR="00782DDF">
        <w:rPr>
          <w:rFonts w:ascii="AvantGarde Bk BT" w:hAnsi="AvantGarde Bk BT" w:cs="Arial"/>
          <w:color w:val="000000" w:themeColor="text1"/>
          <w:sz w:val="24"/>
          <w:szCs w:val="24"/>
        </w:rPr>
        <w:t>el veintiuno, veintidós y veintiocho de febrero, así como el uno, siete y ocho de marzo</w:t>
      </w:r>
      <w:r w:rsidR="002E4587">
        <w:rPr>
          <w:rFonts w:ascii="AvantGarde Bk BT" w:hAnsi="AvantGarde Bk BT" w:cs="Arial"/>
          <w:color w:val="000000" w:themeColor="text1"/>
          <w:sz w:val="24"/>
          <w:szCs w:val="24"/>
        </w:rPr>
        <w:t xml:space="preserve"> de dos mil veintiséis, </w:t>
      </w:r>
      <w:r w:rsidR="002239D8">
        <w:rPr>
          <w:rFonts w:ascii="AvantGarde Bk BT" w:hAnsi="AvantGarde Bk BT" w:cs="Arial"/>
          <w:color w:val="000000" w:themeColor="text1"/>
          <w:sz w:val="24"/>
          <w:szCs w:val="24"/>
        </w:rPr>
        <w:t>por ser inhábiles</w:t>
      </w:r>
      <w:r>
        <w:rPr>
          <w:rFonts w:ascii="AvantGarde Bk BT" w:hAnsi="AvantGarde Bk BT" w:cs="Arial"/>
          <w:color w:val="000000" w:themeColor="text1"/>
          <w:sz w:val="24"/>
          <w:szCs w:val="24"/>
        </w:rPr>
        <w:t>.</w:t>
      </w:r>
    </w:p>
    <w:p w14:paraId="52530DF1" w14:textId="0DCC506F"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E4587">
        <w:rPr>
          <w:rFonts w:ascii="AvantGarde Bk BT" w:hAnsi="AvantGarde Bk BT" w:cs="Arial"/>
          <w:color w:val="000000" w:themeColor="text1"/>
          <w:sz w:val="24"/>
          <w:szCs w:val="24"/>
        </w:rPr>
        <w:t xml:space="preserve">diecinueve de </w:t>
      </w:r>
      <w:r w:rsidR="00782DDF">
        <w:rPr>
          <w:rFonts w:ascii="AvantGarde Bk BT" w:hAnsi="AvantGarde Bk BT" w:cs="Arial"/>
          <w:color w:val="000000" w:themeColor="text1"/>
          <w:sz w:val="24"/>
          <w:szCs w:val="24"/>
        </w:rPr>
        <w:t>febrero de dos mil veintiséis</w:t>
      </w:r>
      <w:r w:rsidR="002239D8">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w:t>
      </w:r>
      <w:r w:rsidRPr="007F0BFC">
        <w:rPr>
          <w:rFonts w:ascii="AvantGarde Bk BT" w:hAnsi="AvantGarde Bk BT" w:cs="Arial"/>
          <w:color w:val="000000" w:themeColor="text1"/>
          <w:sz w:val="24"/>
          <w:szCs w:val="24"/>
        </w:rPr>
        <w:lastRenderedPageBreak/>
        <w:t>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18B67F73"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0729BE">
        <w:rPr>
          <w:rFonts w:ascii="AvantGarde Bk BT" w:hAnsi="AvantGarde Bk BT" w:cs="Arial"/>
          <w:color w:val="000000" w:themeColor="text1"/>
          <w:sz w:val="24"/>
          <w:szCs w:val="24"/>
        </w:rPr>
        <w:t>241</w:t>
      </w:r>
      <w:r w:rsidR="000729BE" w:rsidRPr="00A00F41">
        <w:rPr>
          <w:rFonts w:ascii="AvantGarde Bk BT" w:hAnsi="AvantGarde Bk BT" w:cs="Arial"/>
          <w:color w:val="000000" w:themeColor="text1"/>
          <w:sz w:val="24"/>
          <w:szCs w:val="24"/>
        </w:rPr>
        <w:t>4</w:t>
      </w:r>
      <w:r w:rsidR="000729BE">
        <w:rPr>
          <w:rFonts w:ascii="AvantGarde Bk BT" w:hAnsi="AvantGarde Bk BT" w:cs="Arial"/>
          <w:color w:val="000000" w:themeColor="text1"/>
          <w:sz w:val="24"/>
          <w:szCs w:val="24"/>
        </w:rPr>
        <w:t>81826000016</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6DC16B7B" w14:textId="3A4FBC40" w:rsidR="00777275" w:rsidRPr="00834A23" w:rsidRDefault="00777275" w:rsidP="006D5DFC">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D3558A" w:rsidRPr="00D3558A">
        <w:rPr>
          <w:rFonts w:ascii="Tahoma" w:hAnsi="Tahoma" w:cs="Tahoma"/>
          <w:i/>
          <w:color w:val="000000" w:themeColor="text1"/>
          <w:sz w:val="22"/>
          <w:szCs w:val="24"/>
        </w:rPr>
        <w:t>﻿﻿﻿</w:t>
      </w:r>
      <w:r w:rsidR="006D5DFC" w:rsidRPr="006D5DFC">
        <w:rPr>
          <w:rFonts w:ascii="Century Gothic" w:hAnsi="Century Gothic" w:cs="Century Gothic"/>
          <w:i/>
          <w:color w:val="000000" w:themeColor="text1"/>
          <w:sz w:val="22"/>
          <w:szCs w:val="24"/>
        </w:rPr>
        <w:t>Solicito el listado completo de las personas servidoras públicas y/o personal contratado que concluyeron su relación laboral con el Poder Judicial del Estado de San Luis Potosí entre diciembre de 2025 y enero de 2026, incluyendo nombre completo, cargo o puesto, adscripción, tipo de contratación, fecha de conclusión y motivo de la separación (no renovación de contrato, reestructu</w:t>
      </w:r>
      <w:r w:rsidR="006D5DFC">
        <w:rPr>
          <w:rFonts w:ascii="Century Gothic" w:hAnsi="Century Gothic" w:cs="Century Gothic"/>
          <w:i/>
          <w:color w:val="000000" w:themeColor="text1"/>
          <w:sz w:val="22"/>
          <w:szCs w:val="24"/>
        </w:rPr>
        <w:t>ra administrativa u otra causa)</w:t>
      </w:r>
      <w:r w:rsidR="00615B0E" w:rsidRPr="00615B0E">
        <w:rPr>
          <w:rFonts w:ascii="AvantGarde Bk BT" w:hAnsi="AvantGarde Bk BT" w:cs="Arial"/>
          <w:i/>
          <w:color w:val="000000" w:themeColor="text1"/>
          <w:sz w:val="22"/>
          <w:szCs w:val="24"/>
        </w:rPr>
        <w:t>.</w:t>
      </w:r>
      <w:r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6113BEE2"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w:t>
      </w:r>
      <w:r w:rsidR="0080785E">
        <w:rPr>
          <w:rFonts w:ascii="AvantGarde Bk BT" w:hAnsi="AvantGarde Bk BT" w:cs="Arial"/>
          <w:color w:val="000000" w:themeColor="text1"/>
          <w:sz w:val="24"/>
          <w:szCs w:val="24"/>
        </w:rPr>
        <w:t xml:space="preserve">, por conducto de la Dirección de Recursos Humanos del Órgano de Administración Judicial y la Unidad de Transparencia, </w:t>
      </w:r>
      <w:r>
        <w:rPr>
          <w:rFonts w:ascii="AvantGarde Bk BT" w:hAnsi="AvantGarde Bk BT" w:cs="Arial"/>
          <w:color w:val="000000" w:themeColor="text1"/>
          <w:sz w:val="24"/>
          <w:szCs w:val="24"/>
        </w:rPr>
        <w:t>respondió</w:t>
      </w:r>
      <w:r w:rsidR="00F72FC2">
        <w:rPr>
          <w:rFonts w:ascii="AvantGarde Bk BT" w:hAnsi="AvantGarde Bk BT" w:cs="Arial"/>
          <w:color w:val="000000" w:themeColor="text1"/>
          <w:sz w:val="24"/>
          <w:szCs w:val="24"/>
        </w:rPr>
        <w:t xml:space="preserve"> la solicitud de información en los siguientes términos</w:t>
      </w:r>
      <w:r w:rsidR="00487E4E">
        <w:rPr>
          <w:rFonts w:ascii="AvantGarde Bk BT" w:hAnsi="AvantGarde Bk BT" w:cs="Arial"/>
          <w:color w:val="000000" w:themeColor="text1"/>
          <w:sz w:val="24"/>
          <w:szCs w:val="24"/>
        </w:rPr>
        <w:t>, respectivamente</w:t>
      </w:r>
      <w:r w:rsidR="008E5213">
        <w:rPr>
          <w:rFonts w:ascii="AvantGarde Bk BT" w:hAnsi="AvantGarde Bk BT" w:cs="Arial"/>
          <w:color w:val="000000" w:themeColor="text1"/>
          <w:sz w:val="24"/>
          <w:szCs w:val="24"/>
        </w:rPr>
        <w:t>:</w:t>
      </w:r>
    </w:p>
    <w:p w14:paraId="6AC776C2" w14:textId="2F728411" w:rsidR="00593C3E" w:rsidRPr="00593C3E" w:rsidRDefault="008E5213" w:rsidP="00487E4E">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93C3E" w:rsidRPr="00593C3E">
        <w:rPr>
          <w:rFonts w:ascii="AvantGarde Bk BT" w:hAnsi="AvantGarde Bk BT" w:cs="Arial"/>
          <w:i/>
          <w:color w:val="000000" w:themeColor="text1"/>
          <w:sz w:val="22"/>
          <w:szCs w:val="24"/>
        </w:rPr>
        <w:t xml:space="preserve"> </w:t>
      </w:r>
      <w:r w:rsidR="00593C3E" w:rsidRPr="005142BE">
        <w:rPr>
          <w:rFonts w:ascii="AvantGarde Bk BT" w:hAnsi="AvantGarde Bk BT" w:cs="Arial"/>
          <w:i/>
          <w:color w:val="000000" w:themeColor="text1"/>
          <w:sz w:val="22"/>
          <w:szCs w:val="24"/>
        </w:rPr>
        <w:t>[…].</w:t>
      </w:r>
    </w:p>
    <w:p w14:paraId="61F053C9" w14:textId="0D5F92C0" w:rsidR="00487E4E" w:rsidRPr="00487E4E" w:rsidRDefault="00487E4E" w:rsidP="00487E4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487E4E">
        <w:rPr>
          <w:rFonts w:ascii="AvantGarde Bk BT" w:hAnsi="AvantGarde Bk BT" w:cs="Arial"/>
          <w:i/>
          <w:color w:val="000000" w:themeColor="text1"/>
          <w:sz w:val="22"/>
          <w:szCs w:val="24"/>
        </w:rPr>
        <w:t xml:space="preserve">En atención a su oficio UT/35/2026 de fecha 21 de enero de 2026 signado por el Maestro Agustín Olguín Huerta, en el que requiere diversa información derivada de la solicitud de información recibida a través de la Plataforma Nacional de Transparencia-San Luis Potosí, misma que fue radicada bajo el expediente </w:t>
      </w:r>
      <w:proofErr w:type="spellStart"/>
      <w:r w:rsidRPr="00487E4E">
        <w:rPr>
          <w:rFonts w:ascii="AvantGarde Bk BT" w:hAnsi="AvantGarde Bk BT" w:cs="Arial"/>
          <w:i/>
          <w:color w:val="000000" w:themeColor="text1"/>
          <w:sz w:val="22"/>
          <w:szCs w:val="24"/>
        </w:rPr>
        <w:t>SAl</w:t>
      </w:r>
      <w:proofErr w:type="spellEnd"/>
      <w:r w:rsidRPr="00487E4E">
        <w:rPr>
          <w:rFonts w:ascii="AvantGarde Bk BT" w:hAnsi="AvantGarde Bk BT" w:cs="Arial"/>
          <w:i/>
          <w:color w:val="000000" w:themeColor="text1"/>
          <w:sz w:val="22"/>
          <w:szCs w:val="24"/>
        </w:rPr>
        <w:t xml:space="preserve"> 15/2026, por lo anterior se transcribe punto petitorio</w:t>
      </w:r>
      <w:r>
        <w:rPr>
          <w:rFonts w:ascii="AvantGarde Bk BT" w:hAnsi="AvantGarde Bk BT" w:cs="Arial"/>
          <w:i/>
          <w:color w:val="000000" w:themeColor="text1"/>
          <w:sz w:val="22"/>
          <w:szCs w:val="24"/>
        </w:rPr>
        <w:t xml:space="preserve"> y se da contestación al mismo:</w:t>
      </w:r>
    </w:p>
    <w:p w14:paraId="1CA2F4CD" w14:textId="757159A8" w:rsidR="00487E4E" w:rsidRPr="00487E4E" w:rsidRDefault="00487E4E" w:rsidP="00487E4E">
      <w:pPr>
        <w:pStyle w:val="corte4fondo"/>
        <w:tabs>
          <w:tab w:val="left" w:pos="567"/>
        </w:tabs>
        <w:spacing w:line="240" w:lineRule="auto"/>
        <w:ind w:left="680" w:right="680" w:firstLine="0"/>
        <w:jc w:val="center"/>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[Transcripción de la solicitud de información].</w:t>
      </w:r>
    </w:p>
    <w:p w14:paraId="43366035" w14:textId="768EEAF6" w:rsidR="00487E4E" w:rsidRPr="00487E4E" w:rsidRDefault="00487E4E" w:rsidP="00487E4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487E4E">
        <w:rPr>
          <w:rFonts w:ascii="AvantGarde Bk BT" w:hAnsi="AvantGarde Bk BT" w:cs="Arial"/>
          <w:i/>
          <w:color w:val="000000" w:themeColor="text1"/>
          <w:sz w:val="22"/>
          <w:szCs w:val="24"/>
        </w:rPr>
        <w:t xml:space="preserve">R: Los 47 cuarenta y siete contratos del personal que concluyeron en el periodo señalado que solicita y en virtud de que cada contrato cuenta con cuatro hojas, hacen un total de 188 ciento ochenta y ocho hojas, por lo anterior deberá acudir a la Unidad de Transparencia, ubicada en Avenida Himno Nacional N° 1911, 3er piso, Fraccionamiento </w:t>
      </w:r>
      <w:proofErr w:type="spellStart"/>
      <w:r w:rsidRPr="00487E4E">
        <w:rPr>
          <w:rFonts w:ascii="AvantGarde Bk BT" w:hAnsi="AvantGarde Bk BT" w:cs="Arial"/>
          <w:i/>
          <w:color w:val="000000" w:themeColor="text1"/>
          <w:sz w:val="22"/>
          <w:szCs w:val="24"/>
        </w:rPr>
        <w:t>Tangamanga</w:t>
      </w:r>
      <w:proofErr w:type="spellEnd"/>
      <w:r w:rsidRPr="00487E4E">
        <w:rPr>
          <w:rFonts w:ascii="AvantGarde Bk BT" w:hAnsi="AvantGarde Bk BT" w:cs="Arial"/>
          <w:i/>
          <w:color w:val="000000" w:themeColor="text1"/>
          <w:sz w:val="22"/>
          <w:szCs w:val="24"/>
        </w:rPr>
        <w:t>, en un horario de: 09:15 a 13:30 horas y cuando acredite haber realizado el pago en la Unidad de Transparencia, se realizará la elaboración de las versiones públicas de los contratos de personal que contienen la información motivo de su inquiet</w:t>
      </w:r>
      <w:r>
        <w:rPr>
          <w:rFonts w:ascii="AvantGarde Bk BT" w:hAnsi="AvantGarde Bk BT" w:cs="Arial"/>
          <w:i/>
          <w:color w:val="000000" w:themeColor="text1"/>
          <w:sz w:val="22"/>
          <w:szCs w:val="24"/>
        </w:rPr>
        <w:t>ud.</w:t>
      </w:r>
    </w:p>
    <w:p w14:paraId="389FA152" w14:textId="1815A135" w:rsidR="002F3958" w:rsidRDefault="00487E4E" w:rsidP="00487E4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487E4E">
        <w:rPr>
          <w:rFonts w:ascii="AvantGarde Bk BT" w:hAnsi="AvantGarde Bk BT" w:cs="Arial"/>
          <w:i/>
          <w:color w:val="000000" w:themeColor="text1"/>
          <w:sz w:val="22"/>
          <w:szCs w:val="24"/>
        </w:rPr>
        <w:t xml:space="preserve">Con lo anterior se da cumplimiento, conforme a lo dispuesto en los artículos 2° f l, 3° f XIX, 7°, 8° </w:t>
      </w:r>
      <w:proofErr w:type="spellStart"/>
      <w:r w:rsidRPr="00487E4E">
        <w:rPr>
          <w:rFonts w:ascii="AvantGarde Bk BT" w:hAnsi="AvantGarde Bk BT" w:cs="Arial"/>
          <w:i/>
          <w:color w:val="000000" w:themeColor="text1"/>
          <w:sz w:val="22"/>
          <w:szCs w:val="24"/>
        </w:rPr>
        <w:t>FIl</w:t>
      </w:r>
      <w:proofErr w:type="spellEnd"/>
      <w:r w:rsidRPr="00487E4E">
        <w:rPr>
          <w:rFonts w:ascii="AvantGarde Bk BT" w:hAnsi="AvantGarde Bk BT" w:cs="Arial"/>
          <w:i/>
          <w:color w:val="000000" w:themeColor="text1"/>
          <w:sz w:val="22"/>
          <w:szCs w:val="24"/>
        </w:rPr>
        <w:t>, III y VI, 16, 129 y 134 de la Ley General de Transparencia y Acceso a la Información Pública, difundida en el Diario Oficial de la Federación en fecha 20 de marzo de 2025.</w:t>
      </w:r>
    </w:p>
    <w:p w14:paraId="5D90C4C8" w14:textId="1711AF89" w:rsidR="008E5213" w:rsidRDefault="00BC6E42" w:rsidP="00487E4E">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4E28F49E" w14:textId="680F15DC" w:rsidR="00487E4E" w:rsidRP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2"/>
          <w:szCs w:val="24"/>
        </w:rPr>
      </w:pPr>
      <w:r>
        <w:rPr>
          <w:rFonts w:ascii="AvantGarde Bk BT" w:hAnsi="AvantGarde Bk BT" w:cs="Arial"/>
          <w:color w:val="000000" w:themeColor="text1"/>
          <w:sz w:val="24"/>
          <w:szCs w:val="24"/>
        </w:rPr>
        <w:t>“</w:t>
      </w:r>
      <w:r w:rsidRPr="00487E4E">
        <w:rPr>
          <w:rFonts w:ascii="AvantGarde Bk BT" w:hAnsi="AvantGarde Bk BT" w:cs="Arial"/>
          <w:i/>
          <w:color w:val="000000" w:themeColor="text1"/>
          <w:sz w:val="22"/>
          <w:szCs w:val="24"/>
        </w:rPr>
        <w:t>[…]</w:t>
      </w:r>
    </w:p>
    <w:p w14:paraId="22495DB6" w14:textId="24840A49" w:rsidR="00487E4E" w:rsidRP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2"/>
          <w:szCs w:val="24"/>
        </w:rPr>
      </w:pPr>
      <w:r w:rsidRPr="00487E4E">
        <w:rPr>
          <w:rFonts w:ascii="AvantGarde Bk BT" w:hAnsi="AvantGarde Bk BT" w:cs="Arial"/>
          <w:color w:val="000000" w:themeColor="text1"/>
          <w:sz w:val="22"/>
          <w:szCs w:val="24"/>
        </w:rPr>
        <w:t xml:space="preserve">En cumplimiento a los artículos 1°, 4°, 6°, 12, fracciones 1 y II, 41, fracciones II, III, IV y V, 123, 124, 125, 127, 128, 131, 134 y 135 de la Ley General de Transparencia y Acceso a la Información Pública, me permito adjuntar al presente el oficio que se derivó con motivo de la gestión a su solicitud de información formulada a través de la Plataforma Nacional de Transparencia-San Luis Potosí, el pasado </w:t>
      </w:r>
      <w:r w:rsidRPr="00487E4E">
        <w:rPr>
          <w:rFonts w:ascii="AvantGarde Bk BT" w:hAnsi="AvantGarde Bk BT" w:cs="Arial"/>
          <w:color w:val="000000" w:themeColor="text1"/>
          <w:sz w:val="22"/>
          <w:szCs w:val="24"/>
        </w:rPr>
        <w:lastRenderedPageBreak/>
        <w:t>veintiuno de enero del año en curso, misma que quedó radicada bajo el expediente al rubro citado; siendo el oficio No.</w:t>
      </w:r>
      <w:r>
        <w:rPr>
          <w:rFonts w:ascii="AvantGarde Bk BT" w:hAnsi="AvantGarde Bk BT" w:cs="Arial"/>
          <w:color w:val="000000" w:themeColor="text1"/>
          <w:sz w:val="22"/>
          <w:szCs w:val="24"/>
        </w:rPr>
        <w:t xml:space="preserve"> </w:t>
      </w:r>
      <w:r w:rsidRPr="00487E4E">
        <w:rPr>
          <w:rFonts w:ascii="AvantGarde Bk BT" w:hAnsi="AvantGarde Bk BT" w:cs="Arial"/>
          <w:color w:val="000000" w:themeColor="text1"/>
          <w:sz w:val="22"/>
          <w:szCs w:val="24"/>
        </w:rPr>
        <w:t>DRH/0090/2026 signado por la L.A.F. Cynthia Giselle Vega Villanueva, encargada de la Dirección de Recursos Humanos del Órgano de Administración Judicial, por medio del cual, da respuesta a los puntos petitorios que integran su solicitud de referencia.</w:t>
      </w:r>
    </w:p>
    <w:p w14:paraId="739CC271" w14:textId="77777777" w:rsidR="00487E4E" w:rsidRP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2"/>
          <w:szCs w:val="24"/>
        </w:rPr>
      </w:pPr>
      <w:r w:rsidRPr="00487E4E">
        <w:rPr>
          <w:rFonts w:ascii="AvantGarde Bk BT" w:hAnsi="AvantGarde Bk BT" w:cs="Arial"/>
          <w:color w:val="000000" w:themeColor="text1"/>
          <w:sz w:val="22"/>
          <w:szCs w:val="24"/>
        </w:rPr>
        <w:t>Ahora bien, atendiendo al contenido del oficio de respuesta en cita, toda vez que la información motivo de inquietud consta de un total de 188 fojas, es necesario efectuar el pago de derechos correspondientes por la cantidad de $485.40 (cuatrocientos ochenta y cinco pesos con cuarenta centavos 40/100 M.N.). Lo anterior, tiene su sustento legal en los artículos 143, fracción I de la Ley General de Transparencia y Acceso a la Información Pública; así como en el numeral 1° de la Ley de Ingresos del Estado de San Luis Potosí, que señalan los costos de reproducción en materia de transparencia, siendo para el presente caso, el que se señala a continuación: $2.58 (dos pesos con cincuenta y ocho pesos centavos 58/100 M.N.) por concepto de reproducción de copia simple.</w:t>
      </w:r>
    </w:p>
    <w:p w14:paraId="5FDC5326" w14:textId="77777777" w:rsidR="00487E4E" w:rsidRP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2"/>
          <w:szCs w:val="24"/>
        </w:rPr>
      </w:pPr>
      <w:r w:rsidRPr="00487E4E">
        <w:rPr>
          <w:rFonts w:ascii="AvantGarde Bk BT" w:hAnsi="AvantGarde Bk BT" w:cs="Arial"/>
          <w:color w:val="000000" w:themeColor="text1"/>
          <w:sz w:val="22"/>
          <w:szCs w:val="24"/>
        </w:rPr>
        <w:t xml:space="preserve">Pago en cita que deberá efectuarse ante la caja recaudadora de la Administración General del Órgano de Administración Judicial, previa expedición de contra recibo de pago que expida esta Unidad de Transparencia, por tal virtud, deberá constituirse en las instalaciones que ocupa la Unidad de Transparencia ubicada Avenida Himno Nacional #1911, fraccionamiento </w:t>
      </w:r>
      <w:proofErr w:type="spellStart"/>
      <w:r w:rsidRPr="00487E4E">
        <w:rPr>
          <w:rFonts w:ascii="AvantGarde Bk BT" w:hAnsi="AvantGarde Bk BT" w:cs="Arial"/>
          <w:color w:val="000000" w:themeColor="text1"/>
          <w:sz w:val="22"/>
          <w:szCs w:val="24"/>
        </w:rPr>
        <w:t>Tangamanga</w:t>
      </w:r>
      <w:proofErr w:type="spellEnd"/>
      <w:r w:rsidRPr="00487E4E">
        <w:rPr>
          <w:rFonts w:ascii="AvantGarde Bk BT" w:hAnsi="AvantGarde Bk BT" w:cs="Arial"/>
          <w:color w:val="000000" w:themeColor="text1"/>
          <w:sz w:val="22"/>
          <w:szCs w:val="24"/>
        </w:rPr>
        <w:t>, tercer piso, en horario de oficina de lunes a viernes de 8:30 a 13:30 horas, previa identificación oficial idónea, por lo que una vez acreditado el pago, se estará en aptitud gestionar la elaboración de las versiones públicas motivo de inquietud.</w:t>
      </w:r>
    </w:p>
    <w:p w14:paraId="226EBA70" w14:textId="77777777" w:rsidR="00487E4E" w:rsidRP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2"/>
          <w:szCs w:val="24"/>
        </w:rPr>
      </w:pPr>
      <w:r w:rsidRPr="00487E4E">
        <w:rPr>
          <w:rFonts w:ascii="AvantGarde Bk BT" w:hAnsi="AvantGarde Bk BT" w:cs="Arial"/>
          <w:color w:val="000000" w:themeColor="text1"/>
          <w:sz w:val="22"/>
          <w:szCs w:val="24"/>
        </w:rPr>
        <w:t>Sin otro particular.</w:t>
      </w:r>
    </w:p>
    <w:p w14:paraId="1C87CB8D" w14:textId="5D2174FD" w:rsidR="00487E4E" w:rsidRDefault="00487E4E" w:rsidP="00487E4E">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487E4E">
        <w:rPr>
          <w:rFonts w:ascii="AvantGarde Bk BT" w:hAnsi="AvantGarde Bk BT" w:cs="Arial"/>
          <w:color w:val="000000" w:themeColor="text1"/>
          <w:sz w:val="22"/>
          <w:szCs w:val="24"/>
        </w:rPr>
        <w:t>[…].</w:t>
      </w:r>
      <w:r>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xml:space="preserve">. Sin embargo, no existe prohibición para hacer tal transcripción, quedando al </w:t>
      </w:r>
      <w:r w:rsidRPr="00847F87">
        <w:rPr>
          <w:rFonts w:ascii="AvantGarde Bk BT" w:hAnsi="AvantGarde Bk BT" w:cs="Arial"/>
          <w:i/>
          <w:color w:val="000000" w:themeColor="text1"/>
          <w:szCs w:val="24"/>
        </w:rPr>
        <w:lastRenderedPageBreak/>
        <w:t>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530351C9" w14:textId="33A59B17" w:rsidR="004F7765" w:rsidRPr="00F5588F" w:rsidRDefault="004A50D0" w:rsidP="004F776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ste contexto, el solicitante de la información interpuso este recurso de revisión contra dicha respuesta y</w:t>
      </w:r>
      <w:r w:rsidR="00F5588F">
        <w:rPr>
          <w:rFonts w:ascii="AvantGarde Bk BT" w:hAnsi="AvantGarde Bk BT" w:cs="Arial"/>
          <w:color w:val="000000" w:themeColor="text1"/>
          <w:sz w:val="24"/>
          <w:szCs w:val="24"/>
        </w:rPr>
        <w:t xml:space="preserve"> </w:t>
      </w:r>
      <w:r w:rsidR="00CE7D4B">
        <w:rPr>
          <w:rFonts w:ascii="AvantGarde Bk BT" w:hAnsi="AvantGarde Bk BT" w:cs="Arial"/>
          <w:color w:val="000000" w:themeColor="text1"/>
          <w:sz w:val="24"/>
          <w:szCs w:val="24"/>
        </w:rPr>
        <w:t>señaló como</w:t>
      </w:r>
      <w:r w:rsidR="004F7765" w:rsidRPr="00CE7D4B">
        <w:rPr>
          <w:rFonts w:ascii="AvantGarde Bk BT" w:hAnsi="AvantGarde Bk BT" w:cs="Arial"/>
          <w:color w:val="000000" w:themeColor="text1"/>
          <w:sz w:val="24"/>
          <w:szCs w:val="24"/>
        </w:rPr>
        <w:t xml:space="preserve"> motivo</w:t>
      </w:r>
      <w:r w:rsidR="00CE7D4B">
        <w:rPr>
          <w:rFonts w:ascii="AvantGarde Bk BT" w:hAnsi="AvantGarde Bk BT" w:cs="Arial"/>
          <w:color w:val="000000" w:themeColor="text1"/>
          <w:sz w:val="24"/>
          <w:szCs w:val="24"/>
        </w:rPr>
        <w:t>s</w:t>
      </w:r>
      <w:r w:rsidR="004F7765" w:rsidRPr="00CE7D4B">
        <w:rPr>
          <w:rFonts w:ascii="AvantGarde Bk BT" w:hAnsi="AvantGarde Bk BT" w:cs="Arial"/>
          <w:color w:val="000000" w:themeColor="text1"/>
          <w:sz w:val="24"/>
          <w:szCs w:val="24"/>
        </w:rPr>
        <w:t xml:space="preserve"> de disenso</w:t>
      </w:r>
      <w:r w:rsidR="00CE7D4B">
        <w:rPr>
          <w:rFonts w:ascii="AvantGarde Bk BT" w:hAnsi="AvantGarde Bk BT" w:cs="Arial"/>
          <w:color w:val="000000" w:themeColor="text1"/>
          <w:sz w:val="24"/>
          <w:szCs w:val="24"/>
        </w:rPr>
        <w:t>:</w:t>
      </w:r>
      <w:r w:rsidR="004F7765" w:rsidRPr="00CE7D4B">
        <w:rPr>
          <w:rFonts w:ascii="AvantGarde Bk BT" w:hAnsi="AvantGarde Bk BT" w:cs="Arial"/>
          <w:color w:val="000000" w:themeColor="text1"/>
          <w:sz w:val="24"/>
          <w:szCs w:val="24"/>
        </w:rPr>
        <w:t xml:space="preserve"> </w:t>
      </w:r>
      <w:r w:rsidR="00CE7D4B">
        <w:rPr>
          <w:rFonts w:ascii="AvantGarde Bk BT" w:hAnsi="AvantGarde Bk BT" w:cs="Arial"/>
          <w:color w:val="000000" w:themeColor="text1"/>
          <w:sz w:val="24"/>
          <w:szCs w:val="24"/>
        </w:rPr>
        <w:t>1) la falta de fundamentación y motivación para ofrecer como respuesta los contratos de las personas que dejaron d</w:t>
      </w:r>
      <w:r w:rsidR="007A5577">
        <w:rPr>
          <w:rFonts w:ascii="AvantGarde Bk BT" w:hAnsi="AvantGarde Bk BT" w:cs="Arial"/>
          <w:color w:val="000000" w:themeColor="text1"/>
          <w:sz w:val="24"/>
          <w:szCs w:val="24"/>
        </w:rPr>
        <w:t xml:space="preserve">e </w:t>
      </w:r>
      <w:r w:rsidR="00CE7D4B">
        <w:rPr>
          <w:rFonts w:ascii="AvantGarde Bk BT" w:hAnsi="AvantGarde Bk BT" w:cs="Arial"/>
          <w:color w:val="000000" w:themeColor="text1"/>
          <w:sz w:val="24"/>
          <w:szCs w:val="24"/>
        </w:rPr>
        <w:t xml:space="preserve">laborar en el sujeto obligado; 2) indebida clasificación de la información; 3) violación al principio de máxima publicitad, toda vez que el sujeto obligado no proporcionó la relación solicitada; </w:t>
      </w:r>
      <w:r w:rsidR="007A5577">
        <w:rPr>
          <w:rFonts w:ascii="AvantGarde Bk BT" w:hAnsi="AvantGarde Bk BT" w:cs="Arial"/>
          <w:color w:val="000000" w:themeColor="text1"/>
          <w:sz w:val="24"/>
          <w:szCs w:val="24"/>
        </w:rPr>
        <w:t>4) cobro indebido de los gastos de reproducción; y 5) aplicación indebida de la prórroga del plazo de respuesta</w:t>
      </w:r>
      <w:r w:rsidR="00E35AC3" w:rsidRPr="00CE7D4B">
        <w:rPr>
          <w:rFonts w:ascii="AvantGarde Bk BT" w:hAnsi="AvantGarde Bk BT" w:cs="Arial"/>
          <w:color w:val="000000" w:themeColor="text1"/>
          <w:sz w:val="24"/>
          <w:szCs w:val="24"/>
        </w:rPr>
        <w:t>.</w:t>
      </w:r>
    </w:p>
    <w:p w14:paraId="5FC27DA6" w14:textId="77777777" w:rsidR="00DA312C" w:rsidRDefault="00DA312C" w:rsidP="00DA312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435B3307" w14:textId="77777777" w:rsidR="00DA312C" w:rsidRDefault="00DA312C" w:rsidP="00DA312C">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1CC178B3" w14:textId="77777777" w:rsidR="00DA312C" w:rsidRDefault="00DA312C" w:rsidP="00DA312C">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 como tácitamente consentidas y, por ende, no forman parte del estudio de fondo de la resolución que al efecto se emita en el recurso de revisión respectivo.</w:t>
      </w:r>
    </w:p>
    <w:p w14:paraId="0A0D39B0" w14:textId="0AE443CE" w:rsidR="00DA312C" w:rsidRDefault="00DA312C" w:rsidP="00DA312C">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la persona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 firme</w:t>
      </w:r>
      <w:r>
        <w:rPr>
          <w:rFonts w:ascii="AvantGarde Bk BT" w:hAnsi="AvantGarde Bk BT" w:cs="Arial"/>
          <w:color w:val="000000" w:themeColor="text1"/>
          <w:sz w:val="24"/>
          <w:szCs w:val="24"/>
        </w:rPr>
        <w:t>.</w:t>
      </w:r>
    </w:p>
    <w:p w14:paraId="7209E0B1" w14:textId="6993B462" w:rsidR="0037401E" w:rsidRDefault="00512C3E" w:rsidP="00512C3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Establecido </w:t>
      </w:r>
      <w:r w:rsidR="00BE1362">
        <w:rPr>
          <w:rFonts w:ascii="AvantGarde Bk BT" w:hAnsi="AvantGarde Bk BT" w:cs="Arial"/>
          <w:color w:val="000000" w:themeColor="text1"/>
          <w:sz w:val="24"/>
          <w:szCs w:val="24"/>
        </w:rPr>
        <w:t>lo anterior</w:t>
      </w:r>
      <w:r>
        <w:rPr>
          <w:rFonts w:ascii="AvantGarde Bk BT" w:hAnsi="AvantGarde Bk BT" w:cs="Arial"/>
          <w:color w:val="000000" w:themeColor="text1"/>
          <w:sz w:val="24"/>
          <w:szCs w:val="24"/>
        </w:rPr>
        <w:t xml:space="preserve"> </w:t>
      </w:r>
      <w:r w:rsidR="00BE1362">
        <w:rPr>
          <w:rFonts w:ascii="AvantGarde Bk BT" w:hAnsi="AvantGarde Bk BT" w:cs="Arial"/>
          <w:color w:val="000000" w:themeColor="text1"/>
          <w:sz w:val="24"/>
          <w:szCs w:val="24"/>
        </w:rPr>
        <w:t xml:space="preserve">y por cuestión de método, </w:t>
      </w:r>
      <w:r>
        <w:rPr>
          <w:rFonts w:ascii="AvantGarde Bk BT" w:hAnsi="AvantGarde Bk BT" w:cs="Arial"/>
          <w:color w:val="000000" w:themeColor="text1"/>
          <w:sz w:val="24"/>
          <w:szCs w:val="24"/>
        </w:rPr>
        <w:t xml:space="preserve">el estudio de la presente resolución </w:t>
      </w:r>
      <w:r w:rsidR="00BE1362">
        <w:rPr>
          <w:rFonts w:ascii="AvantGarde Bk BT" w:hAnsi="AvantGarde Bk BT" w:cs="Arial"/>
          <w:color w:val="000000" w:themeColor="text1"/>
          <w:sz w:val="24"/>
          <w:szCs w:val="24"/>
        </w:rPr>
        <w:t xml:space="preserve">se llevará a cabo de la siguiente manera: primer y tercer agravio en </w:t>
      </w:r>
      <w:r w:rsidR="00BE1362">
        <w:rPr>
          <w:rFonts w:ascii="AvantGarde Bk BT" w:hAnsi="AvantGarde Bk BT" w:cs="Arial"/>
          <w:color w:val="000000" w:themeColor="text1"/>
          <w:sz w:val="24"/>
          <w:szCs w:val="24"/>
        </w:rPr>
        <w:lastRenderedPageBreak/>
        <w:t>conjunto, por encontrarse estrechamente ligados; mientras que los agravios segundo, cuarto y quinto de manera individual en dicho orden.</w:t>
      </w:r>
    </w:p>
    <w:p w14:paraId="33C1976E" w14:textId="1A2DEE1D" w:rsidR="00BF05EE" w:rsidRDefault="000B118A" w:rsidP="00BF05EE">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00BF05EE">
        <w:rPr>
          <w:rFonts w:ascii="AvantGarde Bk BT" w:hAnsi="AvantGarde Bk BT" w:cs="Arial"/>
          <w:color w:val="000000" w:themeColor="text1"/>
          <w:sz w:val="24"/>
          <w:szCs w:val="24"/>
        </w:rPr>
        <w:t xml:space="preserve">ues bien, en </w:t>
      </w:r>
      <w:r>
        <w:rPr>
          <w:rFonts w:ascii="AvantGarde Bk BT" w:hAnsi="AvantGarde Bk BT" w:cs="Arial"/>
          <w:color w:val="000000" w:themeColor="text1"/>
          <w:sz w:val="24"/>
          <w:szCs w:val="24"/>
        </w:rPr>
        <w:t>el primer</w:t>
      </w:r>
      <w:r w:rsidR="0037401E">
        <w:rPr>
          <w:rFonts w:ascii="AvantGarde Bk BT" w:hAnsi="AvantGarde Bk BT" w:cs="Arial"/>
          <w:color w:val="000000" w:themeColor="text1"/>
          <w:sz w:val="24"/>
          <w:szCs w:val="24"/>
        </w:rPr>
        <w:t xml:space="preserve"> </w:t>
      </w:r>
      <w:r w:rsidR="00BF05EE">
        <w:rPr>
          <w:rFonts w:ascii="AvantGarde Bk BT" w:hAnsi="AvantGarde Bk BT" w:cs="Arial"/>
          <w:color w:val="000000" w:themeColor="text1"/>
          <w:sz w:val="24"/>
          <w:szCs w:val="24"/>
        </w:rPr>
        <w:t xml:space="preserve">motivo de disenso la persona recurrente se dolió de </w:t>
      </w:r>
      <w:r w:rsidR="00BF05EE" w:rsidRPr="00BF05EE">
        <w:rPr>
          <w:rFonts w:ascii="AvantGarde Bk BT" w:hAnsi="AvantGarde Bk BT" w:cs="Arial"/>
          <w:color w:val="000000" w:themeColor="text1"/>
          <w:sz w:val="24"/>
          <w:szCs w:val="24"/>
        </w:rPr>
        <w:t>la falta de fundamentación y motivación para ofrecer como respuesta los contratos de las personas que dejaron de laborar en el sujeto obligado</w:t>
      </w:r>
      <w:r w:rsidR="00BF05EE">
        <w:rPr>
          <w:rFonts w:ascii="AvantGarde Bk BT" w:hAnsi="AvantGarde Bk BT" w:cs="Arial"/>
          <w:color w:val="000000" w:themeColor="text1"/>
          <w:sz w:val="24"/>
          <w:szCs w:val="24"/>
        </w:rPr>
        <w:t>; mientras que en el</w:t>
      </w:r>
      <w:r w:rsidR="0037401E">
        <w:rPr>
          <w:rFonts w:ascii="AvantGarde Bk BT" w:hAnsi="AvantGarde Bk BT" w:cs="Arial"/>
          <w:color w:val="000000" w:themeColor="text1"/>
          <w:sz w:val="24"/>
          <w:szCs w:val="24"/>
        </w:rPr>
        <w:t xml:space="preserve"> tercer</w:t>
      </w:r>
      <w:r>
        <w:rPr>
          <w:rFonts w:ascii="AvantGarde Bk BT" w:hAnsi="AvantGarde Bk BT" w:cs="Arial"/>
          <w:color w:val="000000" w:themeColor="text1"/>
          <w:sz w:val="24"/>
          <w:szCs w:val="24"/>
        </w:rPr>
        <w:t xml:space="preserve"> </w:t>
      </w:r>
      <w:r w:rsidR="00BF05EE">
        <w:rPr>
          <w:rFonts w:ascii="AvantGarde Bk BT" w:hAnsi="AvantGarde Bk BT" w:cs="Arial"/>
          <w:color w:val="000000" w:themeColor="text1"/>
          <w:sz w:val="24"/>
          <w:szCs w:val="24"/>
        </w:rPr>
        <w:t>punto de agravio se inconformó por</w:t>
      </w:r>
      <w:r w:rsidR="00BF05EE" w:rsidRPr="00BF05EE">
        <w:rPr>
          <w:rFonts w:ascii="AvantGarde Bk BT" w:hAnsi="AvantGarde Bk BT" w:cs="Arial"/>
          <w:color w:val="000000" w:themeColor="text1"/>
          <w:sz w:val="24"/>
          <w:szCs w:val="24"/>
        </w:rPr>
        <w:t xml:space="preserve"> </w:t>
      </w:r>
      <w:r w:rsidR="00BF05EE">
        <w:rPr>
          <w:rFonts w:ascii="AvantGarde Bk BT" w:hAnsi="AvantGarde Bk BT" w:cs="Arial"/>
          <w:color w:val="000000" w:themeColor="text1"/>
          <w:sz w:val="24"/>
          <w:szCs w:val="24"/>
        </w:rPr>
        <w:t xml:space="preserve">la </w:t>
      </w:r>
      <w:r w:rsidR="00BF05EE" w:rsidRPr="00BF05EE">
        <w:rPr>
          <w:rFonts w:ascii="AvantGarde Bk BT" w:hAnsi="AvantGarde Bk BT" w:cs="Arial"/>
          <w:color w:val="000000" w:themeColor="text1"/>
          <w:sz w:val="24"/>
          <w:szCs w:val="24"/>
        </w:rPr>
        <w:t>violación al principio de máxima publicitad, toda vez que el sujeto obligado no proporcionó la relación solicitada</w:t>
      </w:r>
      <w:r w:rsidR="00BF05EE">
        <w:rPr>
          <w:rFonts w:ascii="AvantGarde Bk BT" w:hAnsi="AvantGarde Bk BT" w:cs="Arial"/>
          <w:color w:val="000000" w:themeColor="text1"/>
          <w:sz w:val="24"/>
          <w:szCs w:val="24"/>
        </w:rPr>
        <w:t xml:space="preserve">. </w:t>
      </w:r>
    </w:p>
    <w:p w14:paraId="359E4183" w14:textId="7A1EB472" w:rsidR="00DA312C" w:rsidRDefault="00BF05EE" w:rsidP="00DA312C">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Al respecto, s</w:t>
      </w:r>
      <w:r w:rsidR="000468A0" w:rsidRPr="00327C7F">
        <w:rPr>
          <w:rFonts w:ascii="AvantGarde Bk BT" w:hAnsi="AvantGarde Bk BT" w:cs="Arial"/>
          <w:sz w:val="24"/>
          <w:szCs w:val="24"/>
        </w:rPr>
        <w:t xml:space="preserve">e debe precisar que </w:t>
      </w:r>
      <w:r w:rsidR="00DA312C">
        <w:rPr>
          <w:rFonts w:ascii="AvantGarde Bk BT" w:hAnsi="AvantGarde Bk BT" w:cs="Arial"/>
          <w:color w:val="000000" w:themeColor="text1"/>
          <w:sz w:val="24"/>
          <w:szCs w:val="24"/>
        </w:rPr>
        <w:t>el principio de legalidad se encuentra consagrado en la Constitución, e impone a todas las autoridades en el ámbito de sus competencias la obligación de fundar todas sus determinaciones de manera correcta</w:t>
      </w:r>
      <w:r w:rsidR="00DA312C">
        <w:rPr>
          <w:rStyle w:val="Refdenotaalpie"/>
          <w:rFonts w:ascii="AvantGarde Bk BT" w:hAnsi="AvantGarde Bk BT" w:cs="Arial"/>
          <w:color w:val="000000" w:themeColor="text1"/>
          <w:sz w:val="24"/>
          <w:szCs w:val="24"/>
        </w:rPr>
        <w:footnoteReference w:id="2"/>
      </w:r>
      <w:r w:rsidR="00DA312C">
        <w:rPr>
          <w:rFonts w:ascii="AvantGarde Bk BT" w:hAnsi="AvantGarde Bk BT" w:cs="Arial"/>
          <w:color w:val="000000" w:themeColor="text1"/>
          <w:sz w:val="24"/>
          <w:szCs w:val="24"/>
        </w:rPr>
        <w:t xml:space="preserve"> y exhaustiva, pues en caso contrario se trasladaría al gobernado la carga de conocer el cumulo de disposiciones normativas que regulan las competencias y atribuciones de la autoridad.</w:t>
      </w:r>
    </w:p>
    <w:p w14:paraId="13441E20" w14:textId="77777777" w:rsidR="00DA312C" w:rsidRDefault="00DA312C" w:rsidP="00DA312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Sirve de apoyo a lo anterior el siguiente criterio adoptado por la extinta Segunda Sala de la </w:t>
      </w:r>
      <w:r w:rsidRPr="002B2ACB">
        <w:rPr>
          <w:rFonts w:ascii="AvantGarde Bk BT" w:hAnsi="AvantGarde Bk BT" w:cs="Arial"/>
          <w:color w:val="000000" w:themeColor="text1"/>
          <w:sz w:val="24"/>
          <w:szCs w:val="24"/>
        </w:rPr>
        <w:t>Suprema Corte de Justicia de la Nación</w:t>
      </w:r>
      <w:r>
        <w:rPr>
          <w:rFonts w:ascii="AvantGarde Bk BT" w:hAnsi="AvantGarde Bk BT" w:cs="Arial"/>
          <w:color w:val="000000" w:themeColor="text1"/>
          <w:sz w:val="24"/>
          <w:szCs w:val="24"/>
        </w:rPr>
        <w:t>:</w:t>
      </w:r>
    </w:p>
    <w:p w14:paraId="37447BCE" w14:textId="77777777" w:rsidR="00DA312C" w:rsidRPr="002B2ACB" w:rsidRDefault="00DA312C" w:rsidP="00DA312C">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1B222D">
        <w:rPr>
          <w:rFonts w:ascii="AvantGarde Bk BT" w:hAnsi="AvantGarde Bk BT" w:cs="Arial"/>
          <w:b/>
          <w:i/>
          <w:color w:val="000000" w:themeColor="text1"/>
          <w:szCs w:val="24"/>
        </w:rPr>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1B222D">
        <w:rPr>
          <w:rFonts w:ascii="AvantGarde Bk BT" w:hAnsi="AvantGarde Bk BT" w:cs="Arial"/>
          <w:i/>
          <w:color w:val="000000" w:themeColor="text1"/>
          <w:szCs w:val="24"/>
        </w:rPr>
        <w:t xml:space="preserve"> De lo dispuesto en la tesis de jurisprudencia P./J.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w:t>
      </w:r>
      <w:r w:rsidRPr="001B222D">
        <w:rPr>
          <w:rFonts w:ascii="AvantGarde Bk BT" w:hAnsi="AvantGarde Bk BT" w:cs="Arial"/>
          <w:i/>
          <w:color w:val="000000" w:themeColor="text1"/>
          <w:szCs w:val="24"/>
          <w:u w:val="single"/>
        </w:rPr>
        <w:t>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w:t>
      </w:r>
      <w:r w:rsidRPr="001B222D">
        <w:rPr>
          <w:rFonts w:ascii="AvantGarde Bk BT" w:hAnsi="AvantGarde Bk BT" w:cs="Arial"/>
          <w:i/>
          <w:color w:val="000000" w:themeColor="text1"/>
          <w:szCs w:val="24"/>
        </w:rPr>
        <w:t xml:space="preserve">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w:t>
      </w:r>
      <w:r w:rsidRPr="001B222D">
        <w:rPr>
          <w:rFonts w:ascii="AvantGarde Bk BT" w:hAnsi="AvantGarde Bk BT" w:cs="Arial"/>
          <w:i/>
          <w:color w:val="000000" w:themeColor="text1"/>
          <w:szCs w:val="24"/>
        </w:rPr>
        <w:lastRenderedPageBreak/>
        <w:t xml:space="preserve">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w:t>
      </w:r>
      <w:r w:rsidRPr="001B222D">
        <w:rPr>
          <w:rFonts w:ascii="AvantGarde Bk BT" w:hAnsi="AvantGarde Bk BT" w:cs="Arial"/>
          <w:i/>
          <w:color w:val="000000" w:themeColor="text1"/>
          <w:szCs w:val="24"/>
          <w:u w:val="single"/>
        </w:rPr>
        <w:t xml:space="preserve">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1B222D">
        <w:rPr>
          <w:rFonts w:ascii="AvantGarde Bk BT" w:hAnsi="AvantGarde Bk BT" w:cs="Arial"/>
          <w:i/>
          <w:color w:val="000000" w:themeColor="text1"/>
          <w:szCs w:val="24"/>
          <w:u w:val="single"/>
        </w:rPr>
        <w:t>subinciso</w:t>
      </w:r>
      <w:proofErr w:type="spellEnd"/>
      <w:r w:rsidRPr="001B222D">
        <w:rPr>
          <w:rFonts w:ascii="AvantGarde Bk BT" w:hAnsi="AvantGarde Bk BT" w:cs="Arial"/>
          <w:i/>
          <w:color w:val="000000" w:themeColor="text1"/>
          <w:szCs w:val="24"/>
          <w:u w:val="single"/>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w:t>
      </w:r>
      <w:r w:rsidRPr="001B222D">
        <w:rPr>
          <w:rFonts w:ascii="AvantGarde Bk BT" w:hAnsi="AvantGarde Bk BT" w:cs="Arial"/>
          <w:i/>
          <w:color w:val="000000" w:themeColor="text1"/>
          <w:szCs w:val="24"/>
        </w:rPr>
        <w:t xml:space="preserve">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r w:rsidRPr="002B2ACB">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3"/>
      </w:r>
      <w:r>
        <w:rPr>
          <w:rFonts w:ascii="AvantGarde Bk BT" w:hAnsi="AvantGarde Bk BT" w:cs="Arial"/>
          <w:color w:val="000000" w:themeColor="text1"/>
          <w:sz w:val="24"/>
          <w:szCs w:val="24"/>
        </w:rPr>
        <w:t xml:space="preserve"> (Énfasis propio.)</w:t>
      </w:r>
    </w:p>
    <w:p w14:paraId="1CA33DF9" w14:textId="02EB188B" w:rsidR="0037401E" w:rsidRDefault="0037401E" w:rsidP="0037401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esa tesitura, bastará con corroborar que la respuesta emitida por el sujeto obligado se encuentra ausente de los razonamientos lógicos y la invocación de los preceptos jurídicos aplicables al caso para determinar que el agravio resulta fundado.</w:t>
      </w:r>
    </w:p>
    <w:p w14:paraId="3D8D38EC" w14:textId="77777777" w:rsidR="0037401E" w:rsidRDefault="0037401E" w:rsidP="0037401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apoyo a lo anterior la siguiente tesis de jurisprudencia adoptada por los Tribunales Federales:</w:t>
      </w:r>
    </w:p>
    <w:p w14:paraId="2B603093" w14:textId="6362946F" w:rsidR="0037401E" w:rsidRDefault="0037401E" w:rsidP="0037401E">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72DCE">
        <w:rPr>
          <w:rFonts w:ascii="AvantGarde Bk BT" w:hAnsi="AvantGarde Bk BT" w:cs="Arial"/>
          <w:b/>
          <w:i/>
          <w:color w:val="000000" w:themeColor="text1"/>
          <w:sz w:val="22"/>
          <w:szCs w:val="24"/>
        </w:rPr>
        <w:t>FUNDAMENTACIÓN Y MOTIVACIÓN. ARGUMENTOS QUE DEBEN EXAMINARSE PARA DETERMINAR LO FUNDADO O INFUNDADO DE UNA INCONFORMIDAD CUANDO SE ALEGA LA AUSENCIA DE AQUÉLLA O SE TACHA DE INDEBIDA.-</w:t>
      </w:r>
      <w:r w:rsidRPr="0061213A">
        <w:rPr>
          <w:rFonts w:ascii="AvantGarde Bk BT" w:hAnsi="AvantGarde Bk BT" w:cs="Arial"/>
          <w:i/>
          <w:color w:val="000000" w:themeColor="text1"/>
          <w:sz w:val="22"/>
          <w:szCs w:val="24"/>
        </w:rPr>
        <w:t xml:space="preserve"> Al atender un motivo de desacuerdo relacionado con la fundamentación y motivación, para producir una respuesta congruente debe, del contexto integral de la argumentación del inconforme, advertirse si lo que imputa es ausencia de aquélla, o solamente la tacha de indebida, pues en la primer hipótesis bastará observar si la resolución contiene o no argumentos apoyados en la cita de preceptos legales para quedar en aptitud de declarar fundado o infundado el atinente motivo de desacuerdo. En cambio, en el segundo supuesto, cuando la fundamentación y motivación se tachan de indebidas, es menester apreciar los argumentos del motivo de desacuerdo, expresados para explicar por qué la invocación de preceptos legales se estima errónea, o por qué la motivación es incorrecta o insuficiente, pues será a la luz de tales razones que pueda establecerse lo fundado o infundado de la inconformidad</w:t>
      </w:r>
      <w:r>
        <w:rPr>
          <w:rFonts w:ascii="AvantGarde Bk BT" w:hAnsi="AvantGarde Bk BT" w:cs="Arial"/>
          <w:color w:val="000000" w:themeColor="text1"/>
          <w:sz w:val="24"/>
          <w:szCs w:val="24"/>
        </w:rPr>
        <w:t>.</w:t>
      </w:r>
      <w:r w:rsidRPr="0061213A">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4"/>
      </w:r>
    </w:p>
    <w:p w14:paraId="6596CBCD" w14:textId="3D5C9E36" w:rsidR="00BF05EE" w:rsidRDefault="00BF05EE" w:rsidP="00DA312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otro lado, el principio de máxima publicidad se encuentra previsto en la Ley de Transparencia y Acceso a la Información Pública del Estado e implica que </w:t>
      </w:r>
      <w:r w:rsidRPr="00BF05EE">
        <w:rPr>
          <w:rFonts w:ascii="AvantGarde Bk BT" w:hAnsi="AvantGarde Bk BT" w:cs="Arial"/>
          <w:color w:val="000000" w:themeColor="text1"/>
          <w:sz w:val="24"/>
          <w:szCs w:val="24"/>
        </w:rPr>
        <w:t xml:space="preserve">toda la información en posesión de los sujetos obligados será pública, completa, oportuna y accesible, sujeta a un claro régimen de excepciones </w:t>
      </w:r>
      <w:r w:rsidR="00D618B9">
        <w:rPr>
          <w:rFonts w:ascii="AvantGarde Bk BT" w:hAnsi="AvantGarde Bk BT" w:cs="Arial"/>
          <w:color w:val="000000" w:themeColor="text1"/>
          <w:sz w:val="24"/>
          <w:szCs w:val="24"/>
        </w:rPr>
        <w:t>previamente establecidas en la Ley</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5"/>
      </w:r>
    </w:p>
    <w:p w14:paraId="0AAB3D89" w14:textId="4B6FBD73" w:rsidR="000468A0" w:rsidRPr="007A5577" w:rsidRDefault="00823659" w:rsidP="00DA312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w:t>
      </w:r>
      <w:r w:rsidR="00DA312C">
        <w:rPr>
          <w:rFonts w:ascii="AvantGarde Bk BT" w:hAnsi="AvantGarde Bk BT" w:cs="Arial"/>
          <w:color w:val="000000" w:themeColor="text1"/>
          <w:sz w:val="24"/>
          <w:szCs w:val="24"/>
        </w:rPr>
        <w:t xml:space="preserve">, </w:t>
      </w:r>
      <w:r w:rsidR="0037401E">
        <w:rPr>
          <w:rFonts w:ascii="AvantGarde Bk BT" w:hAnsi="AvantGarde Bk BT" w:cs="Arial"/>
          <w:color w:val="000000" w:themeColor="text1"/>
          <w:sz w:val="24"/>
          <w:szCs w:val="24"/>
        </w:rPr>
        <w:t xml:space="preserve">resulta oportuno precisar que </w:t>
      </w:r>
      <w:r w:rsidR="00DA312C">
        <w:rPr>
          <w:rFonts w:ascii="AvantGarde Bk BT" w:hAnsi="AvantGarde Bk BT" w:cs="Arial"/>
          <w:color w:val="000000" w:themeColor="text1"/>
          <w:sz w:val="24"/>
          <w:szCs w:val="24"/>
        </w:rPr>
        <w:t xml:space="preserve">la </w:t>
      </w:r>
      <w:r w:rsidR="00BF05EE">
        <w:rPr>
          <w:rFonts w:ascii="AvantGarde Bk BT" w:hAnsi="AvantGarde Bk BT" w:cs="Arial"/>
          <w:color w:val="000000" w:themeColor="text1"/>
          <w:sz w:val="24"/>
          <w:szCs w:val="24"/>
        </w:rPr>
        <w:t>l</w:t>
      </w:r>
      <w:r w:rsidR="00DA312C">
        <w:rPr>
          <w:rFonts w:ascii="AvantGarde Bk BT" w:hAnsi="AvantGarde Bk BT" w:cs="Arial"/>
          <w:color w:val="000000" w:themeColor="text1"/>
          <w:sz w:val="24"/>
          <w:szCs w:val="24"/>
        </w:rPr>
        <w:t xml:space="preserve">ey </w:t>
      </w:r>
      <w:r w:rsidR="00BF05EE">
        <w:rPr>
          <w:rFonts w:ascii="AvantGarde Bk BT" w:hAnsi="AvantGarde Bk BT" w:cs="Arial"/>
          <w:color w:val="000000" w:themeColor="text1"/>
          <w:sz w:val="24"/>
          <w:szCs w:val="24"/>
        </w:rPr>
        <w:t>en comento</w:t>
      </w:r>
      <w:r w:rsidR="00DA312C">
        <w:rPr>
          <w:rFonts w:ascii="AvantGarde Bk BT" w:hAnsi="AvantGarde Bk BT" w:cs="Arial"/>
          <w:color w:val="000000" w:themeColor="text1"/>
          <w:sz w:val="24"/>
          <w:szCs w:val="24"/>
        </w:rPr>
        <w:t xml:space="preserve"> prescribe que </w:t>
      </w:r>
      <w:r w:rsidR="000468A0" w:rsidRPr="00DA312C">
        <w:rPr>
          <w:rFonts w:ascii="AvantGarde Bk BT" w:hAnsi="AvantGarde Bk BT" w:cs="Arial"/>
          <w:b/>
          <w:sz w:val="24"/>
          <w:szCs w:val="24"/>
          <w:u w:val="single"/>
        </w:rPr>
        <w:t>los sujetos obligados se encuentran constreñidos a proporcionar la información que se encuentra en su posesión</w:t>
      </w:r>
      <w:r w:rsidR="000468A0" w:rsidRPr="00DA312C">
        <w:rPr>
          <w:rFonts w:ascii="AvantGarde Bk BT" w:hAnsi="AvantGarde Bk BT" w:cs="Arial"/>
          <w:sz w:val="24"/>
          <w:szCs w:val="24"/>
        </w:rPr>
        <w:t>, lo anterior para efecto de permitir que el derecho de acceso a la información se encuentre satisfecho</w:t>
      </w:r>
      <w:r w:rsidR="000468A0" w:rsidRPr="00327C7F">
        <w:rPr>
          <w:rFonts w:ascii="AvantGarde Bk BT" w:hAnsi="AvantGarde Bk BT" w:cs="Arial"/>
          <w:sz w:val="24"/>
          <w:szCs w:val="24"/>
        </w:rPr>
        <w:t>.</w:t>
      </w:r>
      <w:r w:rsidR="000468A0" w:rsidRPr="00327C7F">
        <w:rPr>
          <w:rFonts w:ascii="AvantGarde Bk BT" w:hAnsi="AvantGarde Bk BT" w:cs="Arial"/>
          <w:sz w:val="24"/>
          <w:szCs w:val="24"/>
          <w:vertAlign w:val="superscript"/>
        </w:rPr>
        <w:footnoteReference w:id="6"/>
      </w:r>
      <w:bookmarkStart w:id="1" w:name="_GoBack"/>
      <w:bookmarkEnd w:id="1"/>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7"/>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lastRenderedPageBreak/>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w:t>
      </w:r>
      <w:r w:rsidRPr="007A5577">
        <w:rPr>
          <w:rFonts w:ascii="AvantGarde Bk BT" w:hAnsi="AvantGarde Bk BT" w:cs="Arial"/>
          <w:b/>
          <w:sz w:val="24"/>
          <w:szCs w:val="24"/>
          <w:u w:val="single"/>
        </w:rPr>
        <w:t xml:space="preserve">estos deben de entregar la expresión documental que contenga la información solicitada y evitar proporcionar una respuesta elaborada </w:t>
      </w:r>
      <w:r w:rsidR="00D65E44" w:rsidRPr="007A5577">
        <w:rPr>
          <w:rFonts w:ascii="AvantGarde Bk BT" w:hAnsi="AvantGarde Bk BT" w:cs="Arial"/>
          <w:b/>
          <w:sz w:val="24"/>
          <w:szCs w:val="24"/>
          <w:u w:val="single"/>
        </w:rPr>
        <w:t xml:space="preserve">acorde </w:t>
      </w:r>
      <w:r w:rsidRPr="007A5577">
        <w:rPr>
          <w:rFonts w:ascii="AvantGarde Bk BT" w:hAnsi="AvantGarde Bk BT" w:cs="Arial"/>
          <w:b/>
          <w:sz w:val="24"/>
          <w:szCs w:val="24"/>
          <w:u w:val="single"/>
        </w:rPr>
        <w:t>a los requerimientos del peticionario</w:t>
      </w:r>
      <w:r>
        <w:rPr>
          <w:rFonts w:ascii="AvantGarde Bk BT" w:hAnsi="AvantGarde Bk BT" w:cs="Arial"/>
          <w:sz w:val="24"/>
          <w:szCs w:val="24"/>
        </w:rPr>
        <w:t>.</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lastRenderedPageBreak/>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316030F1" w14:textId="1C29F7C4" w:rsidR="00627B33" w:rsidRDefault="007430FA" w:rsidP="00627B33">
      <w:pPr>
        <w:spacing w:line="360" w:lineRule="auto"/>
        <w:ind w:firstLine="709"/>
        <w:jc w:val="both"/>
        <w:rPr>
          <w:rFonts w:ascii="AvantGarde Bk BT" w:hAnsi="AvantGarde Bk BT" w:cs="Arial"/>
          <w:color w:val="000000" w:themeColor="text1"/>
          <w:sz w:val="24"/>
          <w:szCs w:val="24"/>
        </w:rPr>
      </w:pPr>
      <w:r w:rsidRPr="00627B33">
        <w:rPr>
          <w:rFonts w:ascii="AvantGarde Bk BT" w:hAnsi="AvantGarde Bk BT" w:cs="Arial"/>
          <w:color w:val="000000" w:themeColor="text1"/>
          <w:sz w:val="24"/>
          <w:szCs w:val="24"/>
        </w:rPr>
        <w:t xml:space="preserve">En ese contexto, es dable destacar </w:t>
      </w:r>
      <w:r w:rsidR="000F712C" w:rsidRPr="00627B33">
        <w:rPr>
          <w:rFonts w:ascii="AvantGarde Bk BT" w:hAnsi="AvantGarde Bk BT" w:cs="Arial"/>
          <w:color w:val="000000" w:themeColor="text1"/>
          <w:sz w:val="24"/>
          <w:szCs w:val="24"/>
        </w:rPr>
        <w:t>que,</w:t>
      </w:r>
      <w:r w:rsidR="00627B33">
        <w:rPr>
          <w:rFonts w:ascii="AvantGarde Bk BT" w:hAnsi="AvantGarde Bk BT" w:cs="Arial"/>
          <w:color w:val="000000" w:themeColor="text1"/>
          <w:sz w:val="24"/>
          <w:szCs w:val="24"/>
        </w:rPr>
        <w:t xml:space="preserve"> </w:t>
      </w:r>
      <w:r w:rsidR="000F712C">
        <w:rPr>
          <w:rFonts w:ascii="AvantGarde Bk BT" w:hAnsi="AvantGarde Bk BT" w:cs="Arial"/>
          <w:color w:val="000000" w:themeColor="text1"/>
          <w:sz w:val="24"/>
          <w:szCs w:val="24"/>
        </w:rPr>
        <w:t xml:space="preserve">de acuerdo con la normativa previamente anotada, </w:t>
      </w:r>
      <w:r w:rsidR="000F712C" w:rsidRPr="007C53DB">
        <w:rPr>
          <w:rFonts w:ascii="AvantGarde Bk BT" w:hAnsi="AvantGarde Bk BT" w:cs="Arial"/>
          <w:b/>
          <w:color w:val="000000" w:themeColor="text1"/>
          <w:sz w:val="24"/>
          <w:szCs w:val="24"/>
          <w:u w:val="single"/>
        </w:rPr>
        <w:t>la respuesta emitida por el sujeto obligado es correcta en cuanto a que la entrega de la información no implica el procesamiento de la misma, así como tampoco la elaboración de respuestas acorde a los requerimiento</w:t>
      </w:r>
      <w:r w:rsidR="0000495B" w:rsidRPr="007C53DB">
        <w:rPr>
          <w:rFonts w:ascii="AvantGarde Bk BT" w:hAnsi="AvantGarde Bk BT" w:cs="Arial"/>
          <w:b/>
          <w:color w:val="000000" w:themeColor="text1"/>
          <w:sz w:val="24"/>
          <w:szCs w:val="24"/>
          <w:u w:val="single"/>
        </w:rPr>
        <w:t>s</w:t>
      </w:r>
      <w:r w:rsidR="000F712C" w:rsidRPr="007C53DB">
        <w:rPr>
          <w:rFonts w:ascii="AvantGarde Bk BT" w:hAnsi="AvantGarde Bk BT" w:cs="Arial"/>
          <w:b/>
          <w:color w:val="000000" w:themeColor="text1"/>
          <w:sz w:val="24"/>
          <w:szCs w:val="24"/>
          <w:u w:val="single"/>
        </w:rPr>
        <w:t xml:space="preserve"> de la persona solicitante</w:t>
      </w:r>
      <w:r w:rsidR="0000495B" w:rsidRPr="007C53DB">
        <w:rPr>
          <w:rFonts w:ascii="AvantGarde Bk BT" w:hAnsi="AvantGarde Bk BT" w:cs="Arial"/>
          <w:b/>
          <w:color w:val="000000" w:themeColor="text1"/>
          <w:sz w:val="24"/>
          <w:szCs w:val="24"/>
          <w:u w:val="single"/>
        </w:rPr>
        <w:t>, pues el sujeto obligado debe realizar la búsqueda de la información y proporcionar el soporte documental que dé cuenta con la información requerida</w:t>
      </w:r>
      <w:r w:rsidR="0000495B">
        <w:rPr>
          <w:rFonts w:ascii="AvantGarde Bk BT" w:hAnsi="AvantGarde Bk BT" w:cs="Arial"/>
          <w:color w:val="000000" w:themeColor="text1"/>
          <w:sz w:val="24"/>
          <w:szCs w:val="24"/>
        </w:rPr>
        <w:t>.</w:t>
      </w:r>
    </w:p>
    <w:p w14:paraId="78BFDF3F" w14:textId="5A19C5B0" w:rsidR="00627B33" w:rsidRDefault="0000495B" w:rsidP="00627B33">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lo anterior, </w:t>
      </w:r>
      <w:r w:rsidR="00627B33">
        <w:rPr>
          <w:rFonts w:ascii="AvantGarde Bk BT" w:hAnsi="AvantGarde Bk BT" w:cs="Arial"/>
          <w:color w:val="000000" w:themeColor="text1"/>
          <w:sz w:val="24"/>
          <w:szCs w:val="24"/>
        </w:rPr>
        <w:t xml:space="preserve">de la lectura de la respuesta emitida por la Dirección de Recursos Humanos del Órgano de Administración Judicial, </w:t>
      </w:r>
      <w:r w:rsidR="00627B33" w:rsidRPr="007C53DB">
        <w:rPr>
          <w:rFonts w:ascii="AvantGarde Bk BT" w:hAnsi="AvantGarde Bk BT" w:cs="Arial"/>
          <w:b/>
          <w:color w:val="000000" w:themeColor="text1"/>
          <w:sz w:val="24"/>
          <w:szCs w:val="24"/>
          <w:u w:val="single"/>
        </w:rPr>
        <w:t xml:space="preserve">no se advierte que el servidor público responsable de la respuesta haya realizado el razonamiento lógico jurídico que permita a la persona solicitante saber que la expresión documental que contiene la información que requirió </w:t>
      </w:r>
      <w:r w:rsidR="00B91FCB">
        <w:rPr>
          <w:rFonts w:ascii="AvantGarde Bk BT" w:hAnsi="AvantGarde Bk BT" w:cs="Arial"/>
          <w:b/>
          <w:color w:val="000000" w:themeColor="text1"/>
          <w:sz w:val="24"/>
          <w:szCs w:val="24"/>
          <w:u w:val="single"/>
        </w:rPr>
        <w:t>corresponde</w:t>
      </w:r>
      <w:r w:rsidR="00627B33" w:rsidRPr="007C53DB">
        <w:rPr>
          <w:rFonts w:ascii="AvantGarde Bk BT" w:hAnsi="AvantGarde Bk BT" w:cs="Arial"/>
          <w:b/>
          <w:color w:val="000000" w:themeColor="text1"/>
          <w:sz w:val="24"/>
          <w:szCs w:val="24"/>
          <w:u w:val="single"/>
        </w:rPr>
        <w:t xml:space="preserve"> efectivamente</w:t>
      </w:r>
      <w:r w:rsidR="00B91FCB">
        <w:rPr>
          <w:rFonts w:ascii="AvantGarde Bk BT" w:hAnsi="AvantGarde Bk BT" w:cs="Arial"/>
          <w:b/>
          <w:color w:val="000000" w:themeColor="text1"/>
          <w:sz w:val="24"/>
          <w:szCs w:val="24"/>
          <w:u w:val="single"/>
        </w:rPr>
        <w:t xml:space="preserve"> a</w:t>
      </w:r>
      <w:r w:rsidR="00627B33" w:rsidRPr="007C53DB">
        <w:rPr>
          <w:rFonts w:ascii="AvantGarde Bk BT" w:hAnsi="AvantGarde Bk BT" w:cs="Arial"/>
          <w:b/>
          <w:color w:val="000000" w:themeColor="text1"/>
          <w:sz w:val="24"/>
          <w:szCs w:val="24"/>
          <w:u w:val="single"/>
        </w:rPr>
        <w:t xml:space="preserve"> los contratos del personal que dejó de laborar en el Poder J</w:t>
      </w:r>
      <w:r w:rsidRPr="007C53DB">
        <w:rPr>
          <w:rFonts w:ascii="AvantGarde Bk BT" w:hAnsi="AvantGarde Bk BT" w:cs="Arial"/>
          <w:b/>
          <w:color w:val="000000" w:themeColor="text1"/>
          <w:sz w:val="24"/>
          <w:szCs w:val="24"/>
          <w:u w:val="single"/>
        </w:rPr>
        <w:t>udicial del E</w:t>
      </w:r>
      <w:r w:rsidR="00627B33" w:rsidRPr="007C53DB">
        <w:rPr>
          <w:rFonts w:ascii="AvantGarde Bk BT" w:hAnsi="AvantGarde Bk BT" w:cs="Arial"/>
          <w:b/>
          <w:color w:val="000000" w:themeColor="text1"/>
          <w:sz w:val="24"/>
          <w:szCs w:val="24"/>
          <w:u w:val="single"/>
        </w:rPr>
        <w:t xml:space="preserve">stado </w:t>
      </w:r>
      <w:r w:rsidR="00960197" w:rsidRPr="007C53DB">
        <w:rPr>
          <w:rFonts w:ascii="AvantGarde Bk BT" w:hAnsi="AvantGarde Bk BT" w:cs="Arial"/>
          <w:b/>
          <w:color w:val="000000" w:themeColor="text1"/>
          <w:sz w:val="24"/>
          <w:szCs w:val="24"/>
          <w:u w:val="single"/>
        </w:rPr>
        <w:t>dentro del periodo señalado en la solicitud</w:t>
      </w:r>
      <w:r w:rsidR="00960197">
        <w:rPr>
          <w:rFonts w:ascii="AvantGarde Bk BT" w:hAnsi="AvantGarde Bk BT" w:cs="Arial"/>
          <w:color w:val="000000" w:themeColor="text1"/>
          <w:sz w:val="24"/>
          <w:szCs w:val="24"/>
        </w:rPr>
        <w:t>.</w:t>
      </w:r>
    </w:p>
    <w:p w14:paraId="6874C597" w14:textId="04F5EB5B" w:rsidR="00960197" w:rsidRDefault="00960197" w:rsidP="004A737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007C53DB">
        <w:rPr>
          <w:rFonts w:ascii="AvantGarde Bk BT" w:hAnsi="AvantGarde Bk BT" w:cs="Arial"/>
          <w:color w:val="000000" w:themeColor="text1"/>
          <w:sz w:val="24"/>
          <w:szCs w:val="24"/>
        </w:rPr>
        <w:t xml:space="preserve">se puede colegir válidamente que </w:t>
      </w:r>
      <w:r w:rsidR="007C53DB" w:rsidRPr="00721FB9">
        <w:rPr>
          <w:rFonts w:ascii="AvantGarde Bk BT" w:hAnsi="AvantGarde Bk BT" w:cs="Arial"/>
          <w:b/>
          <w:color w:val="000000" w:themeColor="text1"/>
          <w:sz w:val="24"/>
          <w:szCs w:val="24"/>
          <w:u w:val="single"/>
        </w:rPr>
        <w:t xml:space="preserve">el primer agravio </w:t>
      </w:r>
      <w:r w:rsidR="0070541D" w:rsidRPr="00721FB9">
        <w:rPr>
          <w:rFonts w:ascii="AvantGarde Bk BT" w:hAnsi="AvantGarde Bk BT" w:cs="Arial"/>
          <w:b/>
          <w:color w:val="000000" w:themeColor="text1"/>
          <w:sz w:val="24"/>
          <w:szCs w:val="24"/>
          <w:u w:val="single"/>
        </w:rPr>
        <w:t>resultó fundado y operante</w:t>
      </w:r>
      <w:r w:rsidR="0070541D">
        <w:rPr>
          <w:rFonts w:ascii="AvantGarde Bk BT" w:hAnsi="AvantGarde Bk BT" w:cs="Arial"/>
          <w:color w:val="000000" w:themeColor="text1"/>
          <w:sz w:val="24"/>
          <w:szCs w:val="24"/>
        </w:rPr>
        <w:t xml:space="preserve"> derivado de que el sujeto obligado </w:t>
      </w:r>
      <w:r w:rsidR="004A7379">
        <w:rPr>
          <w:rFonts w:ascii="AvantGarde Bk BT" w:hAnsi="AvantGarde Bk BT" w:cs="Arial"/>
          <w:color w:val="000000" w:themeColor="text1"/>
          <w:sz w:val="24"/>
          <w:szCs w:val="24"/>
        </w:rPr>
        <w:t>no señaló las causas y los preceptos legales que lo llevaron a concluir que el soporte documental que contiene la informaci</w:t>
      </w:r>
      <w:r w:rsidR="00C374AD">
        <w:rPr>
          <w:rFonts w:ascii="AvantGarde Bk BT" w:hAnsi="AvantGarde Bk BT" w:cs="Arial"/>
          <w:color w:val="000000" w:themeColor="text1"/>
          <w:sz w:val="24"/>
          <w:szCs w:val="24"/>
        </w:rPr>
        <w:t xml:space="preserve">ón solicitada </w:t>
      </w:r>
      <w:r w:rsidR="004A7379">
        <w:rPr>
          <w:rFonts w:ascii="AvantGarde Bk BT" w:hAnsi="AvantGarde Bk BT" w:cs="Arial"/>
          <w:color w:val="000000" w:themeColor="text1"/>
          <w:sz w:val="24"/>
          <w:szCs w:val="24"/>
        </w:rPr>
        <w:t xml:space="preserve">corresponde a </w:t>
      </w:r>
      <w:r w:rsidR="004A7379" w:rsidRPr="004A7379">
        <w:rPr>
          <w:rFonts w:ascii="AvantGarde Bk BT" w:hAnsi="AvantGarde Bk BT" w:cs="Arial"/>
          <w:color w:val="000000" w:themeColor="text1"/>
          <w:sz w:val="24"/>
          <w:szCs w:val="24"/>
        </w:rPr>
        <w:t>los contratos del personal que dejó de laborar en el Poder Judicial del Estado</w:t>
      </w:r>
      <w:r w:rsidR="004A7379">
        <w:rPr>
          <w:rFonts w:ascii="AvantGarde Bk BT" w:hAnsi="AvantGarde Bk BT" w:cs="Arial"/>
          <w:color w:val="000000" w:themeColor="text1"/>
          <w:sz w:val="24"/>
          <w:szCs w:val="24"/>
        </w:rPr>
        <w:t xml:space="preserve">; mientras que </w:t>
      </w:r>
      <w:r w:rsidR="004A7379" w:rsidRPr="00721FB9">
        <w:rPr>
          <w:rFonts w:ascii="AvantGarde Bk BT" w:hAnsi="AvantGarde Bk BT" w:cs="Arial"/>
          <w:b/>
          <w:color w:val="000000" w:themeColor="text1"/>
          <w:sz w:val="24"/>
          <w:szCs w:val="24"/>
          <w:u w:val="single"/>
        </w:rPr>
        <w:t>el tercero de los agravios resultó inoperante</w:t>
      </w:r>
      <w:r w:rsidR="004A7379">
        <w:rPr>
          <w:rFonts w:ascii="AvantGarde Bk BT" w:hAnsi="AvantGarde Bk BT" w:cs="Arial"/>
          <w:color w:val="000000" w:themeColor="text1"/>
          <w:sz w:val="24"/>
          <w:szCs w:val="24"/>
        </w:rPr>
        <w:t xml:space="preserve"> derivado de que en el caso concreto no se violó el principio de máxima publicidad, pues el sujeto oblig</w:t>
      </w:r>
      <w:r w:rsidR="00C374AD">
        <w:rPr>
          <w:rFonts w:ascii="AvantGarde Bk BT" w:hAnsi="AvantGarde Bk BT" w:cs="Arial"/>
          <w:color w:val="000000" w:themeColor="text1"/>
          <w:sz w:val="24"/>
          <w:szCs w:val="24"/>
        </w:rPr>
        <w:t xml:space="preserve">ado únicamente se encuentra constreñido a </w:t>
      </w:r>
      <w:r w:rsidR="00721FB9">
        <w:rPr>
          <w:rFonts w:ascii="AvantGarde Bk BT" w:hAnsi="AvantGarde Bk BT" w:cs="Arial"/>
          <w:color w:val="000000" w:themeColor="text1"/>
          <w:sz w:val="24"/>
          <w:szCs w:val="24"/>
        </w:rPr>
        <w:t>permitir el acceso a los documentos generados, archivados y/o resguardados en el ejercicio de sus funciones, sin que ello implique el procesamiento de la información o la elaboración de una respuesta ajustada a los requerimientos de la solicitud.</w:t>
      </w:r>
    </w:p>
    <w:p w14:paraId="511A263B" w14:textId="455275C9" w:rsidR="00721FB9" w:rsidRPr="007F1A5A" w:rsidRDefault="00721FB9" w:rsidP="00721FB9">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lo que concierne al segundo motivo de disenso, relativo a la </w:t>
      </w:r>
      <w:r w:rsidRPr="00721FB9">
        <w:rPr>
          <w:rFonts w:ascii="AvantGarde Bk BT" w:hAnsi="AvantGarde Bk BT" w:cs="Arial"/>
          <w:color w:val="000000" w:themeColor="text1"/>
          <w:sz w:val="24"/>
          <w:szCs w:val="24"/>
        </w:rPr>
        <w:t xml:space="preserve">indebida clasificación de la información </w:t>
      </w:r>
      <w:r>
        <w:rPr>
          <w:rFonts w:ascii="AvantGarde Bk BT" w:hAnsi="AvantGarde Bk BT" w:cs="Arial"/>
          <w:color w:val="000000" w:themeColor="text1"/>
          <w:sz w:val="24"/>
          <w:szCs w:val="24"/>
        </w:rPr>
        <w:t>como confidencial por contener datos personales</w:t>
      </w:r>
      <w:r w:rsidRPr="007F1A5A">
        <w:rPr>
          <w:rFonts w:ascii="AvantGarde Bk BT" w:hAnsi="AvantGarde Bk BT" w:cs="Arial"/>
          <w:color w:val="000000" w:themeColor="text1"/>
          <w:sz w:val="24"/>
          <w:szCs w:val="24"/>
        </w:rPr>
        <w:t xml:space="preserve">, es </w:t>
      </w:r>
      <w:r w:rsidRPr="007F1A5A">
        <w:rPr>
          <w:rFonts w:ascii="AvantGarde Bk BT" w:hAnsi="AvantGarde Bk BT" w:cs="Arial"/>
          <w:color w:val="000000" w:themeColor="text1"/>
          <w:sz w:val="24"/>
          <w:szCs w:val="24"/>
        </w:rPr>
        <w:lastRenderedPageBreak/>
        <w:t xml:space="preserve">necesario recordar que </w:t>
      </w:r>
      <w:r w:rsidRPr="007F1A5A">
        <w:rPr>
          <w:rFonts w:ascii="AvantGarde Bk BT" w:hAnsi="AvantGarde Bk BT" w:cs="Arial"/>
          <w:sz w:val="24"/>
          <w:szCs w:val="24"/>
        </w:rPr>
        <w:t xml:space="preserve">si bien toda la información en posesión de los sujetos obligados es pública, sin embargo, </w:t>
      </w:r>
      <w:r w:rsidRPr="007F1A5A">
        <w:rPr>
          <w:rFonts w:ascii="AvantGarde Bk BT" w:hAnsi="AvantGarde Bk BT" w:cs="Arial"/>
          <w:color w:val="000000" w:themeColor="text1"/>
          <w:sz w:val="24"/>
          <w:szCs w:val="24"/>
        </w:rPr>
        <w:t xml:space="preserve">conforme a la Ley de Transparencia y Acceso a la Información Pública del Estado, </w:t>
      </w:r>
      <w:r w:rsidRPr="007F1A5A">
        <w:rPr>
          <w:rFonts w:ascii="AvantGarde Bk BT" w:eastAsia="Times New Roman" w:hAnsi="AvantGarde Bk BT" w:cs="Arial"/>
          <w:color w:val="000000"/>
          <w:sz w:val="24"/>
          <w:szCs w:val="24"/>
          <w:lang w:val="es-ES"/>
        </w:rPr>
        <w:t>existen dos casos de excepción al derecho de acceso a la información, es decir, la información clasificada como reservada y la información clasificada como confidencial.</w:t>
      </w:r>
      <w:r w:rsidRPr="007F1A5A">
        <w:rPr>
          <w:rStyle w:val="Refdenotaalpie"/>
          <w:rFonts w:ascii="AvantGarde Bk BT" w:eastAsia="Times New Roman" w:hAnsi="AvantGarde Bk BT" w:cs="Arial"/>
          <w:color w:val="000000"/>
          <w:sz w:val="24"/>
          <w:szCs w:val="24"/>
          <w:lang w:val="es-ES"/>
        </w:rPr>
        <w:footnoteReference w:id="8"/>
      </w:r>
      <w:r w:rsidRPr="007F1A5A">
        <w:rPr>
          <w:rFonts w:ascii="AvantGarde Bk BT" w:eastAsia="Times New Roman" w:hAnsi="AvantGarde Bk BT" w:cs="Arial"/>
          <w:color w:val="000000"/>
          <w:sz w:val="24"/>
          <w:szCs w:val="24"/>
          <w:lang w:val="es-ES"/>
        </w:rPr>
        <w:t xml:space="preserve"> </w:t>
      </w:r>
    </w:p>
    <w:p w14:paraId="7339972C" w14:textId="77777777" w:rsidR="00721FB9" w:rsidRPr="007F1A5A" w:rsidRDefault="00721FB9" w:rsidP="00721FB9">
      <w:pPr>
        <w:tabs>
          <w:tab w:val="left" w:pos="567"/>
        </w:tabs>
        <w:spacing w:after="240" w:line="360" w:lineRule="auto"/>
        <w:ind w:firstLine="680"/>
        <w:jc w:val="both"/>
        <w:rPr>
          <w:rFonts w:ascii="AvantGarde Bk BT" w:eastAsia="Times New Roman" w:hAnsi="AvantGarde Bk BT" w:cs="Arial"/>
          <w:color w:val="000000"/>
          <w:sz w:val="24"/>
          <w:szCs w:val="24"/>
        </w:rPr>
      </w:pPr>
      <w:r w:rsidRPr="007F1A5A">
        <w:rPr>
          <w:rFonts w:ascii="AvantGarde Bk BT" w:eastAsia="Times New Roman" w:hAnsi="AvantGarde Bk BT" w:cs="Arial"/>
          <w:color w:val="000000"/>
          <w:sz w:val="24"/>
          <w:szCs w:val="24"/>
        </w:rPr>
        <w:t xml:space="preserve">Así, </w:t>
      </w:r>
      <w:r w:rsidRPr="007F1A5A">
        <w:rPr>
          <w:rFonts w:ascii="AvantGarde Bk BT" w:eastAsia="Times New Roman" w:hAnsi="AvantGarde Bk BT" w:cs="Arial"/>
          <w:color w:val="000000"/>
          <w:sz w:val="24"/>
          <w:szCs w:val="24"/>
          <w:u w:val="single"/>
        </w:rPr>
        <w:t>la información clasificada como confidencial</w:t>
      </w:r>
      <w:r w:rsidRPr="007F1A5A">
        <w:rPr>
          <w:rFonts w:ascii="AvantGarde Bk BT" w:eastAsia="Times New Roman" w:hAnsi="AvantGarde Bk BT" w:cs="Arial"/>
          <w:color w:val="000000"/>
          <w:sz w:val="24"/>
          <w:szCs w:val="24"/>
        </w:rPr>
        <w:t xml:space="preserve"> es la que contiene datos personales concernientes a una persona identificada o identificable, así como la relativa a los secretos bancario, fiduciario, industrial, comercial, fiscal, bursátil y postal, cuya titularidad corresponda a particulares, sujetos de derecho internacional o a sujetos obligados cuando no involucren el ejercicio de recursos públicos. </w:t>
      </w:r>
      <w:r w:rsidRPr="007F1A5A">
        <w:rPr>
          <w:rStyle w:val="Refdenotaalpie"/>
          <w:rFonts w:ascii="AvantGarde Bk BT" w:eastAsia="Times New Roman" w:hAnsi="AvantGarde Bk BT" w:cs="Arial"/>
          <w:color w:val="000000"/>
          <w:sz w:val="24"/>
          <w:szCs w:val="24"/>
        </w:rPr>
        <w:footnoteReference w:id="9"/>
      </w:r>
    </w:p>
    <w:p w14:paraId="036968DA" w14:textId="77777777" w:rsidR="00721FB9" w:rsidRPr="007F1A5A" w:rsidRDefault="00721FB9" w:rsidP="00721FB9">
      <w:pPr>
        <w:tabs>
          <w:tab w:val="left" w:pos="567"/>
        </w:tabs>
        <w:spacing w:after="240" w:line="360" w:lineRule="auto"/>
        <w:ind w:firstLine="680"/>
        <w:jc w:val="both"/>
        <w:rPr>
          <w:rFonts w:ascii="AvantGarde Bk BT" w:eastAsia="Times New Roman" w:hAnsi="AvantGarde Bk BT" w:cs="Arial"/>
          <w:color w:val="000000"/>
          <w:sz w:val="24"/>
          <w:szCs w:val="24"/>
        </w:rPr>
      </w:pPr>
      <w:r w:rsidRPr="007F1A5A">
        <w:rPr>
          <w:rFonts w:ascii="AvantGarde Bk BT" w:eastAsia="Times New Roman" w:hAnsi="AvantGarde Bk BT" w:cs="Arial"/>
          <w:color w:val="000000"/>
          <w:sz w:val="24"/>
          <w:szCs w:val="24"/>
        </w:rPr>
        <w:t xml:space="preserve">En este sentido, se considera que una persona es identificada cuando la información disponible indica directamente a quién pertenece, sin necesidad de realizar una averiguación posterior; por su parte, una persona es identificable cuando su identidad pueda determinarse, directa o indirectamente, mediante cualquier información. </w:t>
      </w:r>
      <w:r w:rsidRPr="007F1A5A">
        <w:rPr>
          <w:rFonts w:ascii="AvantGarde Bk BT" w:eastAsia="Times New Roman" w:hAnsi="AvantGarde Bk BT" w:cs="Arial"/>
          <w:b/>
          <w:color w:val="000000"/>
          <w:sz w:val="24"/>
          <w:szCs w:val="24"/>
        </w:rPr>
        <w:t>En consecuencia, para que una información se considere dato personal, deben existir dos elementos: la información y la persona a la que concierne dicha información</w:t>
      </w:r>
      <w:r w:rsidRPr="007F1A5A">
        <w:rPr>
          <w:rFonts w:ascii="AvantGarde Bk BT" w:eastAsia="Times New Roman" w:hAnsi="AvantGarde Bk BT" w:cs="Arial"/>
          <w:color w:val="000000"/>
          <w:sz w:val="24"/>
          <w:szCs w:val="24"/>
        </w:rPr>
        <w:t>. Si no concurren ambos habrá que entender que no se trata de datos personales.</w:t>
      </w:r>
    </w:p>
    <w:p w14:paraId="7DE81C07" w14:textId="77777777" w:rsidR="00721FB9" w:rsidRPr="007F1A5A" w:rsidRDefault="00721FB9" w:rsidP="00721FB9">
      <w:pPr>
        <w:pStyle w:val="corte4fondo"/>
        <w:tabs>
          <w:tab w:val="left" w:pos="567"/>
        </w:tabs>
        <w:spacing w:after="240"/>
        <w:ind w:firstLine="680"/>
        <w:rPr>
          <w:rFonts w:ascii="AvantGarde Bk BT" w:hAnsi="AvantGarde Bk BT" w:cs="Arial"/>
          <w:sz w:val="24"/>
          <w:szCs w:val="24"/>
        </w:rPr>
      </w:pPr>
      <w:r w:rsidRPr="007F1A5A">
        <w:rPr>
          <w:rFonts w:ascii="AvantGarde Bk BT" w:hAnsi="AvantGarde Bk BT" w:cs="Arial"/>
          <w:sz w:val="24"/>
          <w:szCs w:val="24"/>
        </w:rPr>
        <w:t>Es relevante señalar que la protección de los datos personales se encuentra prevista desde la Constitución Política de los Estados Unidos Mexicanos, misma que prescribe que la información que se refiere a la vida privada y los datos personales será protegida en los términos y con las excepciones que fijen las leyes, además de reconocer el derecho de toda persona a la protección de sus datos personales.</w:t>
      </w:r>
      <w:r w:rsidRPr="007F1A5A">
        <w:rPr>
          <w:rStyle w:val="Refdenotaalpie"/>
          <w:rFonts w:ascii="AvantGarde Bk BT" w:hAnsi="AvantGarde Bk BT" w:cs="Arial"/>
          <w:sz w:val="24"/>
          <w:szCs w:val="24"/>
        </w:rPr>
        <w:footnoteReference w:id="10"/>
      </w:r>
      <w:r w:rsidRPr="007F1A5A">
        <w:rPr>
          <w:rFonts w:ascii="AvantGarde Bk BT" w:hAnsi="AvantGarde Bk BT" w:cs="Arial"/>
          <w:sz w:val="24"/>
          <w:szCs w:val="24"/>
        </w:rPr>
        <w:t xml:space="preserve"> </w:t>
      </w:r>
    </w:p>
    <w:p w14:paraId="4C883885" w14:textId="77777777" w:rsidR="00721FB9" w:rsidRPr="007F1A5A" w:rsidRDefault="00721FB9" w:rsidP="00721FB9">
      <w:pPr>
        <w:pStyle w:val="corte4fondo"/>
        <w:tabs>
          <w:tab w:val="left" w:pos="567"/>
        </w:tabs>
        <w:spacing w:after="240"/>
        <w:ind w:firstLine="680"/>
        <w:rPr>
          <w:rFonts w:ascii="AvantGarde Bk BT" w:hAnsi="AvantGarde Bk BT" w:cs="Arial"/>
          <w:sz w:val="24"/>
          <w:szCs w:val="24"/>
        </w:rPr>
      </w:pPr>
      <w:r w:rsidRPr="007F1A5A">
        <w:rPr>
          <w:rFonts w:ascii="AvantGarde Bk BT" w:hAnsi="AvantGarde Bk BT" w:cs="Arial"/>
          <w:sz w:val="24"/>
          <w:szCs w:val="24"/>
        </w:rPr>
        <w:lastRenderedPageBreak/>
        <w:t>De lo anterior se desprende que la información que se refiere al ámbito privado de las personas, así como los datos personales, debe estar protegida, en los términos y con las excepciones a los principios de tratamiento de datos que por razones de orden público fije la ley, por lo que toda persona tiene derecho a la protección de sus datos personales.</w:t>
      </w:r>
    </w:p>
    <w:p w14:paraId="20ED2973" w14:textId="77777777" w:rsidR="00721FB9" w:rsidRPr="007F1A5A" w:rsidRDefault="00721FB9" w:rsidP="00721FB9">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Ahora</w:t>
      </w:r>
      <w:r w:rsidRPr="007F1A5A">
        <w:rPr>
          <w:rFonts w:ascii="AvantGarde Bk BT" w:eastAsia="Times New Roman" w:hAnsi="AvantGarde Bk BT" w:cs="Arial"/>
          <w:color w:val="000000"/>
          <w:sz w:val="24"/>
          <w:szCs w:val="24"/>
        </w:rPr>
        <w:t xml:space="preserve">, de una interpretación armónica de la Ley de Transparencia, resulta evidente que, </w:t>
      </w:r>
      <w:r w:rsidRPr="007F1A5A">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la determinación de clasificación</w:t>
      </w:r>
      <w:r w:rsidRPr="007F1A5A">
        <w:rPr>
          <w:rFonts w:ascii="AvantGarde Bk BT" w:eastAsia="Times New Roman" w:hAnsi="AvantGarde Bk BT" w:cs="Arial"/>
          <w:color w:val="000000"/>
          <w:sz w:val="24"/>
          <w:szCs w:val="24"/>
        </w:rPr>
        <w:t xml:space="preserve"> cuando se actualice alguna causal prevista en la Ley </w:t>
      </w:r>
      <w:r w:rsidRPr="007F1A5A">
        <w:rPr>
          <w:rFonts w:ascii="AvantGarde Bk BT" w:eastAsia="Times New Roman" w:hAnsi="AvantGarde Bk BT" w:cs="Arial"/>
          <w:b/>
          <w:color w:val="000000"/>
          <w:sz w:val="24"/>
          <w:szCs w:val="24"/>
          <w:u w:val="single"/>
        </w:rPr>
        <w:t>y en caso de que la información sea clasificada por contener datos personales, adicionalmente dicho órgano colegiado deberá aprobar la versión pública correspondiente</w:t>
      </w:r>
      <w:r w:rsidRPr="007F1A5A">
        <w:rPr>
          <w:rFonts w:ascii="AvantGarde Bk BT" w:eastAsia="Times New Roman" w:hAnsi="AvantGarde Bk BT" w:cs="Arial"/>
          <w:color w:val="000000"/>
          <w:sz w:val="24"/>
          <w:szCs w:val="24"/>
        </w:rPr>
        <w:t>.</w:t>
      </w:r>
      <w:r w:rsidRPr="007F1A5A">
        <w:rPr>
          <w:rStyle w:val="Refdenotaalpie"/>
          <w:rFonts w:ascii="AvantGarde Bk BT" w:eastAsia="Times New Roman" w:hAnsi="AvantGarde Bk BT" w:cs="Arial"/>
          <w:color w:val="000000"/>
          <w:sz w:val="24"/>
          <w:szCs w:val="24"/>
        </w:rPr>
        <w:footnoteReference w:id="11"/>
      </w:r>
      <w:r w:rsidRPr="007F1A5A">
        <w:rPr>
          <w:rFonts w:ascii="AvantGarde Bk BT" w:eastAsia="Times New Roman" w:hAnsi="AvantGarde Bk BT" w:cs="Arial"/>
          <w:color w:val="000000"/>
          <w:sz w:val="24"/>
          <w:szCs w:val="24"/>
        </w:rPr>
        <w:t xml:space="preserve"> </w:t>
      </w:r>
    </w:p>
    <w:p w14:paraId="455BE02B" w14:textId="77777777" w:rsidR="00721FB9" w:rsidRDefault="00721FB9" w:rsidP="00721FB9">
      <w:pPr>
        <w:spacing w:line="360" w:lineRule="auto"/>
        <w:ind w:firstLine="709"/>
        <w:jc w:val="both"/>
        <w:rPr>
          <w:rFonts w:ascii="AvantGarde Bk BT" w:hAnsi="AvantGarde Bk BT" w:cs="Arial"/>
          <w:color w:val="000000" w:themeColor="text1"/>
          <w:sz w:val="24"/>
          <w:szCs w:val="24"/>
        </w:rPr>
      </w:pPr>
      <w:r w:rsidRPr="007F1A5A">
        <w:rPr>
          <w:rFonts w:ascii="AvantGarde Bk BT" w:hAnsi="AvantGarde Bk BT" w:cs="Arial"/>
          <w:color w:val="000000" w:themeColor="text1"/>
          <w:sz w:val="24"/>
          <w:szCs w:val="24"/>
        </w:rPr>
        <w:t xml:space="preserve">En esta tesitura, </w:t>
      </w:r>
      <w:r w:rsidRPr="007F1A5A">
        <w:rPr>
          <w:rFonts w:ascii="AvantGarde Bk BT" w:hAnsi="AvantGarde Bk BT" w:cs="Arial"/>
          <w:b/>
          <w:color w:val="000000" w:themeColor="text1"/>
          <w:sz w:val="24"/>
          <w:szCs w:val="24"/>
          <w:u w:val="single"/>
        </w:rPr>
        <w:t>es necesario precisar que, la Ley en comento prescribe que la clasificación de la información deberá realizarse</w:t>
      </w:r>
      <w:r w:rsidRPr="007F1A5A">
        <w:rPr>
          <w:rFonts w:ascii="AvantGarde Bk BT" w:hAnsi="AvantGarde Bk BT" w:cs="Arial"/>
          <w:color w:val="000000" w:themeColor="text1"/>
          <w:sz w:val="24"/>
          <w:szCs w:val="24"/>
        </w:rPr>
        <w:t xml:space="preserve"> en los siguientes supuestos: </w:t>
      </w:r>
      <w:r w:rsidRPr="007F1A5A">
        <w:rPr>
          <w:rFonts w:ascii="AvantGarde Bk BT" w:hAnsi="AvantGarde Bk BT" w:cs="Arial"/>
          <w:b/>
          <w:color w:val="000000" w:themeColor="text1"/>
          <w:sz w:val="24"/>
          <w:szCs w:val="24"/>
          <w:u w:val="single"/>
        </w:rPr>
        <w:t>I. Se reciba una solicitud de acceso a la información;</w:t>
      </w:r>
      <w:r w:rsidRPr="007F1A5A">
        <w:rPr>
          <w:rFonts w:ascii="AvantGarde Bk BT" w:hAnsi="AvantGarde Bk BT" w:cs="Arial"/>
          <w:color w:val="000000" w:themeColor="text1"/>
          <w:sz w:val="24"/>
          <w:szCs w:val="24"/>
        </w:rPr>
        <w:t xml:space="preserve"> II. Se determine mediante resolución </w:t>
      </w:r>
      <w:r w:rsidRPr="007F1A5A">
        <w:rPr>
          <w:rFonts w:ascii="AvantGarde Bk BT" w:hAnsi="AvantGarde Bk BT" w:cs="Arial"/>
          <w:color w:val="000000" w:themeColor="text1"/>
          <w:sz w:val="24"/>
          <w:szCs w:val="24"/>
        </w:rPr>
        <w:lastRenderedPageBreak/>
        <w:t>de autoridad competente, o III. Se generen versiones públicas para dar cumplimiento a las obligaciones de transparencia previstas en esta Ley.</w:t>
      </w:r>
      <w:r w:rsidRPr="007F1A5A">
        <w:rPr>
          <w:rStyle w:val="Refdenotaalpie"/>
          <w:rFonts w:ascii="AvantGarde Bk BT" w:hAnsi="AvantGarde Bk BT" w:cs="Arial"/>
          <w:color w:val="000000" w:themeColor="text1"/>
          <w:sz w:val="24"/>
          <w:szCs w:val="24"/>
        </w:rPr>
        <w:footnoteReference w:id="12"/>
      </w:r>
      <w:r>
        <w:rPr>
          <w:rFonts w:ascii="AvantGarde Bk BT" w:hAnsi="AvantGarde Bk BT" w:cs="Arial"/>
          <w:color w:val="000000" w:themeColor="text1"/>
          <w:sz w:val="24"/>
          <w:szCs w:val="24"/>
        </w:rPr>
        <w:t xml:space="preserve"> </w:t>
      </w:r>
    </w:p>
    <w:p w14:paraId="0CE1761E" w14:textId="0098F45A" w:rsidR="004A7379" w:rsidRDefault="00721FB9" w:rsidP="00FF762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dentro del marco de la normativa previamente señalada, resulta evidente que </w:t>
      </w:r>
      <w:r w:rsidRPr="00FF762A">
        <w:rPr>
          <w:rFonts w:ascii="AvantGarde Bk BT" w:hAnsi="AvantGarde Bk BT" w:cs="Arial"/>
          <w:b/>
          <w:color w:val="000000" w:themeColor="text1"/>
          <w:sz w:val="24"/>
          <w:szCs w:val="24"/>
        </w:rPr>
        <w:t>la persona recurrente realizó una interpretación incorrecta de la respuesta</w:t>
      </w:r>
      <w:r w:rsidR="00FF762A" w:rsidRPr="00FF762A">
        <w:rPr>
          <w:rFonts w:ascii="AvantGarde Bk BT" w:hAnsi="AvantGarde Bk BT" w:cs="Arial"/>
          <w:b/>
          <w:color w:val="000000" w:themeColor="text1"/>
          <w:sz w:val="24"/>
          <w:szCs w:val="24"/>
        </w:rPr>
        <w:t xml:space="preserve"> otorgada</w:t>
      </w:r>
      <w:r w:rsidRPr="00FF762A">
        <w:rPr>
          <w:rFonts w:ascii="AvantGarde Bk BT" w:hAnsi="AvantGarde Bk BT" w:cs="Arial"/>
          <w:b/>
          <w:color w:val="000000" w:themeColor="text1"/>
          <w:sz w:val="24"/>
          <w:szCs w:val="24"/>
        </w:rPr>
        <w:t>, pues la clasificación de la información como confidencial a la que aludió el sujeto obligado no corresponde a los datos solicitados</w:t>
      </w:r>
      <w:r>
        <w:rPr>
          <w:rFonts w:ascii="AvantGarde Bk BT" w:hAnsi="AvantGarde Bk BT" w:cs="Arial"/>
          <w:color w:val="000000" w:themeColor="text1"/>
          <w:sz w:val="24"/>
          <w:szCs w:val="24"/>
        </w:rPr>
        <w:t xml:space="preserve"> (</w:t>
      </w:r>
      <w:r w:rsidR="00FF762A" w:rsidRPr="00FF762A">
        <w:rPr>
          <w:rFonts w:ascii="AvantGarde Bk BT" w:hAnsi="AvantGarde Bk BT" w:cs="Arial"/>
          <w:color w:val="000000" w:themeColor="text1"/>
          <w:sz w:val="24"/>
          <w:szCs w:val="24"/>
        </w:rPr>
        <w:t>nombre completo</w:t>
      </w:r>
      <w:r w:rsidR="00FF762A">
        <w:rPr>
          <w:rFonts w:ascii="AvantGarde Bk BT" w:hAnsi="AvantGarde Bk BT" w:cs="Arial"/>
          <w:color w:val="000000" w:themeColor="text1"/>
          <w:sz w:val="24"/>
          <w:szCs w:val="24"/>
        </w:rPr>
        <w:t xml:space="preserve"> de las personas que dejaron de trabajar para el sujeto obligado en el periodo comprendido de</w:t>
      </w:r>
      <w:r w:rsidR="00FF762A" w:rsidRPr="00FF762A">
        <w:rPr>
          <w:rFonts w:ascii="AvantGarde Bk BT" w:hAnsi="AvantGarde Bk BT" w:cs="Arial"/>
          <w:color w:val="000000" w:themeColor="text1"/>
          <w:sz w:val="24"/>
          <w:szCs w:val="24"/>
        </w:rPr>
        <w:t xml:space="preserve"> diciembre de </w:t>
      </w:r>
      <w:r w:rsidR="00FF762A">
        <w:rPr>
          <w:rFonts w:ascii="AvantGarde Bk BT" w:hAnsi="AvantGarde Bk BT" w:cs="Arial"/>
          <w:color w:val="000000" w:themeColor="text1"/>
          <w:sz w:val="24"/>
          <w:szCs w:val="24"/>
        </w:rPr>
        <w:t>dos mil veinticinco a</w:t>
      </w:r>
      <w:r w:rsidR="00FF762A" w:rsidRPr="00FF762A">
        <w:rPr>
          <w:rFonts w:ascii="AvantGarde Bk BT" w:hAnsi="AvantGarde Bk BT" w:cs="Arial"/>
          <w:color w:val="000000" w:themeColor="text1"/>
          <w:sz w:val="24"/>
          <w:szCs w:val="24"/>
        </w:rPr>
        <w:t xml:space="preserve"> enero de </w:t>
      </w:r>
      <w:r w:rsidR="00FF762A">
        <w:rPr>
          <w:rFonts w:ascii="AvantGarde Bk BT" w:hAnsi="AvantGarde Bk BT" w:cs="Arial"/>
          <w:color w:val="000000" w:themeColor="text1"/>
          <w:sz w:val="24"/>
          <w:szCs w:val="24"/>
        </w:rPr>
        <w:t>dos mil veintiséis</w:t>
      </w:r>
      <w:r w:rsidR="00FF762A" w:rsidRPr="00FF762A">
        <w:rPr>
          <w:rFonts w:ascii="AvantGarde Bk BT" w:hAnsi="AvantGarde Bk BT" w:cs="Arial"/>
          <w:color w:val="000000" w:themeColor="text1"/>
          <w:sz w:val="24"/>
          <w:szCs w:val="24"/>
        </w:rPr>
        <w:t>, cargo o puesto, adscripción, tipo de contratación, fecha de conclusión y motivo de la separación</w:t>
      </w:r>
      <w:r w:rsidR="00FF762A">
        <w:rPr>
          <w:rFonts w:ascii="AvantGarde Bk BT" w:hAnsi="AvantGarde Bk BT" w:cs="Arial"/>
          <w:color w:val="000000" w:themeColor="text1"/>
          <w:sz w:val="24"/>
          <w:szCs w:val="24"/>
        </w:rPr>
        <w:t xml:space="preserve">), </w:t>
      </w:r>
      <w:r w:rsidR="00FF762A" w:rsidRPr="00FF762A">
        <w:rPr>
          <w:rFonts w:ascii="AvantGarde Bk BT" w:hAnsi="AvantGarde Bk BT" w:cs="Arial"/>
          <w:b/>
          <w:color w:val="000000" w:themeColor="text1"/>
          <w:sz w:val="24"/>
          <w:szCs w:val="24"/>
        </w:rPr>
        <w:t>sino a información diversa que se encuentra en los contratos de los exfuncionarios aludidos</w:t>
      </w:r>
      <w:r w:rsidR="00FF762A">
        <w:rPr>
          <w:rFonts w:ascii="AvantGarde Bk BT" w:hAnsi="AvantGarde Bk BT" w:cs="Arial"/>
          <w:color w:val="000000" w:themeColor="text1"/>
          <w:sz w:val="24"/>
          <w:szCs w:val="24"/>
        </w:rPr>
        <w:t>.</w:t>
      </w:r>
    </w:p>
    <w:p w14:paraId="06E2E329" w14:textId="4A3C53FF" w:rsidR="00FF762A" w:rsidRDefault="00FF762A" w:rsidP="00FF762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las constancias que integran los autos permiten demostrar que la Encargada de Recursos Humanos omitió acompañar a su respuesta el acta expedida por el Comité de Transparencia mediante el cual dicho órgano colegiado confirmó la clasificación de la información.</w:t>
      </w:r>
    </w:p>
    <w:p w14:paraId="076F3681" w14:textId="3493AE04" w:rsidR="0097054B" w:rsidRDefault="0097054B" w:rsidP="00FF762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B7675C">
        <w:rPr>
          <w:rFonts w:ascii="AvantGarde Bk BT" w:hAnsi="AvantGarde Bk BT" w:cs="Arial"/>
          <w:b/>
          <w:color w:val="000000" w:themeColor="text1"/>
          <w:sz w:val="24"/>
          <w:szCs w:val="24"/>
        </w:rPr>
        <w:t>se puede concluir válidamente que el agravio en estudio resultó parcialmente fundado</w:t>
      </w:r>
      <w:r>
        <w:rPr>
          <w:rFonts w:ascii="AvantGarde Bk BT" w:hAnsi="AvantGarde Bk BT" w:cs="Arial"/>
          <w:color w:val="000000" w:themeColor="text1"/>
          <w:sz w:val="24"/>
          <w:szCs w:val="24"/>
        </w:rPr>
        <w:t xml:space="preserve">, pues si bien es cierto la clasificación de determinada información contenida en el contrato correcta; </w:t>
      </w:r>
      <w:r w:rsidRPr="00B0633E">
        <w:rPr>
          <w:rFonts w:ascii="AvantGarde Bk BT" w:hAnsi="AvantGarde Bk BT" w:cs="Arial"/>
          <w:b/>
          <w:color w:val="000000" w:themeColor="text1"/>
          <w:sz w:val="24"/>
          <w:szCs w:val="24"/>
        </w:rPr>
        <w:t>también lo es que el sujeto obligado debió acompañar a su respuesta el</w:t>
      </w:r>
      <w:r w:rsidR="00B7675C" w:rsidRPr="00B0633E">
        <w:rPr>
          <w:rFonts w:ascii="AvantGarde Bk BT" w:hAnsi="AvantGarde Bk BT" w:cs="Arial"/>
          <w:b/>
          <w:color w:val="000000" w:themeColor="text1"/>
          <w:sz w:val="24"/>
          <w:szCs w:val="24"/>
        </w:rPr>
        <w:t xml:space="preserve"> acta expedida por el Comité de Transparencia mediante la cual confirmó la clasificación de la información</w:t>
      </w:r>
      <w:r w:rsidR="00B7675C">
        <w:rPr>
          <w:rFonts w:ascii="AvantGarde Bk BT" w:hAnsi="AvantGarde Bk BT" w:cs="Arial"/>
          <w:color w:val="000000" w:themeColor="text1"/>
          <w:sz w:val="24"/>
          <w:szCs w:val="24"/>
        </w:rPr>
        <w:t>.</w:t>
      </w:r>
    </w:p>
    <w:p w14:paraId="2087A4F3" w14:textId="2C6418AC" w:rsidR="00B7675C" w:rsidRDefault="00B7675C" w:rsidP="00FF762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en </w:t>
      </w:r>
      <w:r w:rsidR="009F22D9">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l cuarto punto de disenso, </w:t>
      </w:r>
      <w:r w:rsidR="009F22D9">
        <w:rPr>
          <w:rFonts w:ascii="AvantGarde Bk BT" w:hAnsi="AvantGarde Bk BT" w:cs="Arial"/>
          <w:color w:val="000000" w:themeColor="text1"/>
          <w:sz w:val="24"/>
          <w:szCs w:val="24"/>
        </w:rPr>
        <w:t>la persona recurrente señaló que el sujeto obligado pretende realizar un</w:t>
      </w:r>
      <w:r>
        <w:rPr>
          <w:rFonts w:ascii="AvantGarde Bk BT" w:hAnsi="AvantGarde Bk BT" w:cs="Arial"/>
          <w:color w:val="000000" w:themeColor="text1"/>
          <w:sz w:val="24"/>
          <w:szCs w:val="24"/>
        </w:rPr>
        <w:t xml:space="preserve"> cobro indebido</w:t>
      </w:r>
      <w:r w:rsidR="009F22D9">
        <w:rPr>
          <w:rFonts w:ascii="AvantGarde Bk BT" w:hAnsi="AvantGarde Bk BT" w:cs="Arial"/>
          <w:color w:val="000000" w:themeColor="text1"/>
          <w:sz w:val="24"/>
          <w:szCs w:val="24"/>
        </w:rPr>
        <w:t xml:space="preserve"> de los gastos de reproducción, toda vez que no se requirió que la modalidad de entrega </w:t>
      </w:r>
      <w:r w:rsidR="00F84B22">
        <w:rPr>
          <w:rFonts w:ascii="AvantGarde Bk BT" w:hAnsi="AvantGarde Bk BT" w:cs="Arial"/>
          <w:color w:val="000000" w:themeColor="text1"/>
          <w:sz w:val="24"/>
          <w:szCs w:val="24"/>
        </w:rPr>
        <w:t>fuera en copias simples o certificadas.</w:t>
      </w:r>
    </w:p>
    <w:p w14:paraId="1713563A" w14:textId="2F700069" w:rsidR="00F84B22" w:rsidRDefault="00F84B22" w:rsidP="00FF762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Respecto de este tópico, la ley de la materia </w:t>
      </w:r>
      <w:r w:rsidR="00140D18">
        <w:rPr>
          <w:rFonts w:ascii="AvantGarde Bk BT" w:hAnsi="AvantGarde Bk BT" w:cs="Arial"/>
          <w:color w:val="000000" w:themeColor="text1"/>
          <w:sz w:val="24"/>
          <w:szCs w:val="24"/>
        </w:rPr>
        <w:t>prescribe</w:t>
      </w:r>
      <w:r>
        <w:rPr>
          <w:rFonts w:ascii="AvantGarde Bk BT" w:hAnsi="AvantGarde Bk BT" w:cs="Arial"/>
          <w:color w:val="000000" w:themeColor="text1"/>
          <w:sz w:val="24"/>
          <w:szCs w:val="24"/>
        </w:rPr>
        <w:t xml:space="preserve"> que </w:t>
      </w:r>
      <w:r w:rsidR="00140D18" w:rsidRPr="00140D18">
        <w:rPr>
          <w:rFonts w:ascii="AvantGarde Bk BT" w:hAnsi="AvantGarde Bk BT" w:cs="Arial"/>
          <w:color w:val="000000" w:themeColor="text1"/>
          <w:sz w:val="24"/>
          <w:szCs w:val="24"/>
        </w:rPr>
        <w:t xml:space="preserve">acceso se dará en la modalidad de entrega </w:t>
      </w:r>
      <w:r w:rsidR="00140D18">
        <w:rPr>
          <w:rFonts w:ascii="AvantGarde Bk BT" w:hAnsi="AvantGarde Bk BT" w:cs="Arial"/>
          <w:color w:val="000000" w:themeColor="text1"/>
          <w:sz w:val="24"/>
          <w:szCs w:val="24"/>
        </w:rPr>
        <w:t>elegida</w:t>
      </w:r>
      <w:r w:rsidR="00140D18" w:rsidRPr="00140D18">
        <w:rPr>
          <w:rFonts w:ascii="AvantGarde Bk BT" w:hAnsi="AvantGarde Bk BT" w:cs="Arial"/>
          <w:color w:val="000000" w:themeColor="text1"/>
          <w:sz w:val="24"/>
          <w:szCs w:val="24"/>
        </w:rPr>
        <w:t xml:space="preserve">s por </w:t>
      </w:r>
      <w:r w:rsidR="00140D18">
        <w:rPr>
          <w:rFonts w:ascii="AvantGarde Bk BT" w:hAnsi="AvantGarde Bk BT" w:cs="Arial"/>
          <w:color w:val="000000" w:themeColor="text1"/>
          <w:sz w:val="24"/>
          <w:szCs w:val="24"/>
        </w:rPr>
        <w:t xml:space="preserve">la persona solicitante y en caso de que </w:t>
      </w:r>
      <w:r w:rsidR="00140D18" w:rsidRPr="00140D18">
        <w:rPr>
          <w:rFonts w:ascii="AvantGarde Bk BT" w:hAnsi="AvantGarde Bk BT" w:cs="Arial"/>
          <w:color w:val="000000" w:themeColor="text1"/>
          <w:sz w:val="24"/>
          <w:szCs w:val="24"/>
        </w:rPr>
        <w:t xml:space="preserve">la información no pueda entregarse o enviarse en la modalidad elegida, el sujeto </w:t>
      </w:r>
      <w:r w:rsidR="00140D18" w:rsidRPr="00140D18">
        <w:rPr>
          <w:rFonts w:ascii="AvantGarde Bk BT" w:hAnsi="AvantGarde Bk BT" w:cs="Arial"/>
          <w:color w:val="000000" w:themeColor="text1"/>
          <w:sz w:val="24"/>
          <w:szCs w:val="24"/>
        </w:rPr>
        <w:lastRenderedPageBreak/>
        <w:t>obligado deberá ofrecer otra</w:t>
      </w:r>
      <w:r w:rsidR="00140D18">
        <w:rPr>
          <w:rFonts w:ascii="AvantGarde Bk BT" w:hAnsi="AvantGarde Bk BT" w:cs="Arial"/>
          <w:color w:val="000000" w:themeColor="text1"/>
          <w:sz w:val="24"/>
          <w:szCs w:val="24"/>
        </w:rPr>
        <w:t xml:space="preserve"> u otras modalidades de entrega, siempre y cuando funde y motive</w:t>
      </w:r>
      <w:r w:rsidR="00140D18" w:rsidRPr="00140D18">
        <w:rPr>
          <w:rFonts w:ascii="AvantGarde Bk BT" w:hAnsi="AvantGarde Bk BT" w:cs="Arial"/>
          <w:color w:val="000000" w:themeColor="text1"/>
          <w:sz w:val="24"/>
          <w:szCs w:val="24"/>
        </w:rPr>
        <w:t xml:space="preserve"> la necesidad de ofrecer otras modalidades.</w:t>
      </w:r>
      <w:r w:rsidR="00140D18">
        <w:rPr>
          <w:rStyle w:val="Refdenotaalpie"/>
          <w:rFonts w:ascii="AvantGarde Bk BT" w:hAnsi="AvantGarde Bk BT" w:cs="Arial"/>
          <w:color w:val="000000" w:themeColor="text1"/>
          <w:sz w:val="24"/>
          <w:szCs w:val="24"/>
        </w:rPr>
        <w:footnoteReference w:id="13"/>
      </w:r>
    </w:p>
    <w:p w14:paraId="50CD41AA" w14:textId="539B96D1" w:rsidR="00147F36" w:rsidRDefault="00140D18" w:rsidP="00147F3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la ley en comento </w:t>
      </w:r>
      <w:r w:rsidR="00147F36">
        <w:rPr>
          <w:rFonts w:ascii="AvantGarde Bk BT" w:hAnsi="AvantGarde Bk BT" w:cs="Arial"/>
          <w:color w:val="000000" w:themeColor="text1"/>
          <w:sz w:val="24"/>
          <w:szCs w:val="24"/>
        </w:rPr>
        <w:t>prevé que, e</w:t>
      </w:r>
      <w:r w:rsidR="00147F36" w:rsidRPr="00147F36">
        <w:rPr>
          <w:rFonts w:ascii="AvantGarde Bk BT" w:hAnsi="AvantGarde Bk BT" w:cs="Arial"/>
          <w:color w:val="000000" w:themeColor="text1"/>
          <w:sz w:val="24"/>
          <w:szCs w:val="24"/>
        </w:rPr>
        <w:t xml:space="preserve">n caso de existir costos para obtener la información, </w:t>
      </w:r>
      <w:r w:rsidR="00147F36">
        <w:rPr>
          <w:rFonts w:ascii="AvantGarde Bk BT" w:hAnsi="AvantGarde Bk BT" w:cs="Arial"/>
          <w:color w:val="000000" w:themeColor="text1"/>
          <w:sz w:val="24"/>
          <w:szCs w:val="24"/>
        </w:rPr>
        <w:t xml:space="preserve">estos </w:t>
      </w:r>
      <w:r w:rsidR="00147F36" w:rsidRPr="00147F36">
        <w:rPr>
          <w:rFonts w:ascii="AvantGarde Bk BT" w:hAnsi="AvantGarde Bk BT" w:cs="Arial"/>
          <w:color w:val="000000" w:themeColor="text1"/>
          <w:sz w:val="24"/>
          <w:szCs w:val="24"/>
        </w:rPr>
        <w:t xml:space="preserve">deberán cubrirse previa entrega y no podrán ser superiores a la suma de: I. El costo de los materiales utilizados en la reproducción de la información; II. El costo de envío, en su caso, y III. El pago de la certificación de los Documentos, cuando proceda. </w:t>
      </w:r>
      <w:r w:rsidR="00147F36">
        <w:rPr>
          <w:rStyle w:val="Refdenotaalpie"/>
          <w:rFonts w:ascii="AvantGarde Bk BT" w:hAnsi="AvantGarde Bk BT" w:cs="Arial"/>
          <w:color w:val="000000" w:themeColor="text1"/>
          <w:sz w:val="24"/>
          <w:szCs w:val="24"/>
        </w:rPr>
        <w:footnoteReference w:id="14"/>
      </w:r>
    </w:p>
    <w:p w14:paraId="12F5A1FA" w14:textId="18AE4B3D" w:rsidR="005D27E3" w:rsidRDefault="005D27E3" w:rsidP="00147F3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acuerdo con lo anterior</w:t>
      </w:r>
      <w:r w:rsidR="00C16736">
        <w:rPr>
          <w:rFonts w:ascii="AvantGarde Bk BT" w:hAnsi="AvantGarde Bk BT" w:cs="Arial"/>
          <w:color w:val="000000" w:themeColor="text1"/>
          <w:sz w:val="24"/>
          <w:szCs w:val="24"/>
        </w:rPr>
        <w:t xml:space="preserve">, </w:t>
      </w:r>
      <w:r w:rsidR="00933308" w:rsidRPr="00B0633E">
        <w:rPr>
          <w:rFonts w:ascii="AvantGarde Bk BT" w:hAnsi="AvantGarde Bk BT" w:cs="Arial"/>
          <w:b/>
          <w:color w:val="000000" w:themeColor="text1"/>
          <w:sz w:val="24"/>
          <w:szCs w:val="24"/>
        </w:rPr>
        <w:t xml:space="preserve">el agravio en estudio deviene fundado, pues resulta </w:t>
      </w:r>
      <w:r w:rsidR="00C16736" w:rsidRPr="00B0633E">
        <w:rPr>
          <w:rFonts w:ascii="AvantGarde Bk BT" w:hAnsi="AvantGarde Bk BT" w:cs="Arial"/>
          <w:b/>
          <w:color w:val="000000" w:themeColor="text1"/>
          <w:sz w:val="24"/>
          <w:szCs w:val="24"/>
        </w:rPr>
        <w:t>evidente que en el caso concreto no aplican los costos de reproducción, esto debido a que la modalidad de entrega elegida por la parte recurrente fue en formato electrónico a través de la Plataforma Nacional de Transparencia</w:t>
      </w:r>
      <w:r w:rsidR="00933308" w:rsidRPr="00B0633E">
        <w:rPr>
          <w:rFonts w:ascii="AvantGarde Bk BT" w:hAnsi="AvantGarde Bk BT" w:cs="Arial"/>
          <w:b/>
          <w:color w:val="000000" w:themeColor="text1"/>
          <w:sz w:val="24"/>
          <w:szCs w:val="24"/>
        </w:rPr>
        <w:t>, lo que implica que las versiones públicas que genere el sujeto obligado deberán ser entregadas en su versión electrónica, de ahí que no se generen costos de materiales, envíos y/o certificaciones</w:t>
      </w:r>
      <w:r w:rsidR="00933308">
        <w:rPr>
          <w:rFonts w:ascii="AvantGarde Bk BT" w:hAnsi="AvantGarde Bk BT" w:cs="Arial"/>
          <w:color w:val="000000" w:themeColor="text1"/>
          <w:sz w:val="24"/>
          <w:szCs w:val="24"/>
        </w:rPr>
        <w:t>.</w:t>
      </w:r>
    </w:p>
    <w:p w14:paraId="3209DB67" w14:textId="68A38355" w:rsidR="00F305B0" w:rsidRDefault="00933308" w:rsidP="00147F3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en lo que atañe al </w:t>
      </w:r>
      <w:r w:rsidR="006B30E2">
        <w:rPr>
          <w:rFonts w:ascii="AvantGarde Bk BT" w:hAnsi="AvantGarde Bk BT" w:cs="Arial"/>
          <w:color w:val="000000" w:themeColor="text1"/>
          <w:sz w:val="24"/>
          <w:szCs w:val="24"/>
        </w:rPr>
        <w:t xml:space="preserve">último motivo de agravio, la persona recurrente se dolió de la aplicación indebida de la prórroga del plazo de respuesta, toda vez que resulta jurídicamente incongruente que el sujeto obligado haya decretado la prórroga para responder la solicitud con el argumento de necesitar más tiempo para localizar </w:t>
      </w:r>
      <w:r w:rsidR="006B30E2">
        <w:rPr>
          <w:rFonts w:ascii="AvantGarde Bk BT" w:hAnsi="AvantGarde Bk BT" w:cs="Arial"/>
          <w:color w:val="000000" w:themeColor="text1"/>
          <w:sz w:val="24"/>
          <w:szCs w:val="24"/>
        </w:rPr>
        <w:lastRenderedPageBreak/>
        <w:t xml:space="preserve">la información </w:t>
      </w:r>
      <w:r w:rsidR="00140CB2">
        <w:rPr>
          <w:rFonts w:ascii="AvantGarde Bk BT" w:hAnsi="AvantGarde Bk BT" w:cs="Arial"/>
          <w:color w:val="000000" w:themeColor="text1"/>
          <w:sz w:val="24"/>
          <w:szCs w:val="24"/>
        </w:rPr>
        <w:t>requerida y posteriormente contestar en sentido negativo derivado de la clasificación de dicha información.</w:t>
      </w:r>
    </w:p>
    <w:p w14:paraId="63F2367C" w14:textId="0ECCBEE1" w:rsidR="00140CB2" w:rsidRDefault="00140CB2" w:rsidP="00147F3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respecto, la Ley de Transparencia y Acceso a la Información Pública del Estado prescribe que </w:t>
      </w:r>
      <w:r w:rsidR="000F7644">
        <w:rPr>
          <w:rFonts w:ascii="AvantGarde Bk BT" w:hAnsi="AvantGarde Bk BT" w:cs="Arial"/>
          <w:color w:val="000000" w:themeColor="text1"/>
          <w:sz w:val="24"/>
          <w:szCs w:val="24"/>
        </w:rPr>
        <w:t>l</w:t>
      </w:r>
      <w:r w:rsidR="000F7644" w:rsidRPr="000F7644">
        <w:rPr>
          <w:rFonts w:ascii="AvantGarde Bk BT" w:hAnsi="AvantGarde Bk BT" w:cs="Arial"/>
          <w:color w:val="000000" w:themeColor="text1"/>
          <w:sz w:val="24"/>
          <w:szCs w:val="24"/>
        </w:rPr>
        <w:t>a respuesta a la solicitud deberá ser notificada al interesado en el menor tiempo posible, que no podrá exceder de diez días, contados a partir del día siguien</w:t>
      </w:r>
      <w:r w:rsidR="000F7644">
        <w:rPr>
          <w:rFonts w:ascii="AvantGarde Bk BT" w:hAnsi="AvantGarde Bk BT" w:cs="Arial"/>
          <w:color w:val="000000" w:themeColor="text1"/>
          <w:sz w:val="24"/>
          <w:szCs w:val="24"/>
        </w:rPr>
        <w:t>te a la presentación de aquélla; asimismo, establece que de manera excepcional podrá ampliar dicho plazo</w:t>
      </w:r>
      <w:r w:rsidR="000F7644" w:rsidRPr="000F7644">
        <w:rPr>
          <w:rFonts w:ascii="AvantGarde Bk BT" w:hAnsi="AvantGarde Bk BT" w:cs="Arial"/>
          <w:color w:val="000000" w:themeColor="text1"/>
          <w:sz w:val="24"/>
          <w:szCs w:val="24"/>
        </w:rPr>
        <w:t xml:space="preserve"> hasta por diez días más, siempre y cuando existan razones fundadas y motivadas, las cuales deberán ser aprobadas por el Comité de Transparencia, mediante la emisión de una resolución que deberá notificarse al solicitante, antes de su vencimiento.</w:t>
      </w:r>
      <w:r w:rsidR="000F7644">
        <w:rPr>
          <w:rStyle w:val="Refdenotaalpie"/>
          <w:rFonts w:ascii="AvantGarde Bk BT" w:hAnsi="AvantGarde Bk BT" w:cs="Arial"/>
          <w:color w:val="000000" w:themeColor="text1"/>
          <w:sz w:val="24"/>
          <w:szCs w:val="24"/>
        </w:rPr>
        <w:footnoteReference w:id="15"/>
      </w:r>
      <w:r w:rsidR="000F7644" w:rsidRPr="000F7644">
        <w:rPr>
          <w:rFonts w:ascii="AvantGarde Bk BT" w:hAnsi="AvantGarde Bk BT" w:cs="Arial"/>
          <w:color w:val="000000" w:themeColor="text1"/>
          <w:sz w:val="24"/>
          <w:szCs w:val="24"/>
        </w:rPr>
        <w:t xml:space="preserve"> </w:t>
      </w:r>
    </w:p>
    <w:p w14:paraId="5FC385BE" w14:textId="086F6ABC" w:rsidR="000F7644" w:rsidRDefault="000F7644" w:rsidP="00C07F5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las constancias que integran los autos y que obran en la Plataforma Nacional de Transparencia permiten demostrar que el sujeto obligado se limitó a notificar a la persona solicitante </w:t>
      </w:r>
      <w:r w:rsidR="00C07F50">
        <w:rPr>
          <w:rFonts w:ascii="AvantGarde Bk BT" w:hAnsi="AvantGarde Bk BT" w:cs="Arial"/>
          <w:color w:val="000000" w:themeColor="text1"/>
          <w:sz w:val="24"/>
          <w:szCs w:val="24"/>
        </w:rPr>
        <w:t>un archivo de procesador de textos con terminación “.</w:t>
      </w:r>
      <w:proofErr w:type="spellStart"/>
      <w:r w:rsidR="00C07F50">
        <w:rPr>
          <w:rFonts w:ascii="AvantGarde Bk BT" w:hAnsi="AvantGarde Bk BT" w:cs="Arial"/>
          <w:color w:val="000000" w:themeColor="text1"/>
          <w:sz w:val="24"/>
          <w:szCs w:val="24"/>
        </w:rPr>
        <w:t>docx</w:t>
      </w:r>
      <w:proofErr w:type="spellEnd"/>
      <w:r w:rsidR="00C07F50">
        <w:rPr>
          <w:rFonts w:ascii="AvantGarde Bk BT" w:hAnsi="AvantGarde Bk BT" w:cs="Arial"/>
          <w:color w:val="000000" w:themeColor="text1"/>
          <w:sz w:val="24"/>
          <w:szCs w:val="24"/>
        </w:rPr>
        <w:t>” con la siguiente información:</w:t>
      </w:r>
    </w:p>
    <w:p w14:paraId="7AEA714E" w14:textId="3E0AE4D1" w:rsidR="00C07F50" w:rsidRDefault="00C07F50" w:rsidP="00C07F5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07F50">
        <w:rPr>
          <w:rFonts w:ascii="AvantGarde Bk BT" w:hAnsi="AvantGarde Bk BT" w:cs="Arial"/>
          <w:i/>
          <w:color w:val="000000" w:themeColor="text1"/>
          <w:szCs w:val="24"/>
          <w:lang w:val="es-ES"/>
        </w:rPr>
        <w:t>Se hace de su conocimiento que con fundamento en lo dispuesto por el numeral 134 de la Ley General de Transparencia y Acceso a la Información Pública, se hace uso de la prórroga a que se refiere el precepto legal antes invocado, lo anterior para que esta Unidad de Transparencia se encuentre en condiciones de recabar y poner a su disposición la información que se derive a su inquietud dentro del término señalado por el numeral en cita</w:t>
      </w:r>
      <w:r w:rsidRPr="00C07F50">
        <w:rPr>
          <w:rFonts w:ascii="AvantGarde Bk BT" w:hAnsi="AvantGarde Bk BT" w:cs="Arial"/>
          <w:color w:val="000000" w:themeColor="text1"/>
          <w:szCs w:val="24"/>
          <w:lang w:val="es-ES"/>
        </w:rPr>
        <w:t>.</w:t>
      </w:r>
      <w:r>
        <w:rPr>
          <w:rFonts w:ascii="AvantGarde Bk BT" w:hAnsi="AvantGarde Bk BT" w:cs="Arial"/>
          <w:color w:val="000000" w:themeColor="text1"/>
          <w:sz w:val="24"/>
          <w:szCs w:val="24"/>
        </w:rPr>
        <w:t>”</w:t>
      </w:r>
    </w:p>
    <w:p w14:paraId="6E74A9EC" w14:textId="7B760556" w:rsidR="00C07F50" w:rsidRDefault="00C07F50" w:rsidP="007430F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resulta claro que la prórroga decretada por el sujeto obligado carece de las formalidades que exige la ley de la materia, pues no obra constancia alguna que permita demostrar que dicha determinación fue aprobada por el Comité de Transparencia del sujeto obligado.</w:t>
      </w:r>
    </w:p>
    <w:p w14:paraId="79B7B8F0" w14:textId="50286897" w:rsidR="00C07F50" w:rsidRDefault="006C2A52" w:rsidP="007430F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Pleno de esta Comisión considera que, en el caso concreto, </w:t>
      </w:r>
      <w:r w:rsidR="00010A6E">
        <w:rPr>
          <w:rFonts w:ascii="AvantGarde Bk BT" w:hAnsi="AvantGarde Bk BT" w:cs="Arial"/>
          <w:color w:val="000000" w:themeColor="text1"/>
          <w:sz w:val="24"/>
          <w:szCs w:val="24"/>
        </w:rPr>
        <w:t xml:space="preserve">la ampliación del plazo de respuesta únicamente resultaría procedente en el supuesto </w:t>
      </w:r>
      <w:r w:rsidR="00010A6E">
        <w:rPr>
          <w:rFonts w:ascii="AvantGarde Bk BT" w:hAnsi="AvantGarde Bk BT" w:cs="Arial"/>
          <w:color w:val="000000" w:themeColor="text1"/>
          <w:sz w:val="24"/>
          <w:szCs w:val="24"/>
        </w:rPr>
        <w:lastRenderedPageBreak/>
        <w:t>de que el sujeto obligado entregara a la persona solicitante la versión pública de los documentos que contienen la información requerida.</w:t>
      </w:r>
    </w:p>
    <w:p w14:paraId="394151AE" w14:textId="3E1DF7BF" w:rsidR="00010A6E" w:rsidRDefault="00C01371" w:rsidP="00C01371">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acuerdo con los razonamientos anteriores, </w:t>
      </w:r>
      <w:r w:rsidR="00010A6E">
        <w:rPr>
          <w:rFonts w:ascii="AvantGarde Bk BT" w:hAnsi="AvantGarde Bk BT" w:cs="Arial"/>
          <w:color w:val="000000" w:themeColor="text1"/>
          <w:sz w:val="24"/>
          <w:szCs w:val="24"/>
        </w:rPr>
        <w:t xml:space="preserve">se puede concluir que </w:t>
      </w:r>
      <w:r w:rsidR="00010A6E" w:rsidRPr="00640089">
        <w:rPr>
          <w:rFonts w:ascii="AvantGarde Bk BT" w:hAnsi="AvantGarde Bk BT" w:cs="Arial"/>
          <w:b/>
          <w:color w:val="000000" w:themeColor="text1"/>
          <w:sz w:val="24"/>
          <w:szCs w:val="24"/>
        </w:rPr>
        <w:t>el agravio en estudio de</w:t>
      </w:r>
      <w:r w:rsidR="00991D68" w:rsidRPr="00640089">
        <w:rPr>
          <w:rFonts w:ascii="AvantGarde Bk BT" w:hAnsi="AvantGarde Bk BT" w:cs="Arial"/>
          <w:b/>
          <w:color w:val="000000" w:themeColor="text1"/>
          <w:sz w:val="24"/>
          <w:szCs w:val="24"/>
        </w:rPr>
        <w:t>viene fundado pero inoperante</w:t>
      </w:r>
      <w:r w:rsidR="00991D68">
        <w:rPr>
          <w:rFonts w:ascii="AvantGarde Bk BT" w:hAnsi="AvantGarde Bk BT" w:cs="Arial"/>
          <w:color w:val="000000" w:themeColor="text1"/>
          <w:sz w:val="24"/>
          <w:szCs w:val="24"/>
        </w:rPr>
        <w:t xml:space="preserve">, pues por un lado la prórroga decretada por el sujeto obligado no cumplió con los requisitos que la Ley de la materia exige y resultó incompatible con la respuesta otorgada; </w:t>
      </w:r>
      <w:r w:rsidR="00640089">
        <w:rPr>
          <w:rFonts w:ascii="AvantGarde Bk BT" w:hAnsi="AvantGarde Bk BT" w:cs="Arial"/>
          <w:color w:val="000000" w:themeColor="text1"/>
          <w:sz w:val="24"/>
          <w:szCs w:val="24"/>
        </w:rPr>
        <w:t>no obstante</w:t>
      </w:r>
      <w:r w:rsidR="00991D68">
        <w:rPr>
          <w:rFonts w:ascii="AvantGarde Bk BT" w:hAnsi="AvantGarde Bk BT" w:cs="Arial"/>
          <w:color w:val="000000" w:themeColor="text1"/>
          <w:sz w:val="24"/>
          <w:szCs w:val="24"/>
        </w:rPr>
        <w:t>, resulta imposible retrotraernos en el tiempo, de ahí que el tiempo que tardó el sujeto obligado en emitir su respuesta sea un acto de imposible reparación.</w:t>
      </w:r>
    </w:p>
    <w:p w14:paraId="730B161E" w14:textId="371E9859" w:rsidR="00640089" w:rsidRDefault="00C01371" w:rsidP="00C141F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que anteceden </w:t>
      </w:r>
      <w:r w:rsidR="00C141F9">
        <w:rPr>
          <w:rFonts w:ascii="AvantGarde Bk BT" w:hAnsi="AvantGarde Bk BT" w:cs="Arial"/>
          <w:color w:val="000000" w:themeColor="text1"/>
          <w:sz w:val="24"/>
          <w:szCs w:val="24"/>
        </w:rPr>
        <w:t xml:space="preserve">el </w:t>
      </w:r>
      <w:r w:rsidR="00C141F9" w:rsidRPr="00880D55">
        <w:rPr>
          <w:rFonts w:ascii="AvantGarde Bk BT" w:hAnsi="AvantGarde Bk BT" w:cs="Arial"/>
          <w:b/>
          <w:color w:val="000000" w:themeColor="text1"/>
          <w:sz w:val="24"/>
          <w:szCs w:val="24"/>
        </w:rPr>
        <w:t xml:space="preserve">Pleno de esta Comisión </w:t>
      </w:r>
      <w:r w:rsidR="00C141F9">
        <w:rPr>
          <w:rFonts w:ascii="AvantGarde Bk BT" w:hAnsi="AvantGarde Bk BT" w:cs="Arial"/>
          <w:b/>
          <w:color w:val="000000" w:themeColor="text1"/>
          <w:sz w:val="24"/>
          <w:szCs w:val="24"/>
        </w:rPr>
        <w:t>considera que</w:t>
      </w:r>
      <w:r>
        <w:rPr>
          <w:rFonts w:ascii="AvantGarde Bk BT" w:hAnsi="AvantGarde Bk BT" w:cs="Arial"/>
          <w:color w:val="000000" w:themeColor="text1"/>
          <w:sz w:val="24"/>
          <w:szCs w:val="24"/>
        </w:rPr>
        <w:t xml:space="preserve"> </w:t>
      </w:r>
      <w:r w:rsidRPr="00C141F9">
        <w:rPr>
          <w:rFonts w:ascii="AvantGarde Bk BT" w:hAnsi="AvantGarde Bk BT" w:cs="Arial"/>
          <w:b/>
          <w:color w:val="000000" w:themeColor="text1"/>
          <w:sz w:val="24"/>
          <w:szCs w:val="24"/>
        </w:rPr>
        <w:t>los agravios</w:t>
      </w:r>
      <w:r w:rsidR="00C141F9">
        <w:rPr>
          <w:rFonts w:ascii="AvantGarde Bk BT" w:hAnsi="AvantGarde Bk BT" w:cs="Arial"/>
          <w:b/>
          <w:color w:val="000000" w:themeColor="text1"/>
          <w:sz w:val="24"/>
          <w:szCs w:val="24"/>
        </w:rPr>
        <w:t xml:space="preserve"> expresados por la persona recurrente, mismos que quedaron</w:t>
      </w:r>
      <w:r w:rsidRPr="00C141F9">
        <w:rPr>
          <w:rFonts w:ascii="AvantGarde Bk BT" w:hAnsi="AvantGarde Bk BT" w:cs="Arial"/>
          <w:b/>
          <w:color w:val="000000" w:themeColor="text1"/>
          <w:sz w:val="24"/>
          <w:szCs w:val="24"/>
        </w:rPr>
        <w:t xml:space="preserve"> identificados como primero, segundo y cuarto</w:t>
      </w:r>
      <w:r w:rsidR="00C141F9">
        <w:rPr>
          <w:rFonts w:ascii="AvantGarde Bk BT" w:hAnsi="AvantGarde Bk BT" w:cs="Arial"/>
          <w:b/>
          <w:color w:val="000000" w:themeColor="text1"/>
          <w:sz w:val="24"/>
          <w:szCs w:val="24"/>
        </w:rPr>
        <w:t>,</w:t>
      </w:r>
      <w:r w:rsidRPr="00C141F9">
        <w:rPr>
          <w:rFonts w:ascii="AvantGarde Bk BT" w:hAnsi="AvantGarde Bk BT" w:cs="Arial"/>
          <w:b/>
          <w:color w:val="000000" w:themeColor="text1"/>
          <w:sz w:val="24"/>
          <w:szCs w:val="24"/>
        </w:rPr>
        <w:t xml:space="preserve"> resultaron fundados</w:t>
      </w:r>
      <w:r w:rsidR="00C141F9">
        <w:rPr>
          <w:rFonts w:ascii="AvantGarde Bk BT" w:hAnsi="AvantGarde Bk BT" w:cs="Arial"/>
          <w:color w:val="000000" w:themeColor="text1"/>
          <w:sz w:val="24"/>
          <w:szCs w:val="24"/>
        </w:rPr>
        <w:t xml:space="preserve"> </w:t>
      </w:r>
      <w:r w:rsidR="00C141F9" w:rsidRPr="00C141F9">
        <w:rPr>
          <w:rFonts w:ascii="AvantGarde Bk BT" w:hAnsi="AvantGarde Bk BT" w:cs="Arial"/>
          <w:b/>
          <w:color w:val="000000" w:themeColor="text1"/>
          <w:sz w:val="24"/>
          <w:szCs w:val="24"/>
        </w:rPr>
        <w:t>y suficientes para modificar el acto impugnado.</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61D6E7A1"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C141F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719A45C0" w14:textId="1A481E17" w:rsidR="00B91FCB" w:rsidRDefault="00531A80" w:rsidP="00B91FCB">
      <w:pPr>
        <w:pStyle w:val="Prrafodelista"/>
        <w:numPr>
          <w:ilvl w:val="0"/>
          <w:numId w:val="46"/>
        </w:numPr>
        <w:spacing w:line="360" w:lineRule="auto"/>
        <w:ind w:left="1134" w:hanging="425"/>
        <w:jc w:val="both"/>
        <w:rPr>
          <w:rFonts w:ascii="AvantGarde Bk BT" w:hAnsi="AvantGarde Bk BT" w:cs="Arial"/>
          <w:color w:val="000000" w:themeColor="text1"/>
          <w:sz w:val="24"/>
          <w:szCs w:val="24"/>
        </w:rPr>
      </w:pPr>
      <w:r w:rsidRPr="00B91FCB">
        <w:rPr>
          <w:rFonts w:ascii="AvantGarde Bk BT" w:hAnsi="AvantGarde Bk BT" w:cs="Arial"/>
          <w:bCs/>
          <w:color w:val="000000" w:themeColor="text1"/>
          <w:sz w:val="24"/>
          <w:szCs w:val="24"/>
        </w:rPr>
        <w:t>La Titular de la Unidad de Transparencia</w:t>
      </w:r>
      <w:r w:rsidR="009D329A" w:rsidRPr="00B91FCB">
        <w:rPr>
          <w:rFonts w:ascii="AvantGarde Bk BT" w:hAnsi="AvantGarde Bk BT" w:cs="Arial"/>
          <w:bCs/>
          <w:color w:val="000000" w:themeColor="text1"/>
          <w:sz w:val="24"/>
          <w:szCs w:val="24"/>
        </w:rPr>
        <w:t xml:space="preserve"> </w:t>
      </w:r>
      <w:r w:rsidRPr="00B91FCB">
        <w:rPr>
          <w:rFonts w:ascii="AvantGarde Bk BT" w:hAnsi="AvantGarde Bk BT" w:cs="Arial"/>
          <w:bCs/>
          <w:color w:val="000000" w:themeColor="text1"/>
          <w:sz w:val="24"/>
          <w:szCs w:val="24"/>
        </w:rPr>
        <w:t xml:space="preserve">turne </w:t>
      </w:r>
      <w:r w:rsidRPr="00B91FCB">
        <w:rPr>
          <w:rFonts w:ascii="AvantGarde Bk BT" w:hAnsi="AvantGarde Bk BT" w:cs="Arial"/>
          <w:color w:val="000000" w:themeColor="text1"/>
          <w:sz w:val="24"/>
          <w:szCs w:val="24"/>
        </w:rPr>
        <w:t xml:space="preserve">la solicitud de información a </w:t>
      </w:r>
      <w:r w:rsidR="00B91FCB">
        <w:rPr>
          <w:rFonts w:ascii="AvantGarde Bk BT" w:hAnsi="AvantGarde Bk BT" w:cs="Arial"/>
          <w:color w:val="000000" w:themeColor="text1"/>
          <w:sz w:val="24"/>
          <w:szCs w:val="24"/>
        </w:rPr>
        <w:t>la Dirección de Recursos Humanos del Órgano de Administración Judicial, para que dicha área modifique su respuesta en los siguientes términos:</w:t>
      </w:r>
    </w:p>
    <w:p w14:paraId="346B0A9B" w14:textId="37DD748A" w:rsidR="00B0633E" w:rsidRDefault="00B91FCB" w:rsidP="0021017D">
      <w:pPr>
        <w:pStyle w:val="Prrafodelista"/>
        <w:numPr>
          <w:ilvl w:val="0"/>
          <w:numId w:val="47"/>
        </w:numPr>
        <w:spacing w:line="360" w:lineRule="auto"/>
        <w:jc w:val="both"/>
        <w:rPr>
          <w:rFonts w:ascii="AvantGarde Bk BT" w:hAnsi="AvantGarde Bk BT" w:cs="Arial"/>
          <w:color w:val="000000" w:themeColor="text1"/>
          <w:sz w:val="24"/>
          <w:szCs w:val="24"/>
        </w:rPr>
      </w:pPr>
      <w:r w:rsidRPr="00B0633E">
        <w:rPr>
          <w:rFonts w:ascii="AvantGarde Bk BT" w:hAnsi="AvantGarde Bk BT" w:cs="Arial"/>
          <w:color w:val="000000" w:themeColor="text1"/>
          <w:sz w:val="24"/>
          <w:szCs w:val="24"/>
        </w:rPr>
        <w:t xml:space="preserve">Funde y motive las razones por las cuales los contratos </w:t>
      </w:r>
      <w:r w:rsidR="00B0633E" w:rsidRPr="00B0633E">
        <w:rPr>
          <w:rFonts w:ascii="AvantGarde Bk BT" w:hAnsi="AvantGarde Bk BT" w:cs="Arial"/>
          <w:color w:val="000000" w:themeColor="text1"/>
          <w:sz w:val="24"/>
          <w:szCs w:val="24"/>
        </w:rPr>
        <w:t xml:space="preserve">de las personas que dejaron de trabajar para el sujeto obligado en el periodo comprendido de diciembre de dos mil veinticinco a enero de dos mil veintiséis, son la </w:t>
      </w:r>
      <w:r w:rsidRPr="00B0633E">
        <w:rPr>
          <w:rFonts w:ascii="AvantGarde Bk BT" w:hAnsi="AvantGarde Bk BT" w:cs="Arial"/>
          <w:color w:val="000000" w:themeColor="text1"/>
          <w:sz w:val="24"/>
          <w:szCs w:val="24"/>
        </w:rPr>
        <w:t xml:space="preserve">expresión documental que contiene la información </w:t>
      </w:r>
      <w:r w:rsidR="00B0633E">
        <w:rPr>
          <w:rFonts w:ascii="AvantGarde Bk BT" w:hAnsi="AvantGarde Bk BT" w:cs="Arial"/>
          <w:color w:val="000000" w:themeColor="text1"/>
          <w:sz w:val="24"/>
          <w:szCs w:val="24"/>
        </w:rPr>
        <w:t xml:space="preserve">requerida en la solicitud de información </w:t>
      </w:r>
      <w:r w:rsidR="00B0633E" w:rsidRPr="00B0633E">
        <w:rPr>
          <w:rFonts w:ascii="AvantGarde Bk BT" w:hAnsi="AvantGarde Bk BT" w:cs="Arial"/>
          <w:color w:val="000000" w:themeColor="text1"/>
          <w:sz w:val="24"/>
          <w:szCs w:val="24"/>
        </w:rPr>
        <w:t>(nombre, cargo o puesto, adscripción, tipo de contratación, fecha de conclusión y motivo de la separación)</w:t>
      </w:r>
      <w:r w:rsidR="00B0633E">
        <w:rPr>
          <w:rFonts w:ascii="AvantGarde Bk BT" w:hAnsi="AvantGarde Bk BT" w:cs="Arial"/>
          <w:color w:val="000000" w:themeColor="text1"/>
          <w:sz w:val="24"/>
          <w:szCs w:val="24"/>
        </w:rPr>
        <w:t>.</w:t>
      </w:r>
    </w:p>
    <w:p w14:paraId="5BB71A84" w14:textId="5C255335" w:rsidR="00B91FCB" w:rsidRDefault="00B91FCB" w:rsidP="0021017D">
      <w:pPr>
        <w:pStyle w:val="Prrafodelista"/>
        <w:numPr>
          <w:ilvl w:val="0"/>
          <w:numId w:val="47"/>
        </w:numPr>
        <w:spacing w:line="360" w:lineRule="auto"/>
        <w:jc w:val="both"/>
        <w:rPr>
          <w:rFonts w:ascii="AvantGarde Bk BT" w:hAnsi="AvantGarde Bk BT" w:cs="Arial"/>
          <w:color w:val="000000" w:themeColor="text1"/>
          <w:sz w:val="24"/>
          <w:szCs w:val="24"/>
        </w:rPr>
      </w:pPr>
      <w:r w:rsidRPr="00B0633E">
        <w:rPr>
          <w:rFonts w:ascii="AvantGarde Bk BT" w:hAnsi="AvantGarde Bk BT" w:cs="Arial"/>
          <w:color w:val="000000" w:themeColor="text1"/>
          <w:sz w:val="24"/>
          <w:szCs w:val="24"/>
        </w:rPr>
        <w:t xml:space="preserve"> </w:t>
      </w:r>
      <w:r w:rsidR="00B0633E">
        <w:rPr>
          <w:rFonts w:ascii="AvantGarde Bk BT" w:hAnsi="AvantGarde Bk BT" w:cs="Arial"/>
          <w:color w:val="000000" w:themeColor="text1"/>
          <w:sz w:val="24"/>
          <w:szCs w:val="24"/>
        </w:rPr>
        <w:t xml:space="preserve">Informe a la persona recurrente las causas que originan la clasificación de la información contenida en los aludidos contratos, sin poder omitir </w:t>
      </w:r>
      <w:r w:rsidR="00B0633E">
        <w:rPr>
          <w:rFonts w:ascii="AvantGarde Bk BT" w:hAnsi="AvantGarde Bk BT" w:cs="Arial"/>
          <w:color w:val="000000" w:themeColor="text1"/>
          <w:sz w:val="24"/>
          <w:szCs w:val="24"/>
        </w:rPr>
        <w:lastRenderedPageBreak/>
        <w:t>informar cuales son los datos personales que serán omitidos en la versión pública.</w:t>
      </w:r>
    </w:p>
    <w:p w14:paraId="09976D05" w14:textId="68B97988" w:rsidR="00B0633E" w:rsidRPr="00B0633E" w:rsidRDefault="00B0633E" w:rsidP="0021017D">
      <w:pPr>
        <w:pStyle w:val="Prrafodelista"/>
        <w:numPr>
          <w:ilvl w:val="0"/>
          <w:numId w:val="47"/>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Proporcione a la persona recurrente la versión pública de los aludidos contratos, esto en modalidad electrónica y en la inteligencia de que deberá entregar el acta expedida por el Comité de Transparencia mediante el cual confirmó la clasificación de la información como confidencial por contener datos personales y aprobó la elaboración de las versiones públicas correspondientes. </w:t>
      </w:r>
    </w:p>
    <w:p w14:paraId="0A22C2BD" w14:textId="0D9BAEF3" w:rsidR="005C5DA1" w:rsidRPr="0067260C" w:rsidRDefault="007C62BF" w:rsidP="009A0D4F">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5.2.</w:t>
      </w:r>
      <w:r w:rsidR="005C5DA1">
        <w:rPr>
          <w:rFonts w:ascii="AvantGarde Bk BT" w:hAnsi="AvantGarde Bk BT" w:cs="Arial"/>
          <w:b/>
          <w:color w:val="000000" w:themeColor="text1"/>
          <w:sz w:val="24"/>
          <w:szCs w:val="24"/>
        </w:rPr>
        <w:t xml:space="preserve"> </w:t>
      </w:r>
      <w:r w:rsidR="009A4012" w:rsidRPr="009A4012">
        <w:rPr>
          <w:rFonts w:ascii="AvantGarde Bk BT" w:hAnsi="AvantGarde Bk BT" w:cs="Arial"/>
          <w:b/>
          <w:color w:val="000000" w:themeColor="text1"/>
          <w:sz w:val="24"/>
          <w:szCs w:val="24"/>
        </w:rPr>
        <w:t>Modalidad de la información</w:t>
      </w:r>
      <w:r w:rsidR="005C5DA1" w:rsidRPr="009A4012">
        <w:rPr>
          <w:rFonts w:ascii="AvantGarde Bk BT" w:hAnsi="AvantGarde Bk BT" w:cs="Arial"/>
          <w:b/>
          <w:color w:val="000000" w:themeColor="text1"/>
          <w:sz w:val="24"/>
          <w:szCs w:val="24"/>
        </w:rPr>
        <w:t>.</w:t>
      </w:r>
    </w:p>
    <w:p w14:paraId="155C4D46" w14:textId="77777777" w:rsidR="009A4012" w:rsidRDefault="009A4012" w:rsidP="009A40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389C4756" w:rsidR="009A0D4F" w:rsidRDefault="007C62BF"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5.3</w:t>
      </w:r>
      <w:r w:rsidR="009A0D4F">
        <w:rPr>
          <w:rFonts w:ascii="AvantGarde Bk BT" w:hAnsi="AvantGarde Bk BT" w:cs="Arial"/>
          <w:b/>
          <w:color w:val="000000" w:themeColor="text1"/>
          <w:sz w:val="24"/>
          <w:szCs w:val="24"/>
        </w:rPr>
        <w:t xml:space="preserve">.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258910C2" w:rsidR="009A0D4F" w:rsidRPr="00C12794" w:rsidRDefault="009A0D4F"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7C62BF">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xml:space="preserve">, lo anterior en la inteligencia de que dicho plazo podrá ampliarse a solicitud del sujeto obligado en términos del artículo 183 de </w:t>
      </w:r>
      <w:r>
        <w:rPr>
          <w:rFonts w:ascii="AvantGarde Bk BT" w:hAnsi="AvantGarde Bk BT" w:cs="Arial"/>
          <w:color w:val="000000" w:themeColor="text1"/>
          <w:sz w:val="24"/>
          <w:szCs w:val="24"/>
        </w:rPr>
        <w:lastRenderedPageBreak/>
        <w:t>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24116B4C" w:rsidR="009A0D4F" w:rsidRPr="004C15C0" w:rsidRDefault="007C62B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9A0D4F" w:rsidRPr="00831D47">
        <w:rPr>
          <w:rFonts w:ascii="AvantGarde Bk BT" w:hAnsi="AvantGarde Bk BT" w:cs="Arial"/>
          <w:b/>
          <w:color w:val="000000" w:themeColor="text1"/>
          <w:sz w:val="24"/>
          <w:szCs w:val="24"/>
        </w:rPr>
        <w:t>. 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02592FF1" w:rsidR="009A0D4F" w:rsidRPr="00684218"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7C62B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D25712">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7548D40E"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55E52">
        <w:rPr>
          <w:rFonts w:ascii="AvantGarde Bk BT" w:hAnsi="AvantGarde Bk BT" w:cs="Arial"/>
          <w:b/>
          <w:bCs/>
          <w:color w:val="000000" w:themeColor="text1"/>
          <w:sz w:val="24"/>
          <w:szCs w:val="24"/>
        </w:rPr>
        <w:t>MODIFI</w:t>
      </w:r>
      <w:r w:rsidR="00E35AC3">
        <w:rPr>
          <w:rFonts w:ascii="AvantGarde Bk BT" w:hAnsi="AvantGarde Bk BT" w:cs="Arial"/>
          <w:b/>
          <w:bCs/>
          <w:color w:val="000000" w:themeColor="text1"/>
          <w:sz w:val="24"/>
          <w:szCs w:val="24"/>
        </w:rPr>
        <w:t>C</w:t>
      </w:r>
      <w:r>
        <w:rPr>
          <w:rFonts w:ascii="AvantGarde Bk BT" w:hAnsi="AvantGarde Bk BT" w:cs="Arial"/>
          <w:b/>
          <w:bCs/>
          <w:color w:val="000000" w:themeColor="text1"/>
          <w:sz w:val="24"/>
          <w:szCs w:val="24"/>
        </w:rPr>
        <w:t>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1DFD1376" w14:textId="2BDD7E7A" w:rsidR="00531A80" w:rsidRPr="006809EF" w:rsidRDefault="009A0D4F" w:rsidP="00C131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Pr="00D33617">
        <w:rPr>
          <w:rFonts w:ascii="AvantGarde Bk BT" w:hAnsi="AvantGarde Bk BT"/>
          <w:sz w:val="24"/>
          <w:szCs w:val="24"/>
        </w:rPr>
        <w:t xml:space="preserve">Ordinaria del </w:t>
      </w:r>
      <w:r w:rsidR="00C55E52">
        <w:rPr>
          <w:rFonts w:ascii="AvantGarde Bk BT" w:hAnsi="AvantGarde Bk BT"/>
          <w:sz w:val="24"/>
          <w:szCs w:val="24"/>
        </w:rPr>
        <w:t>ocho de abril</w:t>
      </w:r>
      <w:r w:rsidR="00531A80">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16D2370D" w14:textId="5E2624E5" w:rsidR="009171C0" w:rsidRPr="00FE6442" w:rsidRDefault="009171C0" w:rsidP="00C1314F">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70F88D3C" w:rsidR="005873DB" w:rsidRPr="004C15C0" w:rsidRDefault="009171C0" w:rsidP="00C1314F">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w:t>
      </w:r>
      <w:r w:rsidRPr="00D33617">
        <w:rPr>
          <w:rFonts w:ascii="AvantGarde Bk BT" w:hAnsi="AvantGarde Bk BT" w:cs="Arial"/>
          <w:color w:val="000000" w:themeColor="text1"/>
          <w:sz w:val="14"/>
          <w:szCs w:val="14"/>
        </w:rPr>
        <w:t xml:space="preserve">ordinaria de </w:t>
      </w:r>
      <w:r w:rsidR="00C55E52">
        <w:rPr>
          <w:rFonts w:ascii="AvantGarde Bk BT" w:hAnsi="AvantGarde Bk BT" w:cs="Arial"/>
          <w:color w:val="000000" w:themeColor="text1"/>
          <w:sz w:val="14"/>
          <w:szCs w:val="14"/>
        </w:rPr>
        <w:t>ocho de abril</w:t>
      </w:r>
      <w:r w:rsidR="00531A80">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w:t>
      </w:r>
      <w:r w:rsidR="0004149D">
        <w:rPr>
          <w:rFonts w:ascii="AvantGarde Bk BT" w:hAnsi="AvantGarde Bk BT" w:cs="Arial"/>
          <w:color w:val="000000" w:themeColor="text1"/>
          <w:sz w:val="14"/>
          <w:szCs w:val="14"/>
        </w:rPr>
        <w:t>o de re</w:t>
      </w:r>
      <w:r w:rsidR="00D25712">
        <w:rPr>
          <w:rFonts w:ascii="AvantGarde Bk BT" w:hAnsi="AvantGarde Bk BT" w:cs="Arial"/>
          <w:color w:val="000000" w:themeColor="text1"/>
          <w:sz w:val="14"/>
          <w:szCs w:val="14"/>
        </w:rPr>
        <w:t>visión RR-</w:t>
      </w:r>
      <w:r w:rsidR="00C55E52">
        <w:rPr>
          <w:rFonts w:ascii="AvantGarde Bk BT" w:hAnsi="AvantGarde Bk BT" w:cs="Arial"/>
          <w:color w:val="000000" w:themeColor="text1"/>
          <w:sz w:val="14"/>
          <w:szCs w:val="14"/>
        </w:rPr>
        <w:t>0</w:t>
      </w:r>
      <w:r w:rsidR="00531A80">
        <w:rPr>
          <w:rFonts w:ascii="AvantGarde Bk BT" w:hAnsi="AvantGarde Bk BT" w:cs="Arial"/>
          <w:color w:val="000000" w:themeColor="text1"/>
          <w:sz w:val="14"/>
          <w:szCs w:val="14"/>
        </w:rPr>
        <w:t>7</w:t>
      </w:r>
      <w:r w:rsidR="00C55E52">
        <w:rPr>
          <w:rFonts w:ascii="AvantGarde Bk BT" w:hAnsi="AvantGarde Bk BT" w:cs="Arial"/>
          <w:color w:val="000000" w:themeColor="text1"/>
          <w:sz w:val="14"/>
          <w:szCs w:val="14"/>
        </w:rPr>
        <w:t>2</w:t>
      </w:r>
      <w:r w:rsidR="00531A80">
        <w:rPr>
          <w:rFonts w:ascii="AvantGarde Bk BT" w:hAnsi="AvantGarde Bk BT" w:cs="Arial"/>
          <w:color w:val="000000" w:themeColor="text1"/>
          <w:sz w:val="14"/>
          <w:szCs w:val="14"/>
        </w:rPr>
        <w:t>/2026</w:t>
      </w:r>
      <w:r>
        <w:rPr>
          <w:rFonts w:ascii="AvantGarde Bk BT" w:hAnsi="AvantGarde Bk BT" w:cs="Arial"/>
          <w:color w:val="000000" w:themeColor="text1"/>
          <w:sz w:val="14"/>
          <w:szCs w:val="14"/>
        </w:rPr>
        <w:t>-1.)</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E2123" w14:textId="77777777" w:rsidR="00190EAB" w:rsidRDefault="00190EAB" w:rsidP="003864ED">
      <w:pPr>
        <w:spacing w:after="0" w:line="240" w:lineRule="auto"/>
      </w:pPr>
      <w:r>
        <w:separator/>
      </w:r>
    </w:p>
  </w:endnote>
  <w:endnote w:type="continuationSeparator" w:id="0">
    <w:p w14:paraId="5AD3C8DB" w14:textId="77777777" w:rsidR="00190EAB" w:rsidRDefault="00190EA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65E3D9" w14:textId="77777777" w:rsidR="00190EAB" w:rsidRDefault="00190EAB" w:rsidP="003864ED">
      <w:pPr>
        <w:spacing w:after="0" w:line="240" w:lineRule="auto"/>
      </w:pPr>
      <w:r>
        <w:separator/>
      </w:r>
    </w:p>
  </w:footnote>
  <w:footnote w:type="continuationSeparator" w:id="0">
    <w:p w14:paraId="5B5694AF" w14:textId="77777777" w:rsidR="00190EAB" w:rsidRDefault="00190EAB" w:rsidP="003864ED">
      <w:pPr>
        <w:spacing w:after="0" w:line="240" w:lineRule="auto"/>
      </w:pPr>
      <w:r>
        <w:continuationSeparator/>
      </w:r>
    </w:p>
  </w:footnote>
  <w:footnote w:id="1">
    <w:p w14:paraId="5F2B1602" w14:textId="77777777" w:rsidR="005142BE" w:rsidRPr="0004149D" w:rsidRDefault="005142BE" w:rsidP="004A50D0">
      <w:pPr>
        <w:pStyle w:val="Textonotapie"/>
        <w:jc w:val="both"/>
        <w:rPr>
          <w:sz w:val="18"/>
          <w:szCs w:val="18"/>
        </w:rPr>
      </w:pPr>
      <w:r w:rsidRPr="0004149D">
        <w:rPr>
          <w:rStyle w:val="Refdenotaalpie"/>
          <w:sz w:val="18"/>
          <w:szCs w:val="18"/>
        </w:rPr>
        <w:footnoteRef/>
      </w:r>
      <w:r w:rsidRPr="0004149D">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04149D">
        <w:rPr>
          <w:sz w:val="18"/>
          <w:szCs w:val="18"/>
        </w:rPr>
        <w:t>Mayo</w:t>
      </w:r>
      <w:proofErr w:type="gramEnd"/>
      <w:r w:rsidRPr="0004149D">
        <w:rPr>
          <w:sz w:val="18"/>
          <w:szCs w:val="18"/>
        </w:rPr>
        <w:t xml:space="preserve"> de 2010, página 830, Tipo: Jurisprudencia.</w:t>
      </w:r>
    </w:p>
  </w:footnote>
  <w:footnote w:id="2">
    <w:p w14:paraId="2EE97529" w14:textId="77777777" w:rsidR="00DA312C" w:rsidRPr="0051475B" w:rsidRDefault="00DA312C" w:rsidP="00DA312C">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16.</w:t>
      </w:r>
      <w:r w:rsidRPr="0051475B">
        <w:rPr>
          <w:sz w:val="18"/>
          <w:szCs w:val="18"/>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14:paraId="4D40728C" w14:textId="77777777" w:rsidR="00DA312C" w:rsidRPr="0051475B" w:rsidRDefault="00DA312C" w:rsidP="00DA312C">
      <w:pPr>
        <w:pStyle w:val="Textonotapie"/>
        <w:jc w:val="both"/>
        <w:rPr>
          <w:sz w:val="18"/>
          <w:szCs w:val="18"/>
        </w:rPr>
      </w:pPr>
      <w:r w:rsidRPr="0051475B">
        <w:rPr>
          <w:sz w:val="18"/>
          <w:szCs w:val="18"/>
        </w:rPr>
        <w:t>[…].</w:t>
      </w:r>
    </w:p>
  </w:footnote>
  <w:footnote w:id="3">
    <w:p w14:paraId="3C7737BB" w14:textId="77777777" w:rsidR="00DA312C" w:rsidRPr="0051475B" w:rsidRDefault="00DA312C" w:rsidP="00DA312C">
      <w:pPr>
        <w:pStyle w:val="Textonotapie"/>
        <w:jc w:val="both"/>
        <w:rPr>
          <w:sz w:val="18"/>
          <w:szCs w:val="18"/>
        </w:rPr>
      </w:pPr>
      <w:r w:rsidRPr="0051475B">
        <w:rPr>
          <w:rStyle w:val="Refdenotaalpie"/>
          <w:sz w:val="18"/>
          <w:szCs w:val="18"/>
        </w:rPr>
        <w:footnoteRef/>
      </w:r>
      <w:r w:rsidRPr="0051475B">
        <w:rPr>
          <w:sz w:val="18"/>
          <w:szCs w:val="18"/>
        </w:rPr>
        <w:t xml:space="preserve"> Suprema Corte de Justicia de la Nación, Registro digital: 177347, Instancia: Segunda Sala, Novena Época, Materias(s): Administrativa, Tesis: 2a./J. 115/2005, Fuente: Semanario Judicial de la Federación y su Gaceta. Tomo XXII, </w:t>
      </w:r>
      <w:proofErr w:type="gramStart"/>
      <w:r w:rsidRPr="0051475B">
        <w:rPr>
          <w:sz w:val="18"/>
          <w:szCs w:val="18"/>
        </w:rPr>
        <w:t>Septiembre</w:t>
      </w:r>
      <w:proofErr w:type="gramEnd"/>
      <w:r w:rsidRPr="0051475B">
        <w:rPr>
          <w:sz w:val="18"/>
          <w:szCs w:val="18"/>
        </w:rPr>
        <w:t xml:space="preserve"> de 2005, página 310, Tipo: Jurisprudencia.</w:t>
      </w:r>
    </w:p>
    <w:p w14:paraId="44A1D6BA" w14:textId="77777777" w:rsidR="00DA312C" w:rsidRPr="0051475B" w:rsidRDefault="00DA312C" w:rsidP="00DA312C">
      <w:pPr>
        <w:pStyle w:val="Textonotapie"/>
        <w:rPr>
          <w:sz w:val="18"/>
          <w:szCs w:val="18"/>
        </w:rPr>
      </w:pPr>
    </w:p>
  </w:footnote>
  <w:footnote w:id="4">
    <w:p w14:paraId="02E5B226" w14:textId="77777777" w:rsidR="0037401E" w:rsidRDefault="0037401E" w:rsidP="0037401E">
      <w:pPr>
        <w:pStyle w:val="Textonotapie"/>
        <w:jc w:val="both"/>
      </w:pPr>
      <w:r w:rsidRPr="0051475B">
        <w:rPr>
          <w:rStyle w:val="Refdenotaalpie"/>
          <w:sz w:val="18"/>
          <w:szCs w:val="18"/>
        </w:rPr>
        <w:footnoteRef/>
      </w:r>
      <w:r w:rsidRPr="0051475B">
        <w:rPr>
          <w:sz w:val="18"/>
          <w:szCs w:val="18"/>
        </w:rPr>
        <w:t xml:space="preserve"> Suprema Corte de Justicia de la Nación, Registro digital: 162826, Instancia: Tribunales Colegiados de Circuito, Novena Época, Materias(s): Común, Tesis: IV.2o.C. J/12, Fuente: Semanario Judicial de la Federación y su Gaceta. Tomo XXXIII, </w:t>
      </w:r>
      <w:proofErr w:type="gramStart"/>
      <w:r w:rsidRPr="0051475B">
        <w:rPr>
          <w:sz w:val="18"/>
          <w:szCs w:val="18"/>
        </w:rPr>
        <w:t>Febrero</w:t>
      </w:r>
      <w:proofErr w:type="gramEnd"/>
      <w:r w:rsidRPr="0051475B">
        <w:rPr>
          <w:sz w:val="18"/>
          <w:szCs w:val="18"/>
        </w:rPr>
        <w:t xml:space="preserve"> de 2011, página 2053, Tipo: Jurisprudencia</w:t>
      </w:r>
    </w:p>
  </w:footnote>
  <w:footnote w:id="5">
    <w:p w14:paraId="1BF8F5EF" w14:textId="355ACD71" w:rsidR="00BF05EE" w:rsidRPr="00BF05EE" w:rsidRDefault="00BF05EE" w:rsidP="00BF05EE">
      <w:pPr>
        <w:pStyle w:val="Textonotapie"/>
        <w:jc w:val="both"/>
        <w:rPr>
          <w:sz w:val="18"/>
        </w:rPr>
      </w:pPr>
      <w:r w:rsidRPr="00BF05EE">
        <w:rPr>
          <w:rStyle w:val="Refdenotaalpie"/>
          <w:sz w:val="18"/>
        </w:rPr>
        <w:footnoteRef/>
      </w:r>
      <w:r w:rsidRPr="00BF05EE">
        <w:rPr>
          <w:sz w:val="18"/>
        </w:rPr>
        <w:t xml:space="preserve"> </w:t>
      </w:r>
      <w:r w:rsidRPr="00BF05EE">
        <w:rPr>
          <w:b/>
          <w:sz w:val="18"/>
        </w:rPr>
        <w:t>ARTÍCULO 8°.</w:t>
      </w:r>
      <w:r w:rsidRPr="00BF05EE">
        <w:rPr>
          <w:sz w:val="18"/>
        </w:rPr>
        <w:t xml:space="preserve"> La CEGAIP deberá regir su funcionamiento de acuerdo a los siguientes principios:</w:t>
      </w:r>
    </w:p>
    <w:p w14:paraId="7788481B" w14:textId="0D33268C" w:rsidR="00BF05EE" w:rsidRPr="00BF05EE" w:rsidRDefault="00BF05EE" w:rsidP="00BF05EE">
      <w:pPr>
        <w:pStyle w:val="Textonotapie"/>
        <w:jc w:val="both"/>
        <w:rPr>
          <w:sz w:val="18"/>
        </w:rPr>
      </w:pPr>
      <w:r w:rsidRPr="00BF05EE">
        <w:rPr>
          <w:sz w:val="18"/>
        </w:rPr>
        <w:t>[…]</w:t>
      </w:r>
    </w:p>
    <w:p w14:paraId="7E5A6EB2" w14:textId="78B26F6D" w:rsidR="00BF05EE" w:rsidRPr="00BF05EE" w:rsidRDefault="00BF05EE" w:rsidP="00BF05EE">
      <w:pPr>
        <w:pStyle w:val="Textonotapie"/>
        <w:jc w:val="both"/>
        <w:rPr>
          <w:sz w:val="18"/>
        </w:rPr>
      </w:pPr>
      <w:r w:rsidRPr="00BF05EE">
        <w:rPr>
          <w:sz w:val="18"/>
        </w:rPr>
        <w:t>VI. Máxima Publicidad: toda la información en posesión de los sujetos obligados será pública, completa, oportuna y accesible, sujeta a un claro régimen de excepciones que deberán estar definidas y ser además legítimas y estrictamente necesarias en una sociedad democrática;</w:t>
      </w:r>
    </w:p>
    <w:p w14:paraId="7069A92C" w14:textId="68E1EC64" w:rsidR="00BF05EE" w:rsidRPr="00BF05EE" w:rsidRDefault="00BF05EE" w:rsidP="00BF05EE">
      <w:pPr>
        <w:pStyle w:val="Textonotapie"/>
        <w:jc w:val="both"/>
      </w:pPr>
      <w:r w:rsidRPr="00BF05EE">
        <w:rPr>
          <w:sz w:val="18"/>
        </w:rPr>
        <w:t>[…].</w:t>
      </w:r>
    </w:p>
  </w:footnote>
  <w:footnote w:id="6">
    <w:p w14:paraId="5A83CB04" w14:textId="77777777" w:rsidR="005142BE" w:rsidRPr="0004149D" w:rsidRDefault="005142BE" w:rsidP="000468A0">
      <w:pPr>
        <w:pStyle w:val="Textonotapie"/>
        <w:jc w:val="both"/>
        <w:rPr>
          <w:sz w:val="18"/>
          <w:szCs w:val="18"/>
          <w:lang w:val="es-ES_tradnl"/>
        </w:rPr>
      </w:pPr>
      <w:r w:rsidRPr="0004149D">
        <w:rPr>
          <w:rStyle w:val="Refdenotaalpie"/>
          <w:sz w:val="18"/>
          <w:szCs w:val="18"/>
        </w:rPr>
        <w:footnoteRef/>
      </w:r>
      <w:r w:rsidRPr="0004149D">
        <w:rPr>
          <w:sz w:val="18"/>
          <w:szCs w:val="18"/>
        </w:rPr>
        <w:t xml:space="preserve"> </w:t>
      </w:r>
      <w:r w:rsidRPr="0004149D">
        <w:rPr>
          <w:b/>
          <w:bCs/>
          <w:sz w:val="18"/>
          <w:szCs w:val="18"/>
          <w:lang w:val="es-ES_tradnl"/>
        </w:rPr>
        <w:t>ARTÍCULO 61.</w:t>
      </w:r>
      <w:r w:rsidRPr="0004149D">
        <w:rPr>
          <w:bCs/>
          <w:sz w:val="18"/>
          <w:szCs w:val="18"/>
          <w:lang w:val="es-ES_tradnl"/>
        </w:rPr>
        <w:t xml:space="preserve"> </w:t>
      </w:r>
      <w:r w:rsidRPr="0004149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04149D" w:rsidRDefault="005142BE" w:rsidP="000468A0">
      <w:pPr>
        <w:pStyle w:val="Textonotapie"/>
        <w:jc w:val="both"/>
        <w:rPr>
          <w:sz w:val="18"/>
          <w:szCs w:val="18"/>
          <w:lang w:val="es-ES_tradnl"/>
        </w:rPr>
      </w:pPr>
      <w:r w:rsidRPr="0004149D">
        <w:rPr>
          <w:sz w:val="18"/>
          <w:szCs w:val="18"/>
          <w:lang w:val="es-ES_tradnl"/>
        </w:rPr>
        <w:t xml:space="preserve">La obligación de los sujetos obligados de proporcionar información no comprende el procesamiento de la misma, ni el presentarla conforme al interés del solicitante. </w:t>
      </w:r>
    </w:p>
  </w:footnote>
  <w:footnote w:id="7">
    <w:p w14:paraId="45880953" w14:textId="77777777" w:rsidR="005142BE" w:rsidRPr="0004149D" w:rsidRDefault="005142BE" w:rsidP="000468A0">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18.</w:t>
      </w:r>
      <w:r w:rsidRPr="0004149D">
        <w:rPr>
          <w:sz w:val="18"/>
          <w:szCs w:val="18"/>
        </w:rPr>
        <w:t xml:space="preserve"> Los sujetos obligados deberán documentar todo acto que derive del ejercicio de sus facultades, competencias o funciones.</w:t>
      </w:r>
    </w:p>
    <w:p w14:paraId="0EDAA087" w14:textId="77777777" w:rsidR="005142BE" w:rsidRPr="0004149D" w:rsidRDefault="005142BE" w:rsidP="000468A0">
      <w:pPr>
        <w:pStyle w:val="Textonotapie"/>
        <w:jc w:val="both"/>
        <w:rPr>
          <w:sz w:val="18"/>
          <w:szCs w:val="18"/>
        </w:rPr>
      </w:pPr>
      <w:r w:rsidRPr="0004149D">
        <w:rPr>
          <w:b/>
          <w:sz w:val="18"/>
          <w:szCs w:val="18"/>
        </w:rPr>
        <w:t>ARTÍCULO 59.</w:t>
      </w:r>
      <w:r w:rsidRPr="0004149D">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04149D" w:rsidRDefault="005142BE" w:rsidP="000468A0">
      <w:pPr>
        <w:pStyle w:val="Textonotapie"/>
        <w:jc w:val="both"/>
        <w:rPr>
          <w:sz w:val="18"/>
          <w:szCs w:val="18"/>
        </w:rPr>
      </w:pPr>
      <w:r w:rsidRPr="0004149D">
        <w:rPr>
          <w:b/>
          <w:sz w:val="18"/>
          <w:szCs w:val="18"/>
        </w:rPr>
        <w:t>ARTÍCULO 60.</w:t>
      </w:r>
      <w:r w:rsidRPr="0004149D">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04149D" w:rsidRDefault="005142BE" w:rsidP="000468A0">
      <w:pPr>
        <w:pStyle w:val="Textonotapie"/>
        <w:jc w:val="both"/>
        <w:rPr>
          <w:sz w:val="18"/>
          <w:szCs w:val="18"/>
        </w:rPr>
      </w:pPr>
      <w:r w:rsidRPr="0004149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04149D" w:rsidRDefault="005142BE" w:rsidP="000468A0">
      <w:pPr>
        <w:pStyle w:val="Textonotapie"/>
        <w:jc w:val="both"/>
        <w:rPr>
          <w:sz w:val="18"/>
          <w:szCs w:val="18"/>
        </w:rPr>
      </w:pPr>
      <w:r w:rsidRPr="0004149D">
        <w:rPr>
          <w:b/>
          <w:sz w:val="18"/>
          <w:szCs w:val="18"/>
        </w:rPr>
        <w:t>ARTÍCULO 61.</w:t>
      </w:r>
      <w:r w:rsidRPr="0004149D">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04149D" w:rsidRDefault="005142BE" w:rsidP="000468A0">
      <w:pPr>
        <w:pStyle w:val="Textonotapie"/>
        <w:jc w:val="both"/>
        <w:rPr>
          <w:sz w:val="18"/>
          <w:szCs w:val="18"/>
        </w:rPr>
      </w:pPr>
      <w:r w:rsidRPr="0004149D">
        <w:rPr>
          <w:sz w:val="18"/>
          <w:szCs w:val="18"/>
        </w:rPr>
        <w:t>La obligación de los sujetos obligados de proporcionar información no comprende el procesamiento de la misma, ni el presentarla conforme al interés del solicitante.</w:t>
      </w:r>
    </w:p>
    <w:p w14:paraId="69187026" w14:textId="77777777" w:rsidR="005142BE" w:rsidRPr="0004149D" w:rsidRDefault="005142BE" w:rsidP="000468A0">
      <w:pPr>
        <w:pStyle w:val="Textonotapie"/>
        <w:jc w:val="both"/>
        <w:rPr>
          <w:sz w:val="18"/>
          <w:szCs w:val="18"/>
        </w:rPr>
      </w:pPr>
      <w:r w:rsidRPr="0004149D">
        <w:rPr>
          <w:b/>
          <w:sz w:val="18"/>
          <w:szCs w:val="18"/>
        </w:rPr>
        <w:t>ARTÍCULO 152</w:t>
      </w:r>
      <w:r w:rsidRPr="0004149D">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70B39EB8" w14:textId="77777777" w:rsidR="00721FB9" w:rsidRPr="00847F87" w:rsidRDefault="00721FB9" w:rsidP="00721FB9">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113</w:t>
      </w:r>
      <w:r w:rsidRPr="00847F87">
        <w:rPr>
          <w:sz w:val="18"/>
          <w:szCs w:val="18"/>
        </w:rPr>
        <w:t>. Las figuras jurídicas de excepción al derecho de acceso a la información pública, son las de información reservada, e información confidencial.</w:t>
      </w:r>
    </w:p>
  </w:footnote>
  <w:footnote w:id="9">
    <w:p w14:paraId="35DCF586" w14:textId="77777777" w:rsidR="00721FB9" w:rsidRPr="00847F87" w:rsidRDefault="00721FB9" w:rsidP="00721FB9">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138.</w:t>
      </w:r>
      <w:r w:rsidRPr="00847F87">
        <w:rPr>
          <w:sz w:val="18"/>
          <w:szCs w:val="18"/>
        </w:rPr>
        <w:t xml:space="preserve"> Se considera información confidencial la que contiene datos personales concernientes a una persona identificada o identificable. </w:t>
      </w:r>
    </w:p>
    <w:p w14:paraId="78C3F91B" w14:textId="77777777" w:rsidR="00721FB9" w:rsidRPr="00847F87" w:rsidRDefault="00721FB9" w:rsidP="00721FB9">
      <w:pPr>
        <w:pStyle w:val="Textonotapie"/>
        <w:jc w:val="both"/>
        <w:rPr>
          <w:sz w:val="18"/>
          <w:szCs w:val="18"/>
        </w:rPr>
      </w:pPr>
      <w:r w:rsidRPr="00847F87">
        <w:rPr>
          <w:sz w:val="18"/>
          <w:szCs w:val="18"/>
        </w:rPr>
        <w:t xml:space="preserve">La información confidencial no estará sujeta a temporalidad alguna y sólo podrán tener acceso a ella los titulares de la misma, sus representantes y los Servidores Públicos facultados para ello. </w:t>
      </w:r>
    </w:p>
    <w:p w14:paraId="11388270" w14:textId="77777777" w:rsidR="00721FB9" w:rsidRPr="00847F87" w:rsidRDefault="00721FB9" w:rsidP="00721FB9">
      <w:pPr>
        <w:pStyle w:val="Textonotapie"/>
        <w:jc w:val="both"/>
        <w:rPr>
          <w:sz w:val="18"/>
          <w:szCs w:val="18"/>
        </w:rPr>
      </w:pPr>
      <w:r w:rsidRPr="00847F87">
        <w:rPr>
          <w:sz w:val="18"/>
          <w:szCs w:val="18"/>
        </w:rPr>
        <w:t xml:space="preserve">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3FF0BF74" w14:textId="77777777" w:rsidR="00721FB9" w:rsidRPr="00847F87" w:rsidRDefault="00721FB9" w:rsidP="00721FB9">
      <w:pPr>
        <w:pStyle w:val="Textonotapie"/>
        <w:jc w:val="both"/>
        <w:rPr>
          <w:sz w:val="18"/>
          <w:szCs w:val="18"/>
        </w:rPr>
      </w:pPr>
      <w:r w:rsidRPr="00847F87">
        <w:rPr>
          <w:sz w:val="18"/>
          <w:szCs w:val="18"/>
        </w:rPr>
        <w:t>Asimismo, será información confidencial aquella que presenten los particulares a los sujetos obligados, siempre que tengan el derecho a ello, de conformidad con lo dispuesto por las leyes o los tratados internacionales.</w:t>
      </w:r>
    </w:p>
  </w:footnote>
  <w:footnote w:id="10">
    <w:p w14:paraId="11EDAAE5" w14:textId="77777777" w:rsidR="00721FB9" w:rsidRPr="00847F87" w:rsidRDefault="00721FB9" w:rsidP="00721FB9">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6</w:t>
      </w:r>
      <w:r w:rsidRPr="00847F87">
        <w:rPr>
          <w:sz w:val="18"/>
          <w:szCs w:val="18"/>
        </w:rPr>
        <w:t>. […].</w:t>
      </w:r>
    </w:p>
    <w:p w14:paraId="65C1E04A" w14:textId="77777777" w:rsidR="00721FB9" w:rsidRPr="00847F87" w:rsidRDefault="00721FB9" w:rsidP="00721FB9">
      <w:pPr>
        <w:pStyle w:val="Textonotapie"/>
        <w:jc w:val="both"/>
        <w:rPr>
          <w:sz w:val="18"/>
          <w:szCs w:val="18"/>
        </w:rPr>
      </w:pPr>
      <w:r w:rsidRPr="00847F87">
        <w:rPr>
          <w:sz w:val="18"/>
          <w:szCs w:val="18"/>
        </w:rPr>
        <w:t>II. La información que se refiere a la vida privada y los datos personales será protegida en los términos y con las excepciones que fijen las leyes.</w:t>
      </w:r>
    </w:p>
    <w:p w14:paraId="59C67390" w14:textId="77777777" w:rsidR="00721FB9" w:rsidRPr="00847F87" w:rsidRDefault="00721FB9" w:rsidP="00721FB9">
      <w:pPr>
        <w:pStyle w:val="Textonotapie"/>
        <w:jc w:val="both"/>
        <w:rPr>
          <w:sz w:val="18"/>
          <w:szCs w:val="18"/>
        </w:rPr>
      </w:pPr>
      <w:r w:rsidRPr="00847F87">
        <w:rPr>
          <w:sz w:val="18"/>
          <w:szCs w:val="18"/>
        </w:rPr>
        <w:t>[…].</w:t>
      </w:r>
    </w:p>
    <w:p w14:paraId="2D4C3EBE" w14:textId="77777777" w:rsidR="00721FB9" w:rsidRPr="00847F87" w:rsidRDefault="00721FB9" w:rsidP="00721FB9">
      <w:pPr>
        <w:pStyle w:val="Textonotapie"/>
        <w:jc w:val="both"/>
        <w:rPr>
          <w:sz w:val="18"/>
          <w:szCs w:val="18"/>
        </w:rPr>
      </w:pPr>
      <w:r w:rsidRPr="00847F87">
        <w:rPr>
          <w:b/>
          <w:sz w:val="18"/>
          <w:szCs w:val="18"/>
        </w:rPr>
        <w:t>ARTÍCULO 16.</w:t>
      </w:r>
      <w:r w:rsidRPr="00847F87">
        <w:rPr>
          <w:sz w:val="18"/>
          <w:szCs w:val="18"/>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 </w:t>
      </w:r>
    </w:p>
    <w:p w14:paraId="610FDA49" w14:textId="77777777" w:rsidR="00721FB9" w:rsidRPr="00847F87" w:rsidRDefault="00721FB9" w:rsidP="00721FB9">
      <w:pPr>
        <w:pStyle w:val="Textonotapie"/>
        <w:jc w:val="both"/>
        <w:rPr>
          <w:sz w:val="18"/>
          <w:szCs w:val="18"/>
        </w:rPr>
      </w:pPr>
      <w:r w:rsidRPr="00847F87">
        <w:rPr>
          <w:sz w:val="18"/>
          <w:szCs w:val="18"/>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14:paraId="38360580" w14:textId="77777777" w:rsidR="00721FB9" w:rsidRPr="00847F87" w:rsidRDefault="00721FB9" w:rsidP="00721FB9">
      <w:pPr>
        <w:pStyle w:val="Textonotapie"/>
        <w:jc w:val="both"/>
        <w:rPr>
          <w:sz w:val="18"/>
          <w:szCs w:val="18"/>
        </w:rPr>
      </w:pPr>
      <w:r w:rsidRPr="00847F87">
        <w:rPr>
          <w:sz w:val="18"/>
          <w:szCs w:val="18"/>
        </w:rPr>
        <w:t>[…].</w:t>
      </w:r>
    </w:p>
  </w:footnote>
  <w:footnote w:id="11">
    <w:p w14:paraId="0B7DD752" w14:textId="77777777" w:rsidR="00721FB9" w:rsidRPr="00847F87" w:rsidRDefault="00721FB9" w:rsidP="00721FB9">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24.</w:t>
      </w:r>
      <w:r w:rsidRPr="00847F87">
        <w:rPr>
          <w:sz w:val="18"/>
          <w:szCs w:val="18"/>
        </w:rPr>
        <w:t xml:space="preserve"> Para el cumplimiento de los objetivos de esta Ley, los sujetos obligados deberán cumplir con las obligaciones siguientes, según corresponda, de acuerdo a su naturaleza:</w:t>
      </w:r>
    </w:p>
    <w:p w14:paraId="75BA13C4" w14:textId="77777777" w:rsidR="00721FB9" w:rsidRPr="00847F87" w:rsidRDefault="00721FB9" w:rsidP="00721FB9">
      <w:pPr>
        <w:pStyle w:val="Textonotapie"/>
        <w:jc w:val="both"/>
        <w:rPr>
          <w:sz w:val="18"/>
          <w:szCs w:val="18"/>
        </w:rPr>
      </w:pPr>
      <w:r w:rsidRPr="00847F87">
        <w:rPr>
          <w:sz w:val="18"/>
          <w:szCs w:val="18"/>
        </w:rPr>
        <w:t>I. Constituir el Comité de Transparencia, las unidades de transparencia y vigilar su correcto funcionamiento de acuerdo a su normatividad interna;</w:t>
      </w:r>
    </w:p>
    <w:p w14:paraId="7E954222" w14:textId="77777777" w:rsidR="00721FB9" w:rsidRPr="00847F87" w:rsidRDefault="00721FB9" w:rsidP="00721FB9">
      <w:pPr>
        <w:pStyle w:val="Textonotapie"/>
        <w:jc w:val="both"/>
        <w:rPr>
          <w:sz w:val="18"/>
          <w:szCs w:val="18"/>
        </w:rPr>
      </w:pPr>
      <w:r w:rsidRPr="00847F87">
        <w:rPr>
          <w:sz w:val="18"/>
          <w:szCs w:val="18"/>
        </w:rPr>
        <w:t>[…].</w:t>
      </w:r>
    </w:p>
    <w:p w14:paraId="3F16FCFA" w14:textId="77777777" w:rsidR="00721FB9" w:rsidRPr="00847F87" w:rsidRDefault="00721FB9" w:rsidP="00721FB9">
      <w:pPr>
        <w:pStyle w:val="Textonotapie"/>
        <w:jc w:val="both"/>
        <w:rPr>
          <w:sz w:val="18"/>
          <w:szCs w:val="18"/>
        </w:rPr>
      </w:pPr>
      <w:r w:rsidRPr="00847F87">
        <w:rPr>
          <w:b/>
          <w:sz w:val="18"/>
          <w:szCs w:val="18"/>
        </w:rPr>
        <w:t>ARTÍCULO 52</w:t>
      </w:r>
      <w:r w:rsidRPr="00847F87">
        <w:rPr>
          <w:sz w:val="18"/>
          <w:szCs w:val="18"/>
        </w:rPr>
        <w:t>. Cada Comité de Transparencia tendrá las siguientes funciones:</w:t>
      </w:r>
    </w:p>
    <w:p w14:paraId="6FF3C893" w14:textId="77777777" w:rsidR="00721FB9" w:rsidRPr="00847F87" w:rsidRDefault="00721FB9" w:rsidP="00721FB9">
      <w:pPr>
        <w:pStyle w:val="Textonotapie"/>
        <w:jc w:val="both"/>
        <w:rPr>
          <w:sz w:val="18"/>
          <w:szCs w:val="18"/>
        </w:rPr>
      </w:pPr>
      <w:r w:rsidRPr="00847F87">
        <w:rPr>
          <w:sz w:val="18"/>
          <w:szCs w:val="18"/>
        </w:rPr>
        <w:t>[…]</w:t>
      </w:r>
    </w:p>
    <w:p w14:paraId="7662B3B9" w14:textId="77777777" w:rsidR="00721FB9" w:rsidRPr="00847F87" w:rsidRDefault="00721FB9" w:rsidP="00721FB9">
      <w:pPr>
        <w:pStyle w:val="Textonotapie"/>
        <w:jc w:val="both"/>
        <w:rPr>
          <w:sz w:val="18"/>
          <w:szCs w:val="18"/>
        </w:rPr>
      </w:pPr>
      <w:r w:rsidRPr="00847F87">
        <w:rPr>
          <w:sz w:val="18"/>
          <w:szCs w:val="18"/>
        </w:rPr>
        <w:t xml:space="preserve">II. Confirmar, modificar o revocar las determinaciones </w:t>
      </w:r>
      <w:proofErr w:type="gramStart"/>
      <w:r w:rsidRPr="00847F87">
        <w:rPr>
          <w:sz w:val="18"/>
          <w:szCs w:val="18"/>
        </w:rPr>
        <w:t>que</w:t>
      </w:r>
      <w:proofErr w:type="gramEnd"/>
      <w:r w:rsidRPr="00847F87">
        <w:rPr>
          <w:sz w:val="18"/>
          <w:szCs w:val="18"/>
        </w:rPr>
        <w:t xml:space="preserve"> en materia de ampliación del plazo de respuesta, clasificación de la información y declaración de inexistencia o de incompetencia realicen los titulares de las áreas de los sujetos obligados;</w:t>
      </w:r>
    </w:p>
    <w:p w14:paraId="4395B804" w14:textId="77777777" w:rsidR="00721FB9" w:rsidRPr="00847F87" w:rsidRDefault="00721FB9" w:rsidP="00721FB9">
      <w:pPr>
        <w:pStyle w:val="Textonotapie"/>
        <w:jc w:val="both"/>
        <w:rPr>
          <w:sz w:val="18"/>
          <w:szCs w:val="18"/>
        </w:rPr>
      </w:pPr>
      <w:r w:rsidRPr="00847F87">
        <w:rPr>
          <w:sz w:val="18"/>
          <w:szCs w:val="18"/>
        </w:rPr>
        <w:t>[…].</w:t>
      </w:r>
    </w:p>
    <w:p w14:paraId="61C15C60" w14:textId="77777777" w:rsidR="00721FB9" w:rsidRPr="00847F87" w:rsidRDefault="00721FB9" w:rsidP="00721FB9">
      <w:pPr>
        <w:pStyle w:val="Textonotapie"/>
        <w:jc w:val="both"/>
        <w:rPr>
          <w:sz w:val="18"/>
          <w:szCs w:val="18"/>
        </w:rPr>
      </w:pPr>
      <w:r w:rsidRPr="00847F87">
        <w:rPr>
          <w:b/>
          <w:sz w:val="18"/>
          <w:szCs w:val="18"/>
        </w:rPr>
        <w:t>ARTÍCULO 117</w:t>
      </w:r>
      <w:r w:rsidRPr="00847F87">
        <w:rPr>
          <w:sz w:val="18"/>
          <w:szCs w:val="18"/>
        </w:rPr>
        <w:t xml:space="preserve">. En los casos en que se niegue el acceso a la información, por actualizarse alguno de los supuestos de clasificación, el Comité de Transparencia deberá confirmar, modificar o revocar la decisión. </w:t>
      </w:r>
    </w:p>
    <w:p w14:paraId="5201B06E" w14:textId="77777777" w:rsidR="00721FB9" w:rsidRPr="00847F87" w:rsidRDefault="00721FB9" w:rsidP="00721FB9">
      <w:pPr>
        <w:pStyle w:val="Textonotapie"/>
        <w:jc w:val="both"/>
        <w:rPr>
          <w:sz w:val="18"/>
          <w:szCs w:val="18"/>
        </w:rPr>
      </w:pPr>
      <w:r w:rsidRPr="00847F87">
        <w:rPr>
          <w:sz w:val="18"/>
          <w:szCs w:val="18"/>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14:paraId="25DA58D5" w14:textId="77777777" w:rsidR="00721FB9" w:rsidRPr="00847F87" w:rsidRDefault="00721FB9" w:rsidP="00721FB9">
      <w:pPr>
        <w:pStyle w:val="Textonotapie"/>
        <w:jc w:val="both"/>
        <w:rPr>
          <w:sz w:val="18"/>
          <w:szCs w:val="18"/>
        </w:rPr>
      </w:pPr>
      <w:r w:rsidRPr="00847F87">
        <w:rPr>
          <w:sz w:val="18"/>
          <w:szCs w:val="18"/>
        </w:rPr>
        <w:t>Además, el sujeto obligado deberá, en todo momento, aplicar una prueba de daño. Tratándose de aquella información que actualice los supuestos de clasificación, deberá señalarse el plazo al que estará sujeto la reserva.</w:t>
      </w:r>
    </w:p>
  </w:footnote>
  <w:footnote w:id="12">
    <w:p w14:paraId="448EBA4C" w14:textId="77777777" w:rsidR="00721FB9" w:rsidRPr="00847F87" w:rsidRDefault="00721FB9" w:rsidP="00721FB9">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120</w:t>
      </w:r>
      <w:r w:rsidRPr="00847F87">
        <w:rPr>
          <w:sz w:val="18"/>
          <w:szCs w:val="18"/>
        </w:rPr>
        <w:t>. La clasificación de la información se llevará a cabo en el momento en que:</w:t>
      </w:r>
    </w:p>
    <w:p w14:paraId="328DC40F" w14:textId="77777777" w:rsidR="00721FB9" w:rsidRPr="00847F87" w:rsidRDefault="00721FB9" w:rsidP="00721FB9">
      <w:pPr>
        <w:pStyle w:val="Textonotapie"/>
        <w:jc w:val="both"/>
        <w:rPr>
          <w:sz w:val="18"/>
          <w:szCs w:val="18"/>
        </w:rPr>
      </w:pPr>
      <w:r w:rsidRPr="00847F87">
        <w:rPr>
          <w:sz w:val="18"/>
          <w:szCs w:val="18"/>
        </w:rPr>
        <w:t>I. Se reciba una solicitud de acceso a la información;</w:t>
      </w:r>
    </w:p>
    <w:p w14:paraId="03A7541C" w14:textId="77777777" w:rsidR="00721FB9" w:rsidRPr="00847F87" w:rsidRDefault="00721FB9" w:rsidP="00721FB9">
      <w:pPr>
        <w:pStyle w:val="Textonotapie"/>
        <w:jc w:val="both"/>
        <w:rPr>
          <w:sz w:val="18"/>
          <w:szCs w:val="18"/>
        </w:rPr>
      </w:pPr>
      <w:r w:rsidRPr="00847F87">
        <w:rPr>
          <w:sz w:val="18"/>
          <w:szCs w:val="18"/>
        </w:rPr>
        <w:t>[…].</w:t>
      </w:r>
    </w:p>
  </w:footnote>
  <w:footnote w:id="13">
    <w:p w14:paraId="67A0D547" w14:textId="6CED7D37" w:rsidR="00140D18" w:rsidRPr="00140D18" w:rsidRDefault="00140D18" w:rsidP="00140D18">
      <w:pPr>
        <w:pStyle w:val="Textonotapie"/>
        <w:jc w:val="both"/>
      </w:pPr>
      <w:r w:rsidRPr="00140D18">
        <w:rPr>
          <w:rStyle w:val="Refdenotaalpie"/>
          <w:sz w:val="18"/>
        </w:rPr>
        <w:footnoteRef/>
      </w:r>
      <w:r w:rsidRPr="00140D18">
        <w:rPr>
          <w:sz w:val="18"/>
        </w:rPr>
        <w:t xml:space="preserve"> </w:t>
      </w:r>
      <w:r w:rsidRPr="00140D18">
        <w:rPr>
          <w:b/>
          <w:sz w:val="18"/>
        </w:rPr>
        <w:t>ARTÍCULO 155.</w:t>
      </w:r>
      <w:r w:rsidRPr="00140D18">
        <w:rPr>
          <w:sz w:val="18"/>
        </w:rPr>
        <w:t xml:space="preserve">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p>
  </w:footnote>
  <w:footnote w:id="14">
    <w:p w14:paraId="0E918CCF" w14:textId="77777777" w:rsidR="00147F36" w:rsidRDefault="00147F36" w:rsidP="00147F36">
      <w:pPr>
        <w:pStyle w:val="Textonotapie"/>
        <w:jc w:val="both"/>
        <w:rPr>
          <w:sz w:val="18"/>
        </w:rPr>
      </w:pPr>
      <w:r w:rsidRPr="00147F36">
        <w:rPr>
          <w:rStyle w:val="Refdenotaalpie"/>
          <w:sz w:val="18"/>
        </w:rPr>
        <w:footnoteRef/>
      </w:r>
      <w:r w:rsidRPr="00147F36">
        <w:rPr>
          <w:sz w:val="18"/>
        </w:rPr>
        <w:t xml:space="preserve"> </w:t>
      </w:r>
      <w:r w:rsidRPr="00147F36">
        <w:rPr>
          <w:b/>
          <w:sz w:val="18"/>
        </w:rPr>
        <w:t>ARTÍCULO 165.</w:t>
      </w:r>
      <w:r w:rsidRPr="00147F36">
        <w:rPr>
          <w:sz w:val="18"/>
        </w:rPr>
        <w:t xml:space="preserve"> En caso de existir costos para obtener la información, deberán cubrirse de manera previa a la entrega y no podrán ser superiores a la suma de: </w:t>
      </w:r>
    </w:p>
    <w:p w14:paraId="5CDC4FAE" w14:textId="77777777" w:rsidR="00147F36" w:rsidRDefault="00147F36" w:rsidP="00147F36">
      <w:pPr>
        <w:pStyle w:val="Textonotapie"/>
        <w:jc w:val="both"/>
        <w:rPr>
          <w:sz w:val="18"/>
        </w:rPr>
      </w:pPr>
      <w:r w:rsidRPr="00147F36">
        <w:rPr>
          <w:sz w:val="18"/>
        </w:rPr>
        <w:t xml:space="preserve">I. El costo de los materiales utilizados en la reproducción de la información; </w:t>
      </w:r>
    </w:p>
    <w:p w14:paraId="34E1E152" w14:textId="77777777" w:rsidR="00147F36" w:rsidRDefault="00147F36" w:rsidP="00147F36">
      <w:pPr>
        <w:pStyle w:val="Textonotapie"/>
        <w:jc w:val="both"/>
        <w:rPr>
          <w:sz w:val="18"/>
        </w:rPr>
      </w:pPr>
      <w:r w:rsidRPr="00147F36">
        <w:rPr>
          <w:sz w:val="18"/>
        </w:rPr>
        <w:t xml:space="preserve">II. El costo de envío, en su caso, y </w:t>
      </w:r>
    </w:p>
    <w:p w14:paraId="7FDC3472" w14:textId="77777777" w:rsidR="00147F36" w:rsidRDefault="00147F36" w:rsidP="00147F36">
      <w:pPr>
        <w:pStyle w:val="Textonotapie"/>
        <w:jc w:val="both"/>
        <w:rPr>
          <w:sz w:val="18"/>
        </w:rPr>
      </w:pPr>
      <w:r w:rsidRPr="00147F36">
        <w:rPr>
          <w:sz w:val="18"/>
        </w:rPr>
        <w:t xml:space="preserve">III. El pago de la certificación de los Documentos, cuando proceda. </w:t>
      </w:r>
    </w:p>
    <w:p w14:paraId="514DDF63" w14:textId="77777777" w:rsidR="00147F36" w:rsidRDefault="00147F36" w:rsidP="00147F36">
      <w:pPr>
        <w:pStyle w:val="Textonotapie"/>
        <w:jc w:val="both"/>
        <w:rPr>
          <w:sz w:val="18"/>
        </w:rPr>
      </w:pPr>
      <w:r w:rsidRPr="00147F36">
        <w:rPr>
          <w:sz w:val="18"/>
        </w:rPr>
        <w:t xml:space="preserve">Tratándose de la reproducción en medios magnéticos, si el solicitante aporta el medio en el que será almacenada la información, la reproducción será totalmente gratuita. </w:t>
      </w:r>
    </w:p>
    <w:p w14:paraId="3148FAE6" w14:textId="77777777" w:rsidR="00147F36" w:rsidRDefault="00147F36" w:rsidP="00147F36">
      <w:pPr>
        <w:pStyle w:val="Textonotapie"/>
        <w:jc w:val="both"/>
        <w:rPr>
          <w:sz w:val="18"/>
        </w:rPr>
      </w:pPr>
      <w:r w:rsidRPr="00147F36">
        <w:rPr>
          <w:sz w:val="18"/>
        </w:rPr>
        <w:t xml:space="preserve">Los sujetos obligados llevarán a cabo la reproducción y/o envío de la información solicitada, previo pago de los derechos correspondientes. </w:t>
      </w:r>
    </w:p>
    <w:p w14:paraId="4E3CE0AB" w14:textId="77777777" w:rsidR="00147F36" w:rsidRDefault="00147F36" w:rsidP="00147F36">
      <w:pPr>
        <w:pStyle w:val="Textonotapie"/>
        <w:jc w:val="both"/>
        <w:rPr>
          <w:sz w:val="18"/>
        </w:rPr>
      </w:pPr>
      <w:r w:rsidRPr="00147F36">
        <w:rPr>
          <w:sz w:val="18"/>
        </w:rPr>
        <w:t xml:space="preserve">La información deberá ser entregada sin costo, cuando implique la entrega de no más de veinte hojas simples. </w:t>
      </w:r>
    </w:p>
    <w:p w14:paraId="00EE7448" w14:textId="77777777" w:rsidR="00147F36" w:rsidRDefault="00147F36" w:rsidP="00147F36">
      <w:pPr>
        <w:pStyle w:val="Textonotapie"/>
        <w:jc w:val="both"/>
        <w:rPr>
          <w:sz w:val="18"/>
        </w:rPr>
      </w:pPr>
      <w:r w:rsidRPr="00147F36">
        <w:rPr>
          <w:sz w:val="18"/>
        </w:rPr>
        <w:t xml:space="preserve">Las unidades de transparencia podrán exceptuar el pago de reproducción y envío atendiendo a las circunstancias socioeconómicas del solicitante. </w:t>
      </w:r>
    </w:p>
    <w:p w14:paraId="287CCB89" w14:textId="77777777" w:rsidR="00147F36" w:rsidRDefault="00147F36" w:rsidP="00147F36">
      <w:pPr>
        <w:pStyle w:val="Textonotapie"/>
        <w:jc w:val="both"/>
        <w:rPr>
          <w:sz w:val="18"/>
        </w:rPr>
      </w:pPr>
      <w:r w:rsidRPr="00147F36">
        <w:rPr>
          <w:sz w:val="18"/>
        </w:rPr>
        <w:t xml:space="preserve">Ante la falta de respuesta a una solicitud en el plazo previsto y en caso de que proceda el acceso, los costos de reproducción y envío correrán a cargo del sujeto obligado. </w:t>
      </w:r>
    </w:p>
    <w:p w14:paraId="18CBB4DD" w14:textId="720E4513" w:rsidR="00147F36" w:rsidRPr="00147F36" w:rsidRDefault="00147F36" w:rsidP="00147F36">
      <w:pPr>
        <w:pStyle w:val="Textonotapie"/>
        <w:jc w:val="both"/>
      </w:pPr>
      <w:r w:rsidRPr="00147F36">
        <w:rPr>
          <w:sz w:val="18"/>
        </w:rPr>
        <w:t>Las cuotas de los derechos a que se refiere el artículo 62 de esta Ley, se publicarán en los sitios de Internet de los sujetos obligados. 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información que solicitó.</w:t>
      </w:r>
    </w:p>
  </w:footnote>
  <w:footnote w:id="15">
    <w:p w14:paraId="45CB86A5" w14:textId="77777777" w:rsidR="000F7644" w:rsidRDefault="000F7644" w:rsidP="000F7644">
      <w:pPr>
        <w:pStyle w:val="Textonotapie"/>
        <w:jc w:val="both"/>
        <w:rPr>
          <w:sz w:val="18"/>
        </w:rPr>
      </w:pPr>
      <w:r w:rsidRPr="000F7644">
        <w:rPr>
          <w:rStyle w:val="Refdenotaalpie"/>
          <w:sz w:val="18"/>
        </w:rPr>
        <w:footnoteRef/>
      </w:r>
      <w:r w:rsidRPr="000F7644">
        <w:rPr>
          <w:sz w:val="18"/>
        </w:rPr>
        <w:t xml:space="preserve"> </w:t>
      </w:r>
      <w:r w:rsidRPr="000F7644">
        <w:rPr>
          <w:b/>
          <w:sz w:val="18"/>
        </w:rPr>
        <w:t>ARTÍCULO 154</w:t>
      </w:r>
      <w:r w:rsidRPr="000F7644">
        <w:rPr>
          <w:sz w:val="18"/>
        </w:rPr>
        <w:t xml:space="preserve">. La respuesta a la solicitud deberá ser notificada al interesado en el menor tiempo posible, que no podrá exceder de diez días, contados a partir del día siguiente a la presentación de aquélla. </w:t>
      </w:r>
    </w:p>
    <w:p w14:paraId="432670F9" w14:textId="77777777" w:rsidR="000F7644" w:rsidRDefault="000F7644" w:rsidP="000F7644">
      <w:pPr>
        <w:pStyle w:val="Textonotapie"/>
        <w:jc w:val="both"/>
        <w:rPr>
          <w:sz w:val="18"/>
        </w:rPr>
      </w:pPr>
      <w:r w:rsidRPr="000F7644">
        <w:rPr>
          <w:sz w:val="18"/>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1D88FF03" w14:textId="624D1B8A" w:rsidR="000F7644" w:rsidRPr="000F7644" w:rsidRDefault="000F7644" w:rsidP="000F7644">
      <w:pPr>
        <w:pStyle w:val="Textonotapie"/>
        <w:jc w:val="both"/>
      </w:pPr>
      <w:r w:rsidRPr="000F7644">
        <w:rPr>
          <w:sz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103FFD5D" w:rsidR="005142BE" w:rsidRDefault="005142BE">
        <w:pPr>
          <w:pStyle w:val="Encabezado"/>
          <w:jc w:val="center"/>
        </w:pPr>
        <w:r>
          <w:fldChar w:fldCharType="begin"/>
        </w:r>
        <w:r>
          <w:instrText>PAGE   \* MERGEFORMAT</w:instrText>
        </w:r>
        <w:r>
          <w:fldChar w:fldCharType="separate"/>
        </w:r>
        <w:r w:rsidR="00823659" w:rsidRPr="00823659">
          <w:rPr>
            <w:noProof/>
            <w:lang w:val="es-ES"/>
          </w:rPr>
          <w:t>20</w:t>
        </w:r>
        <w:r>
          <w:fldChar w:fldCharType="end"/>
        </w:r>
      </w:p>
    </w:sdtContent>
  </w:sdt>
  <w:p w14:paraId="3407CE7F" w14:textId="6F9443B9" w:rsidR="005142BE" w:rsidRDefault="00183EF3" w:rsidP="00403C89">
    <w:pPr>
      <w:pStyle w:val="Encabezado"/>
      <w:jc w:val="right"/>
    </w:pPr>
    <w:r>
      <w:t xml:space="preserve">RECURSO DE REVISIÓN </w:t>
    </w:r>
    <w:r w:rsidR="009A279A">
      <w:t>0</w:t>
    </w:r>
    <w:r w:rsidR="00A00F41">
      <w:t>7</w:t>
    </w:r>
    <w:r w:rsidR="009A279A">
      <w:t>2</w:t>
    </w:r>
    <w:r w:rsidR="00A00F41">
      <w:t>/2026</w:t>
    </w:r>
    <w:r w:rsidR="00710E8F">
      <w:t>-1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6891CF86"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23659" w:rsidRPr="00823659">
          <w:rPr>
            <w:noProof/>
            <w:lang w:val="es-ES"/>
          </w:rPr>
          <w:t>19</w:t>
        </w:r>
        <w:r>
          <w:fldChar w:fldCharType="end"/>
        </w:r>
        <w:r>
          <w:t xml:space="preserve">                                  </w:t>
        </w:r>
      </w:p>
      <w:p w14:paraId="4B8CFE5F" w14:textId="77777777" w:rsidR="005142BE" w:rsidRDefault="005142BE" w:rsidP="00125FB7">
        <w:pPr>
          <w:pStyle w:val="Encabezado"/>
          <w:jc w:val="right"/>
        </w:pPr>
      </w:p>
      <w:p w14:paraId="33FF87E3" w14:textId="28E65DC0" w:rsidR="005142BE" w:rsidRDefault="00385540" w:rsidP="00403C89">
        <w:pPr>
          <w:pStyle w:val="Encabezado"/>
          <w:jc w:val="right"/>
        </w:pPr>
        <w:r>
          <w:t xml:space="preserve">RECURSO DE REVISIÓN </w:t>
        </w:r>
        <w:r w:rsidR="009A279A">
          <w:t>0</w:t>
        </w:r>
        <w:r w:rsidR="00A00F41">
          <w:t>7</w:t>
        </w:r>
        <w:r w:rsidR="009A279A">
          <w:t>2</w:t>
        </w:r>
        <w:r w:rsidR="00A00F41">
          <w:t>/2026</w:t>
        </w:r>
        <w:r w:rsidR="00710E8F">
          <w:t>-1</w:t>
        </w:r>
      </w:p>
      <w:p w14:paraId="1F581E29" w14:textId="484A7B4B" w:rsidR="005142BE" w:rsidRDefault="00190EAB"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8C84BEE"/>
    <w:multiLevelType w:val="hybridMultilevel"/>
    <w:tmpl w:val="63E2698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7"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2"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5F7B4755"/>
    <w:multiLevelType w:val="hybridMultilevel"/>
    <w:tmpl w:val="3F24CAB2"/>
    <w:lvl w:ilvl="0" w:tplc="140C92B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1C4582A"/>
    <w:multiLevelType w:val="hybridMultilevel"/>
    <w:tmpl w:val="FFD65B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1"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4"/>
  </w:num>
  <w:num w:numId="6">
    <w:abstractNumId w:val="19"/>
  </w:num>
  <w:num w:numId="7">
    <w:abstractNumId w:val="27"/>
  </w:num>
  <w:num w:numId="8">
    <w:abstractNumId w:val="36"/>
  </w:num>
  <w:num w:numId="9">
    <w:abstractNumId w:val="7"/>
  </w:num>
  <w:num w:numId="10">
    <w:abstractNumId w:val="41"/>
  </w:num>
  <w:num w:numId="11">
    <w:abstractNumId w:val="11"/>
  </w:num>
  <w:num w:numId="12">
    <w:abstractNumId w:val="37"/>
  </w:num>
  <w:num w:numId="13">
    <w:abstractNumId w:val="23"/>
  </w:num>
  <w:num w:numId="14">
    <w:abstractNumId w:val="13"/>
  </w:num>
  <w:num w:numId="15">
    <w:abstractNumId w:val="40"/>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30"/>
  </w:num>
  <w:num w:numId="23">
    <w:abstractNumId w:val="39"/>
  </w:num>
  <w:num w:numId="24">
    <w:abstractNumId w:val="45"/>
  </w:num>
  <w:num w:numId="25">
    <w:abstractNumId w:val="20"/>
  </w:num>
  <w:num w:numId="26">
    <w:abstractNumId w:val="42"/>
  </w:num>
  <w:num w:numId="27">
    <w:abstractNumId w:val="10"/>
  </w:num>
  <w:num w:numId="28">
    <w:abstractNumId w:val="43"/>
  </w:num>
  <w:num w:numId="29">
    <w:abstractNumId w:val="38"/>
  </w:num>
  <w:num w:numId="30">
    <w:abstractNumId w:val="25"/>
  </w:num>
  <w:num w:numId="31">
    <w:abstractNumId w:val="34"/>
  </w:num>
  <w:num w:numId="32">
    <w:abstractNumId w:val="9"/>
  </w:num>
  <w:num w:numId="33">
    <w:abstractNumId w:val="16"/>
  </w:num>
  <w:num w:numId="34">
    <w:abstractNumId w:val="24"/>
  </w:num>
  <w:num w:numId="35">
    <w:abstractNumId w:val="6"/>
  </w:num>
  <w:num w:numId="36">
    <w:abstractNumId w:val="28"/>
  </w:num>
  <w:num w:numId="37">
    <w:abstractNumId w:val="18"/>
  </w:num>
  <w:num w:numId="38">
    <w:abstractNumId w:val="22"/>
  </w:num>
  <w:num w:numId="39">
    <w:abstractNumId w:val="0"/>
  </w:num>
  <w:num w:numId="40">
    <w:abstractNumId w:val="32"/>
  </w:num>
  <w:num w:numId="41">
    <w:abstractNumId w:val="3"/>
  </w:num>
  <w:num w:numId="42">
    <w:abstractNumId w:val="15"/>
  </w:num>
  <w:num w:numId="43">
    <w:abstractNumId w:val="12"/>
  </w:num>
  <w:num w:numId="44">
    <w:abstractNumId w:val="31"/>
  </w:num>
  <w:num w:numId="45">
    <w:abstractNumId w:val="26"/>
  </w:num>
  <w:num w:numId="46">
    <w:abstractNumId w:val="35"/>
  </w:num>
  <w:num w:numId="47">
    <w:abstractNumId w:val="3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898"/>
    <w:rsid w:val="00002CFF"/>
    <w:rsid w:val="00003183"/>
    <w:rsid w:val="0000362E"/>
    <w:rsid w:val="00003AB5"/>
    <w:rsid w:val="00003DC1"/>
    <w:rsid w:val="000048AE"/>
    <w:rsid w:val="0000495B"/>
    <w:rsid w:val="00004D3C"/>
    <w:rsid w:val="000066AD"/>
    <w:rsid w:val="00010A6E"/>
    <w:rsid w:val="00010DA2"/>
    <w:rsid w:val="00010FE8"/>
    <w:rsid w:val="00011D20"/>
    <w:rsid w:val="00011DA1"/>
    <w:rsid w:val="00011F00"/>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49D"/>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5DE4"/>
    <w:rsid w:val="0006659D"/>
    <w:rsid w:val="0006668E"/>
    <w:rsid w:val="00066886"/>
    <w:rsid w:val="00067418"/>
    <w:rsid w:val="00067660"/>
    <w:rsid w:val="0007014F"/>
    <w:rsid w:val="0007132B"/>
    <w:rsid w:val="000713A9"/>
    <w:rsid w:val="0007170B"/>
    <w:rsid w:val="0007175D"/>
    <w:rsid w:val="00071C60"/>
    <w:rsid w:val="000724D7"/>
    <w:rsid w:val="000728F5"/>
    <w:rsid w:val="000729BE"/>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18A"/>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159"/>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2C79"/>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12C"/>
    <w:rsid w:val="000F7644"/>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0790D"/>
    <w:rsid w:val="0011106A"/>
    <w:rsid w:val="00111B8C"/>
    <w:rsid w:val="001139E8"/>
    <w:rsid w:val="0011415A"/>
    <w:rsid w:val="0011417A"/>
    <w:rsid w:val="00114B4F"/>
    <w:rsid w:val="001151E7"/>
    <w:rsid w:val="00116CBC"/>
    <w:rsid w:val="00117EFC"/>
    <w:rsid w:val="00117F76"/>
    <w:rsid w:val="001204E0"/>
    <w:rsid w:val="00121981"/>
    <w:rsid w:val="001221B0"/>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0CB2"/>
    <w:rsid w:val="00140D18"/>
    <w:rsid w:val="00141314"/>
    <w:rsid w:val="00141F55"/>
    <w:rsid w:val="00143CF3"/>
    <w:rsid w:val="00143E86"/>
    <w:rsid w:val="001453D7"/>
    <w:rsid w:val="001458BC"/>
    <w:rsid w:val="001463BA"/>
    <w:rsid w:val="00146903"/>
    <w:rsid w:val="00146EA8"/>
    <w:rsid w:val="00147F36"/>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712"/>
    <w:rsid w:val="00184D50"/>
    <w:rsid w:val="00184F84"/>
    <w:rsid w:val="00185470"/>
    <w:rsid w:val="0018551E"/>
    <w:rsid w:val="0018577C"/>
    <w:rsid w:val="00185DFB"/>
    <w:rsid w:val="00187282"/>
    <w:rsid w:val="001872DB"/>
    <w:rsid w:val="00187515"/>
    <w:rsid w:val="00187946"/>
    <w:rsid w:val="00190EAB"/>
    <w:rsid w:val="00190F2A"/>
    <w:rsid w:val="00191421"/>
    <w:rsid w:val="0019182F"/>
    <w:rsid w:val="00192395"/>
    <w:rsid w:val="0019294C"/>
    <w:rsid w:val="00193878"/>
    <w:rsid w:val="00193B83"/>
    <w:rsid w:val="001947D3"/>
    <w:rsid w:val="00194D48"/>
    <w:rsid w:val="00194EF4"/>
    <w:rsid w:val="00195893"/>
    <w:rsid w:val="00195E81"/>
    <w:rsid w:val="00196474"/>
    <w:rsid w:val="00196579"/>
    <w:rsid w:val="00197157"/>
    <w:rsid w:val="00197212"/>
    <w:rsid w:val="00197CE0"/>
    <w:rsid w:val="00197E4C"/>
    <w:rsid w:val="001A0953"/>
    <w:rsid w:val="001A11F8"/>
    <w:rsid w:val="001A12A8"/>
    <w:rsid w:val="001A1B21"/>
    <w:rsid w:val="001A23EF"/>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D7F74"/>
    <w:rsid w:val="001E0E77"/>
    <w:rsid w:val="001E17C7"/>
    <w:rsid w:val="001E1F04"/>
    <w:rsid w:val="001E27F5"/>
    <w:rsid w:val="001E46F0"/>
    <w:rsid w:val="001E4A97"/>
    <w:rsid w:val="001E4B8D"/>
    <w:rsid w:val="001E57D9"/>
    <w:rsid w:val="001E5BCA"/>
    <w:rsid w:val="001E5D8A"/>
    <w:rsid w:val="001E6071"/>
    <w:rsid w:val="001E6629"/>
    <w:rsid w:val="001E7191"/>
    <w:rsid w:val="001E74D0"/>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C61"/>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5AB0"/>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39"/>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222"/>
    <w:rsid w:val="002E08BD"/>
    <w:rsid w:val="002E0CE2"/>
    <w:rsid w:val="002E1369"/>
    <w:rsid w:val="002E17ED"/>
    <w:rsid w:val="002E1C06"/>
    <w:rsid w:val="002E39ED"/>
    <w:rsid w:val="002E3E6F"/>
    <w:rsid w:val="002E415A"/>
    <w:rsid w:val="002E440B"/>
    <w:rsid w:val="002E4587"/>
    <w:rsid w:val="002E4982"/>
    <w:rsid w:val="002E5C34"/>
    <w:rsid w:val="002E5F5A"/>
    <w:rsid w:val="002E61EF"/>
    <w:rsid w:val="002E64CA"/>
    <w:rsid w:val="002E6D6B"/>
    <w:rsid w:val="002E7709"/>
    <w:rsid w:val="002E7959"/>
    <w:rsid w:val="002E7B1E"/>
    <w:rsid w:val="002F0788"/>
    <w:rsid w:val="002F1032"/>
    <w:rsid w:val="002F1FD5"/>
    <w:rsid w:val="002F2079"/>
    <w:rsid w:val="002F23E0"/>
    <w:rsid w:val="002F23E1"/>
    <w:rsid w:val="002F2B4D"/>
    <w:rsid w:val="002F37D4"/>
    <w:rsid w:val="002F3958"/>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3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01E"/>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540"/>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7AF"/>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4EB"/>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415"/>
    <w:rsid w:val="003D3FEA"/>
    <w:rsid w:val="003D4E97"/>
    <w:rsid w:val="003D5449"/>
    <w:rsid w:val="003D5A1A"/>
    <w:rsid w:val="003D5C15"/>
    <w:rsid w:val="003D6998"/>
    <w:rsid w:val="003D6ECF"/>
    <w:rsid w:val="003D7603"/>
    <w:rsid w:val="003D770B"/>
    <w:rsid w:val="003D7984"/>
    <w:rsid w:val="003E0A78"/>
    <w:rsid w:val="003E0B31"/>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37A"/>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87E4E"/>
    <w:rsid w:val="004905F4"/>
    <w:rsid w:val="004908C5"/>
    <w:rsid w:val="004908DD"/>
    <w:rsid w:val="00490AAA"/>
    <w:rsid w:val="00491EB9"/>
    <w:rsid w:val="00491F18"/>
    <w:rsid w:val="0049219E"/>
    <w:rsid w:val="00492289"/>
    <w:rsid w:val="004932F2"/>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379"/>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2837"/>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51E"/>
    <w:rsid w:val="00510F43"/>
    <w:rsid w:val="00511894"/>
    <w:rsid w:val="00511F29"/>
    <w:rsid w:val="00512C3E"/>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1A80"/>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590A"/>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16B"/>
    <w:rsid w:val="005933C1"/>
    <w:rsid w:val="00593C3E"/>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1D5"/>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7E3"/>
    <w:rsid w:val="005D2C05"/>
    <w:rsid w:val="005D2D89"/>
    <w:rsid w:val="005D40B1"/>
    <w:rsid w:val="005D485C"/>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3C01"/>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1F30"/>
    <w:rsid w:val="00622D9B"/>
    <w:rsid w:val="00622E2A"/>
    <w:rsid w:val="0062536E"/>
    <w:rsid w:val="006254F5"/>
    <w:rsid w:val="00626491"/>
    <w:rsid w:val="00627B33"/>
    <w:rsid w:val="00630546"/>
    <w:rsid w:val="00630835"/>
    <w:rsid w:val="00631629"/>
    <w:rsid w:val="006334B5"/>
    <w:rsid w:val="00634179"/>
    <w:rsid w:val="00634281"/>
    <w:rsid w:val="00634A36"/>
    <w:rsid w:val="00636A24"/>
    <w:rsid w:val="00636A6A"/>
    <w:rsid w:val="00636B2E"/>
    <w:rsid w:val="00637967"/>
    <w:rsid w:val="00637AC5"/>
    <w:rsid w:val="00640089"/>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16C7"/>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0C"/>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0E2"/>
    <w:rsid w:val="006B34E7"/>
    <w:rsid w:val="006B4509"/>
    <w:rsid w:val="006B4C8C"/>
    <w:rsid w:val="006B518A"/>
    <w:rsid w:val="006B51E8"/>
    <w:rsid w:val="006B5647"/>
    <w:rsid w:val="006B564B"/>
    <w:rsid w:val="006B7996"/>
    <w:rsid w:val="006B7E1C"/>
    <w:rsid w:val="006C0024"/>
    <w:rsid w:val="006C02C3"/>
    <w:rsid w:val="006C140E"/>
    <w:rsid w:val="006C1939"/>
    <w:rsid w:val="006C2516"/>
    <w:rsid w:val="006C297E"/>
    <w:rsid w:val="006C2A52"/>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DFC"/>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4FF0"/>
    <w:rsid w:val="006F5037"/>
    <w:rsid w:val="006F5289"/>
    <w:rsid w:val="006F544B"/>
    <w:rsid w:val="006F5950"/>
    <w:rsid w:val="006F5B7D"/>
    <w:rsid w:val="006F5E9A"/>
    <w:rsid w:val="006F6C13"/>
    <w:rsid w:val="006F6EDD"/>
    <w:rsid w:val="006F714A"/>
    <w:rsid w:val="006F7D6A"/>
    <w:rsid w:val="006F7DAE"/>
    <w:rsid w:val="00700086"/>
    <w:rsid w:val="007007EB"/>
    <w:rsid w:val="00700AE8"/>
    <w:rsid w:val="00700B7B"/>
    <w:rsid w:val="0070153D"/>
    <w:rsid w:val="00701A15"/>
    <w:rsid w:val="00702108"/>
    <w:rsid w:val="00702B0C"/>
    <w:rsid w:val="00702FB1"/>
    <w:rsid w:val="0070304D"/>
    <w:rsid w:val="0070305B"/>
    <w:rsid w:val="00703A06"/>
    <w:rsid w:val="0070541D"/>
    <w:rsid w:val="00705C1A"/>
    <w:rsid w:val="00706075"/>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1FB9"/>
    <w:rsid w:val="00722BBB"/>
    <w:rsid w:val="00723496"/>
    <w:rsid w:val="00723B08"/>
    <w:rsid w:val="00723CF2"/>
    <w:rsid w:val="007241E1"/>
    <w:rsid w:val="00724932"/>
    <w:rsid w:val="0072512D"/>
    <w:rsid w:val="007255B1"/>
    <w:rsid w:val="00725D51"/>
    <w:rsid w:val="00726332"/>
    <w:rsid w:val="0072682B"/>
    <w:rsid w:val="00726D64"/>
    <w:rsid w:val="00726FF9"/>
    <w:rsid w:val="00727354"/>
    <w:rsid w:val="00727965"/>
    <w:rsid w:val="00730140"/>
    <w:rsid w:val="0073157A"/>
    <w:rsid w:val="00731B85"/>
    <w:rsid w:val="00732646"/>
    <w:rsid w:val="007326CA"/>
    <w:rsid w:val="0073313D"/>
    <w:rsid w:val="0073360E"/>
    <w:rsid w:val="0073399C"/>
    <w:rsid w:val="00735D8C"/>
    <w:rsid w:val="00735EB7"/>
    <w:rsid w:val="00737D5D"/>
    <w:rsid w:val="00737E62"/>
    <w:rsid w:val="0074037F"/>
    <w:rsid w:val="007414F4"/>
    <w:rsid w:val="00741579"/>
    <w:rsid w:val="007422F8"/>
    <w:rsid w:val="007430FA"/>
    <w:rsid w:val="00744552"/>
    <w:rsid w:val="00744FF4"/>
    <w:rsid w:val="007450A8"/>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1A0"/>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2DDF"/>
    <w:rsid w:val="007837FD"/>
    <w:rsid w:val="007842C0"/>
    <w:rsid w:val="007842E7"/>
    <w:rsid w:val="00784375"/>
    <w:rsid w:val="00784896"/>
    <w:rsid w:val="00784E21"/>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0EB"/>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77"/>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3DB"/>
    <w:rsid w:val="007C5605"/>
    <w:rsid w:val="007C5F38"/>
    <w:rsid w:val="007C62BF"/>
    <w:rsid w:val="007C6874"/>
    <w:rsid w:val="007C713F"/>
    <w:rsid w:val="007C7475"/>
    <w:rsid w:val="007C7C7E"/>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1A5A"/>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8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3659"/>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A23"/>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AFB"/>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244"/>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2F17"/>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CCF"/>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1E3"/>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5CA7"/>
    <w:rsid w:val="008D667F"/>
    <w:rsid w:val="008D6E96"/>
    <w:rsid w:val="008D7986"/>
    <w:rsid w:val="008D7F20"/>
    <w:rsid w:val="008E010A"/>
    <w:rsid w:val="008E0719"/>
    <w:rsid w:val="008E162A"/>
    <w:rsid w:val="008E1CF4"/>
    <w:rsid w:val="008E26CE"/>
    <w:rsid w:val="008E2ADF"/>
    <w:rsid w:val="008E3A87"/>
    <w:rsid w:val="008E4159"/>
    <w:rsid w:val="008E5213"/>
    <w:rsid w:val="008E530F"/>
    <w:rsid w:val="008E541A"/>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5B0"/>
    <w:rsid w:val="00901B0C"/>
    <w:rsid w:val="00902038"/>
    <w:rsid w:val="00902D96"/>
    <w:rsid w:val="00902E89"/>
    <w:rsid w:val="0090408A"/>
    <w:rsid w:val="009046DF"/>
    <w:rsid w:val="00905344"/>
    <w:rsid w:val="009055BC"/>
    <w:rsid w:val="009058EB"/>
    <w:rsid w:val="00905AF3"/>
    <w:rsid w:val="00905B4A"/>
    <w:rsid w:val="00906244"/>
    <w:rsid w:val="00906E32"/>
    <w:rsid w:val="00907D72"/>
    <w:rsid w:val="0091068B"/>
    <w:rsid w:val="00912170"/>
    <w:rsid w:val="00912C54"/>
    <w:rsid w:val="00912EB3"/>
    <w:rsid w:val="009131AA"/>
    <w:rsid w:val="0091378D"/>
    <w:rsid w:val="009137B4"/>
    <w:rsid w:val="00913B53"/>
    <w:rsid w:val="00914AB6"/>
    <w:rsid w:val="00914C0B"/>
    <w:rsid w:val="00914C94"/>
    <w:rsid w:val="009152F9"/>
    <w:rsid w:val="009171C0"/>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3308"/>
    <w:rsid w:val="009348C8"/>
    <w:rsid w:val="0093490C"/>
    <w:rsid w:val="0093526E"/>
    <w:rsid w:val="0093586B"/>
    <w:rsid w:val="009369EC"/>
    <w:rsid w:val="009372F8"/>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197"/>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54B"/>
    <w:rsid w:val="00970FE1"/>
    <w:rsid w:val="009712BE"/>
    <w:rsid w:val="009724FC"/>
    <w:rsid w:val="0097265D"/>
    <w:rsid w:val="0097293F"/>
    <w:rsid w:val="00972ED6"/>
    <w:rsid w:val="00973664"/>
    <w:rsid w:val="0097484C"/>
    <w:rsid w:val="00974AA8"/>
    <w:rsid w:val="00975706"/>
    <w:rsid w:val="00976379"/>
    <w:rsid w:val="00976FB1"/>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1D68"/>
    <w:rsid w:val="00992849"/>
    <w:rsid w:val="009930C5"/>
    <w:rsid w:val="009938F5"/>
    <w:rsid w:val="00994B32"/>
    <w:rsid w:val="00995170"/>
    <w:rsid w:val="009954F2"/>
    <w:rsid w:val="00995E2B"/>
    <w:rsid w:val="00996815"/>
    <w:rsid w:val="00996CCB"/>
    <w:rsid w:val="0099737A"/>
    <w:rsid w:val="009A04B7"/>
    <w:rsid w:val="009A0A57"/>
    <w:rsid w:val="009A0D4F"/>
    <w:rsid w:val="009A1120"/>
    <w:rsid w:val="009A162E"/>
    <w:rsid w:val="009A18E3"/>
    <w:rsid w:val="009A19E5"/>
    <w:rsid w:val="009A1B64"/>
    <w:rsid w:val="009A269D"/>
    <w:rsid w:val="009A279A"/>
    <w:rsid w:val="009A29CD"/>
    <w:rsid w:val="009A370A"/>
    <w:rsid w:val="009A4012"/>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3EB3"/>
    <w:rsid w:val="009C4374"/>
    <w:rsid w:val="009C4684"/>
    <w:rsid w:val="009D0348"/>
    <w:rsid w:val="009D162C"/>
    <w:rsid w:val="009D213E"/>
    <w:rsid w:val="009D284E"/>
    <w:rsid w:val="009D2AB5"/>
    <w:rsid w:val="009D2F04"/>
    <w:rsid w:val="009D329A"/>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3D53"/>
    <w:rsid w:val="009E4194"/>
    <w:rsid w:val="009E4679"/>
    <w:rsid w:val="009E548F"/>
    <w:rsid w:val="009E5876"/>
    <w:rsid w:val="009E5BBD"/>
    <w:rsid w:val="009E61DF"/>
    <w:rsid w:val="009E6CC7"/>
    <w:rsid w:val="009E73B9"/>
    <w:rsid w:val="009F0742"/>
    <w:rsid w:val="009F122E"/>
    <w:rsid w:val="009F1408"/>
    <w:rsid w:val="009F143C"/>
    <w:rsid w:val="009F1B70"/>
    <w:rsid w:val="009F22D9"/>
    <w:rsid w:val="009F239A"/>
    <w:rsid w:val="009F31D2"/>
    <w:rsid w:val="009F3FB4"/>
    <w:rsid w:val="009F569F"/>
    <w:rsid w:val="009F57FA"/>
    <w:rsid w:val="009F657D"/>
    <w:rsid w:val="009F673A"/>
    <w:rsid w:val="009F6DBC"/>
    <w:rsid w:val="009F767C"/>
    <w:rsid w:val="009F76D2"/>
    <w:rsid w:val="009F790D"/>
    <w:rsid w:val="009F7BBE"/>
    <w:rsid w:val="00A00230"/>
    <w:rsid w:val="00A00F41"/>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08B1"/>
    <w:rsid w:val="00A113A2"/>
    <w:rsid w:val="00A113F9"/>
    <w:rsid w:val="00A11972"/>
    <w:rsid w:val="00A123D4"/>
    <w:rsid w:val="00A124AA"/>
    <w:rsid w:val="00A12F31"/>
    <w:rsid w:val="00A13840"/>
    <w:rsid w:val="00A14344"/>
    <w:rsid w:val="00A153CC"/>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C73"/>
    <w:rsid w:val="00A24D8D"/>
    <w:rsid w:val="00A2554C"/>
    <w:rsid w:val="00A26591"/>
    <w:rsid w:val="00A265FA"/>
    <w:rsid w:val="00A3025C"/>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46D4"/>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1E1"/>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5959"/>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33E"/>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6C24"/>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0A42"/>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75C"/>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C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439"/>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28F"/>
    <w:rsid w:val="00BD43F3"/>
    <w:rsid w:val="00BD4495"/>
    <w:rsid w:val="00BD49B8"/>
    <w:rsid w:val="00BD4DB2"/>
    <w:rsid w:val="00BD4F69"/>
    <w:rsid w:val="00BD584E"/>
    <w:rsid w:val="00BD5C8E"/>
    <w:rsid w:val="00BD5CD8"/>
    <w:rsid w:val="00BD624D"/>
    <w:rsid w:val="00BD685F"/>
    <w:rsid w:val="00BD6867"/>
    <w:rsid w:val="00BD68DE"/>
    <w:rsid w:val="00BD76B0"/>
    <w:rsid w:val="00BE07E1"/>
    <w:rsid w:val="00BE1362"/>
    <w:rsid w:val="00BE147A"/>
    <w:rsid w:val="00BE2375"/>
    <w:rsid w:val="00BE2ABF"/>
    <w:rsid w:val="00BE3DA0"/>
    <w:rsid w:val="00BE4579"/>
    <w:rsid w:val="00BE486C"/>
    <w:rsid w:val="00BE491D"/>
    <w:rsid w:val="00BE4AED"/>
    <w:rsid w:val="00BE4E6C"/>
    <w:rsid w:val="00BE5881"/>
    <w:rsid w:val="00BE59A5"/>
    <w:rsid w:val="00BE5E2D"/>
    <w:rsid w:val="00BE69B7"/>
    <w:rsid w:val="00BE6B23"/>
    <w:rsid w:val="00BF058D"/>
    <w:rsid w:val="00BF05EE"/>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371"/>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416"/>
    <w:rsid w:val="00C0761B"/>
    <w:rsid w:val="00C07F50"/>
    <w:rsid w:val="00C11128"/>
    <w:rsid w:val="00C12794"/>
    <w:rsid w:val="00C12921"/>
    <w:rsid w:val="00C12CF7"/>
    <w:rsid w:val="00C1314F"/>
    <w:rsid w:val="00C13868"/>
    <w:rsid w:val="00C139A6"/>
    <w:rsid w:val="00C141F9"/>
    <w:rsid w:val="00C147F4"/>
    <w:rsid w:val="00C15015"/>
    <w:rsid w:val="00C1512C"/>
    <w:rsid w:val="00C15DBB"/>
    <w:rsid w:val="00C16736"/>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1FA"/>
    <w:rsid w:val="00C278C5"/>
    <w:rsid w:val="00C278CA"/>
    <w:rsid w:val="00C30118"/>
    <w:rsid w:val="00C30EBB"/>
    <w:rsid w:val="00C310F9"/>
    <w:rsid w:val="00C32F1C"/>
    <w:rsid w:val="00C33A62"/>
    <w:rsid w:val="00C34325"/>
    <w:rsid w:val="00C34486"/>
    <w:rsid w:val="00C34C24"/>
    <w:rsid w:val="00C350FE"/>
    <w:rsid w:val="00C354B1"/>
    <w:rsid w:val="00C35A9F"/>
    <w:rsid w:val="00C35AEC"/>
    <w:rsid w:val="00C36E14"/>
    <w:rsid w:val="00C374AD"/>
    <w:rsid w:val="00C37CF7"/>
    <w:rsid w:val="00C37F66"/>
    <w:rsid w:val="00C408D4"/>
    <w:rsid w:val="00C4139C"/>
    <w:rsid w:val="00C4163F"/>
    <w:rsid w:val="00C41DC2"/>
    <w:rsid w:val="00C41E97"/>
    <w:rsid w:val="00C42490"/>
    <w:rsid w:val="00C42EA3"/>
    <w:rsid w:val="00C42EF5"/>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1CFC"/>
    <w:rsid w:val="00C520C6"/>
    <w:rsid w:val="00C523B3"/>
    <w:rsid w:val="00C52A30"/>
    <w:rsid w:val="00C52DB3"/>
    <w:rsid w:val="00C52EAF"/>
    <w:rsid w:val="00C53225"/>
    <w:rsid w:val="00C533B8"/>
    <w:rsid w:val="00C53744"/>
    <w:rsid w:val="00C53BBE"/>
    <w:rsid w:val="00C53ED0"/>
    <w:rsid w:val="00C550D6"/>
    <w:rsid w:val="00C55B39"/>
    <w:rsid w:val="00C55E52"/>
    <w:rsid w:val="00C5613F"/>
    <w:rsid w:val="00C56499"/>
    <w:rsid w:val="00C56685"/>
    <w:rsid w:val="00C56886"/>
    <w:rsid w:val="00C568CD"/>
    <w:rsid w:val="00C56DEF"/>
    <w:rsid w:val="00C56E66"/>
    <w:rsid w:val="00C56EA2"/>
    <w:rsid w:val="00C57701"/>
    <w:rsid w:val="00C57C11"/>
    <w:rsid w:val="00C60600"/>
    <w:rsid w:val="00C612E5"/>
    <w:rsid w:val="00C614A2"/>
    <w:rsid w:val="00C615D8"/>
    <w:rsid w:val="00C61D6D"/>
    <w:rsid w:val="00C6226D"/>
    <w:rsid w:val="00C646BE"/>
    <w:rsid w:val="00C64BA1"/>
    <w:rsid w:val="00C64E73"/>
    <w:rsid w:val="00C65EF3"/>
    <w:rsid w:val="00C6686D"/>
    <w:rsid w:val="00C67034"/>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61"/>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C780F"/>
    <w:rsid w:val="00CD0A2E"/>
    <w:rsid w:val="00CD0B2D"/>
    <w:rsid w:val="00CD17DA"/>
    <w:rsid w:val="00CD1943"/>
    <w:rsid w:val="00CD26C5"/>
    <w:rsid w:val="00CD2722"/>
    <w:rsid w:val="00CD33DF"/>
    <w:rsid w:val="00CD37EE"/>
    <w:rsid w:val="00CD3864"/>
    <w:rsid w:val="00CD53EB"/>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E7D4B"/>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7ED"/>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17BB7"/>
    <w:rsid w:val="00D20E64"/>
    <w:rsid w:val="00D21576"/>
    <w:rsid w:val="00D2175A"/>
    <w:rsid w:val="00D22D10"/>
    <w:rsid w:val="00D230E7"/>
    <w:rsid w:val="00D2320E"/>
    <w:rsid w:val="00D23668"/>
    <w:rsid w:val="00D24564"/>
    <w:rsid w:val="00D247F7"/>
    <w:rsid w:val="00D24D2D"/>
    <w:rsid w:val="00D24FBB"/>
    <w:rsid w:val="00D2532D"/>
    <w:rsid w:val="00D25712"/>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617"/>
    <w:rsid w:val="00D33950"/>
    <w:rsid w:val="00D348D1"/>
    <w:rsid w:val="00D34D73"/>
    <w:rsid w:val="00D34F67"/>
    <w:rsid w:val="00D35487"/>
    <w:rsid w:val="00D3558A"/>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18B9"/>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312C"/>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4CF"/>
    <w:rsid w:val="00DF0B2B"/>
    <w:rsid w:val="00DF0BA4"/>
    <w:rsid w:val="00DF14AD"/>
    <w:rsid w:val="00DF2407"/>
    <w:rsid w:val="00DF24D0"/>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6FB2"/>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5AC3"/>
    <w:rsid w:val="00E36277"/>
    <w:rsid w:val="00E36DCC"/>
    <w:rsid w:val="00E376C1"/>
    <w:rsid w:val="00E376F4"/>
    <w:rsid w:val="00E40E02"/>
    <w:rsid w:val="00E417D9"/>
    <w:rsid w:val="00E41A5D"/>
    <w:rsid w:val="00E41F96"/>
    <w:rsid w:val="00E4495F"/>
    <w:rsid w:val="00E455A8"/>
    <w:rsid w:val="00E458B7"/>
    <w:rsid w:val="00E4656E"/>
    <w:rsid w:val="00E46819"/>
    <w:rsid w:val="00E46F18"/>
    <w:rsid w:val="00E4761A"/>
    <w:rsid w:val="00E47B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2D6"/>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30E"/>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617E"/>
    <w:rsid w:val="00EC72D6"/>
    <w:rsid w:val="00ED08A0"/>
    <w:rsid w:val="00ED0B39"/>
    <w:rsid w:val="00ED1158"/>
    <w:rsid w:val="00ED1221"/>
    <w:rsid w:val="00ED15CF"/>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2DFD"/>
    <w:rsid w:val="00F130BC"/>
    <w:rsid w:val="00F132D3"/>
    <w:rsid w:val="00F134A8"/>
    <w:rsid w:val="00F139DF"/>
    <w:rsid w:val="00F147B9"/>
    <w:rsid w:val="00F14DCC"/>
    <w:rsid w:val="00F14EEC"/>
    <w:rsid w:val="00F15FE9"/>
    <w:rsid w:val="00F16828"/>
    <w:rsid w:val="00F17A7F"/>
    <w:rsid w:val="00F20200"/>
    <w:rsid w:val="00F20A9D"/>
    <w:rsid w:val="00F20AE4"/>
    <w:rsid w:val="00F20E32"/>
    <w:rsid w:val="00F218A4"/>
    <w:rsid w:val="00F219A0"/>
    <w:rsid w:val="00F21BC4"/>
    <w:rsid w:val="00F21E9D"/>
    <w:rsid w:val="00F21FCC"/>
    <w:rsid w:val="00F22A50"/>
    <w:rsid w:val="00F22BFC"/>
    <w:rsid w:val="00F230D0"/>
    <w:rsid w:val="00F23763"/>
    <w:rsid w:val="00F241AF"/>
    <w:rsid w:val="00F24A31"/>
    <w:rsid w:val="00F27372"/>
    <w:rsid w:val="00F27575"/>
    <w:rsid w:val="00F27F51"/>
    <w:rsid w:val="00F30472"/>
    <w:rsid w:val="00F305B0"/>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1BA"/>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A5F"/>
    <w:rsid w:val="00F54EF3"/>
    <w:rsid w:val="00F5588F"/>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4B22"/>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72C"/>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2A"/>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32273901">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53017285">
      <w:bodyDiv w:val="1"/>
      <w:marLeft w:val="0"/>
      <w:marRight w:val="0"/>
      <w:marTop w:val="0"/>
      <w:marBottom w:val="0"/>
      <w:divBdr>
        <w:top w:val="none" w:sz="0" w:space="0" w:color="auto"/>
        <w:left w:val="none" w:sz="0" w:space="0" w:color="auto"/>
        <w:bottom w:val="none" w:sz="0" w:space="0" w:color="auto"/>
        <w:right w:val="none" w:sz="0" w:space="0" w:color="auto"/>
      </w:divBdr>
    </w:div>
    <w:div w:id="474611976">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65695815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18360952">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690637727">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BBA746-DE1D-4A52-A6BF-BB933989A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22</Pages>
  <Words>6914</Words>
  <Characters>38027</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11</cp:revision>
  <cp:lastPrinted>2025-11-05T14:45:00Z</cp:lastPrinted>
  <dcterms:created xsi:type="dcterms:W3CDTF">2026-03-17T17:18:00Z</dcterms:created>
  <dcterms:modified xsi:type="dcterms:W3CDTF">2026-03-23T20:05:00Z</dcterms:modified>
</cp:coreProperties>
</file>