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3A5" w:rsidRPr="00FC13A5" w:rsidRDefault="00FC13A5" w:rsidP="00FC13A5">
      <w:pPr>
        <w:spacing w:after="0" w:line="360" w:lineRule="auto"/>
        <w:ind w:left="3969"/>
        <w:jc w:val="both"/>
        <w:rPr>
          <w:rFonts w:ascii="Arial Narrow" w:eastAsia="Calibri" w:hAnsi="Arial Narrow" w:cs="Times New Roman"/>
          <w:b/>
          <w:sz w:val="20"/>
          <w:szCs w:val="20"/>
        </w:rPr>
      </w:pPr>
      <w:r w:rsidRPr="00FC13A5">
        <w:rPr>
          <w:rFonts w:ascii="Arial Narrow" w:eastAsia="Calibri" w:hAnsi="Arial Narrow" w:cs="Times New Roman"/>
          <w:b/>
          <w:sz w:val="20"/>
          <w:szCs w:val="20"/>
        </w:rPr>
        <w:t>TRIBUNAL ESTATAL DE JUSTICIA ADMINISTRATIVA</w:t>
      </w:r>
    </w:p>
    <w:p w:rsidR="00FC13A5" w:rsidRPr="00FC13A5" w:rsidRDefault="00FC13A5" w:rsidP="00FC13A5">
      <w:pPr>
        <w:spacing w:after="0" w:line="360" w:lineRule="auto"/>
        <w:ind w:left="3969"/>
        <w:rPr>
          <w:rFonts w:ascii="Arial Narrow" w:eastAsia="Calibri" w:hAnsi="Arial Narrow" w:cs="Times New Roman"/>
          <w:b/>
          <w:sz w:val="20"/>
          <w:szCs w:val="20"/>
        </w:rPr>
      </w:pPr>
    </w:p>
    <w:p w:rsidR="00FC13A5" w:rsidRPr="00FC13A5" w:rsidRDefault="00FC13A5" w:rsidP="00FC13A5">
      <w:pPr>
        <w:spacing w:after="0" w:line="360" w:lineRule="auto"/>
        <w:ind w:left="3969"/>
        <w:rPr>
          <w:rFonts w:ascii="Arial Narrow" w:eastAsia="Calibri" w:hAnsi="Arial Narrow" w:cs="Times New Roman"/>
          <w:b/>
          <w:sz w:val="20"/>
          <w:szCs w:val="20"/>
        </w:rPr>
      </w:pPr>
      <w:r w:rsidRPr="00FC13A5">
        <w:rPr>
          <w:rFonts w:ascii="Arial Narrow" w:eastAsia="Calibri" w:hAnsi="Arial Narrow" w:cs="Times New Roman"/>
          <w:b/>
          <w:sz w:val="20"/>
          <w:szCs w:val="20"/>
        </w:rPr>
        <w:t>TERCERA SALA UNITARIA</w:t>
      </w:r>
    </w:p>
    <w:p w:rsidR="00FC13A5" w:rsidRPr="00FC13A5" w:rsidRDefault="00FC13A5" w:rsidP="00FC13A5">
      <w:pPr>
        <w:spacing w:after="0" w:line="360" w:lineRule="auto"/>
        <w:ind w:left="3969"/>
        <w:jc w:val="both"/>
        <w:rPr>
          <w:rFonts w:ascii="Arial Narrow" w:eastAsia="Calibri" w:hAnsi="Arial Narrow" w:cs="Times New Roman"/>
          <w:b/>
          <w:sz w:val="20"/>
          <w:szCs w:val="20"/>
        </w:rPr>
      </w:pPr>
    </w:p>
    <w:p w:rsidR="00FC13A5" w:rsidRPr="00FC13A5" w:rsidRDefault="00FC13A5" w:rsidP="00FC13A5">
      <w:pPr>
        <w:spacing w:after="0" w:line="360" w:lineRule="auto"/>
        <w:ind w:left="3969"/>
        <w:jc w:val="both"/>
        <w:rPr>
          <w:rFonts w:ascii="Arial Narrow" w:eastAsia="Calibri" w:hAnsi="Arial Narrow" w:cs="Times New Roman"/>
          <w:b/>
          <w:sz w:val="20"/>
          <w:szCs w:val="20"/>
        </w:rPr>
      </w:pPr>
      <w:r w:rsidRPr="00FC13A5">
        <w:rPr>
          <w:rFonts w:ascii="Arial Narrow" w:eastAsia="Calibri" w:hAnsi="Arial Narrow" w:cs="Times New Roman"/>
          <w:b/>
          <w:sz w:val="20"/>
          <w:szCs w:val="20"/>
        </w:rPr>
        <w:t xml:space="preserve">EXPEDIENTE: </w:t>
      </w:r>
      <w:r w:rsidR="009D33B4">
        <w:rPr>
          <w:rFonts w:ascii="Arial Narrow" w:eastAsia="Calibri" w:hAnsi="Arial Narrow" w:cs="Times New Roman"/>
          <w:b/>
          <w:sz w:val="20"/>
          <w:szCs w:val="20"/>
        </w:rPr>
        <w:t>125</w:t>
      </w:r>
      <w:r w:rsidRPr="00FC13A5">
        <w:rPr>
          <w:rFonts w:ascii="Arial Narrow" w:eastAsia="Calibri" w:hAnsi="Arial Narrow" w:cs="Times New Roman"/>
          <w:b/>
          <w:sz w:val="20"/>
          <w:szCs w:val="20"/>
        </w:rPr>
        <w:t>/20</w:t>
      </w:r>
      <w:r w:rsidR="009D33B4">
        <w:rPr>
          <w:rFonts w:ascii="Arial Narrow" w:eastAsia="Calibri" w:hAnsi="Arial Narrow" w:cs="Times New Roman"/>
          <w:b/>
          <w:sz w:val="20"/>
          <w:szCs w:val="20"/>
        </w:rPr>
        <w:t>22</w:t>
      </w:r>
      <w:r w:rsidRPr="00FC13A5">
        <w:rPr>
          <w:rFonts w:ascii="Arial Narrow" w:eastAsia="Calibri" w:hAnsi="Arial Narrow" w:cs="Times New Roman"/>
          <w:b/>
          <w:sz w:val="20"/>
          <w:szCs w:val="20"/>
        </w:rPr>
        <w:t>-3</w:t>
      </w:r>
    </w:p>
    <w:p w:rsidR="00FC13A5" w:rsidRPr="00FC13A5" w:rsidRDefault="00FC13A5" w:rsidP="00FC13A5">
      <w:pPr>
        <w:spacing w:after="0" w:line="360" w:lineRule="auto"/>
        <w:ind w:left="3969"/>
        <w:jc w:val="both"/>
        <w:rPr>
          <w:rFonts w:ascii="Arial Narrow" w:eastAsia="Calibri" w:hAnsi="Arial Narrow" w:cs="Times New Roman"/>
          <w:b/>
          <w:sz w:val="20"/>
          <w:szCs w:val="20"/>
        </w:rPr>
      </w:pPr>
    </w:p>
    <w:p w:rsidR="00FC13A5" w:rsidRPr="00FC13A5" w:rsidRDefault="00FC13A5" w:rsidP="00FC13A5">
      <w:pPr>
        <w:spacing w:after="0" w:line="360" w:lineRule="auto"/>
        <w:ind w:left="3969"/>
        <w:jc w:val="both"/>
        <w:rPr>
          <w:rFonts w:ascii="Arial Narrow" w:eastAsia="Calibri" w:hAnsi="Arial Narrow" w:cs="Times New Roman"/>
          <w:b/>
          <w:sz w:val="20"/>
          <w:szCs w:val="20"/>
        </w:rPr>
      </w:pPr>
      <w:r w:rsidRPr="00FC13A5">
        <w:rPr>
          <w:rFonts w:ascii="Arial Narrow" w:eastAsia="Calibri" w:hAnsi="Arial Narrow" w:cs="Times New Roman"/>
          <w:b/>
          <w:sz w:val="20"/>
          <w:szCs w:val="20"/>
        </w:rPr>
        <w:t xml:space="preserve">PARTE ACTORA: </w:t>
      </w:r>
    </w:p>
    <w:p w:rsidR="00FC13A5" w:rsidRPr="00FC13A5" w:rsidRDefault="003331D5" w:rsidP="00FC13A5">
      <w:pPr>
        <w:spacing w:after="0" w:line="360" w:lineRule="auto"/>
        <w:ind w:left="3969"/>
        <w:jc w:val="both"/>
        <w:rPr>
          <w:rFonts w:ascii="Arial Narrow" w:eastAsia="Calibri" w:hAnsi="Arial Narrow" w:cs="Times New Roman"/>
          <w:b/>
          <w:sz w:val="20"/>
          <w:szCs w:val="20"/>
        </w:rPr>
      </w:pPr>
      <w:r>
        <w:rPr>
          <w:rFonts w:ascii="Arial Narrow" w:eastAsia="Calibri" w:hAnsi="Arial Narrow" w:cs="Times New Roman"/>
          <w:color w:val="FF0000"/>
          <w:sz w:val="20"/>
          <w:szCs w:val="20"/>
        </w:rPr>
        <w:t>**********</w:t>
      </w:r>
    </w:p>
    <w:p w:rsidR="00FC13A5" w:rsidRPr="00FC13A5" w:rsidRDefault="00FC13A5" w:rsidP="00FC13A5">
      <w:pPr>
        <w:spacing w:after="0" w:line="360" w:lineRule="auto"/>
        <w:ind w:left="3969"/>
        <w:jc w:val="both"/>
        <w:rPr>
          <w:rFonts w:ascii="Arial Narrow" w:eastAsia="Calibri" w:hAnsi="Arial Narrow" w:cs="Times New Roman"/>
          <w:b/>
          <w:sz w:val="20"/>
          <w:szCs w:val="20"/>
        </w:rPr>
      </w:pPr>
      <w:r w:rsidRPr="00FC13A5">
        <w:rPr>
          <w:rFonts w:ascii="Arial Narrow" w:eastAsia="Calibri" w:hAnsi="Arial Narrow" w:cs="Times New Roman"/>
          <w:b/>
          <w:sz w:val="20"/>
          <w:szCs w:val="20"/>
        </w:rPr>
        <w:t>MAGISTRADO:</w:t>
      </w:r>
    </w:p>
    <w:p w:rsidR="00FC13A5" w:rsidRPr="00FC13A5" w:rsidRDefault="00FC13A5" w:rsidP="00FC13A5">
      <w:pPr>
        <w:spacing w:after="0" w:line="360" w:lineRule="auto"/>
        <w:ind w:left="3969"/>
        <w:jc w:val="both"/>
        <w:rPr>
          <w:rFonts w:ascii="Arial Narrow" w:eastAsia="Calibri" w:hAnsi="Arial Narrow" w:cs="Times New Roman"/>
          <w:sz w:val="20"/>
          <w:szCs w:val="20"/>
        </w:rPr>
      </w:pPr>
      <w:r w:rsidRPr="00FC13A5">
        <w:rPr>
          <w:rFonts w:ascii="Arial Narrow" w:eastAsia="Calibri" w:hAnsi="Arial Narrow" w:cs="Times New Roman"/>
          <w:sz w:val="20"/>
          <w:szCs w:val="20"/>
        </w:rPr>
        <w:t xml:space="preserve">LICENCIADO </w:t>
      </w:r>
      <w:r w:rsidR="009D33B4">
        <w:rPr>
          <w:rFonts w:ascii="Arial Narrow" w:eastAsia="Calibri" w:hAnsi="Arial Narrow" w:cs="Times New Roman"/>
          <w:sz w:val="20"/>
          <w:szCs w:val="20"/>
        </w:rPr>
        <w:t>JORGE ALEJANDRO VERA NOYOLA</w:t>
      </w:r>
      <w:r w:rsidRPr="00FC13A5">
        <w:rPr>
          <w:rFonts w:ascii="Arial Narrow" w:eastAsia="Calibri" w:hAnsi="Arial Narrow" w:cs="Times New Roman"/>
          <w:sz w:val="20"/>
          <w:szCs w:val="20"/>
        </w:rPr>
        <w:t>.</w:t>
      </w:r>
    </w:p>
    <w:p w:rsidR="00FC13A5" w:rsidRPr="00FC13A5" w:rsidRDefault="00FC13A5" w:rsidP="00FC13A5">
      <w:pPr>
        <w:spacing w:after="0" w:line="360" w:lineRule="auto"/>
        <w:ind w:left="3969"/>
        <w:jc w:val="both"/>
        <w:rPr>
          <w:rFonts w:ascii="Arial Narrow" w:eastAsia="Calibri" w:hAnsi="Arial Narrow" w:cs="Times New Roman"/>
          <w:sz w:val="20"/>
          <w:szCs w:val="20"/>
        </w:rPr>
      </w:pPr>
    </w:p>
    <w:p w:rsidR="00FC13A5" w:rsidRPr="00FC13A5" w:rsidRDefault="00FC13A5" w:rsidP="00FC13A5">
      <w:pPr>
        <w:spacing w:after="0" w:line="360" w:lineRule="auto"/>
        <w:ind w:left="3969"/>
        <w:jc w:val="both"/>
        <w:rPr>
          <w:rFonts w:ascii="Arial Narrow" w:eastAsia="Calibri" w:hAnsi="Arial Narrow" w:cs="Times New Roman"/>
          <w:b/>
          <w:sz w:val="20"/>
          <w:szCs w:val="20"/>
        </w:rPr>
      </w:pPr>
      <w:r w:rsidRPr="00FC13A5">
        <w:rPr>
          <w:rFonts w:ascii="Arial Narrow" w:eastAsia="Calibri" w:hAnsi="Arial Narrow" w:cs="Times New Roman"/>
          <w:b/>
          <w:sz w:val="20"/>
          <w:szCs w:val="20"/>
        </w:rPr>
        <w:t>SECRETARIO DE ESTUDIO Y CUENTA:</w:t>
      </w:r>
    </w:p>
    <w:p w:rsidR="00FC13A5" w:rsidRPr="00FC13A5" w:rsidRDefault="00FC13A5" w:rsidP="00FC13A5">
      <w:pPr>
        <w:spacing w:after="0" w:line="360" w:lineRule="auto"/>
        <w:ind w:left="3969"/>
        <w:jc w:val="both"/>
        <w:rPr>
          <w:rFonts w:ascii="Arial Narrow" w:eastAsia="Calibri" w:hAnsi="Arial Narrow" w:cs="Times New Roman"/>
          <w:sz w:val="20"/>
          <w:szCs w:val="20"/>
        </w:rPr>
      </w:pPr>
      <w:r w:rsidRPr="00FC13A5">
        <w:rPr>
          <w:rFonts w:ascii="Arial Narrow" w:eastAsia="Calibri" w:hAnsi="Arial Narrow" w:cs="Times New Roman"/>
          <w:sz w:val="20"/>
          <w:szCs w:val="20"/>
        </w:rPr>
        <w:t xml:space="preserve">LICENCIADA DIANA CAROLINA MONTELONGO ORTIZ </w:t>
      </w:r>
    </w:p>
    <w:p w:rsidR="00FC13A5" w:rsidRPr="00FC13A5" w:rsidRDefault="00FC13A5" w:rsidP="00FC13A5">
      <w:pPr>
        <w:tabs>
          <w:tab w:val="left" w:pos="567"/>
          <w:tab w:val="left" w:pos="5103"/>
          <w:tab w:val="left" w:pos="6804"/>
        </w:tabs>
        <w:spacing w:after="0" w:line="360" w:lineRule="auto"/>
        <w:ind w:left="4253"/>
        <w:rPr>
          <w:rFonts w:ascii="Arial Narrow" w:eastAsia="Arial Unicode MS" w:hAnsi="Arial Narrow" w:cs="Arial"/>
          <w:b/>
          <w:sz w:val="28"/>
          <w:szCs w:val="28"/>
        </w:rPr>
      </w:pPr>
    </w:p>
    <w:p w:rsidR="00FC13A5" w:rsidRPr="00FC13A5" w:rsidRDefault="00FC13A5" w:rsidP="00526223">
      <w:pPr>
        <w:keepNext/>
        <w:spacing w:after="0" w:line="360" w:lineRule="auto"/>
        <w:ind w:firstLine="708"/>
        <w:jc w:val="both"/>
        <w:outlineLvl w:val="1"/>
        <w:rPr>
          <w:rFonts w:ascii="Arial" w:eastAsia="Calibri" w:hAnsi="Arial" w:cs="Arial"/>
          <w:sz w:val="26"/>
          <w:szCs w:val="26"/>
        </w:rPr>
      </w:pPr>
      <w:r w:rsidRPr="00FC13A5">
        <w:rPr>
          <w:rFonts w:ascii="Arial" w:eastAsia="Calibri" w:hAnsi="Arial" w:cs="Arial"/>
          <w:sz w:val="26"/>
          <w:szCs w:val="26"/>
        </w:rPr>
        <w:t xml:space="preserve">San Luis Potosí, S.L.P., a </w:t>
      </w:r>
      <w:r w:rsidR="00526223">
        <w:rPr>
          <w:rFonts w:ascii="Arial" w:eastAsia="Calibri" w:hAnsi="Arial" w:cs="Arial"/>
          <w:sz w:val="26"/>
          <w:szCs w:val="26"/>
        </w:rPr>
        <w:t>veintiuno de mayo de dos mil veintiséis.</w:t>
      </w:r>
    </w:p>
    <w:p w:rsidR="00FC13A5" w:rsidRPr="00FC13A5" w:rsidRDefault="00FC13A5" w:rsidP="00FC13A5">
      <w:pPr>
        <w:spacing w:after="0" w:line="360" w:lineRule="auto"/>
        <w:rPr>
          <w:rFonts w:ascii="Arial" w:eastAsia="Calibri" w:hAnsi="Arial" w:cs="Arial"/>
          <w:sz w:val="26"/>
          <w:szCs w:val="26"/>
        </w:rPr>
      </w:pPr>
    </w:p>
    <w:p w:rsidR="00FC13A5" w:rsidRDefault="00FC13A5" w:rsidP="00FC13A5">
      <w:pPr>
        <w:spacing w:after="0" w:line="360" w:lineRule="auto"/>
        <w:jc w:val="both"/>
        <w:rPr>
          <w:rFonts w:ascii="Arial" w:hAnsi="Arial" w:cs="Arial"/>
          <w:sz w:val="24"/>
          <w:szCs w:val="24"/>
          <w:lang w:val="es-ES"/>
        </w:rPr>
      </w:pPr>
      <w:r w:rsidRPr="00FC13A5">
        <w:rPr>
          <w:rFonts w:ascii="Arial" w:eastAsia="Calibri" w:hAnsi="Arial" w:cs="Arial"/>
          <w:b/>
          <w:sz w:val="26"/>
          <w:szCs w:val="26"/>
        </w:rPr>
        <w:tab/>
      </w:r>
      <w:r w:rsidRPr="00FC13A5">
        <w:rPr>
          <w:rFonts w:ascii="Arial" w:hAnsi="Arial" w:cs="Arial"/>
          <w:b/>
          <w:sz w:val="24"/>
          <w:szCs w:val="24"/>
          <w:lang w:val="es-ES"/>
        </w:rPr>
        <w:t xml:space="preserve">V I S T O S </w:t>
      </w:r>
      <w:r w:rsidRPr="00FC13A5">
        <w:rPr>
          <w:rFonts w:ascii="Arial" w:hAnsi="Arial" w:cs="Arial"/>
          <w:sz w:val="24"/>
          <w:szCs w:val="24"/>
          <w:lang w:val="es-ES"/>
        </w:rPr>
        <w:t xml:space="preserve">para resolver </w:t>
      </w:r>
      <w:r w:rsidRPr="00FC13A5">
        <w:rPr>
          <w:rFonts w:ascii="Arial" w:hAnsi="Arial" w:cs="Arial"/>
          <w:b/>
          <w:sz w:val="24"/>
          <w:szCs w:val="24"/>
          <w:lang w:val="es-ES"/>
        </w:rPr>
        <w:t xml:space="preserve">LA ACLARACION DE SENTENCIA </w:t>
      </w:r>
      <w:r w:rsidRPr="00FC13A5">
        <w:rPr>
          <w:rFonts w:ascii="Arial" w:hAnsi="Arial" w:cs="Arial"/>
          <w:sz w:val="24"/>
          <w:szCs w:val="24"/>
          <w:lang w:val="es-ES"/>
        </w:rPr>
        <w:t xml:space="preserve"> interpuesta por el </w:t>
      </w:r>
      <w:r w:rsidRPr="00FC13A5">
        <w:rPr>
          <w:rFonts w:ascii="Arial" w:hAnsi="Arial" w:cs="Arial"/>
          <w:b/>
          <w:sz w:val="24"/>
          <w:szCs w:val="24"/>
          <w:lang w:val="es-ES"/>
        </w:rPr>
        <w:t xml:space="preserve">actor </w:t>
      </w:r>
      <w:r w:rsidR="00526223">
        <w:rPr>
          <w:rFonts w:ascii="Arial" w:hAnsi="Arial" w:cs="Arial"/>
          <w:b/>
          <w:sz w:val="24"/>
          <w:szCs w:val="24"/>
          <w:lang w:val="es-ES"/>
        </w:rPr>
        <w:t>José Raúl Martínez Méndez</w:t>
      </w:r>
      <w:r w:rsidRPr="00FC13A5">
        <w:rPr>
          <w:rFonts w:ascii="Arial" w:hAnsi="Arial" w:cs="Arial"/>
          <w:sz w:val="24"/>
          <w:szCs w:val="24"/>
          <w:lang w:val="es-ES"/>
        </w:rPr>
        <w:t xml:space="preserve">, en relación con la resolución definitiva dictada por esta Sala Colegiada con fecha </w:t>
      </w:r>
      <w:r w:rsidR="00361573" w:rsidRPr="00D92C59">
        <w:rPr>
          <w:rFonts w:ascii="Arial" w:hAnsi="Arial" w:cs="Arial"/>
          <w:b/>
          <w:sz w:val="24"/>
          <w:szCs w:val="24"/>
          <w:lang w:val="es-ES"/>
        </w:rPr>
        <w:t>dieciocho de marzo de dos mil veintiséis</w:t>
      </w:r>
      <w:r w:rsidRPr="00FC13A5">
        <w:rPr>
          <w:rFonts w:ascii="Arial" w:hAnsi="Arial" w:cs="Arial"/>
          <w:sz w:val="24"/>
          <w:szCs w:val="24"/>
          <w:lang w:val="es-ES"/>
        </w:rPr>
        <w:t xml:space="preserve">, en los autos del juicio contencioso administrativo número </w:t>
      </w:r>
      <w:r w:rsidRPr="00FC13A5">
        <w:rPr>
          <w:rFonts w:ascii="Arial" w:hAnsi="Arial" w:cs="Arial"/>
          <w:b/>
          <w:sz w:val="24"/>
          <w:szCs w:val="24"/>
          <w:lang w:val="es-ES"/>
        </w:rPr>
        <w:t>1</w:t>
      </w:r>
      <w:r w:rsidR="00526223">
        <w:rPr>
          <w:rFonts w:ascii="Arial" w:hAnsi="Arial" w:cs="Arial"/>
          <w:b/>
          <w:sz w:val="24"/>
          <w:szCs w:val="24"/>
          <w:lang w:val="es-ES"/>
        </w:rPr>
        <w:t>25</w:t>
      </w:r>
      <w:r w:rsidRPr="00FC13A5">
        <w:rPr>
          <w:rFonts w:ascii="Arial" w:hAnsi="Arial" w:cs="Arial"/>
          <w:b/>
          <w:sz w:val="24"/>
          <w:szCs w:val="24"/>
          <w:lang w:val="es-ES"/>
        </w:rPr>
        <w:t>/20</w:t>
      </w:r>
      <w:r w:rsidR="00526223">
        <w:rPr>
          <w:rFonts w:ascii="Arial" w:hAnsi="Arial" w:cs="Arial"/>
          <w:b/>
          <w:sz w:val="24"/>
          <w:szCs w:val="24"/>
          <w:lang w:val="es-ES"/>
        </w:rPr>
        <w:t>22</w:t>
      </w:r>
      <w:r w:rsidRPr="00FC13A5">
        <w:rPr>
          <w:rFonts w:ascii="Arial" w:hAnsi="Arial" w:cs="Arial"/>
          <w:b/>
          <w:sz w:val="24"/>
          <w:szCs w:val="24"/>
          <w:lang w:val="es-ES"/>
        </w:rPr>
        <w:t>-3</w:t>
      </w:r>
      <w:r w:rsidRPr="00FC13A5">
        <w:rPr>
          <w:rFonts w:ascii="Arial" w:hAnsi="Arial" w:cs="Arial"/>
          <w:sz w:val="24"/>
          <w:szCs w:val="24"/>
          <w:lang w:val="es-ES"/>
        </w:rPr>
        <w:t xml:space="preserve"> promovido en contra de</w:t>
      </w:r>
      <w:r w:rsidR="00361573">
        <w:rPr>
          <w:rFonts w:ascii="Arial" w:hAnsi="Arial" w:cs="Arial"/>
          <w:sz w:val="24"/>
          <w:szCs w:val="24"/>
          <w:lang w:val="es-ES"/>
        </w:rPr>
        <w:t xml:space="preserve"> </w:t>
      </w:r>
      <w:r w:rsidRPr="00FC13A5">
        <w:rPr>
          <w:rFonts w:ascii="Arial" w:hAnsi="Arial" w:cs="Arial"/>
          <w:sz w:val="24"/>
          <w:szCs w:val="24"/>
          <w:lang w:val="es-ES"/>
        </w:rPr>
        <w:t>l</w:t>
      </w:r>
      <w:r w:rsidR="00361573">
        <w:rPr>
          <w:rFonts w:ascii="Arial" w:hAnsi="Arial" w:cs="Arial"/>
          <w:sz w:val="24"/>
          <w:szCs w:val="24"/>
          <w:lang w:val="es-ES"/>
        </w:rPr>
        <w:t xml:space="preserve">a </w:t>
      </w:r>
      <w:r w:rsidR="00361573" w:rsidRPr="00361573">
        <w:rPr>
          <w:rFonts w:ascii="Arial" w:hAnsi="Arial" w:cs="Arial"/>
          <w:b/>
          <w:sz w:val="24"/>
          <w:szCs w:val="24"/>
          <w:lang w:val="es-ES"/>
        </w:rPr>
        <w:t>Dirección del Centro Estatal de Reinserción Social Número 1 “La Pila”</w:t>
      </w:r>
      <w:r w:rsidRPr="00FC13A5">
        <w:rPr>
          <w:rFonts w:ascii="Arial" w:hAnsi="Arial" w:cs="Arial"/>
          <w:sz w:val="24"/>
          <w:szCs w:val="24"/>
          <w:lang w:val="es-ES"/>
        </w:rPr>
        <w:t>, y;</w:t>
      </w:r>
    </w:p>
    <w:p w:rsidR="00361573" w:rsidRPr="00FC13A5" w:rsidRDefault="00361573" w:rsidP="00FC13A5">
      <w:pPr>
        <w:spacing w:after="0" w:line="360" w:lineRule="auto"/>
        <w:jc w:val="both"/>
        <w:rPr>
          <w:rFonts w:ascii="Arial" w:hAnsi="Arial" w:cs="Arial"/>
          <w:sz w:val="24"/>
          <w:szCs w:val="24"/>
          <w:lang w:val="es-ES"/>
        </w:rPr>
      </w:pPr>
    </w:p>
    <w:p w:rsidR="00FC13A5" w:rsidRPr="00FC13A5" w:rsidRDefault="00FC13A5" w:rsidP="00FC13A5">
      <w:pPr>
        <w:keepNext/>
        <w:tabs>
          <w:tab w:val="left" w:pos="851"/>
          <w:tab w:val="left" w:pos="8389"/>
        </w:tabs>
        <w:spacing w:after="0" w:line="360" w:lineRule="auto"/>
        <w:jc w:val="center"/>
        <w:outlineLvl w:val="2"/>
        <w:rPr>
          <w:rFonts w:ascii="Arial" w:eastAsia="Calibri" w:hAnsi="Arial" w:cs="Arial"/>
          <w:b/>
          <w:sz w:val="24"/>
          <w:szCs w:val="24"/>
        </w:rPr>
      </w:pPr>
      <w:r w:rsidRPr="00FC13A5">
        <w:rPr>
          <w:rFonts w:ascii="Arial" w:eastAsia="Calibri" w:hAnsi="Arial" w:cs="Arial"/>
          <w:b/>
          <w:sz w:val="24"/>
          <w:szCs w:val="24"/>
        </w:rPr>
        <w:t xml:space="preserve"> R E S U L T A N D O</w:t>
      </w:r>
    </w:p>
    <w:p w:rsidR="00FC13A5" w:rsidRPr="00FC13A5" w:rsidRDefault="00FC13A5" w:rsidP="00FC13A5">
      <w:pPr>
        <w:spacing w:after="0" w:line="360" w:lineRule="auto"/>
        <w:rPr>
          <w:rFonts w:ascii="Arial" w:hAnsi="Arial" w:cs="Arial"/>
          <w:sz w:val="24"/>
          <w:szCs w:val="24"/>
          <w:lang w:val="es-ES"/>
        </w:rPr>
      </w:pPr>
    </w:p>
    <w:p w:rsidR="00FC13A5" w:rsidRPr="00FC13A5" w:rsidRDefault="00FC13A5" w:rsidP="00D92C59">
      <w:pPr>
        <w:autoSpaceDE w:val="0"/>
        <w:autoSpaceDN w:val="0"/>
        <w:adjustRightInd w:val="0"/>
        <w:spacing w:after="0" w:line="360" w:lineRule="atLeast"/>
        <w:ind w:firstLine="708"/>
        <w:jc w:val="both"/>
        <w:rPr>
          <w:rFonts w:ascii="Arial" w:hAnsi="Arial" w:cs="Arial"/>
          <w:sz w:val="24"/>
          <w:szCs w:val="24"/>
          <w:lang w:val="es-ES"/>
        </w:rPr>
      </w:pPr>
      <w:r w:rsidRPr="00FC13A5">
        <w:rPr>
          <w:rFonts w:ascii="Arial" w:hAnsi="Arial" w:cs="Arial"/>
          <w:b/>
          <w:sz w:val="24"/>
          <w:szCs w:val="24"/>
          <w:lang w:val="es-ES"/>
        </w:rPr>
        <w:t>I.-</w:t>
      </w:r>
      <w:r w:rsidRPr="00FC13A5">
        <w:rPr>
          <w:rFonts w:ascii="Arial" w:hAnsi="Arial" w:cs="Arial"/>
          <w:sz w:val="24"/>
          <w:szCs w:val="24"/>
          <w:lang w:val="es-ES"/>
        </w:rPr>
        <w:t xml:space="preserve"> </w:t>
      </w:r>
      <w:r w:rsidRPr="00D92C59">
        <w:rPr>
          <w:rFonts w:ascii="Arial" w:hAnsi="Arial" w:cs="Arial"/>
          <w:sz w:val="24"/>
          <w:szCs w:val="24"/>
          <w:lang w:val="es-ES"/>
        </w:rPr>
        <w:t>Con fecha</w:t>
      </w:r>
      <w:r w:rsidRPr="00FC13A5">
        <w:rPr>
          <w:rFonts w:ascii="Arial" w:hAnsi="Arial" w:cs="Arial"/>
          <w:sz w:val="24"/>
          <w:szCs w:val="24"/>
          <w:lang w:val="es-ES"/>
        </w:rPr>
        <w:t xml:space="preserve"> </w:t>
      </w:r>
      <w:r w:rsidR="00D92C59">
        <w:rPr>
          <w:rFonts w:ascii="Arial" w:hAnsi="Arial" w:cs="Arial"/>
          <w:sz w:val="24"/>
          <w:szCs w:val="24"/>
          <w:lang w:val="es-ES"/>
        </w:rPr>
        <w:t>veintiocho de abril de dos mil veintiséis</w:t>
      </w:r>
      <w:r w:rsidRPr="00FC13A5">
        <w:rPr>
          <w:rFonts w:ascii="Arial" w:hAnsi="Arial" w:cs="Arial"/>
          <w:sz w:val="24"/>
          <w:szCs w:val="24"/>
          <w:lang w:val="es-ES"/>
        </w:rPr>
        <w:t xml:space="preserve">, este Tribunal, emitió resolución definitiva en los autos del presente juicio, en la que se declaró </w:t>
      </w:r>
      <w:r w:rsidR="00D92C59">
        <w:rPr>
          <w:rFonts w:ascii="Arial" w:hAnsi="Arial" w:cs="Arial"/>
          <w:sz w:val="24"/>
          <w:szCs w:val="24"/>
          <w:lang w:val="es-ES"/>
        </w:rPr>
        <w:t>la nulidad lisa y llana del acto impugnado, consistente en la baja o Separación Injustificada del actor en el cargo que ocupaba como Custodio “A”, en el Centro Estatal de Reinserción Social de San Luis Potosí, a partir del 7 de diciembre de 2021, por las autoridades demandadas</w:t>
      </w:r>
      <w:r w:rsidRPr="00FC13A5">
        <w:rPr>
          <w:rFonts w:ascii="Arial" w:hAnsi="Arial" w:cs="Arial"/>
          <w:sz w:val="24"/>
          <w:szCs w:val="24"/>
          <w:lang w:val="es-ES"/>
        </w:rPr>
        <w:t>.</w:t>
      </w:r>
    </w:p>
    <w:p w:rsidR="00FC13A5" w:rsidRPr="00FC13A5" w:rsidRDefault="00FC13A5" w:rsidP="00FC13A5">
      <w:pPr>
        <w:autoSpaceDE w:val="0"/>
        <w:autoSpaceDN w:val="0"/>
        <w:adjustRightInd w:val="0"/>
        <w:spacing w:after="0" w:line="360" w:lineRule="atLeast"/>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t>II.-</w:t>
      </w:r>
      <w:r w:rsidRPr="00FC13A5">
        <w:rPr>
          <w:rFonts w:ascii="Arial" w:hAnsi="Arial" w:cs="Arial"/>
          <w:sz w:val="24"/>
          <w:szCs w:val="24"/>
          <w:lang w:val="es-ES"/>
        </w:rPr>
        <w:t xml:space="preserve"> Mediante escrito recibido en este Tribunal con fecha </w:t>
      </w:r>
      <w:r w:rsidR="00D92C59">
        <w:rPr>
          <w:rFonts w:ascii="Arial" w:hAnsi="Arial" w:cs="Arial"/>
          <w:sz w:val="24"/>
          <w:szCs w:val="24"/>
          <w:lang w:val="es-ES"/>
        </w:rPr>
        <w:t>ocho de abril de dos mil veintiséis</w:t>
      </w:r>
      <w:r w:rsidRPr="00FC13A5">
        <w:rPr>
          <w:rFonts w:ascii="Arial" w:hAnsi="Arial" w:cs="Arial"/>
          <w:sz w:val="24"/>
          <w:szCs w:val="24"/>
          <w:lang w:val="es-ES"/>
        </w:rPr>
        <w:t xml:space="preserve">, compareció el actor </w:t>
      </w:r>
      <w:r w:rsidR="00D92C59">
        <w:rPr>
          <w:rFonts w:ascii="Arial" w:hAnsi="Arial" w:cs="Arial"/>
          <w:sz w:val="24"/>
          <w:szCs w:val="24"/>
          <w:lang w:val="es-ES"/>
        </w:rPr>
        <w:t>José Raúl Martínez Méndez</w:t>
      </w:r>
      <w:r w:rsidRPr="00FC13A5">
        <w:rPr>
          <w:rFonts w:ascii="Arial" w:hAnsi="Arial" w:cs="Arial"/>
          <w:sz w:val="24"/>
          <w:szCs w:val="24"/>
          <w:lang w:val="es-ES"/>
        </w:rPr>
        <w:t xml:space="preserve">, a promover </w:t>
      </w:r>
      <w:r w:rsidRPr="00D92C59">
        <w:rPr>
          <w:rFonts w:ascii="Arial" w:hAnsi="Arial" w:cs="Arial"/>
          <w:b/>
          <w:sz w:val="24"/>
          <w:szCs w:val="24"/>
          <w:lang w:val="es-ES"/>
        </w:rPr>
        <w:t>Aclaración de Sentencia</w:t>
      </w:r>
      <w:r w:rsidRPr="00FC13A5">
        <w:rPr>
          <w:rFonts w:ascii="Arial" w:hAnsi="Arial" w:cs="Arial"/>
          <w:sz w:val="24"/>
          <w:szCs w:val="24"/>
          <w:lang w:val="es-ES"/>
        </w:rPr>
        <w:t xml:space="preserve"> de la resolución dictada con fecha </w:t>
      </w:r>
      <w:r w:rsidR="00D92C59" w:rsidRPr="00D92C59">
        <w:rPr>
          <w:rFonts w:ascii="Arial" w:hAnsi="Arial" w:cs="Arial"/>
          <w:b/>
          <w:sz w:val="24"/>
          <w:szCs w:val="24"/>
          <w:lang w:val="es-ES"/>
        </w:rPr>
        <w:t>dieciocho de marzo de dos mil veintiséis</w:t>
      </w:r>
      <w:r w:rsidRPr="00FC13A5">
        <w:rPr>
          <w:rFonts w:ascii="Arial" w:hAnsi="Arial" w:cs="Arial"/>
          <w:sz w:val="24"/>
          <w:szCs w:val="24"/>
          <w:lang w:val="es-ES"/>
        </w:rPr>
        <w:t>.</w:t>
      </w:r>
    </w:p>
    <w:p w:rsidR="00FC13A5" w:rsidRPr="00FC13A5" w:rsidRDefault="00FC13A5" w:rsidP="00FC13A5">
      <w:pPr>
        <w:spacing w:after="0" w:line="360" w:lineRule="auto"/>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t>III.-</w:t>
      </w:r>
      <w:r w:rsidRPr="00FC13A5">
        <w:rPr>
          <w:rFonts w:ascii="Arial" w:hAnsi="Arial" w:cs="Arial"/>
          <w:sz w:val="24"/>
          <w:szCs w:val="24"/>
          <w:lang w:val="es-ES"/>
        </w:rPr>
        <w:t xml:space="preserve"> Por proveído de fecha </w:t>
      </w:r>
      <w:r w:rsidR="00435CE3">
        <w:rPr>
          <w:rFonts w:ascii="Arial" w:hAnsi="Arial" w:cs="Arial"/>
          <w:sz w:val="24"/>
          <w:szCs w:val="24"/>
          <w:lang w:val="es-ES"/>
        </w:rPr>
        <w:t>veintiocho de abril de dos mil veintiséis</w:t>
      </w:r>
      <w:r w:rsidRPr="00FC13A5">
        <w:rPr>
          <w:rFonts w:ascii="Arial" w:hAnsi="Arial" w:cs="Arial"/>
          <w:sz w:val="24"/>
          <w:szCs w:val="24"/>
          <w:lang w:val="es-ES"/>
        </w:rPr>
        <w:t>, se admitió a trámite la aclaración de sentencia planteada y se citó para resolver.</w:t>
      </w:r>
    </w:p>
    <w:p w:rsidR="00FC13A5" w:rsidRPr="00FC13A5" w:rsidRDefault="00FC13A5" w:rsidP="00FC13A5">
      <w:pPr>
        <w:keepNext/>
        <w:spacing w:after="0" w:line="360" w:lineRule="auto"/>
        <w:ind w:right="-1" w:firstLine="708"/>
        <w:jc w:val="center"/>
        <w:outlineLvl w:val="3"/>
        <w:rPr>
          <w:rFonts w:ascii="Arial" w:eastAsia="Calibri" w:hAnsi="Arial" w:cs="Arial"/>
          <w:b/>
          <w:sz w:val="24"/>
          <w:szCs w:val="24"/>
        </w:rPr>
      </w:pPr>
      <w:r w:rsidRPr="00FC13A5">
        <w:rPr>
          <w:rFonts w:ascii="Arial" w:eastAsia="Calibri" w:hAnsi="Arial" w:cs="Arial"/>
          <w:b/>
          <w:sz w:val="24"/>
          <w:szCs w:val="24"/>
        </w:rPr>
        <w:t>C O N S I D E R A N D O</w:t>
      </w:r>
    </w:p>
    <w:p w:rsidR="00FC13A5" w:rsidRPr="00FC13A5" w:rsidRDefault="00FC13A5" w:rsidP="00FC13A5">
      <w:pPr>
        <w:spacing w:after="0" w:line="360" w:lineRule="auto"/>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lastRenderedPageBreak/>
        <w:t>PRIMERO</w:t>
      </w:r>
      <w:r w:rsidRPr="00FC13A5">
        <w:rPr>
          <w:rFonts w:ascii="Arial" w:hAnsi="Arial" w:cs="Arial"/>
          <w:sz w:val="24"/>
          <w:szCs w:val="24"/>
          <w:lang w:val="es-ES"/>
        </w:rPr>
        <w:t xml:space="preserve">.- Este Tribunal es competente para conocer y resolver de la presente aclaración, de conformidad con los artículos 34 fracción IX y 35 </w:t>
      </w:r>
      <w:proofErr w:type="gramStart"/>
      <w:r w:rsidRPr="00FC13A5">
        <w:rPr>
          <w:rFonts w:ascii="Arial" w:hAnsi="Arial" w:cs="Arial"/>
          <w:sz w:val="24"/>
          <w:szCs w:val="24"/>
          <w:lang w:val="es-ES"/>
        </w:rPr>
        <w:t>fracción</w:t>
      </w:r>
      <w:proofErr w:type="gramEnd"/>
      <w:r w:rsidRPr="00FC13A5">
        <w:rPr>
          <w:rFonts w:ascii="Arial" w:hAnsi="Arial" w:cs="Arial"/>
          <w:sz w:val="24"/>
          <w:szCs w:val="24"/>
          <w:lang w:val="es-ES"/>
        </w:rPr>
        <w:t xml:space="preserve"> VI de la Ley Orgánica del Tribunal Estatal de Justicia Administrativa de San Luis Potosí y 254 del Código Procesal Administrativo para el Estado.</w:t>
      </w:r>
    </w:p>
    <w:p w:rsidR="00FC13A5" w:rsidRPr="00FC13A5" w:rsidRDefault="00FC13A5" w:rsidP="00FC13A5">
      <w:pPr>
        <w:spacing w:after="0" w:line="360" w:lineRule="auto"/>
        <w:ind w:firstLine="708"/>
        <w:jc w:val="both"/>
        <w:rPr>
          <w:rFonts w:ascii="Arial" w:hAnsi="Arial" w:cs="Arial"/>
          <w:sz w:val="24"/>
          <w:szCs w:val="24"/>
          <w:u w:val="single"/>
          <w:lang w:val="es-ES"/>
        </w:rPr>
      </w:pPr>
    </w:p>
    <w:p w:rsidR="00435CE3" w:rsidRDefault="00FC13A5" w:rsidP="00FC13A5">
      <w:pPr>
        <w:tabs>
          <w:tab w:val="left" w:pos="2640"/>
        </w:tabs>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t>SEGUNDO</w:t>
      </w:r>
      <w:r w:rsidRPr="00FC13A5">
        <w:rPr>
          <w:rFonts w:ascii="Arial" w:hAnsi="Arial" w:cs="Arial"/>
          <w:sz w:val="24"/>
          <w:szCs w:val="24"/>
          <w:lang w:val="es-ES"/>
        </w:rPr>
        <w:t xml:space="preserve">.- La parte </w:t>
      </w:r>
      <w:proofErr w:type="spellStart"/>
      <w:r w:rsidRPr="00FC13A5">
        <w:rPr>
          <w:rFonts w:ascii="Arial" w:hAnsi="Arial" w:cs="Arial"/>
          <w:sz w:val="24"/>
          <w:szCs w:val="24"/>
          <w:lang w:val="es-ES"/>
        </w:rPr>
        <w:t>aclarante</w:t>
      </w:r>
      <w:proofErr w:type="spellEnd"/>
      <w:r w:rsidRPr="00FC13A5">
        <w:rPr>
          <w:rFonts w:ascii="Arial" w:hAnsi="Arial" w:cs="Arial"/>
          <w:sz w:val="24"/>
          <w:szCs w:val="24"/>
          <w:lang w:val="es-ES"/>
        </w:rPr>
        <w:t xml:space="preserve"> manifiesta esencialmente</w:t>
      </w:r>
      <w:r w:rsidR="00BB3F36">
        <w:rPr>
          <w:rFonts w:ascii="Arial" w:hAnsi="Arial" w:cs="Arial"/>
          <w:sz w:val="24"/>
          <w:szCs w:val="24"/>
          <w:lang w:val="es-ES"/>
        </w:rPr>
        <w:t xml:space="preserve"> que</w:t>
      </w:r>
      <w:r w:rsidR="00435CE3">
        <w:rPr>
          <w:rFonts w:ascii="Arial" w:hAnsi="Arial" w:cs="Arial"/>
          <w:sz w:val="24"/>
          <w:szCs w:val="24"/>
          <w:lang w:val="es-ES"/>
        </w:rPr>
        <w:t>, el acto por el cual se declaró la nulidad</w:t>
      </w:r>
      <w:r w:rsidR="00BB3F36">
        <w:rPr>
          <w:rFonts w:ascii="Arial" w:hAnsi="Arial" w:cs="Arial"/>
          <w:sz w:val="24"/>
          <w:szCs w:val="24"/>
          <w:lang w:val="es-ES"/>
        </w:rPr>
        <w:t xml:space="preserve"> en el presente juicio (</w:t>
      </w:r>
      <w:r w:rsidR="00435CE3">
        <w:rPr>
          <w:rFonts w:ascii="Arial" w:hAnsi="Arial" w:cs="Arial"/>
          <w:sz w:val="24"/>
          <w:szCs w:val="24"/>
          <w:lang w:val="es-ES"/>
        </w:rPr>
        <w:t>despido injustificado</w:t>
      </w:r>
      <w:r w:rsidR="00BB3F36">
        <w:rPr>
          <w:rFonts w:ascii="Arial" w:hAnsi="Arial" w:cs="Arial"/>
          <w:sz w:val="24"/>
          <w:szCs w:val="24"/>
          <w:lang w:val="es-ES"/>
        </w:rPr>
        <w:t>),</w:t>
      </w:r>
      <w:r w:rsidR="00435CE3">
        <w:rPr>
          <w:rFonts w:ascii="Arial" w:hAnsi="Arial" w:cs="Arial"/>
          <w:sz w:val="24"/>
          <w:szCs w:val="24"/>
          <w:lang w:val="es-ES"/>
        </w:rPr>
        <w:t xml:space="preserve"> fue realizado</w:t>
      </w:r>
      <w:r w:rsidR="00BB3F36">
        <w:rPr>
          <w:rFonts w:ascii="Arial" w:hAnsi="Arial" w:cs="Arial"/>
          <w:sz w:val="24"/>
          <w:szCs w:val="24"/>
          <w:lang w:val="es-ES"/>
        </w:rPr>
        <w:t>,</w:t>
      </w:r>
      <w:r w:rsidR="00435CE3">
        <w:rPr>
          <w:rFonts w:ascii="Arial" w:hAnsi="Arial" w:cs="Arial"/>
          <w:sz w:val="24"/>
          <w:szCs w:val="24"/>
          <w:lang w:val="es-ES"/>
        </w:rPr>
        <w:t xml:space="preserve"> por la autoridad demandada</w:t>
      </w:r>
      <w:r w:rsidR="00BB3F36">
        <w:rPr>
          <w:rFonts w:ascii="Arial" w:hAnsi="Arial" w:cs="Arial"/>
          <w:sz w:val="24"/>
          <w:szCs w:val="24"/>
          <w:lang w:val="es-ES"/>
        </w:rPr>
        <w:t>,</w:t>
      </w:r>
      <w:r w:rsidR="00435CE3">
        <w:rPr>
          <w:rFonts w:ascii="Arial" w:hAnsi="Arial" w:cs="Arial"/>
          <w:sz w:val="24"/>
          <w:szCs w:val="24"/>
          <w:lang w:val="es-ES"/>
        </w:rPr>
        <w:t xml:space="preserve"> el siete de diciembre de dos mil </w:t>
      </w:r>
      <w:r w:rsidR="00BB3F36">
        <w:rPr>
          <w:rFonts w:ascii="Arial" w:hAnsi="Arial" w:cs="Arial"/>
          <w:sz w:val="24"/>
          <w:szCs w:val="24"/>
          <w:lang w:val="es-ES"/>
        </w:rPr>
        <w:t>veintiuno,</w:t>
      </w:r>
      <w:r w:rsidR="00435CE3">
        <w:rPr>
          <w:rFonts w:ascii="Arial" w:hAnsi="Arial" w:cs="Arial"/>
          <w:sz w:val="24"/>
          <w:szCs w:val="24"/>
          <w:lang w:val="es-ES"/>
        </w:rPr>
        <w:t xml:space="preserve"> como es</w:t>
      </w:r>
      <w:r w:rsidR="00BB3F36">
        <w:rPr>
          <w:rFonts w:ascii="Arial" w:hAnsi="Arial" w:cs="Arial"/>
          <w:sz w:val="24"/>
          <w:szCs w:val="24"/>
          <w:lang w:val="es-ES"/>
        </w:rPr>
        <w:t xml:space="preserve">tá acreditado en autos; que en el caso, para el pago de la indemnización a que condena esta Sala a la autoridad demandada, señalando que se le debe realizar hasta por un período máximo de seis meses, de conformidad con el artículo 54 de la Ley del Sistema Estatal de Seguridad Pública en San Luis Potosí, de lo que se observa, que el referido artículo transcrito, todavía no se encontraba vigente, al momento de que se desarrolló el acto declarado nulo, de siete de diciembre de dos mil veintiuno, pues la reforma entró en vigor, hasta el veintitrés de febrero de dos mil veintitrés; por tal motivo, la sentencia le causa agravio, al aplicarse retroactivamente un artículo de la Ley del Sistema de Seguridad Pública </w:t>
      </w:r>
      <w:r w:rsidR="00CC74F8">
        <w:rPr>
          <w:rFonts w:ascii="Arial" w:hAnsi="Arial" w:cs="Arial"/>
          <w:sz w:val="24"/>
          <w:szCs w:val="24"/>
          <w:lang w:val="es-ES"/>
        </w:rPr>
        <w:t>del</w:t>
      </w:r>
      <w:r w:rsidR="00BB3F36">
        <w:rPr>
          <w:rFonts w:ascii="Arial" w:hAnsi="Arial" w:cs="Arial"/>
          <w:sz w:val="24"/>
          <w:szCs w:val="24"/>
          <w:lang w:val="es-ES"/>
        </w:rPr>
        <w:t xml:space="preserve"> Estado, que no estaba vigente al momento de los hechos del acto que se declaró nulo.</w:t>
      </w:r>
    </w:p>
    <w:p w:rsidR="00FC13A5" w:rsidRPr="00FC13A5" w:rsidRDefault="00FC13A5" w:rsidP="00BB3F36">
      <w:pPr>
        <w:tabs>
          <w:tab w:val="left" w:pos="2640"/>
        </w:tabs>
        <w:spacing w:after="0" w:line="360" w:lineRule="auto"/>
        <w:ind w:firstLine="708"/>
        <w:jc w:val="both"/>
        <w:rPr>
          <w:rFonts w:ascii="Arial" w:hAnsi="Arial" w:cs="Arial"/>
          <w:b/>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De lo anterior</w:t>
      </w:r>
      <w:r w:rsidR="00C23A84">
        <w:rPr>
          <w:rFonts w:ascii="Arial" w:hAnsi="Arial" w:cs="Arial"/>
          <w:sz w:val="24"/>
          <w:szCs w:val="24"/>
          <w:lang w:val="es-ES"/>
        </w:rPr>
        <w:t>,</w:t>
      </w:r>
      <w:r w:rsidRPr="00FC13A5">
        <w:rPr>
          <w:rFonts w:ascii="Arial" w:hAnsi="Arial" w:cs="Arial"/>
          <w:sz w:val="24"/>
          <w:szCs w:val="24"/>
          <w:lang w:val="es-ES"/>
        </w:rPr>
        <w:t xml:space="preserve"> se advierte que es inexacta la afirmación que hace el promovente de la aclaración de sentencia que se analiza, toda vez que atendiendo a lo establecido por el artículo 254 del Código Procesal Administrativo para el Estado de San Luis Potosí, la aclaración de sentencia tiene por objeto</w:t>
      </w:r>
      <w:r w:rsidR="00C23A84">
        <w:rPr>
          <w:rFonts w:ascii="Arial" w:hAnsi="Arial" w:cs="Arial"/>
          <w:sz w:val="24"/>
          <w:szCs w:val="24"/>
          <w:lang w:val="es-ES"/>
        </w:rPr>
        <w:t>,</w:t>
      </w:r>
      <w:r w:rsidRPr="00FC13A5">
        <w:rPr>
          <w:rFonts w:ascii="Arial" w:hAnsi="Arial" w:cs="Arial"/>
          <w:sz w:val="24"/>
          <w:szCs w:val="24"/>
          <w:lang w:val="es-ES"/>
        </w:rPr>
        <w:t xml:space="preserve"> hacer comprensibles los conceptos plasmados en la sentencia que se encuentren ambiguos, rectificar los contradictorios y explicar los oscuros, sin que se pueda variar la substancia de la resolución, ya que no constituye técnicamente un recurso o medio legal para que se pueda revocar, modificar en cuanto al fondo la sentencia recurrida. </w:t>
      </w:r>
    </w:p>
    <w:p w:rsidR="00FC13A5" w:rsidRPr="00FC13A5" w:rsidRDefault="00FC13A5" w:rsidP="00FC13A5">
      <w:pPr>
        <w:spacing w:after="0" w:line="360" w:lineRule="auto"/>
        <w:ind w:firstLine="708"/>
        <w:jc w:val="both"/>
        <w:rPr>
          <w:rFonts w:ascii="Arial" w:hAnsi="Arial" w:cs="Arial"/>
          <w:sz w:val="24"/>
          <w:szCs w:val="24"/>
          <w:u w:val="single"/>
          <w:lang w:val="es-ES"/>
        </w:rPr>
      </w:pPr>
    </w:p>
    <w:p w:rsidR="00FC13A5" w:rsidRPr="00FC13A5" w:rsidRDefault="00FC13A5" w:rsidP="00D56DDD">
      <w:pPr>
        <w:tabs>
          <w:tab w:val="left" w:pos="2640"/>
        </w:tabs>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 xml:space="preserve">Desprendiéndose del propio contenido de los agravios en comento, que el </w:t>
      </w:r>
      <w:proofErr w:type="spellStart"/>
      <w:r w:rsidRPr="00FC13A5">
        <w:rPr>
          <w:rFonts w:ascii="Arial" w:hAnsi="Arial" w:cs="Arial"/>
          <w:sz w:val="24"/>
          <w:szCs w:val="24"/>
          <w:lang w:val="es-ES"/>
        </w:rPr>
        <w:t>aclarante</w:t>
      </w:r>
      <w:proofErr w:type="spellEnd"/>
      <w:r w:rsidR="00CC74F8">
        <w:rPr>
          <w:rFonts w:ascii="Arial" w:hAnsi="Arial" w:cs="Arial"/>
          <w:sz w:val="24"/>
          <w:szCs w:val="24"/>
          <w:lang w:val="es-ES"/>
        </w:rPr>
        <w:t>,</w:t>
      </w:r>
      <w:r w:rsidRPr="00FC13A5">
        <w:rPr>
          <w:rFonts w:ascii="Arial" w:hAnsi="Arial" w:cs="Arial"/>
          <w:sz w:val="24"/>
          <w:szCs w:val="24"/>
          <w:lang w:val="es-ES"/>
        </w:rPr>
        <w:t xml:space="preserve"> se duele de</w:t>
      </w:r>
      <w:r w:rsidR="00D56DDD">
        <w:rPr>
          <w:rFonts w:ascii="Arial" w:hAnsi="Arial" w:cs="Arial"/>
          <w:sz w:val="24"/>
          <w:szCs w:val="24"/>
          <w:lang w:val="es-ES"/>
        </w:rPr>
        <w:t xml:space="preserve"> l</w:t>
      </w:r>
      <w:r w:rsidRPr="00FC13A5">
        <w:rPr>
          <w:rFonts w:ascii="Arial" w:hAnsi="Arial" w:cs="Arial"/>
          <w:sz w:val="24"/>
          <w:szCs w:val="24"/>
          <w:lang w:val="es-ES"/>
        </w:rPr>
        <w:t xml:space="preserve">a sentencia definitiva </w:t>
      </w:r>
      <w:r w:rsidR="00D56DDD">
        <w:rPr>
          <w:rFonts w:ascii="Arial" w:hAnsi="Arial" w:cs="Arial"/>
          <w:sz w:val="24"/>
          <w:szCs w:val="24"/>
          <w:lang w:val="es-ES"/>
        </w:rPr>
        <w:t xml:space="preserve">emitida </w:t>
      </w:r>
      <w:r w:rsidRPr="00FC13A5">
        <w:rPr>
          <w:rFonts w:ascii="Arial" w:hAnsi="Arial" w:cs="Arial"/>
          <w:sz w:val="24"/>
          <w:szCs w:val="24"/>
          <w:lang w:val="es-ES"/>
        </w:rPr>
        <w:t xml:space="preserve">en el presente expediente, al señalar que </w:t>
      </w:r>
      <w:r w:rsidR="00CC74F8">
        <w:rPr>
          <w:rFonts w:ascii="Arial" w:hAnsi="Arial" w:cs="Arial"/>
          <w:sz w:val="24"/>
          <w:szCs w:val="24"/>
          <w:lang w:val="es-ES"/>
        </w:rPr>
        <w:t>con el dictado de la misma</w:t>
      </w:r>
      <w:r w:rsidR="00D56DDD">
        <w:rPr>
          <w:rFonts w:ascii="Arial" w:hAnsi="Arial" w:cs="Arial"/>
          <w:sz w:val="24"/>
          <w:szCs w:val="24"/>
          <w:lang w:val="es-ES"/>
        </w:rPr>
        <w:t>,</w:t>
      </w:r>
      <w:r w:rsidR="00CC74F8">
        <w:rPr>
          <w:rFonts w:ascii="Arial" w:hAnsi="Arial" w:cs="Arial"/>
          <w:sz w:val="24"/>
          <w:szCs w:val="24"/>
          <w:lang w:val="es-ES"/>
        </w:rPr>
        <w:t xml:space="preserve"> hubo violación al artículo 14 Constitucional, al aplicarse retroactivamente un artículo de la Ley del Sistema de Seguridad Pública del Estado, que no estaba vigente al momento de los hechos del acto que se declaró nulo</w:t>
      </w:r>
      <w:r w:rsidR="00D56DDD">
        <w:rPr>
          <w:rFonts w:ascii="Arial" w:hAnsi="Arial" w:cs="Arial"/>
          <w:sz w:val="24"/>
          <w:szCs w:val="24"/>
          <w:lang w:val="es-ES"/>
        </w:rPr>
        <w:t xml:space="preserve">, </w:t>
      </w:r>
      <w:r w:rsidRPr="00FC13A5">
        <w:rPr>
          <w:rFonts w:ascii="Arial" w:hAnsi="Arial" w:cs="Arial"/>
          <w:sz w:val="24"/>
          <w:szCs w:val="24"/>
          <w:lang w:val="es-ES"/>
        </w:rPr>
        <w:t xml:space="preserve">pretendiendo que se analice el estudio de fondo de la presente controversia; sin embargo, los argumentos vertidos por el promovente de la aclaración de sentencia, se aprecia que se encaminan a variar el contenido de la resolución dictada por </w:t>
      </w:r>
      <w:r w:rsidRPr="00FC13A5">
        <w:rPr>
          <w:rFonts w:ascii="Arial" w:hAnsi="Arial" w:cs="Arial"/>
          <w:sz w:val="24"/>
          <w:szCs w:val="24"/>
          <w:lang w:val="es-ES"/>
        </w:rPr>
        <w:lastRenderedPageBreak/>
        <w:t xml:space="preserve">esta Tercera Sala Unitaria con fecha </w:t>
      </w:r>
      <w:r w:rsidR="00D56DDD">
        <w:rPr>
          <w:rFonts w:ascii="Arial" w:hAnsi="Arial" w:cs="Arial"/>
          <w:sz w:val="24"/>
          <w:szCs w:val="24"/>
          <w:lang w:val="es-ES"/>
        </w:rPr>
        <w:t>dieciocho de marzo de dos mil veintiséis</w:t>
      </w:r>
      <w:r w:rsidRPr="00FC13A5">
        <w:rPr>
          <w:rFonts w:ascii="Arial" w:hAnsi="Arial" w:cs="Arial"/>
          <w:sz w:val="24"/>
          <w:szCs w:val="24"/>
          <w:lang w:val="es-ES"/>
        </w:rPr>
        <w:t xml:space="preserve">, dando nuevos alcances jurídicos a esa sentencia, pues al tratarse, a decir del </w:t>
      </w:r>
      <w:proofErr w:type="spellStart"/>
      <w:r w:rsidRPr="00FC13A5">
        <w:rPr>
          <w:rFonts w:ascii="Arial" w:hAnsi="Arial" w:cs="Arial"/>
          <w:sz w:val="24"/>
          <w:szCs w:val="24"/>
          <w:lang w:val="es-ES"/>
        </w:rPr>
        <w:t>aclarante</w:t>
      </w:r>
      <w:proofErr w:type="spellEnd"/>
      <w:r w:rsidR="00F4063F">
        <w:rPr>
          <w:rFonts w:ascii="Arial" w:hAnsi="Arial" w:cs="Arial"/>
          <w:sz w:val="24"/>
          <w:szCs w:val="24"/>
          <w:lang w:val="es-ES"/>
        </w:rPr>
        <w:t>,</w:t>
      </w:r>
      <w:r w:rsidRPr="00FC13A5">
        <w:rPr>
          <w:rFonts w:ascii="Arial" w:hAnsi="Arial" w:cs="Arial"/>
          <w:sz w:val="24"/>
          <w:szCs w:val="24"/>
          <w:lang w:val="es-ES"/>
        </w:rPr>
        <w:t xml:space="preserve"> de </w:t>
      </w:r>
      <w:r w:rsidR="00D56DDD">
        <w:rPr>
          <w:rFonts w:ascii="Arial" w:hAnsi="Arial" w:cs="Arial"/>
          <w:sz w:val="24"/>
          <w:szCs w:val="24"/>
          <w:lang w:val="es-ES"/>
        </w:rPr>
        <w:t>violaciones Constitucionales</w:t>
      </w:r>
      <w:r w:rsidR="00F4063F">
        <w:rPr>
          <w:rFonts w:ascii="Arial" w:hAnsi="Arial" w:cs="Arial"/>
          <w:sz w:val="24"/>
          <w:szCs w:val="24"/>
          <w:lang w:val="es-ES"/>
        </w:rPr>
        <w:t>,</w:t>
      </w:r>
      <w:r w:rsidR="00D56DDD">
        <w:rPr>
          <w:rFonts w:ascii="Arial" w:hAnsi="Arial" w:cs="Arial"/>
          <w:sz w:val="24"/>
          <w:szCs w:val="24"/>
          <w:lang w:val="es-ES"/>
        </w:rPr>
        <w:t xml:space="preserve"> con el dictado de la misma, </w:t>
      </w:r>
      <w:r w:rsidRPr="00FC13A5">
        <w:rPr>
          <w:rFonts w:ascii="Arial" w:hAnsi="Arial" w:cs="Arial"/>
          <w:sz w:val="24"/>
          <w:szCs w:val="24"/>
          <w:lang w:val="es-ES"/>
        </w:rPr>
        <w:t>necesariamente constituyen materia de fondo</w:t>
      </w:r>
      <w:r w:rsidR="00F4063F">
        <w:rPr>
          <w:rFonts w:ascii="Arial" w:hAnsi="Arial" w:cs="Arial"/>
          <w:sz w:val="24"/>
          <w:szCs w:val="24"/>
          <w:lang w:val="es-ES"/>
        </w:rPr>
        <w:t>,</w:t>
      </w:r>
      <w:r w:rsidRPr="00FC13A5">
        <w:rPr>
          <w:rFonts w:ascii="Arial" w:hAnsi="Arial" w:cs="Arial"/>
          <w:sz w:val="24"/>
          <w:szCs w:val="24"/>
          <w:lang w:val="es-ES"/>
        </w:rPr>
        <w:t xml:space="preserve"> de la controversia que se resolvió.</w:t>
      </w:r>
    </w:p>
    <w:p w:rsidR="00FC13A5" w:rsidRPr="00FC13A5" w:rsidRDefault="00FC13A5" w:rsidP="00FC13A5">
      <w:pPr>
        <w:tabs>
          <w:tab w:val="left" w:pos="2640"/>
        </w:tabs>
        <w:spacing w:after="0" w:line="360" w:lineRule="auto"/>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 xml:space="preserve">Teniendo aplicación la siguiente tesis aislada con No. Registro: 193,853, Materia(s): Administrativa, Novena Época, Instancia: Tribunales Colegiados de Circuito, Fuente: Semanario Judicial de la Federación y su Gaceta, Tomo: IX, Junio de 1999, Tesis: III.1o.A.70 A, Página: 925, que dice: </w:t>
      </w:r>
    </w:p>
    <w:p w:rsidR="00FC13A5" w:rsidRPr="00FC13A5" w:rsidRDefault="00FC13A5" w:rsidP="00FC13A5">
      <w:pPr>
        <w:spacing w:after="0" w:line="360" w:lineRule="auto"/>
        <w:ind w:firstLine="708"/>
        <w:jc w:val="both"/>
        <w:rPr>
          <w:rFonts w:ascii="Arial" w:hAnsi="Arial" w:cs="Arial"/>
          <w:sz w:val="24"/>
          <w:szCs w:val="24"/>
          <w:lang w:val="es-ES"/>
        </w:rPr>
      </w:pPr>
    </w:p>
    <w:p w:rsidR="00FC13A5" w:rsidRPr="00FC13A5" w:rsidRDefault="00FC13A5" w:rsidP="00FC13A5">
      <w:pPr>
        <w:spacing w:after="0" w:line="240" w:lineRule="auto"/>
        <w:ind w:firstLine="709"/>
        <w:jc w:val="both"/>
        <w:rPr>
          <w:rFonts w:ascii="Arial" w:hAnsi="Arial" w:cs="Arial"/>
          <w:i/>
          <w:lang w:val="es-ES"/>
        </w:rPr>
      </w:pPr>
      <w:r w:rsidRPr="00FC13A5">
        <w:rPr>
          <w:rFonts w:ascii="Arial" w:hAnsi="Arial" w:cs="Arial"/>
          <w:b/>
          <w:i/>
          <w:lang w:val="es-ES"/>
        </w:rPr>
        <w:t xml:space="preserve">“ACLARACIÓN DE SENTENCIA. INTERPRETACIÓN DEL ARTÍCULO 68 DE LA LEY DEL PROCEDIMIENTO ADMINISTRATIVO PARA EL  ESTADO DE JALISCO. </w:t>
      </w:r>
      <w:r w:rsidRPr="00FC13A5">
        <w:rPr>
          <w:rFonts w:ascii="Arial" w:hAnsi="Arial" w:cs="Arial"/>
          <w:i/>
          <w:lang w:val="es-ES"/>
        </w:rPr>
        <w:t xml:space="preserve">El artículo 68 de la Ley del Procedimiento Administrativo para el Estado de Jalisco, previsivo del recurso de aclaración de sentencia, no constituye en rigor un recurso o medio de defensa que, en términos de la fracción XIII del artículo 73 de la Ley de Amparo, tenga que agotarse antes de acudir al amparo directo contra la sentencia definitiva dictada por el tribunal de lo administrativo de esta entidad federativa, pues mediante él no se puede nulificar, revocar o modificar tal resolución, dado que su objeto es hacer comprensibles conceptos ambiguos, rectificar los contradictorios y explicar los oscuros, así como subsanar omisiones y, en general, corregir errores o defectos. La circunstancia de que el citado artículo 68 refiera que la aclaración de sentencia tiene como finalidad suplir cualquier omisión que contenga la sentencia sobre puntos discutidos en el litigio, no debe interpretarse gramaticalmente para llegar al extremo de que, a través de tal recurso, el tribunal administrativo pueda abordar temas o puntos omitidos en el dictado de la sentencia, que conduzcan a variar su sentido, dando nuevos alcances jurídicos a esa sentencia, sino que, por una sana interpretación debe establecerse que esa omisión en la sentencia, susceptible de aclaración, se contrae únicamente a aspectos no decididos expresamente aunque sí tratados en el fallo, lo cual concuerda con razones históricas que animan la regla relativa de que a través del recurso de aclaración de sentencia no puede variarse la sustancia ni el sentido de la resolución que se aclara, que si bien no está contenida en forma expresa tal regla, sí se encuentra inscrita en el artículo 68 aludido, y aparece bien especificada en otros cuerpos procesales, como en el artículo 89-B del Código de Procedimientos Civiles del Estado de Jalisco, supletorio de la Ley del Procedimiento Administrativo. </w:t>
      </w:r>
    </w:p>
    <w:p w:rsidR="00FC13A5" w:rsidRPr="00FC13A5" w:rsidRDefault="00FC13A5" w:rsidP="00FC13A5">
      <w:pPr>
        <w:spacing w:after="0" w:line="240" w:lineRule="auto"/>
        <w:jc w:val="both"/>
        <w:rPr>
          <w:rFonts w:ascii="Arial" w:hAnsi="Arial" w:cs="Arial"/>
          <w:i/>
          <w:lang w:val="es-ES"/>
        </w:rPr>
      </w:pPr>
      <w:r w:rsidRPr="00FC13A5">
        <w:rPr>
          <w:rFonts w:ascii="Arial" w:hAnsi="Arial" w:cs="Arial"/>
          <w:i/>
          <w:lang w:val="es-ES"/>
        </w:rPr>
        <w:t xml:space="preserve">PRIMER TRIBUNAL COLEGIADO EN MATERIA ADMINISTRATIVA DEL TERCER CIRCUITO. </w:t>
      </w:r>
    </w:p>
    <w:p w:rsidR="00FC13A5" w:rsidRPr="00FC13A5" w:rsidRDefault="00FC13A5" w:rsidP="00FC13A5">
      <w:pPr>
        <w:spacing w:after="0" w:line="240" w:lineRule="auto"/>
        <w:jc w:val="both"/>
        <w:rPr>
          <w:rFonts w:ascii="Arial" w:hAnsi="Arial" w:cs="Arial"/>
          <w:i/>
          <w:lang w:val="es-ES"/>
        </w:rPr>
      </w:pPr>
      <w:r w:rsidRPr="00FC13A5">
        <w:rPr>
          <w:rFonts w:ascii="Arial" w:hAnsi="Arial" w:cs="Arial"/>
          <w:i/>
          <w:lang w:val="es-ES"/>
        </w:rPr>
        <w:t>Amparo directo 338/98. Fundiciones Fernández de Guadalajara, S.A. de C.V. 2 de febrero de 1999. Unanimidad de votos. Ponente: Jorge Alfonso Álvarez Escoto. Secretaria: Gabriela Guadalupe Huizar Flores.”</w:t>
      </w:r>
    </w:p>
    <w:p w:rsidR="00FC13A5" w:rsidRPr="00FC13A5" w:rsidRDefault="00FC13A5" w:rsidP="00FC13A5">
      <w:pPr>
        <w:tabs>
          <w:tab w:val="left" w:pos="3525"/>
        </w:tabs>
        <w:spacing w:after="0" w:line="360" w:lineRule="auto"/>
        <w:ind w:firstLine="708"/>
        <w:jc w:val="both"/>
        <w:rPr>
          <w:rFonts w:ascii="Arial" w:hAnsi="Arial" w:cs="Arial"/>
          <w:i/>
          <w:sz w:val="24"/>
          <w:szCs w:val="24"/>
          <w:lang w:val="es-ES"/>
        </w:rPr>
      </w:pPr>
    </w:p>
    <w:p w:rsidR="00A976BA" w:rsidRDefault="00FC13A5" w:rsidP="00A976BA">
      <w:pPr>
        <w:tabs>
          <w:tab w:val="left" w:pos="3525"/>
        </w:tabs>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 xml:space="preserve">Bajo ese contexto, resultan infundados e inoperantes los agravios que se analizan, a virtud de que </w:t>
      </w:r>
      <w:r w:rsidR="00A976BA">
        <w:rPr>
          <w:rFonts w:ascii="Arial" w:hAnsi="Arial" w:cs="Arial"/>
          <w:sz w:val="24"/>
          <w:szCs w:val="24"/>
          <w:lang w:val="es-ES"/>
        </w:rPr>
        <w:t xml:space="preserve">no es posible nulificar, revocar o modificar, la resolución que </w:t>
      </w:r>
      <w:r w:rsidR="00A976BA" w:rsidRPr="00FC13A5">
        <w:rPr>
          <w:rFonts w:ascii="Arial" w:hAnsi="Arial" w:cs="Arial"/>
          <w:sz w:val="24"/>
          <w:szCs w:val="24"/>
          <w:lang w:val="es-ES"/>
        </w:rPr>
        <w:t>ahora se pretende aclarar</w:t>
      </w:r>
      <w:r w:rsidR="00A976BA">
        <w:rPr>
          <w:rFonts w:ascii="Arial" w:hAnsi="Arial" w:cs="Arial"/>
          <w:sz w:val="24"/>
          <w:szCs w:val="24"/>
          <w:lang w:val="es-ES"/>
        </w:rPr>
        <w:t>, toda vez que la aclaración de sentencia no constituye un medio de defensa, por lo que no puede variarse la sustancia ni el sentido de la resolución que se aclara.</w:t>
      </w: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En consecuencia, esta Tercera Sala Unitaria concluye</w:t>
      </w:r>
      <w:r w:rsidR="00762B40">
        <w:rPr>
          <w:rFonts w:ascii="Arial" w:hAnsi="Arial" w:cs="Arial"/>
          <w:sz w:val="24"/>
          <w:szCs w:val="24"/>
          <w:lang w:val="es-ES"/>
        </w:rPr>
        <w:t>,</w:t>
      </w:r>
      <w:r w:rsidRPr="00FC13A5">
        <w:rPr>
          <w:rFonts w:ascii="Arial" w:hAnsi="Arial" w:cs="Arial"/>
          <w:sz w:val="24"/>
          <w:szCs w:val="24"/>
          <w:lang w:val="es-ES"/>
        </w:rPr>
        <w:t xml:space="preserve"> que se declara  infundada la aclaración de sentencia, por infundados e inoperantes los </w:t>
      </w:r>
      <w:r w:rsidRPr="00FC13A5">
        <w:rPr>
          <w:rFonts w:ascii="Arial" w:hAnsi="Arial" w:cs="Arial"/>
          <w:sz w:val="24"/>
          <w:szCs w:val="24"/>
          <w:lang w:val="es-ES"/>
        </w:rPr>
        <w:lastRenderedPageBreak/>
        <w:t>agravios señalados por el aquí promovente, por no ser materia de aclaración, por los razonamientos vertidos en el considerando segundo de la presente resolución.</w:t>
      </w:r>
    </w:p>
    <w:p w:rsidR="00FC13A5" w:rsidRPr="00FC13A5" w:rsidRDefault="00FC13A5" w:rsidP="00FC13A5">
      <w:pPr>
        <w:spacing w:after="0" w:line="360" w:lineRule="auto"/>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sz w:val="24"/>
          <w:szCs w:val="24"/>
          <w:lang w:val="es-ES"/>
        </w:rPr>
        <w:t>Por lo expuesto y fundado en lo dispuesto por los artículos 249 y  254, del Código Procesal Administrativo para el Estado de San Luis Potosí, es de resolverse y se;</w:t>
      </w:r>
    </w:p>
    <w:p w:rsidR="00FC13A5" w:rsidRPr="00FC13A5" w:rsidRDefault="00FC13A5" w:rsidP="00FC13A5">
      <w:pPr>
        <w:spacing w:after="0" w:line="360" w:lineRule="auto"/>
        <w:jc w:val="center"/>
        <w:rPr>
          <w:rFonts w:ascii="Arial" w:hAnsi="Arial" w:cs="Arial"/>
          <w:b/>
          <w:sz w:val="24"/>
          <w:szCs w:val="24"/>
          <w:lang w:val="es-ES"/>
        </w:rPr>
      </w:pPr>
    </w:p>
    <w:p w:rsidR="00FC13A5" w:rsidRPr="00FC13A5" w:rsidRDefault="00FC13A5" w:rsidP="00FC13A5">
      <w:pPr>
        <w:spacing w:after="0" w:line="360" w:lineRule="auto"/>
        <w:jc w:val="center"/>
        <w:rPr>
          <w:rFonts w:ascii="Arial" w:hAnsi="Arial" w:cs="Arial"/>
          <w:sz w:val="24"/>
          <w:szCs w:val="24"/>
          <w:lang w:val="es-ES"/>
        </w:rPr>
      </w:pPr>
      <w:r w:rsidRPr="00FC13A5">
        <w:rPr>
          <w:rFonts w:ascii="Arial" w:hAnsi="Arial" w:cs="Arial"/>
          <w:b/>
          <w:sz w:val="24"/>
          <w:szCs w:val="24"/>
          <w:lang w:val="es-ES"/>
        </w:rPr>
        <w:t>R E S U E L V E</w:t>
      </w:r>
      <w:r w:rsidRPr="00FC13A5">
        <w:rPr>
          <w:rFonts w:ascii="Arial" w:hAnsi="Arial" w:cs="Arial"/>
          <w:sz w:val="24"/>
          <w:szCs w:val="24"/>
          <w:lang w:val="es-ES"/>
        </w:rPr>
        <w:t>:</w:t>
      </w:r>
    </w:p>
    <w:p w:rsidR="00FC13A5" w:rsidRPr="00FC13A5" w:rsidRDefault="00FC13A5" w:rsidP="00FC13A5">
      <w:pPr>
        <w:spacing w:after="0" w:line="360" w:lineRule="auto"/>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t>PRIMERO</w:t>
      </w:r>
      <w:r w:rsidRPr="00FC13A5">
        <w:rPr>
          <w:rFonts w:ascii="Arial" w:hAnsi="Arial" w:cs="Arial"/>
          <w:sz w:val="24"/>
          <w:szCs w:val="24"/>
          <w:lang w:val="es-ES"/>
        </w:rPr>
        <w:t>.- Esta Sala Colegiada resulto competente para conocer y resolver de la presente aclaración de sentencia.</w:t>
      </w:r>
    </w:p>
    <w:p w:rsidR="00FC13A5" w:rsidRPr="00FC13A5" w:rsidRDefault="00FC13A5" w:rsidP="00FC13A5">
      <w:pPr>
        <w:spacing w:after="0" w:line="360" w:lineRule="auto"/>
        <w:ind w:firstLine="708"/>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hAnsi="Arial" w:cs="Arial"/>
          <w:sz w:val="24"/>
          <w:szCs w:val="24"/>
          <w:lang w:val="es-ES"/>
        </w:rPr>
      </w:pPr>
      <w:r w:rsidRPr="00FC13A5">
        <w:rPr>
          <w:rFonts w:ascii="Arial" w:hAnsi="Arial" w:cs="Arial"/>
          <w:b/>
          <w:sz w:val="24"/>
          <w:szCs w:val="24"/>
          <w:lang w:val="es-ES"/>
        </w:rPr>
        <w:t>SEGUNDO</w:t>
      </w:r>
      <w:r w:rsidRPr="00FC13A5">
        <w:rPr>
          <w:rFonts w:ascii="Arial" w:hAnsi="Arial" w:cs="Arial"/>
          <w:sz w:val="24"/>
          <w:szCs w:val="24"/>
          <w:lang w:val="es-ES"/>
        </w:rPr>
        <w:t xml:space="preserve">.-Resulto infundada la presente aclaración de sentencia e inoperante el agravio hecho valer por la parte aclarante, en contra de la resolución de fecha </w:t>
      </w:r>
      <w:r w:rsidR="00A976BA">
        <w:rPr>
          <w:rFonts w:ascii="Arial" w:hAnsi="Arial" w:cs="Arial"/>
          <w:sz w:val="24"/>
          <w:szCs w:val="24"/>
          <w:lang w:val="es-ES"/>
        </w:rPr>
        <w:t>dieciocho de marzo de dos mil veintiséis</w:t>
      </w:r>
      <w:r w:rsidRPr="00FC13A5">
        <w:rPr>
          <w:rFonts w:ascii="Arial" w:hAnsi="Arial" w:cs="Arial"/>
          <w:sz w:val="24"/>
          <w:szCs w:val="24"/>
          <w:lang w:val="es-ES"/>
        </w:rPr>
        <w:t>, de acuerdo a los razonamientos precisados en el considerando segundo de esta resolución.</w:t>
      </w:r>
    </w:p>
    <w:p w:rsidR="00FC13A5" w:rsidRPr="00FC13A5" w:rsidRDefault="00FC13A5" w:rsidP="00FC13A5">
      <w:pPr>
        <w:spacing w:after="0" w:line="360" w:lineRule="auto"/>
        <w:jc w:val="both"/>
        <w:rPr>
          <w:rFonts w:ascii="Arial" w:hAnsi="Arial" w:cs="Arial"/>
          <w:sz w:val="24"/>
          <w:szCs w:val="24"/>
          <w:lang w:val="es-ES"/>
        </w:rPr>
      </w:pPr>
    </w:p>
    <w:p w:rsidR="00FC13A5" w:rsidRPr="00FC13A5" w:rsidRDefault="00FC13A5" w:rsidP="00FC13A5">
      <w:pPr>
        <w:spacing w:after="0" w:line="360" w:lineRule="auto"/>
        <w:ind w:firstLine="708"/>
        <w:jc w:val="both"/>
        <w:rPr>
          <w:rFonts w:ascii="Arial" w:eastAsia="Calibri" w:hAnsi="Arial" w:cs="Arial"/>
          <w:color w:val="000000"/>
          <w:sz w:val="26"/>
          <w:szCs w:val="26"/>
        </w:rPr>
      </w:pPr>
      <w:r w:rsidRPr="00FC13A5">
        <w:rPr>
          <w:rFonts w:ascii="Arial" w:hAnsi="Arial" w:cs="Arial"/>
          <w:b/>
          <w:sz w:val="24"/>
          <w:szCs w:val="24"/>
          <w:lang w:val="es-ES"/>
        </w:rPr>
        <w:t>TERCERO</w:t>
      </w:r>
      <w:r w:rsidRPr="00FC13A5">
        <w:rPr>
          <w:rFonts w:ascii="Arial" w:hAnsi="Arial" w:cs="Arial"/>
          <w:sz w:val="24"/>
          <w:szCs w:val="24"/>
          <w:lang w:val="es-ES"/>
        </w:rPr>
        <w:t xml:space="preserve">.- </w:t>
      </w:r>
      <w:r w:rsidRPr="00FC13A5">
        <w:rPr>
          <w:rFonts w:ascii="Arial" w:eastAsia="Calibri" w:hAnsi="Arial" w:cs="Arial"/>
          <w:color w:val="000000"/>
          <w:sz w:val="26"/>
          <w:szCs w:val="26"/>
        </w:rPr>
        <w:t>Notifíquese personalmente a la parte actora; y por oficio a las autoridades demandadas, con copia autorizada de esta resolución.</w:t>
      </w:r>
    </w:p>
    <w:p w:rsidR="00FC13A5" w:rsidRPr="00FC13A5" w:rsidRDefault="00FC13A5" w:rsidP="00FC13A5">
      <w:pPr>
        <w:autoSpaceDE w:val="0"/>
        <w:autoSpaceDN w:val="0"/>
        <w:adjustRightInd w:val="0"/>
        <w:spacing w:after="0" w:line="360" w:lineRule="auto"/>
        <w:ind w:firstLine="708"/>
        <w:jc w:val="both"/>
        <w:rPr>
          <w:rFonts w:ascii="Arial" w:eastAsia="Calibri" w:hAnsi="Arial" w:cs="Arial"/>
          <w:color w:val="000000"/>
          <w:sz w:val="26"/>
          <w:szCs w:val="26"/>
        </w:rPr>
      </w:pPr>
    </w:p>
    <w:p w:rsidR="00FC13A5" w:rsidRDefault="00FC13A5" w:rsidP="00420F99">
      <w:pPr>
        <w:spacing w:after="0" w:line="360" w:lineRule="auto"/>
        <w:ind w:firstLine="709"/>
        <w:jc w:val="both"/>
        <w:rPr>
          <w:rFonts w:ascii="Arial" w:eastAsia="Calibri" w:hAnsi="Arial" w:cs="Arial"/>
          <w:sz w:val="26"/>
          <w:szCs w:val="26"/>
        </w:rPr>
      </w:pPr>
      <w:r w:rsidRPr="00FC13A5">
        <w:rPr>
          <w:rFonts w:ascii="Arial" w:eastAsia="Calibri" w:hAnsi="Arial" w:cs="Arial"/>
          <w:sz w:val="26"/>
          <w:szCs w:val="26"/>
        </w:rPr>
        <w:t xml:space="preserve">Así lo resolvió y firma, el Magistrado Titular de la Tercera Sala Unitaria del Tribunal Estatal de Justicia Administrativa, </w:t>
      </w:r>
      <w:r w:rsidRPr="00FC13A5">
        <w:rPr>
          <w:rFonts w:ascii="Arial" w:eastAsia="Calibri" w:hAnsi="Arial" w:cs="Arial"/>
          <w:b/>
          <w:sz w:val="26"/>
          <w:szCs w:val="26"/>
        </w:rPr>
        <w:t xml:space="preserve">Licenciado </w:t>
      </w:r>
      <w:r w:rsidR="009D33B4">
        <w:rPr>
          <w:rFonts w:ascii="Arial" w:eastAsia="Calibri" w:hAnsi="Arial" w:cs="Arial"/>
          <w:b/>
          <w:sz w:val="26"/>
          <w:szCs w:val="26"/>
        </w:rPr>
        <w:t>Jorge Alejandro Vera Noyola</w:t>
      </w:r>
      <w:r w:rsidRPr="00FC13A5">
        <w:rPr>
          <w:rFonts w:ascii="Arial" w:eastAsia="Calibri" w:hAnsi="Arial" w:cs="Arial"/>
          <w:b/>
          <w:sz w:val="26"/>
          <w:szCs w:val="26"/>
        </w:rPr>
        <w:t>,</w:t>
      </w:r>
      <w:r w:rsidRPr="00FC13A5">
        <w:rPr>
          <w:rFonts w:ascii="Arial" w:eastAsia="Calibri" w:hAnsi="Arial" w:cs="Arial"/>
          <w:sz w:val="26"/>
          <w:szCs w:val="26"/>
        </w:rPr>
        <w:t xml:space="preserve"> quien actúa con Secretario de Acuerdos, </w:t>
      </w:r>
      <w:r w:rsidRPr="00FC13A5">
        <w:rPr>
          <w:rFonts w:ascii="Arial" w:eastAsia="Calibri" w:hAnsi="Arial" w:cs="Arial"/>
          <w:b/>
          <w:sz w:val="26"/>
          <w:szCs w:val="26"/>
        </w:rPr>
        <w:t>Licenciado Ismael Méndez Hernández,</w:t>
      </w:r>
      <w:r w:rsidRPr="00FC13A5">
        <w:rPr>
          <w:rFonts w:ascii="Arial" w:eastAsia="Calibri" w:hAnsi="Arial" w:cs="Arial"/>
          <w:sz w:val="26"/>
          <w:szCs w:val="26"/>
        </w:rPr>
        <w:t xml:space="preserve"> que autoriza y da fe. </w:t>
      </w:r>
    </w:p>
    <w:p w:rsidR="00420F99" w:rsidRDefault="00420F99" w:rsidP="00420F99">
      <w:pPr>
        <w:spacing w:after="0" w:line="360" w:lineRule="auto"/>
        <w:jc w:val="both"/>
        <w:rPr>
          <w:rFonts w:ascii="Arial" w:eastAsia="Calibri" w:hAnsi="Arial" w:cs="Arial"/>
          <w:sz w:val="26"/>
          <w:szCs w:val="26"/>
        </w:rPr>
      </w:pPr>
    </w:p>
    <w:p w:rsidR="003331D5" w:rsidRPr="003738E0" w:rsidRDefault="003331D5" w:rsidP="003331D5">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420F99" w:rsidRPr="004C3CBF" w:rsidRDefault="00420F99" w:rsidP="003331D5">
      <w:pPr>
        <w:spacing w:after="0" w:line="360" w:lineRule="auto"/>
        <w:jc w:val="both"/>
        <w:rPr>
          <w:rFonts w:ascii="Arial Narrow" w:hAnsi="Arial Narrow"/>
          <w:sz w:val="28"/>
          <w:szCs w:val="28"/>
        </w:rPr>
      </w:pPr>
      <w:bookmarkStart w:id="0" w:name="_GoBack"/>
      <w:bookmarkEnd w:id="0"/>
    </w:p>
    <w:sectPr w:rsidR="00420F99" w:rsidRPr="004C3CBF" w:rsidSect="00E02345">
      <w:headerReference w:type="even" r:id="rId7"/>
      <w:headerReference w:type="default" r:id="rId8"/>
      <w:headerReference w:type="first" r:id="rId9"/>
      <w:pgSz w:w="12242" w:h="18722" w:code="14"/>
      <w:pgMar w:top="1134" w:right="1134" w:bottom="1134" w:left="283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F55" w:rsidRDefault="003B4F55">
      <w:pPr>
        <w:spacing w:after="0" w:line="240" w:lineRule="auto"/>
      </w:pPr>
      <w:r>
        <w:separator/>
      </w:r>
    </w:p>
  </w:endnote>
  <w:endnote w:type="continuationSeparator" w:id="0">
    <w:p w:rsidR="003B4F55" w:rsidRDefault="003B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F55" w:rsidRDefault="003B4F55">
      <w:pPr>
        <w:spacing w:after="0" w:line="240" w:lineRule="auto"/>
      </w:pPr>
      <w:r>
        <w:separator/>
      </w:r>
    </w:p>
  </w:footnote>
  <w:footnote w:type="continuationSeparator" w:id="0">
    <w:p w:rsidR="003B4F55" w:rsidRDefault="003B4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41C" w:rsidRDefault="003331D5" w:rsidP="00A9141C">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A9141C" w:rsidRPr="006C0427" w:rsidRDefault="00BE47D6" w:rsidP="00A9141C">
    <w:pPr>
      <w:pStyle w:val="Encabezado"/>
      <w:ind w:right="360"/>
      <w:rPr>
        <w:rStyle w:val="Nmerodepgina"/>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3331D5">
      <w:rPr>
        <w:rStyle w:val="Nmerodepgina"/>
        <w:noProof/>
        <w:color w:val="FFFFFF"/>
      </w:rPr>
      <w:t>3</w:t>
    </w:r>
    <w:r w:rsidRPr="006C0427">
      <w:rPr>
        <w:rStyle w:val="Nmerodepgina"/>
        <w:color w:val="FFFFFF"/>
      </w:rPr>
      <w:fldChar w:fldCharType="end"/>
    </w:r>
    <w:r w:rsidRPr="006C0427">
      <w:rPr>
        <w:rStyle w:val="Nmerodepgina"/>
        <w:color w:val="FFFFFF"/>
      </w:rPr>
      <w:t xml:space="preserve"> </w:t>
    </w:r>
  </w:p>
  <w:bookmarkEnd w:id="1"/>
  <w:p w:rsidR="00A9141C" w:rsidRPr="00364AFE" w:rsidRDefault="00BE47D6" w:rsidP="00A9141C">
    <w:pPr>
      <w:pStyle w:val="Encabezado"/>
      <w:jc w:val="right"/>
      <w:rPr>
        <w:rFonts w:ascii="Arial Narrow" w:hAnsi="Arial Narrow"/>
      </w:rPr>
    </w:pPr>
    <w:r w:rsidRPr="00E47A61">
      <w:rPr>
        <w:rFonts w:ascii="Arial Narrow" w:hAnsi="Arial Narrow"/>
        <w:sz w:val="28"/>
        <w:szCs w:val="28"/>
      </w:rPr>
      <w:t xml:space="preserve">  </w:t>
    </w:r>
    <w:r>
      <w:rPr>
        <w:rFonts w:ascii="Arial Narrow" w:hAnsi="Arial Narrow"/>
        <w:sz w:val="28"/>
        <w:szCs w:val="28"/>
      </w:rPr>
      <w:t>…</w:t>
    </w:r>
    <w:r w:rsidRPr="00364AFE">
      <w:rPr>
        <w:rFonts w:ascii="Arial Narrow" w:hAnsi="Arial Narrow"/>
      </w:rPr>
      <w:t xml:space="preserve"> </w:t>
    </w:r>
    <w:r w:rsidRPr="00364AFE">
      <w:rPr>
        <w:rFonts w:ascii="Arial Narrow" w:hAnsi="Arial Narrow"/>
      </w:rPr>
      <w:fldChar w:fldCharType="begin"/>
    </w:r>
    <w:r w:rsidRPr="00364AFE">
      <w:rPr>
        <w:rFonts w:ascii="Arial Narrow" w:hAnsi="Arial Narrow"/>
      </w:rPr>
      <w:instrText xml:space="preserve"> =PAGI_NA/2 \# "0" </w:instrText>
    </w:r>
    <w:r w:rsidRPr="00364AFE">
      <w:rPr>
        <w:rFonts w:ascii="Arial Narrow" w:hAnsi="Arial Narrow"/>
      </w:rPr>
      <w:fldChar w:fldCharType="separate"/>
    </w:r>
    <w:r w:rsidR="003331D5">
      <w:rPr>
        <w:rFonts w:ascii="Arial Narrow" w:hAnsi="Arial Narrow"/>
        <w:noProof/>
      </w:rPr>
      <w:t>2</w:t>
    </w:r>
    <w:r w:rsidRPr="00364AFE">
      <w:rPr>
        <w:rFonts w:ascii="Arial Narrow" w:hAnsi="Arial Narrow"/>
      </w:rPr>
      <w:fldChar w:fldCharType="end"/>
    </w:r>
    <w:r>
      <w:rPr>
        <w:rFonts w:ascii="Arial Narrow" w:hAnsi="Arial Narrow"/>
      </w:rPr>
      <w:t>.-</w:t>
    </w:r>
  </w:p>
  <w:p w:rsidR="00A9141C" w:rsidRPr="00364AFE" w:rsidRDefault="00BE47D6" w:rsidP="00A9141C">
    <w:pPr>
      <w:pStyle w:val="Encabezado"/>
      <w:jc w:val="right"/>
      <w:rPr>
        <w:rFonts w:ascii="Arial Narrow" w:hAnsi="Arial Narrow"/>
      </w:rPr>
    </w:pPr>
    <w:r>
      <w:rPr>
        <w:rFonts w:ascii="Arial Narrow" w:hAnsi="Arial Narrow"/>
        <w:noProof/>
        <w:lang w:eastAsia="es-MX"/>
      </w:rPr>
      <mc:AlternateContent>
        <mc:Choice Requires="wps">
          <w:drawing>
            <wp:anchor distT="0" distB="0" distL="114300" distR="114300" simplePos="0" relativeHeight="251660288" behindDoc="0" locked="0" layoutInCell="1" allowOverlap="1" wp14:anchorId="179CB3FC" wp14:editId="71B18776">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41C" w:rsidRDefault="00BE47D6" w:rsidP="00A9141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55D56DC6" wp14:editId="77E11793">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A9141C" w:rsidRPr="00B23B9D" w:rsidRDefault="003331D5" w:rsidP="00A9141C">
                          <w:pPr>
                            <w:pStyle w:val="Sinespaciado"/>
                            <w:jc w:val="center"/>
                            <w:rPr>
                              <w:rFonts w:ascii="Microsoft Sans Serif" w:eastAsia="SimHei" w:hAnsi="Microsoft Sans Serif" w:cs="Microsoft Sans Serif"/>
                              <w:b/>
                              <w:sz w:val="14"/>
                              <w:szCs w:val="14"/>
                            </w:rPr>
                          </w:pPr>
                        </w:p>
                        <w:p w:rsidR="00A9141C" w:rsidRPr="00B23B9D" w:rsidRDefault="00BE47D6" w:rsidP="00A9141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A9141C" w:rsidRDefault="00BE47D6" w:rsidP="00A9141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55D56DC6" wp14:editId="77E11793">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A9141C" w:rsidRPr="00B23B9D" w:rsidRDefault="003331D5" w:rsidP="00A9141C">
                    <w:pPr>
                      <w:pStyle w:val="Sinespaciado"/>
                      <w:jc w:val="center"/>
                      <w:rPr>
                        <w:rFonts w:ascii="Microsoft Sans Serif" w:eastAsia="SimHei" w:hAnsi="Microsoft Sans Serif" w:cs="Microsoft Sans Serif"/>
                        <w:b/>
                        <w:sz w:val="14"/>
                        <w:szCs w:val="14"/>
                      </w:rPr>
                    </w:pPr>
                  </w:p>
                  <w:p w:rsidR="00A9141C" w:rsidRPr="00B23B9D" w:rsidRDefault="00BE47D6" w:rsidP="00A9141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Pr>
        <w:rFonts w:ascii="Arial Narrow" w:hAnsi="Arial Narrow"/>
      </w:rPr>
      <w:t>751</w:t>
    </w:r>
    <w:r w:rsidRPr="00364AFE">
      <w:rPr>
        <w:rFonts w:ascii="Arial Narrow" w:hAnsi="Arial Narrow"/>
      </w:rPr>
      <w:t>/201</w:t>
    </w:r>
    <w:r>
      <w:rPr>
        <w:rFonts w:ascii="Arial Narrow" w:hAnsi="Arial Narrow"/>
      </w:rPr>
      <w:t>8</w:t>
    </w:r>
    <w:r w:rsidRPr="00364AFE">
      <w:rPr>
        <w:rFonts w:ascii="Arial Narrow" w:hAnsi="Arial Narrow"/>
      </w:rPr>
      <w:t xml:space="preserve">-3 </w:t>
    </w:r>
  </w:p>
  <w:p w:rsidR="00A9141C" w:rsidRPr="00E47A61" w:rsidRDefault="003331D5" w:rsidP="00A9141C">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41C" w:rsidRPr="004A456E" w:rsidRDefault="00BE47D6" w:rsidP="00A9141C">
    <w:pPr>
      <w:pStyle w:val="Encabezado"/>
      <w:tabs>
        <w:tab w:val="left" w:pos="1503"/>
      </w:tabs>
    </w:pPr>
    <w:r>
      <w:rPr>
        <w:noProof/>
        <w:lang w:eastAsia="es-MX"/>
      </w:rPr>
      <mc:AlternateContent>
        <mc:Choice Requires="wps">
          <w:drawing>
            <wp:anchor distT="0" distB="0" distL="114300" distR="114300" simplePos="0" relativeHeight="251659264" behindDoc="1" locked="0" layoutInCell="1" allowOverlap="1" wp14:anchorId="42A6AD8E" wp14:editId="0F5D0BD0">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41C" w:rsidRDefault="00BE47D6" w:rsidP="00A9141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56889E9" wp14:editId="367F68F8">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A9141C" w:rsidRPr="00B23B9D" w:rsidRDefault="003331D5" w:rsidP="00A9141C">
                          <w:pPr>
                            <w:pStyle w:val="Sinespaciado"/>
                            <w:jc w:val="center"/>
                            <w:rPr>
                              <w:rFonts w:ascii="Microsoft Sans Serif" w:eastAsia="SimHei" w:hAnsi="Microsoft Sans Serif" w:cs="Microsoft Sans Serif"/>
                              <w:b/>
                              <w:sz w:val="14"/>
                              <w:szCs w:val="14"/>
                            </w:rPr>
                          </w:pPr>
                        </w:p>
                        <w:p w:rsidR="00A9141C" w:rsidRPr="00B23B9D" w:rsidRDefault="00BE47D6" w:rsidP="00A9141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A9141C" w:rsidRDefault="00BE47D6" w:rsidP="00A9141C">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56889E9" wp14:editId="367F68F8">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A9141C" w:rsidRPr="00B23B9D" w:rsidRDefault="00BE47D6" w:rsidP="00A9141C">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A9141C" w:rsidRPr="00B23B9D" w:rsidRDefault="003331D5" w:rsidP="00A9141C">
                    <w:pPr>
                      <w:pStyle w:val="Sinespaciado"/>
                      <w:jc w:val="center"/>
                      <w:rPr>
                        <w:rFonts w:ascii="Microsoft Sans Serif" w:eastAsia="SimHei" w:hAnsi="Microsoft Sans Serif" w:cs="Microsoft Sans Serif"/>
                        <w:b/>
                        <w:sz w:val="14"/>
                        <w:szCs w:val="14"/>
                      </w:rPr>
                    </w:pPr>
                  </w:p>
                  <w:p w:rsidR="00A9141C" w:rsidRPr="00B23B9D" w:rsidRDefault="00BE47D6" w:rsidP="00A9141C">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3A5"/>
    <w:rsid w:val="000F6A5F"/>
    <w:rsid w:val="001204E0"/>
    <w:rsid w:val="001225B1"/>
    <w:rsid w:val="002E0F91"/>
    <w:rsid w:val="003331D5"/>
    <w:rsid w:val="00361573"/>
    <w:rsid w:val="003B4F55"/>
    <w:rsid w:val="00420F99"/>
    <w:rsid w:val="00435CE3"/>
    <w:rsid w:val="00526223"/>
    <w:rsid w:val="00762B40"/>
    <w:rsid w:val="009D33B4"/>
    <w:rsid w:val="00A976BA"/>
    <w:rsid w:val="00B32BB0"/>
    <w:rsid w:val="00BB3F36"/>
    <w:rsid w:val="00BE47D6"/>
    <w:rsid w:val="00C23A84"/>
    <w:rsid w:val="00CC74F8"/>
    <w:rsid w:val="00D56DDD"/>
    <w:rsid w:val="00D92C59"/>
    <w:rsid w:val="00E02345"/>
    <w:rsid w:val="00F4063F"/>
    <w:rsid w:val="00FC13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C13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C13A5"/>
  </w:style>
  <w:style w:type="character" w:styleId="Nmerodepgina">
    <w:name w:val="page number"/>
    <w:basedOn w:val="Fuentedeprrafopredeter"/>
    <w:rsid w:val="00FC13A5"/>
  </w:style>
  <w:style w:type="paragraph" w:styleId="Sinespaciado">
    <w:name w:val="No Spacing"/>
    <w:link w:val="SinespaciadoCar"/>
    <w:uiPriority w:val="1"/>
    <w:qFormat/>
    <w:rsid w:val="00FC13A5"/>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C13A5"/>
    <w:rPr>
      <w:rFonts w:ascii="Calibri" w:eastAsia="Calibri" w:hAnsi="Calibri" w:cs="Times New Roman"/>
    </w:rPr>
  </w:style>
  <w:style w:type="paragraph" w:styleId="Textodeglobo">
    <w:name w:val="Balloon Text"/>
    <w:basedOn w:val="Normal"/>
    <w:link w:val="TextodegloboCar"/>
    <w:uiPriority w:val="99"/>
    <w:semiHidden/>
    <w:unhideWhenUsed/>
    <w:rsid w:val="00FC13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13A5"/>
    <w:rPr>
      <w:rFonts w:ascii="Tahoma" w:hAnsi="Tahoma" w:cs="Tahoma"/>
      <w:sz w:val="16"/>
      <w:szCs w:val="16"/>
    </w:rPr>
  </w:style>
  <w:style w:type="paragraph" w:customStyle="1" w:styleId="Style1">
    <w:name w:val="Style 1"/>
    <w:basedOn w:val="Normal"/>
    <w:uiPriority w:val="99"/>
    <w:rsid w:val="00420F9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C13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C13A5"/>
  </w:style>
  <w:style w:type="character" w:styleId="Nmerodepgina">
    <w:name w:val="page number"/>
    <w:basedOn w:val="Fuentedeprrafopredeter"/>
    <w:rsid w:val="00FC13A5"/>
  </w:style>
  <w:style w:type="paragraph" w:styleId="Sinespaciado">
    <w:name w:val="No Spacing"/>
    <w:link w:val="SinespaciadoCar"/>
    <w:uiPriority w:val="1"/>
    <w:qFormat/>
    <w:rsid w:val="00FC13A5"/>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C13A5"/>
    <w:rPr>
      <w:rFonts w:ascii="Calibri" w:eastAsia="Calibri" w:hAnsi="Calibri" w:cs="Times New Roman"/>
    </w:rPr>
  </w:style>
  <w:style w:type="paragraph" w:styleId="Textodeglobo">
    <w:name w:val="Balloon Text"/>
    <w:basedOn w:val="Normal"/>
    <w:link w:val="TextodegloboCar"/>
    <w:uiPriority w:val="99"/>
    <w:semiHidden/>
    <w:unhideWhenUsed/>
    <w:rsid w:val="00FC13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13A5"/>
    <w:rPr>
      <w:rFonts w:ascii="Tahoma" w:hAnsi="Tahoma" w:cs="Tahoma"/>
      <w:sz w:val="16"/>
      <w:szCs w:val="16"/>
    </w:rPr>
  </w:style>
  <w:style w:type="paragraph" w:customStyle="1" w:styleId="Style1">
    <w:name w:val="Style 1"/>
    <w:basedOn w:val="Normal"/>
    <w:uiPriority w:val="99"/>
    <w:rsid w:val="00420F99"/>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1454</Words>
  <Characters>7998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22</cp:revision>
  <cp:lastPrinted>2026-05-21T16:31:00Z</cp:lastPrinted>
  <dcterms:created xsi:type="dcterms:W3CDTF">2026-05-20T21:03:00Z</dcterms:created>
  <dcterms:modified xsi:type="dcterms:W3CDTF">2026-06-10T18:51:00Z</dcterms:modified>
</cp:coreProperties>
</file>