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92534" w14:textId="77777777" w:rsidR="00F558D6" w:rsidRDefault="00F558D6" w:rsidP="00F558D6">
      <w:pPr>
        <w:jc w:val="right"/>
        <w:rPr>
          <w:lang w:val="es-ES"/>
        </w:rPr>
      </w:pPr>
    </w:p>
    <w:p w14:paraId="5BC49ADC" w14:textId="77777777" w:rsidR="00F558D6" w:rsidRDefault="00F558D6" w:rsidP="00F558D6">
      <w:pPr>
        <w:jc w:val="right"/>
        <w:rPr>
          <w:lang w:val="es-ES"/>
        </w:rPr>
      </w:pPr>
    </w:p>
    <w:p w14:paraId="6F6E93E5" w14:textId="77777777" w:rsidR="00A7317A" w:rsidRDefault="00A7317A" w:rsidP="00A73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E79EEB6" w14:textId="77777777" w:rsidR="00A7317A" w:rsidRDefault="00A7317A" w:rsidP="00A73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2D64C4C" w14:textId="3C74912B" w:rsidR="00A7317A" w:rsidRDefault="00A7317A" w:rsidP="00A73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EF1FF34" w14:textId="77777777" w:rsidR="00A7317A" w:rsidRDefault="00A7317A" w:rsidP="00A73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B197ED8" w14:textId="77777777" w:rsidR="00A7317A" w:rsidRDefault="00A7317A" w:rsidP="00A731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A5F36F9" w14:textId="77777777" w:rsidR="00BC4C8B" w:rsidRDefault="00BC4C8B" w:rsidP="00B37F76">
      <w:pPr>
        <w:jc w:val="center"/>
        <w:rPr>
          <w:sz w:val="48"/>
          <w:szCs w:val="48"/>
        </w:rPr>
      </w:pPr>
      <w:r>
        <w:rPr>
          <w:sz w:val="48"/>
          <w:szCs w:val="48"/>
        </w:rPr>
        <w:t>NO SE GENERA</w:t>
      </w:r>
    </w:p>
    <w:p w14:paraId="31CCEE83" w14:textId="77777777" w:rsidR="00BC4C8B" w:rsidRDefault="00BC4C8B" w:rsidP="00BC4C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14:paraId="1DE6DB67" w14:textId="252ED82D" w:rsidR="00BC4C8B" w:rsidRDefault="00BC4C8B" w:rsidP="00BC4C8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Se inserta la leyenda de “No se </w:t>
      </w:r>
      <w:r w:rsidRPr="004E1703">
        <w:rPr>
          <w:rFonts w:ascii="Arial" w:eastAsia="Times New Roman" w:hAnsi="Arial" w:cs="Arial"/>
          <w:color w:val="000000"/>
          <w:sz w:val="24"/>
          <w:szCs w:val="24"/>
        </w:rPr>
        <w:t>genera” en</w:t>
      </w: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 las columnas BM, BN, BR, BT y se seleccionan los </w:t>
      </w:r>
      <w:proofErr w:type="spellStart"/>
      <w:r w:rsidRPr="004E1703">
        <w:rPr>
          <w:rFonts w:ascii="Arial" w:eastAsia="Times New Roman" w:hAnsi="Arial" w:cs="Arial"/>
          <w:color w:val="000000"/>
          <w:sz w:val="24"/>
          <w:szCs w:val="24"/>
        </w:rPr>
        <w:t>Hidden</w:t>
      </w:r>
      <w:proofErr w:type="spellEnd"/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 de las columnas BQ, toda vez que en el mes que se informa la Universidad Tecnológica de San Luis Potosí no celebro Procedimientos de </w:t>
      </w:r>
      <w:bookmarkStart w:id="0" w:name="_GoBack"/>
      <w:bookmarkEnd w:id="0"/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conformidad a los artículos 36 y 94 de la Ley De Obras Públicas Y Servicios Relacionados Con Las Mismas Del Estado De San Luis </w:t>
      </w:r>
      <w:r w:rsidR="00B37F76" w:rsidRPr="004E1703">
        <w:rPr>
          <w:rFonts w:ascii="Arial" w:eastAsia="Times New Roman" w:hAnsi="Arial" w:cs="Arial"/>
          <w:color w:val="000000"/>
          <w:sz w:val="24"/>
          <w:szCs w:val="24"/>
        </w:rPr>
        <w:t>Potosí</w:t>
      </w: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14:paraId="3C7BC0A8" w14:textId="77777777" w:rsidR="00BC4C8B" w:rsidRDefault="00BC4C8B" w:rsidP="00BC4C8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 Se inserta el hipervínculo de no se genera en la celda BO, se pone 0 en la celda AS Y en la celda AT, AU, AV Se inserta fecha toda vez que el formato no permite dejar espacios en blanco y esto en virtud que de acuerdo a los términos de ley el plazo de firma del contrato aún no se concreta a la fecha en que se presenta este formato.       </w:t>
      </w:r>
    </w:p>
    <w:p w14:paraId="729AB662" w14:textId="461394DD" w:rsidR="00BC4C8B" w:rsidRDefault="00BC4C8B" w:rsidP="00BC4C8B">
      <w:pPr>
        <w:jc w:val="both"/>
        <w:rPr>
          <w:rFonts w:ascii="Arial" w:hAnsi="Arial" w:cs="Arial"/>
          <w:b/>
        </w:rPr>
      </w:pP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Se inserta la leyenda de “No se genera” en las columnas BM, BN, BR, BT y se seleccionan los </w:t>
      </w:r>
      <w:proofErr w:type="spellStart"/>
      <w:r w:rsidRPr="004E1703">
        <w:rPr>
          <w:rFonts w:ascii="Arial" w:eastAsia="Times New Roman" w:hAnsi="Arial" w:cs="Arial"/>
          <w:color w:val="000000"/>
          <w:sz w:val="24"/>
          <w:szCs w:val="24"/>
        </w:rPr>
        <w:t>Hidden</w:t>
      </w:r>
      <w:proofErr w:type="spellEnd"/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 de las columnas BQ, toda vez que en el mes que se informa la Universidad Tecnológica de San Luis Potosí no celebro Procedimientos de conformidad a los artículos 36 y 94 de la Ley De Obras Públicas Y Servicios Relacionados Con Las Mismas Del Estado De San Luis </w:t>
      </w:r>
      <w:r w:rsidR="00B37F76" w:rsidRPr="004E1703">
        <w:rPr>
          <w:rFonts w:ascii="Arial" w:eastAsia="Times New Roman" w:hAnsi="Arial" w:cs="Arial"/>
          <w:color w:val="000000"/>
          <w:sz w:val="24"/>
          <w:szCs w:val="24"/>
        </w:rPr>
        <w:t>Potosí</w:t>
      </w:r>
      <w:r w:rsidRPr="004E1703">
        <w:rPr>
          <w:rFonts w:ascii="Arial" w:eastAsia="Times New Roman" w:hAnsi="Arial" w:cs="Arial"/>
          <w:color w:val="000000"/>
          <w:sz w:val="24"/>
          <w:szCs w:val="24"/>
        </w:rPr>
        <w:t xml:space="preserve">.        </w:t>
      </w:r>
    </w:p>
    <w:p w14:paraId="3453C723" w14:textId="77777777" w:rsidR="00BC4C8B" w:rsidRDefault="00BC4C8B" w:rsidP="00BC4C8B">
      <w:pPr>
        <w:jc w:val="center"/>
        <w:rPr>
          <w:rFonts w:ascii="Arial" w:hAnsi="Arial" w:cs="Arial"/>
          <w:b/>
        </w:rPr>
      </w:pPr>
    </w:p>
    <w:p w14:paraId="1E8D1B93" w14:textId="77777777" w:rsidR="00A7317A" w:rsidRPr="00F558D6" w:rsidRDefault="00A7317A" w:rsidP="00F558D6">
      <w:pPr>
        <w:jc w:val="right"/>
        <w:rPr>
          <w:lang w:val="es-ES"/>
        </w:rPr>
      </w:pPr>
    </w:p>
    <w:sectPr w:rsidR="00A7317A" w:rsidRPr="00F558D6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2DDD" w14:textId="77777777" w:rsidR="00F26388" w:rsidRDefault="00F26388" w:rsidP="009255FB">
      <w:pPr>
        <w:spacing w:after="0" w:line="240" w:lineRule="auto"/>
      </w:pPr>
      <w:r>
        <w:separator/>
      </w:r>
    </w:p>
  </w:endnote>
  <w:endnote w:type="continuationSeparator" w:id="0">
    <w:p w14:paraId="5FEB9843" w14:textId="77777777" w:rsidR="00F26388" w:rsidRDefault="00F26388" w:rsidP="0092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000C0" w14:textId="77777777" w:rsidR="00F26388" w:rsidRDefault="00F26388" w:rsidP="009255FB">
      <w:pPr>
        <w:spacing w:after="0" w:line="240" w:lineRule="auto"/>
      </w:pPr>
      <w:r>
        <w:separator/>
      </w:r>
    </w:p>
  </w:footnote>
  <w:footnote w:type="continuationSeparator" w:id="0">
    <w:p w14:paraId="5F624C49" w14:textId="77777777" w:rsidR="00F26388" w:rsidRDefault="00F26388" w:rsidP="0092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FCD3" w14:textId="28995E79" w:rsidR="009255FB" w:rsidRDefault="00F26388">
    <w:pPr>
      <w:pStyle w:val="Encabezado"/>
    </w:pPr>
    <w:r>
      <w:rPr>
        <w:noProof/>
      </w:rPr>
      <w:pict w14:anchorId="1ECA0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4" o:spid="_x0000_s2074" type="#_x0000_t75" style="position:absolute;margin-left:0;margin-top:0;width:621.45pt;height:804.25pt;z-index:-251657216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EF76" w14:textId="46EA958C" w:rsidR="009255FB" w:rsidRDefault="00F26388">
    <w:pPr>
      <w:pStyle w:val="Encabezado"/>
    </w:pPr>
    <w:r>
      <w:rPr>
        <w:noProof/>
      </w:rPr>
      <w:pict w14:anchorId="3077E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5" o:spid="_x0000_s2075" type="#_x0000_t75" style="position:absolute;margin-left:-97.45pt;margin-top:-83.75pt;width:621.45pt;height:804.25pt;z-index:-251656192;mso-position-horizontal-relative:margin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08C83" w14:textId="2E674F77" w:rsidR="009255FB" w:rsidRDefault="00F26388">
    <w:pPr>
      <w:pStyle w:val="Encabezado"/>
    </w:pPr>
    <w:r>
      <w:rPr>
        <w:noProof/>
      </w:rPr>
      <w:pict w14:anchorId="4C606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7164703" o:spid="_x0000_s2073" type="#_x0000_t75" style="position:absolute;margin-left:0;margin-top:0;width:621.45pt;height:804.25pt;z-index:-251658240;mso-position-horizontal:center;mso-position-horizontal-relative:margin;mso-position-vertical:center;mso-position-vertical-relative:margin" o:allowincell="f">
          <v:imagedata r:id="rId1" o:title="“2026, Año del Bicentenario de la Promulgación de la Constitución Política del Estado Libre y Soberano de San Luis Potosí”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FB"/>
    <w:rsid w:val="00326E1A"/>
    <w:rsid w:val="005A380D"/>
    <w:rsid w:val="005D0B8B"/>
    <w:rsid w:val="005D63F5"/>
    <w:rsid w:val="007031D9"/>
    <w:rsid w:val="009255FB"/>
    <w:rsid w:val="00943610"/>
    <w:rsid w:val="00A7317A"/>
    <w:rsid w:val="00B37F76"/>
    <w:rsid w:val="00B628BD"/>
    <w:rsid w:val="00BC4C8B"/>
    <w:rsid w:val="00D11900"/>
    <w:rsid w:val="00F26388"/>
    <w:rsid w:val="00F5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4FF913BC"/>
  <w15:chartTrackingRefBased/>
  <w15:docId w15:val="{B1245188-1FB1-40FD-A43B-B6C8AA7E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4C8B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55F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255FB"/>
  </w:style>
  <w:style w:type="paragraph" w:styleId="Piedepgina">
    <w:name w:val="footer"/>
    <w:basedOn w:val="Normal"/>
    <w:link w:val="PiedepginaCar"/>
    <w:uiPriority w:val="99"/>
    <w:unhideWhenUsed/>
    <w:rsid w:val="009255F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Almendárez</dc:creator>
  <cp:keywords/>
  <dc:description/>
  <cp:lastModifiedBy>JefaturaRecMat UTSLP</cp:lastModifiedBy>
  <cp:revision>2</cp:revision>
  <cp:lastPrinted>2026-04-08T19:32:00Z</cp:lastPrinted>
  <dcterms:created xsi:type="dcterms:W3CDTF">2026-04-08T19:36:00Z</dcterms:created>
  <dcterms:modified xsi:type="dcterms:W3CDTF">2026-04-08T19:36:00Z</dcterms:modified>
</cp:coreProperties>
</file>