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6177B5" w:rsidRDefault="000431DD" w:rsidP="000431DD">
      <w:pPr>
        <w:pStyle w:val="Sinespaciado"/>
        <w:ind w:left="3969"/>
        <w:jc w:val="both"/>
        <w:rPr>
          <w:rFonts w:ascii="Arial Narrow" w:hAnsi="Arial Narrow"/>
          <w:b/>
        </w:rPr>
      </w:pPr>
    </w:p>
    <w:p w:rsidR="000431DD" w:rsidRPr="006177B5" w:rsidRDefault="000431DD" w:rsidP="000431DD">
      <w:pPr>
        <w:pStyle w:val="Sinespaciado"/>
        <w:ind w:left="3969"/>
        <w:jc w:val="both"/>
        <w:rPr>
          <w:rFonts w:ascii="Arial Narrow" w:hAnsi="Arial Narrow"/>
          <w:b/>
        </w:rPr>
      </w:pPr>
      <w:r w:rsidRPr="006177B5">
        <w:rPr>
          <w:rFonts w:ascii="Arial Narrow" w:hAnsi="Arial Narrow"/>
          <w:b/>
        </w:rPr>
        <w:t>EXPEDIENTE:</w:t>
      </w:r>
      <w:r w:rsidR="00895962" w:rsidRPr="006177B5">
        <w:rPr>
          <w:rFonts w:ascii="Arial Narrow" w:hAnsi="Arial Narrow"/>
          <w:b/>
        </w:rPr>
        <w:t xml:space="preserve"> </w:t>
      </w:r>
      <w:r w:rsidR="00B45625">
        <w:rPr>
          <w:rFonts w:ascii="Arial Narrow" w:hAnsi="Arial Narrow"/>
          <w:b/>
        </w:rPr>
        <w:t>451</w:t>
      </w:r>
      <w:r w:rsidR="00855E4F">
        <w:rPr>
          <w:rFonts w:ascii="Arial Narrow" w:hAnsi="Arial Narrow"/>
          <w:b/>
        </w:rPr>
        <w:t>/2025/1</w:t>
      </w:r>
      <w:r w:rsidR="00D6134D" w:rsidRPr="006177B5">
        <w:rPr>
          <w:rFonts w:ascii="Arial Narrow" w:hAnsi="Arial Narrow"/>
          <w:b/>
        </w:rPr>
        <w:t>.</w:t>
      </w:r>
    </w:p>
    <w:p w:rsidR="000431DD" w:rsidRPr="006177B5" w:rsidRDefault="000431DD" w:rsidP="000431DD">
      <w:pPr>
        <w:pStyle w:val="Sinespaciado"/>
        <w:ind w:left="3969"/>
        <w:jc w:val="both"/>
        <w:rPr>
          <w:rFonts w:ascii="Arial Narrow" w:hAnsi="Arial Narrow"/>
          <w:b/>
        </w:rPr>
      </w:pPr>
    </w:p>
    <w:p w:rsidR="00B45625" w:rsidRDefault="000431DD" w:rsidP="006177B5">
      <w:pPr>
        <w:pStyle w:val="Sinespaciado"/>
        <w:ind w:left="3969"/>
        <w:jc w:val="both"/>
        <w:rPr>
          <w:rFonts w:ascii="Arial Narrow" w:hAnsi="Arial Narrow" w:cs="Arial"/>
          <w:bCs/>
          <w:color w:val="FF0000"/>
        </w:rPr>
      </w:pPr>
      <w:r w:rsidRPr="006177B5">
        <w:rPr>
          <w:rFonts w:ascii="Arial Narrow" w:hAnsi="Arial Narrow"/>
          <w:b/>
        </w:rPr>
        <w:t>PARTE ACTORA:</w:t>
      </w:r>
      <w:r w:rsidR="00B85AD1">
        <w:rPr>
          <w:rFonts w:ascii="Arial Narrow" w:hAnsi="Arial Narrow"/>
          <w:b/>
        </w:rPr>
        <w:t xml:space="preserve"> </w:t>
      </w:r>
      <w:r w:rsidR="00B85AD1" w:rsidRPr="00B85AD1">
        <w:rPr>
          <w:rFonts w:ascii="Arial Narrow" w:hAnsi="Arial Narrow"/>
          <w:b/>
          <w:color w:val="FF0000"/>
        </w:rPr>
        <w:t>**********</w:t>
      </w:r>
      <w:r w:rsidR="00B45625">
        <w:rPr>
          <w:rFonts w:ascii="Arial Narrow" w:hAnsi="Arial Narrow" w:cs="Arial"/>
          <w:bCs/>
          <w:color w:val="FF0000"/>
        </w:rPr>
        <w:t>.</w:t>
      </w:r>
    </w:p>
    <w:p w:rsidR="000431DD" w:rsidRPr="00E13411" w:rsidRDefault="000431DD" w:rsidP="006177B5">
      <w:pPr>
        <w:pStyle w:val="Sinespaciado"/>
        <w:jc w:val="both"/>
        <w:rPr>
          <w:rFonts w:ascii="Arial Narrow" w:hAnsi="Arial Narrow"/>
        </w:rPr>
      </w:pP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w:t>
      </w:r>
      <w:r w:rsidR="00BF7FE4">
        <w:rPr>
          <w:rFonts w:ascii="Arial Narrow" w:hAnsi="Arial Narrow"/>
          <w:b/>
        </w:rPr>
        <w:t>ES</w:t>
      </w:r>
      <w:r w:rsidRPr="002237F1">
        <w:rPr>
          <w:rFonts w:ascii="Arial Narrow" w:hAnsi="Arial Narrow"/>
          <w:b/>
        </w:rPr>
        <w:t xml:space="preserve"> DEMANDADA</w:t>
      </w:r>
      <w:r w:rsidR="00BF7FE4">
        <w:rPr>
          <w:rFonts w:ascii="Arial Narrow" w:hAnsi="Arial Narrow"/>
          <w:b/>
        </w:rPr>
        <w:t>S</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C37DC1" w:rsidRDefault="00C37DC1" w:rsidP="006177B5">
      <w:pPr>
        <w:pStyle w:val="Sinespaciado"/>
        <w:ind w:left="3969"/>
        <w:jc w:val="both"/>
        <w:rPr>
          <w:rFonts w:ascii="Arial Narrow" w:hAnsi="Arial Narrow"/>
          <w:color w:val="000000"/>
        </w:rPr>
      </w:pPr>
      <w:r>
        <w:rPr>
          <w:rFonts w:ascii="Arial Narrow" w:hAnsi="Arial Narrow"/>
          <w:color w:val="000000"/>
        </w:rPr>
        <w:t>SECRETARÍA DE COMUNICACIONES Y TRANSPORTES DEL PODER EJECUTIVO DEL ESTADO.</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 xml:space="preserve">San Luis Potosí, S.L.P., </w:t>
      </w:r>
      <w:r w:rsidR="00FB3799">
        <w:rPr>
          <w:rFonts w:ascii="Arial Narrow" w:hAnsi="Arial Narrow"/>
          <w:sz w:val="28"/>
          <w:szCs w:val="28"/>
        </w:rPr>
        <w:t>treinta y uno de marzo</w:t>
      </w:r>
      <w:r w:rsidR="00C37DC1">
        <w:rPr>
          <w:rFonts w:ascii="Arial Narrow" w:hAnsi="Arial Narrow"/>
          <w:sz w:val="28"/>
          <w:szCs w:val="28"/>
        </w:rPr>
        <w:t xml:space="preserve"> de dos mil veintiséis</w:t>
      </w:r>
      <w:r w:rsidRPr="003456E6">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E13411" w:rsidRDefault="000431DD" w:rsidP="00E13411">
      <w:pPr>
        <w:pStyle w:val="Sinespaciado"/>
        <w:spacing w:line="360" w:lineRule="auto"/>
        <w:ind w:firstLine="709"/>
        <w:jc w:val="both"/>
        <w:rPr>
          <w:rFonts w:ascii="Arial Narrow" w:hAnsi="Arial Narrow"/>
          <w:color w:val="FF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5F49F3">
        <w:rPr>
          <w:rFonts w:ascii="Arial Narrow" w:hAnsi="Arial Narrow"/>
          <w:color w:val="000000"/>
          <w:sz w:val="28"/>
          <w:szCs w:val="28"/>
        </w:rPr>
        <w:t xml:space="preserve"> </w:t>
      </w:r>
      <w:r w:rsidR="00B45625">
        <w:rPr>
          <w:rFonts w:ascii="Arial Narrow" w:hAnsi="Arial Narrow"/>
          <w:b/>
          <w:color w:val="000000"/>
          <w:sz w:val="28"/>
          <w:szCs w:val="28"/>
        </w:rPr>
        <w:t>451</w:t>
      </w:r>
      <w:r w:rsidR="00C37DC1">
        <w:rPr>
          <w:rFonts w:ascii="Arial Narrow" w:hAnsi="Arial Narrow"/>
          <w:b/>
          <w:color w:val="000000"/>
          <w:sz w:val="28"/>
          <w:szCs w:val="28"/>
        </w:rPr>
        <w:t>/2025</w:t>
      </w:r>
      <w:r w:rsidRPr="00E13411">
        <w:rPr>
          <w:rFonts w:ascii="Arial Narrow" w:hAnsi="Arial Narrow"/>
          <w:b/>
          <w:color w:val="000000"/>
          <w:sz w:val="28"/>
          <w:szCs w:val="28"/>
        </w:rPr>
        <w:t>,</w:t>
      </w:r>
      <w:r w:rsidRPr="00E13411">
        <w:rPr>
          <w:rFonts w:ascii="Arial Narrow" w:hAnsi="Arial Narrow"/>
          <w:color w:val="000000"/>
          <w:sz w:val="28"/>
          <w:szCs w:val="28"/>
        </w:rPr>
        <w:t xml:space="preserve"> promovido por</w:t>
      </w:r>
      <w:r w:rsidR="00D6134D" w:rsidRPr="00E13411">
        <w:rPr>
          <w:rFonts w:ascii="Arial Narrow" w:hAnsi="Arial Narrow"/>
          <w:color w:val="FF0000"/>
          <w:sz w:val="28"/>
          <w:szCs w:val="28"/>
        </w:rPr>
        <w:t xml:space="preserve"> </w:t>
      </w:r>
      <w:r w:rsidR="0049131D">
        <w:rPr>
          <w:rFonts w:ascii="Arial Narrow" w:hAnsi="Arial Narrow"/>
          <w:color w:val="FF0000"/>
          <w:sz w:val="28"/>
          <w:szCs w:val="28"/>
        </w:rPr>
        <w:t>el Ciudadano</w:t>
      </w:r>
      <w:r w:rsidR="00B85AD1">
        <w:rPr>
          <w:rFonts w:ascii="Arial Narrow" w:hAnsi="Arial Narrow"/>
          <w:color w:val="FF0000"/>
          <w:sz w:val="28"/>
          <w:szCs w:val="28"/>
        </w:rPr>
        <w:t xml:space="preserve"> **********</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C37DC1">
        <w:rPr>
          <w:rFonts w:ascii="Arial Narrow" w:hAnsi="Arial Narrow"/>
          <w:color w:val="000000"/>
          <w:sz w:val="28"/>
          <w:szCs w:val="28"/>
        </w:rPr>
        <w:t xml:space="preserve"> </w:t>
      </w:r>
      <w:r w:rsidR="009D01D0">
        <w:rPr>
          <w:rFonts w:ascii="Arial Narrow" w:hAnsi="Arial Narrow"/>
          <w:color w:val="000000"/>
          <w:sz w:val="28"/>
          <w:szCs w:val="28"/>
        </w:rPr>
        <w:t>l</w:t>
      </w:r>
      <w:r w:rsidR="00C37DC1">
        <w:rPr>
          <w:rFonts w:ascii="Arial Narrow" w:hAnsi="Arial Narrow"/>
          <w:color w:val="000000"/>
          <w:sz w:val="28"/>
          <w:szCs w:val="28"/>
        </w:rPr>
        <w:t>a</w:t>
      </w:r>
      <w:r w:rsidR="00E13411">
        <w:rPr>
          <w:rFonts w:ascii="Arial Narrow" w:hAnsi="Arial Narrow"/>
          <w:color w:val="000000"/>
          <w:sz w:val="28"/>
          <w:szCs w:val="28"/>
        </w:rPr>
        <w:t xml:space="preserve"> </w:t>
      </w:r>
      <w:r w:rsidR="0049131D">
        <w:rPr>
          <w:rFonts w:ascii="Arial Narrow" w:hAnsi="Arial Narrow"/>
          <w:color w:val="FF0000"/>
          <w:sz w:val="28"/>
          <w:szCs w:val="28"/>
        </w:rPr>
        <w:t>SECRETARÍA DE COMUNICACIONES Y TRANSPORTES EN EL ESTADO</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Pr="00C0197A" w:rsidRDefault="000431DD" w:rsidP="003456E6">
      <w:pPr>
        <w:pStyle w:val="Sinespaciado"/>
        <w:spacing w:line="360" w:lineRule="auto"/>
        <w:ind w:firstLine="709"/>
        <w:jc w:val="both"/>
        <w:rPr>
          <w:rFonts w:ascii="Arial Narrow" w:hAnsi="Arial Narrow"/>
          <w:sz w:val="28"/>
          <w:szCs w:val="28"/>
        </w:rPr>
      </w:pPr>
      <w:r w:rsidRPr="00C0197A">
        <w:rPr>
          <w:rFonts w:ascii="Arial Narrow" w:hAnsi="Arial Narrow"/>
          <w:b/>
          <w:sz w:val="28"/>
          <w:szCs w:val="28"/>
        </w:rPr>
        <w:t>ÚNICO.-</w:t>
      </w:r>
      <w:r w:rsidRPr="00C0197A">
        <w:rPr>
          <w:rFonts w:ascii="Arial Narrow" w:hAnsi="Arial Narrow"/>
          <w:sz w:val="28"/>
          <w:szCs w:val="28"/>
        </w:rPr>
        <w:t xml:space="preserve"> </w:t>
      </w:r>
      <w:r w:rsidR="007C5E38">
        <w:rPr>
          <w:rFonts w:ascii="Arial Narrow" w:hAnsi="Arial Narrow"/>
          <w:sz w:val="28"/>
          <w:szCs w:val="28"/>
        </w:rPr>
        <w:t xml:space="preserve">Previo cumplimiento de requerimiento, por </w:t>
      </w:r>
      <w:r w:rsidRPr="00C0197A">
        <w:rPr>
          <w:rFonts w:ascii="Arial Narrow" w:hAnsi="Arial Narrow"/>
          <w:sz w:val="28"/>
          <w:szCs w:val="28"/>
        </w:rPr>
        <w:t xml:space="preserve">acuerdo del </w:t>
      </w:r>
      <w:r w:rsidR="00704E11">
        <w:rPr>
          <w:rFonts w:ascii="Arial Narrow" w:hAnsi="Arial Narrow"/>
          <w:sz w:val="28"/>
          <w:szCs w:val="28"/>
        </w:rPr>
        <w:t>seis de junio de dos mil veinticinco</w:t>
      </w:r>
      <w:r w:rsidR="003456E6" w:rsidRPr="00C0197A">
        <w:rPr>
          <w:rFonts w:ascii="Arial Narrow" w:hAnsi="Arial Narrow"/>
          <w:sz w:val="28"/>
          <w:szCs w:val="28"/>
        </w:rPr>
        <w:t>,</w:t>
      </w:r>
      <w:r w:rsidRPr="00C0197A">
        <w:rPr>
          <w:rFonts w:ascii="Arial Narrow" w:hAnsi="Arial Narrow"/>
          <w:b/>
          <w:sz w:val="28"/>
          <w:szCs w:val="28"/>
        </w:rPr>
        <w:t xml:space="preserve"> </w:t>
      </w:r>
      <w:r w:rsidRPr="00C0197A">
        <w:rPr>
          <w:rFonts w:ascii="Arial Narrow" w:hAnsi="Arial Narrow"/>
          <w:sz w:val="28"/>
          <w:szCs w:val="28"/>
        </w:rPr>
        <w:t>se tuvo por recibido escrito firmado por</w:t>
      </w:r>
      <w:r w:rsidR="00C0197A" w:rsidRPr="00C0197A">
        <w:rPr>
          <w:rFonts w:ascii="Arial Narrow" w:hAnsi="Arial Narrow"/>
          <w:color w:val="FF0000"/>
          <w:sz w:val="28"/>
          <w:szCs w:val="28"/>
        </w:rPr>
        <w:t xml:space="preserve"> el Ciudadano</w:t>
      </w:r>
      <w:r w:rsidR="00B85AD1">
        <w:rPr>
          <w:rFonts w:ascii="Arial Narrow" w:hAnsi="Arial Narrow"/>
          <w:color w:val="FF0000"/>
          <w:sz w:val="28"/>
          <w:szCs w:val="28"/>
        </w:rPr>
        <w:t>**********</w:t>
      </w:r>
      <w:r w:rsidR="00B45625" w:rsidRPr="003456E6">
        <w:rPr>
          <w:rFonts w:ascii="Arial Narrow" w:hAnsi="Arial Narrow"/>
          <w:b/>
          <w:color w:val="000000"/>
          <w:sz w:val="28"/>
          <w:szCs w:val="28"/>
        </w:rPr>
        <w:t>,</w:t>
      </w:r>
      <w:r w:rsidR="00B45625">
        <w:rPr>
          <w:rFonts w:ascii="Arial Narrow" w:hAnsi="Arial Narrow"/>
          <w:b/>
          <w:color w:val="000000"/>
          <w:sz w:val="28"/>
          <w:szCs w:val="28"/>
        </w:rPr>
        <w:t xml:space="preserve"> </w:t>
      </w:r>
      <w:r w:rsidR="00704E11">
        <w:rPr>
          <w:rFonts w:ascii="Arial Narrow" w:hAnsi="Arial Narrow"/>
          <w:sz w:val="28"/>
          <w:szCs w:val="28"/>
        </w:rPr>
        <w:t>quien demandó a la autoridad</w:t>
      </w:r>
      <w:r w:rsidRPr="00C0197A">
        <w:rPr>
          <w:rFonts w:ascii="Arial Narrow" w:hAnsi="Arial Narrow"/>
          <w:sz w:val="28"/>
          <w:szCs w:val="28"/>
        </w:rPr>
        <w:t xml:space="preserve">: </w:t>
      </w:r>
    </w:p>
    <w:p w:rsidR="00480AEC" w:rsidRPr="00480AEC" w:rsidRDefault="00480AEC" w:rsidP="003456E6">
      <w:pPr>
        <w:pStyle w:val="Sinespaciado"/>
        <w:spacing w:line="360" w:lineRule="auto"/>
        <w:ind w:firstLine="709"/>
        <w:jc w:val="both"/>
        <w:rPr>
          <w:rFonts w:ascii="Arial Narrow" w:hAnsi="Arial Narrow"/>
          <w:sz w:val="24"/>
          <w:szCs w:val="24"/>
        </w:rPr>
      </w:pPr>
    </w:p>
    <w:p w:rsidR="00306FD6" w:rsidRPr="00704E11" w:rsidRDefault="00306FD6" w:rsidP="00306FD6">
      <w:pPr>
        <w:numPr>
          <w:ilvl w:val="0"/>
          <w:numId w:val="12"/>
        </w:numPr>
        <w:autoSpaceDE w:val="0"/>
        <w:autoSpaceDN w:val="0"/>
        <w:adjustRightInd w:val="0"/>
        <w:spacing w:after="0" w:line="240" w:lineRule="auto"/>
        <w:jc w:val="both"/>
        <w:rPr>
          <w:rFonts w:ascii="Arial Narrow" w:hAnsi="Arial Narrow" w:cs="Arial"/>
          <w:i/>
          <w:color w:val="000000"/>
          <w:sz w:val="28"/>
          <w:szCs w:val="28"/>
        </w:rPr>
      </w:pPr>
      <w:r w:rsidRPr="00704E11">
        <w:rPr>
          <w:rFonts w:ascii="Arial Narrow" w:hAnsi="Arial Narrow" w:cs="Arial"/>
          <w:i/>
          <w:color w:val="000000"/>
          <w:sz w:val="28"/>
          <w:szCs w:val="28"/>
        </w:rPr>
        <w:t xml:space="preserve">Secretaría de Comunicaciones y Transportes </w:t>
      </w:r>
      <w:r w:rsidR="00704E11" w:rsidRPr="00704E11">
        <w:rPr>
          <w:rFonts w:ascii="Arial Narrow" w:hAnsi="Arial Narrow" w:cs="Arial"/>
          <w:i/>
          <w:color w:val="000000"/>
          <w:sz w:val="28"/>
          <w:szCs w:val="28"/>
        </w:rPr>
        <w:t>de Gobierno</w:t>
      </w:r>
      <w:r w:rsidRPr="00704E11">
        <w:rPr>
          <w:rFonts w:ascii="Arial Narrow" w:hAnsi="Arial Narrow" w:cs="Arial"/>
          <w:i/>
          <w:color w:val="000000"/>
          <w:sz w:val="28"/>
          <w:szCs w:val="28"/>
        </w:rPr>
        <w:t xml:space="preserve"> </w:t>
      </w:r>
      <w:r w:rsidR="00704E11" w:rsidRPr="00704E11">
        <w:rPr>
          <w:rFonts w:ascii="Arial Narrow" w:hAnsi="Arial Narrow" w:cs="Arial"/>
          <w:i/>
          <w:color w:val="000000"/>
          <w:sz w:val="28"/>
          <w:szCs w:val="28"/>
        </w:rPr>
        <w:t>d</w:t>
      </w:r>
      <w:r w:rsidRPr="00704E11">
        <w:rPr>
          <w:rFonts w:ascii="Arial Narrow" w:hAnsi="Arial Narrow" w:cs="Arial"/>
          <w:i/>
          <w:color w:val="000000"/>
          <w:sz w:val="28"/>
          <w:szCs w:val="28"/>
        </w:rPr>
        <w:t>el Estado de San Luis Potosí.</w:t>
      </w:r>
    </w:p>
    <w:p w:rsidR="00480AEC" w:rsidRPr="00704E11" w:rsidRDefault="00480AEC" w:rsidP="00480AEC">
      <w:pPr>
        <w:ind w:firstLine="708"/>
        <w:jc w:val="both"/>
        <w:rPr>
          <w:rFonts w:ascii="Arial Narrow" w:hAnsi="Arial Narrow" w:cs="Arial"/>
          <w:sz w:val="28"/>
          <w:szCs w:val="28"/>
          <w:lang w:val="es-ES"/>
        </w:rPr>
      </w:pPr>
    </w:p>
    <w:p w:rsidR="00480AEC" w:rsidRPr="00704E11" w:rsidRDefault="00704E11" w:rsidP="00306FD6">
      <w:pPr>
        <w:pStyle w:val="Sinespaciado"/>
        <w:spacing w:line="360" w:lineRule="auto"/>
        <w:ind w:firstLine="709"/>
        <w:jc w:val="both"/>
        <w:rPr>
          <w:rFonts w:ascii="Arial Narrow" w:hAnsi="Arial Narrow"/>
          <w:sz w:val="28"/>
          <w:szCs w:val="28"/>
        </w:rPr>
      </w:pPr>
      <w:r w:rsidRPr="00704E11">
        <w:rPr>
          <w:rFonts w:ascii="Arial Narrow" w:hAnsi="Arial Narrow"/>
          <w:sz w:val="28"/>
          <w:szCs w:val="28"/>
        </w:rPr>
        <w:t>Señalando como acto impugnado</w:t>
      </w:r>
      <w:r w:rsidR="00480AEC" w:rsidRPr="00704E11">
        <w:rPr>
          <w:rFonts w:ascii="Arial Narrow" w:hAnsi="Arial Narrow"/>
          <w:sz w:val="28"/>
          <w:szCs w:val="28"/>
        </w:rPr>
        <w:t xml:space="preserve"> </w:t>
      </w:r>
      <w:r w:rsidRPr="00704E11">
        <w:rPr>
          <w:rFonts w:ascii="Arial Narrow" w:hAnsi="Arial Narrow"/>
          <w:sz w:val="28"/>
          <w:szCs w:val="28"/>
        </w:rPr>
        <w:t>el que se menciona</w:t>
      </w:r>
      <w:r w:rsidR="00480AEC" w:rsidRPr="00704E11">
        <w:rPr>
          <w:rFonts w:ascii="Arial Narrow" w:hAnsi="Arial Narrow"/>
          <w:sz w:val="28"/>
          <w:szCs w:val="28"/>
        </w:rPr>
        <w:t xml:space="preserve"> a continuación: </w:t>
      </w:r>
    </w:p>
    <w:p w:rsidR="00306FD6" w:rsidRPr="00704E11" w:rsidRDefault="00306FD6" w:rsidP="00306FD6">
      <w:pPr>
        <w:pStyle w:val="Sinespaciado"/>
        <w:spacing w:line="360" w:lineRule="auto"/>
        <w:ind w:firstLine="709"/>
        <w:jc w:val="both"/>
        <w:rPr>
          <w:rFonts w:ascii="Arial Narrow" w:hAnsi="Arial Narrow"/>
          <w:sz w:val="28"/>
          <w:szCs w:val="28"/>
        </w:rPr>
      </w:pPr>
    </w:p>
    <w:p w:rsidR="00704E11" w:rsidRPr="00704E11" w:rsidRDefault="00704E11" w:rsidP="00306FD6">
      <w:pPr>
        <w:autoSpaceDE w:val="0"/>
        <w:autoSpaceDN w:val="0"/>
        <w:adjustRightInd w:val="0"/>
        <w:spacing w:after="0" w:line="240" w:lineRule="auto"/>
        <w:ind w:firstLine="708"/>
        <w:jc w:val="both"/>
        <w:rPr>
          <w:rFonts w:ascii="Arial Narrow" w:hAnsi="Arial Narrow" w:cs="Arial"/>
          <w:i/>
          <w:color w:val="FF0000"/>
          <w:sz w:val="28"/>
          <w:szCs w:val="28"/>
          <w:lang w:val="es-ES"/>
        </w:rPr>
      </w:pPr>
      <w:r w:rsidRPr="00704E11">
        <w:rPr>
          <w:rFonts w:ascii="Arial Narrow" w:hAnsi="Arial Narrow" w:cs="Arial"/>
          <w:i/>
          <w:color w:val="FF0000"/>
          <w:sz w:val="28"/>
          <w:szCs w:val="28"/>
          <w:lang w:val="es-ES"/>
        </w:rPr>
        <w:t>Acuerdo administrativo por el que se convoca todos los concesionarios y permisionarios del servicio público en el Estado, a la revista anual 2025 de las unidades destinadas a la prestación del servicio público de transporte, publicado en la edición extraordinaria del Periódico Oficial del Estado el 31 de marzo de 2025.</w:t>
      </w:r>
    </w:p>
    <w:p w:rsidR="00AF61B8" w:rsidRDefault="00AF61B8" w:rsidP="00480AEC">
      <w:pPr>
        <w:pStyle w:val="Sinespaciado"/>
        <w:spacing w:line="360" w:lineRule="auto"/>
        <w:jc w:val="both"/>
        <w:rPr>
          <w:rFonts w:ascii="Arial Narrow" w:hAnsi="Arial Narrow"/>
          <w:sz w:val="28"/>
          <w:szCs w:val="28"/>
        </w:rPr>
      </w:pPr>
    </w:p>
    <w:p w:rsidR="000431DD" w:rsidRPr="003456E6" w:rsidRDefault="00684219" w:rsidP="00F73ACC">
      <w:pPr>
        <w:pStyle w:val="Sinespaciado"/>
        <w:spacing w:line="360" w:lineRule="auto"/>
        <w:ind w:firstLine="709"/>
        <w:jc w:val="both"/>
        <w:rPr>
          <w:rFonts w:ascii="Arial Narrow" w:hAnsi="Arial Narrow"/>
          <w:sz w:val="28"/>
          <w:szCs w:val="28"/>
        </w:rPr>
      </w:pPr>
      <w:r>
        <w:rPr>
          <w:rFonts w:ascii="Arial Narrow" w:hAnsi="Arial Narrow"/>
          <w:sz w:val="28"/>
          <w:szCs w:val="28"/>
        </w:rPr>
        <w:t>E</w:t>
      </w:r>
      <w:r w:rsidR="000431DD" w:rsidRPr="003456E6">
        <w:rPr>
          <w:rFonts w:ascii="Arial Narrow" w:hAnsi="Arial Narrow"/>
          <w:sz w:val="28"/>
          <w:szCs w:val="28"/>
        </w:rPr>
        <w:t>n el propio auto</w:t>
      </w:r>
      <w:r w:rsidR="00704E11">
        <w:rPr>
          <w:rFonts w:ascii="Arial Narrow" w:hAnsi="Arial Narrow"/>
          <w:sz w:val="28"/>
          <w:szCs w:val="28"/>
        </w:rPr>
        <w:t xml:space="preserve"> se ordenó correr traslado a la autoridad</w:t>
      </w:r>
      <w:r w:rsidR="000431DD" w:rsidRPr="003456E6">
        <w:rPr>
          <w:rFonts w:ascii="Arial Narrow" w:hAnsi="Arial Narrow"/>
          <w:sz w:val="28"/>
          <w:szCs w:val="28"/>
        </w:rPr>
        <w:t xml:space="preserve"> dema</w:t>
      </w:r>
      <w:r w:rsidR="00704E11">
        <w:rPr>
          <w:rFonts w:ascii="Arial Narrow" w:hAnsi="Arial Narrow"/>
          <w:sz w:val="28"/>
          <w:szCs w:val="28"/>
        </w:rPr>
        <w:t>ndada</w:t>
      </w:r>
      <w:r w:rsidR="004401A0">
        <w:rPr>
          <w:rFonts w:ascii="Arial Narrow" w:hAnsi="Arial Narrow"/>
          <w:sz w:val="28"/>
          <w:szCs w:val="28"/>
        </w:rPr>
        <w:t xml:space="preserve"> </w:t>
      </w:r>
      <w:r w:rsidR="000431DD" w:rsidRPr="003456E6">
        <w:rPr>
          <w:rFonts w:ascii="Arial Narrow" w:hAnsi="Arial Narrow"/>
          <w:sz w:val="28"/>
          <w:szCs w:val="28"/>
        </w:rPr>
        <w:t>a efecto de que</w:t>
      </w:r>
      <w:r w:rsidR="00704E11">
        <w:rPr>
          <w:rFonts w:ascii="Arial Narrow" w:hAnsi="Arial Narrow"/>
          <w:sz w:val="28"/>
          <w:szCs w:val="28"/>
        </w:rPr>
        <w:t xml:space="preserve"> en el término legal manifieste</w:t>
      </w:r>
      <w:r w:rsidR="000431DD" w:rsidRPr="003456E6">
        <w:rPr>
          <w:rFonts w:ascii="Arial Narrow" w:hAnsi="Arial Narrow"/>
          <w:sz w:val="28"/>
          <w:szCs w:val="28"/>
        </w:rPr>
        <w:t xml:space="preserve"> lo que a su derecho convenga; </w:t>
      </w:r>
      <w:r w:rsidR="008315A2">
        <w:rPr>
          <w:rFonts w:ascii="Arial Narrow" w:hAnsi="Arial Narrow"/>
          <w:sz w:val="28"/>
          <w:szCs w:val="28"/>
        </w:rPr>
        <w:t xml:space="preserve">una </w:t>
      </w:r>
      <w:r w:rsidR="008315A2">
        <w:rPr>
          <w:rFonts w:ascii="Arial Narrow" w:hAnsi="Arial Narrow"/>
          <w:sz w:val="28"/>
          <w:szCs w:val="28"/>
        </w:rPr>
        <w:lastRenderedPageBreak/>
        <w:t>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 xml:space="preserve">la que se realizó </w:t>
      </w:r>
      <w:r w:rsidR="00F73ACC">
        <w:rPr>
          <w:rFonts w:ascii="Arial Narrow" w:hAnsi="Arial Narrow"/>
          <w:sz w:val="28"/>
          <w:szCs w:val="28"/>
        </w:rPr>
        <w:t>si</w:t>
      </w:r>
      <w:r w:rsidR="000431DD" w:rsidRPr="003456E6">
        <w:rPr>
          <w:rFonts w:ascii="Arial Narrow" w:hAnsi="Arial Narrow"/>
          <w:sz w:val="28"/>
          <w:szCs w:val="28"/>
        </w:rPr>
        <w:t xml:space="preserve">n la asistencia </w:t>
      </w:r>
      <w:r w:rsidR="006B7E33">
        <w:rPr>
          <w:rFonts w:ascii="Arial Narrow" w:hAnsi="Arial Narrow"/>
          <w:sz w:val="28"/>
          <w:szCs w:val="28"/>
        </w:rPr>
        <w:t>de la</w:t>
      </w:r>
      <w:r w:rsidR="000C04A3">
        <w:rPr>
          <w:rFonts w:ascii="Arial Narrow" w:hAnsi="Arial Narrow"/>
          <w:sz w:val="28"/>
          <w:szCs w:val="28"/>
        </w:rPr>
        <w:t>s</w:t>
      </w:r>
      <w:r w:rsidR="000431DD" w:rsidRPr="003456E6">
        <w:rPr>
          <w:rFonts w:ascii="Arial Narrow" w:hAnsi="Arial Narrow"/>
          <w:sz w:val="28"/>
          <w:szCs w:val="28"/>
        </w:rPr>
        <w:t xml:space="preserve"> </w:t>
      </w:r>
      <w:r w:rsidRPr="003456E6">
        <w:rPr>
          <w:rFonts w:ascii="Arial Narrow" w:hAnsi="Arial Narrow"/>
          <w:sz w:val="28"/>
          <w:szCs w:val="28"/>
        </w:rPr>
        <w:t>parte</w:t>
      </w:r>
      <w:r>
        <w:rPr>
          <w:rFonts w:ascii="Arial Narrow" w:hAnsi="Arial Narrow"/>
          <w:sz w:val="28"/>
          <w:szCs w:val="28"/>
        </w:rPr>
        <w:t>s, por lo que</w:t>
      </w:r>
      <w:r w:rsidR="00322953">
        <w:rPr>
          <w:rFonts w:ascii="Arial Narrow" w:hAnsi="Arial Narrow"/>
          <w:sz w:val="28"/>
          <w:szCs w:val="28"/>
        </w:rPr>
        <w:t xml:space="preserv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 y</w:t>
      </w:r>
      <w:r w:rsidR="00E513FC">
        <w:rPr>
          <w:rFonts w:ascii="Arial Narrow" w:hAnsi="Arial Narrow"/>
          <w:sz w:val="28"/>
          <w:szCs w:val="28"/>
        </w:rPr>
        <w:t xml:space="preserve"> contestación de la misma,</w:t>
      </w:r>
      <w:r w:rsidR="001649EB" w:rsidRPr="003456E6">
        <w:rPr>
          <w:rFonts w:ascii="Arial Narrow" w:hAnsi="Arial Narrow"/>
          <w:sz w:val="28"/>
          <w:szCs w:val="28"/>
        </w:rPr>
        <w:t xml:space="preserve"> </w:t>
      </w:r>
      <w:r w:rsidR="001649EB">
        <w:rPr>
          <w:rFonts w:ascii="Arial Narrow" w:hAnsi="Arial Narrow"/>
          <w:sz w:val="28"/>
          <w:szCs w:val="28"/>
        </w:rPr>
        <w:t xml:space="preserve">se </w:t>
      </w:r>
      <w:r w:rsidR="001649EB" w:rsidRPr="003456E6">
        <w:rPr>
          <w:rFonts w:ascii="Arial Narrow" w:hAnsi="Arial Narrow"/>
          <w:sz w:val="28"/>
          <w:szCs w:val="28"/>
        </w:rPr>
        <w:t>reseñó las pruebas ofrecidas por la</w:t>
      </w:r>
      <w:r w:rsidR="00E513FC">
        <w:rPr>
          <w:rFonts w:ascii="Arial Narrow" w:hAnsi="Arial Narrow"/>
          <w:sz w:val="28"/>
          <w:szCs w:val="28"/>
        </w:rPr>
        <w:t>s</w:t>
      </w:r>
      <w:r w:rsidR="001649EB">
        <w:rPr>
          <w:rFonts w:ascii="Arial Narrow" w:hAnsi="Arial Narrow"/>
          <w:sz w:val="28"/>
          <w:szCs w:val="28"/>
        </w:rPr>
        <w:t xml:space="preserve"> parte</w:t>
      </w:r>
      <w:r w:rsidR="00E513FC">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en período de pruebas, se tuvieron por desahogadas las que así lo ameritaron; en etap</w:t>
      </w:r>
      <w:r w:rsidR="00B055D3">
        <w:rPr>
          <w:rFonts w:ascii="Arial Narrow" w:hAnsi="Arial Narrow"/>
          <w:sz w:val="28"/>
          <w:szCs w:val="28"/>
        </w:rPr>
        <w:t>a de alegatos, se certificó que</w:t>
      </w:r>
      <w:r w:rsidR="002369C4">
        <w:rPr>
          <w:rFonts w:ascii="Arial Narrow" w:hAnsi="Arial Narrow"/>
          <w:sz w:val="28"/>
          <w:szCs w:val="28"/>
        </w:rPr>
        <w:t xml:space="preserve"> </w:t>
      </w:r>
      <w:r w:rsidR="001649EB" w:rsidRPr="003456E6">
        <w:rPr>
          <w:rFonts w:ascii="Arial Narrow" w:hAnsi="Arial Narrow"/>
          <w:sz w:val="28"/>
          <w:szCs w:val="28"/>
        </w:rPr>
        <w:t xml:space="preserve">se formularon éstos </w:t>
      </w:r>
      <w:r w:rsidR="00B6752B">
        <w:rPr>
          <w:rFonts w:ascii="Arial Narrow" w:hAnsi="Arial Narrow"/>
          <w:sz w:val="28"/>
          <w:szCs w:val="28"/>
        </w:rPr>
        <w:t>únicamente por el diverso delegado de la autoridad demandada, no así por la parte actora, como se hace constar</w:t>
      </w:r>
      <w:r w:rsidR="00B055D3">
        <w:rPr>
          <w:rFonts w:ascii="Arial Narrow" w:hAnsi="Arial Narrow"/>
          <w:sz w:val="28"/>
          <w:szCs w:val="28"/>
        </w:rPr>
        <w:t xml:space="preserve"> en el acta de audiencia respectiva</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CC1978" w:rsidRDefault="000431DD" w:rsidP="000431DD">
      <w:pPr>
        <w:pStyle w:val="Sinespaciado"/>
        <w:spacing w:line="276" w:lineRule="auto"/>
        <w:jc w:val="center"/>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386183" w:rsidRDefault="000431DD" w:rsidP="000431DD">
      <w:pPr>
        <w:pStyle w:val="Sinespaciado"/>
        <w:spacing w:line="276" w:lineRule="auto"/>
        <w:ind w:firstLine="709"/>
        <w:jc w:val="center"/>
        <w:rPr>
          <w:rFonts w:ascii="Arial Narrow" w:hAnsi="Arial Narrow"/>
          <w:color w:val="000000"/>
          <w:sz w:val="28"/>
          <w:szCs w:val="28"/>
        </w:rPr>
      </w:pPr>
    </w:p>
    <w:p w:rsidR="00EB0CD4" w:rsidRPr="00EB0CD4" w:rsidRDefault="000431DD" w:rsidP="00EB0CD4">
      <w:pPr>
        <w:pStyle w:val="Sinespaciado"/>
        <w:spacing w:line="360" w:lineRule="auto"/>
        <w:ind w:firstLine="709"/>
        <w:jc w:val="both"/>
        <w:rPr>
          <w:rFonts w:ascii="Arial Narrow" w:eastAsia="Arial Unicode MS" w:hAnsi="Arial Narrow" w:cs="Arial"/>
          <w:sz w:val="28"/>
          <w:szCs w:val="28"/>
        </w:rPr>
      </w:pPr>
      <w:r w:rsidRPr="00EB0CD4">
        <w:rPr>
          <w:rFonts w:ascii="Arial Narrow" w:hAnsi="Arial Narrow"/>
          <w:b/>
          <w:color w:val="000000"/>
          <w:sz w:val="28"/>
          <w:szCs w:val="28"/>
        </w:rPr>
        <w:t>PRIMERO.-</w:t>
      </w:r>
      <w:r w:rsidR="005D6984" w:rsidRPr="00EB0CD4">
        <w:rPr>
          <w:rFonts w:ascii="Arial Narrow" w:hAnsi="Arial Narrow"/>
          <w:color w:val="000000"/>
          <w:sz w:val="28"/>
          <w:szCs w:val="28"/>
        </w:rPr>
        <w:t xml:space="preserve"> Esta</w:t>
      </w:r>
      <w:r w:rsidRPr="00EB0CD4">
        <w:rPr>
          <w:rFonts w:ascii="Arial Narrow" w:hAnsi="Arial Narrow"/>
          <w:color w:val="000000"/>
          <w:sz w:val="28"/>
          <w:szCs w:val="28"/>
        </w:rPr>
        <w:t xml:space="preserve"> </w:t>
      </w:r>
      <w:r w:rsidR="00386183" w:rsidRPr="00EB0CD4">
        <w:rPr>
          <w:rFonts w:ascii="Arial Narrow" w:hAnsi="Arial Narrow"/>
          <w:color w:val="000000"/>
          <w:sz w:val="28"/>
          <w:szCs w:val="28"/>
        </w:rPr>
        <w:t>Primera</w:t>
      </w:r>
      <w:r w:rsidRPr="00EB0CD4">
        <w:rPr>
          <w:rFonts w:ascii="Arial Narrow" w:hAnsi="Arial Narrow"/>
          <w:color w:val="000000"/>
          <w:sz w:val="28"/>
          <w:szCs w:val="28"/>
        </w:rPr>
        <w:t xml:space="preserve"> Sala Unitaria del Tribunal Estatal de Justici</w:t>
      </w:r>
      <w:r w:rsidR="005D6984" w:rsidRPr="00EB0CD4">
        <w:rPr>
          <w:rFonts w:ascii="Arial Narrow" w:hAnsi="Arial Narrow"/>
          <w:color w:val="000000"/>
          <w:sz w:val="28"/>
          <w:szCs w:val="28"/>
        </w:rPr>
        <w:t>a Administrativa, es competente para</w:t>
      </w:r>
      <w:r w:rsidRPr="00EB0CD4">
        <w:rPr>
          <w:rFonts w:ascii="Arial Narrow" w:hAnsi="Arial Narrow"/>
          <w:color w:val="000000"/>
          <w:sz w:val="28"/>
          <w:szCs w:val="28"/>
        </w:rPr>
        <w:t xml:space="preserve"> conocer, substanciar y resolver </w:t>
      </w:r>
      <w:r w:rsidR="005D6984" w:rsidRPr="00EB0CD4">
        <w:rPr>
          <w:rFonts w:ascii="Arial Narrow" w:hAnsi="Arial Narrow"/>
          <w:color w:val="000000"/>
          <w:sz w:val="28"/>
          <w:szCs w:val="28"/>
        </w:rPr>
        <w:t xml:space="preserve">el presente juicio, </w:t>
      </w:r>
      <w:r w:rsidRPr="00EB0CD4">
        <w:rPr>
          <w:rFonts w:ascii="Arial Narrow" w:hAnsi="Arial Narrow"/>
          <w:color w:val="000000"/>
          <w:sz w:val="28"/>
          <w:szCs w:val="28"/>
        </w:rPr>
        <w:t xml:space="preserve">en términos de los artículos 123 de la Constitución Política del Estado de San Luis Potosí, y </w:t>
      </w:r>
      <w:r w:rsidR="00EB0CD4" w:rsidRPr="00EB0CD4">
        <w:rPr>
          <w:rFonts w:ascii="Arial Narrow" w:hAnsi="Arial Narrow" w:cs="Arial"/>
          <w:sz w:val="28"/>
          <w:szCs w:val="28"/>
        </w:rPr>
        <w:t>7º fracción II, 9º fracción III, 24, 25, 26, 28, 29, 30, 33, 34, 35, 36 y 37, de la Ley Orgánica del Tribunal Estatal de Justicia Administrativa de San Luis Potosí; y en el caso de este expediente, le compete conocer y resolver por tratarse de un juicio que se promueve contra un acto administrativo consistente en un acuerdo estatal de carácter general, diverso a los reglamentos, de carácter auto aplicativo, y tratarse de una controversia de carácter administrativa suscitada entre un particular y una autoridad de esta entidad federativa, donde se ejerce jurisdicción.</w:t>
      </w:r>
    </w:p>
    <w:p w:rsidR="00EB0CD4" w:rsidRPr="00EB0CD4" w:rsidRDefault="00EB0CD4" w:rsidP="00EB0CD4">
      <w:pPr>
        <w:spacing w:after="0" w:line="360" w:lineRule="auto"/>
        <w:jc w:val="both"/>
        <w:rPr>
          <w:rFonts w:ascii="Arial Narrow" w:hAnsi="Arial Narrow" w:cs="Arial"/>
          <w:sz w:val="28"/>
          <w:szCs w:val="28"/>
        </w:rPr>
      </w:pPr>
    </w:p>
    <w:p w:rsidR="00EB0CD4" w:rsidRPr="00EB0CD4" w:rsidRDefault="00EB0CD4" w:rsidP="00EB0CD4">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EB0CD4">
        <w:rPr>
          <w:rFonts w:ascii="Arial Narrow" w:hAnsi="Arial Narrow" w:cs="Arial"/>
          <w:b/>
          <w:sz w:val="28"/>
          <w:szCs w:val="28"/>
        </w:rPr>
        <w:t>SEGUNDO.-</w:t>
      </w:r>
      <w:r w:rsidRPr="00EB0CD4">
        <w:rPr>
          <w:rFonts w:ascii="Arial Narrow" w:hAnsi="Arial Narrow" w:cs="Arial"/>
          <w:sz w:val="28"/>
          <w:szCs w:val="28"/>
        </w:rPr>
        <w:t xml:space="preserve"> </w:t>
      </w:r>
      <w:r w:rsidRPr="00EB0CD4">
        <w:rPr>
          <w:rFonts w:ascii="Arial Narrow" w:eastAsia="Times New Roman" w:hAnsi="Arial Narrow" w:cs="Arial"/>
          <w:sz w:val="28"/>
          <w:szCs w:val="28"/>
          <w:lang w:eastAsia="es-ES"/>
        </w:rPr>
        <w:t xml:space="preserve">De acuerdo con lo que precisa el artículo 221 del Código Procesal Administrativo para el Estado, esta </w:t>
      </w:r>
      <w:r>
        <w:rPr>
          <w:rFonts w:ascii="Arial Narrow" w:eastAsia="Times New Roman" w:hAnsi="Arial Narrow" w:cs="Arial"/>
          <w:sz w:val="28"/>
          <w:szCs w:val="28"/>
          <w:lang w:eastAsia="es-ES"/>
        </w:rPr>
        <w:t xml:space="preserve">Primera </w:t>
      </w:r>
      <w:r w:rsidRPr="00EB0CD4">
        <w:rPr>
          <w:rFonts w:ascii="Arial Narrow" w:eastAsia="Times New Roman" w:hAnsi="Arial Narrow" w:cs="Arial"/>
          <w:sz w:val="28"/>
          <w:szCs w:val="28"/>
          <w:lang w:eastAsia="es-ES"/>
        </w:rPr>
        <w:t>Sala Unitaria procede a analizar la personalidad y legitimación de los comparecientes a este juicio.</w:t>
      </w:r>
    </w:p>
    <w:p w:rsidR="00EB0CD4" w:rsidRPr="00EB0CD4" w:rsidRDefault="00EB0CD4" w:rsidP="00EB0CD4">
      <w:pPr>
        <w:autoSpaceDE w:val="0"/>
        <w:autoSpaceDN w:val="0"/>
        <w:adjustRightInd w:val="0"/>
        <w:spacing w:after="0" w:line="360" w:lineRule="auto"/>
        <w:ind w:firstLine="709"/>
        <w:jc w:val="both"/>
        <w:rPr>
          <w:rFonts w:ascii="Arial Narrow" w:eastAsia="Times New Roman" w:hAnsi="Arial Narrow" w:cs="Arial"/>
          <w:sz w:val="28"/>
          <w:szCs w:val="28"/>
          <w:lang w:eastAsia="es-ES"/>
        </w:rPr>
      </w:pPr>
    </w:p>
    <w:p w:rsidR="00EB0CD4" w:rsidRPr="00EB0CD4" w:rsidRDefault="00EB0CD4" w:rsidP="00EB0CD4">
      <w:pPr>
        <w:spacing w:after="0" w:line="360" w:lineRule="auto"/>
        <w:ind w:firstLine="709"/>
        <w:jc w:val="both"/>
        <w:rPr>
          <w:rFonts w:ascii="Arial Narrow" w:hAnsi="Arial Narrow" w:cs="Arial"/>
          <w:sz w:val="28"/>
          <w:szCs w:val="28"/>
        </w:rPr>
      </w:pPr>
      <w:r w:rsidRPr="00EB0CD4">
        <w:rPr>
          <w:rFonts w:ascii="Arial Narrow" w:hAnsi="Arial Narrow" w:cs="Arial"/>
          <w:sz w:val="28"/>
          <w:szCs w:val="28"/>
        </w:rPr>
        <w:t>La parte actora compareció por derecho propio; por lo que su personalidad se encuentra acreditada en los términos de los artículos 180, párrafo primero, y 217, párrafo primero, del Código Procesal Administrativo para el Estado de San Luis Potosí.</w:t>
      </w:r>
    </w:p>
    <w:p w:rsidR="00EB0CD4" w:rsidRPr="00EB0CD4" w:rsidRDefault="00EB0CD4" w:rsidP="00EB0CD4">
      <w:pPr>
        <w:spacing w:after="0" w:line="360" w:lineRule="auto"/>
        <w:ind w:firstLine="709"/>
        <w:jc w:val="both"/>
        <w:rPr>
          <w:rFonts w:ascii="Arial Narrow" w:eastAsia="Arial Unicode MS" w:hAnsi="Arial Narrow" w:cs="Arial"/>
          <w:sz w:val="28"/>
          <w:szCs w:val="28"/>
        </w:rPr>
      </w:pPr>
    </w:p>
    <w:p w:rsidR="00EB0CD4" w:rsidRPr="00EB0CD4" w:rsidRDefault="00EB0CD4" w:rsidP="00EB0CD4">
      <w:pPr>
        <w:tabs>
          <w:tab w:val="left" w:pos="2835"/>
        </w:tabs>
        <w:spacing w:after="0" w:line="360" w:lineRule="auto"/>
        <w:ind w:firstLine="709"/>
        <w:jc w:val="both"/>
        <w:rPr>
          <w:rFonts w:ascii="Arial Narrow" w:hAnsi="Arial Narrow" w:cs="Arial"/>
          <w:sz w:val="28"/>
          <w:szCs w:val="28"/>
        </w:rPr>
      </w:pPr>
      <w:r w:rsidRPr="00EB0CD4">
        <w:rPr>
          <w:rFonts w:ascii="Arial Narrow" w:eastAsia="Times New Roman" w:hAnsi="Arial Narrow" w:cs="Arial"/>
          <w:sz w:val="28"/>
          <w:szCs w:val="28"/>
          <w:lang w:val="es-ES" w:eastAsia="es-ES"/>
        </w:rPr>
        <w:lastRenderedPageBreak/>
        <w:t>La personalidad y legitimidad de la autoridad demandada, quedó acreditada a través de la copia certificada de su nombramiento, que fue exhibido en este juicio y expedido a su favor, de conformidad con lo dispuesto por el artículo 220</w:t>
      </w:r>
      <w:r w:rsidRPr="00EB0CD4">
        <w:rPr>
          <w:rFonts w:ascii="Arial Narrow" w:hAnsi="Arial Narrow" w:cs="Arial"/>
          <w:sz w:val="28"/>
          <w:szCs w:val="28"/>
        </w:rPr>
        <w:t xml:space="preserve"> del Código Procesal Administrativo para el Estado.</w:t>
      </w:r>
    </w:p>
    <w:p w:rsidR="00EB0CD4" w:rsidRPr="00EB0CD4" w:rsidRDefault="00EB0CD4" w:rsidP="00EB0CD4">
      <w:pPr>
        <w:spacing w:after="0" w:line="360" w:lineRule="auto"/>
        <w:jc w:val="both"/>
        <w:rPr>
          <w:rFonts w:ascii="Arial Narrow" w:eastAsia="Arial Unicode MS" w:hAnsi="Arial Narrow" w:cs="Arial"/>
          <w:b/>
          <w:sz w:val="28"/>
          <w:szCs w:val="28"/>
        </w:rPr>
      </w:pPr>
    </w:p>
    <w:p w:rsidR="00EB0CD4" w:rsidRPr="00EB0CD4" w:rsidRDefault="00EB0CD4" w:rsidP="00EB0CD4">
      <w:pPr>
        <w:spacing w:after="0" w:line="360" w:lineRule="auto"/>
        <w:ind w:firstLine="709"/>
        <w:jc w:val="both"/>
        <w:rPr>
          <w:rFonts w:ascii="Arial Narrow" w:hAnsi="Arial Narrow" w:cs="Arial"/>
          <w:sz w:val="28"/>
          <w:szCs w:val="28"/>
        </w:rPr>
      </w:pPr>
      <w:r w:rsidRPr="00EB0CD4">
        <w:rPr>
          <w:rFonts w:ascii="Arial Narrow" w:eastAsia="Arial Unicode MS" w:hAnsi="Arial Narrow" w:cs="Arial"/>
          <w:b/>
          <w:sz w:val="28"/>
          <w:szCs w:val="28"/>
        </w:rPr>
        <w:t>TERCERO.-</w:t>
      </w:r>
      <w:r w:rsidRPr="00EB0CD4">
        <w:rPr>
          <w:rFonts w:ascii="Arial Narrow" w:eastAsia="Arial Unicode MS" w:hAnsi="Arial Narrow" w:cs="Arial"/>
          <w:sz w:val="28"/>
          <w:szCs w:val="28"/>
        </w:rPr>
        <w:t xml:space="preserve"> </w:t>
      </w:r>
      <w:r w:rsidRPr="00EB0CD4">
        <w:rPr>
          <w:rFonts w:ascii="Arial Narrow" w:hAnsi="Arial Narrow" w:cs="Arial"/>
          <w:sz w:val="28"/>
          <w:szCs w:val="28"/>
        </w:rPr>
        <w:t xml:space="preserve">La </w:t>
      </w:r>
      <w:proofErr w:type="spellStart"/>
      <w:r w:rsidRPr="00EB0CD4">
        <w:rPr>
          <w:rFonts w:ascii="Arial Narrow" w:hAnsi="Arial Narrow" w:cs="Arial"/>
          <w:sz w:val="28"/>
          <w:szCs w:val="28"/>
        </w:rPr>
        <w:t>litis</w:t>
      </w:r>
      <w:proofErr w:type="spellEnd"/>
      <w:r w:rsidRPr="00EB0CD4">
        <w:rPr>
          <w:rFonts w:ascii="Arial Narrow" w:hAnsi="Arial Narrow" w:cs="Arial"/>
          <w:sz w:val="28"/>
          <w:szCs w:val="28"/>
        </w:rPr>
        <w:t xml:space="preserve"> de la presente controversia consiste, según lo  señalado por la parte actora en su escrito inicial de demanda, en determinar la legalidad o ilegalidad del siguiente acto:</w:t>
      </w:r>
    </w:p>
    <w:p w:rsidR="00EB0CD4" w:rsidRPr="00EB0CD4" w:rsidRDefault="00EB0CD4" w:rsidP="00EB0CD4">
      <w:pPr>
        <w:spacing w:after="0" w:line="360" w:lineRule="auto"/>
        <w:ind w:firstLine="709"/>
        <w:jc w:val="both"/>
        <w:rPr>
          <w:rFonts w:ascii="Arial Narrow" w:hAnsi="Arial Narrow" w:cs="Arial"/>
          <w:sz w:val="28"/>
          <w:szCs w:val="28"/>
        </w:rPr>
      </w:pPr>
    </w:p>
    <w:p w:rsidR="00EB0CD4" w:rsidRPr="00EB0CD4" w:rsidRDefault="00EB0CD4" w:rsidP="00EB0CD4">
      <w:pPr>
        <w:spacing w:after="0" w:line="240" w:lineRule="auto"/>
        <w:ind w:left="567" w:right="618"/>
        <w:jc w:val="both"/>
        <w:rPr>
          <w:rFonts w:ascii="Arial Narrow" w:hAnsi="Arial Narrow" w:cs="Arial"/>
          <w:i/>
          <w:sz w:val="24"/>
          <w:szCs w:val="24"/>
        </w:rPr>
      </w:pPr>
      <w:r w:rsidRPr="00EB0CD4">
        <w:rPr>
          <w:rFonts w:ascii="Arial Narrow" w:hAnsi="Arial Narrow" w:cs="Arial"/>
          <w:i/>
          <w:sz w:val="24"/>
          <w:szCs w:val="24"/>
        </w:rPr>
        <w:t>IV. ACUERDO ADMINISTRATIVO QUE SE IMPUGNA. Se impugna el Acuerdo Administrativo por el que se convoca a todos los concesionarios y permisionarios del servicio público en el Estado, a la revista anual 2025 de las unidades destinadas a la prestación del servicio público de transporte, publicado en la edición extraordinaria del Periódico Oficial del Estado el 31 de marzo de 2025.</w:t>
      </w:r>
    </w:p>
    <w:p w:rsidR="00EB0CD4" w:rsidRPr="00EB0CD4" w:rsidRDefault="00EB0CD4" w:rsidP="00EB0CD4">
      <w:pPr>
        <w:spacing w:after="0" w:line="360" w:lineRule="auto"/>
        <w:ind w:firstLine="709"/>
        <w:jc w:val="both"/>
        <w:rPr>
          <w:rFonts w:ascii="Arial Narrow" w:hAnsi="Arial Narrow" w:cs="Arial"/>
          <w:i/>
          <w:sz w:val="24"/>
          <w:szCs w:val="24"/>
        </w:rPr>
      </w:pPr>
    </w:p>
    <w:p w:rsidR="00EB0CD4" w:rsidRPr="00D52353" w:rsidRDefault="00EB0CD4" w:rsidP="00EB0CD4">
      <w:pPr>
        <w:spacing w:after="0" w:line="360" w:lineRule="auto"/>
        <w:ind w:firstLine="709"/>
        <w:jc w:val="both"/>
        <w:rPr>
          <w:rFonts w:ascii="Arial" w:hAnsi="Arial" w:cs="Arial"/>
          <w:sz w:val="24"/>
          <w:szCs w:val="24"/>
        </w:rPr>
      </w:pPr>
    </w:p>
    <w:p w:rsidR="00EB0CD4" w:rsidRPr="00EB0CD4" w:rsidRDefault="00EB0CD4" w:rsidP="00EB0CD4">
      <w:pPr>
        <w:spacing w:after="0" w:line="360" w:lineRule="auto"/>
        <w:ind w:firstLine="709"/>
        <w:jc w:val="both"/>
        <w:rPr>
          <w:rFonts w:ascii="Arial Narrow" w:hAnsi="Arial Narrow" w:cs="Arial"/>
          <w:bCs/>
          <w:iCs/>
          <w:sz w:val="28"/>
          <w:szCs w:val="28"/>
        </w:rPr>
      </w:pPr>
      <w:r w:rsidRPr="00EB0CD4">
        <w:rPr>
          <w:rFonts w:ascii="Arial Narrow" w:eastAsia="Arial Unicode MS" w:hAnsi="Arial Narrow" w:cs="Arial"/>
          <w:b/>
          <w:sz w:val="28"/>
          <w:szCs w:val="28"/>
        </w:rPr>
        <w:t>CUARTO.-</w:t>
      </w:r>
      <w:r w:rsidRPr="00EB0CD4">
        <w:rPr>
          <w:rFonts w:ascii="Arial Narrow" w:eastAsia="Arial Unicode MS" w:hAnsi="Arial Narrow" w:cs="Arial"/>
          <w:sz w:val="28"/>
          <w:szCs w:val="28"/>
        </w:rPr>
        <w:t xml:space="preserve"> </w:t>
      </w:r>
      <w:r w:rsidRPr="00EB0CD4">
        <w:rPr>
          <w:rFonts w:ascii="Arial Narrow" w:hAnsi="Arial Narrow" w:cs="Arial"/>
          <w:sz w:val="28"/>
          <w:szCs w:val="28"/>
        </w:rPr>
        <w:t xml:space="preserve">Previo al examen de los conceptos de impugnación, esta Sala Unitaria analiza las causales de improcedencia y sobreseimiento, sea que las partes lo aleguen o no, en razón de que el estudio de las mismas es de orden público y preferente a las cuestiones de fondo de la contienda planteada, conforme a lo previsto en el último párrafo de los artículos, 228 y 229 del Código Procesal Administrativo para el Estado; habida cuenta que, </w:t>
      </w:r>
      <w:r w:rsidRPr="00EB0CD4">
        <w:rPr>
          <w:rFonts w:ascii="Arial Narrow" w:hAnsi="Arial Narrow" w:cs="Arial"/>
          <w:bCs/>
          <w:iCs/>
          <w:sz w:val="28"/>
          <w:szCs w:val="28"/>
        </w:rPr>
        <w:t>la improcedencia y sobreseimiento del juicio, se traduce en la imposibilidad jurídica de que este órgano jurisdiccional estudie y decida sobre el fondo de la controversia.</w:t>
      </w:r>
    </w:p>
    <w:p w:rsidR="00EB0CD4" w:rsidRPr="00EB0CD4" w:rsidRDefault="00EB0CD4" w:rsidP="00EB0CD4">
      <w:pPr>
        <w:spacing w:after="0" w:line="360" w:lineRule="auto"/>
        <w:ind w:firstLine="709"/>
        <w:jc w:val="both"/>
        <w:rPr>
          <w:rFonts w:ascii="Arial Narrow" w:hAnsi="Arial Narrow" w:cs="Arial"/>
          <w:sz w:val="28"/>
          <w:szCs w:val="28"/>
        </w:rPr>
      </w:pPr>
    </w:p>
    <w:p w:rsidR="00EB0CD4" w:rsidRPr="00EB0CD4" w:rsidRDefault="00EB0CD4" w:rsidP="00EB0CD4">
      <w:pPr>
        <w:spacing w:after="0" w:line="360" w:lineRule="auto"/>
        <w:ind w:firstLine="709"/>
        <w:jc w:val="both"/>
        <w:rPr>
          <w:rFonts w:ascii="Arial Narrow" w:hAnsi="Arial Narrow" w:cs="Arial"/>
          <w:sz w:val="28"/>
          <w:szCs w:val="28"/>
        </w:rPr>
      </w:pPr>
      <w:r w:rsidRPr="00EB0CD4">
        <w:rPr>
          <w:rFonts w:ascii="Arial Narrow" w:hAnsi="Arial Narrow" w:cs="Arial"/>
          <w:sz w:val="28"/>
          <w:szCs w:val="28"/>
        </w:rPr>
        <w:t xml:space="preserve">Es aplicable al efecto, la siguiente Tesis Aislada del Cuarto Tribunal Colegiado en Materia Administrativa del Primer Circuito, Registro 221332, Localización: Octava Época, Instancia: Tribunales Colegiados de Circuito, Fuente: Semanario Judicial de la Federación, VIII, Noviembre de 1991, Página: 185, Tesis Aislada, Materia(s): Administrativa, que dice: </w:t>
      </w:r>
    </w:p>
    <w:p w:rsidR="00EB0CD4" w:rsidRPr="00EB0CD4" w:rsidRDefault="00EB0CD4" w:rsidP="00EB0CD4">
      <w:pPr>
        <w:spacing w:after="0" w:line="240" w:lineRule="auto"/>
        <w:ind w:firstLine="709"/>
        <w:jc w:val="both"/>
        <w:rPr>
          <w:rFonts w:ascii="Arial Narrow" w:hAnsi="Arial Narrow" w:cs="Arial"/>
          <w:sz w:val="28"/>
          <w:szCs w:val="28"/>
        </w:rPr>
      </w:pPr>
    </w:p>
    <w:p w:rsidR="00EB0CD4" w:rsidRPr="00EB0CD4" w:rsidRDefault="00EB0CD4" w:rsidP="00EB0CD4">
      <w:pPr>
        <w:autoSpaceDE w:val="0"/>
        <w:autoSpaceDN w:val="0"/>
        <w:adjustRightInd w:val="0"/>
        <w:spacing w:after="0" w:line="240" w:lineRule="auto"/>
        <w:ind w:left="567" w:right="618"/>
        <w:jc w:val="both"/>
        <w:rPr>
          <w:rFonts w:ascii="Arial Narrow" w:hAnsi="Arial Narrow" w:cs="Arial"/>
          <w:bCs/>
        </w:rPr>
      </w:pPr>
      <w:r w:rsidRPr="00EB0CD4">
        <w:rPr>
          <w:rFonts w:ascii="Arial Narrow" w:hAnsi="Arial Narrow" w:cs="Arial"/>
          <w:b/>
          <w:bCs/>
        </w:rPr>
        <w:t>CONTENCIOSO ADMINISTRATIVO,</w:t>
      </w:r>
      <w:r w:rsidRPr="00EB0CD4">
        <w:rPr>
          <w:rFonts w:ascii="Arial Narrow" w:hAnsi="Arial Narrow" w:cs="Arial"/>
          <w:bCs/>
        </w:rPr>
        <w:t xml:space="preserve"> </w:t>
      </w:r>
      <w:r w:rsidRPr="00EB0CD4">
        <w:rPr>
          <w:rFonts w:ascii="Arial Narrow" w:hAnsi="Arial Narrow" w:cs="Arial"/>
          <w:b/>
          <w:bCs/>
        </w:rPr>
        <w:t>IMPROCEDENCIA</w:t>
      </w:r>
      <w:r w:rsidRPr="00EB0CD4">
        <w:rPr>
          <w:rFonts w:ascii="Arial Narrow" w:hAnsi="Arial Narrow" w:cs="Arial"/>
          <w:bCs/>
        </w:rPr>
        <w:t xml:space="preserve"> </w:t>
      </w:r>
      <w:r w:rsidRPr="00EB0CD4">
        <w:rPr>
          <w:rFonts w:ascii="Arial Narrow" w:hAnsi="Arial Narrow" w:cs="Arial"/>
          <w:b/>
          <w:bCs/>
        </w:rPr>
        <w:t>DEL JUICIO, ANTE EL TRIBUNAL FISCAL. CONCEPTO</w:t>
      </w:r>
      <w:r w:rsidRPr="00EB0CD4">
        <w:rPr>
          <w:rFonts w:ascii="Arial Narrow" w:hAnsi="Arial Narrow" w:cs="Arial"/>
          <w:bCs/>
        </w:rPr>
        <w:t xml:space="preserve"> </w:t>
      </w:r>
      <w:r w:rsidRPr="00EB0CD4">
        <w:rPr>
          <w:rFonts w:ascii="Arial Narrow" w:hAnsi="Arial Narrow" w:cs="Arial"/>
          <w:b/>
          <w:bCs/>
        </w:rPr>
        <w:t xml:space="preserve">JURIDICO.  </w:t>
      </w:r>
      <w:r w:rsidRPr="00EB0CD4">
        <w:rPr>
          <w:rFonts w:ascii="Arial Narrow" w:hAnsi="Arial Narrow" w:cs="Arial"/>
        </w:rPr>
        <w:t xml:space="preserve"> Las causas de improcedencia que determina la ley de la materia, ven o se refieren a la procedencia del juicio mismo, esto es, los motivos de improcedencia son en cuanto a que </w:t>
      </w:r>
      <w:r w:rsidRPr="00EB0CD4">
        <w:rPr>
          <w:rFonts w:ascii="Arial Narrow" w:hAnsi="Arial Narrow" w:cs="Arial"/>
          <w:bCs/>
          <w:iCs/>
        </w:rPr>
        <w:t>la acción en sí misma considerada no procede por las causas específicas consignadas en la ley;</w:t>
      </w:r>
      <w:r w:rsidRPr="00EB0CD4">
        <w:rPr>
          <w:rFonts w:ascii="Arial Narrow" w:hAnsi="Arial Narrow" w:cs="Arial"/>
        </w:rPr>
        <w:t xml:space="preserve"> es verdad que las causas de improcedencia dan lugar al </w:t>
      </w:r>
      <w:r w:rsidRPr="00EB0CD4">
        <w:rPr>
          <w:rFonts w:ascii="Arial Narrow" w:hAnsi="Arial Narrow" w:cs="Arial"/>
          <w:bCs/>
          <w:iCs/>
        </w:rPr>
        <w:t>sobreseimiento,</w:t>
      </w:r>
      <w:r w:rsidRPr="00EB0CD4">
        <w:rPr>
          <w:rFonts w:ascii="Arial Narrow" w:hAnsi="Arial Narrow" w:cs="Arial"/>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w:t>
      </w:r>
      <w:r w:rsidRPr="00EB0CD4">
        <w:rPr>
          <w:rFonts w:ascii="Arial Narrow" w:hAnsi="Arial Narrow" w:cs="Arial"/>
        </w:rPr>
        <w:lastRenderedPageBreak/>
        <w:t xml:space="preserve">lo que acontece en ese caso es que la actora por propia voluntad desiste de su acción y ello hace que se sobresea en el juicio, mas no significa que la acción en sí misma sea improcedente. Acorde con la doctrina, </w:t>
      </w:r>
      <w:r w:rsidRPr="00EB0CD4">
        <w:rPr>
          <w:rFonts w:ascii="Arial Narrow" w:hAnsi="Arial Narrow" w:cs="Arial"/>
          <w:bCs/>
          <w:iCs/>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EB0CD4">
        <w:rPr>
          <w:rFonts w:ascii="Arial Narrow" w:hAnsi="Arial Narrow" w:cs="Arial"/>
          <w:bCs/>
        </w:rPr>
        <w:t xml:space="preserve"> y principalmente </w:t>
      </w:r>
      <w:r w:rsidRPr="00EB0CD4">
        <w:rPr>
          <w:rFonts w:ascii="Arial Narrow" w:hAnsi="Arial Narrow" w:cs="Arial"/>
          <w:bCs/>
          <w:iCs/>
        </w:rPr>
        <w:t>por existir un impedimento</w:t>
      </w:r>
      <w:r w:rsidRPr="00EB0CD4">
        <w:rPr>
          <w:rFonts w:ascii="Arial Narrow" w:hAnsi="Arial Narrow" w:cs="Arial"/>
        </w:rPr>
        <w:t xml:space="preserve"> para que el órgano jurisdiccional competente analice y resuelva sobre la cuestión debatida. </w:t>
      </w:r>
      <w:r w:rsidRPr="00EB0CD4">
        <w:rPr>
          <w:rFonts w:ascii="Arial Narrow" w:hAnsi="Arial Narrow" w:cs="Arial"/>
          <w:bCs/>
          <w:iCs/>
        </w:rPr>
        <w:t>En resumen, la improcedencia de la acción se traduce en la imposibilidad jurídica de que el órgano jurisdiccional estudie y decida dicha cuestión, absteniéndose obligatoriamente a resolver sobre el fondo de la controversia</w:t>
      </w:r>
      <w:r w:rsidRPr="00EB0CD4">
        <w:rPr>
          <w:rFonts w:ascii="Arial Narrow" w:hAnsi="Arial Narrow" w:cs="Arial"/>
          <w:bCs/>
        </w:rPr>
        <w:t>.</w:t>
      </w:r>
    </w:p>
    <w:p w:rsidR="00EB0CD4" w:rsidRPr="00EB0CD4" w:rsidRDefault="00EB0CD4" w:rsidP="00EB0CD4">
      <w:pPr>
        <w:spacing w:after="0" w:line="360" w:lineRule="auto"/>
        <w:ind w:firstLine="709"/>
        <w:jc w:val="both"/>
        <w:rPr>
          <w:rFonts w:ascii="Arial Narrow" w:hAnsi="Arial Narrow" w:cs="Arial"/>
          <w:bCs/>
          <w:i/>
        </w:rPr>
      </w:pPr>
    </w:p>
    <w:p w:rsidR="00EB0CD4" w:rsidRPr="00EB0CD4" w:rsidRDefault="00EB0CD4" w:rsidP="00EB0CD4">
      <w:pPr>
        <w:spacing w:after="0" w:line="360" w:lineRule="auto"/>
        <w:ind w:firstLine="709"/>
        <w:jc w:val="both"/>
        <w:rPr>
          <w:rFonts w:ascii="Arial Narrow" w:hAnsi="Arial Narrow" w:cs="Arial"/>
          <w:sz w:val="28"/>
          <w:szCs w:val="28"/>
        </w:rPr>
      </w:pPr>
      <w:r w:rsidRPr="00EB0CD4">
        <w:rPr>
          <w:rFonts w:ascii="Arial Narrow" w:eastAsia="Arial Unicode MS" w:hAnsi="Arial Narrow" w:cs="Arial"/>
          <w:sz w:val="28"/>
          <w:szCs w:val="28"/>
        </w:rPr>
        <w:t xml:space="preserve">En ese tenor, </w:t>
      </w:r>
      <w:r w:rsidRPr="00EB0CD4">
        <w:rPr>
          <w:rFonts w:ascii="Arial Narrow" w:eastAsia="Times New Roman" w:hAnsi="Arial Narrow" w:cs="Arial"/>
          <w:sz w:val="28"/>
          <w:szCs w:val="28"/>
          <w:lang w:val="es-ES" w:eastAsia="es-ES"/>
        </w:rPr>
        <w:t xml:space="preserve">se advierte que la autoridad demandada, </w:t>
      </w:r>
      <w:r w:rsidRPr="00EB0CD4">
        <w:rPr>
          <w:rFonts w:ascii="Arial Narrow" w:hAnsi="Arial Narrow" w:cs="Arial"/>
          <w:sz w:val="28"/>
          <w:szCs w:val="28"/>
        </w:rPr>
        <w:t>Secretaría de Comunicaciones y Transportes del Estado,</w:t>
      </w:r>
      <w:r w:rsidRPr="00EB0CD4">
        <w:rPr>
          <w:rFonts w:ascii="Arial Narrow" w:eastAsia="Times New Roman" w:hAnsi="Arial Narrow" w:cs="Arial"/>
          <w:sz w:val="28"/>
          <w:szCs w:val="28"/>
          <w:lang w:val="es-ES" w:eastAsia="es-ES"/>
        </w:rPr>
        <w:t xml:space="preserve"> a</w:t>
      </w:r>
      <w:r w:rsidRPr="00EB0CD4">
        <w:rPr>
          <w:rFonts w:ascii="Arial Narrow" w:hAnsi="Arial Narrow" w:cs="Arial"/>
          <w:sz w:val="28"/>
          <w:szCs w:val="28"/>
        </w:rPr>
        <w:t>l producir su contestación, hizo valer la causal de improcedencia prevista en la fracción II del artículo 228 del Código Procesal Administrativo para el Estado de San Luis Potosí; la cual planteó en los siguientes términos:</w:t>
      </w:r>
    </w:p>
    <w:p w:rsidR="00EB0CD4" w:rsidRPr="00EB0CD4" w:rsidRDefault="00EB0CD4" w:rsidP="00EB0CD4">
      <w:pPr>
        <w:spacing w:after="0" w:line="360" w:lineRule="auto"/>
        <w:ind w:firstLine="709"/>
        <w:jc w:val="both"/>
        <w:rPr>
          <w:rFonts w:ascii="Arial Narrow" w:hAnsi="Arial Narrow" w:cs="Arial"/>
          <w:sz w:val="28"/>
          <w:szCs w:val="28"/>
        </w:rPr>
      </w:pPr>
    </w:p>
    <w:p w:rsidR="00EB0CD4" w:rsidRPr="00E3367C" w:rsidRDefault="00A235D4" w:rsidP="00EB0CD4">
      <w:pPr>
        <w:spacing w:after="0" w:line="240" w:lineRule="auto"/>
        <w:ind w:left="567" w:right="618"/>
        <w:jc w:val="both"/>
        <w:rPr>
          <w:rFonts w:ascii="Arial Narrow" w:hAnsi="Arial Narrow" w:cs="Arial"/>
          <w:i/>
          <w:sz w:val="24"/>
          <w:szCs w:val="24"/>
        </w:rPr>
      </w:pPr>
      <w:r w:rsidRPr="00E3367C">
        <w:rPr>
          <w:rFonts w:ascii="Arial Narrow" w:hAnsi="Arial Narrow" w:cs="Arial"/>
          <w:i/>
          <w:sz w:val="24"/>
          <w:szCs w:val="24"/>
        </w:rPr>
        <w:t>“…</w:t>
      </w:r>
      <w:r w:rsidR="00EB0CD4" w:rsidRPr="00E3367C">
        <w:rPr>
          <w:rFonts w:ascii="Arial Narrow" w:hAnsi="Arial Narrow" w:cs="Arial"/>
          <w:i/>
          <w:sz w:val="24"/>
          <w:szCs w:val="24"/>
        </w:rPr>
        <w:t>En el caso que nos ocupa, se actualiza la causa de improcedencia a que refiere el artículo 228 fracción II del Código Procesal Administrativo para el Estado de San Luis Potosí.</w:t>
      </w:r>
    </w:p>
    <w:p w:rsidR="00EB0CD4" w:rsidRPr="00E3367C" w:rsidRDefault="00EB0CD4" w:rsidP="00EB0CD4">
      <w:pPr>
        <w:spacing w:after="0" w:line="240" w:lineRule="auto"/>
        <w:ind w:left="567" w:right="618"/>
        <w:jc w:val="both"/>
        <w:rPr>
          <w:rFonts w:ascii="Arial Narrow" w:hAnsi="Arial Narrow" w:cs="Arial"/>
          <w:i/>
          <w:sz w:val="24"/>
          <w:szCs w:val="24"/>
        </w:rPr>
      </w:pPr>
    </w:p>
    <w:p w:rsidR="00EB0CD4" w:rsidRPr="00E3367C" w:rsidRDefault="00EB0CD4" w:rsidP="00EB0CD4">
      <w:pPr>
        <w:spacing w:after="0" w:line="240" w:lineRule="auto"/>
        <w:ind w:left="567" w:right="618"/>
        <w:jc w:val="both"/>
        <w:rPr>
          <w:rFonts w:ascii="Arial Narrow" w:hAnsi="Arial Narrow" w:cs="Arial"/>
          <w:i/>
          <w:sz w:val="24"/>
          <w:szCs w:val="24"/>
        </w:rPr>
      </w:pPr>
      <w:r w:rsidRPr="00E3367C">
        <w:rPr>
          <w:rFonts w:ascii="Arial Narrow" w:hAnsi="Arial Narrow" w:cs="Arial"/>
          <w:i/>
          <w:sz w:val="24"/>
          <w:szCs w:val="24"/>
        </w:rPr>
        <w:t>Lo anterior es así, pues como se manifestó en el oficio</w:t>
      </w:r>
      <w:r w:rsidR="00B85AD1">
        <w:rPr>
          <w:rFonts w:ascii="Arial Narrow" w:hAnsi="Arial Narrow"/>
          <w:color w:val="FF0000"/>
          <w:sz w:val="28"/>
          <w:szCs w:val="28"/>
        </w:rPr>
        <w:t>**********</w:t>
      </w:r>
      <w:r w:rsidRPr="00E3367C">
        <w:rPr>
          <w:rFonts w:ascii="Arial Narrow" w:hAnsi="Arial Narrow" w:cs="Arial"/>
          <w:i/>
          <w:sz w:val="24"/>
          <w:szCs w:val="24"/>
        </w:rPr>
        <w:t xml:space="preserve">, recibido por ese H. Tribunal el </w:t>
      </w:r>
      <w:r w:rsidR="00A235D4" w:rsidRPr="00E3367C">
        <w:rPr>
          <w:rFonts w:ascii="Arial Narrow" w:hAnsi="Arial Narrow" w:cs="Arial"/>
          <w:i/>
          <w:sz w:val="24"/>
          <w:szCs w:val="24"/>
        </w:rPr>
        <w:t>23</w:t>
      </w:r>
      <w:r w:rsidRPr="00E3367C">
        <w:rPr>
          <w:rFonts w:ascii="Arial Narrow" w:hAnsi="Arial Narrow" w:cs="Arial"/>
          <w:i/>
          <w:sz w:val="24"/>
          <w:szCs w:val="24"/>
        </w:rPr>
        <w:t xml:space="preserve"> de junio de 2025, por el que se interpuso recurso de reclamación, toda vez que el actor no acredita la procedencia de su demanda ni su afectación, ya que no aporta documento idóneo que acredite haber participado en las etapas de revista 2025 o haya afectado sus derechos con el acto de autoridad impugnado.</w:t>
      </w:r>
    </w:p>
    <w:p w:rsidR="00EB0CD4" w:rsidRPr="00E3367C" w:rsidRDefault="00EB0CD4" w:rsidP="00EB0CD4">
      <w:pPr>
        <w:spacing w:after="0" w:line="240" w:lineRule="auto"/>
        <w:ind w:left="567" w:right="618"/>
        <w:jc w:val="both"/>
        <w:rPr>
          <w:rFonts w:ascii="Arial Narrow" w:hAnsi="Arial Narrow" w:cs="Arial"/>
          <w:i/>
          <w:sz w:val="24"/>
          <w:szCs w:val="24"/>
        </w:rPr>
      </w:pPr>
    </w:p>
    <w:p w:rsidR="00EB0CD4" w:rsidRPr="00A235D4" w:rsidRDefault="00EB0CD4" w:rsidP="00EB0CD4">
      <w:pPr>
        <w:spacing w:after="0" w:line="240" w:lineRule="auto"/>
        <w:ind w:left="567" w:right="618"/>
        <w:jc w:val="both"/>
        <w:rPr>
          <w:rFonts w:ascii="Arial Narrow" w:eastAsia="Arial Unicode MS" w:hAnsi="Arial Narrow" w:cs="Arial"/>
          <w:i/>
          <w:sz w:val="24"/>
          <w:szCs w:val="24"/>
        </w:rPr>
      </w:pPr>
      <w:r w:rsidRPr="00E3367C">
        <w:rPr>
          <w:rFonts w:ascii="Arial Narrow" w:hAnsi="Arial Narrow" w:cs="Arial"/>
          <w:i/>
          <w:sz w:val="24"/>
          <w:szCs w:val="24"/>
        </w:rPr>
        <w:t>En virtud de lo anterior, en el juicio que nos ocupa, se actualiza la causa de sobreseimiento a que refiere el artículo 229 fracción II y, al sobrevenir la causa de improcedencia prevista por el artículo 228 fracción II, disposición legal del Código Procesal Administrativo para el Estado de San Luis Potosí […]</w:t>
      </w:r>
      <w:r w:rsidR="00A235D4" w:rsidRPr="00E3367C">
        <w:rPr>
          <w:rFonts w:ascii="Arial Narrow" w:hAnsi="Arial Narrow" w:cs="Arial"/>
          <w:i/>
          <w:sz w:val="24"/>
          <w:szCs w:val="24"/>
        </w:rPr>
        <w:t>”</w:t>
      </w:r>
    </w:p>
    <w:p w:rsidR="00EB0CD4" w:rsidRPr="00D52353" w:rsidRDefault="00EB0CD4" w:rsidP="00EB0CD4">
      <w:pPr>
        <w:spacing w:after="0" w:line="360" w:lineRule="auto"/>
        <w:ind w:firstLine="708"/>
        <w:jc w:val="both"/>
        <w:rPr>
          <w:rFonts w:ascii="Arial" w:eastAsia="Arial Unicode MS" w:hAnsi="Arial" w:cs="Arial"/>
          <w:sz w:val="24"/>
          <w:szCs w:val="24"/>
        </w:rPr>
      </w:pPr>
    </w:p>
    <w:p w:rsidR="00EB0CD4" w:rsidRDefault="00EB0CD4" w:rsidP="00EB0CD4">
      <w:pPr>
        <w:spacing w:after="0" w:line="360" w:lineRule="auto"/>
        <w:ind w:firstLine="709"/>
        <w:jc w:val="both"/>
        <w:rPr>
          <w:rFonts w:ascii="Arial" w:eastAsia="Arial Unicode MS" w:hAnsi="Arial" w:cs="Arial"/>
          <w:sz w:val="24"/>
          <w:szCs w:val="24"/>
        </w:rPr>
      </w:pPr>
    </w:p>
    <w:p w:rsidR="00EB0CD4" w:rsidRPr="00EB0CD4" w:rsidRDefault="00EB0CD4" w:rsidP="00EB0CD4">
      <w:pPr>
        <w:spacing w:after="0" w:line="360" w:lineRule="auto"/>
        <w:ind w:firstLine="709"/>
        <w:jc w:val="both"/>
        <w:rPr>
          <w:rFonts w:ascii="Arial Narrow" w:eastAsia="Arial Unicode MS" w:hAnsi="Arial Narrow" w:cs="Arial"/>
          <w:sz w:val="28"/>
          <w:szCs w:val="28"/>
        </w:rPr>
      </w:pPr>
      <w:r w:rsidRPr="00EB0CD4">
        <w:rPr>
          <w:rFonts w:ascii="Arial Narrow" w:eastAsia="Arial Unicode MS" w:hAnsi="Arial Narrow" w:cs="Arial"/>
          <w:sz w:val="28"/>
          <w:szCs w:val="28"/>
        </w:rPr>
        <w:t xml:space="preserve">A juicio de </w:t>
      </w:r>
      <w:r>
        <w:rPr>
          <w:rFonts w:ascii="Arial Narrow" w:eastAsia="Arial Unicode MS" w:hAnsi="Arial Narrow" w:cs="Arial"/>
          <w:sz w:val="28"/>
          <w:szCs w:val="28"/>
        </w:rPr>
        <w:t>la Magistrada Titular de esta Prim</w:t>
      </w:r>
      <w:r w:rsidRPr="00EB0CD4">
        <w:rPr>
          <w:rFonts w:ascii="Arial Narrow" w:eastAsia="Arial Unicode MS" w:hAnsi="Arial Narrow" w:cs="Arial"/>
          <w:sz w:val="28"/>
          <w:szCs w:val="28"/>
        </w:rPr>
        <w:t>era Sala Unitaria, en el caso que nos ocupa, resulta procedente la causal de improcedencia invocada por la autoridad demandada, en la que, en lo substancial, se argumenta que la parte actora no reciente afectación alguna con la emisión del acto impugnado, ni acredita de manera plena el interés jurídico o legítimo para demandar, por lo que al no haber afectación real, presente y directa a los intereses de la actora, en función del Acuerdo Administrativo impugnado, no le causa agravio alguno.</w:t>
      </w:r>
    </w:p>
    <w:p w:rsidR="00EB0CD4" w:rsidRPr="00EB0CD4" w:rsidRDefault="00EB0CD4" w:rsidP="00EB0CD4">
      <w:pPr>
        <w:spacing w:after="0" w:line="360" w:lineRule="auto"/>
        <w:ind w:firstLine="709"/>
        <w:jc w:val="both"/>
        <w:rPr>
          <w:rFonts w:ascii="Arial Narrow" w:hAnsi="Arial Narrow" w:cs="Arial"/>
          <w:sz w:val="28"/>
          <w:szCs w:val="28"/>
        </w:rPr>
      </w:pPr>
    </w:p>
    <w:p w:rsidR="00EB0CD4" w:rsidRPr="00EB0CD4" w:rsidRDefault="00EB0CD4" w:rsidP="00EB0CD4">
      <w:pPr>
        <w:spacing w:after="0" w:line="360" w:lineRule="auto"/>
        <w:ind w:firstLine="709"/>
        <w:jc w:val="both"/>
        <w:rPr>
          <w:rFonts w:ascii="Arial Narrow" w:hAnsi="Arial Narrow" w:cs="Arial"/>
          <w:sz w:val="28"/>
          <w:szCs w:val="28"/>
        </w:rPr>
      </w:pPr>
      <w:r w:rsidRPr="00EB0CD4">
        <w:rPr>
          <w:rFonts w:ascii="Arial Narrow" w:hAnsi="Arial Narrow" w:cs="Arial"/>
          <w:sz w:val="28"/>
          <w:szCs w:val="28"/>
        </w:rPr>
        <w:t xml:space="preserve">Lo argumentado por la autoridad demandada, se traduce en la causal de improcedencia prevista en el artículo 228, fracción II, del Código Procesal Administrativo para el Estado de San Luis Potosí, que se refiere a la </w:t>
      </w:r>
      <w:r w:rsidRPr="00EB0CD4">
        <w:rPr>
          <w:rFonts w:ascii="Arial Narrow" w:hAnsi="Arial Narrow" w:cs="Arial"/>
          <w:sz w:val="28"/>
          <w:szCs w:val="28"/>
        </w:rPr>
        <w:lastRenderedPageBreak/>
        <w:t>improcedencia del Juicio Contencioso Administrativo en contra de actos que no afecten los intereses jurídicos o legítimos del actor; en el caso concreto, de acuerdo a lo argumentado por la autoridad demandada, porque no se acreditó el interés legítimo que invocó la parte actora para acudir a juicio, ni tampoco se acreditó la afectación real, presente y directa a los intereses de la actora.</w:t>
      </w:r>
    </w:p>
    <w:p w:rsidR="00EB0CD4" w:rsidRPr="00EB0CD4" w:rsidRDefault="00EB0CD4" w:rsidP="00EB0CD4">
      <w:pPr>
        <w:spacing w:after="0" w:line="360" w:lineRule="auto"/>
        <w:ind w:firstLine="709"/>
        <w:jc w:val="both"/>
        <w:rPr>
          <w:rFonts w:ascii="Arial Narrow" w:hAnsi="Arial Narrow" w:cs="Arial"/>
          <w:sz w:val="28"/>
          <w:szCs w:val="28"/>
        </w:rPr>
      </w:pPr>
    </w:p>
    <w:p w:rsidR="00EB0CD4" w:rsidRPr="00EB0CD4" w:rsidRDefault="00EB0CD4" w:rsidP="00EB0CD4">
      <w:pPr>
        <w:spacing w:after="0" w:line="360" w:lineRule="auto"/>
        <w:ind w:firstLine="709"/>
        <w:jc w:val="both"/>
        <w:rPr>
          <w:rFonts w:ascii="Arial Narrow" w:hAnsi="Arial Narrow" w:cs="Arial"/>
          <w:sz w:val="28"/>
          <w:szCs w:val="28"/>
        </w:rPr>
      </w:pPr>
      <w:r w:rsidRPr="00EB0CD4">
        <w:rPr>
          <w:rFonts w:ascii="Arial Narrow" w:hAnsi="Arial Narrow" w:cs="Arial"/>
          <w:sz w:val="28"/>
          <w:szCs w:val="28"/>
        </w:rPr>
        <w:t>El artículo</w:t>
      </w:r>
      <w:r>
        <w:rPr>
          <w:rFonts w:ascii="Arial Narrow" w:hAnsi="Arial Narrow" w:cs="Arial"/>
          <w:sz w:val="28"/>
          <w:szCs w:val="28"/>
        </w:rPr>
        <w:t xml:space="preserve"> </w:t>
      </w:r>
      <w:r w:rsidRPr="00EB0CD4">
        <w:rPr>
          <w:rFonts w:ascii="Arial Narrow" w:hAnsi="Arial Narrow" w:cs="Arial"/>
          <w:sz w:val="28"/>
          <w:szCs w:val="28"/>
        </w:rPr>
        <w:t>228, fracción I, del Código Procesal Administrativo para el Estado de San Luis Potosí, dispone lo siguiente:</w:t>
      </w:r>
    </w:p>
    <w:p w:rsidR="00EB0CD4" w:rsidRDefault="00EB0CD4" w:rsidP="00EB0CD4">
      <w:pPr>
        <w:spacing w:after="0" w:line="360" w:lineRule="auto"/>
        <w:ind w:firstLine="709"/>
        <w:jc w:val="both"/>
        <w:rPr>
          <w:rFonts w:ascii="Arial" w:hAnsi="Arial" w:cs="Arial"/>
          <w:sz w:val="24"/>
          <w:szCs w:val="24"/>
        </w:rPr>
      </w:pPr>
    </w:p>
    <w:p w:rsidR="00EB0CD4" w:rsidRPr="00EB0CD4" w:rsidRDefault="00EB0CD4" w:rsidP="00EB0CD4">
      <w:pPr>
        <w:spacing w:after="0" w:line="240" w:lineRule="auto"/>
        <w:ind w:left="567" w:right="618"/>
        <w:jc w:val="both"/>
        <w:rPr>
          <w:rFonts w:ascii="Arial Narrow" w:hAnsi="Arial Narrow" w:cs="Arial"/>
          <w:i/>
          <w:sz w:val="24"/>
          <w:szCs w:val="24"/>
        </w:rPr>
      </w:pPr>
      <w:r w:rsidRPr="00EB0CD4">
        <w:rPr>
          <w:rFonts w:ascii="Arial Narrow" w:hAnsi="Arial Narrow" w:cs="Arial"/>
          <w:b/>
          <w:i/>
          <w:sz w:val="24"/>
          <w:szCs w:val="24"/>
        </w:rPr>
        <w:t>ARTÍCULO 228.</w:t>
      </w:r>
      <w:r w:rsidRPr="00EB0CD4">
        <w:rPr>
          <w:rFonts w:ascii="Arial Narrow" w:hAnsi="Arial Narrow" w:cs="Arial"/>
          <w:i/>
          <w:sz w:val="24"/>
          <w:szCs w:val="24"/>
        </w:rPr>
        <w:t xml:space="preserve"> Es improcedente el juicio ante el Tribunal contra actos:</w:t>
      </w:r>
    </w:p>
    <w:p w:rsidR="00EB0CD4" w:rsidRPr="00EB0CD4" w:rsidRDefault="00EB0CD4" w:rsidP="00EB0CD4">
      <w:pPr>
        <w:spacing w:after="0" w:line="240" w:lineRule="auto"/>
        <w:ind w:left="567" w:right="618"/>
        <w:jc w:val="both"/>
        <w:rPr>
          <w:rFonts w:ascii="Arial Narrow" w:hAnsi="Arial Narrow" w:cs="Arial"/>
          <w:i/>
          <w:sz w:val="24"/>
          <w:szCs w:val="24"/>
        </w:rPr>
      </w:pPr>
    </w:p>
    <w:p w:rsidR="00EB0CD4" w:rsidRPr="00EB0CD4" w:rsidRDefault="00EB0CD4" w:rsidP="00EB0CD4">
      <w:pPr>
        <w:spacing w:after="0" w:line="240" w:lineRule="auto"/>
        <w:ind w:left="567" w:right="618"/>
        <w:jc w:val="both"/>
        <w:rPr>
          <w:rFonts w:ascii="Arial Narrow" w:hAnsi="Arial Narrow" w:cs="Arial"/>
          <w:i/>
          <w:sz w:val="24"/>
          <w:szCs w:val="24"/>
        </w:rPr>
      </w:pPr>
      <w:r w:rsidRPr="00EB0CD4">
        <w:rPr>
          <w:rFonts w:ascii="Arial Narrow" w:hAnsi="Arial Narrow" w:cs="Arial"/>
          <w:i/>
          <w:sz w:val="24"/>
          <w:szCs w:val="24"/>
        </w:rPr>
        <w:t>[…]</w:t>
      </w:r>
    </w:p>
    <w:p w:rsidR="00EB0CD4" w:rsidRPr="00EB0CD4" w:rsidRDefault="00EB0CD4" w:rsidP="00EB0CD4">
      <w:pPr>
        <w:spacing w:after="0" w:line="240" w:lineRule="auto"/>
        <w:ind w:left="567" w:right="618"/>
        <w:jc w:val="both"/>
        <w:rPr>
          <w:rFonts w:ascii="Arial Narrow" w:hAnsi="Arial Narrow" w:cs="Arial"/>
          <w:i/>
          <w:sz w:val="24"/>
          <w:szCs w:val="24"/>
        </w:rPr>
      </w:pPr>
    </w:p>
    <w:p w:rsidR="00EB0CD4" w:rsidRPr="00EB0CD4" w:rsidRDefault="00EB0CD4" w:rsidP="00EB0CD4">
      <w:pPr>
        <w:spacing w:after="0" w:line="240" w:lineRule="auto"/>
        <w:ind w:left="567" w:right="618"/>
        <w:jc w:val="both"/>
        <w:rPr>
          <w:rFonts w:ascii="Arial Narrow" w:hAnsi="Arial Narrow" w:cs="Arial"/>
          <w:i/>
          <w:sz w:val="24"/>
          <w:szCs w:val="24"/>
        </w:rPr>
      </w:pPr>
      <w:r w:rsidRPr="00EB0CD4">
        <w:rPr>
          <w:rFonts w:ascii="Arial Narrow" w:hAnsi="Arial Narrow" w:cs="Arial"/>
          <w:b/>
          <w:i/>
          <w:sz w:val="24"/>
          <w:szCs w:val="24"/>
        </w:rPr>
        <w:t>II.</w:t>
      </w:r>
      <w:r w:rsidRPr="00EB0CD4">
        <w:rPr>
          <w:rFonts w:ascii="Arial Narrow" w:hAnsi="Arial Narrow" w:cs="Arial"/>
          <w:i/>
          <w:sz w:val="24"/>
          <w:szCs w:val="24"/>
        </w:rPr>
        <w:t xml:space="preserve"> Que no afecten los intereses jurídicos o legítimos del actor;</w:t>
      </w:r>
    </w:p>
    <w:p w:rsidR="00EB0CD4" w:rsidRPr="00EB0CD4" w:rsidRDefault="00EB0CD4" w:rsidP="00EB0CD4">
      <w:pPr>
        <w:spacing w:after="0" w:line="240" w:lineRule="auto"/>
        <w:ind w:left="567" w:right="618"/>
        <w:jc w:val="both"/>
        <w:rPr>
          <w:rFonts w:ascii="Arial Narrow" w:hAnsi="Arial Narrow" w:cs="Arial"/>
          <w:i/>
          <w:sz w:val="24"/>
          <w:szCs w:val="24"/>
        </w:rPr>
      </w:pPr>
    </w:p>
    <w:p w:rsidR="00EB0CD4" w:rsidRPr="00EB0CD4" w:rsidRDefault="00EB0CD4" w:rsidP="00EB0CD4">
      <w:pPr>
        <w:spacing w:after="0" w:line="240" w:lineRule="auto"/>
        <w:ind w:left="567" w:right="618"/>
        <w:jc w:val="both"/>
        <w:rPr>
          <w:rFonts w:ascii="Arial Narrow" w:hAnsi="Arial Narrow" w:cs="Arial"/>
          <w:i/>
          <w:sz w:val="24"/>
          <w:szCs w:val="24"/>
        </w:rPr>
      </w:pPr>
      <w:r w:rsidRPr="00EB0CD4">
        <w:rPr>
          <w:rFonts w:ascii="Arial Narrow" w:hAnsi="Arial Narrow" w:cs="Arial"/>
          <w:i/>
          <w:sz w:val="24"/>
          <w:szCs w:val="24"/>
        </w:rPr>
        <w:t>[…]</w:t>
      </w:r>
    </w:p>
    <w:p w:rsidR="00EB0CD4" w:rsidRPr="00EB0CD4" w:rsidRDefault="00EB0CD4" w:rsidP="00EB0CD4">
      <w:pPr>
        <w:spacing w:after="0" w:line="360" w:lineRule="auto"/>
        <w:ind w:firstLine="709"/>
        <w:jc w:val="both"/>
        <w:rPr>
          <w:rFonts w:ascii="Arial Narrow" w:eastAsia="Arial Unicode MS" w:hAnsi="Arial Narrow" w:cs="Arial"/>
          <w:i/>
          <w:sz w:val="24"/>
          <w:szCs w:val="24"/>
        </w:rPr>
      </w:pPr>
    </w:p>
    <w:p w:rsidR="00EB0CD4" w:rsidRDefault="00EB0CD4" w:rsidP="00EB0CD4">
      <w:pPr>
        <w:spacing w:after="0" w:line="360" w:lineRule="auto"/>
        <w:ind w:firstLine="709"/>
        <w:jc w:val="both"/>
        <w:rPr>
          <w:rFonts w:ascii="Arial" w:eastAsia="Arial Unicode MS" w:hAnsi="Arial" w:cs="Arial"/>
          <w:sz w:val="24"/>
          <w:szCs w:val="24"/>
        </w:rPr>
      </w:pPr>
    </w:p>
    <w:p w:rsidR="00EB0CD4" w:rsidRPr="00EB0CD4" w:rsidRDefault="00EB0CD4" w:rsidP="00EB0CD4">
      <w:pPr>
        <w:spacing w:after="0" w:line="360" w:lineRule="auto"/>
        <w:ind w:firstLine="709"/>
        <w:jc w:val="both"/>
        <w:rPr>
          <w:rFonts w:ascii="Arial Narrow" w:hAnsi="Arial Narrow" w:cs="Arial"/>
          <w:sz w:val="28"/>
          <w:szCs w:val="28"/>
        </w:rPr>
      </w:pPr>
      <w:r w:rsidRPr="00EB0CD4">
        <w:rPr>
          <w:rFonts w:ascii="Arial Narrow" w:hAnsi="Arial Narrow" w:cs="Arial"/>
          <w:sz w:val="28"/>
          <w:szCs w:val="28"/>
        </w:rPr>
        <w:t>El interés jurídico consiste en un derecho subjetivo público, es decir, la facultad o potestad de exigencia, cuya institución consigna la norma objetiva del derecho; por su parte, el interés legítimo es aquel cualificado que tiene un ciudadano sobre la legalidad de los actos que incidan, directa o indirectamente, en su esfera jurídica, respecto de una situación de hecho, siempre y cuando ésta se encuentre tutelada o protegida por el orden jurídico.</w:t>
      </w:r>
    </w:p>
    <w:p w:rsidR="00EB0CD4" w:rsidRPr="00EB0CD4" w:rsidRDefault="00EB0CD4" w:rsidP="00EB0CD4">
      <w:pPr>
        <w:spacing w:after="0" w:line="360" w:lineRule="auto"/>
        <w:ind w:firstLine="709"/>
        <w:jc w:val="both"/>
        <w:rPr>
          <w:rFonts w:ascii="Arial Narrow" w:eastAsia="Arial Unicode MS" w:hAnsi="Arial Narrow" w:cs="Arial"/>
          <w:sz w:val="28"/>
          <w:szCs w:val="28"/>
        </w:rPr>
      </w:pPr>
    </w:p>
    <w:p w:rsidR="00EB0CD4" w:rsidRPr="00EB0CD4" w:rsidRDefault="00EB0CD4" w:rsidP="00EB0CD4">
      <w:pPr>
        <w:spacing w:after="0" w:line="360" w:lineRule="auto"/>
        <w:ind w:firstLine="709"/>
        <w:jc w:val="both"/>
        <w:rPr>
          <w:rFonts w:ascii="Arial Narrow" w:eastAsia="Arial Unicode MS" w:hAnsi="Arial Narrow" w:cs="Arial"/>
          <w:sz w:val="28"/>
          <w:szCs w:val="28"/>
        </w:rPr>
      </w:pPr>
      <w:r w:rsidRPr="00EB0CD4">
        <w:rPr>
          <w:rFonts w:ascii="Arial Narrow" w:eastAsia="Arial Unicode MS" w:hAnsi="Arial Narrow" w:cs="Arial"/>
          <w:sz w:val="28"/>
          <w:szCs w:val="28"/>
        </w:rPr>
        <w:t xml:space="preserve">Conforme al dispositivo legal citado, la causal de improcedencia invocada alude tanto al interés jurídico como al interés legítimo; sin embargo, en atención y estricto respeto a la </w:t>
      </w:r>
      <w:proofErr w:type="spellStart"/>
      <w:r w:rsidRPr="00EB0CD4">
        <w:rPr>
          <w:rFonts w:ascii="Arial Narrow" w:eastAsia="Arial Unicode MS" w:hAnsi="Arial Narrow" w:cs="Arial"/>
          <w:sz w:val="28"/>
          <w:szCs w:val="28"/>
        </w:rPr>
        <w:t>litis</w:t>
      </w:r>
      <w:proofErr w:type="spellEnd"/>
      <w:r w:rsidRPr="00EB0CD4">
        <w:rPr>
          <w:rFonts w:ascii="Arial Narrow" w:eastAsia="Arial Unicode MS" w:hAnsi="Arial Narrow" w:cs="Arial"/>
          <w:sz w:val="28"/>
          <w:szCs w:val="28"/>
        </w:rPr>
        <w:t xml:space="preserve"> planteada, el análisis de la causal de improcedencia se concreta al interés legítimo, habida cuenta de que, la accionante acudió a Juicio Contencioso Administrativo al amparo de la figura de interés legítimo, que establece el artículo 231 del Código Procesal Administrativo para el Estado de San Luis Potosí, según se desprende del propio escrito de demanda.</w:t>
      </w:r>
    </w:p>
    <w:p w:rsidR="00EB0CD4" w:rsidRPr="00EB0CD4" w:rsidRDefault="00EB0CD4" w:rsidP="00EB0CD4">
      <w:pPr>
        <w:spacing w:after="0" w:line="360" w:lineRule="auto"/>
        <w:ind w:firstLine="709"/>
        <w:jc w:val="both"/>
        <w:rPr>
          <w:rFonts w:ascii="Arial Narrow" w:eastAsia="Arial Unicode MS" w:hAnsi="Arial Narrow" w:cs="Arial"/>
          <w:sz w:val="28"/>
          <w:szCs w:val="28"/>
        </w:rPr>
      </w:pPr>
    </w:p>
    <w:p w:rsidR="00EB0CD4" w:rsidRPr="00EB0CD4" w:rsidRDefault="00EB0CD4" w:rsidP="00EB0CD4">
      <w:pPr>
        <w:spacing w:after="0" w:line="360" w:lineRule="auto"/>
        <w:ind w:firstLine="709"/>
        <w:jc w:val="both"/>
        <w:rPr>
          <w:rFonts w:ascii="Arial Narrow" w:eastAsia="Arial Unicode MS" w:hAnsi="Arial Narrow" w:cs="Arial"/>
          <w:sz w:val="28"/>
          <w:szCs w:val="28"/>
        </w:rPr>
      </w:pPr>
      <w:r w:rsidRPr="00EB0CD4">
        <w:rPr>
          <w:rFonts w:ascii="Arial Narrow" w:eastAsia="Arial Unicode MS" w:hAnsi="Arial Narrow" w:cs="Arial"/>
          <w:sz w:val="28"/>
          <w:szCs w:val="28"/>
        </w:rPr>
        <w:t>En efecto, en el escrito de demanda, que obra a fojas 2 a 16 de este sumario, en lo que interesa, se señala:</w:t>
      </w:r>
    </w:p>
    <w:p w:rsidR="00EB0CD4" w:rsidRPr="00EB0CD4" w:rsidRDefault="00EB0CD4" w:rsidP="00EB0CD4">
      <w:pPr>
        <w:spacing w:after="0" w:line="360" w:lineRule="auto"/>
        <w:ind w:firstLine="709"/>
        <w:jc w:val="both"/>
        <w:rPr>
          <w:rFonts w:ascii="Arial Narrow" w:eastAsia="Arial Unicode MS" w:hAnsi="Arial Narrow" w:cs="Arial"/>
          <w:sz w:val="28"/>
          <w:szCs w:val="28"/>
        </w:rPr>
      </w:pPr>
    </w:p>
    <w:p w:rsidR="00EB0CD4" w:rsidRPr="00EB0CD4" w:rsidRDefault="00EB0CD4" w:rsidP="00EB0CD4">
      <w:pPr>
        <w:spacing w:after="0" w:line="360" w:lineRule="auto"/>
        <w:ind w:firstLine="709"/>
        <w:jc w:val="both"/>
        <w:rPr>
          <w:rFonts w:ascii="Arial Narrow" w:eastAsia="Arial Unicode MS" w:hAnsi="Arial Narrow" w:cs="Arial"/>
          <w:sz w:val="28"/>
          <w:szCs w:val="28"/>
        </w:rPr>
      </w:pPr>
    </w:p>
    <w:p w:rsidR="00EB0CD4" w:rsidRPr="00E3367C" w:rsidRDefault="00EB0CD4" w:rsidP="00EB0CD4">
      <w:pPr>
        <w:spacing w:after="0" w:line="240" w:lineRule="auto"/>
        <w:ind w:left="567" w:right="618"/>
        <w:jc w:val="both"/>
        <w:rPr>
          <w:rFonts w:ascii="Arial Narrow" w:hAnsi="Arial Narrow" w:cs="Arial"/>
          <w:i/>
        </w:rPr>
      </w:pPr>
      <w:r w:rsidRPr="00E3367C">
        <w:rPr>
          <w:rFonts w:ascii="Arial Narrow" w:hAnsi="Arial Narrow" w:cs="Arial"/>
          <w:b/>
          <w:i/>
        </w:rPr>
        <w:lastRenderedPageBreak/>
        <w:t>VII. ANTECEDENTES.</w:t>
      </w:r>
      <w:r w:rsidRPr="00E3367C">
        <w:rPr>
          <w:rFonts w:ascii="Arial Narrow" w:hAnsi="Arial Narrow" w:cs="Arial"/>
          <w:i/>
        </w:rPr>
        <w:t xml:space="preserve"> Los hechos que dan origen a la presente demanda son:</w:t>
      </w:r>
    </w:p>
    <w:p w:rsidR="00EB0CD4" w:rsidRPr="00E3367C" w:rsidRDefault="00EB0CD4" w:rsidP="00EB0CD4">
      <w:pPr>
        <w:spacing w:after="0" w:line="240" w:lineRule="auto"/>
        <w:ind w:left="567" w:right="618"/>
        <w:jc w:val="both"/>
        <w:rPr>
          <w:rFonts w:ascii="Arial Narrow" w:hAnsi="Arial Narrow" w:cs="Arial"/>
          <w:i/>
        </w:rPr>
      </w:pPr>
    </w:p>
    <w:p w:rsidR="00EB0CD4" w:rsidRPr="00E3367C" w:rsidRDefault="00EB0CD4" w:rsidP="00EB0CD4">
      <w:pPr>
        <w:spacing w:after="0" w:line="240" w:lineRule="auto"/>
        <w:ind w:left="567" w:right="618"/>
        <w:jc w:val="both"/>
        <w:rPr>
          <w:rFonts w:ascii="Arial Narrow" w:hAnsi="Arial Narrow" w:cs="Arial"/>
          <w:i/>
        </w:rPr>
      </w:pPr>
      <w:r w:rsidRPr="00E3367C">
        <w:rPr>
          <w:rFonts w:ascii="Arial Narrow" w:hAnsi="Arial Narrow" w:cs="Arial"/>
          <w:i/>
        </w:rPr>
        <w:t>1. El actor es una persona física que hace de su principal actividad productiva la explotación de la concesión del servicio público de transporte en la zona metropolitana de los municipios de San Luis Potosí y Soledad de Graciano Sánchez, en la modalidad de automóvil de alquiler de ruleteo, consignada en el Título de Concesión con folio</w:t>
      </w:r>
      <w:r w:rsidR="00B85AD1">
        <w:rPr>
          <w:rFonts w:ascii="Arial Narrow" w:hAnsi="Arial Narrow"/>
          <w:color w:val="FF0000"/>
          <w:sz w:val="28"/>
          <w:szCs w:val="28"/>
        </w:rPr>
        <w:t>**********</w:t>
      </w:r>
      <w:r w:rsidRPr="00E3367C">
        <w:rPr>
          <w:rFonts w:ascii="Arial Narrow" w:hAnsi="Arial Narrow" w:cs="Arial"/>
          <w:i/>
        </w:rPr>
        <w:t>, número Económico</w:t>
      </w:r>
      <w:r w:rsidR="00B85AD1">
        <w:rPr>
          <w:rFonts w:ascii="Arial Narrow" w:hAnsi="Arial Narrow"/>
          <w:color w:val="FF0000"/>
          <w:sz w:val="28"/>
          <w:szCs w:val="28"/>
        </w:rPr>
        <w:t>**********</w:t>
      </w:r>
      <w:r w:rsidRPr="00E3367C">
        <w:rPr>
          <w:rFonts w:ascii="Arial Narrow" w:hAnsi="Arial Narrow" w:cs="Arial"/>
          <w:i/>
        </w:rPr>
        <w:t>, expedido el 24 de abril de 2009.</w:t>
      </w:r>
    </w:p>
    <w:p w:rsidR="00EB0CD4" w:rsidRPr="00E3367C" w:rsidRDefault="00EB0CD4" w:rsidP="00EB0CD4">
      <w:pPr>
        <w:spacing w:after="0" w:line="240" w:lineRule="auto"/>
        <w:ind w:left="567" w:right="618"/>
        <w:jc w:val="both"/>
        <w:rPr>
          <w:rFonts w:ascii="Arial Narrow" w:hAnsi="Arial Narrow" w:cs="Arial"/>
          <w:i/>
        </w:rPr>
      </w:pPr>
    </w:p>
    <w:p w:rsidR="00EB0CD4" w:rsidRPr="00E3367C" w:rsidRDefault="00EB0CD4" w:rsidP="00EB0CD4">
      <w:pPr>
        <w:spacing w:after="0" w:line="240" w:lineRule="auto"/>
        <w:ind w:left="567" w:right="618"/>
        <w:jc w:val="both"/>
        <w:rPr>
          <w:rFonts w:ascii="Arial Narrow" w:hAnsi="Arial Narrow" w:cs="Arial"/>
          <w:i/>
        </w:rPr>
      </w:pPr>
      <w:r w:rsidRPr="00E3367C">
        <w:rPr>
          <w:rFonts w:ascii="Arial Narrow" w:hAnsi="Arial Narrow" w:cs="Arial"/>
          <w:i/>
        </w:rPr>
        <w:t>2. El 31 de marzo de 2025 se publicó en la edición extraordinaria del Periódico Oficial del Estado el Acuerdo Administrativo por el que se convoca a todos los concesionarios y permisionarios del servicio público en el Estado, a la revista anual 2025 de las unidades destinadas a la prestación del servicio público de transporte.</w:t>
      </w:r>
    </w:p>
    <w:p w:rsidR="00EB0CD4" w:rsidRPr="00E3367C" w:rsidRDefault="00EB0CD4" w:rsidP="00EB0CD4">
      <w:pPr>
        <w:spacing w:after="0" w:line="240" w:lineRule="auto"/>
        <w:ind w:left="567" w:right="618"/>
        <w:jc w:val="both"/>
        <w:rPr>
          <w:rFonts w:ascii="Arial Narrow" w:hAnsi="Arial Narrow" w:cs="Arial"/>
          <w:i/>
        </w:rPr>
      </w:pPr>
    </w:p>
    <w:p w:rsidR="00EB0CD4" w:rsidRPr="00E3367C" w:rsidRDefault="00EB0CD4" w:rsidP="00EB0CD4">
      <w:pPr>
        <w:spacing w:after="0" w:line="240" w:lineRule="auto"/>
        <w:ind w:left="567" w:right="618"/>
        <w:jc w:val="both"/>
        <w:rPr>
          <w:rFonts w:ascii="Arial Narrow" w:eastAsia="Arial Unicode MS" w:hAnsi="Arial Narrow" w:cs="Arial"/>
          <w:i/>
        </w:rPr>
      </w:pPr>
      <w:r w:rsidRPr="00E3367C">
        <w:rPr>
          <w:rFonts w:ascii="Arial Narrow" w:hAnsi="Arial Narrow" w:cs="Arial"/>
          <w:i/>
        </w:rPr>
        <w:t>3. El citado acuerdo administrativo introduce obligaciones a cargo de los concesionarios del servicio público de transporte, en la modalidad de automóvil de alquiler de ruleteo, a efecto de cumplir con la "Revista 2025" que, se estima, con contrarios al marco normativo aplicable.</w:t>
      </w:r>
    </w:p>
    <w:p w:rsidR="00EB0CD4" w:rsidRPr="00E3367C" w:rsidRDefault="00EB0CD4" w:rsidP="00E3367C">
      <w:pPr>
        <w:spacing w:after="0" w:line="360" w:lineRule="auto"/>
        <w:jc w:val="both"/>
        <w:rPr>
          <w:rFonts w:ascii="Arial Narrow" w:eastAsia="Arial Unicode MS" w:hAnsi="Arial Narrow" w:cs="Arial"/>
          <w:i/>
          <w:sz w:val="28"/>
          <w:szCs w:val="28"/>
        </w:rPr>
      </w:pPr>
    </w:p>
    <w:p w:rsidR="00EB0CD4" w:rsidRPr="00180B3E" w:rsidRDefault="00EB0CD4" w:rsidP="00E17F98">
      <w:pPr>
        <w:spacing w:after="0" w:line="360" w:lineRule="auto"/>
        <w:ind w:firstLine="709"/>
        <w:jc w:val="both"/>
        <w:rPr>
          <w:rFonts w:ascii="Arial Narrow" w:hAnsi="Arial Narrow" w:cs="Arial"/>
          <w:sz w:val="28"/>
          <w:szCs w:val="28"/>
        </w:rPr>
      </w:pPr>
      <w:r w:rsidRPr="00180B3E">
        <w:rPr>
          <w:rFonts w:ascii="Arial Narrow" w:hAnsi="Arial Narrow" w:cs="Arial"/>
          <w:sz w:val="28"/>
          <w:szCs w:val="28"/>
        </w:rPr>
        <w:t>Una vez precisado lo anterior, se procede al análisis de lo argumentado como causal de improcedencia en la contestación de demanda.</w:t>
      </w:r>
    </w:p>
    <w:p w:rsidR="00EB0CD4" w:rsidRPr="00180B3E" w:rsidRDefault="00EB0CD4" w:rsidP="00E17F98">
      <w:pPr>
        <w:spacing w:after="0" w:line="360" w:lineRule="auto"/>
        <w:ind w:firstLine="709"/>
        <w:jc w:val="both"/>
        <w:rPr>
          <w:rFonts w:ascii="Arial Narrow" w:hAnsi="Arial Narrow" w:cs="Arial"/>
          <w:sz w:val="28"/>
          <w:szCs w:val="28"/>
        </w:rPr>
      </w:pPr>
      <w:r w:rsidRPr="00180B3E">
        <w:rPr>
          <w:rFonts w:ascii="Arial Narrow" w:hAnsi="Arial Narrow" w:cs="Arial"/>
          <w:sz w:val="28"/>
          <w:szCs w:val="28"/>
        </w:rPr>
        <w:t>El planteamiento de la autoridad demandada en el caso concreto, es porque no se acreditó el interés legítimo que invocó la parte actora para acudir a juicio, ni tampoco se acreditó la afectación real, presente y directa a los intereses de la accionante.</w:t>
      </w:r>
    </w:p>
    <w:p w:rsidR="00EB0CD4" w:rsidRPr="00180B3E" w:rsidRDefault="00EB0CD4" w:rsidP="00EB0CD4">
      <w:pPr>
        <w:spacing w:after="0" w:line="360" w:lineRule="auto"/>
        <w:ind w:firstLine="709"/>
        <w:jc w:val="both"/>
        <w:rPr>
          <w:rFonts w:ascii="Arial Narrow" w:hAnsi="Arial Narrow" w:cs="Arial"/>
          <w:sz w:val="28"/>
          <w:szCs w:val="28"/>
        </w:rPr>
      </w:pPr>
      <w:r w:rsidRPr="00180B3E">
        <w:rPr>
          <w:rFonts w:ascii="Arial Narrow" w:hAnsi="Arial Narrow" w:cs="Arial"/>
          <w:sz w:val="28"/>
          <w:szCs w:val="28"/>
        </w:rPr>
        <w:t>La causal de improcedencia invocada por la autoridad demandada resulta fundada, conforme a las consideraciones legales siguientes.</w:t>
      </w:r>
    </w:p>
    <w:p w:rsidR="00EB0CD4" w:rsidRDefault="00EB0CD4" w:rsidP="00E17F98">
      <w:pPr>
        <w:spacing w:after="0" w:line="360" w:lineRule="auto"/>
        <w:jc w:val="both"/>
        <w:rPr>
          <w:rFonts w:ascii="Arial" w:hAnsi="Arial" w:cs="Arial"/>
          <w:sz w:val="24"/>
          <w:szCs w:val="24"/>
        </w:rPr>
      </w:pPr>
    </w:p>
    <w:p w:rsidR="00180B3E" w:rsidRDefault="00EB0CD4" w:rsidP="00EB0CD4">
      <w:pPr>
        <w:spacing w:after="0" w:line="360" w:lineRule="auto"/>
        <w:ind w:firstLine="709"/>
        <w:jc w:val="both"/>
        <w:rPr>
          <w:rFonts w:ascii="Arial Narrow" w:hAnsi="Arial Narrow" w:cs="Arial"/>
          <w:sz w:val="28"/>
          <w:szCs w:val="28"/>
        </w:rPr>
      </w:pPr>
      <w:r w:rsidRPr="00180B3E">
        <w:rPr>
          <w:rFonts w:ascii="Arial Narrow" w:hAnsi="Arial Narrow" w:cs="Arial"/>
          <w:sz w:val="28"/>
          <w:szCs w:val="28"/>
        </w:rPr>
        <w:t xml:space="preserve">En la especie, la parte actora impugnó como norma general auto </w:t>
      </w:r>
      <w:proofErr w:type="gramStart"/>
      <w:r w:rsidRPr="00180B3E">
        <w:rPr>
          <w:rFonts w:ascii="Arial Narrow" w:hAnsi="Arial Narrow" w:cs="Arial"/>
          <w:sz w:val="28"/>
          <w:szCs w:val="28"/>
        </w:rPr>
        <w:t>aplicativa</w:t>
      </w:r>
      <w:proofErr w:type="gramEnd"/>
      <w:r w:rsidRPr="00180B3E">
        <w:rPr>
          <w:rFonts w:ascii="Arial Narrow" w:hAnsi="Arial Narrow" w:cs="Arial"/>
          <w:sz w:val="28"/>
          <w:szCs w:val="28"/>
        </w:rPr>
        <w:t xml:space="preserve"> el </w:t>
      </w:r>
      <w:r w:rsidR="00180B3E">
        <w:rPr>
          <w:rFonts w:ascii="Arial Narrow" w:hAnsi="Arial Narrow" w:cs="Arial"/>
          <w:sz w:val="28"/>
          <w:szCs w:val="28"/>
        </w:rPr>
        <w:t>consistente en:</w:t>
      </w:r>
    </w:p>
    <w:p w:rsidR="00EB0CD4" w:rsidRPr="00180B3E" w:rsidRDefault="00EB0CD4" w:rsidP="00EB0CD4">
      <w:pPr>
        <w:spacing w:after="0" w:line="360" w:lineRule="auto"/>
        <w:ind w:firstLine="709"/>
        <w:jc w:val="both"/>
        <w:rPr>
          <w:rFonts w:ascii="Arial Narrow" w:hAnsi="Arial Narrow" w:cs="Arial"/>
          <w:sz w:val="24"/>
          <w:szCs w:val="24"/>
        </w:rPr>
      </w:pPr>
      <w:r w:rsidRPr="00180B3E">
        <w:rPr>
          <w:rFonts w:ascii="Arial Narrow" w:hAnsi="Arial Narrow" w:cs="Arial"/>
          <w:sz w:val="24"/>
          <w:szCs w:val="24"/>
        </w:rPr>
        <w:t>“</w:t>
      </w:r>
      <w:r w:rsidRPr="00180B3E">
        <w:rPr>
          <w:rFonts w:ascii="Arial Narrow" w:hAnsi="Arial Narrow" w:cs="Arial"/>
          <w:i/>
          <w:sz w:val="24"/>
          <w:szCs w:val="24"/>
        </w:rPr>
        <w:t>Acuerdo Administrativo por el que se convoca a todos los concesionarios y permisionarios del servicio público en el Estado, a la revista anual 2025 de las unidades destinadas a la prestación del servicio de transporte, publicado en la edición extraordinaria del Periódico Oficial del Estado el 31 de marzo de 2025</w:t>
      </w:r>
      <w:r w:rsidRPr="00180B3E">
        <w:rPr>
          <w:rFonts w:ascii="Arial Narrow" w:hAnsi="Arial Narrow" w:cs="Arial"/>
          <w:sz w:val="24"/>
          <w:szCs w:val="24"/>
        </w:rPr>
        <w:t>”.</w:t>
      </w:r>
    </w:p>
    <w:p w:rsidR="00EB0CD4" w:rsidRPr="00180B3E" w:rsidRDefault="00EB0CD4" w:rsidP="00EB0CD4">
      <w:pPr>
        <w:spacing w:after="0" w:line="360" w:lineRule="auto"/>
        <w:ind w:firstLine="709"/>
        <w:jc w:val="both"/>
        <w:rPr>
          <w:rFonts w:ascii="Arial Narrow" w:hAnsi="Arial Narrow" w:cs="Arial"/>
          <w:sz w:val="28"/>
          <w:szCs w:val="28"/>
        </w:rPr>
      </w:pPr>
    </w:p>
    <w:p w:rsidR="00EB0CD4" w:rsidRPr="00180B3E" w:rsidRDefault="00EB0CD4" w:rsidP="00E17F98">
      <w:pPr>
        <w:spacing w:after="0" w:line="360" w:lineRule="auto"/>
        <w:ind w:firstLine="709"/>
        <w:jc w:val="both"/>
        <w:rPr>
          <w:rFonts w:ascii="Arial Narrow" w:hAnsi="Arial Narrow" w:cs="Arial"/>
          <w:sz w:val="28"/>
          <w:szCs w:val="28"/>
        </w:rPr>
      </w:pPr>
      <w:r w:rsidRPr="00180B3E">
        <w:rPr>
          <w:rFonts w:ascii="Arial Narrow" w:hAnsi="Arial Narrow" w:cs="Arial"/>
          <w:sz w:val="28"/>
          <w:szCs w:val="28"/>
        </w:rPr>
        <w:t xml:space="preserve">Cabe destacar que, el acuerdo administrativo por el que se convoca a todos los concesionarios y permisionarios del servicio público en el Estado, a la revista anual 2025 de las unidades destinadas a la prestación del servicio público de transporte, representa una convocatoria regida por la Ley de Transporte Público del Estado de San Luis Potosí que, por sí misma no constituye un acto de molestia y </w:t>
      </w:r>
      <w:r w:rsidRPr="00180B3E">
        <w:rPr>
          <w:rFonts w:ascii="Arial Narrow" w:eastAsia="Times New Roman" w:hAnsi="Arial Narrow" w:cs="Arial"/>
          <w:sz w:val="28"/>
          <w:szCs w:val="28"/>
          <w:lang w:eastAsia="es-MX"/>
        </w:rPr>
        <w:t xml:space="preserve">reviste la naturaleza de procedimiento administrativo, que se integra por una diversidad de actos administrativos preparatorios de la actividad de supervisión de la prestación del servicio de transporte público del Estado; por tanto, la convocatoria de revista anual de las unidades de transporte, con la que inicia dicho </w:t>
      </w:r>
      <w:r w:rsidRPr="00180B3E">
        <w:rPr>
          <w:rFonts w:ascii="Arial Narrow" w:eastAsia="Times New Roman" w:hAnsi="Arial Narrow" w:cs="Arial"/>
          <w:sz w:val="28"/>
          <w:szCs w:val="28"/>
          <w:lang w:eastAsia="es-MX"/>
        </w:rPr>
        <w:lastRenderedPageBreak/>
        <w:t xml:space="preserve">procedimiento, tiene la naturaleza de acto administrativo por cuanto importa una declaración unilateral dictada en el ejercicio de la función administrativa.   Luego, la referida convocatoria no se traduce en un acto de molestia que provoque afectación a la esfera jurídica del gobernado, ni determina su situación jurídica, dado que no busca restringir de manera provisional o preventiva un derecho con el objeto de proteger determinados bienes jurídicos, sino que únicamente representa una invitación del Estado para los concesionarios y permisionarios del servicio público de transporte en el Estado a fin de verificar los estándares de calidad, seguridad, eficiencia y eficacia en el servicio, a través de la inspección física, mecánica y administrativa de las unidades propiedad de los concesionarios y permisionarios que los mismos han registrado ante la Secretaría de Comunicaciones y Transportes como destinadas a la prestación del servicio, a fin de comprobar el cumplimiento de las disposiciones reglamentarias en materia de equipo, aditamentos, sistemas y, en general las condiciones de operación y especificaciones técnicas para la óptima prestación del servicio de transporte público en la entidad, con sujeción a lo establecido en la </w:t>
      </w:r>
      <w:r w:rsidRPr="00180B3E">
        <w:rPr>
          <w:rFonts w:ascii="Arial Narrow" w:hAnsi="Arial Narrow" w:cs="Arial"/>
          <w:sz w:val="28"/>
          <w:szCs w:val="28"/>
        </w:rPr>
        <w:t>Ley de Transporte Público del Estado de San Luis Potosí.</w:t>
      </w:r>
    </w:p>
    <w:p w:rsidR="00EB0CD4" w:rsidRPr="00E17F98" w:rsidRDefault="00EB0CD4" w:rsidP="00E17F98">
      <w:pPr>
        <w:spacing w:after="0" w:line="360" w:lineRule="auto"/>
        <w:ind w:firstLine="709"/>
        <w:jc w:val="both"/>
        <w:rPr>
          <w:rFonts w:ascii="Arial Narrow" w:eastAsia="Times New Roman" w:hAnsi="Arial Narrow" w:cs="Arial"/>
          <w:sz w:val="28"/>
          <w:szCs w:val="28"/>
          <w:lang w:eastAsia="es-MX"/>
        </w:rPr>
      </w:pPr>
      <w:r w:rsidRPr="00180B3E">
        <w:rPr>
          <w:rFonts w:ascii="Arial Narrow" w:eastAsia="Times New Roman" w:hAnsi="Arial Narrow" w:cs="Arial"/>
          <w:sz w:val="28"/>
          <w:szCs w:val="28"/>
          <w:lang w:eastAsia="es-MX"/>
        </w:rPr>
        <w:t>En consecuencia, no puede estimarse que el acuerdo administrativo que contiene la convocatoria, que constituye el acto impugnado, sea capaz por sí mismo de producir un cambio o afectación en los bienes o derechos de la parte actora; en tanto que de ella no se deriva en forma directa o inmediata la creación, modificación o extinción de una situación jurídica particular.</w:t>
      </w:r>
    </w:p>
    <w:p w:rsidR="00EB0CD4" w:rsidRPr="00180B3E" w:rsidRDefault="00EB0CD4" w:rsidP="00EB0CD4">
      <w:pPr>
        <w:spacing w:after="0" w:line="360" w:lineRule="auto"/>
        <w:ind w:firstLine="709"/>
        <w:jc w:val="both"/>
        <w:rPr>
          <w:rFonts w:ascii="Arial Narrow" w:hAnsi="Arial Narrow" w:cs="Arial"/>
          <w:sz w:val="28"/>
          <w:szCs w:val="28"/>
        </w:rPr>
      </w:pPr>
      <w:r w:rsidRPr="00180B3E">
        <w:rPr>
          <w:rFonts w:ascii="Arial Narrow" w:hAnsi="Arial Narrow" w:cs="Arial"/>
          <w:sz w:val="28"/>
          <w:szCs w:val="28"/>
        </w:rPr>
        <w:t>Ahora bien, el “</w:t>
      </w:r>
      <w:r w:rsidRPr="00180B3E">
        <w:rPr>
          <w:rFonts w:ascii="Arial Narrow" w:hAnsi="Arial Narrow" w:cs="Arial"/>
          <w:i/>
          <w:sz w:val="28"/>
          <w:szCs w:val="28"/>
        </w:rPr>
        <w:t>Acuerdo administrativo por el que se convoca a todos los concesionarios y permisionarios del servicio público en el Estado, a la revista anual 2025 de las unidades destinadas a la prestación del servicio público de transporte</w:t>
      </w:r>
      <w:r w:rsidRPr="00180B3E">
        <w:rPr>
          <w:rFonts w:ascii="Arial Narrow" w:hAnsi="Arial Narrow" w:cs="Arial"/>
          <w:sz w:val="28"/>
          <w:szCs w:val="28"/>
        </w:rPr>
        <w:t>”, se tiene por plenamente acreditado, en razón de que, al haber sido publicado en el Periódico Oficial del Estado “Plan de San Luis”, en edición extraordinaria, el lunes treinta y uno de marzo de dos mil veinticinco, constituye un hecho público y notorio; lo anterior con apoyo en el artículo 61 del Código Procesal Administrativo para el Estado de San Luis Potosí, y la tesis aislada del Tercer Tribunal Colegiado en Materia Administrativa del Primer Circuito, registro digital 247835, Séptima Época, Semanario Judicial de la Federación. Volumen 205-216, Sexta Parte, página 249, que establece:</w:t>
      </w:r>
    </w:p>
    <w:p w:rsidR="00EB0CD4" w:rsidRPr="00180B3E" w:rsidRDefault="00EB0CD4" w:rsidP="00EB0CD4">
      <w:pPr>
        <w:spacing w:after="0" w:line="360" w:lineRule="auto"/>
        <w:ind w:firstLine="709"/>
        <w:jc w:val="both"/>
        <w:rPr>
          <w:rFonts w:ascii="Arial Narrow" w:hAnsi="Arial Narrow" w:cs="Arial"/>
          <w:sz w:val="28"/>
          <w:szCs w:val="28"/>
        </w:rPr>
      </w:pPr>
    </w:p>
    <w:p w:rsidR="00EB0CD4" w:rsidRPr="004E3B17" w:rsidRDefault="00EB0CD4" w:rsidP="004E3B17">
      <w:pPr>
        <w:spacing w:after="0" w:line="360" w:lineRule="auto"/>
        <w:ind w:left="567" w:right="618"/>
        <w:jc w:val="both"/>
        <w:rPr>
          <w:rFonts w:ascii="Arial Narrow" w:hAnsi="Arial Narrow" w:cs="Arial"/>
          <w:i/>
          <w:sz w:val="20"/>
          <w:szCs w:val="20"/>
        </w:rPr>
      </w:pPr>
      <w:r w:rsidRPr="004E3B17">
        <w:rPr>
          <w:rFonts w:ascii="Arial Narrow" w:hAnsi="Arial Narrow" w:cs="Arial"/>
          <w:b/>
          <w:i/>
          <w:sz w:val="20"/>
          <w:szCs w:val="20"/>
        </w:rPr>
        <w:t xml:space="preserve">HECHO NOTORIO (PUBLICACIONES EN EL DIARIO OFICIAL).   </w:t>
      </w:r>
      <w:r w:rsidRPr="004E3B17">
        <w:rPr>
          <w:rFonts w:ascii="Arial Narrow" w:hAnsi="Arial Narrow" w:cs="Arial"/>
          <w:i/>
          <w:sz w:val="20"/>
          <w:szCs w:val="20"/>
        </w:rPr>
        <w:t>Es hecho notorio el acontecimiento conocido por todos, es decir, que es el dominio público y que nadie pone en duda. Así, debe entenderse por hecho notorio, también, a aquél de que el tribunal tiene conocimientos por su propia actividad. Precisamente éste es el caso de la publicación en el Diario Oficial de la Federación que presuntamente debe ser conocido de todos, particularmente de los tribunales a quiénes se encomienda la aplicación del derecho. Por otra parte, la notoriedad no depende de que todos los habitantes de una colectividad conozcan con plena certeza y exactitud de un hecho, sino de la normalidad de tal conocimiento en un círculo determinado, supuesto que también se surte en los juicios que se examinan.</w:t>
      </w:r>
    </w:p>
    <w:p w:rsidR="00EB0CD4" w:rsidRPr="000E4486" w:rsidRDefault="00EB0CD4" w:rsidP="00EB0CD4">
      <w:pPr>
        <w:spacing w:after="0" w:line="360" w:lineRule="auto"/>
        <w:ind w:firstLine="709"/>
        <w:jc w:val="both"/>
        <w:rPr>
          <w:rFonts w:ascii="Arial" w:hAnsi="Arial" w:cs="Arial"/>
          <w:sz w:val="24"/>
          <w:szCs w:val="24"/>
        </w:rPr>
      </w:pPr>
    </w:p>
    <w:p w:rsidR="00EB0CD4" w:rsidRPr="004E3B17" w:rsidRDefault="00EB0CD4" w:rsidP="00EB0CD4">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Del texto del citado acuerdo administrativo, conviene destacar, en lo que aquí interesa, lo siguiente:</w:t>
      </w:r>
    </w:p>
    <w:p w:rsidR="00EB0CD4" w:rsidRDefault="00EB0CD4" w:rsidP="00EB0CD4">
      <w:pPr>
        <w:spacing w:after="0" w:line="360" w:lineRule="auto"/>
        <w:ind w:firstLine="709"/>
        <w:jc w:val="both"/>
        <w:rPr>
          <w:rFonts w:ascii="Arial" w:hAnsi="Arial" w:cs="Arial"/>
          <w:sz w:val="24"/>
          <w:szCs w:val="24"/>
        </w:rPr>
      </w:pPr>
    </w:p>
    <w:p w:rsidR="00EB0CD4" w:rsidRPr="004E3B17" w:rsidRDefault="00EB0CD4" w:rsidP="00EB0CD4">
      <w:pPr>
        <w:spacing w:after="0" w:line="240" w:lineRule="auto"/>
        <w:ind w:left="567" w:right="618"/>
        <w:jc w:val="both"/>
        <w:rPr>
          <w:rFonts w:ascii="Arial Narrow" w:hAnsi="Arial Narrow" w:cs="Arial"/>
          <w:i/>
          <w:sz w:val="24"/>
          <w:szCs w:val="24"/>
        </w:rPr>
      </w:pPr>
      <w:r w:rsidRPr="004E3B17">
        <w:rPr>
          <w:rFonts w:ascii="Arial Narrow" w:hAnsi="Arial Narrow" w:cs="Arial"/>
          <w:i/>
          <w:sz w:val="24"/>
          <w:szCs w:val="24"/>
        </w:rPr>
        <w:t>[…]</w:t>
      </w:r>
    </w:p>
    <w:p w:rsidR="00EB0CD4" w:rsidRPr="004E3B17" w:rsidRDefault="00EB0CD4" w:rsidP="00EB0CD4">
      <w:pPr>
        <w:spacing w:after="0" w:line="240" w:lineRule="auto"/>
        <w:ind w:left="567" w:right="618"/>
        <w:jc w:val="center"/>
        <w:rPr>
          <w:rFonts w:ascii="Arial Narrow" w:hAnsi="Arial Narrow" w:cs="Arial"/>
          <w:i/>
          <w:sz w:val="24"/>
          <w:szCs w:val="24"/>
        </w:rPr>
      </w:pPr>
      <w:r w:rsidRPr="004E3B17">
        <w:rPr>
          <w:rFonts w:ascii="Arial Narrow" w:hAnsi="Arial Narrow" w:cs="Arial"/>
          <w:i/>
          <w:sz w:val="24"/>
          <w:szCs w:val="24"/>
        </w:rPr>
        <w:t>CONSIDERANDO</w:t>
      </w:r>
    </w:p>
    <w:p w:rsidR="00EB0CD4" w:rsidRPr="004E3B17" w:rsidRDefault="00EB0CD4" w:rsidP="00EB0CD4">
      <w:pPr>
        <w:spacing w:after="0" w:line="240" w:lineRule="auto"/>
        <w:ind w:left="567" w:right="618"/>
        <w:jc w:val="both"/>
        <w:rPr>
          <w:rFonts w:ascii="Arial Narrow" w:hAnsi="Arial Narrow" w:cs="Arial"/>
          <w:i/>
          <w:sz w:val="24"/>
          <w:szCs w:val="24"/>
        </w:rPr>
      </w:pPr>
      <w:r w:rsidRPr="004E3B17">
        <w:rPr>
          <w:rFonts w:ascii="Arial Narrow" w:hAnsi="Arial Narrow" w:cs="Arial"/>
          <w:i/>
          <w:sz w:val="24"/>
          <w:szCs w:val="24"/>
        </w:rPr>
        <w:t>[…]</w:t>
      </w:r>
    </w:p>
    <w:p w:rsidR="00EB0CD4" w:rsidRPr="004E3B17" w:rsidRDefault="00EB0CD4" w:rsidP="00EB0CD4">
      <w:pPr>
        <w:spacing w:after="0" w:line="240" w:lineRule="auto"/>
        <w:ind w:left="567" w:right="618"/>
        <w:jc w:val="both"/>
        <w:rPr>
          <w:rFonts w:ascii="Arial Narrow" w:hAnsi="Arial Narrow" w:cs="Arial"/>
          <w:i/>
          <w:sz w:val="24"/>
          <w:szCs w:val="24"/>
        </w:rPr>
      </w:pPr>
      <w:r w:rsidRPr="004E3B17">
        <w:rPr>
          <w:rFonts w:ascii="Arial Narrow" w:hAnsi="Arial Narrow" w:cs="Arial"/>
          <w:i/>
          <w:sz w:val="24"/>
          <w:szCs w:val="24"/>
        </w:rPr>
        <w:t>La primera etapa de la revista se denomina “Administrativa”, consistente en actualizar datos, tiene por finalidad que las personas concesionarias, permisionarias y operadoras del servicio público de transporte confirmen, cotejen o proporcionen sus datos, y actualizar los expedientes de la concesión o permiso de que se trate […]</w:t>
      </w:r>
    </w:p>
    <w:p w:rsidR="00EB0CD4" w:rsidRPr="004E3B17" w:rsidRDefault="00EB0CD4" w:rsidP="00EB0CD4">
      <w:pPr>
        <w:spacing w:after="0" w:line="240" w:lineRule="auto"/>
        <w:ind w:left="567" w:right="618"/>
        <w:jc w:val="both"/>
        <w:rPr>
          <w:rFonts w:ascii="Arial Narrow" w:hAnsi="Arial Narrow" w:cs="Arial"/>
          <w:i/>
          <w:sz w:val="24"/>
          <w:szCs w:val="24"/>
        </w:rPr>
      </w:pPr>
      <w:r w:rsidRPr="004E3B17">
        <w:rPr>
          <w:rFonts w:ascii="Arial Narrow" w:hAnsi="Arial Narrow" w:cs="Arial"/>
          <w:i/>
          <w:sz w:val="24"/>
          <w:szCs w:val="24"/>
        </w:rPr>
        <w:t>[…]</w:t>
      </w:r>
    </w:p>
    <w:p w:rsidR="00EB0CD4" w:rsidRPr="004E3B17" w:rsidRDefault="00EB0CD4" w:rsidP="00EB0CD4">
      <w:pPr>
        <w:spacing w:after="0" w:line="240" w:lineRule="auto"/>
        <w:ind w:left="567" w:right="618"/>
        <w:jc w:val="both"/>
        <w:rPr>
          <w:rFonts w:ascii="Arial Narrow" w:hAnsi="Arial Narrow" w:cs="Arial"/>
          <w:i/>
          <w:sz w:val="24"/>
          <w:szCs w:val="24"/>
        </w:rPr>
      </w:pPr>
      <w:r w:rsidRPr="004E3B17">
        <w:rPr>
          <w:rFonts w:ascii="Arial Narrow" w:hAnsi="Arial Narrow" w:cs="Arial"/>
          <w:i/>
          <w:sz w:val="24"/>
          <w:szCs w:val="24"/>
        </w:rPr>
        <w:t>La segunda etapa se denomina “Física”, la cual consistirá en la verificación del vehículo afecto a la concesión o permiso de que se trate, donde se constatará que el señalado automotor cumpla o no con la norma oficial, de acuerdo a la antigüedad, año y modelo, así como lo que indican los manuales de cromática. [..]</w:t>
      </w:r>
    </w:p>
    <w:p w:rsidR="00EB0CD4" w:rsidRPr="004E3B17" w:rsidRDefault="00EB0CD4" w:rsidP="00EB0CD4">
      <w:pPr>
        <w:spacing w:after="0" w:line="240" w:lineRule="auto"/>
        <w:ind w:left="567" w:right="618"/>
        <w:jc w:val="both"/>
        <w:rPr>
          <w:rFonts w:ascii="Arial Narrow" w:hAnsi="Arial Narrow" w:cs="Arial"/>
          <w:i/>
          <w:sz w:val="24"/>
          <w:szCs w:val="24"/>
        </w:rPr>
      </w:pPr>
      <w:r w:rsidRPr="004E3B17">
        <w:rPr>
          <w:rFonts w:ascii="Arial Narrow" w:hAnsi="Arial Narrow" w:cs="Arial"/>
          <w:i/>
          <w:sz w:val="24"/>
          <w:szCs w:val="24"/>
        </w:rPr>
        <w:t>[…]</w:t>
      </w:r>
    </w:p>
    <w:p w:rsidR="00EB0CD4" w:rsidRPr="004E3B17" w:rsidRDefault="00EB0CD4" w:rsidP="00EB0CD4">
      <w:pPr>
        <w:spacing w:after="0" w:line="240" w:lineRule="auto"/>
        <w:ind w:left="567" w:right="618"/>
        <w:jc w:val="center"/>
        <w:rPr>
          <w:rFonts w:ascii="Arial Narrow" w:hAnsi="Arial Narrow" w:cs="Arial"/>
          <w:i/>
          <w:sz w:val="24"/>
          <w:szCs w:val="24"/>
        </w:rPr>
      </w:pPr>
      <w:r w:rsidRPr="004E3B17">
        <w:rPr>
          <w:rFonts w:ascii="Arial Narrow" w:hAnsi="Arial Narrow" w:cs="Arial"/>
          <w:i/>
          <w:sz w:val="24"/>
          <w:szCs w:val="24"/>
        </w:rPr>
        <w:t>ACUERDO</w:t>
      </w:r>
    </w:p>
    <w:p w:rsidR="00EB0CD4" w:rsidRPr="004E3B17" w:rsidRDefault="00EB0CD4" w:rsidP="00EB0CD4">
      <w:pPr>
        <w:spacing w:after="0" w:line="240" w:lineRule="auto"/>
        <w:ind w:left="567" w:right="618"/>
        <w:jc w:val="both"/>
        <w:rPr>
          <w:rFonts w:ascii="Arial Narrow" w:hAnsi="Arial Narrow" w:cs="Arial"/>
          <w:i/>
          <w:sz w:val="24"/>
          <w:szCs w:val="24"/>
        </w:rPr>
      </w:pPr>
      <w:r w:rsidRPr="004E3B17">
        <w:rPr>
          <w:rFonts w:ascii="Arial Narrow" w:hAnsi="Arial Narrow" w:cs="Arial"/>
          <w:i/>
          <w:sz w:val="24"/>
          <w:szCs w:val="24"/>
        </w:rPr>
        <w:t>PRIMERO. Se convoca a todos los concesionarios y permisionarios del servicio de transporte público en el Estado de San Luis Potosí, que se encuentren al corriente en el cumplimiento de sus obligaciones y hayan realizado el pago de derechos de revista vehicular y refrendo ante la Secretaría de Finanzas de Gobierno del Estado, a presentar sus vehículos a la revisión administrativa, y física por parte de la Secretaría de Comunicaciones y Transportes […]</w:t>
      </w:r>
    </w:p>
    <w:p w:rsidR="00EB0CD4" w:rsidRPr="004E3B17" w:rsidRDefault="00EB0CD4" w:rsidP="00EB0CD4">
      <w:pPr>
        <w:spacing w:after="0" w:line="240" w:lineRule="auto"/>
        <w:ind w:left="567" w:right="618"/>
        <w:jc w:val="both"/>
        <w:rPr>
          <w:rFonts w:ascii="Arial Narrow" w:hAnsi="Arial Narrow" w:cs="Arial"/>
          <w:i/>
          <w:sz w:val="24"/>
          <w:szCs w:val="24"/>
        </w:rPr>
      </w:pPr>
      <w:r w:rsidRPr="004E3B17">
        <w:rPr>
          <w:rFonts w:ascii="Arial Narrow" w:hAnsi="Arial Narrow" w:cs="Arial"/>
          <w:i/>
          <w:sz w:val="24"/>
          <w:szCs w:val="24"/>
        </w:rPr>
        <w:t>[…]</w:t>
      </w:r>
    </w:p>
    <w:p w:rsidR="00EB0CD4" w:rsidRPr="004E3B17" w:rsidRDefault="00EB0CD4" w:rsidP="00EB0CD4">
      <w:pPr>
        <w:spacing w:after="0" w:line="360" w:lineRule="auto"/>
        <w:ind w:firstLine="709"/>
        <w:jc w:val="both"/>
        <w:rPr>
          <w:rFonts w:ascii="Arial Narrow" w:hAnsi="Arial Narrow" w:cs="Arial"/>
          <w:sz w:val="24"/>
          <w:szCs w:val="24"/>
        </w:rPr>
      </w:pPr>
    </w:p>
    <w:p w:rsidR="00EB0CD4" w:rsidRPr="004E3B17" w:rsidRDefault="00EB0CD4" w:rsidP="00EB0CD4">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De su contenido se advierte que, la convocatoria va dirigida a concesionarios y permisionarios del servicio de transporte público del Estado de San Luis Potosí, y tiene como objeto de verificación confirmar, cotejar y actualizar los datos de los expedientes de la concesión o permiso, y la verificación física del vehículo de su propiedad afecto a la concesión o permiso, es decir, registrado ante la Secretaría de Comunicaciones y Transportes por el concesionario o permisionario para la prestación del servicio al amparo de su concesión o permiso; además de requerir se haya realizado el pago de derechos de revista vehicular y refrendo ante la Secretaría de Finanzas de Gobierno del Estado.</w:t>
      </w:r>
    </w:p>
    <w:p w:rsidR="00EB0CD4" w:rsidRPr="004E3B17" w:rsidRDefault="00EB0CD4" w:rsidP="00EB0CD4">
      <w:pPr>
        <w:spacing w:after="0" w:line="360" w:lineRule="auto"/>
        <w:ind w:firstLine="709"/>
        <w:jc w:val="both"/>
        <w:rPr>
          <w:rFonts w:ascii="Arial Narrow" w:hAnsi="Arial Narrow" w:cs="Arial"/>
          <w:sz w:val="28"/>
          <w:szCs w:val="28"/>
        </w:rPr>
      </w:pPr>
    </w:p>
    <w:p w:rsidR="00EB0CD4" w:rsidRPr="004E3B17" w:rsidRDefault="00EB0CD4" w:rsidP="00EB0CD4">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Así, es inconcuso que, únicamente quien tenga el carácter de concesionario o permisionario y cuente un vehículo registrado ante la Secretaría de Comunicaciones y Transportes para prestar el servicio de transporte público al amparo de la concesión o permiso correspondiente, y haya realizado el pago de derechos de revista vehicular y refrendo ante la Secretaría de Finanzas de Gobierno del Estado, está afecto a la convocatoria y tiene interés legítimo para inconformarse respecto del acuerdo administrativo de referencia; por tanto, es necesario acreditar en el juicio administrativo dichos elementos, a fin de demostrar que se cuenta con dicho interés.</w:t>
      </w:r>
    </w:p>
    <w:p w:rsidR="00EB0CD4" w:rsidRDefault="00EB0CD4" w:rsidP="00EB0CD4">
      <w:pPr>
        <w:spacing w:after="0" w:line="360" w:lineRule="auto"/>
        <w:ind w:firstLine="709"/>
        <w:jc w:val="both"/>
        <w:rPr>
          <w:rFonts w:ascii="Arial" w:hAnsi="Arial" w:cs="Arial"/>
          <w:sz w:val="24"/>
          <w:szCs w:val="24"/>
        </w:rPr>
      </w:pPr>
    </w:p>
    <w:p w:rsidR="00EB0CD4" w:rsidRPr="004E3B17" w:rsidRDefault="00EB0CD4" w:rsidP="00EB0CD4">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En consecuencia, era necesario que la parte actora exhibiera en juicio, en primer término, la concesión o permiso legalmente expedido y vigente a su nombre; segundo término, también estaba obligada a exhibir los documentos que acreditaran la propiedad de un vehículo y que éste se encuentra debidamente registrado para la prestación del servicio de transporte público al amparo de su concesión o permiso; y en tercer término, demostrar haber efectuado el pago de derechos de revista vehicular y refrendo ante la Secretaría de Finanzas de Gobierno del Estado; lo que, como se deja establecido más adelante, en el caso no aconteció.</w:t>
      </w:r>
    </w:p>
    <w:p w:rsidR="00EB0CD4" w:rsidRPr="004E3B17" w:rsidRDefault="00EB0CD4" w:rsidP="00EB0CD4">
      <w:pPr>
        <w:spacing w:after="0" w:line="360" w:lineRule="auto"/>
        <w:ind w:firstLine="709"/>
        <w:jc w:val="both"/>
        <w:rPr>
          <w:rFonts w:ascii="Arial Narrow" w:hAnsi="Arial Narrow" w:cs="Arial"/>
          <w:sz w:val="28"/>
          <w:szCs w:val="28"/>
        </w:rPr>
      </w:pPr>
    </w:p>
    <w:p w:rsidR="00EB0CD4" w:rsidRPr="004E3B17" w:rsidRDefault="00EB0CD4" w:rsidP="00EB0CD4">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Conforme a lo anterior, la parte actora afirmó contar con Título de Concesión con folio</w:t>
      </w:r>
      <w:r w:rsidR="00B85AD1">
        <w:rPr>
          <w:rFonts w:ascii="Arial Narrow" w:hAnsi="Arial Narrow"/>
          <w:color w:val="FF0000"/>
          <w:sz w:val="28"/>
          <w:szCs w:val="28"/>
        </w:rPr>
        <w:t>**********</w:t>
      </w:r>
      <w:r w:rsidRPr="004E3B17">
        <w:rPr>
          <w:rFonts w:ascii="Arial Narrow" w:hAnsi="Arial Narrow" w:cs="Arial"/>
          <w:sz w:val="28"/>
          <w:szCs w:val="28"/>
        </w:rPr>
        <w:t>, número económico</w:t>
      </w:r>
      <w:r w:rsidR="00B85AD1">
        <w:rPr>
          <w:rFonts w:ascii="Arial Narrow" w:hAnsi="Arial Narrow"/>
          <w:color w:val="FF0000"/>
          <w:sz w:val="28"/>
          <w:szCs w:val="28"/>
        </w:rPr>
        <w:t>**********</w:t>
      </w:r>
      <w:r w:rsidRPr="004E3B17">
        <w:rPr>
          <w:rFonts w:ascii="Arial Narrow" w:hAnsi="Arial Narrow" w:cs="Arial"/>
          <w:sz w:val="28"/>
          <w:szCs w:val="28"/>
        </w:rPr>
        <w:t>, y con un “automóvil de alquiler de ruleteo, respecto del cual […] goza de un título de concesión”; sin que haya acreditado tales hechos, lo cual era necesario pues sostiene en su demanda que el acuerdo administrativo comprende un automóvil de su propiedad que presta el servicio al amparo de su concesión.</w:t>
      </w:r>
    </w:p>
    <w:p w:rsidR="00EB0CD4" w:rsidRPr="004E3B17" w:rsidRDefault="00EB0CD4" w:rsidP="00EB0CD4">
      <w:pPr>
        <w:spacing w:after="0" w:line="360" w:lineRule="auto"/>
        <w:ind w:firstLine="709"/>
        <w:jc w:val="both"/>
        <w:rPr>
          <w:rFonts w:ascii="Arial Narrow" w:hAnsi="Arial Narrow" w:cs="Arial"/>
          <w:sz w:val="28"/>
          <w:szCs w:val="28"/>
        </w:rPr>
      </w:pPr>
    </w:p>
    <w:p w:rsidR="00EB0CD4" w:rsidRPr="004E3B17" w:rsidRDefault="00EB0CD4" w:rsidP="00EB0CD4">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 xml:space="preserve">El artículo 231 del Código Procesal Administrativo para el Estado de San Luis Potosí dispone que, podrán demandar o intervenir en el juicio, quienes detenten interés jurídico o legítimo que funde su pretensión; por su parte, el artículo 228, fracción II, del Código Procesal Administrativo para el Estado, establece la improcedencia del Juicio Contencioso Administrativo en contra de </w:t>
      </w:r>
      <w:r w:rsidRPr="004E3B17">
        <w:rPr>
          <w:rFonts w:ascii="Arial Narrow" w:hAnsi="Arial Narrow" w:cs="Arial"/>
          <w:sz w:val="28"/>
          <w:szCs w:val="28"/>
        </w:rPr>
        <w:lastRenderedPageBreak/>
        <w:t>actos que no afecten los interés del jurídicos o legítimos del actor; estas disposiciones implican, que el acto de autoridad que se impugna en el juicio ante este Tribunal, debe vulnerar la esfera jurídica de la parte actora para dar nacimiento al derecho de demandar, puesto que, se exige la afectación para la procedencia del juicio.</w:t>
      </w:r>
    </w:p>
    <w:p w:rsidR="00EB0CD4" w:rsidRPr="004E3B17" w:rsidRDefault="00EB0CD4" w:rsidP="00EB0CD4">
      <w:pPr>
        <w:spacing w:after="0" w:line="360" w:lineRule="auto"/>
        <w:ind w:firstLine="709"/>
        <w:jc w:val="both"/>
        <w:rPr>
          <w:rFonts w:ascii="Arial Narrow" w:hAnsi="Arial Narrow" w:cs="Arial"/>
          <w:sz w:val="28"/>
          <w:szCs w:val="28"/>
        </w:rPr>
      </w:pPr>
    </w:p>
    <w:p w:rsidR="00EB0CD4" w:rsidRPr="004E3B17" w:rsidRDefault="00EB0CD4" w:rsidP="00EB0CD4">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En tal virtud, no es suficiente que el acto de autoridad toque dicha esfera jurídica o la ponga en riesgo, las normas exigen la efectividad en el daño, esto es, que se trastoque la esfera de derechos del administrado, toda vez que, es esa afectación lo que hace procedente el juicio, y lo que desde luego da sustento a la pretensión de nulidad del acto impugnado, es decir la hace fundada, pues da lugar a que se inicie el Juicio Contencioso Administrativo, en el que de obtener sentencia favorable, le será restituido el goce de los derechos desconocidos o violentados, conforme a lo que ordena el artículo 252 del Código Procesal en cita.</w:t>
      </w:r>
    </w:p>
    <w:p w:rsidR="00EB0CD4" w:rsidRPr="004E3B17" w:rsidRDefault="00EB0CD4" w:rsidP="00EB0CD4">
      <w:pPr>
        <w:spacing w:after="0" w:line="360" w:lineRule="auto"/>
        <w:ind w:firstLine="709"/>
        <w:jc w:val="both"/>
        <w:rPr>
          <w:rFonts w:ascii="Arial Narrow" w:hAnsi="Arial Narrow" w:cs="Arial"/>
          <w:sz w:val="28"/>
          <w:szCs w:val="28"/>
        </w:rPr>
      </w:pPr>
    </w:p>
    <w:p w:rsidR="00EB0CD4" w:rsidRPr="004E3B17" w:rsidRDefault="00EB0CD4" w:rsidP="00EB0CD4">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En ese orden de ideas, se destaca, que la afectación a la esfera jurídica, es un elemento común, es decir opera cuando hablamos de interés legítimo (como es el caso) o de interés jurídico, es por tanto, el elemento sustancial del interés, es pues, lo que da lugar a la restitución en el goce de derechos, ya sea que le hubieren sido desconocidos o violentados.   Lo anterior obliga, entonces, a que con su actuar, la autoridad cause de manera efectiva una afectación al administrado, para que éste se encuentre en condiciones de comparecer a juicio solicitando la nulidad del acto de autoridad.</w:t>
      </w:r>
    </w:p>
    <w:p w:rsidR="00EB0CD4" w:rsidRPr="00F071A3" w:rsidRDefault="00EB0CD4" w:rsidP="00EB0CD4">
      <w:pPr>
        <w:spacing w:after="0" w:line="360" w:lineRule="auto"/>
        <w:ind w:firstLine="709"/>
        <w:jc w:val="both"/>
        <w:rPr>
          <w:rFonts w:ascii="Arial" w:hAnsi="Arial" w:cs="Arial"/>
          <w:sz w:val="24"/>
          <w:szCs w:val="24"/>
        </w:rPr>
      </w:pPr>
    </w:p>
    <w:p w:rsidR="00EB0CD4" w:rsidRPr="004E3B17" w:rsidRDefault="00EB0CD4" w:rsidP="00EB0CD4">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En lo que al interés legítimo se refiere, es necesario además, que concurran ciertas circunstancias o elementos diversos, para que, el accionante se encuentre en posibilidad de acudir a juicio contencioso bajo el amparo de la figura del interés legítimo.</w:t>
      </w:r>
    </w:p>
    <w:p w:rsidR="00EB0CD4" w:rsidRPr="004E3B17" w:rsidRDefault="00EB0CD4" w:rsidP="00EB0CD4">
      <w:pPr>
        <w:spacing w:after="0" w:line="360" w:lineRule="auto"/>
        <w:ind w:firstLine="709"/>
        <w:jc w:val="both"/>
        <w:rPr>
          <w:rFonts w:ascii="Arial Narrow" w:hAnsi="Arial Narrow" w:cs="Arial"/>
          <w:sz w:val="28"/>
          <w:szCs w:val="28"/>
        </w:rPr>
      </w:pPr>
    </w:p>
    <w:p w:rsidR="00EB0CD4" w:rsidRPr="004E3B17" w:rsidRDefault="00EB0CD4" w:rsidP="00EB0CD4">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El artículo 231 del Código Procesal Administrativo para el Estado de San Luis Potosí, dispone que tienen “</w:t>
      </w:r>
      <w:r w:rsidRPr="004E3B17">
        <w:rPr>
          <w:rFonts w:ascii="Arial Narrow" w:hAnsi="Arial Narrow" w:cs="Arial"/>
          <w:i/>
          <w:sz w:val="28"/>
          <w:szCs w:val="28"/>
        </w:rPr>
        <w:t>interés legítimo quienes invoquen situaciones de hecho protegidas por el orden jurídico, tanto de un sujeto determinado como de los integrantes de un grupo de individuos diferenciados del conjunto general de la sociedad</w:t>
      </w:r>
      <w:r w:rsidRPr="004E3B17">
        <w:rPr>
          <w:rFonts w:ascii="Arial Narrow" w:hAnsi="Arial Narrow" w:cs="Arial"/>
          <w:sz w:val="28"/>
          <w:szCs w:val="28"/>
        </w:rPr>
        <w:t>”.</w:t>
      </w:r>
    </w:p>
    <w:p w:rsidR="00EB0CD4" w:rsidRPr="004E3B17" w:rsidRDefault="00EB0CD4" w:rsidP="00EB0CD4">
      <w:pPr>
        <w:spacing w:after="0" w:line="360" w:lineRule="auto"/>
        <w:ind w:firstLine="709"/>
        <w:jc w:val="both"/>
        <w:rPr>
          <w:rFonts w:ascii="Arial Narrow" w:hAnsi="Arial Narrow" w:cs="Arial"/>
          <w:sz w:val="28"/>
          <w:szCs w:val="28"/>
        </w:rPr>
      </w:pPr>
    </w:p>
    <w:p w:rsidR="00EB0CD4" w:rsidRPr="004E3B17" w:rsidRDefault="00EB0CD4" w:rsidP="00F93F33">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De lo anterior, se sigue, que, cuando se acude a juicio al amparo de la figura de interés legítimo, además de la afectación, la parte actora debe precisar y demostrar cuál es la situación jurídica de hecho que protege el orden jurídico, y, que se trata de un sujeto determinado o un grupo de personas diferentes del conglomerado social, a efecto de establecer, que su interés es jurídicamente relevante, por ser, un interés cualificado, actual y real, en contrapos</w:t>
      </w:r>
      <w:r w:rsidR="00F93F33">
        <w:rPr>
          <w:rFonts w:ascii="Arial Narrow" w:hAnsi="Arial Narrow" w:cs="Arial"/>
          <w:sz w:val="28"/>
          <w:szCs w:val="28"/>
        </w:rPr>
        <w:t>ición a potencial o hipotético.</w:t>
      </w:r>
    </w:p>
    <w:p w:rsidR="00EB0CD4" w:rsidRPr="004E3B17" w:rsidRDefault="00EB0CD4" w:rsidP="00F93F33">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En se orden de ideas, para acudir a juicio contencioso administrativo bajo el amparo de la figura del interés legítimo, es necesario precisar y de</w:t>
      </w:r>
      <w:r w:rsidR="00F93F33">
        <w:rPr>
          <w:rFonts w:ascii="Arial Narrow" w:hAnsi="Arial Narrow" w:cs="Arial"/>
          <w:sz w:val="28"/>
          <w:szCs w:val="28"/>
        </w:rPr>
        <w:t>mostrar tres elementos a saber:</w:t>
      </w:r>
    </w:p>
    <w:p w:rsidR="00EB0CD4" w:rsidRPr="004E3B17" w:rsidRDefault="00EB0CD4" w:rsidP="00EB0CD4">
      <w:pPr>
        <w:numPr>
          <w:ilvl w:val="0"/>
          <w:numId w:val="17"/>
        </w:numPr>
        <w:spacing w:after="0" w:line="360" w:lineRule="auto"/>
        <w:jc w:val="both"/>
        <w:rPr>
          <w:rFonts w:ascii="Arial Narrow" w:hAnsi="Arial Narrow" w:cs="Arial"/>
          <w:sz w:val="28"/>
          <w:szCs w:val="28"/>
        </w:rPr>
      </w:pPr>
      <w:r w:rsidRPr="004E3B17">
        <w:rPr>
          <w:rFonts w:ascii="Arial Narrow" w:hAnsi="Arial Narrow" w:cs="Arial"/>
          <w:sz w:val="28"/>
          <w:szCs w:val="28"/>
        </w:rPr>
        <w:t>La afectación,  que se traduce en un daño efectivo a la esfera jurídica del Actor, es por tanto, el núcleo del interés;</w:t>
      </w:r>
    </w:p>
    <w:p w:rsidR="00EB0CD4" w:rsidRPr="004E3B17" w:rsidRDefault="00EB0CD4" w:rsidP="00EB0CD4">
      <w:pPr>
        <w:spacing w:after="0" w:line="360" w:lineRule="auto"/>
        <w:ind w:firstLine="709"/>
        <w:jc w:val="both"/>
        <w:rPr>
          <w:rFonts w:ascii="Arial Narrow" w:hAnsi="Arial Narrow" w:cs="Arial"/>
          <w:sz w:val="28"/>
          <w:szCs w:val="28"/>
        </w:rPr>
      </w:pPr>
    </w:p>
    <w:p w:rsidR="00EB0CD4" w:rsidRPr="004E3B17" w:rsidRDefault="00EB0CD4" w:rsidP="00EB0CD4">
      <w:pPr>
        <w:numPr>
          <w:ilvl w:val="0"/>
          <w:numId w:val="17"/>
        </w:numPr>
        <w:spacing w:after="0" w:line="360" w:lineRule="auto"/>
        <w:jc w:val="both"/>
        <w:rPr>
          <w:rFonts w:ascii="Arial Narrow" w:hAnsi="Arial Narrow" w:cs="Arial"/>
          <w:sz w:val="28"/>
          <w:szCs w:val="28"/>
        </w:rPr>
      </w:pPr>
      <w:r w:rsidRPr="004E3B17">
        <w:rPr>
          <w:rFonts w:ascii="Arial Narrow" w:hAnsi="Arial Narrow" w:cs="Arial"/>
          <w:sz w:val="28"/>
          <w:szCs w:val="28"/>
        </w:rPr>
        <w:t>Una situación de hecho protegida por el orden jurídico; esto se relaciona con el núcleo del interés, es decir con la afectación, en cuanto a que, se debe señalar o inferirse claramente de las argumentaciones que se exponen, cual es la situación fáctica prevista en el orden jurídico, cuya violación o desconocimiento causa la afectación al actor; no se trata de la mera alusión del o los dispositivos constitucionales o legales y cómo es que son desconocidos o violentados a consecuencia de la actuación de la autoridad, pues esto corresponde al fondo del asunto (legalidad o ilegalidad), y no a la procedencia del juicio; lo que se trata, es de establecer el nexo causal entre la actuación de la autoridad y la afectación producida al actor, que se da a través del desconocimiento o violación de una situación de hecho garantizada por el derecho objetivo, que sin conceder un derecho subjetivo a los administrados, si les confieren interés por ser destinatarios o beneficiarios de la norma, y;</w:t>
      </w:r>
    </w:p>
    <w:p w:rsidR="00EB0CD4" w:rsidRPr="004E3B17" w:rsidRDefault="00EB0CD4" w:rsidP="00EB0CD4">
      <w:pPr>
        <w:spacing w:after="0" w:line="360" w:lineRule="auto"/>
        <w:ind w:firstLine="709"/>
        <w:jc w:val="both"/>
        <w:rPr>
          <w:rFonts w:ascii="Arial Narrow" w:hAnsi="Arial Narrow" w:cs="Arial"/>
          <w:sz w:val="28"/>
          <w:szCs w:val="28"/>
        </w:rPr>
      </w:pPr>
    </w:p>
    <w:p w:rsidR="00EB0CD4" w:rsidRPr="004E3B17" w:rsidRDefault="00EB0CD4" w:rsidP="00EB0CD4">
      <w:pPr>
        <w:numPr>
          <w:ilvl w:val="0"/>
          <w:numId w:val="17"/>
        </w:numPr>
        <w:spacing w:after="0" w:line="360" w:lineRule="auto"/>
        <w:jc w:val="both"/>
        <w:rPr>
          <w:rFonts w:ascii="Arial Narrow" w:hAnsi="Arial Narrow" w:cs="Arial"/>
          <w:sz w:val="28"/>
          <w:szCs w:val="28"/>
        </w:rPr>
      </w:pPr>
      <w:r w:rsidRPr="004E3B17">
        <w:rPr>
          <w:rFonts w:ascii="Arial Narrow" w:hAnsi="Arial Narrow" w:cs="Arial"/>
          <w:sz w:val="28"/>
          <w:szCs w:val="28"/>
        </w:rPr>
        <w:t xml:space="preserve">La situación particular en que encuentra el administrado; esto se relaciona con lo anteriores elementos, es decir con la afectación y </w:t>
      </w:r>
      <w:r w:rsidRPr="004E3B17">
        <w:rPr>
          <w:rFonts w:ascii="Arial Narrow" w:hAnsi="Arial Narrow" w:cs="Arial"/>
          <w:sz w:val="28"/>
          <w:szCs w:val="28"/>
        </w:rPr>
        <w:lastRenderedPageBreak/>
        <w:t>con la situación de hecho protegida por el orden jurídico, en cuanto que, se debe establecer la diferenciación del administrado con el resto del conglomerado social, porque es lo que evidencia que éste tiene un interés propio y diverso al general o simple, que es un interés cualificado, actual y real, no hipotético o potencial, de manera tal, que es un interés jurídicamente relevante para el administrado porque le reportará un beneficio en su esfera jurídica.</w:t>
      </w:r>
    </w:p>
    <w:p w:rsidR="00EB0CD4" w:rsidRPr="00AB369E" w:rsidRDefault="00EB0CD4" w:rsidP="00F93F33">
      <w:pPr>
        <w:spacing w:after="0" w:line="360" w:lineRule="auto"/>
        <w:jc w:val="both"/>
        <w:rPr>
          <w:rFonts w:ascii="Arial" w:hAnsi="Arial" w:cs="Arial"/>
          <w:sz w:val="24"/>
          <w:szCs w:val="24"/>
        </w:rPr>
      </w:pPr>
    </w:p>
    <w:p w:rsidR="00EB0CD4" w:rsidRPr="004E3B17" w:rsidRDefault="00EB0CD4" w:rsidP="00F93F33">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Como quedó señalado con antelación, la parte actora no acreditó con medio de convicción alguno, el carácter de concesionario o permisionario y contar con un vehículo registrado ante la Secretaría de Comunicaciones y Transportes del Estado para prestar el servicio de transporte público al amparo de la concesión o permiso correspondiente, como tampoco haber hecho pago de los derechos de revista vehicular y refrendo ante la Secretaría de Finanzas de Gobierno del Estado; no obstante de que se duele que el acuerdo administrativo que impugna “</w:t>
      </w:r>
      <w:r w:rsidRPr="004E3B17">
        <w:rPr>
          <w:rFonts w:ascii="Arial Narrow" w:hAnsi="Arial Narrow" w:cs="Arial"/>
          <w:i/>
          <w:sz w:val="28"/>
          <w:szCs w:val="28"/>
        </w:rPr>
        <w:t>convoca a los concesionarios y permisionarios de las diversas modalidades del servicio público de transporte del Estado, entre las que se encuentra la de automóvil de alquiler de ruleteo, respecto del cual […] goza de un título de concesión</w:t>
      </w:r>
      <w:r w:rsidRPr="004E3B17">
        <w:rPr>
          <w:rFonts w:ascii="Arial Narrow" w:hAnsi="Arial Narrow" w:cs="Arial"/>
          <w:sz w:val="28"/>
          <w:szCs w:val="28"/>
        </w:rPr>
        <w:t>”.</w:t>
      </w:r>
    </w:p>
    <w:p w:rsidR="00EB0CD4" w:rsidRPr="004E3B17" w:rsidRDefault="00EB0CD4" w:rsidP="00F93F33">
      <w:pPr>
        <w:spacing w:after="0" w:line="360" w:lineRule="auto"/>
        <w:ind w:firstLine="709"/>
        <w:jc w:val="both"/>
        <w:rPr>
          <w:rFonts w:ascii="Arial Narrow" w:hAnsi="Arial Narrow" w:cs="Arial"/>
          <w:sz w:val="28"/>
          <w:szCs w:val="28"/>
        </w:rPr>
      </w:pPr>
      <w:r w:rsidRPr="004E3B17">
        <w:rPr>
          <w:rFonts w:ascii="Arial Narrow" w:hAnsi="Arial Narrow" w:cs="Arial"/>
          <w:sz w:val="28"/>
          <w:szCs w:val="28"/>
        </w:rPr>
        <w:t xml:space="preserve">Los medios de prueba ofertados por </w:t>
      </w:r>
      <w:proofErr w:type="gramStart"/>
      <w:r w:rsidRPr="004E3B17">
        <w:rPr>
          <w:rFonts w:ascii="Arial Narrow" w:hAnsi="Arial Narrow" w:cs="Arial"/>
          <w:sz w:val="28"/>
          <w:szCs w:val="28"/>
        </w:rPr>
        <w:t>la parte actora y admitidos</w:t>
      </w:r>
      <w:proofErr w:type="gramEnd"/>
      <w:r w:rsidRPr="004E3B17">
        <w:rPr>
          <w:rFonts w:ascii="Arial Narrow" w:hAnsi="Arial Narrow" w:cs="Arial"/>
          <w:sz w:val="28"/>
          <w:szCs w:val="28"/>
        </w:rPr>
        <w:t xml:space="preserve"> por esta Sal</w:t>
      </w:r>
      <w:r w:rsidR="00F93F33">
        <w:rPr>
          <w:rFonts w:ascii="Arial Narrow" w:hAnsi="Arial Narrow" w:cs="Arial"/>
          <w:sz w:val="28"/>
          <w:szCs w:val="28"/>
        </w:rPr>
        <w:t>a Unitaria, son los siguientes:</w:t>
      </w:r>
    </w:p>
    <w:p w:rsidR="00EB0CD4" w:rsidRPr="00126346" w:rsidRDefault="00EB0CD4" w:rsidP="005A0919">
      <w:pPr>
        <w:spacing w:after="0" w:line="360" w:lineRule="auto"/>
        <w:ind w:firstLine="709"/>
        <w:jc w:val="both"/>
        <w:rPr>
          <w:rFonts w:ascii="Arial Narrow" w:hAnsi="Arial Narrow" w:cs="Arial"/>
          <w:sz w:val="28"/>
          <w:szCs w:val="28"/>
        </w:rPr>
      </w:pPr>
      <w:r w:rsidRPr="00E03ECF">
        <w:rPr>
          <w:rFonts w:ascii="Arial Narrow" w:hAnsi="Arial Narrow" w:cs="Arial"/>
          <w:sz w:val="28"/>
          <w:szCs w:val="28"/>
        </w:rPr>
        <w:t>Copia fotostática de Título de Concesión a favor de</w:t>
      </w:r>
      <w:r w:rsidR="00B85AD1">
        <w:rPr>
          <w:rFonts w:ascii="Arial Narrow" w:hAnsi="Arial Narrow"/>
          <w:color w:val="FF0000"/>
          <w:sz w:val="28"/>
          <w:szCs w:val="28"/>
        </w:rPr>
        <w:t>**********</w:t>
      </w:r>
      <w:r w:rsidR="00126346">
        <w:rPr>
          <w:rFonts w:ascii="Arial Narrow" w:hAnsi="Arial Narrow" w:cs="Arial"/>
          <w:sz w:val="28"/>
          <w:szCs w:val="28"/>
        </w:rPr>
        <w:t xml:space="preserve">, </w:t>
      </w:r>
      <w:r w:rsidRPr="00E03ECF">
        <w:rPr>
          <w:rFonts w:ascii="Arial Narrow" w:hAnsi="Arial Narrow" w:cs="Arial"/>
          <w:sz w:val="28"/>
          <w:szCs w:val="28"/>
        </w:rPr>
        <w:t>con fecha de expedición 25 de agosto de 2022, que obra a foja 17 del presente sumario; a la cual, al tratarse de información de un documento público reproducida a través de un medio tecnológico aportado por la ciencia y no haber sido objetada, se le otorga valor probatorio pleno, de conformidad con el artículo 76 del Código Procesal Administrativo para el Estado de San Luis Potosí; sin embargo, su contenido no es idóneo y apto para acreditar que el accionante cuenta con “</w:t>
      </w:r>
      <w:r w:rsidRPr="00E03ECF">
        <w:rPr>
          <w:rFonts w:ascii="Arial Narrow" w:hAnsi="Arial Narrow" w:cs="Arial"/>
          <w:i/>
          <w:sz w:val="28"/>
          <w:szCs w:val="28"/>
        </w:rPr>
        <w:t>Título de Concesión con folio</w:t>
      </w:r>
      <w:r w:rsidR="00B85AD1">
        <w:rPr>
          <w:rFonts w:ascii="Arial Narrow" w:hAnsi="Arial Narrow"/>
          <w:color w:val="FF0000"/>
          <w:sz w:val="28"/>
          <w:szCs w:val="28"/>
        </w:rPr>
        <w:t>**********</w:t>
      </w:r>
      <w:r w:rsidRPr="00E03ECF">
        <w:rPr>
          <w:rFonts w:ascii="Arial Narrow" w:hAnsi="Arial Narrow" w:cs="Arial"/>
          <w:i/>
          <w:sz w:val="28"/>
          <w:szCs w:val="28"/>
        </w:rPr>
        <w:t>, número Económico</w:t>
      </w:r>
      <w:r w:rsidR="00B85AD1">
        <w:rPr>
          <w:rFonts w:ascii="Arial Narrow" w:hAnsi="Arial Narrow"/>
          <w:color w:val="FF0000"/>
          <w:sz w:val="28"/>
          <w:szCs w:val="28"/>
        </w:rPr>
        <w:t>**********</w:t>
      </w:r>
      <w:r w:rsidRPr="00E03ECF">
        <w:rPr>
          <w:rFonts w:ascii="Arial Narrow" w:hAnsi="Arial Narrow" w:cs="Arial"/>
          <w:i/>
          <w:sz w:val="28"/>
          <w:szCs w:val="28"/>
        </w:rPr>
        <w:t>, expedido el 24 de abril de 2009</w:t>
      </w:r>
      <w:r w:rsidRPr="00E03ECF">
        <w:rPr>
          <w:rFonts w:ascii="Arial Narrow" w:hAnsi="Arial Narrow" w:cs="Arial"/>
          <w:sz w:val="28"/>
          <w:szCs w:val="28"/>
        </w:rPr>
        <w:t xml:space="preserve">”, como lo afirmó en su demanda la parte actora, pues no coincide la información que aparece en la copia fotostática con los hechos </w:t>
      </w:r>
      <w:r w:rsidRPr="00126346">
        <w:rPr>
          <w:rFonts w:ascii="Arial Narrow" w:hAnsi="Arial Narrow" w:cs="Arial"/>
          <w:sz w:val="28"/>
          <w:szCs w:val="28"/>
        </w:rPr>
        <w:t xml:space="preserve">aseverados por la accionante; por lo que la prueba aportada es </w:t>
      </w:r>
      <w:r w:rsidR="009E2580" w:rsidRPr="00126346">
        <w:rPr>
          <w:rFonts w:ascii="Arial Narrow" w:hAnsi="Arial Narrow" w:cs="Arial"/>
          <w:sz w:val="28"/>
          <w:szCs w:val="28"/>
        </w:rPr>
        <w:t xml:space="preserve"> </w:t>
      </w:r>
      <w:r w:rsidRPr="00126346">
        <w:rPr>
          <w:rFonts w:ascii="Arial Narrow" w:hAnsi="Arial Narrow" w:cs="Arial"/>
          <w:sz w:val="28"/>
          <w:szCs w:val="28"/>
        </w:rPr>
        <w:t>impertinente a los fines del juicio, por no referirse a los hechos en que se |sustenta la demanda.</w:t>
      </w:r>
    </w:p>
    <w:p w:rsidR="00391CF6" w:rsidRPr="00391CF6" w:rsidRDefault="00391CF6" w:rsidP="00391CF6">
      <w:pPr>
        <w:spacing w:after="0" w:line="360" w:lineRule="auto"/>
        <w:ind w:firstLine="709"/>
        <w:jc w:val="both"/>
        <w:rPr>
          <w:rFonts w:ascii="Arial Narrow" w:hAnsi="Arial Narrow" w:cs="Arial"/>
          <w:color w:val="FF0000"/>
          <w:sz w:val="28"/>
          <w:szCs w:val="28"/>
        </w:rPr>
      </w:pPr>
      <w:r w:rsidRPr="00391CF6">
        <w:rPr>
          <w:rFonts w:ascii="Arial Narrow" w:hAnsi="Arial Narrow" w:cs="Arial"/>
          <w:sz w:val="28"/>
          <w:szCs w:val="28"/>
        </w:rPr>
        <w:lastRenderedPageBreak/>
        <w:t>Documental privada, consistente en copia simple de</w:t>
      </w:r>
      <w:r>
        <w:rPr>
          <w:rFonts w:ascii="Arial Narrow" w:hAnsi="Arial Narrow" w:cs="Arial"/>
          <w:sz w:val="28"/>
          <w:szCs w:val="28"/>
        </w:rPr>
        <w:t xml:space="preserve"> </w:t>
      </w:r>
      <w:r w:rsidRPr="00391CF6">
        <w:rPr>
          <w:rFonts w:ascii="Arial Narrow" w:hAnsi="Arial Narrow" w:cs="Arial"/>
          <w:color w:val="FF0000"/>
          <w:sz w:val="28"/>
          <w:szCs w:val="28"/>
        </w:rPr>
        <w:t xml:space="preserve">Carátula de </w:t>
      </w:r>
      <w:r>
        <w:rPr>
          <w:rFonts w:ascii="Arial Narrow" w:hAnsi="Arial Narrow" w:cs="Arial"/>
          <w:color w:val="FF0000"/>
          <w:sz w:val="28"/>
          <w:szCs w:val="28"/>
        </w:rPr>
        <w:t>S</w:t>
      </w:r>
      <w:r w:rsidRPr="00391CF6">
        <w:rPr>
          <w:rFonts w:ascii="Arial Narrow" w:hAnsi="Arial Narrow" w:cs="Arial"/>
          <w:color w:val="FF0000"/>
          <w:sz w:val="28"/>
          <w:szCs w:val="28"/>
        </w:rPr>
        <w:t xml:space="preserve">eguro de Automóviles </w:t>
      </w:r>
      <w:r>
        <w:rPr>
          <w:rFonts w:ascii="Arial Narrow" w:hAnsi="Arial Narrow" w:cs="Arial"/>
          <w:color w:val="FF0000"/>
          <w:sz w:val="28"/>
          <w:szCs w:val="28"/>
        </w:rPr>
        <w:t>S</w:t>
      </w:r>
      <w:r w:rsidRPr="00391CF6">
        <w:rPr>
          <w:rFonts w:ascii="Arial Narrow" w:hAnsi="Arial Narrow" w:cs="Arial"/>
          <w:color w:val="FF0000"/>
          <w:sz w:val="28"/>
          <w:szCs w:val="28"/>
        </w:rPr>
        <w:t>ervicio Público “</w:t>
      </w:r>
      <w:r w:rsidR="00B85AD1">
        <w:rPr>
          <w:rFonts w:ascii="Arial Narrow" w:hAnsi="Arial Narrow"/>
          <w:color w:val="FF0000"/>
          <w:sz w:val="28"/>
          <w:szCs w:val="28"/>
        </w:rPr>
        <w:t>**********</w:t>
      </w:r>
      <w:r w:rsidRPr="00391CF6">
        <w:rPr>
          <w:rFonts w:ascii="Arial Narrow" w:hAnsi="Arial Narrow" w:cs="Arial"/>
          <w:color w:val="FF0000"/>
          <w:sz w:val="28"/>
          <w:szCs w:val="28"/>
        </w:rPr>
        <w:t>”</w:t>
      </w:r>
      <w:r w:rsidRPr="00391CF6">
        <w:rPr>
          <w:rFonts w:ascii="Arial Narrow" w:hAnsi="Arial Narrow" w:cs="Arial"/>
          <w:sz w:val="28"/>
          <w:szCs w:val="28"/>
        </w:rPr>
        <w:t>, de “</w:t>
      </w:r>
      <w:r w:rsidR="00B85AD1">
        <w:rPr>
          <w:rFonts w:ascii="Arial Narrow" w:hAnsi="Arial Narrow"/>
          <w:color w:val="FF0000"/>
          <w:sz w:val="28"/>
          <w:szCs w:val="28"/>
        </w:rPr>
        <w:t>**********</w:t>
      </w:r>
      <w:r w:rsidRPr="00391CF6">
        <w:rPr>
          <w:rFonts w:ascii="Arial Narrow" w:hAnsi="Arial Narrow" w:cs="Arial"/>
          <w:sz w:val="28"/>
          <w:szCs w:val="28"/>
        </w:rPr>
        <w:t>”, que obra a foja</w:t>
      </w:r>
      <w:r>
        <w:rPr>
          <w:rFonts w:ascii="Arial Narrow" w:hAnsi="Arial Narrow" w:cs="Arial"/>
          <w:sz w:val="28"/>
          <w:szCs w:val="28"/>
        </w:rPr>
        <w:t xml:space="preserve"> </w:t>
      </w:r>
      <w:r w:rsidRPr="00391CF6">
        <w:rPr>
          <w:rFonts w:ascii="Arial Narrow" w:hAnsi="Arial Narrow" w:cs="Arial"/>
          <w:sz w:val="28"/>
          <w:szCs w:val="28"/>
        </w:rPr>
        <w:t>18 del presente sumario; a la cual no se le otorga valor probatorio alguno, en virtud de que, acorde a lo dispuesto por los artículos 91 y 93 del Código Procesal Administrativo, los documentos privados deben presentarse en original; sin que se óbice a lo anterior el que no haya sido objetada, por tratarse de una copia fotostática de un documento privado, cuyo original tiene el actor la obligación de mantener consigo; en todo caso, dicha copia sólo acreditaría que se realizó un pago a una persona moral por</w:t>
      </w:r>
      <w:r w:rsidR="00B85AD1">
        <w:rPr>
          <w:rFonts w:ascii="Arial Narrow" w:hAnsi="Arial Narrow"/>
          <w:color w:val="FF0000"/>
          <w:sz w:val="28"/>
          <w:szCs w:val="28"/>
        </w:rPr>
        <w:t>**********</w:t>
      </w:r>
      <w:r w:rsidRPr="00391CF6">
        <w:rPr>
          <w:rFonts w:ascii="Arial Narrow" w:hAnsi="Arial Narrow" w:cs="Arial"/>
          <w:sz w:val="28"/>
          <w:szCs w:val="28"/>
        </w:rPr>
        <w:t>, pero es impertinente para los fines del juicio, ya que no acredita que la parte actora cuente con “</w:t>
      </w:r>
      <w:r w:rsidRPr="00391CF6">
        <w:rPr>
          <w:rFonts w:ascii="Arial Narrow" w:hAnsi="Arial Narrow" w:cs="Arial"/>
          <w:i/>
          <w:sz w:val="28"/>
          <w:szCs w:val="28"/>
        </w:rPr>
        <w:t>Título de Concesión con folio</w:t>
      </w:r>
      <w:r w:rsidR="00B85AD1">
        <w:rPr>
          <w:rFonts w:ascii="Arial Narrow" w:hAnsi="Arial Narrow"/>
          <w:color w:val="FF0000"/>
          <w:sz w:val="28"/>
          <w:szCs w:val="28"/>
        </w:rPr>
        <w:t>**********</w:t>
      </w:r>
      <w:r w:rsidRPr="00391CF6">
        <w:rPr>
          <w:rFonts w:ascii="Arial Narrow" w:hAnsi="Arial Narrow" w:cs="Arial"/>
          <w:i/>
          <w:sz w:val="28"/>
          <w:szCs w:val="28"/>
        </w:rPr>
        <w:t>, número Económico</w:t>
      </w:r>
      <w:r w:rsidR="00B85AD1">
        <w:rPr>
          <w:rFonts w:ascii="Arial Narrow" w:hAnsi="Arial Narrow"/>
          <w:color w:val="FF0000"/>
          <w:sz w:val="28"/>
          <w:szCs w:val="28"/>
        </w:rPr>
        <w:t>**********</w:t>
      </w:r>
      <w:r w:rsidRPr="00391CF6">
        <w:rPr>
          <w:rFonts w:ascii="Arial Narrow" w:hAnsi="Arial Narrow" w:cs="Arial"/>
          <w:i/>
          <w:sz w:val="28"/>
          <w:szCs w:val="28"/>
        </w:rPr>
        <w:t>, expedido el 24 de abril de 2009</w:t>
      </w:r>
      <w:r w:rsidRPr="00391CF6">
        <w:rPr>
          <w:rFonts w:ascii="Arial Narrow" w:hAnsi="Arial Narrow" w:cs="Arial"/>
          <w:sz w:val="28"/>
          <w:szCs w:val="28"/>
        </w:rPr>
        <w:t>”, o un vehículo de su propiedad registrado ante la Secretaría de Comunicaciones y Transportes del Estado para prestar el servicio de transporte público al amparo de la concesión o permiso correspondiente, como tampoco haber hecho pago de los derechos de revista vehicular y refrendo ante la Secretaría de Finanzas de Gobierno del Estado para participar en la convocatoria que contiene el acuerdo administrativo que se impugna.</w:t>
      </w:r>
    </w:p>
    <w:p w:rsidR="00391CF6" w:rsidRDefault="00391CF6" w:rsidP="00391CF6">
      <w:pPr>
        <w:spacing w:after="0" w:line="360" w:lineRule="auto"/>
        <w:jc w:val="both"/>
        <w:rPr>
          <w:rFonts w:ascii="Arial Narrow" w:hAnsi="Arial Narrow" w:cs="Arial"/>
          <w:sz w:val="28"/>
          <w:szCs w:val="28"/>
        </w:rPr>
      </w:pPr>
    </w:p>
    <w:p w:rsidR="00D4336A" w:rsidRPr="00D4336A" w:rsidRDefault="00EB0CD4" w:rsidP="00D4336A">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 xml:space="preserve">Copia fotostática de TARJETA DE CIRCULACIÓN, con </w:t>
      </w:r>
      <w:r w:rsidR="00391CF6">
        <w:rPr>
          <w:rFonts w:ascii="Arial Narrow" w:hAnsi="Arial Narrow" w:cs="Arial"/>
          <w:sz w:val="28"/>
          <w:szCs w:val="28"/>
        </w:rPr>
        <w:t>fecha de expedición 06/03</w:t>
      </w:r>
      <w:r w:rsidRPr="00216413">
        <w:rPr>
          <w:rFonts w:ascii="Arial Narrow" w:hAnsi="Arial Narrow" w:cs="Arial"/>
          <w:sz w:val="28"/>
          <w:szCs w:val="28"/>
        </w:rPr>
        <w:t>/2025, respecto a un vehículo marca</w:t>
      </w:r>
      <w:r w:rsidR="00B85AD1">
        <w:rPr>
          <w:rFonts w:ascii="Arial Narrow" w:hAnsi="Arial Narrow"/>
          <w:color w:val="FF0000"/>
          <w:sz w:val="28"/>
          <w:szCs w:val="28"/>
        </w:rPr>
        <w:t>**********</w:t>
      </w:r>
      <w:r w:rsidR="00391CF6">
        <w:rPr>
          <w:rFonts w:ascii="Arial Narrow" w:hAnsi="Arial Narrow" w:cs="Arial"/>
          <w:sz w:val="28"/>
          <w:szCs w:val="28"/>
        </w:rPr>
        <w:t>.</w:t>
      </w:r>
      <w:r w:rsidR="00987C1A">
        <w:rPr>
          <w:rFonts w:ascii="Arial Narrow" w:hAnsi="Arial Narrow" w:cs="Arial"/>
          <w:sz w:val="28"/>
          <w:szCs w:val="28"/>
        </w:rPr>
        <w:t>, modelo</w:t>
      </w:r>
      <w:r w:rsidR="00B85AD1">
        <w:rPr>
          <w:rFonts w:ascii="Arial Narrow" w:hAnsi="Arial Narrow"/>
          <w:color w:val="FF0000"/>
          <w:sz w:val="28"/>
          <w:szCs w:val="28"/>
        </w:rPr>
        <w:t>**********</w:t>
      </w:r>
      <w:bookmarkStart w:id="0" w:name="_GoBack"/>
      <w:bookmarkEnd w:id="0"/>
      <w:r w:rsidRPr="00216413">
        <w:rPr>
          <w:rFonts w:ascii="Arial Narrow" w:hAnsi="Arial Narrow" w:cs="Arial"/>
          <w:sz w:val="28"/>
          <w:szCs w:val="28"/>
        </w:rPr>
        <w:t>, con Placas</w:t>
      </w:r>
      <w:r w:rsidR="00B85AD1">
        <w:rPr>
          <w:rFonts w:ascii="Arial Narrow" w:hAnsi="Arial Narrow"/>
          <w:color w:val="FF0000"/>
          <w:sz w:val="28"/>
          <w:szCs w:val="28"/>
        </w:rPr>
        <w:t>**********</w:t>
      </w:r>
      <w:r w:rsidRPr="00216413">
        <w:rPr>
          <w:rFonts w:ascii="Arial Narrow" w:hAnsi="Arial Narrow" w:cs="Arial"/>
          <w:sz w:val="28"/>
          <w:szCs w:val="28"/>
        </w:rPr>
        <w:t>, a nombre de</w:t>
      </w:r>
      <w:r w:rsidR="00B85AD1">
        <w:rPr>
          <w:rFonts w:ascii="Arial Narrow" w:hAnsi="Arial Narrow"/>
          <w:color w:val="FF0000"/>
          <w:sz w:val="28"/>
          <w:szCs w:val="28"/>
        </w:rPr>
        <w:t>**********</w:t>
      </w:r>
      <w:r w:rsidRPr="00216413">
        <w:rPr>
          <w:rFonts w:ascii="Arial Narrow" w:hAnsi="Arial Narrow" w:cs="Arial"/>
          <w:sz w:val="28"/>
          <w:szCs w:val="28"/>
        </w:rPr>
        <w:t>, que obra a foja 19 del presente sumario; a la cual, al tratarse de información de un documento público reproducida a través de un medio tecnológico aportado por la ciencia y no haber sido objetada, se le otorga valor probatorio pleno, de conformidad con el artículo 76 del Código Procesal Administrativo para el Estado de San Luis Potosí; sin embargo, su contenido no es idóneo y apto para acreditar que el accionante cuenta con “</w:t>
      </w:r>
      <w:r w:rsidRPr="00216413">
        <w:rPr>
          <w:rFonts w:ascii="Arial Narrow" w:hAnsi="Arial Narrow" w:cs="Arial"/>
          <w:i/>
          <w:sz w:val="28"/>
          <w:szCs w:val="28"/>
        </w:rPr>
        <w:t xml:space="preserve">Título de Concesión </w:t>
      </w:r>
      <w:r w:rsidRPr="00D4336A">
        <w:rPr>
          <w:rFonts w:ascii="Arial Narrow" w:hAnsi="Arial Narrow" w:cs="Arial"/>
          <w:i/>
          <w:sz w:val="28"/>
          <w:szCs w:val="28"/>
        </w:rPr>
        <w:t>con folio</w:t>
      </w:r>
      <w:r w:rsidR="00B85AD1">
        <w:rPr>
          <w:rFonts w:ascii="Arial Narrow" w:hAnsi="Arial Narrow"/>
          <w:color w:val="FF0000"/>
          <w:sz w:val="28"/>
          <w:szCs w:val="28"/>
        </w:rPr>
        <w:t>**********</w:t>
      </w:r>
      <w:r w:rsidRPr="00D4336A">
        <w:rPr>
          <w:rFonts w:ascii="Arial Narrow" w:hAnsi="Arial Narrow" w:cs="Arial"/>
          <w:i/>
          <w:sz w:val="28"/>
          <w:szCs w:val="28"/>
        </w:rPr>
        <w:t>, número Económico</w:t>
      </w:r>
      <w:r w:rsidR="00B85AD1">
        <w:rPr>
          <w:rFonts w:ascii="Arial Narrow" w:hAnsi="Arial Narrow"/>
          <w:color w:val="FF0000"/>
          <w:sz w:val="28"/>
          <w:szCs w:val="28"/>
        </w:rPr>
        <w:t>**********</w:t>
      </w:r>
      <w:r w:rsidRPr="00D4336A">
        <w:rPr>
          <w:rFonts w:ascii="Arial Narrow" w:hAnsi="Arial Narrow" w:cs="Arial"/>
          <w:i/>
          <w:sz w:val="28"/>
          <w:szCs w:val="28"/>
        </w:rPr>
        <w:t>, expedido el 24 de abril de 2009</w:t>
      </w:r>
      <w:r w:rsidRPr="00D4336A">
        <w:rPr>
          <w:rFonts w:ascii="Arial Narrow" w:hAnsi="Arial Narrow" w:cs="Arial"/>
          <w:sz w:val="28"/>
          <w:szCs w:val="28"/>
        </w:rPr>
        <w:t xml:space="preserve">”, como lo afirmó en su demanda la parte actora, como tampoco acredita que el actor cuente con un vehículo de su propiedad registrado ante la Secretaría de Comunicaciones y Transportes del Estado para prestar el servicio de transporte público al amparo de la concesión o permiso correspondiente, como tampoco haber hecho pago de los derechos de revista vehicular y refrendo ante la Secretaría de Finanzas de Gobierno del Estado para participar en la </w:t>
      </w:r>
      <w:r w:rsidRPr="00D4336A">
        <w:rPr>
          <w:rFonts w:ascii="Arial Narrow" w:hAnsi="Arial Narrow" w:cs="Arial"/>
          <w:sz w:val="28"/>
          <w:szCs w:val="28"/>
        </w:rPr>
        <w:lastRenderedPageBreak/>
        <w:t>convocatoria que contiene el acuerd</w:t>
      </w:r>
      <w:r w:rsidR="00D4336A" w:rsidRPr="00D4336A">
        <w:rPr>
          <w:rFonts w:ascii="Arial Narrow" w:hAnsi="Arial Narrow" w:cs="Arial"/>
          <w:sz w:val="28"/>
          <w:szCs w:val="28"/>
        </w:rPr>
        <w:t>o administrativo que se impugna; pues el citado documento lo único que acredita es que la unidad que refiere en su texto cuenta con permiso para circular.</w:t>
      </w:r>
    </w:p>
    <w:p w:rsidR="00D4336A" w:rsidRPr="00D4336A" w:rsidRDefault="00D4336A" w:rsidP="00D4336A">
      <w:pPr>
        <w:spacing w:after="0" w:line="360" w:lineRule="auto"/>
        <w:ind w:firstLine="709"/>
        <w:jc w:val="both"/>
        <w:rPr>
          <w:rFonts w:ascii="Arial Narrow" w:hAnsi="Arial Narrow" w:cs="Arial"/>
          <w:sz w:val="28"/>
          <w:szCs w:val="28"/>
        </w:rPr>
      </w:pPr>
      <w:r w:rsidRPr="00D4336A">
        <w:rPr>
          <w:rFonts w:ascii="Arial Narrow" w:hAnsi="Arial Narrow" w:cs="Arial"/>
          <w:sz w:val="28"/>
          <w:szCs w:val="28"/>
        </w:rPr>
        <w:t>Sobre el particular, es aplicable la jurisprudencia de la Primera Sala de la Suprema Corte de Justicia de la Nación, tesis 1a</w:t>
      </w:r>
      <w:proofErr w:type="gramStart"/>
      <w:r w:rsidRPr="00D4336A">
        <w:rPr>
          <w:rFonts w:ascii="Arial Narrow" w:hAnsi="Arial Narrow" w:cs="Arial"/>
          <w:sz w:val="28"/>
          <w:szCs w:val="28"/>
        </w:rPr>
        <w:t>./</w:t>
      </w:r>
      <w:proofErr w:type="gramEnd"/>
      <w:r w:rsidRPr="00D4336A">
        <w:rPr>
          <w:rFonts w:ascii="Arial Narrow" w:hAnsi="Arial Narrow" w:cs="Arial"/>
          <w:sz w:val="28"/>
          <w:szCs w:val="28"/>
        </w:rPr>
        <w:t>J. 61/2007, Semanario Judicial de la Federación y su Gaceta. Tomo XXVI, Julio de 2007, página 175, Registro Digital: 171897</w:t>
      </w:r>
      <w:r>
        <w:rPr>
          <w:rFonts w:ascii="Arial Narrow" w:hAnsi="Arial Narrow" w:cs="Arial"/>
          <w:sz w:val="28"/>
          <w:szCs w:val="28"/>
        </w:rPr>
        <w:t>, que establece:</w:t>
      </w:r>
    </w:p>
    <w:p w:rsidR="00D4336A" w:rsidRPr="00D4336A" w:rsidRDefault="00D4336A" w:rsidP="00D4336A">
      <w:pPr>
        <w:spacing w:after="0" w:line="240" w:lineRule="auto"/>
        <w:ind w:left="567" w:right="618"/>
        <w:jc w:val="both"/>
        <w:rPr>
          <w:rFonts w:ascii="Arial Narrow" w:hAnsi="Arial Narrow" w:cs="Arial"/>
          <w:sz w:val="24"/>
          <w:szCs w:val="24"/>
        </w:rPr>
      </w:pPr>
      <w:r w:rsidRPr="00D4336A">
        <w:rPr>
          <w:rFonts w:ascii="Arial Narrow" w:hAnsi="Arial Narrow" w:cs="Arial"/>
          <w:b/>
          <w:sz w:val="24"/>
          <w:szCs w:val="24"/>
        </w:rPr>
        <w:t xml:space="preserve">TARJETA DE CIRCULACIÓN VEHICULAR. NO ES UN DOCUMENTO IDÓNEO, POR SÍ MISMO, PARA ACREDITAR EL INTERÉS JURÍDICO DE QUIEN PROMUEVE EL JUICIO DE AMPARO EN CALIDAD DE PROPIETARIO DEL VEHÍCULO AUTOMOTRIZ A QUE SE REFIERE.   </w:t>
      </w:r>
      <w:r w:rsidRPr="00D4336A">
        <w:rPr>
          <w:rFonts w:ascii="Arial Narrow" w:hAnsi="Arial Narrow" w:cs="Arial"/>
          <w:sz w:val="24"/>
          <w:szCs w:val="24"/>
        </w:rPr>
        <w:t>Esta Suprema Corte de Justicia de la Nación ha sostenido en diversas tesis que el interés jurídico en el juicio de amparo debe acreditarse fehacientemente y no inferirse con base en presunciones. El interés jurídico está directamente vinculado con el derecho que se dice vulnerado por el acto de autoridad, por lo cual, cuando se acude al juicio de amparo reclamando el acto consistente en el embargo trabado sobre un vehículo automotriz por afectar el derecho de propiedad del quejoso, debe demostrarse que el quejoso es titular de tal derecho a fin de demostrar el interés jurídico en el juicio de amparo. Ahora bien, la tarjeta de circulación vehicular sólo permite la identificación del vehículo automotriz referido en ella, es decir, su alcance probatorio se limita a comprobar que el vehículo que describe cuenta con el permiso de circulación respectivo; de ahí que dicha tarjeta, por sí misma, no sea un documento idóneo para acreditar la propiedad del vehículo, pues sólo establece una presunción respecto de ese derecho y, como se ha dicho, el interés jurídico debe acreditarse fehacientemente y no con base en presunciones.</w:t>
      </w:r>
    </w:p>
    <w:p w:rsidR="00EB0CD4" w:rsidRPr="00216413" w:rsidRDefault="00EB0CD4" w:rsidP="00D4336A">
      <w:pPr>
        <w:spacing w:after="0" w:line="360" w:lineRule="auto"/>
        <w:jc w:val="both"/>
        <w:rPr>
          <w:rFonts w:ascii="Arial Narrow" w:hAnsi="Arial Narrow" w:cs="Arial"/>
          <w:sz w:val="28"/>
          <w:szCs w:val="28"/>
        </w:rPr>
      </w:pPr>
    </w:p>
    <w:p w:rsidR="00EB0CD4" w:rsidRPr="00216413" w:rsidRDefault="00EB0CD4" w:rsidP="00EB0CD4">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 xml:space="preserve">Medios probatorios que, con independencia del valor probatorio que merezcan, lo cierto es que ninguna de ellas es idónea para demostrar que la accionista cuenta con el título de concesión con </w:t>
      </w:r>
      <w:r w:rsidRPr="00216413">
        <w:rPr>
          <w:rFonts w:ascii="Arial Narrow" w:hAnsi="Arial Narrow" w:cs="Arial"/>
          <w:color w:val="FF0000"/>
          <w:sz w:val="28"/>
          <w:szCs w:val="28"/>
        </w:rPr>
        <w:t>Folio</w:t>
      </w:r>
      <w:r w:rsidR="00B85AD1">
        <w:rPr>
          <w:rFonts w:ascii="Arial Narrow" w:hAnsi="Arial Narrow"/>
          <w:color w:val="FF0000"/>
          <w:sz w:val="28"/>
          <w:szCs w:val="28"/>
        </w:rPr>
        <w:t>**********</w:t>
      </w:r>
      <w:r w:rsidRPr="00216413">
        <w:rPr>
          <w:rFonts w:ascii="Arial Narrow" w:hAnsi="Arial Narrow" w:cs="Arial"/>
          <w:sz w:val="28"/>
          <w:szCs w:val="28"/>
        </w:rPr>
        <w:t>, número económico</w:t>
      </w:r>
      <w:r w:rsidR="00B85AD1">
        <w:rPr>
          <w:rFonts w:ascii="Arial Narrow" w:hAnsi="Arial Narrow"/>
          <w:color w:val="FF0000"/>
          <w:sz w:val="28"/>
          <w:szCs w:val="28"/>
        </w:rPr>
        <w:t>**********</w:t>
      </w:r>
      <w:r w:rsidRPr="00216413">
        <w:rPr>
          <w:rFonts w:ascii="Arial Narrow" w:hAnsi="Arial Narrow" w:cs="Arial"/>
          <w:sz w:val="28"/>
          <w:szCs w:val="28"/>
        </w:rPr>
        <w:t>, expedido el veinticuatro de abril de dos mil nueve, que refiere en su demanda la actora, por lo que n</w:t>
      </w:r>
      <w:r w:rsidR="007C702A">
        <w:rPr>
          <w:rFonts w:ascii="Arial Narrow" w:hAnsi="Arial Narrow" w:cs="Arial"/>
          <w:sz w:val="28"/>
          <w:szCs w:val="28"/>
        </w:rPr>
        <w:t xml:space="preserve">o se </w:t>
      </w:r>
      <w:r w:rsidRPr="00216413">
        <w:rPr>
          <w:rFonts w:ascii="Arial Narrow" w:hAnsi="Arial Narrow" w:cs="Arial"/>
          <w:sz w:val="28"/>
          <w:szCs w:val="28"/>
        </w:rPr>
        <w:t>demuestra contar con un vehículo de su propiedad registrado ante la Secretaría de Comunicaciones y Transportes del Estado para prestar el servicio de transporte público al amparo de la concesión o permiso correspondiente, o haber hecho pago de los derechos de revista vehicular y refrendo ante la Secretaría de Finanzas de Gobierno del Estado para participar en la convocatoria; por tanto, tienen estéril alcance probatorio en ese sentido.</w:t>
      </w:r>
    </w:p>
    <w:p w:rsidR="00EB0CD4" w:rsidRPr="00216413" w:rsidRDefault="00EB0CD4" w:rsidP="00EB0CD4">
      <w:pPr>
        <w:spacing w:after="0" w:line="360" w:lineRule="auto"/>
        <w:ind w:firstLine="709"/>
        <w:jc w:val="both"/>
        <w:rPr>
          <w:rFonts w:ascii="Arial Narrow" w:hAnsi="Arial Narrow" w:cs="Arial"/>
          <w:sz w:val="28"/>
          <w:szCs w:val="28"/>
        </w:rPr>
      </w:pPr>
    </w:p>
    <w:p w:rsidR="00EB0CD4" w:rsidRPr="00216413" w:rsidRDefault="00EB0CD4" w:rsidP="00F93F33">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En efecto, los medios de prueba reseñados con antelación, no son aptos ni suficientes para acreditar el interés legítimo de la parte actora, pues no demuestran la afirmación del accionante en el sentido de ser “</w:t>
      </w:r>
      <w:r w:rsidRPr="00216413">
        <w:rPr>
          <w:rFonts w:ascii="Arial Narrow" w:hAnsi="Arial Narrow" w:cs="Arial"/>
          <w:i/>
          <w:sz w:val="28"/>
          <w:szCs w:val="28"/>
        </w:rPr>
        <w:t xml:space="preserve">una persona física que hace de su principal actividad productiva la explotación de la concesión del servicio público de transporte en la zona metropolitana de los municipios de San </w:t>
      </w:r>
      <w:r w:rsidRPr="00216413">
        <w:rPr>
          <w:rFonts w:ascii="Arial Narrow" w:hAnsi="Arial Narrow" w:cs="Arial"/>
          <w:i/>
          <w:sz w:val="28"/>
          <w:szCs w:val="28"/>
        </w:rPr>
        <w:lastRenderedPageBreak/>
        <w:t>Luis Potosí y Soledad de Graciano Sánchez, en la modalidad de automóvil de alquiler de ruleteo, consignada en el Título de Concesión con folio</w:t>
      </w:r>
      <w:r w:rsidR="00B85AD1">
        <w:rPr>
          <w:rFonts w:ascii="Arial Narrow" w:hAnsi="Arial Narrow"/>
          <w:color w:val="FF0000"/>
          <w:sz w:val="28"/>
          <w:szCs w:val="28"/>
        </w:rPr>
        <w:t>**********</w:t>
      </w:r>
      <w:r w:rsidRPr="00216413">
        <w:rPr>
          <w:rFonts w:ascii="Arial Narrow" w:hAnsi="Arial Narrow" w:cs="Arial"/>
          <w:i/>
          <w:sz w:val="28"/>
          <w:szCs w:val="28"/>
        </w:rPr>
        <w:t>, número Económico</w:t>
      </w:r>
      <w:r w:rsidR="00B85AD1">
        <w:rPr>
          <w:rFonts w:ascii="Arial Narrow" w:hAnsi="Arial Narrow"/>
          <w:color w:val="FF0000"/>
          <w:sz w:val="28"/>
          <w:szCs w:val="28"/>
        </w:rPr>
        <w:t>**********</w:t>
      </w:r>
      <w:r w:rsidRPr="00216413">
        <w:rPr>
          <w:rFonts w:ascii="Arial Narrow" w:hAnsi="Arial Narrow" w:cs="Arial"/>
          <w:i/>
          <w:sz w:val="28"/>
          <w:szCs w:val="28"/>
        </w:rPr>
        <w:t>, expedido el 24 de abril de 2009</w:t>
      </w:r>
      <w:r w:rsidRPr="00216413">
        <w:rPr>
          <w:rFonts w:ascii="Arial Narrow" w:hAnsi="Arial Narrow" w:cs="Arial"/>
          <w:sz w:val="28"/>
          <w:szCs w:val="28"/>
        </w:rPr>
        <w:t>”, toda vez que dichas probanzas no aportan datos relativos a la concesión con el folio, número y fecha de expedición que menciona; como tampoco de su contenido se advierte que la parte actora cuente con un vehículo de su propiedad registrado ante la Secretaría de Comunicaciones y Transportes del Estado para prestar el servicio de transporte público al amparo de la concesión con Folio</w:t>
      </w:r>
      <w:r w:rsidR="00B85AD1">
        <w:rPr>
          <w:rFonts w:ascii="Arial Narrow" w:hAnsi="Arial Narrow"/>
          <w:color w:val="FF0000"/>
          <w:sz w:val="28"/>
          <w:szCs w:val="28"/>
        </w:rPr>
        <w:t>**********</w:t>
      </w:r>
      <w:r w:rsidRPr="00216413">
        <w:rPr>
          <w:rFonts w:ascii="Arial Narrow" w:hAnsi="Arial Narrow" w:cs="Arial"/>
          <w:sz w:val="28"/>
          <w:szCs w:val="28"/>
        </w:rPr>
        <w:t>, número económico</w:t>
      </w:r>
      <w:r w:rsidR="00B85AD1">
        <w:rPr>
          <w:rFonts w:ascii="Arial Narrow" w:hAnsi="Arial Narrow"/>
          <w:color w:val="FF0000"/>
          <w:sz w:val="28"/>
          <w:szCs w:val="28"/>
        </w:rPr>
        <w:t>**********</w:t>
      </w:r>
      <w:r w:rsidRPr="00216413">
        <w:rPr>
          <w:rFonts w:ascii="Arial Narrow" w:hAnsi="Arial Narrow" w:cs="Arial"/>
          <w:sz w:val="28"/>
          <w:szCs w:val="28"/>
        </w:rPr>
        <w:t>, expedida el 24 de abril de 2009, como tampoco que la accionista haya hecho pago de los derechos de revista vehicular y refrendo ante la Secretaría de Finanzas de Gobierno del Estado para participar en la convocatoria que contiene el acuerdo administrativo que se impugna.</w:t>
      </w:r>
    </w:p>
    <w:p w:rsidR="00EB0CD4" w:rsidRPr="00216413" w:rsidRDefault="00EB0CD4" w:rsidP="00EB0CD4">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Sirve de apoyo a lo anterior, la jurisprudencia I.7o.A. J/36, de la Novena Época, registro 172000, sustentada por el Séptimo Tribunal Colegiado en Materia Administrativa del Primer Circuito, localizable en el Semanario Judicial de la Federación y su Gaceta, Tomo XXVI, Julio de 2007, Materia(s): Administrativa, página: 2331, de epígrafe y texto siguientes:</w:t>
      </w:r>
    </w:p>
    <w:p w:rsidR="00EB0CD4" w:rsidRPr="00216413" w:rsidRDefault="00EB0CD4" w:rsidP="00EB0CD4">
      <w:pPr>
        <w:spacing w:after="0" w:line="360" w:lineRule="auto"/>
        <w:ind w:firstLine="709"/>
        <w:jc w:val="both"/>
        <w:rPr>
          <w:rFonts w:ascii="Arial Narrow" w:hAnsi="Arial Narrow" w:cs="Arial"/>
          <w:sz w:val="24"/>
          <w:szCs w:val="24"/>
        </w:rPr>
      </w:pPr>
    </w:p>
    <w:p w:rsidR="00EB0CD4" w:rsidRPr="00216413" w:rsidRDefault="00EB0CD4" w:rsidP="00EB0CD4">
      <w:pPr>
        <w:spacing w:after="0" w:line="240" w:lineRule="auto"/>
        <w:ind w:left="567" w:right="618"/>
        <w:jc w:val="both"/>
        <w:rPr>
          <w:rFonts w:ascii="Arial Narrow" w:hAnsi="Arial Narrow" w:cs="Arial"/>
          <w:sz w:val="24"/>
          <w:szCs w:val="24"/>
        </w:rPr>
      </w:pPr>
      <w:r w:rsidRPr="00216413">
        <w:rPr>
          <w:rFonts w:ascii="Arial Narrow" w:hAnsi="Arial Narrow" w:cs="Arial"/>
          <w:b/>
          <w:sz w:val="24"/>
          <w:szCs w:val="24"/>
        </w:rPr>
        <w:t xml:space="preserve">JUICIO CONTENCIOSO ADMINISTRATIVO. TRATÁNDOSE DE ACTIVIDADES REGLAMENTADAS, PARA QUE EL PARTICULAR IMPUGNE LAS VIOLACIONES QUE CON MOTIVO DE ELLAS RESIENTA, ES NECESARIO ACREDITAR NO SÓLO EL INTERÉS LEGÍTIMO SINO TAMBIÉN EL JURÍDICO Y EXHIBIR LA LICENCIA, PERMISO O MANIFESTACIÓN QUE SE EXIJA PARA REALIZAR AQUÉLLAS (LEGISLACIÓN DEL DISTRITO FEDERAL).   </w:t>
      </w:r>
      <w:r w:rsidRPr="00216413">
        <w:rPr>
          <w:rFonts w:ascii="Arial Narrow" w:hAnsi="Arial Narrow" w:cs="Arial"/>
          <w:sz w:val="24"/>
          <w:szCs w:val="24"/>
        </w:rPr>
        <w:t>Si bien es cierto que para la procedencia del juicio de nulidad basta que la demandante acredite cualquier afectación a su esfera personal para estimar acreditado el interés legítimo, también lo es que ello no acontece tratándose de actividades reglamentadas, pues para ello debe demostrar que tiene interés jurídico como lo establece el párrafo segundo del artículo 34 de la Ley del Tribunal de lo Contencioso Administrativo del Distrito Federal. Esto es, cuando se trate de obtener una sentencia que permita la realización de actividades reglamentadas, no es suficiente contar con la titularidad de un derecho, sino que se requiere la exhibición de la licencia, permiso o manifestación que se exija para la realización de tales actividades (interés jurídico), pues debe acreditarse que se han satisfecho previamente los requisitos que establezcan los ordenamientos correspondientes, a fin de demostrar que se tiene el derecho de reclamar las violaciones que se aduzcan con motivo de dichas actividades reglamentadas en relación con el ejercicio de las facultades con que cuentan las autoridades.</w:t>
      </w:r>
    </w:p>
    <w:p w:rsidR="00EB0CD4" w:rsidRDefault="00EB0CD4" w:rsidP="00EB0CD4">
      <w:pPr>
        <w:spacing w:after="0" w:line="360" w:lineRule="auto"/>
        <w:ind w:firstLine="709"/>
        <w:jc w:val="both"/>
        <w:rPr>
          <w:rFonts w:ascii="Arial" w:hAnsi="Arial" w:cs="Arial"/>
          <w:sz w:val="24"/>
          <w:szCs w:val="24"/>
        </w:rPr>
      </w:pPr>
    </w:p>
    <w:p w:rsidR="00EB0CD4" w:rsidRPr="00216413" w:rsidRDefault="00EB0CD4" w:rsidP="00EB0CD4">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 xml:space="preserve">En ese contexto, se concluye válidamente que la parte actora no probó el carácter de concesionario o permisionario; contar con un vehículo registrado ante la Secretaría de Comunicaciones y Transportes del Estado para prestar el servicio </w:t>
      </w:r>
      <w:r w:rsidRPr="00216413">
        <w:rPr>
          <w:rFonts w:ascii="Arial Narrow" w:hAnsi="Arial Narrow" w:cs="Arial"/>
          <w:sz w:val="28"/>
          <w:szCs w:val="28"/>
        </w:rPr>
        <w:lastRenderedPageBreak/>
        <w:t>de transporte público al amparo de la concesión que invoca; como tampoco acreditó haber hecho pago de los derechos de revista vehicular y refrendo ante la Secretaría de Finanzas de Gobierno del Estado a que alude la convocatoria contenida en el acuerdo administrativo impugnado, y por ende, no justificó la afectación a sus intereses legítimos.</w:t>
      </w:r>
    </w:p>
    <w:p w:rsidR="00EB0CD4" w:rsidRPr="00216413" w:rsidRDefault="00EB0CD4" w:rsidP="00EB0CD4">
      <w:pPr>
        <w:spacing w:after="0" w:line="360" w:lineRule="auto"/>
        <w:ind w:firstLine="709"/>
        <w:jc w:val="both"/>
        <w:rPr>
          <w:rFonts w:ascii="Arial Narrow" w:hAnsi="Arial Narrow" w:cs="Arial"/>
          <w:sz w:val="28"/>
          <w:szCs w:val="28"/>
        </w:rPr>
      </w:pPr>
    </w:p>
    <w:p w:rsidR="00EB0CD4" w:rsidRPr="00216413" w:rsidRDefault="00EB0CD4" w:rsidP="00F93F33">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En ese mismo orden de ideas, es evidente, que en términos de los artículos 231 y 228, fracción II, del Código Procesal Administrativo para el Estado de San Luis Potosí, la parte actora también estaba obligada a precisar y demostrar, cual fue la afectación que le causaron los actos impugnados, la situación de hecho protegida por el orden jurídico, y cuál es su situación particular que lo diferencia del c</w:t>
      </w:r>
      <w:r w:rsidR="00F93F33">
        <w:rPr>
          <w:rFonts w:ascii="Arial Narrow" w:hAnsi="Arial Narrow" w:cs="Arial"/>
          <w:sz w:val="28"/>
          <w:szCs w:val="28"/>
        </w:rPr>
        <w:t>onjunto general de la sociedad.</w:t>
      </w:r>
    </w:p>
    <w:p w:rsidR="00EB0CD4" w:rsidRPr="00216413" w:rsidRDefault="00EB0CD4" w:rsidP="00EB0CD4">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En el presente juicio no se demostró que la parte actora cuente con un vehículo de su propiedad registrado ante la Secretaría de Comunicaciones y Transportes del Estado para prestar el servicio de transporte público al amparo de la concesión con Folio</w:t>
      </w:r>
      <w:r w:rsidR="00B85AD1">
        <w:rPr>
          <w:rFonts w:ascii="Arial Narrow" w:hAnsi="Arial Narrow"/>
          <w:color w:val="FF0000"/>
          <w:sz w:val="28"/>
          <w:szCs w:val="28"/>
        </w:rPr>
        <w:t>**********</w:t>
      </w:r>
      <w:r w:rsidRPr="00216413">
        <w:rPr>
          <w:rFonts w:ascii="Arial Narrow" w:hAnsi="Arial Narrow" w:cs="Arial"/>
          <w:sz w:val="28"/>
          <w:szCs w:val="28"/>
        </w:rPr>
        <w:t>, número económico</w:t>
      </w:r>
      <w:r w:rsidR="00B85AD1">
        <w:rPr>
          <w:rFonts w:ascii="Arial Narrow" w:hAnsi="Arial Narrow"/>
          <w:color w:val="FF0000"/>
          <w:sz w:val="28"/>
          <w:szCs w:val="28"/>
        </w:rPr>
        <w:t>**********</w:t>
      </w:r>
      <w:r w:rsidRPr="00216413">
        <w:rPr>
          <w:rFonts w:ascii="Arial Narrow" w:hAnsi="Arial Narrow" w:cs="Arial"/>
          <w:sz w:val="28"/>
          <w:szCs w:val="28"/>
        </w:rPr>
        <w:t>, expedida el 24 de abril de 2009, como tampoco que la accionista haya hecho pago de los derechos de revista vehicular y refrendo ante la Secretaría de Finanzas de Gobierno del Estado para participar en la convocatoria que contiene el acuerdo administrativo que se impugna, pues con los medios de prueba ofrecidos no se acredita tales hechos, máxime que, aun cuando en el supuesto que haya demostrado tales cuestiones, ello no implica que le asista el interés legítimo para demandar la nulidad de los actos impugnados, pues para ello es menester que el acto impugnado cause un daño efectivo en la esfera jurídica de la actora, lo cual no puede tenerse por actualizado por la simple afirmación en el sentido de que: "</w:t>
      </w:r>
      <w:r w:rsidRPr="00216413">
        <w:rPr>
          <w:rFonts w:ascii="Arial Narrow" w:hAnsi="Arial Narrow" w:cs="Arial"/>
          <w:i/>
          <w:sz w:val="28"/>
          <w:szCs w:val="28"/>
        </w:rPr>
        <w:t xml:space="preserve">El </w:t>
      </w:r>
      <w:r w:rsidR="00216413">
        <w:rPr>
          <w:rFonts w:ascii="Arial Narrow" w:hAnsi="Arial Narrow" w:cs="Arial"/>
          <w:i/>
          <w:sz w:val="28"/>
          <w:szCs w:val="28"/>
        </w:rPr>
        <w:t>A</w:t>
      </w:r>
      <w:r w:rsidRPr="00216413">
        <w:rPr>
          <w:rFonts w:ascii="Arial Narrow" w:hAnsi="Arial Narrow" w:cs="Arial"/>
          <w:i/>
          <w:sz w:val="28"/>
          <w:szCs w:val="28"/>
        </w:rPr>
        <w:t>cuerdo administrativo que se impugna, por el que se convoca a los concesionarios y permisionarios de las diversas modalidades del servicio público de transporte en el Estado, entre las que se encuentra la de automóvil de alquiler de ruleteo, respecto de la cual quien suscribe goza de un título de concesión que se adjunta al presente, es violatorio de los artículos 16, primer párrafo, de la Constitución Política de los Estados Unidos Mexicanos; 81 fracción IX, párrafo primero de la Ley de Transporte del Estado; 164 fracción V y 165 fracción II del Código Procesal Administrativo para el Estado de San Luis Potosí</w:t>
      </w:r>
      <w:r w:rsidRPr="00216413">
        <w:rPr>
          <w:rFonts w:ascii="Arial Narrow" w:hAnsi="Arial Narrow" w:cs="Arial"/>
          <w:sz w:val="28"/>
          <w:szCs w:val="28"/>
        </w:rPr>
        <w:t xml:space="preserve">”, en virtud de que </w:t>
      </w:r>
      <w:r w:rsidRPr="00216413">
        <w:rPr>
          <w:rFonts w:ascii="Arial Narrow" w:hAnsi="Arial Narrow" w:cs="Arial"/>
          <w:i/>
          <w:sz w:val="28"/>
          <w:szCs w:val="28"/>
          <w:u w:val="single"/>
        </w:rPr>
        <w:t xml:space="preserve">tal señalamiento no pone de manifiesto una afectación a la esfera de derechos </w:t>
      </w:r>
      <w:r w:rsidRPr="00216413">
        <w:rPr>
          <w:rFonts w:ascii="Arial Narrow" w:hAnsi="Arial Narrow" w:cs="Arial"/>
          <w:i/>
          <w:sz w:val="28"/>
          <w:szCs w:val="28"/>
          <w:u w:val="single"/>
        </w:rPr>
        <w:lastRenderedPageBreak/>
        <w:t>de la parte actora, en la medida que no se expresa la lesión que produce en su esfera jurídica la convocatoria de referencia, cuando no refiere haber realizado el pago de los derechos correspondientes para participar en la misma, máxime que las características qué permiten identificar el interés legítimo son, entre otras, que debe existir una afectación a la esfera jurídica del particular y qué la anulación del acto de autoridad produzca efectos en la esfera jurídica del gobernado</w:t>
      </w:r>
      <w:r w:rsidRPr="00216413">
        <w:rPr>
          <w:rFonts w:ascii="Arial Narrow" w:hAnsi="Arial Narrow" w:cs="Arial"/>
          <w:sz w:val="28"/>
          <w:szCs w:val="28"/>
        </w:rPr>
        <w:t>.</w:t>
      </w:r>
    </w:p>
    <w:p w:rsidR="00EB0CD4" w:rsidRPr="00216413" w:rsidRDefault="00EB0CD4" w:rsidP="00EB0CD4">
      <w:pPr>
        <w:spacing w:after="0" w:line="360" w:lineRule="auto"/>
        <w:ind w:firstLine="709"/>
        <w:jc w:val="both"/>
        <w:rPr>
          <w:rFonts w:ascii="Arial Narrow" w:hAnsi="Arial Narrow" w:cs="Arial"/>
          <w:sz w:val="28"/>
          <w:szCs w:val="28"/>
        </w:rPr>
      </w:pPr>
    </w:p>
    <w:p w:rsidR="00EB0CD4" w:rsidRPr="00216413" w:rsidRDefault="00EB0CD4" w:rsidP="00216413">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 xml:space="preserve">Lo anterior así se afirma, pues el interés legítimo es aquel que tienen aquellas personas que por la situación objetiva en que se encuentran, por una circunstancia de carácter personal o por ser las destinatarias de una norma, son titulares de un interés propio, distinto del de los demás individuos y tendente a que los poderes públicos actúen de acuerdo con el ordenamiento jurídico cuando, con motivo de la persecución de sus propios fines generales incidan en el ámbito de su interés propio, aunque la actuación de que se trate no les ocasione, en concreto, un beneficio o servicio inmediato; que el interés legítimo existe siempre que pueda presumirse que la declaración jurídica pretendida habría de colocar al accionante en condiciones de conseguir un determinado beneficio, sin que sea necesario que quede asegurado de antemano que forzosamente haya de obtenerlo, ni que deba tener apoyo en un precepto legal expreso y declarativo de derechos; que en estas condiciones, la afectación al interés legítimo se acredita cuando la situación de hecho creada o que pudiera crear el acto impugnado pueda ocasionar un perjuicio, siempre que éste no sea indirecto sino resultado inmediato de la resolución que se dicte o llegue a dictarse; que para la procedencia del juicio administrativo basta con que el acto de autoridad impugnado afecte la esfera jurídica del actor, para que le asista un interés legítimo para demandar la nulidad de ese acto, resultando intrascendente para este propósito, que sea o no titular del respectivo derecho subjetivo, pues el interés que debe justificar el accionante no es el relativo a acreditar su pretensión, sino el que le asiste para iniciar la acción; y que en estas condiciones, es evidente que el interés legítimo difiere del interés jurídico, de ahí que para la procedencia del juicio de nulidad ante este Tribunal, basta que el actor resulte afectado en su esfera jurídica con el acto administrativo cuya nulidad demanda, para la procedencia de la instancia, siendo </w:t>
      </w:r>
      <w:r w:rsidRPr="00216413">
        <w:rPr>
          <w:rFonts w:ascii="Arial Narrow" w:hAnsi="Arial Narrow" w:cs="Arial"/>
          <w:sz w:val="28"/>
          <w:szCs w:val="28"/>
        </w:rPr>
        <w:lastRenderedPageBreak/>
        <w:t xml:space="preserve">obvio que si se demuestra la existencia del interés jurídico, procederá </w:t>
      </w:r>
      <w:r w:rsidR="00216413">
        <w:rPr>
          <w:rFonts w:ascii="Arial Narrow" w:hAnsi="Arial Narrow" w:cs="Arial"/>
          <w:sz w:val="28"/>
          <w:szCs w:val="28"/>
        </w:rPr>
        <w:t>el juicio por mayoría de razón.</w:t>
      </w:r>
    </w:p>
    <w:p w:rsidR="00EB0CD4" w:rsidRPr="00216413" w:rsidRDefault="00EB0CD4" w:rsidP="00216413">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Al respecto, es aplicables la jurisprudencia, Novena Época, Tesis 2a</w:t>
      </w:r>
      <w:proofErr w:type="gramStart"/>
      <w:r w:rsidRPr="00216413">
        <w:rPr>
          <w:rFonts w:ascii="Arial Narrow" w:hAnsi="Arial Narrow" w:cs="Arial"/>
          <w:sz w:val="28"/>
          <w:szCs w:val="28"/>
        </w:rPr>
        <w:t>./</w:t>
      </w:r>
      <w:proofErr w:type="gramEnd"/>
      <w:r w:rsidRPr="00216413">
        <w:rPr>
          <w:rFonts w:ascii="Arial Narrow" w:hAnsi="Arial Narrow" w:cs="Arial"/>
          <w:sz w:val="28"/>
          <w:szCs w:val="28"/>
        </w:rPr>
        <w:t>J. 141/2002, Semanario Judicial de la Federación y su Gaceta, Tomo XVI, Diciembre de 2002, página 241, Registro Digital 185377,  que enseguida se transcribe:</w:t>
      </w:r>
    </w:p>
    <w:p w:rsidR="00EB0CD4" w:rsidRPr="00216413" w:rsidRDefault="00EB0CD4" w:rsidP="00EB0CD4">
      <w:pPr>
        <w:spacing w:after="0" w:line="240" w:lineRule="auto"/>
        <w:ind w:left="567" w:right="618"/>
        <w:jc w:val="both"/>
        <w:rPr>
          <w:rFonts w:ascii="Arial Narrow" w:hAnsi="Arial Narrow" w:cs="Arial"/>
          <w:sz w:val="24"/>
          <w:szCs w:val="24"/>
        </w:rPr>
      </w:pPr>
      <w:r w:rsidRPr="00216413">
        <w:rPr>
          <w:rFonts w:ascii="Arial Narrow" w:hAnsi="Arial Narrow" w:cs="Arial"/>
          <w:b/>
          <w:sz w:val="24"/>
          <w:szCs w:val="24"/>
        </w:rPr>
        <w:t xml:space="preserve">INTERÉS LEGÍTIMO E INTERÉS JURÍDICO. AMBOS TÉRMINOS TIENEN DIFERENTE CONNOTACIÓN EN EL JUICIO CONTENCIOSO ADMINISTRATIVO.   </w:t>
      </w:r>
      <w:r w:rsidRPr="00216413">
        <w:rPr>
          <w:rFonts w:ascii="Arial Narrow" w:hAnsi="Arial Narrow" w:cs="Arial"/>
          <w:sz w:val="24"/>
          <w:szCs w:val="24"/>
        </w:rPr>
        <w:t xml:space="preserve">De los diversos procesos de reformas y adiciones a la abrogada Ley del Tribunal de lo Contencioso Administrativo del Distrito Federal, y del que dio lugar a la Ley en vigor, se desprende que el legislador ordinario en todo momento tuvo presente las diferencias existentes entre el interés jurídico y el legítimo, lo cual se evidencia aún más en las discusiones correspondientes a los procesos legislativos de mil novecientos ochenta y seis, y mil novecientos noventa y cinco. De hecho, uno de los principales objetivos pretendidos con este último, fue precisamente permitir el acceso a la justicia administrativa a aquellos particulares afectados en su esfera jurídica por actos administrativos (interés legítimo), no obstante carecieran de la titularidad del derecho subjetivo respectivo (interés jurídico), con la finalidad clara de ampliar el número de gobernados que pudieran </w:t>
      </w:r>
      <w:proofErr w:type="spellStart"/>
      <w:r w:rsidRPr="00216413">
        <w:rPr>
          <w:rFonts w:ascii="Arial Narrow" w:hAnsi="Arial Narrow" w:cs="Arial"/>
          <w:sz w:val="24"/>
          <w:szCs w:val="24"/>
        </w:rPr>
        <w:t>accesar</w:t>
      </w:r>
      <w:proofErr w:type="spellEnd"/>
      <w:r w:rsidRPr="00216413">
        <w:rPr>
          <w:rFonts w:ascii="Arial Narrow" w:hAnsi="Arial Narrow" w:cs="Arial"/>
          <w:sz w:val="24"/>
          <w:szCs w:val="24"/>
        </w:rPr>
        <w:t xml:space="preserve"> al procedimiento en defensa de sus intereses. Así, el interés jurídico tiene una connotación diversa a la del legítimo, pues mientras el primero requiere que se acredite la afectación a un derecho subjetivo, el segundo supone únicamente la existencia de un interés cualificado respecto de la legalidad de los actos impugnados, interés que proviene de la afectación a la esfera jurídica del individuo, ya sea directa o derivada de su situación particular respecto del orden jurídico.</w:t>
      </w:r>
    </w:p>
    <w:p w:rsidR="00EB0CD4" w:rsidRDefault="00EB0CD4" w:rsidP="00EB0CD4">
      <w:pPr>
        <w:spacing w:after="0" w:line="360" w:lineRule="auto"/>
        <w:ind w:firstLine="709"/>
        <w:jc w:val="both"/>
        <w:rPr>
          <w:rFonts w:ascii="Arial" w:hAnsi="Arial" w:cs="Arial"/>
          <w:sz w:val="24"/>
          <w:szCs w:val="24"/>
        </w:rPr>
      </w:pPr>
    </w:p>
    <w:p w:rsidR="00EB0CD4" w:rsidRPr="00216413" w:rsidRDefault="00EB0CD4" w:rsidP="00EB0CD4">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Así como la jurisprudencia, Novena Época, Tesis 2a</w:t>
      </w:r>
      <w:proofErr w:type="gramStart"/>
      <w:r w:rsidRPr="00216413">
        <w:rPr>
          <w:rFonts w:ascii="Arial Narrow" w:hAnsi="Arial Narrow" w:cs="Arial"/>
          <w:sz w:val="28"/>
          <w:szCs w:val="28"/>
        </w:rPr>
        <w:t>./</w:t>
      </w:r>
      <w:proofErr w:type="gramEnd"/>
      <w:r w:rsidRPr="00216413">
        <w:rPr>
          <w:rFonts w:ascii="Arial Narrow" w:hAnsi="Arial Narrow" w:cs="Arial"/>
          <w:sz w:val="28"/>
          <w:szCs w:val="28"/>
        </w:rPr>
        <w:t>J. 142/2002, Semanario Judicial de la Federación y su Gaceta, Tomo XVI, Diciembre de 2002, página: 242, Registro Digital 185376, que reza:</w:t>
      </w:r>
    </w:p>
    <w:p w:rsidR="00EB0CD4" w:rsidRPr="00216413" w:rsidRDefault="00EB0CD4" w:rsidP="00EB0CD4">
      <w:pPr>
        <w:spacing w:after="0" w:line="360" w:lineRule="auto"/>
        <w:ind w:firstLine="709"/>
        <w:jc w:val="both"/>
        <w:rPr>
          <w:rFonts w:ascii="Arial Narrow" w:hAnsi="Arial Narrow" w:cs="Arial"/>
          <w:sz w:val="28"/>
          <w:szCs w:val="28"/>
        </w:rPr>
      </w:pPr>
    </w:p>
    <w:p w:rsidR="00EB0CD4" w:rsidRPr="00216413" w:rsidRDefault="00EB0CD4" w:rsidP="00EB0CD4">
      <w:pPr>
        <w:spacing w:after="0" w:line="240" w:lineRule="auto"/>
        <w:ind w:left="567" w:right="618"/>
        <w:jc w:val="both"/>
        <w:rPr>
          <w:rFonts w:ascii="Arial Narrow" w:hAnsi="Arial Narrow" w:cs="Arial"/>
          <w:sz w:val="24"/>
          <w:szCs w:val="24"/>
        </w:rPr>
      </w:pPr>
      <w:r w:rsidRPr="00216413">
        <w:rPr>
          <w:rFonts w:ascii="Arial Narrow" w:hAnsi="Arial Narrow" w:cs="Arial"/>
          <w:b/>
          <w:sz w:val="24"/>
          <w:szCs w:val="24"/>
        </w:rPr>
        <w:t xml:space="preserve">INTERÉS LEGÍTIMO, NOCIÓN DE, PARA LA PROCEDENCIA DEL JUICIO ANTE EL TRIBUNAL DE LO CONTENCIOSO ADMINISTRATIVO DEL DISTRITO FEDERAL.   </w:t>
      </w:r>
      <w:r w:rsidRPr="00216413">
        <w:rPr>
          <w:rFonts w:ascii="Arial Narrow" w:hAnsi="Arial Narrow" w:cs="Arial"/>
          <w:sz w:val="24"/>
          <w:szCs w:val="24"/>
        </w:rPr>
        <w:t xml:space="preserve">De acuerdo con los artículos 34 y 72, fracción V, de la Ley del Tribunal de lo Contencioso Administrativo del Distrito Federal, para la procedencia del juicio administrativo basta con que el acto de autoridad impugnado afecte la esfera jurídica del actor, para que le asista un interés legítimo para demandar la nulidad de ese acto, resultando intrascendente, para este propósito, que sea, o no, titular del respectivo derecho subjetivo, pues el interés que debe justificar el accionante no es el relativo a acreditar su pretensión, sino el que le asiste para iniciar la acción. En efecto, tales preceptos aluden a la procedencia o improcedencia del juicio administrativo, a los presupuestos de  admisibilidad de la acción ante el Tribunal de lo Contencioso Administrativo; así, lo que se plantea en dichos preceptos es una cuestión de legitimación para ejercer la acción, mas no el deber del actor de acreditar el derecho que alegue que le asiste, pues esto último es una cuestión que atañe al fondo del asunto. De esta forma resulta procedente el juicio que intenten los particulares no sólo contra actos de la autoridad administrativa que afecten sus derechos subjetivos (interés jurídico), sino también y de manera más amplia, frente a violaciones que no lesionen propiamente intereses jurídicos, ya que basta una lesión objetiva a la esfera jurídica de la persona física o moral derivada de su peculiar situación que tienen en el orden jurídico, de donde se sigue que los preceptos de la ley analizada, al requerir un interés legítimo como presupuesto de admisibilidad de la </w:t>
      </w:r>
      <w:r w:rsidRPr="00216413">
        <w:rPr>
          <w:rFonts w:ascii="Arial Narrow" w:hAnsi="Arial Narrow" w:cs="Arial"/>
          <w:sz w:val="24"/>
          <w:szCs w:val="24"/>
        </w:rPr>
        <w:lastRenderedPageBreak/>
        <w:t>acción correspondiente, también comprende por mayoría de razón al referido interés jurídico, al resultar aquél de mayores alcances que éste.</w:t>
      </w:r>
    </w:p>
    <w:p w:rsidR="00EB0CD4" w:rsidRPr="00216413" w:rsidRDefault="00EB0CD4" w:rsidP="00EB0CD4">
      <w:pPr>
        <w:spacing w:after="0" w:line="360" w:lineRule="auto"/>
        <w:ind w:firstLine="709"/>
        <w:jc w:val="both"/>
        <w:rPr>
          <w:rFonts w:ascii="Arial Narrow" w:hAnsi="Arial Narrow" w:cs="Arial"/>
          <w:sz w:val="28"/>
          <w:szCs w:val="28"/>
        </w:rPr>
      </w:pPr>
    </w:p>
    <w:p w:rsidR="00EB0CD4" w:rsidRPr="00216413" w:rsidRDefault="00EB0CD4" w:rsidP="00EB0CD4">
      <w:pPr>
        <w:spacing w:after="0" w:line="360" w:lineRule="auto"/>
        <w:ind w:firstLine="709"/>
        <w:jc w:val="both"/>
        <w:rPr>
          <w:rFonts w:ascii="Arial Narrow" w:eastAsia="Times New Roman" w:hAnsi="Arial Narrow" w:cs="Arial"/>
          <w:sz w:val="28"/>
          <w:szCs w:val="28"/>
          <w:lang w:eastAsia="es-ES"/>
        </w:rPr>
      </w:pPr>
      <w:r w:rsidRPr="00216413">
        <w:rPr>
          <w:rFonts w:ascii="Arial Narrow" w:hAnsi="Arial Narrow" w:cs="Arial"/>
          <w:sz w:val="28"/>
          <w:szCs w:val="28"/>
        </w:rPr>
        <w:t xml:space="preserve">Una vez precisado lo anterior, y bajo la premisa de que la parte actora estaba obligada a demostrar, cual fue la afectación que le causó el acto impugnado, la situación de hecho protegida por el orden jurídico y cuál es su situación particular que lo diferencia del conjunto general de la sociedad; del análisis integral del escrito de demanda, esta </w:t>
      </w:r>
      <w:r w:rsidR="00216413">
        <w:rPr>
          <w:rFonts w:ascii="Arial Narrow" w:hAnsi="Arial Narrow" w:cs="Arial"/>
          <w:sz w:val="28"/>
          <w:szCs w:val="28"/>
        </w:rPr>
        <w:t xml:space="preserve">Primera </w:t>
      </w:r>
      <w:r w:rsidRPr="00216413">
        <w:rPr>
          <w:rFonts w:ascii="Arial Narrow" w:hAnsi="Arial Narrow" w:cs="Arial"/>
          <w:sz w:val="28"/>
          <w:szCs w:val="28"/>
        </w:rPr>
        <w:t>Sala Unitaria concluye que en el mismo, la parte actora, si bien señala contar con el “</w:t>
      </w:r>
      <w:r w:rsidRPr="00216413">
        <w:rPr>
          <w:rFonts w:ascii="Arial Narrow" w:hAnsi="Arial Narrow" w:cs="Arial"/>
          <w:i/>
          <w:sz w:val="28"/>
          <w:szCs w:val="28"/>
        </w:rPr>
        <w:t>Título de Concesión con folio</w:t>
      </w:r>
      <w:r w:rsidR="00B85AD1">
        <w:rPr>
          <w:rFonts w:ascii="Arial Narrow" w:hAnsi="Arial Narrow"/>
          <w:color w:val="FF0000"/>
          <w:sz w:val="28"/>
          <w:szCs w:val="28"/>
        </w:rPr>
        <w:t>**********</w:t>
      </w:r>
      <w:r w:rsidRPr="00216413">
        <w:rPr>
          <w:rFonts w:ascii="Arial Narrow" w:hAnsi="Arial Narrow" w:cs="Arial"/>
          <w:i/>
          <w:sz w:val="28"/>
          <w:szCs w:val="28"/>
        </w:rPr>
        <w:t>, número Económico</w:t>
      </w:r>
      <w:r w:rsidR="00B85AD1">
        <w:rPr>
          <w:rFonts w:ascii="Arial Narrow" w:hAnsi="Arial Narrow"/>
          <w:color w:val="FF0000"/>
          <w:sz w:val="28"/>
          <w:szCs w:val="28"/>
        </w:rPr>
        <w:t>**********</w:t>
      </w:r>
      <w:r w:rsidRPr="00216413">
        <w:rPr>
          <w:rFonts w:ascii="Arial Narrow" w:hAnsi="Arial Narrow" w:cs="Arial"/>
          <w:i/>
          <w:sz w:val="28"/>
          <w:szCs w:val="28"/>
        </w:rPr>
        <w:t>, expedido el 24 de abril de 2009</w:t>
      </w:r>
      <w:r w:rsidRPr="00216413">
        <w:rPr>
          <w:rFonts w:ascii="Arial Narrow" w:hAnsi="Arial Narrow" w:cs="Arial"/>
          <w:sz w:val="28"/>
          <w:szCs w:val="28"/>
        </w:rPr>
        <w:t xml:space="preserve">”, no acompaña dicha concesión, no identifica el vehículo registrado ante la Secretaría de Comunicaciones y Transportes al amparo de dicha concesión, ni refiere haber cubierto el pago de los derechos de revista vehicular y refrendo ante la Secretaría de Finanzas de </w:t>
      </w:r>
      <w:r w:rsidRPr="00216413">
        <w:rPr>
          <w:rFonts w:ascii="Arial Narrow" w:eastAsia="Times New Roman" w:hAnsi="Arial Narrow" w:cs="Arial"/>
          <w:sz w:val="28"/>
          <w:szCs w:val="28"/>
          <w:lang w:eastAsia="es-ES"/>
        </w:rPr>
        <w:t>Gobierno del Estado a que alude la convocatoria contenida en el acuerdo administrativo impugnado, esto es, no precisa cómo es que la emisión del acuerdo administrativo cuya nulidad reclama le ocasiona un daño efectivo a su esfera de derechos, ni demuestra fehacientemente la afectación de que se duele.</w:t>
      </w:r>
    </w:p>
    <w:p w:rsidR="00EB0CD4" w:rsidRPr="00137578" w:rsidRDefault="00EB0CD4" w:rsidP="00EB0CD4">
      <w:pPr>
        <w:spacing w:after="0" w:line="360" w:lineRule="auto"/>
        <w:ind w:firstLine="709"/>
        <w:jc w:val="both"/>
        <w:rPr>
          <w:rFonts w:ascii="Arial" w:hAnsi="Arial" w:cs="Arial"/>
          <w:sz w:val="24"/>
          <w:szCs w:val="24"/>
        </w:rPr>
      </w:pPr>
    </w:p>
    <w:p w:rsidR="00EB0CD4" w:rsidRPr="00216413" w:rsidRDefault="00EB0CD4" w:rsidP="00EB0CD4">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En consecuencia, resultó fundada la aseveración de la autoridad demandada,  Secretaría de Comunicaciones y Transportes, en el sentido de que, en la demanda, la parte actora no acreditó el interés legítimo que invocó para acudir a juicio, ni tampoco acreditó la afectación real, presente y directa a los intereses de la accionante.</w:t>
      </w:r>
    </w:p>
    <w:p w:rsidR="00EB0CD4" w:rsidRPr="00216413" w:rsidRDefault="00EB0CD4" w:rsidP="00EB0CD4">
      <w:pPr>
        <w:spacing w:after="0" w:line="360" w:lineRule="auto"/>
        <w:ind w:firstLine="709"/>
        <w:jc w:val="both"/>
        <w:rPr>
          <w:rFonts w:ascii="Arial Narrow" w:hAnsi="Arial Narrow" w:cs="Arial"/>
          <w:sz w:val="28"/>
          <w:szCs w:val="28"/>
        </w:rPr>
      </w:pPr>
    </w:p>
    <w:p w:rsidR="00EB0CD4" w:rsidRPr="00216413" w:rsidRDefault="00EB0CD4" w:rsidP="00EB0CD4">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De todo lo anterior se sigue, que la parte actora no demostró la afectación que producen en su esfera de derechos los actos impugnados, habida cuenta que, desde la demanda fue omisa en hacer el señalamiento de la afectación, con lo que se actualiza la causal de improcedencia contenida en la fracción II del artículo 228 del Código Procesal Administrativo para el Estado de San Luis Potosí, que establece que el juicio de ante el Tribunal Estatal de Justicia Administrativa, es improcedente contra actos que no afecten el interés legítimo del actor.</w:t>
      </w:r>
    </w:p>
    <w:p w:rsidR="00EB0CD4" w:rsidRPr="00557713" w:rsidRDefault="00EB0CD4" w:rsidP="00EB0CD4">
      <w:pPr>
        <w:spacing w:after="0" w:line="360" w:lineRule="auto"/>
        <w:ind w:firstLine="709"/>
        <w:jc w:val="both"/>
        <w:rPr>
          <w:rFonts w:ascii="Arial" w:hAnsi="Arial" w:cs="Arial"/>
          <w:sz w:val="24"/>
          <w:szCs w:val="24"/>
        </w:rPr>
      </w:pPr>
    </w:p>
    <w:p w:rsidR="00EB0CD4" w:rsidRPr="00216413" w:rsidRDefault="00EB0CD4" w:rsidP="00216413">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lastRenderedPageBreak/>
        <w:t>Así las cosas, con apoyo legal en el artículo 228, fracción II, en relación al artículo 229, fracción II, del Código Procesal Administrativo para el Estado de San Luis potosí, resulta procedente a este Tribunal declarar el sobreseimiento del presente juicio, por los motivos y fundamentos que ya quedaron precisados en los párrafos</w:t>
      </w:r>
      <w:r w:rsidR="00216413">
        <w:rPr>
          <w:rFonts w:ascii="Arial Narrow" w:hAnsi="Arial Narrow" w:cs="Arial"/>
          <w:sz w:val="28"/>
          <w:szCs w:val="28"/>
        </w:rPr>
        <w:t xml:space="preserve"> precedentes.</w:t>
      </w:r>
    </w:p>
    <w:p w:rsidR="00EB0CD4" w:rsidRPr="00216413" w:rsidRDefault="00EB0CD4" w:rsidP="00216413">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En consecuencia, el sobreseimiento decretado hace innecesario analizar alguna otra causal de improcedencia y los conceptos de impugnación expuestos.</w:t>
      </w:r>
    </w:p>
    <w:p w:rsidR="00EB0CD4" w:rsidRPr="00216413" w:rsidRDefault="00EB0CD4" w:rsidP="00216413">
      <w:pPr>
        <w:spacing w:after="0" w:line="360" w:lineRule="auto"/>
        <w:ind w:firstLine="709"/>
        <w:jc w:val="both"/>
        <w:rPr>
          <w:rFonts w:ascii="Arial Narrow" w:hAnsi="Arial Narrow" w:cs="Arial"/>
          <w:sz w:val="28"/>
          <w:szCs w:val="28"/>
        </w:rPr>
      </w:pPr>
      <w:r w:rsidRPr="00216413">
        <w:rPr>
          <w:rFonts w:ascii="Arial Narrow" w:hAnsi="Arial Narrow" w:cs="Arial"/>
          <w:sz w:val="28"/>
          <w:szCs w:val="28"/>
        </w:rPr>
        <w:t>Tiene aplicación en lo conducente la jurisprudencia, tesis 757, publicada en el Apéndice al Semanario Judicial de la Federación de 1995, Tomo III, Tribunales Colegiados de Circuito, Octava Época, página 566, Registro</w:t>
      </w:r>
      <w:r w:rsidR="00216413">
        <w:rPr>
          <w:rFonts w:ascii="Arial Narrow" w:hAnsi="Arial Narrow" w:cs="Arial"/>
          <w:sz w:val="28"/>
          <w:szCs w:val="28"/>
        </w:rPr>
        <w:t xml:space="preserve"> Digital 391647, que establece:</w:t>
      </w:r>
    </w:p>
    <w:p w:rsidR="00EB0CD4" w:rsidRPr="00216413" w:rsidRDefault="00EB0CD4" w:rsidP="00EB0CD4">
      <w:pPr>
        <w:spacing w:after="0" w:line="240" w:lineRule="auto"/>
        <w:ind w:left="567" w:right="618"/>
        <w:jc w:val="both"/>
        <w:rPr>
          <w:rFonts w:ascii="Arial Narrow" w:hAnsi="Arial Narrow" w:cs="Arial"/>
          <w:sz w:val="24"/>
          <w:szCs w:val="24"/>
        </w:rPr>
      </w:pPr>
      <w:r w:rsidRPr="00216413">
        <w:rPr>
          <w:rFonts w:ascii="Arial Narrow" w:hAnsi="Arial Narrow" w:cs="Arial"/>
          <w:b/>
          <w:sz w:val="24"/>
          <w:szCs w:val="24"/>
        </w:rPr>
        <w:t xml:space="preserve">SOBRESEIMIENTO DEL JUICIO CONTENCIOSO-ADMINISTRATIVO, NO PERMITE ENTRAR AL ESTUDIO DE LAS CUESTIONES DE FONDO.   </w:t>
      </w:r>
      <w:r w:rsidRPr="00216413">
        <w:rPr>
          <w:rFonts w:ascii="Arial Narrow" w:hAnsi="Arial Narrow" w:cs="Arial"/>
          <w:sz w:val="24"/>
          <w:szCs w:val="24"/>
        </w:rPr>
        <w:t>No causa agravio la sentencia que no se ocupa de los conceptos de anulación tendientes a demostrar las causales de nulidad de que adolece la resolución impugnada, que constituye el problema de fondo, si se declara el sobreseimiento del juicio contencioso-administrativo.</w:t>
      </w:r>
    </w:p>
    <w:p w:rsidR="00EB0CD4" w:rsidRPr="00216413" w:rsidRDefault="00EB0CD4" w:rsidP="00216413">
      <w:pPr>
        <w:spacing w:after="0" w:line="360" w:lineRule="auto"/>
        <w:jc w:val="both"/>
        <w:rPr>
          <w:rFonts w:ascii="Arial Narrow" w:hAnsi="Arial Narrow" w:cs="Arial"/>
          <w:sz w:val="28"/>
          <w:szCs w:val="28"/>
        </w:rPr>
      </w:pPr>
    </w:p>
    <w:p w:rsidR="00EB0CD4" w:rsidRPr="00216413" w:rsidRDefault="00EB0CD4" w:rsidP="00216413">
      <w:pPr>
        <w:spacing w:after="0" w:line="360" w:lineRule="auto"/>
        <w:ind w:firstLine="708"/>
        <w:jc w:val="both"/>
        <w:rPr>
          <w:rFonts w:ascii="Arial Narrow" w:hAnsi="Arial Narrow" w:cs="Arial"/>
          <w:sz w:val="28"/>
          <w:szCs w:val="28"/>
        </w:rPr>
      </w:pPr>
      <w:r w:rsidRPr="00216413">
        <w:rPr>
          <w:rFonts w:ascii="Arial Narrow" w:hAnsi="Arial Narrow" w:cs="Arial"/>
          <w:sz w:val="28"/>
          <w:szCs w:val="28"/>
        </w:rPr>
        <w:t xml:space="preserve">Por lo expuesto, fundado y con apoyo en </w:t>
      </w:r>
      <w:r w:rsidRPr="00216413">
        <w:rPr>
          <w:rFonts w:ascii="Arial Narrow" w:eastAsia="Times New Roman" w:hAnsi="Arial Narrow" w:cs="Arial"/>
          <w:sz w:val="28"/>
          <w:szCs w:val="28"/>
          <w:lang w:eastAsia="es-ES"/>
        </w:rPr>
        <w:t xml:space="preserve">los artículos, 123 de la Constitución Política del Estado de San Luis Potosí; 1º, 2º, 7º fracción II, 9º fracción III, 24, 35 fracción VIII, y Quinto Transitorio de la Ley Orgánica del Tribunal Estatal de Justicia Administrativa de San Luis Potosí; 228 fracciones II y IX, 229 fracción II, 248, 249 y 255 del Código Procesal Administrativo para el Estado de San Luis Potosí; </w:t>
      </w:r>
      <w:r w:rsidR="00216413" w:rsidRPr="00216413">
        <w:rPr>
          <w:rFonts w:ascii="Arial Narrow" w:hAnsi="Arial Narrow" w:cs="Arial"/>
          <w:sz w:val="28"/>
          <w:szCs w:val="28"/>
        </w:rPr>
        <w:t>es de resolverse y se,</w:t>
      </w:r>
    </w:p>
    <w:p w:rsidR="00EB0CD4" w:rsidRDefault="00EB0CD4" w:rsidP="00EB0CD4">
      <w:pPr>
        <w:spacing w:after="0" w:line="360" w:lineRule="auto"/>
        <w:ind w:firstLine="708"/>
        <w:jc w:val="both"/>
        <w:rPr>
          <w:rFonts w:ascii="Arial" w:hAnsi="Arial" w:cs="Arial"/>
          <w:sz w:val="24"/>
          <w:szCs w:val="24"/>
        </w:rPr>
      </w:pPr>
    </w:p>
    <w:p w:rsidR="004E3B17" w:rsidRPr="007C702A" w:rsidRDefault="007C702A" w:rsidP="007C702A">
      <w:pPr>
        <w:autoSpaceDE w:val="0"/>
        <w:autoSpaceDN w:val="0"/>
        <w:adjustRightInd w:val="0"/>
        <w:spacing w:after="0" w:line="360" w:lineRule="auto"/>
        <w:ind w:firstLine="708"/>
        <w:jc w:val="center"/>
        <w:rPr>
          <w:rFonts w:ascii="Arial Narrow" w:hAnsi="Arial Narrow" w:cs="Arial"/>
          <w:b/>
          <w:color w:val="000000"/>
          <w:sz w:val="28"/>
          <w:szCs w:val="28"/>
        </w:rPr>
      </w:pPr>
      <w:r>
        <w:rPr>
          <w:rFonts w:ascii="Arial Narrow" w:hAnsi="Arial Narrow" w:cs="Arial"/>
          <w:b/>
          <w:color w:val="000000"/>
          <w:sz w:val="28"/>
          <w:szCs w:val="28"/>
        </w:rPr>
        <w:t>R E S U E L V E</w:t>
      </w:r>
    </w:p>
    <w:p w:rsidR="004E3B17" w:rsidRPr="00953428" w:rsidRDefault="004E3B17" w:rsidP="004E3B17">
      <w:pPr>
        <w:autoSpaceDE w:val="0"/>
        <w:autoSpaceDN w:val="0"/>
        <w:adjustRightInd w:val="0"/>
        <w:spacing w:after="0" w:line="360" w:lineRule="auto"/>
        <w:ind w:firstLine="708"/>
        <w:jc w:val="both"/>
        <w:rPr>
          <w:rFonts w:ascii="Arial Narrow" w:hAnsi="Arial Narrow" w:cs="Arial"/>
          <w:color w:val="000000"/>
          <w:sz w:val="28"/>
          <w:szCs w:val="28"/>
        </w:rPr>
      </w:pPr>
      <w:r w:rsidRPr="00953428">
        <w:rPr>
          <w:rFonts w:ascii="Arial Narrow" w:hAnsi="Arial Narrow" w:cs="Arial"/>
          <w:b/>
          <w:color w:val="000000"/>
          <w:sz w:val="28"/>
          <w:szCs w:val="28"/>
        </w:rPr>
        <w:t>PRIMERO.-</w:t>
      </w:r>
      <w:r w:rsidRPr="00953428">
        <w:rPr>
          <w:rFonts w:ascii="Arial Narrow" w:hAnsi="Arial Narrow" w:cs="Arial"/>
          <w:color w:val="000000"/>
          <w:sz w:val="28"/>
          <w:szCs w:val="28"/>
        </w:rPr>
        <w:t xml:space="preserve"> Esta Primera Sala Unitaria del Tribunal Estatal de Justicia Administrativa, resultó competente para conocer y resolver el presente juicio.</w:t>
      </w:r>
    </w:p>
    <w:p w:rsidR="004E3B17" w:rsidRPr="00953428" w:rsidRDefault="004E3B17" w:rsidP="004E3B17">
      <w:pPr>
        <w:autoSpaceDE w:val="0"/>
        <w:autoSpaceDN w:val="0"/>
        <w:adjustRightInd w:val="0"/>
        <w:spacing w:after="0" w:line="360" w:lineRule="auto"/>
        <w:ind w:firstLine="708"/>
        <w:jc w:val="both"/>
        <w:rPr>
          <w:rFonts w:ascii="Arial Narrow" w:hAnsi="Arial Narrow" w:cs="Arial"/>
          <w:color w:val="000000"/>
          <w:sz w:val="28"/>
          <w:szCs w:val="28"/>
        </w:rPr>
      </w:pPr>
      <w:r w:rsidRPr="00953428">
        <w:rPr>
          <w:rFonts w:ascii="Arial Narrow" w:hAnsi="Arial Narrow" w:cs="Arial"/>
          <w:b/>
          <w:color w:val="000000"/>
          <w:sz w:val="28"/>
          <w:szCs w:val="28"/>
        </w:rPr>
        <w:t>SEGUNDO.-</w:t>
      </w:r>
      <w:r>
        <w:rPr>
          <w:rFonts w:ascii="Arial Narrow" w:hAnsi="Arial Narrow" w:cs="Arial"/>
          <w:color w:val="000000"/>
          <w:sz w:val="28"/>
          <w:szCs w:val="28"/>
        </w:rPr>
        <w:t xml:space="preserve"> Se decret</w:t>
      </w:r>
      <w:r w:rsidRPr="00953428">
        <w:rPr>
          <w:rFonts w:ascii="Arial Narrow" w:hAnsi="Arial Narrow" w:cs="Arial"/>
          <w:color w:val="000000"/>
          <w:sz w:val="28"/>
          <w:szCs w:val="28"/>
        </w:rPr>
        <w:t xml:space="preserve">a el </w:t>
      </w:r>
      <w:r w:rsidRPr="00953428">
        <w:rPr>
          <w:rFonts w:ascii="Arial Narrow" w:hAnsi="Arial Narrow" w:cs="Arial"/>
          <w:b/>
          <w:color w:val="000000"/>
          <w:sz w:val="28"/>
          <w:szCs w:val="28"/>
        </w:rPr>
        <w:t xml:space="preserve">SOBRESEIMENTO </w:t>
      </w:r>
      <w:r>
        <w:rPr>
          <w:rFonts w:ascii="Arial Narrow" w:hAnsi="Arial Narrow" w:cs="Arial"/>
          <w:color w:val="000000"/>
          <w:sz w:val="28"/>
          <w:szCs w:val="28"/>
        </w:rPr>
        <w:t xml:space="preserve">en </w:t>
      </w:r>
      <w:r w:rsidRPr="00953428">
        <w:rPr>
          <w:rFonts w:ascii="Arial Narrow" w:hAnsi="Arial Narrow" w:cs="Arial"/>
          <w:color w:val="000000"/>
          <w:sz w:val="28"/>
          <w:szCs w:val="28"/>
        </w:rPr>
        <w:t>el presente juicio, de acuerdo a los fundamentos y razonamientos p</w:t>
      </w:r>
      <w:r>
        <w:rPr>
          <w:rFonts w:ascii="Arial Narrow" w:hAnsi="Arial Narrow" w:cs="Arial"/>
          <w:color w:val="000000"/>
          <w:sz w:val="28"/>
          <w:szCs w:val="28"/>
        </w:rPr>
        <w:t>recisados en el considerando cua</w:t>
      </w:r>
      <w:r w:rsidRPr="00953428">
        <w:rPr>
          <w:rFonts w:ascii="Arial Narrow" w:hAnsi="Arial Narrow" w:cs="Arial"/>
          <w:color w:val="000000"/>
          <w:sz w:val="28"/>
          <w:szCs w:val="28"/>
        </w:rPr>
        <w:t>r</w:t>
      </w:r>
      <w:r>
        <w:rPr>
          <w:rFonts w:ascii="Arial Narrow" w:hAnsi="Arial Narrow" w:cs="Arial"/>
          <w:color w:val="000000"/>
          <w:sz w:val="28"/>
          <w:szCs w:val="28"/>
        </w:rPr>
        <w:t>t</w:t>
      </w:r>
      <w:r w:rsidRPr="00953428">
        <w:rPr>
          <w:rFonts w:ascii="Arial Narrow" w:hAnsi="Arial Narrow" w:cs="Arial"/>
          <w:color w:val="000000"/>
          <w:sz w:val="28"/>
          <w:szCs w:val="28"/>
        </w:rPr>
        <w:t>o de la presente sentencia.</w:t>
      </w:r>
    </w:p>
    <w:p w:rsidR="004E3B17" w:rsidRPr="00C72C62" w:rsidRDefault="004E3B17" w:rsidP="004E3B17">
      <w:pPr>
        <w:autoSpaceDE w:val="0"/>
        <w:autoSpaceDN w:val="0"/>
        <w:adjustRightInd w:val="0"/>
        <w:spacing w:after="0" w:line="360" w:lineRule="auto"/>
        <w:ind w:firstLine="708"/>
        <w:jc w:val="both"/>
        <w:rPr>
          <w:rFonts w:ascii="Arial Narrow" w:hAnsi="Arial Narrow" w:cs="Arial"/>
          <w:color w:val="000000"/>
          <w:sz w:val="28"/>
          <w:szCs w:val="28"/>
        </w:rPr>
      </w:pPr>
      <w:r w:rsidRPr="00953428">
        <w:rPr>
          <w:rFonts w:ascii="Arial Narrow" w:hAnsi="Arial Narrow" w:cs="Arial"/>
          <w:b/>
          <w:color w:val="000000"/>
          <w:sz w:val="28"/>
          <w:szCs w:val="28"/>
        </w:rPr>
        <w:t>TERCERO.-</w:t>
      </w:r>
      <w:r w:rsidRPr="00953428">
        <w:rPr>
          <w:rFonts w:ascii="Arial Narrow" w:hAnsi="Arial Narrow" w:cs="Arial"/>
          <w:color w:val="000000"/>
          <w:sz w:val="28"/>
          <w:szCs w:val="28"/>
        </w:rPr>
        <w:t xml:space="preserve"> Notifíquese personalmente a la </w:t>
      </w:r>
      <w:r w:rsidR="00216413">
        <w:rPr>
          <w:rFonts w:ascii="Arial Narrow" w:hAnsi="Arial Narrow" w:cs="Arial"/>
          <w:color w:val="000000"/>
          <w:sz w:val="28"/>
          <w:szCs w:val="28"/>
        </w:rPr>
        <w:t>parte actora; y por oficio a la autoridad demandada</w:t>
      </w:r>
      <w:r w:rsidRPr="00953428">
        <w:rPr>
          <w:rFonts w:ascii="Arial Narrow" w:hAnsi="Arial Narrow" w:cs="Arial"/>
          <w:color w:val="000000"/>
          <w:sz w:val="28"/>
          <w:szCs w:val="28"/>
        </w:rPr>
        <w:t>, con copia autorizada de esta resolución.</w:t>
      </w:r>
    </w:p>
    <w:p w:rsidR="00B85AD1" w:rsidRDefault="004E3B17" w:rsidP="00B85AD1">
      <w:pPr>
        <w:spacing w:line="360" w:lineRule="auto"/>
        <w:ind w:firstLine="708"/>
        <w:jc w:val="both"/>
        <w:rPr>
          <w:rFonts w:ascii="Arial Narrow" w:hAnsi="Arial Narrow" w:cs="Arial"/>
          <w:sz w:val="28"/>
          <w:szCs w:val="28"/>
        </w:rPr>
      </w:pPr>
      <w:r w:rsidRPr="00953428">
        <w:rPr>
          <w:rFonts w:ascii="Arial Narrow" w:hAnsi="Arial Narrow" w:cs="Arial"/>
          <w:b/>
          <w:sz w:val="28"/>
          <w:szCs w:val="28"/>
        </w:rPr>
        <w:t>ASÍ,</w:t>
      </w:r>
      <w:r w:rsidRPr="00953428">
        <w:rPr>
          <w:rFonts w:ascii="Arial Narrow" w:hAnsi="Arial Narrow" w:cs="Arial"/>
          <w:sz w:val="28"/>
          <w:szCs w:val="28"/>
        </w:rPr>
        <w:t xml:space="preserve"> lo resolvió y firma la Magistrada Titular de la Primera Sala Unitaria del Tribunal Estatal de Justicia Administrativa, Licenciada </w:t>
      </w:r>
      <w:r w:rsidRPr="00953428">
        <w:rPr>
          <w:rFonts w:ascii="Arial Narrow" w:hAnsi="Arial Narrow" w:cs="Arial"/>
          <w:b/>
          <w:sz w:val="28"/>
          <w:szCs w:val="28"/>
        </w:rPr>
        <w:t>MA. EUGENIA REYNA MASCORRO</w:t>
      </w:r>
      <w:r w:rsidRPr="00953428">
        <w:rPr>
          <w:rFonts w:ascii="Arial Narrow" w:hAnsi="Arial Narrow" w:cs="Arial"/>
          <w:sz w:val="28"/>
          <w:szCs w:val="28"/>
        </w:rPr>
        <w:t xml:space="preserve">, quien actúa con Secretario de Acuerdos, Licenciado </w:t>
      </w:r>
      <w:r w:rsidRPr="00953428">
        <w:rPr>
          <w:rFonts w:ascii="Arial Narrow" w:hAnsi="Arial Narrow" w:cs="Arial"/>
          <w:b/>
          <w:sz w:val="28"/>
          <w:szCs w:val="28"/>
          <w:lang w:val="es-ES_tradnl"/>
        </w:rPr>
        <w:t xml:space="preserve">LIC. </w:t>
      </w:r>
      <w:r w:rsidR="00216413">
        <w:rPr>
          <w:rFonts w:ascii="Arial Narrow" w:hAnsi="Arial Narrow" w:cs="Arial"/>
          <w:b/>
          <w:sz w:val="28"/>
          <w:szCs w:val="28"/>
          <w:lang w:val="es-ES_tradnl"/>
        </w:rPr>
        <w:t>EDUARDO PEREDO GÓMEZ</w:t>
      </w:r>
      <w:r w:rsidRPr="00953428">
        <w:rPr>
          <w:rFonts w:ascii="Arial Narrow" w:hAnsi="Arial Narrow" w:cs="Arial"/>
          <w:b/>
          <w:sz w:val="28"/>
          <w:szCs w:val="28"/>
          <w:lang w:val="es-ES_tradnl"/>
        </w:rPr>
        <w:t xml:space="preserve">, </w:t>
      </w:r>
      <w:r w:rsidRPr="00953428">
        <w:rPr>
          <w:rFonts w:ascii="Arial Narrow" w:hAnsi="Arial Narrow" w:cs="Arial"/>
          <w:sz w:val="28"/>
          <w:szCs w:val="28"/>
        </w:rPr>
        <w:t xml:space="preserve">que autoriza y da fe.- </w:t>
      </w:r>
      <w:r w:rsidRPr="00953428">
        <w:rPr>
          <w:rFonts w:ascii="Arial Narrow" w:hAnsi="Arial Narrow" w:cs="Arial"/>
          <w:b/>
          <w:sz w:val="28"/>
          <w:szCs w:val="28"/>
        </w:rPr>
        <w:t>CONSTE.</w:t>
      </w:r>
      <w:r w:rsidR="00B85AD1" w:rsidRPr="00B85AD1">
        <w:rPr>
          <w:rFonts w:ascii="Arial Narrow" w:hAnsi="Arial Narrow" w:cs="Arial"/>
          <w:sz w:val="28"/>
          <w:szCs w:val="28"/>
        </w:rPr>
        <w:t xml:space="preserve"> </w:t>
      </w:r>
      <w:r w:rsidR="00B85AD1">
        <w:rPr>
          <w:rFonts w:ascii="Arial Narrow" w:hAnsi="Arial Narrow" w:cs="Arial"/>
          <w:sz w:val="28"/>
          <w:szCs w:val="28"/>
        </w:rPr>
        <w:t>(</w:t>
      </w:r>
      <w:proofErr w:type="gramStart"/>
      <w:r w:rsidR="00B85AD1">
        <w:rPr>
          <w:rFonts w:ascii="Arial Narrow" w:hAnsi="Arial Narrow" w:cs="Arial"/>
          <w:sz w:val="28"/>
          <w:szCs w:val="28"/>
        </w:rPr>
        <w:t>rúbricas</w:t>
      </w:r>
      <w:proofErr w:type="gramEnd"/>
      <w:r w:rsidR="00B85AD1">
        <w:rPr>
          <w:rFonts w:ascii="Arial Narrow" w:hAnsi="Arial Narrow" w:cs="Arial"/>
          <w:sz w:val="28"/>
          <w:szCs w:val="28"/>
        </w:rPr>
        <w:t>)</w:t>
      </w:r>
    </w:p>
    <w:p w:rsidR="00B85AD1" w:rsidRDefault="00B85AD1" w:rsidP="00B85AD1">
      <w:pPr>
        <w:spacing w:line="360" w:lineRule="auto"/>
        <w:ind w:firstLine="709"/>
        <w:jc w:val="both"/>
        <w:rPr>
          <w:rFonts w:ascii="Arial Narrow" w:hAnsi="Arial Narrow" w:cs="Arial"/>
          <w:sz w:val="28"/>
          <w:szCs w:val="28"/>
        </w:rPr>
      </w:pPr>
      <w:r>
        <w:rPr>
          <w:b/>
          <w:i/>
        </w:rPr>
        <w:lastRenderedPageBreak/>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B85AD1" w:rsidRPr="007502A7" w:rsidRDefault="00B85AD1" w:rsidP="00B85AD1">
      <w:pPr>
        <w:spacing w:line="360" w:lineRule="auto"/>
        <w:ind w:firstLine="708"/>
        <w:jc w:val="both"/>
        <w:rPr>
          <w:rFonts w:ascii="Arial Narrow" w:hAnsi="Arial Narrow" w:cs="Arial"/>
          <w:b/>
          <w:sz w:val="28"/>
          <w:szCs w:val="28"/>
        </w:rPr>
      </w:pPr>
    </w:p>
    <w:p w:rsidR="004E3B17" w:rsidRPr="00953428" w:rsidRDefault="004E3B17" w:rsidP="004E3B17">
      <w:pPr>
        <w:spacing w:line="360" w:lineRule="auto"/>
        <w:ind w:firstLine="708"/>
        <w:jc w:val="both"/>
        <w:rPr>
          <w:rFonts w:ascii="Arial Narrow" w:hAnsi="Arial Narrow" w:cs="Arial"/>
          <w:b/>
          <w:sz w:val="28"/>
          <w:szCs w:val="28"/>
        </w:rPr>
      </w:pPr>
    </w:p>
    <w:p w:rsidR="004E3B17" w:rsidRPr="00BA5150" w:rsidRDefault="004E3B17" w:rsidP="004E3B17">
      <w:pPr>
        <w:ind w:firstLine="709"/>
        <w:jc w:val="center"/>
        <w:rPr>
          <w:rFonts w:ascii="Arial Narrow" w:hAnsi="Arial Narrow" w:cs="Arial"/>
          <w:b/>
        </w:rPr>
      </w:pPr>
    </w:p>
    <w:p w:rsidR="004E3B17" w:rsidRPr="00BA5150" w:rsidRDefault="004E3B17" w:rsidP="004E3B17">
      <w:pPr>
        <w:ind w:firstLine="709"/>
        <w:jc w:val="center"/>
        <w:rPr>
          <w:rFonts w:ascii="Arial Narrow" w:hAnsi="Arial Narrow" w:cs="Arial"/>
          <w:b/>
        </w:rPr>
      </w:pPr>
    </w:p>
    <w:p w:rsidR="00EB0CD4" w:rsidRPr="00D52353" w:rsidRDefault="00EB0CD4" w:rsidP="00EB0CD4">
      <w:pPr>
        <w:pStyle w:val="Sinespaciado"/>
        <w:spacing w:line="360" w:lineRule="auto"/>
        <w:ind w:firstLine="709"/>
        <w:jc w:val="both"/>
        <w:rPr>
          <w:rFonts w:ascii="Arial" w:hAnsi="Arial" w:cs="Arial"/>
          <w:sz w:val="24"/>
          <w:szCs w:val="24"/>
        </w:rPr>
      </w:pPr>
    </w:p>
    <w:p w:rsidR="00EB0CD4" w:rsidRDefault="00EB0CD4" w:rsidP="00386183">
      <w:pPr>
        <w:pStyle w:val="Sinespaciado"/>
        <w:spacing w:line="360" w:lineRule="auto"/>
        <w:ind w:firstLine="709"/>
        <w:jc w:val="both"/>
        <w:rPr>
          <w:rFonts w:ascii="Arial Narrow" w:hAnsi="Arial Narrow"/>
          <w:color w:val="000000"/>
          <w:sz w:val="28"/>
          <w:szCs w:val="28"/>
        </w:rPr>
      </w:pPr>
    </w:p>
    <w:p w:rsidR="00216413" w:rsidRDefault="00216413" w:rsidP="00386183">
      <w:pPr>
        <w:pStyle w:val="Sinespaciado"/>
        <w:spacing w:line="360" w:lineRule="auto"/>
        <w:ind w:firstLine="709"/>
        <w:jc w:val="both"/>
        <w:rPr>
          <w:rFonts w:ascii="Arial Narrow" w:hAnsi="Arial Narrow"/>
          <w:color w:val="000000"/>
          <w:sz w:val="28"/>
          <w:szCs w:val="28"/>
        </w:rPr>
      </w:pPr>
    </w:p>
    <w:sectPr w:rsidR="00216413"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7F98" w:rsidRDefault="00E17F98" w:rsidP="00E40D22">
      <w:pPr>
        <w:spacing w:after="0" w:line="240" w:lineRule="auto"/>
      </w:pPr>
      <w:r>
        <w:separator/>
      </w:r>
    </w:p>
  </w:endnote>
  <w:endnote w:type="continuationSeparator" w:id="0">
    <w:p w:rsidR="00E17F98" w:rsidRDefault="00E17F98"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7F98" w:rsidRDefault="00E17F98" w:rsidP="00E40D22">
      <w:pPr>
        <w:spacing w:after="0" w:line="240" w:lineRule="auto"/>
      </w:pPr>
      <w:r>
        <w:separator/>
      </w:r>
    </w:p>
  </w:footnote>
  <w:footnote w:type="continuationSeparator" w:id="0">
    <w:p w:rsidR="00E17F98" w:rsidRDefault="00E17F98"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F98" w:rsidRDefault="00E17F98" w:rsidP="00540237">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E17F98" w:rsidRPr="006C0427" w:rsidRDefault="00E17F98" w:rsidP="00540237">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D94C8B">
      <w:rPr>
        <w:rStyle w:val="Nmerodepgina"/>
        <w:noProof/>
        <w:color w:val="FFFFFF"/>
      </w:rPr>
      <w:t>19</w:t>
    </w:r>
    <w:r w:rsidRPr="006C0427">
      <w:rPr>
        <w:rStyle w:val="Nmerodepgina"/>
        <w:color w:val="FFFFFF"/>
      </w:rPr>
      <w:fldChar w:fldCharType="end"/>
    </w:r>
    <w:bookmarkEnd w:id="1"/>
  </w:p>
  <w:p w:rsidR="00E17F98" w:rsidRPr="00364AFE" w:rsidRDefault="00E17F98" w:rsidP="00540237">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D94C8B">
      <w:rPr>
        <w:rFonts w:ascii="Arial Narrow" w:hAnsi="Arial Narrow"/>
        <w:noProof/>
      </w:rPr>
      <w:t>10</w:t>
    </w:r>
    <w:r w:rsidRPr="00364AFE">
      <w:rPr>
        <w:rFonts w:ascii="Arial Narrow" w:hAnsi="Arial Narrow"/>
      </w:rPr>
      <w:fldChar w:fldCharType="end"/>
    </w:r>
  </w:p>
  <w:p w:rsidR="00E17F98" w:rsidRPr="00E47A61" w:rsidRDefault="00E17F98" w:rsidP="00540237">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F98" w:rsidRPr="00AA6DA7" w:rsidRDefault="00E17F98" w:rsidP="00254BE2">
                          <w:pPr>
                            <w:spacing w:after="0" w:line="240" w:lineRule="auto"/>
                            <w:jc w:val="center"/>
                            <w:rPr>
                              <w:rFonts w:cs="Calibri"/>
                              <w:sz w:val="20"/>
                              <w:szCs w:val="20"/>
                            </w:rPr>
                          </w:pPr>
                          <w:r>
                            <w:rPr>
                              <w:rFonts w:cs="Calibri"/>
                              <w:noProof/>
                              <w:sz w:val="20"/>
                              <w:szCs w:val="20"/>
                              <w:lang w:eastAsia="es-MX"/>
                            </w:rPr>
                            <w:drawing>
                              <wp:inline distT="0" distB="0" distL="0" distR="0" wp14:anchorId="5D926F74" wp14:editId="55CA963F">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17F98" w:rsidRDefault="00E17F98" w:rsidP="00254BE2">
                          <w:pPr>
                            <w:pStyle w:val="Sinespaciado"/>
                            <w:jc w:val="center"/>
                            <w:rPr>
                              <w:rFonts w:ascii="Microsoft Sans Serif" w:hAnsi="Microsoft Sans Serif" w:cs="Microsoft Sans Serif"/>
                              <w:sz w:val="14"/>
                              <w:szCs w:val="14"/>
                            </w:rPr>
                          </w:pPr>
                        </w:p>
                        <w:p w:rsidR="00E17F98" w:rsidRPr="00AF006C" w:rsidRDefault="00E17F98"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17F98" w:rsidRPr="00AF006C" w:rsidRDefault="00E17F98" w:rsidP="00254BE2">
                          <w:pPr>
                            <w:pStyle w:val="Sinespaciado"/>
                            <w:jc w:val="center"/>
                            <w:rPr>
                              <w:rFonts w:ascii="Microsoft Sans Serif" w:hAnsi="Microsoft Sans Serif" w:cs="Microsoft Sans Serif"/>
                              <w:b/>
                              <w:sz w:val="16"/>
                              <w:szCs w:val="16"/>
                            </w:rPr>
                          </w:pPr>
                        </w:p>
                        <w:p w:rsidR="00E17F98" w:rsidRPr="00AF006C" w:rsidRDefault="00E17F98"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540237" w:rsidRPr="00AA6DA7" w:rsidRDefault="00540237" w:rsidP="00254BE2">
                    <w:pPr>
                      <w:spacing w:after="0" w:line="240" w:lineRule="auto"/>
                      <w:jc w:val="center"/>
                      <w:rPr>
                        <w:rFonts w:cs="Calibri"/>
                        <w:sz w:val="20"/>
                        <w:szCs w:val="20"/>
                      </w:rPr>
                    </w:pPr>
                    <w:r>
                      <w:rPr>
                        <w:rFonts w:cs="Calibri"/>
                        <w:noProof/>
                        <w:sz w:val="20"/>
                        <w:szCs w:val="20"/>
                        <w:lang w:eastAsia="es-MX"/>
                      </w:rPr>
                      <w:drawing>
                        <wp:inline distT="0" distB="0" distL="0" distR="0" wp14:anchorId="5D926F74" wp14:editId="55CA963F">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540237" w:rsidRDefault="00540237" w:rsidP="00254BE2">
                    <w:pPr>
                      <w:pStyle w:val="Sinespaciado"/>
                      <w:jc w:val="center"/>
                      <w:rPr>
                        <w:rFonts w:ascii="Microsoft Sans Serif" w:hAnsi="Microsoft Sans Serif" w:cs="Microsoft Sans Serif"/>
                        <w:sz w:val="14"/>
                        <w:szCs w:val="14"/>
                      </w:rPr>
                    </w:pPr>
                  </w:p>
                  <w:p w:rsidR="00540237" w:rsidRPr="00AF006C" w:rsidRDefault="00540237"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540237" w:rsidRPr="00AF006C" w:rsidRDefault="00540237" w:rsidP="00254BE2">
                    <w:pPr>
                      <w:pStyle w:val="Sinespaciado"/>
                      <w:jc w:val="center"/>
                      <w:rPr>
                        <w:rFonts w:ascii="Microsoft Sans Serif" w:hAnsi="Microsoft Sans Serif" w:cs="Microsoft Sans Serif"/>
                        <w:b/>
                        <w:sz w:val="16"/>
                        <w:szCs w:val="16"/>
                      </w:rPr>
                    </w:pPr>
                  </w:p>
                  <w:p w:rsidR="00540237" w:rsidRPr="00AF006C" w:rsidRDefault="00540237"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F98" w:rsidRPr="004A456E" w:rsidRDefault="00E17F98" w:rsidP="00540237">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7F98" w:rsidRPr="00AA6DA7" w:rsidRDefault="00E17F98" w:rsidP="00540237">
                          <w:pPr>
                            <w:spacing w:after="0" w:line="240" w:lineRule="auto"/>
                            <w:jc w:val="center"/>
                            <w:rPr>
                              <w:rFonts w:cs="Calibri"/>
                              <w:sz w:val="20"/>
                              <w:szCs w:val="20"/>
                            </w:rPr>
                          </w:pPr>
                          <w:r>
                            <w:rPr>
                              <w:rFonts w:cs="Calibri"/>
                              <w:noProof/>
                              <w:sz w:val="20"/>
                              <w:szCs w:val="20"/>
                              <w:lang w:eastAsia="es-MX"/>
                            </w:rPr>
                            <w:drawing>
                              <wp:inline distT="0" distB="0" distL="0" distR="0" wp14:anchorId="071DE28A" wp14:editId="20888AAC">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17F98" w:rsidRDefault="00E17F98" w:rsidP="00540237">
                          <w:pPr>
                            <w:pStyle w:val="Sinespaciado"/>
                            <w:jc w:val="center"/>
                            <w:rPr>
                              <w:rFonts w:ascii="Microsoft Sans Serif" w:hAnsi="Microsoft Sans Serif" w:cs="Microsoft Sans Serif"/>
                              <w:sz w:val="14"/>
                              <w:szCs w:val="14"/>
                            </w:rPr>
                          </w:pPr>
                        </w:p>
                        <w:p w:rsidR="00E17F98" w:rsidRPr="00AF006C" w:rsidRDefault="00E17F98" w:rsidP="0054023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17F98" w:rsidRPr="00AF006C" w:rsidRDefault="00E17F98" w:rsidP="00540237">
                          <w:pPr>
                            <w:pStyle w:val="Sinespaciado"/>
                            <w:jc w:val="center"/>
                            <w:rPr>
                              <w:rFonts w:ascii="Microsoft Sans Serif" w:hAnsi="Microsoft Sans Serif" w:cs="Microsoft Sans Serif"/>
                              <w:b/>
                              <w:sz w:val="16"/>
                              <w:szCs w:val="16"/>
                            </w:rPr>
                          </w:pPr>
                        </w:p>
                        <w:p w:rsidR="00E17F98" w:rsidRPr="00AF006C" w:rsidRDefault="00E17F98" w:rsidP="0054023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540237" w:rsidRPr="00AA6DA7" w:rsidRDefault="00540237" w:rsidP="00540237">
                    <w:pPr>
                      <w:spacing w:after="0" w:line="240" w:lineRule="auto"/>
                      <w:jc w:val="center"/>
                      <w:rPr>
                        <w:rFonts w:cs="Calibri"/>
                        <w:sz w:val="20"/>
                        <w:szCs w:val="20"/>
                      </w:rPr>
                    </w:pPr>
                    <w:r>
                      <w:rPr>
                        <w:rFonts w:cs="Calibri"/>
                        <w:noProof/>
                        <w:sz w:val="20"/>
                        <w:szCs w:val="20"/>
                        <w:lang w:eastAsia="es-MX"/>
                      </w:rPr>
                      <w:drawing>
                        <wp:inline distT="0" distB="0" distL="0" distR="0" wp14:anchorId="071DE28A" wp14:editId="20888AAC">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540237" w:rsidRDefault="00540237" w:rsidP="00540237">
                    <w:pPr>
                      <w:pStyle w:val="Sinespaciado"/>
                      <w:jc w:val="center"/>
                      <w:rPr>
                        <w:rFonts w:ascii="Microsoft Sans Serif" w:hAnsi="Microsoft Sans Serif" w:cs="Microsoft Sans Serif"/>
                        <w:sz w:val="14"/>
                        <w:szCs w:val="14"/>
                      </w:rPr>
                    </w:pPr>
                  </w:p>
                  <w:p w:rsidR="00540237" w:rsidRPr="00AF006C" w:rsidRDefault="00540237" w:rsidP="0054023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540237" w:rsidRPr="00AF006C" w:rsidRDefault="00540237" w:rsidP="00540237">
                    <w:pPr>
                      <w:pStyle w:val="Sinespaciado"/>
                      <w:jc w:val="center"/>
                      <w:rPr>
                        <w:rFonts w:ascii="Microsoft Sans Serif" w:hAnsi="Microsoft Sans Serif" w:cs="Microsoft Sans Serif"/>
                        <w:b/>
                        <w:sz w:val="16"/>
                        <w:szCs w:val="16"/>
                      </w:rPr>
                    </w:pPr>
                  </w:p>
                  <w:p w:rsidR="00540237" w:rsidRPr="00AF006C" w:rsidRDefault="00540237" w:rsidP="0054023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4637F6F"/>
    <w:multiLevelType w:val="hybridMultilevel"/>
    <w:tmpl w:val="84786296"/>
    <w:lvl w:ilvl="0" w:tplc="58728CA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nsid w:val="065D58B0"/>
    <w:multiLevelType w:val="hybridMultilevel"/>
    <w:tmpl w:val="4EF8DB68"/>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13D04456"/>
    <w:multiLevelType w:val="hybridMultilevel"/>
    <w:tmpl w:val="4EF8DB68"/>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39E2825"/>
    <w:multiLevelType w:val="hybridMultilevel"/>
    <w:tmpl w:val="A74A6328"/>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nsid w:val="274362EC"/>
    <w:multiLevelType w:val="hybridMultilevel"/>
    <w:tmpl w:val="679AEF02"/>
    <w:lvl w:ilvl="0" w:tplc="080A000F">
      <w:start w:val="1"/>
      <w:numFmt w:val="decimal"/>
      <w:lvlText w:val="%1."/>
      <w:lvlJc w:val="left"/>
      <w:pPr>
        <w:ind w:left="1382" w:hanging="360"/>
      </w:pPr>
    </w:lvl>
    <w:lvl w:ilvl="1" w:tplc="080A0019" w:tentative="1">
      <w:start w:val="1"/>
      <w:numFmt w:val="lowerLetter"/>
      <w:lvlText w:val="%2."/>
      <w:lvlJc w:val="left"/>
      <w:pPr>
        <w:ind w:left="2102" w:hanging="360"/>
      </w:pPr>
    </w:lvl>
    <w:lvl w:ilvl="2" w:tplc="080A001B" w:tentative="1">
      <w:start w:val="1"/>
      <w:numFmt w:val="lowerRoman"/>
      <w:lvlText w:val="%3."/>
      <w:lvlJc w:val="right"/>
      <w:pPr>
        <w:ind w:left="2822" w:hanging="180"/>
      </w:pPr>
    </w:lvl>
    <w:lvl w:ilvl="3" w:tplc="080A000F" w:tentative="1">
      <w:start w:val="1"/>
      <w:numFmt w:val="decimal"/>
      <w:lvlText w:val="%4."/>
      <w:lvlJc w:val="left"/>
      <w:pPr>
        <w:ind w:left="3542" w:hanging="360"/>
      </w:pPr>
    </w:lvl>
    <w:lvl w:ilvl="4" w:tplc="080A0019" w:tentative="1">
      <w:start w:val="1"/>
      <w:numFmt w:val="lowerLetter"/>
      <w:lvlText w:val="%5."/>
      <w:lvlJc w:val="left"/>
      <w:pPr>
        <w:ind w:left="4262" w:hanging="360"/>
      </w:pPr>
    </w:lvl>
    <w:lvl w:ilvl="5" w:tplc="080A001B" w:tentative="1">
      <w:start w:val="1"/>
      <w:numFmt w:val="lowerRoman"/>
      <w:lvlText w:val="%6."/>
      <w:lvlJc w:val="right"/>
      <w:pPr>
        <w:ind w:left="4982" w:hanging="180"/>
      </w:pPr>
    </w:lvl>
    <w:lvl w:ilvl="6" w:tplc="080A000F" w:tentative="1">
      <w:start w:val="1"/>
      <w:numFmt w:val="decimal"/>
      <w:lvlText w:val="%7."/>
      <w:lvlJc w:val="left"/>
      <w:pPr>
        <w:ind w:left="5702" w:hanging="360"/>
      </w:pPr>
    </w:lvl>
    <w:lvl w:ilvl="7" w:tplc="080A0019" w:tentative="1">
      <w:start w:val="1"/>
      <w:numFmt w:val="lowerLetter"/>
      <w:lvlText w:val="%8."/>
      <w:lvlJc w:val="left"/>
      <w:pPr>
        <w:ind w:left="6422" w:hanging="360"/>
      </w:pPr>
    </w:lvl>
    <w:lvl w:ilvl="8" w:tplc="080A001B" w:tentative="1">
      <w:start w:val="1"/>
      <w:numFmt w:val="lowerRoman"/>
      <w:lvlText w:val="%9."/>
      <w:lvlJc w:val="right"/>
      <w:pPr>
        <w:ind w:left="7142" w:hanging="180"/>
      </w:pPr>
    </w:lvl>
  </w:abstractNum>
  <w:abstractNum w:abstractNumId="7">
    <w:nsid w:val="35E54C3B"/>
    <w:multiLevelType w:val="hybridMultilevel"/>
    <w:tmpl w:val="2EEC735A"/>
    <w:lvl w:ilvl="0" w:tplc="05CC9B60">
      <w:start w:val="1"/>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8">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9">
    <w:nsid w:val="3AD00394"/>
    <w:multiLevelType w:val="hybridMultilevel"/>
    <w:tmpl w:val="FD5078F2"/>
    <w:lvl w:ilvl="0" w:tplc="5F0E2EFE">
      <w:start w:val="1"/>
      <w:numFmt w:val="upperRoman"/>
      <w:lvlText w:val="%1."/>
      <w:lvlJc w:val="right"/>
      <w:pPr>
        <w:ind w:left="1428" w:hanging="360"/>
      </w:pPr>
      <w:rPr>
        <w:b w:val="0"/>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nsid w:val="50D076A5"/>
    <w:multiLevelType w:val="hybridMultilevel"/>
    <w:tmpl w:val="AAC86FC0"/>
    <w:lvl w:ilvl="0" w:tplc="2862B086">
      <w:start w:val="1"/>
      <w:numFmt w:val="upperRoman"/>
      <w:lvlText w:val="%1."/>
      <w:lvlJc w:val="left"/>
      <w:pPr>
        <w:ind w:left="1653" w:hanging="94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52572313"/>
    <w:multiLevelType w:val="hybridMultilevel"/>
    <w:tmpl w:val="6F60580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65827130"/>
    <w:multiLevelType w:val="hybridMultilevel"/>
    <w:tmpl w:val="9B60346A"/>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3">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6B4038A9"/>
    <w:multiLevelType w:val="hybridMultilevel"/>
    <w:tmpl w:val="DA9E7236"/>
    <w:lvl w:ilvl="0" w:tplc="C51A1DCE">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16">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4"/>
  </w:num>
  <w:num w:numId="2">
    <w:abstractNumId w:val="16"/>
  </w:num>
  <w:num w:numId="3">
    <w:abstractNumId w:val="4"/>
  </w:num>
  <w:num w:numId="4">
    <w:abstractNumId w:val="13"/>
  </w:num>
  <w:num w:numId="5">
    <w:abstractNumId w:val="0"/>
  </w:num>
  <w:num w:numId="6">
    <w:abstractNumId w:val="8"/>
  </w:num>
  <w:num w:numId="7">
    <w:abstractNumId w:val="2"/>
  </w:num>
  <w:num w:numId="8">
    <w:abstractNumId w:val="15"/>
  </w:num>
  <w:num w:numId="9">
    <w:abstractNumId w:val="10"/>
  </w:num>
  <w:num w:numId="10">
    <w:abstractNumId w:val="3"/>
  </w:num>
  <w:num w:numId="11">
    <w:abstractNumId w:val="12"/>
  </w:num>
  <w:num w:numId="12">
    <w:abstractNumId w:val="9"/>
  </w:num>
  <w:num w:numId="13">
    <w:abstractNumId w:val="7"/>
  </w:num>
  <w:num w:numId="14">
    <w:abstractNumId w:val="1"/>
  </w:num>
  <w:num w:numId="15">
    <w:abstractNumId w:val="6"/>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mirrorMargins/>
  <w:proofState w:spelling="clean" w:grammar="clean"/>
  <w:defaultTabStop w:val="708"/>
  <w:hyphenationZone w:val="425"/>
  <w:evenAndOddHeaders/>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08"/>
    <w:rsid w:val="00006D60"/>
    <w:rsid w:val="00007B8E"/>
    <w:rsid w:val="00017108"/>
    <w:rsid w:val="000200BA"/>
    <w:rsid w:val="000213CC"/>
    <w:rsid w:val="0003181B"/>
    <w:rsid w:val="00035132"/>
    <w:rsid w:val="00041165"/>
    <w:rsid w:val="000431DD"/>
    <w:rsid w:val="00045244"/>
    <w:rsid w:val="00046BA6"/>
    <w:rsid w:val="000604D2"/>
    <w:rsid w:val="00062A44"/>
    <w:rsid w:val="0006416E"/>
    <w:rsid w:val="000660F9"/>
    <w:rsid w:val="00074979"/>
    <w:rsid w:val="00082D21"/>
    <w:rsid w:val="00084026"/>
    <w:rsid w:val="00085D86"/>
    <w:rsid w:val="00086C14"/>
    <w:rsid w:val="0009314B"/>
    <w:rsid w:val="0009381A"/>
    <w:rsid w:val="000946EB"/>
    <w:rsid w:val="00095ED6"/>
    <w:rsid w:val="00097F0B"/>
    <w:rsid w:val="000A3F75"/>
    <w:rsid w:val="000B7A87"/>
    <w:rsid w:val="000C04A3"/>
    <w:rsid w:val="000D184A"/>
    <w:rsid w:val="000E0FFD"/>
    <w:rsid w:val="000E5FDB"/>
    <w:rsid w:val="000F0C79"/>
    <w:rsid w:val="000F5A1E"/>
    <w:rsid w:val="00107E84"/>
    <w:rsid w:val="00107FFA"/>
    <w:rsid w:val="00113EA5"/>
    <w:rsid w:val="00126346"/>
    <w:rsid w:val="00134DE5"/>
    <w:rsid w:val="0014011F"/>
    <w:rsid w:val="00147722"/>
    <w:rsid w:val="001506E1"/>
    <w:rsid w:val="00153244"/>
    <w:rsid w:val="001552CF"/>
    <w:rsid w:val="001568C2"/>
    <w:rsid w:val="001649EB"/>
    <w:rsid w:val="001726CF"/>
    <w:rsid w:val="00172F31"/>
    <w:rsid w:val="00174BB6"/>
    <w:rsid w:val="001763EF"/>
    <w:rsid w:val="00180B3E"/>
    <w:rsid w:val="00181787"/>
    <w:rsid w:val="00181ADD"/>
    <w:rsid w:val="00182622"/>
    <w:rsid w:val="00186B9D"/>
    <w:rsid w:val="00192D7D"/>
    <w:rsid w:val="00193EDD"/>
    <w:rsid w:val="001A316F"/>
    <w:rsid w:val="001B021A"/>
    <w:rsid w:val="001B0C05"/>
    <w:rsid w:val="001B511D"/>
    <w:rsid w:val="001C187C"/>
    <w:rsid w:val="001C1F4D"/>
    <w:rsid w:val="001C6D3E"/>
    <w:rsid w:val="001C738A"/>
    <w:rsid w:val="001D0B85"/>
    <w:rsid w:val="001F1899"/>
    <w:rsid w:val="001F5E62"/>
    <w:rsid w:val="0020279B"/>
    <w:rsid w:val="00210422"/>
    <w:rsid w:val="002104BC"/>
    <w:rsid w:val="002151C7"/>
    <w:rsid w:val="00216413"/>
    <w:rsid w:val="002179A4"/>
    <w:rsid w:val="00217D7E"/>
    <w:rsid w:val="00226DF1"/>
    <w:rsid w:val="00226F84"/>
    <w:rsid w:val="00227FB5"/>
    <w:rsid w:val="0023377A"/>
    <w:rsid w:val="002369C4"/>
    <w:rsid w:val="00244779"/>
    <w:rsid w:val="0025480F"/>
    <w:rsid w:val="00254BE2"/>
    <w:rsid w:val="00255C6D"/>
    <w:rsid w:val="00256E04"/>
    <w:rsid w:val="00260408"/>
    <w:rsid w:val="00264CB8"/>
    <w:rsid w:val="00272DF6"/>
    <w:rsid w:val="00276934"/>
    <w:rsid w:val="00282257"/>
    <w:rsid w:val="00283526"/>
    <w:rsid w:val="0028353D"/>
    <w:rsid w:val="002A3626"/>
    <w:rsid w:val="002B3EAE"/>
    <w:rsid w:val="002C35BD"/>
    <w:rsid w:val="002D35F4"/>
    <w:rsid w:val="002D7676"/>
    <w:rsid w:val="002E280A"/>
    <w:rsid w:val="002E48BC"/>
    <w:rsid w:val="002E60C1"/>
    <w:rsid w:val="002F0102"/>
    <w:rsid w:val="002F05D1"/>
    <w:rsid w:val="002F21DC"/>
    <w:rsid w:val="002F39D1"/>
    <w:rsid w:val="002F4BC0"/>
    <w:rsid w:val="00304722"/>
    <w:rsid w:val="00305D21"/>
    <w:rsid w:val="00306D5C"/>
    <w:rsid w:val="00306FD6"/>
    <w:rsid w:val="00311F0E"/>
    <w:rsid w:val="00313266"/>
    <w:rsid w:val="00314E60"/>
    <w:rsid w:val="00316A9F"/>
    <w:rsid w:val="00322953"/>
    <w:rsid w:val="00323A07"/>
    <w:rsid w:val="00326D60"/>
    <w:rsid w:val="00333071"/>
    <w:rsid w:val="003450F4"/>
    <w:rsid w:val="003456E6"/>
    <w:rsid w:val="00345C36"/>
    <w:rsid w:val="00355775"/>
    <w:rsid w:val="00364269"/>
    <w:rsid w:val="00371529"/>
    <w:rsid w:val="0037386B"/>
    <w:rsid w:val="00374641"/>
    <w:rsid w:val="00380039"/>
    <w:rsid w:val="003850EA"/>
    <w:rsid w:val="00386183"/>
    <w:rsid w:val="00391CF6"/>
    <w:rsid w:val="00392396"/>
    <w:rsid w:val="00392E01"/>
    <w:rsid w:val="003978CC"/>
    <w:rsid w:val="003A1C87"/>
    <w:rsid w:val="003A36BC"/>
    <w:rsid w:val="003A5D43"/>
    <w:rsid w:val="003A770C"/>
    <w:rsid w:val="003B296A"/>
    <w:rsid w:val="003B4DC1"/>
    <w:rsid w:val="003B7B22"/>
    <w:rsid w:val="003D06A4"/>
    <w:rsid w:val="003D56A2"/>
    <w:rsid w:val="003E2F8A"/>
    <w:rsid w:val="003F3934"/>
    <w:rsid w:val="003F5AF0"/>
    <w:rsid w:val="00401BC7"/>
    <w:rsid w:val="00405D0D"/>
    <w:rsid w:val="00412E77"/>
    <w:rsid w:val="00413075"/>
    <w:rsid w:val="0041774D"/>
    <w:rsid w:val="0042268E"/>
    <w:rsid w:val="004231E3"/>
    <w:rsid w:val="00432BE9"/>
    <w:rsid w:val="00432E28"/>
    <w:rsid w:val="00437C3D"/>
    <w:rsid w:val="004401A0"/>
    <w:rsid w:val="00443563"/>
    <w:rsid w:val="00443EA8"/>
    <w:rsid w:val="00445FF5"/>
    <w:rsid w:val="00462689"/>
    <w:rsid w:val="00466707"/>
    <w:rsid w:val="00471E65"/>
    <w:rsid w:val="004749FF"/>
    <w:rsid w:val="00475A89"/>
    <w:rsid w:val="0047632F"/>
    <w:rsid w:val="00480AEC"/>
    <w:rsid w:val="00484175"/>
    <w:rsid w:val="0049131D"/>
    <w:rsid w:val="00492EE8"/>
    <w:rsid w:val="00493CAE"/>
    <w:rsid w:val="004955C0"/>
    <w:rsid w:val="004A01EA"/>
    <w:rsid w:val="004B25C1"/>
    <w:rsid w:val="004B3120"/>
    <w:rsid w:val="004B4DA1"/>
    <w:rsid w:val="004B74E2"/>
    <w:rsid w:val="004B7E30"/>
    <w:rsid w:val="004C5B0B"/>
    <w:rsid w:val="004C6FC4"/>
    <w:rsid w:val="004C7716"/>
    <w:rsid w:val="004D0B59"/>
    <w:rsid w:val="004D4CAB"/>
    <w:rsid w:val="004E3B17"/>
    <w:rsid w:val="004E3D4D"/>
    <w:rsid w:val="004E5B13"/>
    <w:rsid w:val="004E5C2E"/>
    <w:rsid w:val="004F7344"/>
    <w:rsid w:val="00507C65"/>
    <w:rsid w:val="00515CAC"/>
    <w:rsid w:val="00531282"/>
    <w:rsid w:val="0053219F"/>
    <w:rsid w:val="00533C69"/>
    <w:rsid w:val="005359E3"/>
    <w:rsid w:val="00540237"/>
    <w:rsid w:val="005416D2"/>
    <w:rsid w:val="00565BFC"/>
    <w:rsid w:val="00570007"/>
    <w:rsid w:val="00571DF7"/>
    <w:rsid w:val="005940F2"/>
    <w:rsid w:val="00597D20"/>
    <w:rsid w:val="005A03D0"/>
    <w:rsid w:val="005A0919"/>
    <w:rsid w:val="005A3324"/>
    <w:rsid w:val="005A625C"/>
    <w:rsid w:val="005B697D"/>
    <w:rsid w:val="005C303A"/>
    <w:rsid w:val="005C6A10"/>
    <w:rsid w:val="005D0D45"/>
    <w:rsid w:val="005D288F"/>
    <w:rsid w:val="005D6984"/>
    <w:rsid w:val="005D7C1C"/>
    <w:rsid w:val="005E01DC"/>
    <w:rsid w:val="005E30D6"/>
    <w:rsid w:val="005F3D9B"/>
    <w:rsid w:val="005F49F3"/>
    <w:rsid w:val="00610B81"/>
    <w:rsid w:val="0061256A"/>
    <w:rsid w:val="00615F7E"/>
    <w:rsid w:val="006177B5"/>
    <w:rsid w:val="006401AE"/>
    <w:rsid w:val="0064183D"/>
    <w:rsid w:val="00642F61"/>
    <w:rsid w:val="0064536D"/>
    <w:rsid w:val="00650704"/>
    <w:rsid w:val="00651583"/>
    <w:rsid w:val="0065495F"/>
    <w:rsid w:val="00656D0A"/>
    <w:rsid w:val="006672F8"/>
    <w:rsid w:val="00671E4E"/>
    <w:rsid w:val="006736B2"/>
    <w:rsid w:val="0067430B"/>
    <w:rsid w:val="00674A83"/>
    <w:rsid w:val="00676EC4"/>
    <w:rsid w:val="00681614"/>
    <w:rsid w:val="00682DFA"/>
    <w:rsid w:val="00684219"/>
    <w:rsid w:val="0068511E"/>
    <w:rsid w:val="0069523C"/>
    <w:rsid w:val="00695347"/>
    <w:rsid w:val="006B0F13"/>
    <w:rsid w:val="006B2CA6"/>
    <w:rsid w:val="006B7E33"/>
    <w:rsid w:val="006C1622"/>
    <w:rsid w:val="006C5B81"/>
    <w:rsid w:val="006D03B2"/>
    <w:rsid w:val="006E47AB"/>
    <w:rsid w:val="006E5489"/>
    <w:rsid w:val="006F147F"/>
    <w:rsid w:val="006F25D4"/>
    <w:rsid w:val="00700A72"/>
    <w:rsid w:val="0070122D"/>
    <w:rsid w:val="007037B3"/>
    <w:rsid w:val="00704407"/>
    <w:rsid w:val="00704E11"/>
    <w:rsid w:val="00706EC5"/>
    <w:rsid w:val="00707E72"/>
    <w:rsid w:val="0071228F"/>
    <w:rsid w:val="0071526C"/>
    <w:rsid w:val="00736B40"/>
    <w:rsid w:val="00736CAF"/>
    <w:rsid w:val="00742D45"/>
    <w:rsid w:val="007434F9"/>
    <w:rsid w:val="00743A48"/>
    <w:rsid w:val="00744005"/>
    <w:rsid w:val="0074553E"/>
    <w:rsid w:val="0074610D"/>
    <w:rsid w:val="00754EA4"/>
    <w:rsid w:val="00756FAF"/>
    <w:rsid w:val="00757312"/>
    <w:rsid w:val="00764C60"/>
    <w:rsid w:val="00766767"/>
    <w:rsid w:val="0076737E"/>
    <w:rsid w:val="00775853"/>
    <w:rsid w:val="00780AFE"/>
    <w:rsid w:val="0079180E"/>
    <w:rsid w:val="00794821"/>
    <w:rsid w:val="007B2BDC"/>
    <w:rsid w:val="007B35F8"/>
    <w:rsid w:val="007B3A11"/>
    <w:rsid w:val="007B4908"/>
    <w:rsid w:val="007B4D03"/>
    <w:rsid w:val="007B66CC"/>
    <w:rsid w:val="007C1C47"/>
    <w:rsid w:val="007C1D53"/>
    <w:rsid w:val="007C38F7"/>
    <w:rsid w:val="007C5E38"/>
    <w:rsid w:val="007C702A"/>
    <w:rsid w:val="007D0156"/>
    <w:rsid w:val="007D128C"/>
    <w:rsid w:val="007D7474"/>
    <w:rsid w:val="007E3717"/>
    <w:rsid w:val="007E76B2"/>
    <w:rsid w:val="00805A6C"/>
    <w:rsid w:val="008066C8"/>
    <w:rsid w:val="0080705A"/>
    <w:rsid w:val="00807C4F"/>
    <w:rsid w:val="0081160D"/>
    <w:rsid w:val="00813966"/>
    <w:rsid w:val="00822CE8"/>
    <w:rsid w:val="00830211"/>
    <w:rsid w:val="00830EE7"/>
    <w:rsid w:val="008315A2"/>
    <w:rsid w:val="008320A5"/>
    <w:rsid w:val="00836044"/>
    <w:rsid w:val="00840C8F"/>
    <w:rsid w:val="00842854"/>
    <w:rsid w:val="0084285D"/>
    <w:rsid w:val="00850386"/>
    <w:rsid w:val="00850D1B"/>
    <w:rsid w:val="00855E4F"/>
    <w:rsid w:val="0085727E"/>
    <w:rsid w:val="0086225B"/>
    <w:rsid w:val="0088442A"/>
    <w:rsid w:val="00885E24"/>
    <w:rsid w:val="00887513"/>
    <w:rsid w:val="008923E6"/>
    <w:rsid w:val="00895962"/>
    <w:rsid w:val="008A20FA"/>
    <w:rsid w:val="008A2D84"/>
    <w:rsid w:val="008C1061"/>
    <w:rsid w:val="008C51C8"/>
    <w:rsid w:val="008E256B"/>
    <w:rsid w:val="008E6557"/>
    <w:rsid w:val="008E7F24"/>
    <w:rsid w:val="008F170A"/>
    <w:rsid w:val="00905F7F"/>
    <w:rsid w:val="00907833"/>
    <w:rsid w:val="00911B15"/>
    <w:rsid w:val="00925239"/>
    <w:rsid w:val="009257C0"/>
    <w:rsid w:val="00931632"/>
    <w:rsid w:val="0093521C"/>
    <w:rsid w:val="009356B6"/>
    <w:rsid w:val="009417A4"/>
    <w:rsid w:val="00942F52"/>
    <w:rsid w:val="00953428"/>
    <w:rsid w:val="00953EEA"/>
    <w:rsid w:val="00963746"/>
    <w:rsid w:val="0097392F"/>
    <w:rsid w:val="00987C1A"/>
    <w:rsid w:val="00987F7D"/>
    <w:rsid w:val="00991DC4"/>
    <w:rsid w:val="00996E89"/>
    <w:rsid w:val="009A126A"/>
    <w:rsid w:val="009A1E13"/>
    <w:rsid w:val="009A71C6"/>
    <w:rsid w:val="009B38B4"/>
    <w:rsid w:val="009B45F5"/>
    <w:rsid w:val="009B5092"/>
    <w:rsid w:val="009B5358"/>
    <w:rsid w:val="009B7738"/>
    <w:rsid w:val="009C3F47"/>
    <w:rsid w:val="009D01D0"/>
    <w:rsid w:val="009D2CAA"/>
    <w:rsid w:val="009D3759"/>
    <w:rsid w:val="009E2580"/>
    <w:rsid w:val="009E39A6"/>
    <w:rsid w:val="009E5A79"/>
    <w:rsid w:val="009F2144"/>
    <w:rsid w:val="00A01A4B"/>
    <w:rsid w:val="00A07C70"/>
    <w:rsid w:val="00A2065A"/>
    <w:rsid w:val="00A235D4"/>
    <w:rsid w:val="00A271CA"/>
    <w:rsid w:val="00A31BF5"/>
    <w:rsid w:val="00A32D1D"/>
    <w:rsid w:val="00A55743"/>
    <w:rsid w:val="00A61721"/>
    <w:rsid w:val="00A6361D"/>
    <w:rsid w:val="00A71DCD"/>
    <w:rsid w:val="00A86E0D"/>
    <w:rsid w:val="00A92F29"/>
    <w:rsid w:val="00A97330"/>
    <w:rsid w:val="00A97867"/>
    <w:rsid w:val="00AA66F7"/>
    <w:rsid w:val="00AB3DA2"/>
    <w:rsid w:val="00AD0188"/>
    <w:rsid w:val="00AD4AA5"/>
    <w:rsid w:val="00AD5398"/>
    <w:rsid w:val="00AE182C"/>
    <w:rsid w:val="00AE3803"/>
    <w:rsid w:val="00AF61B8"/>
    <w:rsid w:val="00B055D3"/>
    <w:rsid w:val="00B0786C"/>
    <w:rsid w:val="00B23C35"/>
    <w:rsid w:val="00B3282F"/>
    <w:rsid w:val="00B42782"/>
    <w:rsid w:val="00B45625"/>
    <w:rsid w:val="00B47034"/>
    <w:rsid w:val="00B52329"/>
    <w:rsid w:val="00B54665"/>
    <w:rsid w:val="00B638E9"/>
    <w:rsid w:val="00B66532"/>
    <w:rsid w:val="00B6752B"/>
    <w:rsid w:val="00B83CB1"/>
    <w:rsid w:val="00B85AD1"/>
    <w:rsid w:val="00B925A7"/>
    <w:rsid w:val="00B95B9C"/>
    <w:rsid w:val="00B96054"/>
    <w:rsid w:val="00BA2DDF"/>
    <w:rsid w:val="00BA3FFF"/>
    <w:rsid w:val="00BA5150"/>
    <w:rsid w:val="00BB55C0"/>
    <w:rsid w:val="00BB5860"/>
    <w:rsid w:val="00BB63D5"/>
    <w:rsid w:val="00BB6F23"/>
    <w:rsid w:val="00BC4C3F"/>
    <w:rsid w:val="00BC583A"/>
    <w:rsid w:val="00BD2D25"/>
    <w:rsid w:val="00BD539C"/>
    <w:rsid w:val="00BE45A2"/>
    <w:rsid w:val="00BF25CC"/>
    <w:rsid w:val="00BF7FE4"/>
    <w:rsid w:val="00C00AC8"/>
    <w:rsid w:val="00C0197A"/>
    <w:rsid w:val="00C14B43"/>
    <w:rsid w:val="00C2282E"/>
    <w:rsid w:val="00C229BE"/>
    <w:rsid w:val="00C24803"/>
    <w:rsid w:val="00C306A7"/>
    <w:rsid w:val="00C31B38"/>
    <w:rsid w:val="00C33041"/>
    <w:rsid w:val="00C37DC1"/>
    <w:rsid w:val="00C41E21"/>
    <w:rsid w:val="00C42D69"/>
    <w:rsid w:val="00C56043"/>
    <w:rsid w:val="00C65616"/>
    <w:rsid w:val="00C661CE"/>
    <w:rsid w:val="00C664F8"/>
    <w:rsid w:val="00C709D9"/>
    <w:rsid w:val="00C711E1"/>
    <w:rsid w:val="00C71798"/>
    <w:rsid w:val="00C72C62"/>
    <w:rsid w:val="00C7595E"/>
    <w:rsid w:val="00C8331D"/>
    <w:rsid w:val="00CB7598"/>
    <w:rsid w:val="00CB797B"/>
    <w:rsid w:val="00CB7B70"/>
    <w:rsid w:val="00CC1978"/>
    <w:rsid w:val="00CC73D5"/>
    <w:rsid w:val="00CD0B23"/>
    <w:rsid w:val="00CD2988"/>
    <w:rsid w:val="00CD3578"/>
    <w:rsid w:val="00CE39CD"/>
    <w:rsid w:val="00CE3C1E"/>
    <w:rsid w:val="00CE65C5"/>
    <w:rsid w:val="00CF08EA"/>
    <w:rsid w:val="00CF17FB"/>
    <w:rsid w:val="00CF29F2"/>
    <w:rsid w:val="00CF54D2"/>
    <w:rsid w:val="00D00F00"/>
    <w:rsid w:val="00D02B88"/>
    <w:rsid w:val="00D07AFE"/>
    <w:rsid w:val="00D07DA4"/>
    <w:rsid w:val="00D10536"/>
    <w:rsid w:val="00D12041"/>
    <w:rsid w:val="00D21199"/>
    <w:rsid w:val="00D21E0E"/>
    <w:rsid w:val="00D21E7B"/>
    <w:rsid w:val="00D2724E"/>
    <w:rsid w:val="00D27AA9"/>
    <w:rsid w:val="00D36BCC"/>
    <w:rsid w:val="00D37CCF"/>
    <w:rsid w:val="00D419D3"/>
    <w:rsid w:val="00D4336A"/>
    <w:rsid w:val="00D4382F"/>
    <w:rsid w:val="00D50C4C"/>
    <w:rsid w:val="00D6134D"/>
    <w:rsid w:val="00D631A0"/>
    <w:rsid w:val="00D6323C"/>
    <w:rsid w:val="00D64D3E"/>
    <w:rsid w:val="00D7192A"/>
    <w:rsid w:val="00D812B6"/>
    <w:rsid w:val="00D90D72"/>
    <w:rsid w:val="00D94844"/>
    <w:rsid w:val="00D94C8B"/>
    <w:rsid w:val="00D95949"/>
    <w:rsid w:val="00D96AA1"/>
    <w:rsid w:val="00DA13F7"/>
    <w:rsid w:val="00DA3256"/>
    <w:rsid w:val="00DA603E"/>
    <w:rsid w:val="00DA6BC3"/>
    <w:rsid w:val="00DB3A7B"/>
    <w:rsid w:val="00DB4348"/>
    <w:rsid w:val="00DC40AE"/>
    <w:rsid w:val="00DD79FD"/>
    <w:rsid w:val="00DE479E"/>
    <w:rsid w:val="00DE5757"/>
    <w:rsid w:val="00E00C3F"/>
    <w:rsid w:val="00E02898"/>
    <w:rsid w:val="00E03ECF"/>
    <w:rsid w:val="00E13411"/>
    <w:rsid w:val="00E17F98"/>
    <w:rsid w:val="00E27021"/>
    <w:rsid w:val="00E30E30"/>
    <w:rsid w:val="00E3262B"/>
    <w:rsid w:val="00E32710"/>
    <w:rsid w:val="00E3367C"/>
    <w:rsid w:val="00E40AC9"/>
    <w:rsid w:val="00E40D22"/>
    <w:rsid w:val="00E414AA"/>
    <w:rsid w:val="00E41FD4"/>
    <w:rsid w:val="00E42A93"/>
    <w:rsid w:val="00E44C8D"/>
    <w:rsid w:val="00E513FC"/>
    <w:rsid w:val="00E522EB"/>
    <w:rsid w:val="00E53C0E"/>
    <w:rsid w:val="00E555DA"/>
    <w:rsid w:val="00E55919"/>
    <w:rsid w:val="00E56B2B"/>
    <w:rsid w:val="00E61948"/>
    <w:rsid w:val="00E64773"/>
    <w:rsid w:val="00E7117C"/>
    <w:rsid w:val="00E72991"/>
    <w:rsid w:val="00E73AC1"/>
    <w:rsid w:val="00E77200"/>
    <w:rsid w:val="00E856A8"/>
    <w:rsid w:val="00E95F28"/>
    <w:rsid w:val="00EA18AC"/>
    <w:rsid w:val="00EA5E97"/>
    <w:rsid w:val="00EB0CD4"/>
    <w:rsid w:val="00EB1F43"/>
    <w:rsid w:val="00EB4416"/>
    <w:rsid w:val="00EB4FC0"/>
    <w:rsid w:val="00EB5DB7"/>
    <w:rsid w:val="00EB5E20"/>
    <w:rsid w:val="00EB6AD1"/>
    <w:rsid w:val="00EC3E35"/>
    <w:rsid w:val="00EC4140"/>
    <w:rsid w:val="00EC4B94"/>
    <w:rsid w:val="00EE3269"/>
    <w:rsid w:val="00EE7B7D"/>
    <w:rsid w:val="00EF1C3E"/>
    <w:rsid w:val="00EF4026"/>
    <w:rsid w:val="00F00F46"/>
    <w:rsid w:val="00F05C22"/>
    <w:rsid w:val="00F0676F"/>
    <w:rsid w:val="00F11415"/>
    <w:rsid w:val="00F13344"/>
    <w:rsid w:val="00F1508D"/>
    <w:rsid w:val="00F17BA3"/>
    <w:rsid w:val="00F2266D"/>
    <w:rsid w:val="00F25E66"/>
    <w:rsid w:val="00F445B6"/>
    <w:rsid w:val="00F44F59"/>
    <w:rsid w:val="00F63354"/>
    <w:rsid w:val="00F640BC"/>
    <w:rsid w:val="00F67A07"/>
    <w:rsid w:val="00F72564"/>
    <w:rsid w:val="00F73ACC"/>
    <w:rsid w:val="00F823AF"/>
    <w:rsid w:val="00F829BE"/>
    <w:rsid w:val="00F84A76"/>
    <w:rsid w:val="00F93F33"/>
    <w:rsid w:val="00F95028"/>
    <w:rsid w:val="00F954A2"/>
    <w:rsid w:val="00FB2D1A"/>
    <w:rsid w:val="00FB3799"/>
    <w:rsid w:val="00FB4175"/>
    <w:rsid w:val="00FB60FF"/>
    <w:rsid w:val="00FC0857"/>
    <w:rsid w:val="00FC5EF1"/>
    <w:rsid w:val="00FD3768"/>
    <w:rsid w:val="00FE3A8F"/>
    <w:rsid w:val="00FE4EC7"/>
    <w:rsid w:val="00FF315C"/>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A1F2DF76-CDE5-47D0-968F-9046F2037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Car,Footnote Text Char Char Char,Footnote Text Cha,FA Fußnotentext,FA Fuﬂnotentext,Footnote Text Char Char,Car Car Car,FA Fu?notentext,Ca, C"/>
    <w:basedOn w:val="Normal"/>
    <w:link w:val="TextonotapieCar"/>
    <w:uiPriority w:val="99"/>
    <w:qFormat/>
    <w:rsid w:val="00147722"/>
    <w:rPr>
      <w:sz w:val="20"/>
      <w:szCs w:val="20"/>
    </w:rPr>
  </w:style>
  <w:style w:type="character" w:customStyle="1" w:styleId="TextonotapieCar">
    <w:name w:val="Texto nota pie Car"/>
    <w:aliases w:val="Footnote Text Char Char Char Char Char Car,Footnote Text Char Char Char Char Car,Footnote reference Car,FA Fu Car,Car Car,Footnote Text Char Char Char Car,Footnote Text Cha Car,FA Fußnotentext Car,FA Fuﬂnotentext Car,Car Car Car Car"/>
    <w:basedOn w:val="Fuentedeprrafopredeter"/>
    <w:link w:val="Textonotapie"/>
    <w:uiPriority w:val="99"/>
    <w:rsid w:val="00147722"/>
    <w:rPr>
      <w:rFonts w:ascii="Calibri" w:eastAsia="Calibri" w:hAnsi="Calibri" w:cs="Times New Roman"/>
      <w:sz w:val="20"/>
      <w:szCs w:val="20"/>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R"/>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unhideWhenUsed/>
    <w:rsid w:val="007434F9"/>
    <w:pPr>
      <w:spacing w:after="120" w:line="480" w:lineRule="auto"/>
    </w:pPr>
  </w:style>
  <w:style w:type="character" w:customStyle="1" w:styleId="Textoindependiente2Car">
    <w:name w:val="Texto independiente 2 Car"/>
    <w:basedOn w:val="Fuentedeprrafopredeter"/>
    <w:link w:val="Textoindependiente2"/>
    <w:uiPriority w:val="99"/>
    <w:rsid w:val="007434F9"/>
    <w:rPr>
      <w:rFonts w:ascii="Calibri" w:eastAsia="Calibri" w:hAnsi="Calibri" w:cs="Times New Roman"/>
    </w:rPr>
  </w:style>
  <w:style w:type="paragraph" w:styleId="Textoindependiente">
    <w:name w:val="Body Text"/>
    <w:basedOn w:val="Normal"/>
    <w:link w:val="TextoindependienteCar"/>
    <w:uiPriority w:val="99"/>
    <w:unhideWhenUsed/>
    <w:rsid w:val="00311F0E"/>
    <w:pPr>
      <w:spacing w:after="120"/>
    </w:pPr>
  </w:style>
  <w:style w:type="character" w:customStyle="1" w:styleId="TextoindependienteCar">
    <w:name w:val="Texto independiente Car"/>
    <w:basedOn w:val="Fuentedeprrafopredeter"/>
    <w:link w:val="Textoindependiente"/>
    <w:uiPriority w:val="99"/>
    <w:rsid w:val="00311F0E"/>
    <w:rPr>
      <w:rFonts w:ascii="Calibri" w:eastAsia="Calibri" w:hAnsi="Calibri" w:cs="Times New Roman"/>
    </w:rPr>
  </w:style>
  <w:style w:type="paragraph" w:customStyle="1" w:styleId="Default">
    <w:name w:val="Default"/>
    <w:rsid w:val="00311F0E"/>
    <w:pPr>
      <w:autoSpaceDE w:val="0"/>
      <w:autoSpaceDN w:val="0"/>
      <w:adjustRightInd w:val="0"/>
      <w:spacing w:after="0" w:line="240" w:lineRule="auto"/>
    </w:pPr>
    <w:rPr>
      <w:rFonts w:ascii="Arial" w:eastAsia="Times New Roman" w:hAnsi="Arial" w:cs="Arial"/>
      <w:color w:val="000000"/>
      <w:sz w:val="24"/>
      <w:szCs w:val="24"/>
      <w:lang w:eastAsia="es-MX"/>
    </w:rPr>
  </w:style>
  <w:style w:type="paragraph" w:styleId="Textoindependiente3">
    <w:name w:val="Body Text 3"/>
    <w:basedOn w:val="Normal"/>
    <w:link w:val="Textoindependiente3Car"/>
    <w:uiPriority w:val="99"/>
    <w:semiHidden/>
    <w:unhideWhenUsed/>
    <w:rsid w:val="00DC40AE"/>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DC40AE"/>
    <w:rPr>
      <w:rFonts w:ascii="Calibri" w:eastAsia="Calibri" w:hAnsi="Calibri" w:cs="Times New Roman"/>
      <w:sz w:val="16"/>
      <w:szCs w:val="16"/>
    </w:rPr>
  </w:style>
  <w:style w:type="paragraph" w:customStyle="1" w:styleId="corte4fondo">
    <w:name w:val="corte4 fondo"/>
    <w:basedOn w:val="Normal"/>
    <w:link w:val="corte4fondoCar2"/>
    <w:qFormat/>
    <w:rsid w:val="00484175"/>
    <w:pPr>
      <w:spacing w:after="0" w:line="360" w:lineRule="auto"/>
      <w:ind w:firstLine="709"/>
      <w:jc w:val="both"/>
    </w:pPr>
    <w:rPr>
      <w:rFonts w:ascii="Arial" w:eastAsia="Times New Roman" w:hAnsi="Arial"/>
      <w:sz w:val="30"/>
      <w:szCs w:val="20"/>
      <w:lang w:val="x-none" w:eastAsia="es-ES"/>
    </w:rPr>
  </w:style>
  <w:style w:type="character" w:customStyle="1" w:styleId="corte4fondoCar2">
    <w:name w:val="corte4 fondo Car2"/>
    <w:link w:val="corte4fondo"/>
    <w:locked/>
    <w:rsid w:val="00484175"/>
    <w:rPr>
      <w:rFonts w:ascii="Arial" w:eastAsia="Times New Roman" w:hAnsi="Arial" w:cs="Times New Roman"/>
      <w:sz w:val="30"/>
      <w:szCs w:val="20"/>
      <w:lang w:val="x-none" w:eastAsia="es-ES"/>
    </w:rPr>
  </w:style>
  <w:style w:type="paragraph" w:customStyle="1" w:styleId="corte4fondoCarCar3">
    <w:name w:val="corte4 fondo Car Car3"/>
    <w:basedOn w:val="Normal"/>
    <w:link w:val="corte4fondoCarCarCar3"/>
    <w:rsid w:val="00484175"/>
    <w:pPr>
      <w:spacing w:after="0" w:line="360" w:lineRule="auto"/>
      <w:ind w:firstLine="709"/>
      <w:jc w:val="both"/>
    </w:pPr>
    <w:rPr>
      <w:rFonts w:ascii="Arial" w:eastAsia="Times New Roman" w:hAnsi="Arial" w:cs="Arial"/>
      <w:sz w:val="30"/>
      <w:szCs w:val="30"/>
      <w:lang w:val="es-ES_tradnl" w:eastAsia="es-MX"/>
    </w:rPr>
  </w:style>
  <w:style w:type="character" w:customStyle="1" w:styleId="corte4fondoCarCarCar3">
    <w:name w:val="corte4 fondo Car Car Car3"/>
    <w:link w:val="corte4fondoCarCar3"/>
    <w:rsid w:val="00484175"/>
    <w:rPr>
      <w:rFonts w:ascii="Arial" w:eastAsia="Times New Roman" w:hAnsi="Arial" w:cs="Arial"/>
      <w:sz w:val="30"/>
      <w:szCs w:val="30"/>
      <w:lang w:val="es-ES_tradnl"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A1BE4F-9DBF-4CDF-B0E4-D4691E8CB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21</Pages>
  <Words>7606</Words>
  <Characters>41836</Characters>
  <Application>Microsoft Office Word</Application>
  <DocSecurity>0</DocSecurity>
  <Lines>348</Lines>
  <Paragraphs>98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49344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Rosalinda</cp:lastModifiedBy>
  <cp:revision>4</cp:revision>
  <cp:lastPrinted>2026-04-07T16:23:00Z</cp:lastPrinted>
  <dcterms:created xsi:type="dcterms:W3CDTF">2026-04-09T19:27:00Z</dcterms:created>
  <dcterms:modified xsi:type="dcterms:W3CDTF">2026-04-09T19:40:00Z</dcterms:modified>
</cp:coreProperties>
</file>