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3E48C" w14:textId="1CC3DAF3" w:rsidR="003F08CF" w:rsidRDefault="003F08CF"/>
    <w:p w14:paraId="20B36C87" w14:textId="1E573F20" w:rsidR="00797229" w:rsidRPr="00797229" w:rsidRDefault="00797229" w:rsidP="00797229"/>
    <w:p w14:paraId="4A83E3D7" w14:textId="77777777" w:rsidR="00797229" w:rsidRPr="00797229" w:rsidRDefault="00797229" w:rsidP="00797229">
      <w:pPr>
        <w:pStyle w:val="isselectedend"/>
        <w:jc w:val="both"/>
        <w:rPr>
          <w:rFonts w:ascii="Century Gothic" w:hAnsi="Century Gothic"/>
        </w:rPr>
      </w:pPr>
      <w:r w:rsidRPr="00797229">
        <w:rPr>
          <w:rFonts w:ascii="Century Gothic" w:hAnsi="Century Gothic"/>
        </w:rPr>
        <w:t xml:space="preserve">En cumplimiento de las obligaciones de transparencia relativas a la publicación de los instrumentos de control y consulta archivística, se hace constar que durante el periodo que se registra, la </w:t>
      </w:r>
      <w:r w:rsidRPr="00797229">
        <w:rPr>
          <w:rStyle w:val="Textoennegrita"/>
          <w:rFonts w:ascii="Century Gothic" w:hAnsi="Century Gothic"/>
        </w:rPr>
        <w:t>Unidad de Transparencia del Sistema Municipal para el Desarrollo Integral de la Familia de Mexquitic de Carmona, S.L.P.</w:t>
      </w:r>
      <w:r w:rsidRPr="00797229">
        <w:rPr>
          <w:rFonts w:ascii="Century Gothic" w:hAnsi="Century Gothic"/>
        </w:rPr>
        <w:t xml:space="preserve">, no generó información susceptible de ser integrada al </w:t>
      </w:r>
      <w:r w:rsidRPr="00797229">
        <w:rPr>
          <w:rStyle w:val="Textoennegrita"/>
          <w:rFonts w:ascii="Century Gothic" w:hAnsi="Century Gothic"/>
        </w:rPr>
        <w:t>Índice de Expedientes Clasificados como Reservados</w:t>
      </w:r>
      <w:r w:rsidRPr="00797229">
        <w:rPr>
          <w:rFonts w:ascii="Century Gothic" w:hAnsi="Century Gothic"/>
        </w:rPr>
        <w:t>.</w:t>
      </w:r>
    </w:p>
    <w:p w14:paraId="40C89EF9" w14:textId="603281B9" w:rsidR="00797229" w:rsidRPr="00797229" w:rsidRDefault="00797229" w:rsidP="00797229">
      <w:pPr>
        <w:pStyle w:val="isselectedend"/>
        <w:jc w:val="both"/>
        <w:rPr>
          <w:rFonts w:ascii="Century Gothic" w:hAnsi="Century Gothic"/>
        </w:rPr>
      </w:pPr>
      <w:r w:rsidRPr="00797229">
        <w:rPr>
          <w:rFonts w:ascii="Century Gothic" w:hAnsi="Century Gothic"/>
        </w:rPr>
        <w:t xml:space="preserve">Lo anterior, toda vez que durante el periodo que se informa </w:t>
      </w:r>
      <w:r w:rsidRPr="00797229">
        <w:rPr>
          <w:rStyle w:val="Textoennegrita"/>
          <w:rFonts w:ascii="Century Gothic" w:hAnsi="Century Gothic"/>
        </w:rPr>
        <w:t>no se recibió solicitud de acceso a la información que derivara en una clasificación de información como reservada, ni se realizó clasificación de expedientes como reservados durante el periodo que se informa.</w:t>
      </w:r>
    </w:p>
    <w:p w14:paraId="6B879790" w14:textId="77777777" w:rsidR="00797229" w:rsidRPr="00797229" w:rsidRDefault="00797229" w:rsidP="00797229">
      <w:pPr>
        <w:pStyle w:val="isselectedend"/>
        <w:jc w:val="both"/>
        <w:rPr>
          <w:rFonts w:ascii="Century Gothic" w:hAnsi="Century Gothic"/>
        </w:rPr>
      </w:pPr>
      <w:r w:rsidRPr="00797229">
        <w:rPr>
          <w:rFonts w:ascii="Century Gothic" w:hAnsi="Century Gothic"/>
        </w:rPr>
        <w:t xml:space="preserve">La presente manifestación se realiza con fundamento en los principios de </w:t>
      </w:r>
      <w:r w:rsidRPr="00797229">
        <w:rPr>
          <w:rStyle w:val="Textoennegrita"/>
          <w:rFonts w:ascii="Century Gothic" w:hAnsi="Century Gothic"/>
        </w:rPr>
        <w:t>máxima publicidad y acceso a la información</w:t>
      </w:r>
      <w:r w:rsidRPr="00797229">
        <w:rPr>
          <w:rFonts w:ascii="Century Gothic" w:hAnsi="Century Gothic"/>
        </w:rPr>
        <w:t xml:space="preserve">, así como en las disposiciones aplicables de la </w:t>
      </w:r>
      <w:r w:rsidRPr="00797229">
        <w:rPr>
          <w:rStyle w:val="Textoennegrita"/>
          <w:rFonts w:ascii="Century Gothic" w:hAnsi="Century Gothic"/>
        </w:rPr>
        <w:t>Ley de Transparencia y Acceso a la Información Pública del Estado de San Luis Potosí</w:t>
      </w:r>
      <w:r w:rsidRPr="00797229">
        <w:rPr>
          <w:rFonts w:ascii="Century Gothic" w:hAnsi="Century Gothic"/>
        </w:rPr>
        <w:t>, en materia de clasificación de información.</w:t>
      </w:r>
    </w:p>
    <w:p w14:paraId="6E8C772B" w14:textId="618308EA" w:rsidR="00797229" w:rsidRPr="00797229" w:rsidRDefault="00797229" w:rsidP="00797229">
      <w:pPr>
        <w:pStyle w:val="NormalWeb"/>
        <w:jc w:val="both"/>
        <w:rPr>
          <w:rFonts w:ascii="Century Gothic" w:hAnsi="Century Gothic"/>
        </w:rPr>
      </w:pPr>
      <w:r w:rsidRPr="00797229">
        <w:rPr>
          <w:rFonts w:ascii="Century Gothic" w:hAnsi="Century Gothic"/>
        </w:rPr>
        <w:t xml:space="preserve">De conformidad con la legislación aplicable, la clasificación de información como reservada constituye una medida excepcional que debe realizarse cuando se actualicen los supuestos legales correspondientes y mediante el procedimiento establecido para tal efecto. En consecuencia, al no haberse generado durante el periodo que se informa ningún expediente clasificado como reservado, </w:t>
      </w:r>
      <w:r w:rsidRPr="00797229">
        <w:rPr>
          <w:rStyle w:val="Textoennegrita"/>
          <w:rFonts w:ascii="Century Gothic" w:hAnsi="Century Gothic"/>
        </w:rPr>
        <w:t>no existe información que integrar o publicar dentro del Índice de Expedientes Clasificados como Reservados correspondiente al mes de marzo de 2026</w:t>
      </w:r>
      <w:r w:rsidRPr="00797229">
        <w:rPr>
          <w:rFonts w:ascii="Century Gothic" w:hAnsi="Century Gothic"/>
        </w:rPr>
        <w:t>.</w:t>
      </w:r>
    </w:p>
    <w:p w14:paraId="6804AD99" w14:textId="56F8DCC1" w:rsidR="00797229" w:rsidRPr="00797229" w:rsidRDefault="00797229" w:rsidP="00797229">
      <w:pPr>
        <w:jc w:val="both"/>
        <w:rPr>
          <w:rFonts w:ascii="Century Gothic" w:hAnsi="Century Gothic" w:cs="Arial"/>
          <w:sz w:val="24"/>
          <w:szCs w:val="24"/>
          <w:lang w:val="es-ES_tradnl"/>
        </w:rPr>
      </w:pPr>
      <w:r w:rsidRPr="00797229">
        <w:rPr>
          <w:rFonts w:ascii="Century Gothic" w:hAnsi="Century Gothic" w:cs="Arial"/>
          <w:sz w:val="24"/>
          <w:szCs w:val="24"/>
        </w:rPr>
        <w:t xml:space="preserve">Lo anterior de acuerdo a lo establecido en el art. 19 de la ley de transparencia de acceso a la información pública del estado de san </w:t>
      </w:r>
      <w:proofErr w:type="spellStart"/>
      <w:r w:rsidRPr="00797229">
        <w:rPr>
          <w:rFonts w:ascii="Century Gothic" w:hAnsi="Century Gothic" w:cs="Arial"/>
          <w:sz w:val="24"/>
          <w:szCs w:val="24"/>
        </w:rPr>
        <w:t>luis</w:t>
      </w:r>
      <w:proofErr w:type="spellEnd"/>
      <w:r w:rsidRPr="00797229">
        <w:rPr>
          <w:rFonts w:ascii="Century Gothic" w:hAnsi="Century Gothic" w:cs="Arial"/>
          <w:sz w:val="24"/>
          <w:szCs w:val="24"/>
        </w:rPr>
        <w:t xml:space="preserve"> potosí.</w:t>
      </w:r>
    </w:p>
    <w:p w14:paraId="149D759B" w14:textId="36B8034B" w:rsidR="00797229" w:rsidRPr="00797229" w:rsidRDefault="00797229" w:rsidP="00797229">
      <w:pPr>
        <w:jc w:val="both"/>
        <w:rPr>
          <w:rFonts w:ascii="Century Gothic" w:hAnsi="Century Gothic" w:cs="Arial"/>
          <w:sz w:val="24"/>
          <w:szCs w:val="24"/>
        </w:rPr>
      </w:pPr>
      <w:r w:rsidRPr="00797229">
        <w:rPr>
          <w:rFonts w:ascii="Century Gothic" w:hAnsi="Century Gothic" w:cs="Arial"/>
          <w:sz w:val="24"/>
          <w:szCs w:val="24"/>
        </w:rPr>
        <w:t>Reiterando el compromiso de actualizar dicho formato en caso contrario durante el siguiente periodo</w:t>
      </w:r>
      <w:r>
        <w:rPr>
          <w:rFonts w:ascii="Century Gothic" w:hAnsi="Century Gothic" w:cs="Arial"/>
          <w:sz w:val="24"/>
          <w:szCs w:val="24"/>
        </w:rPr>
        <w:t>.</w:t>
      </w:r>
    </w:p>
    <w:p w14:paraId="0936865D" w14:textId="0BCD565C" w:rsidR="00797229" w:rsidRPr="00797229" w:rsidRDefault="00797229" w:rsidP="00797229"/>
    <w:p w14:paraId="5F76C037" w14:textId="69B8F20B" w:rsidR="00797229" w:rsidRPr="00797229" w:rsidRDefault="00797229" w:rsidP="00797229"/>
    <w:p w14:paraId="772A77B2" w14:textId="333ED07D" w:rsidR="00797229" w:rsidRPr="00797229" w:rsidRDefault="00797229" w:rsidP="00797229"/>
    <w:p w14:paraId="41C5D1F5" w14:textId="5D148988" w:rsidR="00797229" w:rsidRPr="00797229" w:rsidRDefault="00797229" w:rsidP="00797229">
      <w:pPr>
        <w:tabs>
          <w:tab w:val="left" w:pos="6315"/>
        </w:tabs>
      </w:pPr>
      <w:r>
        <w:tab/>
      </w:r>
    </w:p>
    <w:sectPr w:rsidR="00797229" w:rsidRPr="00797229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67A9B" w14:textId="77777777" w:rsidR="00797229" w:rsidRDefault="00797229" w:rsidP="00797229">
      <w:pPr>
        <w:spacing w:after="0" w:line="240" w:lineRule="auto"/>
      </w:pPr>
      <w:r>
        <w:separator/>
      </w:r>
    </w:p>
  </w:endnote>
  <w:endnote w:type="continuationSeparator" w:id="0">
    <w:p w14:paraId="65579E36" w14:textId="77777777" w:rsidR="00797229" w:rsidRDefault="00797229" w:rsidP="00797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38CFC" w14:textId="77777777" w:rsidR="00797229" w:rsidRDefault="00797229" w:rsidP="00797229">
      <w:pPr>
        <w:spacing w:after="0" w:line="240" w:lineRule="auto"/>
      </w:pPr>
      <w:r>
        <w:separator/>
      </w:r>
    </w:p>
  </w:footnote>
  <w:footnote w:type="continuationSeparator" w:id="0">
    <w:p w14:paraId="1D9624C9" w14:textId="77777777" w:rsidR="00797229" w:rsidRDefault="00797229" w:rsidP="00797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A0B04" w14:textId="3FF18CA0" w:rsidR="00797229" w:rsidRDefault="00797229">
    <w:pPr>
      <w:pStyle w:val="Encabezado"/>
    </w:pPr>
    <w:r>
      <w:rPr>
        <w:noProof/>
      </w:rPr>
      <w:pict w14:anchorId="30ACAA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68329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7AFD" w14:textId="6B1871B6" w:rsidR="00797229" w:rsidRDefault="00797229">
    <w:pPr>
      <w:pStyle w:val="Encabezado"/>
    </w:pPr>
    <w:r>
      <w:rPr>
        <w:noProof/>
      </w:rPr>
      <w:pict w14:anchorId="23CF48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68330" o:spid="_x0000_s2051" type="#_x0000_t75" style="position:absolute;margin-left:0;margin-top:0;width:533.3pt;height:533.3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F5C17" w14:textId="0540BF16" w:rsidR="00797229" w:rsidRDefault="00797229">
    <w:pPr>
      <w:pStyle w:val="Encabezado"/>
    </w:pPr>
    <w:r>
      <w:rPr>
        <w:noProof/>
      </w:rPr>
      <w:pict w14:anchorId="1FEF71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68328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29"/>
    <w:rsid w:val="003F08CF"/>
    <w:rsid w:val="0079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F9BB741"/>
  <w15:chartTrackingRefBased/>
  <w15:docId w15:val="{2D14496B-E0CB-4B99-A166-B7C33252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72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7229"/>
  </w:style>
  <w:style w:type="paragraph" w:styleId="Piedepgina">
    <w:name w:val="footer"/>
    <w:basedOn w:val="Normal"/>
    <w:link w:val="PiedepginaCar"/>
    <w:uiPriority w:val="99"/>
    <w:unhideWhenUsed/>
    <w:rsid w:val="007972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7229"/>
  </w:style>
  <w:style w:type="paragraph" w:customStyle="1" w:styleId="isselectedend">
    <w:name w:val="isselectedend"/>
    <w:basedOn w:val="Normal"/>
    <w:rsid w:val="00797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797229"/>
    <w:rPr>
      <w:b/>
      <w:bCs/>
    </w:rPr>
  </w:style>
  <w:style w:type="paragraph" w:styleId="NormalWeb">
    <w:name w:val="Normal (Web)"/>
    <w:basedOn w:val="Normal"/>
    <w:uiPriority w:val="99"/>
    <w:unhideWhenUsed/>
    <w:rsid w:val="00797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 difav</dc:creator>
  <cp:keywords/>
  <dc:description/>
  <cp:lastModifiedBy>transparencia difav</cp:lastModifiedBy>
  <cp:revision>1</cp:revision>
  <dcterms:created xsi:type="dcterms:W3CDTF">2026-09-01T19:36:00Z</dcterms:created>
  <dcterms:modified xsi:type="dcterms:W3CDTF">2026-09-01T19:46:00Z</dcterms:modified>
</cp:coreProperties>
</file>