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9F8ECC" w14:textId="77777777" w:rsidR="00F820B8" w:rsidRDefault="00F820B8">
      <w:pPr>
        <w:pStyle w:val="Textoindependiente"/>
        <w:rPr>
          <w:rFonts w:ascii="Courier New"/>
          <w:b/>
          <w:sz w:val="20"/>
        </w:rPr>
      </w:pPr>
    </w:p>
    <w:p w14:paraId="2E35E567" w14:textId="77777777" w:rsidR="00F820B8" w:rsidRDefault="00F820B8">
      <w:pPr>
        <w:pStyle w:val="Textoindependiente"/>
        <w:rPr>
          <w:rFonts w:ascii="Courier New"/>
          <w:b/>
          <w:sz w:val="20"/>
        </w:rPr>
      </w:pPr>
    </w:p>
    <w:p w14:paraId="64AE6A38" w14:textId="77777777" w:rsidR="00F820B8" w:rsidRDefault="00F820B8">
      <w:pPr>
        <w:pStyle w:val="Textoindependiente"/>
        <w:rPr>
          <w:rFonts w:ascii="Courier New"/>
          <w:b/>
          <w:sz w:val="20"/>
        </w:rPr>
      </w:pPr>
    </w:p>
    <w:p w14:paraId="5AA07349" w14:textId="77777777" w:rsidR="00C06E3E" w:rsidRPr="00276746" w:rsidRDefault="00C06E3E" w:rsidP="00C06E3E">
      <w:pPr>
        <w:jc w:val="both"/>
        <w:rPr>
          <w:rFonts w:ascii="Tahoma" w:hAnsi="Tahoma" w:cs="Tahoma"/>
          <w:sz w:val="24"/>
          <w:szCs w:val="24"/>
        </w:rPr>
      </w:pPr>
    </w:p>
    <w:p w14:paraId="2AAF46DD" w14:textId="6B0B2ADE" w:rsidR="00C06E3E" w:rsidRPr="00DC5992" w:rsidRDefault="00C06E3E" w:rsidP="00C06E3E">
      <w:pPr>
        <w:pStyle w:val="Default"/>
        <w:jc w:val="both"/>
        <w:rPr>
          <w:rFonts w:ascii="Tahoma" w:hAnsi="Tahoma" w:cs="Tahoma"/>
          <w:b/>
          <w:bCs/>
          <w:sz w:val="20"/>
          <w:szCs w:val="20"/>
        </w:rPr>
      </w:pPr>
      <w:r w:rsidRPr="00276746">
        <w:rPr>
          <w:rFonts w:ascii="Tahoma" w:hAnsi="Tahoma" w:cs="Tahoma"/>
          <w:b/>
          <w:bCs/>
        </w:rPr>
        <w:t xml:space="preserve">NO SE GENERÓ INFORMACIÓN. </w:t>
      </w:r>
      <w:r w:rsidR="00DC5992" w:rsidRPr="00DC5992">
        <w:rPr>
          <w:rFonts w:ascii="Tahoma" w:hAnsi="Tahoma" w:cs="Tahoma"/>
          <w:b/>
          <w:bCs/>
          <w:sz w:val="20"/>
          <w:szCs w:val="20"/>
        </w:rPr>
        <w:t>(</w:t>
      </w:r>
      <w:r w:rsidR="00DC5992" w:rsidRPr="00DC5992">
        <w:rPr>
          <w:rFonts w:ascii="Tahoma" w:hAnsi="Tahoma" w:cs="Tahoma"/>
          <w:sz w:val="20"/>
          <w:szCs w:val="20"/>
        </w:rPr>
        <w:t>Éste sujeto obligado sí está facultado para generar la información)</w:t>
      </w:r>
    </w:p>
    <w:p w14:paraId="5873A510" w14:textId="77777777" w:rsidR="00C06E3E" w:rsidRPr="00276746" w:rsidRDefault="00C06E3E" w:rsidP="00C06E3E">
      <w:pPr>
        <w:pStyle w:val="Default"/>
        <w:jc w:val="both"/>
        <w:rPr>
          <w:rFonts w:ascii="Tahoma" w:hAnsi="Tahoma" w:cs="Tahoma"/>
        </w:rPr>
      </w:pPr>
    </w:p>
    <w:p w14:paraId="3B166F7F" w14:textId="77777777" w:rsidR="00DC5992" w:rsidRDefault="00C06E3E" w:rsidP="00C06E3E">
      <w:pPr>
        <w:pStyle w:val="Default"/>
        <w:jc w:val="both"/>
        <w:rPr>
          <w:rFonts w:ascii="Tahoma" w:hAnsi="Tahoma" w:cs="Tahoma"/>
          <w:b/>
          <w:bCs/>
        </w:rPr>
      </w:pPr>
      <w:r w:rsidRPr="00276746">
        <w:rPr>
          <w:rFonts w:ascii="Tahoma" w:hAnsi="Tahoma" w:cs="Tahoma"/>
          <w:b/>
          <w:bCs/>
        </w:rPr>
        <w:t xml:space="preserve">LEY DE </w:t>
      </w:r>
      <w:r w:rsidR="00DC5992">
        <w:rPr>
          <w:rFonts w:ascii="Tahoma" w:hAnsi="Tahoma" w:cs="Tahoma"/>
          <w:b/>
          <w:bCs/>
        </w:rPr>
        <w:t>FISCALIZACION Y RENDICIÓN DE CUENTAS DEL ESTADO DE SAN LUIS POTOSÍ.</w:t>
      </w:r>
    </w:p>
    <w:p w14:paraId="213E58F0" w14:textId="66C02431" w:rsidR="00C06E3E" w:rsidRPr="00276746" w:rsidRDefault="00C06E3E" w:rsidP="00C06E3E">
      <w:pPr>
        <w:pStyle w:val="Default"/>
        <w:jc w:val="both"/>
        <w:rPr>
          <w:rFonts w:ascii="Tahoma" w:hAnsi="Tahoma" w:cs="Tahoma"/>
          <w:b/>
          <w:bCs/>
        </w:rPr>
      </w:pPr>
      <w:r w:rsidRPr="00276746">
        <w:rPr>
          <w:rFonts w:ascii="Tahoma" w:hAnsi="Tahoma" w:cs="Tahoma"/>
          <w:b/>
          <w:bCs/>
        </w:rPr>
        <w:t xml:space="preserve">  </w:t>
      </w:r>
    </w:p>
    <w:p w14:paraId="6FE6C20E" w14:textId="32057D61" w:rsidR="00C06E3E" w:rsidRDefault="00DC5992" w:rsidP="00DC5992">
      <w:pPr>
        <w:pStyle w:val="Default"/>
        <w:jc w:val="both"/>
      </w:pPr>
      <w:r w:rsidRPr="00DC5992">
        <w:rPr>
          <w:b/>
        </w:rPr>
        <w:t>ARTÍCULO 16.</w:t>
      </w:r>
      <w:r>
        <w:t xml:space="preserve"> Para la fiscalización de las Cuentas Públicas, la Auditoría Superior del Estado tendrá las atribuciones siguientes:</w:t>
      </w:r>
    </w:p>
    <w:p w14:paraId="310AA88D" w14:textId="77777777" w:rsidR="00DC5992" w:rsidRDefault="00DC5992" w:rsidP="00DC5992">
      <w:pPr>
        <w:pStyle w:val="Default"/>
        <w:jc w:val="both"/>
      </w:pPr>
      <w:r w:rsidRPr="00DC5992">
        <w:rPr>
          <w:b/>
        </w:rPr>
        <w:t>V.</w:t>
      </w:r>
      <w:r>
        <w:t xml:space="preserve"> Practicar auditorías sobre el desempeño en el cumplimiento de los objetivos contenidos en los programas a cargo de los entes públicos, conforme a los indicadores establecidos en el Presupuesto de Egresos y tomando en cuenta el Plan Estatal de Desarrollo, el Plan Municipal de Desarrollo según corresponda, los programas sectoriales, regionales, operativos anuales, y demás programas, entre otros, a efecto de verificar el desempeño de los mismos y, en su caso, el uso de recursos públicos;</w:t>
      </w:r>
    </w:p>
    <w:p w14:paraId="361870A1" w14:textId="77777777" w:rsidR="00DC5992" w:rsidRDefault="00DC5992" w:rsidP="00DC5992">
      <w:pPr>
        <w:pStyle w:val="Default"/>
        <w:jc w:val="both"/>
      </w:pPr>
      <w:r w:rsidRPr="00DC5992">
        <w:rPr>
          <w:b/>
        </w:rPr>
        <w:t xml:space="preserve"> VI.</w:t>
      </w:r>
      <w:r>
        <w:t xml:space="preserve"> Verificar que las entidades fiscalizadas que hubieren captado, recaudado, custodiado, manejado, administrado, aplicado o ejercido recursos públicos, lo hayan realizado conforme a los programas aprobados y montos autorizados, así como en el caso de los egresos, con cargo a las partidas correspondientes; además, con apego a las disposiciones legales, reglamentarias y administrativas aplicables; </w:t>
      </w:r>
    </w:p>
    <w:p w14:paraId="17A7B1EE" w14:textId="785F1B20" w:rsidR="00DC5992" w:rsidRDefault="00DC5992" w:rsidP="00DC5992">
      <w:pPr>
        <w:pStyle w:val="Default"/>
        <w:jc w:val="both"/>
      </w:pPr>
      <w:r w:rsidRPr="00DC5992">
        <w:rPr>
          <w:b/>
        </w:rPr>
        <w:t>VII.</w:t>
      </w:r>
      <w:r>
        <w:t xml:space="preserve"> Verificar que las operaciones que realicen las entidades fiscalizadas sean acordes con la Ley de Ingresos y el Presupuesto de Egresos y se efectúen con apego a las disposiciones legales, reglamentarias y administrativas aplicables;</w:t>
      </w:r>
    </w:p>
    <w:p w14:paraId="37D5E2F6" w14:textId="77777777" w:rsidR="00DC5992" w:rsidRPr="00DC5992" w:rsidRDefault="00DC5992" w:rsidP="00DC5992">
      <w:pPr>
        <w:jc w:val="both"/>
        <w:rPr>
          <w:rFonts w:asciiTheme="minorHAnsi" w:hAnsiTheme="minorHAnsi" w:cstheme="minorHAnsi"/>
        </w:rPr>
      </w:pPr>
      <w:r w:rsidRPr="00DC5992">
        <w:rPr>
          <w:rFonts w:asciiTheme="minorHAnsi" w:hAnsiTheme="minorHAnsi" w:cstheme="minorHAnsi"/>
          <w:b/>
        </w:rPr>
        <w:t>XI.</w:t>
      </w:r>
      <w:r w:rsidRPr="00DC5992">
        <w:rPr>
          <w:rFonts w:asciiTheme="minorHAnsi" w:hAnsiTheme="minorHAnsi" w:cstheme="minorHAnsi"/>
        </w:rPr>
        <w:t xml:space="preserve"> Solicitar, obtener y tener acceso a toda la información y documentación, que a juicio de la Auditoría Superior del Estado sea necesaria para llevar a cabo la auditoría correspondiente, sin importar el carácter de confidencial o reservado de la misma, que obren en poder de:</w:t>
      </w:r>
    </w:p>
    <w:p w14:paraId="3A924A5E" w14:textId="77777777" w:rsidR="00DC5992" w:rsidRPr="00DC5992" w:rsidRDefault="00DC5992" w:rsidP="00DC5992">
      <w:pPr>
        <w:jc w:val="both"/>
        <w:rPr>
          <w:rFonts w:asciiTheme="minorHAnsi" w:hAnsiTheme="minorHAnsi" w:cstheme="minorHAnsi"/>
        </w:rPr>
      </w:pPr>
      <w:r w:rsidRPr="00DC5992">
        <w:rPr>
          <w:rFonts w:asciiTheme="minorHAnsi" w:hAnsiTheme="minorHAnsi" w:cstheme="minorHAnsi"/>
        </w:rPr>
        <w:t xml:space="preserve"> a) Las entidades fiscalizadas.</w:t>
      </w:r>
    </w:p>
    <w:p w14:paraId="2353325B" w14:textId="77777777" w:rsidR="00DC5992" w:rsidRPr="00DC5992" w:rsidRDefault="00DC5992" w:rsidP="00DC5992">
      <w:pPr>
        <w:jc w:val="both"/>
        <w:rPr>
          <w:rFonts w:asciiTheme="minorHAnsi" w:hAnsiTheme="minorHAnsi" w:cstheme="minorHAnsi"/>
        </w:rPr>
      </w:pPr>
      <w:r w:rsidRPr="00DC5992">
        <w:rPr>
          <w:rFonts w:asciiTheme="minorHAnsi" w:hAnsiTheme="minorHAnsi" w:cstheme="minorHAnsi"/>
        </w:rPr>
        <w:t xml:space="preserve"> b) Instituciones de crédito, fideicomisos u otras figuras del sector financiero. </w:t>
      </w:r>
    </w:p>
    <w:p w14:paraId="56A3CC0C" w14:textId="77777777" w:rsidR="00DC5992" w:rsidRPr="00DC5992" w:rsidRDefault="00DC5992" w:rsidP="00DC5992">
      <w:pPr>
        <w:jc w:val="both"/>
        <w:rPr>
          <w:rFonts w:asciiTheme="minorHAnsi" w:hAnsiTheme="minorHAnsi" w:cstheme="minorHAnsi"/>
        </w:rPr>
      </w:pPr>
      <w:r w:rsidRPr="00DC5992">
        <w:rPr>
          <w:rFonts w:asciiTheme="minorHAnsi" w:hAnsiTheme="minorHAnsi" w:cstheme="minorHAnsi"/>
        </w:rPr>
        <w:t>c) Autoridades hacendarias federales, estatales y municipales.</w:t>
      </w:r>
    </w:p>
    <w:p w14:paraId="45E2BD72" w14:textId="77777777" w:rsidR="00DC5992" w:rsidRPr="00DC5992" w:rsidRDefault="00DC5992" w:rsidP="00DC5992">
      <w:pPr>
        <w:jc w:val="both"/>
        <w:rPr>
          <w:rFonts w:asciiTheme="minorHAnsi" w:hAnsiTheme="minorHAnsi" w:cstheme="minorHAnsi"/>
        </w:rPr>
      </w:pPr>
      <w:r w:rsidRPr="00DC5992">
        <w:rPr>
          <w:rFonts w:asciiTheme="minorHAnsi" w:hAnsiTheme="minorHAnsi" w:cstheme="minorHAnsi"/>
        </w:rPr>
        <w:t xml:space="preserve"> d) Los órganos internos de control.</w:t>
      </w:r>
    </w:p>
    <w:p w14:paraId="7EBD3415" w14:textId="77777777" w:rsidR="00DC5992" w:rsidRPr="00DC5992" w:rsidRDefault="00DC5992" w:rsidP="00DC5992">
      <w:pPr>
        <w:jc w:val="both"/>
        <w:rPr>
          <w:rFonts w:asciiTheme="minorHAnsi" w:hAnsiTheme="minorHAnsi" w:cstheme="minorHAnsi"/>
        </w:rPr>
      </w:pPr>
    </w:p>
    <w:p w14:paraId="73A0A158" w14:textId="7AA5FBCF" w:rsidR="00DC5992" w:rsidRDefault="00DC5992" w:rsidP="00DC5992">
      <w:pPr>
        <w:jc w:val="both"/>
        <w:rPr>
          <w:rFonts w:asciiTheme="minorHAnsi" w:hAnsiTheme="minorHAnsi" w:cstheme="minorHAnsi"/>
        </w:rPr>
      </w:pPr>
      <w:r w:rsidRPr="00DC5992">
        <w:rPr>
          <w:rFonts w:asciiTheme="minorHAnsi" w:hAnsiTheme="minorHAnsi" w:cstheme="minorHAnsi"/>
        </w:rPr>
        <w:t xml:space="preserve"> La Auditoría Superior del Estado tendrá acceso a la información que las disposiciones legales consideren como de carácter reservado o confidencial cuando esté relacionada directamente con la captación, recaudación, administración, manejo, custodia, ejercicio, aplicación de los ingresos y egresos de recursos públicos y la deuda pública, estando obligada a mantener la misma reserva, en términos de las disposiciones aplicables. </w:t>
      </w:r>
    </w:p>
    <w:p w14:paraId="764A9E1C" w14:textId="77777777" w:rsidR="00DC5992" w:rsidRDefault="00DC5992" w:rsidP="00DC5992">
      <w:pPr>
        <w:jc w:val="both"/>
        <w:rPr>
          <w:rFonts w:asciiTheme="minorHAnsi" w:hAnsiTheme="minorHAnsi" w:cstheme="minorHAnsi"/>
        </w:rPr>
      </w:pPr>
    </w:p>
    <w:p w14:paraId="4CBA36BA" w14:textId="5CF465FC" w:rsidR="00DC5992" w:rsidRDefault="00DC5992" w:rsidP="00DC5992">
      <w:pPr>
        <w:jc w:val="both"/>
        <w:rPr>
          <w:rFonts w:ascii="Calibri" w:eastAsiaTheme="minorHAnsi" w:hAnsi="Calibri" w:cs="Calibri"/>
          <w:color w:val="000000"/>
          <w:sz w:val="24"/>
          <w:szCs w:val="24"/>
        </w:rPr>
      </w:pPr>
      <w:r>
        <w:rPr>
          <w:rFonts w:asciiTheme="minorHAnsi" w:hAnsiTheme="minorHAnsi" w:cstheme="minorHAnsi"/>
        </w:rPr>
        <w:t>El órgano de control interno dentro de sus facultades comprende en realizar auditorías internas a efecto de que se cumpla</w:t>
      </w:r>
      <w:r w:rsidR="008204D1">
        <w:rPr>
          <w:rFonts w:asciiTheme="minorHAnsi" w:hAnsiTheme="minorHAnsi" w:cstheme="minorHAnsi"/>
        </w:rPr>
        <w:t xml:space="preserve"> con lo citado con anterioridad, haciendo las recomendaciones pertinentes a las que hubiera lugar.</w:t>
      </w:r>
    </w:p>
    <w:p w14:paraId="1E3BD4CA" w14:textId="77777777" w:rsidR="00DC5992" w:rsidRPr="00276746" w:rsidRDefault="00DC5992" w:rsidP="00C06E3E">
      <w:pPr>
        <w:pStyle w:val="Default"/>
        <w:jc w:val="both"/>
        <w:rPr>
          <w:rFonts w:ascii="Tahoma" w:hAnsi="Tahoma" w:cs="Tahoma"/>
        </w:rPr>
      </w:pPr>
    </w:p>
    <w:p w14:paraId="28D881FE" w14:textId="30928C99" w:rsidR="00C06E3E" w:rsidRPr="00276746" w:rsidRDefault="00C06E3E" w:rsidP="00C06E3E">
      <w:pPr>
        <w:pStyle w:val="Default"/>
        <w:jc w:val="both"/>
        <w:rPr>
          <w:rFonts w:ascii="Tahoma" w:hAnsi="Tahoma" w:cs="Tahoma"/>
        </w:rPr>
      </w:pPr>
      <w:r w:rsidRPr="00276746">
        <w:rPr>
          <w:rFonts w:ascii="Tahoma" w:hAnsi="Tahoma" w:cs="Tahoma"/>
        </w:rPr>
        <w:t xml:space="preserve"> </w:t>
      </w:r>
    </w:p>
    <w:p w14:paraId="2D1BFDEA" w14:textId="61B1A05B" w:rsidR="00F820B8" w:rsidRPr="0053686A" w:rsidRDefault="00C06E3E" w:rsidP="0053686A">
      <w:pPr>
        <w:jc w:val="both"/>
        <w:rPr>
          <w:rFonts w:ascii="Tahoma" w:hAnsi="Tahoma" w:cs="Tahoma"/>
          <w:sz w:val="24"/>
          <w:szCs w:val="24"/>
        </w:rPr>
      </w:pPr>
      <w:r w:rsidRPr="00276746">
        <w:rPr>
          <w:rFonts w:ascii="Tahoma" w:hAnsi="Tahoma" w:cs="Tahoma"/>
          <w:b/>
          <w:bCs/>
          <w:sz w:val="24"/>
          <w:szCs w:val="24"/>
        </w:rPr>
        <w:t>LA ADMINISTRACIÓN PÚ</w:t>
      </w:r>
      <w:r>
        <w:rPr>
          <w:rFonts w:ascii="Tahoma" w:hAnsi="Tahoma" w:cs="Tahoma"/>
          <w:b/>
          <w:bCs/>
          <w:sz w:val="24"/>
          <w:szCs w:val="24"/>
        </w:rPr>
        <w:t>BLICA DEL 2024</w:t>
      </w:r>
      <w:r w:rsidRPr="00276746">
        <w:rPr>
          <w:rFonts w:ascii="Tahoma" w:hAnsi="Tahoma" w:cs="Tahoma"/>
          <w:b/>
          <w:bCs/>
          <w:sz w:val="24"/>
          <w:szCs w:val="24"/>
        </w:rPr>
        <w:t>-202</w:t>
      </w:r>
      <w:r>
        <w:rPr>
          <w:rFonts w:ascii="Tahoma" w:hAnsi="Tahoma" w:cs="Tahoma"/>
          <w:b/>
          <w:bCs/>
          <w:sz w:val="24"/>
          <w:szCs w:val="24"/>
        </w:rPr>
        <w:t>7</w:t>
      </w:r>
      <w:r w:rsidR="008204D1">
        <w:rPr>
          <w:rFonts w:ascii="Tahoma" w:hAnsi="Tahoma" w:cs="Tahoma"/>
          <w:b/>
          <w:bCs/>
          <w:sz w:val="24"/>
          <w:szCs w:val="24"/>
        </w:rPr>
        <w:t xml:space="preserve"> SI</w:t>
      </w:r>
      <w:r w:rsidRPr="00276746">
        <w:rPr>
          <w:rFonts w:ascii="Tahoma" w:hAnsi="Tahoma" w:cs="Tahoma"/>
          <w:b/>
          <w:bCs/>
          <w:sz w:val="24"/>
          <w:szCs w:val="24"/>
        </w:rPr>
        <w:t xml:space="preserve"> EJECUTÓ AUDITORÍ</w:t>
      </w:r>
      <w:r w:rsidR="008F6F90">
        <w:rPr>
          <w:rFonts w:ascii="Tahoma" w:hAnsi="Tahoma" w:cs="Tahoma"/>
          <w:b/>
          <w:bCs/>
          <w:sz w:val="24"/>
          <w:szCs w:val="24"/>
        </w:rPr>
        <w:t>AS EN EL MES DE</w:t>
      </w:r>
      <w:r w:rsidR="0067347E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257AC">
        <w:rPr>
          <w:rFonts w:ascii="Tahoma" w:hAnsi="Tahoma" w:cs="Tahoma"/>
          <w:b/>
          <w:bCs/>
          <w:sz w:val="24"/>
          <w:szCs w:val="24"/>
        </w:rPr>
        <w:t xml:space="preserve">JUNIO </w:t>
      </w:r>
      <w:bookmarkStart w:id="0" w:name="_GoBack"/>
      <w:bookmarkEnd w:id="0"/>
      <w:r w:rsidR="000C7C19">
        <w:rPr>
          <w:rFonts w:ascii="Tahoma" w:hAnsi="Tahoma" w:cs="Tahoma"/>
          <w:b/>
          <w:bCs/>
          <w:sz w:val="24"/>
          <w:szCs w:val="24"/>
        </w:rPr>
        <w:t>DE 202</w:t>
      </w:r>
      <w:r w:rsidR="00887967">
        <w:rPr>
          <w:rFonts w:ascii="Tahoma" w:hAnsi="Tahoma" w:cs="Tahoma"/>
          <w:b/>
          <w:bCs/>
          <w:sz w:val="24"/>
          <w:szCs w:val="24"/>
        </w:rPr>
        <w:t>6</w:t>
      </w:r>
      <w:r w:rsidRPr="00276746">
        <w:rPr>
          <w:rFonts w:ascii="Tahoma" w:hAnsi="Tahoma" w:cs="Tahoma"/>
          <w:b/>
          <w:bCs/>
          <w:sz w:val="24"/>
          <w:szCs w:val="24"/>
        </w:rPr>
        <w:t>,</w:t>
      </w:r>
      <w:r w:rsidR="008204D1">
        <w:rPr>
          <w:rFonts w:ascii="Tahoma" w:hAnsi="Tahoma" w:cs="Tahoma"/>
          <w:b/>
          <w:bCs/>
          <w:sz w:val="24"/>
          <w:szCs w:val="24"/>
        </w:rPr>
        <w:t xml:space="preserve"> SI EMBARGO SE ESTA TRABAJANDO EN LAS RECOMENDACIONES</w:t>
      </w:r>
      <w:r w:rsidR="008F6F90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276746">
        <w:rPr>
          <w:rFonts w:ascii="Tahoma" w:hAnsi="Tahoma" w:cs="Tahoma"/>
          <w:b/>
          <w:bCs/>
          <w:sz w:val="24"/>
          <w:szCs w:val="24"/>
        </w:rPr>
        <w:t xml:space="preserve">CONFORME LO ESTABLECE EL </w:t>
      </w:r>
      <w:r w:rsidR="00BD5C32" w:rsidRPr="00276746">
        <w:rPr>
          <w:rFonts w:ascii="Tahoma" w:hAnsi="Tahoma" w:cs="Tahoma"/>
          <w:b/>
          <w:bCs/>
          <w:sz w:val="24"/>
          <w:szCs w:val="24"/>
        </w:rPr>
        <w:t>ARTÍCULO</w:t>
      </w:r>
      <w:r w:rsidRPr="00276746">
        <w:rPr>
          <w:rFonts w:ascii="Tahoma" w:hAnsi="Tahoma" w:cs="Tahoma"/>
          <w:b/>
          <w:bCs/>
          <w:sz w:val="24"/>
          <w:szCs w:val="24"/>
        </w:rPr>
        <w:t xml:space="preserve"> ANTERIORMENTE CITADO.</w:t>
      </w:r>
    </w:p>
    <w:p w14:paraId="25E8BB46" w14:textId="77777777" w:rsidR="00F820B8" w:rsidRDefault="00F820B8">
      <w:pPr>
        <w:pStyle w:val="Textoindependiente"/>
        <w:rPr>
          <w:rFonts w:ascii="Courier New"/>
          <w:b/>
          <w:sz w:val="20"/>
        </w:rPr>
      </w:pPr>
    </w:p>
    <w:p w14:paraId="583ED361" w14:textId="77777777" w:rsidR="00F820B8" w:rsidRDefault="00F820B8">
      <w:pPr>
        <w:pStyle w:val="Textoindependiente"/>
        <w:spacing w:before="103"/>
        <w:rPr>
          <w:rFonts w:ascii="Courier New"/>
          <w:b/>
          <w:sz w:val="20"/>
        </w:rPr>
      </w:pPr>
    </w:p>
    <w:p w14:paraId="012891D1" w14:textId="77777777" w:rsidR="008204D1" w:rsidRDefault="008204D1">
      <w:pPr>
        <w:pStyle w:val="Textoindependiente"/>
        <w:spacing w:before="103"/>
        <w:rPr>
          <w:rFonts w:ascii="Courier New"/>
          <w:b/>
          <w:sz w:val="20"/>
        </w:rPr>
      </w:pPr>
    </w:p>
    <w:p w14:paraId="7D4016A9" w14:textId="77777777" w:rsidR="00F820B8" w:rsidRDefault="00F820B8">
      <w:pPr>
        <w:rPr>
          <w:rFonts w:ascii="Courier New"/>
          <w:sz w:val="20"/>
        </w:rPr>
        <w:sectPr w:rsidR="00F820B8">
          <w:headerReference w:type="default" r:id="rId7"/>
          <w:type w:val="continuous"/>
          <w:pgSz w:w="12240" w:h="15840"/>
          <w:pgMar w:top="1400" w:right="1000" w:bottom="280" w:left="980" w:header="720" w:footer="720" w:gutter="0"/>
          <w:cols w:space="720"/>
        </w:sectPr>
      </w:pPr>
    </w:p>
    <w:p w14:paraId="1EB25D37" w14:textId="77777777" w:rsidR="00F820B8" w:rsidRDefault="00B24AC7">
      <w:pPr>
        <w:pStyle w:val="Textoindependiente"/>
        <w:spacing w:before="96" w:line="271" w:lineRule="auto"/>
        <w:ind w:left="124" w:right="38" w:hanging="6"/>
      </w:pPr>
      <w:r>
        <w:rPr>
          <w:color w:val="A7BA44"/>
          <w:w w:val="110"/>
        </w:rPr>
        <w:lastRenderedPageBreak/>
        <w:t>Guadalupe</w:t>
      </w:r>
      <w:r>
        <w:rPr>
          <w:color w:val="A7BA44"/>
          <w:spacing w:val="12"/>
          <w:w w:val="110"/>
        </w:rPr>
        <w:t xml:space="preserve"> </w:t>
      </w:r>
      <w:r>
        <w:rPr>
          <w:color w:val="A7BA44"/>
          <w:w w:val="110"/>
        </w:rPr>
        <w:t>Victoria</w:t>
      </w:r>
      <w:r>
        <w:rPr>
          <w:color w:val="A7BA44"/>
          <w:spacing w:val="-4"/>
          <w:w w:val="110"/>
        </w:rPr>
        <w:t xml:space="preserve"> </w:t>
      </w:r>
      <w:r>
        <w:rPr>
          <w:color w:val="A7BA44"/>
          <w:w w:val="110"/>
        </w:rPr>
        <w:t>8,</w:t>
      </w:r>
      <w:r>
        <w:rPr>
          <w:color w:val="A7BA44"/>
          <w:spacing w:val="-10"/>
          <w:w w:val="110"/>
        </w:rPr>
        <w:t xml:space="preserve"> </w:t>
      </w:r>
      <w:r>
        <w:rPr>
          <w:color w:val="A7BA44"/>
          <w:w w:val="110"/>
        </w:rPr>
        <w:t>Centro Cedral,</w:t>
      </w:r>
      <w:r>
        <w:rPr>
          <w:color w:val="A7BA44"/>
          <w:spacing w:val="-4"/>
          <w:w w:val="110"/>
        </w:rPr>
        <w:t xml:space="preserve"> </w:t>
      </w:r>
      <w:r>
        <w:rPr>
          <w:color w:val="A7BA44"/>
          <w:w w:val="110"/>
        </w:rPr>
        <w:t>S.L.P,</w:t>
      </w:r>
      <w:r>
        <w:rPr>
          <w:color w:val="A7BA44"/>
          <w:spacing w:val="-8"/>
          <w:w w:val="110"/>
        </w:rPr>
        <w:t xml:space="preserve"> </w:t>
      </w:r>
      <w:r>
        <w:rPr>
          <w:color w:val="A7BA44"/>
          <w:w w:val="110"/>
        </w:rPr>
        <w:t>78520</w:t>
      </w:r>
      <w:r>
        <w:rPr>
          <w:color w:val="A7BA44"/>
          <w:spacing w:val="40"/>
          <w:w w:val="110"/>
        </w:rPr>
        <w:t xml:space="preserve"> </w:t>
      </w:r>
      <w:r>
        <w:rPr>
          <w:color w:val="A7BA44"/>
          <w:w w:val="110"/>
        </w:rPr>
        <w:t>488 887 02 20</w:t>
      </w:r>
    </w:p>
    <w:p w14:paraId="3BAEB85C" w14:textId="77777777" w:rsidR="00F820B8" w:rsidRDefault="00873EBA">
      <w:pPr>
        <w:pStyle w:val="Textoindependiente"/>
        <w:spacing w:line="148" w:lineRule="exact"/>
        <w:ind w:left="121"/>
      </w:pPr>
      <w:hyperlink r:id="rId8">
        <w:r w:rsidR="00B24AC7">
          <w:rPr>
            <w:color w:val="A7BA44"/>
            <w:spacing w:val="-2"/>
            <w:w w:val="110"/>
          </w:rPr>
          <w:t>presidencia.cedral24@gmail.com</w:t>
        </w:r>
      </w:hyperlink>
    </w:p>
    <w:p w14:paraId="38E36FCC" w14:textId="77777777" w:rsidR="00F820B8" w:rsidRDefault="00B24AC7">
      <w:pPr>
        <w:spacing w:before="152"/>
        <w:ind w:left="118"/>
        <w:rPr>
          <w:b/>
          <w:sz w:val="28"/>
        </w:rPr>
      </w:pPr>
      <w:r>
        <w:br w:type="column"/>
      </w:r>
      <w:r>
        <w:rPr>
          <w:b/>
          <w:color w:val="017270"/>
          <w:w w:val="105"/>
          <w:sz w:val="28"/>
        </w:rPr>
        <w:lastRenderedPageBreak/>
        <w:t>Apoyo</w:t>
      </w:r>
      <w:r>
        <w:rPr>
          <w:b/>
          <w:color w:val="017270"/>
          <w:spacing w:val="9"/>
          <w:w w:val="105"/>
          <w:sz w:val="28"/>
        </w:rPr>
        <w:t xml:space="preserve"> </w:t>
      </w:r>
      <w:r>
        <w:rPr>
          <w:b/>
          <w:color w:val="017270"/>
          <w:w w:val="105"/>
          <w:sz w:val="28"/>
        </w:rPr>
        <w:t>que</w:t>
      </w:r>
      <w:r>
        <w:rPr>
          <w:b/>
          <w:color w:val="017270"/>
          <w:spacing w:val="-3"/>
          <w:w w:val="105"/>
          <w:sz w:val="28"/>
        </w:rPr>
        <w:t xml:space="preserve"> </w:t>
      </w:r>
      <w:r>
        <w:rPr>
          <w:b/>
          <w:color w:val="017270"/>
          <w:spacing w:val="-5"/>
          <w:w w:val="105"/>
          <w:sz w:val="28"/>
        </w:rPr>
        <w:t>une</w:t>
      </w:r>
    </w:p>
    <w:sectPr w:rsidR="00F820B8">
      <w:type w:val="continuous"/>
      <w:pgSz w:w="12240" w:h="15840"/>
      <w:pgMar w:top="1400" w:right="1000" w:bottom="280" w:left="980" w:header="720" w:footer="720" w:gutter="0"/>
      <w:cols w:num="2" w:space="720" w:equalWidth="0">
        <w:col w:w="3402" w:space="4470"/>
        <w:col w:w="2388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008A9C" w14:textId="77777777" w:rsidR="00873EBA" w:rsidRDefault="00873EBA" w:rsidP="00920CF4">
      <w:r>
        <w:separator/>
      </w:r>
    </w:p>
  </w:endnote>
  <w:endnote w:type="continuationSeparator" w:id="0">
    <w:p w14:paraId="2B61862D" w14:textId="77777777" w:rsidR="00873EBA" w:rsidRDefault="00873EBA" w:rsidP="00920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8397BD" w14:textId="77777777" w:rsidR="00873EBA" w:rsidRDefault="00873EBA" w:rsidP="00920CF4">
      <w:r>
        <w:separator/>
      </w:r>
    </w:p>
  </w:footnote>
  <w:footnote w:type="continuationSeparator" w:id="0">
    <w:p w14:paraId="0A84180D" w14:textId="77777777" w:rsidR="00873EBA" w:rsidRDefault="00873EBA" w:rsidP="00920C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B8D656" w14:textId="77777777" w:rsidR="00920CF4" w:rsidRDefault="00920CF4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6704" behindDoc="1" locked="0" layoutInCell="1" allowOverlap="1" wp14:anchorId="7ECA63DF" wp14:editId="35664D16">
          <wp:simplePos x="0" y="0"/>
          <wp:positionH relativeFrom="column">
            <wp:posOffset>-88900</wp:posOffset>
          </wp:positionH>
          <wp:positionV relativeFrom="paragraph">
            <wp:posOffset>66675</wp:posOffset>
          </wp:positionV>
          <wp:extent cx="3153561" cy="990600"/>
          <wp:effectExtent l="0" t="0" r="889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53561" cy="990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0B8"/>
    <w:rsid w:val="00030733"/>
    <w:rsid w:val="000C7C19"/>
    <w:rsid w:val="000E4ED0"/>
    <w:rsid w:val="000F50BC"/>
    <w:rsid w:val="00112C4E"/>
    <w:rsid w:val="001569C6"/>
    <w:rsid w:val="00181630"/>
    <w:rsid w:val="001B70E8"/>
    <w:rsid w:val="001C6D84"/>
    <w:rsid w:val="00213F41"/>
    <w:rsid w:val="002257AC"/>
    <w:rsid w:val="003443A5"/>
    <w:rsid w:val="003D3430"/>
    <w:rsid w:val="003D4C8D"/>
    <w:rsid w:val="003D65F0"/>
    <w:rsid w:val="003E56BC"/>
    <w:rsid w:val="00443A60"/>
    <w:rsid w:val="004552B9"/>
    <w:rsid w:val="00461361"/>
    <w:rsid w:val="0046554A"/>
    <w:rsid w:val="004940AD"/>
    <w:rsid w:val="004D6DE2"/>
    <w:rsid w:val="004E2DDA"/>
    <w:rsid w:val="0053686A"/>
    <w:rsid w:val="00607320"/>
    <w:rsid w:val="00614C1C"/>
    <w:rsid w:val="00621077"/>
    <w:rsid w:val="006234A2"/>
    <w:rsid w:val="00651DE0"/>
    <w:rsid w:val="0067347E"/>
    <w:rsid w:val="00677EF4"/>
    <w:rsid w:val="006E343F"/>
    <w:rsid w:val="007B4B80"/>
    <w:rsid w:val="008113FB"/>
    <w:rsid w:val="0081582B"/>
    <w:rsid w:val="008204D1"/>
    <w:rsid w:val="0086737A"/>
    <w:rsid w:val="00873EBA"/>
    <w:rsid w:val="00887967"/>
    <w:rsid w:val="008F6F90"/>
    <w:rsid w:val="00910267"/>
    <w:rsid w:val="00910A3E"/>
    <w:rsid w:val="00920CF4"/>
    <w:rsid w:val="009F0C38"/>
    <w:rsid w:val="00A02701"/>
    <w:rsid w:val="00A42B21"/>
    <w:rsid w:val="00A944C6"/>
    <w:rsid w:val="00AD3173"/>
    <w:rsid w:val="00AD6DDC"/>
    <w:rsid w:val="00B24AC7"/>
    <w:rsid w:val="00B62A49"/>
    <w:rsid w:val="00B64643"/>
    <w:rsid w:val="00B70CF4"/>
    <w:rsid w:val="00B9305C"/>
    <w:rsid w:val="00BC7294"/>
    <w:rsid w:val="00BD5C32"/>
    <w:rsid w:val="00BE02E2"/>
    <w:rsid w:val="00C06E3E"/>
    <w:rsid w:val="00C6431B"/>
    <w:rsid w:val="00D0049E"/>
    <w:rsid w:val="00D279A6"/>
    <w:rsid w:val="00D33AAD"/>
    <w:rsid w:val="00D511D7"/>
    <w:rsid w:val="00DA6B76"/>
    <w:rsid w:val="00DC5992"/>
    <w:rsid w:val="00DC6B38"/>
    <w:rsid w:val="00E069A2"/>
    <w:rsid w:val="00E07F7B"/>
    <w:rsid w:val="00E349CC"/>
    <w:rsid w:val="00E501ED"/>
    <w:rsid w:val="00E52056"/>
    <w:rsid w:val="00E8723F"/>
    <w:rsid w:val="00EA1CA8"/>
    <w:rsid w:val="00EC6211"/>
    <w:rsid w:val="00EF59A3"/>
    <w:rsid w:val="00F11E7D"/>
    <w:rsid w:val="00F34EF1"/>
    <w:rsid w:val="00F61F9E"/>
    <w:rsid w:val="00F820B8"/>
    <w:rsid w:val="00F9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357F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3"/>
      <w:szCs w:val="13"/>
    </w:rPr>
  </w:style>
  <w:style w:type="paragraph" w:styleId="Ttulo">
    <w:name w:val="Title"/>
    <w:basedOn w:val="Normal"/>
    <w:uiPriority w:val="1"/>
    <w:qFormat/>
    <w:pPr>
      <w:spacing w:before="133"/>
      <w:ind w:left="289"/>
    </w:pPr>
    <w:rPr>
      <w:sz w:val="98"/>
      <w:szCs w:val="9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20CF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20CF4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20CF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20CF4"/>
    <w:rPr>
      <w:rFonts w:ascii="Arial" w:eastAsia="Arial" w:hAnsi="Arial" w:cs="Arial"/>
      <w:lang w:val="es-ES"/>
    </w:rPr>
  </w:style>
  <w:style w:type="paragraph" w:customStyle="1" w:styleId="Default">
    <w:name w:val="Default"/>
    <w:rsid w:val="00C06E3E"/>
    <w:pPr>
      <w:widowControl/>
      <w:adjustRightInd w:val="0"/>
    </w:pPr>
    <w:rPr>
      <w:rFonts w:ascii="Calibri" w:hAnsi="Calibri" w:cs="Calibri"/>
      <w:color w:val="000000"/>
      <w:sz w:val="24"/>
      <w:szCs w:val="24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3"/>
      <w:szCs w:val="13"/>
    </w:rPr>
  </w:style>
  <w:style w:type="paragraph" w:styleId="Ttulo">
    <w:name w:val="Title"/>
    <w:basedOn w:val="Normal"/>
    <w:uiPriority w:val="1"/>
    <w:qFormat/>
    <w:pPr>
      <w:spacing w:before="133"/>
      <w:ind w:left="289"/>
    </w:pPr>
    <w:rPr>
      <w:sz w:val="98"/>
      <w:szCs w:val="9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20CF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20CF4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20CF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20CF4"/>
    <w:rPr>
      <w:rFonts w:ascii="Arial" w:eastAsia="Arial" w:hAnsi="Arial" w:cs="Arial"/>
      <w:lang w:val="es-ES"/>
    </w:rPr>
  </w:style>
  <w:style w:type="paragraph" w:customStyle="1" w:styleId="Default">
    <w:name w:val="Default"/>
    <w:rsid w:val="00C06E3E"/>
    <w:pPr>
      <w:widowControl/>
      <w:adjustRightInd w:val="0"/>
    </w:pPr>
    <w:rPr>
      <w:rFonts w:ascii="Calibri" w:hAnsi="Calibri" w:cs="Calibri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idencia.cedral24@gmail.com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455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membretada</vt:lpstr>
    </vt:vector>
  </TitlesOfParts>
  <Company/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membretada</dc:title>
  <dc:creator>Secretaria Cedral</dc:creator>
  <cp:lastModifiedBy>Usuario</cp:lastModifiedBy>
  <cp:revision>38</cp:revision>
  <dcterms:created xsi:type="dcterms:W3CDTF">2024-10-30T15:45:00Z</dcterms:created>
  <dcterms:modified xsi:type="dcterms:W3CDTF">2026-07-06T15:27:00Z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Creator">
    <vt:lpwstr>Adobe Illustrator 1.0 (iOS)</vt:lpwstr>
  </property>
  <property fmtid="{D5CDD505-2E9C-101B-9397-08002B2CF9AE}" pid="4" name="LastSaved">
    <vt:filetime>2024-10-02T00:00:00Z</vt:filetime>
  </property>
  <property fmtid="{D5CDD505-2E9C-101B-9397-08002B2CF9AE}" pid="5" name="Producer">
    <vt:lpwstr>Adobe PDF library 16.03</vt:lpwstr>
  </property>
</Properties>
</file>