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2CA01D13" w:rsidR="008A52E5" w:rsidRPr="000617D2" w:rsidRDefault="008A52E5" w:rsidP="00AA6C81">
      <w:pPr>
        <w:pStyle w:val="Ttulo1"/>
        <w:tabs>
          <w:tab w:val="left" w:pos="5529"/>
        </w:tabs>
        <w:spacing w:line="504" w:lineRule="auto"/>
        <w:ind w:left="6372" w:hanging="6372"/>
      </w:pPr>
      <w:r w:rsidRPr="000617D2">
        <w:rPr>
          <w:b w:val="0"/>
        </w:rPr>
        <w:t>ACTA NÚMERO</w:t>
      </w:r>
      <w:r w:rsidR="00FC401F">
        <w:rPr>
          <w:b w:val="0"/>
        </w:rPr>
        <w:t xml:space="preserve"> </w:t>
      </w:r>
      <w:r w:rsidR="0097785F">
        <w:rPr>
          <w:b w:val="0"/>
        </w:rPr>
        <w:t>VEINTITRÉS</w:t>
      </w:r>
      <w:r w:rsidR="00581367">
        <w:rPr>
          <w:b w:val="0"/>
        </w:rPr>
        <w:t>.</w:t>
      </w:r>
      <w:r w:rsidR="009E03F0">
        <w:rPr>
          <w:b w:val="0"/>
        </w:rPr>
        <w:tab/>
      </w:r>
    </w:p>
    <w:p w14:paraId="2DF0EAE9" w14:textId="49B5E52F" w:rsidR="00391122" w:rsidRPr="00093D82" w:rsidRDefault="008A52E5" w:rsidP="0097785F">
      <w:pPr>
        <w:spacing w:line="504" w:lineRule="auto"/>
        <w:jc w:val="both"/>
        <w:rPr>
          <w:rFonts w:ascii="Century Gothic" w:hAnsi="Century Gothic"/>
          <w:bCs/>
          <w:lang w:val="es-MX"/>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97785F">
        <w:rPr>
          <w:rFonts w:ascii="Century Gothic" w:hAnsi="Century Gothic" w:cs="Century Gothic"/>
        </w:rPr>
        <w:t>doce</w:t>
      </w:r>
      <w:r w:rsidRPr="008D267A">
        <w:rPr>
          <w:rFonts w:ascii="Century Gothic" w:hAnsi="Century Gothic" w:cs="Century Gothic"/>
        </w:rPr>
        <w:t xml:space="preserve"> horas</w:t>
      </w:r>
      <w:r w:rsidR="00BD6646" w:rsidRPr="008D267A">
        <w:rPr>
          <w:rFonts w:ascii="Century Gothic" w:hAnsi="Century Gothic" w:cs="Century Gothic"/>
        </w:rPr>
        <w:t xml:space="preserve"> </w:t>
      </w:r>
      <w:r w:rsidR="00130F08" w:rsidRPr="008D267A">
        <w:rPr>
          <w:rFonts w:ascii="Century Gothic" w:hAnsi="Century Gothic" w:cs="Century Gothic"/>
        </w:rPr>
        <w:t xml:space="preserve">con </w:t>
      </w:r>
      <w:r w:rsidR="0097785F">
        <w:rPr>
          <w:rFonts w:ascii="Century Gothic" w:hAnsi="Century Gothic" w:cs="Century Gothic"/>
        </w:rPr>
        <w:t>dieciséis</w:t>
      </w:r>
      <w:r w:rsidR="006E3542" w:rsidRPr="008D267A">
        <w:rPr>
          <w:rFonts w:ascii="Century Gothic" w:hAnsi="Century Gothic" w:cs="Century Gothic"/>
        </w:rPr>
        <w:t xml:space="preserve"> </w:t>
      </w:r>
      <w:r w:rsidR="00304E8F" w:rsidRPr="008D267A">
        <w:rPr>
          <w:rFonts w:ascii="Century Gothic" w:hAnsi="Century Gothic"/>
        </w:rPr>
        <w:t>minutos</w:t>
      </w:r>
      <w:r w:rsidR="00130F08">
        <w:rPr>
          <w:rFonts w:ascii="Century Gothic" w:hAnsi="Century Gothic" w:cs="Century Gothic"/>
        </w:rPr>
        <w:t xml:space="preserve"> </w:t>
      </w:r>
      <w:r w:rsidRPr="00470474">
        <w:rPr>
          <w:rFonts w:ascii="Century Gothic" w:hAnsi="Century Gothic" w:cs="Century Gothic"/>
        </w:rPr>
        <w:t>del</w:t>
      </w:r>
      <w:r w:rsidR="00A65220">
        <w:rPr>
          <w:rFonts w:ascii="Century Gothic" w:hAnsi="Century Gothic" w:cs="Century Gothic"/>
        </w:rPr>
        <w:t xml:space="preserve"> </w:t>
      </w:r>
      <w:r w:rsidR="0097785F">
        <w:rPr>
          <w:rFonts w:ascii="Century Gothic" w:hAnsi="Century Gothic"/>
        </w:rPr>
        <w:t>veinticinco</w:t>
      </w:r>
      <w:r w:rsidR="00284F35">
        <w:rPr>
          <w:rFonts w:ascii="Century Gothic" w:hAnsi="Century Gothic"/>
        </w:rPr>
        <w:t xml:space="preserve"> de junio</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Lourdes Anahí Zarazúa Mar</w:t>
      </w:r>
      <w:bookmarkStart w:id="0" w:name="_GoBack"/>
      <w:bookmarkEnd w:id="0"/>
      <w:r w:rsidR="00A8363C" w:rsidRPr="005A258C">
        <w:rPr>
          <w:rFonts w:ascii="Century Gothic" w:hAnsi="Century Gothic"/>
          <w:b/>
          <w:bCs/>
          <w:color w:val="000000"/>
        </w:rPr>
        <w:t xml:space="preserve">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97785F">
        <w:rPr>
          <w:rFonts w:ascii="Century Gothic" w:hAnsi="Century Gothic" w:cs="Century Gothic"/>
        </w:rPr>
        <w:t>veinticuatro</w:t>
      </w:r>
      <w:r w:rsidR="00284F35">
        <w:rPr>
          <w:rFonts w:ascii="Century Gothic" w:hAnsi="Century Gothic" w:cs="Century Gothic"/>
        </w:rPr>
        <w:t xml:space="preserve"> de junio</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8D267A" w:rsidRPr="008D267A">
        <w:rPr>
          <w:rFonts w:ascii="Century Gothic" w:hAnsi="Century Gothic"/>
        </w:rPr>
        <w:t>diez</w:t>
      </w:r>
      <w:r w:rsidR="004414FE" w:rsidRPr="008D267A">
        <w:rPr>
          <w:rFonts w:ascii="Century Gothic" w:hAnsi="Century Gothic"/>
        </w:rPr>
        <w:t xml:space="preserve"> horas,</w:t>
      </w:r>
      <w:r w:rsidR="004414FE">
        <w:rPr>
          <w:rFonts w:ascii="Century Gothic" w:hAnsi="Century Gothic"/>
        </w:rPr>
        <w:t xml:space="preserve">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A65220" w:rsidRPr="00A65220">
        <w:rPr>
          <w:rFonts w:ascii="Century Gothic" w:hAnsi="Century Gothic"/>
          <w:lang w:val="es-MX"/>
        </w:rPr>
        <w:t xml:space="preserve">Se somete a consideración del Honorable Pleno y, en su caso, aprobación </w:t>
      </w:r>
      <w:r w:rsidR="000D3E98">
        <w:rPr>
          <w:rFonts w:ascii="Century Gothic" w:hAnsi="Century Gothic"/>
          <w:lang w:val="es-MX"/>
        </w:rPr>
        <w:t>d</w:t>
      </w:r>
      <w:r w:rsidR="00A65220" w:rsidRPr="00A65220">
        <w:rPr>
          <w:rFonts w:ascii="Century Gothic" w:hAnsi="Century Gothic"/>
          <w:lang w:val="es-MX"/>
        </w:rPr>
        <w:t xml:space="preserve">el acta correspondiente a la sesión pública ordinaria celebrada el </w:t>
      </w:r>
      <w:r w:rsidR="0097785F">
        <w:rPr>
          <w:rFonts w:ascii="Century Gothic" w:hAnsi="Century Gothic"/>
          <w:lang w:val="es-MX"/>
        </w:rPr>
        <w:t>dieciocho</w:t>
      </w:r>
      <w:r w:rsidR="00A65220" w:rsidRPr="00A65220">
        <w:rPr>
          <w:rFonts w:ascii="Century Gothic" w:hAnsi="Century Gothic"/>
          <w:lang w:val="es-MX"/>
        </w:rPr>
        <w:t xml:space="preserve"> de junio de dos mil veintiséis.</w:t>
      </w:r>
      <w:r w:rsidR="00581367">
        <w:rPr>
          <w:rFonts w:ascii="Century Gothic" w:hAnsi="Century Gothic"/>
          <w:lang w:val="es-MX"/>
        </w:rPr>
        <w:t xml:space="preserve"> </w:t>
      </w:r>
      <w:r w:rsidRPr="000617D2">
        <w:rPr>
          <w:rFonts w:ascii="Century Gothic" w:hAnsi="Century Gothic"/>
          <w:b/>
          <w:bCs/>
        </w:rPr>
        <w:lastRenderedPageBreak/>
        <w:t>Cuarto</w:t>
      </w:r>
      <w:r w:rsidR="00524264">
        <w:rPr>
          <w:rFonts w:ascii="Century Gothic" w:hAnsi="Century Gothic"/>
          <w:b/>
          <w:bCs/>
        </w:rPr>
        <w:t>:</w:t>
      </w:r>
      <w:r w:rsidR="007D4F24">
        <w:rPr>
          <w:rFonts w:ascii="Century Gothic" w:hAnsi="Century Gothic"/>
          <w:b/>
          <w:bCs/>
        </w:rPr>
        <w:t xml:space="preserve"> </w:t>
      </w:r>
      <w:r w:rsidR="0097785F" w:rsidRPr="0097785F">
        <w:rPr>
          <w:rFonts w:ascii="Century Gothic" w:hAnsi="Century Gothic"/>
          <w:bCs/>
          <w:lang w:val="es-MX"/>
        </w:rPr>
        <w:t>Se someten a consideración, discusión y en su caso aprobación, las ponencias presentadas por las personas Magistradas siguientes:</w:t>
      </w:r>
      <w:r w:rsidR="0097785F">
        <w:rPr>
          <w:rFonts w:ascii="Century Gothic" w:hAnsi="Century Gothic"/>
          <w:bCs/>
          <w:lang w:val="es-MX"/>
        </w:rPr>
        <w:t xml:space="preserve"> </w:t>
      </w:r>
      <w:r w:rsidR="0097785F" w:rsidRPr="0097785F">
        <w:rPr>
          <w:rFonts w:ascii="Century Gothic" w:hAnsi="Century Gothic"/>
          <w:b/>
          <w:bCs/>
          <w:lang w:val="es-MX"/>
        </w:rPr>
        <w:t>A)</w:t>
      </w:r>
      <w:r w:rsidR="0097785F" w:rsidRPr="0097785F">
        <w:rPr>
          <w:rFonts w:ascii="Century Gothic" w:hAnsi="Century Gothic"/>
          <w:bCs/>
          <w:lang w:val="es-MX"/>
        </w:rPr>
        <w:t xml:space="preserve"> La que propone la </w:t>
      </w:r>
      <w:r w:rsidR="0097785F" w:rsidRPr="0097785F">
        <w:rPr>
          <w:rFonts w:ascii="Century Gothic" w:hAnsi="Century Gothic"/>
          <w:b/>
          <w:bCs/>
          <w:lang w:val="es-MX"/>
        </w:rPr>
        <w:t>Magistrada Liliana Elizabeth Aguilar</w:t>
      </w:r>
      <w:r w:rsidR="0097785F" w:rsidRPr="0097785F">
        <w:rPr>
          <w:rFonts w:ascii="Century Gothic" w:hAnsi="Century Gothic"/>
          <w:bCs/>
          <w:lang w:val="es-MX"/>
        </w:rPr>
        <w:t xml:space="preserve"> Gómez, para resolver el toca 108/2026 formado con motivo del recurso de queja interpuesto por el C. </w:t>
      </w:r>
      <w:r w:rsidR="007A0805" w:rsidRPr="007A0805">
        <w:rPr>
          <w:rFonts w:ascii="Century Gothic" w:hAnsi="Century Gothic"/>
          <w:b/>
          <w:bCs/>
          <w:lang w:val="es-MX"/>
        </w:rPr>
        <w:t xml:space="preserve"> ELIMINADO </w:t>
      </w:r>
      <w:r w:rsidR="0097785F" w:rsidRPr="0097785F">
        <w:rPr>
          <w:rFonts w:ascii="Century Gothic" w:hAnsi="Century Gothic"/>
          <w:bCs/>
          <w:lang w:val="es-MX"/>
        </w:rPr>
        <w:t xml:space="preserve">, en contra del auto dictado el veintiuno de mayo de dos mil veintiséis, pronunciada por el Juez Segundo del Ramo Civil del Primer Distrito Judicial, que no admite la demanda planteada por el quejoso. </w:t>
      </w:r>
      <w:r w:rsidR="0097785F">
        <w:rPr>
          <w:rFonts w:ascii="Century Gothic" w:hAnsi="Century Gothic"/>
          <w:bCs/>
          <w:lang w:val="es-MX"/>
        </w:rPr>
        <w:t xml:space="preserve"> </w:t>
      </w:r>
      <w:r w:rsidR="0097785F" w:rsidRPr="0097785F">
        <w:rPr>
          <w:rFonts w:ascii="Century Gothic" w:hAnsi="Century Gothic"/>
          <w:b/>
          <w:bCs/>
          <w:lang w:val="es-MX"/>
        </w:rPr>
        <w:t>B)</w:t>
      </w:r>
      <w:r w:rsidR="0097785F" w:rsidRPr="0097785F">
        <w:rPr>
          <w:rFonts w:ascii="Century Gothic" w:hAnsi="Century Gothic"/>
          <w:bCs/>
          <w:lang w:val="es-MX"/>
        </w:rPr>
        <w:t xml:space="preserve"> La que plantea la </w:t>
      </w:r>
      <w:r w:rsidR="0097785F" w:rsidRPr="0097785F">
        <w:rPr>
          <w:rFonts w:ascii="Century Gothic" w:hAnsi="Century Gothic"/>
          <w:b/>
          <w:bCs/>
          <w:lang w:val="es-MX"/>
        </w:rPr>
        <w:t>Magistrada Lizet Paola Morales Monter</w:t>
      </w:r>
      <w:r w:rsidR="0097785F" w:rsidRPr="0097785F">
        <w:rPr>
          <w:rFonts w:ascii="Century Gothic" w:hAnsi="Century Gothic"/>
          <w:bCs/>
          <w:lang w:val="es-MX"/>
        </w:rPr>
        <w:t xml:space="preserve">, para resolver el Toca 97/2026, relativo al recurso de queja interpuesto por </w:t>
      </w:r>
      <w:r w:rsidR="007A0805" w:rsidRPr="007A0805">
        <w:rPr>
          <w:rFonts w:ascii="Century Gothic" w:hAnsi="Century Gothic"/>
          <w:b/>
          <w:bCs/>
          <w:lang w:val="es-MX"/>
        </w:rPr>
        <w:t xml:space="preserve"> ELIMINADO </w:t>
      </w:r>
      <w:r w:rsidR="0097785F" w:rsidRPr="0097785F">
        <w:rPr>
          <w:rFonts w:ascii="Century Gothic" w:hAnsi="Century Gothic"/>
          <w:bCs/>
          <w:lang w:val="es-MX"/>
        </w:rPr>
        <w:t xml:space="preserve">, en contra del auto de fecha 08 ocho de mayo de 2026 dos mil veintiséis; pronunciado por el Juez Quinto Familiar con residencia en esta Ciudad; mediante el cual negó la admisión del recurso de apelación interpuesto por el recurrente en queja, dentro del expediente 1658/2015, relativo al Juicio de Controversia Familiar, alimentos, guarda y custodia, promovido por </w:t>
      </w:r>
      <w:r w:rsidR="007A0805" w:rsidRPr="007A0805">
        <w:rPr>
          <w:rFonts w:ascii="Century Gothic" w:hAnsi="Century Gothic"/>
          <w:b/>
          <w:bCs/>
          <w:lang w:val="es-MX"/>
        </w:rPr>
        <w:t xml:space="preserve"> ELIMINADO </w:t>
      </w:r>
      <w:r w:rsidR="0097785F" w:rsidRPr="0097785F">
        <w:rPr>
          <w:rFonts w:ascii="Century Gothic" w:hAnsi="Century Gothic"/>
          <w:bCs/>
          <w:lang w:val="es-MX"/>
        </w:rPr>
        <w:t>, en contra del aquí quejoso</w:t>
      </w:r>
      <w:r w:rsidR="0097785F" w:rsidRPr="0097785F">
        <w:rPr>
          <w:rFonts w:ascii="Century Gothic" w:hAnsi="Century Gothic"/>
          <w:b/>
          <w:bCs/>
          <w:lang w:val="es-MX"/>
        </w:rPr>
        <w:t>.  C)</w:t>
      </w:r>
      <w:r w:rsidR="0097785F" w:rsidRPr="0097785F">
        <w:rPr>
          <w:rFonts w:ascii="Century Gothic" w:hAnsi="Century Gothic"/>
          <w:bCs/>
          <w:lang w:val="es-MX"/>
        </w:rPr>
        <w:t xml:space="preserve"> La que propone el </w:t>
      </w:r>
      <w:r w:rsidR="0097785F" w:rsidRPr="0097785F">
        <w:rPr>
          <w:rFonts w:ascii="Century Gothic" w:hAnsi="Century Gothic"/>
          <w:b/>
          <w:bCs/>
          <w:lang w:val="es-MX"/>
        </w:rPr>
        <w:t>Magistrado Jairo Hernández Garibay</w:t>
      </w:r>
      <w:r w:rsidR="0097785F" w:rsidRPr="0097785F">
        <w:rPr>
          <w:rFonts w:ascii="Century Gothic" w:hAnsi="Century Gothic"/>
          <w:bCs/>
          <w:lang w:val="es-MX"/>
        </w:rPr>
        <w:t xml:space="preserve">, para resolver el toca número 102-2026, formado con motivo del Recurso de Queja interpuesto por </w:t>
      </w:r>
      <w:r w:rsidR="007A0805" w:rsidRPr="007A0805">
        <w:rPr>
          <w:rFonts w:ascii="Century Gothic" w:hAnsi="Century Gothic"/>
          <w:b/>
          <w:bCs/>
          <w:lang w:val="es-MX"/>
        </w:rPr>
        <w:t xml:space="preserve"> ELIMINADO </w:t>
      </w:r>
      <w:r w:rsidR="0097785F" w:rsidRPr="0097785F">
        <w:rPr>
          <w:rFonts w:ascii="Century Gothic" w:hAnsi="Century Gothic"/>
          <w:bCs/>
          <w:lang w:val="es-MX"/>
        </w:rPr>
        <w:t xml:space="preserve">, en contra del auto de 12 doce de mayo de 2026 dos mil veintiséis, dictado por el Juez Mixto de Primera Instancia de Salinas de Hidalgo, S.L.P., dentro del expediente número 76/2026, relativo al Juicio Ordinario, acción del estado civil, promovido por </w:t>
      </w:r>
      <w:r w:rsidR="007A0805" w:rsidRPr="007A0805">
        <w:rPr>
          <w:rFonts w:ascii="Century Gothic" w:hAnsi="Century Gothic"/>
          <w:b/>
          <w:bCs/>
          <w:lang w:val="es-MX"/>
        </w:rPr>
        <w:t xml:space="preserve"> ELIMINADO </w:t>
      </w:r>
      <w:r w:rsidR="0097785F" w:rsidRPr="0097785F">
        <w:rPr>
          <w:rFonts w:ascii="Century Gothic" w:hAnsi="Century Gothic"/>
          <w:bCs/>
          <w:lang w:val="es-MX"/>
        </w:rPr>
        <w:t xml:space="preserve">, en representación de su hija menor de edad de iniciales </w:t>
      </w:r>
      <w:r w:rsidR="007A0805" w:rsidRPr="007A0805">
        <w:rPr>
          <w:rFonts w:ascii="Century Gothic" w:hAnsi="Century Gothic"/>
          <w:b/>
          <w:bCs/>
          <w:lang w:val="es-MX"/>
        </w:rPr>
        <w:t xml:space="preserve"> ELIMINADO </w:t>
      </w:r>
      <w:r w:rsidR="0097785F" w:rsidRPr="0097785F">
        <w:rPr>
          <w:rFonts w:ascii="Century Gothic" w:hAnsi="Century Gothic"/>
          <w:bCs/>
          <w:lang w:val="es-MX"/>
        </w:rPr>
        <w:t xml:space="preserve">, en contra de </w:t>
      </w:r>
      <w:r w:rsidR="007A0805" w:rsidRPr="007A0805">
        <w:rPr>
          <w:rFonts w:ascii="Century Gothic" w:hAnsi="Century Gothic"/>
          <w:b/>
          <w:bCs/>
          <w:lang w:val="es-MX"/>
        </w:rPr>
        <w:t xml:space="preserve"> ELIMINADO </w:t>
      </w:r>
      <w:r w:rsidR="0097785F" w:rsidRPr="0097785F">
        <w:rPr>
          <w:rFonts w:ascii="Century Gothic" w:hAnsi="Century Gothic"/>
          <w:bCs/>
          <w:lang w:val="es-MX"/>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581367" w:rsidRPr="00F35D70">
        <w:rPr>
          <w:rFonts w:ascii="Century Gothic" w:hAnsi="Century Gothic"/>
          <w:bCs/>
        </w:rPr>
        <w:t xml:space="preserve">Asuntos Generales, los que hagan mención tanto la </w:t>
      </w:r>
      <w:r w:rsidR="00581367" w:rsidRPr="00F35D70">
        <w:rPr>
          <w:rFonts w:ascii="Century Gothic" w:hAnsi="Century Gothic"/>
          <w:bCs/>
        </w:rPr>
        <w:lastRenderedPageBreak/>
        <w:t xml:space="preserve">Magistrada Lourdes Anahí Zarazúa Martínez, Presidenta de este Supremo Tribunal de Justicia del Estado, como las y los Magistrados que integran este Cuerpo </w:t>
      </w:r>
      <w:r w:rsidR="00CA5551" w:rsidRPr="00F35D70">
        <w:rPr>
          <w:rFonts w:ascii="Century Gothic" w:hAnsi="Century Gothic"/>
          <w:bCs/>
        </w:rPr>
        <w:t>Colegiado. -</w:t>
      </w:r>
      <w:r w:rsidR="00581367" w:rsidRPr="00F35D70">
        <w:rPr>
          <w:rFonts w:ascii="Century Gothic" w:hAnsi="Century Gothic"/>
          <w:bCs/>
        </w:rPr>
        <w:t xml:space="preserve"> - </w:t>
      </w:r>
      <w:r w:rsidRPr="00F35D70">
        <w:rPr>
          <w:rFonts w:ascii="Century Gothic" w:hAnsi="Century Gothic" w:cs="Tahoma"/>
        </w:rPr>
        <w:t>- - -</w:t>
      </w:r>
      <w:r w:rsidR="002C3CD7" w:rsidRPr="00F35D70">
        <w:rPr>
          <w:rFonts w:ascii="Century Gothic" w:hAnsi="Century Gothic" w:cs="Tahoma"/>
        </w:rPr>
        <w:t xml:space="preserve"> </w:t>
      </w:r>
      <w:r w:rsidR="007D4F24" w:rsidRPr="00F35D70">
        <w:rPr>
          <w:rFonts w:ascii="Century Gothic" w:hAnsi="Century Gothic" w:cs="Tahoma"/>
        </w:rPr>
        <w:t>- - - - -</w:t>
      </w:r>
      <w:r w:rsidR="004C4530">
        <w:rPr>
          <w:rFonts w:ascii="Century Gothic" w:hAnsi="Century Gothic" w:cs="Tahoma"/>
        </w:rPr>
        <w:t xml:space="preserve"> </w:t>
      </w:r>
      <w:r w:rsidR="00C538B3">
        <w:rPr>
          <w:rFonts w:ascii="Century Gothic" w:hAnsi="Century Gothic" w:cs="Tahoma"/>
        </w:rPr>
        <w:t xml:space="preserve">- - - - - - - - - - - - - - </w:t>
      </w:r>
      <w:r w:rsidR="0097785F">
        <w:rPr>
          <w:rFonts w:ascii="Century Gothic" w:hAnsi="Century Gothic" w:cs="Tahoma"/>
        </w:rPr>
        <w:t xml:space="preserve">- - - - - - - - - - - - - - - </w:t>
      </w:r>
    </w:p>
    <w:p w14:paraId="07708CF2" w14:textId="057C73E0" w:rsidR="00391122" w:rsidRDefault="00391122" w:rsidP="00D21562">
      <w:pPr>
        <w:spacing w:line="504" w:lineRule="auto"/>
        <w:jc w:val="both"/>
        <w:rPr>
          <w:rFonts w:ascii="Century Gothic" w:hAnsi="Century Gothic" w:cs="Tahoma"/>
        </w:rPr>
      </w:pPr>
      <w:r>
        <w:rPr>
          <w:rFonts w:ascii="Century Gothic" w:hAnsi="Century Gothic" w:cs="Tahoma"/>
        </w:rPr>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w:t>
      </w:r>
      <w:r w:rsidR="0085640E">
        <w:rPr>
          <w:rFonts w:ascii="Century Gothic" w:hAnsi="Century Gothic" w:cs="Tahoma"/>
        </w:rPr>
        <w:t>Se hace del conocimiento que la Magistrada Juana María Alfaro Rey</w:t>
      </w:r>
      <w:r w:rsidR="0085640E" w:rsidRPr="0085640E">
        <w:rPr>
          <w:rFonts w:ascii="Century Gothic" w:hAnsi="Century Gothic" w:cs="Tahoma"/>
        </w:rPr>
        <w:t xml:space="preserve">na comparece a la presente sesión mediante modalidad remota, lo anterior de conformidad con la autorización otorgada por la suscrita </w:t>
      </w:r>
      <w:r w:rsidR="004D353F">
        <w:rPr>
          <w:rFonts w:ascii="Century Gothic" w:hAnsi="Century Gothic" w:cs="Tahoma"/>
        </w:rPr>
        <w:t xml:space="preserve"> </w:t>
      </w:r>
      <w:r w:rsidR="0085640E" w:rsidRPr="0085640E">
        <w:rPr>
          <w:rFonts w:ascii="Century Gothic" w:hAnsi="Century Gothic" w:cs="Tahoma"/>
        </w:rPr>
        <w:t xml:space="preserve">Presidenta en términos del artículo 14, fracción </w:t>
      </w:r>
      <w:r w:rsidR="0085640E">
        <w:rPr>
          <w:rFonts w:ascii="Century Gothic" w:hAnsi="Century Gothic" w:cs="Tahoma"/>
        </w:rPr>
        <w:t>III</w:t>
      </w:r>
      <w:r w:rsidR="00751EEF">
        <w:rPr>
          <w:rFonts w:ascii="Century Gothic" w:hAnsi="Century Gothic" w:cs="Tahoma"/>
        </w:rPr>
        <w:t xml:space="preserve">, </w:t>
      </w:r>
      <w:r w:rsidR="0085640E" w:rsidRPr="0085640E">
        <w:rPr>
          <w:rFonts w:ascii="Century Gothic" w:hAnsi="Century Gothic" w:cs="Tahoma"/>
        </w:rPr>
        <w:t xml:space="preserve">del Reglamento Interior del Supremo Tribunal de Justicia del Estado, </w:t>
      </w:r>
      <w:r w:rsidR="0085640E">
        <w:rPr>
          <w:rFonts w:ascii="Century Gothic" w:hAnsi="Century Gothic" w:cs="Tahoma"/>
        </w:rPr>
        <w:t>misma que fue informada a este Ó</w:t>
      </w:r>
      <w:r w:rsidR="0085640E" w:rsidRPr="0085640E">
        <w:rPr>
          <w:rFonts w:ascii="Century Gothic" w:hAnsi="Century Gothic" w:cs="Tahoma"/>
        </w:rPr>
        <w:t xml:space="preserve">rgano </w:t>
      </w:r>
      <w:r w:rsidR="0085640E">
        <w:rPr>
          <w:rFonts w:ascii="Century Gothic" w:hAnsi="Century Gothic" w:cs="Tahoma"/>
        </w:rPr>
        <w:t>C</w:t>
      </w:r>
      <w:r w:rsidR="0085640E" w:rsidRPr="0085640E">
        <w:rPr>
          <w:rFonts w:ascii="Century Gothic" w:hAnsi="Century Gothic" w:cs="Tahoma"/>
        </w:rPr>
        <w:t xml:space="preserve">olegiado en sesión de fecha </w:t>
      </w:r>
      <w:r w:rsidR="0085640E">
        <w:rPr>
          <w:rFonts w:ascii="Century Gothic" w:hAnsi="Century Gothic" w:cs="Tahoma"/>
        </w:rPr>
        <w:t>treinta</w:t>
      </w:r>
      <w:r w:rsidR="0085640E" w:rsidRPr="0085640E">
        <w:rPr>
          <w:rFonts w:ascii="Century Gothic" w:hAnsi="Century Gothic" w:cs="Tahoma"/>
        </w:rPr>
        <w:t xml:space="preserve"> de abril de </w:t>
      </w:r>
      <w:r w:rsidR="0085640E">
        <w:rPr>
          <w:rFonts w:ascii="Century Gothic" w:hAnsi="Century Gothic" w:cs="Tahoma"/>
        </w:rPr>
        <w:t>dos mil veintiséis</w:t>
      </w:r>
      <w:r w:rsidR="007C2468">
        <w:rPr>
          <w:rFonts w:ascii="Century Gothic" w:hAnsi="Century Gothic" w:cs="Tahoma"/>
        </w:rPr>
        <w:t xml:space="preserve">”. </w:t>
      </w:r>
      <w:r w:rsidR="003C27AC">
        <w:rPr>
          <w:rFonts w:ascii="Century Gothic" w:hAnsi="Century Gothic" w:cs="Tahoma"/>
        </w:rPr>
        <w:t>- - - - - - - - -</w:t>
      </w:r>
      <w:r w:rsidR="0085640E">
        <w:rPr>
          <w:rFonts w:ascii="Century Gothic" w:hAnsi="Century Gothic" w:cs="Tahoma"/>
        </w:rPr>
        <w:t xml:space="preserve"> - - - - - - - - - - - - - - - - - - - - - - - - - </w:t>
      </w:r>
    </w:p>
    <w:p w14:paraId="5098F9A3" w14:textId="4F5BD5B6"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 xml:space="preserve">con excepción de la Magistrada Juana María Alfaro Reyna, quien asiste de manera </w:t>
      </w:r>
      <w:r w:rsidR="007D42DF">
        <w:rPr>
          <w:rFonts w:ascii="Century Gothic" w:hAnsi="Century Gothic"/>
        </w:rPr>
        <w:t>remota, mediante video</w:t>
      </w:r>
      <w:r w:rsidRPr="00B70D52">
        <w:rPr>
          <w:rFonts w:ascii="Century Gothic" w:hAnsi="Century Gothic"/>
        </w:rPr>
        <w:t>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042DF048"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lastRenderedPageBreak/>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Lectura, discusión y en 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 xml:space="preserve">Si hubiera alguna intervención, </w:t>
      </w:r>
      <w:r w:rsidR="009D39BA">
        <w:rPr>
          <w:rFonts w:ascii="Century Gothic" w:hAnsi="Century Gothic"/>
          <w:lang w:val="es-MX"/>
        </w:rPr>
        <w:t>este es el momento para hacerla</w:t>
      </w:r>
      <w:r w:rsidR="00E011DB">
        <w:rPr>
          <w:rFonts w:ascii="Century Gothic" w:hAnsi="Century Gothic"/>
          <w:lang w:val="es-MX"/>
        </w:rPr>
        <w:t xml:space="preserve">. </w:t>
      </w:r>
      <w:r w:rsidR="0097785F">
        <w:rPr>
          <w:rFonts w:ascii="Century Gothic" w:hAnsi="Century Gothic"/>
          <w:lang w:val="es-MX"/>
        </w:rPr>
        <w:t>Sí, Magistrada, por favor”. “</w:t>
      </w:r>
      <w:r w:rsidR="0097785F" w:rsidRPr="0097785F">
        <w:rPr>
          <w:rFonts w:ascii="Century Gothic" w:hAnsi="Century Gothic"/>
          <w:lang w:val="es-MX"/>
        </w:rPr>
        <w:t>Con su permis</w:t>
      </w:r>
      <w:r w:rsidR="0097785F">
        <w:rPr>
          <w:rFonts w:ascii="Century Gothic" w:hAnsi="Century Gothic"/>
          <w:lang w:val="es-MX"/>
        </w:rPr>
        <w:t>o y de los integrantes de este P</w:t>
      </w:r>
      <w:r w:rsidR="0097785F" w:rsidRPr="0097785F">
        <w:rPr>
          <w:rFonts w:ascii="Century Gothic" w:hAnsi="Century Gothic"/>
          <w:lang w:val="es-MX"/>
        </w:rPr>
        <w:t>leno, solicito reti</w:t>
      </w:r>
      <w:r w:rsidR="0097785F">
        <w:rPr>
          <w:rFonts w:ascii="Century Gothic" w:hAnsi="Century Gothic"/>
          <w:lang w:val="es-MX"/>
        </w:rPr>
        <w:t>rar el proyecto de la queja 108-</w:t>
      </w:r>
      <w:r w:rsidR="0097785F" w:rsidRPr="0097785F">
        <w:rPr>
          <w:rFonts w:ascii="Century Gothic" w:hAnsi="Century Gothic"/>
          <w:lang w:val="es-MX"/>
        </w:rPr>
        <w:t>2026</w:t>
      </w:r>
      <w:r w:rsidR="0097785F">
        <w:rPr>
          <w:rFonts w:ascii="Century Gothic" w:hAnsi="Century Gothic"/>
          <w:lang w:val="es-MX"/>
        </w:rPr>
        <w:t xml:space="preserve"> para un mejor estudio. Gracias”, interviene la </w:t>
      </w:r>
      <w:r w:rsidR="0097785F">
        <w:rPr>
          <w:rFonts w:ascii="Century Gothic" w:hAnsi="Century Gothic"/>
          <w:b/>
          <w:lang w:val="es-MX"/>
        </w:rPr>
        <w:t xml:space="preserve">Magistrada Liliana Elizabeth Aguilar Gómez. </w:t>
      </w:r>
      <w:r w:rsidR="0097785F">
        <w:rPr>
          <w:rFonts w:ascii="Century Gothic" w:hAnsi="Century Gothic"/>
          <w:lang w:val="es-MX"/>
        </w:rPr>
        <w:t xml:space="preserve">“Gracias, Magistrada, </w:t>
      </w:r>
      <w:r w:rsidR="0097785F" w:rsidRPr="0097785F">
        <w:rPr>
          <w:rFonts w:ascii="Century Gothic" w:hAnsi="Century Gothic"/>
          <w:lang w:val="es-MX"/>
        </w:rPr>
        <w:t>¿Alguna otra intervención? Bi</w:t>
      </w:r>
      <w:r w:rsidR="0097785F">
        <w:rPr>
          <w:rFonts w:ascii="Century Gothic" w:hAnsi="Century Gothic"/>
          <w:lang w:val="es-MX"/>
        </w:rPr>
        <w:t>en, someto a su consideración, q</w:t>
      </w:r>
      <w:r w:rsidR="0097785F" w:rsidRPr="0097785F">
        <w:rPr>
          <w:rFonts w:ascii="Century Gothic" w:hAnsi="Century Gothic"/>
          <w:lang w:val="es-MX"/>
        </w:rPr>
        <w:t>uien esté a favor del orden del día con su respecti</w:t>
      </w:r>
      <w:r w:rsidR="00807CF8">
        <w:rPr>
          <w:rFonts w:ascii="Century Gothic" w:hAnsi="Century Gothic"/>
          <w:lang w:val="es-MX"/>
        </w:rPr>
        <w:t>va modificación, sírvanse</w:t>
      </w:r>
      <w:r w:rsidR="0097785F" w:rsidRPr="0097785F">
        <w:rPr>
          <w:rFonts w:ascii="Century Gothic" w:hAnsi="Century Gothic"/>
          <w:lang w:val="es-MX"/>
        </w:rPr>
        <w:t xml:space="preserve"> 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0D3E98">
        <w:rPr>
          <w:rFonts w:ascii="Century Gothic" w:hAnsi="Century Gothic"/>
          <w:bCs/>
          <w:lang w:val="es-MX"/>
        </w:rPr>
        <w:t>Aprobado</w:t>
      </w:r>
      <w:r w:rsidR="009D39BA" w:rsidRPr="009D39BA">
        <w:rPr>
          <w:rFonts w:ascii="Century Gothic" w:hAnsi="Century Gothic"/>
          <w:bCs/>
          <w:lang w:val="es-MX"/>
        </w:rPr>
        <w:t xml:space="preserve"> el orden del día </w:t>
      </w:r>
      <w:r w:rsidR="009D39BA">
        <w:rPr>
          <w:rFonts w:ascii="Century Gothic" w:hAnsi="Century Gothic"/>
          <w:bCs/>
          <w:lang w:val="es-MX"/>
        </w:rPr>
        <w:t>por unanimidad de votos</w:t>
      </w:r>
      <w:r w:rsidRPr="009D39BA">
        <w:rPr>
          <w:rFonts w:ascii="Century Gothic" w:hAnsi="Century Gothic"/>
          <w:bCs/>
          <w:lang w:val="es-MX"/>
        </w:rPr>
        <w:t>”</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97785F">
        <w:rPr>
          <w:rFonts w:ascii="Century Gothic" w:hAnsi="Century Gothic"/>
          <w:b/>
          <w:bCs/>
        </w:rPr>
        <w:t xml:space="preserve"> con sus modificaciones</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w:t>
      </w:r>
      <w:r w:rsidR="007B2991">
        <w:rPr>
          <w:rFonts w:ascii="Century Gothic" w:hAnsi="Century Gothic"/>
          <w:b/>
          <w:bCs/>
        </w:rPr>
        <w:t>- - - - - - - - - - - - - - - - -</w:t>
      </w:r>
      <w:r w:rsidR="0097785F">
        <w:rPr>
          <w:rFonts w:ascii="Century Gothic" w:hAnsi="Century Gothic"/>
          <w:b/>
          <w:bCs/>
        </w:rPr>
        <w:t xml:space="preserve"> - - - - - - - - - - </w:t>
      </w:r>
    </w:p>
    <w:p w14:paraId="673B49A4" w14:textId="5FEE4FC4" w:rsidR="00203215" w:rsidRPr="00F35D70" w:rsidRDefault="008A52E5" w:rsidP="00F35D70">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con el siguiente tema a tratar</w:t>
      </w:r>
      <w:r w:rsidRPr="008676B7">
        <w:rPr>
          <w:rFonts w:ascii="Century Gothic" w:hAnsi="Century Gothic"/>
        </w:rPr>
        <w:t xml:space="preserve">; quien,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F35D70" w:rsidRPr="00F35D70">
        <w:rPr>
          <w:rFonts w:ascii="Century Gothic" w:hAnsi="Century Gothic"/>
          <w:b/>
          <w:lang w:val="es-MX"/>
        </w:rPr>
        <w:t xml:space="preserve">Se somete a consideración del Honorable Pleno y, en su caso, </w:t>
      </w:r>
      <w:r w:rsidR="00F35D70" w:rsidRPr="00F35D70">
        <w:rPr>
          <w:rFonts w:ascii="Century Gothic" w:hAnsi="Century Gothic"/>
          <w:b/>
          <w:lang w:val="es-MX"/>
        </w:rPr>
        <w:lastRenderedPageBreak/>
        <w:t xml:space="preserve">aprobación el acta correspondiente a la sesión pública ordinaria celebrada el </w:t>
      </w:r>
      <w:r w:rsidR="000D3E98">
        <w:rPr>
          <w:rFonts w:ascii="Century Gothic" w:hAnsi="Century Gothic"/>
          <w:b/>
          <w:lang w:val="es-MX"/>
        </w:rPr>
        <w:t>dieciocho</w:t>
      </w:r>
      <w:r w:rsidR="00143181">
        <w:rPr>
          <w:rFonts w:ascii="Century Gothic" w:hAnsi="Century Gothic"/>
          <w:b/>
          <w:lang w:val="es-MX"/>
        </w:rPr>
        <w:t xml:space="preserve"> de junio</w:t>
      </w:r>
      <w:r w:rsidR="006217E3">
        <w:rPr>
          <w:rFonts w:ascii="Century Gothic" w:hAnsi="Century Gothic"/>
          <w:b/>
          <w:lang w:val="es-MX"/>
        </w:rPr>
        <w:t xml:space="preserve"> de dos 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F35D70" w:rsidRPr="00F35D70">
        <w:rPr>
          <w:rFonts w:ascii="Century Gothic" w:hAnsi="Century Gothic"/>
          <w:lang w:val="es-MX"/>
        </w:rPr>
        <w:t>Se encuentra a su consi</w:t>
      </w:r>
      <w:r w:rsidR="009D39BA">
        <w:rPr>
          <w:rFonts w:ascii="Century Gothic" w:hAnsi="Century Gothic"/>
          <w:lang w:val="es-MX"/>
        </w:rPr>
        <w:t xml:space="preserve">deración el acta número </w:t>
      </w:r>
      <w:r w:rsidR="0097785F">
        <w:rPr>
          <w:rFonts w:ascii="Century Gothic" w:hAnsi="Century Gothic"/>
          <w:lang w:val="es-MX"/>
        </w:rPr>
        <w:t>veintidós</w:t>
      </w:r>
      <w:r w:rsidR="006217E3">
        <w:rPr>
          <w:rFonts w:ascii="Century Gothic" w:hAnsi="Century Gothic"/>
          <w:lang w:val="es-MX"/>
        </w:rPr>
        <w:t>, de fecha</w:t>
      </w:r>
      <w:r w:rsidR="00F35D70" w:rsidRPr="00F35D70">
        <w:rPr>
          <w:rFonts w:ascii="Century Gothic" w:hAnsi="Century Gothic"/>
          <w:lang w:val="es-MX"/>
        </w:rPr>
        <w:t xml:space="preserve"> </w:t>
      </w:r>
      <w:r w:rsidR="0097785F">
        <w:rPr>
          <w:rFonts w:ascii="Century Gothic" w:hAnsi="Century Gothic"/>
          <w:lang w:val="es-MX"/>
        </w:rPr>
        <w:t>dieciocho</w:t>
      </w:r>
      <w:r w:rsidR="00F35D70" w:rsidRPr="00F35D70">
        <w:rPr>
          <w:rFonts w:ascii="Century Gothic" w:hAnsi="Century Gothic"/>
          <w:lang w:val="es-MX"/>
        </w:rPr>
        <w:t xml:space="preserve"> de </w:t>
      </w:r>
      <w:r w:rsidR="00143181">
        <w:rPr>
          <w:rFonts w:ascii="Century Gothic" w:hAnsi="Century Gothic"/>
          <w:lang w:val="es-MX"/>
        </w:rPr>
        <w:t>junio</w:t>
      </w:r>
      <w:r w:rsidR="00F35D70" w:rsidRPr="00F35D70">
        <w:rPr>
          <w:rFonts w:ascii="Century Gothic" w:hAnsi="Century Gothic"/>
          <w:lang w:val="es-MX"/>
        </w:rPr>
        <w:t xml:space="preserve"> </w:t>
      </w:r>
      <w:r w:rsidR="00A3067F">
        <w:rPr>
          <w:rFonts w:ascii="Century Gothic" w:hAnsi="Century Gothic"/>
          <w:lang w:val="es-MX"/>
        </w:rPr>
        <w:t>de dos mil veintisé</w:t>
      </w:r>
      <w:r w:rsidR="00F35D70" w:rsidRPr="00F35D70">
        <w:rPr>
          <w:rFonts w:ascii="Century Gothic" w:hAnsi="Century Gothic"/>
          <w:lang w:val="es-MX"/>
        </w:rPr>
        <w:t>is. ¿Alguna obser</w:t>
      </w:r>
      <w:r w:rsidR="00906584">
        <w:rPr>
          <w:rFonts w:ascii="Century Gothic" w:hAnsi="Century Gothic"/>
          <w:lang w:val="es-MX"/>
        </w:rPr>
        <w:t>vación?</w:t>
      </w:r>
      <w:r w:rsidR="00861C17">
        <w:rPr>
          <w:rFonts w:ascii="Century Gothic" w:hAnsi="Century Gothic"/>
          <w:lang w:val="es-MX"/>
        </w:rPr>
        <w:t xml:space="preserve"> P</w:t>
      </w:r>
      <w:r w:rsidR="00906584">
        <w:rPr>
          <w:rFonts w:ascii="Century Gothic" w:hAnsi="Century Gothic"/>
          <w:lang w:val="es-MX"/>
        </w:rPr>
        <w:t>rocedo a someter</w:t>
      </w:r>
      <w:r w:rsidR="00F35D70" w:rsidRPr="00F35D70">
        <w:rPr>
          <w:rFonts w:ascii="Century Gothic" w:hAnsi="Century Gothic"/>
          <w:lang w:val="es-MX"/>
        </w:rPr>
        <w:t>la</w:t>
      </w:r>
      <w:r w:rsidR="00906584">
        <w:rPr>
          <w:rFonts w:ascii="Century Gothic" w:hAnsi="Century Gothic"/>
          <w:lang w:val="es-MX"/>
        </w:rPr>
        <w:t xml:space="preserve"> a votación, q</w:t>
      </w:r>
      <w:r w:rsidR="00F35D70" w:rsidRPr="00F35D70">
        <w:rPr>
          <w:rFonts w:ascii="Century Gothic" w:hAnsi="Century Gothic"/>
          <w:lang w:val="es-MX"/>
        </w:rPr>
        <w:t xml:space="preserve">uienes estén a favor </w:t>
      </w:r>
      <w:r w:rsidR="00906584" w:rsidRPr="00F35D70">
        <w:rPr>
          <w:rFonts w:ascii="Century Gothic" w:hAnsi="Century Gothic"/>
          <w:lang w:val="es-MX"/>
        </w:rPr>
        <w:t>del acta antes referida</w:t>
      </w:r>
      <w:r w:rsidR="00F35D70" w:rsidRPr="00F35D70">
        <w:rPr>
          <w:rFonts w:ascii="Century Gothic" w:hAnsi="Century Gothic"/>
          <w:lang w:val="es-MX"/>
        </w:rPr>
        <w:t>, sírvanse levantar la mano en la forma aco</w:t>
      </w:r>
      <w:r w:rsidR="00861C17">
        <w:rPr>
          <w:rFonts w:ascii="Century Gothic" w:hAnsi="Century Gothic"/>
          <w:lang w:val="es-MX"/>
        </w:rPr>
        <w:t>stumbrada. Secretaria General, le solicito me informe</w:t>
      </w:r>
      <w:r w:rsidR="00F35D70" w:rsidRPr="00F35D70">
        <w:rPr>
          <w:rFonts w:ascii="Century Gothic" w:hAnsi="Century Gothic"/>
          <w:lang w:val="es-MX"/>
        </w:rPr>
        <w:t xml:space="preserve"> </w:t>
      </w:r>
      <w:r w:rsidR="0097785F">
        <w:rPr>
          <w:rFonts w:ascii="Century Gothic" w:hAnsi="Century Gothic"/>
          <w:lang w:val="es-MX"/>
        </w:rPr>
        <w:t>d</w:t>
      </w:r>
      <w:r w:rsidR="00F35D70" w:rsidRPr="00F35D70">
        <w:rPr>
          <w:rFonts w:ascii="Century Gothic" w:hAnsi="Century Gothic"/>
          <w:lang w:val="es-MX"/>
        </w:rPr>
        <w:t>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Lourdes Anahí 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p>
    <w:p w14:paraId="3F4D60A6" w14:textId="39AE4DF9" w:rsidR="00723EC3" w:rsidRPr="004C2C7F" w:rsidRDefault="009D39BA" w:rsidP="0091124E">
      <w:pPr>
        <w:spacing w:line="504" w:lineRule="auto"/>
        <w:jc w:val="both"/>
        <w:rPr>
          <w:rFonts w:ascii="Century Gothic" w:hAnsi="Century Gothic"/>
          <w:bCs/>
          <w:lang w:val="es-MX"/>
        </w:rPr>
      </w:pPr>
      <w:r>
        <w:rPr>
          <w:rFonts w:ascii="Century Gothic" w:hAnsi="Century Gothic"/>
        </w:rPr>
        <w:t xml:space="preserve">Posteriormente, </w:t>
      </w:r>
      <w:r>
        <w:rPr>
          <w:rFonts w:ascii="Century Gothic" w:hAnsi="Century Gothic"/>
          <w:bCs/>
          <w:lang w:val="es-MX"/>
        </w:rPr>
        <w:t xml:space="preserve">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rPr>
        <w:t xml:space="preserve">pide a la Secretaria General dé lectura al </w:t>
      </w:r>
      <w:r>
        <w:rPr>
          <w:rFonts w:ascii="Century Gothic" w:hAnsi="Century Gothic"/>
          <w:b/>
          <w:bCs/>
        </w:rPr>
        <w:t>cuarto punto</w:t>
      </w:r>
      <w:r>
        <w:rPr>
          <w:rFonts w:ascii="Century Gothic" w:hAnsi="Century Gothic"/>
        </w:rPr>
        <w:t xml:space="preserve">. Atento a ello, la </w:t>
      </w:r>
      <w:r>
        <w:rPr>
          <w:rFonts w:ascii="Century Gothic" w:hAnsi="Century Gothic"/>
          <w:b/>
        </w:rPr>
        <w:t>licenciada Graciela Treviño Rodríguez</w:t>
      </w:r>
      <w:r>
        <w:rPr>
          <w:rFonts w:ascii="Century Gothic" w:hAnsi="Century Gothic"/>
        </w:rPr>
        <w:t xml:space="preserve">, leyó: </w:t>
      </w:r>
      <w:r w:rsidR="00CA1590" w:rsidRPr="00E54F3A">
        <w:rPr>
          <w:rFonts w:ascii="Century Gothic" w:hAnsi="Century Gothic"/>
          <w:b/>
        </w:rPr>
        <w:t>“</w:t>
      </w:r>
      <w:r w:rsidR="00E54F3A" w:rsidRPr="00E54F3A">
        <w:rPr>
          <w:rFonts w:ascii="Century Gothic" w:hAnsi="Century Gothic"/>
          <w:b/>
          <w:bCs/>
          <w:lang w:val="es-MX"/>
        </w:rPr>
        <w:t xml:space="preserve">Se someten a consideración, discusión y en su caso aprobación, las ponencias presentadas por las personas Magistradas siguientes:                   </w:t>
      </w:r>
      <w:r w:rsidR="0097785F">
        <w:rPr>
          <w:rFonts w:ascii="Century Gothic" w:hAnsi="Century Gothic"/>
          <w:b/>
          <w:bCs/>
          <w:lang w:val="es-MX"/>
        </w:rPr>
        <w:t>A</w:t>
      </w:r>
      <w:r w:rsidR="0097785F" w:rsidRPr="0097785F">
        <w:rPr>
          <w:rFonts w:ascii="Century Gothic" w:hAnsi="Century Gothic"/>
          <w:b/>
          <w:bCs/>
          <w:lang w:val="es-MX"/>
        </w:rPr>
        <w:t xml:space="preserve">) La que plantea la Magistrada Lizet Paola Morales Monter, para resolver el Toca 97/2026, relativo al recurso de queja interpuesto por </w:t>
      </w:r>
      <w:r w:rsidR="007A0805" w:rsidRPr="007A0805">
        <w:rPr>
          <w:rFonts w:ascii="Century Gothic" w:hAnsi="Century Gothic"/>
          <w:b/>
          <w:bCs/>
          <w:lang w:val="es-MX"/>
        </w:rPr>
        <w:t xml:space="preserve"> ELIMINADO </w:t>
      </w:r>
      <w:r w:rsidR="0097785F" w:rsidRPr="0097785F">
        <w:rPr>
          <w:rFonts w:ascii="Century Gothic" w:hAnsi="Century Gothic"/>
          <w:b/>
          <w:bCs/>
          <w:lang w:val="es-MX"/>
        </w:rPr>
        <w:t xml:space="preserve">, en contra del auto de fecha 08 ocho de mayo de 2026 dos mil veintiséis; pronunciado por el Juez Quinto Familiar con residencia en esta Ciudad; mediante el cual negó la admisión del recurso de apelación interpuesto por el recurrente en queja, dentro del expediente 1658/2015, relativo al Juicio de Controversia Familiar, </w:t>
      </w:r>
      <w:r w:rsidR="0097785F" w:rsidRPr="0097785F">
        <w:rPr>
          <w:rFonts w:ascii="Century Gothic" w:hAnsi="Century Gothic"/>
          <w:b/>
          <w:bCs/>
          <w:lang w:val="es-MX"/>
        </w:rPr>
        <w:lastRenderedPageBreak/>
        <w:t xml:space="preserve">alimentos, guarda y custodia, promovido por </w:t>
      </w:r>
      <w:r w:rsidR="007A0805" w:rsidRPr="007A0805">
        <w:rPr>
          <w:rFonts w:ascii="Century Gothic" w:hAnsi="Century Gothic"/>
          <w:b/>
          <w:bCs/>
          <w:lang w:val="es-MX"/>
        </w:rPr>
        <w:t xml:space="preserve"> ELIMINADO </w:t>
      </w:r>
      <w:r w:rsidR="0097785F" w:rsidRPr="0097785F">
        <w:rPr>
          <w:rFonts w:ascii="Century Gothic" w:hAnsi="Century Gothic"/>
          <w:b/>
          <w:bCs/>
          <w:lang w:val="es-MX"/>
        </w:rPr>
        <w:t>, en contra del aquí quejoso.</w:t>
      </w:r>
      <w:r w:rsidR="00CA1590" w:rsidRPr="0097785F">
        <w:rPr>
          <w:rFonts w:ascii="Century Gothic" w:hAnsi="Century Gothic"/>
          <w:b/>
          <w:bCs/>
        </w:rPr>
        <w:t>”</w:t>
      </w:r>
      <w:r w:rsidR="00CA1590" w:rsidRPr="00E54F3A">
        <w:rPr>
          <w:rFonts w:ascii="Century Gothic" w:hAnsi="Century Gothic"/>
          <w:b/>
          <w:bCs/>
        </w:rPr>
        <w:t xml:space="preserve"> </w:t>
      </w:r>
      <w:r w:rsidR="00E12400" w:rsidRPr="001B62E0">
        <w:rPr>
          <w:rFonts w:ascii="Century Gothic" w:hAnsi="Century Gothic"/>
          <w:lang w:val="es-MX"/>
        </w:rPr>
        <w:t xml:space="preserve">Puntos resolutivos que textualmente disponen: </w:t>
      </w:r>
      <w:r w:rsidR="0051777A" w:rsidRPr="001B62E0">
        <w:rPr>
          <w:rFonts w:ascii="Century Gothic" w:hAnsi="Century Gothic"/>
          <w:lang w:val="es-MX"/>
        </w:rPr>
        <w:t>“</w:t>
      </w:r>
      <w:r w:rsidR="0091124E" w:rsidRPr="0091124E">
        <w:rPr>
          <w:rFonts w:ascii="Century Gothic" w:hAnsi="Century Gothic"/>
          <w:b/>
          <w:lang w:val="es-MX"/>
        </w:rPr>
        <w:t xml:space="preserve">PRIMERO. </w:t>
      </w:r>
      <w:r w:rsidR="0091124E" w:rsidRPr="0091124E">
        <w:rPr>
          <w:rFonts w:ascii="Century Gothic" w:hAnsi="Century Gothic"/>
          <w:lang w:val="es-MX"/>
        </w:rPr>
        <w:t>El Pleno del Supremo Tribunal de Justicia del Estado, es competente para conocer del recurso de queja y su trámite fue ajustado a derecho.</w:t>
      </w:r>
      <w:r w:rsidR="0091124E">
        <w:rPr>
          <w:rFonts w:ascii="Century Gothic" w:hAnsi="Century Gothic"/>
          <w:lang w:val="es-MX"/>
        </w:rPr>
        <w:t xml:space="preserve"> </w:t>
      </w:r>
      <w:r w:rsidR="0091124E" w:rsidRPr="0091124E">
        <w:rPr>
          <w:rFonts w:ascii="Century Gothic" w:hAnsi="Century Gothic"/>
          <w:b/>
          <w:lang w:val="es-MX"/>
        </w:rPr>
        <w:t>SEGUNDO</w:t>
      </w:r>
      <w:r w:rsidR="0091124E" w:rsidRPr="0091124E">
        <w:rPr>
          <w:rFonts w:ascii="Century Gothic" w:hAnsi="Century Gothic"/>
          <w:lang w:val="es-MX"/>
        </w:rPr>
        <w:t xml:space="preserve">. Son infundados e inoperantes los agravios esgrimidos dentro del recurso de queja interpuesto por </w:t>
      </w:r>
      <w:r w:rsidR="007A0805" w:rsidRPr="007A0805">
        <w:rPr>
          <w:rFonts w:ascii="Century Gothic" w:hAnsi="Century Gothic"/>
          <w:b/>
          <w:lang w:val="es-MX"/>
        </w:rPr>
        <w:t xml:space="preserve"> ELIMINADO </w:t>
      </w:r>
      <w:r w:rsidR="0091124E" w:rsidRPr="0091124E">
        <w:rPr>
          <w:rFonts w:ascii="Century Gothic" w:hAnsi="Century Gothic"/>
          <w:lang w:val="es-MX"/>
        </w:rPr>
        <w:t>.</w:t>
      </w:r>
      <w:r w:rsidR="0091124E">
        <w:rPr>
          <w:rFonts w:ascii="Century Gothic" w:hAnsi="Century Gothic"/>
          <w:lang w:val="es-MX"/>
        </w:rPr>
        <w:t xml:space="preserve"> </w:t>
      </w:r>
      <w:r w:rsidR="0091124E" w:rsidRPr="0091124E">
        <w:rPr>
          <w:rFonts w:ascii="Century Gothic" w:hAnsi="Century Gothic"/>
          <w:b/>
          <w:lang w:val="es-MX"/>
        </w:rPr>
        <w:t>TERCERO</w:t>
      </w:r>
      <w:r w:rsidR="0091124E" w:rsidRPr="0091124E">
        <w:rPr>
          <w:rFonts w:ascii="Century Gothic" w:hAnsi="Century Gothic"/>
          <w:lang w:val="es-MX"/>
        </w:rPr>
        <w:t xml:space="preserve">. Se CONFIRMA el auto de fecha 08 ocho de mayo de 2026 dos mil veintiséis, pronunciado por el Juez Quinto Familiar con residencia en esta Ciudad; mediante el cual negó la admisión del recurso de apelación interpuesto por el recurrente en queja, dentro del expediente 1658/2015, relativo al Juicio de Controversia Familiar, alimentos, guarda y custodia, promovido por </w:t>
      </w:r>
      <w:r w:rsidR="007A0805" w:rsidRPr="007A0805">
        <w:rPr>
          <w:rFonts w:ascii="Century Gothic" w:hAnsi="Century Gothic"/>
          <w:b/>
          <w:lang w:val="es-MX"/>
        </w:rPr>
        <w:t xml:space="preserve"> ELIMINADO </w:t>
      </w:r>
      <w:r w:rsidR="0091124E" w:rsidRPr="0091124E">
        <w:rPr>
          <w:rFonts w:ascii="Century Gothic" w:hAnsi="Century Gothic"/>
          <w:lang w:val="es-MX"/>
        </w:rPr>
        <w:t>, en contra del aquí quejoso</w:t>
      </w:r>
      <w:r w:rsidR="0091124E">
        <w:rPr>
          <w:rFonts w:ascii="Century Gothic" w:hAnsi="Century Gothic"/>
          <w:lang w:val="es-MX"/>
        </w:rPr>
        <w:t xml:space="preserve"> </w:t>
      </w:r>
      <w:r w:rsidR="0091124E" w:rsidRPr="0091124E">
        <w:rPr>
          <w:rFonts w:ascii="Century Gothic" w:hAnsi="Century Gothic"/>
          <w:b/>
          <w:lang w:val="es-MX"/>
        </w:rPr>
        <w:t>CUARTO</w:t>
      </w:r>
      <w:r w:rsidR="0091124E" w:rsidRPr="0091124E">
        <w:rPr>
          <w:rFonts w:ascii="Century Gothic" w:hAnsi="Century Gothic"/>
          <w:lang w:val="es-MX"/>
        </w:rPr>
        <w:t>. Envíese copia certificada de la presente resolución a la Juez Quinto Familiar del Primer Distrito Judicial del Estado, con residencia en esta Ciudad, para su conocimiento y efectos legales conducentes.</w:t>
      </w:r>
      <w:r w:rsidR="0091124E">
        <w:rPr>
          <w:rFonts w:ascii="Century Gothic" w:hAnsi="Century Gothic"/>
          <w:lang w:val="es-MX"/>
        </w:rPr>
        <w:t xml:space="preserve"> </w:t>
      </w:r>
      <w:r w:rsidR="0091124E" w:rsidRPr="0091124E">
        <w:rPr>
          <w:rFonts w:ascii="Century Gothic" w:hAnsi="Century Gothic"/>
          <w:b/>
          <w:lang w:val="es-MX"/>
        </w:rPr>
        <w:t>QUINTO</w:t>
      </w:r>
      <w:r w:rsidR="0091124E" w:rsidRPr="0091124E">
        <w:rPr>
          <w:rFonts w:ascii="Century Gothic" w:hAnsi="Century Gothic"/>
          <w:lang w:val="es-MX"/>
        </w:rPr>
        <w:t>. Al no existir inconformidad de las partes litigantes, respecto a que sus datos personales se incluyan en la publicación del fallo, al efectuarse la misma inclúyanse tales datos, con la protección oficiosa que corresponda.</w:t>
      </w:r>
      <w:r w:rsidR="0091124E">
        <w:rPr>
          <w:rFonts w:ascii="Century Gothic" w:hAnsi="Century Gothic"/>
          <w:lang w:val="es-MX"/>
        </w:rPr>
        <w:t xml:space="preserve"> </w:t>
      </w:r>
      <w:r w:rsidR="0091124E" w:rsidRPr="0091124E">
        <w:rPr>
          <w:rFonts w:ascii="Century Gothic" w:hAnsi="Century Gothic"/>
          <w:b/>
          <w:lang w:val="es-MX"/>
        </w:rPr>
        <w:t>SEXTO</w:t>
      </w:r>
      <w:r w:rsidR="0091124E" w:rsidRPr="0091124E">
        <w:rPr>
          <w:rFonts w:ascii="Century Gothic" w:hAnsi="Century Gothic"/>
          <w:lang w:val="es-MX"/>
        </w:rPr>
        <w:t>. Notifíquese personalmente, comuníquese y cúmplase</w:t>
      </w:r>
      <w:r w:rsidR="0091124E" w:rsidRPr="0091124E">
        <w:rPr>
          <w:rFonts w:ascii="Century Gothic" w:hAnsi="Century Gothic"/>
          <w:b/>
          <w:lang w:val="es-MX"/>
        </w:rPr>
        <w:t>.</w:t>
      </w:r>
      <w:r w:rsidR="0051777A" w:rsidRPr="001B62E0">
        <w:rPr>
          <w:rFonts w:ascii="Century Gothic" w:hAnsi="Century Gothic"/>
          <w:lang w:val="es-MX"/>
        </w:rPr>
        <w:t>”.</w:t>
      </w:r>
      <w:r w:rsidR="00CA1590">
        <w:rPr>
          <w:rFonts w:ascii="Century Gothic" w:hAnsi="Century Gothic"/>
          <w:lang w:val="es-MX"/>
        </w:rPr>
        <w:t xml:space="preserve"> </w:t>
      </w:r>
      <w:r w:rsidR="00263215" w:rsidRPr="00A077D2">
        <w:rPr>
          <w:rFonts w:ascii="Century Gothic" w:hAnsi="Century Gothic"/>
          <w:bCs/>
        </w:rPr>
        <w:t xml:space="preserve">Al respecto </w:t>
      </w:r>
      <w:r w:rsidR="00263215" w:rsidRPr="0001425D">
        <w:rPr>
          <w:rFonts w:ascii="Century Gothic" w:hAnsi="Century Gothic"/>
          <w:bCs/>
          <w:lang w:val="es-MX"/>
        </w:rPr>
        <w:t xml:space="preserve">la </w:t>
      </w:r>
      <w:r w:rsidR="00263215" w:rsidRPr="0001425D">
        <w:rPr>
          <w:rFonts w:ascii="Century Gothic" w:hAnsi="Century Gothic"/>
          <w:b/>
          <w:bCs/>
        </w:rPr>
        <w:t xml:space="preserve">Magistrada </w:t>
      </w:r>
      <w:r w:rsidR="00263215">
        <w:rPr>
          <w:rFonts w:ascii="Century Gothic" w:hAnsi="Century Gothic"/>
          <w:b/>
          <w:bCs/>
        </w:rPr>
        <w:t xml:space="preserve">Presidenta </w:t>
      </w:r>
      <w:r w:rsidR="00263215" w:rsidRPr="0001425D">
        <w:rPr>
          <w:rFonts w:ascii="Century Gothic" w:hAnsi="Century Gothic"/>
          <w:b/>
          <w:bCs/>
        </w:rPr>
        <w:t>Lourdes Anahí Zarazúa Martínez</w:t>
      </w:r>
      <w:r w:rsidR="00263215" w:rsidRPr="00A077D2">
        <w:rPr>
          <w:rFonts w:ascii="Century Gothic" w:hAnsi="Century Gothic"/>
          <w:bCs/>
        </w:rPr>
        <w:t>, manifiesta:</w:t>
      </w:r>
      <w:r w:rsidR="00263215">
        <w:rPr>
          <w:rFonts w:ascii="Century Gothic" w:hAnsi="Century Gothic"/>
          <w:bCs/>
        </w:rPr>
        <w:t xml:space="preserve"> </w:t>
      </w:r>
      <w:r w:rsidR="00723EC3">
        <w:rPr>
          <w:rFonts w:ascii="Century Gothic" w:hAnsi="Century Gothic"/>
          <w:bCs/>
        </w:rPr>
        <w:t>“</w:t>
      </w:r>
      <w:r w:rsidR="00D936E6">
        <w:rPr>
          <w:rFonts w:ascii="Century Gothic" w:hAnsi="Century Gothic"/>
          <w:bCs/>
          <w:lang w:val="es-MX"/>
        </w:rPr>
        <w:t>S</w:t>
      </w:r>
      <w:r w:rsidR="00D936E6" w:rsidRPr="00D936E6">
        <w:rPr>
          <w:rFonts w:ascii="Century Gothic" w:hAnsi="Century Gothic"/>
          <w:bCs/>
          <w:lang w:val="es-MX"/>
        </w:rPr>
        <w:t>e encuentra su considerac</w:t>
      </w:r>
      <w:r w:rsidR="00D936E6">
        <w:rPr>
          <w:rFonts w:ascii="Century Gothic" w:hAnsi="Century Gothic"/>
          <w:bCs/>
          <w:lang w:val="es-MX"/>
        </w:rPr>
        <w:t>ión la ponencia que presenta la M</w:t>
      </w:r>
      <w:r w:rsidR="00D936E6" w:rsidRPr="00D936E6">
        <w:rPr>
          <w:rFonts w:ascii="Century Gothic" w:hAnsi="Century Gothic"/>
          <w:bCs/>
          <w:lang w:val="es-MX"/>
        </w:rPr>
        <w:t xml:space="preserve">agistrada </w:t>
      </w:r>
      <w:r w:rsidR="00F77665">
        <w:rPr>
          <w:rFonts w:ascii="Century Gothic" w:hAnsi="Century Gothic"/>
          <w:bCs/>
          <w:lang w:val="es-MX"/>
        </w:rPr>
        <w:t>Lizet Paola Morales Monter</w:t>
      </w:r>
      <w:r w:rsidR="00D936E6" w:rsidRPr="00D936E6">
        <w:rPr>
          <w:rFonts w:ascii="Century Gothic" w:hAnsi="Century Gothic"/>
          <w:bCs/>
          <w:lang w:val="es-MX"/>
        </w:rPr>
        <w:t xml:space="preserve"> en el toca </w:t>
      </w:r>
      <w:r w:rsidR="00F77665">
        <w:rPr>
          <w:rFonts w:ascii="Century Gothic" w:hAnsi="Century Gothic"/>
          <w:bCs/>
          <w:lang w:val="es-MX"/>
        </w:rPr>
        <w:t>9</w:t>
      </w:r>
      <w:r w:rsidR="004C2C7F">
        <w:rPr>
          <w:rFonts w:ascii="Century Gothic" w:hAnsi="Century Gothic"/>
          <w:bCs/>
          <w:lang w:val="es-MX"/>
        </w:rPr>
        <w:t>7</w:t>
      </w:r>
      <w:r w:rsidR="00D936E6">
        <w:rPr>
          <w:rFonts w:ascii="Century Gothic" w:hAnsi="Century Gothic"/>
          <w:bCs/>
          <w:lang w:val="es-MX"/>
        </w:rPr>
        <w:t>/</w:t>
      </w:r>
      <w:r w:rsidR="00D936E6" w:rsidRPr="00D936E6">
        <w:rPr>
          <w:rFonts w:ascii="Century Gothic" w:hAnsi="Century Gothic"/>
          <w:bCs/>
          <w:lang w:val="es-MX"/>
        </w:rPr>
        <w:t>2026</w:t>
      </w:r>
      <w:r w:rsidR="00D936E6">
        <w:rPr>
          <w:rFonts w:ascii="Century Gothic" w:hAnsi="Century Gothic"/>
          <w:bCs/>
          <w:lang w:val="es-MX"/>
        </w:rPr>
        <w:t>,</w:t>
      </w:r>
      <w:r w:rsidR="00D936E6" w:rsidRPr="00D936E6">
        <w:rPr>
          <w:rFonts w:ascii="Century Gothic" w:hAnsi="Century Gothic"/>
          <w:bCs/>
          <w:lang w:val="es-MX"/>
        </w:rPr>
        <w:t xml:space="preserve"> </w:t>
      </w:r>
      <w:r w:rsidR="00F77665" w:rsidRPr="00F77665">
        <w:rPr>
          <w:rFonts w:ascii="Century Gothic" w:hAnsi="Century Gothic"/>
          <w:bCs/>
          <w:lang w:val="es-MX"/>
        </w:rPr>
        <w:t>¿Alguna</w:t>
      </w:r>
      <w:r w:rsidR="00F77665">
        <w:rPr>
          <w:rFonts w:ascii="Century Gothic" w:hAnsi="Century Gothic"/>
          <w:bCs/>
          <w:lang w:val="es-MX"/>
        </w:rPr>
        <w:t xml:space="preserve"> intervención? Sí, Magistrada, por favor”. “Gracias, Magistrada P</w:t>
      </w:r>
      <w:r w:rsidR="00F77665" w:rsidRPr="00F77665">
        <w:rPr>
          <w:rFonts w:ascii="Century Gothic" w:hAnsi="Century Gothic"/>
          <w:bCs/>
          <w:lang w:val="es-MX"/>
        </w:rPr>
        <w:t xml:space="preserve">residenta, </w:t>
      </w:r>
      <w:r w:rsidR="004C2C7F" w:rsidRPr="004C2C7F">
        <w:rPr>
          <w:rFonts w:ascii="Century Gothic" w:hAnsi="Century Gothic"/>
          <w:bCs/>
          <w:lang w:val="es-MX"/>
        </w:rPr>
        <w:t>y co</w:t>
      </w:r>
      <w:r w:rsidR="004C2C7F">
        <w:rPr>
          <w:rFonts w:ascii="Century Gothic" w:hAnsi="Century Gothic"/>
          <w:bCs/>
          <w:lang w:val="es-MX"/>
        </w:rPr>
        <w:t xml:space="preserve">n el permiso de mis </w:t>
      </w:r>
      <w:r w:rsidR="004C2C7F">
        <w:rPr>
          <w:rFonts w:ascii="Century Gothic" w:hAnsi="Century Gothic"/>
          <w:bCs/>
          <w:lang w:val="es-MX"/>
        </w:rPr>
        <w:lastRenderedPageBreak/>
        <w:t>compañeros M</w:t>
      </w:r>
      <w:r w:rsidR="004C2C7F" w:rsidRPr="004C2C7F">
        <w:rPr>
          <w:rFonts w:ascii="Century Gothic" w:hAnsi="Century Gothic"/>
          <w:bCs/>
          <w:lang w:val="es-MX"/>
        </w:rPr>
        <w:t>agistrados, me gustaría explicar el asunto que se pone a su consideración en los siguientes términ</w:t>
      </w:r>
      <w:r w:rsidR="004C2C7F">
        <w:rPr>
          <w:rFonts w:ascii="Century Gothic" w:hAnsi="Century Gothic"/>
          <w:bCs/>
          <w:lang w:val="es-MX"/>
        </w:rPr>
        <w:t xml:space="preserve">os”, expone la </w:t>
      </w:r>
      <w:r w:rsidR="004C2C7F">
        <w:rPr>
          <w:rFonts w:ascii="Century Gothic" w:hAnsi="Century Gothic"/>
          <w:b/>
          <w:bCs/>
          <w:lang w:val="es-MX"/>
        </w:rPr>
        <w:t>Magistrada Lizet Paola Morales Monter,</w:t>
      </w:r>
      <w:r w:rsidR="004C2C7F">
        <w:rPr>
          <w:b/>
        </w:rPr>
        <w:t xml:space="preserve"> </w:t>
      </w:r>
      <w:r w:rsidR="004C2C7F">
        <w:t>“</w:t>
      </w:r>
      <w:r w:rsidR="004C2C7F" w:rsidRPr="004C2C7F">
        <w:rPr>
          <w:rFonts w:ascii="Century Gothic" w:hAnsi="Century Gothic"/>
          <w:bCs/>
          <w:lang w:val="es-MX"/>
        </w:rPr>
        <w:t>El recurso de queja fue interpuesto por el demandado dentro de una controversia familiar, donde el juez familiar negó la admisión de un recurso de apelación, lo cual hace procedente el recurso de queja.</w:t>
      </w:r>
      <w:r w:rsidR="004C2C7F">
        <w:rPr>
          <w:rFonts w:ascii="Century Gothic" w:hAnsi="Century Gothic"/>
          <w:bCs/>
          <w:lang w:val="es-MX"/>
        </w:rPr>
        <w:t xml:space="preserve"> </w:t>
      </w:r>
      <w:r w:rsidR="004C2C7F" w:rsidRPr="004C2C7F">
        <w:rPr>
          <w:rFonts w:ascii="Century Gothic" w:hAnsi="Century Gothic"/>
          <w:bCs/>
          <w:lang w:val="es-MX"/>
        </w:rPr>
        <w:t>Como antecedente, el procedimiento de donde deriva el auto impugnado corresponde, como ya lo dije, a una controversia familiar de alimentos, guarda y custodia. En dicha controversia, se admitió a trámite un incidente de incumplimiento de convenio judicial y liquidación de</w:t>
      </w:r>
      <w:r w:rsidR="000D3E98">
        <w:rPr>
          <w:rFonts w:ascii="Century Gothic" w:hAnsi="Century Gothic"/>
          <w:bCs/>
          <w:lang w:val="es-MX"/>
        </w:rPr>
        <w:t xml:space="preserve"> pensión alimenticia vencida, y </w:t>
      </w:r>
      <w:r w:rsidR="004C2C7F" w:rsidRPr="004C2C7F">
        <w:rPr>
          <w:rFonts w:ascii="Century Gothic" w:hAnsi="Century Gothic"/>
          <w:bCs/>
          <w:lang w:val="es-MX"/>
        </w:rPr>
        <w:t xml:space="preserve">no pagada, que fue promovido por la actora. Posteriormente, en auto </w:t>
      </w:r>
      <w:r w:rsidR="004C2C7F">
        <w:rPr>
          <w:rFonts w:ascii="Century Gothic" w:hAnsi="Century Gothic"/>
          <w:bCs/>
          <w:lang w:val="es-MX"/>
        </w:rPr>
        <w:t>diecisiete</w:t>
      </w:r>
      <w:r w:rsidR="004C2C7F" w:rsidRPr="004C2C7F">
        <w:rPr>
          <w:rFonts w:ascii="Century Gothic" w:hAnsi="Century Gothic"/>
          <w:bCs/>
          <w:lang w:val="es-MX"/>
        </w:rPr>
        <w:t xml:space="preserve"> de marzo del </w:t>
      </w:r>
      <w:r w:rsidR="004C2C7F">
        <w:rPr>
          <w:rFonts w:ascii="Century Gothic" w:hAnsi="Century Gothic"/>
          <w:bCs/>
          <w:lang w:val="es-MX"/>
        </w:rPr>
        <w:t>dos mil veintiséis</w:t>
      </w:r>
      <w:r w:rsidR="004C2C7F" w:rsidRPr="004C2C7F">
        <w:rPr>
          <w:rFonts w:ascii="Century Gothic" w:hAnsi="Century Gothic"/>
          <w:bCs/>
          <w:lang w:val="es-MX"/>
        </w:rPr>
        <w:t>, en ese expediente, se tuvo al demandado, ahora recurrente en queja, recibido dos escritos.</w:t>
      </w:r>
      <w:r w:rsidR="004C2C7F">
        <w:rPr>
          <w:rFonts w:ascii="Century Gothic" w:hAnsi="Century Gothic"/>
          <w:bCs/>
          <w:lang w:val="es-MX"/>
        </w:rPr>
        <w:t xml:space="preserve"> </w:t>
      </w:r>
      <w:r w:rsidR="004C2C7F" w:rsidRPr="004C2C7F">
        <w:rPr>
          <w:rFonts w:ascii="Century Gothic" w:hAnsi="Century Gothic"/>
          <w:bCs/>
          <w:lang w:val="es-MX"/>
        </w:rPr>
        <w:t xml:space="preserve">El primero, fechado el </w:t>
      </w:r>
      <w:r w:rsidR="004C2C7F">
        <w:rPr>
          <w:rFonts w:ascii="Century Gothic" w:hAnsi="Century Gothic"/>
          <w:bCs/>
          <w:lang w:val="es-MX"/>
        </w:rPr>
        <w:t>cuatro</w:t>
      </w:r>
      <w:r w:rsidR="004C2C7F" w:rsidRPr="004C2C7F">
        <w:rPr>
          <w:rFonts w:ascii="Century Gothic" w:hAnsi="Century Gothic"/>
          <w:bCs/>
          <w:lang w:val="es-MX"/>
        </w:rPr>
        <w:t xml:space="preserve"> de marzo, en el que se le tuvo po</w:t>
      </w:r>
      <w:r w:rsidR="00807CF8">
        <w:rPr>
          <w:rFonts w:ascii="Century Gothic" w:hAnsi="Century Gothic"/>
          <w:bCs/>
          <w:lang w:val="es-MX"/>
        </w:rPr>
        <w:t>r contestando en tiempo y forma</w:t>
      </w:r>
      <w:r w:rsidR="004C2C7F" w:rsidRPr="004C2C7F">
        <w:rPr>
          <w:rFonts w:ascii="Century Gothic" w:hAnsi="Century Gothic"/>
          <w:bCs/>
          <w:lang w:val="es-MX"/>
        </w:rPr>
        <w:t xml:space="preserve"> el incidente. Y en el segundo, el </w:t>
      </w:r>
      <w:r w:rsidR="004C2C7F">
        <w:rPr>
          <w:rFonts w:ascii="Century Gothic" w:hAnsi="Century Gothic"/>
          <w:bCs/>
          <w:lang w:val="es-MX"/>
        </w:rPr>
        <w:t>seis</w:t>
      </w:r>
      <w:r w:rsidR="004C2C7F" w:rsidRPr="004C2C7F">
        <w:rPr>
          <w:rFonts w:ascii="Century Gothic" w:hAnsi="Century Gothic"/>
          <w:bCs/>
          <w:lang w:val="es-MX"/>
        </w:rPr>
        <w:t xml:space="preserve"> de marzo, en el que ofrece pruebas respecto a ese incidente. El juez de </w:t>
      </w:r>
      <w:r w:rsidR="000D3E98">
        <w:rPr>
          <w:rFonts w:ascii="Century Gothic" w:hAnsi="Century Gothic"/>
          <w:bCs/>
          <w:lang w:val="es-MX"/>
        </w:rPr>
        <w:t xml:space="preserve">primera instancia determinó no </w:t>
      </w:r>
      <w:r w:rsidR="004C2C7F" w:rsidRPr="004C2C7F">
        <w:rPr>
          <w:rFonts w:ascii="Century Gothic" w:hAnsi="Century Gothic"/>
          <w:bCs/>
          <w:lang w:val="es-MX"/>
        </w:rPr>
        <w:t>tenerlo por ofertando las pruebas de su parte, ya que resultaron ser extemporáneas dentro de la vía incidental de que se trata.</w:t>
      </w:r>
      <w:r w:rsidR="004C2C7F">
        <w:rPr>
          <w:rFonts w:ascii="Century Gothic" w:hAnsi="Century Gothic"/>
          <w:bCs/>
          <w:lang w:val="es-MX"/>
        </w:rPr>
        <w:t xml:space="preserve"> </w:t>
      </w:r>
      <w:r w:rsidR="004C2C7F" w:rsidRPr="004C2C7F">
        <w:rPr>
          <w:rFonts w:ascii="Century Gothic" w:hAnsi="Century Gothic"/>
          <w:bCs/>
          <w:lang w:val="es-MX"/>
        </w:rPr>
        <w:t xml:space="preserve">En contra de ese auto, interpuso recurso de apelación. Posteriormente, mediante auto de </w:t>
      </w:r>
      <w:r w:rsidR="004C2C7F">
        <w:rPr>
          <w:rFonts w:ascii="Century Gothic" w:hAnsi="Century Gothic"/>
          <w:bCs/>
          <w:lang w:val="es-MX"/>
        </w:rPr>
        <w:t>ocho</w:t>
      </w:r>
      <w:r w:rsidR="004C2C7F" w:rsidRPr="004C2C7F">
        <w:rPr>
          <w:rFonts w:ascii="Century Gothic" w:hAnsi="Century Gothic"/>
          <w:bCs/>
          <w:lang w:val="es-MX"/>
        </w:rPr>
        <w:t xml:space="preserve"> de mayo, el juez determinó no admitir el recurso de apelación, en virtud de que consideró notoriamente improcedente dicho recurso. Esos son los antecedentes.</w:t>
      </w:r>
      <w:r w:rsidR="004C2C7F">
        <w:rPr>
          <w:rFonts w:ascii="Century Gothic" w:hAnsi="Century Gothic"/>
          <w:bCs/>
          <w:lang w:val="es-MX"/>
        </w:rPr>
        <w:t xml:space="preserve"> </w:t>
      </w:r>
      <w:r w:rsidR="004C2C7F" w:rsidRPr="004C2C7F">
        <w:rPr>
          <w:rFonts w:ascii="Century Gothic" w:hAnsi="Century Gothic"/>
          <w:bCs/>
          <w:lang w:val="es-MX"/>
        </w:rPr>
        <w:t xml:space="preserve">En cuanto a los agravios, refiere de forma medular que sí contestó su demanda incidental y que le genera un perjuicio que no lo hayan tenido por ofreciendo pruebas, en virtud de que los artículos 778 y 179 del </w:t>
      </w:r>
      <w:r w:rsidR="004C2C7F" w:rsidRPr="004C2C7F">
        <w:rPr>
          <w:rFonts w:ascii="Century Gothic" w:hAnsi="Century Gothic"/>
          <w:bCs/>
          <w:lang w:val="es-MX"/>
        </w:rPr>
        <w:lastRenderedPageBreak/>
        <w:t>Código de Procedimientos Civiles del Estado prevén un momento para el ofrecimi</w:t>
      </w:r>
      <w:r w:rsidR="00807CF8">
        <w:rPr>
          <w:rFonts w:ascii="Century Gothic" w:hAnsi="Century Gothic"/>
          <w:bCs/>
          <w:lang w:val="es-MX"/>
        </w:rPr>
        <w:t>ento probatorio. Por lo cual,</w:t>
      </w:r>
      <w:r w:rsidR="004C2C7F" w:rsidRPr="004C2C7F">
        <w:rPr>
          <w:rFonts w:ascii="Century Gothic" w:hAnsi="Century Gothic"/>
          <w:bCs/>
          <w:lang w:val="es-MX"/>
        </w:rPr>
        <w:t xml:space="preserve"> hace diversos argumentos relativos a que fueron ofrecidas en tiempo y que, por lo tanto, sí procedía el recurso de apelación. En respuesta a dichos agravios, el núcleo de la controversia consistió en determinar si el recurso de apelación que prevé el artículo 290 de la Ley Adjetiva Civil del Estado resulta procedente en contra de ese desechamiento de pruebas.</w:t>
      </w:r>
      <w:r w:rsidR="004C2C7F">
        <w:rPr>
          <w:rFonts w:ascii="Century Gothic" w:hAnsi="Century Gothic"/>
          <w:bCs/>
          <w:lang w:val="es-MX"/>
        </w:rPr>
        <w:t xml:space="preserve"> </w:t>
      </w:r>
      <w:r w:rsidR="004C2C7F" w:rsidRPr="004C2C7F">
        <w:rPr>
          <w:rFonts w:ascii="Century Gothic" w:hAnsi="Century Gothic"/>
          <w:bCs/>
          <w:lang w:val="es-MX"/>
        </w:rPr>
        <w:t>En primer lugar, el artículo 290 prevé que el auto que niegue una prueba de las ofrecidas oportunamente proceda el recurso de apelación en efecto devolutivo. El que la concede no te</w:t>
      </w:r>
      <w:r w:rsidR="00807CF8">
        <w:rPr>
          <w:rFonts w:ascii="Century Gothic" w:hAnsi="Century Gothic"/>
          <w:bCs/>
          <w:lang w:val="es-MX"/>
        </w:rPr>
        <w:t>ndrá</w:t>
      </w:r>
      <w:r w:rsidR="004C2C7F" w:rsidRPr="004C2C7F">
        <w:rPr>
          <w:rFonts w:ascii="Century Gothic" w:hAnsi="Century Gothic"/>
          <w:bCs/>
          <w:lang w:val="es-MX"/>
        </w:rPr>
        <w:t xml:space="preserve"> recurso alguno. En el caso, considero que el recurrente está invocando artículos o procedimientos que son de un juicio ordinario y no de un juici</w:t>
      </w:r>
      <w:r w:rsidR="00807CF8">
        <w:rPr>
          <w:rFonts w:ascii="Century Gothic" w:hAnsi="Century Gothic"/>
          <w:bCs/>
          <w:lang w:val="es-MX"/>
        </w:rPr>
        <w:t>o en controversia, como lo prevé</w:t>
      </w:r>
      <w:r w:rsidR="004C2C7F" w:rsidRPr="004C2C7F">
        <w:rPr>
          <w:rFonts w:ascii="Century Gothic" w:hAnsi="Century Gothic"/>
          <w:bCs/>
          <w:lang w:val="es-MX"/>
        </w:rPr>
        <w:t xml:space="preserve"> el artículo 1152 del Código de Procedimientos Civiles del Estado, el cual sí prevé que debe de rendir sus pruebas en su escrito inicial o en el escrito donde contesta, por lo cual sí resultan extemporáneas y esto hace improcedente el recurso de apelación que pretendía, por lo </w:t>
      </w:r>
      <w:r w:rsidR="00807CF8">
        <w:rPr>
          <w:rFonts w:ascii="Century Gothic" w:hAnsi="Century Gothic"/>
          <w:bCs/>
          <w:lang w:val="es-MX"/>
        </w:rPr>
        <w:t xml:space="preserve">que </w:t>
      </w:r>
      <w:r w:rsidR="004C2C7F" w:rsidRPr="004C2C7F">
        <w:rPr>
          <w:rFonts w:ascii="Century Gothic" w:hAnsi="Century Gothic"/>
          <w:bCs/>
          <w:lang w:val="es-MX"/>
        </w:rPr>
        <w:t>se propone confirmar el auto del juez de primera instancia donde desecha el recurso de apelación interpuesto por el aquí recurrente.</w:t>
      </w:r>
      <w:r w:rsidR="004C2C7F">
        <w:rPr>
          <w:rFonts w:ascii="Century Gothic" w:hAnsi="Century Gothic"/>
          <w:bCs/>
          <w:lang w:val="es-MX"/>
        </w:rPr>
        <w:t xml:space="preserve"> E</w:t>
      </w:r>
      <w:r w:rsidR="004C2C7F" w:rsidRPr="004C2C7F">
        <w:rPr>
          <w:rFonts w:ascii="Century Gothic" w:hAnsi="Century Gothic"/>
          <w:bCs/>
          <w:lang w:val="es-MX"/>
        </w:rPr>
        <w:t>s cu</w:t>
      </w:r>
      <w:r w:rsidR="004C2C7F">
        <w:rPr>
          <w:rFonts w:ascii="Century Gothic" w:hAnsi="Century Gothic"/>
          <w:bCs/>
          <w:lang w:val="es-MX"/>
        </w:rPr>
        <w:t>anto”. “</w:t>
      </w:r>
      <w:r w:rsidR="00807CF8">
        <w:rPr>
          <w:rFonts w:ascii="Century Gothic" w:hAnsi="Century Gothic"/>
          <w:bCs/>
          <w:lang w:val="es-MX"/>
        </w:rPr>
        <w:t>Muchas gracias, M</w:t>
      </w:r>
      <w:r w:rsidR="004C2C7F" w:rsidRPr="004C2C7F">
        <w:rPr>
          <w:rFonts w:ascii="Century Gothic" w:hAnsi="Century Gothic"/>
          <w:bCs/>
          <w:lang w:val="es-MX"/>
        </w:rPr>
        <w:t>agistrada. ¿Alguna otra intervención? Ent</w:t>
      </w:r>
      <w:r w:rsidR="004C2C7F">
        <w:rPr>
          <w:rFonts w:ascii="Century Gothic" w:hAnsi="Century Gothic"/>
          <w:bCs/>
          <w:lang w:val="es-MX"/>
        </w:rPr>
        <w:t>onces, procedemos a su votación, q</w:t>
      </w:r>
      <w:r w:rsidR="004C2C7F" w:rsidRPr="004C2C7F">
        <w:rPr>
          <w:rFonts w:ascii="Century Gothic" w:hAnsi="Century Gothic"/>
          <w:bCs/>
          <w:lang w:val="es-MX"/>
        </w:rPr>
        <w:t xml:space="preserve">uienes estén a favor </w:t>
      </w:r>
      <w:r w:rsidR="004C2C7F">
        <w:rPr>
          <w:rFonts w:ascii="Century Gothic" w:hAnsi="Century Gothic"/>
          <w:bCs/>
          <w:lang w:val="es-MX"/>
        </w:rPr>
        <w:t>de la ponencia que presenta la M</w:t>
      </w:r>
      <w:r w:rsidR="004C2C7F" w:rsidRPr="004C2C7F">
        <w:rPr>
          <w:rFonts w:ascii="Century Gothic" w:hAnsi="Century Gothic"/>
          <w:bCs/>
          <w:lang w:val="es-MX"/>
        </w:rPr>
        <w:t xml:space="preserve">agistrada Morales Monter, en el </w:t>
      </w:r>
      <w:r w:rsidR="004C2C7F">
        <w:rPr>
          <w:rFonts w:ascii="Century Gothic" w:hAnsi="Century Gothic"/>
          <w:bCs/>
          <w:lang w:val="es-MX"/>
        </w:rPr>
        <w:t>toca</w:t>
      </w:r>
      <w:r w:rsidR="00807CF8">
        <w:rPr>
          <w:rFonts w:ascii="Century Gothic" w:hAnsi="Century Gothic"/>
          <w:bCs/>
          <w:lang w:val="es-MX"/>
        </w:rPr>
        <w:t xml:space="preserve"> ya referido, sírvanse</w:t>
      </w:r>
      <w:r w:rsidR="004C2C7F" w:rsidRPr="004C2C7F">
        <w:rPr>
          <w:rFonts w:ascii="Century Gothic" w:hAnsi="Century Gothic"/>
          <w:bCs/>
          <w:lang w:val="es-MX"/>
        </w:rPr>
        <w:t xml:space="preserve"> levantar la mano en la forma acostumbrada. </w:t>
      </w:r>
      <w:r w:rsidR="00723EC3">
        <w:rPr>
          <w:rFonts w:ascii="Century Gothic" w:hAnsi="Century Gothic"/>
          <w:bCs/>
          <w:lang w:val="es-MX"/>
        </w:rPr>
        <w:t xml:space="preserve">Secretaria General, </w:t>
      </w:r>
      <w:r w:rsidR="00723EC3" w:rsidRPr="00F35D70">
        <w:rPr>
          <w:rFonts w:ascii="Century Gothic" w:hAnsi="Century Gothic"/>
          <w:bCs/>
          <w:lang w:val="es-MX"/>
        </w:rPr>
        <w:t xml:space="preserve">me </w:t>
      </w:r>
      <w:r w:rsidR="00C74D7B">
        <w:rPr>
          <w:rFonts w:ascii="Century Gothic" w:hAnsi="Century Gothic"/>
          <w:bCs/>
          <w:lang w:val="es-MX"/>
        </w:rPr>
        <w:t>podría</w:t>
      </w:r>
      <w:r w:rsidR="00723EC3" w:rsidRPr="00F35D70">
        <w:rPr>
          <w:rFonts w:ascii="Century Gothic" w:hAnsi="Century Gothic"/>
          <w:bCs/>
          <w:lang w:val="es-MX"/>
        </w:rPr>
        <w:t xml:space="preserve"> indi</w:t>
      </w:r>
      <w:r w:rsidR="00723EC3">
        <w:rPr>
          <w:rFonts w:ascii="Century Gothic" w:hAnsi="Century Gothic"/>
          <w:bCs/>
          <w:lang w:val="es-MX"/>
        </w:rPr>
        <w:t xml:space="preserve">car el resultado de la votación”, </w:t>
      </w:r>
      <w:r w:rsidR="00723EC3">
        <w:rPr>
          <w:rFonts w:ascii="Century Gothic" w:hAnsi="Century Gothic"/>
          <w:lang w:val="es-MX"/>
        </w:rPr>
        <w:t xml:space="preserve">requiere 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0D3E98">
        <w:rPr>
          <w:rFonts w:ascii="Century Gothic" w:hAnsi="Century Gothic"/>
          <w:b/>
          <w:bCs/>
          <w:color w:val="000000"/>
        </w:rPr>
        <w:t>.</w:t>
      </w:r>
      <w:r w:rsidR="00723EC3">
        <w:rPr>
          <w:rFonts w:ascii="Century Gothic" w:hAnsi="Century Gothic"/>
          <w:lang w:val="es-MX"/>
        </w:rPr>
        <w:t xml:space="preserve"> </w:t>
      </w:r>
      <w:r w:rsidR="00723EC3">
        <w:rPr>
          <w:rFonts w:ascii="Century Gothic" w:hAnsi="Century Gothic"/>
          <w:bCs/>
          <w:lang w:val="es-MX"/>
        </w:rPr>
        <w:t>“</w:t>
      </w:r>
      <w:r w:rsidR="00D936E6">
        <w:rPr>
          <w:rFonts w:ascii="Century Gothic" w:hAnsi="Century Gothic"/>
          <w:bCs/>
          <w:lang w:val="es-MX"/>
        </w:rPr>
        <w:t>Quince</w:t>
      </w:r>
      <w:r w:rsidR="00723EC3">
        <w:rPr>
          <w:rFonts w:ascii="Century Gothic" w:hAnsi="Century Gothic"/>
          <w:bCs/>
          <w:lang w:val="es-MX"/>
        </w:rPr>
        <w:t xml:space="preserve"> </w:t>
      </w:r>
      <w:r w:rsidR="00723EC3">
        <w:rPr>
          <w:rFonts w:ascii="Century Gothic" w:hAnsi="Century Gothic"/>
          <w:bCs/>
          <w:lang w:val="es-MX"/>
        </w:rPr>
        <w:lastRenderedPageBreak/>
        <w:t>votos a favor</w:t>
      </w:r>
      <w:r w:rsidR="00723EC3">
        <w:rPr>
          <w:rFonts w:ascii="Century Gothic" w:hAnsi="Century Gothic"/>
        </w:rPr>
        <w:t xml:space="preserve">”, dice la </w:t>
      </w:r>
      <w:r w:rsidR="00723EC3">
        <w:rPr>
          <w:rFonts w:ascii="Century Gothic" w:hAnsi="Century Gothic"/>
          <w:b/>
        </w:rPr>
        <w:t>licenciada Graciela Treviño Rodríguez</w:t>
      </w:r>
      <w:r w:rsidR="00723EC3" w:rsidRPr="00B21D02">
        <w:rPr>
          <w:rFonts w:ascii="Calibri" w:eastAsia="Calibri" w:hAnsi="Calibri" w:cs="Calibri"/>
        </w:rPr>
        <w:t xml:space="preserve"> </w:t>
      </w:r>
      <w:r w:rsidR="00723EC3">
        <w:rPr>
          <w:rFonts w:ascii="Calibri" w:eastAsia="Calibri" w:hAnsi="Calibri" w:cs="Calibri"/>
        </w:rPr>
        <w:t>“</w:t>
      </w:r>
      <w:r w:rsidR="00723EC3" w:rsidRPr="00723EC3">
        <w:rPr>
          <w:rFonts w:ascii="Century Gothic" w:hAnsi="Century Gothic"/>
          <w:lang w:val="es-MX"/>
        </w:rPr>
        <w:t>Aprobado por unan</w:t>
      </w:r>
      <w:r w:rsidR="00723EC3">
        <w:rPr>
          <w:rFonts w:ascii="Century Gothic" w:hAnsi="Century Gothic"/>
          <w:lang w:val="es-MX"/>
        </w:rPr>
        <w:t xml:space="preserve">imidad de votos”, </w:t>
      </w:r>
      <w:r w:rsidR="00723EC3" w:rsidRPr="00F30496">
        <w:rPr>
          <w:rFonts w:ascii="Century Gothic" w:hAnsi="Century Gothic"/>
        </w:rPr>
        <w:t xml:space="preserve">declara </w:t>
      </w:r>
      <w:r w:rsidR="00723EC3" w:rsidRPr="00F30496">
        <w:rPr>
          <w:rFonts w:ascii="Century Gothic" w:hAnsi="Century Gothic"/>
          <w:bCs/>
          <w:lang w:val="es-MX"/>
        </w:rPr>
        <w:t xml:space="preserve">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sidRPr="00F30496">
        <w:rPr>
          <w:rFonts w:ascii="Century Gothic" w:hAnsi="Century Gothic"/>
        </w:rPr>
        <w:t xml:space="preserve">. </w:t>
      </w:r>
      <w:r w:rsidR="00723EC3" w:rsidRPr="00485B03">
        <w:rPr>
          <w:rFonts w:ascii="Century Gothic" w:hAnsi="Century Gothic"/>
          <w:b/>
        </w:rPr>
        <w:t xml:space="preserve">Atento a ello, </w:t>
      </w:r>
      <w:r w:rsidR="00723EC3" w:rsidRPr="00485B03">
        <w:rPr>
          <w:rFonts w:ascii="Century Gothic" w:hAnsi="Century Gothic"/>
          <w:b/>
          <w:bCs/>
        </w:rPr>
        <w:t xml:space="preserve">la ponencia de cuenta es aprobada en sus términos por </w:t>
      </w:r>
      <w:r w:rsidR="00723EC3" w:rsidRPr="00485B03">
        <w:rPr>
          <w:rFonts w:ascii="Century Gothic" w:hAnsi="Century Gothic"/>
          <w:b/>
        </w:rPr>
        <w:t>unanimidad de votos</w:t>
      </w:r>
      <w:r w:rsidR="00723EC3">
        <w:rPr>
          <w:rFonts w:ascii="Century Gothic" w:hAnsi="Century Gothic"/>
          <w:b/>
        </w:rPr>
        <w:t xml:space="preserve">. - - - - - - - - - - - - - - - - - - - - - - </w:t>
      </w:r>
      <w:r w:rsidR="00D936E6">
        <w:rPr>
          <w:rFonts w:ascii="Century Gothic" w:hAnsi="Century Gothic"/>
          <w:b/>
        </w:rPr>
        <w:t xml:space="preserve">- - - - - - - - </w:t>
      </w:r>
    </w:p>
    <w:p w14:paraId="51C9720F" w14:textId="39EECDE9" w:rsidR="00263215" w:rsidRPr="00C74D7B" w:rsidRDefault="00263215" w:rsidP="003F6C30">
      <w:pPr>
        <w:spacing w:line="504" w:lineRule="auto"/>
        <w:jc w:val="both"/>
        <w:rPr>
          <w:rFonts w:ascii="Century Gothic" w:hAnsi="Century Gothic"/>
          <w:bCs/>
          <w:lang w:val="es-MX"/>
        </w:rPr>
      </w:pPr>
      <w:r w:rsidRPr="0097785F">
        <w:rPr>
          <w:rFonts w:ascii="Century Gothic" w:hAnsi="Century Gothic"/>
          <w:b/>
        </w:rPr>
        <w:t>“</w:t>
      </w:r>
      <w:r w:rsidR="0097785F">
        <w:rPr>
          <w:rFonts w:ascii="Century Gothic" w:hAnsi="Century Gothic"/>
          <w:b/>
          <w:bCs/>
          <w:lang w:val="es-MX"/>
        </w:rPr>
        <w:t>B</w:t>
      </w:r>
      <w:r w:rsidR="0097785F" w:rsidRPr="0097785F">
        <w:rPr>
          <w:rFonts w:ascii="Century Gothic" w:hAnsi="Century Gothic"/>
          <w:b/>
          <w:bCs/>
          <w:lang w:val="es-MX"/>
        </w:rPr>
        <w:t xml:space="preserve">) La que propone el Magistrado Jairo Hernández Garibay, para resolver el toca número 102-2026, formado con motivo del Recurso de Queja interpuesto por </w:t>
      </w:r>
      <w:r w:rsidR="007A0805" w:rsidRPr="007A0805">
        <w:rPr>
          <w:rFonts w:ascii="Century Gothic" w:hAnsi="Century Gothic"/>
          <w:b/>
          <w:bCs/>
          <w:lang w:val="es-MX"/>
        </w:rPr>
        <w:t xml:space="preserve"> ELIMINADO </w:t>
      </w:r>
      <w:r w:rsidR="0097785F" w:rsidRPr="0097785F">
        <w:rPr>
          <w:rFonts w:ascii="Century Gothic" w:hAnsi="Century Gothic"/>
          <w:b/>
          <w:bCs/>
          <w:lang w:val="es-MX"/>
        </w:rPr>
        <w:t xml:space="preserve">, en contra del auto de 12 doce de mayo de 2026 dos mil veintiséis, dictado por el Juez Mixto de Primera Instancia de Salinas de Hidalgo, S.L.P., dentro del expediente número 76/2026, relativo al Juicio Ordinario, acción del estado civil, promovido por </w:t>
      </w:r>
      <w:r w:rsidR="007A0805" w:rsidRPr="007A0805">
        <w:rPr>
          <w:rFonts w:ascii="Century Gothic" w:hAnsi="Century Gothic"/>
          <w:b/>
          <w:bCs/>
          <w:lang w:val="es-MX"/>
        </w:rPr>
        <w:t xml:space="preserve"> ELIMINADO </w:t>
      </w:r>
      <w:r w:rsidR="0097785F" w:rsidRPr="0097785F">
        <w:rPr>
          <w:rFonts w:ascii="Century Gothic" w:hAnsi="Century Gothic"/>
          <w:b/>
          <w:bCs/>
          <w:lang w:val="es-MX"/>
        </w:rPr>
        <w:t xml:space="preserve">, en representación de su hija menor de edad de iniciales </w:t>
      </w:r>
      <w:r w:rsidR="007A0805" w:rsidRPr="007A0805">
        <w:rPr>
          <w:rFonts w:ascii="Century Gothic" w:hAnsi="Century Gothic"/>
          <w:b/>
          <w:bCs/>
          <w:lang w:val="es-MX"/>
        </w:rPr>
        <w:t xml:space="preserve"> ELIMINADO </w:t>
      </w:r>
      <w:r w:rsidR="0097785F" w:rsidRPr="0097785F">
        <w:rPr>
          <w:rFonts w:ascii="Century Gothic" w:hAnsi="Century Gothic"/>
          <w:b/>
          <w:bCs/>
          <w:lang w:val="es-MX"/>
        </w:rPr>
        <w:t xml:space="preserve">, en contra de </w:t>
      </w:r>
      <w:r w:rsidR="007A0805" w:rsidRPr="007A0805">
        <w:rPr>
          <w:rFonts w:ascii="Century Gothic" w:hAnsi="Century Gothic"/>
          <w:b/>
          <w:bCs/>
          <w:lang w:val="es-MX"/>
        </w:rPr>
        <w:t xml:space="preserve"> ELIMINADO </w:t>
      </w:r>
      <w:r w:rsidRPr="0097785F">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3F6C30" w:rsidRPr="003F6C30">
        <w:rPr>
          <w:rFonts w:ascii="Century Gothic" w:hAnsi="Century Gothic"/>
          <w:b/>
          <w:lang w:val="es-MX"/>
        </w:rPr>
        <w:t xml:space="preserve">PRIMERO.- </w:t>
      </w:r>
      <w:r w:rsidR="003F6C30" w:rsidRPr="003F6C30">
        <w:rPr>
          <w:rFonts w:ascii="Century Gothic" w:hAnsi="Century Gothic"/>
          <w:lang w:val="es-MX"/>
        </w:rPr>
        <w:t>El Pleno del Supremo Tribunal de Justicia del Estado, resultó competente para conocer del presente recurso de queja, y su trámite fue ajustado a derecho.</w:t>
      </w:r>
      <w:r w:rsidR="003F6C30">
        <w:rPr>
          <w:rFonts w:ascii="Century Gothic" w:hAnsi="Century Gothic"/>
          <w:lang w:val="es-MX"/>
        </w:rPr>
        <w:t xml:space="preserve"> </w:t>
      </w:r>
      <w:r w:rsidR="003F6C30" w:rsidRPr="003F6C30">
        <w:rPr>
          <w:rFonts w:ascii="Century Gothic" w:hAnsi="Century Gothic"/>
          <w:b/>
          <w:lang w:val="es-MX"/>
        </w:rPr>
        <w:t>SEGUNDO</w:t>
      </w:r>
      <w:r w:rsidR="003F6C30" w:rsidRPr="003F6C30">
        <w:rPr>
          <w:rFonts w:ascii="Century Gothic" w:hAnsi="Century Gothic"/>
          <w:lang w:val="es-MX"/>
        </w:rPr>
        <w:t xml:space="preserve">.- Los agravios expresados por la quejosa </w:t>
      </w:r>
      <w:r w:rsidR="007A0805" w:rsidRPr="007A0805">
        <w:rPr>
          <w:rFonts w:ascii="Century Gothic" w:hAnsi="Century Gothic"/>
          <w:b/>
          <w:lang w:val="es-MX"/>
        </w:rPr>
        <w:t xml:space="preserve"> ELIMINADO </w:t>
      </w:r>
      <w:r w:rsidR="003F6C30" w:rsidRPr="003F6C30">
        <w:rPr>
          <w:rFonts w:ascii="Century Gothic" w:hAnsi="Century Gothic"/>
          <w:lang w:val="es-MX"/>
        </w:rPr>
        <w:t xml:space="preserve">, por derecho propio y en representación de su hija menor de edad de iniciales </w:t>
      </w:r>
      <w:r w:rsidR="007A0805" w:rsidRPr="007A0805">
        <w:rPr>
          <w:rFonts w:ascii="Century Gothic" w:hAnsi="Century Gothic"/>
          <w:b/>
          <w:lang w:val="es-MX"/>
        </w:rPr>
        <w:t xml:space="preserve"> ELIMINADO </w:t>
      </w:r>
      <w:r w:rsidR="003F6C30" w:rsidRPr="003F6C30">
        <w:rPr>
          <w:rFonts w:ascii="Century Gothic" w:hAnsi="Century Gothic"/>
          <w:lang w:val="es-MX"/>
        </w:rPr>
        <w:t xml:space="preserve"> fueron fundados.</w:t>
      </w:r>
      <w:r w:rsidR="003F6C30">
        <w:rPr>
          <w:rFonts w:ascii="Century Gothic" w:hAnsi="Century Gothic"/>
          <w:lang w:val="es-MX"/>
        </w:rPr>
        <w:t xml:space="preserve"> </w:t>
      </w:r>
      <w:r w:rsidR="003F6C30" w:rsidRPr="003F6C30">
        <w:rPr>
          <w:rFonts w:ascii="Century Gothic" w:hAnsi="Century Gothic"/>
          <w:b/>
          <w:lang w:val="es-MX"/>
        </w:rPr>
        <w:t>TERCERO</w:t>
      </w:r>
      <w:r w:rsidR="003F6C30" w:rsidRPr="003F6C30">
        <w:rPr>
          <w:rFonts w:ascii="Century Gothic" w:hAnsi="Century Gothic"/>
          <w:lang w:val="es-MX"/>
        </w:rPr>
        <w:t>.- En consecuencia, se ordena al Juez que deje sin efecto el auto recurrido de 12 doce de mayo de 2026 dos mil veintiséis, dictado por el Juez Mixto de Primera Instancia de Salinas de Hidalgo, S.L.P., que negó la admisión de la demanda dentro del expediente 76/2026, relativo al Juicio Ordinario, acción del estado civil, promovido por M</w:t>
      </w:r>
      <w:r w:rsidR="007A0805" w:rsidRPr="007A0805">
        <w:rPr>
          <w:rFonts w:ascii="Century Gothic" w:hAnsi="Century Gothic"/>
          <w:b/>
          <w:lang w:val="es-MX"/>
        </w:rPr>
        <w:t xml:space="preserve"> ELIMINADO </w:t>
      </w:r>
      <w:r w:rsidR="003F6C30" w:rsidRPr="003F6C30">
        <w:rPr>
          <w:rFonts w:ascii="Century Gothic" w:hAnsi="Century Gothic"/>
          <w:lang w:val="es-MX"/>
        </w:rPr>
        <w:t xml:space="preserve">, en representación de su hija menor de edad de iniciales </w:t>
      </w:r>
      <w:r w:rsidR="007A0805" w:rsidRPr="007A0805">
        <w:rPr>
          <w:rFonts w:ascii="Century Gothic" w:hAnsi="Century Gothic"/>
          <w:b/>
          <w:lang w:val="es-MX"/>
        </w:rPr>
        <w:t xml:space="preserve"> </w:t>
      </w:r>
      <w:r w:rsidR="007A0805" w:rsidRPr="007A0805">
        <w:rPr>
          <w:rFonts w:ascii="Century Gothic" w:hAnsi="Century Gothic"/>
          <w:b/>
          <w:lang w:val="es-MX"/>
        </w:rPr>
        <w:lastRenderedPageBreak/>
        <w:t xml:space="preserve">ELIMINADO </w:t>
      </w:r>
      <w:r w:rsidR="003F6C30" w:rsidRPr="003F6C30">
        <w:rPr>
          <w:rFonts w:ascii="Century Gothic" w:hAnsi="Century Gothic"/>
          <w:lang w:val="es-MX"/>
        </w:rPr>
        <w:t xml:space="preserve"> en contra de </w:t>
      </w:r>
      <w:r w:rsidR="007A0805" w:rsidRPr="007A0805">
        <w:rPr>
          <w:rFonts w:ascii="Century Gothic" w:hAnsi="Century Gothic"/>
          <w:b/>
          <w:lang w:val="es-MX"/>
        </w:rPr>
        <w:t xml:space="preserve"> ELIMINADO </w:t>
      </w:r>
      <w:r w:rsidR="003F6C30" w:rsidRPr="003F6C30">
        <w:rPr>
          <w:rFonts w:ascii="Century Gothic" w:hAnsi="Century Gothic"/>
          <w:lang w:val="es-MX"/>
        </w:rPr>
        <w:t xml:space="preserve">, y atendiendo a lo expuesto en esta resolución, dicte un nuevo proveído en el que, de no haber diverso impedimento o razón jurídica al que fue motivo de análisis dentro de la presente queja, admita a trámite la demanda interpuesta por </w:t>
      </w:r>
      <w:r w:rsidR="007A0805" w:rsidRPr="007A0805">
        <w:rPr>
          <w:rFonts w:ascii="Century Gothic" w:hAnsi="Century Gothic"/>
          <w:b/>
          <w:lang w:val="es-MX"/>
        </w:rPr>
        <w:t xml:space="preserve"> ELIMINADO </w:t>
      </w:r>
      <w:r w:rsidR="003F6C30" w:rsidRPr="003F6C30">
        <w:rPr>
          <w:rFonts w:ascii="Century Gothic" w:hAnsi="Century Gothic"/>
          <w:lang w:val="es-MX"/>
        </w:rPr>
        <w:t xml:space="preserve">, por derecho propio y en representación de su hija menor de edad de iniciales </w:t>
      </w:r>
      <w:r w:rsidR="007A0805" w:rsidRPr="007A0805">
        <w:rPr>
          <w:rFonts w:ascii="Century Gothic" w:hAnsi="Century Gothic"/>
          <w:b/>
          <w:lang w:val="es-MX"/>
        </w:rPr>
        <w:t xml:space="preserve"> ELIMINADO </w:t>
      </w:r>
      <w:r w:rsidR="003F6C30" w:rsidRPr="003F6C30">
        <w:rPr>
          <w:rFonts w:ascii="Century Gothic" w:hAnsi="Century Gothic"/>
          <w:b/>
          <w:lang w:val="es-MX"/>
        </w:rPr>
        <w:t>CUARTO</w:t>
      </w:r>
      <w:r w:rsidR="003F6C30" w:rsidRPr="003F6C30">
        <w:rPr>
          <w:rFonts w:ascii="Century Gothic" w:hAnsi="Century Gothic"/>
          <w:lang w:val="es-MX"/>
        </w:rPr>
        <w:t>.- Atendiendo al considerando octavo y al no existir inconformidad de las partes litigantes, la presente sentencia estará a disposición del público para su consulta, cuando así se solicite, incluidos los datos personales de las mismas, conforme al procedimiento de acceso a la información, sin perjuicio de la protección que por mandato constitucional deba hacerse de oficio en relación a los mismos.</w:t>
      </w:r>
      <w:r w:rsidR="003F6C30">
        <w:rPr>
          <w:rFonts w:ascii="Century Gothic" w:hAnsi="Century Gothic"/>
          <w:lang w:val="es-MX"/>
        </w:rPr>
        <w:t xml:space="preserve"> </w:t>
      </w:r>
      <w:r w:rsidR="003F6C30" w:rsidRPr="003F6C30">
        <w:rPr>
          <w:rFonts w:ascii="Century Gothic" w:hAnsi="Century Gothic"/>
          <w:b/>
          <w:lang w:val="es-MX"/>
        </w:rPr>
        <w:t>QUINTO</w:t>
      </w:r>
      <w:r w:rsidR="003F6C30" w:rsidRPr="003F6C30">
        <w:rPr>
          <w:rFonts w:ascii="Century Gothic" w:hAnsi="Century Gothic"/>
          <w:lang w:val="es-MX"/>
        </w:rPr>
        <w:t xml:space="preserve">.- Envíese el expediente juntamente con copia de esta resolución al Juez Mixto de </w:t>
      </w:r>
      <w:r w:rsidR="00807CF8">
        <w:rPr>
          <w:rFonts w:ascii="Century Gothic" w:hAnsi="Century Gothic"/>
          <w:lang w:val="es-MX"/>
        </w:rPr>
        <w:t>Primera Instancia de Salinas de</w:t>
      </w:r>
      <w:r w:rsidR="003F6C30" w:rsidRPr="003F6C30">
        <w:rPr>
          <w:rFonts w:ascii="Century Gothic" w:hAnsi="Century Gothic"/>
          <w:lang w:val="es-MX"/>
        </w:rPr>
        <w:t xml:space="preserve"> Hidalgo, S.L.P., para su conocimiento y efectos legales consiguientes, y en su oportunidad, archívese el Toca como asunto concluido.</w:t>
      </w:r>
      <w:r w:rsidR="003F6C30">
        <w:rPr>
          <w:rFonts w:ascii="Century Gothic" w:hAnsi="Century Gothic"/>
          <w:lang w:val="es-MX"/>
        </w:rPr>
        <w:t xml:space="preserve"> </w:t>
      </w:r>
      <w:r w:rsidR="003F6C30" w:rsidRPr="003F6C30">
        <w:rPr>
          <w:rFonts w:ascii="Century Gothic" w:hAnsi="Century Gothic"/>
          <w:b/>
          <w:lang w:val="es-MX"/>
        </w:rPr>
        <w:t>SEXTO</w:t>
      </w:r>
      <w:r w:rsidR="003F6C30" w:rsidRPr="003F6C30">
        <w:rPr>
          <w:rFonts w:ascii="Century Gothic" w:hAnsi="Century Gothic"/>
          <w:lang w:val="es-MX"/>
        </w:rPr>
        <w:t>.- Notifíquese personalmente a las partes,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4C2C7F" w:rsidRPr="004C2C7F">
        <w:rPr>
          <w:rFonts w:ascii="Century Gothic" w:hAnsi="Century Gothic"/>
          <w:bCs/>
          <w:lang w:val="es-MX"/>
        </w:rPr>
        <w:t>Se encuentra a su consideración la p</w:t>
      </w:r>
      <w:r w:rsidR="004C2C7F">
        <w:rPr>
          <w:rFonts w:ascii="Century Gothic" w:hAnsi="Century Gothic"/>
          <w:bCs/>
          <w:lang w:val="es-MX"/>
        </w:rPr>
        <w:t>onencia que presenta el M</w:t>
      </w:r>
      <w:r w:rsidR="004C2C7F" w:rsidRPr="004C2C7F">
        <w:rPr>
          <w:rFonts w:ascii="Century Gothic" w:hAnsi="Century Gothic"/>
          <w:bCs/>
          <w:lang w:val="es-MX"/>
        </w:rPr>
        <w:t xml:space="preserve">agistrado Jairo Hernández Garibay en el </w:t>
      </w:r>
      <w:r w:rsidR="004C2C7F">
        <w:rPr>
          <w:rFonts w:ascii="Century Gothic" w:hAnsi="Century Gothic"/>
          <w:bCs/>
          <w:lang w:val="es-MX"/>
        </w:rPr>
        <w:t xml:space="preserve">toca </w:t>
      </w:r>
      <w:r w:rsidR="004C2C7F" w:rsidRPr="004C2C7F">
        <w:rPr>
          <w:rFonts w:ascii="Century Gothic" w:hAnsi="Century Gothic"/>
          <w:bCs/>
          <w:lang w:val="es-MX"/>
        </w:rPr>
        <w:t>102</w:t>
      </w:r>
      <w:r w:rsidR="004C2C7F">
        <w:rPr>
          <w:rFonts w:ascii="Century Gothic" w:hAnsi="Century Gothic"/>
          <w:bCs/>
          <w:lang w:val="es-MX"/>
        </w:rPr>
        <w:t>-</w:t>
      </w:r>
      <w:r w:rsidR="004C2C7F" w:rsidRPr="004C2C7F">
        <w:rPr>
          <w:rFonts w:ascii="Century Gothic" w:hAnsi="Century Gothic"/>
          <w:bCs/>
          <w:lang w:val="es-MX"/>
        </w:rPr>
        <w:t>2026.</w:t>
      </w:r>
      <w:r w:rsidR="004C2C7F">
        <w:rPr>
          <w:rFonts w:ascii="Century Gothic" w:hAnsi="Century Gothic"/>
          <w:bCs/>
          <w:lang w:val="es-MX"/>
        </w:rPr>
        <w:t xml:space="preserve"> </w:t>
      </w:r>
      <w:r w:rsidR="00C74D7B">
        <w:rPr>
          <w:rFonts w:ascii="Century Gothic" w:hAnsi="Century Gothic"/>
          <w:bCs/>
          <w:lang w:val="es-MX"/>
        </w:rPr>
        <w:t>¿Alguna intervención? Sí, Magistrado, por favor”. “Gracias, P</w:t>
      </w:r>
      <w:r w:rsidR="00C74D7B" w:rsidRPr="00C74D7B">
        <w:rPr>
          <w:rFonts w:ascii="Century Gothic" w:hAnsi="Century Gothic"/>
          <w:bCs/>
          <w:lang w:val="es-MX"/>
        </w:rPr>
        <w:t xml:space="preserve">residenta, </w:t>
      </w:r>
      <w:r w:rsidR="0087591B">
        <w:rPr>
          <w:rFonts w:ascii="Century Gothic" w:hAnsi="Century Gothic"/>
          <w:bCs/>
          <w:lang w:val="es-MX"/>
        </w:rPr>
        <w:t>con el permiso de este Honorable P</w:t>
      </w:r>
      <w:r w:rsidR="004C2C7F" w:rsidRPr="004C2C7F">
        <w:rPr>
          <w:rFonts w:ascii="Century Gothic" w:hAnsi="Century Gothic"/>
          <w:bCs/>
          <w:lang w:val="es-MX"/>
        </w:rPr>
        <w:t>leno, me permito dar cuenta de</w:t>
      </w:r>
      <w:r w:rsidR="004C2C7F">
        <w:rPr>
          <w:rFonts w:ascii="Century Gothic" w:hAnsi="Century Gothic"/>
          <w:bCs/>
          <w:lang w:val="es-MX"/>
        </w:rPr>
        <w:t>l contenido del presente asunto</w:t>
      </w:r>
      <w:r w:rsidR="00C74D7B">
        <w:rPr>
          <w:rFonts w:ascii="Century Gothic" w:hAnsi="Century Gothic"/>
          <w:bCs/>
          <w:lang w:val="es-MX"/>
        </w:rPr>
        <w:t xml:space="preserve">”, exterioriza el </w:t>
      </w:r>
      <w:r w:rsidR="00C74D7B">
        <w:rPr>
          <w:rFonts w:ascii="Century Gothic" w:hAnsi="Century Gothic"/>
          <w:b/>
          <w:bCs/>
          <w:lang w:val="es-MX"/>
        </w:rPr>
        <w:t xml:space="preserve">Magistrado </w:t>
      </w:r>
      <w:r w:rsidR="004C2C7F">
        <w:rPr>
          <w:rFonts w:ascii="Century Gothic" w:hAnsi="Century Gothic"/>
          <w:b/>
          <w:bCs/>
          <w:lang w:val="es-MX"/>
        </w:rPr>
        <w:t>Jairo Hernández Garibay</w:t>
      </w:r>
      <w:r w:rsidR="00C74D7B">
        <w:rPr>
          <w:rFonts w:ascii="Century Gothic" w:hAnsi="Century Gothic"/>
          <w:b/>
          <w:bCs/>
          <w:lang w:val="es-MX"/>
        </w:rPr>
        <w:t xml:space="preserve">, </w:t>
      </w:r>
      <w:r w:rsidR="00C74D7B">
        <w:rPr>
          <w:rFonts w:ascii="Century Gothic" w:hAnsi="Century Gothic"/>
          <w:bCs/>
          <w:lang w:val="es-MX"/>
        </w:rPr>
        <w:t>“</w:t>
      </w:r>
      <w:r w:rsidR="004C2C7F" w:rsidRPr="004C2C7F">
        <w:rPr>
          <w:rFonts w:ascii="Century Gothic" w:hAnsi="Century Gothic"/>
          <w:bCs/>
          <w:lang w:val="es-MX"/>
        </w:rPr>
        <w:t>Bien, la materia del presente recurso de queja se señala el pro</w:t>
      </w:r>
      <w:r w:rsidR="00807CF8">
        <w:rPr>
          <w:rFonts w:ascii="Century Gothic" w:hAnsi="Century Gothic"/>
          <w:bCs/>
          <w:lang w:val="es-MX"/>
        </w:rPr>
        <w:t xml:space="preserve">veído </w:t>
      </w:r>
      <w:r w:rsidR="004C2C7F" w:rsidRPr="004C2C7F">
        <w:rPr>
          <w:rFonts w:ascii="Century Gothic" w:hAnsi="Century Gothic"/>
          <w:bCs/>
          <w:lang w:val="es-MX"/>
        </w:rPr>
        <w:t xml:space="preserve">dictado por un juez mixto de primera </w:t>
      </w:r>
      <w:r w:rsidR="004C2C7F" w:rsidRPr="004C2C7F">
        <w:rPr>
          <w:rFonts w:ascii="Century Gothic" w:hAnsi="Century Gothic"/>
          <w:bCs/>
          <w:lang w:val="es-MX"/>
        </w:rPr>
        <w:lastRenderedPageBreak/>
        <w:t>instancia dentro de un juicio ordinario civil en el que se ejerció la acción de Estado Civil promovido por una señora en favor de su menor hija y en el que el a</w:t>
      </w:r>
      <w:r w:rsidR="004C2C7F">
        <w:rPr>
          <w:rFonts w:ascii="Century Gothic" w:hAnsi="Century Gothic"/>
          <w:bCs/>
          <w:lang w:val="es-MX"/>
        </w:rPr>
        <w:t xml:space="preserve"> q</w:t>
      </w:r>
      <w:r w:rsidR="004C2C7F" w:rsidRPr="004C2C7F">
        <w:rPr>
          <w:rFonts w:ascii="Century Gothic" w:hAnsi="Century Gothic"/>
          <w:bCs/>
          <w:lang w:val="es-MX"/>
        </w:rPr>
        <w:t>uo desechó de pleno la demanda. En desacuerdo con tal decisión, la parte actora interpone el presente recurso de queja. Bien, previo al análisis de los agravios, me permito señalar o destacar algunos antecedentes que dieron origen al presente asunto.</w:t>
      </w:r>
      <w:r w:rsidR="004C2C7F">
        <w:rPr>
          <w:rFonts w:ascii="Century Gothic" w:hAnsi="Century Gothic"/>
          <w:bCs/>
          <w:lang w:val="es-MX"/>
        </w:rPr>
        <w:t xml:space="preserve">  </w:t>
      </w:r>
      <w:r w:rsidR="004C2C7F" w:rsidRPr="004C2C7F">
        <w:rPr>
          <w:rFonts w:ascii="Century Gothic" w:hAnsi="Century Gothic"/>
          <w:bCs/>
          <w:lang w:val="es-MX"/>
        </w:rPr>
        <w:t>Una señora promueve en favor de su menor hija un juicio ordinario civil por cancelación de apellido paterno respecto de la infante, así como también solicita la modificación del acta de nacimiento relativa, específicamente en el apartado del nombre del progenitor de la niña y de los abuelos paternos o, en su caso, que se borraran los datos del papá. A dicha promoción, el juez de instancia dicta un acuerdo a través del cual requiere la parte actora para que precise en la acción que está pretendiendo ejercer, en virtud de que considera que la denominación de cancelación de apellidos o de supresión o borrar datos no está contemplada en la norma local. La parte actora desahoga dicha prevención y reitera su petición del escrito inicial de demanda.</w:t>
      </w:r>
      <w:r w:rsidR="004C2C7F">
        <w:rPr>
          <w:rFonts w:ascii="Century Gothic" w:hAnsi="Century Gothic"/>
          <w:bCs/>
          <w:lang w:val="es-MX"/>
        </w:rPr>
        <w:t xml:space="preserve"> </w:t>
      </w:r>
      <w:r w:rsidR="004C2C7F" w:rsidRPr="004C2C7F">
        <w:rPr>
          <w:rFonts w:ascii="Century Gothic" w:hAnsi="Century Gothic"/>
          <w:bCs/>
          <w:lang w:val="es-MX"/>
        </w:rPr>
        <w:t xml:space="preserve">A tal promoción recae el acuerdo en materia de esta queja, en el que el juez desecha de plano la demanda inicial. En vía de agravios la parte quejosa refiere esencialmente que la decisión adoptada por el juez natural fue incorrecta porque prejuzgó sobre el fondo del asunto cuando lo correcto era simplemente analizar las formalidades del escrito inicial de demanda, lo que a su decir quedaron satisfechas porque cumplió los requisitos del artículo 253 de la Adjetiva Civil Local. Tales argumentos se consideran esencialmente fundados a la luz de dos </w:t>
      </w:r>
      <w:r w:rsidR="004C2C7F" w:rsidRPr="004C2C7F">
        <w:rPr>
          <w:rFonts w:ascii="Century Gothic" w:hAnsi="Century Gothic"/>
          <w:bCs/>
          <w:lang w:val="es-MX"/>
        </w:rPr>
        <w:lastRenderedPageBreak/>
        <w:t>premisas.</w:t>
      </w:r>
      <w:r w:rsidR="004C2C7F">
        <w:rPr>
          <w:rFonts w:ascii="Century Gothic" w:hAnsi="Century Gothic"/>
          <w:bCs/>
          <w:lang w:val="es-MX"/>
        </w:rPr>
        <w:t xml:space="preserve"> </w:t>
      </w:r>
      <w:r w:rsidR="004C2C7F" w:rsidRPr="004C2C7F">
        <w:rPr>
          <w:rFonts w:ascii="Century Gothic" w:hAnsi="Century Gothic"/>
          <w:bCs/>
          <w:lang w:val="es-MX"/>
        </w:rPr>
        <w:t xml:space="preserve">La primera, porque como bien lo refiere la parte quejosa, efectivamente se cumplieron con los requisitos del artículo 253 del Código de Procedimientos Civiles del Estado, el cual refiere que para que se pueda admitir una demanda tiene que venir dirigida al órgano correspondiente, el nombre y apellido de la parte actora, nombre y apellido de la parte demandada, el domicilio de ambos, los preceptos legales en que se sustenta la demanda y los hechos y las pretensiones que se solicitan, lo que en el caso se insiste es acorde. Por otro lado, se explica que en el presente asunto estando </w:t>
      </w:r>
      <w:r w:rsidR="0087591B">
        <w:rPr>
          <w:rFonts w:ascii="Century Gothic" w:hAnsi="Century Gothic"/>
          <w:bCs/>
          <w:lang w:val="es-MX"/>
        </w:rPr>
        <w:t xml:space="preserve">de por medio </w:t>
      </w:r>
      <w:r w:rsidR="004C2C7F" w:rsidRPr="004C2C7F">
        <w:rPr>
          <w:rFonts w:ascii="Century Gothic" w:hAnsi="Century Gothic"/>
          <w:bCs/>
          <w:lang w:val="es-MX"/>
        </w:rPr>
        <w:t xml:space="preserve">derechos de una infante, derechos de la familia y por tanto para la suplencia, de igual manera se establece que la primera </w:t>
      </w:r>
      <w:r w:rsidR="0087591B">
        <w:rPr>
          <w:rFonts w:ascii="Century Gothic" w:hAnsi="Century Gothic"/>
          <w:bCs/>
          <w:lang w:val="es-MX"/>
        </w:rPr>
        <w:t>S</w:t>
      </w:r>
      <w:r w:rsidR="004C2C7F" w:rsidRPr="004C2C7F">
        <w:rPr>
          <w:rFonts w:ascii="Century Gothic" w:hAnsi="Century Gothic"/>
          <w:bCs/>
          <w:lang w:val="es-MX"/>
        </w:rPr>
        <w:t>ala de la Suprema Corte de Justicia de la Nación, en el a</w:t>
      </w:r>
      <w:r w:rsidR="0087591B">
        <w:rPr>
          <w:rFonts w:ascii="Century Gothic" w:hAnsi="Century Gothic"/>
          <w:bCs/>
          <w:lang w:val="es-MX"/>
        </w:rPr>
        <w:t>mparo directo en revisión 6071/</w:t>
      </w:r>
      <w:r w:rsidR="004C2C7F" w:rsidRPr="004C2C7F">
        <w:rPr>
          <w:rFonts w:ascii="Century Gothic" w:hAnsi="Century Gothic"/>
          <w:bCs/>
          <w:lang w:val="es-MX"/>
        </w:rPr>
        <w:t xml:space="preserve"> 2018, ya estableció que las niñas, niños y adolescentes tienen derecho a la identidad y dentro de este rubro quedan englobados todo lo relativo a las modificaciones del nombre, apellido y filiación en general. También se explica en el proyecto que el artículo 24 del Código de Procedimientos Civiles del Estado contempla en las acciones del Estado civil que tienen por objeto las cuestiones relativas, entre ellas al nacimiento y la filiación, como es en el caso concreto.</w:t>
      </w:r>
      <w:r w:rsidR="004C2C7F">
        <w:rPr>
          <w:rFonts w:ascii="Century Gothic" w:hAnsi="Century Gothic"/>
          <w:bCs/>
          <w:lang w:val="es-MX"/>
        </w:rPr>
        <w:t xml:space="preserve"> </w:t>
      </w:r>
      <w:r w:rsidR="004C2C7F" w:rsidRPr="004C2C7F">
        <w:rPr>
          <w:rFonts w:ascii="Century Gothic" w:hAnsi="Century Gothic"/>
          <w:bCs/>
          <w:lang w:val="es-MX"/>
        </w:rPr>
        <w:t xml:space="preserve">A partir de lo anteriormente explicado, contrario a lo que sostuvo el juez natural en el auto impugnado, la acción que se pretende por parte de la señora en favor de su menor hija, sí resulta procedente. Por virtud de lo anterior, en el proyecto se propone revocar el auto impugnado y ordenar al juez de instancia que admita y </w:t>
      </w:r>
      <w:r w:rsidR="00807CF8">
        <w:rPr>
          <w:rFonts w:ascii="Century Gothic" w:hAnsi="Century Gothic"/>
          <w:bCs/>
          <w:lang w:val="es-MX"/>
        </w:rPr>
        <w:t>tra</w:t>
      </w:r>
      <w:r w:rsidR="005348BB" w:rsidRPr="004C2C7F">
        <w:rPr>
          <w:rFonts w:ascii="Century Gothic" w:hAnsi="Century Gothic"/>
          <w:bCs/>
          <w:lang w:val="es-MX"/>
        </w:rPr>
        <w:t>mite</w:t>
      </w:r>
      <w:r w:rsidR="004C2C7F" w:rsidRPr="004C2C7F">
        <w:rPr>
          <w:rFonts w:ascii="Century Gothic" w:hAnsi="Century Gothic"/>
          <w:bCs/>
          <w:lang w:val="es-MX"/>
        </w:rPr>
        <w:t xml:space="preserve"> la demanda. Y en esos términos pongo el </w:t>
      </w:r>
      <w:r w:rsidR="004C2C7F" w:rsidRPr="004C2C7F">
        <w:rPr>
          <w:rFonts w:ascii="Century Gothic" w:hAnsi="Century Gothic"/>
          <w:bCs/>
          <w:lang w:val="es-MX"/>
        </w:rPr>
        <w:lastRenderedPageBreak/>
        <w:t xml:space="preserve">proyecto de consideración, si me </w:t>
      </w:r>
      <w:r w:rsidR="005348BB">
        <w:rPr>
          <w:rFonts w:ascii="Century Gothic" w:hAnsi="Century Gothic"/>
          <w:bCs/>
          <w:lang w:val="es-MX"/>
        </w:rPr>
        <w:t>lo permite</w:t>
      </w:r>
      <w:r w:rsidR="00C74D7B">
        <w:rPr>
          <w:rFonts w:ascii="Century Gothic" w:hAnsi="Century Gothic"/>
          <w:bCs/>
          <w:lang w:val="es-MX"/>
        </w:rPr>
        <w:t>”. “</w:t>
      </w:r>
      <w:r w:rsidR="00C74D7B" w:rsidRPr="00C74D7B">
        <w:rPr>
          <w:rFonts w:ascii="Century Gothic" w:hAnsi="Century Gothic"/>
          <w:bCs/>
          <w:lang w:val="es-MX"/>
        </w:rPr>
        <w:t xml:space="preserve">Gracias, </w:t>
      </w:r>
      <w:r w:rsidR="00C74D7B">
        <w:rPr>
          <w:rFonts w:ascii="Century Gothic" w:hAnsi="Century Gothic"/>
          <w:bCs/>
          <w:lang w:val="es-MX"/>
        </w:rPr>
        <w:t>M</w:t>
      </w:r>
      <w:r w:rsidR="00C74D7B" w:rsidRPr="00C74D7B">
        <w:rPr>
          <w:rFonts w:ascii="Century Gothic" w:hAnsi="Century Gothic"/>
          <w:bCs/>
          <w:lang w:val="es-MX"/>
        </w:rPr>
        <w:t>agistrado. ¿Alguna otra intervención?</w:t>
      </w:r>
      <w:r w:rsidR="005348BB">
        <w:rPr>
          <w:rFonts w:ascii="Century Gothic" w:hAnsi="Century Gothic"/>
          <w:bCs/>
          <w:lang w:val="es-MX"/>
        </w:rPr>
        <w:t xml:space="preserve"> P</w:t>
      </w:r>
      <w:r w:rsidR="00C74D7B" w:rsidRPr="00C74D7B">
        <w:rPr>
          <w:rFonts w:ascii="Century Gothic" w:hAnsi="Century Gothic"/>
          <w:bCs/>
          <w:lang w:val="es-MX"/>
        </w:rPr>
        <w:t>rocedemos entonces a su votación</w:t>
      </w:r>
      <w:r w:rsidR="00C74D7B">
        <w:rPr>
          <w:rFonts w:ascii="Century Gothic" w:hAnsi="Century Gothic"/>
          <w:bCs/>
          <w:lang w:val="es-MX"/>
        </w:rPr>
        <w:t xml:space="preserve">, </w:t>
      </w:r>
      <w:r w:rsidR="00601D7B" w:rsidRPr="00601D7B">
        <w:rPr>
          <w:rFonts w:ascii="Century Gothic" w:hAnsi="Century Gothic"/>
          <w:bCs/>
          <w:lang w:val="es-MX"/>
        </w:rPr>
        <w:t xml:space="preserve">quienes estén a favor de la ponencia que presenta el </w:t>
      </w:r>
      <w:r w:rsidR="00601D7B">
        <w:rPr>
          <w:rFonts w:ascii="Century Gothic" w:hAnsi="Century Gothic"/>
          <w:bCs/>
          <w:lang w:val="es-MX"/>
        </w:rPr>
        <w:t>M</w:t>
      </w:r>
      <w:r w:rsidR="00601D7B" w:rsidRPr="00601D7B">
        <w:rPr>
          <w:rFonts w:ascii="Century Gothic" w:hAnsi="Century Gothic"/>
          <w:bCs/>
          <w:lang w:val="es-MX"/>
        </w:rPr>
        <w:t xml:space="preserve">agistrado </w:t>
      </w:r>
      <w:r w:rsidR="005348BB">
        <w:rPr>
          <w:rFonts w:ascii="Century Gothic" w:hAnsi="Century Gothic"/>
          <w:bCs/>
          <w:lang w:val="es-MX"/>
        </w:rPr>
        <w:t>Hernández Garibay</w:t>
      </w:r>
      <w:r w:rsidR="00601D7B" w:rsidRPr="00601D7B">
        <w:rPr>
          <w:rFonts w:ascii="Century Gothic" w:hAnsi="Century Gothic"/>
          <w:bCs/>
          <w:lang w:val="es-MX"/>
        </w:rPr>
        <w:t xml:space="preserve"> en el toca ya referido</w:t>
      </w:r>
      <w:r w:rsidR="00601D7B">
        <w:rPr>
          <w:rFonts w:ascii="Century Gothic" w:hAnsi="Century Gothic"/>
          <w:bCs/>
          <w:lang w:val="es-MX"/>
        </w:rPr>
        <w:t>,</w:t>
      </w:r>
      <w:r w:rsidR="00601D7B" w:rsidRPr="00601D7B">
        <w:rPr>
          <w:rFonts w:ascii="Century Gothic" w:hAnsi="Century Gothic"/>
          <w:bCs/>
          <w:lang w:val="es-MX"/>
        </w:rPr>
        <w:t xml:space="preserve"> sírvanse levantar la mano en la forma acostumbrada</w:t>
      </w:r>
      <w:r w:rsidRPr="00601D7B">
        <w:rPr>
          <w:rFonts w:ascii="Century Gothic" w:hAnsi="Century Gothic"/>
          <w:bCs/>
          <w:lang w:val="es-MX"/>
        </w:rPr>
        <w:t>.</w:t>
      </w:r>
      <w:r>
        <w:rPr>
          <w:rFonts w:ascii="Century Gothic" w:hAnsi="Century Gothic"/>
          <w:bCs/>
          <w:lang w:val="es-MX"/>
        </w:rPr>
        <w:t xml:space="preserve"> Secretaria General, </w:t>
      </w:r>
      <w:r w:rsidRPr="00F35D70">
        <w:rPr>
          <w:rFonts w:ascii="Century Gothic" w:hAnsi="Century Gothic"/>
          <w:bCs/>
          <w:lang w:val="es-MX"/>
        </w:rPr>
        <w:t xml:space="preserve">me </w:t>
      </w:r>
      <w:r w:rsidR="00C74D7B">
        <w:rPr>
          <w:rFonts w:ascii="Century Gothic" w:hAnsi="Century Gothic"/>
          <w:bCs/>
          <w:lang w:val="es-MX"/>
        </w:rPr>
        <w:t>podría</w:t>
      </w:r>
      <w:r w:rsidRPr="00F35D70">
        <w:rPr>
          <w:rFonts w:ascii="Century Gothic" w:hAnsi="Century Gothic"/>
          <w:bCs/>
          <w:lang w:val="es-MX"/>
        </w:rPr>
        <w:t xml:space="preserv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000D3E98">
        <w:rPr>
          <w:rFonts w:ascii="Century Gothic" w:hAnsi="Century Gothic"/>
          <w:b/>
          <w:bCs/>
          <w:color w:val="000000"/>
        </w:rPr>
        <w:t>.</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8C7EDF">
        <w:rPr>
          <w:rFonts w:ascii="Century Gothic" w:hAnsi="Century Gothic"/>
          <w:b/>
        </w:rPr>
        <w:t xml:space="preserve"> </w:t>
      </w:r>
    </w:p>
    <w:p w14:paraId="6201BC07" w14:textId="1A8BFF26" w:rsidR="00476062" w:rsidRPr="00642210" w:rsidRDefault="00A507CC" w:rsidP="001A3AEA">
      <w:pPr>
        <w:spacing w:line="528" w:lineRule="auto"/>
        <w:jc w:val="both"/>
        <w:rPr>
          <w:rFonts w:ascii="Century Gothic" w:hAnsi="Century Gothic"/>
        </w:rPr>
      </w:pPr>
      <w:r>
        <w:rPr>
          <w:rFonts w:ascii="Century Gothic" w:hAnsi="Century Gothic"/>
          <w:lang w:val="es-MX"/>
        </w:rPr>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E54F3A">
        <w:rPr>
          <w:rFonts w:ascii="Century Gothic" w:hAnsi="Century Gothic"/>
          <w:b/>
          <w:lang w:val="es-MX"/>
        </w:rPr>
        <w:t>quinto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C071BB">
        <w:rPr>
          <w:rFonts w:ascii="Century Gothic" w:hAnsi="Century Gothic"/>
          <w:lang w:val="es-MX"/>
        </w:rPr>
        <w:t>D</w:t>
      </w:r>
      <w:r w:rsidR="000750BB" w:rsidRPr="000750BB">
        <w:rPr>
          <w:rFonts w:ascii="Century Gothic" w:hAnsi="Century Gothic"/>
        </w:rPr>
        <w:t xml:space="preserve">e parte de esta </w:t>
      </w:r>
      <w:r w:rsidR="00642210">
        <w:rPr>
          <w:rFonts w:ascii="Century Gothic" w:hAnsi="Century Gothic"/>
        </w:rPr>
        <w:t>P</w:t>
      </w:r>
      <w:r w:rsidR="000750BB" w:rsidRPr="000750BB">
        <w:rPr>
          <w:rFonts w:ascii="Century Gothic" w:hAnsi="Century Gothic"/>
        </w:rPr>
        <w:t>residencia no hay asunto</w:t>
      </w:r>
      <w:r w:rsidR="00C071BB">
        <w:rPr>
          <w:rFonts w:ascii="Century Gothic" w:hAnsi="Century Gothic"/>
        </w:rPr>
        <w:t>s</w:t>
      </w:r>
      <w:r w:rsidR="000750BB" w:rsidRPr="000750BB">
        <w:rPr>
          <w:rFonts w:ascii="Century Gothic" w:hAnsi="Century Gothic"/>
        </w:rPr>
        <w:t xml:space="preserve"> que tratar</w:t>
      </w:r>
      <w:r w:rsidR="00642210">
        <w:rPr>
          <w:rFonts w:ascii="Century Gothic" w:hAnsi="Century Gothic"/>
        </w:rPr>
        <w:t xml:space="preserve">. </w:t>
      </w:r>
      <w:r w:rsidR="001A3AEA" w:rsidRPr="001A3AEA">
        <w:rPr>
          <w:rFonts w:ascii="Century Gothic" w:hAnsi="Century Gothic"/>
          <w:lang w:val="es-MX"/>
        </w:rPr>
        <w:t>Si alguna o alguno de ustedes tiene algún asunto general, este es el momento para hacerlo. No habiendo asuntos generales, pido a la Secretaría Ge</w:t>
      </w:r>
      <w:r w:rsidR="00614181">
        <w:rPr>
          <w:rFonts w:ascii="Century Gothic" w:hAnsi="Century Gothic"/>
          <w:lang w:val="es-MX"/>
        </w:rPr>
        <w:t>neral me indique la hora</w:t>
      </w:r>
      <w:r w:rsidR="00423A46">
        <w:rPr>
          <w:rFonts w:ascii="Century Gothic" w:hAnsi="Century Gothic"/>
          <w:lang w:val="es-MX"/>
        </w:rPr>
        <w:t>”</w:t>
      </w:r>
      <w:r w:rsidR="008C6B32">
        <w:rPr>
          <w:rFonts w:ascii="Century Gothic" w:hAnsi="Century Gothic"/>
          <w:lang w:val="es-MX"/>
        </w:rPr>
        <w:t>,</w:t>
      </w:r>
      <w:r w:rsidR="00423A46">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005348BB">
        <w:rPr>
          <w:rFonts w:ascii="Century Gothic" w:hAnsi="Century Gothic"/>
          <w:lang w:val="es-MX"/>
        </w:rPr>
        <w:t>Doce</w:t>
      </w:r>
      <w:r w:rsidR="00614181">
        <w:rPr>
          <w:rFonts w:ascii="Century Gothic" w:hAnsi="Century Gothic"/>
          <w:lang w:val="es-MX"/>
        </w:rPr>
        <w:t xml:space="preserve"> horas con </w:t>
      </w:r>
      <w:r w:rsidR="005348BB">
        <w:rPr>
          <w:rFonts w:ascii="Century Gothic" w:hAnsi="Century Gothic"/>
          <w:lang w:val="es-MX"/>
        </w:rPr>
        <w:t>treinta y un</w:t>
      </w:r>
      <w:r w:rsidR="00614181">
        <w:rPr>
          <w:rFonts w:ascii="Century Gothic" w:hAnsi="Century Gothic"/>
          <w:lang w:val="es-MX"/>
        </w:rPr>
        <w:t xml:space="preserve"> minutos</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00423A46" w:rsidRPr="00423A46">
        <w:rPr>
          <w:rFonts w:ascii="Century Gothic" w:hAnsi="Century Gothic"/>
          <w:lang w:val="es-MX"/>
        </w:rPr>
        <w:t xml:space="preserve">Siendo la hora señalada y </w:t>
      </w:r>
      <w:r w:rsidR="00423A46" w:rsidRPr="00423A46">
        <w:rPr>
          <w:rFonts w:ascii="Century Gothic" w:hAnsi="Century Gothic"/>
          <w:lang w:val="es-MX"/>
        </w:rPr>
        <w:lastRenderedPageBreak/>
        <w:t>agotado el orden del día, se declara cerrada la sesión del Pleno del Supremo Tribunal de Justici</w:t>
      </w:r>
      <w:r w:rsidR="008C6B32">
        <w:rPr>
          <w:rFonts w:ascii="Century Gothic" w:hAnsi="Century Gothic"/>
          <w:lang w:val="es-MX"/>
        </w:rPr>
        <w:t>a del Estado de San Luis Potosí</w:t>
      </w:r>
      <w:r w:rsidR="00642210">
        <w:rPr>
          <w:rFonts w:ascii="Century Gothic" w:hAnsi="Century Gothic"/>
          <w:lang w:val="es-MX"/>
        </w:rPr>
        <w:t xml:space="preserve">, </w:t>
      </w:r>
      <w:r w:rsidR="00254045">
        <w:rPr>
          <w:rFonts w:ascii="Century Gothic" w:hAnsi="Century Gothic"/>
          <w:lang w:val="es-MX"/>
        </w:rPr>
        <w:t xml:space="preserve">que </w:t>
      </w:r>
      <w:r w:rsidR="00642210">
        <w:rPr>
          <w:rFonts w:ascii="Century Gothic" w:hAnsi="Century Gothic"/>
          <w:lang w:val="es-MX"/>
        </w:rPr>
        <w:t xml:space="preserve">tengan todas y todos un excelente </w:t>
      </w:r>
      <w:r w:rsidR="005348BB">
        <w:rPr>
          <w:rFonts w:ascii="Century Gothic" w:hAnsi="Century Gothic"/>
          <w:lang w:val="es-MX"/>
        </w:rPr>
        <w:t>día</w:t>
      </w:r>
      <w:r w:rsidR="00254045">
        <w:rPr>
          <w:rFonts w:ascii="Century Gothic" w:hAnsi="Century Gothic"/>
          <w:lang w:val="es-MX"/>
        </w:rPr>
        <w:t>”</w:t>
      </w:r>
      <w:r w:rsidR="0087591B">
        <w:rPr>
          <w:rFonts w:ascii="Century Gothic" w:hAnsi="Century Gothic"/>
          <w:lang w:val="es-MX"/>
        </w:rPr>
        <w:t>.</w:t>
      </w:r>
      <w:r w:rsidR="00476062" w:rsidRPr="002D0F66">
        <w:rPr>
          <w:rFonts w:ascii="Century Gothic" w:hAnsi="Century Gothic"/>
          <w:lang w:val="es-MX"/>
        </w:rPr>
        <w:t xml:space="preserve"> </w:t>
      </w:r>
      <w:r w:rsidR="0087591B">
        <w:rPr>
          <w:rFonts w:ascii="Century Gothic" w:hAnsi="Century Gothic"/>
        </w:rPr>
        <w:t>C</w:t>
      </w:r>
      <w:r w:rsidR="00432067">
        <w:rPr>
          <w:rFonts w:ascii="Century Gothic" w:hAnsi="Century Gothic"/>
        </w:rPr>
        <w:t>on</w:t>
      </w:r>
      <w:r w:rsidR="00476062">
        <w:rPr>
          <w:rFonts w:ascii="Century Gothic" w:hAnsi="Century Gothic"/>
        </w:rPr>
        <w:t xml:space="preserve"> lo anterior, </w:t>
      </w:r>
      <w:r w:rsidR="00061B4B">
        <w:rPr>
          <w:rFonts w:ascii="Century Gothic" w:hAnsi="Century Gothic"/>
        </w:rPr>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0EB92978"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Estado, celebrada el</w:t>
      </w:r>
      <w:r>
        <w:rPr>
          <w:rFonts w:ascii="Century Gothic" w:hAnsi="Century Gothic"/>
          <w:lang w:val="es-MX"/>
        </w:rPr>
        <w:t xml:space="preserve"> </w:t>
      </w:r>
      <w:r w:rsidR="005348BB">
        <w:rPr>
          <w:rFonts w:ascii="Century Gothic" w:hAnsi="Century Gothic"/>
          <w:lang w:val="es-MX"/>
        </w:rPr>
        <w:t>veinticinco</w:t>
      </w:r>
      <w:r w:rsidR="001B1185">
        <w:rPr>
          <w:rFonts w:ascii="Century Gothic" w:hAnsi="Century Gothic"/>
          <w:lang w:val="es-MX"/>
        </w:rPr>
        <w:t xml:space="preserve"> de junio</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la 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AFA36" w14:textId="77777777" w:rsidR="00E66A9C" w:rsidRDefault="00E66A9C">
      <w:r>
        <w:separator/>
      </w:r>
    </w:p>
  </w:endnote>
  <w:endnote w:type="continuationSeparator" w:id="0">
    <w:p w14:paraId="01F6313D" w14:textId="77777777" w:rsidR="00E66A9C" w:rsidRDefault="00E6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0D46CB7D" w:rsidR="00C071BB" w:rsidRDefault="00C071BB">
        <w:pPr>
          <w:pStyle w:val="Piedepgina"/>
          <w:jc w:val="center"/>
        </w:pPr>
        <w:r>
          <w:fldChar w:fldCharType="begin"/>
        </w:r>
        <w:r>
          <w:instrText>PAGE   \* MERGEFORMAT</w:instrText>
        </w:r>
        <w:r>
          <w:fldChar w:fldCharType="separate"/>
        </w:r>
        <w:r w:rsidR="007A0805">
          <w:rPr>
            <w:noProof/>
          </w:rPr>
          <w:t>14</w:t>
        </w:r>
        <w:r>
          <w:fldChar w:fldCharType="end"/>
        </w:r>
      </w:p>
    </w:sdtContent>
  </w:sdt>
  <w:p w14:paraId="44C1BD84" w14:textId="77777777" w:rsidR="00C071BB" w:rsidRDefault="00C071BB">
    <w:pPr>
      <w:pStyle w:val="Piedepgina"/>
    </w:pPr>
  </w:p>
  <w:p w14:paraId="7AC5C184" w14:textId="77777777" w:rsidR="00C071BB" w:rsidRDefault="00C071BB"/>
  <w:p w14:paraId="0DBDE85F" w14:textId="77777777" w:rsidR="00C071BB" w:rsidRDefault="00C071B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484AADA4" w:rsidR="00C071BB" w:rsidRDefault="00C071BB">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0805">
      <w:rPr>
        <w:rStyle w:val="Nmerodepgina"/>
        <w:noProof/>
      </w:rPr>
      <w:t>1</w:t>
    </w:r>
    <w:r>
      <w:rPr>
        <w:rStyle w:val="Nmerodepgina"/>
      </w:rPr>
      <w:fldChar w:fldCharType="end"/>
    </w:r>
  </w:p>
  <w:p w14:paraId="1EB883C3" w14:textId="77777777" w:rsidR="00C071BB" w:rsidRDefault="00C071BB">
    <w:pPr>
      <w:pStyle w:val="Piedepgina"/>
    </w:pPr>
  </w:p>
  <w:p w14:paraId="4EB9AF9C" w14:textId="77777777" w:rsidR="00C071BB" w:rsidRDefault="00C071BB"/>
  <w:p w14:paraId="7D4D556F" w14:textId="77777777" w:rsidR="00C071BB" w:rsidRDefault="00C071B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008F0" w14:textId="77777777" w:rsidR="00E66A9C" w:rsidRDefault="00E66A9C">
      <w:r>
        <w:separator/>
      </w:r>
    </w:p>
  </w:footnote>
  <w:footnote w:type="continuationSeparator" w:id="0">
    <w:p w14:paraId="02B27487" w14:textId="77777777" w:rsidR="00E66A9C" w:rsidRDefault="00E66A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C071BB" w:rsidRDefault="00C071BB">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C071BB" w:rsidRDefault="00C071BB"/>
  <w:p w14:paraId="121FD984" w14:textId="77777777" w:rsidR="00C071BB" w:rsidRDefault="00C071B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5CD"/>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4D"/>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77D"/>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BC2"/>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0BB"/>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B9F"/>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3D82"/>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98"/>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691"/>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81"/>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60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2CE"/>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AEA"/>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185"/>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2E0"/>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C0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56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44D"/>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39C"/>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883"/>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04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215"/>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35"/>
    <w:rsid w:val="00284FDA"/>
    <w:rsid w:val="002851A1"/>
    <w:rsid w:val="00285228"/>
    <w:rsid w:val="002853A6"/>
    <w:rsid w:val="0028542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45C"/>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9ED"/>
    <w:rsid w:val="002B4A4E"/>
    <w:rsid w:val="002B4D1F"/>
    <w:rsid w:val="002B50B4"/>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3F5D"/>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26"/>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636"/>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104"/>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CAC"/>
    <w:rsid w:val="003B6DD3"/>
    <w:rsid w:val="003B6ECE"/>
    <w:rsid w:val="003B7090"/>
    <w:rsid w:val="003B70BD"/>
    <w:rsid w:val="003B7243"/>
    <w:rsid w:val="003B726F"/>
    <w:rsid w:val="003B7434"/>
    <w:rsid w:val="003B75D1"/>
    <w:rsid w:val="003B7695"/>
    <w:rsid w:val="003B7A71"/>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3C6"/>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AAE"/>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140"/>
    <w:rsid w:val="003F63BB"/>
    <w:rsid w:val="003F6613"/>
    <w:rsid w:val="003F672D"/>
    <w:rsid w:val="003F6C30"/>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4E9"/>
    <w:rsid w:val="00422855"/>
    <w:rsid w:val="00422F46"/>
    <w:rsid w:val="00422FD1"/>
    <w:rsid w:val="0042330D"/>
    <w:rsid w:val="0042344A"/>
    <w:rsid w:val="00423467"/>
    <w:rsid w:val="00423636"/>
    <w:rsid w:val="0042364F"/>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994"/>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478"/>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03"/>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C7F"/>
    <w:rsid w:val="004C2FB7"/>
    <w:rsid w:val="004C303E"/>
    <w:rsid w:val="004C3255"/>
    <w:rsid w:val="004C343F"/>
    <w:rsid w:val="004C36B9"/>
    <w:rsid w:val="004C3774"/>
    <w:rsid w:val="004C37B6"/>
    <w:rsid w:val="004C3B59"/>
    <w:rsid w:val="004C4145"/>
    <w:rsid w:val="004C4241"/>
    <w:rsid w:val="004C42D3"/>
    <w:rsid w:val="004C44CC"/>
    <w:rsid w:val="004C4530"/>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53F"/>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4C4"/>
    <w:rsid w:val="0053375A"/>
    <w:rsid w:val="00533835"/>
    <w:rsid w:val="00533974"/>
    <w:rsid w:val="0053399A"/>
    <w:rsid w:val="00533E1A"/>
    <w:rsid w:val="00533F20"/>
    <w:rsid w:val="005340E4"/>
    <w:rsid w:val="00534294"/>
    <w:rsid w:val="00534328"/>
    <w:rsid w:val="005348BB"/>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367"/>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6C6"/>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40B"/>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B9"/>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7B"/>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18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7E3"/>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C34"/>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10"/>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6FFD"/>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77E27"/>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BE2"/>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10"/>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0DD1"/>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0DD8"/>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3EBB"/>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542"/>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34"/>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B78"/>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22B"/>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C3"/>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EEB"/>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23"/>
    <w:rsid w:val="007513B0"/>
    <w:rsid w:val="0075146F"/>
    <w:rsid w:val="00751533"/>
    <w:rsid w:val="0075178E"/>
    <w:rsid w:val="007517D1"/>
    <w:rsid w:val="007517E0"/>
    <w:rsid w:val="00751833"/>
    <w:rsid w:val="00751838"/>
    <w:rsid w:val="007519A7"/>
    <w:rsid w:val="00751A3F"/>
    <w:rsid w:val="00751C2A"/>
    <w:rsid w:val="00751CDC"/>
    <w:rsid w:val="00751E89"/>
    <w:rsid w:val="00751EEF"/>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7BF"/>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CD4"/>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278"/>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9DE"/>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05"/>
    <w:rsid w:val="007A0826"/>
    <w:rsid w:val="007A09C6"/>
    <w:rsid w:val="007A0A70"/>
    <w:rsid w:val="007A0C37"/>
    <w:rsid w:val="007A0CCB"/>
    <w:rsid w:val="007A104A"/>
    <w:rsid w:val="007A10DB"/>
    <w:rsid w:val="007A1333"/>
    <w:rsid w:val="007A1496"/>
    <w:rsid w:val="007A175C"/>
    <w:rsid w:val="007A179B"/>
    <w:rsid w:val="007A1B08"/>
    <w:rsid w:val="007A1C97"/>
    <w:rsid w:val="007A1D6D"/>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991"/>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845"/>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1887"/>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2DF"/>
    <w:rsid w:val="007D467C"/>
    <w:rsid w:val="007D4849"/>
    <w:rsid w:val="007D4A4B"/>
    <w:rsid w:val="007D4C7F"/>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D21"/>
    <w:rsid w:val="007D6E20"/>
    <w:rsid w:val="007D6E51"/>
    <w:rsid w:val="007D6F63"/>
    <w:rsid w:val="007D6FB2"/>
    <w:rsid w:val="007D706C"/>
    <w:rsid w:val="007D70C6"/>
    <w:rsid w:val="007D713C"/>
    <w:rsid w:val="007D7224"/>
    <w:rsid w:val="007D72C6"/>
    <w:rsid w:val="007D72F3"/>
    <w:rsid w:val="007D7309"/>
    <w:rsid w:val="007D7473"/>
    <w:rsid w:val="007D750A"/>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6F59"/>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3A"/>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3C63"/>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CF8"/>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50D3"/>
    <w:rsid w:val="008351F9"/>
    <w:rsid w:val="00835398"/>
    <w:rsid w:val="0083545C"/>
    <w:rsid w:val="008355AC"/>
    <w:rsid w:val="00835957"/>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957"/>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ECC"/>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0E"/>
    <w:rsid w:val="0085645A"/>
    <w:rsid w:val="008565C5"/>
    <w:rsid w:val="00856A1C"/>
    <w:rsid w:val="00856B5C"/>
    <w:rsid w:val="00856CB8"/>
    <w:rsid w:val="00856D0B"/>
    <w:rsid w:val="00856D78"/>
    <w:rsid w:val="00857437"/>
    <w:rsid w:val="00857477"/>
    <w:rsid w:val="00857533"/>
    <w:rsid w:val="0085756A"/>
    <w:rsid w:val="00857744"/>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962"/>
    <w:rsid w:val="00861C17"/>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91B"/>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5F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31E"/>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2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EDF"/>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67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05"/>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584"/>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24E"/>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623"/>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6E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4EBD"/>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85F"/>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C51"/>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9BA"/>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67F"/>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BFF"/>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86C"/>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0F"/>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1FA"/>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20"/>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65F"/>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03"/>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36"/>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6C81"/>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E8"/>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3B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082"/>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2EB"/>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67"/>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6F8"/>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B7F95"/>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13"/>
    <w:rsid w:val="00BE2F8B"/>
    <w:rsid w:val="00BE3294"/>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5BDF"/>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641"/>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1BB"/>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34F"/>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8B3"/>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D7B"/>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5F9"/>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551"/>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B22"/>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6E6"/>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C36"/>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5FF"/>
    <w:rsid w:val="00DC2AF8"/>
    <w:rsid w:val="00DC2BE2"/>
    <w:rsid w:val="00DC2C0D"/>
    <w:rsid w:val="00DC2E60"/>
    <w:rsid w:val="00DC2FBD"/>
    <w:rsid w:val="00DC331A"/>
    <w:rsid w:val="00DC3387"/>
    <w:rsid w:val="00DC33F0"/>
    <w:rsid w:val="00DC371C"/>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1DB"/>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9"/>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0"/>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3A"/>
    <w:rsid w:val="00E54FCC"/>
    <w:rsid w:val="00E55324"/>
    <w:rsid w:val="00E5546A"/>
    <w:rsid w:val="00E5549C"/>
    <w:rsid w:val="00E557B9"/>
    <w:rsid w:val="00E558C6"/>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369"/>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114"/>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A9C"/>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5A"/>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2F05"/>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26A"/>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70"/>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4E4F"/>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65"/>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266"/>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BC7"/>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0BB"/>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14813194">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17067680">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3F440-3CDC-4CE2-93B8-D65BCBC0E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3677</Words>
  <Characters>18756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3</cp:revision>
  <cp:lastPrinted>2026-07-01T18:03:00Z</cp:lastPrinted>
  <dcterms:created xsi:type="dcterms:W3CDTF">2026-07-07T17:42:00Z</dcterms:created>
  <dcterms:modified xsi:type="dcterms:W3CDTF">2026-07-07T17:42:00Z</dcterms:modified>
</cp:coreProperties>
</file>