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169" w:rsidRDefault="00FA0169" w:rsidP="00FA0169">
      <w:pPr>
        <w:spacing w:line="360" w:lineRule="auto"/>
        <w:jc w:val="both"/>
        <w:rPr>
          <w:b/>
          <w:sz w:val="28"/>
        </w:rPr>
      </w:pPr>
    </w:p>
    <w:p w:rsidR="00FA0169" w:rsidRPr="00351969" w:rsidRDefault="00FA0169" w:rsidP="00FA0169">
      <w:pPr>
        <w:spacing w:line="360" w:lineRule="auto"/>
        <w:jc w:val="both"/>
        <w:rPr>
          <w:b/>
          <w:sz w:val="28"/>
        </w:rPr>
      </w:pPr>
      <w:r w:rsidRPr="00894804">
        <w:rPr>
          <w:b/>
          <w:sz w:val="28"/>
        </w:rPr>
        <w:t>Durante el período informado no se generó información, ya que los montos correspondientes al trabajo con estos proveedores no excedieron el límite establecido para la formalización de contratos, conforme a lo dispuesto en el Decreto 0567 sobre montos para adquisiciones y servicios de las instituci</w:t>
      </w:r>
      <w:r w:rsidR="00422D17">
        <w:rPr>
          <w:b/>
          <w:sz w:val="28"/>
        </w:rPr>
        <w:t>ones del Estado para el año 2024</w:t>
      </w:r>
      <w:bookmarkStart w:id="0" w:name="_GoBack"/>
      <w:bookmarkEnd w:id="0"/>
      <w:r w:rsidRPr="00894804">
        <w:rPr>
          <w:b/>
          <w:sz w:val="28"/>
        </w:rPr>
        <w:t>, y los lineamientos del Consejo Estatal Elector</w:t>
      </w:r>
      <w:r>
        <w:rPr>
          <w:b/>
          <w:sz w:val="28"/>
        </w:rPr>
        <w:t>al y de Participación Ciudadana.</w:t>
      </w:r>
    </w:p>
    <w:p w:rsidR="006D7AF9" w:rsidRDefault="006D7AF9"/>
    <w:sectPr w:rsidR="006D7AF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2237" w:rsidRDefault="00912237">
      <w:pPr>
        <w:spacing w:after="0" w:line="240" w:lineRule="auto"/>
      </w:pPr>
      <w:r>
        <w:separator/>
      </w:r>
    </w:p>
  </w:endnote>
  <w:endnote w:type="continuationSeparator" w:id="0">
    <w:p w:rsidR="00912237" w:rsidRDefault="009122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2237" w:rsidRDefault="00912237">
      <w:pPr>
        <w:spacing w:after="0" w:line="240" w:lineRule="auto"/>
      </w:pPr>
      <w:r>
        <w:separator/>
      </w:r>
    </w:p>
  </w:footnote>
  <w:footnote w:type="continuationSeparator" w:id="0">
    <w:p w:rsidR="00912237" w:rsidRDefault="009122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3D9" w:rsidRDefault="00FA0169" w:rsidP="00C033D9">
    <w:pPr>
      <w:pStyle w:val="Encabezado"/>
      <w:jc w:val="right"/>
    </w:pPr>
    <w:r>
      <w:rPr>
        <w:noProof/>
        <w:lang w:eastAsia="es-MX"/>
      </w:rPr>
      <w:drawing>
        <wp:inline distT="0" distB="0" distL="0" distR="0" wp14:anchorId="7C775C41" wp14:editId="0A1B28D8">
          <wp:extent cx="2132207" cy="659718"/>
          <wp:effectExtent l="0" t="0" r="1905" b="7620"/>
          <wp:docPr id="2" name="Imagen 1" descr="Unidad de Información Póblica y Documentación Electo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nidad de Información Póblica y Documentación Electo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1201" cy="6686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169"/>
    <w:rsid w:val="00112706"/>
    <w:rsid w:val="00422D17"/>
    <w:rsid w:val="005A47E8"/>
    <w:rsid w:val="006D7AF9"/>
    <w:rsid w:val="00912237"/>
    <w:rsid w:val="00FA0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E2C35"/>
  <w15:chartTrackingRefBased/>
  <w15:docId w15:val="{9C943647-FA52-4909-A631-92DDCE852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016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A01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01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Sistemas</dc:creator>
  <cp:keywords/>
  <dc:description/>
  <cp:lastModifiedBy>Melissa MRM. Rubio	Morales</cp:lastModifiedBy>
  <cp:revision>3</cp:revision>
  <dcterms:created xsi:type="dcterms:W3CDTF">2025-10-09T19:14:00Z</dcterms:created>
  <dcterms:modified xsi:type="dcterms:W3CDTF">2026-01-07T17:18:00Z</dcterms:modified>
</cp:coreProperties>
</file>