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A8135" w14:textId="1B643861" w:rsidR="003067C2" w:rsidRPr="004877DB" w:rsidRDefault="004267CA" w:rsidP="003067C2">
      <w:pPr>
        <w:spacing w:line="360" w:lineRule="auto"/>
        <w:ind w:left="1985" w:right="2034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</w:pPr>
      <w:r w:rsidRPr="004877DB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ARTÍ</w:t>
      </w:r>
      <w:r w:rsidR="00203216" w:rsidRPr="004877DB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CULO</w:t>
      </w:r>
      <w:r w:rsidRPr="004877DB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 xml:space="preserve"> 84 FRACCIÓ</w:t>
      </w:r>
      <w:r w:rsidR="006F27CC" w:rsidRPr="004877DB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N</w:t>
      </w:r>
      <w:r w:rsidR="00203216" w:rsidRPr="004877DB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 xml:space="preserve"> X</w:t>
      </w:r>
      <w:r w:rsidR="001129F9" w:rsidRPr="004877DB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XXI</w:t>
      </w:r>
      <w:r w:rsidR="002D0387" w:rsidRPr="004877DB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I</w:t>
      </w:r>
    </w:p>
    <w:p w14:paraId="5C349B2F" w14:textId="77777777" w:rsidR="00203216" w:rsidRDefault="00203216" w:rsidP="003067C2">
      <w:pPr>
        <w:spacing w:line="360" w:lineRule="auto"/>
        <w:ind w:left="1985" w:right="2034"/>
        <w:jc w:val="both"/>
        <w:rPr>
          <w:rFonts w:ascii="Arial" w:eastAsia="Times New Roman" w:hAnsi="Arial" w:cs="Arial"/>
          <w:color w:val="000000"/>
          <w:sz w:val="28"/>
          <w:szCs w:val="28"/>
          <w:lang w:eastAsia="es-MX"/>
        </w:rPr>
      </w:pPr>
    </w:p>
    <w:p w14:paraId="42517BB4" w14:textId="5C8B356B" w:rsidR="004364CB" w:rsidRDefault="00A53B78" w:rsidP="00C86933">
      <w:pPr>
        <w:spacing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es-MX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s-MX"/>
        </w:rPr>
        <w:t>Este sujeto obligado si está facultado para generar la información requerida c</w:t>
      </w:r>
      <w:r w:rsidR="006F27CC" w:rsidRPr="00F30699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on fundamento en lo dispuesto por los artículos 122 ter, </w:t>
      </w:r>
      <w:r w:rsidR="00B90787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de</w:t>
      </w:r>
      <w:r w:rsidR="006F27CC" w:rsidRPr="00F30699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 la Constitución Política del Estado de San Luis Potosí</w:t>
      </w:r>
      <w:r w:rsidR="00B90787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, 26 fracción I del Reglamento Interno de la Fiscalía General del Estado, se informa </w:t>
      </w:r>
      <w:r w:rsidR="006F27CC" w:rsidRPr="00F30699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que </w:t>
      </w:r>
      <w:r w:rsidR="006F27CC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la Fiscalía General del Estado</w:t>
      </w:r>
      <w:r w:rsidR="00B90787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,</w:t>
      </w:r>
      <w:r w:rsidR="006F27CC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 </w:t>
      </w:r>
      <w:r w:rsidR="0039132B" w:rsidRP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d</w:t>
      </w:r>
      <w:r w:rsidR="002D0387" w:rsidRP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u</w:t>
      </w:r>
      <w:r w:rsid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rante el </w:t>
      </w:r>
      <w:r w:rsidR="00B90787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mes reportado</w:t>
      </w:r>
      <w:r w:rsidR="002D0387" w:rsidRP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 no autoriz</w:t>
      </w:r>
      <w:r w:rsid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ó</w:t>
      </w:r>
      <w:r w:rsidR="002D0387" w:rsidRP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, asign</w:t>
      </w:r>
      <w:r w:rsid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ó</w:t>
      </w:r>
      <w:r w:rsidR="002D0387" w:rsidRP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, permit</w:t>
      </w:r>
      <w:r w:rsid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ió</w:t>
      </w:r>
      <w:r w:rsidR="002D0387" w:rsidRP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, ni entreg</w:t>
      </w:r>
      <w:r w:rsid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ó</w:t>
      </w:r>
      <w:r w:rsidR="002D0387" w:rsidRPr="0039132B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 recursos públicos a personas </w:t>
      </w:r>
      <w:r w:rsidR="00B90787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 f</w:t>
      </w:r>
      <w:r w:rsidR="00B90787" w:rsidRPr="00B90787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ísicas y/o morales, nacionales y/o extranjeras</w:t>
      </w:r>
      <w:r w:rsidR="00B90787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, por no ser necesario para el desarrollo de sus funciones principales, razón por la cual </w:t>
      </w:r>
      <w:r w:rsidR="002D0387" w:rsidRPr="00B90787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 xml:space="preserve">no  </w:t>
      </w:r>
      <w:r w:rsidR="00B90787" w:rsidRPr="00B90787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existen</w:t>
      </w:r>
      <w:r w:rsidR="00C86933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 xml:space="preserve"> </w:t>
      </w:r>
      <w:r w:rsidR="00C86933" w:rsidRPr="00C86933">
        <w:rPr>
          <w:rFonts w:ascii="Arial" w:eastAsia="Times New Roman" w:hAnsi="Arial" w:cs="Arial"/>
          <w:color w:val="000000"/>
          <w:sz w:val="20"/>
          <w:szCs w:val="20"/>
          <w:lang w:val="es-MX" w:eastAsia="es-MX"/>
        </w:rPr>
        <w:t xml:space="preserve"> </w:t>
      </w:r>
      <w:r w:rsidR="0070084C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informes sobre el uso</w:t>
      </w:r>
      <w:r w:rsidR="001B282B" w:rsidRPr="001B282B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 xml:space="preserve"> y destino de los recursos</w:t>
      </w:r>
      <w:r w:rsidR="001B282B" w:rsidRPr="001B282B">
        <w:rPr>
          <w:rFonts w:ascii="Arial" w:eastAsia="Times New Roman" w:hAnsi="Arial" w:cs="Arial"/>
          <w:color w:val="000000"/>
          <w:sz w:val="20"/>
          <w:szCs w:val="20"/>
          <w:lang w:val="es-MX" w:eastAsia="es-MX"/>
        </w:rPr>
        <w:t xml:space="preserve"> </w:t>
      </w:r>
      <w:r w:rsidR="00C86933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 xml:space="preserve">, </w:t>
      </w:r>
      <w:r w:rsidR="00C86933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que reportar.</w:t>
      </w:r>
    </w:p>
    <w:p w14:paraId="6AA9ADF1" w14:textId="77777777" w:rsidR="004364CB" w:rsidRPr="004364CB" w:rsidRDefault="004364CB" w:rsidP="004364CB">
      <w:pPr>
        <w:rPr>
          <w:rFonts w:ascii="Arial" w:eastAsia="Times New Roman" w:hAnsi="Arial" w:cs="Arial"/>
          <w:sz w:val="28"/>
          <w:szCs w:val="28"/>
          <w:lang w:eastAsia="es-MX"/>
        </w:rPr>
      </w:pPr>
    </w:p>
    <w:p w14:paraId="58C34F84" w14:textId="77777777" w:rsidR="004364CB" w:rsidRPr="004364CB" w:rsidRDefault="004364CB" w:rsidP="004364CB">
      <w:pPr>
        <w:rPr>
          <w:rFonts w:ascii="Arial" w:eastAsia="Times New Roman" w:hAnsi="Arial" w:cs="Arial"/>
          <w:sz w:val="28"/>
          <w:szCs w:val="28"/>
          <w:lang w:eastAsia="es-MX"/>
        </w:rPr>
      </w:pPr>
    </w:p>
    <w:p w14:paraId="646C571A" w14:textId="77777777" w:rsidR="00EE2DB8" w:rsidRDefault="00EE2DB8" w:rsidP="00EE2DB8">
      <w:pPr>
        <w:jc w:val="both"/>
        <w:rPr>
          <w:sz w:val="18"/>
          <w:szCs w:val="18"/>
        </w:rPr>
      </w:pPr>
    </w:p>
    <w:p w14:paraId="2B566407" w14:textId="77777777" w:rsidR="00EE2DB8" w:rsidRPr="00AB39D2" w:rsidRDefault="00EE2DB8" w:rsidP="00EE2DB8">
      <w:pPr>
        <w:spacing w:line="36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  <w:r w:rsidRPr="001A34EB"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>*</w:t>
      </w:r>
      <w:r w:rsidRPr="00AB39D2"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>Constitución Política del Estado de San Luis Potosí</w:t>
      </w:r>
    </w:p>
    <w:p w14:paraId="2C482361" w14:textId="77777777" w:rsidR="00EE2DB8" w:rsidRPr="004C3B70" w:rsidRDefault="00EE2DB8" w:rsidP="00EE2DB8">
      <w:pPr>
        <w:pStyle w:val="Sinespaciado"/>
        <w:jc w:val="both"/>
        <w:rPr>
          <w:rFonts w:eastAsia="Times New Roman"/>
          <w:sz w:val="18"/>
          <w:szCs w:val="18"/>
          <w:lang w:eastAsia="es-MX"/>
        </w:rPr>
      </w:pPr>
      <w:r w:rsidRPr="004C3B70">
        <w:rPr>
          <w:rFonts w:eastAsia="Times New Roman"/>
          <w:b/>
          <w:sz w:val="18"/>
          <w:szCs w:val="18"/>
          <w:lang w:eastAsia="es-MX"/>
        </w:rPr>
        <w:t>ARTÍCULO  122 TER.</w:t>
      </w:r>
      <w:r w:rsidRPr="004C3B70">
        <w:rPr>
          <w:rFonts w:eastAsia="Times New Roman"/>
          <w:sz w:val="18"/>
          <w:szCs w:val="18"/>
          <w:lang w:eastAsia="es-MX"/>
        </w:rPr>
        <w:t xml:space="preserve">  Corresponde al Ministerio Público la investigación y la persecución ante  los tribunales,  de todos  los delitos del fuero común; para ello contará con facultades para solicitar las medidas   cautelares   contra  los  imputados;   buscar  y  presentar  las  pruebas   que  acrediten  la participación de éstos en hechos que las leyes señalen como delito;  procurará que los  juicios en materia  penal  se  sigan  con  toda  regularidad  para  que  la  impartición  de  justicia  sea  pronta  y expedita;   pedirá  la  aplicación  de  las  penas,  e  intervendrá  en  todos  los  asuntos  que  la  ley determine.</w:t>
      </w:r>
    </w:p>
    <w:p w14:paraId="66821AF9" w14:textId="77777777" w:rsidR="00EE2DB8" w:rsidRPr="004C3B70" w:rsidRDefault="00EE2DB8" w:rsidP="00EE2DB8">
      <w:pPr>
        <w:pStyle w:val="Sinespaciado"/>
        <w:jc w:val="both"/>
        <w:rPr>
          <w:rFonts w:eastAsia="Times New Roman"/>
          <w:sz w:val="18"/>
          <w:szCs w:val="18"/>
          <w:lang w:eastAsia="es-MX"/>
        </w:rPr>
      </w:pPr>
      <w:r w:rsidRPr="004C3B70">
        <w:rPr>
          <w:rFonts w:eastAsia="Times New Roman"/>
          <w:sz w:val="18"/>
          <w:szCs w:val="18"/>
          <w:lang w:eastAsia="es-MX"/>
        </w:rPr>
        <w:t>La Fiscalía General contará, al menos, con las fiscalías especializadas en delitos relacionados con hechos de corrupción, y en materia de delitos electorales; los titulares de las mismas serán electos y removidos en los mismos términos que para el caso del Fiscal General del Estado; los titulares de las demás fiscalías, así como los servidores públicos de esa institución, serán designados y removidos por el Fiscal General en los términos que la ley determine.</w:t>
      </w:r>
    </w:p>
    <w:p w14:paraId="2851C163" w14:textId="77777777" w:rsidR="00EE2DB8" w:rsidRPr="004C3B70" w:rsidRDefault="00EE2DB8" w:rsidP="00EE2DB8">
      <w:pPr>
        <w:pStyle w:val="Sinespaciado"/>
        <w:jc w:val="both"/>
        <w:rPr>
          <w:rFonts w:eastAsia="Times New Roman"/>
          <w:sz w:val="18"/>
          <w:szCs w:val="18"/>
          <w:lang w:eastAsia="es-MX"/>
        </w:rPr>
      </w:pPr>
      <w:r w:rsidRPr="004C3B70">
        <w:rPr>
          <w:rFonts w:eastAsia="Times New Roman"/>
          <w:sz w:val="18"/>
          <w:szCs w:val="18"/>
          <w:lang w:eastAsia="es-MX"/>
        </w:rPr>
        <w:t>La ley establecerá un servicio profesional de carrera que reglamente las bases para el ingreso, permanencia, ascensos, formación, profesionalización, y actualización de los servidores públicos de la Fiscalía, regido por los principios de, legalidad, objetividad, eficiencia, mérito, profesionalismo, honradez y respeto a los derechos humanos.</w:t>
      </w:r>
    </w:p>
    <w:p w14:paraId="6374C143" w14:textId="77777777" w:rsidR="00EE2DB8" w:rsidRPr="004C3B70" w:rsidRDefault="00EE2DB8" w:rsidP="00EE2DB8">
      <w:pPr>
        <w:pStyle w:val="Sinespaciado"/>
        <w:jc w:val="both"/>
        <w:rPr>
          <w:rFonts w:eastAsia="Times New Roman"/>
          <w:sz w:val="18"/>
          <w:szCs w:val="18"/>
          <w:lang w:eastAsia="es-MX"/>
        </w:rPr>
      </w:pPr>
    </w:p>
    <w:p w14:paraId="1127206D" w14:textId="77777777" w:rsidR="00EE2DB8" w:rsidRPr="004C3B70" w:rsidRDefault="00EE2DB8" w:rsidP="00EE2DB8">
      <w:pPr>
        <w:pStyle w:val="Sinespaciado"/>
        <w:jc w:val="both"/>
        <w:rPr>
          <w:rFonts w:eastAsia="Times New Roman"/>
          <w:sz w:val="18"/>
          <w:szCs w:val="18"/>
          <w:lang w:eastAsia="es-MX"/>
        </w:rPr>
      </w:pPr>
      <w:r w:rsidRPr="004C3B70">
        <w:rPr>
          <w:rFonts w:eastAsia="Times New Roman"/>
          <w:sz w:val="18"/>
          <w:szCs w:val="18"/>
          <w:lang w:eastAsia="es-MX"/>
        </w:rPr>
        <w:t>El Fiscal General presentaría (sic) a los poderes, Legislativo; y Ejecutivo, un informe escrito de sus actividades, la primera quincena del mes de noviembre de cada año; con excepción del último año de su periodo constitucional, en cuyo caso deberá hacerlo la primera quincena del mes de octubre; y, en su caso, comparecerá (sic) personalmente al Congreso del Estado a la glosa del mismo, en un plazo no mayor a treinta días posteriores a la entrega del informe escrito.</w:t>
      </w:r>
    </w:p>
    <w:p w14:paraId="2513BD75" w14:textId="77777777" w:rsidR="00EE2DB8" w:rsidRPr="004C3B70" w:rsidRDefault="00EE2DB8" w:rsidP="00EE2DB8">
      <w:pPr>
        <w:pStyle w:val="Sinespaciado"/>
        <w:jc w:val="both"/>
        <w:rPr>
          <w:rFonts w:eastAsia="Times New Roman"/>
          <w:sz w:val="18"/>
          <w:szCs w:val="18"/>
          <w:lang w:eastAsia="es-MX"/>
        </w:rPr>
      </w:pPr>
    </w:p>
    <w:p w14:paraId="0157EC67" w14:textId="77777777" w:rsidR="00EE2DB8" w:rsidRPr="004C3B70" w:rsidRDefault="00EE2DB8" w:rsidP="00EE2DB8">
      <w:pPr>
        <w:pStyle w:val="Sinespaciado"/>
        <w:jc w:val="both"/>
        <w:rPr>
          <w:rFonts w:ascii="Arial" w:eastAsia="Times New Roman" w:hAnsi="Arial" w:cs="Arial"/>
          <w:b/>
          <w:sz w:val="20"/>
          <w:szCs w:val="20"/>
          <w:lang w:eastAsia="es-MX"/>
        </w:rPr>
      </w:pPr>
      <w:r w:rsidRPr="004C3B70">
        <w:rPr>
          <w:rFonts w:ascii="Arial" w:eastAsia="Times New Roman" w:hAnsi="Arial" w:cs="Arial"/>
          <w:b/>
          <w:sz w:val="20"/>
          <w:szCs w:val="20"/>
          <w:lang w:eastAsia="es-MX"/>
        </w:rPr>
        <w:t>*REGLAMENTO INTERNO DE LA FISCALÍA GENERAL DEL ESTADO DE SAN LUIS POTOSÍ</w:t>
      </w:r>
    </w:p>
    <w:p w14:paraId="2514D60E" w14:textId="77777777" w:rsidR="00EE2DB8" w:rsidRPr="004C3B70" w:rsidRDefault="00EE2DB8" w:rsidP="00EE2DB8">
      <w:pPr>
        <w:pStyle w:val="Sinespaciado"/>
        <w:jc w:val="both"/>
        <w:rPr>
          <w:rFonts w:eastAsia="Times New Roman"/>
          <w:sz w:val="18"/>
          <w:szCs w:val="18"/>
          <w:lang w:eastAsia="es-MX"/>
        </w:rPr>
      </w:pPr>
      <w:r w:rsidRPr="004C3B70">
        <w:rPr>
          <w:rFonts w:eastAsia="Times New Roman"/>
          <w:b/>
          <w:sz w:val="18"/>
          <w:szCs w:val="18"/>
          <w:lang w:eastAsia="es-MX"/>
        </w:rPr>
        <w:t>Artículo 26.</w:t>
      </w:r>
      <w:r w:rsidRPr="004C3B70">
        <w:rPr>
          <w:rFonts w:eastAsia="Times New Roman"/>
          <w:sz w:val="18"/>
          <w:szCs w:val="18"/>
          <w:lang w:eastAsia="es-MX"/>
        </w:rPr>
        <w:t xml:space="preserve">  Director General de Administración</w:t>
      </w:r>
      <w:bookmarkStart w:id="0" w:name="_GoBack"/>
      <w:bookmarkEnd w:id="0"/>
    </w:p>
    <w:p w14:paraId="2B649820" w14:textId="77777777" w:rsidR="00EE2DB8" w:rsidRPr="004C3B70" w:rsidRDefault="00EE2DB8" w:rsidP="00EE2DB8">
      <w:pPr>
        <w:pStyle w:val="Sinespaciado"/>
        <w:jc w:val="both"/>
        <w:rPr>
          <w:rFonts w:eastAsia="Times New Roman"/>
          <w:sz w:val="18"/>
          <w:szCs w:val="18"/>
          <w:lang w:eastAsia="es-MX"/>
        </w:rPr>
      </w:pPr>
      <w:r w:rsidRPr="004C3B70">
        <w:rPr>
          <w:rFonts w:eastAsia="Times New Roman"/>
          <w:sz w:val="18"/>
          <w:szCs w:val="18"/>
          <w:lang w:eastAsia="es-MX"/>
        </w:rPr>
        <w:t>Al frente de la Dirección General de Administración de la Fiscalía General del Estado, habrá un Director General, quien será nombrado y removido libremente por el Fiscal General, quien para el correcto desempeño de su función contará con las facultades siguientes:</w:t>
      </w:r>
    </w:p>
    <w:p w14:paraId="4D5A09D3" w14:textId="2A9C9145" w:rsidR="00C86933" w:rsidRPr="004D7C48" w:rsidRDefault="00EE2DB8" w:rsidP="004D7C48">
      <w:pPr>
        <w:pStyle w:val="Sinespaciado"/>
        <w:jc w:val="both"/>
        <w:rPr>
          <w:rFonts w:eastAsia="Times New Roman"/>
          <w:sz w:val="18"/>
          <w:szCs w:val="18"/>
          <w:lang w:eastAsia="es-MX"/>
        </w:rPr>
      </w:pPr>
      <w:r w:rsidRPr="004C3B70">
        <w:rPr>
          <w:rFonts w:eastAsia="Times New Roman"/>
          <w:sz w:val="18"/>
          <w:szCs w:val="18"/>
          <w:lang w:eastAsia="es-MX"/>
        </w:rPr>
        <w:t>l. Administrar   los   recursos humanos, materiales, financieros, patrimoniales, presupuestales   y cualquier otro asignado a la Fiscalía General de conformidad con las políticas, en esta materia, aprobadas por el Fiscal General;</w:t>
      </w:r>
    </w:p>
    <w:sectPr w:rsidR="00C86933" w:rsidRPr="004D7C48" w:rsidSect="004364CB">
      <w:headerReference w:type="default" r:id="rId8"/>
      <w:footerReference w:type="default" r:id="rId9"/>
      <w:pgSz w:w="12240" w:h="15840" w:code="1"/>
      <w:pgMar w:top="2268" w:right="1134" w:bottom="1418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6DF48" w14:textId="77777777" w:rsidR="00DD1515" w:rsidRDefault="00DD1515" w:rsidP="00961F3B">
      <w:r>
        <w:separator/>
      </w:r>
    </w:p>
  </w:endnote>
  <w:endnote w:type="continuationSeparator" w:id="0">
    <w:p w14:paraId="29B7D0D4" w14:textId="77777777" w:rsidR="00DD1515" w:rsidRDefault="00DD1515" w:rsidP="0096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CE5C5" w14:textId="77777777" w:rsidR="004364CB" w:rsidRDefault="004364CB" w:rsidP="00717045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</w:p>
  <w:p w14:paraId="6DD6D583" w14:textId="77777777" w:rsidR="004364CB" w:rsidRDefault="004364CB" w:rsidP="00717045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</w:p>
  <w:p w14:paraId="0E4500AD" w14:textId="77777777" w:rsidR="004364CB" w:rsidRDefault="004364CB" w:rsidP="00717045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</w:p>
  <w:p w14:paraId="5A86F0E2" w14:textId="77777777" w:rsidR="004364CB" w:rsidRDefault="004364CB" w:rsidP="00717045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</w:p>
  <w:p w14:paraId="2CFA3FC9" w14:textId="77777777" w:rsidR="004364CB" w:rsidRDefault="004364CB" w:rsidP="00717045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</w:p>
  <w:p w14:paraId="61AE60BD" w14:textId="05D3E4B9" w:rsidR="00FA5484" w:rsidRDefault="00717045" w:rsidP="00717045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  <w:r>
      <w:rPr>
        <w:rFonts w:ascii="Arial" w:hAnsi="Arial" w:cs="Arial"/>
        <w:noProof/>
        <w:color w:val="000000" w:themeColor="text1"/>
        <w:sz w:val="13"/>
        <w:lang w:eastAsia="es-ES_tradnl"/>
      </w:rPr>
      <w:t>Fi</w:t>
    </w:r>
    <w:r w:rsidR="00FA5484">
      <w:rPr>
        <w:rFonts w:ascii="Arial" w:hAnsi="Arial" w:cs="Arial"/>
        <w:noProof/>
        <w:color w:val="000000" w:themeColor="text1"/>
        <w:sz w:val="13"/>
        <w:lang w:eastAsia="es-ES_tradnl"/>
      </w:rPr>
      <w:t>scalía General del Estado de SLP</w:t>
    </w:r>
  </w:p>
  <w:p w14:paraId="28545F2B" w14:textId="50C6AF06" w:rsidR="002054C1" w:rsidRDefault="004364CB" w:rsidP="008C1FCF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  <w:r>
      <w:rPr>
        <w:rFonts w:ascii="Arial" w:hAnsi="Arial" w:cs="Arial"/>
        <w:noProof/>
        <w:color w:val="000000" w:themeColor="text1"/>
        <w:sz w:val="13"/>
        <w:lang w:eastAsia="es-ES_tradnl"/>
      </w:rPr>
      <w:t>Dirección General de Administración</w:t>
    </w:r>
  </w:p>
  <w:p w14:paraId="26436FCB" w14:textId="112DE26E" w:rsidR="008C1FCF" w:rsidRPr="00E27D91" w:rsidRDefault="00244CB1" w:rsidP="008C1FCF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  <w:r w:rsidRPr="00E27D91">
      <w:rPr>
        <w:rFonts w:ascii="Arial" w:hAnsi="Arial" w:cs="Arial"/>
        <w:noProof/>
        <w:color w:val="000000" w:themeColor="text1"/>
        <w:sz w:val="13"/>
        <w:lang w:eastAsia="es-ES_tradnl"/>
      </w:rPr>
      <w:t>Eje Vial No. 100, Zona Centro,</w:t>
    </w:r>
  </w:p>
  <w:p w14:paraId="62007D79" w14:textId="767F2EE2" w:rsidR="00244CB1" w:rsidRPr="00E27D91" w:rsidRDefault="004364CB" w:rsidP="00244CB1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  <w:r>
      <w:rPr>
        <w:rFonts w:ascii="Arial" w:hAnsi="Arial" w:cs="Arial"/>
        <w:noProof/>
        <w:sz w:val="13"/>
        <w:lang w:val="es-MX" w:eastAsia="es-MX"/>
      </w:rPr>
      <w:drawing>
        <wp:anchor distT="0" distB="0" distL="114300" distR="114300" simplePos="0" relativeHeight="251664384" behindDoc="1" locked="0" layoutInCell="1" allowOverlap="1" wp14:anchorId="25DA0096" wp14:editId="14BA3298">
          <wp:simplePos x="0" y="0"/>
          <wp:positionH relativeFrom="column">
            <wp:posOffset>-695325</wp:posOffset>
          </wp:positionH>
          <wp:positionV relativeFrom="paragraph">
            <wp:posOffset>180340</wp:posOffset>
          </wp:positionV>
          <wp:extent cx="7772400" cy="406800"/>
          <wp:effectExtent l="0" t="0" r="0" b="0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4CB1" w:rsidRPr="00E27D91">
      <w:rPr>
        <w:rFonts w:ascii="Arial" w:hAnsi="Arial" w:cs="Arial"/>
        <w:noProof/>
        <w:color w:val="000000" w:themeColor="text1"/>
        <w:sz w:val="13"/>
        <w:lang w:eastAsia="es-ES_tradnl"/>
      </w:rPr>
      <w:t>San Luis Potosí, S.L.P. C.P. 78000</w:t>
    </w:r>
  </w:p>
  <w:p w14:paraId="47DA70DC" w14:textId="0E74D918" w:rsidR="00244CB1" w:rsidRPr="008C1FCF" w:rsidRDefault="00244CB1" w:rsidP="00244CB1">
    <w:pPr>
      <w:pStyle w:val="Piedepgina"/>
      <w:jc w:val="right"/>
      <w:rPr>
        <w:rFonts w:ascii="Arial" w:hAnsi="Arial" w:cs="Arial"/>
        <w:noProof/>
        <w:color w:val="000000" w:themeColor="text1"/>
        <w:sz w:val="16"/>
        <w:lang w:eastAsia="es-ES_tradnl"/>
      </w:rPr>
    </w:pPr>
    <w:r w:rsidRPr="00E27D91">
      <w:rPr>
        <w:rFonts w:ascii="Arial" w:hAnsi="Arial" w:cs="Arial"/>
        <w:noProof/>
        <w:color w:val="000000" w:themeColor="text1"/>
        <w:sz w:val="13"/>
        <w:lang w:eastAsia="es-ES_tradnl"/>
      </w:rPr>
      <w:t xml:space="preserve">Tel. 01 (444) </w:t>
    </w:r>
    <w:r w:rsidR="006E59CC">
      <w:rPr>
        <w:rFonts w:ascii="Arial" w:hAnsi="Arial" w:cs="Arial"/>
        <w:noProof/>
        <w:color w:val="000000" w:themeColor="text1"/>
        <w:sz w:val="13"/>
        <w:lang w:eastAsia="es-ES_tradnl"/>
      </w:rPr>
      <w:t>814 09 14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2F610" w14:textId="77777777" w:rsidR="00DD1515" w:rsidRDefault="00DD1515" w:rsidP="00961F3B">
      <w:r>
        <w:separator/>
      </w:r>
    </w:p>
  </w:footnote>
  <w:footnote w:type="continuationSeparator" w:id="0">
    <w:p w14:paraId="47314725" w14:textId="77777777" w:rsidR="00DD1515" w:rsidRDefault="00DD1515" w:rsidP="00961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A499F" w14:textId="412FF529" w:rsidR="00961F3B" w:rsidRDefault="004364CB" w:rsidP="00850661">
    <w:pPr>
      <w:pStyle w:val="Encabezado"/>
      <w:tabs>
        <w:tab w:val="clear" w:pos="4419"/>
        <w:tab w:val="clear" w:pos="8838"/>
        <w:tab w:val="left" w:pos="812"/>
      </w:tabs>
    </w:pPr>
    <w:r>
      <w:rPr>
        <w:noProof/>
        <w:lang w:val="es-MX" w:eastAsia="es-MX"/>
      </w:rPr>
      <w:drawing>
        <wp:anchor distT="0" distB="0" distL="114300" distR="114300" simplePos="0" relativeHeight="251662336" behindDoc="1" locked="0" layoutInCell="1" allowOverlap="1" wp14:anchorId="49780F3F" wp14:editId="23E0C2B9">
          <wp:simplePos x="0" y="0"/>
          <wp:positionH relativeFrom="margin">
            <wp:posOffset>-695325</wp:posOffset>
          </wp:positionH>
          <wp:positionV relativeFrom="margin">
            <wp:posOffset>-1647825</wp:posOffset>
          </wp:positionV>
          <wp:extent cx="7772400" cy="1411200"/>
          <wp:effectExtent l="0" t="0" r="0" b="0"/>
          <wp:wrapNone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6BCF">
      <w:rPr>
        <w:noProof/>
        <w:lang w:val="es-MX" w:eastAsia="es-MX"/>
      </w:rPr>
      <w:t xml:space="preserve"> </w:t>
    </w:r>
    <w:r w:rsidR="0085066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3317C"/>
    <w:multiLevelType w:val="hybridMultilevel"/>
    <w:tmpl w:val="4F7CA1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F3B"/>
    <w:rsid w:val="00033360"/>
    <w:rsid w:val="0003724D"/>
    <w:rsid w:val="000516AB"/>
    <w:rsid w:val="000521A6"/>
    <w:rsid w:val="000621CA"/>
    <w:rsid w:val="00070566"/>
    <w:rsid w:val="00074CBB"/>
    <w:rsid w:val="00086C52"/>
    <w:rsid w:val="0009152F"/>
    <w:rsid w:val="000A7304"/>
    <w:rsid w:val="000F34F2"/>
    <w:rsid w:val="001129F9"/>
    <w:rsid w:val="00117406"/>
    <w:rsid w:val="00153CD1"/>
    <w:rsid w:val="001569ED"/>
    <w:rsid w:val="00174F96"/>
    <w:rsid w:val="001804EB"/>
    <w:rsid w:val="00196E5A"/>
    <w:rsid w:val="001A0FF2"/>
    <w:rsid w:val="001A32B1"/>
    <w:rsid w:val="001B282B"/>
    <w:rsid w:val="001C1FF5"/>
    <w:rsid w:val="00203216"/>
    <w:rsid w:val="002054C1"/>
    <w:rsid w:val="00207633"/>
    <w:rsid w:val="00237339"/>
    <w:rsid w:val="00244CB1"/>
    <w:rsid w:val="002648E0"/>
    <w:rsid w:val="00274D5A"/>
    <w:rsid w:val="002A5EA8"/>
    <w:rsid w:val="002C182D"/>
    <w:rsid w:val="002C1F57"/>
    <w:rsid w:val="002D0260"/>
    <w:rsid w:val="002D0387"/>
    <w:rsid w:val="002E6FF2"/>
    <w:rsid w:val="003054AA"/>
    <w:rsid w:val="003067C2"/>
    <w:rsid w:val="00321572"/>
    <w:rsid w:val="003311E5"/>
    <w:rsid w:val="00337E40"/>
    <w:rsid w:val="00343C0B"/>
    <w:rsid w:val="00350C59"/>
    <w:rsid w:val="00374FE9"/>
    <w:rsid w:val="0039132B"/>
    <w:rsid w:val="00394E57"/>
    <w:rsid w:val="004267CA"/>
    <w:rsid w:val="00433942"/>
    <w:rsid w:val="004364CB"/>
    <w:rsid w:val="0044282E"/>
    <w:rsid w:val="00445F9A"/>
    <w:rsid w:val="00464B09"/>
    <w:rsid w:val="00485BA6"/>
    <w:rsid w:val="00487010"/>
    <w:rsid w:val="004877DB"/>
    <w:rsid w:val="00497E2D"/>
    <w:rsid w:val="004A184C"/>
    <w:rsid w:val="004A5909"/>
    <w:rsid w:val="004B1662"/>
    <w:rsid w:val="004D7C48"/>
    <w:rsid w:val="004E261F"/>
    <w:rsid w:val="00516897"/>
    <w:rsid w:val="00551DF0"/>
    <w:rsid w:val="00580FCC"/>
    <w:rsid w:val="00584602"/>
    <w:rsid w:val="005848B9"/>
    <w:rsid w:val="005A1DFB"/>
    <w:rsid w:val="005C750C"/>
    <w:rsid w:val="005D6F7B"/>
    <w:rsid w:val="005F457C"/>
    <w:rsid w:val="00633FD2"/>
    <w:rsid w:val="0066336E"/>
    <w:rsid w:val="006639DB"/>
    <w:rsid w:val="00670B8D"/>
    <w:rsid w:val="00675F4D"/>
    <w:rsid w:val="00676125"/>
    <w:rsid w:val="00677AEE"/>
    <w:rsid w:val="00687D08"/>
    <w:rsid w:val="006B4084"/>
    <w:rsid w:val="006C1C60"/>
    <w:rsid w:val="006E59CC"/>
    <w:rsid w:val="006E6D1D"/>
    <w:rsid w:val="006F27CC"/>
    <w:rsid w:val="0070084C"/>
    <w:rsid w:val="00717045"/>
    <w:rsid w:val="00717CF8"/>
    <w:rsid w:val="00771908"/>
    <w:rsid w:val="00772913"/>
    <w:rsid w:val="007768CC"/>
    <w:rsid w:val="00781D2F"/>
    <w:rsid w:val="007A28F6"/>
    <w:rsid w:val="007B43AD"/>
    <w:rsid w:val="007C531F"/>
    <w:rsid w:val="007D6585"/>
    <w:rsid w:val="007F0237"/>
    <w:rsid w:val="00845198"/>
    <w:rsid w:val="00850661"/>
    <w:rsid w:val="00854CCF"/>
    <w:rsid w:val="008C1FCF"/>
    <w:rsid w:val="008D3B76"/>
    <w:rsid w:val="00931B62"/>
    <w:rsid w:val="009445F1"/>
    <w:rsid w:val="00951C80"/>
    <w:rsid w:val="009527D5"/>
    <w:rsid w:val="00961F3B"/>
    <w:rsid w:val="009774A5"/>
    <w:rsid w:val="009D1416"/>
    <w:rsid w:val="009D3B91"/>
    <w:rsid w:val="00A00378"/>
    <w:rsid w:val="00A055D7"/>
    <w:rsid w:val="00A3119E"/>
    <w:rsid w:val="00A53B78"/>
    <w:rsid w:val="00A5547F"/>
    <w:rsid w:val="00A720FD"/>
    <w:rsid w:val="00AE70C4"/>
    <w:rsid w:val="00AE72A2"/>
    <w:rsid w:val="00AF2FB4"/>
    <w:rsid w:val="00AF7A5D"/>
    <w:rsid w:val="00B00015"/>
    <w:rsid w:val="00B47C27"/>
    <w:rsid w:val="00B50967"/>
    <w:rsid w:val="00B90787"/>
    <w:rsid w:val="00BA4762"/>
    <w:rsid w:val="00BA4D30"/>
    <w:rsid w:val="00BE6BCF"/>
    <w:rsid w:val="00C01500"/>
    <w:rsid w:val="00C45988"/>
    <w:rsid w:val="00C5041B"/>
    <w:rsid w:val="00C60803"/>
    <w:rsid w:val="00C86933"/>
    <w:rsid w:val="00C96F2F"/>
    <w:rsid w:val="00CD23C1"/>
    <w:rsid w:val="00CE3753"/>
    <w:rsid w:val="00D024F4"/>
    <w:rsid w:val="00D05377"/>
    <w:rsid w:val="00D22267"/>
    <w:rsid w:val="00D23898"/>
    <w:rsid w:val="00D36131"/>
    <w:rsid w:val="00D449A0"/>
    <w:rsid w:val="00D44B8D"/>
    <w:rsid w:val="00D96174"/>
    <w:rsid w:val="00DC686A"/>
    <w:rsid w:val="00DD1515"/>
    <w:rsid w:val="00DD6DC7"/>
    <w:rsid w:val="00E122EA"/>
    <w:rsid w:val="00E1624C"/>
    <w:rsid w:val="00E21D0D"/>
    <w:rsid w:val="00E27D91"/>
    <w:rsid w:val="00E334C7"/>
    <w:rsid w:val="00E7366C"/>
    <w:rsid w:val="00E80BD7"/>
    <w:rsid w:val="00E82FD0"/>
    <w:rsid w:val="00EC29D1"/>
    <w:rsid w:val="00ED1602"/>
    <w:rsid w:val="00EE2DB8"/>
    <w:rsid w:val="00F0180B"/>
    <w:rsid w:val="00F1741C"/>
    <w:rsid w:val="00F46007"/>
    <w:rsid w:val="00F47D67"/>
    <w:rsid w:val="00F65B28"/>
    <w:rsid w:val="00F9333F"/>
    <w:rsid w:val="00FA5484"/>
    <w:rsid w:val="00FD3263"/>
    <w:rsid w:val="00FD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89F07"/>
  <w14:defaultImageDpi w14:val="32767"/>
  <w15:docId w15:val="{4D7A59AD-D8D7-4C88-9F89-32010A53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F3B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1F3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1F3B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61F3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F3B"/>
    <w:rPr>
      <w:rFonts w:eastAsiaTheme="minorEastAsia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34C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34C7"/>
    <w:rPr>
      <w:rFonts w:ascii="Segoe UI" w:eastAsiaTheme="minorEastAsia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F47D67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48701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87010"/>
    <w:rPr>
      <w:rFonts w:eastAsiaTheme="minorEastAsia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487010"/>
    <w:rPr>
      <w:vertAlign w:val="superscript"/>
    </w:rPr>
  </w:style>
  <w:style w:type="paragraph" w:styleId="Ttulo">
    <w:name w:val="Title"/>
    <w:basedOn w:val="Normal"/>
    <w:link w:val="TtuloCar"/>
    <w:qFormat/>
    <w:rsid w:val="00117406"/>
    <w:pPr>
      <w:jc w:val="center"/>
    </w:pPr>
    <w:rPr>
      <w:rFonts w:ascii="Bookman Old Style" w:eastAsia="Times New Roman" w:hAnsi="Bookman Old Style" w:cs="Times New Roman"/>
      <w:i/>
      <w:sz w:val="22"/>
      <w:szCs w:val="20"/>
      <w:lang w:val="es-MX"/>
    </w:rPr>
  </w:style>
  <w:style w:type="character" w:customStyle="1" w:styleId="TtuloCar">
    <w:name w:val="Título Car"/>
    <w:basedOn w:val="Fuentedeprrafopredeter"/>
    <w:link w:val="Ttulo"/>
    <w:rsid w:val="00117406"/>
    <w:rPr>
      <w:rFonts w:ascii="Bookman Old Style" w:eastAsia="Times New Roman" w:hAnsi="Bookman Old Style" w:cs="Times New Roman"/>
      <w:i/>
      <w:sz w:val="22"/>
      <w:szCs w:val="20"/>
      <w:lang w:val="es-MX" w:eastAsia="es-ES"/>
    </w:rPr>
  </w:style>
  <w:style w:type="paragraph" w:styleId="Sinespaciado">
    <w:name w:val="No Spacing"/>
    <w:uiPriority w:val="1"/>
    <w:qFormat/>
    <w:rsid w:val="00EE2DB8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7D7EB-F68D-4B85-90E3-7947B86E8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498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FGESLP</cp:lastModifiedBy>
  <cp:revision>5</cp:revision>
  <cp:lastPrinted>2026-07-24T19:26:00Z</cp:lastPrinted>
  <dcterms:created xsi:type="dcterms:W3CDTF">2026-02-03T17:52:00Z</dcterms:created>
  <dcterms:modified xsi:type="dcterms:W3CDTF">2026-07-24T20:15:00Z</dcterms:modified>
</cp:coreProperties>
</file>