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D3E" w:rsidRPr="00FC1E53" w:rsidRDefault="00FC1E53" w:rsidP="00FC1E53">
      <w:pPr>
        <w:shd w:val="clear" w:color="auto" w:fill="D9D9D9" w:themeFill="background1" w:themeFillShade="D9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lang w:eastAsia="es-MX"/>
        </w:rPr>
      </w:pPr>
      <w:r w:rsidRPr="00FC1E53">
        <w:rPr>
          <w:rFonts w:ascii="Calibri" w:eastAsia="Times New Roman" w:hAnsi="Calibri" w:cs="Calibri"/>
          <w:color w:val="000000"/>
          <w:sz w:val="36"/>
          <w:lang w:eastAsia="es-MX"/>
        </w:rPr>
        <w:t xml:space="preserve">ART </w:t>
      </w:r>
      <w:r w:rsidR="008C2D3E" w:rsidRPr="00FC1E53">
        <w:rPr>
          <w:rFonts w:ascii="Calibri" w:eastAsia="Times New Roman" w:hAnsi="Calibri" w:cs="Calibri"/>
          <w:color w:val="000000"/>
          <w:sz w:val="36"/>
          <w:lang w:eastAsia="es-MX"/>
        </w:rPr>
        <w:t>90</w:t>
      </w:r>
      <w:r w:rsidRPr="00FC1E53">
        <w:rPr>
          <w:rFonts w:ascii="Calibri" w:eastAsia="Times New Roman" w:hAnsi="Calibri" w:cs="Calibri"/>
          <w:color w:val="000000"/>
          <w:sz w:val="36"/>
          <w:lang w:eastAsia="es-MX"/>
        </w:rPr>
        <w:t xml:space="preserve"> F </w:t>
      </w:r>
      <w:r w:rsidR="008C2D3E" w:rsidRPr="00FC1E53">
        <w:rPr>
          <w:rFonts w:ascii="Calibri" w:eastAsia="Times New Roman" w:hAnsi="Calibri" w:cs="Calibri"/>
          <w:color w:val="000000"/>
          <w:sz w:val="36"/>
          <w:lang w:eastAsia="es-MX"/>
        </w:rPr>
        <w:t>XXXVIII</w:t>
      </w:r>
    </w:p>
    <w:p w:rsidR="00FC1E53" w:rsidRDefault="00FC1E53" w:rsidP="00FC1E5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eastAsia="es-MX"/>
        </w:rPr>
      </w:pPr>
    </w:p>
    <w:p w:rsidR="008C2D3E" w:rsidRPr="00FC1E53" w:rsidRDefault="008C2D3E" w:rsidP="00FC1E5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eastAsia="es-MX"/>
        </w:rPr>
      </w:pPr>
      <w:r w:rsidRPr="00FC1E53">
        <w:rPr>
          <w:rFonts w:ascii="Calibri" w:eastAsia="Times New Roman" w:hAnsi="Calibri" w:cs="Calibri"/>
          <w:color w:val="000000"/>
          <w:sz w:val="36"/>
          <w:lang w:eastAsia="es-MX"/>
        </w:rPr>
        <w:t xml:space="preserve">CON FUNDAMENTO EN EL ARTICULO 162 DEL REGLAMENTO DE FISCALIZACIÓN ESTA PROHIBIDO REALIZAR TRANSFERENCIAS EN EFECTIVO O EN ESPECIE A ORGANIZACIONES ADHERENTES O SIMILARES. </w:t>
      </w:r>
    </w:p>
    <w:p w:rsidR="009A18B5" w:rsidRPr="00FC1E53" w:rsidRDefault="009A18B5" w:rsidP="00FC1E53">
      <w:pPr>
        <w:jc w:val="both"/>
        <w:rPr>
          <w:sz w:val="36"/>
        </w:rPr>
      </w:pPr>
      <w:bookmarkStart w:id="0" w:name="_GoBack"/>
      <w:bookmarkEnd w:id="0"/>
    </w:p>
    <w:sectPr w:rsidR="009A18B5" w:rsidRPr="00FC1E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D3E"/>
    <w:rsid w:val="008C2D3E"/>
    <w:rsid w:val="009A18B5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0E033"/>
  <w15:chartTrackingRefBased/>
  <w15:docId w15:val="{C1015417-F019-431C-A13B-5A9C96060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4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HP</cp:lastModifiedBy>
  <cp:revision>2</cp:revision>
  <dcterms:created xsi:type="dcterms:W3CDTF">2026-05-18T16:16:00Z</dcterms:created>
  <dcterms:modified xsi:type="dcterms:W3CDTF">2026-05-18T16:16:00Z</dcterms:modified>
</cp:coreProperties>
</file>