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4A2" w:rsidRPr="00EB1FE0" w:rsidRDefault="002B74A2" w:rsidP="002B74A2">
      <w:pPr>
        <w:spacing w:after="0" w:line="240" w:lineRule="auto"/>
        <w:ind w:left="3969"/>
        <w:jc w:val="both"/>
        <w:rPr>
          <w:rFonts w:ascii="Arial" w:eastAsia="Calibri" w:hAnsi="Arial" w:cs="Arial"/>
          <w:b/>
        </w:rPr>
      </w:pPr>
      <w:r w:rsidRPr="00EB1FE0">
        <w:rPr>
          <w:rFonts w:ascii="Arial" w:eastAsia="Calibri" w:hAnsi="Arial" w:cs="Arial"/>
          <w:b/>
        </w:rPr>
        <w:t>TRIBUNAL ESTATAL DE JUSTICIA ADMINISTRATIVA</w:t>
      </w:r>
    </w:p>
    <w:p w:rsidR="002B74A2" w:rsidRPr="00EB1FE0" w:rsidRDefault="002B74A2" w:rsidP="002B74A2">
      <w:pPr>
        <w:spacing w:after="0" w:line="240" w:lineRule="auto"/>
        <w:ind w:left="3969"/>
        <w:jc w:val="both"/>
        <w:rPr>
          <w:rFonts w:ascii="Arial" w:eastAsia="Calibri" w:hAnsi="Arial" w:cs="Arial"/>
          <w:b/>
        </w:rPr>
      </w:pPr>
    </w:p>
    <w:p w:rsidR="002B74A2" w:rsidRPr="00EB1FE0" w:rsidRDefault="002B74A2" w:rsidP="002B74A2">
      <w:pPr>
        <w:spacing w:after="0" w:line="240" w:lineRule="auto"/>
        <w:ind w:left="3969"/>
        <w:jc w:val="both"/>
        <w:rPr>
          <w:rFonts w:ascii="Arial" w:eastAsia="Calibri" w:hAnsi="Arial" w:cs="Arial"/>
          <w:b/>
        </w:rPr>
      </w:pPr>
      <w:r w:rsidRPr="00EB1FE0">
        <w:rPr>
          <w:rFonts w:ascii="Arial" w:eastAsia="Calibri" w:hAnsi="Arial" w:cs="Arial"/>
          <w:b/>
        </w:rPr>
        <w:t>TERCERA SALA UNITARIA</w:t>
      </w:r>
    </w:p>
    <w:p w:rsidR="002B74A2" w:rsidRPr="00EB1FE0" w:rsidRDefault="002B74A2" w:rsidP="002B74A2">
      <w:pPr>
        <w:spacing w:after="0" w:line="240" w:lineRule="auto"/>
        <w:ind w:left="3969"/>
        <w:jc w:val="center"/>
        <w:rPr>
          <w:rFonts w:ascii="Arial" w:eastAsia="Calibri" w:hAnsi="Arial" w:cs="Arial"/>
          <w:b/>
        </w:rPr>
      </w:pPr>
    </w:p>
    <w:p w:rsidR="002B74A2" w:rsidRPr="00EB1FE0" w:rsidRDefault="002B74A2" w:rsidP="002B74A2">
      <w:pPr>
        <w:spacing w:after="0" w:line="240" w:lineRule="auto"/>
        <w:ind w:left="3969"/>
        <w:jc w:val="both"/>
        <w:rPr>
          <w:rFonts w:ascii="Arial" w:eastAsia="Calibri" w:hAnsi="Arial" w:cs="Arial"/>
          <w:b/>
        </w:rPr>
      </w:pPr>
      <w:r w:rsidRPr="00EB1FE0">
        <w:rPr>
          <w:rFonts w:ascii="Arial" w:eastAsia="Calibri" w:hAnsi="Arial" w:cs="Arial"/>
          <w:b/>
        </w:rPr>
        <w:t xml:space="preserve">EXPEDIENTE: </w:t>
      </w:r>
      <w:r w:rsidR="00DC5D34">
        <w:rPr>
          <w:rFonts w:ascii="Arial" w:eastAsia="Calibri" w:hAnsi="Arial" w:cs="Arial"/>
          <w:b/>
        </w:rPr>
        <w:t>424</w:t>
      </w:r>
      <w:r w:rsidRPr="00EB1FE0">
        <w:rPr>
          <w:rFonts w:ascii="Arial" w:eastAsia="Calibri" w:hAnsi="Arial" w:cs="Arial"/>
          <w:b/>
        </w:rPr>
        <w:t>/202</w:t>
      </w:r>
      <w:r>
        <w:rPr>
          <w:rFonts w:ascii="Arial" w:eastAsia="Calibri" w:hAnsi="Arial" w:cs="Arial"/>
          <w:b/>
        </w:rPr>
        <w:t>4</w:t>
      </w:r>
      <w:r w:rsidRPr="00EB1FE0">
        <w:rPr>
          <w:rFonts w:ascii="Arial" w:eastAsia="Calibri" w:hAnsi="Arial" w:cs="Arial"/>
          <w:b/>
        </w:rPr>
        <w:t>-3</w:t>
      </w:r>
    </w:p>
    <w:p w:rsidR="002B74A2" w:rsidRPr="00EB1FE0" w:rsidRDefault="002B74A2" w:rsidP="002B74A2">
      <w:pPr>
        <w:spacing w:after="0" w:line="240" w:lineRule="auto"/>
        <w:ind w:left="3969"/>
        <w:jc w:val="both"/>
        <w:rPr>
          <w:rFonts w:ascii="Arial" w:eastAsia="Calibri" w:hAnsi="Arial" w:cs="Arial"/>
          <w:b/>
        </w:rPr>
      </w:pPr>
    </w:p>
    <w:p w:rsidR="002B74A2" w:rsidRPr="00EB1FE0" w:rsidRDefault="002B74A2" w:rsidP="002B74A2">
      <w:pPr>
        <w:spacing w:after="0" w:line="240" w:lineRule="auto"/>
        <w:ind w:left="3969"/>
        <w:jc w:val="both"/>
        <w:rPr>
          <w:rFonts w:ascii="Arial" w:eastAsia="Calibri" w:hAnsi="Arial" w:cs="Arial"/>
          <w:b/>
        </w:rPr>
      </w:pPr>
      <w:r w:rsidRPr="00EB1FE0">
        <w:rPr>
          <w:rFonts w:ascii="Arial" w:eastAsia="Calibri" w:hAnsi="Arial" w:cs="Arial"/>
          <w:b/>
        </w:rPr>
        <w:t xml:space="preserve">ACTOR: </w:t>
      </w:r>
    </w:p>
    <w:p w:rsidR="002B74A2" w:rsidRPr="00EB1FE0" w:rsidRDefault="00AA48E5" w:rsidP="002B74A2">
      <w:pPr>
        <w:spacing w:after="0" w:line="240" w:lineRule="auto"/>
        <w:ind w:left="3969"/>
        <w:jc w:val="both"/>
        <w:rPr>
          <w:rFonts w:ascii="Arial" w:eastAsia="Calibri" w:hAnsi="Arial" w:cs="Arial"/>
        </w:rPr>
      </w:pPr>
      <w:r>
        <w:rPr>
          <w:rFonts w:ascii="Arial" w:eastAsia="Calibri" w:hAnsi="Arial" w:cs="Arial"/>
          <w:color w:val="FF0000"/>
        </w:rPr>
        <w:t>***********</w:t>
      </w:r>
    </w:p>
    <w:p w:rsidR="002B74A2" w:rsidRPr="00EB1FE0" w:rsidRDefault="002B74A2" w:rsidP="002B74A2">
      <w:pPr>
        <w:spacing w:after="0" w:line="240" w:lineRule="auto"/>
        <w:ind w:left="3969"/>
        <w:jc w:val="both"/>
        <w:rPr>
          <w:rFonts w:ascii="Arial" w:eastAsia="Calibri" w:hAnsi="Arial" w:cs="Arial"/>
          <w:b/>
        </w:rPr>
      </w:pPr>
      <w:r w:rsidRPr="00EB1FE0">
        <w:rPr>
          <w:rFonts w:ascii="Arial" w:eastAsia="Calibri" w:hAnsi="Arial" w:cs="Arial"/>
          <w:b/>
        </w:rPr>
        <w:t>AUTORIDAD DEMANDADA:</w:t>
      </w:r>
    </w:p>
    <w:p w:rsidR="00DC5D34" w:rsidRDefault="00DC5D34" w:rsidP="002B74A2">
      <w:pPr>
        <w:spacing w:after="0" w:line="240" w:lineRule="auto"/>
        <w:ind w:left="3969"/>
        <w:jc w:val="both"/>
        <w:rPr>
          <w:rFonts w:ascii="Arial" w:eastAsia="Calibri" w:hAnsi="Arial" w:cs="Arial"/>
        </w:rPr>
      </w:pPr>
      <w:r>
        <w:rPr>
          <w:rFonts w:ascii="Arial" w:eastAsia="Calibri" w:hAnsi="Arial" w:cs="Arial"/>
        </w:rPr>
        <w:t>DIRECTOR DE COMERCIO Y ALCOHOLES DEL MUNICIPIO DE TIERRA NUEVA, S.L.P.</w:t>
      </w:r>
    </w:p>
    <w:p w:rsidR="002B74A2" w:rsidRPr="00EB1FE0" w:rsidRDefault="00DC5D34" w:rsidP="002B74A2">
      <w:pPr>
        <w:spacing w:after="0" w:line="240" w:lineRule="auto"/>
        <w:ind w:left="3969"/>
        <w:jc w:val="both"/>
        <w:rPr>
          <w:rFonts w:ascii="Arial" w:eastAsia="Calibri" w:hAnsi="Arial" w:cs="Arial"/>
        </w:rPr>
      </w:pPr>
      <w:r w:rsidRPr="00EB1FE0">
        <w:rPr>
          <w:rFonts w:ascii="Arial" w:eastAsia="Calibri" w:hAnsi="Arial" w:cs="Arial"/>
        </w:rPr>
        <w:t xml:space="preserve"> </w:t>
      </w:r>
    </w:p>
    <w:p w:rsidR="002B74A2" w:rsidRPr="00EB1FE0" w:rsidRDefault="002B74A2" w:rsidP="002B74A2">
      <w:pPr>
        <w:spacing w:after="0" w:line="240" w:lineRule="auto"/>
        <w:ind w:left="3969"/>
        <w:jc w:val="both"/>
        <w:rPr>
          <w:rFonts w:ascii="Arial" w:eastAsia="Calibri" w:hAnsi="Arial" w:cs="Arial"/>
          <w:b/>
        </w:rPr>
      </w:pPr>
      <w:r w:rsidRPr="00EB1FE0">
        <w:rPr>
          <w:rFonts w:ascii="Arial" w:eastAsia="Calibri" w:hAnsi="Arial" w:cs="Arial"/>
          <w:b/>
        </w:rPr>
        <w:t>MAGISTRADO:</w:t>
      </w:r>
    </w:p>
    <w:p w:rsidR="002B74A2" w:rsidRPr="00EB1FE0" w:rsidRDefault="002B74A2" w:rsidP="002B74A2">
      <w:pPr>
        <w:spacing w:after="0" w:line="240" w:lineRule="auto"/>
        <w:ind w:left="3969"/>
        <w:jc w:val="both"/>
        <w:rPr>
          <w:rFonts w:ascii="Arial" w:eastAsia="Calibri" w:hAnsi="Arial" w:cs="Arial"/>
        </w:rPr>
      </w:pPr>
      <w:r w:rsidRPr="00EB1FE0">
        <w:rPr>
          <w:rFonts w:ascii="Arial" w:eastAsia="Calibri" w:hAnsi="Arial" w:cs="Arial"/>
        </w:rPr>
        <w:t>LICENCIADO JORGE ALEJANDRO VERA NOYOLA.</w:t>
      </w:r>
    </w:p>
    <w:p w:rsidR="002B74A2" w:rsidRPr="00EB1FE0" w:rsidRDefault="002B74A2" w:rsidP="002B74A2">
      <w:pPr>
        <w:spacing w:after="0" w:line="240" w:lineRule="auto"/>
        <w:ind w:left="3969"/>
        <w:jc w:val="both"/>
        <w:rPr>
          <w:rFonts w:ascii="Arial" w:eastAsia="Arial Unicode MS" w:hAnsi="Arial" w:cs="Arial"/>
          <w:b/>
        </w:rPr>
      </w:pPr>
    </w:p>
    <w:p w:rsidR="002B74A2" w:rsidRPr="00EB1FE0" w:rsidRDefault="002B74A2" w:rsidP="002B74A2">
      <w:pPr>
        <w:spacing w:after="0" w:line="240" w:lineRule="auto"/>
        <w:ind w:left="3969"/>
        <w:jc w:val="both"/>
        <w:rPr>
          <w:rFonts w:ascii="Arial" w:eastAsia="Arial Unicode MS" w:hAnsi="Arial" w:cs="Arial"/>
          <w:b/>
        </w:rPr>
      </w:pPr>
      <w:r w:rsidRPr="00EB1FE0">
        <w:rPr>
          <w:rFonts w:ascii="Arial" w:eastAsia="Arial Unicode MS" w:hAnsi="Arial" w:cs="Arial"/>
          <w:b/>
        </w:rPr>
        <w:t>SECRETARIO DE ESTUDIO Y CUENTA:</w:t>
      </w:r>
    </w:p>
    <w:p w:rsidR="002B74A2" w:rsidRPr="00EB1FE0" w:rsidRDefault="002B74A2" w:rsidP="002B74A2">
      <w:pPr>
        <w:spacing w:after="0" w:line="240" w:lineRule="auto"/>
        <w:ind w:left="3969"/>
        <w:jc w:val="both"/>
        <w:rPr>
          <w:rFonts w:ascii="Arial" w:eastAsia="Arial Unicode MS" w:hAnsi="Arial" w:cs="Arial"/>
        </w:rPr>
      </w:pPr>
      <w:r w:rsidRPr="00EB1FE0">
        <w:rPr>
          <w:rFonts w:ascii="Arial" w:eastAsia="Arial Unicode MS" w:hAnsi="Arial" w:cs="Arial"/>
        </w:rPr>
        <w:t xml:space="preserve">LICENCIADA </w:t>
      </w:r>
      <w:r>
        <w:rPr>
          <w:rFonts w:ascii="Arial" w:eastAsia="Arial Unicode MS" w:hAnsi="Arial" w:cs="Arial"/>
        </w:rPr>
        <w:t>DIANA CAROLINA MONTELONGO ORTIZ</w:t>
      </w:r>
    </w:p>
    <w:p w:rsidR="002B74A2" w:rsidRPr="00EB1FE0" w:rsidRDefault="002B74A2" w:rsidP="002B74A2">
      <w:pPr>
        <w:spacing w:after="0"/>
        <w:ind w:firstLine="709"/>
        <w:jc w:val="both"/>
        <w:rPr>
          <w:rFonts w:ascii="Arial" w:eastAsia="Arial Unicode MS" w:hAnsi="Arial" w:cs="Arial"/>
          <w:w w:val="95"/>
        </w:rPr>
      </w:pPr>
    </w:p>
    <w:p w:rsidR="002B74A2" w:rsidRPr="00EB1FE0" w:rsidRDefault="002B74A2" w:rsidP="002B74A2">
      <w:pPr>
        <w:spacing w:after="0" w:line="360" w:lineRule="auto"/>
        <w:ind w:firstLine="709"/>
        <w:jc w:val="both"/>
        <w:rPr>
          <w:rFonts w:ascii="Arial" w:eastAsia="Arial Unicode MS" w:hAnsi="Arial" w:cs="Arial"/>
          <w:sz w:val="24"/>
          <w:szCs w:val="24"/>
        </w:rPr>
      </w:pPr>
      <w:r w:rsidRPr="00EB1FE0">
        <w:rPr>
          <w:rFonts w:ascii="Arial" w:eastAsia="Arial Unicode MS" w:hAnsi="Arial" w:cs="Arial"/>
          <w:sz w:val="24"/>
          <w:szCs w:val="24"/>
        </w:rPr>
        <w:t xml:space="preserve">San Luis Potosí, S.L.P., </w:t>
      </w:r>
      <w:r w:rsidR="00DC5D34">
        <w:rPr>
          <w:rFonts w:ascii="Arial" w:eastAsia="Arial Unicode MS" w:hAnsi="Arial" w:cs="Arial"/>
          <w:sz w:val="24"/>
          <w:szCs w:val="24"/>
        </w:rPr>
        <w:t xml:space="preserve">dieciocho de </w:t>
      </w:r>
      <w:r>
        <w:rPr>
          <w:rFonts w:ascii="Arial" w:eastAsia="Arial Unicode MS" w:hAnsi="Arial" w:cs="Arial"/>
          <w:sz w:val="24"/>
          <w:szCs w:val="24"/>
        </w:rPr>
        <w:t>junio de dos mil veintiséis</w:t>
      </w:r>
      <w:r w:rsidRPr="00EB1FE0">
        <w:rPr>
          <w:rFonts w:ascii="Arial" w:eastAsia="Arial Unicode MS" w:hAnsi="Arial" w:cs="Arial"/>
          <w:sz w:val="24"/>
          <w:szCs w:val="24"/>
        </w:rPr>
        <w:t>.</w:t>
      </w:r>
    </w:p>
    <w:p w:rsidR="002B74A2" w:rsidRPr="00EB1FE0" w:rsidRDefault="002B74A2" w:rsidP="002B74A2">
      <w:pPr>
        <w:spacing w:after="0" w:line="360" w:lineRule="auto"/>
        <w:ind w:firstLine="709"/>
        <w:jc w:val="both"/>
        <w:rPr>
          <w:rFonts w:ascii="Arial" w:eastAsia="Arial Unicode MS" w:hAnsi="Arial" w:cs="Arial"/>
          <w:sz w:val="24"/>
          <w:szCs w:val="24"/>
        </w:rPr>
      </w:pPr>
    </w:p>
    <w:p w:rsidR="002B74A2" w:rsidRPr="00EB1FE0" w:rsidRDefault="002B74A2" w:rsidP="002B74A2">
      <w:pPr>
        <w:spacing w:after="0" w:line="360" w:lineRule="auto"/>
        <w:ind w:firstLine="709"/>
        <w:jc w:val="both"/>
        <w:rPr>
          <w:rFonts w:ascii="Arial" w:eastAsia="Arial Unicode MS" w:hAnsi="Arial" w:cs="Arial"/>
          <w:sz w:val="24"/>
          <w:szCs w:val="24"/>
        </w:rPr>
      </w:pPr>
      <w:r w:rsidRPr="00EB1FE0">
        <w:rPr>
          <w:rFonts w:ascii="Arial" w:eastAsia="Arial Unicode MS" w:hAnsi="Arial" w:cs="Arial"/>
          <w:b/>
          <w:sz w:val="24"/>
          <w:szCs w:val="24"/>
        </w:rPr>
        <w:t>V I S T O S</w:t>
      </w:r>
      <w:r w:rsidRPr="00EB1FE0">
        <w:rPr>
          <w:rFonts w:ascii="Arial" w:eastAsia="Arial Unicode MS" w:hAnsi="Arial" w:cs="Arial"/>
          <w:sz w:val="24"/>
          <w:szCs w:val="24"/>
        </w:rPr>
        <w:t xml:space="preserve"> para resolver en definitiva los autos del Juicio Contencioso Administrativo </w:t>
      </w:r>
      <w:r w:rsidR="00DC5D34" w:rsidRPr="00DC5D34">
        <w:rPr>
          <w:rFonts w:ascii="Arial" w:eastAsia="Arial Unicode MS" w:hAnsi="Arial" w:cs="Arial"/>
          <w:b/>
          <w:sz w:val="24"/>
          <w:szCs w:val="24"/>
        </w:rPr>
        <w:t>424</w:t>
      </w:r>
      <w:r w:rsidRPr="00BD3ED3">
        <w:rPr>
          <w:rFonts w:ascii="Arial" w:eastAsia="Arial Unicode MS" w:hAnsi="Arial" w:cs="Arial"/>
          <w:b/>
          <w:sz w:val="24"/>
          <w:szCs w:val="24"/>
        </w:rPr>
        <w:t>/</w:t>
      </w:r>
      <w:r w:rsidRPr="00EB1FE0">
        <w:rPr>
          <w:rFonts w:ascii="Arial" w:eastAsia="Arial Unicode MS" w:hAnsi="Arial" w:cs="Arial"/>
          <w:b/>
          <w:sz w:val="24"/>
          <w:szCs w:val="24"/>
        </w:rPr>
        <w:t>202</w:t>
      </w:r>
      <w:r>
        <w:rPr>
          <w:rFonts w:ascii="Arial" w:eastAsia="Arial Unicode MS" w:hAnsi="Arial" w:cs="Arial"/>
          <w:b/>
          <w:sz w:val="24"/>
          <w:szCs w:val="24"/>
        </w:rPr>
        <w:t>4</w:t>
      </w:r>
      <w:r w:rsidRPr="00EB1FE0">
        <w:rPr>
          <w:rFonts w:ascii="Arial" w:eastAsia="Arial Unicode MS" w:hAnsi="Arial" w:cs="Arial"/>
          <w:b/>
          <w:sz w:val="24"/>
          <w:szCs w:val="24"/>
        </w:rPr>
        <w:t xml:space="preserve">-3 </w:t>
      </w:r>
      <w:r w:rsidRPr="00EB1FE0">
        <w:rPr>
          <w:rFonts w:ascii="Arial" w:eastAsia="Arial Unicode MS" w:hAnsi="Arial" w:cs="Arial"/>
          <w:sz w:val="24"/>
          <w:szCs w:val="24"/>
        </w:rPr>
        <w:t>promovido por</w:t>
      </w:r>
      <w:r w:rsidR="00AA48E5">
        <w:rPr>
          <w:rFonts w:ascii="Arial" w:eastAsia="Arial Unicode MS" w:hAnsi="Arial" w:cs="Arial"/>
          <w:b/>
          <w:color w:val="FF0000"/>
          <w:sz w:val="24"/>
          <w:szCs w:val="24"/>
        </w:rPr>
        <w:t>***********</w:t>
      </w:r>
      <w:r w:rsidRPr="00EB1FE0">
        <w:rPr>
          <w:rFonts w:ascii="Arial" w:eastAsia="Arial Unicode MS" w:hAnsi="Arial" w:cs="Arial"/>
          <w:sz w:val="24"/>
          <w:szCs w:val="24"/>
        </w:rPr>
        <w:t xml:space="preserve">contra actos </w:t>
      </w:r>
      <w:r>
        <w:rPr>
          <w:rFonts w:ascii="Arial" w:eastAsia="Arial Unicode MS" w:hAnsi="Arial" w:cs="Arial"/>
          <w:sz w:val="24"/>
          <w:szCs w:val="24"/>
        </w:rPr>
        <w:t xml:space="preserve">del </w:t>
      </w:r>
      <w:r w:rsidR="00DC5D34" w:rsidRPr="00DC5D34">
        <w:rPr>
          <w:rFonts w:ascii="Arial" w:eastAsia="Arial Unicode MS" w:hAnsi="Arial" w:cs="Arial"/>
          <w:b/>
          <w:sz w:val="24"/>
          <w:szCs w:val="24"/>
        </w:rPr>
        <w:t>Director de Comercio y Alcoholes del Municipio de Tierra Nueva, S.L.P.</w:t>
      </w:r>
      <w:r w:rsidRPr="00EB1FE0">
        <w:rPr>
          <w:rFonts w:ascii="Arial" w:eastAsia="Arial Unicode MS" w:hAnsi="Arial" w:cs="Arial"/>
          <w:b/>
          <w:sz w:val="24"/>
          <w:szCs w:val="24"/>
        </w:rPr>
        <w:t xml:space="preserve">; </w:t>
      </w:r>
      <w:r w:rsidRPr="00EB1FE0">
        <w:rPr>
          <w:rFonts w:ascii="Arial" w:eastAsia="Arial Unicode MS" w:hAnsi="Arial" w:cs="Arial"/>
          <w:sz w:val="24"/>
          <w:szCs w:val="24"/>
        </w:rPr>
        <w:t>y</w:t>
      </w:r>
    </w:p>
    <w:p w:rsidR="002B74A2" w:rsidRPr="00EB1FE0" w:rsidRDefault="002B74A2" w:rsidP="002B74A2">
      <w:pPr>
        <w:spacing w:after="0" w:line="360" w:lineRule="auto"/>
        <w:ind w:firstLine="709"/>
        <w:jc w:val="both"/>
        <w:rPr>
          <w:rFonts w:ascii="Arial" w:eastAsia="Arial Unicode MS" w:hAnsi="Arial" w:cs="Arial"/>
          <w:sz w:val="24"/>
          <w:szCs w:val="24"/>
        </w:rPr>
      </w:pPr>
    </w:p>
    <w:p w:rsidR="002B74A2" w:rsidRPr="00EB1FE0" w:rsidRDefault="002B74A2" w:rsidP="002B74A2">
      <w:pPr>
        <w:spacing w:after="0" w:line="360" w:lineRule="auto"/>
        <w:jc w:val="center"/>
        <w:rPr>
          <w:rFonts w:ascii="Arial" w:eastAsia="Arial Unicode MS" w:hAnsi="Arial" w:cs="Arial"/>
          <w:b/>
          <w:sz w:val="24"/>
          <w:szCs w:val="24"/>
        </w:rPr>
      </w:pPr>
      <w:r w:rsidRPr="00EB1FE0">
        <w:rPr>
          <w:rFonts w:ascii="Arial" w:eastAsia="Arial Unicode MS" w:hAnsi="Arial" w:cs="Arial"/>
          <w:b/>
          <w:sz w:val="24"/>
          <w:szCs w:val="24"/>
        </w:rPr>
        <w:t>R E S U L T A N D O</w:t>
      </w:r>
    </w:p>
    <w:p w:rsidR="002B74A2" w:rsidRPr="00EB1FE0" w:rsidRDefault="002B74A2" w:rsidP="002B74A2">
      <w:pPr>
        <w:spacing w:after="0" w:line="360" w:lineRule="auto"/>
        <w:ind w:firstLine="709"/>
        <w:jc w:val="both"/>
        <w:rPr>
          <w:rFonts w:ascii="Arial" w:eastAsia="Arial Unicode MS" w:hAnsi="Arial" w:cs="Arial"/>
          <w:b/>
          <w:sz w:val="24"/>
          <w:szCs w:val="24"/>
        </w:rPr>
      </w:pPr>
    </w:p>
    <w:p w:rsidR="002B74A2" w:rsidRDefault="002B74A2" w:rsidP="002B74A2">
      <w:pPr>
        <w:spacing w:after="0" w:line="360" w:lineRule="auto"/>
        <w:ind w:firstLine="709"/>
        <w:jc w:val="both"/>
        <w:rPr>
          <w:rFonts w:ascii="Arial" w:eastAsia="Arial Unicode MS" w:hAnsi="Arial" w:cs="Arial"/>
          <w:sz w:val="24"/>
          <w:szCs w:val="24"/>
        </w:rPr>
      </w:pPr>
      <w:r w:rsidRPr="00EB1FE0">
        <w:rPr>
          <w:rFonts w:ascii="Arial" w:eastAsia="Calibri" w:hAnsi="Arial" w:cs="Arial"/>
          <w:b/>
          <w:sz w:val="24"/>
          <w:szCs w:val="24"/>
        </w:rPr>
        <w:t>I.-</w:t>
      </w:r>
      <w:r w:rsidRPr="00EB1FE0">
        <w:rPr>
          <w:rFonts w:ascii="Arial" w:eastAsia="Calibri" w:hAnsi="Arial" w:cs="Arial"/>
          <w:sz w:val="24"/>
          <w:szCs w:val="24"/>
        </w:rPr>
        <w:t xml:space="preserve"> </w:t>
      </w:r>
      <w:r w:rsidRPr="00EB1FE0">
        <w:rPr>
          <w:rFonts w:ascii="Arial" w:eastAsia="Calibri" w:hAnsi="Arial" w:cs="Arial"/>
          <w:sz w:val="24"/>
          <w:szCs w:val="24"/>
          <w:lang w:val="es-ES"/>
        </w:rPr>
        <w:t xml:space="preserve">Por escrito recibido en este Tribunal con fecha </w:t>
      </w:r>
      <w:r w:rsidR="00DC5D34">
        <w:rPr>
          <w:rFonts w:ascii="Arial" w:eastAsia="Calibri" w:hAnsi="Arial" w:cs="Arial"/>
          <w:sz w:val="24"/>
          <w:szCs w:val="24"/>
          <w:lang w:val="es-ES"/>
        </w:rPr>
        <w:t>seis de mayo de dos mil veinticuatro</w:t>
      </w:r>
      <w:r w:rsidRPr="00EB1FE0">
        <w:rPr>
          <w:rFonts w:ascii="Arial" w:eastAsia="Calibri" w:hAnsi="Arial" w:cs="Arial"/>
          <w:sz w:val="24"/>
          <w:szCs w:val="24"/>
          <w:lang w:val="es-ES"/>
        </w:rPr>
        <w:t>, compareció</w:t>
      </w:r>
      <w:r>
        <w:rPr>
          <w:rFonts w:ascii="Arial" w:eastAsia="Calibri" w:hAnsi="Arial" w:cs="Arial"/>
          <w:sz w:val="24"/>
          <w:szCs w:val="24"/>
          <w:lang w:val="es-ES"/>
        </w:rPr>
        <w:t xml:space="preserve"> </w:t>
      </w:r>
      <w:r w:rsidR="00AA48E5">
        <w:rPr>
          <w:rFonts w:ascii="Arial" w:eastAsia="Arial Unicode MS" w:hAnsi="Arial" w:cs="Arial"/>
          <w:b/>
          <w:color w:val="FF0000"/>
          <w:sz w:val="24"/>
          <w:szCs w:val="24"/>
        </w:rPr>
        <w:t>***********</w:t>
      </w:r>
      <w:r>
        <w:rPr>
          <w:rFonts w:ascii="Arial" w:eastAsia="Calibri" w:hAnsi="Arial" w:cs="Arial"/>
          <w:sz w:val="24"/>
          <w:szCs w:val="24"/>
          <w:lang w:val="es-ES"/>
        </w:rPr>
        <w:t>a demandar del</w:t>
      </w:r>
      <w:r w:rsidR="00DC5D34">
        <w:rPr>
          <w:rFonts w:ascii="Arial" w:eastAsia="Calibri" w:hAnsi="Arial" w:cs="Arial"/>
          <w:sz w:val="24"/>
          <w:szCs w:val="24"/>
          <w:lang w:val="es-ES"/>
        </w:rPr>
        <w:t xml:space="preserve"> </w:t>
      </w:r>
      <w:r w:rsidR="00DC5D34" w:rsidRPr="00DC5D34">
        <w:rPr>
          <w:rFonts w:ascii="Arial" w:eastAsia="Arial Unicode MS" w:hAnsi="Arial" w:cs="Arial"/>
          <w:b/>
          <w:sz w:val="24"/>
          <w:szCs w:val="24"/>
        </w:rPr>
        <w:t>Director de Comercio y Alcoholes del Municipio de Tierra Nueva, S.L.P.</w:t>
      </w:r>
      <w:r>
        <w:rPr>
          <w:rFonts w:ascii="Arial" w:eastAsia="Arial Unicode MS" w:hAnsi="Arial" w:cs="Arial"/>
          <w:b/>
          <w:sz w:val="24"/>
          <w:szCs w:val="24"/>
        </w:rPr>
        <w:t xml:space="preserve">, </w:t>
      </w:r>
      <w:r w:rsidRPr="00986F05">
        <w:rPr>
          <w:rFonts w:ascii="Arial" w:eastAsia="Arial Unicode MS" w:hAnsi="Arial" w:cs="Arial"/>
          <w:sz w:val="24"/>
          <w:szCs w:val="24"/>
        </w:rPr>
        <w:t>por la nulidad del siguiente acto:</w:t>
      </w:r>
    </w:p>
    <w:p w:rsidR="002B74A2" w:rsidRPr="00986F05" w:rsidRDefault="002B74A2" w:rsidP="002B74A2">
      <w:pPr>
        <w:spacing w:after="0" w:line="360" w:lineRule="auto"/>
        <w:ind w:firstLine="709"/>
        <w:jc w:val="both"/>
        <w:rPr>
          <w:rFonts w:ascii="Arial" w:eastAsia="Calibri" w:hAnsi="Arial" w:cs="Arial"/>
          <w:sz w:val="24"/>
          <w:szCs w:val="24"/>
          <w:lang w:val="es-ES"/>
        </w:rPr>
      </w:pPr>
    </w:p>
    <w:p w:rsidR="00DC5D34" w:rsidRDefault="002B74A2" w:rsidP="002B74A2">
      <w:pPr>
        <w:spacing w:after="0" w:line="360" w:lineRule="auto"/>
        <w:ind w:firstLine="709"/>
        <w:jc w:val="both"/>
        <w:rPr>
          <w:rFonts w:ascii="Arial" w:eastAsia="Calibri" w:hAnsi="Arial" w:cs="Arial"/>
          <w:i/>
        </w:rPr>
      </w:pPr>
      <w:r>
        <w:rPr>
          <w:rFonts w:ascii="Arial" w:eastAsia="Calibri" w:hAnsi="Arial" w:cs="Arial"/>
          <w:i/>
        </w:rPr>
        <w:t>“…</w:t>
      </w:r>
      <w:r w:rsidR="00DC5D34">
        <w:rPr>
          <w:rFonts w:ascii="Arial" w:eastAsia="Calibri" w:hAnsi="Arial" w:cs="Arial"/>
          <w:i/>
        </w:rPr>
        <w:t>Acuerdo de sobreseimiento de fecha 12 de marzo de 2024, emitido para resolver el expediente número DCA_TN_2023_0001, emitido por el Profesor Eder Oswaldo Donjuán Díaz, ostentando el cargo de Director de Comercio y Alcoholes del Municipio de Tierra Nueva, estado de San Luis Potosí…”</w:t>
      </w:r>
    </w:p>
    <w:p w:rsidR="00DC5D34" w:rsidRDefault="00DC5D34" w:rsidP="002B74A2">
      <w:pPr>
        <w:spacing w:after="0" w:line="360" w:lineRule="auto"/>
        <w:ind w:firstLine="709"/>
        <w:jc w:val="both"/>
        <w:rPr>
          <w:rFonts w:ascii="Arial" w:eastAsia="Calibri" w:hAnsi="Arial" w:cs="Arial"/>
          <w:i/>
        </w:rPr>
      </w:pPr>
    </w:p>
    <w:p w:rsidR="002B74A2" w:rsidRDefault="002B74A2" w:rsidP="002B74A2">
      <w:pPr>
        <w:spacing w:after="0" w:line="360" w:lineRule="auto"/>
        <w:ind w:firstLine="709"/>
        <w:jc w:val="both"/>
        <w:rPr>
          <w:rFonts w:ascii="Arial" w:eastAsia="Calibri" w:hAnsi="Arial" w:cs="Arial"/>
          <w:sz w:val="24"/>
          <w:szCs w:val="24"/>
          <w:lang w:val="es-ES_tradnl"/>
        </w:rPr>
      </w:pPr>
      <w:r w:rsidRPr="00EB1FE0">
        <w:rPr>
          <w:rFonts w:ascii="Arial" w:eastAsia="Calibri" w:hAnsi="Arial" w:cs="Arial"/>
          <w:b/>
          <w:sz w:val="24"/>
          <w:szCs w:val="24"/>
        </w:rPr>
        <w:t>II.-</w:t>
      </w:r>
      <w:r w:rsidRPr="00EB1FE0">
        <w:rPr>
          <w:rFonts w:ascii="Arial" w:eastAsia="Calibri" w:hAnsi="Arial" w:cs="Arial"/>
          <w:sz w:val="24"/>
          <w:szCs w:val="24"/>
        </w:rPr>
        <w:t xml:space="preserve"> Por auto de fecha </w:t>
      </w:r>
      <w:r w:rsidR="00DC5D34">
        <w:rPr>
          <w:rFonts w:ascii="Arial" w:eastAsia="Calibri" w:hAnsi="Arial" w:cs="Arial"/>
          <w:sz w:val="24"/>
          <w:szCs w:val="24"/>
        </w:rPr>
        <w:t>siete de junio de dos mil veinticuatro</w:t>
      </w:r>
      <w:r w:rsidRPr="00EB1FE0">
        <w:rPr>
          <w:rFonts w:ascii="Arial" w:eastAsia="Calibri" w:hAnsi="Arial" w:cs="Arial"/>
          <w:sz w:val="24"/>
          <w:szCs w:val="24"/>
        </w:rPr>
        <w:t xml:space="preserve">, </w:t>
      </w:r>
      <w:r w:rsidRPr="00EB1FE0">
        <w:rPr>
          <w:rFonts w:ascii="Arial" w:eastAsia="Calibri" w:hAnsi="Arial" w:cs="Arial"/>
          <w:sz w:val="24"/>
          <w:szCs w:val="24"/>
          <w:lang w:val="es-ES_tradnl"/>
        </w:rPr>
        <w:t>se admitió a trámite la demanda y se ordenó correr traslado a la autoridad demandada, para que contestara</w:t>
      </w:r>
      <w:r>
        <w:rPr>
          <w:rFonts w:ascii="Arial" w:eastAsia="Calibri" w:hAnsi="Arial" w:cs="Arial"/>
          <w:sz w:val="24"/>
          <w:szCs w:val="24"/>
          <w:lang w:val="es-ES_tradnl"/>
        </w:rPr>
        <w:t>n</w:t>
      </w:r>
      <w:r w:rsidRPr="00EB1FE0">
        <w:rPr>
          <w:rFonts w:ascii="Arial" w:eastAsia="Calibri" w:hAnsi="Arial" w:cs="Arial"/>
          <w:sz w:val="24"/>
          <w:szCs w:val="24"/>
          <w:lang w:val="es-ES_tradnl"/>
        </w:rPr>
        <w:t xml:space="preserve"> dentro del término legal lo que a su interés conviniera.</w:t>
      </w:r>
    </w:p>
    <w:p w:rsidR="002B74A2" w:rsidRPr="00EB1FE0" w:rsidRDefault="002B74A2" w:rsidP="002B74A2">
      <w:pPr>
        <w:spacing w:after="0" w:line="360" w:lineRule="auto"/>
        <w:ind w:firstLine="709"/>
        <w:jc w:val="both"/>
        <w:rPr>
          <w:rFonts w:ascii="Arial" w:eastAsia="Calibri" w:hAnsi="Arial" w:cs="Arial"/>
          <w:sz w:val="24"/>
          <w:szCs w:val="24"/>
        </w:rPr>
      </w:pPr>
    </w:p>
    <w:p w:rsidR="002B74A2" w:rsidRDefault="002B74A2" w:rsidP="002B74A2">
      <w:pPr>
        <w:spacing w:after="0" w:line="360" w:lineRule="auto"/>
        <w:ind w:firstLine="709"/>
        <w:jc w:val="both"/>
        <w:rPr>
          <w:rFonts w:ascii="Arial" w:eastAsia="Calibri" w:hAnsi="Arial" w:cs="Arial"/>
          <w:sz w:val="24"/>
          <w:szCs w:val="24"/>
        </w:rPr>
      </w:pPr>
      <w:r w:rsidRPr="00EB1FE0">
        <w:rPr>
          <w:rFonts w:ascii="Arial" w:eastAsia="Calibri" w:hAnsi="Arial" w:cs="Arial"/>
          <w:b/>
          <w:sz w:val="24"/>
          <w:szCs w:val="24"/>
          <w:lang w:val="es-ES_tradnl"/>
        </w:rPr>
        <w:t>III.-</w:t>
      </w:r>
      <w:r>
        <w:rPr>
          <w:rFonts w:ascii="Arial" w:eastAsia="Calibri" w:hAnsi="Arial" w:cs="Arial"/>
          <w:b/>
          <w:sz w:val="24"/>
          <w:szCs w:val="24"/>
          <w:lang w:val="es-ES_tradnl"/>
        </w:rPr>
        <w:t xml:space="preserve"> </w:t>
      </w:r>
      <w:r w:rsidRPr="00EB1FE0">
        <w:rPr>
          <w:rFonts w:ascii="Arial" w:eastAsia="Calibri" w:hAnsi="Arial" w:cs="Arial"/>
          <w:sz w:val="24"/>
          <w:szCs w:val="24"/>
          <w:lang w:val="es-ES_tradnl"/>
        </w:rPr>
        <w:t>P</w:t>
      </w:r>
      <w:r w:rsidRPr="00EB1FE0">
        <w:rPr>
          <w:rFonts w:ascii="Arial" w:eastAsia="Calibri" w:hAnsi="Arial" w:cs="Arial"/>
          <w:sz w:val="24"/>
          <w:szCs w:val="24"/>
        </w:rPr>
        <w:t xml:space="preserve">or proveído de fecha </w:t>
      </w:r>
      <w:r w:rsidR="00DC5D34">
        <w:rPr>
          <w:rFonts w:ascii="Arial" w:eastAsia="Calibri" w:hAnsi="Arial" w:cs="Arial"/>
          <w:sz w:val="24"/>
          <w:szCs w:val="24"/>
        </w:rPr>
        <w:t>trece de agosto de dos mil veinticuatro</w:t>
      </w:r>
      <w:r w:rsidRPr="00EB1FE0">
        <w:rPr>
          <w:rFonts w:ascii="Arial" w:eastAsia="Calibri" w:hAnsi="Arial" w:cs="Arial"/>
          <w:sz w:val="24"/>
          <w:szCs w:val="24"/>
          <w:lang w:val="es-ES_tradnl"/>
        </w:rPr>
        <w:t>, se tuvo a la autoridad demandada, por</w:t>
      </w:r>
      <w:r w:rsidR="00AE2F5C">
        <w:rPr>
          <w:rFonts w:ascii="Arial" w:eastAsia="Calibri" w:hAnsi="Arial" w:cs="Arial"/>
          <w:sz w:val="24"/>
          <w:szCs w:val="24"/>
          <w:lang w:val="es-ES_tradnl"/>
        </w:rPr>
        <w:t xml:space="preserve"> no contestada la demanda y se tuvo por </w:t>
      </w:r>
      <w:proofErr w:type="spellStart"/>
      <w:r w:rsidR="00AE2F5C">
        <w:rPr>
          <w:rFonts w:ascii="Arial" w:eastAsia="Calibri" w:hAnsi="Arial" w:cs="Arial"/>
          <w:sz w:val="24"/>
          <w:szCs w:val="24"/>
          <w:lang w:val="es-ES_tradnl"/>
        </w:rPr>
        <w:t>precluído</w:t>
      </w:r>
      <w:proofErr w:type="spellEnd"/>
      <w:r w:rsidR="00AE2F5C">
        <w:rPr>
          <w:rFonts w:ascii="Arial" w:eastAsia="Calibri" w:hAnsi="Arial" w:cs="Arial"/>
          <w:sz w:val="24"/>
          <w:szCs w:val="24"/>
          <w:lang w:val="es-ES_tradnl"/>
        </w:rPr>
        <w:t xml:space="preserve"> su derecho correspondiente, por lo que se tuvo por contestando la </w:t>
      </w:r>
      <w:r w:rsidR="00AE2F5C">
        <w:rPr>
          <w:rFonts w:ascii="Arial" w:eastAsia="Calibri" w:hAnsi="Arial" w:cs="Arial"/>
          <w:sz w:val="24"/>
          <w:szCs w:val="24"/>
          <w:lang w:val="es-ES_tradnl"/>
        </w:rPr>
        <w:lastRenderedPageBreak/>
        <w:t>demanda en sentido afirmativo, salvo prueba en contrario. S</w:t>
      </w:r>
      <w:r w:rsidRPr="00EB1FE0">
        <w:rPr>
          <w:rFonts w:ascii="Arial" w:eastAsia="Calibri" w:hAnsi="Arial" w:cs="Arial"/>
          <w:sz w:val="24"/>
          <w:szCs w:val="24"/>
          <w:lang w:val="es-ES_tradnl"/>
        </w:rPr>
        <w:t>e admitieron las pruebas</w:t>
      </w:r>
      <w:r w:rsidR="00AE2F5C">
        <w:rPr>
          <w:rFonts w:ascii="Arial" w:eastAsia="Calibri" w:hAnsi="Arial" w:cs="Arial"/>
          <w:sz w:val="24"/>
          <w:szCs w:val="24"/>
          <w:lang w:val="es-ES_tradnl"/>
        </w:rPr>
        <w:t xml:space="preserve"> de la actora</w:t>
      </w:r>
      <w:r w:rsidRPr="00EB1FE0">
        <w:rPr>
          <w:rFonts w:ascii="Arial" w:eastAsia="Arial Unicode MS" w:hAnsi="Arial" w:cs="Arial"/>
          <w:sz w:val="24"/>
          <w:szCs w:val="24"/>
        </w:rPr>
        <w:t xml:space="preserve">; y </w:t>
      </w:r>
      <w:r w:rsidRPr="00EB1FE0">
        <w:rPr>
          <w:rFonts w:ascii="Arial" w:eastAsia="Calibri" w:hAnsi="Arial" w:cs="Arial"/>
          <w:sz w:val="24"/>
          <w:szCs w:val="24"/>
        </w:rPr>
        <w:t xml:space="preserve">se fijó  fecha y hora </w:t>
      </w:r>
      <w:r>
        <w:rPr>
          <w:rFonts w:ascii="Arial" w:eastAsia="Calibri" w:hAnsi="Arial" w:cs="Arial"/>
          <w:sz w:val="24"/>
          <w:szCs w:val="24"/>
        </w:rPr>
        <w:t>para la audiencia final.</w:t>
      </w:r>
    </w:p>
    <w:p w:rsidR="002B74A2" w:rsidRPr="00EB1FE0" w:rsidRDefault="002B74A2" w:rsidP="002B74A2">
      <w:pPr>
        <w:spacing w:after="0" w:line="360" w:lineRule="auto"/>
        <w:ind w:firstLine="709"/>
        <w:jc w:val="both"/>
        <w:rPr>
          <w:rFonts w:ascii="Arial" w:eastAsia="Calibri" w:hAnsi="Arial" w:cs="Arial"/>
          <w:sz w:val="24"/>
          <w:szCs w:val="24"/>
        </w:rPr>
      </w:pPr>
    </w:p>
    <w:p w:rsidR="002B74A2" w:rsidRPr="00EB1FE0" w:rsidRDefault="002B74A2" w:rsidP="002B74A2">
      <w:pPr>
        <w:spacing w:after="0" w:line="360" w:lineRule="auto"/>
        <w:ind w:firstLine="709"/>
        <w:jc w:val="both"/>
        <w:rPr>
          <w:rFonts w:ascii="Arial" w:eastAsia="Arial Unicode MS" w:hAnsi="Arial" w:cs="Arial"/>
          <w:sz w:val="24"/>
          <w:szCs w:val="24"/>
        </w:rPr>
      </w:pPr>
      <w:r w:rsidRPr="00EB1FE0">
        <w:rPr>
          <w:rFonts w:ascii="Arial" w:eastAsia="Calibri" w:hAnsi="Arial" w:cs="Arial"/>
          <w:b/>
          <w:sz w:val="24"/>
          <w:szCs w:val="24"/>
        </w:rPr>
        <w:t>IV.-</w:t>
      </w:r>
      <w:r w:rsidRPr="00EB1FE0">
        <w:rPr>
          <w:rFonts w:ascii="Arial" w:eastAsia="Calibri" w:hAnsi="Arial" w:cs="Arial"/>
          <w:sz w:val="24"/>
          <w:szCs w:val="24"/>
        </w:rPr>
        <w:t xml:space="preserve">  Con fecha </w:t>
      </w:r>
      <w:r w:rsidR="00AE2F5C">
        <w:rPr>
          <w:rFonts w:ascii="Arial" w:eastAsia="Calibri" w:hAnsi="Arial" w:cs="Arial"/>
          <w:sz w:val="24"/>
          <w:szCs w:val="24"/>
        </w:rPr>
        <w:t>diez de diciembre de dos mil veinticuatro</w:t>
      </w:r>
      <w:r w:rsidRPr="00EB1FE0">
        <w:rPr>
          <w:rFonts w:ascii="Arial" w:eastAsia="Calibri" w:hAnsi="Arial" w:cs="Arial"/>
          <w:sz w:val="24"/>
          <w:szCs w:val="24"/>
        </w:rPr>
        <w:t xml:space="preserve">, </w:t>
      </w:r>
      <w:r w:rsidRPr="00EB1FE0">
        <w:rPr>
          <w:rFonts w:ascii="Arial" w:eastAsia="Calibri" w:hAnsi="Arial" w:cs="Arial"/>
          <w:sz w:val="24"/>
          <w:szCs w:val="24"/>
          <w:lang w:val="es-ES_tradnl"/>
        </w:rPr>
        <w:t xml:space="preserve">tuvo verificativo la Audiencia de Ley en este juicio, </w:t>
      </w:r>
      <w:r w:rsidR="00AE2F5C">
        <w:rPr>
          <w:rFonts w:ascii="Arial" w:eastAsia="Calibri" w:hAnsi="Arial" w:cs="Arial"/>
          <w:sz w:val="24"/>
          <w:szCs w:val="24"/>
          <w:lang w:val="es-ES_tradnl"/>
        </w:rPr>
        <w:t>sin</w:t>
      </w:r>
      <w:r w:rsidRPr="00EB1FE0">
        <w:rPr>
          <w:rFonts w:ascii="Arial" w:eastAsia="Calibri" w:hAnsi="Arial" w:cs="Arial"/>
          <w:sz w:val="24"/>
          <w:szCs w:val="24"/>
          <w:lang w:val="es-ES_tradnl"/>
        </w:rPr>
        <w:t xml:space="preserve"> la </w:t>
      </w:r>
      <w:r>
        <w:rPr>
          <w:rFonts w:ascii="Arial" w:eastAsia="Calibri" w:hAnsi="Arial" w:cs="Arial"/>
          <w:sz w:val="24"/>
          <w:szCs w:val="24"/>
          <w:lang w:val="es-ES_tradnl"/>
        </w:rPr>
        <w:t>asistencia de la</w:t>
      </w:r>
      <w:r w:rsidR="00AE2F5C">
        <w:rPr>
          <w:rFonts w:ascii="Arial" w:eastAsia="Calibri" w:hAnsi="Arial" w:cs="Arial"/>
          <w:sz w:val="24"/>
          <w:szCs w:val="24"/>
          <w:lang w:val="es-ES_tradnl"/>
        </w:rPr>
        <w:t>s</w:t>
      </w:r>
      <w:r>
        <w:rPr>
          <w:rFonts w:ascii="Arial" w:eastAsia="Calibri" w:hAnsi="Arial" w:cs="Arial"/>
          <w:sz w:val="24"/>
          <w:szCs w:val="24"/>
          <w:lang w:val="es-ES_tradnl"/>
        </w:rPr>
        <w:t xml:space="preserve"> parte</w:t>
      </w:r>
      <w:r w:rsidR="00AE2F5C">
        <w:rPr>
          <w:rFonts w:ascii="Arial" w:eastAsia="Calibri" w:hAnsi="Arial" w:cs="Arial"/>
          <w:sz w:val="24"/>
          <w:szCs w:val="24"/>
          <w:lang w:val="es-ES_tradnl"/>
        </w:rPr>
        <w:t>s</w:t>
      </w:r>
      <w:r w:rsidRPr="00EB1FE0">
        <w:rPr>
          <w:rFonts w:ascii="Arial" w:eastAsia="Calibri" w:hAnsi="Arial" w:cs="Arial"/>
          <w:sz w:val="24"/>
          <w:szCs w:val="24"/>
          <w:lang w:val="es-ES_tradnl"/>
        </w:rPr>
        <w:t xml:space="preserve">; </w:t>
      </w:r>
      <w:r w:rsidRPr="00EB1FE0">
        <w:rPr>
          <w:rFonts w:ascii="Arial" w:eastAsia="Calibri" w:hAnsi="Arial" w:cs="Arial"/>
          <w:sz w:val="24"/>
          <w:szCs w:val="24"/>
        </w:rPr>
        <w:t>el Secretario de Acuerdos hizo relación de las constancias de autos; e hizo relación de las constancias; en la etapa de pruebas, se tienen por desahogadas las pruebas documentales ofrecidas por la</w:t>
      </w:r>
      <w:r w:rsidR="00AE2F5C">
        <w:rPr>
          <w:rFonts w:ascii="Arial" w:eastAsia="Calibri" w:hAnsi="Arial" w:cs="Arial"/>
          <w:sz w:val="24"/>
          <w:szCs w:val="24"/>
        </w:rPr>
        <w:t xml:space="preserve"> parte actora dada</w:t>
      </w:r>
      <w:r w:rsidRPr="00EB1FE0">
        <w:rPr>
          <w:rFonts w:ascii="Arial" w:eastAsia="Calibri" w:hAnsi="Arial" w:cs="Arial"/>
          <w:sz w:val="24"/>
          <w:szCs w:val="24"/>
        </w:rPr>
        <w:t xml:space="preserve"> su propia naturaleza, y se hizo constar que no existen pruebas pendientes que desahogar, en etapa de alegatos</w:t>
      </w:r>
      <w:r w:rsidRPr="00EB1FE0">
        <w:rPr>
          <w:rFonts w:ascii="Arial" w:eastAsia="Arial Unicode MS" w:hAnsi="Arial" w:cs="Arial"/>
          <w:sz w:val="24"/>
          <w:szCs w:val="24"/>
        </w:rPr>
        <w:t xml:space="preserve">; se </w:t>
      </w:r>
      <w:r w:rsidR="00AE2F5C">
        <w:rPr>
          <w:rFonts w:ascii="Arial" w:eastAsia="Arial Unicode MS" w:hAnsi="Arial" w:cs="Arial"/>
          <w:sz w:val="24"/>
          <w:szCs w:val="24"/>
        </w:rPr>
        <w:t>certificó</w:t>
      </w:r>
      <w:r>
        <w:rPr>
          <w:rFonts w:ascii="Arial" w:eastAsia="Arial Unicode MS" w:hAnsi="Arial" w:cs="Arial"/>
          <w:sz w:val="24"/>
          <w:szCs w:val="24"/>
        </w:rPr>
        <w:t xml:space="preserve"> que estos no fueron presentados por la autoridad demandada</w:t>
      </w:r>
      <w:r w:rsidRPr="00EB1FE0">
        <w:rPr>
          <w:rFonts w:ascii="Arial" w:eastAsia="Arial Unicode MS" w:hAnsi="Arial" w:cs="Arial"/>
          <w:sz w:val="24"/>
          <w:szCs w:val="24"/>
        </w:rPr>
        <w:t>; concluida la audiencia se citó para resolver en definitiva.</w:t>
      </w:r>
    </w:p>
    <w:p w:rsidR="002B74A2" w:rsidRPr="00EB1FE0" w:rsidRDefault="002B74A2" w:rsidP="002B74A2">
      <w:pPr>
        <w:spacing w:after="0" w:line="360" w:lineRule="auto"/>
        <w:ind w:firstLine="709"/>
        <w:jc w:val="both"/>
        <w:rPr>
          <w:rFonts w:ascii="Arial" w:eastAsia="Arial Unicode MS" w:hAnsi="Arial" w:cs="Arial"/>
          <w:sz w:val="24"/>
          <w:szCs w:val="24"/>
        </w:rPr>
      </w:pPr>
    </w:p>
    <w:p w:rsidR="002B74A2" w:rsidRPr="00EB1FE0" w:rsidRDefault="002B74A2" w:rsidP="002B74A2">
      <w:pPr>
        <w:spacing w:after="0" w:line="360" w:lineRule="auto"/>
        <w:jc w:val="center"/>
        <w:rPr>
          <w:rFonts w:ascii="Arial" w:eastAsia="Arial Unicode MS" w:hAnsi="Arial" w:cs="Arial"/>
          <w:b/>
          <w:sz w:val="24"/>
          <w:szCs w:val="24"/>
        </w:rPr>
      </w:pPr>
      <w:r w:rsidRPr="00EB1FE0">
        <w:rPr>
          <w:rFonts w:ascii="Arial" w:eastAsia="Arial Unicode MS" w:hAnsi="Arial" w:cs="Arial"/>
          <w:b/>
          <w:sz w:val="24"/>
          <w:szCs w:val="24"/>
        </w:rPr>
        <w:t>C O N S I D E R A N D O</w:t>
      </w:r>
    </w:p>
    <w:p w:rsidR="002B74A2" w:rsidRPr="00EB1FE0" w:rsidRDefault="002B74A2" w:rsidP="002B74A2">
      <w:pPr>
        <w:spacing w:after="0" w:line="360" w:lineRule="auto"/>
        <w:jc w:val="center"/>
        <w:rPr>
          <w:rFonts w:ascii="Arial" w:eastAsia="Arial Unicode MS" w:hAnsi="Arial" w:cs="Arial"/>
          <w:b/>
          <w:sz w:val="24"/>
          <w:szCs w:val="24"/>
        </w:rPr>
      </w:pPr>
    </w:p>
    <w:p w:rsidR="002B74A2" w:rsidRPr="00EB1FE0" w:rsidRDefault="002B74A2" w:rsidP="002B74A2">
      <w:pPr>
        <w:spacing w:after="0" w:line="360" w:lineRule="auto"/>
        <w:ind w:firstLine="709"/>
        <w:jc w:val="both"/>
        <w:rPr>
          <w:rFonts w:ascii="Arial" w:eastAsia="Arial Unicode MS" w:hAnsi="Arial" w:cs="Arial"/>
          <w:sz w:val="24"/>
          <w:szCs w:val="24"/>
        </w:rPr>
      </w:pPr>
      <w:r w:rsidRPr="00EB1FE0">
        <w:rPr>
          <w:rFonts w:ascii="Arial" w:eastAsia="Arial Unicode MS" w:hAnsi="Arial" w:cs="Arial"/>
          <w:b/>
          <w:sz w:val="24"/>
          <w:szCs w:val="24"/>
        </w:rPr>
        <w:t>PRIMERO.-</w:t>
      </w:r>
      <w:r w:rsidRPr="00EB1FE0">
        <w:rPr>
          <w:rFonts w:ascii="Arial" w:eastAsia="Arial Unicode MS" w:hAnsi="Arial" w:cs="Arial"/>
          <w:sz w:val="24"/>
          <w:szCs w:val="24"/>
        </w:rPr>
        <w:t xml:space="preserve"> </w:t>
      </w:r>
      <w:r w:rsidRPr="00EB1FE0">
        <w:rPr>
          <w:rFonts w:ascii="Arial" w:eastAsia="Arial Unicode MS" w:hAnsi="Arial" w:cs="Arial"/>
          <w:b/>
          <w:sz w:val="24"/>
          <w:szCs w:val="24"/>
        </w:rPr>
        <w:t>Esta Tercera Sala Unitaria del Tribunal Estatal de Justicia administrativa</w:t>
      </w:r>
      <w:r w:rsidRPr="00EB1FE0">
        <w:rPr>
          <w:rFonts w:ascii="Arial" w:eastAsia="Arial Unicode MS" w:hAnsi="Arial" w:cs="Arial"/>
          <w:sz w:val="24"/>
          <w:szCs w:val="24"/>
        </w:rPr>
        <w:t>, corresponde conocer, substanciar y resolver los juicios de su competencia, en términos de los artículos 123 de la Constitución Política del Estado de San Luis Potosí, y 7°, 9°, fracción III, 24, 25, 26, 28, 29, 30, 33, 34, 35, 36 y 37 de la Ley Orgánica del Tribunal Estatal de Justicia Administrativa de San Luís Potosí y 1°, 2°, 161, 174, 175, 176, y 177 del Código Procesal Administrativo para el Estado de San Luis Potosí;  y en el caso de este expediente, le compete conocer y resolver por tratarse de una controversia suscitada entre un particular y autoridades municipales de esta entidad federativa, donde se ejerce jurisdicción.</w:t>
      </w:r>
    </w:p>
    <w:p w:rsidR="002B74A2" w:rsidRPr="00EB1FE0" w:rsidRDefault="002B74A2" w:rsidP="002B74A2">
      <w:pPr>
        <w:spacing w:after="0" w:line="360" w:lineRule="auto"/>
        <w:ind w:firstLine="709"/>
        <w:jc w:val="both"/>
        <w:rPr>
          <w:rFonts w:ascii="Arial" w:eastAsia="Calibri" w:hAnsi="Arial" w:cs="Arial"/>
          <w:sz w:val="24"/>
          <w:szCs w:val="24"/>
        </w:rPr>
      </w:pPr>
    </w:p>
    <w:p w:rsidR="002B74A2" w:rsidRPr="00EB1FE0" w:rsidRDefault="002B74A2" w:rsidP="002B74A2">
      <w:pPr>
        <w:autoSpaceDE w:val="0"/>
        <w:autoSpaceDN w:val="0"/>
        <w:adjustRightInd w:val="0"/>
        <w:spacing w:after="0" w:line="360" w:lineRule="auto"/>
        <w:ind w:firstLine="709"/>
        <w:jc w:val="both"/>
        <w:rPr>
          <w:rFonts w:ascii="Arial" w:eastAsia="Times New Roman" w:hAnsi="Arial" w:cs="Arial"/>
          <w:sz w:val="24"/>
          <w:szCs w:val="24"/>
          <w:lang w:eastAsia="es-ES"/>
        </w:rPr>
      </w:pPr>
      <w:r w:rsidRPr="00EB1FE0">
        <w:rPr>
          <w:rFonts w:ascii="Arial" w:eastAsia="Calibri" w:hAnsi="Arial" w:cs="Arial"/>
          <w:b/>
          <w:sz w:val="24"/>
          <w:szCs w:val="24"/>
        </w:rPr>
        <w:t xml:space="preserve">SEGUNDO.- </w:t>
      </w:r>
      <w:r w:rsidRPr="00EB1FE0">
        <w:rPr>
          <w:rFonts w:ascii="Arial" w:eastAsia="Times New Roman" w:hAnsi="Arial" w:cs="Arial"/>
          <w:sz w:val="24"/>
          <w:szCs w:val="24"/>
          <w:lang w:eastAsia="es-ES"/>
        </w:rPr>
        <w:t>De acuerdo con lo que precisa el artículo 221 del Código Procesal Administrativo para el Estado, esta Sala Unitaria procede a analizar la personalidad y legitimación de los comparecientes a este juicio.</w:t>
      </w:r>
    </w:p>
    <w:p w:rsidR="002B74A2" w:rsidRPr="00EB1FE0" w:rsidRDefault="002B74A2" w:rsidP="002B74A2">
      <w:pPr>
        <w:autoSpaceDE w:val="0"/>
        <w:autoSpaceDN w:val="0"/>
        <w:adjustRightInd w:val="0"/>
        <w:spacing w:after="0" w:line="360" w:lineRule="auto"/>
        <w:ind w:firstLine="709"/>
        <w:jc w:val="both"/>
        <w:rPr>
          <w:rFonts w:ascii="Arial" w:eastAsia="Times New Roman" w:hAnsi="Arial" w:cs="Arial"/>
          <w:sz w:val="24"/>
          <w:szCs w:val="24"/>
          <w:lang w:eastAsia="es-ES"/>
        </w:rPr>
      </w:pPr>
    </w:p>
    <w:p w:rsidR="002B74A2" w:rsidRPr="00B30D71" w:rsidRDefault="00FD161B" w:rsidP="002B74A2">
      <w:pPr>
        <w:spacing w:after="0" w:line="360" w:lineRule="auto"/>
        <w:ind w:firstLine="709"/>
        <w:jc w:val="both"/>
        <w:rPr>
          <w:rFonts w:ascii="Arial" w:eastAsia="Calibri" w:hAnsi="Arial" w:cs="Arial"/>
          <w:sz w:val="24"/>
          <w:szCs w:val="24"/>
        </w:rPr>
      </w:pPr>
      <w:r>
        <w:rPr>
          <w:rFonts w:ascii="Arial" w:eastAsia="Arial Unicode MS" w:hAnsi="Arial" w:cs="Arial"/>
          <w:sz w:val="24"/>
          <w:szCs w:val="24"/>
        </w:rPr>
        <w:t>La</w:t>
      </w:r>
      <w:r w:rsidR="002B74A2" w:rsidRPr="00B30D71">
        <w:rPr>
          <w:rFonts w:ascii="Arial" w:eastAsia="Arial Unicode MS" w:hAnsi="Arial" w:cs="Arial"/>
          <w:sz w:val="24"/>
          <w:szCs w:val="24"/>
        </w:rPr>
        <w:t xml:space="preserve"> C. </w:t>
      </w:r>
      <w:r w:rsidR="00AA48E5">
        <w:rPr>
          <w:rFonts w:ascii="Arial" w:eastAsia="Arial Unicode MS" w:hAnsi="Arial" w:cs="Arial"/>
          <w:color w:val="FF0000"/>
          <w:sz w:val="24"/>
          <w:szCs w:val="24"/>
        </w:rPr>
        <w:t>***********</w:t>
      </w:r>
      <w:r>
        <w:rPr>
          <w:rFonts w:ascii="Arial" w:eastAsia="Arial Unicode MS" w:hAnsi="Arial" w:cs="Arial"/>
          <w:sz w:val="24"/>
          <w:szCs w:val="24"/>
        </w:rPr>
        <w:t>, compareció por derecho propio.</w:t>
      </w:r>
    </w:p>
    <w:p w:rsidR="002B74A2" w:rsidRPr="00B30D71" w:rsidRDefault="002B74A2" w:rsidP="002B74A2">
      <w:pPr>
        <w:spacing w:after="0" w:line="360" w:lineRule="auto"/>
        <w:ind w:firstLine="709"/>
        <w:jc w:val="both"/>
        <w:rPr>
          <w:rFonts w:ascii="Arial" w:eastAsia="Calibri" w:hAnsi="Arial" w:cs="Arial"/>
          <w:sz w:val="24"/>
          <w:szCs w:val="24"/>
        </w:rPr>
      </w:pPr>
    </w:p>
    <w:p w:rsidR="002B74A2" w:rsidRPr="00EB1FE0" w:rsidRDefault="00FD161B" w:rsidP="00FD161B">
      <w:pPr>
        <w:tabs>
          <w:tab w:val="left" w:pos="2835"/>
        </w:tabs>
        <w:spacing w:after="0" w:line="360" w:lineRule="auto"/>
        <w:ind w:firstLine="709"/>
        <w:jc w:val="both"/>
        <w:rPr>
          <w:rFonts w:ascii="Arial" w:eastAsia="Arial Unicode MS" w:hAnsi="Arial" w:cs="Arial"/>
          <w:sz w:val="24"/>
          <w:szCs w:val="24"/>
        </w:rPr>
      </w:pPr>
      <w:r>
        <w:rPr>
          <w:rFonts w:ascii="Arial" w:eastAsia="Times New Roman" w:hAnsi="Arial" w:cs="Arial"/>
          <w:sz w:val="24"/>
          <w:szCs w:val="24"/>
          <w:lang w:val="es-ES" w:eastAsia="es-ES"/>
        </w:rPr>
        <w:t>Por auto de trece de agosto de dos mil veinticuatro, se tuvo a la autoridad demandada por no contestada la demanda, en virtud de que no lo hizo en el término legal correspondiente.</w:t>
      </w:r>
    </w:p>
    <w:p w:rsidR="002B74A2" w:rsidRPr="00EB1FE0" w:rsidRDefault="002B74A2" w:rsidP="002B74A2">
      <w:pPr>
        <w:tabs>
          <w:tab w:val="left" w:pos="2835"/>
        </w:tabs>
        <w:spacing w:after="0" w:line="360" w:lineRule="auto"/>
        <w:ind w:firstLine="709"/>
        <w:jc w:val="both"/>
        <w:rPr>
          <w:rFonts w:ascii="Arial" w:eastAsia="Arial Unicode MS" w:hAnsi="Arial" w:cs="Arial"/>
          <w:sz w:val="24"/>
          <w:szCs w:val="24"/>
        </w:rPr>
      </w:pPr>
    </w:p>
    <w:p w:rsidR="00EA502F" w:rsidRDefault="002B74A2" w:rsidP="00EA502F">
      <w:pPr>
        <w:spacing w:after="0" w:line="360" w:lineRule="auto"/>
        <w:ind w:firstLine="709"/>
        <w:jc w:val="both"/>
        <w:rPr>
          <w:rFonts w:ascii="Arial" w:eastAsia="Calibri" w:hAnsi="Arial" w:cs="Arial"/>
          <w:i/>
        </w:rPr>
      </w:pPr>
      <w:r w:rsidRPr="00EB1FE0">
        <w:rPr>
          <w:rFonts w:ascii="Arial" w:eastAsia="Arial Unicode MS" w:hAnsi="Arial" w:cs="Arial"/>
          <w:b/>
          <w:sz w:val="24"/>
          <w:szCs w:val="24"/>
        </w:rPr>
        <w:t>TERCERO.-</w:t>
      </w:r>
      <w:r w:rsidRPr="00EB1FE0">
        <w:rPr>
          <w:rFonts w:ascii="Arial" w:eastAsia="Arial Unicode MS" w:hAnsi="Arial" w:cs="Arial"/>
          <w:sz w:val="24"/>
          <w:szCs w:val="24"/>
        </w:rPr>
        <w:t xml:space="preserve"> </w:t>
      </w:r>
      <w:r w:rsidRPr="00EB1FE0">
        <w:rPr>
          <w:rFonts w:ascii="Arial" w:eastAsia="Calibri" w:hAnsi="Arial" w:cs="Arial"/>
          <w:sz w:val="24"/>
          <w:szCs w:val="24"/>
        </w:rPr>
        <w:t xml:space="preserve">La </w:t>
      </w:r>
      <w:proofErr w:type="spellStart"/>
      <w:r w:rsidRPr="00EB1FE0">
        <w:rPr>
          <w:rFonts w:ascii="Arial" w:eastAsia="Calibri" w:hAnsi="Arial" w:cs="Arial"/>
          <w:sz w:val="24"/>
          <w:szCs w:val="24"/>
        </w:rPr>
        <w:t>litis</w:t>
      </w:r>
      <w:proofErr w:type="spellEnd"/>
      <w:r w:rsidRPr="00EB1FE0">
        <w:rPr>
          <w:rFonts w:ascii="Arial" w:eastAsia="Calibri" w:hAnsi="Arial" w:cs="Arial"/>
          <w:sz w:val="24"/>
          <w:szCs w:val="24"/>
        </w:rPr>
        <w:t xml:space="preserve"> de la presente controversia, consiste en determinar la legalidad o ilegalidad de</w:t>
      </w:r>
      <w:r>
        <w:rPr>
          <w:rFonts w:ascii="Arial" w:eastAsia="Calibri" w:hAnsi="Arial" w:cs="Arial"/>
          <w:sz w:val="24"/>
          <w:szCs w:val="24"/>
        </w:rPr>
        <w:t xml:space="preserve">l </w:t>
      </w:r>
      <w:r w:rsidR="00EA502F">
        <w:rPr>
          <w:rFonts w:ascii="Arial" w:eastAsia="Calibri" w:hAnsi="Arial" w:cs="Arial"/>
          <w:i/>
        </w:rPr>
        <w:t xml:space="preserve">“…Acuerdo de sobreseimiento de fecha </w:t>
      </w:r>
      <w:r w:rsidR="00EA502F">
        <w:rPr>
          <w:rFonts w:ascii="Arial" w:eastAsia="Calibri" w:hAnsi="Arial" w:cs="Arial"/>
          <w:i/>
        </w:rPr>
        <w:lastRenderedPageBreak/>
        <w:t>12 de marzo de 2024, emitido para resolver el expediente número DCA_TN_2023_0001, emitido por el Profesor Eder Oswaldo Donjuán Díaz, ostentando el cargo de Director de Comercio y Alcoholes del Municipio de Tierra Nueva, estado de San Luis Potosí…”</w:t>
      </w:r>
    </w:p>
    <w:p w:rsidR="00EA502F" w:rsidRDefault="00EA502F" w:rsidP="002B74A2">
      <w:pPr>
        <w:spacing w:after="0" w:line="360" w:lineRule="auto"/>
        <w:ind w:firstLine="709"/>
        <w:jc w:val="both"/>
        <w:rPr>
          <w:rFonts w:ascii="Arial" w:eastAsia="Calibri" w:hAnsi="Arial" w:cs="Arial"/>
          <w:sz w:val="24"/>
          <w:szCs w:val="24"/>
        </w:rPr>
      </w:pPr>
    </w:p>
    <w:p w:rsidR="002B74A2" w:rsidRPr="00EB1FE0" w:rsidRDefault="002B74A2" w:rsidP="002B74A2">
      <w:pPr>
        <w:spacing w:after="0" w:line="360" w:lineRule="auto"/>
        <w:ind w:firstLine="709"/>
        <w:jc w:val="both"/>
        <w:rPr>
          <w:rFonts w:ascii="Arial" w:eastAsia="Calibri" w:hAnsi="Arial" w:cs="Arial"/>
          <w:sz w:val="24"/>
          <w:szCs w:val="24"/>
        </w:rPr>
      </w:pPr>
      <w:r w:rsidRPr="00EB1FE0">
        <w:rPr>
          <w:rFonts w:ascii="Arial" w:eastAsia="Calibri" w:hAnsi="Arial" w:cs="Arial"/>
          <w:sz w:val="24"/>
          <w:szCs w:val="24"/>
        </w:rPr>
        <w:t xml:space="preserve">Acto </w:t>
      </w:r>
      <w:r>
        <w:rPr>
          <w:rFonts w:ascii="Arial" w:eastAsia="Calibri" w:hAnsi="Arial" w:cs="Arial"/>
          <w:sz w:val="24"/>
          <w:szCs w:val="24"/>
        </w:rPr>
        <w:t>que</w:t>
      </w:r>
      <w:r w:rsidRPr="00EB1FE0">
        <w:rPr>
          <w:rFonts w:ascii="Arial" w:eastAsia="Calibri" w:hAnsi="Arial" w:cs="Arial"/>
          <w:sz w:val="24"/>
          <w:szCs w:val="24"/>
        </w:rPr>
        <w:t xml:space="preserve"> cual fue exhibido por la parte accionante, y que obra en fojas </w:t>
      </w:r>
      <w:r w:rsidR="00EA502F">
        <w:rPr>
          <w:rFonts w:ascii="Arial" w:eastAsia="Calibri" w:hAnsi="Arial" w:cs="Arial"/>
          <w:sz w:val="24"/>
          <w:szCs w:val="24"/>
        </w:rPr>
        <w:t xml:space="preserve">52 a 55 </w:t>
      </w:r>
      <w:r w:rsidRPr="00EB1FE0">
        <w:rPr>
          <w:rFonts w:ascii="Arial" w:eastAsia="Calibri" w:hAnsi="Arial" w:cs="Arial"/>
          <w:sz w:val="24"/>
          <w:szCs w:val="24"/>
        </w:rPr>
        <w:t>de este sumario, conforme lo dispuesto por los numerales 233 fracción IV y 234 fracción II del Código Procesal Administrativo para el Estado.</w:t>
      </w:r>
    </w:p>
    <w:p w:rsidR="002B74A2" w:rsidRPr="00EB1FE0" w:rsidRDefault="002B74A2" w:rsidP="002B74A2">
      <w:pPr>
        <w:spacing w:after="0" w:line="360" w:lineRule="auto"/>
        <w:ind w:firstLine="709"/>
        <w:jc w:val="both"/>
        <w:rPr>
          <w:rFonts w:ascii="Arial" w:eastAsia="Arial Unicode MS" w:hAnsi="Arial" w:cs="Arial"/>
          <w:sz w:val="24"/>
          <w:szCs w:val="24"/>
        </w:rPr>
      </w:pPr>
    </w:p>
    <w:p w:rsidR="002B74A2" w:rsidRPr="00EB1FE0" w:rsidRDefault="002B74A2" w:rsidP="002B74A2">
      <w:pPr>
        <w:spacing w:after="0" w:line="360" w:lineRule="auto"/>
        <w:ind w:firstLine="709"/>
        <w:jc w:val="both"/>
        <w:rPr>
          <w:rFonts w:ascii="Arial" w:eastAsia="Calibri" w:hAnsi="Arial" w:cs="Arial"/>
          <w:bCs/>
          <w:iCs/>
          <w:sz w:val="24"/>
          <w:szCs w:val="24"/>
        </w:rPr>
      </w:pPr>
      <w:r w:rsidRPr="00EB1FE0">
        <w:rPr>
          <w:rFonts w:ascii="Arial" w:eastAsia="Arial Unicode MS" w:hAnsi="Arial" w:cs="Arial"/>
          <w:b/>
          <w:sz w:val="24"/>
          <w:szCs w:val="24"/>
        </w:rPr>
        <w:t>CUARTO.-</w:t>
      </w:r>
      <w:r w:rsidRPr="00EB1FE0">
        <w:rPr>
          <w:rFonts w:ascii="Arial" w:eastAsia="Arial Unicode MS" w:hAnsi="Arial" w:cs="Arial"/>
          <w:sz w:val="24"/>
          <w:szCs w:val="24"/>
        </w:rPr>
        <w:t xml:space="preserve"> Previo al estudio de los conceptos de impugnación, esta Sala Unitaria procede a analizar si en el expediente en que se actúa, se actualiza alguna de las causales de improcedencia o de sobreseimiento, ya sea que las partes lo aleguen o no, por tratarse de una cuestión que debe examinarse de oficio, conforme a lo dispuesto en el último párrafo de los artículos 228 y 229 del Código Procesal Administrativo para el Estado de San Luis Potosí; </w:t>
      </w:r>
      <w:r w:rsidRPr="00EB1FE0">
        <w:rPr>
          <w:rFonts w:ascii="Arial" w:eastAsia="Calibri" w:hAnsi="Arial" w:cs="Arial"/>
          <w:sz w:val="24"/>
          <w:szCs w:val="24"/>
        </w:rPr>
        <w:t xml:space="preserve">habida cuenta que, </w:t>
      </w:r>
      <w:r w:rsidRPr="00EB1FE0">
        <w:rPr>
          <w:rFonts w:ascii="Arial" w:eastAsia="Calibri" w:hAnsi="Arial" w:cs="Arial"/>
          <w:bCs/>
          <w:iCs/>
          <w:sz w:val="24"/>
          <w:szCs w:val="24"/>
        </w:rPr>
        <w:t xml:space="preserve">la improcedencia y sobreseimiento de la acción se traduce en la imposibilidad jurídica de que el órgano jurisdiccional estudie y decida dicha cuestión, absteniéndose obligatoriamente a resolver sobre el fondo de la controversia. </w:t>
      </w:r>
    </w:p>
    <w:p w:rsidR="002B74A2" w:rsidRPr="00EB1FE0" w:rsidRDefault="002B74A2" w:rsidP="002B74A2">
      <w:pPr>
        <w:spacing w:after="0" w:line="360" w:lineRule="auto"/>
        <w:ind w:firstLine="709"/>
        <w:jc w:val="both"/>
        <w:rPr>
          <w:rFonts w:ascii="Arial" w:eastAsia="Arial Unicode MS" w:hAnsi="Arial" w:cs="Arial"/>
          <w:sz w:val="24"/>
          <w:szCs w:val="24"/>
        </w:rPr>
      </w:pPr>
    </w:p>
    <w:p w:rsidR="002B74A2" w:rsidRPr="00EB1FE0" w:rsidRDefault="002B74A2" w:rsidP="002B74A2">
      <w:pPr>
        <w:spacing w:after="0" w:line="360" w:lineRule="auto"/>
        <w:ind w:firstLine="709"/>
        <w:jc w:val="both"/>
        <w:rPr>
          <w:rFonts w:ascii="Arial" w:eastAsia="Calibri" w:hAnsi="Arial" w:cs="Arial"/>
          <w:sz w:val="24"/>
          <w:szCs w:val="24"/>
        </w:rPr>
      </w:pPr>
      <w:r w:rsidRPr="00EB1FE0">
        <w:rPr>
          <w:rFonts w:ascii="Arial" w:eastAsia="Calibri" w:hAnsi="Arial" w:cs="Arial"/>
          <w:sz w:val="24"/>
          <w:szCs w:val="24"/>
        </w:rPr>
        <w:t xml:space="preserve">Es aplicable al efecto, la siguiente Tesis Aislada del </w:t>
      </w:r>
      <w:r w:rsidRPr="00EB1FE0">
        <w:rPr>
          <w:rFonts w:ascii="Arial" w:eastAsia="Calibri" w:hAnsi="Arial" w:cs="Arial"/>
          <w:sz w:val="24"/>
          <w:szCs w:val="24"/>
          <w:lang w:val="es-ES"/>
        </w:rPr>
        <w:t>Cuarto Tribunal Colegiado en Materia Administrativa del Primer Circuito</w:t>
      </w:r>
      <w:r w:rsidRPr="00EB1FE0">
        <w:rPr>
          <w:rFonts w:ascii="Arial" w:eastAsia="Calibri" w:hAnsi="Arial" w:cs="Arial"/>
          <w:sz w:val="24"/>
          <w:szCs w:val="24"/>
        </w:rPr>
        <w:t xml:space="preserve">, Época: Octava Época, Registro: 221332, Instancia: Tribunales Colegiados de Circuito, Fuente: Semanario Judicial de la Federación, Tesis Aislada, Materia(s): Administrativa, VIII, Noviembre de 1991, Página: 185, que dice: </w:t>
      </w:r>
    </w:p>
    <w:p w:rsidR="002B74A2" w:rsidRPr="00EB1FE0" w:rsidRDefault="002B74A2" w:rsidP="002B74A2">
      <w:pPr>
        <w:autoSpaceDE w:val="0"/>
        <w:autoSpaceDN w:val="0"/>
        <w:adjustRightInd w:val="0"/>
        <w:spacing w:after="0"/>
        <w:ind w:left="709"/>
        <w:jc w:val="both"/>
        <w:rPr>
          <w:rFonts w:ascii="Arial" w:eastAsia="Calibri" w:hAnsi="Arial" w:cs="Arial"/>
          <w:b/>
          <w:bCs/>
          <w:i/>
        </w:rPr>
      </w:pPr>
    </w:p>
    <w:p w:rsidR="002B74A2" w:rsidRPr="00EB1FE0" w:rsidRDefault="002B74A2" w:rsidP="002B74A2">
      <w:pPr>
        <w:autoSpaceDE w:val="0"/>
        <w:autoSpaceDN w:val="0"/>
        <w:adjustRightInd w:val="0"/>
        <w:spacing w:after="0"/>
        <w:ind w:left="709"/>
        <w:jc w:val="both"/>
        <w:rPr>
          <w:rFonts w:ascii="Arial" w:eastAsia="Times New Roman" w:hAnsi="Arial" w:cs="Arial"/>
          <w:i/>
          <w:lang w:val="es-ES" w:eastAsia="es-ES"/>
        </w:rPr>
      </w:pPr>
      <w:r w:rsidRPr="00EB1FE0">
        <w:rPr>
          <w:rFonts w:ascii="Arial" w:eastAsia="Calibri" w:hAnsi="Arial" w:cs="Arial"/>
          <w:b/>
          <w:bCs/>
          <w:i/>
        </w:rPr>
        <w:t>“CONTENCIOSO ADMINISTRATIVO,</w:t>
      </w:r>
      <w:r w:rsidRPr="00EB1FE0">
        <w:rPr>
          <w:rFonts w:ascii="Arial" w:eastAsia="Calibri" w:hAnsi="Arial" w:cs="Arial"/>
          <w:bCs/>
          <w:i/>
        </w:rPr>
        <w:t xml:space="preserve"> </w:t>
      </w:r>
      <w:r w:rsidRPr="00EB1FE0">
        <w:rPr>
          <w:rFonts w:ascii="Arial" w:eastAsia="Calibri" w:hAnsi="Arial" w:cs="Arial"/>
          <w:b/>
          <w:bCs/>
          <w:i/>
        </w:rPr>
        <w:t>IMPROCEDENCIA</w:t>
      </w:r>
      <w:r w:rsidRPr="00EB1FE0">
        <w:rPr>
          <w:rFonts w:ascii="Arial" w:eastAsia="Calibri" w:hAnsi="Arial" w:cs="Arial"/>
          <w:bCs/>
          <w:i/>
        </w:rPr>
        <w:t xml:space="preserve"> </w:t>
      </w:r>
      <w:r w:rsidRPr="00EB1FE0">
        <w:rPr>
          <w:rFonts w:ascii="Arial" w:eastAsia="Calibri" w:hAnsi="Arial" w:cs="Arial"/>
          <w:b/>
          <w:bCs/>
          <w:i/>
        </w:rPr>
        <w:t>DEL JUICIO, ANTE EL TRIBUNAL FISCAL. CONCEPTO</w:t>
      </w:r>
      <w:r w:rsidRPr="00EB1FE0">
        <w:rPr>
          <w:rFonts w:ascii="Arial" w:eastAsia="Calibri" w:hAnsi="Arial" w:cs="Arial"/>
          <w:bCs/>
          <w:i/>
        </w:rPr>
        <w:t xml:space="preserve"> </w:t>
      </w:r>
      <w:r w:rsidRPr="00EB1FE0">
        <w:rPr>
          <w:rFonts w:ascii="Arial" w:eastAsia="Calibri" w:hAnsi="Arial" w:cs="Arial"/>
          <w:b/>
          <w:bCs/>
          <w:i/>
        </w:rPr>
        <w:t>JURIDICO.</w:t>
      </w:r>
      <w:r w:rsidRPr="00EB1FE0">
        <w:rPr>
          <w:rFonts w:ascii="Arial" w:eastAsia="Calibri" w:hAnsi="Arial" w:cs="Arial"/>
          <w:i/>
        </w:rPr>
        <w:t xml:space="preserve"> Las causas de improcedencia que determina la ley de la materia, ven o se refieren a la procedencia del juicio mismo, esto es, los motivos de improcedencia son en cuanto a que </w:t>
      </w:r>
      <w:r w:rsidRPr="00EB1FE0">
        <w:rPr>
          <w:rFonts w:ascii="Arial" w:eastAsia="Calibri" w:hAnsi="Arial" w:cs="Arial"/>
          <w:bCs/>
          <w:i/>
          <w:iCs/>
        </w:rPr>
        <w:t>la acción en sí misma considerada no procede por las causas específicas consignadas en la ley;</w:t>
      </w:r>
      <w:r w:rsidRPr="00EB1FE0">
        <w:rPr>
          <w:rFonts w:ascii="Arial" w:eastAsia="Calibri" w:hAnsi="Arial" w:cs="Arial"/>
          <w:i/>
        </w:rPr>
        <w:t xml:space="preserve"> es verdad que las causas de improcedencia dan lugar al </w:t>
      </w:r>
      <w:r w:rsidRPr="00EB1FE0">
        <w:rPr>
          <w:rFonts w:ascii="Arial" w:eastAsia="Calibri" w:hAnsi="Arial" w:cs="Arial"/>
          <w:bCs/>
          <w:i/>
          <w:iCs/>
        </w:rPr>
        <w:t>sobreseimiento,</w:t>
      </w:r>
      <w:r w:rsidRPr="00EB1FE0">
        <w:rPr>
          <w:rFonts w:ascii="Arial" w:eastAsia="Calibri" w:hAnsi="Arial" w:cs="Arial"/>
          <w:i/>
        </w:rPr>
        <w:t xml:space="preserve"> pero no necesariamente éste sobreviene por alguna de esas causas, pues por ejemplo, de acuerdo con la fracción I del artículo 203 del Código Fiscal de la Federación, procede el sobreseimiento por desistimiento del demandante, lo anterior, no significa que el juicio sea improcedente; el juicio sí procede y lo que acontece en ese caso es que la actora por propia voluntad desiste de su acción y ello hace que se sobresea en el juicio, mas no significa que la acción en sí misma sea improcedente. Acorde con la doctrina, </w:t>
      </w:r>
      <w:r w:rsidRPr="00EB1FE0">
        <w:rPr>
          <w:rFonts w:ascii="Arial" w:eastAsia="Calibri" w:hAnsi="Arial" w:cs="Arial"/>
          <w:bCs/>
          <w:i/>
          <w:iCs/>
        </w:rPr>
        <w:t xml:space="preserve">la improcedencia de la acción se traduce en la imposibilidad de que ésta, en su concepción genérica, logre su objeto, es decir, la dicción del derecho sobre la cuestión de fondo o sustancial que su ejercicio plantea; tal improcedencia se manifiesta en que la </w:t>
      </w:r>
      <w:r w:rsidRPr="00EB1FE0">
        <w:rPr>
          <w:rFonts w:ascii="Arial" w:eastAsia="Calibri" w:hAnsi="Arial" w:cs="Arial"/>
          <w:bCs/>
          <w:i/>
          <w:iCs/>
        </w:rPr>
        <w:lastRenderedPageBreak/>
        <w:t>acción no consiga su objeto propio, o sea, en que no se obtenga la pretensión del que la ejercita</w:t>
      </w:r>
      <w:r w:rsidRPr="00EB1FE0">
        <w:rPr>
          <w:rFonts w:ascii="Arial" w:eastAsia="Calibri" w:hAnsi="Arial" w:cs="Arial"/>
          <w:bCs/>
          <w:i/>
        </w:rPr>
        <w:t xml:space="preserve"> y principalmente </w:t>
      </w:r>
      <w:r w:rsidRPr="00EB1FE0">
        <w:rPr>
          <w:rFonts w:ascii="Arial" w:eastAsia="Calibri" w:hAnsi="Arial" w:cs="Arial"/>
          <w:bCs/>
          <w:i/>
          <w:iCs/>
        </w:rPr>
        <w:t>por existir un impedimento</w:t>
      </w:r>
      <w:r w:rsidRPr="00EB1FE0">
        <w:rPr>
          <w:rFonts w:ascii="Arial" w:eastAsia="Calibri" w:hAnsi="Arial" w:cs="Arial"/>
          <w:i/>
        </w:rPr>
        <w:t xml:space="preserve"> para que el órgano jurisdiccional competente analice y resuelva sobre la cuestión debatida. </w:t>
      </w:r>
      <w:r w:rsidRPr="00EB1FE0">
        <w:rPr>
          <w:rFonts w:ascii="Arial" w:eastAsia="Calibri" w:hAnsi="Arial" w:cs="Arial"/>
          <w:bCs/>
          <w:i/>
          <w:iCs/>
        </w:rPr>
        <w:t>En resumen, la improcedencia de la acción se traduce en la imposibilidad jurídica de que el órgano jurisdiccional estudie y decida dicha cuestión, absteniéndose obligatoriamente a resolver sobre el fondo de la controversia. ..</w:t>
      </w:r>
      <w:r w:rsidRPr="00EB1FE0">
        <w:rPr>
          <w:rFonts w:ascii="Arial" w:eastAsia="Times New Roman" w:hAnsi="Arial" w:cs="Arial"/>
          <w:i/>
          <w:lang w:val="es-ES" w:eastAsia="es-ES"/>
        </w:rPr>
        <w:t>.”</w:t>
      </w:r>
    </w:p>
    <w:p w:rsidR="002B74A2" w:rsidRPr="00EB1FE0" w:rsidRDefault="002B74A2" w:rsidP="002B74A2">
      <w:pPr>
        <w:spacing w:after="0" w:line="360" w:lineRule="auto"/>
        <w:ind w:firstLine="709"/>
        <w:jc w:val="both"/>
        <w:rPr>
          <w:rFonts w:ascii="Arial" w:eastAsia="Calibri" w:hAnsi="Arial" w:cs="Arial"/>
          <w:bCs/>
          <w:iCs/>
          <w:sz w:val="24"/>
          <w:szCs w:val="24"/>
        </w:rPr>
      </w:pPr>
    </w:p>
    <w:p w:rsidR="00EA502F" w:rsidRPr="00EB1FE0" w:rsidRDefault="00EA502F" w:rsidP="00EA502F">
      <w:pPr>
        <w:spacing w:after="0" w:line="360" w:lineRule="auto"/>
        <w:ind w:firstLine="709"/>
        <w:jc w:val="both"/>
        <w:rPr>
          <w:rFonts w:ascii="Arial" w:eastAsia="Calibri" w:hAnsi="Arial" w:cs="Arial"/>
          <w:sz w:val="24"/>
          <w:szCs w:val="24"/>
        </w:rPr>
      </w:pPr>
      <w:r w:rsidRPr="00EB1FE0">
        <w:rPr>
          <w:rFonts w:ascii="Arial" w:eastAsia="Calibri" w:hAnsi="Arial" w:cs="Arial"/>
          <w:sz w:val="24"/>
          <w:szCs w:val="24"/>
        </w:rPr>
        <w:t xml:space="preserve">Advirtiéndose por esta Sala Unitaria, que no existen </w:t>
      </w:r>
      <w:r w:rsidRPr="00EB1FE0">
        <w:rPr>
          <w:rFonts w:ascii="Arial" w:eastAsia="Calibri" w:hAnsi="Arial" w:cs="Arial"/>
          <w:b/>
          <w:sz w:val="24"/>
          <w:szCs w:val="24"/>
        </w:rPr>
        <w:t>causales de improcedencia o sobreseimiento que deba estudiar de oficio, ni incidentes planteados</w:t>
      </w:r>
      <w:r w:rsidRPr="00EB1FE0">
        <w:rPr>
          <w:rFonts w:ascii="Arial" w:eastAsia="Calibri" w:hAnsi="Arial" w:cs="Arial"/>
          <w:sz w:val="24"/>
          <w:szCs w:val="24"/>
        </w:rPr>
        <w:t>; por tanto, se procede al estudio de fondo de la controversia.</w:t>
      </w:r>
    </w:p>
    <w:p w:rsidR="002B74A2" w:rsidRPr="00EB1FE0" w:rsidRDefault="002B74A2" w:rsidP="002B74A2">
      <w:pPr>
        <w:spacing w:after="0" w:line="360" w:lineRule="auto"/>
        <w:ind w:firstLine="709"/>
        <w:jc w:val="both"/>
        <w:rPr>
          <w:rFonts w:ascii="Arial" w:eastAsia="Calibri" w:hAnsi="Arial" w:cs="Arial"/>
          <w:sz w:val="24"/>
          <w:szCs w:val="24"/>
        </w:rPr>
      </w:pPr>
    </w:p>
    <w:p w:rsidR="002B74A2" w:rsidRPr="00EB1FE0" w:rsidRDefault="002B74A2" w:rsidP="002B74A2">
      <w:pPr>
        <w:spacing w:after="0" w:line="360" w:lineRule="auto"/>
        <w:ind w:firstLine="709"/>
        <w:jc w:val="both"/>
        <w:rPr>
          <w:rFonts w:ascii="Arial" w:eastAsia="Arial Unicode MS" w:hAnsi="Arial" w:cs="Arial"/>
          <w:sz w:val="24"/>
          <w:szCs w:val="24"/>
        </w:rPr>
      </w:pPr>
      <w:r w:rsidRPr="00EB1FE0">
        <w:rPr>
          <w:rFonts w:ascii="Arial" w:eastAsia="Arial Unicode MS" w:hAnsi="Arial" w:cs="Arial"/>
          <w:b/>
          <w:sz w:val="24"/>
          <w:szCs w:val="24"/>
        </w:rPr>
        <w:t>QUINTO.-</w:t>
      </w:r>
      <w:r w:rsidRPr="00EB1FE0">
        <w:rPr>
          <w:rFonts w:ascii="Arial" w:eastAsia="Arial Unicode MS" w:hAnsi="Arial" w:cs="Arial"/>
          <w:sz w:val="24"/>
          <w:szCs w:val="24"/>
        </w:rPr>
        <w:t xml:space="preserve"> La parte actora hizo valer los conceptos de impugnación en su escrito inicial de demanda que se advierten en fojas </w:t>
      </w:r>
      <w:r>
        <w:rPr>
          <w:rFonts w:ascii="Arial" w:eastAsia="Arial Unicode MS" w:hAnsi="Arial" w:cs="Arial"/>
          <w:sz w:val="24"/>
          <w:szCs w:val="24"/>
        </w:rPr>
        <w:t>6</w:t>
      </w:r>
      <w:r w:rsidR="00EA502F">
        <w:rPr>
          <w:rFonts w:ascii="Arial" w:eastAsia="Arial Unicode MS" w:hAnsi="Arial" w:cs="Arial"/>
          <w:sz w:val="24"/>
          <w:szCs w:val="24"/>
        </w:rPr>
        <w:t xml:space="preserve"> a 9</w:t>
      </w:r>
      <w:r w:rsidRPr="00EB1FE0">
        <w:rPr>
          <w:rFonts w:ascii="Arial" w:eastAsia="Arial Unicode MS" w:hAnsi="Arial" w:cs="Arial"/>
          <w:sz w:val="24"/>
          <w:szCs w:val="24"/>
        </w:rPr>
        <w:t xml:space="preserve"> de este sumario, argumentos que no se trascriben y por economía procesal se tienen por reproducidos como si se insertaren a la letra, para que surtan sus efectos legales a que haya lugar.</w:t>
      </w:r>
    </w:p>
    <w:p w:rsidR="002B74A2" w:rsidRPr="00EB1FE0" w:rsidRDefault="002B74A2" w:rsidP="002B74A2">
      <w:pPr>
        <w:spacing w:after="0" w:line="360" w:lineRule="auto"/>
        <w:ind w:firstLine="709"/>
        <w:jc w:val="both"/>
        <w:rPr>
          <w:rFonts w:ascii="Arial" w:eastAsia="Arial Unicode MS" w:hAnsi="Arial" w:cs="Arial"/>
          <w:sz w:val="24"/>
          <w:szCs w:val="24"/>
        </w:rPr>
      </w:pPr>
    </w:p>
    <w:p w:rsidR="002B74A2" w:rsidRPr="00EB1FE0" w:rsidRDefault="002B74A2" w:rsidP="002B74A2">
      <w:pPr>
        <w:spacing w:after="0" w:line="360" w:lineRule="auto"/>
        <w:ind w:firstLine="709"/>
        <w:jc w:val="both"/>
        <w:rPr>
          <w:rFonts w:ascii="Arial" w:eastAsia="Calibri" w:hAnsi="Arial" w:cs="Arial"/>
          <w:sz w:val="24"/>
          <w:szCs w:val="24"/>
        </w:rPr>
      </w:pPr>
      <w:r w:rsidRPr="00EB1FE0">
        <w:rPr>
          <w:rFonts w:ascii="Arial" w:eastAsia="Calibri" w:hAnsi="Arial" w:cs="Arial"/>
          <w:sz w:val="24"/>
          <w:szCs w:val="24"/>
        </w:rPr>
        <w:t>Resulta aplicable por analogía, la Tesis de Jurisprudencia  de la Novena Época, Registro: 164618, Instancia: Segunda Sala, Tipo de Tesis: Jurisprudencia, Fuente: Semanario Judicial de la Federación y su Gaceta, Tomo XXXI, Mayo de 2010, Materia(s): Común, Tesis: 2a</w:t>
      </w:r>
      <w:proofErr w:type="gramStart"/>
      <w:r w:rsidRPr="00EB1FE0">
        <w:rPr>
          <w:rFonts w:ascii="Arial" w:eastAsia="Calibri" w:hAnsi="Arial" w:cs="Arial"/>
          <w:sz w:val="24"/>
          <w:szCs w:val="24"/>
        </w:rPr>
        <w:t>./</w:t>
      </w:r>
      <w:proofErr w:type="gramEnd"/>
      <w:r w:rsidRPr="00EB1FE0">
        <w:rPr>
          <w:rFonts w:ascii="Arial" w:eastAsia="Calibri" w:hAnsi="Arial" w:cs="Arial"/>
          <w:sz w:val="24"/>
          <w:szCs w:val="24"/>
        </w:rPr>
        <w:t xml:space="preserve">J. 58/2010, Página: 830, que dice:  </w:t>
      </w:r>
    </w:p>
    <w:p w:rsidR="002B74A2" w:rsidRPr="00EB1FE0" w:rsidRDefault="002B74A2" w:rsidP="002B74A2">
      <w:pPr>
        <w:spacing w:after="0"/>
        <w:ind w:firstLine="709"/>
        <w:jc w:val="both"/>
        <w:rPr>
          <w:rFonts w:ascii="Arial" w:eastAsia="Arial Unicode MS" w:hAnsi="Arial" w:cs="Arial"/>
          <w:sz w:val="24"/>
          <w:szCs w:val="24"/>
        </w:rPr>
      </w:pPr>
    </w:p>
    <w:p w:rsidR="002B74A2" w:rsidRPr="00EB1FE0" w:rsidRDefault="002B74A2" w:rsidP="002B74A2">
      <w:pPr>
        <w:autoSpaceDE w:val="0"/>
        <w:autoSpaceDN w:val="0"/>
        <w:adjustRightInd w:val="0"/>
        <w:spacing w:after="0"/>
        <w:ind w:left="709"/>
        <w:jc w:val="both"/>
        <w:rPr>
          <w:rFonts w:ascii="Arial" w:eastAsia="Calibri" w:hAnsi="Arial" w:cs="Arial"/>
          <w:sz w:val="23"/>
          <w:szCs w:val="23"/>
        </w:rPr>
      </w:pPr>
      <w:r w:rsidRPr="00EB1FE0">
        <w:rPr>
          <w:rFonts w:ascii="Arial" w:eastAsia="Calibri" w:hAnsi="Arial" w:cs="Arial"/>
          <w:b/>
          <w:i/>
          <w:sz w:val="23"/>
          <w:szCs w:val="23"/>
        </w:rPr>
        <w:t>“CONCEPTOS DE VIOLACIÓN O AGRAVIOS. PARA CUMPLIR CON LOS PRINCIPIOS DE CONGRUENCIA Y EXHAUSTIVIDAD EN LAS SENTENCIAS DE AMPARO ES INNECESARIA SU TRANSCRIPCIÓN.</w:t>
      </w:r>
      <w:r w:rsidRPr="00EB1FE0">
        <w:rPr>
          <w:rFonts w:ascii="Arial" w:eastAsia="Calibri" w:hAnsi="Arial" w:cs="Arial"/>
          <w:i/>
          <w:sz w:val="23"/>
          <w:szCs w:val="23"/>
        </w:rPr>
        <w:t xml:space="preserve">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w:t>
      </w:r>
      <w:proofErr w:type="spellStart"/>
      <w:r w:rsidRPr="00EB1FE0">
        <w:rPr>
          <w:rFonts w:ascii="Arial" w:eastAsia="Calibri" w:hAnsi="Arial" w:cs="Arial"/>
          <w:i/>
          <w:sz w:val="23"/>
          <w:szCs w:val="23"/>
        </w:rPr>
        <w:t>litis</w:t>
      </w:r>
      <w:proofErr w:type="spellEnd"/>
      <w:r w:rsidRPr="00EB1FE0">
        <w:rPr>
          <w:rFonts w:ascii="Arial" w:eastAsia="Calibri" w:hAnsi="Arial" w:cs="Arial"/>
          <w:i/>
          <w:sz w:val="23"/>
          <w:szCs w:val="23"/>
        </w:rPr>
        <w:t>.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r w:rsidRPr="00EB1FE0">
        <w:rPr>
          <w:rFonts w:ascii="Arial" w:eastAsia="Calibri" w:hAnsi="Arial" w:cs="Arial"/>
          <w:sz w:val="23"/>
          <w:szCs w:val="23"/>
        </w:rPr>
        <w:t>”</w:t>
      </w:r>
    </w:p>
    <w:p w:rsidR="002B74A2" w:rsidRPr="00EB1FE0" w:rsidRDefault="002B74A2" w:rsidP="002B74A2">
      <w:pPr>
        <w:spacing w:after="0" w:line="360" w:lineRule="auto"/>
        <w:ind w:firstLine="709"/>
        <w:jc w:val="both"/>
        <w:rPr>
          <w:rFonts w:ascii="Arial" w:eastAsia="Arial Unicode MS" w:hAnsi="Arial" w:cs="Arial"/>
          <w:b/>
          <w:sz w:val="24"/>
          <w:szCs w:val="24"/>
        </w:rPr>
      </w:pPr>
    </w:p>
    <w:p w:rsidR="002B74A2" w:rsidRPr="00EB1FE0" w:rsidRDefault="002B74A2" w:rsidP="00EA502F">
      <w:pPr>
        <w:spacing w:after="0" w:line="360" w:lineRule="auto"/>
        <w:ind w:firstLine="709"/>
        <w:jc w:val="both"/>
        <w:rPr>
          <w:rFonts w:ascii="Arial" w:eastAsia="Calibri" w:hAnsi="Arial" w:cs="Arial"/>
          <w:sz w:val="24"/>
          <w:szCs w:val="24"/>
        </w:rPr>
      </w:pPr>
      <w:r w:rsidRPr="00EB1FE0">
        <w:rPr>
          <w:rFonts w:ascii="Arial" w:eastAsia="Arial Unicode MS" w:hAnsi="Arial" w:cs="Arial"/>
          <w:b/>
          <w:sz w:val="24"/>
          <w:szCs w:val="24"/>
        </w:rPr>
        <w:lastRenderedPageBreak/>
        <w:t xml:space="preserve">SEXTO.- </w:t>
      </w:r>
      <w:r w:rsidRPr="00EB1FE0">
        <w:rPr>
          <w:rFonts w:ascii="Arial" w:eastAsia="Calibri" w:hAnsi="Arial" w:cs="Arial"/>
          <w:sz w:val="24"/>
          <w:szCs w:val="24"/>
        </w:rPr>
        <w:t>Precisado lo anterior, se</w:t>
      </w:r>
      <w:r w:rsidRPr="00EB1FE0">
        <w:rPr>
          <w:rFonts w:ascii="Arial" w:eastAsia="Calibri" w:hAnsi="Arial" w:cs="Arial"/>
          <w:sz w:val="24"/>
          <w:szCs w:val="24"/>
          <w:lang w:val="es-ES"/>
        </w:rPr>
        <w:t xml:space="preserve"> procede al estudio y resolución de fondo de</w:t>
      </w:r>
      <w:r w:rsidR="00EA502F">
        <w:rPr>
          <w:rFonts w:ascii="Arial" w:eastAsia="Calibri" w:hAnsi="Arial" w:cs="Arial"/>
          <w:sz w:val="24"/>
          <w:szCs w:val="24"/>
          <w:lang w:val="es-ES"/>
        </w:rPr>
        <w:t xml:space="preserve"> </w:t>
      </w:r>
      <w:r w:rsidRPr="00EB1FE0">
        <w:rPr>
          <w:rFonts w:ascii="Arial" w:eastAsia="Calibri" w:hAnsi="Arial" w:cs="Arial"/>
          <w:sz w:val="24"/>
          <w:szCs w:val="24"/>
          <w:lang w:val="es-ES"/>
        </w:rPr>
        <w:t>l</w:t>
      </w:r>
      <w:r w:rsidR="00EA502F">
        <w:rPr>
          <w:rFonts w:ascii="Arial" w:eastAsia="Calibri" w:hAnsi="Arial" w:cs="Arial"/>
          <w:sz w:val="24"/>
          <w:szCs w:val="24"/>
          <w:lang w:val="es-ES"/>
        </w:rPr>
        <w:t xml:space="preserve">os conceptos de impugnación </w:t>
      </w:r>
      <w:r w:rsidRPr="00EB1FE0">
        <w:rPr>
          <w:rFonts w:ascii="Arial" w:eastAsia="Calibri" w:hAnsi="Arial" w:cs="Arial"/>
          <w:sz w:val="24"/>
          <w:szCs w:val="24"/>
          <w:lang w:val="es-ES"/>
        </w:rPr>
        <w:t>que hace valer l</w:t>
      </w:r>
      <w:r w:rsidR="00EA502F">
        <w:rPr>
          <w:rFonts w:ascii="Arial" w:eastAsia="Calibri" w:hAnsi="Arial" w:cs="Arial"/>
          <w:sz w:val="24"/>
          <w:szCs w:val="24"/>
          <w:lang w:val="es-ES"/>
        </w:rPr>
        <w:t>a</w:t>
      </w:r>
      <w:r w:rsidRPr="00EB1FE0">
        <w:rPr>
          <w:rFonts w:ascii="Arial" w:eastAsia="Calibri" w:hAnsi="Arial" w:cs="Arial"/>
          <w:sz w:val="24"/>
          <w:szCs w:val="24"/>
          <w:lang w:val="es-ES"/>
        </w:rPr>
        <w:t xml:space="preserve"> promovente en su escrito de demanda</w:t>
      </w:r>
      <w:r w:rsidRPr="00EB1FE0">
        <w:rPr>
          <w:rFonts w:ascii="Arial" w:eastAsia="Calibri" w:hAnsi="Arial" w:cs="Arial"/>
          <w:sz w:val="24"/>
          <w:szCs w:val="24"/>
        </w:rPr>
        <w:t>, y que obra en autos de este procedimiento.</w:t>
      </w:r>
    </w:p>
    <w:p w:rsidR="002B74A2" w:rsidRPr="00EB1FE0" w:rsidRDefault="002B74A2" w:rsidP="002B74A2">
      <w:pPr>
        <w:spacing w:after="0" w:line="360" w:lineRule="auto"/>
        <w:ind w:firstLine="709"/>
        <w:jc w:val="both"/>
        <w:rPr>
          <w:rFonts w:ascii="Arial" w:eastAsia="Calibri" w:hAnsi="Arial" w:cs="Arial"/>
          <w:sz w:val="24"/>
          <w:szCs w:val="24"/>
        </w:rPr>
      </w:pPr>
    </w:p>
    <w:p w:rsidR="002B74A2" w:rsidRPr="00EB1FE0" w:rsidRDefault="002B74A2" w:rsidP="002B74A2">
      <w:pPr>
        <w:spacing w:after="0" w:line="360" w:lineRule="auto"/>
        <w:ind w:firstLine="709"/>
        <w:jc w:val="both"/>
        <w:rPr>
          <w:rFonts w:ascii="Arial" w:eastAsia="Arial Unicode MS" w:hAnsi="Arial" w:cs="Arial"/>
          <w:sz w:val="24"/>
          <w:szCs w:val="24"/>
        </w:rPr>
      </w:pPr>
      <w:r w:rsidRPr="00EB1FE0">
        <w:rPr>
          <w:rFonts w:ascii="Arial" w:eastAsia="Arial Unicode MS" w:hAnsi="Arial" w:cs="Arial"/>
          <w:sz w:val="24"/>
          <w:szCs w:val="24"/>
        </w:rPr>
        <w:t>Concepto de impugnación que en la parte que interesa refiere:</w:t>
      </w:r>
    </w:p>
    <w:p w:rsidR="002B74A2" w:rsidRPr="00EB1FE0" w:rsidRDefault="002B74A2" w:rsidP="002B74A2">
      <w:pPr>
        <w:spacing w:after="0" w:line="360" w:lineRule="auto"/>
        <w:ind w:firstLine="709"/>
        <w:jc w:val="both"/>
        <w:rPr>
          <w:rFonts w:ascii="Arial" w:eastAsia="Arial Unicode MS" w:hAnsi="Arial" w:cs="Arial"/>
          <w:sz w:val="24"/>
          <w:szCs w:val="24"/>
          <w:lang w:eastAsia="es-MX"/>
        </w:rPr>
      </w:pPr>
    </w:p>
    <w:p w:rsidR="00EA502F" w:rsidRDefault="002B74A2" w:rsidP="002B74A2">
      <w:pPr>
        <w:spacing w:after="0"/>
        <w:ind w:firstLine="709"/>
        <w:jc w:val="both"/>
        <w:rPr>
          <w:rFonts w:ascii="Arial" w:eastAsia="Arial Unicode MS" w:hAnsi="Arial" w:cs="Arial"/>
          <w:i/>
          <w:sz w:val="23"/>
          <w:szCs w:val="23"/>
        </w:rPr>
      </w:pPr>
      <w:r w:rsidRPr="00EB1FE0">
        <w:rPr>
          <w:rFonts w:ascii="Arial" w:eastAsia="Arial Unicode MS" w:hAnsi="Arial" w:cs="Arial"/>
          <w:i/>
          <w:sz w:val="23"/>
          <w:szCs w:val="23"/>
        </w:rPr>
        <w:t>“…</w:t>
      </w:r>
      <w:r w:rsidR="00EA502F">
        <w:rPr>
          <w:rFonts w:ascii="Arial" w:eastAsia="Arial Unicode MS" w:hAnsi="Arial" w:cs="Arial"/>
          <w:i/>
          <w:sz w:val="23"/>
          <w:szCs w:val="23"/>
        </w:rPr>
        <w:t xml:space="preserve">al resolver la autoridad administrativa el expediente número DCA_TN_2023_0001, respecto del recurso de reconsideración interpuesto por la suscrita, la responsable dictó Acuerdo de sobreseimiento con el argumento siguiente: “…El acto o resolución que se pretende impugnar ya se está tramitando en otra instancia se está tramitando ante otra instancia legal diverso medio de defensa legal conforme a los antecedentes, respecto al juicio de amparo con el número de expediente 255/2025-VI, promovido por la C. </w:t>
      </w:r>
      <w:r w:rsidR="00AA48E5">
        <w:rPr>
          <w:rFonts w:ascii="Arial" w:eastAsia="Arial Unicode MS" w:hAnsi="Arial" w:cs="Arial"/>
          <w:i/>
          <w:color w:val="FF0000"/>
          <w:sz w:val="23"/>
          <w:szCs w:val="23"/>
        </w:rPr>
        <w:t>***********</w:t>
      </w:r>
      <w:r w:rsidR="00EA502F">
        <w:rPr>
          <w:rFonts w:ascii="Arial" w:eastAsia="Arial Unicode MS" w:hAnsi="Arial" w:cs="Arial"/>
          <w:i/>
          <w:sz w:val="23"/>
          <w:szCs w:val="23"/>
        </w:rPr>
        <w:t>…”…, por lo que con tal determinación se me afectó en mi derecho de audiencia, puesto que la responsable al declarar improcedente el recurso de reconsideración me deja en estado de indefensión toda vez que da salida al recurso sin resolver la cuestión debatida, negándome la posibilidad de reclamar la resolución mediante un recurso efectivo,…la falta de fundamentación y motivación es una omisión que vulnera mis derechos fundamentales de seguridad jurídica prevista en el artículo 16 de la Carta Magna,…”</w:t>
      </w:r>
    </w:p>
    <w:p w:rsidR="00EA502F" w:rsidRDefault="00EA502F" w:rsidP="002B74A2">
      <w:pPr>
        <w:spacing w:after="0"/>
        <w:ind w:firstLine="709"/>
        <w:jc w:val="both"/>
        <w:rPr>
          <w:rFonts w:ascii="Arial" w:eastAsia="Arial Unicode MS" w:hAnsi="Arial" w:cs="Arial"/>
          <w:i/>
          <w:sz w:val="23"/>
          <w:szCs w:val="23"/>
        </w:rPr>
      </w:pPr>
    </w:p>
    <w:p w:rsidR="002B74A2" w:rsidRPr="00EB1FE0" w:rsidRDefault="002B74A2" w:rsidP="002B74A2">
      <w:pPr>
        <w:spacing w:after="0" w:line="360" w:lineRule="auto"/>
        <w:ind w:firstLine="708"/>
        <w:jc w:val="both"/>
        <w:rPr>
          <w:rFonts w:ascii="Arial" w:eastAsia="Calibri" w:hAnsi="Arial" w:cs="Arial"/>
          <w:sz w:val="24"/>
          <w:szCs w:val="24"/>
        </w:rPr>
      </w:pPr>
      <w:r w:rsidRPr="00EB1FE0">
        <w:rPr>
          <w:rFonts w:ascii="Arial" w:eastAsia="Calibri" w:hAnsi="Arial" w:cs="Arial"/>
          <w:sz w:val="24"/>
          <w:szCs w:val="24"/>
        </w:rPr>
        <w:t xml:space="preserve">Determinando por parte de esta Tercera Sala Unitaria que, por lo que hace al concepto de impugnación referido, </w:t>
      </w:r>
      <w:r w:rsidRPr="00EB1FE0">
        <w:rPr>
          <w:rFonts w:ascii="Arial" w:eastAsia="Calibri" w:hAnsi="Arial" w:cs="Arial"/>
          <w:b/>
          <w:sz w:val="24"/>
          <w:szCs w:val="24"/>
          <w:u w:val="single"/>
        </w:rPr>
        <w:t>resulta fundado y suficiente,</w:t>
      </w:r>
      <w:r w:rsidRPr="00EB1FE0">
        <w:rPr>
          <w:rFonts w:ascii="Arial" w:eastAsia="Calibri" w:hAnsi="Arial" w:cs="Arial"/>
          <w:b/>
          <w:sz w:val="24"/>
          <w:szCs w:val="24"/>
        </w:rPr>
        <w:t xml:space="preserve"> </w:t>
      </w:r>
      <w:r w:rsidRPr="00EB1FE0">
        <w:rPr>
          <w:rFonts w:ascii="Arial" w:eastAsia="Calibri" w:hAnsi="Arial" w:cs="Arial"/>
          <w:sz w:val="24"/>
          <w:szCs w:val="24"/>
        </w:rPr>
        <w:t>para decretar la ilegalidad nulidad del acto impugnado.</w:t>
      </w:r>
    </w:p>
    <w:p w:rsidR="002B74A2" w:rsidRPr="00EB1FE0" w:rsidRDefault="002B74A2" w:rsidP="002B74A2">
      <w:pPr>
        <w:spacing w:after="0" w:line="360" w:lineRule="auto"/>
        <w:ind w:firstLine="708"/>
        <w:jc w:val="both"/>
        <w:rPr>
          <w:rFonts w:ascii="Arial" w:eastAsia="Arial Unicode MS" w:hAnsi="Arial" w:cs="Arial"/>
          <w:sz w:val="24"/>
          <w:szCs w:val="24"/>
        </w:rPr>
      </w:pPr>
    </w:p>
    <w:p w:rsidR="00EA502F" w:rsidRPr="003D6034" w:rsidRDefault="002B74A2" w:rsidP="003D6034">
      <w:pPr>
        <w:spacing w:after="0" w:line="360" w:lineRule="auto"/>
        <w:ind w:firstLine="708"/>
        <w:jc w:val="both"/>
        <w:rPr>
          <w:rFonts w:ascii="Arial" w:eastAsia="Calibri" w:hAnsi="Arial" w:cs="Arial"/>
          <w:sz w:val="24"/>
          <w:szCs w:val="24"/>
        </w:rPr>
      </w:pPr>
      <w:r w:rsidRPr="003D6034">
        <w:rPr>
          <w:rFonts w:ascii="Arial" w:eastAsia="Calibri" w:hAnsi="Arial" w:cs="Arial"/>
          <w:sz w:val="24"/>
          <w:szCs w:val="24"/>
        </w:rPr>
        <w:t xml:space="preserve">Toda vez que se advierte que el acto reclamado, </w:t>
      </w:r>
      <w:r w:rsidRPr="003D6034">
        <w:rPr>
          <w:rFonts w:ascii="Arial" w:eastAsia="Calibri" w:hAnsi="Arial" w:cs="Arial"/>
          <w:b/>
          <w:sz w:val="24"/>
          <w:szCs w:val="24"/>
        </w:rPr>
        <w:t>adolece de una congruencia externa,</w:t>
      </w:r>
      <w:r w:rsidRPr="003D6034">
        <w:rPr>
          <w:rFonts w:ascii="Arial" w:eastAsia="Calibri" w:hAnsi="Arial" w:cs="Arial"/>
          <w:sz w:val="24"/>
          <w:szCs w:val="24"/>
        </w:rPr>
        <w:t xml:space="preserve"> en tanto que se </w:t>
      </w:r>
      <w:r w:rsidR="00EA502F" w:rsidRPr="003D6034">
        <w:rPr>
          <w:rFonts w:ascii="Arial" w:eastAsia="Calibri" w:hAnsi="Arial" w:cs="Arial"/>
          <w:sz w:val="24"/>
          <w:szCs w:val="24"/>
        </w:rPr>
        <w:t xml:space="preserve">dictó un sobreseimiento </w:t>
      </w:r>
      <w:r w:rsidR="00996CC9" w:rsidRPr="003D6034">
        <w:rPr>
          <w:rFonts w:ascii="Arial" w:eastAsia="Calibri" w:hAnsi="Arial" w:cs="Arial"/>
          <w:sz w:val="24"/>
          <w:szCs w:val="24"/>
        </w:rPr>
        <w:t xml:space="preserve">del Recurso de Reconsideración que interpuso </w:t>
      </w:r>
      <w:r w:rsidR="00AA48E5">
        <w:rPr>
          <w:rFonts w:ascii="Arial" w:eastAsia="Calibri" w:hAnsi="Arial" w:cs="Arial"/>
          <w:color w:val="FF0000"/>
          <w:sz w:val="24"/>
          <w:szCs w:val="24"/>
        </w:rPr>
        <w:t>***********</w:t>
      </w:r>
      <w:r w:rsidR="00996CC9" w:rsidRPr="003D6034">
        <w:rPr>
          <w:rFonts w:ascii="Arial" w:eastAsia="Calibri" w:hAnsi="Arial" w:cs="Arial"/>
          <w:sz w:val="24"/>
          <w:szCs w:val="24"/>
        </w:rPr>
        <w:t xml:space="preserve">, dentro del expediente </w:t>
      </w:r>
      <w:r w:rsidR="00996CC9" w:rsidRPr="003D6034">
        <w:rPr>
          <w:rFonts w:ascii="Arial" w:eastAsia="Arial Unicode MS" w:hAnsi="Arial" w:cs="Arial"/>
          <w:sz w:val="24"/>
          <w:szCs w:val="24"/>
        </w:rPr>
        <w:t xml:space="preserve">número DCA_TN_2023_0001, </w:t>
      </w:r>
      <w:r w:rsidR="003D6034" w:rsidRPr="003D6034">
        <w:rPr>
          <w:rFonts w:ascii="Arial" w:eastAsia="Arial Unicode MS" w:hAnsi="Arial" w:cs="Arial"/>
          <w:sz w:val="24"/>
          <w:szCs w:val="24"/>
        </w:rPr>
        <w:t>con motivo de que se encontraba tramitado en otra instancia legal diverso medio de defensa como lo es juicio de amparo indirecto, con el número de expediente 255/2025-VI, promovido por la aquí demandante.</w:t>
      </w:r>
    </w:p>
    <w:p w:rsidR="00EA502F" w:rsidRPr="003D6034" w:rsidRDefault="00EA502F" w:rsidP="002B74A2">
      <w:pPr>
        <w:spacing w:after="0" w:line="360" w:lineRule="auto"/>
        <w:ind w:firstLine="708"/>
        <w:jc w:val="both"/>
        <w:rPr>
          <w:rFonts w:ascii="Arial" w:eastAsia="Calibri" w:hAnsi="Arial" w:cs="Arial"/>
          <w:sz w:val="24"/>
          <w:szCs w:val="24"/>
        </w:rPr>
      </w:pPr>
    </w:p>
    <w:p w:rsidR="003D6034" w:rsidRPr="003D6034" w:rsidRDefault="003D6034" w:rsidP="003D6034">
      <w:pPr>
        <w:spacing w:after="0" w:line="360" w:lineRule="auto"/>
        <w:ind w:firstLine="708"/>
        <w:jc w:val="both"/>
        <w:rPr>
          <w:rFonts w:ascii="Arial" w:hAnsi="Arial" w:cs="Arial"/>
          <w:color w:val="000000"/>
          <w:sz w:val="24"/>
          <w:szCs w:val="24"/>
        </w:rPr>
      </w:pPr>
      <w:r w:rsidRPr="003D6034">
        <w:rPr>
          <w:rFonts w:ascii="Arial" w:eastAsia="Calibri" w:hAnsi="Arial" w:cs="Arial"/>
          <w:sz w:val="24"/>
          <w:szCs w:val="24"/>
        </w:rPr>
        <w:t>Lo que no resultó aplicable al caso concreto, en virtud de que</w:t>
      </w:r>
      <w:r w:rsidR="001E16C7">
        <w:rPr>
          <w:rFonts w:ascii="Arial" w:eastAsia="Calibri" w:hAnsi="Arial" w:cs="Arial"/>
          <w:sz w:val="24"/>
          <w:szCs w:val="24"/>
        </w:rPr>
        <w:t xml:space="preserve">, </w:t>
      </w:r>
      <w:r w:rsidRPr="003D6034">
        <w:rPr>
          <w:rFonts w:ascii="Arial" w:eastAsia="Calibri" w:hAnsi="Arial" w:cs="Arial"/>
          <w:sz w:val="24"/>
          <w:szCs w:val="24"/>
        </w:rPr>
        <w:t xml:space="preserve">en el </w:t>
      </w:r>
      <w:r w:rsidRPr="001E16C7">
        <w:rPr>
          <w:rFonts w:ascii="Arial" w:eastAsia="Calibri" w:hAnsi="Arial" w:cs="Arial"/>
          <w:b/>
          <w:sz w:val="24"/>
          <w:szCs w:val="24"/>
        </w:rPr>
        <w:t xml:space="preserve">expediente </w:t>
      </w:r>
      <w:r w:rsidR="00AA48E5">
        <w:rPr>
          <w:rFonts w:ascii="Arial" w:eastAsia="Calibri" w:hAnsi="Arial" w:cs="Arial"/>
          <w:b/>
          <w:color w:val="FF0000"/>
          <w:sz w:val="24"/>
          <w:szCs w:val="24"/>
        </w:rPr>
        <w:t>***********</w:t>
      </w:r>
      <w:r w:rsidRPr="003D6034">
        <w:rPr>
          <w:rFonts w:ascii="Arial" w:eastAsia="Calibri" w:hAnsi="Arial" w:cs="Arial"/>
          <w:sz w:val="24"/>
          <w:szCs w:val="24"/>
        </w:rPr>
        <w:t xml:space="preserve">, se dictó auto de quince de abril de dos mil veinticuatro, que dictó el </w:t>
      </w:r>
      <w:r w:rsidRPr="001E16C7">
        <w:rPr>
          <w:rFonts w:ascii="Arial" w:eastAsia="Calibri" w:hAnsi="Arial" w:cs="Arial"/>
          <w:b/>
          <w:sz w:val="24"/>
          <w:szCs w:val="24"/>
        </w:rPr>
        <w:t>SOBRESEIMIENTO</w:t>
      </w:r>
      <w:r w:rsidRPr="003D6034">
        <w:rPr>
          <w:rFonts w:ascii="Arial" w:eastAsia="Calibri" w:hAnsi="Arial" w:cs="Arial"/>
          <w:sz w:val="24"/>
          <w:szCs w:val="24"/>
        </w:rPr>
        <w:t xml:space="preserve"> del </w:t>
      </w:r>
      <w:r w:rsidRPr="001E16C7">
        <w:rPr>
          <w:rFonts w:ascii="Arial" w:eastAsia="Calibri" w:hAnsi="Arial" w:cs="Arial"/>
          <w:b/>
          <w:sz w:val="24"/>
          <w:szCs w:val="24"/>
        </w:rPr>
        <w:t>juicio de amparo</w:t>
      </w:r>
      <w:r w:rsidRPr="003D6034">
        <w:rPr>
          <w:rFonts w:ascii="Arial" w:eastAsia="Calibri" w:hAnsi="Arial" w:cs="Arial"/>
          <w:sz w:val="24"/>
          <w:szCs w:val="24"/>
        </w:rPr>
        <w:t xml:space="preserve"> promovido por </w:t>
      </w:r>
      <w:r w:rsidR="00AA48E5">
        <w:rPr>
          <w:rFonts w:ascii="Arial" w:eastAsia="Calibri" w:hAnsi="Arial" w:cs="Arial"/>
          <w:color w:val="FF0000"/>
          <w:sz w:val="24"/>
          <w:szCs w:val="24"/>
        </w:rPr>
        <w:t>***********</w:t>
      </w:r>
      <w:r w:rsidRPr="003D6034">
        <w:rPr>
          <w:rFonts w:ascii="Arial" w:eastAsia="Calibri" w:hAnsi="Arial" w:cs="Arial"/>
          <w:sz w:val="24"/>
          <w:szCs w:val="24"/>
        </w:rPr>
        <w:t xml:space="preserve">, </w:t>
      </w:r>
      <w:r w:rsidRPr="003D6034">
        <w:rPr>
          <w:rFonts w:ascii="Arial" w:hAnsi="Arial" w:cs="Arial"/>
          <w:color w:val="000000"/>
          <w:sz w:val="24"/>
          <w:szCs w:val="24"/>
        </w:rPr>
        <w:t xml:space="preserve">contra el acto del Director de Comercio y Alcoholes de Tierra Nueva, San Luis Potosí y Síndico de dicho municipio, que hizo consistir en: la resolución de sanción administrativa de dieciséis de febrero de dos mil veinticuatro, dictada en el expediente DCA_TN_0001/2023, del índice del Director referido, en la que se impuso la sanción de suspensión temporal del establecimiento comercial ubicado en calle </w:t>
      </w:r>
      <w:r w:rsidR="00AA48E5">
        <w:rPr>
          <w:rFonts w:ascii="Arial" w:hAnsi="Arial" w:cs="Arial"/>
          <w:color w:val="FF0000"/>
          <w:sz w:val="24"/>
          <w:szCs w:val="24"/>
        </w:rPr>
        <w:t>***********</w:t>
      </w:r>
      <w:r w:rsidRPr="003D6034">
        <w:rPr>
          <w:rFonts w:ascii="Arial" w:hAnsi="Arial" w:cs="Arial"/>
          <w:color w:val="000000"/>
          <w:sz w:val="24"/>
          <w:szCs w:val="24"/>
        </w:rPr>
        <w:t xml:space="preserve"> así como </w:t>
      </w:r>
      <w:r w:rsidRPr="003D6034">
        <w:rPr>
          <w:rFonts w:ascii="Arial" w:hAnsi="Arial" w:cs="Arial"/>
          <w:color w:val="000000"/>
          <w:sz w:val="24"/>
          <w:szCs w:val="24"/>
        </w:rPr>
        <w:lastRenderedPageBreak/>
        <w:t>el decomiso de mercancía que se encuentre obstruyendo la vía pública y su ejecución, lo que se publicó al día siguiente de su emisión.</w:t>
      </w:r>
    </w:p>
    <w:p w:rsidR="003D6034" w:rsidRPr="003D6034" w:rsidRDefault="003D6034" w:rsidP="003D6034">
      <w:pPr>
        <w:spacing w:after="0" w:line="360" w:lineRule="auto"/>
        <w:ind w:firstLine="708"/>
        <w:jc w:val="both"/>
        <w:rPr>
          <w:rFonts w:ascii="Arial" w:hAnsi="Arial" w:cs="Arial"/>
          <w:color w:val="000000"/>
          <w:sz w:val="24"/>
          <w:szCs w:val="24"/>
        </w:rPr>
      </w:pPr>
    </w:p>
    <w:p w:rsidR="002D18BB" w:rsidRPr="00595012" w:rsidRDefault="001E16C7" w:rsidP="002D18BB">
      <w:pPr>
        <w:shd w:val="clear" w:color="auto" w:fill="FFFFFF"/>
        <w:spacing w:line="330" w:lineRule="atLeast"/>
        <w:ind w:firstLine="708"/>
        <w:jc w:val="both"/>
        <w:rPr>
          <w:rFonts w:ascii="Arial" w:eastAsia="Times New Roman" w:hAnsi="Arial" w:cs="Arial"/>
          <w:color w:val="FF0000"/>
          <w:sz w:val="21"/>
          <w:szCs w:val="21"/>
          <w:lang w:val="es-ES" w:eastAsia="es-MX"/>
        </w:rPr>
      </w:pPr>
      <w:r>
        <w:rPr>
          <w:rFonts w:ascii="Arial" w:eastAsia="Calibri" w:hAnsi="Arial" w:cs="Arial"/>
          <w:sz w:val="24"/>
          <w:szCs w:val="24"/>
        </w:rPr>
        <w:t xml:space="preserve">Siendo un hecho notorio, </w:t>
      </w:r>
      <w:r w:rsidR="002D18BB">
        <w:rPr>
          <w:rFonts w:ascii="Arial" w:eastAsia="Calibri" w:hAnsi="Arial" w:cs="Arial"/>
          <w:sz w:val="24"/>
          <w:szCs w:val="24"/>
        </w:rPr>
        <w:t xml:space="preserve">de conformidad con el artículo 61 del Código Procesal Administrativo para el Estado de San Luis Potosí, de </w:t>
      </w:r>
      <w:r>
        <w:rPr>
          <w:rFonts w:ascii="Arial" w:eastAsia="Calibri" w:hAnsi="Arial" w:cs="Arial"/>
          <w:sz w:val="24"/>
          <w:szCs w:val="24"/>
        </w:rPr>
        <w:t xml:space="preserve">según se advierte de la página </w:t>
      </w:r>
      <w:r w:rsidR="002D18BB">
        <w:rPr>
          <w:rFonts w:ascii="Arial" w:eastAsia="Calibri" w:hAnsi="Arial" w:cs="Arial"/>
          <w:sz w:val="24"/>
          <w:szCs w:val="24"/>
        </w:rPr>
        <w:t xml:space="preserve">de internet de los  </w:t>
      </w:r>
      <w:r w:rsidR="002D18BB" w:rsidRPr="00595012">
        <w:rPr>
          <w:rFonts w:ascii="Arial" w:eastAsia="Times New Roman" w:hAnsi="Arial" w:cs="Arial"/>
          <w:color w:val="FF0000"/>
          <w:sz w:val="30"/>
          <w:szCs w:val="30"/>
          <w:lang w:val="es-ES" w:eastAsia="es-MX"/>
        </w:rPr>
        <w:fldChar w:fldCharType="begin"/>
      </w:r>
      <w:r w:rsidR="002D18BB" w:rsidRPr="00595012">
        <w:rPr>
          <w:rFonts w:ascii="Arial" w:eastAsia="Times New Roman" w:hAnsi="Arial" w:cs="Arial"/>
          <w:color w:val="FF0000"/>
          <w:sz w:val="30"/>
          <w:szCs w:val="30"/>
          <w:lang w:val="es-ES" w:eastAsia="es-MX"/>
        </w:rPr>
        <w:instrText xml:space="preserve"> HYPERLINK "Servicios  y  trámites  Consulta  de  Datos de Expedientes, </w:instrText>
      </w:r>
      <w:r w:rsidR="002D18BB" w:rsidRPr="00595012">
        <w:rPr>
          <w:rFonts w:ascii="Arial" w:eastAsia="Times New Roman" w:hAnsi="Arial" w:cs="Arial"/>
          <w:color w:val="FF0000"/>
          <w:sz w:val="21"/>
          <w:szCs w:val="21"/>
          <w:lang w:val="es-ES" w:eastAsia="es-MX"/>
        </w:rPr>
        <w:instrText xml:space="preserve">Órgano de Administración Judicial, página: </w:instrText>
      </w:r>
      <w:r w:rsidR="002D18BB" w:rsidRPr="00595012">
        <w:rPr>
          <w:rFonts w:ascii="Arial" w:eastAsia="Times New Roman" w:hAnsi="Arial" w:cs="Arial"/>
          <w:color w:val="FF0000"/>
          <w:sz w:val="18"/>
          <w:szCs w:val="18"/>
          <w:lang w:val="es-ES" w:eastAsia="es-MX"/>
        </w:rPr>
        <w:instrText>https://www.oaj.gob.mx.</w:instrText>
      </w:r>
    </w:p>
    <w:p w:rsidR="001E16C7" w:rsidRPr="001E16C7" w:rsidRDefault="002D18BB" w:rsidP="002D18BB">
      <w:pPr>
        <w:shd w:val="clear" w:color="auto" w:fill="FFFFFF"/>
        <w:spacing w:after="0" w:line="330" w:lineRule="atLeast"/>
        <w:jc w:val="both"/>
        <w:rPr>
          <w:rFonts w:ascii="Arial" w:eastAsia="Times New Roman" w:hAnsi="Arial" w:cs="Arial"/>
          <w:color w:val="1F1F1F"/>
          <w:sz w:val="21"/>
          <w:szCs w:val="21"/>
          <w:lang w:val="es-ES" w:eastAsia="es-MX"/>
        </w:rPr>
      </w:pPr>
      <w:r w:rsidRPr="00595012">
        <w:rPr>
          <w:rFonts w:ascii="Arial" w:eastAsia="Times New Roman" w:hAnsi="Arial" w:cs="Arial"/>
          <w:color w:val="FF0000"/>
          <w:sz w:val="30"/>
          <w:szCs w:val="30"/>
          <w:lang w:val="es-ES" w:eastAsia="es-MX"/>
        </w:rPr>
        <w:instrText xml:space="preserve">" </w:instrText>
      </w:r>
      <w:r w:rsidRPr="00595012">
        <w:rPr>
          <w:rFonts w:ascii="Arial" w:eastAsia="Times New Roman" w:hAnsi="Arial" w:cs="Arial"/>
          <w:color w:val="FF0000"/>
          <w:sz w:val="30"/>
          <w:szCs w:val="30"/>
          <w:lang w:val="es-ES" w:eastAsia="es-MX"/>
        </w:rPr>
        <w:fldChar w:fldCharType="separate"/>
      </w:r>
      <w:r w:rsidR="00AA48E5">
        <w:rPr>
          <w:rStyle w:val="Hipervnculo"/>
          <w:rFonts w:ascii="Arial" w:eastAsia="Times New Roman" w:hAnsi="Arial" w:cs="Arial"/>
          <w:color w:val="FF0000"/>
          <w:sz w:val="30"/>
          <w:szCs w:val="30"/>
          <w:lang w:val="es-ES" w:eastAsia="es-MX"/>
        </w:rPr>
        <w:t>***********</w:t>
      </w:r>
      <w:r w:rsidRPr="00595012">
        <w:rPr>
          <w:rFonts w:ascii="Arial" w:eastAsia="Times New Roman" w:hAnsi="Arial" w:cs="Arial"/>
          <w:color w:val="FF0000"/>
          <w:sz w:val="30"/>
          <w:szCs w:val="30"/>
          <w:lang w:val="es-ES" w:eastAsia="es-MX"/>
        </w:rPr>
        <w:fldChar w:fldCharType="end"/>
      </w:r>
    </w:p>
    <w:p w:rsidR="002D18BB" w:rsidRDefault="002D18BB" w:rsidP="002B74A2">
      <w:pPr>
        <w:spacing w:after="0" w:line="360" w:lineRule="auto"/>
        <w:ind w:firstLine="708"/>
        <w:jc w:val="both"/>
        <w:rPr>
          <w:rFonts w:ascii="Arial" w:eastAsia="Calibri" w:hAnsi="Arial" w:cs="Arial"/>
          <w:sz w:val="24"/>
          <w:szCs w:val="24"/>
        </w:rPr>
      </w:pPr>
      <w:r>
        <w:rPr>
          <w:rFonts w:ascii="Arial" w:eastAsia="Calibri" w:hAnsi="Arial" w:cs="Arial"/>
          <w:sz w:val="24"/>
          <w:szCs w:val="24"/>
        </w:rPr>
        <w:t>Donde aparece que se decretó el sobreseimiento del juicio de amparo antes citado, promovido por la aquí actora, p</w:t>
      </w:r>
      <w:r w:rsidR="002B74A2">
        <w:rPr>
          <w:rFonts w:ascii="Arial" w:eastAsia="Calibri" w:hAnsi="Arial" w:cs="Arial"/>
          <w:sz w:val="24"/>
          <w:szCs w:val="24"/>
        </w:rPr>
        <w:t xml:space="preserve">or lo que se aprecia que la autoridad demandada fue omisa en </w:t>
      </w:r>
      <w:r>
        <w:rPr>
          <w:rFonts w:ascii="Arial" w:eastAsia="Calibri" w:hAnsi="Arial" w:cs="Arial"/>
          <w:sz w:val="24"/>
          <w:szCs w:val="24"/>
        </w:rPr>
        <w:t>resolver el Recurso de Reconsideración propuesto por la aquí demandante, ante el Director de Comercio y Alcoholes del Municipio de Tierra Nueva, S.L.P.</w:t>
      </w:r>
    </w:p>
    <w:p w:rsidR="002D18BB" w:rsidRDefault="002D18BB" w:rsidP="002B74A2">
      <w:pPr>
        <w:spacing w:after="0" w:line="360" w:lineRule="auto"/>
        <w:ind w:firstLine="708"/>
        <w:jc w:val="both"/>
        <w:rPr>
          <w:rFonts w:ascii="Arial" w:eastAsia="Calibri" w:hAnsi="Arial" w:cs="Arial"/>
          <w:sz w:val="24"/>
          <w:szCs w:val="24"/>
        </w:rPr>
      </w:pPr>
    </w:p>
    <w:p w:rsidR="002B74A2" w:rsidRPr="00EB1FE0" w:rsidRDefault="002D18BB" w:rsidP="002B74A2">
      <w:pPr>
        <w:spacing w:after="0" w:line="360" w:lineRule="auto"/>
        <w:ind w:firstLine="708"/>
        <w:jc w:val="both"/>
        <w:rPr>
          <w:rFonts w:ascii="Arial" w:eastAsia="Times New Roman" w:hAnsi="Arial" w:cs="Arial"/>
          <w:i/>
          <w:lang w:val="es-ES" w:eastAsia="es-ES"/>
        </w:rPr>
      </w:pPr>
      <w:r>
        <w:rPr>
          <w:rFonts w:ascii="Arial" w:eastAsia="Calibri" w:hAnsi="Arial" w:cs="Arial"/>
          <w:sz w:val="24"/>
          <w:szCs w:val="24"/>
        </w:rPr>
        <w:t xml:space="preserve">En tal virtud, la autoridad fue omisa en </w:t>
      </w:r>
      <w:r w:rsidR="002B74A2">
        <w:rPr>
          <w:rFonts w:ascii="Arial" w:eastAsia="Calibri" w:hAnsi="Arial" w:cs="Arial"/>
          <w:sz w:val="24"/>
          <w:szCs w:val="24"/>
        </w:rPr>
        <w:t xml:space="preserve">atender la exigencia de fundamentación y motivación concatenada con los diversos principios de exhaustividad y congruencia en el </w:t>
      </w:r>
      <w:r>
        <w:rPr>
          <w:rFonts w:ascii="Arial" w:eastAsia="Calibri" w:hAnsi="Arial" w:cs="Arial"/>
          <w:sz w:val="24"/>
          <w:szCs w:val="24"/>
        </w:rPr>
        <w:t>acto impugnado</w:t>
      </w:r>
      <w:r w:rsidR="002B74A2">
        <w:rPr>
          <w:rFonts w:ascii="Arial" w:eastAsia="Calibri" w:hAnsi="Arial" w:cs="Arial"/>
          <w:sz w:val="24"/>
          <w:szCs w:val="24"/>
        </w:rPr>
        <w:t xml:space="preserve">, así como </w:t>
      </w:r>
      <w:r w:rsidR="002B74A2" w:rsidRPr="00EB1FE0">
        <w:rPr>
          <w:rFonts w:ascii="Arial" w:eastAsia="Times New Roman" w:hAnsi="Arial" w:cs="Arial"/>
          <w:sz w:val="24"/>
          <w:szCs w:val="24"/>
          <w:lang w:val="es-ES" w:eastAsia="es-ES"/>
        </w:rPr>
        <w:t>en atender de manera congruente y ex</w:t>
      </w:r>
      <w:r w:rsidR="002B74A2">
        <w:rPr>
          <w:rFonts w:ascii="Arial" w:eastAsia="Times New Roman" w:hAnsi="Arial" w:cs="Arial"/>
          <w:sz w:val="24"/>
          <w:szCs w:val="24"/>
          <w:lang w:val="es-ES" w:eastAsia="es-ES"/>
        </w:rPr>
        <w:t xml:space="preserve">haustiva </w:t>
      </w:r>
      <w:r>
        <w:rPr>
          <w:rFonts w:ascii="Arial" w:eastAsia="Times New Roman" w:hAnsi="Arial" w:cs="Arial"/>
          <w:sz w:val="24"/>
          <w:szCs w:val="24"/>
          <w:lang w:val="es-ES" w:eastAsia="es-ES"/>
        </w:rPr>
        <w:t>el recurso interpuesto por la actora</w:t>
      </w:r>
      <w:r w:rsidR="002B74A2">
        <w:rPr>
          <w:rFonts w:ascii="Arial" w:eastAsia="Times New Roman" w:hAnsi="Arial" w:cs="Arial"/>
          <w:sz w:val="24"/>
          <w:szCs w:val="24"/>
          <w:lang w:val="es-ES" w:eastAsia="es-ES"/>
        </w:rPr>
        <w:t>.</w:t>
      </w:r>
    </w:p>
    <w:p w:rsidR="002B74A2" w:rsidRPr="00EB1FE0" w:rsidRDefault="002B74A2" w:rsidP="002B74A2">
      <w:pPr>
        <w:spacing w:after="0" w:line="360" w:lineRule="auto"/>
        <w:ind w:firstLine="708"/>
        <w:jc w:val="both"/>
        <w:rPr>
          <w:rFonts w:ascii="Arial" w:eastAsia="Times New Roman" w:hAnsi="Arial" w:cs="Arial"/>
          <w:sz w:val="24"/>
          <w:szCs w:val="24"/>
          <w:lang w:val="es-ES" w:eastAsia="es-ES"/>
        </w:rPr>
      </w:pPr>
    </w:p>
    <w:p w:rsidR="002B74A2" w:rsidRPr="00EB1FE0" w:rsidRDefault="002B74A2" w:rsidP="002D18BB">
      <w:pPr>
        <w:spacing w:after="0" w:line="360" w:lineRule="auto"/>
        <w:ind w:firstLine="708"/>
        <w:jc w:val="both"/>
        <w:rPr>
          <w:rFonts w:ascii="Arial" w:eastAsia="Calibri" w:hAnsi="Arial" w:cs="Arial"/>
          <w:sz w:val="24"/>
          <w:szCs w:val="24"/>
        </w:rPr>
      </w:pPr>
      <w:r w:rsidRPr="00EB1FE0">
        <w:rPr>
          <w:rFonts w:ascii="Arial" w:eastAsia="Times New Roman" w:hAnsi="Arial" w:cs="Arial"/>
          <w:sz w:val="24"/>
          <w:szCs w:val="24"/>
          <w:lang w:val="es-ES" w:eastAsia="es-ES"/>
        </w:rPr>
        <w:t>P</w:t>
      </w:r>
      <w:proofErr w:type="spellStart"/>
      <w:r w:rsidRPr="00EB1FE0">
        <w:rPr>
          <w:rFonts w:ascii="Arial" w:eastAsia="Calibri" w:hAnsi="Arial" w:cs="Arial"/>
          <w:sz w:val="24"/>
          <w:szCs w:val="24"/>
        </w:rPr>
        <w:t>ues</w:t>
      </w:r>
      <w:proofErr w:type="spellEnd"/>
      <w:r w:rsidRPr="00EB1FE0">
        <w:rPr>
          <w:rFonts w:ascii="Arial" w:eastAsia="Calibri" w:hAnsi="Arial" w:cs="Arial"/>
          <w:sz w:val="24"/>
          <w:szCs w:val="24"/>
        </w:rPr>
        <w:t xml:space="preserve"> </w:t>
      </w:r>
      <w:r>
        <w:rPr>
          <w:rFonts w:ascii="Arial" w:eastAsia="Calibri" w:hAnsi="Arial" w:cs="Arial"/>
          <w:sz w:val="24"/>
          <w:szCs w:val="24"/>
        </w:rPr>
        <w:t>dio</w:t>
      </w:r>
      <w:r w:rsidRPr="00EB1FE0">
        <w:rPr>
          <w:rFonts w:ascii="Arial" w:eastAsia="Calibri" w:hAnsi="Arial" w:cs="Arial"/>
          <w:sz w:val="24"/>
          <w:szCs w:val="24"/>
        </w:rPr>
        <w:t xml:space="preserve"> respuesta en relación a</w:t>
      </w:r>
      <w:r w:rsidR="002D18BB">
        <w:rPr>
          <w:rFonts w:ascii="Arial" w:eastAsia="Calibri" w:hAnsi="Arial" w:cs="Arial"/>
          <w:sz w:val="24"/>
          <w:szCs w:val="24"/>
        </w:rPr>
        <w:t xml:space="preserve"> que ya se había promovido un juicio de amparo en contra de la resolución reclamada por la actora ante esa autoridad; que sin embargo, como se ha señalado con antelación, en el citado juicio de amparo, se decretó el sobreseimiento del juicio, por lo que la autoridad demandada, no se encuentra impedida para entrar al estudio del planteamiento formulado por la actora en el Recurso de Reconsideración promovido ante la demandada</w:t>
      </w:r>
      <w:r w:rsidRPr="00EB1FE0">
        <w:rPr>
          <w:rFonts w:ascii="Arial" w:eastAsia="Calibri" w:hAnsi="Arial" w:cs="Arial"/>
          <w:sz w:val="24"/>
          <w:szCs w:val="24"/>
        </w:rPr>
        <w:t>.</w:t>
      </w:r>
    </w:p>
    <w:p w:rsidR="002B74A2" w:rsidRPr="00EB1FE0" w:rsidRDefault="002B74A2" w:rsidP="002B74A2">
      <w:pPr>
        <w:spacing w:after="0" w:line="360" w:lineRule="auto"/>
        <w:ind w:firstLine="708"/>
        <w:jc w:val="both"/>
        <w:rPr>
          <w:rFonts w:ascii="Arial" w:eastAsia="Calibri" w:hAnsi="Arial" w:cs="Arial"/>
          <w:sz w:val="24"/>
          <w:szCs w:val="24"/>
        </w:rPr>
      </w:pPr>
    </w:p>
    <w:p w:rsidR="002B74A2" w:rsidRPr="00EB1FE0" w:rsidRDefault="002B74A2" w:rsidP="002B74A2">
      <w:pPr>
        <w:spacing w:after="0" w:line="360" w:lineRule="auto"/>
        <w:ind w:firstLine="708"/>
        <w:jc w:val="both"/>
        <w:rPr>
          <w:rFonts w:ascii="Arial" w:eastAsia="Calibri" w:hAnsi="Arial" w:cs="Arial"/>
          <w:sz w:val="24"/>
          <w:szCs w:val="24"/>
        </w:rPr>
      </w:pPr>
      <w:r w:rsidRPr="00EB1FE0">
        <w:rPr>
          <w:rFonts w:ascii="Arial" w:eastAsia="Calibri" w:hAnsi="Arial" w:cs="Arial"/>
          <w:sz w:val="24"/>
          <w:szCs w:val="24"/>
        </w:rPr>
        <w:t xml:space="preserve">Lo que conlleva </w:t>
      </w:r>
      <w:r w:rsidRPr="00EB1FE0">
        <w:rPr>
          <w:rFonts w:ascii="Arial" w:eastAsia="Calibri" w:hAnsi="Arial" w:cs="Arial"/>
          <w:b/>
          <w:sz w:val="24"/>
          <w:szCs w:val="24"/>
        </w:rPr>
        <w:t>una incongruencia externa por deficiencia</w:t>
      </w:r>
      <w:r w:rsidRPr="00EB1FE0">
        <w:rPr>
          <w:rFonts w:ascii="Arial" w:eastAsia="Calibri" w:hAnsi="Arial" w:cs="Arial"/>
          <w:sz w:val="24"/>
          <w:szCs w:val="24"/>
        </w:rPr>
        <w:t xml:space="preserve"> en el estudio del punto litigioso que le fue sometido a esa autoridad</w:t>
      </w:r>
      <w:r w:rsidR="00AA48E5">
        <w:rPr>
          <w:rFonts w:ascii="Arial" w:eastAsia="Times New Roman" w:hAnsi="Arial" w:cs="Arial"/>
          <w:color w:val="FF0000"/>
          <w:sz w:val="24"/>
          <w:szCs w:val="24"/>
          <w:lang w:val="es-ES" w:eastAsia="es-ES"/>
        </w:rPr>
        <w:t>***********</w:t>
      </w:r>
      <w:r w:rsidRPr="00EB1FE0">
        <w:rPr>
          <w:rFonts w:ascii="Arial" w:eastAsia="Times New Roman" w:hAnsi="Arial" w:cs="Arial"/>
          <w:sz w:val="24"/>
          <w:szCs w:val="24"/>
          <w:lang w:val="es-ES" w:eastAsia="es-ES"/>
        </w:rPr>
        <w:t xml:space="preserve"> lo que genera que </w:t>
      </w:r>
      <w:r w:rsidRPr="00EB1FE0">
        <w:rPr>
          <w:rFonts w:ascii="Arial" w:eastAsia="Calibri" w:hAnsi="Arial" w:cs="Arial"/>
          <w:sz w:val="24"/>
          <w:szCs w:val="24"/>
        </w:rPr>
        <w:t xml:space="preserve">la resolución que se impugna fuera dictada sin la debida fundamentación y motivación a lo solicitado por el accionante, los cuales están concatenadas con los diversos </w:t>
      </w:r>
      <w:r w:rsidRPr="00EB1FE0">
        <w:rPr>
          <w:rFonts w:ascii="Arial" w:eastAsia="Calibri" w:hAnsi="Arial" w:cs="Arial"/>
          <w:b/>
          <w:sz w:val="24"/>
          <w:szCs w:val="24"/>
        </w:rPr>
        <w:t xml:space="preserve">principios de exhaustividad y congruencia, </w:t>
      </w:r>
      <w:r w:rsidRPr="00EB1FE0">
        <w:rPr>
          <w:rFonts w:ascii="Arial" w:eastAsia="Calibri" w:hAnsi="Arial" w:cs="Arial"/>
          <w:sz w:val="24"/>
          <w:szCs w:val="24"/>
        </w:rPr>
        <w:t xml:space="preserve">conforme a los cuales, la autoridad competente está obligada al emitir su fallo, de ocuparse de todas y cada una de las pretensiones que plantea la parte que pide, y hacer </w:t>
      </w:r>
      <w:r w:rsidRPr="00EB1FE0">
        <w:rPr>
          <w:rFonts w:ascii="Arial" w:eastAsia="Arial Unicode MS" w:hAnsi="Arial" w:cs="Arial"/>
          <w:sz w:val="24"/>
          <w:szCs w:val="24"/>
          <w:lang w:eastAsia="es-MX"/>
        </w:rPr>
        <w:t xml:space="preserve">una valoración de las pruebas aportadas en el procedimiento, </w:t>
      </w:r>
      <w:r w:rsidRPr="00EB1FE0">
        <w:rPr>
          <w:rFonts w:ascii="Arial" w:eastAsia="Calibri" w:hAnsi="Arial" w:cs="Arial"/>
          <w:sz w:val="24"/>
          <w:szCs w:val="24"/>
        </w:rPr>
        <w:t xml:space="preserve">lo que se traduce en una violación al artículo 14, 16 párrafo primero y 17 de nuestra Carta Magna, en contravención de los elementos y requisitos del acto administrativo que se establecen en los numerales 164 fracciones V y VI y 165 fracciones II y III del Código Procesal Administrativo, que a la letra dicen: </w:t>
      </w:r>
    </w:p>
    <w:p w:rsidR="002B74A2" w:rsidRPr="00EB1FE0" w:rsidRDefault="002B74A2" w:rsidP="002B74A2">
      <w:pPr>
        <w:spacing w:after="0" w:line="240" w:lineRule="auto"/>
        <w:ind w:firstLine="709"/>
        <w:jc w:val="both"/>
        <w:rPr>
          <w:rFonts w:ascii="Arial" w:eastAsia="Calibri" w:hAnsi="Arial" w:cs="Arial"/>
          <w:i/>
          <w:sz w:val="24"/>
          <w:szCs w:val="24"/>
        </w:rPr>
      </w:pPr>
    </w:p>
    <w:p w:rsidR="002B74A2" w:rsidRPr="00EB1FE0" w:rsidRDefault="002B74A2" w:rsidP="002B74A2">
      <w:pPr>
        <w:autoSpaceDE w:val="0"/>
        <w:autoSpaceDN w:val="0"/>
        <w:adjustRightInd w:val="0"/>
        <w:spacing w:after="0"/>
        <w:ind w:left="709"/>
        <w:jc w:val="both"/>
        <w:rPr>
          <w:rFonts w:ascii="Arial" w:eastAsia="Calibri" w:hAnsi="Arial" w:cs="Arial"/>
          <w:i/>
        </w:rPr>
      </w:pPr>
      <w:r w:rsidRPr="00EB1FE0">
        <w:rPr>
          <w:rFonts w:ascii="Arial" w:eastAsia="Calibri" w:hAnsi="Arial" w:cs="Arial"/>
          <w:b/>
          <w:i/>
        </w:rPr>
        <w:lastRenderedPageBreak/>
        <w:t xml:space="preserve">“Artículo 164. </w:t>
      </w:r>
      <w:r w:rsidRPr="00EB1FE0">
        <w:rPr>
          <w:rFonts w:ascii="Arial" w:eastAsia="Calibri" w:hAnsi="Arial" w:cs="Arial"/>
          <w:i/>
        </w:rPr>
        <w:t>Son elementos del acto administrativo:</w:t>
      </w:r>
    </w:p>
    <w:p w:rsidR="002B74A2" w:rsidRPr="00EB1FE0" w:rsidRDefault="002B74A2" w:rsidP="002B74A2">
      <w:pPr>
        <w:autoSpaceDE w:val="0"/>
        <w:autoSpaceDN w:val="0"/>
        <w:adjustRightInd w:val="0"/>
        <w:spacing w:after="0"/>
        <w:ind w:left="709"/>
        <w:jc w:val="both"/>
        <w:rPr>
          <w:rFonts w:ascii="Arial" w:eastAsia="Calibri" w:hAnsi="Arial" w:cs="Arial"/>
          <w:i/>
        </w:rPr>
      </w:pPr>
    </w:p>
    <w:p w:rsidR="002B74A2" w:rsidRPr="00EB1FE0" w:rsidRDefault="002B74A2" w:rsidP="002B74A2">
      <w:pPr>
        <w:autoSpaceDE w:val="0"/>
        <w:autoSpaceDN w:val="0"/>
        <w:adjustRightInd w:val="0"/>
        <w:spacing w:after="0"/>
        <w:ind w:left="709"/>
        <w:jc w:val="both"/>
        <w:rPr>
          <w:rFonts w:ascii="Arial" w:eastAsia="Calibri" w:hAnsi="Arial" w:cs="Arial"/>
          <w:i/>
        </w:rPr>
      </w:pPr>
      <w:r w:rsidRPr="00EB1FE0">
        <w:rPr>
          <w:rFonts w:ascii="Arial" w:eastAsia="Calibri" w:hAnsi="Arial" w:cs="Arial"/>
          <w:i/>
        </w:rPr>
        <w:t>“…V.  Estar fundado y motivado;</w:t>
      </w:r>
    </w:p>
    <w:p w:rsidR="002B74A2" w:rsidRPr="00EB1FE0" w:rsidRDefault="002B74A2" w:rsidP="002B74A2">
      <w:pPr>
        <w:autoSpaceDE w:val="0"/>
        <w:autoSpaceDN w:val="0"/>
        <w:adjustRightInd w:val="0"/>
        <w:spacing w:after="0"/>
        <w:ind w:left="709"/>
        <w:jc w:val="both"/>
        <w:rPr>
          <w:rFonts w:ascii="Arial" w:eastAsia="Calibri" w:hAnsi="Arial" w:cs="Arial"/>
          <w:i/>
        </w:rPr>
      </w:pPr>
    </w:p>
    <w:p w:rsidR="002B74A2" w:rsidRPr="00EB1FE0" w:rsidRDefault="002B74A2" w:rsidP="002B74A2">
      <w:pPr>
        <w:autoSpaceDE w:val="0"/>
        <w:autoSpaceDN w:val="0"/>
        <w:adjustRightInd w:val="0"/>
        <w:spacing w:after="0"/>
        <w:ind w:left="709"/>
        <w:jc w:val="both"/>
        <w:rPr>
          <w:rFonts w:ascii="Arial" w:eastAsia="Calibri" w:hAnsi="Arial" w:cs="Arial"/>
          <w:i/>
        </w:rPr>
      </w:pPr>
      <w:r w:rsidRPr="00EB1FE0">
        <w:rPr>
          <w:rFonts w:ascii="Arial" w:eastAsia="Calibri" w:hAnsi="Arial" w:cs="Arial"/>
          <w:i/>
        </w:rPr>
        <w:t>VI. Ser expedido sin que medie error de hecho o de derecho sobre el objeto, causa o motivo, o fin del acto y su emisión, y</w:t>
      </w:r>
    </w:p>
    <w:p w:rsidR="002B74A2" w:rsidRPr="00EB1FE0" w:rsidRDefault="002B74A2" w:rsidP="002B74A2">
      <w:pPr>
        <w:autoSpaceDE w:val="0"/>
        <w:autoSpaceDN w:val="0"/>
        <w:adjustRightInd w:val="0"/>
        <w:spacing w:after="0"/>
        <w:ind w:left="709"/>
        <w:jc w:val="both"/>
        <w:rPr>
          <w:rFonts w:ascii="Arial" w:eastAsia="Calibri" w:hAnsi="Arial" w:cs="Arial"/>
          <w:i/>
        </w:rPr>
      </w:pPr>
    </w:p>
    <w:p w:rsidR="002B74A2" w:rsidRPr="00EB1FE0" w:rsidRDefault="002B74A2" w:rsidP="002B74A2">
      <w:pPr>
        <w:autoSpaceDE w:val="0"/>
        <w:autoSpaceDN w:val="0"/>
        <w:adjustRightInd w:val="0"/>
        <w:spacing w:after="0"/>
        <w:ind w:left="709"/>
        <w:jc w:val="both"/>
        <w:rPr>
          <w:rFonts w:ascii="Arial" w:eastAsia="Calibri" w:hAnsi="Arial" w:cs="Arial"/>
          <w:i/>
        </w:rPr>
      </w:pPr>
      <w:r w:rsidRPr="00EB1FE0">
        <w:rPr>
          <w:rFonts w:ascii="Arial" w:eastAsia="Calibri" w:hAnsi="Arial" w:cs="Arial"/>
          <w:b/>
          <w:i/>
        </w:rPr>
        <w:t xml:space="preserve">“Artículo 165. </w:t>
      </w:r>
      <w:r w:rsidRPr="00EB1FE0">
        <w:rPr>
          <w:rFonts w:ascii="Arial" w:eastAsia="Calibri" w:hAnsi="Arial" w:cs="Arial"/>
          <w:i/>
        </w:rPr>
        <w:t>Son requisitos del acto administrativo:</w:t>
      </w:r>
    </w:p>
    <w:p w:rsidR="002B74A2" w:rsidRPr="00EB1FE0" w:rsidRDefault="002B74A2" w:rsidP="002B74A2">
      <w:pPr>
        <w:autoSpaceDE w:val="0"/>
        <w:autoSpaceDN w:val="0"/>
        <w:adjustRightInd w:val="0"/>
        <w:spacing w:after="0"/>
        <w:ind w:left="709"/>
        <w:jc w:val="both"/>
        <w:rPr>
          <w:rFonts w:ascii="Arial" w:eastAsia="Calibri" w:hAnsi="Arial" w:cs="Arial"/>
          <w:i/>
        </w:rPr>
      </w:pPr>
    </w:p>
    <w:p w:rsidR="002B74A2" w:rsidRPr="00EB1FE0" w:rsidRDefault="002B74A2" w:rsidP="002B74A2">
      <w:pPr>
        <w:autoSpaceDE w:val="0"/>
        <w:autoSpaceDN w:val="0"/>
        <w:adjustRightInd w:val="0"/>
        <w:spacing w:after="0"/>
        <w:ind w:left="709"/>
        <w:jc w:val="both"/>
        <w:rPr>
          <w:rFonts w:ascii="Arial" w:eastAsia="Calibri" w:hAnsi="Arial" w:cs="Arial"/>
          <w:i/>
        </w:rPr>
      </w:pPr>
      <w:r w:rsidRPr="00EB1FE0">
        <w:rPr>
          <w:rFonts w:ascii="Arial" w:eastAsia="Calibri" w:hAnsi="Arial" w:cs="Arial"/>
          <w:i/>
        </w:rPr>
        <w:t>“…II. Que se encuentre adecuadamente fundado y motivado;</w:t>
      </w:r>
    </w:p>
    <w:p w:rsidR="002B74A2" w:rsidRPr="00EB1FE0" w:rsidRDefault="002B74A2" w:rsidP="002B74A2">
      <w:pPr>
        <w:autoSpaceDE w:val="0"/>
        <w:autoSpaceDN w:val="0"/>
        <w:adjustRightInd w:val="0"/>
        <w:spacing w:after="0"/>
        <w:ind w:left="709"/>
        <w:jc w:val="both"/>
        <w:rPr>
          <w:rFonts w:ascii="Arial" w:eastAsia="Calibri" w:hAnsi="Arial" w:cs="Arial"/>
          <w:i/>
        </w:rPr>
      </w:pPr>
    </w:p>
    <w:p w:rsidR="002B74A2" w:rsidRPr="00EB1FE0" w:rsidRDefault="002B74A2" w:rsidP="002B74A2">
      <w:pPr>
        <w:autoSpaceDE w:val="0"/>
        <w:autoSpaceDN w:val="0"/>
        <w:adjustRightInd w:val="0"/>
        <w:spacing w:after="0"/>
        <w:ind w:left="709"/>
        <w:jc w:val="both"/>
        <w:rPr>
          <w:rFonts w:ascii="Arial" w:eastAsia="Calibri" w:hAnsi="Arial" w:cs="Arial"/>
          <w:i/>
        </w:rPr>
      </w:pPr>
      <w:r w:rsidRPr="00EB1FE0">
        <w:rPr>
          <w:rFonts w:ascii="Arial" w:eastAsia="Calibri" w:hAnsi="Arial" w:cs="Arial"/>
          <w:i/>
        </w:rPr>
        <w:t>“…III. Que se expida de manera congruente con lo solicitado y resolver expresamente todos los puntos propuestos por el interesado o previstos por las normas…”</w:t>
      </w:r>
    </w:p>
    <w:p w:rsidR="002B74A2" w:rsidRPr="00EB1FE0" w:rsidRDefault="002B74A2" w:rsidP="002B74A2">
      <w:pPr>
        <w:autoSpaceDE w:val="0"/>
        <w:autoSpaceDN w:val="0"/>
        <w:adjustRightInd w:val="0"/>
        <w:spacing w:after="0"/>
        <w:ind w:left="709"/>
        <w:jc w:val="both"/>
        <w:rPr>
          <w:rFonts w:ascii="Arial" w:eastAsia="Calibri" w:hAnsi="Arial" w:cs="Arial"/>
          <w:i/>
        </w:rPr>
      </w:pPr>
    </w:p>
    <w:p w:rsidR="002B74A2" w:rsidRPr="00EB1FE0" w:rsidRDefault="002B74A2" w:rsidP="002B74A2">
      <w:pPr>
        <w:spacing w:after="0" w:line="360" w:lineRule="auto"/>
        <w:ind w:firstLine="708"/>
        <w:jc w:val="both"/>
        <w:rPr>
          <w:rFonts w:ascii="Arial" w:eastAsia="Calibri" w:hAnsi="Arial" w:cs="Arial"/>
          <w:b/>
          <w:sz w:val="24"/>
          <w:szCs w:val="24"/>
          <w:u w:val="single"/>
        </w:rPr>
      </w:pPr>
      <w:r w:rsidRPr="00EB1FE0">
        <w:rPr>
          <w:rFonts w:ascii="Arial" w:eastAsia="Calibri" w:hAnsi="Arial" w:cs="Arial"/>
          <w:sz w:val="24"/>
          <w:szCs w:val="24"/>
        </w:rPr>
        <w:t xml:space="preserve">En efecto, se tiene que la autoridad demandada al emitir el acto impugnado, omite </w:t>
      </w:r>
      <w:r w:rsidR="004458A2">
        <w:rPr>
          <w:rFonts w:ascii="Arial" w:eastAsia="Calibri" w:hAnsi="Arial" w:cs="Arial"/>
          <w:sz w:val="24"/>
          <w:szCs w:val="24"/>
        </w:rPr>
        <w:t xml:space="preserve">entrar al estudio de fondo del Recurso de Reconsideración que le fue planteado por la actora y por consecuencia, omitió </w:t>
      </w:r>
      <w:r w:rsidRPr="00EB1FE0">
        <w:rPr>
          <w:rFonts w:ascii="Arial" w:eastAsia="Calibri" w:hAnsi="Arial" w:cs="Arial"/>
          <w:sz w:val="24"/>
          <w:szCs w:val="24"/>
        </w:rPr>
        <w:t xml:space="preserve">atender la exigencia de fundamentación y motivación concatenada con los diversos principios de exhaustividad y congruencia, conforme a los cuales, la autoridad competente está obligada al emitir su fallo, </w:t>
      </w:r>
      <w:r w:rsidRPr="00EB1FE0">
        <w:rPr>
          <w:rFonts w:ascii="Arial" w:eastAsia="Calibri" w:hAnsi="Arial" w:cs="Arial"/>
          <w:b/>
          <w:sz w:val="24"/>
          <w:szCs w:val="24"/>
        </w:rPr>
        <w:t>de ocuparse de todas y cada una de las pretensiones que plantea el peticionario, pues la  congruencia,</w:t>
      </w:r>
      <w:r w:rsidRPr="00EB1FE0">
        <w:rPr>
          <w:rFonts w:ascii="Arial" w:eastAsia="Calibri" w:hAnsi="Arial" w:cs="Arial"/>
          <w:sz w:val="24"/>
          <w:szCs w:val="24"/>
        </w:rPr>
        <w:t xml:space="preserve"> es un principio normativo que delimita el contenido de las resoluciones judiciales o administrativas que deben pronunciarse, de acuerdo con el sentido y alcance de las peticiones formuladas por las partes; conforme a los cuales, la autoridad competente está obligada al emitir su fallo, </w:t>
      </w:r>
      <w:r w:rsidRPr="00EB1FE0">
        <w:rPr>
          <w:rFonts w:ascii="Arial" w:eastAsia="Calibri" w:hAnsi="Arial" w:cs="Arial"/>
          <w:b/>
          <w:sz w:val="24"/>
          <w:szCs w:val="24"/>
          <w:u w:val="single"/>
        </w:rPr>
        <w:t xml:space="preserve">de ocuparse de todas y cada una de las pretensiones que plantea la parte que pide. </w:t>
      </w:r>
    </w:p>
    <w:p w:rsidR="002B74A2" w:rsidRPr="00EB1FE0" w:rsidRDefault="002B74A2" w:rsidP="002B74A2">
      <w:pPr>
        <w:spacing w:after="0" w:line="360" w:lineRule="auto"/>
        <w:ind w:firstLine="708"/>
        <w:jc w:val="both"/>
        <w:rPr>
          <w:rFonts w:ascii="Arial" w:eastAsia="Calibri" w:hAnsi="Arial" w:cs="Arial"/>
          <w:b/>
          <w:sz w:val="24"/>
          <w:szCs w:val="24"/>
          <w:u w:val="single"/>
        </w:rPr>
      </w:pPr>
    </w:p>
    <w:p w:rsidR="002B74A2" w:rsidRPr="00EB1FE0" w:rsidRDefault="002B74A2" w:rsidP="004458A2">
      <w:pPr>
        <w:spacing w:after="0" w:line="360" w:lineRule="auto"/>
        <w:ind w:firstLine="708"/>
        <w:jc w:val="both"/>
        <w:rPr>
          <w:rFonts w:ascii="Arial" w:eastAsia="Times New Roman" w:hAnsi="Arial" w:cs="Arial"/>
          <w:sz w:val="24"/>
          <w:szCs w:val="24"/>
          <w:lang w:val="es-ES" w:eastAsia="es-ES"/>
        </w:rPr>
      </w:pPr>
      <w:r w:rsidRPr="00EB1FE0">
        <w:rPr>
          <w:rFonts w:ascii="Arial" w:eastAsia="Times New Roman" w:hAnsi="Arial" w:cs="Arial"/>
          <w:sz w:val="24"/>
          <w:szCs w:val="24"/>
          <w:lang w:val="es-ES" w:eastAsia="es-ES"/>
        </w:rPr>
        <w:t xml:space="preserve">Circunstancia que </w:t>
      </w:r>
      <w:r w:rsidRPr="00EB1FE0">
        <w:rPr>
          <w:rFonts w:ascii="Arial" w:eastAsia="Calibri" w:hAnsi="Arial" w:cs="Arial"/>
          <w:sz w:val="24"/>
          <w:szCs w:val="24"/>
        </w:rPr>
        <w:t>resulta violatori</w:t>
      </w:r>
      <w:r>
        <w:rPr>
          <w:rFonts w:ascii="Arial" w:eastAsia="Calibri" w:hAnsi="Arial" w:cs="Arial"/>
          <w:sz w:val="24"/>
          <w:szCs w:val="24"/>
        </w:rPr>
        <w:t>a</w:t>
      </w:r>
      <w:r w:rsidRPr="00EB1FE0">
        <w:rPr>
          <w:rFonts w:ascii="Arial" w:eastAsia="Calibri" w:hAnsi="Arial" w:cs="Arial"/>
          <w:sz w:val="24"/>
          <w:szCs w:val="24"/>
        </w:rPr>
        <w:t xml:space="preserve"> de los derechos humanos de audiencia, legalidad y seguridad jurídica, previstos en los artículos 14, 16 y 17  Constitucionales y con las formalidades de fundamentación y motivación que se establecen en los numerales 164 fracciones V y VI y 165 fracciones II y III del Código Procesal Administrativo; </w:t>
      </w:r>
      <w:r w:rsidR="004458A2">
        <w:rPr>
          <w:rFonts w:ascii="Arial" w:eastAsia="Calibri" w:hAnsi="Arial" w:cs="Arial"/>
          <w:sz w:val="24"/>
          <w:szCs w:val="24"/>
        </w:rPr>
        <w:t>en virtud de que señaló estar impedido para entrar al estudio de fondo por encontrarse un juicio de amparo indirecto promovido por la propia actora en contra de los actos que reclamó la actora ante la demandada, de lo que no le asiste razón, pues en el citado juicio de amparo promovido por la aquí demandante, se decretó el sobreseimiento del mismo.</w:t>
      </w:r>
    </w:p>
    <w:p w:rsidR="002B74A2" w:rsidRPr="00EB1FE0" w:rsidRDefault="002B74A2" w:rsidP="002B74A2">
      <w:pPr>
        <w:spacing w:after="0" w:line="360" w:lineRule="auto"/>
        <w:ind w:firstLine="708"/>
        <w:jc w:val="both"/>
        <w:rPr>
          <w:rFonts w:ascii="Arial" w:eastAsia="Times New Roman" w:hAnsi="Arial" w:cs="Arial"/>
          <w:sz w:val="24"/>
          <w:szCs w:val="24"/>
          <w:lang w:val="es-ES" w:eastAsia="es-ES"/>
        </w:rPr>
      </w:pPr>
    </w:p>
    <w:p w:rsidR="002B74A2" w:rsidRPr="00EB1FE0" w:rsidRDefault="002B74A2" w:rsidP="002B74A2">
      <w:pPr>
        <w:autoSpaceDE w:val="0"/>
        <w:autoSpaceDN w:val="0"/>
        <w:adjustRightInd w:val="0"/>
        <w:spacing w:after="0" w:line="360" w:lineRule="auto"/>
        <w:ind w:firstLine="696"/>
        <w:jc w:val="both"/>
        <w:rPr>
          <w:rFonts w:ascii="Arial" w:eastAsia="Times New Roman" w:hAnsi="Arial" w:cs="Arial"/>
          <w:color w:val="000000"/>
          <w:sz w:val="24"/>
          <w:szCs w:val="24"/>
          <w:lang w:val="es-ES" w:eastAsia="es-ES"/>
        </w:rPr>
      </w:pPr>
      <w:r w:rsidRPr="00EB1FE0">
        <w:rPr>
          <w:rFonts w:ascii="Arial" w:eastAsia="Times New Roman" w:hAnsi="Arial" w:cs="Arial"/>
          <w:sz w:val="24"/>
          <w:szCs w:val="24"/>
          <w:lang w:val="es-ES" w:eastAsia="es-ES"/>
        </w:rPr>
        <w:t xml:space="preserve">Tiene aplicación  el Criterio de Jurisprudencia de la </w:t>
      </w:r>
      <w:r w:rsidRPr="00EB1FE0">
        <w:rPr>
          <w:rFonts w:ascii="Arial" w:eastAsia="Times New Roman" w:hAnsi="Arial" w:cs="Arial"/>
          <w:color w:val="000000"/>
          <w:sz w:val="24"/>
          <w:szCs w:val="24"/>
          <w:lang w:val="es-ES" w:eastAsia="es-ES"/>
        </w:rPr>
        <w:t xml:space="preserve">Novena Época, con número de Registro: 195182, Instancia: Tribunales Colegiados de </w:t>
      </w:r>
      <w:r w:rsidRPr="00EB1FE0">
        <w:rPr>
          <w:rFonts w:ascii="Arial" w:eastAsia="Times New Roman" w:hAnsi="Arial" w:cs="Arial"/>
          <w:color w:val="000000"/>
          <w:sz w:val="24"/>
          <w:szCs w:val="24"/>
          <w:lang w:val="es-ES" w:eastAsia="es-ES"/>
        </w:rPr>
        <w:lastRenderedPageBreak/>
        <w:t xml:space="preserve">Circuito, Fuente: Semanario Judicial de la Federación y su Gaceta, VIII, Noviembre de 1998, Materia(s): Común, Tesis: I.3o.A. J/29, que dice: </w:t>
      </w:r>
    </w:p>
    <w:p w:rsidR="002B74A2" w:rsidRPr="00EB1FE0" w:rsidRDefault="002B74A2" w:rsidP="002B74A2">
      <w:pPr>
        <w:autoSpaceDE w:val="0"/>
        <w:autoSpaceDN w:val="0"/>
        <w:adjustRightInd w:val="0"/>
        <w:spacing w:after="0"/>
        <w:ind w:left="709"/>
        <w:jc w:val="both"/>
        <w:rPr>
          <w:rFonts w:ascii="Arial" w:eastAsia="Times New Roman" w:hAnsi="Arial" w:cs="Arial"/>
          <w:b/>
          <w:i/>
          <w:color w:val="000000"/>
          <w:lang w:val="es-ES" w:eastAsia="es-ES"/>
        </w:rPr>
      </w:pPr>
    </w:p>
    <w:p w:rsidR="002B74A2" w:rsidRPr="00EB1FE0" w:rsidRDefault="002B74A2" w:rsidP="002B74A2">
      <w:pPr>
        <w:autoSpaceDE w:val="0"/>
        <w:autoSpaceDN w:val="0"/>
        <w:adjustRightInd w:val="0"/>
        <w:spacing w:after="0"/>
        <w:ind w:left="709"/>
        <w:jc w:val="both"/>
        <w:rPr>
          <w:rFonts w:ascii="Arial" w:eastAsia="Times New Roman" w:hAnsi="Arial" w:cs="Arial"/>
          <w:i/>
          <w:color w:val="000000"/>
          <w:lang w:val="es-ES" w:eastAsia="es-ES"/>
        </w:rPr>
      </w:pPr>
      <w:r w:rsidRPr="00EB1FE0">
        <w:rPr>
          <w:rFonts w:ascii="Arial" w:eastAsia="Times New Roman" w:hAnsi="Arial" w:cs="Arial"/>
          <w:b/>
          <w:i/>
          <w:color w:val="000000"/>
          <w:lang w:val="es-ES" w:eastAsia="es-ES"/>
        </w:rPr>
        <w:t xml:space="preserve"> “GARANTÍA DE AUDIENCIA. SE INTEGRA NO SÓLO CON LA ADMISIÓN DE PRUEBAS SINO TAMBIÉN CON SU ESTUDIO Y VALORACIÓN. </w:t>
      </w:r>
      <w:r w:rsidRPr="00EB1FE0">
        <w:rPr>
          <w:rFonts w:ascii="Arial" w:eastAsia="Times New Roman" w:hAnsi="Arial" w:cs="Arial"/>
          <w:i/>
          <w:color w:val="000000"/>
          <w:lang w:val="es-ES" w:eastAsia="es-ES"/>
        </w:rPr>
        <w:t>La garantía de audiencia a que se refiere el texto del artículo 14 constitucional se integra, no sólo admitiendo pruebas de las partes sino, además, expresando las razones concretas por las cuales, en su caso, dichas probanzas resultan ineficaces a juicio de la responsable. Por ello, si la resolución que puso fin a un procedimiento fue totalmente omisa en hacer referencia alguna a las pruebas aportadas por la hoy quejosa, es claro que se ha cometido una violación al precepto constitucional invocado, lo que da motivo a conceder el amparo solicitado, independientemente de si el contenido de tales probanzas habrá o no de influir en la resolución final por pronunciarse. Tal criterio, que se armoniza con los principios jurídicos que dan a la autoridad administrativa la facultad de otorgarle a las pruebas el valor que crea prudente, es congruente, además, con la tendencia jurisprudencial que busca evitar la sustitución material del órgano de control constitucional, sobre las autoridades responsables, en una materia que exclusivamente les corresponde como lo es, sin duda, la de apreciación de las pruebas que les sean ofrecidas durante la sustanciación del procedimiento.”</w:t>
      </w:r>
    </w:p>
    <w:p w:rsidR="002B74A2" w:rsidRPr="00EB1FE0" w:rsidRDefault="002B74A2" w:rsidP="002B74A2">
      <w:pPr>
        <w:spacing w:after="0" w:line="360" w:lineRule="auto"/>
        <w:ind w:firstLine="696"/>
        <w:jc w:val="both"/>
        <w:rPr>
          <w:rFonts w:ascii="Arial" w:eastAsia="Times New Roman" w:hAnsi="Arial" w:cs="Arial"/>
          <w:sz w:val="24"/>
          <w:szCs w:val="24"/>
          <w:lang w:val="es-ES" w:eastAsia="es-ES"/>
        </w:rPr>
      </w:pPr>
    </w:p>
    <w:p w:rsidR="002B74A2" w:rsidRDefault="002B74A2" w:rsidP="004458A2">
      <w:pPr>
        <w:spacing w:after="0" w:line="360" w:lineRule="auto"/>
        <w:jc w:val="both"/>
        <w:rPr>
          <w:rFonts w:ascii="Arial" w:eastAsia="Times New Roman" w:hAnsi="Arial" w:cs="Arial"/>
          <w:sz w:val="24"/>
          <w:szCs w:val="24"/>
          <w:lang w:val="es-ES" w:eastAsia="es-ES"/>
        </w:rPr>
      </w:pPr>
      <w:r w:rsidRPr="00EB1FE0">
        <w:rPr>
          <w:rFonts w:ascii="Arial" w:eastAsia="Calibri" w:hAnsi="Arial" w:cs="Arial"/>
          <w:sz w:val="24"/>
          <w:szCs w:val="24"/>
        </w:rPr>
        <w:tab/>
      </w:r>
      <w:r w:rsidRPr="00EB1FE0">
        <w:rPr>
          <w:rFonts w:ascii="Arial" w:eastAsia="Calibri" w:hAnsi="Arial" w:cs="Arial"/>
          <w:sz w:val="24"/>
          <w:szCs w:val="24"/>
          <w:lang w:val="es-ES_tradnl"/>
        </w:rPr>
        <w:t xml:space="preserve">Con lo cual, </w:t>
      </w:r>
      <w:r w:rsidRPr="00EB1FE0">
        <w:rPr>
          <w:rFonts w:ascii="Arial" w:eastAsia="Calibri" w:hAnsi="Arial" w:cs="Arial"/>
          <w:sz w:val="24"/>
          <w:szCs w:val="24"/>
        </w:rPr>
        <w:t xml:space="preserve">resulta inconcuso que la autoridad demandada emitió una resolución carente de congruencia y exhaustividad, porque los motivos que expuso para determinar su respuesta en los términos en que lo hizo, </w:t>
      </w:r>
      <w:r w:rsidR="004458A2">
        <w:rPr>
          <w:rFonts w:ascii="Arial" w:eastAsia="Calibri" w:hAnsi="Arial" w:cs="Arial"/>
          <w:sz w:val="24"/>
          <w:szCs w:val="24"/>
        </w:rPr>
        <w:t xml:space="preserve">resultan infundados, ya que se </w:t>
      </w:r>
      <w:r w:rsidRPr="00EB1FE0">
        <w:rPr>
          <w:rFonts w:ascii="Arial" w:eastAsia="Calibri" w:hAnsi="Arial" w:cs="Arial"/>
          <w:sz w:val="24"/>
          <w:szCs w:val="24"/>
        </w:rPr>
        <w:t xml:space="preserve">requiere necesariamente </w:t>
      </w:r>
      <w:r>
        <w:rPr>
          <w:rFonts w:ascii="Arial" w:eastAsia="Calibri" w:hAnsi="Arial" w:cs="Arial"/>
          <w:sz w:val="24"/>
          <w:szCs w:val="24"/>
        </w:rPr>
        <w:t xml:space="preserve">que analizara </w:t>
      </w:r>
      <w:r w:rsidR="004458A2">
        <w:rPr>
          <w:rFonts w:ascii="Arial" w:eastAsia="Calibri" w:hAnsi="Arial" w:cs="Arial"/>
          <w:sz w:val="24"/>
          <w:szCs w:val="24"/>
        </w:rPr>
        <w:t>el fondo de dicha reclamación</w:t>
      </w:r>
      <w:r>
        <w:rPr>
          <w:rFonts w:ascii="Arial" w:eastAsia="Calibri" w:hAnsi="Arial" w:cs="Arial"/>
          <w:sz w:val="24"/>
          <w:szCs w:val="24"/>
        </w:rPr>
        <w:t xml:space="preserve">, </w:t>
      </w:r>
      <w:r w:rsidR="004458A2">
        <w:rPr>
          <w:rFonts w:ascii="Arial" w:eastAsia="Calibri" w:hAnsi="Arial" w:cs="Arial"/>
          <w:sz w:val="24"/>
          <w:szCs w:val="24"/>
        </w:rPr>
        <w:t xml:space="preserve">por las razones antes expuestas, </w:t>
      </w:r>
      <w:r w:rsidRPr="00EB1FE0">
        <w:rPr>
          <w:rFonts w:ascii="Arial" w:eastAsia="Times New Roman" w:hAnsi="Arial" w:cs="Arial"/>
          <w:sz w:val="24"/>
          <w:szCs w:val="24"/>
          <w:lang w:val="es-ES" w:eastAsia="es-ES"/>
        </w:rPr>
        <w:t>l</w:t>
      </w:r>
      <w:r w:rsidRPr="00EB1FE0">
        <w:rPr>
          <w:rFonts w:ascii="Arial" w:eastAsia="Calibri" w:hAnsi="Arial" w:cs="Arial"/>
          <w:sz w:val="24"/>
          <w:szCs w:val="24"/>
          <w:lang w:val="es-ES"/>
        </w:rPr>
        <w:t xml:space="preserve">o que genera que </w:t>
      </w:r>
      <w:r w:rsidRPr="00EB1FE0">
        <w:rPr>
          <w:rFonts w:ascii="Arial" w:eastAsia="Times New Roman" w:hAnsi="Arial" w:cs="Arial"/>
          <w:sz w:val="24"/>
          <w:szCs w:val="24"/>
          <w:lang w:val="es-ES" w:eastAsia="es-ES"/>
        </w:rPr>
        <w:t xml:space="preserve">el acto reclamado, carezca de la </w:t>
      </w:r>
      <w:r>
        <w:rPr>
          <w:rFonts w:ascii="Arial" w:eastAsia="Times New Roman" w:hAnsi="Arial" w:cs="Arial"/>
          <w:sz w:val="24"/>
          <w:szCs w:val="24"/>
          <w:lang w:val="es-ES" w:eastAsia="es-ES"/>
        </w:rPr>
        <w:t xml:space="preserve">debida </w:t>
      </w:r>
      <w:r w:rsidRPr="00EB1FE0">
        <w:rPr>
          <w:rFonts w:ascii="Arial" w:eastAsia="Times New Roman" w:hAnsi="Arial" w:cs="Arial"/>
          <w:sz w:val="24"/>
          <w:szCs w:val="24"/>
          <w:lang w:val="es-ES" w:eastAsia="es-ES"/>
        </w:rPr>
        <w:t xml:space="preserve">fundamentación y motivación al emitirse por la demandada, conforme a lo establecido en los artículos 14 y 16 Constituciones por tratarse de actos de autoridad, dado </w:t>
      </w:r>
      <w:r w:rsidRPr="00EB1FE0">
        <w:rPr>
          <w:rFonts w:ascii="Arial" w:eastAsia="Times New Roman" w:hAnsi="Arial" w:cs="Arial"/>
          <w:color w:val="000000"/>
          <w:sz w:val="24"/>
          <w:szCs w:val="24"/>
          <w:lang w:val="es-ES" w:eastAsia="es-MX"/>
        </w:rPr>
        <w:t xml:space="preserve">que sus afirmaciones </w:t>
      </w:r>
      <w:r w:rsidR="004458A2">
        <w:rPr>
          <w:rFonts w:ascii="Arial" w:eastAsia="Times New Roman" w:hAnsi="Arial" w:cs="Arial"/>
          <w:color w:val="000000"/>
          <w:sz w:val="24"/>
          <w:szCs w:val="24"/>
          <w:lang w:val="es-ES" w:eastAsia="es-MX"/>
        </w:rPr>
        <w:t>fueron inciertas, toda vez que se decretó el sobreseimiento del juicio de amparo promovido por la aquí demandante</w:t>
      </w:r>
      <w:r w:rsidRPr="00EB1FE0">
        <w:rPr>
          <w:rFonts w:ascii="Arial" w:eastAsia="Times New Roman" w:hAnsi="Arial" w:cs="Arial"/>
          <w:sz w:val="24"/>
          <w:szCs w:val="24"/>
          <w:lang w:val="es-ES" w:eastAsia="es-ES"/>
        </w:rPr>
        <w:t xml:space="preserve">. </w:t>
      </w:r>
    </w:p>
    <w:p w:rsidR="002B74A2" w:rsidRPr="00EB1FE0" w:rsidRDefault="002B74A2" w:rsidP="002B74A2">
      <w:pPr>
        <w:autoSpaceDE w:val="0"/>
        <w:autoSpaceDN w:val="0"/>
        <w:adjustRightInd w:val="0"/>
        <w:spacing w:after="0" w:line="360" w:lineRule="auto"/>
        <w:ind w:firstLine="708"/>
        <w:jc w:val="both"/>
        <w:rPr>
          <w:rFonts w:ascii="Arial" w:eastAsia="Calibri" w:hAnsi="Arial" w:cs="Arial"/>
          <w:sz w:val="24"/>
          <w:szCs w:val="24"/>
        </w:rPr>
      </w:pPr>
    </w:p>
    <w:p w:rsidR="002B74A2" w:rsidRPr="00EB1FE0" w:rsidRDefault="002B74A2" w:rsidP="002B74A2">
      <w:pPr>
        <w:spacing w:after="0" w:line="360" w:lineRule="auto"/>
        <w:ind w:firstLine="708"/>
        <w:jc w:val="both"/>
        <w:rPr>
          <w:rFonts w:ascii="Arial" w:eastAsia="Calibri" w:hAnsi="Arial" w:cs="Arial"/>
          <w:sz w:val="24"/>
          <w:szCs w:val="24"/>
        </w:rPr>
      </w:pPr>
      <w:r w:rsidRPr="00EB1FE0">
        <w:rPr>
          <w:rFonts w:ascii="Arial" w:eastAsia="Calibri" w:hAnsi="Arial" w:cs="Arial"/>
          <w:sz w:val="24"/>
          <w:szCs w:val="24"/>
        </w:rPr>
        <w:t>Tiene aplicación la Tesis de Jurisprudencia, Registro digital: 178783,  Instancia: Primera Sala, Novena Época, Materias(s): Común, Tesis: 1a</w:t>
      </w:r>
      <w:proofErr w:type="gramStart"/>
      <w:r w:rsidRPr="00EB1FE0">
        <w:rPr>
          <w:rFonts w:ascii="Arial" w:eastAsia="Calibri" w:hAnsi="Arial" w:cs="Arial"/>
          <w:sz w:val="24"/>
          <w:szCs w:val="24"/>
        </w:rPr>
        <w:t>./</w:t>
      </w:r>
      <w:proofErr w:type="gramEnd"/>
      <w:r w:rsidRPr="00EB1FE0">
        <w:rPr>
          <w:rFonts w:ascii="Arial" w:eastAsia="Calibri" w:hAnsi="Arial" w:cs="Arial"/>
          <w:sz w:val="24"/>
          <w:szCs w:val="24"/>
        </w:rPr>
        <w:t xml:space="preserve">J. 33/2005, Fuente: Semanario Judicial de la Federación y su Gaceta. Tomo XXI, Abril de 2005, página 108, que dice: </w:t>
      </w:r>
    </w:p>
    <w:p w:rsidR="002B74A2" w:rsidRPr="00EB1FE0" w:rsidRDefault="002B74A2" w:rsidP="002B74A2">
      <w:pPr>
        <w:spacing w:after="0" w:line="360" w:lineRule="auto"/>
        <w:jc w:val="both"/>
        <w:rPr>
          <w:rFonts w:ascii="Arial" w:eastAsia="Calibri" w:hAnsi="Arial" w:cs="Arial"/>
          <w:sz w:val="24"/>
          <w:szCs w:val="24"/>
        </w:rPr>
      </w:pPr>
    </w:p>
    <w:p w:rsidR="002B74A2" w:rsidRPr="00EB1FE0" w:rsidRDefault="002B74A2" w:rsidP="002B74A2">
      <w:pPr>
        <w:autoSpaceDE w:val="0"/>
        <w:autoSpaceDN w:val="0"/>
        <w:adjustRightInd w:val="0"/>
        <w:spacing w:after="0"/>
        <w:ind w:left="709"/>
        <w:jc w:val="both"/>
        <w:rPr>
          <w:rFonts w:ascii="Arial" w:eastAsia="Calibri" w:hAnsi="Arial" w:cs="Arial"/>
          <w:i/>
        </w:rPr>
      </w:pPr>
      <w:r w:rsidRPr="00EB1FE0">
        <w:rPr>
          <w:rFonts w:ascii="Arial" w:eastAsia="Calibri" w:hAnsi="Arial" w:cs="Arial"/>
          <w:b/>
          <w:i/>
        </w:rPr>
        <w:t>“CONGRUENCIA Y EXHAUSTIVIDAD EN SENTENCIAS DICTADAS EN AMPARO CONTRA LEYES. ALCANCE DE ESTOS PRINCIPIOS.</w:t>
      </w:r>
      <w:r w:rsidRPr="00EB1FE0">
        <w:rPr>
          <w:rFonts w:ascii="Arial" w:eastAsia="Calibri" w:hAnsi="Arial" w:cs="Arial"/>
          <w:i/>
        </w:rPr>
        <w:t xml:space="preserve"> Los principios de congruencia y exhaustividad que rigen las sentencias en amparo contra leyes y que se desprenden de los artículos 77 y 78 de la Ley de Amparo, están referidos a que éstas no sólo sean congruentes consigo mismas, sino también con la </w:t>
      </w:r>
      <w:proofErr w:type="spellStart"/>
      <w:r w:rsidRPr="00EB1FE0">
        <w:rPr>
          <w:rFonts w:ascii="Arial" w:eastAsia="Calibri" w:hAnsi="Arial" w:cs="Arial"/>
          <w:i/>
        </w:rPr>
        <w:t>litis</w:t>
      </w:r>
      <w:proofErr w:type="spellEnd"/>
      <w:r w:rsidRPr="00EB1FE0">
        <w:rPr>
          <w:rFonts w:ascii="Arial" w:eastAsia="Calibri" w:hAnsi="Arial" w:cs="Arial"/>
          <w:i/>
        </w:rPr>
        <w:t xml:space="preserve"> y con la demanda de amparo, </w:t>
      </w:r>
      <w:r w:rsidRPr="00EB1FE0">
        <w:rPr>
          <w:rFonts w:ascii="Arial" w:eastAsia="Calibri" w:hAnsi="Arial" w:cs="Arial"/>
          <w:b/>
          <w:i/>
        </w:rPr>
        <w:t xml:space="preserve">apreciando las pruebas conducentes y resolviendo sin omitir nada, ni añadir </w:t>
      </w:r>
      <w:r w:rsidRPr="00EB1FE0">
        <w:rPr>
          <w:rFonts w:ascii="Arial" w:eastAsia="Calibri" w:hAnsi="Arial" w:cs="Arial"/>
          <w:b/>
          <w:i/>
        </w:rPr>
        <w:lastRenderedPageBreak/>
        <w:t>cuestiones no hechas valer, ni expresar consideraciones contrarias entre sí o con los puntos resolutivos,</w:t>
      </w:r>
      <w:r w:rsidRPr="00EB1FE0">
        <w:rPr>
          <w:rFonts w:ascii="Arial" w:eastAsia="Calibri" w:hAnsi="Arial" w:cs="Arial"/>
          <w:i/>
        </w:rPr>
        <w:t xml:space="preserve"> lo que obliga al juzgador, a pronunciarse sobre todas y cada una de las pretensiones de los quejosos, analizando, en su caso, la constitucionalidad o inconstitucionalidad de los preceptos legales reclamados.”</w:t>
      </w:r>
    </w:p>
    <w:p w:rsidR="002B74A2" w:rsidRDefault="002B74A2" w:rsidP="002B74A2">
      <w:pPr>
        <w:autoSpaceDE w:val="0"/>
        <w:autoSpaceDN w:val="0"/>
        <w:adjustRightInd w:val="0"/>
        <w:spacing w:after="0" w:line="360" w:lineRule="auto"/>
        <w:ind w:firstLine="708"/>
        <w:jc w:val="both"/>
        <w:rPr>
          <w:rFonts w:ascii="Arial" w:eastAsia="Calibri" w:hAnsi="Arial" w:cs="Arial"/>
          <w:i/>
        </w:rPr>
      </w:pPr>
      <w:r w:rsidRPr="00EB1FE0">
        <w:rPr>
          <w:rFonts w:ascii="Arial" w:eastAsia="Calibri" w:hAnsi="Arial" w:cs="Arial"/>
          <w:i/>
        </w:rPr>
        <w:t>(</w:t>
      </w:r>
      <w:proofErr w:type="gramStart"/>
      <w:r w:rsidRPr="00EB1FE0">
        <w:rPr>
          <w:rFonts w:ascii="Arial" w:eastAsia="Calibri" w:hAnsi="Arial" w:cs="Arial"/>
          <w:i/>
        </w:rPr>
        <w:t>lo</w:t>
      </w:r>
      <w:proofErr w:type="gramEnd"/>
      <w:r w:rsidRPr="00EB1FE0">
        <w:rPr>
          <w:rFonts w:ascii="Arial" w:eastAsia="Calibri" w:hAnsi="Arial" w:cs="Arial"/>
          <w:i/>
        </w:rPr>
        <w:t xml:space="preserve"> resaltado es nuestro)</w:t>
      </w:r>
    </w:p>
    <w:p w:rsidR="002B74A2" w:rsidRPr="00EB1FE0" w:rsidRDefault="002B74A2" w:rsidP="002B74A2">
      <w:pPr>
        <w:autoSpaceDE w:val="0"/>
        <w:autoSpaceDN w:val="0"/>
        <w:adjustRightInd w:val="0"/>
        <w:spacing w:after="0" w:line="360" w:lineRule="auto"/>
        <w:ind w:firstLine="708"/>
        <w:jc w:val="both"/>
        <w:rPr>
          <w:rFonts w:ascii="Arial" w:eastAsia="Calibri" w:hAnsi="Arial" w:cs="Arial"/>
          <w:i/>
        </w:rPr>
      </w:pPr>
    </w:p>
    <w:p w:rsidR="002B74A2" w:rsidRPr="00EB1FE0" w:rsidRDefault="002B74A2" w:rsidP="002B74A2">
      <w:pPr>
        <w:spacing w:after="240" w:line="360" w:lineRule="auto"/>
        <w:ind w:right="51" w:firstLine="709"/>
        <w:jc w:val="both"/>
        <w:rPr>
          <w:rFonts w:ascii="Arial" w:eastAsia="Calibri" w:hAnsi="Arial" w:cs="Arial"/>
          <w:color w:val="000000"/>
          <w:sz w:val="24"/>
          <w:szCs w:val="24"/>
        </w:rPr>
      </w:pPr>
      <w:r w:rsidRPr="00EB1FE0">
        <w:rPr>
          <w:rFonts w:ascii="Arial" w:eastAsia="Calibri" w:hAnsi="Arial" w:cs="Arial"/>
          <w:sz w:val="24"/>
          <w:szCs w:val="24"/>
        </w:rPr>
        <w:t xml:space="preserve">Sirve de apoyo a lo anterior la </w:t>
      </w:r>
      <w:r w:rsidRPr="00EB1FE0">
        <w:rPr>
          <w:rFonts w:ascii="Arial" w:eastAsia="Calibri" w:hAnsi="Arial" w:cs="Arial"/>
          <w:color w:val="000000"/>
          <w:sz w:val="24"/>
          <w:szCs w:val="24"/>
        </w:rPr>
        <w:t xml:space="preserve">Tesis de Jurisprudencia Época: Octava Época, Registro: 216534, Instancia: Tribunales Colegiados de Circuito, Tipo de Tesis: Jurisprudencia, Fuente: Gaceta del Semanario Judicial de la Federación, Núm. 64, Abril de 1993, Materia(s): Administrativa, Tesis: VI. 2o. J/248, Página: 43., que dice: </w:t>
      </w:r>
    </w:p>
    <w:p w:rsidR="002B74A2" w:rsidRPr="00EB1FE0" w:rsidRDefault="002B74A2" w:rsidP="002B74A2">
      <w:pPr>
        <w:spacing w:after="0" w:line="240" w:lineRule="auto"/>
        <w:ind w:left="993"/>
        <w:contextualSpacing/>
        <w:jc w:val="both"/>
        <w:rPr>
          <w:rFonts w:ascii="Arial" w:eastAsia="Calibri" w:hAnsi="Arial" w:cs="Arial"/>
          <w:color w:val="000000"/>
          <w:sz w:val="24"/>
          <w:szCs w:val="24"/>
        </w:rPr>
      </w:pPr>
    </w:p>
    <w:p w:rsidR="002B74A2" w:rsidRPr="00EB1FE0" w:rsidRDefault="002B74A2" w:rsidP="002B74A2">
      <w:pPr>
        <w:spacing w:after="0" w:line="240" w:lineRule="auto"/>
        <w:ind w:left="993"/>
        <w:contextualSpacing/>
        <w:jc w:val="both"/>
        <w:rPr>
          <w:rFonts w:ascii="Arial" w:eastAsia="Calibri" w:hAnsi="Arial" w:cs="Arial"/>
          <w:i/>
          <w:color w:val="000000"/>
        </w:rPr>
      </w:pPr>
      <w:r w:rsidRPr="00EB1FE0">
        <w:rPr>
          <w:rFonts w:ascii="Arial" w:eastAsia="Calibri" w:hAnsi="Arial" w:cs="Arial"/>
          <w:b/>
          <w:i/>
          <w:color w:val="000000"/>
        </w:rPr>
        <w:t>“FUNDAMENTACIÓN Y MOTIVACIÓN DE LOS ACTOS ADMINISTRATIVOS</w:t>
      </w:r>
      <w:r w:rsidRPr="00EB1FE0">
        <w:rPr>
          <w:rFonts w:ascii="Arial" w:eastAsia="Calibri" w:hAnsi="Arial" w:cs="Arial"/>
          <w:i/>
          <w:color w:val="000000"/>
        </w:rPr>
        <w:t xml:space="preserve">. De acuerdo con el artículo 16 constitucional, todo acto de autoridad debe estar suficientemente fundado y motivado, entendiéndose por lo primero que ha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que en el caso concreto se configure la hipótesis normativa. Esto es, que cuando el precepto en comento previene que nadie puede ser molestado en su persona, propiedades o derechos sino en virtud de mandamiento escrito de autoridad competente que funde y motive la causa legal del procedimiento, está exigiendo a todas las autoridades que apeguen sus actos a la ley, expresando de que ley se trata y los preceptos de ella que sirvan de apoyo al mandamiento relativo. En materia administrativa, específicamente, para poder considerar un acto autoritario como correctamente fundado, es necesario que en él se citen: a).- Los cuerpos legales y preceptos que se estén aplicando al caso concreto, es decir, los supuestos normativos en que se encuadra la conducta del gobernado para que esté obligado al pago, que serán señalados con toda exactitud, precisándose los incisos, </w:t>
      </w:r>
      <w:proofErr w:type="spellStart"/>
      <w:r w:rsidRPr="00EB1FE0">
        <w:rPr>
          <w:rFonts w:ascii="Arial" w:eastAsia="Calibri" w:hAnsi="Arial" w:cs="Arial"/>
          <w:i/>
          <w:color w:val="000000"/>
        </w:rPr>
        <w:t>subincisos</w:t>
      </w:r>
      <w:proofErr w:type="spellEnd"/>
      <w:r w:rsidRPr="00EB1FE0">
        <w:rPr>
          <w:rFonts w:ascii="Arial" w:eastAsia="Calibri" w:hAnsi="Arial" w:cs="Arial"/>
          <w:i/>
          <w:color w:val="000000"/>
        </w:rPr>
        <w:t>, fracciones y preceptos aplicables, y b).- Los cuerpos legales, y preceptos que otorgan competencia o facultades a las autoridades para emitir el acto en agravio del gobernado…”</w:t>
      </w:r>
    </w:p>
    <w:p w:rsidR="002B74A2" w:rsidRPr="00EB1FE0" w:rsidRDefault="002B74A2" w:rsidP="002B74A2">
      <w:pPr>
        <w:spacing w:after="0" w:line="240" w:lineRule="auto"/>
        <w:ind w:left="993"/>
        <w:contextualSpacing/>
        <w:jc w:val="both"/>
        <w:rPr>
          <w:rFonts w:ascii="Arial" w:eastAsia="Calibri" w:hAnsi="Arial" w:cs="Arial"/>
          <w:color w:val="000000"/>
          <w:sz w:val="24"/>
          <w:szCs w:val="24"/>
        </w:rPr>
      </w:pPr>
    </w:p>
    <w:p w:rsidR="002B74A2" w:rsidRPr="00EB1FE0" w:rsidRDefault="002B74A2" w:rsidP="002B74A2">
      <w:pPr>
        <w:spacing w:after="0" w:line="360" w:lineRule="auto"/>
        <w:ind w:firstLine="708"/>
        <w:jc w:val="both"/>
        <w:rPr>
          <w:rFonts w:ascii="Arial" w:eastAsia="Calibri" w:hAnsi="Arial" w:cs="Arial"/>
          <w:color w:val="000000"/>
          <w:sz w:val="24"/>
          <w:szCs w:val="24"/>
        </w:rPr>
      </w:pPr>
      <w:r w:rsidRPr="00EB1FE0">
        <w:rPr>
          <w:rFonts w:ascii="Arial" w:eastAsia="Calibri" w:hAnsi="Arial" w:cs="Arial"/>
          <w:color w:val="000000"/>
          <w:sz w:val="24"/>
          <w:szCs w:val="24"/>
        </w:rPr>
        <w:t xml:space="preserve">Y la Tesis de Jurisprudencia. Época: Novena Época, Registro: 173565, Instancia: Tribunales Colegiados de Circuito, Tipo de Tesis: Jurisprudencia, Fuente: Semanario Judicial de la Federación y su Gaceta, Tomo XXV, Enero de 2007, Materia(s): Común, Tesis: I.6o.C. J/52, Página: 2127. “que refiere: </w:t>
      </w:r>
    </w:p>
    <w:p w:rsidR="002B74A2" w:rsidRPr="00EB1FE0" w:rsidRDefault="002B74A2" w:rsidP="002B74A2">
      <w:pPr>
        <w:spacing w:after="0" w:line="240" w:lineRule="auto"/>
        <w:ind w:left="993"/>
        <w:contextualSpacing/>
        <w:jc w:val="both"/>
        <w:rPr>
          <w:rFonts w:ascii="Arial" w:eastAsia="Calibri" w:hAnsi="Arial" w:cs="Arial"/>
          <w:color w:val="000000"/>
          <w:sz w:val="24"/>
          <w:szCs w:val="24"/>
        </w:rPr>
      </w:pPr>
    </w:p>
    <w:p w:rsidR="002B74A2" w:rsidRPr="00EB1FE0" w:rsidRDefault="002B74A2" w:rsidP="002B74A2">
      <w:pPr>
        <w:spacing w:after="0" w:line="240" w:lineRule="auto"/>
        <w:ind w:left="993"/>
        <w:contextualSpacing/>
        <w:jc w:val="both"/>
        <w:rPr>
          <w:rFonts w:ascii="Arial" w:eastAsia="Calibri" w:hAnsi="Arial" w:cs="Arial"/>
          <w:i/>
          <w:color w:val="000000"/>
        </w:rPr>
      </w:pPr>
      <w:r w:rsidRPr="00EB1FE0">
        <w:rPr>
          <w:rFonts w:ascii="Arial" w:eastAsia="Calibri" w:hAnsi="Arial" w:cs="Arial"/>
          <w:b/>
          <w:i/>
          <w:color w:val="000000"/>
        </w:rPr>
        <w:t>“FUNDAMENTACIÓN Y MOTIVACIÓN. SU DISTINCIÓN ENTRE SU FALTA Y CUANDO ES INDEBIDA</w:t>
      </w:r>
      <w:r w:rsidRPr="00EB1FE0">
        <w:rPr>
          <w:rFonts w:ascii="Arial" w:eastAsia="Calibri" w:hAnsi="Arial" w:cs="Arial"/>
          <w:i/>
          <w:color w:val="000000"/>
        </w:rPr>
        <w:t xml:space="preserve">. Debe distinguirse entre la falta y la indebida fundamentación y motivación; toda vez que por lo primero se entiende la ausencia total de la cita de la norma en que se apoya una resolución y de las circunstancias especiales o razones particulares que se tuvieron en cuenta para su emisión; mientras que la diversa hipótesis se actualiza cuando en la sentencia o acto se citan preceptos legales, pero no son aplicables al caso concreto y se exponen las razones que la autoridad tuvo para dictar la resolución, pero no corresponden al caso específico, objeto de decisión, o bien, cuando no existe adecuación entre </w:t>
      </w:r>
      <w:r w:rsidRPr="00EB1FE0">
        <w:rPr>
          <w:rFonts w:ascii="Arial" w:eastAsia="Calibri" w:hAnsi="Arial" w:cs="Arial"/>
          <w:i/>
          <w:color w:val="000000"/>
        </w:rPr>
        <w:lastRenderedPageBreak/>
        <w:t>los motivos invocados en el acto de autoridad y las normas aplicables a éste.”</w:t>
      </w:r>
    </w:p>
    <w:p w:rsidR="002B74A2" w:rsidRPr="00EB1FE0" w:rsidRDefault="002B74A2" w:rsidP="002B74A2">
      <w:pPr>
        <w:spacing w:after="0" w:line="360" w:lineRule="auto"/>
        <w:ind w:firstLine="709"/>
        <w:jc w:val="both"/>
        <w:rPr>
          <w:rFonts w:ascii="Arial" w:eastAsia="Times New Roman" w:hAnsi="Arial" w:cs="Arial"/>
          <w:color w:val="000000"/>
          <w:sz w:val="24"/>
          <w:szCs w:val="24"/>
          <w:lang w:val="es-ES" w:eastAsia="es-MX"/>
        </w:rPr>
      </w:pPr>
    </w:p>
    <w:p w:rsidR="002B74A2" w:rsidRPr="00EB1FE0" w:rsidRDefault="002B74A2" w:rsidP="002B74A2">
      <w:pPr>
        <w:spacing w:after="0" w:line="360" w:lineRule="auto"/>
        <w:ind w:firstLine="708"/>
        <w:jc w:val="both"/>
        <w:rPr>
          <w:rFonts w:ascii="Arial" w:eastAsia="Times New Roman" w:hAnsi="Arial" w:cs="Arial"/>
          <w:sz w:val="24"/>
          <w:szCs w:val="24"/>
          <w:lang w:val="es-ES" w:eastAsia="es-ES"/>
        </w:rPr>
      </w:pPr>
      <w:r w:rsidRPr="00EB1FE0">
        <w:rPr>
          <w:rFonts w:ascii="Arial" w:eastAsia="Times New Roman" w:hAnsi="Arial" w:cs="Arial"/>
          <w:sz w:val="24"/>
          <w:szCs w:val="24"/>
          <w:lang w:val="es-ES" w:eastAsia="es-ES"/>
        </w:rPr>
        <w:t xml:space="preserve">Así las cosas, en la especie se actualizaron las causales de ilegalidad previstas en el </w:t>
      </w:r>
      <w:r w:rsidRPr="00EB1FE0">
        <w:rPr>
          <w:rFonts w:ascii="Arial" w:eastAsia="Times New Roman" w:hAnsi="Arial" w:cs="Arial"/>
          <w:b/>
          <w:sz w:val="24"/>
          <w:szCs w:val="24"/>
          <w:lang w:val="es-ES" w:eastAsia="es-ES"/>
        </w:rPr>
        <w:t>artículo 250</w:t>
      </w:r>
      <w:r w:rsidRPr="00EB1FE0">
        <w:rPr>
          <w:rFonts w:ascii="Arial" w:eastAsia="Calibri" w:hAnsi="Arial" w:cs="Arial"/>
          <w:b/>
          <w:sz w:val="24"/>
          <w:szCs w:val="24"/>
        </w:rPr>
        <w:t xml:space="preserve"> </w:t>
      </w:r>
      <w:r w:rsidRPr="00EB1FE0">
        <w:rPr>
          <w:rFonts w:ascii="Arial" w:eastAsia="Times New Roman" w:hAnsi="Arial" w:cs="Arial"/>
          <w:b/>
          <w:sz w:val="24"/>
          <w:szCs w:val="24"/>
          <w:lang w:val="es-ES" w:eastAsia="es-ES"/>
        </w:rPr>
        <w:t xml:space="preserve">fracciones II, III </w:t>
      </w:r>
      <w:r w:rsidR="004458A2">
        <w:rPr>
          <w:rFonts w:ascii="Arial" w:eastAsia="Times New Roman" w:hAnsi="Arial" w:cs="Arial"/>
          <w:b/>
          <w:sz w:val="24"/>
          <w:szCs w:val="24"/>
          <w:lang w:val="es-ES" w:eastAsia="es-ES"/>
        </w:rPr>
        <w:t xml:space="preserve">IV </w:t>
      </w:r>
      <w:r w:rsidRPr="00EB1FE0">
        <w:rPr>
          <w:rFonts w:ascii="Arial" w:eastAsia="Times New Roman" w:hAnsi="Arial" w:cs="Arial"/>
          <w:b/>
          <w:sz w:val="24"/>
          <w:szCs w:val="24"/>
          <w:lang w:val="es-ES" w:eastAsia="es-ES"/>
        </w:rPr>
        <w:t xml:space="preserve">y penúltimo párrafo, </w:t>
      </w:r>
      <w:r w:rsidRPr="00EB1FE0">
        <w:rPr>
          <w:rFonts w:ascii="Arial" w:eastAsia="Times New Roman" w:hAnsi="Arial" w:cs="Arial"/>
          <w:sz w:val="24"/>
          <w:szCs w:val="24"/>
          <w:lang w:val="es-ES" w:eastAsia="es-ES"/>
        </w:rPr>
        <w:t>del Código Procesal Administrativo para el Estado de San Luis Potosí, que se refiere a la ilegalidad del acto impugnado cuando se dicta en contravención a las disposiciones legales aplicables.</w:t>
      </w:r>
    </w:p>
    <w:p w:rsidR="002B74A2" w:rsidRPr="00EB1FE0" w:rsidRDefault="002B74A2" w:rsidP="002B74A2">
      <w:pPr>
        <w:spacing w:after="0" w:line="360" w:lineRule="auto"/>
        <w:ind w:firstLine="709"/>
        <w:jc w:val="both"/>
        <w:rPr>
          <w:rFonts w:ascii="Arial" w:eastAsia="Times New Roman" w:hAnsi="Arial" w:cs="Arial"/>
          <w:sz w:val="24"/>
          <w:szCs w:val="24"/>
          <w:lang w:val="es-ES" w:eastAsia="es-ES"/>
        </w:rPr>
      </w:pPr>
    </w:p>
    <w:p w:rsidR="002B74A2" w:rsidRPr="00EB1FE0" w:rsidRDefault="002B74A2" w:rsidP="002B74A2">
      <w:pPr>
        <w:autoSpaceDE w:val="0"/>
        <w:autoSpaceDN w:val="0"/>
        <w:adjustRightInd w:val="0"/>
        <w:spacing w:after="0" w:line="360" w:lineRule="auto"/>
        <w:ind w:firstLine="708"/>
        <w:jc w:val="both"/>
        <w:rPr>
          <w:rFonts w:ascii="Arial" w:eastAsia="Times New Roman" w:hAnsi="Arial" w:cs="Arial"/>
          <w:sz w:val="24"/>
          <w:szCs w:val="24"/>
          <w:lang w:val="es-ES" w:eastAsia="es-ES"/>
        </w:rPr>
      </w:pPr>
      <w:r w:rsidRPr="00EB1FE0">
        <w:rPr>
          <w:rFonts w:ascii="Arial" w:eastAsia="Calibri" w:hAnsi="Arial" w:cs="Arial"/>
          <w:sz w:val="24"/>
          <w:szCs w:val="24"/>
        </w:rPr>
        <w:t xml:space="preserve">Por lo que, lo procedente será decretar su </w:t>
      </w:r>
      <w:r w:rsidRPr="00526823">
        <w:rPr>
          <w:rFonts w:ascii="Arial" w:eastAsia="Calibri" w:hAnsi="Arial" w:cs="Arial"/>
          <w:b/>
          <w:sz w:val="24"/>
          <w:szCs w:val="24"/>
        </w:rPr>
        <w:t>ilegalidad y nulidad</w:t>
      </w:r>
      <w:r w:rsidRPr="00EB1FE0">
        <w:rPr>
          <w:rFonts w:ascii="Arial" w:eastAsia="Calibri" w:hAnsi="Arial" w:cs="Arial"/>
          <w:b/>
          <w:sz w:val="24"/>
          <w:szCs w:val="24"/>
        </w:rPr>
        <w:t>,</w:t>
      </w:r>
      <w:r w:rsidRPr="00EB1FE0">
        <w:rPr>
          <w:rFonts w:ascii="Arial" w:eastAsia="Calibri" w:hAnsi="Arial" w:cs="Arial"/>
          <w:sz w:val="24"/>
          <w:szCs w:val="24"/>
        </w:rPr>
        <w:t xml:space="preserve"> para </w:t>
      </w:r>
      <w:r>
        <w:rPr>
          <w:rFonts w:ascii="Arial" w:eastAsia="Calibri" w:hAnsi="Arial" w:cs="Arial"/>
          <w:sz w:val="24"/>
          <w:szCs w:val="24"/>
        </w:rPr>
        <w:t xml:space="preserve">el efecto de </w:t>
      </w:r>
      <w:r w:rsidRPr="00EB1FE0">
        <w:rPr>
          <w:rFonts w:ascii="Arial" w:eastAsia="Calibri" w:hAnsi="Arial" w:cs="Arial"/>
          <w:sz w:val="24"/>
          <w:szCs w:val="24"/>
        </w:rPr>
        <w:t xml:space="preserve">que la autoridad demandada </w:t>
      </w:r>
      <w:r w:rsidRPr="00526823">
        <w:rPr>
          <w:rFonts w:ascii="Arial" w:eastAsia="Calibri" w:hAnsi="Arial" w:cs="Arial"/>
          <w:sz w:val="24"/>
          <w:szCs w:val="24"/>
        </w:rPr>
        <w:t xml:space="preserve">emita </w:t>
      </w:r>
      <w:r w:rsidRPr="00526823">
        <w:rPr>
          <w:rFonts w:ascii="Arial" w:eastAsia="Times New Roman" w:hAnsi="Arial" w:cs="Arial"/>
          <w:sz w:val="24"/>
          <w:szCs w:val="24"/>
          <w:lang w:val="es-ES" w:eastAsia="es-ES"/>
        </w:rPr>
        <w:t>otr</w:t>
      </w:r>
      <w:r w:rsidR="004458A2">
        <w:rPr>
          <w:rFonts w:ascii="Arial" w:eastAsia="Times New Roman" w:hAnsi="Arial" w:cs="Arial"/>
          <w:sz w:val="24"/>
          <w:szCs w:val="24"/>
          <w:lang w:val="es-ES" w:eastAsia="es-ES"/>
        </w:rPr>
        <w:t xml:space="preserve">a resolución al Recurso de Reconsideración promovido por la aquí actora y entre al estudio de fondo del mismo, cumpliendo con </w:t>
      </w:r>
      <w:r w:rsidRPr="00526823">
        <w:rPr>
          <w:rFonts w:ascii="Arial" w:eastAsia="Times New Roman" w:hAnsi="Arial" w:cs="Arial"/>
          <w:b/>
          <w:sz w:val="24"/>
          <w:szCs w:val="24"/>
          <w:lang w:val="es-ES" w:eastAsia="es-ES"/>
        </w:rPr>
        <w:t>los requisitos de la fundamentación y motivación,</w:t>
      </w:r>
      <w:r w:rsidRPr="00EB1FE0">
        <w:rPr>
          <w:rFonts w:ascii="Arial" w:eastAsia="Times New Roman" w:hAnsi="Arial" w:cs="Arial"/>
          <w:sz w:val="24"/>
          <w:szCs w:val="24"/>
          <w:lang w:val="es-ES" w:eastAsia="es-ES"/>
        </w:rPr>
        <w:t xml:space="preserve"> </w:t>
      </w:r>
      <w:r w:rsidRPr="00526823">
        <w:rPr>
          <w:rFonts w:ascii="Arial" w:eastAsia="Times New Roman" w:hAnsi="Arial" w:cs="Arial"/>
          <w:b/>
          <w:sz w:val="24"/>
          <w:szCs w:val="24"/>
          <w:lang w:val="es-ES" w:eastAsia="es-ES"/>
        </w:rPr>
        <w:t>acorde a los principios de exhaustividad y congruencia,</w:t>
      </w:r>
      <w:r w:rsidRPr="00526823">
        <w:rPr>
          <w:rFonts w:ascii="Arial" w:eastAsia="Calibri" w:hAnsi="Arial" w:cs="Arial"/>
          <w:b/>
          <w:sz w:val="24"/>
          <w:szCs w:val="24"/>
        </w:rPr>
        <w:t xml:space="preserve"> para el efecto de</w:t>
      </w:r>
      <w:r w:rsidRPr="00EB1FE0">
        <w:rPr>
          <w:rFonts w:ascii="Arial" w:eastAsia="Calibri" w:hAnsi="Arial" w:cs="Arial"/>
          <w:sz w:val="24"/>
          <w:szCs w:val="24"/>
        </w:rPr>
        <w:t xml:space="preserve"> </w:t>
      </w:r>
      <w:r w:rsidRPr="00EB1FE0">
        <w:rPr>
          <w:rFonts w:ascii="Arial" w:eastAsia="Calibri" w:hAnsi="Arial" w:cs="Arial"/>
          <w:b/>
          <w:color w:val="000000"/>
          <w:sz w:val="24"/>
          <w:szCs w:val="24"/>
          <w:lang w:val="es-ES" w:eastAsia="es-ES"/>
        </w:rPr>
        <w:t>observar las garantías</w:t>
      </w:r>
      <w:r w:rsidRPr="00EB1FE0">
        <w:rPr>
          <w:rFonts w:ascii="Arial" w:eastAsia="Calibri" w:hAnsi="Arial" w:cs="Arial"/>
          <w:b/>
          <w:bCs/>
          <w:iCs/>
          <w:color w:val="000000"/>
          <w:sz w:val="24"/>
          <w:szCs w:val="24"/>
          <w:lang w:val="es-ES"/>
        </w:rPr>
        <w:t xml:space="preserve"> de audiencia, legalidad, seguridad jurídica y debido proceso, </w:t>
      </w:r>
      <w:r w:rsidRPr="00EB1FE0">
        <w:rPr>
          <w:rFonts w:ascii="Arial" w:eastAsia="Arial Unicode MS" w:hAnsi="Arial" w:cs="Arial"/>
          <w:color w:val="000000"/>
          <w:sz w:val="24"/>
          <w:szCs w:val="24"/>
          <w:lang w:val="es" w:eastAsia="es-MX"/>
        </w:rPr>
        <w:t>previstos en los artículos 14, 16 y 17 de nuestra Carta Magna.</w:t>
      </w:r>
    </w:p>
    <w:p w:rsidR="002B74A2" w:rsidRPr="00EB1FE0" w:rsidRDefault="002B74A2" w:rsidP="002B74A2">
      <w:pPr>
        <w:spacing w:after="0" w:line="360" w:lineRule="auto"/>
        <w:ind w:firstLine="709"/>
        <w:jc w:val="both"/>
        <w:rPr>
          <w:rFonts w:ascii="Arial" w:eastAsia="Times New Roman" w:hAnsi="Arial" w:cs="Arial"/>
          <w:sz w:val="24"/>
          <w:szCs w:val="24"/>
          <w:lang w:val="es-ES" w:eastAsia="es-ES"/>
        </w:rPr>
      </w:pPr>
    </w:p>
    <w:p w:rsidR="002B74A2" w:rsidRPr="00EB1FE0" w:rsidRDefault="002B74A2" w:rsidP="002B74A2">
      <w:pPr>
        <w:spacing w:after="0" w:line="360" w:lineRule="auto"/>
        <w:ind w:firstLine="709"/>
        <w:jc w:val="both"/>
        <w:rPr>
          <w:rFonts w:ascii="Arial" w:eastAsia="Calibri" w:hAnsi="Arial" w:cs="Arial"/>
          <w:color w:val="000000"/>
          <w:sz w:val="24"/>
          <w:szCs w:val="24"/>
        </w:rPr>
      </w:pPr>
      <w:r w:rsidRPr="00EB1FE0">
        <w:rPr>
          <w:rFonts w:ascii="Arial" w:eastAsia="Times New Roman" w:hAnsi="Arial" w:cs="Arial"/>
          <w:sz w:val="24"/>
          <w:szCs w:val="24"/>
          <w:lang w:val="es-ES" w:eastAsia="es-ES"/>
        </w:rPr>
        <w:t xml:space="preserve">En tal virtud, esta </w:t>
      </w:r>
      <w:r w:rsidRPr="00EB1FE0">
        <w:rPr>
          <w:rFonts w:ascii="Arial" w:eastAsia="Times New Roman" w:hAnsi="Arial" w:cs="Arial"/>
          <w:b/>
          <w:bCs/>
          <w:sz w:val="24"/>
          <w:szCs w:val="24"/>
          <w:lang w:val="es-ES" w:eastAsia="es-ES"/>
        </w:rPr>
        <w:t xml:space="preserve">Tercera Sala Unitaria del Tribunal Estatal de Justicia Administrativa, </w:t>
      </w:r>
      <w:r w:rsidRPr="00EB1FE0">
        <w:rPr>
          <w:rFonts w:ascii="Arial" w:eastAsia="Calibri" w:hAnsi="Arial" w:cs="Arial"/>
          <w:sz w:val="24"/>
          <w:szCs w:val="24"/>
        </w:rPr>
        <w:t xml:space="preserve">con fundamento en el artículo 251 </w:t>
      </w:r>
      <w:r w:rsidRPr="00EB1FE0">
        <w:rPr>
          <w:rFonts w:ascii="Arial" w:eastAsia="Times New Roman" w:hAnsi="Arial" w:cs="Arial"/>
          <w:bCs/>
          <w:sz w:val="24"/>
          <w:szCs w:val="24"/>
          <w:lang w:val="es-ES" w:eastAsia="es-ES"/>
        </w:rPr>
        <w:t>del Código Procesal Administrativo para el Estado de San Luis Potosí</w:t>
      </w:r>
      <w:r w:rsidRPr="00EB1FE0">
        <w:rPr>
          <w:rFonts w:ascii="Arial" w:eastAsia="Calibri" w:hAnsi="Arial" w:cs="Arial"/>
          <w:sz w:val="24"/>
          <w:szCs w:val="24"/>
        </w:rPr>
        <w:t xml:space="preserve">, determina que lo procedente es decretar, </w:t>
      </w:r>
      <w:r w:rsidRPr="00EB1FE0">
        <w:rPr>
          <w:rFonts w:ascii="Arial" w:eastAsia="Calibri" w:hAnsi="Arial" w:cs="Arial"/>
          <w:b/>
          <w:sz w:val="24"/>
          <w:szCs w:val="24"/>
        </w:rPr>
        <w:t>la ILEGALIDAD E INVALIDEZ del acto impugnado,</w:t>
      </w:r>
      <w:r w:rsidR="00D47199">
        <w:rPr>
          <w:rFonts w:ascii="Arial" w:eastAsia="Calibri" w:hAnsi="Arial" w:cs="Arial"/>
          <w:sz w:val="24"/>
          <w:szCs w:val="24"/>
        </w:rPr>
        <w:t xml:space="preserve"> consistente en el</w:t>
      </w:r>
      <w:r w:rsidRPr="00EB1FE0">
        <w:rPr>
          <w:rFonts w:ascii="Arial" w:eastAsia="Calibri" w:hAnsi="Arial" w:cs="Arial"/>
          <w:sz w:val="24"/>
          <w:szCs w:val="24"/>
        </w:rPr>
        <w:t xml:space="preserve"> </w:t>
      </w:r>
      <w:r w:rsidR="00D47199" w:rsidRPr="00D47199">
        <w:rPr>
          <w:rFonts w:ascii="Arial" w:eastAsia="Calibri" w:hAnsi="Arial" w:cs="Arial"/>
          <w:sz w:val="24"/>
          <w:szCs w:val="24"/>
        </w:rPr>
        <w:t xml:space="preserve">Acuerdo de sobreseimiento de fecha 12 de marzo de 2024, emitido para resolver el expediente número DCA_TN_2023_0001, </w:t>
      </w:r>
      <w:r w:rsidR="00D47199">
        <w:rPr>
          <w:rFonts w:ascii="Arial" w:eastAsia="Calibri" w:hAnsi="Arial" w:cs="Arial"/>
          <w:sz w:val="24"/>
          <w:szCs w:val="24"/>
        </w:rPr>
        <w:t xml:space="preserve">dictado por el </w:t>
      </w:r>
      <w:r w:rsidR="00D47199" w:rsidRPr="00D47199">
        <w:rPr>
          <w:rFonts w:ascii="Arial" w:eastAsia="Calibri" w:hAnsi="Arial" w:cs="Arial"/>
          <w:sz w:val="24"/>
          <w:szCs w:val="24"/>
        </w:rPr>
        <w:t xml:space="preserve">Director de Comercio y Alcoholes del Municipio de Tierra Nueva, </w:t>
      </w:r>
      <w:r w:rsidR="00D47199">
        <w:rPr>
          <w:rFonts w:ascii="Arial" w:eastAsia="Calibri" w:hAnsi="Arial" w:cs="Arial"/>
          <w:sz w:val="24"/>
          <w:szCs w:val="24"/>
        </w:rPr>
        <w:t>San Luis Potosí</w:t>
      </w:r>
      <w:r w:rsidRPr="00EB1FE0">
        <w:rPr>
          <w:rFonts w:ascii="Arial" w:eastAsia="Times New Roman" w:hAnsi="Arial" w:cs="Arial"/>
          <w:sz w:val="24"/>
          <w:szCs w:val="24"/>
          <w:lang w:val="es-ES" w:eastAsia="es-ES"/>
        </w:rPr>
        <w:t>; y</w:t>
      </w:r>
      <w:r w:rsidRPr="00EB1FE0">
        <w:rPr>
          <w:rFonts w:ascii="Arial" w:eastAsia="Calibri" w:hAnsi="Arial" w:cs="Arial"/>
          <w:sz w:val="24"/>
          <w:szCs w:val="24"/>
        </w:rPr>
        <w:t xml:space="preserve"> por consecuencia, </w:t>
      </w:r>
      <w:r w:rsidRPr="00EB1FE0">
        <w:rPr>
          <w:rFonts w:ascii="Arial" w:eastAsia="Times New Roman" w:hAnsi="Arial" w:cs="Arial"/>
          <w:sz w:val="24"/>
          <w:szCs w:val="24"/>
          <w:lang w:eastAsia="es-ES"/>
        </w:rPr>
        <w:t xml:space="preserve">la </w:t>
      </w:r>
      <w:r w:rsidRPr="00EB1FE0">
        <w:rPr>
          <w:rFonts w:ascii="Arial" w:eastAsia="Times New Roman" w:hAnsi="Arial" w:cs="Arial"/>
          <w:b/>
          <w:sz w:val="24"/>
          <w:szCs w:val="24"/>
          <w:lang w:eastAsia="es-ES"/>
        </w:rPr>
        <w:t xml:space="preserve">NULIDAD </w:t>
      </w:r>
      <w:r w:rsidRPr="00EB1FE0">
        <w:rPr>
          <w:rFonts w:ascii="Arial" w:eastAsia="Calibri" w:hAnsi="Arial" w:cs="Arial"/>
          <w:sz w:val="24"/>
          <w:szCs w:val="24"/>
        </w:rPr>
        <w:t>del mism</w:t>
      </w:r>
      <w:r>
        <w:rPr>
          <w:rFonts w:ascii="Arial" w:eastAsia="Calibri" w:hAnsi="Arial" w:cs="Arial"/>
          <w:sz w:val="24"/>
          <w:szCs w:val="24"/>
        </w:rPr>
        <w:t>o</w:t>
      </w:r>
      <w:r w:rsidRPr="00EB1FE0">
        <w:rPr>
          <w:rFonts w:ascii="Arial" w:eastAsia="Calibri" w:hAnsi="Arial" w:cs="Arial"/>
          <w:sz w:val="24"/>
          <w:szCs w:val="24"/>
        </w:rPr>
        <w:t xml:space="preserve">, de acuerdo a los razonamientos y para los efectos precisados en el Considerando Sexto de esta sentencia. </w:t>
      </w:r>
    </w:p>
    <w:p w:rsidR="002B74A2" w:rsidRPr="00EB1FE0" w:rsidRDefault="002B74A2" w:rsidP="002B74A2">
      <w:pPr>
        <w:spacing w:after="0" w:line="360" w:lineRule="auto"/>
        <w:ind w:firstLine="709"/>
        <w:jc w:val="both"/>
        <w:rPr>
          <w:rFonts w:ascii="Arial Narrow" w:eastAsia="Arial Unicode MS" w:hAnsi="Arial Narrow" w:cs="Arial Unicode MS"/>
          <w:sz w:val="28"/>
          <w:szCs w:val="28"/>
        </w:rPr>
      </w:pPr>
    </w:p>
    <w:p w:rsidR="002B74A2" w:rsidRPr="00EB1FE0" w:rsidRDefault="002B74A2" w:rsidP="002B74A2">
      <w:pPr>
        <w:spacing w:after="0" w:line="360" w:lineRule="auto"/>
        <w:ind w:firstLine="708"/>
        <w:jc w:val="both"/>
        <w:rPr>
          <w:rFonts w:ascii="Arial" w:eastAsia="Calibri" w:hAnsi="Arial" w:cs="Arial"/>
          <w:sz w:val="24"/>
          <w:szCs w:val="24"/>
        </w:rPr>
      </w:pPr>
      <w:r w:rsidRPr="00EB1FE0">
        <w:rPr>
          <w:rFonts w:ascii="Arial" w:eastAsia="Times New Roman" w:hAnsi="Arial" w:cs="Arial"/>
          <w:sz w:val="24"/>
          <w:szCs w:val="24"/>
          <w:lang w:eastAsia="es-ES"/>
        </w:rPr>
        <w:t xml:space="preserve">En ese sentido, con fundamento en lo establecido por los artículos 251 y 252 del Código Procesal Administrativo para el Estado, a fin de restituir a la parte actora en el goce de los derechos que le fueron indebidamente afectados o desconocidos; </w:t>
      </w:r>
      <w:r w:rsidRPr="00EB1FE0">
        <w:rPr>
          <w:rFonts w:ascii="Arial" w:eastAsia="Times New Roman" w:hAnsi="Arial" w:cs="Arial"/>
          <w:b/>
          <w:sz w:val="24"/>
          <w:szCs w:val="24"/>
          <w:u w:val="single"/>
          <w:lang w:eastAsia="es-ES"/>
        </w:rPr>
        <w:t>se ordena a la autoridad demandada</w:t>
      </w:r>
      <w:r w:rsidRPr="00EB1FE0">
        <w:rPr>
          <w:rFonts w:ascii="Arial" w:eastAsia="Times New Roman" w:hAnsi="Arial" w:cs="Arial"/>
          <w:b/>
          <w:sz w:val="24"/>
          <w:szCs w:val="24"/>
          <w:lang w:eastAsia="es-ES"/>
        </w:rPr>
        <w:t>,</w:t>
      </w:r>
      <w:r w:rsidRPr="00EB1FE0">
        <w:rPr>
          <w:rFonts w:ascii="Arial" w:eastAsia="Arial Unicode MS" w:hAnsi="Arial" w:cs="Arial"/>
          <w:b/>
          <w:sz w:val="24"/>
          <w:szCs w:val="24"/>
          <w:u w:val="single"/>
        </w:rPr>
        <w:t xml:space="preserve"> </w:t>
      </w:r>
      <w:r w:rsidRPr="00EB1FE0">
        <w:rPr>
          <w:rFonts w:ascii="Arial" w:eastAsia="Times New Roman" w:hAnsi="Arial" w:cs="Arial"/>
          <w:b/>
          <w:sz w:val="24"/>
          <w:szCs w:val="24"/>
          <w:lang w:eastAsia="es-ES"/>
        </w:rPr>
        <w:t xml:space="preserve">emita </w:t>
      </w:r>
      <w:r w:rsidRPr="00EB1FE0">
        <w:rPr>
          <w:rFonts w:ascii="Arial" w:eastAsia="Calibri" w:hAnsi="Arial" w:cs="Arial"/>
          <w:sz w:val="24"/>
          <w:szCs w:val="24"/>
        </w:rPr>
        <w:t xml:space="preserve">una </w:t>
      </w:r>
      <w:r w:rsidRPr="00EB1FE0">
        <w:rPr>
          <w:rFonts w:ascii="Arial" w:eastAsia="Calibri" w:hAnsi="Arial" w:cs="Arial"/>
          <w:b/>
          <w:sz w:val="24"/>
          <w:szCs w:val="24"/>
        </w:rPr>
        <w:t xml:space="preserve">nueva resolución </w:t>
      </w:r>
      <w:r w:rsidR="00E029C5">
        <w:rPr>
          <w:rFonts w:ascii="Arial" w:eastAsia="Calibri" w:hAnsi="Arial" w:cs="Arial"/>
          <w:b/>
          <w:sz w:val="24"/>
          <w:szCs w:val="24"/>
        </w:rPr>
        <w:t xml:space="preserve">al Recurso de Reconsideración </w:t>
      </w:r>
      <w:r w:rsidR="00E029C5" w:rsidRPr="00E029C5">
        <w:rPr>
          <w:rFonts w:ascii="Arial" w:eastAsia="Calibri" w:hAnsi="Arial" w:cs="Arial"/>
          <w:sz w:val="24"/>
          <w:szCs w:val="24"/>
        </w:rPr>
        <w:t xml:space="preserve">planteado </w:t>
      </w:r>
      <w:r w:rsidR="00E029C5">
        <w:rPr>
          <w:rFonts w:ascii="Arial" w:eastAsia="Calibri" w:hAnsi="Arial" w:cs="Arial"/>
          <w:sz w:val="24"/>
          <w:szCs w:val="24"/>
        </w:rPr>
        <w:t xml:space="preserve">por la aquí actora, </w:t>
      </w:r>
      <w:r w:rsidR="00E029C5" w:rsidRPr="00E029C5">
        <w:rPr>
          <w:rFonts w:ascii="Arial" w:eastAsia="Calibri" w:hAnsi="Arial" w:cs="Arial"/>
          <w:sz w:val="24"/>
          <w:szCs w:val="24"/>
        </w:rPr>
        <w:t>ante la demandada dentro del expediente número DCA_TN_2023_0001</w:t>
      </w:r>
      <w:r w:rsidR="00E029C5">
        <w:rPr>
          <w:rFonts w:ascii="Arial" w:eastAsia="Calibri" w:hAnsi="Arial" w:cs="Arial"/>
          <w:sz w:val="24"/>
          <w:szCs w:val="24"/>
        </w:rPr>
        <w:t xml:space="preserve">, y entre al estudio de fondo del mismo, de manera </w:t>
      </w:r>
      <w:r w:rsidRPr="00E029C5">
        <w:rPr>
          <w:rFonts w:ascii="Arial" w:eastAsia="Times New Roman" w:hAnsi="Arial" w:cs="Arial"/>
          <w:sz w:val="24"/>
          <w:szCs w:val="24"/>
          <w:u w:val="single"/>
          <w:lang w:val="es-ES" w:eastAsia="es-ES"/>
        </w:rPr>
        <w:t>fundada y motivada atendiendo a los principios de referencia,</w:t>
      </w:r>
      <w:r w:rsidR="00E029C5" w:rsidRPr="00E029C5">
        <w:rPr>
          <w:rFonts w:ascii="Arial" w:eastAsia="Times New Roman" w:hAnsi="Arial" w:cs="Arial"/>
          <w:sz w:val="24"/>
          <w:szCs w:val="24"/>
          <w:u w:val="single"/>
          <w:lang w:val="es-ES" w:eastAsia="es-ES"/>
        </w:rPr>
        <w:t xml:space="preserve"> prescindiendo de considerar que la </w:t>
      </w:r>
      <w:r w:rsidR="00E029C5" w:rsidRPr="00E029C5">
        <w:rPr>
          <w:rFonts w:ascii="Arial" w:eastAsia="Arial Unicode MS" w:hAnsi="Arial" w:cs="Arial"/>
          <w:sz w:val="23"/>
          <w:szCs w:val="23"/>
        </w:rPr>
        <w:t xml:space="preserve">resolución que se pretende impugnar ya se está tramitando en otra instancia legal, como lo es el juicio de amparo con el número </w:t>
      </w:r>
      <w:r w:rsidR="00E029C5" w:rsidRPr="00E029C5">
        <w:rPr>
          <w:rFonts w:ascii="Arial" w:eastAsia="Arial Unicode MS" w:hAnsi="Arial" w:cs="Arial"/>
          <w:sz w:val="23"/>
          <w:szCs w:val="23"/>
        </w:rPr>
        <w:lastRenderedPageBreak/>
        <w:t xml:space="preserve">de expediente </w:t>
      </w:r>
      <w:r w:rsidR="00AA48E5">
        <w:rPr>
          <w:rFonts w:ascii="Arial" w:eastAsia="Arial Unicode MS" w:hAnsi="Arial" w:cs="Arial"/>
          <w:color w:val="FF0000"/>
          <w:sz w:val="23"/>
          <w:szCs w:val="23"/>
        </w:rPr>
        <w:t>***********</w:t>
      </w:r>
      <w:r w:rsidRPr="00E029C5">
        <w:rPr>
          <w:rFonts w:ascii="Arial" w:eastAsia="Times New Roman" w:hAnsi="Arial" w:cs="Arial"/>
          <w:sz w:val="24"/>
          <w:szCs w:val="24"/>
          <w:lang w:val="es-ES" w:eastAsia="es-ES"/>
        </w:rPr>
        <w:t>;</w:t>
      </w:r>
      <w:r w:rsidRPr="00EB1FE0">
        <w:rPr>
          <w:rFonts w:ascii="Arial" w:eastAsia="Times New Roman" w:hAnsi="Arial" w:cs="Arial"/>
          <w:sz w:val="24"/>
          <w:szCs w:val="24"/>
          <w:lang w:val="es-ES" w:eastAsia="es-ES"/>
        </w:rPr>
        <w:t xml:space="preserve"> </w:t>
      </w:r>
      <w:r w:rsidRPr="00EB1FE0">
        <w:rPr>
          <w:rFonts w:ascii="Arial" w:eastAsia="Times New Roman" w:hAnsi="Arial" w:cs="Arial"/>
          <w:b/>
          <w:sz w:val="24"/>
          <w:szCs w:val="24"/>
          <w:u w:val="single"/>
          <w:lang w:eastAsia="es-ES"/>
        </w:rPr>
        <w:t>debiendo informar</w:t>
      </w:r>
      <w:r w:rsidRPr="00EB1FE0">
        <w:rPr>
          <w:rFonts w:ascii="Arial" w:eastAsia="Times New Roman" w:hAnsi="Arial" w:cs="Arial"/>
          <w:b/>
          <w:sz w:val="24"/>
          <w:szCs w:val="24"/>
          <w:lang w:eastAsia="es-ES"/>
        </w:rPr>
        <w:t xml:space="preserve"> a este Tribunal sobre dicho cumplimiento</w:t>
      </w:r>
      <w:r w:rsidRPr="00EB1FE0">
        <w:rPr>
          <w:rFonts w:ascii="Arial" w:eastAsia="Times New Roman" w:hAnsi="Arial" w:cs="Arial"/>
          <w:sz w:val="24"/>
          <w:szCs w:val="24"/>
          <w:lang w:eastAsia="es-ES"/>
        </w:rPr>
        <w:t xml:space="preserve"> y, acompañar para acreditarlo copia certificada de las constancias correspondientes, inclusive de los oficios emitidos para ese efecto.</w:t>
      </w:r>
    </w:p>
    <w:p w:rsidR="002B74A2" w:rsidRPr="00EB1FE0" w:rsidRDefault="002B74A2" w:rsidP="002B74A2">
      <w:pPr>
        <w:spacing w:after="0" w:line="360" w:lineRule="auto"/>
        <w:ind w:firstLine="708"/>
        <w:jc w:val="both"/>
        <w:rPr>
          <w:rFonts w:ascii="Arial" w:eastAsia="Times New Roman" w:hAnsi="Arial" w:cs="Arial"/>
          <w:sz w:val="24"/>
          <w:szCs w:val="24"/>
          <w:lang w:eastAsia="es-ES"/>
        </w:rPr>
      </w:pPr>
    </w:p>
    <w:p w:rsidR="002B74A2" w:rsidRPr="00EB1FE0" w:rsidRDefault="002B74A2" w:rsidP="002B74A2">
      <w:pPr>
        <w:spacing w:after="0" w:line="360" w:lineRule="auto"/>
        <w:ind w:firstLine="709"/>
        <w:jc w:val="both"/>
        <w:rPr>
          <w:rFonts w:ascii="Arial" w:eastAsia="Times New Roman" w:hAnsi="Arial" w:cs="Arial"/>
          <w:sz w:val="24"/>
          <w:szCs w:val="24"/>
          <w:lang w:eastAsia="es-ES"/>
        </w:rPr>
      </w:pPr>
      <w:r w:rsidRPr="00EB1FE0">
        <w:rPr>
          <w:rFonts w:ascii="Arial" w:eastAsia="Times New Roman" w:hAnsi="Arial" w:cs="Arial"/>
          <w:sz w:val="24"/>
          <w:szCs w:val="24"/>
          <w:lang w:eastAsia="es-ES"/>
        </w:rPr>
        <w:t xml:space="preserve">Con base en los numerales 255 y 256 del Código Procesal Administrativo para el Estado de San Luis Potosí, </w:t>
      </w:r>
      <w:r w:rsidRPr="00EB1FE0">
        <w:rPr>
          <w:rFonts w:ascii="Arial" w:eastAsia="Times New Roman" w:hAnsi="Arial" w:cs="Arial"/>
          <w:b/>
          <w:sz w:val="24"/>
          <w:szCs w:val="24"/>
          <w:u w:val="single"/>
          <w:lang w:eastAsia="es-ES"/>
        </w:rPr>
        <w:t>dígase</w:t>
      </w:r>
      <w:r w:rsidRPr="00EB1FE0">
        <w:rPr>
          <w:rFonts w:ascii="Arial" w:eastAsia="Times New Roman" w:hAnsi="Arial" w:cs="Arial"/>
          <w:b/>
          <w:sz w:val="24"/>
          <w:szCs w:val="24"/>
          <w:lang w:eastAsia="es-ES"/>
        </w:rPr>
        <w:t xml:space="preserve"> a la autoridad demandada </w:t>
      </w:r>
      <w:r w:rsidRPr="00EB1FE0">
        <w:rPr>
          <w:rFonts w:ascii="Arial" w:eastAsia="Arial Unicode MS" w:hAnsi="Arial" w:cs="Arial"/>
          <w:b/>
          <w:sz w:val="24"/>
          <w:szCs w:val="24"/>
        </w:rPr>
        <w:t xml:space="preserve">o bien a la autoridad que deba cumplirla, que a partir de que cause ejecutoria esta sentencia, correrán los plazos para su cumplimiento; </w:t>
      </w:r>
      <w:r w:rsidRPr="00EB1FE0">
        <w:rPr>
          <w:rFonts w:ascii="Arial" w:eastAsia="Arial Unicode MS" w:hAnsi="Arial" w:cs="Arial"/>
          <w:sz w:val="24"/>
          <w:szCs w:val="24"/>
        </w:rPr>
        <w:t>por lo que, una vez que cause ejecutoria, esta Tercera Sala Unitaria la prevendrá por el cumplimiento de la misma, o en su caso, la requerirá por su ejecución, con los apercibimientos legales</w:t>
      </w:r>
      <w:r w:rsidRPr="00EB1FE0">
        <w:rPr>
          <w:rFonts w:ascii="Arial" w:eastAsia="Times New Roman" w:hAnsi="Arial" w:cs="Arial"/>
          <w:sz w:val="24"/>
          <w:szCs w:val="24"/>
          <w:lang w:eastAsia="es-ES"/>
        </w:rPr>
        <w:t xml:space="preserve"> que procedan.</w:t>
      </w:r>
    </w:p>
    <w:p w:rsidR="002B74A2" w:rsidRPr="00EB1FE0" w:rsidRDefault="002B74A2" w:rsidP="002B74A2">
      <w:pPr>
        <w:spacing w:after="0" w:line="360" w:lineRule="auto"/>
        <w:ind w:firstLine="708"/>
        <w:jc w:val="both"/>
        <w:rPr>
          <w:rFonts w:ascii="Arial" w:eastAsia="Calibri" w:hAnsi="Arial" w:cs="Arial"/>
          <w:sz w:val="24"/>
          <w:szCs w:val="24"/>
        </w:rPr>
      </w:pPr>
    </w:p>
    <w:p w:rsidR="002B74A2" w:rsidRPr="00EB1FE0" w:rsidRDefault="002B74A2" w:rsidP="002B74A2">
      <w:pPr>
        <w:spacing w:after="0" w:line="360" w:lineRule="auto"/>
        <w:ind w:firstLine="708"/>
        <w:jc w:val="both"/>
        <w:rPr>
          <w:rFonts w:ascii="Arial" w:eastAsia="Calibri" w:hAnsi="Arial" w:cs="Arial"/>
          <w:sz w:val="24"/>
          <w:szCs w:val="24"/>
        </w:rPr>
      </w:pPr>
      <w:r w:rsidRPr="00EB1FE0">
        <w:rPr>
          <w:rFonts w:ascii="Arial" w:eastAsia="Calibri" w:hAnsi="Arial" w:cs="Arial"/>
          <w:sz w:val="24"/>
          <w:szCs w:val="24"/>
        </w:rPr>
        <w:t xml:space="preserve">Por lo expuesto, fundado y con apoyo en </w:t>
      </w:r>
      <w:r w:rsidRPr="00EB1FE0">
        <w:rPr>
          <w:rFonts w:ascii="Arial" w:eastAsia="Times New Roman" w:hAnsi="Arial" w:cs="Arial"/>
          <w:sz w:val="24"/>
          <w:szCs w:val="24"/>
          <w:lang w:eastAsia="es-ES"/>
        </w:rPr>
        <w:t xml:space="preserve">los artículos, 123 de la Constitución Política del Estado de San Luis Potosí; 1º, 2º, 7º fracción I, 9º fracción III, 24, 35 fracción VIII, y Quinto Transitorio de la Ley Orgánica del Tribunal Estatal de Justicia Administrativa de San Luis Potosí; 248, 249, 250 fracción II, 251 primer párrafo, 252, 255 y 256, del Código Procesal Administrativo para el Estado de San Luis Potosí; </w:t>
      </w:r>
      <w:r w:rsidRPr="00EB1FE0">
        <w:rPr>
          <w:rFonts w:ascii="Arial" w:eastAsia="Calibri" w:hAnsi="Arial" w:cs="Arial"/>
          <w:sz w:val="24"/>
          <w:szCs w:val="24"/>
        </w:rPr>
        <w:t>es de resolverse y se,</w:t>
      </w:r>
    </w:p>
    <w:p w:rsidR="002B74A2" w:rsidRPr="00EB1FE0" w:rsidRDefault="002B74A2" w:rsidP="002B74A2">
      <w:pPr>
        <w:spacing w:after="0" w:line="360" w:lineRule="auto"/>
        <w:ind w:firstLine="708"/>
        <w:jc w:val="both"/>
        <w:rPr>
          <w:rFonts w:ascii="Arial" w:eastAsia="Calibri" w:hAnsi="Arial" w:cs="Arial"/>
          <w:sz w:val="24"/>
          <w:szCs w:val="24"/>
        </w:rPr>
      </w:pPr>
    </w:p>
    <w:p w:rsidR="002B74A2" w:rsidRPr="00EB1FE0" w:rsidRDefault="002B74A2" w:rsidP="002B74A2">
      <w:pPr>
        <w:spacing w:after="0" w:line="360" w:lineRule="auto"/>
        <w:jc w:val="center"/>
        <w:rPr>
          <w:rFonts w:ascii="Arial" w:eastAsia="Calibri" w:hAnsi="Arial" w:cs="Arial"/>
          <w:b/>
          <w:sz w:val="24"/>
          <w:szCs w:val="24"/>
        </w:rPr>
      </w:pPr>
      <w:r w:rsidRPr="00EB1FE0">
        <w:rPr>
          <w:rFonts w:ascii="Arial" w:eastAsia="Calibri" w:hAnsi="Arial" w:cs="Arial"/>
          <w:b/>
          <w:sz w:val="24"/>
          <w:szCs w:val="24"/>
        </w:rPr>
        <w:t>R E S U E L V E</w:t>
      </w:r>
    </w:p>
    <w:p w:rsidR="002B74A2" w:rsidRPr="00EB1FE0" w:rsidRDefault="002B74A2" w:rsidP="002B74A2">
      <w:pPr>
        <w:spacing w:after="0" w:line="360" w:lineRule="auto"/>
        <w:jc w:val="center"/>
        <w:rPr>
          <w:rFonts w:ascii="Arial" w:eastAsia="Calibri" w:hAnsi="Arial" w:cs="Arial"/>
          <w:b/>
          <w:sz w:val="24"/>
          <w:szCs w:val="24"/>
        </w:rPr>
      </w:pPr>
    </w:p>
    <w:p w:rsidR="002B74A2" w:rsidRPr="00EB1FE0" w:rsidRDefault="002B74A2" w:rsidP="002B74A2">
      <w:pPr>
        <w:spacing w:after="0" w:line="360" w:lineRule="auto"/>
        <w:ind w:firstLine="709"/>
        <w:jc w:val="both"/>
        <w:rPr>
          <w:rFonts w:ascii="Arial" w:eastAsia="Calibri" w:hAnsi="Arial" w:cs="Arial"/>
          <w:sz w:val="24"/>
          <w:szCs w:val="24"/>
        </w:rPr>
      </w:pPr>
      <w:r w:rsidRPr="00EB1FE0">
        <w:rPr>
          <w:rFonts w:ascii="Arial" w:eastAsia="Calibri" w:hAnsi="Arial" w:cs="Arial"/>
          <w:b/>
          <w:sz w:val="24"/>
          <w:szCs w:val="24"/>
        </w:rPr>
        <w:t>PRIMERO.-</w:t>
      </w:r>
      <w:r w:rsidRPr="00EB1FE0">
        <w:rPr>
          <w:rFonts w:ascii="Arial" w:eastAsia="Calibri" w:hAnsi="Arial" w:cs="Arial"/>
          <w:sz w:val="24"/>
          <w:szCs w:val="24"/>
        </w:rPr>
        <w:t xml:space="preserve"> Esta </w:t>
      </w:r>
      <w:r w:rsidRPr="00EB1FE0">
        <w:rPr>
          <w:rFonts w:ascii="Arial" w:eastAsia="Calibri" w:hAnsi="Arial" w:cs="Arial"/>
          <w:b/>
          <w:sz w:val="24"/>
          <w:szCs w:val="24"/>
        </w:rPr>
        <w:t>Tercera Sala Unitaria del Tribunal Estatal de Justicia Administrativa,</w:t>
      </w:r>
      <w:r w:rsidRPr="00EB1FE0">
        <w:rPr>
          <w:rFonts w:ascii="Arial" w:eastAsia="Calibri" w:hAnsi="Arial" w:cs="Arial"/>
          <w:sz w:val="24"/>
          <w:szCs w:val="24"/>
        </w:rPr>
        <w:t xml:space="preserve"> resultó competente para conocer y resolver la presente controversia.</w:t>
      </w:r>
    </w:p>
    <w:p w:rsidR="002B74A2" w:rsidRPr="00EB1FE0" w:rsidRDefault="002B74A2" w:rsidP="002B74A2">
      <w:pPr>
        <w:spacing w:after="0" w:line="360" w:lineRule="auto"/>
        <w:ind w:firstLine="709"/>
        <w:jc w:val="both"/>
        <w:rPr>
          <w:rFonts w:ascii="Arial" w:eastAsia="Calibri" w:hAnsi="Arial" w:cs="Arial"/>
          <w:b/>
          <w:sz w:val="24"/>
          <w:szCs w:val="24"/>
        </w:rPr>
      </w:pPr>
    </w:p>
    <w:p w:rsidR="002B74A2" w:rsidRDefault="002B74A2" w:rsidP="002B74A2">
      <w:pPr>
        <w:spacing w:after="0" w:line="360" w:lineRule="auto"/>
        <w:ind w:firstLine="709"/>
        <w:jc w:val="both"/>
        <w:rPr>
          <w:rFonts w:ascii="Arial" w:eastAsia="Calibri" w:hAnsi="Arial" w:cs="Arial"/>
          <w:sz w:val="24"/>
          <w:szCs w:val="24"/>
        </w:rPr>
      </w:pPr>
      <w:r w:rsidRPr="00EB1FE0">
        <w:rPr>
          <w:rFonts w:ascii="Arial" w:eastAsia="Calibri" w:hAnsi="Arial" w:cs="Arial"/>
          <w:b/>
          <w:sz w:val="24"/>
          <w:szCs w:val="24"/>
        </w:rPr>
        <w:t>SEGUNDO.-</w:t>
      </w:r>
      <w:r w:rsidRPr="00EB1FE0">
        <w:rPr>
          <w:rFonts w:ascii="Arial" w:eastAsia="Calibri" w:hAnsi="Arial" w:cs="Arial"/>
          <w:sz w:val="24"/>
          <w:szCs w:val="24"/>
        </w:rPr>
        <w:t xml:space="preserve"> Se declara la </w:t>
      </w:r>
      <w:r w:rsidRPr="00EB1FE0">
        <w:rPr>
          <w:rFonts w:ascii="Arial" w:eastAsia="Calibri" w:hAnsi="Arial" w:cs="Arial"/>
          <w:b/>
          <w:sz w:val="24"/>
          <w:szCs w:val="24"/>
        </w:rPr>
        <w:t>ILEGALIDAD E INVALIDEZ</w:t>
      </w:r>
      <w:r w:rsidRPr="00EB1FE0">
        <w:rPr>
          <w:rFonts w:ascii="Arial" w:eastAsia="Calibri" w:hAnsi="Arial" w:cs="Arial"/>
          <w:sz w:val="24"/>
          <w:szCs w:val="24"/>
        </w:rPr>
        <w:t xml:space="preserve"> de los actos impugnados y, por consecuencia, la </w:t>
      </w:r>
      <w:r w:rsidRPr="00EB1FE0">
        <w:rPr>
          <w:rFonts w:ascii="Arial" w:eastAsia="Calibri" w:hAnsi="Arial" w:cs="Arial"/>
          <w:b/>
          <w:sz w:val="24"/>
          <w:szCs w:val="24"/>
        </w:rPr>
        <w:t xml:space="preserve">NULIDAD </w:t>
      </w:r>
      <w:r w:rsidRPr="00EB1FE0">
        <w:rPr>
          <w:rFonts w:ascii="Arial" w:eastAsia="Calibri" w:hAnsi="Arial" w:cs="Arial"/>
          <w:sz w:val="24"/>
          <w:szCs w:val="24"/>
        </w:rPr>
        <w:t xml:space="preserve">de los mismos, de acuerdo a los razonamientos y para los efectos precisados en el Considerando Sexto  de la presente sentencia. </w:t>
      </w:r>
    </w:p>
    <w:p w:rsidR="002B74A2" w:rsidRPr="00EB1FE0" w:rsidRDefault="002B74A2" w:rsidP="002B74A2">
      <w:pPr>
        <w:spacing w:after="0" w:line="360" w:lineRule="auto"/>
        <w:ind w:firstLine="709"/>
        <w:jc w:val="both"/>
        <w:rPr>
          <w:rFonts w:ascii="Arial" w:eastAsia="Calibri" w:hAnsi="Arial" w:cs="Arial"/>
          <w:sz w:val="24"/>
          <w:szCs w:val="24"/>
        </w:rPr>
      </w:pPr>
    </w:p>
    <w:p w:rsidR="002B74A2" w:rsidRPr="00EB1FE0" w:rsidRDefault="002B74A2" w:rsidP="002B74A2">
      <w:pPr>
        <w:spacing w:after="0" w:line="360" w:lineRule="auto"/>
        <w:ind w:firstLine="709"/>
        <w:jc w:val="both"/>
        <w:rPr>
          <w:rFonts w:ascii="Arial" w:eastAsia="Calibri" w:hAnsi="Arial" w:cs="Arial"/>
          <w:sz w:val="24"/>
          <w:szCs w:val="24"/>
        </w:rPr>
      </w:pPr>
      <w:r w:rsidRPr="00EB1FE0">
        <w:rPr>
          <w:rFonts w:ascii="Arial" w:eastAsia="Times New Roman" w:hAnsi="Arial" w:cs="Arial"/>
          <w:b/>
          <w:sz w:val="24"/>
          <w:szCs w:val="24"/>
          <w:lang w:eastAsia="es-MX"/>
        </w:rPr>
        <w:t>TERCERO.-</w:t>
      </w:r>
      <w:r w:rsidRPr="00EB1FE0">
        <w:rPr>
          <w:rFonts w:ascii="Arial" w:eastAsia="Times New Roman" w:hAnsi="Arial" w:cs="Arial"/>
          <w:sz w:val="24"/>
          <w:szCs w:val="24"/>
          <w:lang w:eastAsia="es-MX"/>
        </w:rPr>
        <w:t xml:space="preserve"> </w:t>
      </w:r>
      <w:r w:rsidRPr="00EB1FE0">
        <w:rPr>
          <w:rFonts w:ascii="Arial" w:eastAsia="Calibri" w:hAnsi="Arial" w:cs="Arial"/>
          <w:sz w:val="24"/>
          <w:szCs w:val="24"/>
        </w:rPr>
        <w:t>Con copia autorizada de esta resolución, notifíquese personalmente a la parte actora y por oficio a la autoridad demandada.</w:t>
      </w:r>
    </w:p>
    <w:p w:rsidR="002B74A2" w:rsidRPr="00EB1FE0" w:rsidRDefault="002B74A2" w:rsidP="002B74A2">
      <w:pPr>
        <w:spacing w:after="0" w:line="360" w:lineRule="auto"/>
        <w:ind w:firstLine="709"/>
        <w:jc w:val="both"/>
        <w:rPr>
          <w:rFonts w:ascii="Arial" w:eastAsia="Arial Unicode MS" w:hAnsi="Arial" w:cs="Arial"/>
          <w:i/>
        </w:rPr>
      </w:pPr>
      <w:r w:rsidRPr="00EB1FE0">
        <w:rPr>
          <w:rFonts w:ascii="Arial" w:eastAsia="Arial Unicode MS" w:hAnsi="Arial" w:cs="Arial"/>
          <w:i/>
        </w:rPr>
        <w:t xml:space="preserve"> </w:t>
      </w:r>
    </w:p>
    <w:p w:rsidR="002B74A2" w:rsidRPr="00906CE8" w:rsidRDefault="002B74A2" w:rsidP="00906CE8">
      <w:pPr>
        <w:spacing w:after="0" w:line="360" w:lineRule="auto"/>
        <w:ind w:firstLine="709"/>
        <w:jc w:val="both"/>
        <w:rPr>
          <w:rFonts w:ascii="Arial" w:eastAsia="Calibri" w:hAnsi="Arial" w:cs="Arial"/>
          <w:b/>
          <w:sz w:val="24"/>
          <w:szCs w:val="24"/>
        </w:rPr>
      </w:pPr>
      <w:r w:rsidRPr="00EB1FE0">
        <w:rPr>
          <w:rFonts w:ascii="Arial" w:eastAsia="Calibri" w:hAnsi="Arial" w:cs="Arial"/>
          <w:sz w:val="24"/>
          <w:szCs w:val="24"/>
        </w:rPr>
        <w:t xml:space="preserve">Así lo resolvió y firma, el Magistrado Titular de la Tercera Sala Unitaria del Tribunal Estatal de Justicia Administrativa de San Luis Potosí, </w:t>
      </w:r>
      <w:r w:rsidRPr="00EB1FE0">
        <w:rPr>
          <w:rFonts w:ascii="Arial" w:eastAsia="Calibri" w:hAnsi="Arial" w:cs="Arial"/>
          <w:b/>
          <w:sz w:val="24"/>
          <w:szCs w:val="24"/>
        </w:rPr>
        <w:t>Licenciado Jorge Alejandro Vera Noyola,</w:t>
      </w:r>
      <w:r w:rsidRPr="00EB1FE0">
        <w:rPr>
          <w:rFonts w:ascii="Arial" w:eastAsia="Calibri" w:hAnsi="Arial" w:cs="Arial"/>
          <w:sz w:val="24"/>
          <w:szCs w:val="24"/>
        </w:rPr>
        <w:t xml:space="preserve"> quien actúa con Secretario de </w:t>
      </w:r>
      <w:r w:rsidRPr="00EB1FE0">
        <w:rPr>
          <w:rFonts w:ascii="Arial" w:eastAsia="Calibri" w:hAnsi="Arial" w:cs="Arial"/>
          <w:sz w:val="24"/>
          <w:szCs w:val="24"/>
        </w:rPr>
        <w:lastRenderedPageBreak/>
        <w:t xml:space="preserve">Acuerdos, </w:t>
      </w:r>
      <w:r w:rsidRPr="00EB1FE0">
        <w:rPr>
          <w:rFonts w:ascii="Arial" w:eastAsia="Calibri" w:hAnsi="Arial" w:cs="Arial"/>
          <w:b/>
          <w:sz w:val="24"/>
          <w:szCs w:val="24"/>
        </w:rPr>
        <w:t>Licenciado Ismael Méndez Hernández,</w:t>
      </w:r>
      <w:r w:rsidRPr="00EB1FE0">
        <w:rPr>
          <w:rFonts w:ascii="Arial" w:eastAsia="Calibri" w:hAnsi="Arial" w:cs="Arial"/>
          <w:sz w:val="24"/>
          <w:szCs w:val="24"/>
        </w:rPr>
        <w:t xml:space="preserve"> que autoriza y da fe.- </w:t>
      </w:r>
      <w:r w:rsidR="00906CE8">
        <w:rPr>
          <w:rFonts w:ascii="Arial" w:eastAsia="Calibri" w:hAnsi="Arial" w:cs="Arial"/>
          <w:sz w:val="24"/>
          <w:szCs w:val="24"/>
        </w:rPr>
        <w:t xml:space="preserve"> </w:t>
      </w:r>
      <w:r w:rsidR="00906CE8" w:rsidRPr="00906CE8">
        <w:rPr>
          <w:rFonts w:ascii="Arial" w:eastAsia="Calibri" w:hAnsi="Arial" w:cs="Arial"/>
          <w:b/>
          <w:sz w:val="24"/>
          <w:szCs w:val="24"/>
        </w:rPr>
        <w:t xml:space="preserve">RUBRICAS.- </w:t>
      </w:r>
    </w:p>
    <w:p w:rsidR="00AA48E5" w:rsidRPr="003738E0" w:rsidRDefault="00AA48E5" w:rsidP="00AA48E5">
      <w:pPr>
        <w:spacing w:after="0" w:line="240" w:lineRule="auto"/>
        <w:jc w:val="both"/>
        <w:rPr>
          <w:rFonts w:ascii="Arial Narrow" w:eastAsia="Times New Roman" w:hAnsi="Arial Narrow" w:cs="Arial"/>
          <w:i/>
          <w:sz w:val="24"/>
          <w:szCs w:val="24"/>
          <w:lang w:val="es-ES" w:eastAsia="es-ES"/>
        </w:rPr>
      </w:pPr>
      <w:r w:rsidRPr="003738E0">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rsidR="00906CE8" w:rsidRPr="00D04306" w:rsidRDefault="00906CE8" w:rsidP="00906CE8">
      <w:pPr>
        <w:spacing w:after="0" w:line="240" w:lineRule="auto"/>
        <w:jc w:val="center"/>
        <w:rPr>
          <w:rFonts w:ascii="CG Omega" w:eastAsia="Times New Roman" w:hAnsi="CG Omega" w:cs="Times New Roman"/>
          <w:b/>
          <w:szCs w:val="20"/>
          <w:lang w:eastAsia="es-ES"/>
        </w:rPr>
      </w:pPr>
      <w:bookmarkStart w:id="0" w:name="_GoBack"/>
      <w:bookmarkEnd w:id="0"/>
    </w:p>
    <w:sectPr w:rsidR="00906CE8" w:rsidRPr="00D04306" w:rsidSect="005728D1">
      <w:headerReference w:type="even" r:id="rId7"/>
      <w:headerReference w:type="default" r:id="rId8"/>
      <w:headerReference w:type="first" r:id="rId9"/>
      <w:pgSz w:w="12242" w:h="18722" w:code="14"/>
      <w:pgMar w:top="1134" w:right="1134" w:bottom="1134" w:left="2835" w:header="720" w:footer="720" w:gutter="0"/>
      <w:paperSrc w:first="7" w:other="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D4D" w:rsidRDefault="007E2D4D" w:rsidP="00DC5D34">
      <w:pPr>
        <w:spacing w:after="0" w:line="240" w:lineRule="auto"/>
      </w:pPr>
      <w:r>
        <w:separator/>
      </w:r>
    </w:p>
  </w:endnote>
  <w:endnote w:type="continuationSeparator" w:id="0">
    <w:p w:rsidR="007E2D4D" w:rsidRDefault="007E2D4D" w:rsidP="00DC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CG Omega">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D4D" w:rsidRDefault="007E2D4D" w:rsidP="00DC5D34">
      <w:pPr>
        <w:spacing w:after="0" w:line="240" w:lineRule="auto"/>
      </w:pPr>
      <w:r>
        <w:separator/>
      </w:r>
    </w:p>
  </w:footnote>
  <w:footnote w:type="continuationSeparator" w:id="0">
    <w:p w:rsidR="007E2D4D" w:rsidRDefault="007E2D4D" w:rsidP="00DC5D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9C5" w:rsidRPr="007A07AF" w:rsidRDefault="00E029C5" w:rsidP="00EA502F">
    <w:pPr>
      <w:pStyle w:val="Sinespaciado"/>
      <w:rPr>
        <w:rFonts w:ascii="Arial" w:hAnsi="Arial" w:cs="Arial"/>
      </w:rPr>
    </w:pPr>
  </w:p>
  <w:p w:rsidR="00E029C5" w:rsidRPr="00EC604F" w:rsidRDefault="00E029C5" w:rsidP="00EA502F">
    <w:pPr>
      <w:pStyle w:val="Sinespaciado"/>
      <w:rPr>
        <w:rFonts w:ascii="Arial" w:hAnsi="Arial" w:cs="Arial"/>
        <w:sz w:val="20"/>
        <w:szCs w:val="20"/>
      </w:rPr>
    </w:pPr>
    <w:r w:rsidRPr="00EC604F">
      <w:rPr>
        <w:rFonts w:ascii="Arial" w:hAnsi="Arial" w:cs="Arial"/>
        <w:sz w:val="20"/>
        <w:szCs w:val="20"/>
      </w:rPr>
      <w:t xml:space="preserve">Página </w:t>
    </w:r>
    <w:r w:rsidRPr="00EC604F">
      <w:rPr>
        <w:rStyle w:val="Nmerodepgina"/>
        <w:rFonts w:ascii="Arial" w:hAnsi="Arial" w:cs="Arial"/>
        <w:sz w:val="20"/>
        <w:szCs w:val="20"/>
      </w:rPr>
      <w:fldChar w:fldCharType="begin"/>
    </w:r>
    <w:r w:rsidRPr="00EC604F">
      <w:rPr>
        <w:rStyle w:val="Nmerodepgina"/>
        <w:rFonts w:ascii="Arial" w:hAnsi="Arial" w:cs="Arial"/>
        <w:sz w:val="20"/>
        <w:szCs w:val="20"/>
      </w:rPr>
      <w:instrText xml:space="preserve"> PAGE </w:instrText>
    </w:r>
    <w:r w:rsidRPr="00EC604F">
      <w:rPr>
        <w:rStyle w:val="Nmerodepgina"/>
        <w:rFonts w:ascii="Arial" w:hAnsi="Arial" w:cs="Arial"/>
        <w:sz w:val="20"/>
        <w:szCs w:val="20"/>
      </w:rPr>
      <w:fldChar w:fldCharType="separate"/>
    </w:r>
    <w:r w:rsidR="00AA48E5">
      <w:rPr>
        <w:rStyle w:val="Nmerodepgina"/>
        <w:rFonts w:ascii="Arial" w:hAnsi="Arial" w:cs="Arial"/>
        <w:noProof/>
        <w:sz w:val="20"/>
        <w:szCs w:val="20"/>
      </w:rPr>
      <w:t>12</w:t>
    </w:r>
    <w:r w:rsidRPr="00EC604F">
      <w:rPr>
        <w:rStyle w:val="Nmerodepgina"/>
        <w:rFonts w:ascii="Arial" w:hAnsi="Arial" w:cs="Arial"/>
        <w:sz w:val="20"/>
        <w:szCs w:val="20"/>
      </w:rPr>
      <w:fldChar w:fldCharType="end"/>
    </w:r>
  </w:p>
  <w:p w:rsidR="00E029C5" w:rsidRPr="00EC604F" w:rsidRDefault="00E029C5" w:rsidP="00EA502F">
    <w:pPr>
      <w:pStyle w:val="Sinespaciado"/>
      <w:rPr>
        <w:rFonts w:ascii="Arial" w:hAnsi="Arial" w:cs="Arial"/>
        <w:sz w:val="20"/>
        <w:szCs w:val="20"/>
      </w:rPr>
    </w:pPr>
    <w:proofErr w:type="spellStart"/>
    <w:r w:rsidRPr="00EC604F">
      <w:rPr>
        <w:rFonts w:ascii="Arial" w:hAnsi="Arial" w:cs="Arial"/>
        <w:sz w:val="20"/>
        <w:szCs w:val="20"/>
      </w:rPr>
      <w:t>Exp</w:t>
    </w:r>
    <w:proofErr w:type="spellEnd"/>
    <w:r w:rsidRPr="00EC604F">
      <w:rPr>
        <w:rFonts w:ascii="Arial" w:hAnsi="Arial" w:cs="Arial"/>
        <w:sz w:val="20"/>
        <w:szCs w:val="20"/>
      </w:rPr>
      <w:t xml:space="preserve">. </w:t>
    </w:r>
    <w:r>
      <w:rPr>
        <w:rFonts w:ascii="Arial" w:hAnsi="Arial" w:cs="Arial"/>
        <w:sz w:val="20"/>
        <w:szCs w:val="20"/>
      </w:rPr>
      <w:t>424</w:t>
    </w:r>
    <w:r w:rsidRPr="00EC604F">
      <w:rPr>
        <w:rFonts w:ascii="Arial" w:hAnsi="Arial" w:cs="Arial"/>
        <w:sz w:val="20"/>
        <w:szCs w:val="20"/>
      </w:rPr>
      <w:t>/202</w:t>
    </w:r>
    <w:r>
      <w:rPr>
        <w:rFonts w:ascii="Arial" w:hAnsi="Arial" w:cs="Arial"/>
        <w:sz w:val="20"/>
        <w:szCs w:val="20"/>
      </w:rPr>
      <w:t>4</w:t>
    </w:r>
    <w:r w:rsidRPr="00EC604F">
      <w:rPr>
        <w:rFonts w:ascii="Arial" w:hAnsi="Arial" w:cs="Arial"/>
        <w:color w:val="000000"/>
        <w:sz w:val="20"/>
        <w:szCs w:val="20"/>
      </w:rPr>
      <w:t>-3</w:t>
    </w:r>
  </w:p>
  <w:p w:rsidR="00E029C5" w:rsidRPr="00E70E28" w:rsidRDefault="00E029C5" w:rsidP="00EA502F">
    <w:pPr>
      <w:pStyle w:val="Encabezado"/>
      <w:rPr>
        <w:rFonts w:ascii="Arial" w:hAnsi="Arial" w:cs="Arial"/>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PAGI_NA"/>
  <w:p w:rsidR="00E029C5" w:rsidRPr="007A07AF" w:rsidRDefault="00E029C5" w:rsidP="00EA502F">
    <w:pPr>
      <w:pStyle w:val="Encabezado"/>
      <w:ind w:right="360"/>
      <w:rPr>
        <w:rStyle w:val="Nmerodepgina"/>
        <w:rFonts w:ascii="Arial" w:hAnsi="Arial" w:cs="Arial"/>
        <w:color w:val="FFFFFF"/>
      </w:rPr>
    </w:pPr>
    <w:r w:rsidRPr="006C0427">
      <w:rPr>
        <w:rStyle w:val="Nmerodepgina"/>
        <w:color w:val="FFFFFF"/>
      </w:rPr>
      <w:fldChar w:fldCharType="begin"/>
    </w:r>
    <w:r w:rsidRPr="006C0427">
      <w:rPr>
        <w:rStyle w:val="Nmerodepgina"/>
        <w:color w:val="FFFFFF"/>
      </w:rPr>
      <w:instrText xml:space="preserve"> PAGE </w:instrText>
    </w:r>
    <w:r w:rsidRPr="006C0427">
      <w:rPr>
        <w:rStyle w:val="Nmerodepgina"/>
        <w:color w:val="FFFFFF"/>
      </w:rPr>
      <w:fldChar w:fldCharType="separate"/>
    </w:r>
    <w:r w:rsidR="00AA48E5">
      <w:rPr>
        <w:rStyle w:val="Nmerodepgina"/>
        <w:noProof/>
        <w:color w:val="FFFFFF"/>
      </w:rPr>
      <w:t>11</w:t>
    </w:r>
    <w:r w:rsidRPr="006C0427">
      <w:rPr>
        <w:rStyle w:val="Nmerodepgina"/>
        <w:color w:val="FFFFFF"/>
      </w:rPr>
      <w:fldChar w:fldCharType="end"/>
    </w:r>
    <w:r w:rsidRPr="006C0427">
      <w:rPr>
        <w:rStyle w:val="Nmerodepgina"/>
        <w:color w:val="FFFFFF"/>
      </w:rPr>
      <w:t xml:space="preserve"> </w:t>
    </w:r>
  </w:p>
  <w:bookmarkEnd w:id="1"/>
  <w:p w:rsidR="00E029C5" w:rsidRPr="00EC604F" w:rsidRDefault="00E029C5" w:rsidP="00EA502F">
    <w:pPr>
      <w:pStyle w:val="Sinespaciado"/>
      <w:jc w:val="right"/>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60288" behindDoc="0" locked="0" layoutInCell="1" allowOverlap="1" wp14:anchorId="10AF3EF0" wp14:editId="2E0E4293">
              <wp:simplePos x="0" y="0"/>
              <wp:positionH relativeFrom="column">
                <wp:posOffset>-1543685</wp:posOffset>
              </wp:positionH>
              <wp:positionV relativeFrom="paragraph">
                <wp:posOffset>138430</wp:posOffset>
              </wp:positionV>
              <wp:extent cx="1125855" cy="1712595"/>
              <wp:effectExtent l="0" t="0" r="0" b="190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71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29C5" w:rsidRDefault="00E029C5" w:rsidP="00EA502F">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0605F5BC" wp14:editId="2DB0E738">
                                <wp:extent cx="941070" cy="941070"/>
                                <wp:effectExtent l="0" t="0" r="0" b="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1070" cy="941070"/>
                                        </a:xfrm>
                                        <a:prstGeom prst="rect">
                                          <a:avLst/>
                                        </a:prstGeom>
                                        <a:solidFill>
                                          <a:srgbClr val="FFFFFF">
                                            <a:alpha val="0"/>
                                          </a:srgbClr>
                                        </a:solidFill>
                                        <a:ln>
                                          <a:noFill/>
                                        </a:ln>
                                      </pic:spPr>
                                    </pic:pic>
                                  </a:graphicData>
                                </a:graphic>
                              </wp:inline>
                            </w:drawing>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E029C5" w:rsidRPr="00B23B9D" w:rsidRDefault="00E029C5" w:rsidP="00EA502F">
                          <w:pPr>
                            <w:pStyle w:val="Sinespaciado"/>
                            <w:jc w:val="center"/>
                            <w:rPr>
                              <w:rFonts w:ascii="Microsoft Sans Serif" w:eastAsia="SimHei" w:hAnsi="Microsoft Sans Serif" w:cs="Microsoft Sans Serif"/>
                              <w:b/>
                              <w:sz w:val="14"/>
                              <w:szCs w:val="14"/>
                            </w:rPr>
                          </w:pPr>
                        </w:p>
                        <w:p w:rsidR="00E029C5" w:rsidRPr="00B23B9D" w:rsidRDefault="00E029C5" w:rsidP="00EA502F">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21.55pt;margin-top:10.9pt;width:88.65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" stroked="f">
              <v:textbox>
                <w:txbxContent>
                  <w:p w:rsidR="00E029C5" w:rsidRDefault="00E029C5" w:rsidP="00EA502F">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0605F5BC" wp14:editId="2DB0E738">
                          <wp:extent cx="941070" cy="941070"/>
                          <wp:effectExtent l="0" t="0" r="0" b="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1070" cy="941070"/>
                                  </a:xfrm>
                                  <a:prstGeom prst="rect">
                                    <a:avLst/>
                                  </a:prstGeom>
                                  <a:solidFill>
                                    <a:srgbClr val="FFFFFF">
                                      <a:alpha val="0"/>
                                    </a:srgbClr>
                                  </a:solidFill>
                                  <a:ln>
                                    <a:noFill/>
                                  </a:ln>
                                </pic:spPr>
                              </pic:pic>
                            </a:graphicData>
                          </a:graphic>
                        </wp:inline>
                      </w:drawing>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E029C5" w:rsidRPr="00B23B9D" w:rsidRDefault="00E029C5" w:rsidP="00EA502F">
                    <w:pPr>
                      <w:pStyle w:val="Sinespaciado"/>
                      <w:jc w:val="center"/>
                      <w:rPr>
                        <w:rFonts w:ascii="Microsoft Sans Serif" w:eastAsia="SimHei" w:hAnsi="Microsoft Sans Serif" w:cs="Microsoft Sans Serif"/>
                        <w:b/>
                        <w:sz w:val="14"/>
                        <w:szCs w:val="14"/>
                      </w:rPr>
                    </w:pPr>
                  </w:p>
                  <w:p w:rsidR="00E029C5" w:rsidRPr="00B23B9D" w:rsidRDefault="00E029C5" w:rsidP="00EA502F">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v:shape>
          </w:pict>
        </mc:Fallback>
      </mc:AlternateContent>
    </w:r>
    <w:r w:rsidRPr="00EC604F">
      <w:rPr>
        <w:rFonts w:ascii="Arial" w:hAnsi="Arial" w:cs="Arial"/>
        <w:sz w:val="20"/>
        <w:szCs w:val="20"/>
      </w:rPr>
      <w:t xml:space="preserve">Página </w:t>
    </w:r>
    <w:r w:rsidRPr="00EC604F">
      <w:rPr>
        <w:rStyle w:val="Nmerodepgina"/>
        <w:rFonts w:ascii="Arial" w:hAnsi="Arial" w:cs="Arial"/>
        <w:sz w:val="20"/>
        <w:szCs w:val="20"/>
      </w:rPr>
      <w:fldChar w:fldCharType="begin"/>
    </w:r>
    <w:r w:rsidRPr="00EC604F">
      <w:rPr>
        <w:rStyle w:val="Nmerodepgina"/>
        <w:rFonts w:ascii="Arial" w:hAnsi="Arial" w:cs="Arial"/>
        <w:sz w:val="20"/>
        <w:szCs w:val="20"/>
      </w:rPr>
      <w:instrText xml:space="preserve"> PAGE </w:instrText>
    </w:r>
    <w:r w:rsidRPr="00EC604F">
      <w:rPr>
        <w:rStyle w:val="Nmerodepgina"/>
        <w:rFonts w:ascii="Arial" w:hAnsi="Arial" w:cs="Arial"/>
        <w:sz w:val="20"/>
        <w:szCs w:val="20"/>
      </w:rPr>
      <w:fldChar w:fldCharType="separate"/>
    </w:r>
    <w:r w:rsidR="00AA48E5">
      <w:rPr>
        <w:rStyle w:val="Nmerodepgina"/>
        <w:rFonts w:ascii="Arial" w:hAnsi="Arial" w:cs="Arial"/>
        <w:noProof/>
        <w:sz w:val="20"/>
        <w:szCs w:val="20"/>
      </w:rPr>
      <w:t>11</w:t>
    </w:r>
    <w:r w:rsidRPr="00EC604F">
      <w:rPr>
        <w:rStyle w:val="Nmerodepgina"/>
        <w:rFonts w:ascii="Arial" w:hAnsi="Arial" w:cs="Arial"/>
        <w:sz w:val="20"/>
        <w:szCs w:val="20"/>
      </w:rPr>
      <w:fldChar w:fldCharType="end"/>
    </w:r>
  </w:p>
  <w:p w:rsidR="00E029C5" w:rsidRPr="00EC604F" w:rsidRDefault="00E029C5" w:rsidP="00EA502F">
    <w:pPr>
      <w:pStyle w:val="Sinespaciado"/>
      <w:jc w:val="right"/>
      <w:rPr>
        <w:rFonts w:ascii="Arial" w:hAnsi="Arial" w:cs="Arial"/>
        <w:sz w:val="20"/>
        <w:szCs w:val="20"/>
      </w:rPr>
    </w:pPr>
    <w:proofErr w:type="spellStart"/>
    <w:r w:rsidRPr="00EC604F">
      <w:rPr>
        <w:rFonts w:ascii="Arial" w:hAnsi="Arial" w:cs="Arial"/>
        <w:sz w:val="20"/>
        <w:szCs w:val="20"/>
      </w:rPr>
      <w:t>Exp</w:t>
    </w:r>
    <w:proofErr w:type="spellEnd"/>
    <w:r w:rsidRPr="00EC604F">
      <w:rPr>
        <w:rFonts w:ascii="Arial" w:hAnsi="Arial" w:cs="Arial"/>
        <w:sz w:val="20"/>
        <w:szCs w:val="20"/>
      </w:rPr>
      <w:t xml:space="preserve">. </w:t>
    </w:r>
    <w:r>
      <w:rPr>
        <w:rFonts w:ascii="Arial" w:hAnsi="Arial" w:cs="Arial"/>
        <w:sz w:val="20"/>
        <w:szCs w:val="20"/>
      </w:rPr>
      <w:t>424</w:t>
    </w:r>
    <w:r w:rsidRPr="00EC604F">
      <w:rPr>
        <w:rFonts w:ascii="Arial" w:hAnsi="Arial" w:cs="Arial"/>
        <w:sz w:val="20"/>
        <w:szCs w:val="20"/>
      </w:rPr>
      <w:t>/202</w:t>
    </w:r>
    <w:r>
      <w:rPr>
        <w:rFonts w:ascii="Arial" w:hAnsi="Arial" w:cs="Arial"/>
        <w:sz w:val="20"/>
        <w:szCs w:val="20"/>
      </w:rPr>
      <w:t>4</w:t>
    </w:r>
    <w:r w:rsidRPr="00EC604F">
      <w:rPr>
        <w:rFonts w:ascii="Arial" w:hAnsi="Arial" w:cs="Arial"/>
        <w:color w:val="000000"/>
        <w:sz w:val="20"/>
        <w:szCs w:val="20"/>
      </w:rPr>
      <w:t>-3</w:t>
    </w:r>
  </w:p>
  <w:p w:rsidR="00E029C5" w:rsidRPr="007A07AF" w:rsidRDefault="00E029C5" w:rsidP="00EA502F">
    <w:pPr>
      <w:pStyle w:val="Encabezado"/>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9C5" w:rsidRPr="004A456E" w:rsidRDefault="00E029C5" w:rsidP="00EA502F">
    <w:pPr>
      <w:pStyle w:val="Encabezado"/>
      <w:tabs>
        <w:tab w:val="clear" w:pos="4419"/>
        <w:tab w:val="clear" w:pos="8838"/>
        <w:tab w:val="left" w:pos="1503"/>
      </w:tabs>
    </w:pPr>
    <w:r>
      <w:rPr>
        <w:noProof/>
        <w:lang w:eastAsia="es-MX"/>
      </w:rPr>
      <mc:AlternateContent>
        <mc:Choice Requires="wps">
          <w:drawing>
            <wp:anchor distT="0" distB="0" distL="114300" distR="114300" simplePos="0" relativeHeight="251659264" behindDoc="1" locked="0" layoutInCell="1" allowOverlap="1" wp14:anchorId="741CBC85" wp14:editId="0D792039">
              <wp:simplePos x="0" y="0"/>
              <wp:positionH relativeFrom="column">
                <wp:posOffset>-1424940</wp:posOffset>
              </wp:positionH>
              <wp:positionV relativeFrom="paragraph">
                <wp:posOffset>386080</wp:posOffset>
              </wp:positionV>
              <wp:extent cx="1421765" cy="2822575"/>
              <wp:effectExtent l="0" t="0" r="6985" b="0"/>
              <wp:wrapThrough wrapText="bothSides">
                <wp:wrapPolygon edited="0">
                  <wp:start x="0" y="0"/>
                  <wp:lineTo x="0" y="21430"/>
                  <wp:lineTo x="21417" y="21430"/>
                  <wp:lineTo x="21417"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282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29C5" w:rsidRDefault="00E029C5" w:rsidP="00EA502F">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7E60A677" wp14:editId="5CDF1665">
                                <wp:extent cx="1030605" cy="1030605"/>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solidFill>
                                          <a:srgbClr val="FFFFFF">
                                            <a:alpha val="0"/>
                                          </a:srgbClr>
                                        </a:solidFill>
                                        <a:ln>
                                          <a:noFill/>
                                        </a:ln>
                                      </pic:spPr>
                                    </pic:pic>
                                  </a:graphicData>
                                </a:graphic>
                              </wp:inline>
                            </w:drawing>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E029C5" w:rsidRPr="00B23B9D" w:rsidRDefault="00E029C5" w:rsidP="00EA502F">
                          <w:pPr>
                            <w:pStyle w:val="Sinespaciado"/>
                            <w:jc w:val="center"/>
                            <w:rPr>
                              <w:rFonts w:ascii="Microsoft Sans Serif" w:eastAsia="SimHei" w:hAnsi="Microsoft Sans Serif" w:cs="Microsoft Sans Serif"/>
                              <w:b/>
                              <w:sz w:val="14"/>
                              <w:szCs w:val="14"/>
                            </w:rPr>
                          </w:pPr>
                        </w:p>
                        <w:p w:rsidR="00E029C5" w:rsidRPr="00B23B9D" w:rsidRDefault="00E029C5" w:rsidP="00EA502F">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margin-left:-112.2pt;margin-top:30.4pt;width:111.95pt;height:2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" stroked="f">
              <v:textbox>
                <w:txbxContent>
                  <w:p w:rsidR="00E029C5" w:rsidRDefault="00E029C5" w:rsidP="00EA502F">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7E60A677" wp14:editId="5CDF1665">
                          <wp:extent cx="1030605" cy="1030605"/>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0605" cy="1030605"/>
                                  </a:xfrm>
                                  <a:prstGeom prst="rect">
                                    <a:avLst/>
                                  </a:prstGeom>
                                  <a:solidFill>
                                    <a:srgbClr val="FFFFFF">
                                      <a:alpha val="0"/>
                                    </a:srgbClr>
                                  </a:solidFill>
                                  <a:ln>
                                    <a:noFill/>
                                  </a:ln>
                                </pic:spPr>
                              </pic:pic>
                            </a:graphicData>
                          </a:graphic>
                        </wp:inline>
                      </w:drawing>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E029C5" w:rsidRPr="00B23B9D" w:rsidRDefault="00E029C5" w:rsidP="00EA502F">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E029C5" w:rsidRPr="00B23B9D" w:rsidRDefault="00E029C5" w:rsidP="00EA502F">
                    <w:pPr>
                      <w:pStyle w:val="Sinespaciado"/>
                      <w:jc w:val="center"/>
                      <w:rPr>
                        <w:rFonts w:ascii="Microsoft Sans Serif" w:eastAsia="SimHei" w:hAnsi="Microsoft Sans Serif" w:cs="Microsoft Sans Serif"/>
                        <w:b/>
                        <w:sz w:val="14"/>
                        <w:szCs w:val="14"/>
                      </w:rPr>
                    </w:pPr>
                  </w:p>
                  <w:p w:rsidR="00E029C5" w:rsidRPr="00B23B9D" w:rsidRDefault="00E029C5" w:rsidP="00EA502F">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type="through"/>
            </v:shape>
          </w:pict>
        </mc:Fallback>
      </mc:AlternateConten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4A2"/>
    <w:rsid w:val="001E16C7"/>
    <w:rsid w:val="002B74A2"/>
    <w:rsid w:val="002D18BB"/>
    <w:rsid w:val="003A3711"/>
    <w:rsid w:val="003D6034"/>
    <w:rsid w:val="003F5B76"/>
    <w:rsid w:val="004458A2"/>
    <w:rsid w:val="005728D1"/>
    <w:rsid w:val="00595012"/>
    <w:rsid w:val="007E2D4D"/>
    <w:rsid w:val="00906CE8"/>
    <w:rsid w:val="00933B9F"/>
    <w:rsid w:val="00996CC9"/>
    <w:rsid w:val="00AA48E5"/>
    <w:rsid w:val="00AE2F5C"/>
    <w:rsid w:val="00D47199"/>
    <w:rsid w:val="00DC5D34"/>
    <w:rsid w:val="00E029C5"/>
    <w:rsid w:val="00E56308"/>
    <w:rsid w:val="00EA502F"/>
    <w:rsid w:val="00F25CFF"/>
    <w:rsid w:val="00FD16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4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B74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B74A2"/>
  </w:style>
  <w:style w:type="character" w:styleId="Nmerodepgina">
    <w:name w:val="page number"/>
    <w:basedOn w:val="Fuentedeprrafopredeter"/>
    <w:rsid w:val="002B74A2"/>
  </w:style>
  <w:style w:type="paragraph" w:styleId="Sinespaciado">
    <w:name w:val="No Spacing"/>
    <w:link w:val="SinespaciadoCar"/>
    <w:uiPriority w:val="1"/>
    <w:qFormat/>
    <w:rsid w:val="002B74A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2B74A2"/>
    <w:rPr>
      <w:rFonts w:ascii="Calibri" w:eastAsia="Calibri" w:hAnsi="Calibri" w:cs="Times New Roman"/>
    </w:rPr>
  </w:style>
  <w:style w:type="paragraph" w:styleId="Textodeglobo">
    <w:name w:val="Balloon Text"/>
    <w:basedOn w:val="Normal"/>
    <w:link w:val="TextodegloboCar"/>
    <w:uiPriority w:val="99"/>
    <w:semiHidden/>
    <w:unhideWhenUsed/>
    <w:rsid w:val="002B74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74A2"/>
    <w:rPr>
      <w:rFonts w:ascii="Tahoma" w:hAnsi="Tahoma" w:cs="Tahoma"/>
      <w:sz w:val="16"/>
      <w:szCs w:val="16"/>
    </w:rPr>
  </w:style>
  <w:style w:type="paragraph" w:styleId="Piedepgina">
    <w:name w:val="footer"/>
    <w:basedOn w:val="Normal"/>
    <w:link w:val="PiedepginaCar"/>
    <w:uiPriority w:val="99"/>
    <w:unhideWhenUsed/>
    <w:rsid w:val="00DC5D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5D34"/>
  </w:style>
  <w:style w:type="character" w:styleId="Hipervnculo">
    <w:name w:val="Hyperlink"/>
    <w:basedOn w:val="Fuentedeprrafopredeter"/>
    <w:uiPriority w:val="99"/>
    <w:unhideWhenUsed/>
    <w:rsid w:val="002D18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4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B74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B74A2"/>
  </w:style>
  <w:style w:type="character" w:styleId="Nmerodepgina">
    <w:name w:val="page number"/>
    <w:basedOn w:val="Fuentedeprrafopredeter"/>
    <w:rsid w:val="002B74A2"/>
  </w:style>
  <w:style w:type="paragraph" w:styleId="Sinespaciado">
    <w:name w:val="No Spacing"/>
    <w:link w:val="SinespaciadoCar"/>
    <w:uiPriority w:val="1"/>
    <w:qFormat/>
    <w:rsid w:val="002B74A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2B74A2"/>
    <w:rPr>
      <w:rFonts w:ascii="Calibri" w:eastAsia="Calibri" w:hAnsi="Calibri" w:cs="Times New Roman"/>
    </w:rPr>
  </w:style>
  <w:style w:type="paragraph" w:styleId="Textodeglobo">
    <w:name w:val="Balloon Text"/>
    <w:basedOn w:val="Normal"/>
    <w:link w:val="TextodegloboCar"/>
    <w:uiPriority w:val="99"/>
    <w:semiHidden/>
    <w:unhideWhenUsed/>
    <w:rsid w:val="002B74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74A2"/>
    <w:rPr>
      <w:rFonts w:ascii="Tahoma" w:hAnsi="Tahoma" w:cs="Tahoma"/>
      <w:sz w:val="16"/>
      <w:szCs w:val="16"/>
    </w:rPr>
  </w:style>
  <w:style w:type="paragraph" w:styleId="Piedepgina">
    <w:name w:val="footer"/>
    <w:basedOn w:val="Normal"/>
    <w:link w:val="PiedepginaCar"/>
    <w:uiPriority w:val="99"/>
    <w:unhideWhenUsed/>
    <w:rsid w:val="00DC5D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5D34"/>
  </w:style>
  <w:style w:type="character" w:styleId="Hipervnculo">
    <w:name w:val="Hyperlink"/>
    <w:basedOn w:val="Fuentedeprrafopredeter"/>
    <w:uiPriority w:val="99"/>
    <w:unhideWhenUsed/>
    <w:rsid w:val="002D18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850410">
      <w:bodyDiv w:val="1"/>
      <w:marLeft w:val="0"/>
      <w:marRight w:val="0"/>
      <w:marTop w:val="0"/>
      <w:marBottom w:val="0"/>
      <w:divBdr>
        <w:top w:val="none" w:sz="0" w:space="0" w:color="auto"/>
        <w:left w:val="none" w:sz="0" w:space="0" w:color="auto"/>
        <w:bottom w:val="none" w:sz="0" w:space="0" w:color="auto"/>
        <w:right w:val="none" w:sz="0" w:space="0" w:color="auto"/>
      </w:divBdr>
      <w:divsChild>
        <w:div w:id="363361560">
          <w:marLeft w:val="0"/>
          <w:marRight w:val="0"/>
          <w:marTop w:val="0"/>
          <w:marBottom w:val="0"/>
          <w:divBdr>
            <w:top w:val="none" w:sz="0" w:space="0" w:color="auto"/>
            <w:left w:val="none" w:sz="0" w:space="0" w:color="auto"/>
            <w:bottom w:val="none" w:sz="0" w:space="0" w:color="auto"/>
            <w:right w:val="none" w:sz="0" w:space="0" w:color="auto"/>
          </w:divBdr>
          <w:divsChild>
            <w:div w:id="1889561485">
              <w:marLeft w:val="0"/>
              <w:marRight w:val="0"/>
              <w:marTop w:val="0"/>
              <w:marBottom w:val="0"/>
              <w:divBdr>
                <w:top w:val="none" w:sz="0" w:space="0" w:color="auto"/>
                <w:left w:val="none" w:sz="0" w:space="0" w:color="auto"/>
                <w:bottom w:val="none" w:sz="0" w:space="0" w:color="auto"/>
                <w:right w:val="none" w:sz="0" w:space="0" w:color="auto"/>
              </w:divBdr>
              <w:divsChild>
                <w:div w:id="1472676705">
                  <w:marLeft w:val="0"/>
                  <w:marRight w:val="0"/>
                  <w:marTop w:val="0"/>
                  <w:marBottom w:val="450"/>
                  <w:divBdr>
                    <w:top w:val="none" w:sz="0" w:space="0" w:color="auto"/>
                    <w:left w:val="none" w:sz="0" w:space="0" w:color="auto"/>
                    <w:bottom w:val="none" w:sz="0" w:space="0" w:color="auto"/>
                    <w:right w:val="none" w:sz="0" w:space="0" w:color="auto"/>
                  </w:divBdr>
                  <w:divsChild>
                    <w:div w:id="1798135720">
                      <w:marLeft w:val="0"/>
                      <w:marRight w:val="0"/>
                      <w:marTop w:val="0"/>
                      <w:marBottom w:val="0"/>
                      <w:divBdr>
                        <w:top w:val="none" w:sz="0" w:space="0" w:color="auto"/>
                        <w:left w:val="none" w:sz="0" w:space="0" w:color="auto"/>
                        <w:bottom w:val="none" w:sz="0" w:space="0" w:color="auto"/>
                        <w:right w:val="none" w:sz="0" w:space="0" w:color="auto"/>
                      </w:divBdr>
                      <w:divsChild>
                        <w:div w:id="1393499444">
                          <w:marLeft w:val="0"/>
                          <w:marRight w:val="0"/>
                          <w:marTop w:val="0"/>
                          <w:marBottom w:val="0"/>
                          <w:divBdr>
                            <w:top w:val="none" w:sz="0" w:space="0" w:color="auto"/>
                            <w:left w:val="none" w:sz="0" w:space="0" w:color="auto"/>
                            <w:bottom w:val="none" w:sz="0" w:space="0" w:color="auto"/>
                            <w:right w:val="none" w:sz="0" w:space="0" w:color="auto"/>
                          </w:divBdr>
                          <w:divsChild>
                            <w:div w:id="4480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59448">
          <w:marLeft w:val="0"/>
          <w:marRight w:val="0"/>
          <w:marTop w:val="0"/>
          <w:marBottom w:val="0"/>
          <w:divBdr>
            <w:top w:val="none" w:sz="0" w:space="0" w:color="auto"/>
            <w:left w:val="none" w:sz="0" w:space="0" w:color="auto"/>
            <w:bottom w:val="none" w:sz="0" w:space="0" w:color="auto"/>
            <w:right w:val="none" w:sz="0" w:space="0" w:color="auto"/>
          </w:divBdr>
          <w:divsChild>
            <w:div w:id="936327676">
              <w:marLeft w:val="0"/>
              <w:marRight w:val="0"/>
              <w:marTop w:val="0"/>
              <w:marBottom w:val="0"/>
              <w:divBdr>
                <w:top w:val="none" w:sz="0" w:space="0" w:color="auto"/>
                <w:left w:val="none" w:sz="0" w:space="0" w:color="auto"/>
                <w:bottom w:val="none" w:sz="0" w:space="0" w:color="auto"/>
                <w:right w:val="none" w:sz="0" w:space="0" w:color="auto"/>
              </w:divBdr>
              <w:divsChild>
                <w:div w:id="1889101856">
                  <w:marLeft w:val="0"/>
                  <w:marRight w:val="0"/>
                  <w:marTop w:val="0"/>
                  <w:marBottom w:val="450"/>
                  <w:divBdr>
                    <w:top w:val="none" w:sz="0" w:space="0" w:color="auto"/>
                    <w:left w:val="none" w:sz="0" w:space="0" w:color="auto"/>
                    <w:bottom w:val="none" w:sz="0" w:space="0" w:color="auto"/>
                    <w:right w:val="none" w:sz="0" w:space="0" w:color="auto"/>
                  </w:divBdr>
                  <w:divsChild>
                    <w:div w:id="1494877097">
                      <w:marLeft w:val="0"/>
                      <w:marRight w:val="0"/>
                      <w:marTop w:val="0"/>
                      <w:marBottom w:val="0"/>
                      <w:divBdr>
                        <w:top w:val="none" w:sz="0" w:space="0" w:color="auto"/>
                        <w:left w:val="none" w:sz="0" w:space="0" w:color="auto"/>
                        <w:bottom w:val="none" w:sz="0" w:space="0" w:color="auto"/>
                        <w:right w:val="none" w:sz="0" w:space="0" w:color="auto"/>
                      </w:divBdr>
                      <w:divsChild>
                        <w:div w:id="1055157369">
                          <w:marLeft w:val="0"/>
                          <w:marRight w:val="0"/>
                          <w:marTop w:val="0"/>
                          <w:marBottom w:val="0"/>
                          <w:divBdr>
                            <w:top w:val="none" w:sz="0" w:space="0" w:color="auto"/>
                            <w:left w:val="none" w:sz="0" w:space="0" w:color="auto"/>
                            <w:bottom w:val="none" w:sz="0" w:space="0" w:color="auto"/>
                            <w:right w:val="none" w:sz="0" w:space="0" w:color="auto"/>
                          </w:divBdr>
                          <w:divsChild>
                            <w:div w:id="1968780667">
                              <w:marLeft w:val="0"/>
                              <w:marRight w:val="0"/>
                              <w:marTop w:val="0"/>
                              <w:marBottom w:val="0"/>
                              <w:divBdr>
                                <w:top w:val="none" w:sz="0" w:space="0" w:color="auto"/>
                                <w:left w:val="none" w:sz="0" w:space="0" w:color="auto"/>
                                <w:bottom w:val="none" w:sz="0" w:space="0" w:color="auto"/>
                                <w:right w:val="none" w:sz="0" w:space="0" w:color="auto"/>
                              </w:divBdr>
                              <w:divsChild>
                                <w:div w:id="1826434114">
                                  <w:marLeft w:val="0"/>
                                  <w:marRight w:val="0"/>
                                  <w:marTop w:val="0"/>
                                  <w:marBottom w:val="0"/>
                                  <w:divBdr>
                                    <w:top w:val="none" w:sz="0" w:space="0" w:color="auto"/>
                                    <w:left w:val="none" w:sz="0" w:space="0" w:color="auto"/>
                                    <w:bottom w:val="none" w:sz="0" w:space="0" w:color="auto"/>
                                    <w:right w:val="none" w:sz="0" w:space="0" w:color="auto"/>
                                  </w:divBdr>
                                  <w:divsChild>
                                    <w:div w:id="173887276">
                                      <w:marLeft w:val="0"/>
                                      <w:marRight w:val="0"/>
                                      <w:marTop w:val="0"/>
                                      <w:marBottom w:val="0"/>
                                      <w:divBdr>
                                        <w:top w:val="none" w:sz="0" w:space="0" w:color="auto"/>
                                        <w:left w:val="none" w:sz="0" w:space="0" w:color="auto"/>
                                        <w:bottom w:val="none" w:sz="0" w:space="0" w:color="auto"/>
                                        <w:right w:val="none" w:sz="0" w:space="0" w:color="auto"/>
                                      </w:divBdr>
                                      <w:divsChild>
                                        <w:div w:id="961498588">
                                          <w:marLeft w:val="0"/>
                                          <w:marRight w:val="0"/>
                                          <w:marTop w:val="0"/>
                                          <w:marBottom w:val="0"/>
                                          <w:divBdr>
                                            <w:top w:val="none" w:sz="0" w:space="0" w:color="auto"/>
                                            <w:left w:val="none" w:sz="0" w:space="0" w:color="auto"/>
                                            <w:bottom w:val="none" w:sz="0" w:space="0" w:color="auto"/>
                                            <w:right w:val="none" w:sz="0" w:space="0" w:color="auto"/>
                                          </w:divBdr>
                                          <w:divsChild>
                                            <w:div w:id="1531843980">
                                              <w:marLeft w:val="0"/>
                                              <w:marRight w:val="0"/>
                                              <w:marTop w:val="0"/>
                                              <w:marBottom w:val="0"/>
                                              <w:divBdr>
                                                <w:top w:val="none" w:sz="0" w:space="0" w:color="auto"/>
                                                <w:left w:val="none" w:sz="0" w:space="0" w:color="auto"/>
                                                <w:bottom w:val="none" w:sz="0" w:space="0" w:color="auto"/>
                                                <w:right w:val="none" w:sz="0" w:space="0" w:color="auto"/>
                                              </w:divBdr>
                                            </w:div>
                                            <w:div w:id="1499419512">
                                              <w:marLeft w:val="0"/>
                                              <w:marRight w:val="0"/>
                                              <w:marTop w:val="0"/>
                                              <w:marBottom w:val="0"/>
                                              <w:divBdr>
                                                <w:top w:val="none" w:sz="0" w:space="0" w:color="auto"/>
                                                <w:left w:val="none" w:sz="0" w:space="0" w:color="auto"/>
                                                <w:bottom w:val="none" w:sz="0" w:space="0" w:color="auto"/>
                                                <w:right w:val="none" w:sz="0" w:space="0" w:color="auto"/>
                                              </w:divBdr>
                                              <w:divsChild>
                                                <w:div w:id="587469676">
                                                  <w:marLeft w:val="0"/>
                                                  <w:marRight w:val="0"/>
                                                  <w:marTop w:val="0"/>
                                                  <w:marBottom w:val="0"/>
                                                  <w:divBdr>
                                                    <w:top w:val="none" w:sz="0" w:space="0" w:color="auto"/>
                                                    <w:left w:val="none" w:sz="0" w:space="0" w:color="auto"/>
                                                    <w:bottom w:val="none" w:sz="0" w:space="0" w:color="auto"/>
                                                    <w:right w:val="none" w:sz="0" w:space="0" w:color="auto"/>
                                                  </w:divBdr>
                                                </w:div>
                                                <w:div w:id="136455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654385">
                          <w:marLeft w:val="0"/>
                          <w:marRight w:val="0"/>
                          <w:marTop w:val="0"/>
                          <w:marBottom w:val="0"/>
                          <w:divBdr>
                            <w:top w:val="none" w:sz="0" w:space="0" w:color="auto"/>
                            <w:left w:val="none" w:sz="0" w:space="0" w:color="auto"/>
                            <w:bottom w:val="none" w:sz="0" w:space="0" w:color="auto"/>
                            <w:right w:val="none" w:sz="0" w:space="0" w:color="auto"/>
                          </w:divBdr>
                          <w:divsChild>
                            <w:div w:id="1170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013295">
          <w:marLeft w:val="0"/>
          <w:marRight w:val="0"/>
          <w:marTop w:val="0"/>
          <w:marBottom w:val="0"/>
          <w:divBdr>
            <w:top w:val="none" w:sz="0" w:space="0" w:color="auto"/>
            <w:left w:val="none" w:sz="0" w:space="0" w:color="auto"/>
            <w:bottom w:val="none" w:sz="0" w:space="0" w:color="auto"/>
            <w:right w:val="none" w:sz="0" w:space="0" w:color="auto"/>
          </w:divBdr>
          <w:divsChild>
            <w:div w:id="2099595361">
              <w:marLeft w:val="0"/>
              <w:marRight w:val="0"/>
              <w:marTop w:val="0"/>
              <w:marBottom w:val="0"/>
              <w:divBdr>
                <w:top w:val="none" w:sz="0" w:space="0" w:color="auto"/>
                <w:left w:val="none" w:sz="0" w:space="0" w:color="auto"/>
                <w:bottom w:val="none" w:sz="0" w:space="0" w:color="auto"/>
                <w:right w:val="none" w:sz="0" w:space="0" w:color="auto"/>
              </w:divBdr>
              <w:divsChild>
                <w:div w:id="799958997">
                  <w:marLeft w:val="0"/>
                  <w:marRight w:val="0"/>
                  <w:marTop w:val="0"/>
                  <w:marBottom w:val="450"/>
                  <w:divBdr>
                    <w:top w:val="none" w:sz="0" w:space="0" w:color="auto"/>
                    <w:left w:val="none" w:sz="0" w:space="0" w:color="auto"/>
                    <w:bottom w:val="none" w:sz="0" w:space="0" w:color="auto"/>
                    <w:right w:val="none" w:sz="0" w:space="0" w:color="auto"/>
                  </w:divBdr>
                  <w:divsChild>
                    <w:div w:id="985547842">
                      <w:marLeft w:val="0"/>
                      <w:marRight w:val="0"/>
                      <w:marTop w:val="0"/>
                      <w:marBottom w:val="0"/>
                      <w:divBdr>
                        <w:top w:val="none" w:sz="0" w:space="0" w:color="auto"/>
                        <w:left w:val="none" w:sz="0" w:space="0" w:color="auto"/>
                        <w:bottom w:val="none" w:sz="0" w:space="0" w:color="auto"/>
                        <w:right w:val="none" w:sz="0" w:space="0" w:color="auto"/>
                      </w:divBdr>
                      <w:divsChild>
                        <w:div w:id="8914239">
                          <w:marLeft w:val="0"/>
                          <w:marRight w:val="0"/>
                          <w:marTop w:val="0"/>
                          <w:marBottom w:val="0"/>
                          <w:divBdr>
                            <w:top w:val="none" w:sz="0" w:space="0" w:color="auto"/>
                            <w:left w:val="none" w:sz="0" w:space="0" w:color="auto"/>
                            <w:bottom w:val="none" w:sz="0" w:space="0" w:color="auto"/>
                            <w:right w:val="none" w:sz="0" w:space="0" w:color="auto"/>
                          </w:divBdr>
                          <w:divsChild>
                            <w:div w:id="2088376562">
                              <w:marLeft w:val="0"/>
                              <w:marRight w:val="0"/>
                              <w:marTop w:val="0"/>
                              <w:marBottom w:val="0"/>
                              <w:divBdr>
                                <w:top w:val="none" w:sz="0" w:space="0" w:color="auto"/>
                                <w:left w:val="none" w:sz="0" w:space="0" w:color="auto"/>
                                <w:bottom w:val="none" w:sz="0" w:space="0" w:color="auto"/>
                                <w:right w:val="none" w:sz="0" w:space="0" w:color="auto"/>
                              </w:divBdr>
                              <w:divsChild>
                                <w:div w:id="7742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12</Pages>
  <Words>4216</Words>
  <Characters>23188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17</cp:revision>
  <cp:lastPrinted>2026-06-22T19:56:00Z</cp:lastPrinted>
  <dcterms:created xsi:type="dcterms:W3CDTF">2026-06-18T17:47:00Z</dcterms:created>
  <dcterms:modified xsi:type="dcterms:W3CDTF">2026-07-10T17:57:00Z</dcterms:modified>
</cp:coreProperties>
</file>