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3EDB4DF8"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CF015A">
        <w:rPr>
          <w:rFonts w:ascii="AvantGarde Bk BT" w:hAnsi="AvantGarde Bk BT" w:cs="Arial"/>
          <w:b/>
          <w:color w:val="000000" w:themeColor="text1"/>
          <w:sz w:val="24"/>
          <w:szCs w:val="24"/>
        </w:rPr>
        <w:t>1038</w:t>
      </w:r>
      <w:r w:rsidR="00126008">
        <w:rPr>
          <w:rFonts w:ascii="AvantGarde Bk BT" w:hAnsi="AvantGarde Bk BT" w:cs="Arial"/>
          <w:b/>
          <w:color w:val="000000" w:themeColor="text1"/>
          <w:sz w:val="24"/>
          <w:szCs w:val="24"/>
        </w:rPr>
        <w:t>/</w:t>
      </w:r>
      <w:r w:rsidR="00981FB1">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5AEA1052" w:rsidR="0004274F" w:rsidRPr="007C5605" w:rsidRDefault="009A2B2B"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sidRPr="009A2B2B">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w:t>
      </w:r>
      <w:r>
        <w:rPr>
          <w:rFonts w:ascii="AvantGarde Bk BT" w:hAnsi="AvantGarde Bk BT" w:cs="Arial"/>
          <w:b/>
          <w:color w:val="000000" w:themeColor="text1"/>
          <w:sz w:val="24"/>
          <w:szCs w:val="24"/>
        </w:rPr>
        <w:t>Í Y SOLEDAD DE GRACIANO SÁNCHEZ</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963C40A"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CF015A">
        <w:rPr>
          <w:rFonts w:ascii="AvantGarde Bk BT" w:hAnsi="AvantGarde Bk BT" w:cs="Arial"/>
          <w:color w:val="000000" w:themeColor="text1"/>
          <w:sz w:val="24"/>
          <w:szCs w:val="24"/>
        </w:rPr>
        <w:t>cinco</w:t>
      </w:r>
      <w:r w:rsidR="000B7A20">
        <w:rPr>
          <w:rFonts w:ascii="AvantGarde Bk BT" w:hAnsi="AvantGarde Bk BT" w:cs="Arial"/>
          <w:color w:val="000000" w:themeColor="text1"/>
          <w:sz w:val="24"/>
          <w:szCs w:val="24"/>
        </w:rPr>
        <w:t xml:space="preserve"> de </w:t>
      </w:r>
      <w:r w:rsidR="00CF015A">
        <w:rPr>
          <w:rFonts w:ascii="AvantGarde Bk BT" w:hAnsi="AvantGarde Bk BT" w:cs="Arial"/>
          <w:color w:val="000000" w:themeColor="text1"/>
          <w:sz w:val="24"/>
          <w:szCs w:val="24"/>
        </w:rPr>
        <w:t>febrero</w:t>
      </w:r>
      <w:r w:rsidR="0046095C">
        <w:rPr>
          <w:rFonts w:ascii="AvantGarde Bk BT" w:hAnsi="AvantGarde Bk BT" w:cs="Arial"/>
          <w:color w:val="000000" w:themeColor="text1"/>
          <w:sz w:val="24"/>
          <w:szCs w:val="24"/>
        </w:rPr>
        <w:t xml:space="preserve"> de dos mil </w:t>
      </w:r>
      <w:r w:rsidR="00CF015A">
        <w:rPr>
          <w:rFonts w:ascii="AvantGarde Bk BT" w:hAnsi="AvantGarde Bk BT" w:cs="Arial"/>
          <w:color w:val="000000" w:themeColor="text1"/>
          <w:sz w:val="24"/>
          <w:szCs w:val="24"/>
        </w:rPr>
        <w:t>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24F115AA" w:rsidR="004E2C5A" w:rsidRPr="00643810" w:rsidRDefault="004E2C5A" w:rsidP="0064381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643810">
        <w:rPr>
          <w:rFonts w:ascii="AvantGarde Bk BT" w:hAnsi="AvantGarde Bk BT" w:cs="Arial"/>
          <w:color w:val="000000" w:themeColor="text1"/>
          <w:sz w:val="24"/>
          <w:szCs w:val="24"/>
        </w:rPr>
        <w:t xml:space="preserve">once de noviembre </w:t>
      </w:r>
      <w:r w:rsidR="00981FB1">
        <w:rPr>
          <w:rFonts w:ascii="AvantGarde Bk BT" w:hAnsi="AvantGarde Bk BT" w:cs="Arial"/>
          <w:color w:val="000000" w:themeColor="text1"/>
          <w:sz w:val="24"/>
          <w:szCs w:val="24"/>
        </w:rPr>
        <w:t>de dos mil veinticinco</w:t>
      </w:r>
      <w:r w:rsidR="009A2B2B">
        <w:rPr>
          <w:rFonts w:ascii="AvantGarde Bk BT" w:hAnsi="AvantGarde Bk BT" w:cs="Arial"/>
          <w:color w:val="000000" w:themeColor="text1"/>
          <w:sz w:val="24"/>
          <w:szCs w:val="24"/>
        </w:rPr>
        <w:t>,</w:t>
      </w:r>
      <w:r w:rsidR="00EE5D0F">
        <w:rPr>
          <w:rFonts w:ascii="AvantGarde Bk BT" w:hAnsi="AvantGarde Bk BT" w:cs="Arial"/>
          <w:color w:val="000000" w:themeColor="text1"/>
          <w:sz w:val="24"/>
          <w:szCs w:val="24"/>
        </w:rPr>
        <w:t xml:space="preserve"> </w:t>
      </w:r>
      <w:r w:rsidR="000B7A2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9A2B2B" w:rsidRPr="009A2B2B">
        <w:rPr>
          <w:rFonts w:ascii="AvantGarde Bk BT" w:hAnsi="AvantGarde Bk BT" w:cs="Arial"/>
          <w:color w:val="000000" w:themeColor="text1"/>
          <w:sz w:val="24"/>
          <w:szCs w:val="24"/>
        </w:rPr>
        <w:t>sujeto obligado</w:t>
      </w:r>
      <w:r w:rsidR="004C2FA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w:t>
      </w:r>
      <w:r w:rsidR="004E3226">
        <w:rPr>
          <w:rFonts w:ascii="AvantGarde Bk BT" w:hAnsi="AvantGarde Bk BT" w:cs="Arial"/>
          <w:color w:val="000000" w:themeColor="text1"/>
          <w:sz w:val="24"/>
          <w:szCs w:val="24"/>
        </w:rPr>
        <w:t xml:space="preserve">ó una solicitud de información a través de </w:t>
      </w:r>
      <w:r w:rsidR="004C2FA7">
        <w:rPr>
          <w:rFonts w:ascii="AvantGarde Bk BT" w:hAnsi="AvantGarde Bk BT" w:cs="Arial"/>
          <w:color w:val="000000" w:themeColor="text1"/>
          <w:sz w:val="24"/>
          <w:szCs w:val="24"/>
        </w:rPr>
        <w:t>la Plataforma Nacional de Transparencia</w:t>
      </w:r>
      <w:r w:rsidR="0022063A">
        <w:rPr>
          <w:rFonts w:ascii="AvantGarde Bk BT" w:hAnsi="AvantGarde Bk BT" w:cs="Arial"/>
          <w:color w:val="000000" w:themeColor="text1"/>
          <w:sz w:val="24"/>
          <w:szCs w:val="24"/>
        </w:rPr>
        <w:t xml:space="preserve"> </w:t>
      </w:r>
      <w:r w:rsidR="000B7A20">
        <w:rPr>
          <w:rFonts w:ascii="AvantGarde Bk BT" w:hAnsi="AvantGarde Bk BT" w:cs="Arial"/>
          <w:color w:val="000000" w:themeColor="text1"/>
          <w:sz w:val="24"/>
          <w:szCs w:val="24"/>
        </w:rPr>
        <w:t>bajo el núm</w:t>
      </w:r>
      <w:r w:rsidR="00027D7D">
        <w:rPr>
          <w:rFonts w:ascii="AvantGarde Bk BT" w:hAnsi="AvantGarde Bk BT" w:cs="Arial"/>
          <w:color w:val="000000" w:themeColor="text1"/>
          <w:sz w:val="24"/>
          <w:szCs w:val="24"/>
        </w:rPr>
        <w:t>ero de folio</w:t>
      </w:r>
      <w:r w:rsidR="000B7A20">
        <w:rPr>
          <w:rFonts w:ascii="AvantGarde Bk BT" w:hAnsi="AvantGarde Bk BT" w:cs="Arial"/>
          <w:color w:val="000000" w:themeColor="text1"/>
          <w:sz w:val="24"/>
          <w:szCs w:val="24"/>
        </w:rPr>
        <w:t xml:space="preserve"> 241</w:t>
      </w:r>
      <w:r w:rsidR="004C2FA7">
        <w:rPr>
          <w:rFonts w:ascii="AvantGarde Bk BT" w:hAnsi="AvantGarde Bk BT" w:cs="Arial"/>
          <w:color w:val="000000" w:themeColor="text1"/>
          <w:sz w:val="24"/>
          <w:szCs w:val="24"/>
        </w:rPr>
        <w:t>4</w:t>
      </w:r>
      <w:r w:rsidR="003F461D">
        <w:rPr>
          <w:rFonts w:ascii="AvantGarde Bk BT" w:hAnsi="AvantGarde Bk BT" w:cs="Arial"/>
          <w:color w:val="000000" w:themeColor="text1"/>
          <w:sz w:val="24"/>
          <w:szCs w:val="24"/>
        </w:rPr>
        <w:t>87125000078</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w:t>
      </w:r>
      <w:r w:rsidR="00027D7D">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foja </w:t>
      </w:r>
      <w:r w:rsidR="00027D7D">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2B4137ED" w14:textId="2D43DB50" w:rsidR="004C2FA7" w:rsidRPr="004C2FA7"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4E08C0">
        <w:rPr>
          <w:rFonts w:ascii="AvantGarde Bk BT" w:hAnsi="AvantGarde Bk BT" w:cs="Arial"/>
          <w:color w:val="000000" w:themeColor="text1"/>
          <w:sz w:val="24"/>
          <w:szCs w:val="24"/>
        </w:rPr>
        <w:t xml:space="preserve">veintiséis de noviembre </w:t>
      </w:r>
      <w:r w:rsidR="00981FB1">
        <w:rPr>
          <w:rFonts w:ascii="AvantGarde Bk BT" w:hAnsi="AvantGarde Bk BT" w:cs="Arial"/>
          <w:color w:val="000000" w:themeColor="text1"/>
          <w:sz w:val="24"/>
          <w:szCs w:val="24"/>
        </w:rPr>
        <w:t>de dos mil veinticinco</w:t>
      </w:r>
      <w:r w:rsidR="009A2B2B">
        <w:rPr>
          <w:rFonts w:ascii="AvantGarde Bk BT" w:hAnsi="AvantGarde Bk BT" w:cs="Arial"/>
          <w:color w:val="000000" w:themeColor="text1"/>
          <w:sz w:val="24"/>
          <w:szCs w:val="24"/>
        </w:rPr>
        <w:t>,</w:t>
      </w:r>
      <w:r w:rsidR="00981FB1">
        <w:rPr>
          <w:rFonts w:ascii="AvantGarde Bk BT" w:hAnsi="AvantGarde Bk BT" w:cs="Arial"/>
          <w:color w:val="000000" w:themeColor="text1"/>
          <w:sz w:val="24"/>
          <w:szCs w:val="24"/>
        </w:rPr>
        <w:t xml:space="preserve">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9A2B2B" w:rsidRPr="009A2B2B">
        <w:rPr>
          <w:rFonts w:ascii="AvantGarde Bk BT" w:hAnsi="AvantGarde Bk BT" w:cs="Arial"/>
          <w:color w:val="000000" w:themeColor="text1"/>
          <w:sz w:val="24"/>
          <w:szCs w:val="24"/>
        </w:rPr>
        <w:t>sujeto obligado</w:t>
      </w:r>
      <w:r w:rsidR="009A2B2B" w:rsidRPr="009A2B2B">
        <w:rPr>
          <w:rFonts w:ascii="AvantGarde Bk BT" w:hAnsi="AvantGarde Bk BT" w:cs="Arial"/>
          <w:b/>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4E08C0">
        <w:rPr>
          <w:rFonts w:ascii="AvantGarde Bk BT" w:hAnsi="AvantGarde Bk BT" w:cs="Arial"/>
          <w:color w:val="000000" w:themeColor="text1"/>
          <w:sz w:val="24"/>
          <w:szCs w:val="24"/>
        </w:rPr>
        <w:t>en la Plataforma Nacional de Transparencia</w:t>
      </w:r>
      <w:r w:rsidR="004C2FA7">
        <w:rPr>
          <w:rFonts w:ascii="AvantGarde Bk BT" w:hAnsi="AvantGarde Bk BT" w:cs="Arial"/>
          <w:color w:val="000000" w:themeColor="text1"/>
          <w:sz w:val="24"/>
          <w:szCs w:val="24"/>
        </w:rPr>
        <w:t>).</w:t>
      </w:r>
    </w:p>
    <w:p w14:paraId="6E0B267D" w14:textId="11886680" w:rsidR="00CB72BB" w:rsidRPr="00CB72BB"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4E08C0">
        <w:rPr>
          <w:rFonts w:ascii="AvantGarde Bk BT" w:hAnsi="AvantGarde Bk BT" w:cs="Arial"/>
          <w:color w:val="000000" w:themeColor="text1"/>
          <w:sz w:val="24"/>
          <w:szCs w:val="24"/>
        </w:rPr>
        <w:t xml:space="preserve">cuatro de diciembre </w:t>
      </w:r>
      <w:r w:rsidR="00533EA4">
        <w:rPr>
          <w:rFonts w:ascii="AvantGarde Bk BT" w:hAnsi="AvantGarde Bk BT" w:cs="Arial"/>
          <w:color w:val="000000" w:themeColor="text1"/>
          <w:sz w:val="24"/>
          <w:szCs w:val="24"/>
        </w:rPr>
        <w:t>de dos mil veinticinco</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recurso de revisión en contra de la respuesta </w:t>
      </w:r>
      <w:r w:rsidR="00F84CC8">
        <w:rPr>
          <w:rFonts w:ascii="AvantGarde Bk BT" w:hAnsi="AvantGarde Bk BT" w:cs="Arial"/>
          <w:color w:val="000000" w:themeColor="text1"/>
          <w:sz w:val="24"/>
          <w:szCs w:val="24"/>
        </w:rPr>
        <w:t>recibida</w:t>
      </w:r>
      <w:r w:rsidR="0046095C">
        <w:rPr>
          <w:rFonts w:ascii="AvantGarde Bk BT" w:hAnsi="AvantGarde Bk BT" w:cs="Arial"/>
          <w:color w:val="000000" w:themeColor="text1"/>
          <w:sz w:val="24"/>
          <w:szCs w:val="24"/>
        </w:rPr>
        <w:t xml:space="preserve">. (visible </w:t>
      </w:r>
      <w:r w:rsidR="00F84CC8">
        <w:rPr>
          <w:rFonts w:ascii="AvantGarde Bk BT" w:hAnsi="AvantGarde Bk BT" w:cs="Arial"/>
          <w:color w:val="000000" w:themeColor="text1"/>
          <w:sz w:val="24"/>
          <w:szCs w:val="24"/>
        </w:rPr>
        <w:t>a</w:t>
      </w:r>
      <w:r w:rsidR="0046095C">
        <w:rPr>
          <w:rFonts w:ascii="AvantGarde Bk BT" w:hAnsi="AvantGarde Bk BT" w:cs="Arial"/>
          <w:color w:val="000000" w:themeColor="text1"/>
          <w:sz w:val="24"/>
          <w:szCs w:val="24"/>
        </w:rPr>
        <w:t xml:space="preserve"> foja </w:t>
      </w:r>
      <w:r w:rsidR="00F84CC8">
        <w:rPr>
          <w:rFonts w:ascii="AvantGarde Bk BT" w:hAnsi="AvantGarde Bk BT" w:cs="Arial"/>
          <w:color w:val="000000" w:themeColor="text1"/>
          <w:sz w:val="24"/>
          <w:szCs w:val="24"/>
        </w:rPr>
        <w:t>uno</w:t>
      </w:r>
      <w:r w:rsidR="0046095C">
        <w:rPr>
          <w:rFonts w:ascii="AvantGarde Bk BT" w:hAnsi="AvantGarde Bk BT" w:cs="Arial"/>
          <w:color w:val="000000" w:themeColor="text1"/>
          <w:sz w:val="24"/>
          <w:szCs w:val="24"/>
        </w:rPr>
        <w:t xml:space="preserve"> de autos.)</w:t>
      </w:r>
    </w:p>
    <w:p w14:paraId="376947CB" w14:textId="1779A245" w:rsidR="004E2C5A" w:rsidRDefault="004C2FA7" w:rsidP="004E2C5A">
      <w:pPr>
        <w:pStyle w:val="corte4fondo"/>
        <w:spacing w:after="240"/>
        <w:ind w:left="142" w:firstLine="680"/>
        <w:rPr>
          <w:rFonts w:ascii="AvantGarde Bk BT" w:hAnsi="AvantGarde Bk BT" w:cs="Arial"/>
          <w:color w:val="000000" w:themeColor="text1"/>
          <w:sz w:val="24"/>
          <w:szCs w:val="24"/>
        </w:rPr>
      </w:pPr>
      <w:r w:rsidRPr="00AD26E7">
        <w:rPr>
          <w:rFonts w:ascii="AvantGarde Bk BT" w:hAnsi="AvantGarde Bk BT" w:cs="Arial"/>
          <w:b/>
          <w:color w:val="000000" w:themeColor="text1"/>
          <w:sz w:val="24"/>
          <w:szCs w:val="24"/>
        </w:rPr>
        <w:t xml:space="preserve">CUARTO. </w:t>
      </w:r>
      <w:r w:rsidR="0046095C" w:rsidRPr="00AD26E7">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7B3D55">
        <w:rPr>
          <w:rFonts w:ascii="AvantGarde Bk BT" w:hAnsi="AvantGarde Bk BT" w:cs="Arial"/>
          <w:color w:val="000000" w:themeColor="text1"/>
          <w:sz w:val="24"/>
          <w:szCs w:val="24"/>
        </w:rPr>
        <w:t>ocho</w:t>
      </w:r>
      <w:r w:rsidR="0022063A">
        <w:rPr>
          <w:rFonts w:ascii="AvantGarde Bk BT" w:hAnsi="AvantGarde Bk BT" w:cs="Arial"/>
          <w:color w:val="000000" w:themeColor="text1"/>
          <w:sz w:val="24"/>
          <w:szCs w:val="24"/>
        </w:rPr>
        <w:t xml:space="preserve"> de </w:t>
      </w:r>
      <w:r w:rsidR="00AD26E7">
        <w:rPr>
          <w:rFonts w:ascii="AvantGarde Bk BT" w:hAnsi="AvantGarde Bk BT" w:cs="Arial"/>
          <w:color w:val="000000" w:themeColor="text1"/>
          <w:sz w:val="24"/>
          <w:szCs w:val="24"/>
        </w:rPr>
        <w:t>diciembre</w:t>
      </w:r>
      <w:r w:rsidR="00533EA4">
        <w:rPr>
          <w:rFonts w:ascii="AvantGarde Bk BT" w:hAnsi="AvantGarde Bk BT" w:cs="Arial"/>
          <w:color w:val="000000" w:themeColor="text1"/>
          <w:sz w:val="24"/>
          <w:szCs w:val="24"/>
        </w:rPr>
        <w:t xml:space="preserve"> de dos mil veinticinco</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xml:space="preserve">, por conducto de </w:t>
      </w:r>
      <w:r w:rsidR="0046095C">
        <w:rPr>
          <w:rFonts w:ascii="AvantGarde Bk BT" w:hAnsi="AvantGarde Bk BT" w:cs="Arial"/>
          <w:color w:val="000000" w:themeColor="text1"/>
          <w:sz w:val="24"/>
          <w:szCs w:val="24"/>
        </w:rPr>
        <w:lastRenderedPageBreak/>
        <w:t>la Secretaría de Pleno,</w:t>
      </w:r>
      <w:r w:rsidR="0046095C" w:rsidRPr="007C5605">
        <w:rPr>
          <w:rFonts w:ascii="AvantGarde Bk BT" w:hAnsi="AvantGarde Bk BT" w:cs="Arial"/>
          <w:color w:val="000000" w:themeColor="text1"/>
          <w:sz w:val="24"/>
          <w:szCs w:val="24"/>
        </w:rPr>
        <w:t xml:space="preserve"> tuvo por recibido el recurso de revisión, </w:t>
      </w:r>
      <w:proofErr w:type="gramStart"/>
      <w:r w:rsidR="0046095C" w:rsidRPr="007C5605">
        <w:rPr>
          <w:rFonts w:ascii="AvantGarde Bk BT" w:hAnsi="AvantGarde Bk BT" w:cs="Arial"/>
          <w:color w:val="000000" w:themeColor="text1"/>
          <w:sz w:val="24"/>
          <w:szCs w:val="24"/>
        </w:rPr>
        <w:t>que</w:t>
      </w:r>
      <w:proofErr w:type="gramEnd"/>
      <w:r w:rsidR="0046095C" w:rsidRPr="007C5605">
        <w:rPr>
          <w:rFonts w:ascii="AvantGarde Bk BT" w:hAnsi="AvantGarde Bk BT" w:cs="Arial"/>
          <w:color w:val="000000" w:themeColor="text1"/>
          <w:sz w:val="24"/>
          <w:szCs w:val="24"/>
        </w:rPr>
        <w:t xml:space="preserve"> por razón de turno, tocó conocer a la ponencia del </w:t>
      </w:r>
      <w:r w:rsidR="0046095C">
        <w:rPr>
          <w:rFonts w:ascii="AvantGarde Bk BT" w:hAnsi="AvantGarde Bk BT" w:cs="Arial"/>
          <w:color w:val="000000" w:themeColor="text1"/>
          <w:sz w:val="24"/>
          <w:szCs w:val="24"/>
        </w:rPr>
        <w:t xml:space="preserve">Comisionado Licenciado José Gerardo Navarro </w:t>
      </w:r>
      <w:proofErr w:type="spellStart"/>
      <w:r w:rsidR="0046095C">
        <w:rPr>
          <w:rFonts w:ascii="AvantGarde Bk BT" w:hAnsi="AvantGarde Bk BT" w:cs="Arial"/>
          <w:color w:val="000000" w:themeColor="text1"/>
          <w:sz w:val="24"/>
          <w:szCs w:val="24"/>
        </w:rPr>
        <w:t>Alviso</w:t>
      </w:r>
      <w:proofErr w:type="spellEnd"/>
      <w:r w:rsidR="0046095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151DBC97" w14:textId="08993050" w:rsidR="0046095C" w:rsidRPr="007C5605" w:rsidRDefault="00761A2A" w:rsidP="0046095C">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AD26E7">
        <w:rPr>
          <w:rFonts w:ascii="AvantGarde Bk BT" w:hAnsi="AvantGarde Bk BT" w:cs="Arial"/>
          <w:color w:val="000000" w:themeColor="text1"/>
          <w:sz w:val="24"/>
          <w:szCs w:val="24"/>
        </w:rPr>
        <w:t xml:space="preserve">diez de diciembre </w:t>
      </w:r>
      <w:r w:rsidR="00533EA4">
        <w:rPr>
          <w:rFonts w:ascii="AvantGarde Bk BT" w:hAnsi="AvantGarde Bk BT" w:cs="Arial"/>
          <w:color w:val="000000" w:themeColor="text1"/>
          <w:sz w:val="24"/>
          <w:szCs w:val="24"/>
        </w:rPr>
        <w:t>de dos mil veinticinco</w:t>
      </w:r>
      <w:r w:rsidR="0046095C">
        <w:rPr>
          <w:rFonts w:ascii="AvantGarde Bk BT" w:hAnsi="AvantGarde Bk BT" w:cs="Arial"/>
          <w:color w:val="000000" w:themeColor="text1"/>
          <w:sz w:val="24"/>
          <w:szCs w:val="24"/>
        </w:rPr>
        <w:t xml:space="preserve"> esta Comisión</w:t>
      </w:r>
      <w:r w:rsidR="0046095C" w:rsidRPr="007C5605">
        <w:rPr>
          <w:rFonts w:ascii="AvantGarde Bk BT" w:hAnsi="AvantGarde Bk BT" w:cs="Arial"/>
          <w:color w:val="000000" w:themeColor="text1"/>
          <w:sz w:val="24"/>
          <w:szCs w:val="24"/>
        </w:rPr>
        <w:t>:</w:t>
      </w:r>
    </w:p>
    <w:p w14:paraId="30D89E3C"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009BAC" w14:textId="43306AE0" w:rsidR="0046095C" w:rsidRPr="00D85914"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w:t>
      </w:r>
      <w:r w:rsidR="009A2B2B">
        <w:rPr>
          <w:rFonts w:ascii="AvantGarde Bk BT" w:hAnsi="AvantGarde Bk BT" w:cs="Arial"/>
          <w:b/>
          <w:color w:val="000000" w:themeColor="text1"/>
          <w:sz w:val="24"/>
          <w:szCs w:val="24"/>
        </w:rPr>
        <w:t>1038</w:t>
      </w:r>
      <w:r w:rsidR="00533EA4">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D60FF95"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D39E43A" w14:textId="39AE42CC"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533EA4">
        <w:rPr>
          <w:rFonts w:ascii="AvantGarde Bk BT" w:hAnsi="AvantGarde Bk BT" w:cs="Arial"/>
          <w:b/>
          <w:color w:val="000000" w:themeColor="text1"/>
          <w:sz w:val="24"/>
          <w:szCs w:val="24"/>
        </w:rPr>
        <w:t>I</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0F54A87" w14:textId="358D292C" w:rsidR="0046095C" w:rsidRPr="00D6546A" w:rsidRDefault="0046095C" w:rsidP="009A2B2B">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 </w:t>
      </w:r>
      <w:r w:rsidR="009A2B2B" w:rsidRPr="009A2B2B">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w:t>
      </w:r>
      <w:r w:rsidRPr="009A2B2B">
        <w:rPr>
          <w:rFonts w:ascii="AvantGarde Bk BT" w:hAnsi="AvantGarde Bk BT" w:cs="Arial"/>
          <w:color w:val="000000" w:themeColor="text1"/>
          <w:sz w:val="24"/>
          <w:szCs w:val="24"/>
        </w:rPr>
        <w:t>.</w:t>
      </w:r>
      <w:r w:rsidRPr="009A2B2B">
        <w:rPr>
          <w:rFonts w:ascii="AvantGarde Bk BT" w:hAnsi="AvantGarde Bk BT" w:cs="Arial"/>
          <w:b/>
          <w:color w:val="000000" w:themeColor="text1"/>
          <w:sz w:val="24"/>
          <w:szCs w:val="24"/>
        </w:rPr>
        <w:t xml:space="preserve"> </w:t>
      </w:r>
    </w:p>
    <w:p w14:paraId="6D39057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3F94948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4213E713" w14:textId="5571EA16"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w:t>
      </w:r>
      <w:r>
        <w:rPr>
          <w:rFonts w:ascii="AvantGarde Bk BT" w:hAnsi="AvantGarde Bk BT" w:cs="Arial"/>
          <w:color w:val="000000" w:themeColor="text1"/>
          <w:sz w:val="24"/>
          <w:szCs w:val="24"/>
        </w:rPr>
        <w:lastRenderedPageBreak/>
        <w:t>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1094956D"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0E8DAC2D" w:rsidR="00B444F5" w:rsidRPr="0046095C" w:rsidRDefault="0046095C" w:rsidP="007B3D55">
      <w:pPr>
        <w:pStyle w:val="corte4fondo"/>
        <w:numPr>
          <w:ilvl w:val="0"/>
          <w:numId w:val="40"/>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0FF25B05" w14:textId="4B1A64E2" w:rsidR="0046095C" w:rsidRDefault="00761A2A"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2063A">
        <w:rPr>
          <w:rFonts w:ascii="AvantGarde Bk BT" w:hAnsi="AvantGarde Bk BT" w:cs="Arial"/>
          <w:b/>
          <w:color w:val="000000" w:themeColor="text1"/>
          <w:sz w:val="24"/>
          <w:szCs w:val="24"/>
        </w:rPr>
        <w:t>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115A2F">
        <w:rPr>
          <w:rFonts w:ascii="AvantGarde Bk BT" w:hAnsi="AvantGarde Bk BT" w:cs="Arial"/>
          <w:color w:val="000000" w:themeColor="text1"/>
          <w:sz w:val="24"/>
          <w:szCs w:val="24"/>
        </w:rPr>
        <w:t>doce de enero de dos mil veintiséis</w:t>
      </w:r>
      <w:r w:rsidR="0046095C">
        <w:rPr>
          <w:rFonts w:ascii="AvantGarde Bk BT" w:hAnsi="AvantGarde Bk BT" w:cs="Arial"/>
          <w:color w:val="000000" w:themeColor="text1"/>
          <w:sz w:val="24"/>
          <w:szCs w:val="24"/>
        </w:rPr>
        <w:t>, esta Comisión:</w:t>
      </w:r>
    </w:p>
    <w:p w14:paraId="72FA315A" w14:textId="3131F40E" w:rsidR="008A18C9" w:rsidRDefault="00B975BD" w:rsidP="00B975BD">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 xml:space="preserve">Tuvo por </w:t>
      </w:r>
      <w:r w:rsidR="00115A2F">
        <w:rPr>
          <w:rFonts w:ascii="AvantGarde Bk BT" w:hAnsi="AvantGarde Bk BT" w:cs="Arial"/>
          <w:color w:val="000000" w:themeColor="text1"/>
          <w:sz w:val="24"/>
          <w:szCs w:val="24"/>
        </w:rPr>
        <w:t>recibido</w:t>
      </w:r>
      <w:r w:rsidR="008A18C9">
        <w:rPr>
          <w:rFonts w:ascii="AvantGarde Bk BT" w:hAnsi="AvantGarde Bk BT" w:cs="Arial"/>
          <w:color w:val="000000" w:themeColor="text1"/>
          <w:sz w:val="24"/>
          <w:szCs w:val="24"/>
        </w:rPr>
        <w:t xml:space="preserve"> </w:t>
      </w:r>
      <w:r w:rsidR="00115A2F">
        <w:rPr>
          <w:rFonts w:ascii="AvantGarde Bk BT" w:hAnsi="AvantGarde Bk BT" w:cs="Arial"/>
          <w:color w:val="000000" w:themeColor="text1"/>
          <w:sz w:val="24"/>
          <w:szCs w:val="24"/>
        </w:rPr>
        <w:t>el oficio IN/DG/UT/001/2026 y sus anexos</w:t>
      </w:r>
      <w:r w:rsidR="008A18C9">
        <w:rPr>
          <w:rFonts w:ascii="AvantGarde Bk BT" w:hAnsi="AvantGarde Bk BT" w:cs="Arial"/>
          <w:color w:val="000000" w:themeColor="text1"/>
          <w:sz w:val="24"/>
          <w:szCs w:val="24"/>
        </w:rPr>
        <w:t xml:space="preserve">, </w:t>
      </w:r>
      <w:r w:rsidR="00115A2F">
        <w:rPr>
          <w:rFonts w:ascii="AvantGarde Bk BT" w:hAnsi="AvantGarde Bk BT" w:cs="Arial"/>
          <w:color w:val="000000" w:themeColor="text1"/>
          <w:sz w:val="24"/>
          <w:szCs w:val="24"/>
        </w:rPr>
        <w:t>signado por el Titular de la Unidad de Transparencia del sujeto obligado</w:t>
      </w:r>
      <w:r w:rsidR="008A18C9">
        <w:rPr>
          <w:rFonts w:ascii="AvantGarde Bk BT" w:hAnsi="AvantGarde Bk BT" w:cs="Arial"/>
          <w:color w:val="000000" w:themeColor="text1"/>
          <w:sz w:val="24"/>
          <w:szCs w:val="24"/>
        </w:rPr>
        <w:t>.</w:t>
      </w:r>
    </w:p>
    <w:p w14:paraId="27922288" w14:textId="48CE72DC" w:rsidR="00B975BD" w:rsidRPr="00A41687" w:rsidRDefault="008A18C9" w:rsidP="00B975BD">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w:t>
      </w:r>
      <w:r w:rsidR="00B975BD" w:rsidRPr="008F44AD">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por rendido</w:t>
      </w:r>
      <w:r w:rsidR="00B975BD" w:rsidRPr="008F44AD">
        <w:rPr>
          <w:rFonts w:ascii="AvantGarde Bk BT" w:hAnsi="AvantGarde Bk BT" w:cs="Arial"/>
          <w:color w:val="000000" w:themeColor="text1"/>
          <w:sz w:val="24"/>
          <w:szCs w:val="24"/>
        </w:rPr>
        <w:t xml:space="preserve"> el informe </w:t>
      </w:r>
      <w:r>
        <w:rPr>
          <w:rFonts w:ascii="AvantGarde Bk BT" w:hAnsi="AvantGarde Bk BT" w:cs="Arial"/>
          <w:color w:val="000000" w:themeColor="text1"/>
          <w:sz w:val="24"/>
          <w:szCs w:val="24"/>
        </w:rPr>
        <w:t>requerido</w:t>
      </w:r>
      <w:r w:rsidR="00B975BD" w:rsidRPr="008F44AD">
        <w:rPr>
          <w:rFonts w:ascii="AvantGarde Bk BT" w:hAnsi="AvantGarde Bk BT" w:cs="Arial"/>
          <w:color w:val="000000" w:themeColor="text1"/>
          <w:sz w:val="24"/>
          <w:szCs w:val="24"/>
        </w:rPr>
        <w:t xml:space="preserve"> en el auto de admisión, </w:t>
      </w:r>
      <w:r>
        <w:rPr>
          <w:rFonts w:ascii="AvantGarde Bk BT" w:hAnsi="AvantGarde Bk BT" w:cs="Arial"/>
          <w:color w:val="000000" w:themeColor="text1"/>
          <w:sz w:val="24"/>
          <w:szCs w:val="24"/>
        </w:rPr>
        <w:t>por ofrecidas pruebas y realizadas</w:t>
      </w:r>
      <w:r w:rsidR="00B975BD" w:rsidRPr="008F44AD">
        <w:rPr>
          <w:rFonts w:ascii="AvantGarde Bk BT" w:hAnsi="AvantGarde Bk BT" w:cs="Arial"/>
          <w:color w:val="000000" w:themeColor="text1"/>
          <w:sz w:val="24"/>
          <w:szCs w:val="24"/>
        </w:rPr>
        <w:t xml:space="preserve"> manifestaciones en vía de alegatos</w:t>
      </w:r>
      <w:r w:rsidR="00115A2F">
        <w:rPr>
          <w:rFonts w:ascii="AvantGarde Bk BT" w:hAnsi="AvantGarde Bk BT" w:cs="Arial"/>
          <w:color w:val="000000" w:themeColor="text1"/>
          <w:sz w:val="24"/>
          <w:szCs w:val="24"/>
        </w:rPr>
        <w:t xml:space="preserve"> en tiempo y forma</w:t>
      </w:r>
      <w:r w:rsidR="00B975BD" w:rsidRPr="008F44AD">
        <w:rPr>
          <w:rFonts w:ascii="AvantGarde Bk BT" w:hAnsi="AvantGarde Bk BT" w:cs="Arial"/>
          <w:color w:val="000000" w:themeColor="text1"/>
          <w:sz w:val="24"/>
          <w:szCs w:val="24"/>
        </w:rPr>
        <w:t>.</w:t>
      </w:r>
    </w:p>
    <w:p w14:paraId="2C437600" w14:textId="562770A9"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En cuanto al peticionario, </w:t>
      </w:r>
      <w:r w:rsidR="00115A2F">
        <w:rPr>
          <w:rFonts w:ascii="AvantGarde Bk BT" w:hAnsi="AvantGarde Bk BT" w:cs="Arial"/>
          <w:sz w:val="24"/>
          <w:szCs w:val="24"/>
        </w:rPr>
        <w:t>feneció el plazo para que realizara las manifestaciones que a su derecho convinieren</w:t>
      </w:r>
      <w:r w:rsidR="00A5291C">
        <w:rPr>
          <w:rFonts w:ascii="AvantGarde Bk BT" w:hAnsi="AvantGarde Bk BT" w:cs="Arial"/>
          <w:sz w:val="24"/>
          <w:szCs w:val="24"/>
        </w:rPr>
        <w:t>.</w:t>
      </w:r>
    </w:p>
    <w:p w14:paraId="3312B97D" w14:textId="78D68F2A" w:rsidR="00B975BD" w:rsidRDefault="00B975BD"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30A9441C"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EA58B4">
        <w:rPr>
          <w:rFonts w:ascii="AvantGarde Bk BT" w:hAnsi="AvantGarde Bk BT" w:cs="Arial"/>
          <w:color w:val="000000" w:themeColor="text1"/>
          <w:sz w:val="24"/>
          <w:szCs w:val="24"/>
        </w:rPr>
        <w:t xml:space="preserve">veintiséis de noviembre </w:t>
      </w:r>
      <w:r w:rsidR="00BF3E56">
        <w:rPr>
          <w:rFonts w:ascii="AvantGarde Bk BT" w:hAnsi="AvantGarde Bk BT" w:cs="Arial"/>
          <w:color w:val="000000" w:themeColor="text1"/>
          <w:sz w:val="24"/>
          <w:szCs w:val="24"/>
        </w:rPr>
        <w:t>de dos mil veinticinco</w:t>
      </w:r>
      <w:r w:rsidR="00EA58B4">
        <w:rPr>
          <w:rFonts w:ascii="AvantGarde Bk BT" w:hAnsi="AvantGarde Bk BT" w:cs="Arial"/>
          <w:color w:val="000000" w:themeColor="text1"/>
          <w:sz w:val="24"/>
          <w:szCs w:val="24"/>
        </w:rPr>
        <w:t>, el peticionario fue notificado de la</w:t>
      </w:r>
      <w:r>
        <w:rPr>
          <w:rFonts w:ascii="AvantGarde Bk BT" w:hAnsi="AvantGarde Bk BT" w:cs="Arial"/>
          <w:color w:val="000000" w:themeColor="text1"/>
          <w:sz w:val="24"/>
          <w:szCs w:val="24"/>
        </w:rPr>
        <w:t xml:space="preserve"> respuesta por parte del sujeto obligado.</w:t>
      </w:r>
    </w:p>
    <w:p w14:paraId="0A0F60AE" w14:textId="51454558"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EA58B4">
        <w:rPr>
          <w:rFonts w:ascii="AvantGarde Bk BT" w:hAnsi="AvantGarde Bk BT" w:cs="Arial"/>
          <w:color w:val="000000" w:themeColor="text1"/>
          <w:sz w:val="24"/>
          <w:szCs w:val="24"/>
        </w:rPr>
        <w:t xml:space="preserve">veintisiete de noviembre </w:t>
      </w:r>
      <w:r w:rsidR="00BF3E56">
        <w:rPr>
          <w:rFonts w:ascii="AvantGarde Bk BT" w:hAnsi="AvantGarde Bk BT" w:cs="Arial"/>
          <w:color w:val="000000" w:themeColor="text1"/>
          <w:sz w:val="24"/>
          <w:szCs w:val="24"/>
        </w:rPr>
        <w:t>de dos mil veinticinco</w:t>
      </w:r>
      <w:r w:rsidR="00EA58B4">
        <w:rPr>
          <w:rFonts w:ascii="AvantGarde Bk BT" w:hAnsi="AvantGarde Bk BT" w:cs="Arial"/>
          <w:color w:val="000000" w:themeColor="text1"/>
          <w:sz w:val="24"/>
          <w:szCs w:val="24"/>
        </w:rPr>
        <w:t xml:space="preserve"> al </w:t>
      </w:r>
      <w:r w:rsidR="00971EA2">
        <w:rPr>
          <w:rFonts w:ascii="AvantGarde Bk BT" w:hAnsi="AvantGarde Bk BT" w:cs="Arial"/>
          <w:color w:val="000000" w:themeColor="text1"/>
          <w:sz w:val="24"/>
          <w:szCs w:val="24"/>
        </w:rPr>
        <w:t>cinco</w:t>
      </w:r>
      <w:r w:rsidR="00EA58B4">
        <w:rPr>
          <w:rFonts w:ascii="AvantGarde Bk BT" w:hAnsi="AvantGarde Bk BT" w:cs="Arial"/>
          <w:color w:val="000000" w:themeColor="text1"/>
          <w:sz w:val="24"/>
          <w:szCs w:val="24"/>
        </w:rPr>
        <w:t xml:space="preserve"> de enero de dos mil veintiséis</w:t>
      </w:r>
      <w:r w:rsidRPr="00726D64">
        <w:rPr>
          <w:rFonts w:ascii="AvantGarde Bk BT" w:hAnsi="AvantGarde Bk BT" w:cs="Arial"/>
          <w:color w:val="000000" w:themeColor="text1"/>
          <w:sz w:val="24"/>
          <w:szCs w:val="24"/>
        </w:rPr>
        <w:t>.</w:t>
      </w:r>
    </w:p>
    <w:p w14:paraId="0AFC9C20" w14:textId="665BDA99"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971EA2">
        <w:rPr>
          <w:rFonts w:ascii="AvantGarde Bk BT" w:hAnsi="AvantGarde Bk BT" w:cs="Arial"/>
          <w:color w:val="000000" w:themeColor="text1"/>
          <w:sz w:val="24"/>
          <w:szCs w:val="24"/>
        </w:rPr>
        <w:t>veintinueve y treinta de noviembre, seis, siete, y trece de diciembre</w:t>
      </w:r>
      <w:r w:rsidR="00B975BD">
        <w:rPr>
          <w:rFonts w:ascii="AvantGarde Bk BT" w:hAnsi="AvantGarde Bk BT" w:cs="Arial"/>
          <w:color w:val="000000" w:themeColor="text1"/>
          <w:sz w:val="24"/>
          <w:szCs w:val="24"/>
        </w:rPr>
        <w:t xml:space="preserve"> </w:t>
      </w:r>
      <w:r w:rsidR="00BF3E56">
        <w:rPr>
          <w:rFonts w:ascii="AvantGarde Bk BT" w:hAnsi="AvantGarde Bk BT" w:cs="Arial"/>
          <w:color w:val="000000" w:themeColor="text1"/>
          <w:sz w:val="24"/>
          <w:szCs w:val="24"/>
        </w:rPr>
        <w:t>de dos mil veinticinco</w:t>
      </w:r>
      <w:r w:rsidR="00971EA2">
        <w:rPr>
          <w:rFonts w:ascii="AvantGarde Bk BT" w:hAnsi="AvantGarde Bk BT" w:cs="Arial"/>
          <w:color w:val="000000" w:themeColor="text1"/>
          <w:sz w:val="24"/>
          <w:szCs w:val="24"/>
        </w:rPr>
        <w:t xml:space="preserve"> al cuatro de enero de dos mil veintiséis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r w:rsidR="007B39F5">
        <w:rPr>
          <w:rFonts w:ascii="AvantGarde Bk BT" w:hAnsi="AvantGarde Bk BT" w:cs="Arial"/>
          <w:color w:val="000000" w:themeColor="text1"/>
          <w:sz w:val="24"/>
          <w:szCs w:val="24"/>
        </w:rPr>
        <w:t xml:space="preserve"> de conformidad con el calendario oficial de labores de este organismo</w:t>
      </w:r>
      <w:r w:rsidRPr="00EA2555">
        <w:rPr>
          <w:rFonts w:ascii="AvantGarde Bk BT" w:hAnsi="AvantGarde Bk BT" w:cs="Arial"/>
          <w:color w:val="000000" w:themeColor="text1"/>
          <w:sz w:val="24"/>
          <w:szCs w:val="24"/>
        </w:rPr>
        <w:t>.</w:t>
      </w:r>
    </w:p>
    <w:p w14:paraId="52530DF1" w14:textId="60A69A9F"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971EA2">
        <w:rPr>
          <w:rFonts w:ascii="AvantGarde Bk BT" w:hAnsi="AvantGarde Bk BT" w:cs="Arial"/>
          <w:color w:val="000000" w:themeColor="text1"/>
          <w:sz w:val="24"/>
          <w:szCs w:val="24"/>
        </w:rPr>
        <w:t xml:space="preserve">cuatro de diciembre </w:t>
      </w:r>
      <w:r w:rsidR="00BF3E56">
        <w:rPr>
          <w:rFonts w:ascii="AvantGarde Bk BT" w:hAnsi="AvantGarde Bk BT" w:cs="Arial"/>
          <w:color w:val="000000" w:themeColor="text1"/>
          <w:sz w:val="24"/>
          <w:szCs w:val="24"/>
        </w:rPr>
        <w:t>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w:t>
      </w:r>
      <w:r w:rsidRPr="007F0BFC">
        <w:rPr>
          <w:rFonts w:ascii="AvantGarde Bk BT" w:hAnsi="AvantGarde Bk BT" w:cs="Arial"/>
          <w:color w:val="000000" w:themeColor="text1"/>
          <w:sz w:val="24"/>
          <w:szCs w:val="24"/>
        </w:rPr>
        <w:lastRenderedPageBreak/>
        <w:t>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w:t>
      </w:r>
      <w:r w:rsidRPr="007F0BFC">
        <w:rPr>
          <w:rFonts w:ascii="AvantGarde Bk BT" w:hAnsi="AvantGarde Bk BT" w:cs="Arial"/>
          <w:color w:val="000000" w:themeColor="text1"/>
          <w:sz w:val="24"/>
          <w:szCs w:val="24"/>
        </w:rPr>
        <w:lastRenderedPageBreak/>
        <w:t>trate de una consulta ejerciendo el derecho de petición, ni tampoco amplía el contenido de su solicitud de información.</w:t>
      </w:r>
    </w:p>
    <w:p w14:paraId="7D5E6C1C" w14:textId="363347E6" w:rsidR="00DE7B29" w:rsidRDefault="00AE0DBD" w:rsidP="001C20CD">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w:t>
      </w:r>
      <w:r w:rsidR="00DE7B29">
        <w:rPr>
          <w:rFonts w:ascii="AvantGarde Bk BT" w:hAnsi="AvantGarde Bk BT" w:cs="Arial"/>
          <w:b/>
          <w:color w:val="000000" w:themeColor="text1"/>
          <w:sz w:val="24"/>
          <w:szCs w:val="24"/>
        </w:rPr>
        <w:t xml:space="preserve"> Sobreseimiento parcial. </w:t>
      </w:r>
      <w:r w:rsidR="00F5073D">
        <w:rPr>
          <w:rFonts w:ascii="AvantGarde Bk BT" w:hAnsi="AvantGarde Bk BT" w:cs="Arial"/>
          <w:color w:val="000000" w:themeColor="text1"/>
          <w:sz w:val="24"/>
          <w:szCs w:val="24"/>
        </w:rPr>
        <w:t xml:space="preserve">De acuerdo con el artículo 180 fracción III de la Ley de Transparencia vigente en el Estado, el recurso de revisión puede ser sobreseído en todo o en parte, cuando el </w:t>
      </w:r>
      <w:r w:rsidR="00F5073D" w:rsidRPr="00F5073D">
        <w:rPr>
          <w:rFonts w:ascii="AvantGarde Bk BT" w:hAnsi="AvantGarde Bk BT" w:cs="Arial"/>
          <w:color w:val="000000" w:themeColor="text1"/>
          <w:sz w:val="24"/>
          <w:szCs w:val="24"/>
        </w:rPr>
        <w:t>sujeto obligado responsable del acto lo modifique o revoque de tal manera que el recurso de revisión quede sin materia</w:t>
      </w:r>
      <w:r w:rsidR="00F5073D">
        <w:rPr>
          <w:rStyle w:val="Refdenotaalpie"/>
          <w:rFonts w:ascii="AvantGarde Bk BT" w:hAnsi="AvantGarde Bk BT" w:cs="Arial"/>
          <w:color w:val="000000" w:themeColor="text1"/>
          <w:sz w:val="24"/>
          <w:szCs w:val="24"/>
        </w:rPr>
        <w:footnoteReference w:id="1"/>
      </w:r>
      <w:r w:rsidR="00F5073D">
        <w:rPr>
          <w:rFonts w:ascii="AvantGarde Bk BT" w:hAnsi="AvantGarde Bk BT" w:cs="Arial"/>
          <w:color w:val="000000" w:themeColor="text1"/>
          <w:sz w:val="24"/>
          <w:szCs w:val="24"/>
        </w:rPr>
        <w:t>.</w:t>
      </w:r>
    </w:p>
    <w:p w14:paraId="6DF2286E" w14:textId="3A9B2AE9" w:rsidR="001C20CD" w:rsidRDefault="001C20CD" w:rsidP="001C20CD">
      <w:pPr>
        <w:pStyle w:val="corte4fondo"/>
        <w:tabs>
          <w:tab w:val="left" w:pos="567"/>
        </w:tabs>
        <w:rPr>
          <w:rFonts w:ascii="AvantGarde Bk BT" w:hAnsi="AvantGarde Bk BT" w:cs="Arial"/>
          <w:b/>
          <w:color w:val="000000" w:themeColor="text1"/>
          <w:sz w:val="24"/>
          <w:szCs w:val="24"/>
        </w:rPr>
      </w:pPr>
    </w:p>
    <w:p w14:paraId="23782AD5" w14:textId="0E0444BB" w:rsidR="00F5073D" w:rsidRDefault="0064753E" w:rsidP="00630D49">
      <w:pPr>
        <w:pStyle w:val="corte4fondo"/>
        <w:tabs>
          <w:tab w:val="left" w:pos="567"/>
        </w:tabs>
        <w:rPr>
          <w:rFonts w:ascii="AvantGarde Bk BT" w:hAnsi="AvantGarde Bk BT" w:cs="Arial"/>
          <w:color w:val="000000" w:themeColor="text1"/>
          <w:sz w:val="24"/>
          <w:szCs w:val="24"/>
        </w:rPr>
      </w:pPr>
      <w:r w:rsidRPr="0064753E">
        <w:rPr>
          <w:rFonts w:ascii="AvantGarde Bk BT" w:hAnsi="AvantGarde Bk BT" w:cs="Arial"/>
          <w:color w:val="000000" w:themeColor="text1"/>
          <w:sz w:val="24"/>
          <w:szCs w:val="24"/>
        </w:rPr>
        <w:t>En el presente caso, se tiene que se actualiza un sobreseimiento parcial del recurso de revisión,</w:t>
      </w:r>
      <w:r>
        <w:rPr>
          <w:rFonts w:ascii="AvantGarde Bk BT" w:hAnsi="AvantGarde Bk BT" w:cs="Arial"/>
          <w:color w:val="000000" w:themeColor="text1"/>
          <w:sz w:val="24"/>
          <w:szCs w:val="24"/>
        </w:rPr>
        <w:t xml:space="preserve"> en virtud de las consideraciones</w:t>
      </w:r>
      <w:r w:rsidR="00952000">
        <w:rPr>
          <w:rFonts w:ascii="AvantGarde Bk BT" w:hAnsi="AvantGarde Bk BT" w:cs="Arial"/>
          <w:color w:val="000000" w:themeColor="text1"/>
          <w:sz w:val="24"/>
          <w:szCs w:val="24"/>
        </w:rPr>
        <w:t xml:space="preserve"> que a continuación se emiten</w:t>
      </w:r>
      <w:r>
        <w:rPr>
          <w:rFonts w:ascii="AvantGarde Bk BT" w:hAnsi="AvantGarde Bk BT" w:cs="Arial"/>
          <w:color w:val="000000" w:themeColor="text1"/>
          <w:sz w:val="24"/>
          <w:szCs w:val="24"/>
        </w:rPr>
        <w:t>.</w:t>
      </w:r>
    </w:p>
    <w:p w14:paraId="54CD6877" w14:textId="77777777" w:rsidR="00630D49" w:rsidRPr="00630D49" w:rsidRDefault="00630D49" w:rsidP="00630D49">
      <w:pPr>
        <w:pStyle w:val="corte4fondo"/>
        <w:tabs>
          <w:tab w:val="left" w:pos="567"/>
        </w:tabs>
        <w:rPr>
          <w:rFonts w:ascii="AvantGarde Bk BT" w:hAnsi="AvantGarde Bk BT" w:cs="Arial"/>
          <w:color w:val="000000" w:themeColor="text1"/>
          <w:sz w:val="24"/>
          <w:szCs w:val="24"/>
        </w:rPr>
      </w:pPr>
    </w:p>
    <w:p w14:paraId="079744EA" w14:textId="746195B3" w:rsidR="00DE7B29" w:rsidRPr="00DE7B29" w:rsidRDefault="003175E3" w:rsidP="00630D4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La persona solicitante requirió</w:t>
      </w:r>
      <w:r w:rsidR="00952000">
        <w:rPr>
          <w:rFonts w:ascii="AvantGarde Bk BT" w:hAnsi="AvantGarde Bk BT" w:cs="Arial"/>
          <w:color w:val="000000" w:themeColor="text1"/>
          <w:sz w:val="24"/>
          <w:szCs w:val="24"/>
        </w:rPr>
        <w:t xml:space="preserve"> lo siguiente</w:t>
      </w:r>
      <w:r w:rsidR="00DE7B29" w:rsidRPr="000F1F56">
        <w:rPr>
          <w:rFonts w:ascii="AvantGarde Bk BT" w:hAnsi="AvantGarde Bk BT" w:cs="Arial"/>
          <w:color w:val="000000" w:themeColor="text1"/>
          <w:sz w:val="24"/>
          <w:szCs w:val="24"/>
        </w:rPr>
        <w:t>:</w:t>
      </w:r>
    </w:p>
    <w:p w14:paraId="23437D2C" w14:textId="65D8F4C9" w:rsidR="00DE7B29" w:rsidRDefault="00F5073D" w:rsidP="00630D49">
      <w:pPr>
        <w:pStyle w:val="corte4fondo"/>
        <w:tabs>
          <w:tab w:val="left" w:pos="567"/>
        </w:tabs>
        <w:spacing w:line="240" w:lineRule="auto"/>
        <w:ind w:left="680" w:right="680" w:firstLine="28"/>
        <w:rPr>
          <w:rFonts w:ascii="AvantGarde Bk BT" w:hAnsi="AvantGarde Bk BT" w:cs="Arial"/>
          <w:sz w:val="24"/>
          <w:szCs w:val="24"/>
        </w:rPr>
      </w:pPr>
      <w:r>
        <w:rPr>
          <w:rFonts w:ascii="AvantGarde Bk BT" w:hAnsi="AvantGarde Bk BT" w:cs="Arial"/>
          <w:i/>
          <w:sz w:val="22"/>
          <w:szCs w:val="24"/>
        </w:rPr>
        <w:t>“</w:t>
      </w:r>
      <w:r w:rsidR="00630D49" w:rsidRPr="00630D49">
        <w:rPr>
          <w:rFonts w:ascii="AvantGarde Bk BT" w:hAnsi="AvantGarde Bk BT" w:cs="Arial"/>
          <w:i/>
          <w:sz w:val="20"/>
        </w:rPr>
        <w:t>solicito la información y la versión pública de los siguientes documentos: 1. Informe cuántos estudios de factibilidad ha solicitado la empresa PROMOTORA SIAIRO, S.A DE C.V. al INTERAPAS, en los últimos diez años; 2. Informe cuántos estudios de factibilidad ha solicitado la empresa MUGAVUS CONSTRUCCIONES, S.A DE C.V. al INTERAPAS, en los últimos diez años; 3. Solicito la versión pública y en archivo electrónico de los estudios de factibilidad positivo que emitió el INTERAPAS a PROMOTORA SIAIRO, S.A DE C.V. y MUGAVUS CONSTRUCCIONES, S.A DE C.V., en los últimos diez años; 4. Informe cuántos procedimientos administrativos de conexión y/o incorporación de nuevos desarrollos, iniciados por PROMOTORA SIAIRO, S.A DE C.V. y MUGAVUS CONSTRUCCIONES, S.A DE C.V., en los últimos diez años; se encuentran inconclusos por falta de pago de derechos de conexión y/o contratación; 5. Informe cuántos procedimientos de sanción ha iniciado el INTERAPAS contra las empresas PROMOTORA SIAIRO, S.A DE C.V. y MUGAVUS CONSTRUCCIONES, S.A DE C.V., por el incumplimiento de las obligaciones contenidas en la Ley de Aguas del Estado de San Luis Potosí, en los últimos diez años. 6. Solicito la versión pública y en archivo electrónico de las resoluciones que concluyeron los procedimientos de sanción que inició el INTERAPAS contra las empresas PROMOTORA SIAIRO, S.A DE C.V. y MUGAVUS CONSTRUCCIONES, S.A DE C.V., por el incumplimiento de las obligaciones contenidas en la Ley de Aguas del Estado de San Luis Potosí, en los últimos diez años.</w:t>
      </w:r>
      <w:r w:rsidR="00DE7B29" w:rsidRPr="001C20CD">
        <w:rPr>
          <w:rFonts w:ascii="AvantGarde Bk BT" w:hAnsi="AvantGarde Bk BT" w:cs="Arial"/>
          <w:b/>
          <w:i/>
          <w:sz w:val="22"/>
          <w:szCs w:val="24"/>
        </w:rPr>
        <w:t>”</w:t>
      </w:r>
      <w:r w:rsidR="00DE7B29">
        <w:rPr>
          <w:rFonts w:ascii="AvantGarde Bk BT" w:hAnsi="AvantGarde Bk BT" w:cs="Arial"/>
          <w:sz w:val="24"/>
          <w:szCs w:val="24"/>
        </w:rPr>
        <w:t xml:space="preserve"> </w:t>
      </w:r>
      <w:r w:rsidR="001C20CD" w:rsidRPr="00A25365">
        <w:rPr>
          <w:rFonts w:ascii="AvantGarde Bk BT" w:hAnsi="AvantGarde Bk BT" w:cs="Arial"/>
          <w:b/>
          <w:sz w:val="24"/>
          <w:szCs w:val="24"/>
        </w:rPr>
        <w:t>SIC</w:t>
      </w:r>
      <w:r w:rsidR="001C20CD">
        <w:rPr>
          <w:rFonts w:ascii="AvantGarde Bk BT" w:hAnsi="AvantGarde Bk BT" w:cs="Arial"/>
          <w:sz w:val="24"/>
          <w:szCs w:val="24"/>
        </w:rPr>
        <w:t>.</w:t>
      </w:r>
    </w:p>
    <w:p w14:paraId="6F25D3C7" w14:textId="77777777" w:rsidR="00DE7B29" w:rsidRDefault="00DE7B29" w:rsidP="00DE7B29">
      <w:pPr>
        <w:pStyle w:val="corte4fondo"/>
        <w:tabs>
          <w:tab w:val="left" w:pos="567"/>
        </w:tabs>
        <w:ind w:firstLine="0"/>
        <w:rPr>
          <w:rFonts w:ascii="AvantGarde Bk BT" w:hAnsi="AvantGarde Bk BT" w:cs="Arial"/>
          <w:sz w:val="24"/>
          <w:szCs w:val="24"/>
        </w:rPr>
      </w:pPr>
    </w:p>
    <w:p w14:paraId="46354AD5" w14:textId="3942288A" w:rsidR="00E44F15" w:rsidRPr="00952000" w:rsidRDefault="00DE7B29" w:rsidP="0095200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Por su parte, </w:t>
      </w:r>
      <w:r w:rsidR="00952000">
        <w:rPr>
          <w:rFonts w:ascii="AvantGarde Bk BT" w:hAnsi="AvantGarde Bk BT" w:cs="Arial"/>
          <w:sz w:val="24"/>
          <w:szCs w:val="24"/>
        </w:rPr>
        <w:t xml:space="preserve">el sujeto obligado </w:t>
      </w:r>
      <w:r w:rsidR="00687FEC">
        <w:rPr>
          <w:rFonts w:ascii="AvantGarde Bk BT" w:hAnsi="AvantGarde Bk BT" w:cs="Arial"/>
          <w:sz w:val="24"/>
          <w:szCs w:val="24"/>
        </w:rPr>
        <w:t>documentó</w:t>
      </w:r>
      <w:r w:rsidR="00952000">
        <w:rPr>
          <w:rFonts w:ascii="AvantGarde Bk BT" w:hAnsi="AvantGarde Bk BT" w:cs="Arial"/>
          <w:sz w:val="24"/>
          <w:szCs w:val="24"/>
        </w:rPr>
        <w:t xml:space="preserve"> </w:t>
      </w:r>
      <w:r w:rsidR="00D52ABB">
        <w:rPr>
          <w:rFonts w:ascii="AvantGarde Bk BT" w:hAnsi="AvantGarde Bk BT" w:cs="Arial"/>
          <w:sz w:val="24"/>
          <w:szCs w:val="24"/>
        </w:rPr>
        <w:t>como</w:t>
      </w:r>
      <w:r w:rsidR="00952000">
        <w:rPr>
          <w:rFonts w:ascii="AvantGarde Bk BT" w:hAnsi="AvantGarde Bk BT" w:cs="Arial"/>
          <w:sz w:val="24"/>
          <w:szCs w:val="24"/>
        </w:rPr>
        <w:t xml:space="preserve"> </w:t>
      </w:r>
      <w:r w:rsidR="00D52ABB">
        <w:rPr>
          <w:rFonts w:ascii="AvantGarde Bk BT" w:hAnsi="AvantGarde Bk BT" w:cs="Arial"/>
          <w:sz w:val="24"/>
          <w:szCs w:val="24"/>
        </w:rPr>
        <w:t>respuesta</w:t>
      </w:r>
      <w:r w:rsidR="00952000">
        <w:rPr>
          <w:rFonts w:ascii="AvantGarde Bk BT" w:hAnsi="AvantGarde Bk BT" w:cs="Arial"/>
          <w:sz w:val="24"/>
          <w:szCs w:val="24"/>
        </w:rPr>
        <w:t xml:space="preserve"> </w:t>
      </w:r>
      <w:r w:rsidR="00D52ABB">
        <w:rPr>
          <w:rFonts w:ascii="AvantGarde Bk BT" w:hAnsi="AvantGarde Bk BT" w:cs="Arial"/>
          <w:sz w:val="24"/>
          <w:szCs w:val="24"/>
        </w:rPr>
        <w:t>el</w:t>
      </w:r>
      <w:r w:rsidR="002F47FA">
        <w:rPr>
          <w:rFonts w:ascii="AvantGarde Bk BT" w:hAnsi="AvantGarde Bk BT" w:cs="Arial"/>
          <w:sz w:val="24"/>
          <w:szCs w:val="24"/>
        </w:rPr>
        <w:t xml:space="preserve"> oficio IN/DG/UT/092/2025, </w:t>
      </w:r>
      <w:r w:rsidR="00D52ABB">
        <w:rPr>
          <w:rFonts w:ascii="AvantGarde Bk BT" w:hAnsi="AvantGarde Bk BT" w:cs="Arial"/>
          <w:sz w:val="24"/>
          <w:szCs w:val="24"/>
        </w:rPr>
        <w:t>signado</w:t>
      </w:r>
      <w:r w:rsidR="002F47FA">
        <w:rPr>
          <w:rFonts w:ascii="AvantGarde Bk BT" w:hAnsi="AvantGarde Bk BT" w:cs="Arial"/>
          <w:sz w:val="24"/>
          <w:szCs w:val="24"/>
        </w:rPr>
        <w:t xml:space="preserve"> por el Titular de la Unidad de Transparencia del sujeto obligado</w:t>
      </w:r>
      <w:r w:rsidR="00073A45">
        <w:rPr>
          <w:rFonts w:ascii="AvantGarde Bk BT" w:hAnsi="AvantGarde Bk BT" w:cs="Arial"/>
          <w:sz w:val="24"/>
          <w:szCs w:val="24"/>
        </w:rPr>
        <w:t xml:space="preserve">, </w:t>
      </w:r>
      <w:r w:rsidR="00687FEC">
        <w:rPr>
          <w:rFonts w:ascii="AvantGarde Bk BT" w:hAnsi="AvantGarde Bk BT" w:cs="Arial"/>
          <w:sz w:val="24"/>
          <w:szCs w:val="24"/>
        </w:rPr>
        <w:t xml:space="preserve">por medio de la cual notifica la respuesta que emitió el Director de Fraccionamientos, </w:t>
      </w:r>
      <w:r w:rsidR="00073A45">
        <w:rPr>
          <w:rFonts w:ascii="AvantGarde Bk BT" w:hAnsi="AvantGarde Bk BT" w:cs="Arial"/>
          <w:sz w:val="24"/>
          <w:szCs w:val="24"/>
        </w:rPr>
        <w:t>misma que obra en la Plataforma nacional de Transparencia y</w:t>
      </w:r>
      <w:r w:rsidR="002F47FA">
        <w:rPr>
          <w:rFonts w:ascii="AvantGarde Bk BT" w:hAnsi="AvantGarde Bk BT" w:cs="Arial"/>
          <w:sz w:val="24"/>
          <w:szCs w:val="24"/>
        </w:rPr>
        <w:t xml:space="preserve"> </w:t>
      </w:r>
      <w:r w:rsidR="00952000">
        <w:rPr>
          <w:rFonts w:ascii="AvantGarde Bk BT" w:hAnsi="AvantGarde Bk BT" w:cs="Arial"/>
          <w:sz w:val="24"/>
          <w:szCs w:val="24"/>
        </w:rPr>
        <w:t>que consistió en:</w:t>
      </w:r>
    </w:p>
    <w:p w14:paraId="1987327D" w14:textId="389279B2" w:rsidR="003A60C1" w:rsidRDefault="00DE7B29" w:rsidP="001051FA">
      <w:pPr>
        <w:tabs>
          <w:tab w:val="left" w:pos="567"/>
        </w:tabs>
        <w:spacing w:line="240" w:lineRule="auto"/>
        <w:ind w:left="680" w:right="680"/>
        <w:jc w:val="both"/>
        <w:rPr>
          <w:rFonts w:ascii="AvantGarde Bk BT" w:hAnsi="AvantGarde Bk BT" w:cs="Arial"/>
          <w:i/>
          <w:sz w:val="20"/>
          <w:szCs w:val="20"/>
        </w:rPr>
      </w:pPr>
      <w:r>
        <w:rPr>
          <w:rFonts w:ascii="AvantGarde Bk BT" w:hAnsi="AvantGarde Bk BT" w:cs="Arial"/>
          <w:i/>
          <w:szCs w:val="24"/>
        </w:rPr>
        <w:lastRenderedPageBreak/>
        <w:t>“</w:t>
      </w:r>
      <w:r w:rsidR="005A5CBE">
        <w:rPr>
          <w:rFonts w:ascii="AvantGarde Bk BT" w:hAnsi="AvantGarde Bk BT" w:cs="Arial"/>
          <w:i/>
          <w:sz w:val="20"/>
          <w:szCs w:val="20"/>
        </w:rPr>
        <w:t xml:space="preserve">Con referencia a lo solicitado dicha información no puede ser </w:t>
      </w:r>
      <w:r w:rsidR="00145CDF">
        <w:rPr>
          <w:rFonts w:ascii="AvantGarde Bk BT" w:hAnsi="AvantGarde Bk BT" w:cs="Arial"/>
          <w:i/>
          <w:sz w:val="20"/>
          <w:szCs w:val="20"/>
        </w:rPr>
        <w:t xml:space="preserve">proporcionada por este Organismo Operador ya que se encuentra bajo el Acuerdo de Reserva C.T. –A.R. 006//2025, esto debido a que, de ser proporcionada podría entorpecer la conducción de los procedimientos judiciales, es de advertir que en </w:t>
      </w:r>
      <w:r w:rsidR="00D71833">
        <w:rPr>
          <w:rFonts w:ascii="AvantGarde Bk BT" w:hAnsi="AvantGarde Bk BT" w:cs="Arial"/>
          <w:i/>
          <w:sz w:val="20"/>
          <w:szCs w:val="20"/>
        </w:rPr>
        <w:t>este Organismo Intermunicipal (INTERAPAS), se tienen identificados procedimientos judiciales en los cuales se encuentran involucrados PROMOTORA SIAIRO, S.A DE C.V.,  y MUGAVUS CONSTRUCCIONES,</w:t>
      </w:r>
      <w:r w:rsidR="00D71833" w:rsidRPr="00D71833">
        <w:rPr>
          <w:rFonts w:ascii="AvantGarde Bk BT" w:hAnsi="AvantGarde Bk BT" w:cs="Arial"/>
          <w:i/>
          <w:sz w:val="20"/>
          <w:szCs w:val="20"/>
        </w:rPr>
        <w:t xml:space="preserve"> </w:t>
      </w:r>
      <w:r w:rsidR="00D71833">
        <w:rPr>
          <w:rFonts w:ascii="AvantGarde Bk BT" w:hAnsi="AvantGarde Bk BT" w:cs="Arial"/>
          <w:i/>
          <w:sz w:val="20"/>
          <w:szCs w:val="20"/>
        </w:rPr>
        <w:t xml:space="preserve">S.A DE C.V.,  ya sea señalados como autoridades responsables y/o terceros llamados a juicios y/o personas morales a las cuales se le hace alusión, y que esto deriva de los Juicios de Amparo siguientes: </w:t>
      </w:r>
      <w:r w:rsidR="00145CDF">
        <w:rPr>
          <w:rFonts w:ascii="AvantGarde Bk BT" w:hAnsi="AvantGarde Bk BT" w:cs="Arial"/>
          <w:i/>
          <w:sz w:val="20"/>
          <w:szCs w:val="20"/>
        </w:rPr>
        <w:t xml:space="preserve"> </w:t>
      </w:r>
    </w:p>
    <w:tbl>
      <w:tblPr>
        <w:tblStyle w:val="Tablaconcuadrcula"/>
        <w:tblW w:w="0" w:type="auto"/>
        <w:tblInd w:w="680" w:type="dxa"/>
        <w:tblLook w:val="04A0" w:firstRow="1" w:lastRow="0" w:firstColumn="1" w:lastColumn="0" w:noHBand="0" w:noVBand="1"/>
      </w:tblPr>
      <w:tblGrid>
        <w:gridCol w:w="2150"/>
        <w:gridCol w:w="1843"/>
        <w:gridCol w:w="2977"/>
        <w:gridCol w:w="1701"/>
      </w:tblGrid>
      <w:tr w:rsidR="00EC08F6" w14:paraId="78C5053C" w14:textId="77777777" w:rsidTr="00C05653">
        <w:tc>
          <w:tcPr>
            <w:tcW w:w="2150" w:type="dxa"/>
          </w:tcPr>
          <w:p w14:paraId="3522DD0B" w14:textId="679643CC" w:rsidR="001051FA" w:rsidRPr="00076B33" w:rsidRDefault="00EC08F6" w:rsidP="005A5CBE">
            <w:pPr>
              <w:tabs>
                <w:tab w:val="left" w:pos="567"/>
              </w:tabs>
              <w:spacing w:line="360" w:lineRule="auto"/>
              <w:ind w:right="680"/>
              <w:jc w:val="both"/>
              <w:rPr>
                <w:rFonts w:cstheme="minorHAnsi"/>
                <w:i/>
                <w:sz w:val="18"/>
                <w:szCs w:val="18"/>
              </w:rPr>
            </w:pPr>
            <w:r w:rsidRPr="00076B33">
              <w:rPr>
                <w:rFonts w:cstheme="minorHAnsi"/>
                <w:i/>
                <w:sz w:val="18"/>
                <w:szCs w:val="18"/>
              </w:rPr>
              <w:t>Tipo de juicio</w:t>
            </w:r>
          </w:p>
        </w:tc>
        <w:tc>
          <w:tcPr>
            <w:tcW w:w="1843" w:type="dxa"/>
          </w:tcPr>
          <w:p w14:paraId="1586CDC9" w14:textId="5F18D8AA" w:rsidR="001051FA" w:rsidRPr="00076B33" w:rsidRDefault="00EC08F6" w:rsidP="005A5CBE">
            <w:pPr>
              <w:tabs>
                <w:tab w:val="left" w:pos="567"/>
              </w:tabs>
              <w:spacing w:line="360" w:lineRule="auto"/>
              <w:ind w:right="680"/>
              <w:jc w:val="both"/>
              <w:rPr>
                <w:rFonts w:cstheme="minorHAnsi"/>
                <w:i/>
                <w:sz w:val="18"/>
                <w:szCs w:val="18"/>
              </w:rPr>
            </w:pPr>
            <w:r w:rsidRPr="00076B33">
              <w:rPr>
                <w:rFonts w:cstheme="minorHAnsi"/>
                <w:i/>
                <w:sz w:val="18"/>
                <w:szCs w:val="18"/>
              </w:rPr>
              <w:t>Número de expediente</w:t>
            </w:r>
          </w:p>
        </w:tc>
        <w:tc>
          <w:tcPr>
            <w:tcW w:w="2977" w:type="dxa"/>
          </w:tcPr>
          <w:p w14:paraId="6F9142E0" w14:textId="5F8F3957" w:rsidR="001051FA" w:rsidRPr="00076B33" w:rsidRDefault="00EC08F6" w:rsidP="005A5CBE">
            <w:pPr>
              <w:tabs>
                <w:tab w:val="left" w:pos="567"/>
              </w:tabs>
              <w:spacing w:line="360" w:lineRule="auto"/>
              <w:ind w:right="680"/>
              <w:jc w:val="both"/>
              <w:rPr>
                <w:rFonts w:cstheme="minorHAnsi"/>
                <w:i/>
                <w:sz w:val="18"/>
                <w:szCs w:val="18"/>
              </w:rPr>
            </w:pPr>
            <w:r w:rsidRPr="00076B33">
              <w:rPr>
                <w:rFonts w:cstheme="minorHAnsi"/>
                <w:i/>
                <w:sz w:val="18"/>
                <w:szCs w:val="18"/>
              </w:rPr>
              <w:t>Juzgado en el que se ventila</w:t>
            </w:r>
          </w:p>
        </w:tc>
        <w:tc>
          <w:tcPr>
            <w:tcW w:w="1701" w:type="dxa"/>
          </w:tcPr>
          <w:p w14:paraId="32BF87AF" w14:textId="6CA05C04" w:rsidR="001051FA" w:rsidRPr="00076B33" w:rsidRDefault="00EC08F6" w:rsidP="005A5CBE">
            <w:pPr>
              <w:tabs>
                <w:tab w:val="left" w:pos="567"/>
              </w:tabs>
              <w:spacing w:line="360" w:lineRule="auto"/>
              <w:ind w:right="680"/>
              <w:jc w:val="both"/>
              <w:rPr>
                <w:rFonts w:cstheme="minorHAnsi"/>
                <w:i/>
                <w:sz w:val="18"/>
                <w:szCs w:val="18"/>
              </w:rPr>
            </w:pPr>
            <w:r w:rsidRPr="00076B33">
              <w:rPr>
                <w:rFonts w:cstheme="minorHAnsi"/>
                <w:i/>
                <w:sz w:val="18"/>
                <w:szCs w:val="18"/>
              </w:rPr>
              <w:t>Estado del juicio</w:t>
            </w:r>
          </w:p>
        </w:tc>
      </w:tr>
      <w:tr w:rsidR="00EC08F6" w14:paraId="049BC4FC" w14:textId="77777777" w:rsidTr="00C05653">
        <w:tc>
          <w:tcPr>
            <w:tcW w:w="2150" w:type="dxa"/>
          </w:tcPr>
          <w:p w14:paraId="3966C5A2" w14:textId="1B1F7E63" w:rsidR="001051FA" w:rsidRPr="00EC08F6" w:rsidRDefault="00EC08F6" w:rsidP="005A5CBE">
            <w:pPr>
              <w:tabs>
                <w:tab w:val="left" w:pos="567"/>
              </w:tabs>
              <w:spacing w:line="360" w:lineRule="auto"/>
              <w:ind w:right="680"/>
              <w:jc w:val="both"/>
              <w:rPr>
                <w:rFonts w:cstheme="minorHAnsi"/>
                <w:i/>
                <w:sz w:val="18"/>
                <w:szCs w:val="18"/>
              </w:rPr>
            </w:pPr>
            <w:r w:rsidRPr="00EC08F6">
              <w:rPr>
                <w:rFonts w:cstheme="minorHAnsi"/>
                <w:i/>
                <w:sz w:val="18"/>
                <w:szCs w:val="18"/>
              </w:rPr>
              <w:t>Juicio de Amparo</w:t>
            </w:r>
          </w:p>
        </w:tc>
        <w:tc>
          <w:tcPr>
            <w:tcW w:w="1843" w:type="dxa"/>
          </w:tcPr>
          <w:p w14:paraId="36B8B4FD" w14:textId="73F0BDC5" w:rsidR="001051FA" w:rsidRPr="00EC08F6" w:rsidRDefault="00EC08F6" w:rsidP="005A5CBE">
            <w:pPr>
              <w:tabs>
                <w:tab w:val="left" w:pos="567"/>
              </w:tabs>
              <w:spacing w:line="360" w:lineRule="auto"/>
              <w:ind w:right="680"/>
              <w:jc w:val="both"/>
              <w:rPr>
                <w:rFonts w:cstheme="minorHAnsi"/>
                <w:i/>
                <w:sz w:val="18"/>
                <w:szCs w:val="18"/>
              </w:rPr>
            </w:pPr>
            <w:r w:rsidRPr="00EC08F6">
              <w:rPr>
                <w:rFonts w:cstheme="minorHAnsi"/>
                <w:i/>
                <w:sz w:val="18"/>
                <w:szCs w:val="18"/>
              </w:rPr>
              <w:t>1383/2024</w:t>
            </w:r>
          </w:p>
        </w:tc>
        <w:tc>
          <w:tcPr>
            <w:tcW w:w="2977" w:type="dxa"/>
          </w:tcPr>
          <w:p w14:paraId="67041F48" w14:textId="4A8E5F29" w:rsidR="001051FA" w:rsidRPr="00EC08F6" w:rsidRDefault="00EC08F6" w:rsidP="005A5CBE">
            <w:pPr>
              <w:tabs>
                <w:tab w:val="left" w:pos="567"/>
              </w:tabs>
              <w:spacing w:line="360" w:lineRule="auto"/>
              <w:ind w:right="680"/>
              <w:jc w:val="both"/>
              <w:rPr>
                <w:rFonts w:cstheme="minorHAnsi"/>
                <w:i/>
                <w:sz w:val="18"/>
                <w:szCs w:val="18"/>
              </w:rPr>
            </w:pPr>
            <w:r w:rsidRPr="00EC08F6">
              <w:rPr>
                <w:rFonts w:cstheme="minorHAnsi"/>
                <w:i/>
                <w:sz w:val="18"/>
                <w:szCs w:val="18"/>
              </w:rPr>
              <w:t>Primero de Distrito</w:t>
            </w:r>
          </w:p>
        </w:tc>
        <w:tc>
          <w:tcPr>
            <w:tcW w:w="1701" w:type="dxa"/>
          </w:tcPr>
          <w:p w14:paraId="2430F10A" w14:textId="2896C6A8" w:rsidR="001051FA" w:rsidRPr="00EC08F6" w:rsidRDefault="00EC08F6" w:rsidP="005A5CBE">
            <w:pPr>
              <w:tabs>
                <w:tab w:val="left" w:pos="567"/>
              </w:tabs>
              <w:spacing w:line="360" w:lineRule="auto"/>
              <w:ind w:right="680"/>
              <w:jc w:val="both"/>
              <w:rPr>
                <w:rFonts w:cstheme="minorHAnsi"/>
                <w:i/>
                <w:sz w:val="18"/>
                <w:szCs w:val="18"/>
              </w:rPr>
            </w:pPr>
            <w:r w:rsidRPr="00EC08F6">
              <w:rPr>
                <w:rFonts w:cstheme="minorHAnsi"/>
                <w:i/>
                <w:sz w:val="18"/>
                <w:szCs w:val="18"/>
              </w:rPr>
              <w:t>En trámite</w:t>
            </w:r>
          </w:p>
        </w:tc>
      </w:tr>
      <w:tr w:rsidR="00EC08F6" w14:paraId="13A05BD9" w14:textId="77777777" w:rsidTr="00C05653">
        <w:tc>
          <w:tcPr>
            <w:tcW w:w="2150" w:type="dxa"/>
          </w:tcPr>
          <w:p w14:paraId="66E09B6F" w14:textId="432966F0"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Juicio de Amparo</w:t>
            </w:r>
          </w:p>
        </w:tc>
        <w:tc>
          <w:tcPr>
            <w:tcW w:w="1843" w:type="dxa"/>
          </w:tcPr>
          <w:p w14:paraId="51B7F1C0" w14:textId="5C19AB28"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139/2025-II</w:t>
            </w:r>
          </w:p>
        </w:tc>
        <w:tc>
          <w:tcPr>
            <w:tcW w:w="2977" w:type="dxa"/>
          </w:tcPr>
          <w:p w14:paraId="18C23954" w14:textId="15D5D179"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Cuarto de Distrito</w:t>
            </w:r>
          </w:p>
        </w:tc>
        <w:tc>
          <w:tcPr>
            <w:tcW w:w="1701" w:type="dxa"/>
          </w:tcPr>
          <w:p w14:paraId="6E1E188A" w14:textId="6E31D62E"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En trámite</w:t>
            </w:r>
          </w:p>
        </w:tc>
      </w:tr>
      <w:tr w:rsidR="00EC08F6" w14:paraId="272A1B17" w14:textId="77777777" w:rsidTr="00C05653">
        <w:tc>
          <w:tcPr>
            <w:tcW w:w="2150" w:type="dxa"/>
          </w:tcPr>
          <w:p w14:paraId="09F05519" w14:textId="265EE1BA"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Juicio de Amparo</w:t>
            </w:r>
          </w:p>
        </w:tc>
        <w:tc>
          <w:tcPr>
            <w:tcW w:w="1843" w:type="dxa"/>
          </w:tcPr>
          <w:p w14:paraId="63FD5B93" w14:textId="108B4EEE"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1152/2025-II</w:t>
            </w:r>
          </w:p>
        </w:tc>
        <w:tc>
          <w:tcPr>
            <w:tcW w:w="2977" w:type="dxa"/>
          </w:tcPr>
          <w:p w14:paraId="09AEF8C9" w14:textId="06AC7D8B"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Cuarto de Distrito</w:t>
            </w:r>
          </w:p>
        </w:tc>
        <w:tc>
          <w:tcPr>
            <w:tcW w:w="1701" w:type="dxa"/>
          </w:tcPr>
          <w:p w14:paraId="188AFD74" w14:textId="08F2A444" w:rsidR="00EC08F6" w:rsidRPr="00EC08F6" w:rsidRDefault="00EC08F6" w:rsidP="00EC08F6">
            <w:pPr>
              <w:tabs>
                <w:tab w:val="left" w:pos="567"/>
              </w:tabs>
              <w:spacing w:line="360" w:lineRule="auto"/>
              <w:ind w:right="680"/>
              <w:jc w:val="both"/>
              <w:rPr>
                <w:rFonts w:cstheme="minorHAnsi"/>
                <w:i/>
                <w:sz w:val="18"/>
                <w:szCs w:val="18"/>
              </w:rPr>
            </w:pPr>
            <w:r w:rsidRPr="00EC08F6">
              <w:rPr>
                <w:rFonts w:cstheme="minorHAnsi"/>
                <w:i/>
                <w:sz w:val="18"/>
                <w:szCs w:val="18"/>
              </w:rPr>
              <w:t>En trámite</w:t>
            </w:r>
          </w:p>
        </w:tc>
      </w:tr>
    </w:tbl>
    <w:p w14:paraId="611AA008" w14:textId="77777777" w:rsidR="0043277E" w:rsidRDefault="0043277E" w:rsidP="00EF0A8B">
      <w:pPr>
        <w:tabs>
          <w:tab w:val="left" w:pos="567"/>
        </w:tabs>
        <w:spacing w:line="360" w:lineRule="auto"/>
        <w:ind w:right="680"/>
        <w:jc w:val="both"/>
        <w:rPr>
          <w:rFonts w:ascii="AvantGarde Bk BT" w:hAnsi="AvantGarde Bk BT" w:cs="Arial"/>
          <w:i/>
          <w:sz w:val="20"/>
          <w:szCs w:val="20"/>
        </w:rPr>
      </w:pPr>
    </w:p>
    <w:p w14:paraId="0DE189E6" w14:textId="40E5E28F" w:rsidR="00D71833" w:rsidRDefault="00076B33" w:rsidP="00EF0A8B">
      <w:pPr>
        <w:tabs>
          <w:tab w:val="left" w:pos="567"/>
        </w:tabs>
        <w:spacing w:line="240" w:lineRule="auto"/>
        <w:ind w:left="680" w:right="680"/>
        <w:jc w:val="both"/>
        <w:rPr>
          <w:rFonts w:ascii="AvantGarde Bk BT" w:hAnsi="AvantGarde Bk BT" w:cs="Arial"/>
          <w:i/>
          <w:sz w:val="20"/>
          <w:szCs w:val="20"/>
        </w:rPr>
      </w:pPr>
      <w:r>
        <w:rPr>
          <w:rFonts w:ascii="AvantGarde Bk BT" w:hAnsi="AvantGarde Bk BT" w:cs="Arial"/>
          <w:i/>
          <w:sz w:val="20"/>
          <w:szCs w:val="20"/>
        </w:rPr>
        <w:t>Ya que en los documentos solicitados derivan estudios que contienen valoraciones técnicas, diagnósticos, metodologías, criterios que forman parte sustancial de la materia controvertida en el juicio de amparo. Su difusión prematura podría revelar información estratégica, técnica, administrativa y jurídica, cuya interpretación y utilización por terceros podría distorsionar la correcta valoración en el juicio de amparo. Además</w:t>
      </w:r>
      <w:r w:rsidR="00716159">
        <w:rPr>
          <w:rFonts w:ascii="AvantGarde Bk BT" w:hAnsi="AvantGarde Bk BT" w:cs="Arial"/>
          <w:i/>
          <w:sz w:val="20"/>
          <w:szCs w:val="20"/>
        </w:rPr>
        <w:t>,</w:t>
      </w:r>
      <w:r>
        <w:rPr>
          <w:rFonts w:ascii="AvantGarde Bk BT" w:hAnsi="AvantGarde Bk BT" w:cs="Arial"/>
          <w:i/>
          <w:sz w:val="20"/>
          <w:szCs w:val="20"/>
        </w:rPr>
        <w:t xml:space="preserve"> dichos estudios suelen integrar análisis especializados, que, al hacerse públicos, podrían generar presionas externas </w:t>
      </w:r>
      <w:r w:rsidR="00716159">
        <w:rPr>
          <w:rFonts w:ascii="AvantGarde Bk BT" w:hAnsi="AvantGarde Bk BT" w:cs="Arial"/>
          <w:i/>
          <w:sz w:val="20"/>
          <w:szCs w:val="20"/>
        </w:rPr>
        <w:t>o interpretaciones indebidas que afecten la conducción del procedimiento jurisdiccional.</w:t>
      </w:r>
    </w:p>
    <w:p w14:paraId="4E316875" w14:textId="3B8CBF98" w:rsidR="00716159" w:rsidRDefault="00716159" w:rsidP="00EF0A8B">
      <w:pPr>
        <w:tabs>
          <w:tab w:val="left" w:pos="567"/>
        </w:tabs>
        <w:spacing w:line="240" w:lineRule="auto"/>
        <w:ind w:left="680" w:right="680"/>
        <w:jc w:val="both"/>
        <w:rPr>
          <w:rFonts w:ascii="AvantGarde Bk BT" w:hAnsi="AvantGarde Bk BT" w:cs="Arial"/>
          <w:i/>
          <w:sz w:val="20"/>
          <w:szCs w:val="20"/>
        </w:rPr>
      </w:pPr>
      <w:r>
        <w:rPr>
          <w:rFonts w:ascii="AvantGarde Bk BT" w:hAnsi="AvantGarde Bk BT" w:cs="Arial"/>
          <w:i/>
          <w:sz w:val="20"/>
          <w:szCs w:val="20"/>
        </w:rPr>
        <w:t xml:space="preserve">Es por ello que, </w:t>
      </w:r>
      <w:r w:rsidR="00A25365">
        <w:rPr>
          <w:rFonts w:ascii="AvantGarde Bk BT" w:hAnsi="AvantGarde Bk BT" w:cs="Arial"/>
          <w:i/>
          <w:sz w:val="20"/>
          <w:szCs w:val="20"/>
        </w:rPr>
        <w:t>de ser divulgada</w:t>
      </w:r>
      <w:r w:rsidR="00C05653">
        <w:rPr>
          <w:rFonts w:ascii="AvantGarde Bk BT" w:hAnsi="AvantGarde Bk BT" w:cs="Arial"/>
          <w:i/>
          <w:sz w:val="20"/>
          <w:szCs w:val="20"/>
        </w:rPr>
        <w:t xml:space="preserve"> </w:t>
      </w:r>
      <w:r w:rsidR="00A25365">
        <w:rPr>
          <w:rFonts w:ascii="AvantGarde Bk BT" w:hAnsi="AvantGarde Bk BT" w:cs="Arial"/>
          <w:i/>
          <w:sz w:val="20"/>
          <w:szCs w:val="20"/>
        </w:rPr>
        <w:t>dicha información durante el proceso para fincar responsabilidades, puede comprometer la imparcialidad del mismo y afectar los derechos de las partes involucradas en tanto no hayan causado estado.</w:t>
      </w:r>
    </w:p>
    <w:p w14:paraId="1CAF2DCF" w14:textId="3E6CFE78" w:rsidR="00D52ABB" w:rsidRPr="00D52ABB" w:rsidRDefault="00A25365" w:rsidP="00D52ABB">
      <w:pPr>
        <w:tabs>
          <w:tab w:val="left" w:pos="567"/>
        </w:tabs>
        <w:spacing w:line="240" w:lineRule="auto"/>
        <w:ind w:left="680" w:right="680"/>
        <w:jc w:val="both"/>
        <w:rPr>
          <w:rFonts w:ascii="AvantGarde Bk BT" w:hAnsi="AvantGarde Bk BT" w:cs="Arial"/>
          <w:i/>
          <w:szCs w:val="24"/>
        </w:rPr>
      </w:pPr>
      <w:r>
        <w:rPr>
          <w:rFonts w:ascii="AvantGarde Bk BT" w:hAnsi="AvantGarde Bk BT" w:cs="Arial"/>
          <w:i/>
          <w:sz w:val="20"/>
          <w:szCs w:val="20"/>
        </w:rPr>
        <w:t>Se anexa el presente Acuerdo de Reserva C.T. –A.R. 006//2025.</w:t>
      </w:r>
      <w:r w:rsidR="00DE7B29" w:rsidRPr="000B4947">
        <w:rPr>
          <w:rFonts w:ascii="AvantGarde Bk BT" w:hAnsi="AvantGarde Bk BT" w:cs="Arial"/>
          <w:i/>
          <w:szCs w:val="24"/>
        </w:rPr>
        <w:t>”</w:t>
      </w:r>
      <w:r w:rsidR="00952000">
        <w:rPr>
          <w:rFonts w:ascii="AvantGarde Bk BT" w:hAnsi="AvantGarde Bk BT" w:cs="Arial"/>
          <w:i/>
          <w:szCs w:val="24"/>
        </w:rPr>
        <w:t xml:space="preserve"> </w:t>
      </w:r>
      <w:r w:rsidR="00952000" w:rsidRPr="00A25365">
        <w:rPr>
          <w:rFonts w:ascii="AvantGarde Bk BT" w:hAnsi="AvantGarde Bk BT" w:cs="Arial"/>
          <w:b/>
          <w:sz w:val="24"/>
          <w:szCs w:val="24"/>
        </w:rPr>
        <w:t>SIC</w:t>
      </w:r>
      <w:r w:rsidR="00952000" w:rsidRPr="00952000">
        <w:rPr>
          <w:rFonts w:ascii="AvantGarde Bk BT" w:hAnsi="AvantGarde Bk BT" w:cs="Arial"/>
          <w:szCs w:val="24"/>
        </w:rPr>
        <w:t>.</w:t>
      </w:r>
      <w:r w:rsidR="00952000">
        <w:rPr>
          <w:rFonts w:ascii="AvantGarde Bk BT" w:hAnsi="AvantGarde Bk BT" w:cs="Arial"/>
          <w:i/>
          <w:szCs w:val="24"/>
        </w:rPr>
        <w:t xml:space="preserve"> </w:t>
      </w:r>
      <w:r w:rsidR="00DE7B29" w:rsidRPr="000B4947">
        <w:rPr>
          <w:rFonts w:ascii="AvantGarde Bk BT" w:hAnsi="AvantGarde Bk BT" w:cs="Arial"/>
          <w:i/>
          <w:szCs w:val="24"/>
        </w:rPr>
        <w:t xml:space="preserve"> </w:t>
      </w:r>
    </w:p>
    <w:p w14:paraId="4B966D7B" w14:textId="36015CA3" w:rsidR="00952000" w:rsidRDefault="00952000" w:rsidP="00952000">
      <w:pPr>
        <w:tabs>
          <w:tab w:val="left" w:pos="567"/>
        </w:tabs>
        <w:spacing w:after="240" w:line="360" w:lineRule="auto"/>
        <w:ind w:firstLine="680"/>
        <w:jc w:val="both"/>
        <w:rPr>
          <w:rFonts w:ascii="AvantGarde Bk BT" w:hAnsi="AvantGarde Bk BT" w:cs="Arial"/>
          <w:sz w:val="24"/>
          <w:szCs w:val="24"/>
        </w:rPr>
      </w:pPr>
      <w:r>
        <w:rPr>
          <w:rFonts w:ascii="AvantGarde Bk BT" w:hAnsi="AvantGarde Bk BT" w:cs="Arial"/>
          <w:sz w:val="24"/>
          <w:szCs w:val="24"/>
        </w:rPr>
        <w:t>Inconforme con lo anterior, el particular interpuso el presente recurso de revisión y señaló como agravio</w:t>
      </w:r>
      <w:r w:rsidR="00C4669B">
        <w:rPr>
          <w:rFonts w:ascii="AvantGarde Bk BT" w:hAnsi="AvantGarde Bk BT" w:cs="Arial"/>
          <w:sz w:val="24"/>
          <w:szCs w:val="24"/>
        </w:rPr>
        <w:t>s</w:t>
      </w:r>
      <w:r>
        <w:rPr>
          <w:rFonts w:ascii="AvantGarde Bk BT" w:hAnsi="AvantGarde Bk BT" w:cs="Arial"/>
          <w:sz w:val="24"/>
          <w:szCs w:val="24"/>
        </w:rPr>
        <w:t xml:space="preserve"> </w:t>
      </w:r>
      <w:r w:rsidR="00C4669B">
        <w:rPr>
          <w:rFonts w:ascii="AvantGarde Bk BT" w:hAnsi="AvantGarde Bk BT" w:cs="Arial"/>
          <w:sz w:val="24"/>
          <w:szCs w:val="24"/>
        </w:rPr>
        <w:t>esencialmente</w:t>
      </w:r>
      <w:r w:rsidR="00D52ABB">
        <w:rPr>
          <w:rFonts w:ascii="AvantGarde Bk BT" w:hAnsi="AvantGarde Bk BT" w:cs="Arial"/>
          <w:sz w:val="24"/>
          <w:szCs w:val="24"/>
        </w:rPr>
        <w:t xml:space="preserve"> que</w:t>
      </w:r>
      <w:r w:rsidR="00C4669B">
        <w:rPr>
          <w:rFonts w:ascii="AvantGarde Bk BT" w:hAnsi="AvantGarde Bk BT" w:cs="Arial"/>
          <w:sz w:val="24"/>
          <w:szCs w:val="24"/>
        </w:rPr>
        <w:t>:</w:t>
      </w:r>
    </w:p>
    <w:p w14:paraId="575205DD" w14:textId="5950D1C2" w:rsidR="00952000" w:rsidRDefault="00952000" w:rsidP="00952000">
      <w:pPr>
        <w:tabs>
          <w:tab w:val="left" w:pos="567"/>
        </w:tabs>
        <w:spacing w:after="240" w:line="240" w:lineRule="auto"/>
        <w:ind w:left="680" w:right="680"/>
        <w:jc w:val="both"/>
        <w:rPr>
          <w:rFonts w:ascii="AvantGarde Bk BT" w:hAnsi="AvantGarde Bk BT" w:cs="Arial"/>
          <w:color w:val="000000" w:themeColor="text1"/>
          <w:sz w:val="24"/>
          <w:szCs w:val="24"/>
        </w:rPr>
      </w:pPr>
      <w:r w:rsidRPr="00647F23">
        <w:rPr>
          <w:rFonts w:ascii="AvantGarde Bk BT" w:hAnsi="AvantGarde Bk BT" w:cs="Arial"/>
          <w:b/>
          <w:color w:val="000000" w:themeColor="text1"/>
          <w:sz w:val="24"/>
          <w:szCs w:val="24"/>
        </w:rPr>
        <w:t>1.</w:t>
      </w:r>
      <w:r>
        <w:rPr>
          <w:rFonts w:ascii="AvantGarde Bk BT" w:hAnsi="AvantGarde Bk BT" w:cs="Arial"/>
          <w:color w:val="000000" w:themeColor="text1"/>
          <w:sz w:val="24"/>
          <w:szCs w:val="24"/>
        </w:rPr>
        <w:t xml:space="preserve"> </w:t>
      </w:r>
      <w:r w:rsidR="00C4669B">
        <w:rPr>
          <w:rFonts w:ascii="AvantGarde Bk BT" w:hAnsi="AvantGarde Bk BT" w:cs="Arial"/>
          <w:color w:val="000000" w:themeColor="text1"/>
          <w:sz w:val="24"/>
          <w:szCs w:val="24"/>
        </w:rPr>
        <w:t>El sujeto obligado clasifica como reservada información que, por su propia naturaleza, es información estadística, ya que lo solicitado en los puntos 1,2,4 y 5 de su solicitud consisten en números o conteos.</w:t>
      </w:r>
    </w:p>
    <w:p w14:paraId="00B7DC29" w14:textId="134E8808" w:rsidR="00952000" w:rsidRDefault="00952000" w:rsidP="00952000">
      <w:pPr>
        <w:tabs>
          <w:tab w:val="left" w:pos="567"/>
        </w:tabs>
        <w:spacing w:after="240" w:line="240" w:lineRule="auto"/>
        <w:ind w:left="680" w:right="680"/>
        <w:jc w:val="both"/>
        <w:rPr>
          <w:rFonts w:ascii="AvantGarde Bk BT" w:hAnsi="AvantGarde Bk BT" w:cs="Arial"/>
          <w:color w:val="000000" w:themeColor="text1"/>
          <w:sz w:val="24"/>
          <w:szCs w:val="24"/>
        </w:rPr>
      </w:pPr>
      <w:r w:rsidRPr="00647F23">
        <w:rPr>
          <w:rFonts w:ascii="AvantGarde Bk BT" w:hAnsi="AvantGarde Bk BT" w:cs="Arial"/>
          <w:b/>
          <w:color w:val="000000" w:themeColor="text1"/>
          <w:sz w:val="24"/>
          <w:szCs w:val="24"/>
        </w:rPr>
        <w:t>2.</w:t>
      </w:r>
      <w:r>
        <w:rPr>
          <w:rFonts w:ascii="AvantGarde Bk BT" w:hAnsi="AvantGarde Bk BT" w:cs="Arial"/>
          <w:color w:val="000000" w:themeColor="text1"/>
          <w:sz w:val="24"/>
          <w:szCs w:val="24"/>
        </w:rPr>
        <w:t xml:space="preserve"> </w:t>
      </w:r>
      <w:r w:rsidR="00EF0A8B">
        <w:rPr>
          <w:rFonts w:ascii="AvantGarde Bk BT" w:hAnsi="AvantGarde Bk BT" w:cs="Arial"/>
          <w:color w:val="000000" w:themeColor="text1"/>
          <w:sz w:val="24"/>
          <w:szCs w:val="24"/>
        </w:rPr>
        <w:t>De los puntos 3 y 6 de su solicitud, no se justifica la negativa del sujeto obligado de elaborar y entregar una versión pública de la información solicitada, ya que tanto la Ley General como la local en materia de transparencia, prohíben la realización de reservas generalizadas</w:t>
      </w:r>
      <w:r>
        <w:rPr>
          <w:rFonts w:ascii="AvantGarde Bk BT" w:hAnsi="AvantGarde Bk BT" w:cs="Arial"/>
          <w:color w:val="000000" w:themeColor="text1"/>
          <w:sz w:val="24"/>
          <w:szCs w:val="24"/>
        </w:rPr>
        <w:t>.</w:t>
      </w:r>
    </w:p>
    <w:p w14:paraId="2885C173" w14:textId="3E10FE05" w:rsidR="00952000" w:rsidRDefault="00952000" w:rsidP="00952000">
      <w:pPr>
        <w:tabs>
          <w:tab w:val="left" w:pos="567"/>
        </w:tabs>
        <w:spacing w:after="240" w:line="240" w:lineRule="auto"/>
        <w:ind w:left="680" w:right="680"/>
        <w:jc w:val="both"/>
        <w:rPr>
          <w:rFonts w:ascii="AvantGarde Bk BT" w:hAnsi="AvantGarde Bk BT" w:cs="Arial"/>
          <w:color w:val="000000" w:themeColor="text1"/>
          <w:sz w:val="24"/>
          <w:szCs w:val="24"/>
        </w:rPr>
      </w:pPr>
      <w:r w:rsidRPr="00647F23">
        <w:rPr>
          <w:rFonts w:ascii="AvantGarde Bk BT" w:hAnsi="AvantGarde Bk BT" w:cs="Arial"/>
          <w:b/>
          <w:color w:val="000000" w:themeColor="text1"/>
          <w:sz w:val="24"/>
          <w:szCs w:val="24"/>
        </w:rPr>
        <w:t>3.</w:t>
      </w:r>
      <w:r>
        <w:rPr>
          <w:rFonts w:ascii="AvantGarde Bk BT" w:hAnsi="AvantGarde Bk BT" w:cs="Arial"/>
          <w:color w:val="000000" w:themeColor="text1"/>
          <w:sz w:val="24"/>
          <w:szCs w:val="24"/>
        </w:rPr>
        <w:t xml:space="preserve"> </w:t>
      </w:r>
      <w:r w:rsidR="00EF0A8B">
        <w:rPr>
          <w:rFonts w:ascii="AvantGarde Bk BT" w:hAnsi="AvantGarde Bk BT" w:cs="Arial"/>
          <w:color w:val="000000" w:themeColor="text1"/>
          <w:sz w:val="24"/>
          <w:szCs w:val="24"/>
        </w:rPr>
        <w:t>Los fundamentos y la prueba de daño del acuerdo de reserva son deficientes</w:t>
      </w:r>
      <w:r>
        <w:rPr>
          <w:rFonts w:ascii="AvantGarde Bk BT" w:hAnsi="AvantGarde Bk BT" w:cs="Arial"/>
          <w:color w:val="000000" w:themeColor="text1"/>
          <w:sz w:val="24"/>
          <w:szCs w:val="24"/>
        </w:rPr>
        <w:t>.</w:t>
      </w:r>
    </w:p>
    <w:p w14:paraId="7A4358F2" w14:textId="21C230AE" w:rsidR="007C05D8" w:rsidRDefault="003E32E0" w:rsidP="00D52ABB">
      <w:pPr>
        <w:tabs>
          <w:tab w:val="left" w:pos="567"/>
        </w:tabs>
        <w:spacing w:after="240" w:line="360" w:lineRule="auto"/>
        <w:ind w:firstLine="680"/>
        <w:jc w:val="both"/>
        <w:rPr>
          <w:rFonts w:ascii="AvantGarde Bk BT" w:hAnsi="AvantGarde Bk BT" w:cs="Arial"/>
          <w:color w:val="000000" w:themeColor="text1"/>
          <w:sz w:val="24"/>
          <w:szCs w:val="24"/>
        </w:rPr>
      </w:pPr>
      <w:r w:rsidRPr="00D52ABB">
        <w:rPr>
          <w:rFonts w:ascii="AvantGarde Bk BT" w:hAnsi="AvantGarde Bk BT" w:cs="Arial"/>
          <w:color w:val="000000" w:themeColor="text1"/>
          <w:sz w:val="24"/>
          <w:szCs w:val="24"/>
        </w:rPr>
        <w:t>Ahora</w:t>
      </w:r>
      <w:r w:rsidR="00952000" w:rsidRPr="00D52ABB">
        <w:rPr>
          <w:rFonts w:ascii="AvantGarde Bk BT" w:hAnsi="AvantGarde Bk BT" w:cs="Arial"/>
          <w:color w:val="000000" w:themeColor="text1"/>
          <w:sz w:val="24"/>
          <w:szCs w:val="24"/>
        </w:rPr>
        <w:t xml:space="preserve">, durante el periodo de instrucción del recurso de revisión en que se actúa, el sujeto obligado informó a esta Comisión que </w:t>
      </w:r>
      <w:r w:rsidR="00952000" w:rsidRPr="00D52ABB">
        <w:rPr>
          <w:rFonts w:ascii="AvantGarde Bk BT" w:hAnsi="AvantGarde Bk BT" w:cs="Arial"/>
          <w:b/>
          <w:color w:val="000000" w:themeColor="text1"/>
          <w:sz w:val="24"/>
          <w:szCs w:val="24"/>
          <w:u w:val="single"/>
        </w:rPr>
        <w:t>modificó el acto impugnado</w:t>
      </w:r>
      <w:r w:rsidR="00952000" w:rsidRPr="00D52ABB">
        <w:rPr>
          <w:rFonts w:ascii="AvantGarde Bk BT" w:hAnsi="AvantGarde Bk BT" w:cs="Arial"/>
          <w:color w:val="000000" w:themeColor="text1"/>
          <w:sz w:val="24"/>
          <w:szCs w:val="24"/>
        </w:rPr>
        <w:t xml:space="preserve"> al </w:t>
      </w:r>
      <w:r w:rsidR="00D52ABB">
        <w:rPr>
          <w:rFonts w:ascii="AvantGarde Bk BT" w:hAnsi="AvantGarde Bk BT" w:cs="Arial"/>
          <w:color w:val="000000" w:themeColor="text1"/>
          <w:sz w:val="24"/>
          <w:szCs w:val="24"/>
        </w:rPr>
        <w:t xml:space="preserve">notificar al particular </w:t>
      </w:r>
      <w:r w:rsidR="00472417" w:rsidRPr="00D52ABB">
        <w:rPr>
          <w:rFonts w:ascii="AvantGarde Bk BT" w:hAnsi="AvantGarde Bk BT" w:cs="Arial"/>
          <w:color w:val="000000" w:themeColor="text1"/>
          <w:sz w:val="24"/>
          <w:szCs w:val="24"/>
        </w:rPr>
        <w:t>una nueva contestació</w:t>
      </w:r>
      <w:r w:rsidR="00664196" w:rsidRPr="00D52ABB">
        <w:rPr>
          <w:rFonts w:ascii="AvantGarde Bk BT" w:hAnsi="AvantGarde Bk BT" w:cs="Arial"/>
          <w:color w:val="000000" w:themeColor="text1"/>
          <w:sz w:val="24"/>
          <w:szCs w:val="24"/>
        </w:rPr>
        <w:t>n</w:t>
      </w:r>
      <w:r w:rsidR="00D52ABB">
        <w:rPr>
          <w:rFonts w:ascii="AvantGarde Bk BT" w:hAnsi="AvantGarde Bk BT" w:cs="Arial"/>
          <w:color w:val="000000" w:themeColor="text1"/>
          <w:sz w:val="24"/>
          <w:szCs w:val="24"/>
        </w:rPr>
        <w:t xml:space="preserve">, la cual, fue emitida por el Encargado de la </w:t>
      </w:r>
      <w:r w:rsidR="00D52ABB">
        <w:rPr>
          <w:rFonts w:ascii="AvantGarde Bk BT" w:hAnsi="AvantGarde Bk BT" w:cs="Arial"/>
          <w:color w:val="000000" w:themeColor="text1"/>
          <w:sz w:val="24"/>
          <w:szCs w:val="24"/>
        </w:rPr>
        <w:lastRenderedPageBreak/>
        <w:t>Dirección de Proyectos y de la Dirección de Fraccionamientos</w:t>
      </w:r>
      <w:r w:rsidR="00687FEC">
        <w:rPr>
          <w:rFonts w:ascii="AvantGarde Bk BT" w:hAnsi="AvantGarde Bk BT" w:cs="Arial"/>
          <w:color w:val="000000" w:themeColor="text1"/>
          <w:sz w:val="24"/>
          <w:szCs w:val="24"/>
        </w:rPr>
        <w:t xml:space="preserve"> y se encuentra visible de foja cuarenta y uno a noventa de autos</w:t>
      </w:r>
      <w:r w:rsidR="00D52ABB">
        <w:rPr>
          <w:rFonts w:ascii="AvantGarde Bk BT" w:hAnsi="AvantGarde Bk BT" w:cs="Arial"/>
          <w:color w:val="000000" w:themeColor="text1"/>
          <w:sz w:val="24"/>
          <w:szCs w:val="24"/>
        </w:rPr>
        <w:t>.</w:t>
      </w:r>
    </w:p>
    <w:p w14:paraId="3CD47C15" w14:textId="6D1F1D4C" w:rsidR="0009622D" w:rsidRDefault="00AD70C4" w:rsidP="0090619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 través de</w:t>
      </w:r>
      <w:r w:rsidR="00952000">
        <w:rPr>
          <w:rFonts w:ascii="AvantGarde Bk BT" w:hAnsi="AvantGarde Bk BT" w:cs="Arial"/>
          <w:color w:val="000000" w:themeColor="text1"/>
          <w:sz w:val="24"/>
          <w:szCs w:val="24"/>
        </w:rPr>
        <w:t xml:space="preserve"> </w:t>
      </w:r>
      <w:r w:rsidR="007C05D8">
        <w:rPr>
          <w:rFonts w:ascii="AvantGarde Bk BT" w:hAnsi="AvantGarde Bk BT" w:cs="Arial"/>
          <w:color w:val="000000" w:themeColor="text1"/>
          <w:sz w:val="24"/>
          <w:szCs w:val="24"/>
        </w:rPr>
        <w:t xml:space="preserve">ésta, </w:t>
      </w:r>
      <w:r w:rsidR="00952000">
        <w:rPr>
          <w:rFonts w:ascii="AvantGarde Bk BT" w:hAnsi="AvantGarde Bk BT" w:cs="Arial"/>
          <w:color w:val="000000" w:themeColor="text1"/>
          <w:sz w:val="24"/>
          <w:szCs w:val="24"/>
        </w:rPr>
        <w:t xml:space="preserve">el sujeto obligado </w:t>
      </w:r>
      <w:r w:rsidR="00D52ABB">
        <w:rPr>
          <w:rFonts w:ascii="AvantGarde Bk BT" w:hAnsi="AvantGarde Bk BT" w:cs="Arial"/>
          <w:color w:val="000000" w:themeColor="text1"/>
          <w:sz w:val="24"/>
          <w:szCs w:val="24"/>
        </w:rPr>
        <w:t>modificó</w:t>
      </w:r>
      <w:r w:rsidR="00952000">
        <w:rPr>
          <w:rFonts w:ascii="AvantGarde Bk BT" w:hAnsi="AvantGarde Bk BT" w:cs="Arial"/>
          <w:color w:val="000000" w:themeColor="text1"/>
          <w:sz w:val="24"/>
          <w:szCs w:val="24"/>
        </w:rPr>
        <w:t xml:space="preserve"> </w:t>
      </w:r>
      <w:r w:rsidR="00687FEC">
        <w:rPr>
          <w:rFonts w:ascii="AvantGarde Bk BT" w:hAnsi="AvantGarde Bk BT" w:cs="Arial"/>
          <w:color w:val="000000" w:themeColor="text1"/>
          <w:sz w:val="24"/>
          <w:szCs w:val="24"/>
        </w:rPr>
        <w:t>la</w:t>
      </w:r>
      <w:r w:rsidR="00952000">
        <w:rPr>
          <w:rFonts w:ascii="AvantGarde Bk BT" w:hAnsi="AvantGarde Bk BT" w:cs="Arial"/>
          <w:color w:val="000000" w:themeColor="text1"/>
          <w:sz w:val="24"/>
          <w:szCs w:val="24"/>
        </w:rPr>
        <w:t xml:space="preserve"> respuesta primigenia </w:t>
      </w:r>
      <w:r w:rsidR="00687FEC">
        <w:rPr>
          <w:rFonts w:ascii="AvantGarde Bk BT" w:hAnsi="AvantGarde Bk BT" w:cs="Arial"/>
          <w:color w:val="000000" w:themeColor="text1"/>
          <w:sz w:val="24"/>
          <w:szCs w:val="24"/>
        </w:rPr>
        <w:t xml:space="preserve">otorgada </w:t>
      </w:r>
      <w:r w:rsidR="00D52ABB">
        <w:rPr>
          <w:rFonts w:ascii="AvantGarde Bk BT" w:hAnsi="AvantGarde Bk BT" w:cs="Arial"/>
          <w:color w:val="000000" w:themeColor="text1"/>
          <w:sz w:val="24"/>
          <w:szCs w:val="24"/>
        </w:rPr>
        <w:t>a los puntos identificados como</w:t>
      </w:r>
      <w:r w:rsidR="0009622D">
        <w:rPr>
          <w:rFonts w:ascii="AvantGarde Bk BT" w:hAnsi="AvantGarde Bk BT" w:cs="Arial"/>
          <w:color w:val="000000" w:themeColor="text1"/>
          <w:sz w:val="24"/>
          <w:szCs w:val="24"/>
        </w:rPr>
        <w:t xml:space="preserve"> 1, 2 y 3 de la solicitud,</w:t>
      </w:r>
      <w:r w:rsidR="00D52ABB">
        <w:rPr>
          <w:rFonts w:ascii="AvantGarde Bk BT" w:hAnsi="AvantGarde Bk BT" w:cs="Arial"/>
          <w:color w:val="000000" w:themeColor="text1"/>
          <w:sz w:val="24"/>
          <w:szCs w:val="24"/>
        </w:rPr>
        <w:t xml:space="preserve"> </w:t>
      </w:r>
      <w:r w:rsidR="0009622D">
        <w:rPr>
          <w:rFonts w:ascii="AvantGarde Bk BT" w:hAnsi="AvantGarde Bk BT" w:cs="Arial"/>
          <w:color w:val="000000" w:themeColor="text1"/>
          <w:sz w:val="24"/>
          <w:szCs w:val="24"/>
        </w:rPr>
        <w:t>referentes a “</w:t>
      </w:r>
      <w:r w:rsidR="0009622D" w:rsidRPr="0009622D">
        <w:rPr>
          <w:rFonts w:ascii="AvantGarde Bk BT" w:hAnsi="AvantGarde Bk BT" w:cs="Arial"/>
          <w:i/>
          <w:color w:val="000000" w:themeColor="text1"/>
        </w:rPr>
        <w:t>1. Informe cuántos estudios de factibilidad ha solicitado la empresa PROMOTORA SIAIRO, S.A DE C.V. al INTERAPAS, en los últimos diez años; 2. Informe cuántos estudios de factibilidad ha solicitado la empresa MUGAVUS CONSTRUCCIONES, S.A DE C.V. al INTERAPAS, en los últimos diez años; 3. Solicito la versión pública y en archivo electrónico de los estudios de factibilidad positivo que emitió el INTERAPAS a PROMOTORA SIAIRO, S.A DE C.V. y MUGAVUS CONSTRUCCIONES, S.A D</w:t>
      </w:r>
      <w:r w:rsidR="000406B2">
        <w:rPr>
          <w:rFonts w:ascii="AvantGarde Bk BT" w:hAnsi="AvantGarde Bk BT" w:cs="Arial"/>
          <w:i/>
          <w:color w:val="000000" w:themeColor="text1"/>
        </w:rPr>
        <w:t>E C.V., en los últimos diez años</w:t>
      </w:r>
      <w:r w:rsidR="0009622D">
        <w:rPr>
          <w:rFonts w:ascii="AvantGarde Bk BT" w:hAnsi="AvantGarde Bk BT" w:cs="Arial"/>
          <w:color w:val="000000" w:themeColor="text1"/>
          <w:sz w:val="24"/>
          <w:szCs w:val="24"/>
        </w:rPr>
        <w:t>”</w:t>
      </w:r>
      <w:r w:rsidR="000406B2">
        <w:rPr>
          <w:rFonts w:ascii="AvantGarde Bk BT" w:hAnsi="AvantGarde Bk BT" w:cs="Arial"/>
          <w:color w:val="000000" w:themeColor="text1"/>
          <w:sz w:val="24"/>
          <w:szCs w:val="24"/>
        </w:rPr>
        <w:t>, la cual fue en el siguiente sentido</w:t>
      </w:r>
      <w:r w:rsidR="00B5612F">
        <w:rPr>
          <w:rFonts w:ascii="AvantGarde Bk BT" w:hAnsi="AvantGarde Bk BT" w:cs="Arial"/>
          <w:color w:val="000000" w:themeColor="text1"/>
          <w:sz w:val="24"/>
          <w:szCs w:val="24"/>
        </w:rPr>
        <w:t>:</w:t>
      </w:r>
    </w:p>
    <w:p w14:paraId="43122E99" w14:textId="14838840" w:rsidR="000406B2" w:rsidRPr="000406B2" w:rsidRDefault="000406B2" w:rsidP="000406B2">
      <w:pPr>
        <w:tabs>
          <w:tab w:val="left" w:pos="567"/>
        </w:tabs>
        <w:spacing w:after="240" w:line="360" w:lineRule="auto"/>
        <w:ind w:left="680" w:right="680"/>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w:t>
      </w:r>
      <w:r w:rsidRPr="000406B2">
        <w:rPr>
          <w:rFonts w:ascii="AvantGarde Bk BT" w:hAnsi="AvantGarde Bk BT" w:cs="Arial"/>
          <w:i/>
          <w:color w:val="000000" w:themeColor="text1"/>
          <w:sz w:val="20"/>
          <w:szCs w:val="20"/>
        </w:rPr>
        <w:t>Con lo anteriormente mencionado y después de una búsqueda exhaustiva en los archivos de este Organismo Operador INTERAPAS, se informa lo siguiente:</w:t>
      </w:r>
    </w:p>
    <w:p w14:paraId="2DBFEB76" w14:textId="790F63CC" w:rsidR="000406B2" w:rsidRPr="000406B2" w:rsidRDefault="000406B2" w:rsidP="000406B2">
      <w:pPr>
        <w:tabs>
          <w:tab w:val="left" w:pos="567"/>
        </w:tabs>
        <w:spacing w:after="240" w:line="360" w:lineRule="auto"/>
        <w:ind w:left="680" w:right="680"/>
        <w:jc w:val="both"/>
        <w:rPr>
          <w:rFonts w:ascii="AvantGarde Bk BT" w:hAnsi="AvantGarde Bk BT" w:cs="Arial"/>
          <w:i/>
          <w:color w:val="000000" w:themeColor="text1"/>
          <w:sz w:val="20"/>
          <w:szCs w:val="20"/>
        </w:rPr>
      </w:pPr>
      <w:r w:rsidRPr="000406B2">
        <w:rPr>
          <w:rFonts w:ascii="AvantGarde Bk BT" w:hAnsi="AvantGarde Bk BT" w:cs="Arial"/>
          <w:i/>
          <w:color w:val="000000" w:themeColor="text1"/>
          <w:sz w:val="20"/>
          <w:szCs w:val="20"/>
        </w:rPr>
        <w:t>Con referencia a lo solicitado en el punto número 1 hago de su conocimiento que una vez realizando la búsqueda del documento con las características que refiere en su solicitud, se encontraron cero documentos, por lo cual existe imposibilidad de brindar algún documento que cumpla con las especificaciones solicitadas.</w:t>
      </w:r>
    </w:p>
    <w:p w14:paraId="36B8CBFC" w14:textId="77777777" w:rsidR="000406B2" w:rsidRPr="000406B2" w:rsidRDefault="000406B2" w:rsidP="000406B2">
      <w:pPr>
        <w:tabs>
          <w:tab w:val="left" w:pos="567"/>
        </w:tabs>
        <w:spacing w:after="240" w:line="360" w:lineRule="auto"/>
        <w:ind w:left="680" w:right="680"/>
        <w:jc w:val="both"/>
        <w:rPr>
          <w:rFonts w:ascii="AvantGarde Bk BT" w:hAnsi="AvantGarde Bk BT" w:cs="Arial"/>
          <w:i/>
          <w:color w:val="000000" w:themeColor="text1"/>
          <w:sz w:val="20"/>
          <w:szCs w:val="20"/>
        </w:rPr>
      </w:pPr>
      <w:r w:rsidRPr="000406B2">
        <w:rPr>
          <w:rFonts w:ascii="AvantGarde Bk BT" w:hAnsi="AvantGarde Bk BT" w:cs="Arial"/>
          <w:i/>
          <w:color w:val="000000" w:themeColor="text1"/>
          <w:sz w:val="20"/>
          <w:szCs w:val="20"/>
        </w:rPr>
        <w:t>Sirve de apoyo el criterio de interpretación para sujetos obligados Reiterado Histórico, con clave de control: SO/018/2013, en materia de Acceso a la Información Pública:</w:t>
      </w:r>
    </w:p>
    <w:p w14:paraId="57590F71" w14:textId="49A7018B" w:rsidR="000406B2" w:rsidRPr="000406B2" w:rsidRDefault="000406B2" w:rsidP="000406B2">
      <w:pPr>
        <w:tabs>
          <w:tab w:val="left" w:pos="567"/>
        </w:tabs>
        <w:spacing w:after="240" w:line="360" w:lineRule="auto"/>
        <w:ind w:left="680" w:right="680"/>
        <w:jc w:val="both"/>
        <w:rPr>
          <w:rFonts w:ascii="AvantGarde Bk BT" w:hAnsi="AvantGarde Bk BT" w:cs="Arial"/>
          <w:i/>
          <w:color w:val="000000" w:themeColor="text1"/>
          <w:sz w:val="20"/>
          <w:szCs w:val="20"/>
        </w:rPr>
      </w:pPr>
      <w:r w:rsidRPr="000406B2">
        <w:rPr>
          <w:rFonts w:ascii="AvantGarde Bk BT" w:hAnsi="AvantGarde Bk BT" w:cs="Arial"/>
          <w:i/>
          <w:color w:val="000000" w:themeColor="text1"/>
          <w:sz w:val="20"/>
          <w:szCs w:val="20"/>
        </w:rPr>
        <w:t>"Respuesta igual a cero. No es necesario declarar formalmente la inexistencia. En los casos en que se requiere un dato estadístico o numérico, y el resultado de la búsqueda de la información sea cero, este deberá entenderse como un dato que constituye un elemento numérico que atiende la solicitud, y no como la inexistencia de la información solicitada. Por lo anterior, en términos del artículo 42 de la Ley Federal de Transparencia y Acceso a la Información Pública Gubernamental, el número cero es una respuesta válida cuando se solicita información cuantitativa, en virtud de que se trata de un valor en sí mismo"</w:t>
      </w:r>
    </w:p>
    <w:p w14:paraId="7D395295" w14:textId="02E100A2" w:rsidR="000406B2" w:rsidRPr="000406B2" w:rsidRDefault="000406B2" w:rsidP="000406B2">
      <w:pPr>
        <w:tabs>
          <w:tab w:val="left" w:pos="567"/>
        </w:tabs>
        <w:spacing w:after="240" w:line="360" w:lineRule="auto"/>
        <w:ind w:left="680" w:right="680"/>
        <w:jc w:val="both"/>
        <w:rPr>
          <w:rFonts w:ascii="AvantGarde Bk BT" w:hAnsi="AvantGarde Bk BT" w:cs="Arial"/>
          <w:i/>
          <w:color w:val="000000" w:themeColor="text1"/>
          <w:sz w:val="20"/>
          <w:szCs w:val="20"/>
        </w:rPr>
      </w:pPr>
      <w:r w:rsidRPr="000406B2">
        <w:rPr>
          <w:rFonts w:ascii="AvantGarde Bk BT" w:hAnsi="AvantGarde Bk BT" w:cs="Arial"/>
          <w:i/>
          <w:color w:val="000000" w:themeColor="text1"/>
          <w:sz w:val="20"/>
          <w:szCs w:val="20"/>
        </w:rPr>
        <w:t>En referencia al punto número 2, se cuenta con registro de un estudio de factibilidad.</w:t>
      </w:r>
    </w:p>
    <w:p w14:paraId="42136B3D" w14:textId="55305F0B" w:rsidR="0009622D" w:rsidRDefault="000406B2" w:rsidP="000406B2">
      <w:pPr>
        <w:tabs>
          <w:tab w:val="left" w:pos="567"/>
        </w:tabs>
        <w:spacing w:after="240" w:line="360" w:lineRule="auto"/>
        <w:ind w:left="680" w:right="680"/>
        <w:jc w:val="both"/>
        <w:rPr>
          <w:rFonts w:ascii="AvantGarde Bk BT" w:hAnsi="AvantGarde Bk BT" w:cs="Arial"/>
          <w:color w:val="000000" w:themeColor="text1"/>
          <w:sz w:val="24"/>
          <w:szCs w:val="24"/>
        </w:rPr>
      </w:pPr>
      <w:r w:rsidRPr="000406B2">
        <w:rPr>
          <w:rFonts w:ascii="AvantGarde Bk BT" w:hAnsi="AvantGarde Bk BT" w:cs="Arial"/>
          <w:i/>
          <w:color w:val="000000" w:themeColor="text1"/>
          <w:sz w:val="20"/>
          <w:szCs w:val="20"/>
        </w:rPr>
        <w:t>En el punto número 3 en el cual solicita la versión pública de los estudios de factibilidad, se hace entrega del estudio de factibilidad mencionado en el punto anterior respecto a la empresa MUGAVUS CONSTRUCCIONES, S.A DE C.V.</w:t>
      </w:r>
      <w:r>
        <w:rPr>
          <w:rFonts w:ascii="AvantGarde Bk BT" w:hAnsi="AvantGarde Bk BT" w:cs="Arial"/>
          <w:color w:val="000000" w:themeColor="text1"/>
          <w:sz w:val="24"/>
          <w:szCs w:val="24"/>
        </w:rPr>
        <w:t xml:space="preserve">” </w:t>
      </w:r>
      <w:r w:rsidRPr="000406B2">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(Visible al reverso de la foja cuarenta y uno de autos).</w:t>
      </w:r>
    </w:p>
    <w:p w14:paraId="0F4AB8FD" w14:textId="106C0369" w:rsidR="0009622D" w:rsidRDefault="0009622D" w:rsidP="0009622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Así, comunicó al particular que, de una búsqueda en sus archivos, no se encontró algún documento consistente en estudio de factibilidad solicitado por la empresa </w:t>
      </w:r>
      <w:r w:rsidRPr="0009622D">
        <w:rPr>
          <w:rFonts w:ascii="AvantGarde Bk BT" w:hAnsi="AvantGarde Bk BT" w:cs="Arial"/>
          <w:color w:val="000000" w:themeColor="text1"/>
        </w:rPr>
        <w:t>PROMOTORA SIAIRO, S.A DE C.V</w:t>
      </w:r>
      <w:r>
        <w:rPr>
          <w:rFonts w:ascii="AvantGarde Bk BT" w:hAnsi="AvantGarde Bk BT" w:cs="Arial"/>
          <w:color w:val="000000" w:themeColor="text1"/>
          <w:sz w:val="24"/>
          <w:szCs w:val="24"/>
        </w:rPr>
        <w:t xml:space="preserve">; </w:t>
      </w:r>
      <w:r w:rsidR="000406B2">
        <w:rPr>
          <w:rFonts w:ascii="AvantGarde Bk BT" w:hAnsi="AvantGarde Bk BT" w:cs="Arial"/>
          <w:color w:val="000000" w:themeColor="text1"/>
          <w:sz w:val="24"/>
          <w:szCs w:val="24"/>
        </w:rPr>
        <w:t xml:space="preserve">por lo que la respuesta a dicho punto es cero, y </w:t>
      </w:r>
      <w:r>
        <w:rPr>
          <w:rFonts w:ascii="AvantGarde Bk BT" w:hAnsi="AvantGarde Bk BT" w:cs="Arial"/>
          <w:color w:val="000000" w:themeColor="text1"/>
          <w:sz w:val="24"/>
          <w:szCs w:val="24"/>
        </w:rPr>
        <w:t xml:space="preserve">que de la empresa </w:t>
      </w:r>
      <w:r w:rsidRPr="0009622D">
        <w:rPr>
          <w:rFonts w:ascii="AvantGarde Bk BT" w:hAnsi="AvantGarde Bk BT" w:cs="Arial"/>
          <w:color w:val="000000" w:themeColor="text1"/>
          <w:sz w:val="24"/>
          <w:szCs w:val="24"/>
        </w:rPr>
        <w:t>MUGAVUS CONSTRUCCIONES, S.A DE C.V.</w:t>
      </w:r>
      <w:r>
        <w:rPr>
          <w:rFonts w:ascii="AvantGarde Bk BT" w:hAnsi="AvantGarde Bk BT" w:cs="Arial"/>
          <w:color w:val="000000" w:themeColor="text1"/>
          <w:sz w:val="24"/>
          <w:szCs w:val="24"/>
        </w:rPr>
        <w:t xml:space="preserve"> se cuenta con registro de un estudio de factibilidad, del cual se hizo entrega en versión pública y obra de foja cincuenta y cuatro a sesenta y tres de autos.</w:t>
      </w:r>
    </w:p>
    <w:p w14:paraId="40A8D639" w14:textId="618F9109" w:rsidR="00AD70C4" w:rsidRDefault="00AD70C4" w:rsidP="00812D5D">
      <w:pPr>
        <w:tabs>
          <w:tab w:val="left" w:pos="567"/>
        </w:tabs>
        <w:spacing w:after="240"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tanto, </w:t>
      </w:r>
      <w:r w:rsidR="00A739B7">
        <w:rPr>
          <w:rFonts w:ascii="AvantGarde Bk BT" w:hAnsi="AvantGarde Bk BT" w:cs="Arial"/>
          <w:color w:val="000000" w:themeColor="text1"/>
          <w:sz w:val="24"/>
          <w:szCs w:val="24"/>
        </w:rPr>
        <w:t>sobre estos</w:t>
      </w:r>
      <w:r w:rsidR="000406B2">
        <w:rPr>
          <w:rFonts w:ascii="AvantGarde Bk BT" w:hAnsi="AvantGarde Bk BT" w:cs="Arial"/>
          <w:color w:val="000000" w:themeColor="text1"/>
          <w:sz w:val="24"/>
          <w:szCs w:val="24"/>
        </w:rPr>
        <w:t xml:space="preserve"> tres</w:t>
      </w:r>
      <w:r w:rsidR="00A739B7">
        <w:rPr>
          <w:rFonts w:ascii="AvantGarde Bk BT" w:hAnsi="AvantGarde Bk BT" w:cs="Arial"/>
          <w:color w:val="000000" w:themeColor="text1"/>
          <w:sz w:val="24"/>
          <w:szCs w:val="24"/>
        </w:rPr>
        <w:t xml:space="preserve"> puntos de la solicitud de información, es dable afirmar que la modificación del acto por parte de la autoridad los ha dejado sin materia, </w:t>
      </w:r>
      <w:r w:rsidR="000406B2">
        <w:rPr>
          <w:rFonts w:ascii="AvantGarde Bk BT" w:hAnsi="AvantGarde Bk BT" w:cs="Arial"/>
          <w:color w:val="000000" w:themeColor="text1"/>
          <w:sz w:val="24"/>
          <w:szCs w:val="24"/>
        </w:rPr>
        <w:t xml:space="preserve">ya que se dio contestación a la información estadística que se requirió, así como también se proporcionó la versión pública del estudio de factibilidad del que sí se tuvo registro, </w:t>
      </w:r>
      <w:r w:rsidR="00FB3B33">
        <w:rPr>
          <w:rFonts w:ascii="AvantGarde Bk BT" w:hAnsi="AvantGarde Bk BT" w:cs="Arial"/>
          <w:color w:val="000000" w:themeColor="text1"/>
          <w:sz w:val="24"/>
          <w:szCs w:val="24"/>
        </w:rPr>
        <w:t>máxime que, de acuerdo con lo dispuesto en el artículo 45, fracciones IV y VII del Reglamento Interior del sujeto obligado, es obligación de la Dirección de Fraccionamientos t</w:t>
      </w:r>
      <w:r w:rsidR="00FB3B33" w:rsidRPr="003020C9">
        <w:rPr>
          <w:rFonts w:ascii="AvantGarde Bk BT" w:hAnsi="AvantGarde Bk BT" w:cs="Arial"/>
          <w:color w:val="000000" w:themeColor="text1"/>
          <w:sz w:val="24"/>
          <w:szCs w:val="24"/>
        </w:rPr>
        <w:t xml:space="preserve">ramitar para su aprobación por parte del Director General, las solicitudes de incorporación de nuevos fraccionamientos o desarrollos urbanos, a los sistemas de agua potable, alcantarillado, tratamiento, reúso y </w:t>
      </w:r>
      <w:r w:rsidR="00FB3B33">
        <w:rPr>
          <w:rFonts w:ascii="AvantGarde Bk BT" w:hAnsi="AvantGarde Bk BT" w:cs="Arial"/>
          <w:color w:val="000000" w:themeColor="text1"/>
          <w:sz w:val="24"/>
          <w:szCs w:val="24"/>
        </w:rPr>
        <w:t xml:space="preserve">disposición de aguas residuales, así como elaborar, </w:t>
      </w:r>
      <w:r w:rsidR="00FB3B33" w:rsidRPr="003020C9">
        <w:rPr>
          <w:rFonts w:ascii="AvantGarde Bk BT" w:hAnsi="AvantGarde Bk BT" w:cs="Arial"/>
          <w:color w:val="000000" w:themeColor="text1"/>
          <w:sz w:val="24"/>
          <w:szCs w:val="24"/>
        </w:rPr>
        <w:t>revisar e integrar el total de los expedientes técnicos relativos a la creación de nuevos desarrollos urbano</w:t>
      </w:r>
      <w:r w:rsidR="00FB3B33">
        <w:rPr>
          <w:rFonts w:ascii="AvantGarde Bk BT" w:hAnsi="AvantGarde Bk BT" w:cs="Arial"/>
          <w:color w:val="000000" w:themeColor="text1"/>
          <w:sz w:val="24"/>
          <w:szCs w:val="24"/>
        </w:rPr>
        <w:t>s o fraccionamientos</w:t>
      </w:r>
      <w:r w:rsidR="00FB3B33">
        <w:rPr>
          <w:rStyle w:val="Refdenotaalpie"/>
          <w:rFonts w:ascii="AvantGarde Bk BT" w:hAnsi="AvantGarde Bk BT" w:cs="Arial"/>
          <w:color w:val="000000" w:themeColor="text1"/>
          <w:sz w:val="24"/>
          <w:szCs w:val="24"/>
        </w:rPr>
        <w:footnoteReference w:id="2"/>
      </w:r>
      <w:r w:rsidR="00FB3B33">
        <w:rPr>
          <w:rFonts w:ascii="AvantGarde Bk BT" w:hAnsi="AvantGarde Bk BT" w:cs="Arial"/>
          <w:color w:val="000000" w:themeColor="text1"/>
          <w:sz w:val="24"/>
          <w:szCs w:val="24"/>
        </w:rPr>
        <w:t xml:space="preserve">, </w:t>
      </w:r>
      <w:r w:rsidR="00812D5D">
        <w:rPr>
          <w:rFonts w:ascii="AvantGarde Bk BT" w:hAnsi="AvantGarde Bk BT" w:cs="Arial"/>
          <w:color w:val="000000" w:themeColor="text1"/>
          <w:sz w:val="24"/>
          <w:szCs w:val="24"/>
        </w:rPr>
        <w:t xml:space="preserve">por lo que la respuesta se brindó por parte del área competente para realizar la búsqueda de la información, aunado a que </w:t>
      </w:r>
      <w:r w:rsidR="00A739B7">
        <w:rPr>
          <w:rFonts w:ascii="AvantGarde Bk BT" w:hAnsi="AvantGarde Bk BT" w:cs="Arial"/>
          <w:color w:val="000000" w:themeColor="text1"/>
          <w:sz w:val="24"/>
          <w:szCs w:val="24"/>
        </w:rPr>
        <w:t>se</w:t>
      </w:r>
      <w:r w:rsidR="00A739B7" w:rsidRPr="00D700EB">
        <w:rPr>
          <w:rFonts w:ascii="AvantGarde Bk BT" w:hAnsi="AvantGarde Bk BT" w:cs="Arial"/>
          <w:color w:val="000000" w:themeColor="text1"/>
          <w:sz w:val="24"/>
          <w:szCs w:val="24"/>
        </w:rPr>
        <w:t xml:space="preserve"> constató que </w:t>
      </w:r>
      <w:r w:rsidR="0090619D">
        <w:rPr>
          <w:rFonts w:ascii="AvantGarde Bk BT" w:hAnsi="AvantGarde Bk BT" w:cs="Arial"/>
          <w:color w:val="000000" w:themeColor="text1"/>
          <w:sz w:val="24"/>
          <w:szCs w:val="24"/>
        </w:rPr>
        <w:t>la dirección de</w:t>
      </w:r>
      <w:r w:rsidR="00A739B7" w:rsidRPr="00D700EB">
        <w:rPr>
          <w:rFonts w:ascii="AvantGarde Bk BT" w:hAnsi="AvantGarde Bk BT" w:cs="Arial"/>
          <w:color w:val="000000" w:themeColor="text1"/>
          <w:sz w:val="24"/>
          <w:szCs w:val="24"/>
        </w:rPr>
        <w:t xml:space="preserve"> correo electrónico al que se remitió la información </w:t>
      </w:r>
      <w:r w:rsidR="00A739B7">
        <w:rPr>
          <w:rFonts w:ascii="AvantGarde Bk BT" w:hAnsi="AvantGarde Bk BT" w:cs="Arial"/>
          <w:color w:val="000000" w:themeColor="text1"/>
          <w:sz w:val="24"/>
          <w:szCs w:val="24"/>
        </w:rPr>
        <w:t xml:space="preserve">efectivamente </w:t>
      </w:r>
      <w:r w:rsidR="00A739B7" w:rsidRPr="00D700EB">
        <w:rPr>
          <w:rFonts w:ascii="AvantGarde Bk BT" w:hAnsi="AvantGarde Bk BT" w:cs="Arial"/>
          <w:color w:val="000000" w:themeColor="text1"/>
          <w:sz w:val="24"/>
          <w:szCs w:val="24"/>
        </w:rPr>
        <w:t xml:space="preserve">corresponde </w:t>
      </w:r>
      <w:r w:rsidR="0090619D">
        <w:rPr>
          <w:rFonts w:ascii="AvantGarde Bk BT" w:hAnsi="AvantGarde Bk BT" w:cs="Arial"/>
          <w:color w:val="000000" w:themeColor="text1"/>
          <w:sz w:val="24"/>
          <w:szCs w:val="24"/>
        </w:rPr>
        <w:t>con la</w:t>
      </w:r>
      <w:r w:rsidR="00A739B7" w:rsidRPr="00D700EB">
        <w:rPr>
          <w:rFonts w:ascii="AvantGarde Bk BT" w:hAnsi="AvantGarde Bk BT" w:cs="Arial"/>
          <w:color w:val="000000" w:themeColor="text1"/>
          <w:sz w:val="24"/>
          <w:szCs w:val="24"/>
        </w:rPr>
        <w:t xml:space="preserve"> que fue designado por el particular para recibir notificaciones.</w:t>
      </w:r>
    </w:p>
    <w:p w14:paraId="40708A31" w14:textId="002AF91D" w:rsidR="005A4D9F" w:rsidRDefault="005A4D9F" w:rsidP="005A4D9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no se encuentran satisfechos la totalidad de los requerimientos de información formulados por la persona solicitante, puesto que </w:t>
      </w:r>
      <w:r w:rsidR="00A01B86">
        <w:rPr>
          <w:rFonts w:ascii="AvantGarde Bk BT" w:hAnsi="AvantGarde Bk BT" w:cs="Arial"/>
          <w:color w:val="000000" w:themeColor="text1"/>
          <w:sz w:val="24"/>
          <w:szCs w:val="24"/>
        </w:rPr>
        <w:t xml:space="preserve">persistió la </w:t>
      </w:r>
      <w:r w:rsidR="00AC1D8E">
        <w:rPr>
          <w:rFonts w:ascii="AvantGarde Bk BT" w:hAnsi="AvantGarde Bk BT" w:cs="Arial"/>
          <w:color w:val="000000" w:themeColor="text1"/>
          <w:sz w:val="24"/>
          <w:szCs w:val="24"/>
        </w:rPr>
        <w:t>clasificación como reservada de</w:t>
      </w:r>
      <w:r w:rsidR="00BB0B57">
        <w:rPr>
          <w:rFonts w:ascii="AvantGarde Bk BT" w:hAnsi="AvantGarde Bk BT" w:cs="Arial"/>
          <w:color w:val="000000" w:themeColor="text1"/>
          <w:sz w:val="24"/>
          <w:szCs w:val="24"/>
        </w:rPr>
        <w:t xml:space="preserve"> los puntos de la solicitud identificados como 4, 5 y 6</w:t>
      </w:r>
      <w:r>
        <w:rPr>
          <w:rFonts w:ascii="AvantGarde Bk BT" w:hAnsi="AvantGarde Bk BT" w:cs="Arial"/>
          <w:color w:val="000000" w:themeColor="text1"/>
          <w:sz w:val="24"/>
          <w:szCs w:val="24"/>
        </w:rPr>
        <w:t>:</w:t>
      </w:r>
    </w:p>
    <w:p w14:paraId="42444DB8" w14:textId="77777777" w:rsidR="00BB0B57" w:rsidRPr="00BB0B57" w:rsidRDefault="00BB0B57" w:rsidP="00BB0B57">
      <w:pPr>
        <w:pStyle w:val="Prrafodelista"/>
        <w:numPr>
          <w:ilvl w:val="0"/>
          <w:numId w:val="44"/>
        </w:numPr>
        <w:tabs>
          <w:tab w:val="left" w:pos="567"/>
        </w:tabs>
        <w:spacing w:after="240" w:line="360" w:lineRule="auto"/>
        <w:ind w:left="1040"/>
        <w:jc w:val="both"/>
        <w:rPr>
          <w:rFonts w:ascii="AvantGarde Bk BT" w:hAnsi="AvantGarde Bk BT" w:cs="Arial"/>
          <w:color w:val="000000" w:themeColor="text1"/>
          <w:sz w:val="24"/>
          <w:szCs w:val="24"/>
        </w:rPr>
      </w:pPr>
      <w:r w:rsidRPr="00BB0B57">
        <w:rPr>
          <w:rFonts w:ascii="AvantGarde Bk BT" w:hAnsi="AvantGarde Bk BT" w:cs="Arial"/>
          <w:color w:val="000000" w:themeColor="text1"/>
          <w:sz w:val="24"/>
          <w:szCs w:val="24"/>
        </w:rPr>
        <w:lastRenderedPageBreak/>
        <w:t>Informe cuántos procedimientos administrativos de conexión y/o incorporación de nuevos desarrollos, iniciados por PROMOTORA SIAIRO, S.A DE C.V. y MUGAVUS CONSTRUCCIONES, S.A DE C.V., en los últimos diez años; se encuentran inconclusos por falta de pago de derechos de conexión y/o contratación;</w:t>
      </w:r>
    </w:p>
    <w:p w14:paraId="07C0E4E3" w14:textId="77777777" w:rsidR="00BB0B57" w:rsidRPr="00BB0B57" w:rsidRDefault="00BB0B57" w:rsidP="00BB0B57">
      <w:pPr>
        <w:pStyle w:val="Prrafodelista"/>
        <w:numPr>
          <w:ilvl w:val="0"/>
          <w:numId w:val="44"/>
        </w:numPr>
        <w:tabs>
          <w:tab w:val="left" w:pos="567"/>
        </w:tabs>
        <w:spacing w:after="240" w:line="360" w:lineRule="auto"/>
        <w:ind w:left="1040"/>
        <w:jc w:val="both"/>
        <w:rPr>
          <w:rFonts w:ascii="AvantGarde Bk BT" w:hAnsi="AvantGarde Bk BT" w:cs="Arial"/>
          <w:color w:val="000000" w:themeColor="text1"/>
          <w:sz w:val="24"/>
          <w:szCs w:val="24"/>
        </w:rPr>
      </w:pPr>
      <w:r w:rsidRPr="00BB0B57">
        <w:rPr>
          <w:rFonts w:ascii="AvantGarde Bk BT" w:hAnsi="AvantGarde Bk BT" w:cs="Arial"/>
          <w:color w:val="000000" w:themeColor="text1"/>
          <w:sz w:val="24"/>
          <w:szCs w:val="24"/>
        </w:rPr>
        <w:t>Informe cuántos procedimientos de sanción ha iniciado el INTERAPAS contra las empresas PROMOTORA SIAIRO, S.A DE C.V. y MUGAVUS CONSTRUCCIONES, S.A DE C.V., por el incumplimiento de las obligaciones contenidas en la Ley de Aguas del Estado de San Luis Potosí, en los últimos diez años.</w:t>
      </w:r>
    </w:p>
    <w:p w14:paraId="7E530777" w14:textId="4F7CF49C" w:rsidR="00BB0B57" w:rsidRPr="00BB0B57" w:rsidRDefault="00BB0B57" w:rsidP="00BB0B57">
      <w:pPr>
        <w:pStyle w:val="Prrafodelista"/>
        <w:numPr>
          <w:ilvl w:val="0"/>
          <w:numId w:val="44"/>
        </w:numPr>
        <w:tabs>
          <w:tab w:val="left" w:pos="567"/>
        </w:tabs>
        <w:spacing w:after="240" w:line="360" w:lineRule="auto"/>
        <w:ind w:left="1040"/>
        <w:jc w:val="both"/>
        <w:rPr>
          <w:rFonts w:ascii="AvantGarde Bk BT" w:hAnsi="AvantGarde Bk BT" w:cs="Arial"/>
          <w:color w:val="000000" w:themeColor="text1"/>
          <w:sz w:val="24"/>
          <w:szCs w:val="24"/>
        </w:rPr>
      </w:pPr>
      <w:r w:rsidRPr="00BB0B57">
        <w:rPr>
          <w:rFonts w:ascii="AvantGarde Bk BT" w:hAnsi="AvantGarde Bk BT" w:cs="Arial"/>
          <w:color w:val="000000" w:themeColor="text1"/>
          <w:sz w:val="24"/>
          <w:szCs w:val="24"/>
        </w:rPr>
        <w:t>Solicito la versión pública y en archivo electrónico de las resoluciones que concluyeron los procedimientos de sanción que inició el INTERAPAS contra las empresas PROMOTORA SIAIRO, S.A DE C.V. y MUGAVUS CONSTRUCCIONES, S.A DE C.V., por el incumplimiento de las obligaciones contenidas en la Ley de Aguas del Estado de San Luis Potosí, en los últimos diez años.</w:t>
      </w:r>
    </w:p>
    <w:p w14:paraId="3C3315E8" w14:textId="3F7D17F8" w:rsidR="00433F09" w:rsidRDefault="00BD264A" w:rsidP="008C465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vista de lo anterior</w:t>
      </w:r>
      <w:r w:rsidR="00DE7B29">
        <w:rPr>
          <w:rFonts w:ascii="AvantGarde Bk BT" w:hAnsi="AvantGarde Bk BT" w:cs="Arial"/>
          <w:color w:val="000000" w:themeColor="text1"/>
          <w:sz w:val="24"/>
          <w:szCs w:val="24"/>
        </w:rPr>
        <w:t xml:space="preserve">, </w:t>
      </w:r>
      <w:r w:rsidR="00D05A06">
        <w:rPr>
          <w:rFonts w:ascii="AvantGarde Bk BT" w:hAnsi="AvantGarde Bk BT" w:cs="Arial"/>
          <w:color w:val="000000" w:themeColor="text1"/>
          <w:sz w:val="24"/>
          <w:szCs w:val="24"/>
        </w:rPr>
        <w:t xml:space="preserve">resulta que la modificación del acto por parte de la autoridad permite dejar sin materia parcialmente este recurso de revisión, </w:t>
      </w:r>
      <w:r w:rsidR="00AA5CD2">
        <w:rPr>
          <w:rFonts w:ascii="AvantGarde Bk BT" w:hAnsi="AvantGarde Bk BT" w:cs="Arial"/>
          <w:color w:val="000000" w:themeColor="text1"/>
          <w:sz w:val="24"/>
          <w:szCs w:val="24"/>
        </w:rPr>
        <w:t xml:space="preserve">y </w:t>
      </w:r>
      <w:r w:rsidR="008C465E">
        <w:rPr>
          <w:rFonts w:ascii="AvantGarde Bk BT" w:hAnsi="AvantGarde Bk BT" w:cs="Arial"/>
          <w:color w:val="000000" w:themeColor="text1"/>
          <w:sz w:val="24"/>
          <w:szCs w:val="24"/>
        </w:rPr>
        <w:t xml:space="preserve">es por ello que </w:t>
      </w:r>
      <w:r w:rsidR="00A84F86" w:rsidRPr="00901613">
        <w:rPr>
          <w:rFonts w:ascii="AvantGarde Bk BT" w:hAnsi="AvantGarde Bk BT" w:cs="Arial"/>
          <w:color w:val="000000" w:themeColor="text1"/>
          <w:sz w:val="24"/>
          <w:szCs w:val="24"/>
        </w:rPr>
        <w:t>se</w:t>
      </w:r>
      <w:r w:rsidR="000A70D9" w:rsidRPr="00A84F86">
        <w:rPr>
          <w:rFonts w:ascii="AvantGarde Bk BT" w:hAnsi="AvantGarde Bk BT" w:cs="Arial"/>
          <w:b/>
          <w:color w:val="000000" w:themeColor="text1"/>
          <w:sz w:val="24"/>
          <w:szCs w:val="24"/>
        </w:rPr>
        <w:t xml:space="preserve"> </w:t>
      </w:r>
      <w:r w:rsidR="00A84F86" w:rsidRPr="00901613">
        <w:rPr>
          <w:rFonts w:ascii="AvantGarde Bk BT" w:hAnsi="AvantGarde Bk BT" w:cs="Arial"/>
          <w:b/>
          <w:color w:val="000000" w:themeColor="text1"/>
          <w:sz w:val="24"/>
          <w:szCs w:val="24"/>
          <w:u w:val="single"/>
        </w:rPr>
        <w:t>SOBRESEE</w:t>
      </w:r>
      <w:r w:rsidR="000A70D9" w:rsidRPr="00901613">
        <w:rPr>
          <w:rFonts w:ascii="AvantGarde Bk BT" w:hAnsi="AvantGarde Bk BT" w:cs="Arial"/>
          <w:color w:val="000000" w:themeColor="text1"/>
          <w:sz w:val="24"/>
          <w:szCs w:val="24"/>
          <w:u w:val="single"/>
        </w:rPr>
        <w:t xml:space="preserve"> </w:t>
      </w:r>
      <w:r w:rsidR="00AA5CD2">
        <w:rPr>
          <w:rFonts w:ascii="AvantGarde Bk BT" w:hAnsi="AvantGarde Bk BT" w:cs="Arial"/>
          <w:b/>
          <w:color w:val="000000" w:themeColor="text1"/>
          <w:sz w:val="24"/>
          <w:szCs w:val="24"/>
          <w:u w:val="single"/>
        </w:rPr>
        <w:t>el recurso</w:t>
      </w:r>
      <w:r w:rsidR="000A70D9" w:rsidRPr="00901613">
        <w:rPr>
          <w:rFonts w:ascii="AvantGarde Bk BT" w:hAnsi="AvantGarde Bk BT" w:cs="Arial"/>
          <w:b/>
          <w:color w:val="000000" w:themeColor="text1"/>
          <w:sz w:val="24"/>
          <w:szCs w:val="24"/>
          <w:u w:val="single"/>
        </w:rPr>
        <w:t xml:space="preserve"> </w:t>
      </w:r>
      <w:r w:rsidR="00433F09" w:rsidRPr="00901613">
        <w:rPr>
          <w:rFonts w:ascii="AvantGarde Bk BT" w:hAnsi="AvantGarde Bk BT" w:cs="Arial"/>
          <w:b/>
          <w:color w:val="000000" w:themeColor="text1"/>
          <w:sz w:val="24"/>
          <w:szCs w:val="24"/>
          <w:u w:val="single"/>
        </w:rPr>
        <w:t>respecto de la información consistente en</w:t>
      </w:r>
      <w:r w:rsidR="000A70D9" w:rsidRPr="00901613">
        <w:rPr>
          <w:rFonts w:ascii="AvantGarde Bk BT" w:hAnsi="AvantGarde Bk BT" w:cs="Arial"/>
          <w:b/>
          <w:color w:val="000000" w:themeColor="text1"/>
          <w:sz w:val="24"/>
          <w:szCs w:val="24"/>
          <w:u w:val="single"/>
        </w:rPr>
        <w:t>:</w:t>
      </w:r>
      <w:r w:rsidR="00A90D35">
        <w:rPr>
          <w:rFonts w:ascii="AvantGarde Bk BT" w:hAnsi="AvantGarde Bk BT" w:cs="Arial"/>
          <w:b/>
          <w:color w:val="000000" w:themeColor="text1"/>
          <w:sz w:val="24"/>
          <w:szCs w:val="24"/>
          <w:u w:val="single"/>
        </w:rPr>
        <w:t xml:space="preserve"> </w:t>
      </w:r>
      <w:r w:rsidR="00A90D35" w:rsidRPr="00A90D35">
        <w:rPr>
          <w:rFonts w:ascii="AvantGarde Bk BT" w:hAnsi="AvantGarde Bk BT" w:cs="Arial"/>
          <w:b/>
          <w:color w:val="000000" w:themeColor="text1"/>
          <w:sz w:val="24"/>
          <w:szCs w:val="24"/>
          <w:u w:val="single"/>
        </w:rPr>
        <w:t>cuántos estudios de factibilidad ha solicitado la empresa PROMOTORA SIAIRO, S.A DE C.V. al INTER</w:t>
      </w:r>
      <w:r w:rsidR="00A90D35">
        <w:rPr>
          <w:rFonts w:ascii="AvantGarde Bk BT" w:hAnsi="AvantGarde Bk BT" w:cs="Arial"/>
          <w:b/>
          <w:color w:val="000000" w:themeColor="text1"/>
          <w:sz w:val="24"/>
          <w:szCs w:val="24"/>
          <w:u w:val="single"/>
        </w:rPr>
        <w:t xml:space="preserve">APAS, en los últimos diez años, </w:t>
      </w:r>
      <w:r w:rsidR="00A90D35" w:rsidRPr="00A90D35">
        <w:rPr>
          <w:rFonts w:ascii="AvantGarde Bk BT" w:hAnsi="AvantGarde Bk BT" w:cs="Arial"/>
          <w:b/>
          <w:color w:val="000000" w:themeColor="text1"/>
          <w:sz w:val="24"/>
          <w:szCs w:val="24"/>
          <w:u w:val="single"/>
        </w:rPr>
        <w:t>cuántos estudios de factibilidad ha solicitado la empresa MUGAVUS CONSTRUCCIONES, S.A DE C.V. al INTERAPAS, en los úl</w:t>
      </w:r>
      <w:r w:rsidR="00A90D35">
        <w:rPr>
          <w:rFonts w:ascii="AvantGarde Bk BT" w:hAnsi="AvantGarde Bk BT" w:cs="Arial"/>
          <w:b/>
          <w:color w:val="000000" w:themeColor="text1"/>
          <w:sz w:val="24"/>
          <w:szCs w:val="24"/>
          <w:u w:val="single"/>
        </w:rPr>
        <w:t xml:space="preserve">timos diez años y </w:t>
      </w:r>
      <w:r w:rsidR="00A90D35" w:rsidRPr="00A90D35">
        <w:rPr>
          <w:rFonts w:ascii="AvantGarde Bk BT" w:hAnsi="AvantGarde Bk BT" w:cs="Arial"/>
          <w:b/>
          <w:color w:val="000000" w:themeColor="text1"/>
          <w:sz w:val="24"/>
          <w:szCs w:val="24"/>
          <w:u w:val="single"/>
        </w:rPr>
        <w:t>versión pública y en archivo electrónico de los estudios de factibilidad positivo que emitió el INTERAPAS a PROMOTORA SIAIRO, S.A DE C.V. y MUGAVUS CONSTRUCCIONES, S.A DE C.V., en los últimos diez años</w:t>
      </w:r>
      <w:r w:rsidR="00A84F86">
        <w:rPr>
          <w:rFonts w:ascii="AvantGarde Bk BT" w:hAnsi="AvantGarde Bk BT" w:cs="Arial"/>
          <w:color w:val="000000" w:themeColor="text1"/>
          <w:sz w:val="24"/>
          <w:szCs w:val="24"/>
        </w:rPr>
        <w:t>, a</w:t>
      </w:r>
      <w:r w:rsidR="00E44F15">
        <w:rPr>
          <w:rFonts w:ascii="AvantGarde Bk BT" w:hAnsi="AvantGarde Bk BT" w:cs="Arial"/>
          <w:color w:val="000000" w:themeColor="text1"/>
          <w:sz w:val="24"/>
          <w:szCs w:val="24"/>
        </w:rPr>
        <w:t>l</w:t>
      </w:r>
      <w:r w:rsidR="00A84F86">
        <w:rPr>
          <w:rFonts w:ascii="AvantGarde Bk BT" w:hAnsi="AvantGarde Bk BT" w:cs="Arial"/>
          <w:color w:val="000000" w:themeColor="text1"/>
          <w:sz w:val="24"/>
          <w:szCs w:val="24"/>
        </w:rPr>
        <w:t xml:space="preserve"> acreditarse</w:t>
      </w:r>
      <w:r w:rsidR="000A70D9">
        <w:rPr>
          <w:rFonts w:ascii="AvantGarde Bk BT" w:hAnsi="AvantGarde Bk BT" w:cs="Arial"/>
          <w:color w:val="000000" w:themeColor="text1"/>
          <w:sz w:val="24"/>
          <w:szCs w:val="24"/>
        </w:rPr>
        <w:t xml:space="preserve"> la causa de sobreseimiento prevista en el artículo 180, fracción III de la Ley de Transparencia y Acceso a la Información</w:t>
      </w:r>
      <w:r w:rsidR="00A84F86">
        <w:rPr>
          <w:rFonts w:ascii="AvantGarde Bk BT" w:hAnsi="AvantGarde Bk BT" w:cs="Arial"/>
          <w:color w:val="000000" w:themeColor="text1"/>
          <w:sz w:val="24"/>
          <w:szCs w:val="24"/>
        </w:rPr>
        <w:t>.</w:t>
      </w:r>
    </w:p>
    <w:p w14:paraId="41BAAB4D" w14:textId="6CC0B390" w:rsidR="008555FC" w:rsidRDefault="00D63AC0" w:rsidP="008555F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w:t>
      </w:r>
      <w:r w:rsidR="00ED2CD6">
        <w:rPr>
          <w:rFonts w:ascii="AvantGarde Bk BT" w:hAnsi="AvantGarde Bk BT" w:cs="Arial"/>
          <w:color w:val="000000" w:themeColor="text1"/>
          <w:sz w:val="24"/>
          <w:szCs w:val="24"/>
        </w:rPr>
        <w:t>consiguiente</w:t>
      </w:r>
      <w:r w:rsidR="00BD264A">
        <w:rPr>
          <w:rFonts w:ascii="AvantGarde Bk BT" w:hAnsi="AvantGarde Bk BT" w:cs="Arial"/>
          <w:color w:val="000000" w:themeColor="text1"/>
          <w:sz w:val="24"/>
          <w:szCs w:val="24"/>
        </w:rPr>
        <w:t xml:space="preserve">, </w:t>
      </w:r>
      <w:r w:rsidR="00FE3347">
        <w:rPr>
          <w:rFonts w:ascii="AvantGarde Bk BT" w:hAnsi="AvantGarde Bk BT" w:cs="Arial"/>
          <w:color w:val="000000" w:themeColor="text1"/>
          <w:sz w:val="24"/>
          <w:szCs w:val="24"/>
        </w:rPr>
        <w:t xml:space="preserve">se procede </w:t>
      </w:r>
      <w:r>
        <w:rPr>
          <w:rFonts w:ascii="AvantGarde Bk BT" w:hAnsi="AvantGarde Bk BT" w:cs="Arial"/>
          <w:color w:val="000000" w:themeColor="text1"/>
          <w:sz w:val="24"/>
          <w:szCs w:val="24"/>
        </w:rPr>
        <w:t xml:space="preserve">a continuación </w:t>
      </w:r>
      <w:r w:rsidR="00FE3347">
        <w:rPr>
          <w:rFonts w:ascii="AvantGarde Bk BT" w:hAnsi="AvantGarde Bk BT" w:cs="Arial"/>
          <w:color w:val="000000" w:themeColor="text1"/>
          <w:sz w:val="24"/>
          <w:szCs w:val="24"/>
        </w:rPr>
        <w:t xml:space="preserve">al estudio de fondo únicamente </w:t>
      </w:r>
      <w:r w:rsidR="00F5245E">
        <w:rPr>
          <w:rFonts w:ascii="AvantGarde Bk BT" w:hAnsi="AvantGarde Bk BT" w:cs="Arial"/>
          <w:color w:val="000000" w:themeColor="text1"/>
          <w:sz w:val="24"/>
          <w:szCs w:val="24"/>
        </w:rPr>
        <w:t>de</w:t>
      </w:r>
      <w:r w:rsidR="00901613">
        <w:rPr>
          <w:rFonts w:ascii="AvantGarde Bk BT" w:hAnsi="AvantGarde Bk BT" w:cs="Arial"/>
          <w:color w:val="000000" w:themeColor="text1"/>
          <w:sz w:val="24"/>
          <w:szCs w:val="24"/>
        </w:rPr>
        <w:t xml:space="preserve"> lo tocante a la </w:t>
      </w:r>
      <w:r w:rsidR="001313EB">
        <w:rPr>
          <w:rFonts w:ascii="AvantGarde Bk BT" w:hAnsi="AvantGarde Bk BT" w:cs="Arial"/>
          <w:color w:val="000000" w:themeColor="text1"/>
          <w:sz w:val="24"/>
          <w:szCs w:val="24"/>
        </w:rPr>
        <w:t>reserva de la información</w:t>
      </w:r>
      <w:r w:rsidR="00901613">
        <w:rPr>
          <w:rFonts w:ascii="AvantGarde Bk BT" w:hAnsi="AvantGarde Bk BT" w:cs="Arial"/>
          <w:color w:val="000000" w:themeColor="text1"/>
          <w:sz w:val="24"/>
          <w:szCs w:val="24"/>
        </w:rPr>
        <w:t xml:space="preserve"> </w:t>
      </w:r>
      <w:r w:rsidR="001313EB">
        <w:rPr>
          <w:rFonts w:ascii="AvantGarde Bk BT" w:hAnsi="AvantGarde Bk BT" w:cs="Arial"/>
          <w:color w:val="000000" w:themeColor="text1"/>
          <w:sz w:val="24"/>
          <w:szCs w:val="24"/>
        </w:rPr>
        <w:t xml:space="preserve">consistente en </w:t>
      </w:r>
      <w:r w:rsidR="008555FC" w:rsidRPr="008555FC">
        <w:rPr>
          <w:rFonts w:ascii="AvantGarde Bk BT" w:hAnsi="AvantGarde Bk BT" w:cs="Arial"/>
          <w:color w:val="000000" w:themeColor="text1"/>
          <w:sz w:val="24"/>
          <w:szCs w:val="24"/>
        </w:rPr>
        <w:t xml:space="preserve">cuántos procedimientos administrativos de conexión y/o incorporación de nuevos desarrollos, iniciados por PROMOTORA SIAIRO, S.A DE C.V. y MUGAVUS CONSTRUCCIONES, S.A DE C.V., en los </w:t>
      </w:r>
      <w:r w:rsidR="008555FC">
        <w:rPr>
          <w:rFonts w:ascii="AvantGarde Bk BT" w:hAnsi="AvantGarde Bk BT" w:cs="Arial"/>
          <w:color w:val="000000" w:themeColor="text1"/>
          <w:sz w:val="24"/>
          <w:szCs w:val="24"/>
        </w:rPr>
        <w:t xml:space="preserve">últimos diez años </w:t>
      </w:r>
      <w:r w:rsidR="008555FC" w:rsidRPr="008555FC">
        <w:rPr>
          <w:rFonts w:ascii="AvantGarde Bk BT" w:hAnsi="AvantGarde Bk BT" w:cs="Arial"/>
          <w:color w:val="000000" w:themeColor="text1"/>
          <w:sz w:val="24"/>
          <w:szCs w:val="24"/>
        </w:rPr>
        <w:t>se encuentran inconclusos por falta de pago de derecho</w:t>
      </w:r>
      <w:r w:rsidR="008555FC">
        <w:rPr>
          <w:rFonts w:ascii="AvantGarde Bk BT" w:hAnsi="AvantGarde Bk BT" w:cs="Arial"/>
          <w:color w:val="000000" w:themeColor="text1"/>
          <w:sz w:val="24"/>
          <w:szCs w:val="24"/>
        </w:rPr>
        <w:t xml:space="preserve">s de </w:t>
      </w:r>
      <w:r w:rsidR="008555FC">
        <w:rPr>
          <w:rFonts w:ascii="AvantGarde Bk BT" w:hAnsi="AvantGarde Bk BT" w:cs="Arial"/>
          <w:color w:val="000000" w:themeColor="text1"/>
          <w:sz w:val="24"/>
          <w:szCs w:val="24"/>
        </w:rPr>
        <w:lastRenderedPageBreak/>
        <w:t xml:space="preserve">conexión y/o contratación, </w:t>
      </w:r>
      <w:r w:rsidR="008555FC" w:rsidRPr="008555FC">
        <w:rPr>
          <w:rFonts w:ascii="AvantGarde Bk BT" w:hAnsi="AvantGarde Bk BT" w:cs="Arial"/>
          <w:color w:val="000000" w:themeColor="text1"/>
          <w:sz w:val="24"/>
          <w:szCs w:val="24"/>
        </w:rPr>
        <w:t xml:space="preserve">cuántos procedimientos de sanción </w:t>
      </w:r>
      <w:r w:rsidR="008555FC">
        <w:rPr>
          <w:rFonts w:ascii="AvantGarde Bk BT" w:hAnsi="AvantGarde Bk BT" w:cs="Arial"/>
          <w:color w:val="000000" w:themeColor="text1"/>
          <w:sz w:val="24"/>
          <w:szCs w:val="24"/>
        </w:rPr>
        <w:t xml:space="preserve">se </w:t>
      </w:r>
      <w:r w:rsidR="008555FC" w:rsidRPr="008555FC">
        <w:rPr>
          <w:rFonts w:ascii="AvantGarde Bk BT" w:hAnsi="AvantGarde Bk BT" w:cs="Arial"/>
          <w:color w:val="000000" w:themeColor="text1"/>
          <w:sz w:val="24"/>
          <w:szCs w:val="24"/>
        </w:rPr>
        <w:t>ha</w:t>
      </w:r>
      <w:r w:rsidR="008555FC">
        <w:rPr>
          <w:rFonts w:ascii="AvantGarde Bk BT" w:hAnsi="AvantGarde Bk BT" w:cs="Arial"/>
          <w:color w:val="000000" w:themeColor="text1"/>
          <w:sz w:val="24"/>
          <w:szCs w:val="24"/>
        </w:rPr>
        <w:t>n</w:t>
      </w:r>
      <w:r w:rsidR="008555FC" w:rsidRPr="008555FC">
        <w:rPr>
          <w:rFonts w:ascii="AvantGarde Bk BT" w:hAnsi="AvantGarde Bk BT" w:cs="Arial"/>
          <w:color w:val="000000" w:themeColor="text1"/>
          <w:sz w:val="24"/>
          <w:szCs w:val="24"/>
        </w:rPr>
        <w:t xml:space="preserve"> iniciado </w:t>
      </w:r>
      <w:r w:rsidR="008555FC">
        <w:rPr>
          <w:rFonts w:ascii="AvantGarde Bk BT" w:hAnsi="AvantGarde Bk BT" w:cs="Arial"/>
          <w:color w:val="000000" w:themeColor="text1"/>
          <w:sz w:val="24"/>
          <w:szCs w:val="24"/>
        </w:rPr>
        <w:t>contra dichas empresas</w:t>
      </w:r>
      <w:r w:rsidR="008555FC" w:rsidRPr="008555FC">
        <w:rPr>
          <w:rFonts w:ascii="AvantGarde Bk BT" w:hAnsi="AvantGarde Bk BT" w:cs="Arial"/>
          <w:color w:val="000000" w:themeColor="text1"/>
          <w:sz w:val="24"/>
          <w:szCs w:val="24"/>
        </w:rPr>
        <w:t xml:space="preserve"> por el incumplimiento de las obligaciones contenidas en la Ley de Aguas</w:t>
      </w:r>
      <w:r w:rsidR="008555FC">
        <w:rPr>
          <w:rFonts w:ascii="AvantGarde Bk BT" w:hAnsi="AvantGarde Bk BT" w:cs="Arial"/>
          <w:color w:val="000000" w:themeColor="text1"/>
          <w:sz w:val="24"/>
          <w:szCs w:val="24"/>
        </w:rPr>
        <w:t xml:space="preserve"> del Estado de San Luis Potosí en los últimos diez años, así como </w:t>
      </w:r>
      <w:r w:rsidR="008555FC" w:rsidRPr="008555FC">
        <w:rPr>
          <w:rFonts w:ascii="AvantGarde Bk BT" w:hAnsi="AvantGarde Bk BT" w:cs="Arial"/>
          <w:color w:val="000000" w:themeColor="text1"/>
          <w:sz w:val="24"/>
          <w:szCs w:val="24"/>
        </w:rPr>
        <w:t xml:space="preserve">versión pública y en archivo electrónico de las resoluciones que concluyeron los procedimientos de sanción que </w:t>
      </w:r>
      <w:r w:rsidR="008555FC">
        <w:rPr>
          <w:rFonts w:ascii="AvantGarde Bk BT" w:hAnsi="AvantGarde Bk BT" w:cs="Arial"/>
          <w:color w:val="000000" w:themeColor="text1"/>
          <w:sz w:val="24"/>
          <w:szCs w:val="24"/>
        </w:rPr>
        <w:t>se iniciaron en contra de las mismas</w:t>
      </w:r>
      <w:r w:rsidR="008555FC" w:rsidRPr="008555FC">
        <w:rPr>
          <w:rFonts w:ascii="AvantGarde Bk BT" w:hAnsi="AvantGarde Bk BT" w:cs="Arial"/>
          <w:color w:val="000000" w:themeColor="text1"/>
          <w:sz w:val="24"/>
          <w:szCs w:val="24"/>
        </w:rPr>
        <w:t>.</w:t>
      </w:r>
    </w:p>
    <w:p w14:paraId="79A00A4D" w14:textId="3CE1E929" w:rsidR="008540CA" w:rsidRDefault="002B0751" w:rsidP="008555F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w:t>
      </w:r>
      <w:r w:rsidR="00A6236E">
        <w:rPr>
          <w:rFonts w:ascii="AvantGarde Bk BT" w:hAnsi="AvantGarde Bk BT" w:cs="Arial"/>
          <w:color w:val="000000" w:themeColor="text1"/>
          <w:sz w:val="24"/>
          <w:szCs w:val="24"/>
        </w:rPr>
        <w:t>,</w:t>
      </w:r>
      <w:r w:rsidR="009E2819">
        <w:rPr>
          <w:rFonts w:ascii="AvantGarde Bk BT" w:hAnsi="AvantGarde Bk BT" w:cs="Arial"/>
          <w:color w:val="000000" w:themeColor="text1"/>
          <w:sz w:val="24"/>
          <w:szCs w:val="24"/>
        </w:rPr>
        <w:t xml:space="preserve">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1FDBC7F5" w14:textId="34BCCB2E" w:rsidR="00E13D90" w:rsidRDefault="009A55FE" w:rsidP="009E281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acuerdo con lo previamente anotado en el Considerando que antecede, </w:t>
      </w:r>
      <w:r w:rsidR="00315F33" w:rsidRPr="00315F33">
        <w:rPr>
          <w:rFonts w:ascii="AvantGarde Bk BT" w:hAnsi="AvantGarde Bk BT" w:cs="Arial"/>
          <w:color w:val="000000" w:themeColor="text1"/>
          <w:sz w:val="24"/>
          <w:szCs w:val="24"/>
        </w:rPr>
        <w:t xml:space="preserve">la autoridad clasificó como información reservada </w:t>
      </w:r>
      <w:r w:rsidR="00315F33">
        <w:rPr>
          <w:rFonts w:ascii="AvantGarde Bk BT" w:hAnsi="AvantGarde Bk BT" w:cs="Arial"/>
          <w:color w:val="000000" w:themeColor="text1"/>
          <w:sz w:val="24"/>
          <w:szCs w:val="24"/>
        </w:rPr>
        <w:t>los puntos 4, 5 y de la solicitud, en los cuales se requirió:</w:t>
      </w:r>
    </w:p>
    <w:p w14:paraId="753BD9A9" w14:textId="26E86C96" w:rsidR="00315F33" w:rsidRPr="00E76AE9" w:rsidRDefault="00315F33" w:rsidP="00E76AE9">
      <w:pPr>
        <w:tabs>
          <w:tab w:val="left" w:pos="567"/>
        </w:tabs>
        <w:spacing w:after="240" w:line="360" w:lineRule="auto"/>
        <w:ind w:left="680"/>
        <w:jc w:val="both"/>
        <w:rPr>
          <w:rFonts w:ascii="AvantGarde Bk BT" w:hAnsi="AvantGarde Bk BT" w:cs="Arial"/>
          <w:color w:val="000000" w:themeColor="text1"/>
          <w:sz w:val="24"/>
          <w:szCs w:val="24"/>
        </w:rPr>
      </w:pPr>
      <w:r w:rsidRPr="00E76AE9">
        <w:rPr>
          <w:rFonts w:ascii="AvantGarde Bk BT" w:hAnsi="AvantGarde Bk BT" w:cs="Arial"/>
          <w:color w:val="000000" w:themeColor="text1"/>
          <w:sz w:val="24"/>
          <w:szCs w:val="24"/>
        </w:rPr>
        <w:t>1. Cuántos procedimientos administrativos de conexión y/o incorporación de nuevos desarrollos, iniciados por PROMOTORA SIAIRO, S.A DE C.V. y MUGAVUS CONSTRUCCIONES, S.A DE C.V., en los últimos diez años; se encuentran inconclusos por falta de pago de derechos de conexión y/o contratación;</w:t>
      </w:r>
    </w:p>
    <w:p w14:paraId="141A1F4F" w14:textId="5B28B9FB" w:rsidR="00315F33" w:rsidRPr="00E76AE9" w:rsidRDefault="00315F33" w:rsidP="00E76AE9">
      <w:pPr>
        <w:tabs>
          <w:tab w:val="left" w:pos="567"/>
        </w:tabs>
        <w:spacing w:after="240" w:line="360" w:lineRule="auto"/>
        <w:ind w:left="680"/>
        <w:jc w:val="both"/>
        <w:rPr>
          <w:rFonts w:ascii="AvantGarde Bk BT" w:hAnsi="AvantGarde Bk BT" w:cs="Arial"/>
          <w:color w:val="000000" w:themeColor="text1"/>
          <w:sz w:val="24"/>
          <w:szCs w:val="24"/>
        </w:rPr>
      </w:pPr>
      <w:r w:rsidRPr="00E76AE9">
        <w:rPr>
          <w:rFonts w:ascii="AvantGarde Bk BT" w:hAnsi="AvantGarde Bk BT" w:cs="Arial"/>
          <w:color w:val="000000" w:themeColor="text1"/>
          <w:sz w:val="24"/>
          <w:szCs w:val="24"/>
        </w:rPr>
        <w:t>2. Cuántos procedimientos de sanción ha iniciado el INTERAPAS contra las empresas PROMOTORA SIAIRO, S.A DE C.V. y MUGAVUS CONSTRUCCIONES, S.A DE C.V., por el incumplimiento de las obligaciones contenidas en la Ley de Aguas del Estado de San Luis Potosí, en los últimos diez años.</w:t>
      </w:r>
    </w:p>
    <w:p w14:paraId="492FD75D" w14:textId="7E7947AE" w:rsidR="00315F33" w:rsidRPr="00E76AE9" w:rsidRDefault="00315F33" w:rsidP="00E76AE9">
      <w:pPr>
        <w:tabs>
          <w:tab w:val="left" w:pos="567"/>
        </w:tabs>
        <w:spacing w:after="240" w:line="360" w:lineRule="auto"/>
        <w:ind w:left="680"/>
        <w:jc w:val="both"/>
        <w:rPr>
          <w:rFonts w:ascii="AvantGarde Bk BT" w:hAnsi="AvantGarde Bk BT" w:cs="Arial"/>
          <w:color w:val="000000" w:themeColor="text1"/>
          <w:sz w:val="24"/>
          <w:szCs w:val="24"/>
        </w:rPr>
      </w:pPr>
      <w:r w:rsidRPr="00E76AE9">
        <w:rPr>
          <w:rFonts w:ascii="AvantGarde Bk BT" w:hAnsi="AvantGarde Bk BT" w:cs="Arial"/>
          <w:color w:val="000000" w:themeColor="text1"/>
          <w:sz w:val="24"/>
          <w:szCs w:val="24"/>
        </w:rPr>
        <w:t>3. Versión pública y en archivo electrónico de las resoluciones que concluyeron los procedimientos de sanción que inició el INTERAPAS contra las empresas PROMOTORA SIAIRO, S.A DE C.V. y MUGAVUS CONSTRUCCIONES, S.A DE C.V., por el incumplimiento de las obligaciones contenidas en la Ley de Aguas del Estado de San Luis Potosí, en los últimos diez años.</w:t>
      </w:r>
    </w:p>
    <w:p w14:paraId="3584CE14" w14:textId="6A901F69" w:rsidR="00E76AE9" w:rsidRDefault="00E76AE9" w:rsidP="00E76AE9">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Ante lo cual, el hoy recurrente se manifestó inconforme, ya que con respecto a lo que atañe a las respuestas que recayeron a los referidos puntos de su solicitud de información, en esencia le causó agravio que:</w:t>
      </w:r>
    </w:p>
    <w:p w14:paraId="49592D02" w14:textId="77777777" w:rsidR="00E76AE9" w:rsidRDefault="00E76AE9" w:rsidP="00E76AE9">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 se clasifique como reservada información estadística;</w:t>
      </w:r>
    </w:p>
    <w:p w14:paraId="367B5DD6" w14:textId="15F2805C" w:rsidR="00E76AE9" w:rsidRPr="00E76AE9" w:rsidRDefault="00E76AE9" w:rsidP="00E76AE9">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b) </w:t>
      </w:r>
      <w:r w:rsidRPr="00E76AE9">
        <w:rPr>
          <w:rFonts w:ascii="AvantGarde Bk BT" w:hAnsi="AvantGarde Bk BT" w:cs="Arial"/>
          <w:color w:val="000000" w:themeColor="text1"/>
          <w:sz w:val="24"/>
          <w:szCs w:val="24"/>
        </w:rPr>
        <w:t xml:space="preserve">no se justifica la negativa del sujeto obligado de elaborar y entregar una versión pública de la información solicitada, ya que </w:t>
      </w:r>
      <w:r>
        <w:rPr>
          <w:rFonts w:ascii="AvantGarde Bk BT" w:hAnsi="AvantGarde Bk BT" w:cs="Arial"/>
          <w:color w:val="000000" w:themeColor="text1"/>
          <w:sz w:val="24"/>
          <w:szCs w:val="24"/>
        </w:rPr>
        <w:t>la normativa en materia de transparencia prohíbe</w:t>
      </w:r>
      <w:r w:rsidRPr="00E76AE9">
        <w:rPr>
          <w:rFonts w:ascii="AvantGarde Bk BT" w:hAnsi="AvantGarde Bk BT" w:cs="Arial"/>
          <w:color w:val="000000" w:themeColor="text1"/>
          <w:sz w:val="24"/>
          <w:szCs w:val="24"/>
        </w:rPr>
        <w:t xml:space="preserve"> la realiz</w:t>
      </w:r>
      <w:r>
        <w:rPr>
          <w:rFonts w:ascii="AvantGarde Bk BT" w:hAnsi="AvantGarde Bk BT" w:cs="Arial"/>
          <w:color w:val="000000" w:themeColor="text1"/>
          <w:sz w:val="24"/>
          <w:szCs w:val="24"/>
        </w:rPr>
        <w:t>ación de reservas generalizadas, y</w:t>
      </w:r>
    </w:p>
    <w:p w14:paraId="4ABF9B1B" w14:textId="6A59EF4E" w:rsidR="00E76AE9" w:rsidRPr="00E76AE9" w:rsidRDefault="00E76AE9" w:rsidP="00E76AE9">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c)l</w:t>
      </w:r>
      <w:r w:rsidRPr="00E76AE9">
        <w:rPr>
          <w:rFonts w:ascii="AvantGarde Bk BT" w:hAnsi="AvantGarde Bk BT" w:cs="Arial"/>
          <w:color w:val="000000" w:themeColor="text1"/>
          <w:sz w:val="24"/>
          <w:szCs w:val="24"/>
        </w:rPr>
        <w:t>os fundamentos y la prueba de daño del acuerdo de reserva son deficientes.</w:t>
      </w:r>
    </w:p>
    <w:p w14:paraId="2CB3003F" w14:textId="77777777" w:rsidR="00847C98" w:rsidRDefault="00847C98" w:rsidP="00847C98">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Conviene</w:t>
      </w:r>
      <w:r w:rsidRPr="00754E9F">
        <w:rPr>
          <w:rFonts w:ascii="AvantGarde Bk BT" w:hAnsi="AvantGarde Bk BT" w:cs="Arial"/>
          <w:color w:val="000000" w:themeColor="text1"/>
          <w:sz w:val="24"/>
          <w:szCs w:val="24"/>
        </w:rPr>
        <w:t xml:space="preserve"> precisar</w:t>
      </w:r>
      <w:r>
        <w:rPr>
          <w:rFonts w:ascii="AvantGarde Bk BT" w:hAnsi="AvantGarde Bk BT" w:cs="Arial"/>
          <w:color w:val="000000" w:themeColor="text1"/>
          <w:sz w:val="24"/>
          <w:szCs w:val="24"/>
        </w:rPr>
        <w:t>,</w:t>
      </w:r>
      <w:r w:rsidRPr="00754E9F">
        <w:rPr>
          <w:rFonts w:ascii="AvantGarde Bk BT" w:hAnsi="AvantGarde Bk BT" w:cs="Arial"/>
          <w:color w:val="000000" w:themeColor="text1"/>
          <w:sz w:val="24"/>
          <w:szCs w:val="24"/>
        </w:rPr>
        <w:t xml:space="preserve">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6A1D2A5B" w14:textId="77777777" w:rsidR="00847C98" w:rsidRDefault="00847C98" w:rsidP="00847C98">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con fundamento en la siguiente jurisprudencia aplicable por analogía de razón:</w:t>
      </w:r>
    </w:p>
    <w:p w14:paraId="6334B0DB" w14:textId="754C10BC" w:rsidR="00847C98" w:rsidRPr="00386C16" w:rsidRDefault="00847C98" w:rsidP="00386C16">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386C16">
        <w:rPr>
          <w:rFonts w:ascii="AvantGarde Bk BT" w:hAnsi="AvantGarde Bk BT" w:cs="Arial"/>
          <w:b/>
          <w:i/>
          <w:color w:val="000000" w:themeColor="text1"/>
          <w:sz w:val="20"/>
          <w:szCs w:val="20"/>
        </w:rPr>
        <w:t>CONCEPTOS DE VIOLACIÓN O AGRAVIOS. PARA CUMPLIR CON LOS PRINCIPIOS DE CONGRUENCIA Y EXHAUSTIVIDAD EN LAS SENTENCIAS DE AMPARO ES INNECESARIA SU TRANSCRIPCIÓN.-</w:t>
      </w:r>
      <w:r w:rsidRPr="00386C16">
        <w:rPr>
          <w:rFonts w:ascii="AvantGarde Bk BT" w:hAnsi="AvantGarde Bk BT" w:cs="Arial"/>
          <w:i/>
          <w:color w:val="000000" w:themeColor="text1"/>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386C16">
        <w:rPr>
          <w:rFonts w:ascii="AvantGarde Bk BT" w:hAnsi="AvantGarde Bk BT" w:cs="Arial"/>
          <w:i/>
          <w:color w:val="000000" w:themeColor="text1"/>
          <w:sz w:val="20"/>
          <w:szCs w:val="20"/>
        </w:rPr>
        <w:t>litis</w:t>
      </w:r>
      <w:proofErr w:type="spellEnd"/>
      <w:r w:rsidRPr="00386C16">
        <w:rPr>
          <w:rFonts w:ascii="AvantGarde Bk BT" w:hAnsi="AvantGarde Bk BT" w:cs="Arial"/>
          <w:i/>
          <w:color w:val="000000" w:themeColor="text1"/>
          <w:sz w:val="20"/>
          <w:szCs w:val="2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3"/>
      </w:r>
    </w:p>
    <w:p w14:paraId="4833B665" w14:textId="3A86F2E7" w:rsidR="00E94238" w:rsidRDefault="00386C16" w:rsidP="00E9423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w:t>
      </w:r>
      <w:r w:rsidR="00F07ED9">
        <w:rPr>
          <w:rFonts w:ascii="AvantGarde Bk BT" w:hAnsi="AvantGarde Bk BT" w:cs="Arial"/>
          <w:sz w:val="24"/>
          <w:szCs w:val="24"/>
        </w:rPr>
        <w:t>sí</w:t>
      </w:r>
      <w:r>
        <w:rPr>
          <w:rFonts w:ascii="AvantGarde Bk BT" w:hAnsi="AvantGarde Bk BT" w:cs="Arial"/>
          <w:sz w:val="24"/>
          <w:szCs w:val="24"/>
        </w:rPr>
        <w:t xml:space="preserve">, </w:t>
      </w:r>
      <w:r w:rsidR="00243217">
        <w:rPr>
          <w:rFonts w:ascii="AvantGarde Bk BT" w:hAnsi="AvantGarde Bk BT" w:cs="Arial"/>
          <w:sz w:val="24"/>
          <w:szCs w:val="24"/>
        </w:rPr>
        <w:t>con relación a la información clasificada</w:t>
      </w:r>
      <w:r w:rsidR="00315F33">
        <w:rPr>
          <w:rFonts w:ascii="AvantGarde Bk BT" w:hAnsi="AvantGarde Bk BT" w:cs="Arial"/>
          <w:sz w:val="24"/>
          <w:szCs w:val="24"/>
        </w:rPr>
        <w:t xml:space="preserve">, </w:t>
      </w:r>
      <w:r>
        <w:rPr>
          <w:rFonts w:ascii="AvantGarde Bk BT" w:hAnsi="AvantGarde Bk BT" w:cs="Arial"/>
          <w:sz w:val="24"/>
          <w:szCs w:val="24"/>
        </w:rPr>
        <w:t xml:space="preserve">la Ley de Transparencia vigente en el Estado establece en el artículo </w:t>
      </w:r>
      <w:r w:rsidR="00E94238">
        <w:rPr>
          <w:rFonts w:ascii="AvantGarde Bk BT" w:hAnsi="AvantGarde Bk BT" w:cs="Arial"/>
          <w:sz w:val="24"/>
          <w:szCs w:val="24"/>
        </w:rPr>
        <w:t xml:space="preserve">4° que el derecho humano de acceso a la información </w:t>
      </w:r>
      <w:r w:rsidR="00E94238" w:rsidRPr="00E94238">
        <w:rPr>
          <w:rFonts w:ascii="AvantGarde Bk BT" w:hAnsi="AvantGarde Bk BT" w:cs="Arial"/>
          <w:sz w:val="24"/>
          <w:szCs w:val="24"/>
        </w:rPr>
        <w:t>comprende</w:t>
      </w:r>
      <w:r w:rsidR="00E94238">
        <w:rPr>
          <w:rFonts w:ascii="AvantGarde Bk BT" w:hAnsi="AvantGarde Bk BT" w:cs="Arial"/>
          <w:sz w:val="24"/>
          <w:szCs w:val="24"/>
        </w:rPr>
        <w:t xml:space="preserve"> el</w:t>
      </w:r>
      <w:r w:rsidR="00E94238" w:rsidRPr="00E94238">
        <w:rPr>
          <w:rFonts w:ascii="AvantGarde Bk BT" w:hAnsi="AvantGarde Bk BT" w:cs="Arial"/>
          <w:sz w:val="24"/>
          <w:szCs w:val="24"/>
        </w:rPr>
        <w:t xml:space="preserve"> solicitar, investigar,</w:t>
      </w:r>
      <w:r w:rsidR="00E94238">
        <w:rPr>
          <w:rFonts w:ascii="AvantGarde Bk BT" w:hAnsi="AvantGarde Bk BT" w:cs="Arial"/>
          <w:sz w:val="24"/>
          <w:szCs w:val="24"/>
        </w:rPr>
        <w:t xml:space="preserve"> </w:t>
      </w:r>
      <w:r w:rsidR="00E94238" w:rsidRPr="00E94238">
        <w:rPr>
          <w:rFonts w:ascii="AvantGarde Bk BT" w:hAnsi="AvantGarde Bk BT" w:cs="Arial"/>
          <w:sz w:val="24"/>
          <w:szCs w:val="24"/>
        </w:rPr>
        <w:t xml:space="preserve">difundir, buscar y recibir </w:t>
      </w:r>
      <w:r w:rsidR="00E94238">
        <w:rPr>
          <w:rFonts w:ascii="AvantGarde Bk BT" w:hAnsi="AvantGarde Bk BT" w:cs="Arial"/>
          <w:sz w:val="24"/>
          <w:szCs w:val="24"/>
        </w:rPr>
        <w:t xml:space="preserve">la información generada por </w:t>
      </w:r>
      <w:r w:rsidR="00E94238" w:rsidRPr="00E94238">
        <w:rPr>
          <w:rFonts w:ascii="AvantGarde Bk BT" w:hAnsi="AvantGarde Bk BT" w:cs="Arial"/>
          <w:sz w:val="24"/>
          <w:szCs w:val="24"/>
        </w:rPr>
        <w:t>los</w:t>
      </w:r>
      <w:r w:rsidR="00E94238">
        <w:rPr>
          <w:rFonts w:ascii="AvantGarde Bk BT" w:hAnsi="AvantGarde Bk BT" w:cs="Arial"/>
          <w:sz w:val="24"/>
          <w:szCs w:val="24"/>
        </w:rPr>
        <w:t xml:space="preserve"> </w:t>
      </w:r>
      <w:r w:rsidR="00E94238" w:rsidRPr="00E94238">
        <w:rPr>
          <w:rFonts w:ascii="AvantGarde Bk BT" w:hAnsi="AvantGarde Bk BT" w:cs="Arial"/>
          <w:sz w:val="24"/>
          <w:szCs w:val="24"/>
        </w:rPr>
        <w:t>sujetos obligados</w:t>
      </w:r>
      <w:r w:rsidR="00E94238">
        <w:rPr>
          <w:rFonts w:ascii="AvantGarde Bk BT" w:hAnsi="AvantGarde Bk BT" w:cs="Arial"/>
          <w:sz w:val="24"/>
          <w:szCs w:val="24"/>
        </w:rPr>
        <w:t xml:space="preserve">, la cual es pública y podrá ser clasificada excepcionalmente </w:t>
      </w:r>
      <w:r w:rsidR="00E94238" w:rsidRPr="00E94238">
        <w:rPr>
          <w:rFonts w:ascii="AvantGarde Bk BT" w:hAnsi="AvantGarde Bk BT" w:cs="Arial"/>
          <w:sz w:val="24"/>
          <w:szCs w:val="24"/>
        </w:rPr>
        <w:t>en los términos que fija la ley</w:t>
      </w:r>
      <w:r w:rsidR="00E94238">
        <w:rPr>
          <w:rStyle w:val="Refdenotaalpie"/>
          <w:rFonts w:ascii="AvantGarde Bk BT" w:hAnsi="AvantGarde Bk BT" w:cs="Arial"/>
          <w:sz w:val="24"/>
          <w:szCs w:val="24"/>
        </w:rPr>
        <w:footnoteReference w:id="4"/>
      </w:r>
      <w:r w:rsidR="00E94238" w:rsidRPr="00E94238">
        <w:rPr>
          <w:rFonts w:ascii="AvantGarde Bk BT" w:hAnsi="AvantGarde Bk BT" w:cs="Arial"/>
          <w:sz w:val="24"/>
          <w:szCs w:val="24"/>
        </w:rPr>
        <w:t>.</w:t>
      </w:r>
    </w:p>
    <w:p w14:paraId="6578BE7C" w14:textId="23F5A225" w:rsidR="006426A2" w:rsidRDefault="006426A2" w:rsidP="00E94238">
      <w:pPr>
        <w:pStyle w:val="corte4fondo"/>
        <w:tabs>
          <w:tab w:val="left" w:pos="567"/>
        </w:tabs>
        <w:ind w:firstLine="0"/>
        <w:rPr>
          <w:rFonts w:ascii="AvantGarde Bk BT" w:hAnsi="AvantGarde Bk BT" w:cs="Arial"/>
          <w:sz w:val="24"/>
          <w:szCs w:val="24"/>
        </w:rPr>
      </w:pPr>
    </w:p>
    <w:p w14:paraId="31E4982C" w14:textId="0BB46F40" w:rsidR="003D19AE" w:rsidRDefault="0038013D" w:rsidP="003D19AE">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Dichas excepciones son las de la información reservada y la confidencial</w:t>
      </w:r>
      <w:r>
        <w:rPr>
          <w:rStyle w:val="Refdenotaalpie"/>
          <w:rFonts w:ascii="AvantGarde Bk BT" w:hAnsi="AvantGarde Bk BT" w:cs="Arial"/>
          <w:sz w:val="24"/>
          <w:szCs w:val="24"/>
        </w:rPr>
        <w:footnoteReference w:id="5"/>
      </w:r>
      <w:r>
        <w:rPr>
          <w:rFonts w:ascii="AvantGarde Bk BT" w:hAnsi="AvantGarde Bk BT" w:cs="Arial"/>
          <w:sz w:val="24"/>
          <w:szCs w:val="24"/>
        </w:rPr>
        <w:t xml:space="preserve">.  </w:t>
      </w:r>
    </w:p>
    <w:p w14:paraId="5818DEC1" w14:textId="785D8384" w:rsidR="003D19AE" w:rsidRDefault="003D19AE" w:rsidP="006426A2">
      <w:pPr>
        <w:pStyle w:val="corte4fondo"/>
        <w:tabs>
          <w:tab w:val="left" w:pos="567"/>
        </w:tabs>
        <w:rPr>
          <w:rFonts w:ascii="AvantGarde Bk BT" w:hAnsi="AvantGarde Bk BT" w:cs="Arial"/>
          <w:sz w:val="24"/>
          <w:szCs w:val="24"/>
        </w:rPr>
      </w:pPr>
    </w:p>
    <w:p w14:paraId="63B68A0E" w14:textId="3F3E8B90" w:rsidR="00977162" w:rsidRDefault="003D19AE" w:rsidP="0097716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Ahora bien, cuando </w:t>
      </w:r>
      <w:r w:rsidRPr="00A41063">
        <w:rPr>
          <w:rFonts w:ascii="AvantGarde Bk BT" w:hAnsi="AvantGarde Bk BT" w:cs="Arial"/>
          <w:sz w:val="24"/>
          <w:szCs w:val="24"/>
        </w:rPr>
        <w:t>se niegue el acceso a la</w:t>
      </w:r>
      <w:r>
        <w:rPr>
          <w:rFonts w:ascii="AvantGarde Bk BT" w:hAnsi="AvantGarde Bk BT" w:cs="Arial"/>
          <w:sz w:val="24"/>
          <w:szCs w:val="24"/>
        </w:rPr>
        <w:t xml:space="preserve"> información</w:t>
      </w:r>
      <w:r w:rsidRPr="00A41063">
        <w:rPr>
          <w:rFonts w:ascii="AvantGarde Bk BT" w:hAnsi="AvantGarde Bk BT" w:cs="Arial"/>
          <w:sz w:val="24"/>
          <w:szCs w:val="24"/>
        </w:rPr>
        <w:t xml:space="preserve"> por actualizarse alguno de los supuestos de</w:t>
      </w:r>
      <w:r>
        <w:rPr>
          <w:rFonts w:ascii="AvantGarde Bk BT" w:hAnsi="AvantGarde Bk BT" w:cs="Arial"/>
          <w:sz w:val="24"/>
          <w:szCs w:val="24"/>
        </w:rPr>
        <w:t xml:space="preserve"> </w:t>
      </w:r>
      <w:r w:rsidRPr="00A41063">
        <w:rPr>
          <w:rFonts w:ascii="AvantGarde Bk BT" w:hAnsi="AvantGarde Bk BT" w:cs="Arial"/>
          <w:sz w:val="24"/>
          <w:szCs w:val="24"/>
        </w:rPr>
        <w:t xml:space="preserve">clasificación, </w:t>
      </w:r>
      <w:r>
        <w:rPr>
          <w:rFonts w:ascii="AvantGarde Bk BT" w:hAnsi="AvantGarde Bk BT" w:cs="Arial"/>
          <w:sz w:val="24"/>
          <w:szCs w:val="24"/>
        </w:rPr>
        <w:t>la Ley de Transparencia prevé en sus artículos 117</w:t>
      </w:r>
      <w:r w:rsidR="00977162">
        <w:rPr>
          <w:rStyle w:val="Refdenotaalpie"/>
          <w:rFonts w:ascii="AvantGarde Bk BT" w:hAnsi="AvantGarde Bk BT" w:cs="Arial"/>
          <w:sz w:val="24"/>
          <w:szCs w:val="24"/>
        </w:rPr>
        <w:footnoteReference w:id="6"/>
      </w:r>
      <w:r>
        <w:rPr>
          <w:rFonts w:ascii="AvantGarde Bk BT" w:hAnsi="AvantGarde Bk BT" w:cs="Arial"/>
          <w:sz w:val="24"/>
          <w:szCs w:val="24"/>
        </w:rPr>
        <w:t xml:space="preserve"> y 159</w:t>
      </w:r>
      <w:r w:rsidR="00977162">
        <w:rPr>
          <w:rStyle w:val="Refdenotaalpie"/>
          <w:rFonts w:ascii="AvantGarde Bk BT" w:hAnsi="AvantGarde Bk BT" w:cs="Arial"/>
          <w:sz w:val="24"/>
          <w:szCs w:val="24"/>
        </w:rPr>
        <w:footnoteReference w:id="7"/>
      </w:r>
      <w:r>
        <w:rPr>
          <w:rFonts w:ascii="AvantGarde Bk BT" w:hAnsi="AvantGarde Bk BT" w:cs="Arial"/>
          <w:sz w:val="24"/>
          <w:szCs w:val="24"/>
        </w:rPr>
        <w:t xml:space="preserve"> que</w:t>
      </w:r>
      <w:r w:rsidR="00977162">
        <w:rPr>
          <w:rFonts w:ascii="AvantGarde Bk BT" w:hAnsi="AvantGarde Bk BT" w:cs="Arial"/>
          <w:sz w:val="24"/>
          <w:szCs w:val="24"/>
        </w:rPr>
        <w:t xml:space="preserve"> el área poseedora de la información deberá remitir la solicitud de clasificación al Comité de Transparencia del sujeto obligado, para que éste emita una resolución</w:t>
      </w:r>
      <w:r>
        <w:rPr>
          <w:rFonts w:ascii="AvantGarde Bk BT" w:hAnsi="AvantGarde Bk BT" w:cs="Arial"/>
          <w:sz w:val="24"/>
          <w:szCs w:val="24"/>
        </w:rPr>
        <w:t xml:space="preserve"> en la que </w:t>
      </w:r>
      <w:r w:rsidR="00977162">
        <w:rPr>
          <w:rFonts w:ascii="AvantGarde Bk BT" w:hAnsi="AvantGarde Bk BT" w:cs="Arial"/>
          <w:sz w:val="24"/>
          <w:szCs w:val="24"/>
        </w:rPr>
        <w:t xml:space="preserve">deberá </w:t>
      </w:r>
      <w:r w:rsidRPr="00A41063">
        <w:rPr>
          <w:rFonts w:ascii="AvantGarde Bk BT" w:hAnsi="AvantGarde Bk BT" w:cs="Arial"/>
          <w:sz w:val="24"/>
          <w:szCs w:val="24"/>
        </w:rPr>
        <w:t>señal</w:t>
      </w:r>
      <w:r w:rsidR="00977162">
        <w:rPr>
          <w:rFonts w:ascii="AvantGarde Bk BT" w:hAnsi="AvantGarde Bk BT" w:cs="Arial"/>
          <w:sz w:val="24"/>
          <w:szCs w:val="24"/>
        </w:rPr>
        <w:t>ar</w:t>
      </w:r>
      <w:r w:rsidRPr="00A41063">
        <w:rPr>
          <w:rFonts w:ascii="AvantGarde Bk BT" w:hAnsi="AvantGarde Bk BT" w:cs="Arial"/>
          <w:sz w:val="24"/>
          <w:szCs w:val="24"/>
        </w:rPr>
        <w:t xml:space="preserve"> las razones, motivos</w:t>
      </w:r>
      <w:r>
        <w:rPr>
          <w:rFonts w:ascii="AvantGarde Bk BT" w:hAnsi="AvantGarde Bk BT" w:cs="Arial"/>
          <w:sz w:val="24"/>
          <w:szCs w:val="24"/>
        </w:rPr>
        <w:t xml:space="preserve"> </w:t>
      </w:r>
      <w:r w:rsidRPr="00A41063">
        <w:rPr>
          <w:rFonts w:ascii="AvantGarde Bk BT" w:hAnsi="AvantGarde Bk BT" w:cs="Arial"/>
          <w:sz w:val="24"/>
          <w:szCs w:val="24"/>
        </w:rPr>
        <w:t xml:space="preserve">o circunstancias especiales que </w:t>
      </w:r>
      <w:r>
        <w:rPr>
          <w:rFonts w:ascii="AvantGarde Bk BT" w:hAnsi="AvantGarde Bk BT" w:cs="Arial"/>
          <w:sz w:val="24"/>
          <w:szCs w:val="24"/>
        </w:rPr>
        <w:t xml:space="preserve">lo </w:t>
      </w:r>
      <w:r w:rsidRPr="00A41063">
        <w:rPr>
          <w:rFonts w:ascii="AvantGarde Bk BT" w:hAnsi="AvantGarde Bk BT" w:cs="Arial"/>
          <w:sz w:val="24"/>
          <w:szCs w:val="24"/>
        </w:rPr>
        <w:t>llevaron a</w:t>
      </w:r>
      <w:r>
        <w:rPr>
          <w:rFonts w:ascii="AvantGarde Bk BT" w:hAnsi="AvantGarde Bk BT" w:cs="Arial"/>
          <w:sz w:val="24"/>
          <w:szCs w:val="24"/>
        </w:rPr>
        <w:t xml:space="preserve"> </w:t>
      </w:r>
      <w:r w:rsidRPr="00A41063">
        <w:rPr>
          <w:rFonts w:ascii="AvantGarde Bk BT" w:hAnsi="AvantGarde Bk BT" w:cs="Arial"/>
          <w:sz w:val="24"/>
          <w:szCs w:val="24"/>
        </w:rPr>
        <w:t>concluir que el caso particular se ajusta al supuesto previsto</w:t>
      </w:r>
      <w:r>
        <w:rPr>
          <w:rFonts w:ascii="AvantGarde Bk BT" w:hAnsi="AvantGarde Bk BT" w:cs="Arial"/>
          <w:sz w:val="24"/>
          <w:szCs w:val="24"/>
        </w:rPr>
        <w:t xml:space="preserve"> </w:t>
      </w:r>
      <w:r w:rsidRPr="00A41063">
        <w:rPr>
          <w:rFonts w:ascii="AvantGarde Bk BT" w:hAnsi="AvantGarde Bk BT" w:cs="Arial"/>
          <w:sz w:val="24"/>
          <w:szCs w:val="24"/>
        </w:rPr>
        <w:t>por la norma legal invocada como fundamento</w:t>
      </w:r>
      <w:r w:rsidR="00977162">
        <w:rPr>
          <w:rFonts w:ascii="AvantGarde Bk BT" w:hAnsi="AvantGarde Bk BT" w:cs="Arial"/>
          <w:sz w:val="24"/>
          <w:szCs w:val="24"/>
        </w:rPr>
        <w:t>.</w:t>
      </w:r>
    </w:p>
    <w:p w14:paraId="12FC04FC" w14:textId="77777777" w:rsidR="00977162" w:rsidRDefault="00977162" w:rsidP="00977162">
      <w:pPr>
        <w:pStyle w:val="corte4fondo"/>
        <w:tabs>
          <w:tab w:val="left" w:pos="567"/>
        </w:tabs>
        <w:rPr>
          <w:rFonts w:ascii="AvantGarde Bk BT" w:hAnsi="AvantGarde Bk BT" w:cs="Arial"/>
          <w:sz w:val="24"/>
          <w:szCs w:val="24"/>
        </w:rPr>
      </w:pPr>
    </w:p>
    <w:p w14:paraId="5714B2CE" w14:textId="2EE98928" w:rsidR="003D19AE" w:rsidRDefault="00F36D37" w:rsidP="00F36D37">
      <w:pPr>
        <w:pStyle w:val="corte4fondo"/>
        <w:tabs>
          <w:tab w:val="left" w:pos="567"/>
        </w:tabs>
        <w:rPr>
          <w:rFonts w:ascii="AvantGarde Bk BT" w:hAnsi="AvantGarde Bk BT" w:cs="Arial"/>
          <w:sz w:val="24"/>
          <w:szCs w:val="24"/>
        </w:rPr>
      </w:pPr>
      <w:r>
        <w:rPr>
          <w:rFonts w:ascii="AvantGarde Bk BT" w:hAnsi="AvantGarde Bk BT" w:cs="Arial"/>
          <w:sz w:val="24"/>
          <w:szCs w:val="24"/>
        </w:rPr>
        <w:t>Igualmente, se debe aplicar una prueba de daño, ya que atento a lo dispuesto por el artículo 119</w:t>
      </w:r>
      <w:r w:rsidR="004F62E7">
        <w:rPr>
          <w:rStyle w:val="Refdenotaalpie"/>
          <w:rFonts w:ascii="AvantGarde Bk BT" w:hAnsi="AvantGarde Bk BT" w:cs="Arial"/>
          <w:sz w:val="24"/>
          <w:szCs w:val="24"/>
        </w:rPr>
        <w:footnoteReference w:id="8"/>
      </w:r>
      <w:r>
        <w:rPr>
          <w:rFonts w:ascii="AvantGarde Bk BT" w:hAnsi="AvantGarde Bk BT" w:cs="Arial"/>
          <w:sz w:val="24"/>
          <w:szCs w:val="24"/>
        </w:rPr>
        <w:t xml:space="preserve"> de la Ley de Transparencia, los sujetos obligados deben aplicar de manera restrictiva y limitada las </w:t>
      </w:r>
      <w:r w:rsidRPr="00F36D37">
        <w:rPr>
          <w:rFonts w:ascii="AvantGarde Bk BT" w:hAnsi="AvantGarde Bk BT" w:cs="Arial"/>
          <w:sz w:val="24"/>
          <w:szCs w:val="24"/>
        </w:rPr>
        <w:t>excepciones al derecho de acceso a la información</w:t>
      </w:r>
      <w:r>
        <w:rPr>
          <w:rFonts w:ascii="AvantGarde Bk BT" w:hAnsi="AvantGarde Bk BT" w:cs="Arial"/>
          <w:sz w:val="24"/>
          <w:szCs w:val="24"/>
        </w:rPr>
        <w:t xml:space="preserve">, </w:t>
      </w:r>
      <w:r w:rsidR="004F62E7">
        <w:rPr>
          <w:rFonts w:ascii="AvantGarde Bk BT" w:hAnsi="AvantGarde Bk BT" w:cs="Arial"/>
          <w:sz w:val="24"/>
          <w:szCs w:val="24"/>
        </w:rPr>
        <w:t xml:space="preserve">a quienes corresponde la carga de la prueba </w:t>
      </w:r>
      <w:r w:rsidR="004F62E7" w:rsidRPr="00F36D37">
        <w:rPr>
          <w:rFonts w:ascii="AvantGarde Bk BT" w:hAnsi="AvantGarde Bk BT" w:cs="Arial"/>
          <w:sz w:val="24"/>
          <w:szCs w:val="24"/>
        </w:rPr>
        <w:t>para justificar toda negativa de acceso a la información, por actualizarse</w:t>
      </w:r>
      <w:r w:rsidR="004F62E7">
        <w:rPr>
          <w:rFonts w:ascii="AvantGarde Bk BT" w:hAnsi="AvantGarde Bk BT" w:cs="Arial"/>
          <w:sz w:val="24"/>
          <w:szCs w:val="24"/>
        </w:rPr>
        <w:t xml:space="preserve"> </w:t>
      </w:r>
      <w:r w:rsidR="004F62E7" w:rsidRPr="00F36D37">
        <w:rPr>
          <w:rFonts w:ascii="AvantGarde Bk BT" w:hAnsi="AvantGarde Bk BT" w:cs="Arial"/>
          <w:sz w:val="24"/>
          <w:szCs w:val="24"/>
        </w:rPr>
        <w:t>cualquiera de los supuestos de reserva</w:t>
      </w:r>
      <w:r w:rsidR="004F62E7">
        <w:rPr>
          <w:rFonts w:ascii="AvantGarde Bk BT" w:hAnsi="AvantGarde Bk BT" w:cs="Arial"/>
          <w:sz w:val="24"/>
          <w:szCs w:val="24"/>
        </w:rPr>
        <w:t>.</w:t>
      </w:r>
    </w:p>
    <w:p w14:paraId="434F7F76" w14:textId="6F2538F3" w:rsidR="003D19AE" w:rsidRDefault="003D19AE" w:rsidP="004F62E7">
      <w:pPr>
        <w:pStyle w:val="corte4fondo"/>
        <w:tabs>
          <w:tab w:val="left" w:pos="567"/>
        </w:tabs>
        <w:ind w:firstLine="0"/>
        <w:rPr>
          <w:rFonts w:ascii="AvantGarde Bk BT" w:hAnsi="AvantGarde Bk BT" w:cs="Arial"/>
          <w:sz w:val="24"/>
          <w:szCs w:val="24"/>
        </w:rPr>
      </w:pPr>
    </w:p>
    <w:p w14:paraId="4DE521C7" w14:textId="1E73EB5F" w:rsidR="0038013D" w:rsidRPr="00FB726F" w:rsidRDefault="0038013D" w:rsidP="0038013D">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 xml:space="preserve">Por lo que aquí interesa, </w:t>
      </w:r>
      <w:r w:rsidRPr="00FB726F">
        <w:rPr>
          <w:rFonts w:ascii="AvantGarde Bk BT" w:eastAsia="Times New Roman" w:hAnsi="AvantGarde Bk BT" w:cs="Arial"/>
          <w:color w:val="000000"/>
          <w:sz w:val="24"/>
          <w:szCs w:val="24"/>
        </w:rPr>
        <w:t xml:space="preserve">es imprescindible puntualizar que </w:t>
      </w:r>
      <w:r>
        <w:rPr>
          <w:rFonts w:ascii="AvantGarde Bk BT" w:eastAsia="Times New Roman" w:hAnsi="AvantGarde Bk BT" w:cs="Arial"/>
          <w:color w:val="000000"/>
          <w:sz w:val="24"/>
          <w:szCs w:val="24"/>
        </w:rPr>
        <w:t>de acuerdo con el artículo 129</w:t>
      </w:r>
      <w:r>
        <w:rPr>
          <w:rStyle w:val="Refdenotaalpie"/>
          <w:rFonts w:ascii="AvantGarde Bk BT" w:eastAsia="Times New Roman" w:hAnsi="AvantGarde Bk BT" w:cs="Arial"/>
          <w:color w:val="000000"/>
          <w:sz w:val="24"/>
          <w:szCs w:val="24"/>
        </w:rPr>
        <w:footnoteReference w:id="9"/>
      </w:r>
      <w:r>
        <w:rPr>
          <w:rFonts w:ascii="AvantGarde Bk BT" w:eastAsia="Times New Roman" w:hAnsi="AvantGarde Bk BT" w:cs="Arial"/>
          <w:color w:val="000000"/>
          <w:sz w:val="24"/>
          <w:szCs w:val="24"/>
        </w:rPr>
        <w:t xml:space="preserve"> de la Ley de la materia, se debe entender </w:t>
      </w:r>
      <w:r w:rsidR="00F07ED9">
        <w:rPr>
          <w:rFonts w:ascii="AvantGarde Bk BT" w:eastAsia="Times New Roman" w:hAnsi="AvantGarde Bk BT" w:cs="Arial"/>
          <w:color w:val="000000"/>
          <w:sz w:val="24"/>
          <w:szCs w:val="24"/>
        </w:rPr>
        <w:t>por información reservada</w:t>
      </w:r>
      <w:r>
        <w:rPr>
          <w:rFonts w:ascii="AvantGarde Bk BT" w:eastAsia="Times New Roman" w:hAnsi="AvantGarde Bk BT" w:cs="Arial"/>
          <w:color w:val="000000"/>
          <w:sz w:val="24"/>
          <w:szCs w:val="24"/>
        </w:rPr>
        <w:t xml:space="preserve"> aque</w:t>
      </w:r>
      <w:r w:rsidRPr="00FB726F">
        <w:rPr>
          <w:rFonts w:ascii="AvantGarde Bk BT" w:eastAsia="Times New Roman" w:hAnsi="AvantGarde Bk BT" w:cs="Arial"/>
          <w:color w:val="000000"/>
          <w:sz w:val="24"/>
          <w:szCs w:val="24"/>
        </w:rPr>
        <w:t xml:space="preserve">lla que, conforme </w:t>
      </w:r>
      <w:r>
        <w:rPr>
          <w:rFonts w:ascii="AvantGarde Bk BT" w:eastAsia="Times New Roman" w:hAnsi="AvantGarde Bk BT" w:cs="Arial"/>
          <w:color w:val="000000"/>
          <w:sz w:val="24"/>
          <w:szCs w:val="24"/>
        </w:rPr>
        <w:t>al procedimiento de clasificación previsto</w:t>
      </w:r>
      <w:r w:rsidRPr="00FB726F">
        <w:rPr>
          <w:rFonts w:ascii="AvantGarde Bk BT" w:eastAsia="Times New Roman" w:hAnsi="AvantGarde Bk BT" w:cs="Arial"/>
          <w:color w:val="000000"/>
          <w:sz w:val="24"/>
          <w:szCs w:val="24"/>
        </w:rPr>
        <w:t xml:space="preserve"> </w:t>
      </w:r>
      <w:r>
        <w:rPr>
          <w:rFonts w:ascii="AvantGarde Bk BT" w:eastAsia="Times New Roman" w:hAnsi="AvantGarde Bk BT" w:cs="Arial"/>
          <w:color w:val="000000"/>
          <w:sz w:val="24"/>
          <w:szCs w:val="24"/>
        </w:rPr>
        <w:t>en la Ley de T</w:t>
      </w:r>
      <w:r w:rsidRPr="00FB726F">
        <w:rPr>
          <w:rFonts w:ascii="AvantGarde Bk BT" w:eastAsia="Times New Roman" w:hAnsi="AvantGarde Bk BT" w:cs="Arial"/>
          <w:color w:val="000000"/>
          <w:sz w:val="24"/>
          <w:szCs w:val="24"/>
        </w:rPr>
        <w:t xml:space="preserve">ransparencia, determinen los comités de transparencia de cada sujeto obligado mediante el acuerdo correspondiente cuando la publicación de dicha información: </w:t>
      </w:r>
    </w:p>
    <w:p w14:paraId="6A4DB14C"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lastRenderedPageBreak/>
        <w:t xml:space="preserve">Comprometa la seguridad pública y cuente con un propósito genuino y un efecto demostrable; </w:t>
      </w:r>
    </w:p>
    <w:p w14:paraId="4197A0ED"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Pueda menoscabar la conducción de las negociaciones y relaciones internacionales; </w:t>
      </w:r>
    </w:p>
    <w:p w14:paraId="710588A6"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7C583F5D"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Pueda poner en riesgo la vida, seguridad o salud de una persona física; </w:t>
      </w:r>
    </w:p>
    <w:p w14:paraId="6083C4C0"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las actividades de verificación, inspección y auditoría relativas al cumplimiento de las leyes o afecte la recaudación de contribuciones; </w:t>
      </w:r>
    </w:p>
    <w:p w14:paraId="3A1FDE3B"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la prevención o persecución de los delitos; </w:t>
      </w:r>
    </w:p>
    <w:p w14:paraId="739D4729"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La que contenga las opiniones, recomendaciones o puntos de vista que formen parte del proceso deliberativo de los servidores públicos, hasta en tanto no sea adoptada la decisión definitiva, la cual deberá estar documentada; </w:t>
      </w:r>
    </w:p>
    <w:p w14:paraId="73BFE5E7"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los procedimientos para fincar responsabilidad a los Servidores Públicos, en tanto no se haya dictado la resolución administrativa; </w:t>
      </w:r>
    </w:p>
    <w:p w14:paraId="23E3D26B"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Afecte los derechos del debido proceso; </w:t>
      </w:r>
    </w:p>
    <w:p w14:paraId="760C2451"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Vulnere la conducción de los Expedientes judiciales o de los procedimientos administrativos seguidos en forma de juicio, en tanto no hayan causado estado; </w:t>
      </w:r>
    </w:p>
    <w:p w14:paraId="4ADA2246" w14:textId="77777777" w:rsidR="0038013D" w:rsidRPr="00FB726F" w:rsidRDefault="0038013D" w:rsidP="0038013D">
      <w:pPr>
        <w:numPr>
          <w:ilvl w:val="0"/>
          <w:numId w:val="45"/>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Se encuentre contenida dentro de las investigaciones de hechos que la ley señale como delitos y se tramiten ante el Ministerio Público, y</w:t>
      </w:r>
    </w:p>
    <w:p w14:paraId="3D9A2D1D" w14:textId="15E576AE" w:rsidR="00CF5194" w:rsidRPr="00580C30" w:rsidRDefault="0038013D" w:rsidP="00CF5194">
      <w:pPr>
        <w:numPr>
          <w:ilvl w:val="0"/>
          <w:numId w:val="45"/>
        </w:numPr>
        <w:tabs>
          <w:tab w:val="left" w:pos="567"/>
        </w:tabs>
        <w:spacing w:after="24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 Las que por disposición expresa de una ley tengan tal carácter, siempre que sean acordes con las bases, principios y disposiciones establecidos en esta Ley y no la contravengan; así como las previstas en tratados internacionales.</w:t>
      </w:r>
    </w:p>
    <w:p w14:paraId="453F438B" w14:textId="77777777" w:rsidR="00580C30" w:rsidRDefault="00580C30" w:rsidP="00580C30">
      <w:pPr>
        <w:pStyle w:val="corte4fondo"/>
        <w:tabs>
          <w:tab w:val="left" w:pos="567"/>
        </w:tabs>
        <w:rPr>
          <w:rFonts w:ascii="AvantGarde Bk BT" w:hAnsi="AvantGarde Bk BT" w:cs="Arial"/>
          <w:sz w:val="24"/>
          <w:szCs w:val="24"/>
        </w:rPr>
      </w:pPr>
      <w:r>
        <w:rPr>
          <w:rFonts w:ascii="AvantGarde Bk BT" w:hAnsi="AvantGarde Bk BT" w:cs="Arial"/>
          <w:sz w:val="24"/>
          <w:szCs w:val="24"/>
        </w:rPr>
        <w:t>En este sentido, conforme lo dispone el artículo 118</w:t>
      </w:r>
      <w:r>
        <w:rPr>
          <w:rStyle w:val="Refdenotaalpie"/>
          <w:rFonts w:ascii="AvantGarde Bk BT" w:hAnsi="AvantGarde Bk BT" w:cs="Arial"/>
          <w:sz w:val="24"/>
          <w:szCs w:val="24"/>
        </w:rPr>
        <w:footnoteReference w:id="10"/>
      </w:r>
      <w:r>
        <w:rPr>
          <w:rFonts w:ascii="AvantGarde Bk BT" w:hAnsi="AvantGarde Bk BT" w:cs="Arial"/>
          <w:sz w:val="24"/>
          <w:szCs w:val="24"/>
        </w:rPr>
        <w:t xml:space="preserve"> de la Ley, en la aplicación de la prueba de daño, el sujeto obligado debe acreditar que:</w:t>
      </w:r>
    </w:p>
    <w:p w14:paraId="270F0D0E" w14:textId="77777777" w:rsidR="00580C30" w:rsidRPr="00C77DFB" w:rsidRDefault="00580C30" w:rsidP="00580C30">
      <w:pPr>
        <w:pStyle w:val="corte4fondo"/>
        <w:tabs>
          <w:tab w:val="left" w:pos="567"/>
        </w:tabs>
        <w:ind w:left="680" w:firstLine="0"/>
        <w:rPr>
          <w:rFonts w:ascii="AvantGarde Bk BT" w:hAnsi="AvantGarde Bk BT" w:cs="Arial"/>
          <w:sz w:val="24"/>
          <w:szCs w:val="24"/>
        </w:rPr>
      </w:pPr>
      <w:r w:rsidRPr="00C77DFB">
        <w:rPr>
          <w:rFonts w:ascii="AvantGarde Bk BT" w:hAnsi="AvantGarde Bk BT" w:cs="Arial"/>
          <w:sz w:val="24"/>
          <w:szCs w:val="24"/>
        </w:rPr>
        <w:lastRenderedPageBreak/>
        <w:t>I. La divulgación de la información representa un riesgo real, demostrable e identificable de</w:t>
      </w:r>
      <w:r>
        <w:rPr>
          <w:rFonts w:ascii="AvantGarde Bk BT" w:hAnsi="AvantGarde Bk BT" w:cs="Arial"/>
          <w:sz w:val="24"/>
          <w:szCs w:val="24"/>
        </w:rPr>
        <w:t xml:space="preserve"> </w:t>
      </w:r>
      <w:r w:rsidRPr="00C77DFB">
        <w:rPr>
          <w:rFonts w:ascii="AvantGarde Bk BT" w:hAnsi="AvantGarde Bk BT" w:cs="Arial"/>
          <w:sz w:val="24"/>
          <w:szCs w:val="24"/>
        </w:rPr>
        <w:t>perjuicio significativo al interés público;</w:t>
      </w:r>
    </w:p>
    <w:p w14:paraId="07749899" w14:textId="77777777" w:rsidR="00580C30" w:rsidRPr="00C77DFB" w:rsidRDefault="00580C30" w:rsidP="00580C30">
      <w:pPr>
        <w:pStyle w:val="corte4fondo"/>
        <w:tabs>
          <w:tab w:val="left" w:pos="567"/>
        </w:tabs>
        <w:ind w:left="680" w:firstLine="0"/>
        <w:rPr>
          <w:rFonts w:ascii="AvantGarde Bk BT" w:hAnsi="AvantGarde Bk BT" w:cs="Arial"/>
          <w:sz w:val="24"/>
          <w:szCs w:val="24"/>
        </w:rPr>
      </w:pPr>
      <w:r w:rsidRPr="00C77DFB">
        <w:rPr>
          <w:rFonts w:ascii="AvantGarde Bk BT" w:hAnsi="AvantGarde Bk BT" w:cs="Arial"/>
          <w:sz w:val="24"/>
          <w:szCs w:val="24"/>
        </w:rPr>
        <w:t>II. El riesgo de perjuicio que supondría la divulgación supera el interés público general de que se</w:t>
      </w:r>
      <w:r>
        <w:rPr>
          <w:rFonts w:ascii="AvantGarde Bk BT" w:hAnsi="AvantGarde Bk BT" w:cs="Arial"/>
          <w:sz w:val="24"/>
          <w:szCs w:val="24"/>
        </w:rPr>
        <w:t xml:space="preserve"> </w:t>
      </w:r>
      <w:r w:rsidRPr="00C77DFB">
        <w:rPr>
          <w:rFonts w:ascii="AvantGarde Bk BT" w:hAnsi="AvantGarde Bk BT" w:cs="Arial"/>
          <w:sz w:val="24"/>
          <w:szCs w:val="24"/>
        </w:rPr>
        <w:t>difunda, y</w:t>
      </w:r>
    </w:p>
    <w:p w14:paraId="57B4AB86" w14:textId="322623A5" w:rsidR="00CF5194" w:rsidRDefault="00580C30" w:rsidP="00EF4FBC">
      <w:pPr>
        <w:pStyle w:val="corte4fondo"/>
        <w:tabs>
          <w:tab w:val="left" w:pos="567"/>
        </w:tabs>
        <w:ind w:left="680" w:firstLine="0"/>
        <w:rPr>
          <w:rFonts w:ascii="AvantGarde Bk BT" w:hAnsi="AvantGarde Bk BT" w:cs="Arial"/>
          <w:sz w:val="24"/>
          <w:szCs w:val="24"/>
        </w:rPr>
      </w:pPr>
      <w:r w:rsidRPr="00C77DFB">
        <w:rPr>
          <w:rFonts w:ascii="AvantGarde Bk BT" w:hAnsi="AvantGarde Bk BT" w:cs="Arial"/>
          <w:sz w:val="24"/>
          <w:szCs w:val="24"/>
        </w:rPr>
        <w:t>III. La limitación se adecua al principio de proporcionalidad y representa el medio menos</w:t>
      </w:r>
      <w:r>
        <w:rPr>
          <w:rFonts w:ascii="AvantGarde Bk BT" w:hAnsi="AvantGarde Bk BT" w:cs="Arial"/>
          <w:sz w:val="24"/>
          <w:szCs w:val="24"/>
        </w:rPr>
        <w:t xml:space="preserve"> </w:t>
      </w:r>
      <w:r w:rsidRPr="00C77DFB">
        <w:rPr>
          <w:rFonts w:ascii="AvantGarde Bk BT" w:hAnsi="AvantGarde Bk BT" w:cs="Arial"/>
          <w:sz w:val="24"/>
          <w:szCs w:val="24"/>
        </w:rPr>
        <w:t>restrictivo disponible para evitar el perjuicio.</w:t>
      </w:r>
    </w:p>
    <w:p w14:paraId="7C323593" w14:textId="585BFD0E" w:rsidR="00EF4FBC" w:rsidRDefault="00EF4FBC" w:rsidP="00EF4FBC">
      <w:pPr>
        <w:pStyle w:val="corte4fondo"/>
        <w:tabs>
          <w:tab w:val="left" w:pos="567"/>
        </w:tabs>
        <w:ind w:left="680" w:firstLine="0"/>
        <w:rPr>
          <w:rFonts w:ascii="AvantGarde Bk BT" w:hAnsi="AvantGarde Bk BT" w:cs="Arial"/>
          <w:sz w:val="24"/>
          <w:szCs w:val="24"/>
        </w:rPr>
      </w:pPr>
    </w:p>
    <w:p w14:paraId="6A495ABB" w14:textId="2A739D70" w:rsidR="00CF5194" w:rsidRDefault="00EF4FBC" w:rsidP="00EF4F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Esto, en razón de que como dispone el ya </w:t>
      </w:r>
      <w:r w:rsidR="000268B4">
        <w:rPr>
          <w:rFonts w:ascii="AvantGarde Bk BT" w:hAnsi="AvantGarde Bk BT" w:cs="Arial"/>
          <w:sz w:val="24"/>
          <w:szCs w:val="24"/>
        </w:rPr>
        <w:t>citado</w:t>
      </w:r>
      <w:r>
        <w:rPr>
          <w:rFonts w:ascii="AvantGarde Bk BT" w:hAnsi="AvantGarde Bk BT" w:cs="Arial"/>
          <w:sz w:val="24"/>
          <w:szCs w:val="24"/>
        </w:rPr>
        <w:t xml:space="preserve"> artículo 119 Ley, </w:t>
      </w:r>
      <w:r w:rsidRPr="000268B4">
        <w:rPr>
          <w:rFonts w:ascii="AvantGarde Bk BT" w:hAnsi="AvantGarde Bk BT" w:cs="Arial"/>
          <w:b/>
          <w:sz w:val="24"/>
          <w:szCs w:val="24"/>
        </w:rPr>
        <w:t>el sujeto obligado debe acreditar la procedencia de la clasificación de la información</w:t>
      </w:r>
      <w:r>
        <w:rPr>
          <w:rFonts w:ascii="AvantGarde Bk BT" w:hAnsi="AvantGarde Bk BT" w:cs="Arial"/>
          <w:sz w:val="24"/>
          <w:szCs w:val="24"/>
        </w:rPr>
        <w:t>, a fin de que las restricciones al derecho de acceso a la información no se apliquen de manera ilimitada.</w:t>
      </w:r>
    </w:p>
    <w:p w14:paraId="29C19842" w14:textId="77777777" w:rsidR="00EF4FBC" w:rsidRPr="00EF4FBC" w:rsidRDefault="00EF4FBC" w:rsidP="00EF4FBC">
      <w:pPr>
        <w:pStyle w:val="corte4fondo"/>
        <w:tabs>
          <w:tab w:val="left" w:pos="567"/>
        </w:tabs>
        <w:rPr>
          <w:rFonts w:ascii="AvantGarde Bk BT" w:hAnsi="AvantGarde Bk BT" w:cs="Arial"/>
          <w:sz w:val="24"/>
          <w:szCs w:val="24"/>
        </w:rPr>
      </w:pPr>
    </w:p>
    <w:p w14:paraId="29AA80E5" w14:textId="32430B63" w:rsidR="00726E88" w:rsidRDefault="002A3DDA" w:rsidP="002A3DDA">
      <w:pPr>
        <w:pStyle w:val="corte4fondo"/>
        <w:tabs>
          <w:tab w:val="left" w:pos="567"/>
        </w:tabs>
        <w:rPr>
          <w:rFonts w:ascii="AvantGarde Bk BT" w:hAnsi="AvantGarde Bk BT" w:cs="Arial"/>
          <w:color w:val="000000" w:themeColor="text1"/>
          <w:sz w:val="24"/>
          <w:szCs w:val="24"/>
        </w:rPr>
      </w:pPr>
      <w:r>
        <w:rPr>
          <w:rFonts w:ascii="AvantGarde Bk BT" w:hAnsi="AvantGarde Bk BT" w:cs="Arial"/>
          <w:sz w:val="24"/>
          <w:szCs w:val="24"/>
        </w:rPr>
        <w:t>En el marco de lo anterior, en el caso particular</w:t>
      </w:r>
      <w:r w:rsidR="00CF5194">
        <w:rPr>
          <w:rFonts w:ascii="AvantGarde Bk BT" w:hAnsi="AvantGarde Bk BT" w:cs="Arial"/>
          <w:sz w:val="24"/>
          <w:szCs w:val="24"/>
        </w:rPr>
        <w:t xml:space="preserve"> el sujeto obligado fundamentó la reserva de la información bajo las hipótesis </w:t>
      </w:r>
      <w:r>
        <w:rPr>
          <w:rFonts w:ascii="AvantGarde Bk BT" w:hAnsi="AvantGarde Bk BT" w:cs="Arial"/>
          <w:sz w:val="24"/>
          <w:szCs w:val="24"/>
        </w:rPr>
        <w:t xml:space="preserve">previstas en las fracciones IV, IX y X del artículo 129 la Ley de Transparencia, es decir, porque de acuerdo con éste, la entrega de la información </w:t>
      </w:r>
      <w:r w:rsidR="00696773">
        <w:rPr>
          <w:rFonts w:ascii="AvantGarde Bk BT" w:hAnsi="AvantGarde Bk BT" w:cs="Arial"/>
          <w:sz w:val="24"/>
          <w:szCs w:val="24"/>
        </w:rPr>
        <w:t>consistente en “</w:t>
      </w:r>
      <w:r w:rsidR="00696773" w:rsidRPr="00696773">
        <w:rPr>
          <w:rFonts w:ascii="AvantGarde Bk BT" w:hAnsi="AvantGarde Bk BT" w:cs="Arial"/>
          <w:i/>
          <w:sz w:val="24"/>
          <w:szCs w:val="24"/>
        </w:rPr>
        <w:t>la totalidad de la información contenida en los do0cumentos concernientes a estudios y dictamen de factibilidad, los procedimientos administrativos de conexión y/o incorporación de nuevos fraccionamientos o desarrollos, los procedimientos de sanción y la conclusión de los mismos, de las empresas PROMOTORA SIAIRO, S.A de C.V. y MUGAVUS CONSTRUCCIONES S.A. de C.V.</w:t>
      </w:r>
      <w:r w:rsidR="00696773">
        <w:rPr>
          <w:rFonts w:ascii="AvantGarde Bk BT" w:hAnsi="AvantGarde Bk BT" w:cs="Arial"/>
          <w:sz w:val="24"/>
          <w:szCs w:val="24"/>
        </w:rPr>
        <w:t xml:space="preserve">”, </w:t>
      </w:r>
      <w:r>
        <w:rPr>
          <w:rFonts w:ascii="AvantGarde Bk BT" w:hAnsi="AvantGarde Bk BT" w:cs="Arial"/>
          <w:sz w:val="24"/>
          <w:szCs w:val="24"/>
        </w:rPr>
        <w:t>puede</w:t>
      </w:r>
      <w:r w:rsidRPr="002A3DDA">
        <w:rPr>
          <w:rFonts w:ascii="AvantGarde Bk BT" w:hAnsi="AvantGarde Bk BT" w:cs="Arial"/>
          <w:sz w:val="24"/>
          <w:szCs w:val="24"/>
        </w:rPr>
        <w:t xml:space="preserve"> poner en riesgo la vida, segurida</w:t>
      </w:r>
      <w:r>
        <w:rPr>
          <w:rFonts w:ascii="AvantGarde Bk BT" w:hAnsi="AvantGarde Bk BT" w:cs="Arial"/>
          <w:sz w:val="24"/>
          <w:szCs w:val="24"/>
        </w:rPr>
        <w:t>d o salud de una persona física, a</w:t>
      </w:r>
      <w:r>
        <w:rPr>
          <w:rFonts w:ascii="AvantGarde Bk BT" w:hAnsi="AvantGarde Bk BT" w:cs="Arial"/>
          <w:color w:val="000000" w:themeColor="text1"/>
          <w:sz w:val="24"/>
          <w:szCs w:val="24"/>
        </w:rPr>
        <w:t>fecta</w:t>
      </w:r>
      <w:r w:rsidRPr="002A3DD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los derechos del debido proceso y vulnera la conducción de los e</w:t>
      </w:r>
      <w:r w:rsidRPr="002A3DDA">
        <w:rPr>
          <w:rFonts w:ascii="AvantGarde Bk BT" w:hAnsi="AvantGarde Bk BT" w:cs="Arial"/>
          <w:color w:val="000000" w:themeColor="text1"/>
          <w:sz w:val="24"/>
          <w:szCs w:val="24"/>
        </w:rPr>
        <w:t>xpedientes judiciales o de los procedimientos</w:t>
      </w:r>
      <w:r>
        <w:rPr>
          <w:rFonts w:ascii="AvantGarde Bk BT" w:hAnsi="AvantGarde Bk BT" w:cs="Arial"/>
          <w:color w:val="000000" w:themeColor="text1"/>
          <w:sz w:val="24"/>
          <w:szCs w:val="24"/>
        </w:rPr>
        <w:t xml:space="preserve"> </w:t>
      </w:r>
      <w:r w:rsidRPr="002A3DDA">
        <w:rPr>
          <w:rFonts w:ascii="AvantGarde Bk BT" w:hAnsi="AvantGarde Bk BT" w:cs="Arial"/>
          <w:color w:val="000000" w:themeColor="text1"/>
          <w:sz w:val="24"/>
          <w:szCs w:val="24"/>
        </w:rPr>
        <w:t>administrativos seguidos en forma de juicio, e</w:t>
      </w:r>
      <w:r w:rsidR="006C1F08">
        <w:rPr>
          <w:rFonts w:ascii="AvantGarde Bk BT" w:hAnsi="AvantGarde Bk BT" w:cs="Arial"/>
          <w:color w:val="000000" w:themeColor="text1"/>
          <w:sz w:val="24"/>
          <w:szCs w:val="24"/>
        </w:rPr>
        <w:t>n tanto no hayan causado estado</w:t>
      </w:r>
      <w:r w:rsidR="00726E88">
        <w:rPr>
          <w:rFonts w:ascii="AvantGarde Bk BT" w:hAnsi="AvantGarde Bk BT" w:cs="Arial"/>
          <w:color w:val="000000" w:themeColor="text1"/>
          <w:sz w:val="24"/>
          <w:szCs w:val="24"/>
        </w:rPr>
        <w:t xml:space="preserve">, </w:t>
      </w:r>
      <w:r w:rsidR="00696773">
        <w:rPr>
          <w:rFonts w:ascii="AvantGarde Bk BT" w:hAnsi="AvantGarde Bk BT" w:cs="Arial"/>
          <w:color w:val="000000" w:themeColor="text1"/>
          <w:sz w:val="24"/>
          <w:szCs w:val="24"/>
        </w:rPr>
        <w:t xml:space="preserve">en </w:t>
      </w:r>
      <w:r w:rsidR="00726E88">
        <w:rPr>
          <w:rFonts w:ascii="AvantGarde Bk BT" w:hAnsi="AvantGarde Bk BT" w:cs="Arial"/>
          <w:color w:val="000000" w:themeColor="text1"/>
          <w:sz w:val="24"/>
          <w:szCs w:val="24"/>
        </w:rPr>
        <w:t>bajo los siguientes argumentos:</w:t>
      </w:r>
    </w:p>
    <w:p w14:paraId="6E425CF8" w14:textId="77777777" w:rsidR="00726E88" w:rsidRDefault="00726E88" w:rsidP="00726E88">
      <w:pPr>
        <w:pStyle w:val="corte4fondo"/>
        <w:tabs>
          <w:tab w:val="left" w:pos="567"/>
        </w:tabs>
        <w:ind w:firstLine="0"/>
        <w:rPr>
          <w:rFonts w:ascii="AvantGarde Bk BT" w:hAnsi="AvantGarde Bk BT" w:cs="Arial"/>
          <w:color w:val="000000" w:themeColor="text1"/>
          <w:sz w:val="24"/>
          <w:szCs w:val="24"/>
        </w:rPr>
      </w:pPr>
    </w:p>
    <w:p w14:paraId="5C97B4CA" w14:textId="3C1B35EE" w:rsidR="00847C98" w:rsidRPr="00514CD7" w:rsidRDefault="00726E88" w:rsidP="00633EE6">
      <w:pPr>
        <w:pStyle w:val="corte4fondo"/>
        <w:tabs>
          <w:tab w:val="left" w:pos="567"/>
        </w:tabs>
        <w:spacing w:line="240" w:lineRule="auto"/>
        <w:ind w:left="680" w:right="680" w:firstLine="0"/>
        <w:rPr>
          <w:rFonts w:ascii="AvantGarde Bk BT" w:hAnsi="AvantGarde Bk BT" w:cs="Arial"/>
          <w:i/>
          <w:color w:val="000000" w:themeColor="text1"/>
          <w:sz w:val="20"/>
        </w:rPr>
      </w:pPr>
      <w:r w:rsidRPr="007929BD">
        <w:rPr>
          <w:rFonts w:ascii="AvantGarde Bk BT" w:hAnsi="AvantGarde Bk BT" w:cs="Arial"/>
          <w:color w:val="000000" w:themeColor="text1"/>
          <w:sz w:val="24"/>
          <w:szCs w:val="24"/>
        </w:rPr>
        <w:t>“</w:t>
      </w:r>
      <w:r w:rsidRPr="00633EE6">
        <w:rPr>
          <w:rFonts w:ascii="AvantGarde Bk BT" w:hAnsi="AvantGarde Bk BT" w:cs="Arial"/>
          <w:color w:val="000000" w:themeColor="text1"/>
          <w:sz w:val="20"/>
        </w:rPr>
        <w:t>…</w:t>
      </w:r>
      <w:r w:rsidRPr="00514CD7">
        <w:rPr>
          <w:rFonts w:ascii="AvantGarde Bk BT" w:hAnsi="AvantGarde Bk BT" w:cs="Arial"/>
          <w:i/>
          <w:color w:val="000000" w:themeColor="text1"/>
          <w:sz w:val="20"/>
        </w:rPr>
        <w:t>de hacerse pública la información contenida en los documentos concernientes a los estudios y dictamen de factibilidad, los procedimientos administrativos de conexión y/o incorporación de nuevos fraccionamientos o desarrollos, los procedimientos de sanción y la conclusión de los mismos… puede entorpecer el proceso de los juicios de amparo 1383/2024, 139/2025-II y 1152/2025-II.</w:t>
      </w:r>
    </w:p>
    <w:p w14:paraId="4BF1C25E" w14:textId="465E0445" w:rsidR="00726E88" w:rsidRPr="00514CD7" w:rsidRDefault="00726E88" w:rsidP="00633EE6">
      <w:pPr>
        <w:pStyle w:val="corte4fondo"/>
        <w:tabs>
          <w:tab w:val="left" w:pos="567"/>
        </w:tabs>
        <w:spacing w:line="240" w:lineRule="auto"/>
        <w:ind w:left="680" w:right="680" w:firstLine="0"/>
        <w:rPr>
          <w:rFonts w:ascii="AvantGarde Bk BT" w:hAnsi="AvantGarde Bk BT" w:cs="Arial"/>
          <w:i/>
          <w:color w:val="000000" w:themeColor="text1"/>
          <w:sz w:val="20"/>
        </w:rPr>
      </w:pPr>
    </w:p>
    <w:p w14:paraId="1FD6977F" w14:textId="52BBA80E" w:rsidR="00726E88" w:rsidRPr="00514CD7" w:rsidRDefault="00726E88" w:rsidP="00633EE6">
      <w:pPr>
        <w:pStyle w:val="corte4fondo"/>
        <w:tabs>
          <w:tab w:val="left" w:pos="567"/>
        </w:tabs>
        <w:spacing w:line="240" w:lineRule="auto"/>
        <w:ind w:left="680" w:right="680" w:firstLine="0"/>
        <w:rPr>
          <w:rFonts w:ascii="AvantGarde Bk BT" w:hAnsi="AvantGarde Bk BT" w:cs="Arial"/>
          <w:i/>
          <w:color w:val="000000" w:themeColor="text1"/>
          <w:sz w:val="20"/>
        </w:rPr>
      </w:pPr>
      <w:r w:rsidRPr="00514CD7">
        <w:rPr>
          <w:rFonts w:ascii="AvantGarde Bk BT" w:hAnsi="AvantGarde Bk BT" w:cs="Arial"/>
          <w:i/>
          <w:color w:val="000000" w:themeColor="text1"/>
          <w:sz w:val="20"/>
        </w:rPr>
        <w:t>[…] pues proporcionar constancias de expedientes en los que se lleva la conducción de un procedimiento, implica la posibilidad de que se materialice un efecto nocivo en su integración.</w:t>
      </w:r>
    </w:p>
    <w:p w14:paraId="042AF396" w14:textId="4B997F25" w:rsidR="00726E88" w:rsidRPr="00514CD7" w:rsidRDefault="00E76D6D" w:rsidP="00633EE6">
      <w:pPr>
        <w:pStyle w:val="corte4fondo"/>
        <w:tabs>
          <w:tab w:val="left" w:pos="567"/>
        </w:tabs>
        <w:spacing w:line="240" w:lineRule="auto"/>
        <w:ind w:left="680" w:right="680" w:firstLine="0"/>
        <w:rPr>
          <w:rFonts w:ascii="AvantGarde Bk BT" w:hAnsi="AvantGarde Bk BT" w:cs="Arial"/>
          <w:i/>
          <w:color w:val="000000" w:themeColor="text1"/>
          <w:sz w:val="20"/>
        </w:rPr>
      </w:pPr>
      <w:r w:rsidRPr="00514CD7">
        <w:rPr>
          <w:rFonts w:ascii="AvantGarde Bk BT" w:hAnsi="AvantGarde Bk BT" w:cs="Arial"/>
          <w:i/>
          <w:color w:val="000000" w:themeColor="text1"/>
          <w:sz w:val="20"/>
        </w:rPr>
        <w:t>[…]</w:t>
      </w:r>
    </w:p>
    <w:p w14:paraId="74DC37C1" w14:textId="20A8EF36" w:rsidR="00E76D6D" w:rsidRPr="00514CD7" w:rsidRDefault="00726E88" w:rsidP="00633EE6">
      <w:pPr>
        <w:pStyle w:val="corte4fondo"/>
        <w:tabs>
          <w:tab w:val="left" w:pos="567"/>
        </w:tabs>
        <w:spacing w:line="240" w:lineRule="auto"/>
        <w:ind w:left="680" w:right="680" w:firstLine="0"/>
        <w:rPr>
          <w:rFonts w:ascii="AvantGarde Bk BT" w:hAnsi="AvantGarde Bk BT" w:cs="Arial"/>
          <w:i/>
          <w:color w:val="000000" w:themeColor="text1"/>
          <w:sz w:val="20"/>
        </w:rPr>
      </w:pPr>
      <w:r w:rsidRPr="00514CD7">
        <w:rPr>
          <w:rFonts w:ascii="AvantGarde Bk BT" w:hAnsi="AvantGarde Bk BT" w:cs="Arial"/>
          <w:i/>
          <w:color w:val="000000" w:themeColor="text1"/>
          <w:sz w:val="20"/>
        </w:rPr>
        <w:lastRenderedPageBreak/>
        <w:t>Por consiguiente</w:t>
      </w:r>
      <w:r w:rsidR="00E76D6D" w:rsidRPr="00514CD7">
        <w:rPr>
          <w:rFonts w:ascii="AvantGarde Bk BT" w:hAnsi="AvantGarde Bk BT" w:cs="Arial"/>
          <w:i/>
          <w:color w:val="000000" w:themeColor="text1"/>
          <w:sz w:val="20"/>
        </w:rPr>
        <w:t>, se busca salvaguardar el debido proceso y resultados hasta concluir el procedimiento, con la finalidad de evitar se vulnere la conducción del expediente judicial o procedimiento administrativo seguidos en forma de juicio, en tanto no hayan causado estado, lo cual acontece en el presente caso, lo cual resulta jurídicamente válido, pues con ello se evita que se divulguen detalles, datos o elementos que pudieran poner en riesgo los procedimientos y procesos lo que podría llevar a la destrucción o afectación de elementos de prueba, de la imparcialidad y con esto la afectación de derechos que salvaguarden los derechos de las personas.</w:t>
      </w:r>
    </w:p>
    <w:p w14:paraId="3F53CE4A" w14:textId="77777777" w:rsidR="00E76D6D" w:rsidRPr="00514CD7" w:rsidRDefault="00E76D6D" w:rsidP="00633EE6">
      <w:pPr>
        <w:pStyle w:val="corte4fondo"/>
        <w:tabs>
          <w:tab w:val="left" w:pos="567"/>
        </w:tabs>
        <w:spacing w:line="240" w:lineRule="auto"/>
        <w:ind w:left="680" w:right="680"/>
        <w:rPr>
          <w:rFonts w:ascii="AvantGarde Bk BT" w:hAnsi="AvantGarde Bk BT" w:cs="Arial"/>
          <w:i/>
          <w:color w:val="000000" w:themeColor="text1"/>
          <w:sz w:val="20"/>
        </w:rPr>
      </w:pPr>
    </w:p>
    <w:p w14:paraId="3A2B8909" w14:textId="75E55DF4" w:rsidR="00726E88" w:rsidRPr="00514CD7" w:rsidRDefault="00E76D6D" w:rsidP="00633EE6">
      <w:pPr>
        <w:pStyle w:val="corte4fondo"/>
        <w:tabs>
          <w:tab w:val="left" w:pos="567"/>
        </w:tabs>
        <w:spacing w:line="240" w:lineRule="auto"/>
        <w:ind w:left="680" w:right="680" w:firstLine="0"/>
        <w:rPr>
          <w:rFonts w:ascii="AvantGarde Bk BT" w:hAnsi="AvantGarde Bk BT" w:cs="Arial"/>
          <w:i/>
          <w:color w:val="000000" w:themeColor="text1"/>
          <w:sz w:val="20"/>
        </w:rPr>
      </w:pPr>
      <w:r w:rsidRPr="00514CD7">
        <w:rPr>
          <w:rFonts w:ascii="AvantGarde Bk BT" w:hAnsi="AvantGarde Bk BT" w:cs="Arial"/>
          <w:i/>
          <w:color w:val="000000" w:themeColor="text1"/>
          <w:sz w:val="20"/>
        </w:rPr>
        <w:t>Pues, la divulgación de la información solicitada conllevaría un riesgo real, demostrable e identificable por cuanto a la sana e imparcial integración de los procedimientos, desde su apertura hasta su total solución, en el entendido de que, en principio, en ese lapso, las constancias que nutren su conformación sólo atañen a l</w:t>
      </w:r>
      <w:r w:rsidR="009460DB" w:rsidRPr="00514CD7">
        <w:rPr>
          <w:rFonts w:ascii="AvantGarde Bk BT" w:hAnsi="AvantGarde Bk BT" w:cs="Arial"/>
          <w:i/>
          <w:color w:val="000000" w:themeColor="text1"/>
          <w:sz w:val="20"/>
        </w:rPr>
        <w:t>as partes que en el intervienen,</w:t>
      </w:r>
      <w:r w:rsidRPr="00514CD7">
        <w:rPr>
          <w:rFonts w:ascii="AvantGarde Bk BT" w:hAnsi="AvantGarde Bk BT" w:cs="Arial"/>
          <w:i/>
          <w:color w:val="000000" w:themeColor="text1"/>
          <w:sz w:val="20"/>
        </w:rPr>
        <w:t xml:space="preserve"> por lo que se debe velar siempre por el correcto equilibrio del proceso, evitando cualquier injerencia externa que por mínima que sea suponga una alteración a ese esquema y a la objetividad.</w:t>
      </w:r>
    </w:p>
    <w:p w14:paraId="2970CF2A" w14:textId="75D1D633" w:rsidR="00726E88" w:rsidRPr="00514CD7" w:rsidRDefault="00726E88" w:rsidP="00633EE6">
      <w:pPr>
        <w:pStyle w:val="corte4fondo"/>
        <w:tabs>
          <w:tab w:val="left" w:pos="567"/>
        </w:tabs>
        <w:spacing w:line="240" w:lineRule="auto"/>
        <w:ind w:left="680" w:right="680"/>
        <w:rPr>
          <w:rFonts w:ascii="AvantGarde Bk BT" w:hAnsi="AvantGarde Bk BT" w:cs="Arial"/>
          <w:i/>
          <w:color w:val="000000" w:themeColor="text1"/>
          <w:sz w:val="20"/>
        </w:rPr>
      </w:pPr>
    </w:p>
    <w:p w14:paraId="0E13601C" w14:textId="15D3C3E3" w:rsidR="00726E88" w:rsidRPr="00514CD7" w:rsidRDefault="00E76D6D" w:rsidP="00633EE6">
      <w:pPr>
        <w:pStyle w:val="corte4fondo"/>
        <w:tabs>
          <w:tab w:val="left" w:pos="567"/>
        </w:tabs>
        <w:spacing w:line="240" w:lineRule="auto"/>
        <w:ind w:left="680" w:right="680" w:firstLine="0"/>
        <w:rPr>
          <w:rFonts w:ascii="AvantGarde Bk BT" w:hAnsi="AvantGarde Bk BT" w:cs="Arial"/>
          <w:i/>
          <w:sz w:val="20"/>
        </w:rPr>
      </w:pPr>
      <w:r w:rsidRPr="00514CD7">
        <w:rPr>
          <w:rFonts w:ascii="AvantGarde Bk BT" w:hAnsi="AvantGarde Bk BT" w:cs="Arial"/>
          <w:i/>
          <w:sz w:val="20"/>
        </w:rPr>
        <w:t>[…]</w:t>
      </w:r>
    </w:p>
    <w:p w14:paraId="4B94602D" w14:textId="4A579044" w:rsidR="00847C98" w:rsidRPr="00514CD7" w:rsidRDefault="009460DB" w:rsidP="00633EE6">
      <w:pPr>
        <w:pStyle w:val="corte4fondo"/>
        <w:tabs>
          <w:tab w:val="left" w:pos="567"/>
        </w:tabs>
        <w:spacing w:line="240" w:lineRule="auto"/>
        <w:ind w:left="680" w:right="680" w:firstLine="0"/>
        <w:rPr>
          <w:rFonts w:ascii="AvantGarde Bk BT" w:hAnsi="AvantGarde Bk BT" w:cs="Arial"/>
          <w:i/>
          <w:sz w:val="20"/>
        </w:rPr>
      </w:pPr>
      <w:r w:rsidRPr="00514CD7">
        <w:rPr>
          <w:rFonts w:ascii="AvantGarde Bk BT" w:hAnsi="AvantGarde Bk BT" w:cs="Arial"/>
          <w:b/>
          <w:i/>
          <w:sz w:val="20"/>
        </w:rPr>
        <w:t>Prueba de daño</w:t>
      </w:r>
      <w:r w:rsidRPr="00514CD7">
        <w:rPr>
          <w:rFonts w:ascii="AvantGarde Bk BT" w:hAnsi="AvantGarde Bk BT" w:cs="Arial"/>
          <w:i/>
          <w:sz w:val="20"/>
        </w:rPr>
        <w:t>…</w:t>
      </w:r>
      <w:r w:rsidR="00E76D6D" w:rsidRPr="00514CD7">
        <w:rPr>
          <w:rFonts w:ascii="AvantGarde Bk BT" w:hAnsi="AvantGarde Bk BT" w:cs="Arial"/>
          <w:i/>
          <w:sz w:val="20"/>
        </w:rPr>
        <w:t>bajo el contexto explicado, la divulgación de la información solicitada conllevaría, previo a su solución definitiva, un riesgo real, demostrable e identificable para el ejercicio equilibrado</w:t>
      </w:r>
      <w:r w:rsidRPr="00514CD7">
        <w:rPr>
          <w:rFonts w:ascii="AvantGarde Bk BT" w:hAnsi="AvantGarde Bk BT" w:cs="Arial"/>
          <w:i/>
          <w:sz w:val="20"/>
        </w:rPr>
        <w:t xml:space="preserve"> de los derechos de las partes y para la autonomía y libertad deliberativa por parte de las autoridades competentes en la valoración del contenido y trascendencia de los actos investigados y los elementos probatorios en que éstos se sustentan, en contraposición al acceso público a cierta información.</w:t>
      </w:r>
    </w:p>
    <w:p w14:paraId="1C466F73" w14:textId="77777777" w:rsidR="00633EE6" w:rsidRPr="00514CD7" w:rsidRDefault="00633EE6" w:rsidP="00633EE6">
      <w:pPr>
        <w:pStyle w:val="corte4fondo"/>
        <w:tabs>
          <w:tab w:val="left" w:pos="567"/>
        </w:tabs>
        <w:spacing w:line="240" w:lineRule="auto"/>
        <w:ind w:left="680" w:right="680" w:firstLine="0"/>
        <w:rPr>
          <w:rFonts w:ascii="AvantGarde Bk BT" w:hAnsi="AvantGarde Bk BT" w:cs="Arial"/>
          <w:i/>
          <w:sz w:val="20"/>
        </w:rPr>
      </w:pPr>
    </w:p>
    <w:p w14:paraId="26278821" w14:textId="508D4BD2" w:rsidR="009460DB" w:rsidRPr="00514CD7" w:rsidRDefault="009460DB" w:rsidP="00633EE6">
      <w:pPr>
        <w:tabs>
          <w:tab w:val="left" w:pos="567"/>
        </w:tabs>
        <w:spacing w:after="240" w:line="240" w:lineRule="auto"/>
        <w:ind w:left="680" w:right="680"/>
        <w:jc w:val="both"/>
        <w:rPr>
          <w:rFonts w:ascii="AvantGarde Bk BT" w:hAnsi="AvantGarde Bk BT" w:cs="Arial"/>
          <w:i/>
          <w:color w:val="000000" w:themeColor="text1"/>
          <w:sz w:val="20"/>
          <w:szCs w:val="20"/>
        </w:rPr>
      </w:pPr>
      <w:r w:rsidRPr="00514CD7">
        <w:rPr>
          <w:rFonts w:ascii="AvantGarde Bk BT" w:hAnsi="AvantGarde Bk BT" w:cs="Arial"/>
          <w:i/>
          <w:color w:val="000000" w:themeColor="text1"/>
          <w:sz w:val="20"/>
          <w:szCs w:val="20"/>
        </w:rPr>
        <w:t xml:space="preserve">Aunado a lo anterior, el daño implica que al subsistir un juicio en trámite y que no ha causado ejecutoria conlleva que la determinación e imparcialidad de quien resuelve el mismo se debe de encontrar libre de vicios, y que al divulgarse información en el presente case de personas morales de las cuales están inmiscuidas como partes demandadas y/o terceros llamados a juicios y/o como intervinientes en los juicios ya mencionados se atentaría en contra de la imparcialidad y del debido proceso ya que, al solicitarse informacion que tiene relación con las mismas y que puede implicar el adecuado desarrollo de los juicios ya mencionados se atentaría en contra del adecuado y debido proceso que se sigue en los juicios, pues, la información, puede afectar y ser utilizada en contra de las partes involucradas principalmente a lo relativo a las personas morales PROMOTORA SIAIRO, SA DE CV y MUGAVUS CONSTRUCCIONES SA DE CV. En conclusión, uno de los objetos esenciales del eficaz mantenimiento de los procedimientos seguidos en forma de juicio es conservar la independencia y objetividad del órgano </w:t>
      </w:r>
      <w:proofErr w:type="spellStart"/>
      <w:r w:rsidRPr="00514CD7">
        <w:rPr>
          <w:rFonts w:ascii="AvantGarde Bk BT" w:hAnsi="AvantGarde Bk BT" w:cs="Arial"/>
          <w:i/>
          <w:color w:val="000000" w:themeColor="text1"/>
          <w:sz w:val="20"/>
          <w:szCs w:val="20"/>
        </w:rPr>
        <w:t>resolutor</w:t>
      </w:r>
      <w:proofErr w:type="spellEnd"/>
      <w:r w:rsidRPr="00514CD7">
        <w:rPr>
          <w:rFonts w:ascii="AvantGarde Bk BT" w:hAnsi="AvantGarde Bk BT" w:cs="Arial"/>
          <w:i/>
          <w:color w:val="000000" w:themeColor="text1"/>
          <w:sz w:val="20"/>
          <w:szCs w:val="20"/>
        </w:rPr>
        <w:t>, en el entendido que revelar información de dichos procedimientos genera posibles riesgos, ya que, los receptores de la información, medios de comunicación y demás elementos de opinión pública construirían una postura favorable o desfavorable.</w:t>
      </w:r>
    </w:p>
    <w:p w14:paraId="0237333E" w14:textId="071F74CD" w:rsidR="009460DB" w:rsidRPr="00514CD7" w:rsidRDefault="009460DB" w:rsidP="00633EE6">
      <w:pPr>
        <w:tabs>
          <w:tab w:val="left" w:pos="567"/>
        </w:tabs>
        <w:spacing w:after="240" w:line="240" w:lineRule="auto"/>
        <w:ind w:left="680" w:right="680"/>
        <w:jc w:val="both"/>
        <w:rPr>
          <w:rFonts w:ascii="AvantGarde Bk BT" w:hAnsi="AvantGarde Bk BT" w:cs="Arial"/>
          <w:i/>
          <w:color w:val="000000" w:themeColor="text1"/>
          <w:sz w:val="20"/>
          <w:szCs w:val="20"/>
        </w:rPr>
      </w:pPr>
      <w:r w:rsidRPr="00514CD7">
        <w:rPr>
          <w:rFonts w:ascii="AvantGarde Bk BT" w:hAnsi="AvantGarde Bk BT" w:cs="Arial"/>
          <w:i/>
          <w:color w:val="000000" w:themeColor="text1"/>
          <w:sz w:val="20"/>
          <w:szCs w:val="20"/>
        </w:rPr>
        <w:t xml:space="preserve">Esto en la medida que, al interior la puesta a disposición de la información en esas condiciones implicaría afectación para los interesados, es decir, aquellos que pudieren beneficiarse en la prevalencia de uno de los criterios discrepantes entre sí, cuando menos, la falsa percepción acerca del resultado, lo que pudiera trascender negativamente en el equilibrio de sus derechos desde cualquier punto de vista incluso en el prejuzgamiento permanente de su circunstancia jurídica frente a la sociedad lo que puede llevar a diversas formas de presión pública y privada en el ánimo del órgano </w:t>
      </w:r>
      <w:proofErr w:type="spellStart"/>
      <w:r w:rsidRPr="00514CD7">
        <w:rPr>
          <w:rFonts w:ascii="AvantGarde Bk BT" w:hAnsi="AvantGarde Bk BT" w:cs="Arial"/>
          <w:i/>
          <w:color w:val="000000" w:themeColor="text1"/>
          <w:sz w:val="20"/>
          <w:szCs w:val="20"/>
        </w:rPr>
        <w:t>resolutor</w:t>
      </w:r>
      <w:proofErr w:type="spellEnd"/>
      <w:r w:rsidR="00724139" w:rsidRPr="00514CD7">
        <w:rPr>
          <w:rFonts w:ascii="AvantGarde Bk BT" w:hAnsi="AvantGarde Bk BT" w:cs="Arial"/>
          <w:i/>
          <w:color w:val="000000" w:themeColor="text1"/>
          <w:sz w:val="20"/>
          <w:szCs w:val="20"/>
        </w:rPr>
        <w:t xml:space="preserve"> [</w:t>
      </w:r>
      <w:r w:rsidR="00633EE6" w:rsidRPr="00514CD7">
        <w:rPr>
          <w:rFonts w:ascii="AvantGarde Bk BT" w:hAnsi="AvantGarde Bk BT" w:cs="Arial"/>
          <w:i/>
          <w:color w:val="000000" w:themeColor="text1"/>
          <w:sz w:val="20"/>
          <w:szCs w:val="20"/>
        </w:rPr>
        <w:t>…</w:t>
      </w:r>
      <w:r w:rsidR="00724139" w:rsidRPr="00514CD7">
        <w:rPr>
          <w:rFonts w:ascii="AvantGarde Bk BT" w:hAnsi="AvantGarde Bk BT" w:cs="Arial"/>
          <w:i/>
          <w:color w:val="000000" w:themeColor="text1"/>
          <w:sz w:val="20"/>
          <w:szCs w:val="20"/>
        </w:rPr>
        <w:t>]</w:t>
      </w:r>
    </w:p>
    <w:p w14:paraId="09F6CC18" w14:textId="063D751E" w:rsidR="00633EE6" w:rsidRPr="00514CD7" w:rsidRDefault="00633EE6" w:rsidP="00633EE6">
      <w:pPr>
        <w:tabs>
          <w:tab w:val="left" w:pos="567"/>
        </w:tabs>
        <w:spacing w:after="240" w:line="240" w:lineRule="auto"/>
        <w:ind w:left="680" w:right="680"/>
        <w:jc w:val="both"/>
        <w:rPr>
          <w:rFonts w:ascii="AvantGarde Bk BT" w:hAnsi="AvantGarde Bk BT" w:cs="Arial"/>
          <w:i/>
          <w:color w:val="000000" w:themeColor="text1"/>
          <w:sz w:val="20"/>
          <w:szCs w:val="20"/>
        </w:rPr>
      </w:pPr>
      <w:r w:rsidRPr="00514CD7">
        <w:rPr>
          <w:rFonts w:ascii="AvantGarde Bk BT" w:hAnsi="AvantGarde Bk BT" w:cs="Arial"/>
          <w:i/>
          <w:color w:val="000000" w:themeColor="text1"/>
          <w:sz w:val="20"/>
          <w:szCs w:val="20"/>
        </w:rPr>
        <w:t xml:space="preserve">Finalmente, en atención a lo establecido en el artículo 118 de la Ley de Transparencia y Acceso a la Información Pública del Estado de San Luis Potosi de Transparencia y atendiendo a que la divulgación de la información representa un riesgo real, que llegaría a vulnerar la conducción del expediente judicial o procedimiento administrativo seguidos en forma de juicio, en tanto no hayan causado estado, además que causaría una afectación a la imparcialidad de los juicios en los que se encuentran involucrados la </w:t>
      </w:r>
      <w:r w:rsidRPr="00514CD7">
        <w:rPr>
          <w:rFonts w:ascii="AvantGarde Bk BT" w:hAnsi="AvantGarde Bk BT" w:cs="Arial"/>
          <w:i/>
          <w:color w:val="000000" w:themeColor="text1"/>
          <w:sz w:val="20"/>
          <w:szCs w:val="20"/>
        </w:rPr>
        <w:lastRenderedPageBreak/>
        <w:t>PROMOTORA SIAIRO, SA DE CV. y MUGAVUS CONSTRUCCIONES SA DE CV. y que en caso de que se difunda dicha información se afectaría el trámite de los juicios.</w:t>
      </w:r>
    </w:p>
    <w:p w14:paraId="10A46017" w14:textId="0BA688D1" w:rsidR="007E1212" w:rsidRDefault="00633EE6" w:rsidP="007E1212">
      <w:pPr>
        <w:tabs>
          <w:tab w:val="left" w:pos="567"/>
        </w:tabs>
        <w:spacing w:after="240" w:line="240" w:lineRule="auto"/>
        <w:ind w:left="680" w:right="680"/>
        <w:jc w:val="both"/>
        <w:rPr>
          <w:rFonts w:ascii="AvantGarde Bk BT" w:hAnsi="AvantGarde Bk BT" w:cs="Arial"/>
          <w:color w:val="000000" w:themeColor="text1"/>
          <w:sz w:val="24"/>
          <w:szCs w:val="24"/>
        </w:rPr>
      </w:pPr>
      <w:r w:rsidRPr="00514CD7">
        <w:rPr>
          <w:rFonts w:ascii="AvantGarde Bk BT" w:hAnsi="AvantGarde Bk BT" w:cs="Arial"/>
          <w:b/>
          <w:i/>
          <w:color w:val="000000" w:themeColor="text1"/>
          <w:sz w:val="20"/>
          <w:szCs w:val="20"/>
        </w:rPr>
        <w:t>Por lo tanto este Comité de Transparencia acuerda reservar</w:t>
      </w:r>
      <w:r w:rsidRPr="00514CD7">
        <w:rPr>
          <w:rFonts w:ascii="AvantGarde Bk BT" w:hAnsi="AvantGarde Bk BT" w:cs="Arial"/>
          <w:i/>
          <w:color w:val="000000" w:themeColor="text1"/>
          <w:sz w:val="20"/>
          <w:szCs w:val="20"/>
        </w:rPr>
        <w:t xml:space="preserve"> la totalidad de la información contenida en los documentos concernientes a los estudios y dictamen de factibilidad los procedimientos administrativos de conexión y/o incorporación de nuevos fraccionamientos o desarrollos los procedimientos de sanción y la conclusión de los mismos esto relacionado a las empresas PROMOTORA SIAIRO, SA DE CV y MUGAVUS CONSTRUCCIONES SA DE CV esto con el fin de evitar algún daño dentro</w:t>
      </w:r>
      <w:r w:rsidRPr="00514CD7">
        <w:rPr>
          <w:i/>
          <w:sz w:val="20"/>
          <w:szCs w:val="20"/>
        </w:rPr>
        <w:t xml:space="preserve"> </w:t>
      </w:r>
      <w:r w:rsidRPr="00514CD7">
        <w:rPr>
          <w:rFonts w:ascii="AvantGarde Bk BT" w:hAnsi="AvantGarde Bk BT" w:cs="Arial"/>
          <w:i/>
          <w:color w:val="000000" w:themeColor="text1"/>
          <w:sz w:val="20"/>
          <w:szCs w:val="20"/>
        </w:rPr>
        <w:t>de los juicios de amparo con número de expediente 1383/2024, 139/2025-11 y 1152/2025-II. Ya que, se encuadra en la hipótesis normativa que contiene el artículo 129 fracciones IV. IX y X de la Ley de Transparencia y Acceso a la Información Pública del Estado de San Luis Potosi, toda vez que de ser divulgada la información durante un juicio puede comprometer la imparcialidad del proceso, el debido proceso, y se afectaría los derechos de las partes involucradas y la conducción del expediente judicial o procedimiento administrativo seguidos en forma de juicio, en tanto no hayan causado estado.</w:t>
      </w:r>
      <w:r w:rsidRPr="007929BD">
        <w:rPr>
          <w:rFonts w:ascii="AvantGarde Bk BT" w:hAnsi="AvantGarde Bk BT" w:cs="Arial"/>
          <w:color w:val="000000" w:themeColor="text1"/>
          <w:sz w:val="24"/>
          <w:szCs w:val="24"/>
        </w:rPr>
        <w:t>”</w:t>
      </w:r>
      <w:r w:rsidR="007929BD">
        <w:rPr>
          <w:rFonts w:ascii="AvantGarde Bk BT" w:hAnsi="AvantGarde Bk BT" w:cs="Arial"/>
          <w:color w:val="000000" w:themeColor="text1"/>
          <w:sz w:val="24"/>
          <w:szCs w:val="24"/>
        </w:rPr>
        <w:t xml:space="preserve"> </w:t>
      </w:r>
      <w:r w:rsidR="007929BD" w:rsidRPr="007929BD">
        <w:rPr>
          <w:rFonts w:ascii="AvantGarde Bk BT" w:hAnsi="AvantGarde Bk BT" w:cs="Arial"/>
          <w:b/>
          <w:color w:val="000000" w:themeColor="text1"/>
          <w:sz w:val="24"/>
          <w:szCs w:val="24"/>
        </w:rPr>
        <w:t>SIC</w:t>
      </w:r>
      <w:r w:rsidR="007929BD">
        <w:rPr>
          <w:rFonts w:ascii="AvantGarde Bk BT" w:hAnsi="AvantGarde Bk BT" w:cs="Arial"/>
          <w:color w:val="000000" w:themeColor="text1"/>
          <w:sz w:val="24"/>
          <w:szCs w:val="24"/>
        </w:rPr>
        <w:t>.</w:t>
      </w:r>
    </w:p>
    <w:p w14:paraId="66295C1B" w14:textId="06F5F3CC" w:rsidR="004F4EDD" w:rsidRDefault="00F03AEB" w:rsidP="004F4EDD">
      <w:pPr>
        <w:tabs>
          <w:tab w:val="left" w:pos="567"/>
        </w:tabs>
        <w:spacing w:after="0" w:line="360" w:lineRule="auto"/>
        <w:ind w:firstLine="709"/>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t>Conforme a lo cual, es conveniente invocar el contenido</w:t>
      </w:r>
      <w:r w:rsidR="004F4ED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w:t>
      </w:r>
      <w:r w:rsidR="00F54CDE">
        <w:rPr>
          <w:rFonts w:ascii="AvantGarde Bk BT" w:hAnsi="AvantGarde Bk BT" w:cs="Arial"/>
          <w:color w:val="000000" w:themeColor="text1"/>
          <w:sz w:val="24"/>
          <w:szCs w:val="24"/>
        </w:rPr>
        <w:t>el lineamiento t</w:t>
      </w:r>
      <w:r w:rsidR="00686A44">
        <w:rPr>
          <w:rFonts w:ascii="AvantGarde Bk BT" w:hAnsi="AvantGarde Bk BT" w:cs="Arial"/>
          <w:color w:val="000000" w:themeColor="text1"/>
          <w:sz w:val="24"/>
          <w:szCs w:val="24"/>
        </w:rPr>
        <w:t xml:space="preserve">rigésimo </w:t>
      </w:r>
      <w:r w:rsidR="00F54CDE">
        <w:rPr>
          <w:rFonts w:ascii="AvantGarde Bk BT" w:hAnsi="AvantGarde Bk BT" w:cs="Arial"/>
          <w:color w:val="000000" w:themeColor="text1"/>
          <w:sz w:val="24"/>
          <w:szCs w:val="24"/>
        </w:rPr>
        <w:t>t</w:t>
      </w:r>
      <w:r w:rsidR="004F4EDD">
        <w:rPr>
          <w:rFonts w:ascii="AvantGarde Bk BT" w:hAnsi="AvantGarde Bk BT" w:cs="Arial"/>
          <w:color w:val="000000" w:themeColor="text1"/>
          <w:sz w:val="24"/>
          <w:szCs w:val="24"/>
        </w:rPr>
        <w:t xml:space="preserve">ercero de </w:t>
      </w:r>
      <w:r w:rsidR="004F4EDD">
        <w:rPr>
          <w:rFonts w:ascii="AvantGarde Bk BT" w:eastAsia="Times New Roman" w:hAnsi="AvantGarde Bk BT" w:cs="Arial"/>
          <w:color w:val="000000"/>
          <w:sz w:val="24"/>
          <w:szCs w:val="24"/>
        </w:rPr>
        <w:t>los Lineamientos Generales en Materia de Clasificación y Desclasificación de la Información, así como para la El</w:t>
      </w:r>
      <w:r w:rsidR="00006F32">
        <w:rPr>
          <w:rFonts w:ascii="AvantGarde Bk BT" w:eastAsia="Times New Roman" w:hAnsi="AvantGarde Bk BT" w:cs="Arial"/>
          <w:color w:val="000000"/>
          <w:sz w:val="24"/>
          <w:szCs w:val="24"/>
        </w:rPr>
        <w:t>aboración de Versiones Públicas que se transcribe textualmente a continuación,</w:t>
      </w:r>
      <w:r w:rsidR="004F4EDD">
        <w:rPr>
          <w:rFonts w:ascii="AvantGarde Bk BT" w:eastAsia="Times New Roman" w:hAnsi="AvantGarde Bk BT" w:cs="Arial"/>
          <w:color w:val="000000"/>
          <w:sz w:val="24"/>
          <w:szCs w:val="24"/>
        </w:rPr>
        <w:t xml:space="preserve"> </w:t>
      </w:r>
      <w:r>
        <w:rPr>
          <w:rFonts w:ascii="AvantGarde Bk BT" w:eastAsia="Times New Roman" w:hAnsi="AvantGarde Bk BT" w:cs="Arial"/>
          <w:color w:val="000000"/>
          <w:sz w:val="24"/>
          <w:szCs w:val="24"/>
        </w:rPr>
        <w:t xml:space="preserve">de acuerdo con el cual </w:t>
      </w:r>
      <w:r w:rsidR="004F4EDD">
        <w:rPr>
          <w:rFonts w:ascii="AvantGarde Bk BT" w:eastAsia="Times New Roman" w:hAnsi="AvantGarde Bk BT" w:cs="Arial"/>
          <w:color w:val="000000"/>
          <w:sz w:val="24"/>
          <w:szCs w:val="24"/>
        </w:rPr>
        <w:t>la prueba de daño debe contener los siguientes elementos:</w:t>
      </w:r>
    </w:p>
    <w:p w14:paraId="5BBF56AB" w14:textId="77777777" w:rsidR="004F4EDD" w:rsidRPr="002770F7" w:rsidRDefault="004F4EDD" w:rsidP="004F4EDD">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Se deberá citar la fracción y, en su caso, la causal aplicable del artículo 113 de la Ley General, vinculándola con el Lineamiento específico del presente ordenamiento y, cuando corresponda, el supuesto normativo que expresamente le otorga el carácter de información reservada;</w:t>
      </w:r>
    </w:p>
    <w:p w14:paraId="566CB650" w14:textId="77777777" w:rsidR="004F4EDD" w:rsidRPr="002770F7" w:rsidRDefault="004F4EDD" w:rsidP="004F4EDD">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 xml:space="preserve">Mediante la ponderación de los intereses en conflicto, los sujetos obligados deberán demostrar que la publicidad de la información solicitada generaría un riesgo de perjuicio </w:t>
      </w:r>
      <w:proofErr w:type="gramStart"/>
      <w:r w:rsidRPr="002770F7">
        <w:rPr>
          <w:rFonts w:ascii="AvantGarde Bk BT" w:eastAsia="Times New Roman" w:hAnsi="AvantGarde Bk BT" w:cs="Arial"/>
          <w:color w:val="000000"/>
          <w:sz w:val="24"/>
          <w:szCs w:val="24"/>
        </w:rPr>
        <w:t>y</w:t>
      </w:r>
      <w:proofErr w:type="gramEnd"/>
      <w:r w:rsidRPr="002770F7">
        <w:rPr>
          <w:rFonts w:ascii="AvantGarde Bk BT" w:eastAsia="Times New Roman" w:hAnsi="AvantGarde Bk BT" w:cs="Arial"/>
          <w:color w:val="000000"/>
          <w:sz w:val="24"/>
          <w:szCs w:val="24"/>
        </w:rPr>
        <w:t xml:space="preserve"> por lo tanto, tendrán que acreditar que este último rebasa el interés público protegido por la reserva;</w:t>
      </w:r>
    </w:p>
    <w:p w14:paraId="239AECE3" w14:textId="77777777" w:rsidR="004F4EDD" w:rsidRPr="002770F7" w:rsidRDefault="004F4EDD" w:rsidP="004F4EDD">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sidRPr="004F4EDD">
        <w:rPr>
          <w:rFonts w:ascii="AvantGarde Bk BT" w:eastAsia="Times New Roman" w:hAnsi="AvantGarde Bk BT" w:cs="Arial"/>
          <w:color w:val="000000"/>
          <w:sz w:val="24"/>
          <w:szCs w:val="24"/>
          <w:u w:val="single"/>
        </w:rPr>
        <w:t>Se debe de acreditar el vínculo entre la difusión de la información y la afectación del interés jurídico tutelado de que se trate</w:t>
      </w:r>
      <w:r w:rsidRPr="002770F7">
        <w:rPr>
          <w:rFonts w:ascii="AvantGarde Bk BT" w:eastAsia="Times New Roman" w:hAnsi="AvantGarde Bk BT" w:cs="Arial"/>
          <w:color w:val="000000"/>
          <w:sz w:val="24"/>
          <w:szCs w:val="24"/>
        </w:rPr>
        <w:t>;</w:t>
      </w:r>
    </w:p>
    <w:p w14:paraId="097E816E" w14:textId="77777777" w:rsidR="004F4EDD" w:rsidRPr="002770F7" w:rsidRDefault="004F4EDD" w:rsidP="004F4EDD">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sidRPr="00070595">
        <w:rPr>
          <w:rFonts w:ascii="AvantGarde Bk BT" w:eastAsia="Times New Roman" w:hAnsi="AvantGarde Bk BT" w:cs="Arial"/>
          <w:color w:val="000000"/>
          <w:sz w:val="24"/>
          <w:szCs w:val="24"/>
          <w:u w:val="single"/>
        </w:rPr>
        <w:t>Precisar las razones objetivas</w:t>
      </w:r>
      <w:r w:rsidRPr="002770F7">
        <w:rPr>
          <w:rFonts w:ascii="AvantGarde Bk BT" w:eastAsia="Times New Roman" w:hAnsi="AvantGarde Bk BT" w:cs="Arial"/>
          <w:color w:val="000000"/>
          <w:sz w:val="24"/>
          <w:szCs w:val="24"/>
        </w:rPr>
        <w:t xml:space="preserve"> por las que la apertura de la información generaría una afectación, a través de los elementos de un riesgo real, demostrable e identificable; </w:t>
      </w:r>
    </w:p>
    <w:p w14:paraId="55381EF1" w14:textId="77777777" w:rsidR="004F4EDD" w:rsidRPr="002770F7" w:rsidRDefault="004F4EDD" w:rsidP="004F4EDD">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sidRPr="004F4EDD">
        <w:rPr>
          <w:rFonts w:ascii="AvantGarde Bk BT" w:eastAsia="Times New Roman" w:hAnsi="AvantGarde Bk BT" w:cs="Arial"/>
          <w:color w:val="000000"/>
          <w:sz w:val="24"/>
          <w:szCs w:val="24"/>
          <w:u w:val="single"/>
        </w:rPr>
        <w:t>En la motivación de la clasificación, el sujeto obligado deberá acreditar las circunstancias de modo, tiempo y lugar del daño</w:t>
      </w:r>
      <w:r w:rsidRPr="002770F7">
        <w:rPr>
          <w:rFonts w:ascii="AvantGarde Bk BT" w:eastAsia="Times New Roman" w:hAnsi="AvantGarde Bk BT" w:cs="Arial"/>
          <w:color w:val="000000"/>
          <w:sz w:val="24"/>
          <w:szCs w:val="24"/>
        </w:rPr>
        <w:t>, y</w:t>
      </w:r>
    </w:p>
    <w:p w14:paraId="2D9FB1FB" w14:textId="549C63A8" w:rsidR="0004647A" w:rsidRPr="003552FC" w:rsidRDefault="004F4EDD" w:rsidP="003552FC">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 xml:space="preserve">Deberán elegir la opción de excepción al acceso a la información que menos lo restrinja, la cual será adecuada y proporcional para la </w:t>
      </w:r>
      <w:r w:rsidRPr="002770F7">
        <w:rPr>
          <w:rFonts w:ascii="AvantGarde Bk BT" w:eastAsia="Times New Roman" w:hAnsi="AvantGarde Bk BT" w:cs="Arial"/>
          <w:color w:val="000000"/>
          <w:sz w:val="24"/>
          <w:szCs w:val="24"/>
        </w:rPr>
        <w:lastRenderedPageBreak/>
        <w:t>protección del interés público, y deberá interferir lo menos posible en el ejercicio efectivo del der</w:t>
      </w:r>
      <w:r w:rsidR="00006F32">
        <w:rPr>
          <w:rFonts w:ascii="AvantGarde Bk BT" w:eastAsia="Times New Roman" w:hAnsi="AvantGarde Bk BT" w:cs="Arial"/>
          <w:color w:val="000000"/>
          <w:sz w:val="24"/>
          <w:szCs w:val="24"/>
        </w:rPr>
        <w:t>echo de acceso a la información.</w:t>
      </w:r>
    </w:p>
    <w:p w14:paraId="09A7D71E" w14:textId="77777777" w:rsidR="00916FB7" w:rsidRDefault="00686A44" w:rsidP="00916FB7">
      <w:pPr>
        <w:tabs>
          <w:tab w:val="left" w:pos="567"/>
        </w:tabs>
        <w:spacing w:after="240" w:line="360" w:lineRule="auto"/>
        <w:ind w:firstLine="680"/>
        <w:jc w:val="both"/>
        <w:rPr>
          <w:rFonts w:ascii="AvantGarde Bk BT" w:hAnsi="AvantGarde Bk BT" w:cs="Arial"/>
          <w:color w:val="000000" w:themeColor="text1"/>
          <w:sz w:val="24"/>
          <w:szCs w:val="24"/>
        </w:rPr>
      </w:pPr>
      <w:r w:rsidRPr="00686A44">
        <w:rPr>
          <w:rFonts w:ascii="AvantGarde Bk BT" w:hAnsi="AvantGarde Bk BT" w:cs="Arial"/>
          <w:color w:val="000000" w:themeColor="text1"/>
          <w:sz w:val="24"/>
          <w:szCs w:val="24"/>
        </w:rPr>
        <w:t xml:space="preserve">Incluso, </w:t>
      </w:r>
      <w:r>
        <w:rPr>
          <w:rFonts w:ascii="AvantGarde Bk BT" w:hAnsi="AvantGarde Bk BT" w:cs="Arial"/>
          <w:color w:val="000000" w:themeColor="text1"/>
          <w:sz w:val="24"/>
          <w:szCs w:val="24"/>
        </w:rPr>
        <w:t xml:space="preserve">los lineamientos mencionados establecen en sus numerales </w:t>
      </w:r>
      <w:r w:rsidR="00842D1F">
        <w:rPr>
          <w:rFonts w:ascii="AvantGarde Bk BT" w:hAnsi="AvantGarde Bk BT" w:cs="Arial"/>
          <w:color w:val="000000" w:themeColor="text1"/>
          <w:sz w:val="24"/>
          <w:szCs w:val="24"/>
        </w:rPr>
        <w:t xml:space="preserve">vigésimo tercero, </w:t>
      </w:r>
      <w:r>
        <w:rPr>
          <w:rFonts w:ascii="AvantGarde Bk BT" w:hAnsi="AvantGarde Bk BT" w:cs="Arial"/>
          <w:color w:val="000000" w:themeColor="text1"/>
          <w:sz w:val="24"/>
          <w:szCs w:val="24"/>
        </w:rPr>
        <w:t>vigésimo noveno y trigésimo</w:t>
      </w:r>
      <w:r w:rsidR="00F54CDE">
        <w:rPr>
          <w:rFonts w:ascii="AvantGarde Bk BT" w:hAnsi="AvantGarde Bk BT" w:cs="Arial"/>
          <w:color w:val="000000" w:themeColor="text1"/>
          <w:sz w:val="24"/>
          <w:szCs w:val="24"/>
        </w:rPr>
        <w:t xml:space="preserve"> respectivamente, los extremos que el sujeto obligado debe acreditar a efecto de que resulte procedente la clasificación de la información como reservada bajo las causales</w:t>
      </w:r>
      <w:r w:rsidR="00D91013">
        <w:rPr>
          <w:rFonts w:ascii="AvantGarde Bk BT" w:hAnsi="AvantGarde Bk BT" w:cs="Arial"/>
          <w:color w:val="000000" w:themeColor="text1"/>
          <w:sz w:val="24"/>
          <w:szCs w:val="24"/>
        </w:rPr>
        <w:t xml:space="preserve"> del riesgo a la vida, seguridad o salud de una persona física, la</w:t>
      </w:r>
      <w:r w:rsidR="00F54CDE">
        <w:rPr>
          <w:rFonts w:ascii="AvantGarde Bk BT" w:hAnsi="AvantGarde Bk BT" w:cs="Arial"/>
          <w:color w:val="000000" w:themeColor="text1"/>
          <w:sz w:val="24"/>
          <w:szCs w:val="24"/>
        </w:rPr>
        <w:t xml:space="preserve"> afectación al debido proceso y la vulneración de</w:t>
      </w:r>
      <w:r w:rsidR="00F54CDE" w:rsidRPr="001E4D5C">
        <w:rPr>
          <w:rFonts w:ascii="AvantGarde Bk BT" w:hAnsi="AvantGarde Bk BT" w:cs="Arial"/>
          <w:color w:val="000000" w:themeColor="text1"/>
          <w:sz w:val="24"/>
          <w:szCs w:val="24"/>
        </w:rPr>
        <w:t xml:space="preserve"> la conducción de los expedientes jud</w:t>
      </w:r>
      <w:r w:rsidR="00F54CDE">
        <w:rPr>
          <w:rFonts w:ascii="AvantGarde Bk BT" w:hAnsi="AvantGarde Bk BT" w:cs="Arial"/>
          <w:color w:val="000000" w:themeColor="text1"/>
          <w:sz w:val="24"/>
          <w:szCs w:val="24"/>
        </w:rPr>
        <w:t xml:space="preserve">iciales o de los procedimientos </w:t>
      </w:r>
      <w:r w:rsidR="00F54CDE" w:rsidRPr="001E4D5C">
        <w:rPr>
          <w:rFonts w:ascii="AvantGarde Bk BT" w:hAnsi="AvantGarde Bk BT" w:cs="Arial"/>
          <w:color w:val="000000" w:themeColor="text1"/>
          <w:sz w:val="24"/>
          <w:szCs w:val="24"/>
        </w:rPr>
        <w:t>administrativos seguidos en forma de juicio</w:t>
      </w:r>
      <w:r w:rsidR="00F54CDE">
        <w:rPr>
          <w:rFonts w:ascii="AvantGarde Bk BT" w:hAnsi="AvantGarde Bk BT" w:cs="Arial"/>
          <w:color w:val="000000" w:themeColor="text1"/>
          <w:sz w:val="24"/>
          <w:szCs w:val="24"/>
        </w:rPr>
        <w:t>.</w:t>
      </w:r>
    </w:p>
    <w:p w14:paraId="03135EE6" w14:textId="53C85D25" w:rsidR="00916FB7" w:rsidRDefault="002308BB" w:rsidP="003F44F4">
      <w:pPr>
        <w:tabs>
          <w:tab w:val="left" w:pos="567"/>
        </w:tabs>
        <w:spacing w:after="240" w:line="360" w:lineRule="auto"/>
        <w:ind w:firstLine="680"/>
        <w:jc w:val="both"/>
        <w:rPr>
          <w:rFonts w:ascii="AvantGarde Bk BT" w:hAnsi="AvantGarde Bk BT" w:cs="Arial"/>
          <w:color w:val="000000" w:themeColor="text1"/>
          <w:sz w:val="24"/>
          <w:szCs w:val="24"/>
        </w:rPr>
      </w:pPr>
      <w:r w:rsidRPr="002308BB">
        <w:rPr>
          <w:rFonts w:ascii="AvantGarde Bk BT" w:hAnsi="AvantGarde Bk BT" w:cs="Arial"/>
          <w:color w:val="000000" w:themeColor="text1"/>
          <w:sz w:val="24"/>
          <w:szCs w:val="24"/>
        </w:rPr>
        <w:t>Así</w:t>
      </w:r>
      <w:r>
        <w:rPr>
          <w:rFonts w:ascii="AvantGarde Bk BT" w:hAnsi="AvantGarde Bk BT" w:cs="Arial"/>
          <w:color w:val="000000" w:themeColor="text1"/>
          <w:sz w:val="24"/>
          <w:szCs w:val="24"/>
        </w:rPr>
        <w:t>,</w:t>
      </w:r>
      <w:r w:rsidR="00916FB7">
        <w:rPr>
          <w:rFonts w:ascii="AvantGarde Bk BT" w:hAnsi="AvantGarde Bk BT" w:cs="Arial"/>
          <w:color w:val="000000" w:themeColor="text1"/>
          <w:sz w:val="24"/>
          <w:szCs w:val="24"/>
        </w:rPr>
        <w:t xml:space="preserve"> en cuanto al primer supuesto de clasificación aludido por la autoridad, se señala expresamente en el lineamiento vigésimo tercero que </w:t>
      </w:r>
      <w:r w:rsidR="00916FB7" w:rsidRPr="003F44F4">
        <w:rPr>
          <w:rFonts w:ascii="AvantGarde Bk BT" w:hAnsi="AvantGarde Bk BT" w:cs="Arial"/>
          <w:b/>
          <w:color w:val="000000" w:themeColor="text1"/>
          <w:sz w:val="24"/>
          <w:szCs w:val="24"/>
          <w:u w:val="single"/>
        </w:rPr>
        <w:t>es necesario acreditar un vínculo entre la persona física y la información que pueda poner en riesgo su vida, seguridad o salud</w:t>
      </w:r>
      <w:r w:rsidR="00916FB7" w:rsidRPr="00916FB7">
        <w:rPr>
          <w:rFonts w:ascii="AvantGarde Bk BT" w:hAnsi="AvantGarde Bk BT" w:cs="Arial"/>
          <w:color w:val="000000" w:themeColor="text1"/>
          <w:sz w:val="24"/>
          <w:szCs w:val="24"/>
        </w:rPr>
        <w:t>.</w:t>
      </w:r>
      <w:r w:rsidR="003F44F4">
        <w:rPr>
          <w:rStyle w:val="Refdenotaalpie"/>
          <w:rFonts w:ascii="AvantGarde Bk BT" w:hAnsi="AvantGarde Bk BT" w:cs="Arial"/>
          <w:color w:val="000000" w:themeColor="text1"/>
          <w:sz w:val="24"/>
          <w:szCs w:val="24"/>
        </w:rPr>
        <w:footnoteReference w:id="11"/>
      </w:r>
    </w:p>
    <w:p w14:paraId="54E93173" w14:textId="0035C8B5" w:rsidR="002308BB" w:rsidRDefault="002308BB" w:rsidP="002308BB">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r w:rsidR="003F44F4" w:rsidRPr="003F44F4">
        <w:rPr>
          <w:rFonts w:ascii="AvantGarde Bk BT" w:hAnsi="AvantGarde Bk BT" w:cs="Arial"/>
          <w:color w:val="000000" w:themeColor="text1"/>
          <w:sz w:val="24"/>
          <w:szCs w:val="24"/>
        </w:rPr>
        <w:t>C</w:t>
      </w:r>
      <w:r w:rsidRPr="003F44F4">
        <w:rPr>
          <w:rFonts w:ascii="AvantGarde Bk BT" w:hAnsi="AvantGarde Bk BT" w:cs="Arial"/>
          <w:color w:val="000000" w:themeColor="text1"/>
          <w:sz w:val="24"/>
          <w:szCs w:val="24"/>
        </w:rPr>
        <w:t>on respecto a la información que de divulgarse afecte el debido proceso</w:t>
      </w:r>
      <w:r>
        <w:rPr>
          <w:rFonts w:ascii="AvantGarde Bk BT" w:hAnsi="AvantGarde Bk BT" w:cs="Arial"/>
          <w:color w:val="000000" w:themeColor="text1"/>
          <w:sz w:val="24"/>
          <w:szCs w:val="24"/>
        </w:rPr>
        <w:t xml:space="preserve">, </w:t>
      </w:r>
      <w:r w:rsidR="003F44F4">
        <w:rPr>
          <w:rFonts w:ascii="AvantGarde Bk BT" w:hAnsi="AvantGarde Bk BT" w:cs="Arial"/>
          <w:color w:val="000000" w:themeColor="text1"/>
          <w:sz w:val="24"/>
          <w:szCs w:val="24"/>
        </w:rPr>
        <w:t xml:space="preserve">según lo dispuesto en </w:t>
      </w:r>
      <w:r>
        <w:rPr>
          <w:rFonts w:ascii="AvantGarde Bk BT" w:hAnsi="AvantGarde Bk BT" w:cs="Arial"/>
          <w:color w:val="000000" w:themeColor="text1"/>
          <w:sz w:val="24"/>
          <w:szCs w:val="24"/>
        </w:rPr>
        <w:t xml:space="preserve">el lineamiento vigésimo noveno </w:t>
      </w:r>
      <w:r w:rsidRPr="006502E6">
        <w:rPr>
          <w:rFonts w:ascii="AvantGarde Bk BT" w:hAnsi="AvantGarde Bk BT" w:cs="Arial"/>
          <w:b/>
          <w:color w:val="000000" w:themeColor="text1"/>
          <w:sz w:val="24"/>
          <w:szCs w:val="24"/>
          <w:u w:val="single"/>
        </w:rPr>
        <w:t>debe acreditarse</w:t>
      </w:r>
      <w:r w:rsidRPr="006502E6">
        <w:rPr>
          <w:rFonts w:ascii="AvantGarde Bk BT" w:hAnsi="AvantGarde Bk BT" w:cs="Arial"/>
          <w:color w:val="000000" w:themeColor="text1"/>
          <w:sz w:val="24"/>
          <w:szCs w:val="24"/>
        </w:rPr>
        <w:t xml:space="preserve"> la existencia de un procedimiento judicial, administrativo o arbitral en trámite</w:t>
      </w:r>
      <w:r w:rsidRPr="00A86043">
        <w:rPr>
          <w:rFonts w:ascii="AvantGarde Bk BT" w:hAnsi="AvantGarde Bk BT" w:cs="Arial"/>
          <w:color w:val="000000" w:themeColor="text1"/>
          <w:sz w:val="24"/>
          <w:szCs w:val="24"/>
        </w:rPr>
        <w:t xml:space="preserve">, </w:t>
      </w:r>
      <w:r w:rsidRPr="00A86043">
        <w:rPr>
          <w:rFonts w:ascii="AvantGarde Bk BT" w:hAnsi="AvantGarde Bk BT" w:cs="Arial"/>
          <w:b/>
          <w:color w:val="000000" w:themeColor="text1"/>
          <w:sz w:val="24"/>
          <w:szCs w:val="24"/>
          <w:u w:val="single"/>
        </w:rPr>
        <w:t>que el sujeto obligado sea parte en ese procedimiento, que la información no sea conocida por la contraparte antes de la presentación de la misma en el proceso, y que con su divulgación se afecte la oportunidad de llevar a cabo alguna de las garantías del debido proceso</w:t>
      </w:r>
      <w:r w:rsidRPr="001E4D5C">
        <w:rPr>
          <w:rFonts w:ascii="AvantGarde Bk BT" w:hAnsi="AvantGarde Bk BT" w:cs="Arial"/>
          <w:color w:val="000000" w:themeColor="text1"/>
          <w:sz w:val="24"/>
          <w:szCs w:val="24"/>
        </w:rPr>
        <w:t>.</w:t>
      </w:r>
      <w:r w:rsidR="00A86043">
        <w:rPr>
          <w:rStyle w:val="Refdenotaalpie"/>
          <w:rFonts w:ascii="AvantGarde Bk BT" w:hAnsi="AvantGarde Bk BT" w:cs="Arial"/>
          <w:color w:val="000000" w:themeColor="text1"/>
          <w:sz w:val="24"/>
          <w:szCs w:val="24"/>
        </w:rPr>
        <w:footnoteReference w:id="12"/>
      </w:r>
    </w:p>
    <w:p w14:paraId="6300C4E4" w14:textId="1920124E" w:rsidR="00D91013" w:rsidRDefault="00CA4385" w:rsidP="003F44F4">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su vez, </w:t>
      </w:r>
      <w:r w:rsidR="00C56A78" w:rsidRPr="003F44F4">
        <w:rPr>
          <w:rFonts w:ascii="AvantGarde Bk BT" w:hAnsi="AvantGarde Bk BT" w:cs="Arial"/>
          <w:color w:val="000000" w:themeColor="text1"/>
          <w:sz w:val="24"/>
          <w:szCs w:val="24"/>
        </w:rPr>
        <w:t xml:space="preserve">por lo que hace a la </w:t>
      </w:r>
      <w:r w:rsidR="00872F6F" w:rsidRPr="003F44F4">
        <w:rPr>
          <w:rFonts w:ascii="AvantGarde Bk BT" w:hAnsi="AvantGarde Bk BT" w:cs="Arial"/>
          <w:color w:val="000000" w:themeColor="text1"/>
          <w:sz w:val="24"/>
          <w:szCs w:val="24"/>
        </w:rPr>
        <w:t xml:space="preserve">hipótesis de que se </w:t>
      </w:r>
      <w:r w:rsidR="00C56A78" w:rsidRPr="003F44F4">
        <w:rPr>
          <w:rFonts w:ascii="AvantGarde Bk BT" w:hAnsi="AvantGarde Bk BT" w:cs="Arial"/>
          <w:color w:val="000000" w:themeColor="text1"/>
          <w:sz w:val="24"/>
          <w:szCs w:val="24"/>
        </w:rPr>
        <w:t>vulnera la conducción de los expedientes judiciales</w:t>
      </w:r>
      <w:r w:rsidR="00C56A78">
        <w:rPr>
          <w:rFonts w:ascii="AvantGarde Bk BT" w:hAnsi="AvantGarde Bk BT" w:cs="Arial"/>
          <w:color w:val="000000" w:themeColor="text1"/>
          <w:sz w:val="24"/>
          <w:szCs w:val="24"/>
        </w:rPr>
        <w:t xml:space="preserve"> o de los procedimientos </w:t>
      </w:r>
      <w:r w:rsidR="00C56A78" w:rsidRPr="001E4D5C">
        <w:rPr>
          <w:rFonts w:ascii="AvantGarde Bk BT" w:hAnsi="AvantGarde Bk BT" w:cs="Arial"/>
          <w:color w:val="000000" w:themeColor="text1"/>
          <w:sz w:val="24"/>
          <w:szCs w:val="24"/>
        </w:rPr>
        <w:t>administrativos seguidos en forma de juicio</w:t>
      </w:r>
      <w:r w:rsidR="00872F6F">
        <w:rPr>
          <w:rFonts w:ascii="AvantGarde Bk BT" w:hAnsi="AvantGarde Bk BT" w:cs="Arial"/>
          <w:color w:val="000000" w:themeColor="text1"/>
          <w:sz w:val="24"/>
          <w:szCs w:val="24"/>
        </w:rPr>
        <w:t xml:space="preserve">, </w:t>
      </w:r>
      <w:r w:rsidR="00C56A78">
        <w:rPr>
          <w:rFonts w:ascii="AvantGarde Bk BT" w:hAnsi="AvantGarde Bk BT" w:cs="Arial"/>
          <w:color w:val="000000" w:themeColor="text1"/>
          <w:sz w:val="24"/>
          <w:szCs w:val="24"/>
        </w:rPr>
        <w:t>el lineamiento trigésimo</w:t>
      </w:r>
      <w:r w:rsidR="00872F6F">
        <w:rPr>
          <w:rFonts w:ascii="AvantGarde Bk BT" w:hAnsi="AvantGarde Bk BT" w:cs="Arial"/>
          <w:color w:val="000000" w:themeColor="text1"/>
          <w:sz w:val="24"/>
          <w:szCs w:val="24"/>
        </w:rPr>
        <w:t xml:space="preserve"> dispone</w:t>
      </w:r>
      <w:r w:rsidR="003F44F4">
        <w:rPr>
          <w:rFonts w:ascii="AvantGarde Bk BT" w:hAnsi="AvantGarde Bk BT" w:cs="Arial"/>
          <w:color w:val="000000" w:themeColor="text1"/>
          <w:sz w:val="24"/>
          <w:szCs w:val="24"/>
        </w:rPr>
        <w:t xml:space="preserve"> que</w:t>
      </w:r>
      <w:r w:rsidR="00872F6F">
        <w:rPr>
          <w:rFonts w:ascii="AvantGarde Bk BT" w:hAnsi="AvantGarde Bk BT" w:cs="Arial"/>
          <w:color w:val="000000" w:themeColor="text1"/>
          <w:sz w:val="24"/>
          <w:szCs w:val="24"/>
        </w:rPr>
        <w:t xml:space="preserve"> sólo puede considerarse como información reservada </w:t>
      </w:r>
      <w:r w:rsidR="00872F6F" w:rsidRPr="006502E6">
        <w:rPr>
          <w:rFonts w:ascii="AvantGarde Bk BT" w:hAnsi="AvantGarde Bk BT" w:cs="Arial"/>
          <w:b/>
          <w:color w:val="000000" w:themeColor="text1"/>
          <w:sz w:val="24"/>
          <w:szCs w:val="24"/>
          <w:u w:val="single"/>
        </w:rPr>
        <w:t>siempre y cuando se acredite</w:t>
      </w:r>
      <w:r w:rsidR="00872F6F">
        <w:rPr>
          <w:rFonts w:ascii="AvantGarde Bk BT" w:hAnsi="AvantGarde Bk BT" w:cs="Arial"/>
          <w:color w:val="000000" w:themeColor="text1"/>
          <w:sz w:val="24"/>
          <w:szCs w:val="24"/>
        </w:rPr>
        <w:t xml:space="preserve"> la </w:t>
      </w:r>
      <w:r w:rsidR="00872F6F" w:rsidRPr="001E4D5C">
        <w:rPr>
          <w:rFonts w:ascii="AvantGarde Bk BT" w:hAnsi="AvantGarde Bk BT" w:cs="Arial"/>
          <w:color w:val="000000" w:themeColor="text1"/>
          <w:sz w:val="24"/>
          <w:szCs w:val="24"/>
        </w:rPr>
        <w:t>existencia de un juicio o procedimiento administrativo materialmente jurisdiccional, que se</w:t>
      </w:r>
      <w:r w:rsidR="00872F6F">
        <w:rPr>
          <w:rFonts w:ascii="AvantGarde Bk BT" w:hAnsi="AvantGarde Bk BT" w:cs="Arial"/>
          <w:color w:val="000000" w:themeColor="text1"/>
          <w:sz w:val="24"/>
          <w:szCs w:val="24"/>
        </w:rPr>
        <w:t xml:space="preserve"> </w:t>
      </w:r>
      <w:r w:rsidR="00872F6F" w:rsidRPr="001E4D5C">
        <w:rPr>
          <w:rFonts w:ascii="AvantGarde Bk BT" w:hAnsi="AvantGarde Bk BT" w:cs="Arial"/>
          <w:color w:val="000000" w:themeColor="text1"/>
          <w:sz w:val="24"/>
          <w:szCs w:val="24"/>
        </w:rPr>
        <w:t xml:space="preserve">encuentre en </w:t>
      </w:r>
      <w:r w:rsidR="00872F6F" w:rsidRPr="001E4D5C">
        <w:rPr>
          <w:rFonts w:ascii="AvantGarde Bk BT" w:hAnsi="AvantGarde Bk BT" w:cs="Arial"/>
          <w:color w:val="000000" w:themeColor="text1"/>
          <w:sz w:val="24"/>
          <w:szCs w:val="24"/>
        </w:rPr>
        <w:lastRenderedPageBreak/>
        <w:t>trámite</w:t>
      </w:r>
      <w:r w:rsidR="00872F6F">
        <w:rPr>
          <w:rFonts w:ascii="AvantGarde Bk BT" w:hAnsi="AvantGarde Bk BT" w:cs="Arial"/>
          <w:color w:val="000000" w:themeColor="text1"/>
          <w:sz w:val="24"/>
          <w:szCs w:val="24"/>
        </w:rPr>
        <w:t xml:space="preserve"> y </w:t>
      </w:r>
      <w:r w:rsidR="00872F6F" w:rsidRPr="006502E6">
        <w:rPr>
          <w:rFonts w:ascii="AvantGarde Bk BT" w:hAnsi="AvantGarde Bk BT" w:cs="Arial"/>
          <w:b/>
          <w:color w:val="000000" w:themeColor="text1"/>
          <w:sz w:val="24"/>
          <w:szCs w:val="24"/>
          <w:u w:val="single"/>
        </w:rPr>
        <w:t>que la información solicitada se refiera a actuaciones, diligencias o constancias propias del procedimiento</w:t>
      </w:r>
      <w:r w:rsidR="00872F6F" w:rsidRPr="00872F6F">
        <w:rPr>
          <w:rFonts w:ascii="AvantGarde Bk BT" w:hAnsi="AvantGarde Bk BT" w:cs="Arial"/>
          <w:color w:val="000000" w:themeColor="text1"/>
          <w:sz w:val="24"/>
          <w:szCs w:val="24"/>
        </w:rPr>
        <w:t>.</w:t>
      </w:r>
      <w:r w:rsidR="00A86043">
        <w:rPr>
          <w:rStyle w:val="Refdenotaalpie"/>
          <w:rFonts w:ascii="AvantGarde Bk BT" w:hAnsi="AvantGarde Bk BT" w:cs="Arial"/>
          <w:color w:val="000000" w:themeColor="text1"/>
          <w:sz w:val="24"/>
          <w:szCs w:val="24"/>
        </w:rPr>
        <w:footnoteReference w:id="13"/>
      </w:r>
    </w:p>
    <w:p w14:paraId="174D1AC1" w14:textId="5CA6FC6A" w:rsidR="00D91013" w:rsidRDefault="00070595" w:rsidP="00786C9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Adicionalmente, </w:t>
      </w:r>
      <w:r w:rsidR="001B6598">
        <w:rPr>
          <w:rFonts w:ascii="AvantGarde Bk BT" w:hAnsi="AvantGarde Bk BT" w:cs="Arial"/>
          <w:color w:val="000000" w:themeColor="text1"/>
          <w:sz w:val="24"/>
          <w:szCs w:val="24"/>
        </w:rPr>
        <w:t>el lineamiento es claro al precisar que, para que se considere procedimiento seguido en forma de juicio o formalmente administrativo, pero materialmente jurisdiccional, deben concurrir dos elementos:</w:t>
      </w:r>
    </w:p>
    <w:p w14:paraId="0BAD2957" w14:textId="35E61682" w:rsidR="001B6598" w:rsidRDefault="00EE43BA" w:rsidP="00EE43BA">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I</w:t>
      </w:r>
      <w:r w:rsidR="001B6598" w:rsidRPr="00D91013">
        <w:rPr>
          <w:rFonts w:ascii="AvantGarde Bk BT" w:hAnsi="AvantGarde Bk BT" w:cs="Arial"/>
          <w:color w:val="000000" w:themeColor="text1"/>
          <w:sz w:val="24"/>
          <w:szCs w:val="24"/>
        </w:rPr>
        <w:t xml:space="preserve">. </w:t>
      </w:r>
      <w:r w:rsidR="001B6598" w:rsidRPr="00394CF1">
        <w:rPr>
          <w:rFonts w:ascii="AvantGarde Bk BT" w:hAnsi="AvantGarde Bk BT" w:cs="Arial"/>
          <w:b/>
          <w:color w:val="000000" w:themeColor="text1"/>
          <w:sz w:val="24"/>
          <w:szCs w:val="24"/>
          <w:u w:val="single"/>
        </w:rPr>
        <w:t>Que se trate de un procedimiento en el que la autoridad dirima una controversia entre partes contendientes</w:t>
      </w:r>
      <w:r w:rsidR="001B6598" w:rsidRPr="00D91013">
        <w:rPr>
          <w:rFonts w:ascii="AvantGarde Bk BT" w:hAnsi="AvantGarde Bk BT" w:cs="Arial"/>
          <w:color w:val="000000" w:themeColor="text1"/>
          <w:sz w:val="24"/>
          <w:szCs w:val="24"/>
        </w:rPr>
        <w:t>, así como los procedimientos en que la autoridad, frente al particular, prepare su resolución</w:t>
      </w:r>
      <w:r w:rsidR="001B6598">
        <w:rPr>
          <w:rFonts w:ascii="AvantGarde Bk BT" w:hAnsi="AvantGarde Bk BT" w:cs="Arial"/>
          <w:color w:val="000000" w:themeColor="text1"/>
          <w:sz w:val="24"/>
          <w:szCs w:val="24"/>
        </w:rPr>
        <w:t xml:space="preserve"> </w:t>
      </w:r>
      <w:r w:rsidR="001B6598" w:rsidRPr="00D91013">
        <w:rPr>
          <w:rFonts w:ascii="AvantGarde Bk BT" w:hAnsi="AvantGarde Bk BT" w:cs="Arial"/>
          <w:color w:val="000000" w:themeColor="text1"/>
          <w:sz w:val="24"/>
          <w:szCs w:val="24"/>
        </w:rPr>
        <w:t>definitiva, aunque sólo sea un trámite para cumplir con la garantía de audiencia, y</w:t>
      </w:r>
    </w:p>
    <w:p w14:paraId="5207C18F" w14:textId="035A969F" w:rsidR="00D91013" w:rsidRDefault="00EE43BA" w:rsidP="00BE2D5B">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II</w:t>
      </w:r>
      <w:r w:rsidR="001B6598" w:rsidRPr="00D91013">
        <w:rPr>
          <w:rFonts w:ascii="AvantGarde Bk BT" w:hAnsi="AvantGarde Bk BT" w:cs="Arial"/>
          <w:color w:val="000000" w:themeColor="text1"/>
          <w:sz w:val="24"/>
          <w:szCs w:val="24"/>
        </w:rPr>
        <w:t>. Que se cumplan las formalidade</w:t>
      </w:r>
      <w:r w:rsidR="00BE2D5B">
        <w:rPr>
          <w:rFonts w:ascii="AvantGarde Bk BT" w:hAnsi="AvantGarde Bk BT" w:cs="Arial"/>
          <w:color w:val="000000" w:themeColor="text1"/>
          <w:sz w:val="24"/>
          <w:szCs w:val="24"/>
        </w:rPr>
        <w:t>s esenciales del procedimiento.</w:t>
      </w:r>
    </w:p>
    <w:p w14:paraId="5424AD12" w14:textId="2DE4A026" w:rsidR="00D91013" w:rsidRDefault="00BE2D5B" w:rsidP="00786C9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orden de ideas</w:t>
      </w:r>
      <w:r w:rsidR="00D91013">
        <w:rPr>
          <w:rFonts w:ascii="AvantGarde Bk BT" w:hAnsi="AvantGarde Bk BT" w:cs="Arial"/>
          <w:color w:val="000000" w:themeColor="text1"/>
          <w:sz w:val="24"/>
          <w:szCs w:val="24"/>
        </w:rPr>
        <w:t xml:space="preserve">, en la especie se </w:t>
      </w:r>
      <w:r w:rsidR="00D91013" w:rsidRPr="00D91013">
        <w:rPr>
          <w:rFonts w:ascii="AvantGarde Bk BT" w:hAnsi="AvantGarde Bk BT" w:cs="Arial"/>
          <w:color w:val="000000" w:themeColor="text1"/>
          <w:sz w:val="24"/>
          <w:szCs w:val="24"/>
        </w:rPr>
        <w:t>estima</w:t>
      </w:r>
      <w:r w:rsidR="00D9101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que el acuerdo de reserva emitido por el sujeto obligado</w:t>
      </w:r>
      <w:r w:rsidR="00D9101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se encuentra incorrectamente fundado, ya que </w:t>
      </w:r>
      <w:r w:rsidR="00B7715C">
        <w:rPr>
          <w:rFonts w:ascii="AvantGarde Bk BT" w:hAnsi="AvantGarde Bk BT" w:cs="Arial"/>
          <w:color w:val="000000" w:themeColor="text1"/>
          <w:sz w:val="24"/>
          <w:szCs w:val="24"/>
        </w:rPr>
        <w:t>pretende sustentar la reserva en causales que, por sus características específicas, r</w:t>
      </w:r>
      <w:r w:rsidR="00EF326F">
        <w:rPr>
          <w:rFonts w:ascii="AvantGarde Bk BT" w:hAnsi="AvantGarde Bk BT" w:cs="Arial"/>
          <w:color w:val="000000" w:themeColor="text1"/>
          <w:sz w:val="24"/>
          <w:szCs w:val="24"/>
        </w:rPr>
        <w:t xml:space="preserve">esultan incompatibles al caso en estudio, en razón de que, en primer término, la información requerida por la persona solicitante </w:t>
      </w:r>
      <w:r w:rsidR="00EF326F" w:rsidRPr="00394CF1">
        <w:rPr>
          <w:rFonts w:ascii="AvantGarde Bk BT" w:hAnsi="AvantGarde Bk BT" w:cs="Arial"/>
          <w:color w:val="000000" w:themeColor="text1"/>
          <w:sz w:val="24"/>
          <w:szCs w:val="24"/>
        </w:rPr>
        <w:t>se refiere a personas morales</w:t>
      </w:r>
      <w:r w:rsidR="00EF326F">
        <w:rPr>
          <w:rFonts w:ascii="AvantGarde Bk BT" w:hAnsi="AvantGarde Bk BT" w:cs="Arial"/>
          <w:color w:val="000000" w:themeColor="text1"/>
          <w:sz w:val="24"/>
          <w:szCs w:val="24"/>
        </w:rPr>
        <w:t xml:space="preserve">, por lo que deviene inaplicable la hipótesis contenida en la fracción IV del artículo 129 de la Ley de Transparencia, cuyo alcance es la salvaguarda de </w:t>
      </w:r>
      <w:r w:rsidR="00EF326F" w:rsidRPr="00394CF1">
        <w:rPr>
          <w:rFonts w:ascii="AvantGarde Bk BT" w:hAnsi="AvantGarde Bk BT" w:cs="Arial"/>
          <w:color w:val="000000" w:themeColor="text1"/>
          <w:sz w:val="24"/>
          <w:szCs w:val="24"/>
          <w:u w:val="single"/>
        </w:rPr>
        <w:t>personas físicas</w:t>
      </w:r>
      <w:r w:rsidR="00EF326F">
        <w:rPr>
          <w:rFonts w:ascii="AvantGarde Bk BT" w:hAnsi="AvantGarde Bk BT" w:cs="Arial"/>
          <w:color w:val="000000" w:themeColor="text1"/>
          <w:sz w:val="24"/>
          <w:szCs w:val="24"/>
        </w:rPr>
        <w:t>, por lo que el peligro de la divulgación debe ser concreto y personal.</w:t>
      </w:r>
    </w:p>
    <w:p w14:paraId="36E0A893" w14:textId="63A9C0A2" w:rsidR="00EF326F" w:rsidRDefault="00EF326F" w:rsidP="00786C9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otra parte, </w:t>
      </w:r>
      <w:r w:rsidR="00394CF1">
        <w:rPr>
          <w:rFonts w:ascii="AvantGarde Bk BT" w:hAnsi="AvantGarde Bk BT" w:cs="Arial"/>
          <w:color w:val="000000" w:themeColor="text1"/>
          <w:sz w:val="24"/>
          <w:szCs w:val="24"/>
        </w:rPr>
        <w:t xml:space="preserve">la hipótesis contenida en la fracción X del artículo 129 de igual manera es inaplicable, a causa de que a la luz del primero de los elementos que debe concurrir para que se actualice la reserva, </w:t>
      </w:r>
      <w:r w:rsidR="00394CF1" w:rsidRPr="000E208C">
        <w:rPr>
          <w:rFonts w:ascii="AvantGarde Bk BT" w:hAnsi="AvantGarde Bk BT" w:cs="Arial"/>
          <w:color w:val="000000" w:themeColor="text1"/>
          <w:sz w:val="24"/>
          <w:szCs w:val="24"/>
          <w:u w:val="single"/>
        </w:rPr>
        <w:t xml:space="preserve">debe tratarse de un procedimiento en el que sea el sujeto obligado </w:t>
      </w:r>
      <w:r w:rsidR="00781D13">
        <w:rPr>
          <w:rFonts w:ascii="AvantGarde Bk BT" w:hAnsi="AvantGarde Bk BT" w:cs="Arial"/>
          <w:color w:val="000000" w:themeColor="text1"/>
          <w:sz w:val="24"/>
          <w:szCs w:val="24"/>
          <w:u w:val="single"/>
        </w:rPr>
        <w:t>el</w:t>
      </w:r>
      <w:r w:rsidR="00394CF1" w:rsidRPr="000E208C">
        <w:rPr>
          <w:rFonts w:ascii="AvantGarde Bk BT" w:hAnsi="AvantGarde Bk BT" w:cs="Arial"/>
          <w:color w:val="000000" w:themeColor="text1"/>
          <w:sz w:val="24"/>
          <w:szCs w:val="24"/>
          <w:u w:val="single"/>
        </w:rPr>
        <w:t xml:space="preserve"> que dirima </w:t>
      </w:r>
      <w:r w:rsidR="00781D13">
        <w:rPr>
          <w:rFonts w:ascii="AvantGarde Bk BT" w:hAnsi="AvantGarde Bk BT" w:cs="Arial"/>
          <w:color w:val="000000" w:themeColor="text1"/>
          <w:sz w:val="24"/>
          <w:szCs w:val="24"/>
          <w:u w:val="single"/>
        </w:rPr>
        <w:t>la</w:t>
      </w:r>
      <w:r w:rsidR="00394CF1" w:rsidRPr="000E208C">
        <w:rPr>
          <w:rFonts w:ascii="AvantGarde Bk BT" w:hAnsi="AvantGarde Bk BT" w:cs="Arial"/>
          <w:color w:val="000000" w:themeColor="text1"/>
          <w:sz w:val="24"/>
          <w:szCs w:val="24"/>
          <w:u w:val="single"/>
        </w:rPr>
        <w:t xml:space="preserve"> controversia entre </w:t>
      </w:r>
      <w:r w:rsidR="00781D13">
        <w:rPr>
          <w:rFonts w:ascii="AvantGarde Bk BT" w:hAnsi="AvantGarde Bk BT" w:cs="Arial"/>
          <w:color w:val="000000" w:themeColor="text1"/>
          <w:sz w:val="24"/>
          <w:szCs w:val="24"/>
          <w:u w:val="single"/>
        </w:rPr>
        <w:t xml:space="preserve">las </w:t>
      </w:r>
      <w:r w:rsidR="00394CF1" w:rsidRPr="000E208C">
        <w:rPr>
          <w:rFonts w:ascii="AvantGarde Bk BT" w:hAnsi="AvantGarde Bk BT" w:cs="Arial"/>
          <w:color w:val="000000" w:themeColor="text1"/>
          <w:sz w:val="24"/>
          <w:szCs w:val="24"/>
          <w:u w:val="single"/>
        </w:rPr>
        <w:t xml:space="preserve">partes contendientes, </w:t>
      </w:r>
      <w:r w:rsidR="00394CF1" w:rsidRPr="000E208C">
        <w:rPr>
          <w:rFonts w:ascii="AvantGarde Bk BT" w:hAnsi="AvantGarde Bk BT" w:cs="Arial"/>
          <w:color w:val="000000" w:themeColor="text1"/>
          <w:sz w:val="24"/>
          <w:szCs w:val="24"/>
          <w:u w:val="single"/>
        </w:rPr>
        <w:lastRenderedPageBreak/>
        <w:t>o en su caso, un procedimiento en el que éste, frente al particular, prepare su resolución definitiva</w:t>
      </w:r>
      <w:r w:rsidR="00394CF1">
        <w:rPr>
          <w:rFonts w:ascii="AvantGarde Bk BT" w:hAnsi="AvantGarde Bk BT" w:cs="Arial"/>
          <w:color w:val="000000" w:themeColor="text1"/>
          <w:sz w:val="24"/>
          <w:szCs w:val="24"/>
        </w:rPr>
        <w:t>.</w:t>
      </w:r>
    </w:p>
    <w:p w14:paraId="3401743F" w14:textId="306883E6" w:rsidR="00BE2D5B" w:rsidRDefault="00394CF1" w:rsidP="000E208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de la propia relatoría </w:t>
      </w:r>
      <w:r w:rsidR="000E208C">
        <w:rPr>
          <w:rFonts w:ascii="AvantGarde Bk BT" w:hAnsi="AvantGarde Bk BT" w:cs="Arial"/>
          <w:color w:val="000000" w:themeColor="text1"/>
          <w:sz w:val="24"/>
          <w:szCs w:val="24"/>
        </w:rPr>
        <w:t xml:space="preserve">plasmada en el acuerdo de reserva, se desprende que la reserva de la información </w:t>
      </w:r>
      <w:r w:rsidR="001714A9">
        <w:rPr>
          <w:rFonts w:ascii="AvantGarde Bk BT" w:hAnsi="AvantGarde Bk BT" w:cs="Arial"/>
          <w:color w:val="000000" w:themeColor="text1"/>
          <w:sz w:val="24"/>
          <w:szCs w:val="24"/>
        </w:rPr>
        <w:t>resulta</w:t>
      </w:r>
      <w:r w:rsidR="000E208C">
        <w:rPr>
          <w:rFonts w:ascii="AvantGarde Bk BT" w:hAnsi="AvantGarde Bk BT" w:cs="Arial"/>
          <w:color w:val="000000" w:themeColor="text1"/>
          <w:sz w:val="24"/>
          <w:szCs w:val="24"/>
        </w:rPr>
        <w:t xml:space="preserve"> de que ésta forma parte de tres procedimientos judiciales, </w:t>
      </w:r>
      <w:r w:rsidR="000E208C" w:rsidRPr="000E208C">
        <w:rPr>
          <w:rFonts w:ascii="AvantGarde Bk BT" w:hAnsi="AvantGarde Bk BT" w:cs="Arial"/>
          <w:b/>
          <w:color w:val="000000" w:themeColor="text1"/>
          <w:sz w:val="24"/>
          <w:szCs w:val="24"/>
          <w:u w:val="single"/>
        </w:rPr>
        <w:t>dirimidos ante una autoridad distinta al sujeto obligado</w:t>
      </w:r>
      <w:r w:rsidR="000E208C">
        <w:rPr>
          <w:rFonts w:ascii="AvantGarde Bk BT" w:hAnsi="AvantGarde Bk BT" w:cs="Arial"/>
          <w:color w:val="000000" w:themeColor="text1"/>
          <w:sz w:val="24"/>
          <w:szCs w:val="24"/>
        </w:rPr>
        <w:t>, lo que impide la adecuación de esta hipótesis normativa al caso particular.</w:t>
      </w:r>
    </w:p>
    <w:p w14:paraId="3498EEEA" w14:textId="08B42857" w:rsidR="003069A3" w:rsidRPr="000E208C" w:rsidRDefault="003069A3" w:rsidP="000E208C">
      <w:pPr>
        <w:tabs>
          <w:tab w:val="left" w:pos="567"/>
        </w:tabs>
        <w:spacing w:after="240" w:line="360" w:lineRule="auto"/>
        <w:ind w:firstLine="680"/>
        <w:jc w:val="both"/>
      </w:pPr>
      <w:r>
        <w:rPr>
          <w:rFonts w:ascii="AvantGarde Bk BT" w:hAnsi="AvantGarde Bk BT" w:cs="Arial"/>
          <w:color w:val="000000" w:themeColor="text1"/>
          <w:sz w:val="24"/>
          <w:szCs w:val="24"/>
        </w:rPr>
        <w:t xml:space="preserve">Además, cabe recordar que, durante el periodo de instrucción de este medio de impugnación, la autoridad emitió una respuesta en alcance a la primigenia, por medio de la cual entregó a la persona peticionaria la información requerida en el punto identificado como 3 de su solicitud, y que consiste precisamente en versión pública del estudio de factibilidad de la empresa MUGAVUS CONSTRUCCIONES, S.A. DE C.V, nuevo análisis pese el cual </w:t>
      </w:r>
      <w:r w:rsidR="009B6051">
        <w:rPr>
          <w:rFonts w:ascii="AvantGarde Bk BT" w:hAnsi="AvantGarde Bk BT" w:cs="Arial"/>
          <w:color w:val="000000" w:themeColor="text1"/>
          <w:sz w:val="24"/>
          <w:szCs w:val="24"/>
        </w:rPr>
        <w:t>subsistió</w:t>
      </w:r>
      <w:r>
        <w:rPr>
          <w:rFonts w:ascii="AvantGarde Bk BT" w:hAnsi="AvantGarde Bk BT" w:cs="Arial"/>
          <w:color w:val="000000" w:themeColor="text1"/>
          <w:sz w:val="24"/>
          <w:szCs w:val="24"/>
        </w:rPr>
        <w:t xml:space="preserve"> la reserva de los estudios de factibilidad en el acuerdo </w:t>
      </w:r>
      <w:r w:rsidR="009B6051">
        <w:rPr>
          <w:rFonts w:ascii="AvantGarde Bk BT" w:hAnsi="AvantGarde Bk BT" w:cs="Arial"/>
          <w:color w:val="000000" w:themeColor="text1"/>
          <w:sz w:val="24"/>
          <w:szCs w:val="24"/>
        </w:rPr>
        <w:t>C.T.-A.R. 006/2025.</w:t>
      </w:r>
    </w:p>
    <w:p w14:paraId="7F3A46AB" w14:textId="6659C38E" w:rsidR="001714A9" w:rsidRDefault="000E208C" w:rsidP="002F2A90">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en cuanto</w:t>
      </w:r>
      <w:r w:rsidR="002F2A90">
        <w:rPr>
          <w:rFonts w:ascii="AvantGarde Bk BT" w:hAnsi="AvantGarde Bk BT" w:cs="Arial"/>
          <w:color w:val="000000" w:themeColor="text1"/>
          <w:sz w:val="24"/>
          <w:szCs w:val="24"/>
        </w:rPr>
        <w:t xml:space="preserve"> al fondo de la prueba de daño, el sujeto obligado esgrimió argumentos tendientes a acreditar la reserva de la información por la afectación a los derechos del debido proceso de las partes a los que s</w:t>
      </w:r>
      <w:r w:rsidR="001714A9">
        <w:rPr>
          <w:rFonts w:ascii="AvantGarde Bk BT" w:hAnsi="AvantGarde Bk BT" w:cs="Arial"/>
          <w:color w:val="000000" w:themeColor="text1"/>
          <w:sz w:val="24"/>
          <w:szCs w:val="24"/>
        </w:rPr>
        <w:t>u divulgación pudiera conllevar.</w:t>
      </w:r>
    </w:p>
    <w:p w14:paraId="00C7C82F" w14:textId="4A23C924" w:rsidR="00C5342B" w:rsidRDefault="009A66EE" w:rsidP="00E62868">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Ante</w:t>
      </w:r>
      <w:r w:rsidR="00856B00">
        <w:rPr>
          <w:rFonts w:ascii="AvantGarde Bk BT" w:hAnsi="AvantGarde Bk BT" w:cs="Arial"/>
          <w:color w:val="000000" w:themeColor="text1"/>
          <w:sz w:val="24"/>
          <w:szCs w:val="24"/>
        </w:rPr>
        <w:t xml:space="preserve"> lo que c</w:t>
      </w:r>
      <w:r w:rsidR="00C5342B">
        <w:rPr>
          <w:rFonts w:ascii="AvantGarde Bk BT" w:hAnsi="AvantGarde Bk BT" w:cs="Arial"/>
          <w:color w:val="000000" w:themeColor="text1"/>
          <w:sz w:val="24"/>
          <w:szCs w:val="24"/>
        </w:rPr>
        <w:t xml:space="preserve">obra relevancia </w:t>
      </w:r>
      <w:r w:rsidR="00856B00">
        <w:rPr>
          <w:rFonts w:ascii="AvantGarde Bk BT" w:hAnsi="AvantGarde Bk BT" w:cs="Arial"/>
          <w:color w:val="000000" w:themeColor="text1"/>
          <w:sz w:val="24"/>
          <w:szCs w:val="24"/>
        </w:rPr>
        <w:t xml:space="preserve">definir al debido proceso como </w:t>
      </w:r>
      <w:r w:rsidR="00856B00" w:rsidRPr="00856B00">
        <w:rPr>
          <w:rFonts w:ascii="AvantGarde Bk BT" w:hAnsi="AvantGarde Bk BT" w:cs="Arial"/>
          <w:color w:val="000000" w:themeColor="text1"/>
          <w:sz w:val="24"/>
          <w:szCs w:val="24"/>
        </w:rPr>
        <w:t xml:space="preserve">el </w:t>
      </w:r>
      <w:r w:rsidR="00856B00">
        <w:rPr>
          <w:rFonts w:ascii="AvantGarde Bk BT" w:hAnsi="AvantGarde Bk BT" w:cs="Arial"/>
          <w:color w:val="000000" w:themeColor="text1"/>
          <w:sz w:val="24"/>
          <w:szCs w:val="24"/>
        </w:rPr>
        <w:t>“</w:t>
      </w:r>
      <w:r w:rsidR="00856B00" w:rsidRPr="00856B00">
        <w:rPr>
          <w:rFonts w:ascii="AvantGarde Bk BT" w:hAnsi="AvantGarde Bk BT" w:cs="Arial"/>
          <w:color w:val="000000" w:themeColor="text1"/>
          <w:sz w:val="24"/>
          <w:szCs w:val="24"/>
        </w:rPr>
        <w:t>conjunto de condiciones y requisitos de carácter jurídico y procesal que son necesarios para poder afectar legalmente los derechos de los gobernados</w:t>
      </w:r>
      <w:r w:rsidR="00856B00">
        <w:rPr>
          <w:rFonts w:ascii="AvantGarde Bk BT" w:hAnsi="AvantGarde Bk BT" w:cs="Arial"/>
          <w:color w:val="000000" w:themeColor="text1"/>
          <w:sz w:val="24"/>
          <w:szCs w:val="24"/>
        </w:rPr>
        <w:t xml:space="preserve">”, </w:t>
      </w:r>
      <w:r w:rsidR="00A37CE0" w:rsidRPr="00A37CE0">
        <w:rPr>
          <w:rFonts w:ascii="AvantGarde Bk BT" w:hAnsi="AvantGarde Bk BT" w:cs="Arial"/>
          <w:color w:val="000000" w:themeColor="text1"/>
          <w:sz w:val="24"/>
          <w:szCs w:val="24"/>
        </w:rPr>
        <w:t xml:space="preserve">y puede emplearse “como equivalente de tutela judicial efectiva, derecho a ser oído legalmente ante los tribunales, proceso equitativo, igualdad de armas, </w:t>
      </w:r>
      <w:proofErr w:type="spellStart"/>
      <w:r w:rsidR="00A37CE0" w:rsidRPr="00A37CE0">
        <w:rPr>
          <w:rFonts w:ascii="AvantGarde Bk BT" w:hAnsi="AvantGarde Bk BT" w:cs="Arial"/>
          <w:color w:val="000000" w:themeColor="text1"/>
          <w:sz w:val="24"/>
          <w:szCs w:val="24"/>
        </w:rPr>
        <w:t>fair</w:t>
      </w:r>
      <w:proofErr w:type="spellEnd"/>
      <w:r w:rsidR="00A37CE0" w:rsidRPr="00A37CE0">
        <w:rPr>
          <w:rFonts w:ascii="AvantGarde Bk BT" w:hAnsi="AvantGarde Bk BT" w:cs="Arial"/>
          <w:color w:val="000000" w:themeColor="text1"/>
          <w:sz w:val="24"/>
          <w:szCs w:val="24"/>
        </w:rPr>
        <w:t xml:space="preserve"> </w:t>
      </w:r>
      <w:proofErr w:type="spellStart"/>
      <w:r w:rsidR="00A37CE0" w:rsidRPr="00A37CE0">
        <w:rPr>
          <w:rFonts w:ascii="AvantGarde Bk BT" w:hAnsi="AvantGarde Bk BT" w:cs="Arial"/>
          <w:color w:val="000000" w:themeColor="text1"/>
          <w:sz w:val="24"/>
          <w:szCs w:val="24"/>
        </w:rPr>
        <w:t>tria</w:t>
      </w:r>
      <w:proofErr w:type="spellEnd"/>
      <w:r w:rsidR="00A37CE0" w:rsidRPr="00A37CE0">
        <w:rPr>
          <w:rFonts w:ascii="AvantGarde Bk BT" w:hAnsi="AvantGarde Bk BT" w:cs="Arial"/>
          <w:color w:val="000000" w:themeColor="text1"/>
          <w:sz w:val="24"/>
          <w:szCs w:val="24"/>
        </w:rPr>
        <w:t xml:space="preserve"> (juicio justo), o defensa en juicio</w:t>
      </w:r>
      <w:r w:rsidR="00A37CE0">
        <w:rPr>
          <w:rStyle w:val="Refdenotaalpie"/>
          <w:rFonts w:ascii="AvantGarde Bk BT" w:hAnsi="AvantGarde Bk BT" w:cs="Arial"/>
          <w:color w:val="000000" w:themeColor="text1"/>
          <w:sz w:val="24"/>
          <w:szCs w:val="24"/>
        </w:rPr>
        <w:footnoteReference w:id="14"/>
      </w:r>
      <w:r w:rsidR="00A37CE0">
        <w:rPr>
          <w:rFonts w:ascii="AvantGarde Bk BT" w:hAnsi="AvantGarde Bk BT" w:cs="Arial"/>
          <w:color w:val="000000" w:themeColor="text1"/>
          <w:sz w:val="24"/>
          <w:szCs w:val="24"/>
        </w:rPr>
        <w:t>,</w:t>
      </w:r>
      <w:r w:rsidR="00E62868">
        <w:rPr>
          <w:rFonts w:ascii="AvantGarde Bk BT" w:hAnsi="AvantGarde Bk BT" w:cs="Arial"/>
          <w:color w:val="000000" w:themeColor="text1"/>
          <w:sz w:val="24"/>
          <w:szCs w:val="24"/>
        </w:rPr>
        <w:t xml:space="preserve"> y </w:t>
      </w:r>
      <w:r w:rsidR="00856B00">
        <w:rPr>
          <w:rFonts w:ascii="AvantGarde Bk BT" w:hAnsi="AvantGarde Bk BT" w:cs="Arial"/>
          <w:color w:val="000000" w:themeColor="text1"/>
          <w:sz w:val="24"/>
          <w:szCs w:val="24"/>
        </w:rPr>
        <w:t xml:space="preserve">que </w:t>
      </w:r>
      <w:r w:rsidR="00856B00" w:rsidRPr="00856B00">
        <w:rPr>
          <w:rFonts w:ascii="AvantGarde Bk BT" w:hAnsi="AvantGarde Bk BT" w:cs="Arial"/>
          <w:color w:val="000000" w:themeColor="text1"/>
          <w:sz w:val="24"/>
          <w:szCs w:val="24"/>
        </w:rPr>
        <w:t>se ejerce solamente por aquellas personas que se ven involucradas en un proceso judicial, en cuyo caso, esperan que el Estado cumpla con una serie de formalidades</w:t>
      </w:r>
      <w:r w:rsidR="00E62868">
        <w:rPr>
          <w:rFonts w:ascii="AvantGarde Bk BT" w:hAnsi="AvantGarde Bk BT" w:cs="Arial"/>
          <w:color w:val="000000" w:themeColor="text1"/>
          <w:sz w:val="24"/>
          <w:szCs w:val="24"/>
        </w:rPr>
        <w:t>.</w:t>
      </w:r>
    </w:p>
    <w:p w14:paraId="5B89F9E1" w14:textId="39758FC7" w:rsidR="007160DA" w:rsidRPr="00305B4D" w:rsidRDefault="009A66EE" w:rsidP="00305B4D">
      <w:pPr>
        <w:spacing w:after="0" w:line="360" w:lineRule="auto"/>
        <w:ind w:right="-93" w:firstLine="708"/>
        <w:jc w:val="both"/>
        <w:rPr>
          <w:rFonts w:ascii="Arial" w:eastAsia="Arial Unicode MS" w:hAnsi="Arial" w:cs="Arial"/>
          <w:sz w:val="24"/>
          <w:szCs w:val="24"/>
          <w:lang w:eastAsia="es-ES"/>
        </w:rPr>
      </w:pPr>
      <w:r w:rsidRPr="009A66EE">
        <w:rPr>
          <w:rFonts w:ascii="AvantGarde Bk BT" w:eastAsia="Arial Unicode MS" w:hAnsi="AvantGarde Bk BT" w:cs="Arial"/>
          <w:sz w:val="24"/>
          <w:szCs w:val="24"/>
          <w:lang w:eastAsia="es-ES"/>
        </w:rPr>
        <w:t>Entonces, la necesid</w:t>
      </w:r>
      <w:r w:rsidR="00305B4D">
        <w:rPr>
          <w:rFonts w:ascii="AvantGarde Bk BT" w:eastAsia="Arial Unicode MS" w:hAnsi="AvantGarde Bk BT" w:cs="Arial"/>
          <w:sz w:val="24"/>
          <w:szCs w:val="24"/>
          <w:lang w:eastAsia="es-ES"/>
        </w:rPr>
        <w:t>ad de clasificar la información debía acreditarse</w:t>
      </w:r>
      <w:r w:rsidRPr="009A66EE">
        <w:rPr>
          <w:rFonts w:ascii="AvantGarde Bk BT" w:eastAsia="Arial Unicode MS" w:hAnsi="AvantGarde Bk BT" w:cs="Arial"/>
          <w:sz w:val="24"/>
          <w:szCs w:val="24"/>
          <w:lang w:eastAsia="es-ES"/>
        </w:rPr>
        <w:t xml:space="preserve"> </w:t>
      </w:r>
      <w:r w:rsidRPr="008D2C75">
        <w:rPr>
          <w:rFonts w:ascii="AvantGarde Bk BT" w:eastAsia="Arial Unicode MS" w:hAnsi="AvantGarde Bk BT" w:cs="Arial"/>
          <w:sz w:val="24"/>
          <w:szCs w:val="24"/>
          <w:lang w:eastAsia="es-ES"/>
        </w:rPr>
        <w:t>a través de la motivación de la prueba de daño</w:t>
      </w:r>
      <w:r w:rsidRPr="009A66EE">
        <w:rPr>
          <w:rFonts w:ascii="Arial" w:eastAsia="Arial Unicode MS" w:hAnsi="Arial" w:cs="Arial"/>
          <w:sz w:val="24"/>
          <w:szCs w:val="24"/>
          <w:lang w:eastAsia="es-ES"/>
        </w:rPr>
        <w:t>,</w:t>
      </w:r>
      <w:r w:rsidR="00305B4D">
        <w:rPr>
          <w:rFonts w:ascii="Arial" w:eastAsia="Arial Unicode MS" w:hAnsi="Arial" w:cs="Arial"/>
          <w:sz w:val="24"/>
          <w:szCs w:val="24"/>
          <w:lang w:eastAsia="es-ES"/>
        </w:rPr>
        <w:t xml:space="preserve"> </w:t>
      </w:r>
      <w:r w:rsidR="00305B4D" w:rsidRPr="00305B4D">
        <w:rPr>
          <w:rFonts w:ascii="AvantGarde Bk BT" w:eastAsia="Arial Unicode MS" w:hAnsi="AvantGarde Bk BT" w:cs="Arial"/>
          <w:sz w:val="24"/>
          <w:szCs w:val="24"/>
          <w:lang w:eastAsia="es-ES"/>
        </w:rPr>
        <w:t>al describir</w:t>
      </w:r>
      <w:r w:rsidRPr="00305B4D">
        <w:rPr>
          <w:rFonts w:ascii="AvantGarde Bk BT" w:eastAsia="Arial Unicode MS" w:hAnsi="AvantGarde Bk BT" w:cs="Arial"/>
          <w:sz w:val="24"/>
          <w:szCs w:val="24"/>
          <w:lang w:eastAsia="es-ES"/>
        </w:rPr>
        <w:t xml:space="preserve"> las circunstancias de tiempo, modo y </w:t>
      </w:r>
      <w:r w:rsidRPr="00305B4D">
        <w:rPr>
          <w:rFonts w:ascii="AvantGarde Bk BT" w:eastAsia="Arial Unicode MS" w:hAnsi="AvantGarde Bk BT" w:cs="Arial"/>
          <w:sz w:val="24"/>
          <w:szCs w:val="24"/>
          <w:lang w:eastAsia="es-ES"/>
        </w:rPr>
        <w:lastRenderedPageBreak/>
        <w:t>lugar en que la difusión de la información pudiera causar u</w:t>
      </w:r>
      <w:r w:rsidR="00305B4D" w:rsidRPr="00305B4D">
        <w:rPr>
          <w:rFonts w:ascii="AvantGarde Bk BT" w:eastAsia="Arial Unicode MS" w:hAnsi="AvantGarde Bk BT" w:cs="Arial"/>
          <w:sz w:val="24"/>
          <w:szCs w:val="24"/>
          <w:lang w:eastAsia="es-ES"/>
        </w:rPr>
        <w:t>na afección al interés público</w:t>
      </w:r>
      <w:r w:rsidR="00305B4D">
        <w:rPr>
          <w:rFonts w:ascii="Arial" w:eastAsia="Arial Unicode MS" w:hAnsi="Arial" w:cs="Arial"/>
          <w:sz w:val="24"/>
          <w:szCs w:val="24"/>
          <w:lang w:eastAsia="es-ES"/>
        </w:rPr>
        <w:t>,</w:t>
      </w:r>
      <w:r w:rsidR="002F2A90">
        <w:rPr>
          <w:rFonts w:ascii="AvantGarde Bk BT" w:hAnsi="AvantGarde Bk BT" w:cs="Arial"/>
          <w:color w:val="000000" w:themeColor="text1"/>
          <w:sz w:val="24"/>
          <w:szCs w:val="24"/>
        </w:rPr>
        <w:t xml:space="preserve"> </w:t>
      </w:r>
      <w:r w:rsidR="00305B4D">
        <w:rPr>
          <w:rFonts w:ascii="AvantGarde Bk BT" w:hAnsi="AvantGarde Bk BT" w:cs="Arial"/>
          <w:b/>
          <w:bCs/>
          <w:sz w:val="24"/>
          <w:szCs w:val="24"/>
        </w:rPr>
        <w:t>para</w:t>
      </w:r>
      <w:r w:rsidR="00305B4D" w:rsidRPr="00305B4D">
        <w:rPr>
          <w:rFonts w:ascii="AvantGarde Bk BT" w:hAnsi="AvantGarde Bk BT" w:cs="Arial"/>
          <w:b/>
          <w:bCs/>
          <w:sz w:val="24"/>
          <w:szCs w:val="24"/>
        </w:rPr>
        <w:t xml:space="preserve"> lo</w:t>
      </w:r>
      <w:r w:rsidR="00305B4D">
        <w:rPr>
          <w:rFonts w:ascii="AvantGarde Bk BT" w:hAnsi="AvantGarde Bk BT" w:cs="Arial"/>
          <w:b/>
          <w:bCs/>
          <w:sz w:val="24"/>
          <w:szCs w:val="24"/>
        </w:rPr>
        <w:t xml:space="preserve"> que </w:t>
      </w:r>
      <w:r w:rsidR="00F56E57" w:rsidRPr="00305B4D">
        <w:rPr>
          <w:rFonts w:ascii="AvantGarde Bk BT" w:hAnsi="AvantGarde Bk BT" w:cs="Arial"/>
          <w:b/>
          <w:bCs/>
          <w:sz w:val="24"/>
          <w:szCs w:val="24"/>
        </w:rPr>
        <w:t>resultaba preciso que el sujeto obligado</w:t>
      </w:r>
      <w:r w:rsidR="00305B4D">
        <w:rPr>
          <w:rFonts w:ascii="AvantGarde Bk BT" w:hAnsi="AvantGarde Bk BT" w:cs="Arial"/>
          <w:b/>
          <w:bCs/>
          <w:sz w:val="24"/>
          <w:szCs w:val="24"/>
        </w:rPr>
        <w:t xml:space="preserve"> demostrara</w:t>
      </w:r>
      <w:r w:rsidR="007160DA" w:rsidRPr="00305B4D">
        <w:rPr>
          <w:rFonts w:ascii="AvantGarde Bk BT" w:hAnsi="AvantGarde Bk BT" w:cs="Arial"/>
          <w:b/>
          <w:bCs/>
          <w:sz w:val="24"/>
          <w:szCs w:val="24"/>
        </w:rPr>
        <w:t>:</w:t>
      </w:r>
    </w:p>
    <w:p w14:paraId="676210C5" w14:textId="35C23A01" w:rsidR="009A66EE" w:rsidRPr="004765CF" w:rsidRDefault="007160DA" w:rsidP="004765CF">
      <w:pPr>
        <w:tabs>
          <w:tab w:val="left" w:pos="567"/>
        </w:tabs>
        <w:spacing w:after="240" w:line="360" w:lineRule="auto"/>
        <w:ind w:firstLine="680"/>
        <w:jc w:val="both"/>
        <w:rPr>
          <w:rFonts w:ascii="AvantGarde Bk BT" w:hAnsi="AvantGarde Bk BT" w:cs="Arial"/>
          <w:bCs/>
          <w:sz w:val="24"/>
          <w:szCs w:val="24"/>
        </w:rPr>
      </w:pPr>
      <w:r>
        <w:rPr>
          <w:rFonts w:ascii="AvantGarde Bk BT" w:hAnsi="AvantGarde Bk BT" w:cs="Arial"/>
          <w:b/>
          <w:bCs/>
          <w:sz w:val="24"/>
          <w:szCs w:val="24"/>
        </w:rPr>
        <w:t>a)</w:t>
      </w:r>
      <w:r w:rsidR="00F56E57" w:rsidRPr="002F2A90">
        <w:rPr>
          <w:rFonts w:ascii="AvantGarde Bk BT" w:hAnsi="AvantGarde Bk BT" w:cs="Arial"/>
          <w:b/>
          <w:bCs/>
          <w:sz w:val="24"/>
          <w:szCs w:val="24"/>
        </w:rPr>
        <w:t xml:space="preserve"> </w:t>
      </w:r>
      <w:r w:rsidR="00305B4D">
        <w:rPr>
          <w:rFonts w:ascii="AvantGarde Bk BT" w:hAnsi="AvantGarde Bk BT" w:cs="Arial"/>
          <w:b/>
          <w:bCs/>
          <w:sz w:val="24"/>
          <w:szCs w:val="24"/>
        </w:rPr>
        <w:t>l</w:t>
      </w:r>
      <w:r w:rsidR="009A66EE" w:rsidRPr="009A66EE">
        <w:rPr>
          <w:rFonts w:ascii="AvantGarde Bk BT" w:hAnsi="AvantGarde Bk BT" w:cs="Arial"/>
          <w:b/>
          <w:bCs/>
          <w:sz w:val="24"/>
          <w:szCs w:val="24"/>
        </w:rPr>
        <w:t>a existencia de un procedimiento judicial, admin</w:t>
      </w:r>
      <w:r w:rsidR="00305B4D">
        <w:rPr>
          <w:rFonts w:ascii="AvantGarde Bk BT" w:hAnsi="AvantGarde Bk BT" w:cs="Arial"/>
          <w:b/>
          <w:bCs/>
          <w:sz w:val="24"/>
          <w:szCs w:val="24"/>
        </w:rPr>
        <w:t xml:space="preserve">istrativo o arbitral en trámite, </w:t>
      </w:r>
      <w:r w:rsidR="00305B4D" w:rsidRPr="00305B4D">
        <w:rPr>
          <w:rFonts w:ascii="AvantGarde Bk BT" w:hAnsi="AvantGarde Bk BT" w:cs="Arial"/>
          <w:bCs/>
          <w:sz w:val="24"/>
          <w:szCs w:val="24"/>
        </w:rPr>
        <w:t>lo que implica que además de proporcionar el número de expediente de que se trata, tipo de proceso y el estado en que se encuentra,</w:t>
      </w:r>
      <w:r w:rsidR="00305B4D">
        <w:rPr>
          <w:rFonts w:ascii="AvantGarde Bk BT" w:hAnsi="AvantGarde Bk BT" w:cs="Arial"/>
          <w:b/>
          <w:bCs/>
          <w:sz w:val="24"/>
          <w:szCs w:val="24"/>
        </w:rPr>
        <w:t xml:space="preserve"> </w:t>
      </w:r>
      <w:r w:rsidR="00305B4D" w:rsidRPr="00305B4D">
        <w:rPr>
          <w:rFonts w:ascii="AvantGarde Bk BT" w:hAnsi="AvantGarde Bk BT" w:cs="Arial"/>
          <w:bCs/>
          <w:sz w:val="24"/>
          <w:szCs w:val="24"/>
        </w:rPr>
        <w:t>debe señalarse la fecha en que inició</w:t>
      </w:r>
      <w:r w:rsidR="00B71757">
        <w:rPr>
          <w:rFonts w:ascii="AvantGarde Bk BT" w:hAnsi="AvantGarde Bk BT" w:cs="Arial"/>
          <w:b/>
          <w:bCs/>
          <w:sz w:val="24"/>
          <w:szCs w:val="24"/>
        </w:rPr>
        <w:t xml:space="preserve"> </w:t>
      </w:r>
      <w:r w:rsidR="00B71757" w:rsidRPr="00B71757">
        <w:rPr>
          <w:rFonts w:ascii="AvantGarde Bk BT" w:hAnsi="AvantGarde Bk BT" w:cs="Arial"/>
          <w:bCs/>
          <w:sz w:val="24"/>
          <w:szCs w:val="24"/>
        </w:rPr>
        <w:t>y</w:t>
      </w:r>
      <w:r w:rsidR="00F47AE3">
        <w:rPr>
          <w:rFonts w:ascii="AvantGarde Bk BT" w:hAnsi="AvantGarde Bk BT" w:cs="Arial"/>
          <w:b/>
          <w:bCs/>
          <w:sz w:val="24"/>
          <w:szCs w:val="24"/>
        </w:rPr>
        <w:t xml:space="preserve"> </w:t>
      </w:r>
      <w:r w:rsidR="00305B4D" w:rsidRPr="00305B4D">
        <w:rPr>
          <w:rFonts w:ascii="AvantGarde Bk BT" w:hAnsi="AvantGarde Bk BT" w:cs="Arial"/>
          <w:bCs/>
          <w:sz w:val="24"/>
          <w:szCs w:val="24"/>
        </w:rPr>
        <w:t>las partes involucradas</w:t>
      </w:r>
      <w:r w:rsidR="00B71757">
        <w:rPr>
          <w:rFonts w:ascii="AvantGarde Bk BT" w:hAnsi="AvantGarde Bk BT" w:cs="Arial"/>
          <w:bCs/>
          <w:sz w:val="24"/>
          <w:szCs w:val="24"/>
        </w:rPr>
        <w:t xml:space="preserve"> en el procedimiento, o en su caso, en cada uno de los procedimientos de que se trate.</w:t>
      </w:r>
    </w:p>
    <w:p w14:paraId="00FA4CC9" w14:textId="17CDC467" w:rsidR="007160DA" w:rsidRPr="00B71757" w:rsidRDefault="009A66EE" w:rsidP="00B71757">
      <w:pPr>
        <w:tabs>
          <w:tab w:val="left" w:pos="567"/>
        </w:tabs>
        <w:spacing w:after="240" w:line="360" w:lineRule="auto"/>
        <w:ind w:firstLine="680"/>
        <w:jc w:val="both"/>
        <w:rPr>
          <w:rFonts w:ascii="AvantGarde Bk BT" w:hAnsi="AvantGarde Bk BT" w:cs="Arial"/>
          <w:b/>
          <w:bCs/>
          <w:sz w:val="24"/>
          <w:szCs w:val="24"/>
        </w:rPr>
      </w:pPr>
      <w:r>
        <w:rPr>
          <w:rFonts w:ascii="AvantGarde Bk BT" w:hAnsi="AvantGarde Bk BT" w:cs="Arial"/>
          <w:b/>
          <w:bCs/>
          <w:sz w:val="24"/>
          <w:szCs w:val="24"/>
        </w:rPr>
        <w:t>b)</w:t>
      </w:r>
      <w:r w:rsidR="00B71757">
        <w:rPr>
          <w:rFonts w:ascii="AvantGarde Bk BT" w:hAnsi="AvantGarde Bk BT" w:cs="Arial"/>
          <w:b/>
          <w:bCs/>
          <w:sz w:val="24"/>
          <w:szCs w:val="24"/>
        </w:rPr>
        <w:t xml:space="preserve"> </w:t>
      </w:r>
      <w:r w:rsidR="007160DA" w:rsidRPr="00B71757">
        <w:rPr>
          <w:rFonts w:ascii="AvantGarde Bk BT" w:hAnsi="AvantGarde Bk BT" w:cs="Arial"/>
          <w:b/>
          <w:bCs/>
          <w:sz w:val="24"/>
          <w:szCs w:val="24"/>
          <w:u w:val="single"/>
        </w:rPr>
        <w:t>que</w:t>
      </w:r>
      <w:r w:rsidR="00B71757">
        <w:rPr>
          <w:rFonts w:ascii="AvantGarde Bk BT" w:hAnsi="AvantGarde Bk BT" w:cs="Arial"/>
          <w:b/>
          <w:bCs/>
          <w:sz w:val="24"/>
          <w:szCs w:val="24"/>
          <w:u w:val="single"/>
        </w:rPr>
        <w:t xml:space="preserve"> el sujeto obligado</w:t>
      </w:r>
      <w:r w:rsidR="007160DA" w:rsidRPr="00B71757">
        <w:rPr>
          <w:rFonts w:ascii="AvantGarde Bk BT" w:hAnsi="AvantGarde Bk BT" w:cs="Arial"/>
          <w:b/>
          <w:bCs/>
          <w:sz w:val="24"/>
          <w:szCs w:val="24"/>
          <w:u w:val="single"/>
        </w:rPr>
        <w:t xml:space="preserve"> es parte en esos procedimientos</w:t>
      </w:r>
      <w:r w:rsidR="007160DA" w:rsidRPr="007160DA">
        <w:rPr>
          <w:rFonts w:ascii="AvantGarde Bk BT" w:hAnsi="AvantGarde Bk BT" w:cs="Arial"/>
          <w:bCs/>
          <w:sz w:val="24"/>
          <w:szCs w:val="24"/>
        </w:rPr>
        <w:t>, ya que se limita a señalar que tiene identificados procedimientos judiciales en los cuales las personas morales objeto de la solicitud son señalados como autoridades responsables, terceros llamados a juicio o personas morales a las que se hace alusión</w:t>
      </w:r>
      <w:r w:rsidR="00F56E57" w:rsidRPr="007160DA">
        <w:rPr>
          <w:rFonts w:ascii="AvantGarde Bk BT" w:hAnsi="AvantGarde Bk BT" w:cs="Arial"/>
          <w:bCs/>
          <w:sz w:val="24"/>
          <w:szCs w:val="24"/>
        </w:rPr>
        <w:t>,</w:t>
      </w:r>
      <w:r w:rsidR="007160DA" w:rsidRPr="007160DA">
        <w:rPr>
          <w:rFonts w:ascii="AvantGarde Bk BT" w:hAnsi="AvantGarde Bk BT" w:cs="Arial"/>
          <w:bCs/>
          <w:sz w:val="24"/>
          <w:szCs w:val="24"/>
        </w:rPr>
        <w:t xml:space="preserve"> </w:t>
      </w:r>
      <w:r w:rsidR="007160DA">
        <w:rPr>
          <w:rFonts w:ascii="AvantGarde Bk BT" w:hAnsi="AvantGarde Bk BT" w:cs="Arial"/>
          <w:bCs/>
          <w:sz w:val="24"/>
          <w:szCs w:val="24"/>
        </w:rPr>
        <w:t xml:space="preserve">lo que resulta insuficiente para conocer el papel </w:t>
      </w:r>
      <w:r w:rsidR="001714A9">
        <w:rPr>
          <w:rFonts w:ascii="AvantGarde Bk BT" w:hAnsi="AvantGarde Bk BT" w:cs="Arial"/>
          <w:bCs/>
          <w:sz w:val="24"/>
          <w:szCs w:val="24"/>
        </w:rPr>
        <w:t>con el que actúa el sujeto obligado dentro de los mismos, si como actor, autoridad responsable o tercero interesado</w:t>
      </w:r>
      <w:r w:rsidR="007160DA">
        <w:rPr>
          <w:rFonts w:ascii="AvantGarde Bk BT" w:hAnsi="AvantGarde Bk BT" w:cs="Arial"/>
          <w:bCs/>
          <w:sz w:val="24"/>
          <w:szCs w:val="24"/>
        </w:rPr>
        <w:t>.</w:t>
      </w:r>
    </w:p>
    <w:p w14:paraId="3B251EA1" w14:textId="5B8ACCBC" w:rsidR="00E62868" w:rsidRDefault="007160DA" w:rsidP="00AF0331">
      <w:pPr>
        <w:tabs>
          <w:tab w:val="left" w:pos="567"/>
        </w:tabs>
        <w:spacing w:after="240" w:line="360" w:lineRule="auto"/>
        <w:ind w:firstLine="680"/>
        <w:jc w:val="both"/>
        <w:rPr>
          <w:rFonts w:ascii="AvantGarde Bk BT" w:hAnsi="AvantGarde Bk BT" w:cs="Arial"/>
          <w:color w:val="000000" w:themeColor="text1"/>
          <w:sz w:val="24"/>
          <w:szCs w:val="24"/>
        </w:rPr>
      </w:pPr>
      <w:r w:rsidRPr="007160DA">
        <w:rPr>
          <w:rFonts w:ascii="AvantGarde Bk BT" w:hAnsi="AvantGarde Bk BT" w:cs="Arial"/>
          <w:b/>
          <w:bCs/>
          <w:sz w:val="24"/>
          <w:szCs w:val="24"/>
        </w:rPr>
        <w:t>b)</w:t>
      </w:r>
      <w:r w:rsidRPr="007160DA">
        <w:rPr>
          <w:rFonts w:ascii="AvantGarde Bk BT" w:hAnsi="AvantGarde Bk BT" w:cs="Arial"/>
          <w:bCs/>
          <w:sz w:val="24"/>
          <w:szCs w:val="24"/>
        </w:rPr>
        <w:t xml:space="preserve"> </w:t>
      </w:r>
      <w:r w:rsidRPr="007160DA">
        <w:rPr>
          <w:rFonts w:ascii="AvantGarde Bk BT" w:hAnsi="AvantGarde Bk BT" w:cs="Arial"/>
          <w:b/>
          <w:bCs/>
          <w:sz w:val="24"/>
          <w:szCs w:val="24"/>
          <w:u w:val="single"/>
        </w:rPr>
        <w:t xml:space="preserve">que la información sujeta a reserva </w:t>
      </w:r>
      <w:r w:rsidRPr="007160DA">
        <w:rPr>
          <w:rFonts w:ascii="AvantGarde Bk BT" w:hAnsi="AvantGarde Bk BT" w:cs="Arial"/>
          <w:b/>
          <w:color w:val="000000" w:themeColor="text1"/>
          <w:sz w:val="24"/>
          <w:szCs w:val="24"/>
          <w:u w:val="single"/>
        </w:rPr>
        <w:t xml:space="preserve">no </w:t>
      </w:r>
      <w:r w:rsidR="00AF0331">
        <w:rPr>
          <w:rFonts w:ascii="AvantGarde Bk BT" w:hAnsi="AvantGarde Bk BT" w:cs="Arial"/>
          <w:b/>
          <w:color w:val="000000" w:themeColor="text1"/>
          <w:sz w:val="24"/>
          <w:szCs w:val="24"/>
          <w:u w:val="single"/>
        </w:rPr>
        <w:t>haya sido</w:t>
      </w:r>
      <w:r w:rsidRPr="007160DA">
        <w:rPr>
          <w:rFonts w:ascii="AvantGarde Bk BT" w:hAnsi="AvantGarde Bk BT" w:cs="Arial"/>
          <w:b/>
          <w:color w:val="000000" w:themeColor="text1"/>
          <w:sz w:val="24"/>
          <w:szCs w:val="24"/>
          <w:u w:val="single"/>
        </w:rPr>
        <w:t xml:space="preserve"> conocida por la contraparte antes de la presentación de la misma en el proceso</w:t>
      </w:r>
      <w:r w:rsidRPr="007160DA">
        <w:rPr>
          <w:rFonts w:ascii="AvantGarde Bk BT" w:hAnsi="AvantGarde Bk BT" w:cs="Arial"/>
          <w:color w:val="000000" w:themeColor="text1"/>
          <w:sz w:val="24"/>
          <w:szCs w:val="24"/>
        </w:rPr>
        <w:t xml:space="preserve">, </w:t>
      </w:r>
      <w:r w:rsidR="00AF0331">
        <w:rPr>
          <w:rFonts w:ascii="AvantGarde Bk BT" w:hAnsi="AvantGarde Bk BT" w:cs="Arial"/>
          <w:color w:val="000000" w:themeColor="text1"/>
          <w:sz w:val="24"/>
          <w:szCs w:val="24"/>
        </w:rPr>
        <w:t xml:space="preserve">para lo que deben especificarse </w:t>
      </w:r>
      <w:r w:rsidR="00E62868" w:rsidRPr="00E62868">
        <w:rPr>
          <w:rFonts w:ascii="AvantGarde Bk BT" w:hAnsi="AvantGarde Bk BT" w:cs="Arial"/>
          <w:color w:val="000000" w:themeColor="text1"/>
          <w:sz w:val="24"/>
          <w:szCs w:val="24"/>
        </w:rPr>
        <w:t xml:space="preserve">el tipo de actuaciones que se han desarrollado, lo que permitiría </w:t>
      </w:r>
      <w:r w:rsidR="00AF0331">
        <w:rPr>
          <w:rFonts w:ascii="AvantGarde Bk BT" w:hAnsi="AvantGarde Bk BT" w:cs="Arial"/>
          <w:color w:val="000000" w:themeColor="text1"/>
          <w:sz w:val="24"/>
          <w:szCs w:val="24"/>
        </w:rPr>
        <w:t>determinar</w:t>
      </w:r>
      <w:r w:rsidR="00E62868" w:rsidRPr="00E62868">
        <w:rPr>
          <w:rFonts w:ascii="AvantGarde Bk BT" w:hAnsi="AvantGarde Bk BT" w:cs="Arial"/>
          <w:color w:val="000000" w:themeColor="text1"/>
          <w:sz w:val="24"/>
          <w:szCs w:val="24"/>
        </w:rPr>
        <w:t xml:space="preserve">, justificadamente, </w:t>
      </w:r>
      <w:r w:rsidR="009177D1" w:rsidRPr="009177D1">
        <w:rPr>
          <w:rFonts w:ascii="AvantGarde Bk BT" w:hAnsi="AvantGarde Bk BT" w:cs="Arial"/>
          <w:color w:val="000000" w:themeColor="text1"/>
          <w:sz w:val="24"/>
          <w:szCs w:val="24"/>
        </w:rPr>
        <w:t xml:space="preserve">si la información requerida </w:t>
      </w:r>
      <w:r w:rsidR="00AF0331">
        <w:rPr>
          <w:rFonts w:ascii="AvantGarde Bk BT" w:hAnsi="AvantGarde Bk BT" w:cs="Arial"/>
          <w:color w:val="000000" w:themeColor="text1"/>
          <w:sz w:val="24"/>
          <w:szCs w:val="24"/>
        </w:rPr>
        <w:t xml:space="preserve">en efecto </w:t>
      </w:r>
      <w:r w:rsidR="009177D1" w:rsidRPr="009177D1">
        <w:rPr>
          <w:rFonts w:ascii="AvantGarde Bk BT" w:hAnsi="AvantGarde Bk BT" w:cs="Arial"/>
          <w:color w:val="000000" w:themeColor="text1"/>
          <w:sz w:val="24"/>
          <w:szCs w:val="24"/>
        </w:rPr>
        <w:t>forma parte del proceso</w:t>
      </w:r>
      <w:r w:rsidR="00F42F73">
        <w:rPr>
          <w:rFonts w:ascii="AvantGarde Bk BT" w:hAnsi="AvantGarde Bk BT" w:cs="Arial"/>
          <w:color w:val="000000" w:themeColor="text1"/>
          <w:sz w:val="24"/>
          <w:szCs w:val="24"/>
        </w:rPr>
        <w:t>.</w:t>
      </w:r>
    </w:p>
    <w:p w14:paraId="6DABDC81" w14:textId="042D20B0" w:rsidR="004765CF" w:rsidRPr="004765CF" w:rsidRDefault="007160DA" w:rsidP="004765CF">
      <w:pPr>
        <w:tabs>
          <w:tab w:val="left" w:pos="567"/>
        </w:tabs>
        <w:spacing w:after="240" w:line="360" w:lineRule="auto"/>
        <w:ind w:firstLine="680"/>
        <w:jc w:val="both"/>
        <w:rPr>
          <w:rFonts w:ascii="AvantGarde Bk BT" w:hAnsi="AvantGarde Bk BT" w:cs="Arial"/>
          <w:color w:val="000000" w:themeColor="text1"/>
          <w:sz w:val="24"/>
          <w:szCs w:val="24"/>
        </w:rPr>
      </w:pPr>
      <w:r w:rsidRPr="008D2C75">
        <w:rPr>
          <w:rFonts w:ascii="AvantGarde Bk BT" w:hAnsi="AvantGarde Bk BT" w:cs="Arial"/>
          <w:b/>
          <w:color w:val="000000" w:themeColor="text1"/>
          <w:sz w:val="24"/>
          <w:szCs w:val="24"/>
        </w:rPr>
        <w:t>c)</w:t>
      </w:r>
      <w:r>
        <w:rPr>
          <w:rFonts w:ascii="AvantGarde Bk BT" w:hAnsi="AvantGarde Bk BT" w:cs="Arial"/>
          <w:color w:val="000000" w:themeColor="text1"/>
          <w:sz w:val="24"/>
          <w:szCs w:val="24"/>
        </w:rPr>
        <w:t xml:space="preserve"> </w:t>
      </w:r>
      <w:r w:rsidRPr="008D2C75">
        <w:rPr>
          <w:rFonts w:ascii="AvantGarde Bk BT" w:hAnsi="AvantGarde Bk BT" w:cs="Arial"/>
          <w:b/>
          <w:color w:val="000000" w:themeColor="text1"/>
          <w:sz w:val="24"/>
          <w:szCs w:val="24"/>
        </w:rPr>
        <w:t>que con su divulgación se afecte la oportunidad de llevar a cabo alguna de las garantías</w:t>
      </w:r>
      <w:r w:rsidR="008D2C75">
        <w:rPr>
          <w:rFonts w:ascii="AvantGarde Bk BT" w:hAnsi="AvantGarde Bk BT" w:cs="Arial"/>
          <w:color w:val="000000" w:themeColor="text1"/>
          <w:sz w:val="24"/>
          <w:szCs w:val="24"/>
        </w:rPr>
        <w:t>, pues no obstante</w:t>
      </w:r>
      <w:r w:rsidR="009A66EE">
        <w:rPr>
          <w:rFonts w:ascii="AvantGarde Bk BT" w:hAnsi="AvantGarde Bk BT" w:cs="Arial"/>
          <w:color w:val="000000" w:themeColor="text1"/>
          <w:sz w:val="24"/>
          <w:szCs w:val="24"/>
        </w:rPr>
        <w:t xml:space="preserve"> </w:t>
      </w:r>
      <w:r w:rsidR="008D2C75">
        <w:rPr>
          <w:rFonts w:ascii="AvantGarde Bk BT" w:hAnsi="AvantGarde Bk BT" w:cs="Arial"/>
          <w:color w:val="000000" w:themeColor="text1"/>
          <w:sz w:val="24"/>
          <w:szCs w:val="24"/>
        </w:rPr>
        <w:t>l</w:t>
      </w:r>
      <w:r w:rsidR="009A66EE">
        <w:rPr>
          <w:rFonts w:ascii="AvantGarde Bk BT" w:hAnsi="AvantGarde Bk BT" w:cs="Arial"/>
          <w:color w:val="000000" w:themeColor="text1"/>
          <w:sz w:val="24"/>
          <w:szCs w:val="24"/>
        </w:rPr>
        <w:t xml:space="preserve">a autoridad sí identificó la garantía específica del derecho al debido </w:t>
      </w:r>
      <w:r w:rsidR="009A66EE" w:rsidRPr="00153B40">
        <w:rPr>
          <w:rFonts w:ascii="AvantGarde Bk BT" w:hAnsi="AvantGarde Bk BT" w:cs="Arial"/>
          <w:color w:val="000000" w:themeColor="text1"/>
          <w:sz w:val="24"/>
          <w:szCs w:val="24"/>
        </w:rPr>
        <w:t xml:space="preserve">proceso que se vería afectada, </w:t>
      </w:r>
      <w:r w:rsidR="00C36FCF">
        <w:rPr>
          <w:rFonts w:ascii="AvantGarde Bk BT" w:hAnsi="AvantGarde Bk BT" w:cs="Arial"/>
          <w:color w:val="000000" w:themeColor="text1"/>
          <w:sz w:val="24"/>
          <w:szCs w:val="24"/>
        </w:rPr>
        <w:t xml:space="preserve">al no estar </w:t>
      </w:r>
      <w:r w:rsidR="004765CF">
        <w:rPr>
          <w:rFonts w:ascii="AvantGarde Bk BT" w:hAnsi="AvantGarde Bk BT" w:cs="Arial"/>
          <w:color w:val="000000" w:themeColor="text1"/>
          <w:sz w:val="24"/>
          <w:szCs w:val="24"/>
        </w:rPr>
        <w:t xml:space="preserve">debidamente identificadas las actuaciones que están sujetas a clasificación, no se acreditó </w:t>
      </w:r>
      <w:r w:rsidR="004765CF" w:rsidRPr="004765CF">
        <w:rPr>
          <w:rFonts w:ascii="AvantGarde Bk BT" w:hAnsi="AvantGarde Bk BT" w:cs="Arial"/>
          <w:color w:val="000000" w:themeColor="text1"/>
          <w:sz w:val="24"/>
          <w:szCs w:val="24"/>
        </w:rPr>
        <w:t>el vínculo entre la difusión de la información y la afectación del interés jurídico tutelado</w:t>
      </w:r>
      <w:r w:rsidR="004765CF">
        <w:rPr>
          <w:rFonts w:ascii="AvantGarde Bk BT" w:hAnsi="AvantGarde Bk BT" w:cs="Arial"/>
          <w:color w:val="000000" w:themeColor="text1"/>
          <w:sz w:val="24"/>
          <w:szCs w:val="24"/>
        </w:rPr>
        <w:t>.</w:t>
      </w:r>
    </w:p>
    <w:p w14:paraId="6E531091" w14:textId="77777777" w:rsidR="00D361C6" w:rsidRDefault="002746B7" w:rsidP="00D361C6">
      <w:pPr>
        <w:tabs>
          <w:tab w:val="left" w:pos="567"/>
        </w:tabs>
        <w:spacing w:after="240" w:line="360" w:lineRule="auto"/>
        <w:ind w:firstLine="680"/>
        <w:jc w:val="both"/>
        <w:rPr>
          <w:rFonts w:ascii="AvantGarde Bk BT" w:hAnsi="AvantGarde Bk BT" w:cs="Arial"/>
          <w:bCs/>
          <w:sz w:val="24"/>
          <w:szCs w:val="24"/>
        </w:rPr>
      </w:pPr>
      <w:r>
        <w:rPr>
          <w:rFonts w:ascii="AvantGarde Bk BT" w:hAnsi="AvantGarde Bk BT" w:cs="Arial"/>
          <w:bCs/>
          <w:sz w:val="24"/>
          <w:szCs w:val="24"/>
        </w:rPr>
        <w:t xml:space="preserve">De manera que, </w:t>
      </w:r>
      <w:r w:rsidRPr="009E4DE4">
        <w:rPr>
          <w:rFonts w:ascii="AvantGarde Bk BT" w:hAnsi="AvantGarde Bk BT" w:cs="Arial"/>
          <w:b/>
          <w:bCs/>
          <w:sz w:val="24"/>
          <w:szCs w:val="24"/>
          <w:u w:val="single"/>
        </w:rPr>
        <w:t xml:space="preserve">es </w:t>
      </w:r>
      <w:r w:rsidR="004765CF" w:rsidRPr="009E4DE4">
        <w:rPr>
          <w:rFonts w:ascii="AvantGarde Bk BT" w:hAnsi="AvantGarde Bk BT" w:cs="Arial"/>
          <w:b/>
          <w:bCs/>
          <w:sz w:val="24"/>
          <w:szCs w:val="24"/>
          <w:u w:val="single"/>
        </w:rPr>
        <w:t>indispensable</w:t>
      </w:r>
      <w:r w:rsidRPr="009E4DE4">
        <w:rPr>
          <w:rFonts w:ascii="AvantGarde Bk BT" w:hAnsi="AvantGarde Bk BT" w:cs="Arial"/>
          <w:b/>
          <w:bCs/>
          <w:sz w:val="24"/>
          <w:szCs w:val="24"/>
          <w:u w:val="single"/>
        </w:rPr>
        <w:t xml:space="preserve"> que </w:t>
      </w:r>
      <w:r w:rsidR="004765CF" w:rsidRPr="009E4DE4">
        <w:rPr>
          <w:rFonts w:ascii="AvantGarde Bk BT" w:hAnsi="AvantGarde Bk BT" w:cs="Arial"/>
          <w:b/>
          <w:bCs/>
          <w:sz w:val="24"/>
          <w:szCs w:val="24"/>
          <w:u w:val="single"/>
        </w:rPr>
        <w:t xml:space="preserve">previo a la determinación de clasificar información como reservada </w:t>
      </w:r>
      <w:r w:rsidRPr="009E4DE4">
        <w:rPr>
          <w:rFonts w:ascii="AvantGarde Bk BT" w:hAnsi="AvantGarde Bk BT" w:cs="Arial"/>
          <w:b/>
          <w:bCs/>
          <w:sz w:val="24"/>
          <w:szCs w:val="24"/>
          <w:u w:val="single"/>
        </w:rPr>
        <w:t>por la posible afectación a los derechos del debido proceso</w:t>
      </w:r>
      <w:r w:rsidR="004765CF" w:rsidRPr="009E4DE4">
        <w:rPr>
          <w:rFonts w:ascii="AvantGarde Bk BT" w:hAnsi="AvantGarde Bk BT" w:cs="Arial"/>
          <w:b/>
          <w:bCs/>
          <w:sz w:val="24"/>
          <w:szCs w:val="24"/>
          <w:u w:val="single"/>
        </w:rPr>
        <w:t>,</w:t>
      </w:r>
      <w:r w:rsidRPr="009E4DE4">
        <w:rPr>
          <w:rFonts w:ascii="AvantGarde Bk BT" w:hAnsi="AvantGarde Bk BT" w:cs="Arial"/>
          <w:b/>
          <w:bCs/>
          <w:sz w:val="24"/>
          <w:szCs w:val="24"/>
          <w:u w:val="single"/>
        </w:rPr>
        <w:t xml:space="preserve"> </w:t>
      </w:r>
      <w:r w:rsidR="004765CF" w:rsidRPr="009E4DE4">
        <w:rPr>
          <w:rFonts w:ascii="AvantGarde Bk BT" w:hAnsi="AvantGarde Bk BT" w:cs="Arial"/>
          <w:b/>
          <w:bCs/>
          <w:sz w:val="24"/>
          <w:szCs w:val="24"/>
          <w:u w:val="single"/>
        </w:rPr>
        <w:t>se localice la información, se identifique y describa</w:t>
      </w:r>
      <w:r w:rsidR="004765CF" w:rsidRPr="004765CF">
        <w:rPr>
          <w:rFonts w:ascii="AvantGarde Bk BT" w:hAnsi="AvantGarde Bk BT" w:cs="Arial"/>
          <w:bCs/>
          <w:sz w:val="24"/>
          <w:szCs w:val="24"/>
        </w:rPr>
        <w:t xml:space="preserve"> </w:t>
      </w:r>
      <w:r w:rsidR="004765CF">
        <w:rPr>
          <w:rFonts w:ascii="AvantGarde Bk BT" w:hAnsi="AvantGarde Bk BT" w:cs="Arial"/>
          <w:bCs/>
          <w:sz w:val="24"/>
          <w:szCs w:val="24"/>
        </w:rPr>
        <w:t>para</w:t>
      </w:r>
      <w:r w:rsidR="004765CF" w:rsidRPr="004765CF">
        <w:rPr>
          <w:rFonts w:ascii="AvantGarde Bk BT" w:hAnsi="AvantGarde Bk BT" w:cs="Arial"/>
          <w:bCs/>
          <w:sz w:val="24"/>
          <w:szCs w:val="24"/>
        </w:rPr>
        <w:t xml:space="preserve"> </w:t>
      </w:r>
      <w:r w:rsidR="009E4DE4">
        <w:rPr>
          <w:rFonts w:ascii="AvantGarde Bk BT" w:hAnsi="AvantGarde Bk BT" w:cs="Arial"/>
          <w:bCs/>
          <w:sz w:val="24"/>
          <w:szCs w:val="24"/>
        </w:rPr>
        <w:t xml:space="preserve">que </w:t>
      </w:r>
      <w:r w:rsidR="004765CF" w:rsidRPr="004765CF">
        <w:rPr>
          <w:rFonts w:ascii="AvantGarde Bk BT" w:hAnsi="AvantGarde Bk BT" w:cs="Arial"/>
          <w:bCs/>
          <w:sz w:val="24"/>
          <w:szCs w:val="24"/>
        </w:rPr>
        <w:t xml:space="preserve">entonces, con los elementos </w:t>
      </w:r>
      <w:r w:rsidR="004765CF">
        <w:rPr>
          <w:rFonts w:ascii="AvantGarde Bk BT" w:hAnsi="AvantGarde Bk BT" w:cs="Arial"/>
          <w:bCs/>
          <w:sz w:val="24"/>
          <w:szCs w:val="24"/>
        </w:rPr>
        <w:t>de hecho</w:t>
      </w:r>
      <w:r w:rsidR="004765CF" w:rsidRPr="004765CF">
        <w:rPr>
          <w:rFonts w:ascii="AvantGarde Bk BT" w:hAnsi="AvantGarde Bk BT" w:cs="Arial"/>
          <w:bCs/>
          <w:sz w:val="24"/>
          <w:szCs w:val="24"/>
        </w:rPr>
        <w:t xml:space="preserve">, se describan las circunstancias de tiempo, modo y lugar que permitan </w:t>
      </w:r>
      <w:r w:rsidR="004765CF">
        <w:rPr>
          <w:rFonts w:ascii="AvantGarde Bk BT" w:hAnsi="AvantGarde Bk BT" w:cs="Arial"/>
          <w:bCs/>
          <w:sz w:val="24"/>
          <w:szCs w:val="24"/>
        </w:rPr>
        <w:t>justificar el</w:t>
      </w:r>
      <w:r w:rsidR="004765CF" w:rsidRPr="004765CF">
        <w:rPr>
          <w:rFonts w:ascii="AvantGarde Bk BT" w:hAnsi="AvantGarde Bk BT" w:cs="Arial"/>
          <w:bCs/>
          <w:sz w:val="24"/>
          <w:szCs w:val="24"/>
        </w:rPr>
        <w:t xml:space="preserve"> por qué la información requerida realmente actualiza </w:t>
      </w:r>
      <w:r w:rsidR="004765CF">
        <w:rPr>
          <w:rFonts w:ascii="AvantGarde Bk BT" w:hAnsi="AvantGarde Bk BT" w:cs="Arial"/>
          <w:bCs/>
          <w:sz w:val="24"/>
          <w:szCs w:val="24"/>
        </w:rPr>
        <w:t>el</w:t>
      </w:r>
      <w:r w:rsidR="004765CF" w:rsidRPr="004765CF">
        <w:rPr>
          <w:rFonts w:ascii="AvantGarde Bk BT" w:hAnsi="AvantGarde Bk BT" w:cs="Arial"/>
          <w:bCs/>
          <w:sz w:val="24"/>
          <w:szCs w:val="24"/>
        </w:rPr>
        <w:t xml:space="preserve"> s</w:t>
      </w:r>
      <w:r w:rsidR="004765CF">
        <w:rPr>
          <w:rFonts w:ascii="AvantGarde Bk BT" w:hAnsi="AvantGarde Bk BT" w:cs="Arial"/>
          <w:bCs/>
          <w:sz w:val="24"/>
          <w:szCs w:val="24"/>
        </w:rPr>
        <w:t>upuesto de reserva</w:t>
      </w:r>
      <w:r w:rsidR="009E4DE4">
        <w:rPr>
          <w:rFonts w:ascii="AvantGarde Bk BT" w:hAnsi="AvantGarde Bk BT" w:cs="Arial"/>
          <w:bCs/>
          <w:sz w:val="24"/>
          <w:szCs w:val="24"/>
        </w:rPr>
        <w:t xml:space="preserve"> invocado</w:t>
      </w:r>
      <w:r w:rsidR="004765CF">
        <w:rPr>
          <w:rFonts w:ascii="AvantGarde Bk BT" w:hAnsi="AvantGarde Bk BT" w:cs="Arial"/>
          <w:bCs/>
          <w:sz w:val="24"/>
          <w:szCs w:val="24"/>
        </w:rPr>
        <w:t xml:space="preserve">, </w:t>
      </w:r>
      <w:r w:rsidR="00F42F73">
        <w:rPr>
          <w:rFonts w:ascii="AvantGarde Bk BT" w:hAnsi="AvantGarde Bk BT" w:cs="Arial"/>
          <w:bCs/>
          <w:sz w:val="24"/>
          <w:szCs w:val="24"/>
        </w:rPr>
        <w:t xml:space="preserve">lo que en el caso no aconteció, y consecuentemente, tampoco se acreditaron las razones </w:t>
      </w:r>
      <w:r w:rsidR="00F42F73" w:rsidRPr="00F42F73">
        <w:rPr>
          <w:rFonts w:ascii="AvantGarde Bk BT" w:hAnsi="AvantGarde Bk BT" w:cs="Arial"/>
          <w:bCs/>
          <w:sz w:val="24"/>
          <w:szCs w:val="24"/>
        </w:rPr>
        <w:t>objetivas por las que la apertura de la información generaría una afectación, re</w:t>
      </w:r>
      <w:r w:rsidR="00F42F73">
        <w:rPr>
          <w:rFonts w:ascii="AvantGarde Bk BT" w:hAnsi="AvantGarde Bk BT" w:cs="Arial"/>
          <w:bCs/>
          <w:sz w:val="24"/>
          <w:szCs w:val="24"/>
        </w:rPr>
        <w:t>al, demostrable e identificable.</w:t>
      </w:r>
    </w:p>
    <w:p w14:paraId="657F3DA2" w14:textId="7461FDD0" w:rsidR="009E4DE4" w:rsidRPr="00D361C6" w:rsidRDefault="001820C8" w:rsidP="00D361C6">
      <w:pPr>
        <w:tabs>
          <w:tab w:val="left" w:pos="567"/>
        </w:tabs>
        <w:spacing w:after="240" w:line="360" w:lineRule="auto"/>
        <w:ind w:firstLine="680"/>
        <w:jc w:val="both"/>
        <w:rPr>
          <w:rFonts w:ascii="AvantGarde Bk BT" w:hAnsi="AvantGarde Bk BT" w:cs="Arial"/>
          <w:bCs/>
          <w:sz w:val="24"/>
          <w:szCs w:val="24"/>
        </w:rPr>
      </w:pPr>
      <w:r>
        <w:rPr>
          <w:rFonts w:ascii="AvantGarde Bk BT" w:hAnsi="AvantGarde Bk BT" w:cs="Arial"/>
          <w:color w:val="000000" w:themeColor="text1"/>
          <w:sz w:val="24"/>
          <w:szCs w:val="24"/>
        </w:rPr>
        <w:lastRenderedPageBreak/>
        <w:t xml:space="preserve">Por otra parte, no debe perderse de vista que en los puntos 4 y 5 de la solicitud y que son objeto de la reserva, el particular no requirió acceso a documentos, </w:t>
      </w:r>
      <w:r w:rsidRPr="00D361C6">
        <w:rPr>
          <w:rFonts w:ascii="AvantGarde Bk BT" w:hAnsi="AvantGarde Bk BT" w:cs="Arial"/>
          <w:color w:val="000000" w:themeColor="text1"/>
          <w:sz w:val="24"/>
          <w:szCs w:val="24"/>
          <w:u w:val="single"/>
        </w:rPr>
        <w:t>sino a datos numéricos</w:t>
      </w:r>
      <w:r>
        <w:rPr>
          <w:rFonts w:ascii="AvantGarde Bk BT" w:hAnsi="AvantGarde Bk BT" w:cs="Arial"/>
          <w:color w:val="000000" w:themeColor="text1"/>
          <w:sz w:val="24"/>
          <w:szCs w:val="24"/>
        </w:rPr>
        <w:t xml:space="preserve">, </w:t>
      </w:r>
      <w:r w:rsidR="009E4DE4">
        <w:rPr>
          <w:rFonts w:ascii="AvantGarde Bk BT" w:hAnsi="AvantGarde Bk BT" w:cs="Arial"/>
          <w:color w:val="000000" w:themeColor="text1"/>
          <w:sz w:val="24"/>
          <w:szCs w:val="24"/>
        </w:rPr>
        <w:t xml:space="preserve">los cuales recaba </w:t>
      </w:r>
      <w:r w:rsidR="00630AC7">
        <w:rPr>
          <w:rFonts w:ascii="AvantGarde Bk BT" w:hAnsi="AvantGarde Bk BT" w:cs="Arial"/>
          <w:color w:val="000000" w:themeColor="text1"/>
          <w:sz w:val="24"/>
          <w:szCs w:val="24"/>
        </w:rPr>
        <w:t xml:space="preserve">la Dirección de Fraccionamientos, </w:t>
      </w:r>
      <w:r w:rsidR="00630AC7" w:rsidRPr="00630AC7">
        <w:rPr>
          <w:rFonts w:ascii="AvantGarde Bk BT" w:hAnsi="AvantGarde Bk BT" w:cs="Arial"/>
          <w:color w:val="000000" w:themeColor="text1"/>
          <w:sz w:val="24"/>
          <w:szCs w:val="24"/>
        </w:rPr>
        <w:t>en coordinación con la</w:t>
      </w:r>
      <w:r w:rsidR="00630AC7">
        <w:rPr>
          <w:rFonts w:ascii="AvantGarde Bk BT" w:hAnsi="AvantGarde Bk BT" w:cs="Arial"/>
          <w:color w:val="000000" w:themeColor="text1"/>
          <w:sz w:val="24"/>
          <w:szCs w:val="24"/>
        </w:rPr>
        <w:t xml:space="preserve"> Dirección de Construcción y la </w:t>
      </w:r>
      <w:r w:rsidR="00630AC7" w:rsidRPr="00630AC7">
        <w:rPr>
          <w:rFonts w:ascii="AvantGarde Bk BT" w:hAnsi="AvantGarde Bk BT" w:cs="Arial"/>
          <w:color w:val="000000" w:themeColor="text1"/>
          <w:sz w:val="24"/>
          <w:szCs w:val="24"/>
        </w:rPr>
        <w:t>Unidad de Proyectos</w:t>
      </w:r>
      <w:r w:rsidR="00630AC7">
        <w:rPr>
          <w:rFonts w:ascii="AvantGarde Bk BT" w:hAnsi="AvantGarde Bk BT" w:cs="Arial"/>
          <w:color w:val="000000" w:themeColor="text1"/>
          <w:sz w:val="24"/>
          <w:szCs w:val="24"/>
        </w:rPr>
        <w:t xml:space="preserve"> </w:t>
      </w:r>
      <w:r w:rsidR="009E4DE4">
        <w:rPr>
          <w:rFonts w:ascii="AvantGarde Bk BT" w:hAnsi="AvantGarde Bk BT" w:cs="Arial"/>
          <w:color w:val="000000" w:themeColor="text1"/>
          <w:sz w:val="24"/>
          <w:szCs w:val="24"/>
        </w:rPr>
        <w:t>en ejercicio de la</w:t>
      </w:r>
      <w:r w:rsidR="00630AC7">
        <w:rPr>
          <w:rFonts w:ascii="AvantGarde Bk BT" w:hAnsi="AvantGarde Bk BT" w:cs="Arial"/>
          <w:color w:val="000000" w:themeColor="text1"/>
          <w:sz w:val="24"/>
          <w:szCs w:val="24"/>
        </w:rPr>
        <w:t>s</w:t>
      </w:r>
      <w:r w:rsidR="009E4DE4">
        <w:rPr>
          <w:rFonts w:ascii="AvantGarde Bk BT" w:hAnsi="AvantGarde Bk BT" w:cs="Arial"/>
          <w:color w:val="000000" w:themeColor="text1"/>
          <w:sz w:val="24"/>
          <w:szCs w:val="24"/>
        </w:rPr>
        <w:t xml:space="preserve"> funci</w:t>
      </w:r>
      <w:r w:rsidR="00630AC7">
        <w:rPr>
          <w:rFonts w:ascii="AvantGarde Bk BT" w:hAnsi="AvantGarde Bk BT" w:cs="Arial"/>
          <w:color w:val="000000" w:themeColor="text1"/>
          <w:sz w:val="24"/>
          <w:szCs w:val="24"/>
        </w:rPr>
        <w:t>ones</w:t>
      </w:r>
      <w:r w:rsidR="009E4DE4">
        <w:rPr>
          <w:rFonts w:ascii="AvantGarde Bk BT" w:hAnsi="AvantGarde Bk BT" w:cs="Arial"/>
          <w:color w:val="000000" w:themeColor="text1"/>
          <w:sz w:val="24"/>
          <w:szCs w:val="24"/>
        </w:rPr>
        <w:t xml:space="preserve"> prevista</w:t>
      </w:r>
      <w:r w:rsidR="00630AC7">
        <w:rPr>
          <w:rFonts w:ascii="AvantGarde Bk BT" w:hAnsi="AvantGarde Bk BT" w:cs="Arial"/>
          <w:color w:val="000000" w:themeColor="text1"/>
          <w:sz w:val="24"/>
          <w:szCs w:val="24"/>
        </w:rPr>
        <w:t>s</w:t>
      </w:r>
      <w:r w:rsidR="009E4DE4">
        <w:rPr>
          <w:rFonts w:ascii="AvantGarde Bk BT" w:hAnsi="AvantGarde Bk BT" w:cs="Arial"/>
          <w:color w:val="000000" w:themeColor="text1"/>
          <w:sz w:val="24"/>
          <w:szCs w:val="24"/>
        </w:rPr>
        <w:t xml:space="preserve"> en la</w:t>
      </w:r>
      <w:r w:rsidR="00630AC7">
        <w:rPr>
          <w:rFonts w:ascii="AvantGarde Bk BT" w:hAnsi="AvantGarde Bk BT" w:cs="Arial"/>
          <w:color w:val="000000" w:themeColor="text1"/>
          <w:sz w:val="24"/>
          <w:szCs w:val="24"/>
        </w:rPr>
        <w:t>s</w:t>
      </w:r>
      <w:r w:rsidR="009E4DE4">
        <w:rPr>
          <w:rFonts w:ascii="AvantGarde Bk BT" w:hAnsi="AvantGarde Bk BT" w:cs="Arial"/>
          <w:color w:val="000000" w:themeColor="text1"/>
          <w:sz w:val="24"/>
          <w:szCs w:val="24"/>
        </w:rPr>
        <w:t xml:space="preserve"> fracci</w:t>
      </w:r>
      <w:r w:rsidR="00630AC7">
        <w:rPr>
          <w:rFonts w:ascii="AvantGarde Bk BT" w:hAnsi="AvantGarde Bk BT" w:cs="Arial"/>
          <w:color w:val="000000" w:themeColor="text1"/>
          <w:sz w:val="24"/>
          <w:szCs w:val="24"/>
        </w:rPr>
        <w:t>ones XIV, XV y XVI</w:t>
      </w:r>
      <w:r w:rsidR="009E4DE4">
        <w:rPr>
          <w:rFonts w:ascii="AvantGarde Bk BT" w:hAnsi="AvantGarde Bk BT" w:cs="Arial"/>
          <w:color w:val="000000" w:themeColor="text1"/>
          <w:sz w:val="24"/>
          <w:szCs w:val="24"/>
        </w:rPr>
        <w:t xml:space="preserve"> del artículo 45 del Reglamento Interior del sujeto obligado</w:t>
      </w:r>
      <w:r w:rsidR="00630AC7">
        <w:rPr>
          <w:rFonts w:ascii="AvantGarde Bk BT" w:hAnsi="AvantGarde Bk BT" w:cs="Arial"/>
          <w:color w:val="000000" w:themeColor="text1"/>
          <w:sz w:val="24"/>
          <w:szCs w:val="24"/>
        </w:rPr>
        <w:t xml:space="preserve">, que le confiere la obligación de </w:t>
      </w:r>
      <w:r w:rsidR="0013577B">
        <w:rPr>
          <w:rFonts w:ascii="AvantGarde Bk BT" w:hAnsi="AvantGarde Bk BT" w:cs="Arial"/>
          <w:color w:val="000000" w:themeColor="text1"/>
          <w:sz w:val="24"/>
          <w:szCs w:val="24"/>
        </w:rPr>
        <w:t>clausurar, suspender</w:t>
      </w:r>
      <w:r w:rsidR="0013577B" w:rsidRPr="0013577B">
        <w:rPr>
          <w:rFonts w:ascii="AvantGarde Bk BT" w:hAnsi="AvantGarde Bk BT" w:cs="Arial"/>
          <w:color w:val="000000" w:themeColor="text1"/>
          <w:sz w:val="24"/>
          <w:szCs w:val="24"/>
        </w:rPr>
        <w:t xml:space="preserve"> o c</w:t>
      </w:r>
      <w:r w:rsidR="0013577B">
        <w:rPr>
          <w:rFonts w:ascii="AvantGarde Bk BT" w:hAnsi="AvantGarde Bk BT" w:cs="Arial"/>
          <w:color w:val="000000" w:themeColor="text1"/>
          <w:sz w:val="24"/>
          <w:szCs w:val="24"/>
        </w:rPr>
        <w:t>errar</w:t>
      </w:r>
      <w:r w:rsidR="0013577B" w:rsidRPr="0013577B">
        <w:rPr>
          <w:rFonts w:ascii="AvantGarde Bk BT" w:hAnsi="AvantGarde Bk BT" w:cs="Arial"/>
          <w:color w:val="000000" w:themeColor="text1"/>
          <w:sz w:val="24"/>
          <w:szCs w:val="24"/>
        </w:rPr>
        <w:t xml:space="preserve"> de las descargas a los desarrolladores, como consecuencia falta de pago de las contra-prestaciones correspondientes;</w:t>
      </w:r>
      <w:r w:rsidR="0013577B">
        <w:rPr>
          <w:rFonts w:ascii="AvantGarde Bk BT" w:hAnsi="AvantGarde Bk BT" w:cs="Arial"/>
          <w:color w:val="000000" w:themeColor="text1"/>
          <w:sz w:val="24"/>
          <w:szCs w:val="24"/>
        </w:rPr>
        <w:t xml:space="preserve"> sancionar </w:t>
      </w:r>
      <w:r w:rsidR="0013577B" w:rsidRPr="00630AC7">
        <w:rPr>
          <w:rFonts w:ascii="AvantGarde Bk BT" w:hAnsi="AvantGarde Bk BT" w:cs="Arial"/>
          <w:color w:val="000000" w:themeColor="text1"/>
          <w:sz w:val="24"/>
          <w:szCs w:val="24"/>
        </w:rPr>
        <w:t xml:space="preserve">el </w:t>
      </w:r>
      <w:r w:rsidR="0013577B">
        <w:rPr>
          <w:rFonts w:ascii="AvantGarde Bk BT" w:hAnsi="AvantGarde Bk BT" w:cs="Arial"/>
          <w:color w:val="000000" w:themeColor="text1"/>
          <w:sz w:val="24"/>
          <w:szCs w:val="24"/>
        </w:rPr>
        <w:t>in</w:t>
      </w:r>
      <w:r w:rsidR="0013577B" w:rsidRPr="00630AC7">
        <w:rPr>
          <w:rFonts w:ascii="AvantGarde Bk BT" w:hAnsi="AvantGarde Bk BT" w:cs="Arial"/>
          <w:color w:val="000000" w:themeColor="text1"/>
          <w:sz w:val="24"/>
          <w:szCs w:val="24"/>
        </w:rPr>
        <w:t>cumplimiento por parte de los desarrolladores,</w:t>
      </w:r>
      <w:r w:rsidR="0013577B">
        <w:rPr>
          <w:rFonts w:ascii="AvantGarde Bk BT" w:hAnsi="AvantGarde Bk BT" w:cs="Arial"/>
          <w:color w:val="000000" w:themeColor="text1"/>
          <w:sz w:val="24"/>
          <w:szCs w:val="24"/>
        </w:rPr>
        <w:t xml:space="preserve"> </w:t>
      </w:r>
      <w:r w:rsidR="0013577B" w:rsidRPr="00630AC7">
        <w:rPr>
          <w:rFonts w:ascii="AvantGarde Bk BT" w:hAnsi="AvantGarde Bk BT" w:cs="Arial"/>
          <w:color w:val="000000" w:themeColor="text1"/>
          <w:sz w:val="24"/>
          <w:szCs w:val="24"/>
        </w:rPr>
        <w:t>de las medidas de prevención y/o se</w:t>
      </w:r>
      <w:r w:rsidR="0013577B">
        <w:rPr>
          <w:rFonts w:ascii="AvantGarde Bk BT" w:hAnsi="AvantGarde Bk BT" w:cs="Arial"/>
          <w:color w:val="000000" w:themeColor="text1"/>
          <w:sz w:val="24"/>
          <w:szCs w:val="24"/>
        </w:rPr>
        <w:t xml:space="preserve">guridad y mitigación impuestas y de contar con </w:t>
      </w:r>
      <w:r w:rsidR="0013577B" w:rsidRPr="00630AC7">
        <w:rPr>
          <w:rFonts w:ascii="AvantGarde Bk BT" w:hAnsi="AvantGarde Bk BT" w:cs="Arial"/>
          <w:color w:val="000000" w:themeColor="text1"/>
          <w:sz w:val="24"/>
          <w:szCs w:val="24"/>
        </w:rPr>
        <w:t>un padrón de aquellos fraccionadores que hayan sido observados con el inc</w:t>
      </w:r>
      <w:r w:rsidR="0013577B">
        <w:rPr>
          <w:rFonts w:ascii="AvantGarde Bk BT" w:hAnsi="AvantGarde Bk BT" w:cs="Arial"/>
          <w:color w:val="000000" w:themeColor="text1"/>
          <w:sz w:val="24"/>
          <w:szCs w:val="24"/>
        </w:rPr>
        <w:t xml:space="preserve">umplimiento de las obligaciones </w:t>
      </w:r>
      <w:r w:rsidR="0013577B" w:rsidRPr="00630AC7">
        <w:rPr>
          <w:rFonts w:ascii="AvantGarde Bk BT" w:hAnsi="AvantGarde Bk BT" w:cs="Arial"/>
          <w:color w:val="000000" w:themeColor="text1"/>
          <w:sz w:val="24"/>
          <w:szCs w:val="24"/>
        </w:rPr>
        <w:t>contempladas en las leyes, decretos, normas, acuerdos, reglamentos y manuales aplicab</w:t>
      </w:r>
      <w:r w:rsidR="0013577B">
        <w:rPr>
          <w:rFonts w:ascii="AvantGarde Bk BT" w:hAnsi="AvantGarde Bk BT" w:cs="Arial"/>
          <w:color w:val="000000" w:themeColor="text1"/>
          <w:sz w:val="24"/>
          <w:szCs w:val="24"/>
        </w:rPr>
        <w:t>les por el INTERAPAS.</w:t>
      </w:r>
      <w:r w:rsidR="0013577B">
        <w:rPr>
          <w:rStyle w:val="Refdenotaalpie"/>
          <w:rFonts w:ascii="AvantGarde Bk BT" w:hAnsi="AvantGarde Bk BT" w:cs="Arial"/>
          <w:color w:val="000000" w:themeColor="text1"/>
          <w:sz w:val="24"/>
          <w:szCs w:val="24"/>
        </w:rPr>
        <w:footnoteReference w:id="15"/>
      </w:r>
    </w:p>
    <w:p w14:paraId="0C82907F" w14:textId="5FFA451A" w:rsidR="001820C8" w:rsidRDefault="00D361C6" w:rsidP="00D9060B">
      <w:pPr>
        <w:tabs>
          <w:tab w:val="left" w:pos="567"/>
        </w:tabs>
        <w:spacing w:line="360" w:lineRule="auto"/>
        <w:ind w:firstLine="680"/>
        <w:jc w:val="both"/>
        <w:rPr>
          <w:rFonts w:ascii="AvantGarde Bk BT" w:hAnsi="AvantGarde Bk BT" w:cs="Arial"/>
          <w:color w:val="000000" w:themeColor="text1"/>
          <w:sz w:val="24"/>
          <w:szCs w:val="24"/>
        </w:rPr>
      </w:pPr>
      <w:r w:rsidRPr="00D361C6">
        <w:rPr>
          <w:rFonts w:ascii="AvantGarde Bk BT" w:hAnsi="AvantGarde Bk BT" w:cs="Arial"/>
          <w:color w:val="000000" w:themeColor="text1"/>
          <w:sz w:val="24"/>
          <w:szCs w:val="24"/>
        </w:rPr>
        <w:t>Información cuantitativa</w:t>
      </w:r>
      <w:r w:rsidR="001820C8">
        <w:rPr>
          <w:rFonts w:ascii="AvantGarde Bk BT" w:hAnsi="AvantGarde Bk BT" w:cs="Arial"/>
          <w:color w:val="000000" w:themeColor="text1"/>
          <w:sz w:val="24"/>
          <w:szCs w:val="24"/>
        </w:rPr>
        <w:t xml:space="preserve"> que</w:t>
      </w:r>
      <w:r>
        <w:rPr>
          <w:rFonts w:ascii="AvantGarde Bk BT" w:hAnsi="AvantGarde Bk BT" w:cs="Arial"/>
          <w:color w:val="000000" w:themeColor="text1"/>
          <w:sz w:val="24"/>
          <w:szCs w:val="24"/>
        </w:rPr>
        <w:t>,</w:t>
      </w:r>
      <w:r w:rsidR="001820C8">
        <w:rPr>
          <w:rFonts w:ascii="AvantGarde Bk BT" w:hAnsi="AvantGarde Bk BT" w:cs="Arial"/>
          <w:color w:val="000000" w:themeColor="text1"/>
          <w:sz w:val="24"/>
          <w:szCs w:val="24"/>
        </w:rPr>
        <w:t xml:space="preserve"> de acuerdo con el criterio </w:t>
      </w:r>
      <w:r>
        <w:rPr>
          <w:rFonts w:ascii="AvantGarde Bk BT" w:hAnsi="AvantGarde Bk BT" w:cs="Arial"/>
          <w:color w:val="000000" w:themeColor="text1"/>
          <w:sz w:val="24"/>
          <w:szCs w:val="24"/>
        </w:rPr>
        <w:t>SO/008/2023</w:t>
      </w:r>
      <w:r w:rsidR="001820C8" w:rsidRPr="00EC4D5E">
        <w:rPr>
          <w:rFonts w:ascii="AvantGarde Bk BT" w:hAnsi="AvantGarde Bk BT" w:cs="Arial"/>
          <w:color w:val="000000" w:themeColor="text1"/>
          <w:sz w:val="24"/>
          <w:szCs w:val="24"/>
        </w:rPr>
        <w:t xml:space="preserve"> </w:t>
      </w:r>
      <w:r w:rsidR="00D9060B">
        <w:rPr>
          <w:rFonts w:ascii="AvantGarde Bk BT" w:hAnsi="AvantGarde Bk BT" w:cs="Arial"/>
          <w:color w:val="000000" w:themeColor="text1"/>
          <w:sz w:val="24"/>
          <w:szCs w:val="24"/>
        </w:rPr>
        <w:t>en materia de acceso a la información, emitido por el</w:t>
      </w:r>
      <w:r w:rsidR="001820C8">
        <w:rPr>
          <w:rFonts w:ascii="AvantGarde Bk BT" w:hAnsi="AvantGarde Bk BT" w:cs="Arial"/>
          <w:color w:val="000000" w:themeColor="text1"/>
          <w:sz w:val="24"/>
          <w:szCs w:val="24"/>
        </w:rPr>
        <w:t xml:space="preserve"> entonces I</w:t>
      </w:r>
      <w:r>
        <w:rPr>
          <w:rFonts w:ascii="AvantGarde Bk BT" w:hAnsi="AvantGarde Bk BT" w:cs="Arial"/>
          <w:color w:val="000000" w:themeColor="text1"/>
          <w:sz w:val="24"/>
          <w:szCs w:val="24"/>
        </w:rPr>
        <w:t xml:space="preserve">nstituto </w:t>
      </w:r>
      <w:r w:rsidR="001820C8">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acional de Transparencia, </w:t>
      </w:r>
      <w:r w:rsidR="001820C8">
        <w:rPr>
          <w:rFonts w:ascii="AvantGarde Bk BT" w:hAnsi="AvantGarde Bk BT" w:cs="Arial"/>
          <w:color w:val="000000" w:themeColor="text1"/>
          <w:sz w:val="24"/>
          <w:szCs w:val="24"/>
        </w:rPr>
        <w:t>A</w:t>
      </w:r>
      <w:r>
        <w:rPr>
          <w:rFonts w:ascii="AvantGarde Bk BT" w:hAnsi="AvantGarde Bk BT" w:cs="Arial"/>
          <w:color w:val="000000" w:themeColor="text1"/>
          <w:sz w:val="24"/>
          <w:szCs w:val="24"/>
        </w:rPr>
        <w:t>cceso a la Información Pública y Protección de Datos Personales, al que de manera orientadora se adhiere este organismo garante,</w:t>
      </w:r>
      <w:r w:rsidR="00D9060B">
        <w:rPr>
          <w:rFonts w:ascii="AvantGarde Bk BT" w:hAnsi="AvantGarde Bk BT" w:cs="Arial"/>
          <w:color w:val="000000" w:themeColor="text1"/>
          <w:sz w:val="24"/>
          <w:szCs w:val="24"/>
        </w:rPr>
        <w:t xml:space="preserve"> </w:t>
      </w:r>
      <w:r w:rsidR="00D9060B" w:rsidRPr="00D361C6">
        <w:rPr>
          <w:rFonts w:ascii="AvantGarde Bk BT" w:hAnsi="AvantGarde Bk BT" w:cs="Arial"/>
          <w:color w:val="000000" w:themeColor="text1"/>
          <w:sz w:val="24"/>
          <w:szCs w:val="24"/>
        </w:rPr>
        <w:t>es pública</w:t>
      </w:r>
      <w:r w:rsidR="00D9060B">
        <w:rPr>
          <w:rFonts w:ascii="AvantGarde Bk BT" w:hAnsi="AvantGarde Bk BT" w:cs="Arial"/>
          <w:color w:val="000000" w:themeColor="text1"/>
          <w:sz w:val="24"/>
          <w:szCs w:val="24"/>
        </w:rPr>
        <w:t xml:space="preserve">, </w:t>
      </w:r>
      <w:r w:rsidR="00D9060B" w:rsidRPr="00EC4D5E">
        <w:rPr>
          <w:rFonts w:ascii="AvantGarde Bk BT" w:hAnsi="AvantGarde Bk BT" w:cs="Arial"/>
          <w:color w:val="000000" w:themeColor="text1"/>
          <w:sz w:val="24"/>
          <w:szCs w:val="24"/>
        </w:rPr>
        <w:t>siempre y cuando los datos estadísticos no se encuentren individualizados o personalizados a casos o situaciones específicas, que pudieran llega</w:t>
      </w:r>
      <w:r>
        <w:rPr>
          <w:rFonts w:ascii="AvantGarde Bk BT" w:hAnsi="AvantGarde Bk BT" w:cs="Arial"/>
          <w:color w:val="000000" w:themeColor="text1"/>
          <w:sz w:val="24"/>
          <w:szCs w:val="24"/>
        </w:rPr>
        <w:t>r a justificar su clasificación:</w:t>
      </w:r>
    </w:p>
    <w:p w14:paraId="47CA34F4" w14:textId="2D22E292" w:rsidR="00EC4D5E" w:rsidRPr="00514CD7" w:rsidRDefault="00D9060B" w:rsidP="00D361C6">
      <w:pPr>
        <w:tabs>
          <w:tab w:val="left" w:pos="567"/>
        </w:tabs>
        <w:spacing w:line="240" w:lineRule="auto"/>
        <w:ind w:left="680" w:right="680"/>
        <w:contextualSpacing/>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w:t>
      </w:r>
      <w:r w:rsidR="00EC4D5E" w:rsidRPr="00514CD7">
        <w:rPr>
          <w:rFonts w:ascii="AvantGarde Bk BT" w:hAnsi="AvantGarde Bk BT" w:cs="Arial"/>
          <w:b/>
          <w:i/>
          <w:color w:val="000000" w:themeColor="text1"/>
          <w:sz w:val="20"/>
          <w:szCs w:val="20"/>
        </w:rPr>
        <w:t>Ejercicio del derecho de Acceso a la Información Pública. La información estadística es de naturaleza pública, independientemente de la materia con la que se en</w:t>
      </w:r>
      <w:r w:rsidRPr="00514CD7">
        <w:rPr>
          <w:rFonts w:ascii="AvantGarde Bk BT" w:hAnsi="AvantGarde Bk BT" w:cs="Arial"/>
          <w:b/>
          <w:i/>
          <w:color w:val="000000" w:themeColor="text1"/>
          <w:sz w:val="20"/>
          <w:szCs w:val="20"/>
        </w:rPr>
        <w:t>cuentre vinculada (SO/008/2023)</w:t>
      </w:r>
      <w:r w:rsidRPr="00514CD7">
        <w:rPr>
          <w:rFonts w:ascii="AvantGarde Bk BT" w:hAnsi="AvantGarde Bk BT" w:cs="Arial"/>
          <w:i/>
          <w:color w:val="000000" w:themeColor="text1"/>
          <w:sz w:val="20"/>
          <w:szCs w:val="20"/>
        </w:rPr>
        <w:t>.</w:t>
      </w:r>
    </w:p>
    <w:p w14:paraId="2E5AC5E5" w14:textId="77777777" w:rsidR="00D361C6" w:rsidRPr="00514CD7" w:rsidRDefault="00D361C6" w:rsidP="00D361C6">
      <w:pPr>
        <w:tabs>
          <w:tab w:val="left" w:pos="567"/>
        </w:tabs>
        <w:spacing w:line="240" w:lineRule="auto"/>
        <w:ind w:left="680" w:right="680"/>
        <w:contextualSpacing/>
        <w:jc w:val="both"/>
        <w:rPr>
          <w:rFonts w:ascii="AvantGarde Bk BT" w:hAnsi="AvantGarde Bk BT" w:cs="Arial"/>
          <w:i/>
          <w:color w:val="000000" w:themeColor="text1"/>
          <w:sz w:val="20"/>
          <w:szCs w:val="20"/>
        </w:rPr>
      </w:pPr>
    </w:p>
    <w:p w14:paraId="7F3F8B74" w14:textId="638FE658" w:rsidR="001E4D5C" w:rsidRDefault="00EC4D5E" w:rsidP="00D361C6">
      <w:pPr>
        <w:tabs>
          <w:tab w:val="left" w:pos="567"/>
        </w:tabs>
        <w:spacing w:line="240" w:lineRule="auto"/>
        <w:ind w:left="680" w:right="680"/>
        <w:contextualSpacing/>
        <w:jc w:val="both"/>
        <w:rPr>
          <w:rFonts w:ascii="AvantGarde Bk BT" w:hAnsi="AvantGarde Bk BT" w:cs="Arial"/>
          <w:color w:val="000000" w:themeColor="text1"/>
          <w:sz w:val="24"/>
          <w:szCs w:val="24"/>
        </w:rPr>
      </w:pPr>
      <w:r w:rsidRPr="00514CD7">
        <w:rPr>
          <w:rFonts w:ascii="AvantGarde Bk BT" w:hAnsi="AvantGarde Bk BT" w:cs="Arial"/>
          <w:i/>
          <w:color w:val="000000" w:themeColor="text1"/>
          <w:sz w:val="20"/>
          <w:szCs w:val="20"/>
        </w:rPr>
        <w:t xml:space="preserve">Considerando que la información estadística es el producto de un conjunto de resultados cuantitativos obtenidos de un proceso sistemático de captación de datos primarios obtenidos sobre hechos que constan en documentos que los sujetos obligados poseen, derivado del ejercicio de sus atribuciones; con base en lo dispuesto por el artículo 70 fracción XLVIII de la Ley General de Transparencia y Acceso a la Información Pública, los sujetos obligados deberán poner a disposición del público, entre otra, la relativa a la que con base en la información estadística, responda a las preguntas hechas con más frecuencia por el público, por lo que es posible afirmar que la información estadística es de naturaleza pública, siempre y cuando los datos estadísticos no se encuentren </w:t>
      </w:r>
      <w:r w:rsidRPr="00514CD7">
        <w:rPr>
          <w:rFonts w:ascii="AvantGarde Bk BT" w:hAnsi="AvantGarde Bk BT" w:cs="Arial"/>
          <w:i/>
          <w:color w:val="000000" w:themeColor="text1"/>
          <w:sz w:val="20"/>
          <w:szCs w:val="20"/>
        </w:rPr>
        <w:lastRenderedPageBreak/>
        <w:t>individualizados o personalizados a casos o situaciones específicas, que pudieran llegar a justificar su clasificación.</w:t>
      </w:r>
      <w:r w:rsidR="00D9060B">
        <w:rPr>
          <w:rFonts w:ascii="AvantGarde Bk BT" w:hAnsi="AvantGarde Bk BT" w:cs="Arial"/>
          <w:color w:val="000000" w:themeColor="text1"/>
          <w:sz w:val="24"/>
          <w:szCs w:val="24"/>
        </w:rPr>
        <w:t>”</w:t>
      </w:r>
    </w:p>
    <w:p w14:paraId="2284B5A2" w14:textId="77777777" w:rsidR="00D361C6" w:rsidRDefault="00D361C6" w:rsidP="00D361C6">
      <w:pPr>
        <w:tabs>
          <w:tab w:val="left" w:pos="567"/>
        </w:tabs>
        <w:spacing w:line="240" w:lineRule="auto"/>
        <w:ind w:left="680" w:right="680"/>
        <w:contextualSpacing/>
        <w:jc w:val="both"/>
        <w:rPr>
          <w:rFonts w:ascii="AvantGarde Bk BT" w:hAnsi="AvantGarde Bk BT" w:cs="Arial"/>
          <w:color w:val="000000" w:themeColor="text1"/>
          <w:sz w:val="24"/>
          <w:szCs w:val="24"/>
        </w:rPr>
      </w:pPr>
    </w:p>
    <w:p w14:paraId="58C30B4F" w14:textId="77777777" w:rsidR="00514CD7" w:rsidRDefault="00DE34F8" w:rsidP="00514CD7">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cuyo caso, </w:t>
      </w:r>
      <w:r w:rsidR="00D9060B">
        <w:rPr>
          <w:rFonts w:ascii="AvantGarde Bk BT" w:hAnsi="AvantGarde Bk BT" w:cs="Arial"/>
          <w:color w:val="000000" w:themeColor="text1"/>
          <w:sz w:val="24"/>
          <w:szCs w:val="24"/>
        </w:rPr>
        <w:t xml:space="preserve">se insiste en que la carga de la prueba </w:t>
      </w:r>
      <w:r w:rsidR="00D9060B" w:rsidRPr="007973A5">
        <w:rPr>
          <w:rFonts w:ascii="AvantGarde Bk BT" w:hAnsi="AvantGarde Bk BT" w:cs="Arial"/>
          <w:color w:val="000000" w:themeColor="text1"/>
          <w:sz w:val="24"/>
          <w:szCs w:val="24"/>
        </w:rPr>
        <w:t>para justificar toda negativa de acceso a la información</w:t>
      </w:r>
      <w:r w:rsidR="0058256B">
        <w:rPr>
          <w:rFonts w:ascii="AvantGarde Bk BT" w:hAnsi="AvantGarde Bk BT" w:cs="Arial"/>
          <w:color w:val="000000" w:themeColor="text1"/>
          <w:sz w:val="24"/>
          <w:szCs w:val="24"/>
        </w:rPr>
        <w:t xml:space="preserve"> corresponde </w:t>
      </w:r>
      <w:r>
        <w:rPr>
          <w:rFonts w:ascii="AvantGarde Bk BT" w:hAnsi="AvantGarde Bk BT" w:cs="Arial"/>
          <w:color w:val="000000" w:themeColor="text1"/>
          <w:sz w:val="24"/>
          <w:szCs w:val="24"/>
        </w:rPr>
        <w:t>al sujeto obligado.</w:t>
      </w:r>
    </w:p>
    <w:p w14:paraId="00C3CB23" w14:textId="03CD9442" w:rsidR="009D22EF" w:rsidRDefault="009D22EF" w:rsidP="00514CD7">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w:t>
      </w:r>
      <w:r w:rsidR="002428AC">
        <w:rPr>
          <w:rFonts w:ascii="AvantGarde Bk BT" w:hAnsi="AvantGarde Bk BT" w:cs="Arial"/>
          <w:color w:val="000000" w:themeColor="text1"/>
          <w:sz w:val="24"/>
          <w:szCs w:val="24"/>
        </w:rPr>
        <w:t xml:space="preserve">respecto de las aseveraciones de la persona recurrente en el sentido de que la clasificación no opera por documento completo sino únicamente sobre fragmentos específicos del contenido y por tanto, la autoridad debe indefectiblemente elaborarle una versión pública ya que las reservas generales están prohibidas, debe mencionarse que, sobre este tópico, los artículos 122 y 125 de la Ley de Transparencia vigente en el Estado disponen que los sujetos obligados no podrán emitir acuerdos de carácter general ni particular que clasifiquen información, así como que cuando un documento contenga partes o secciones reservadas o confidenciales, para efectos de </w:t>
      </w:r>
      <w:bookmarkStart w:id="1" w:name="_GoBack"/>
      <w:bookmarkEnd w:id="1"/>
      <w:r w:rsidR="002428AC">
        <w:rPr>
          <w:rFonts w:ascii="AvantGarde Bk BT" w:hAnsi="AvantGarde Bk BT" w:cs="Arial"/>
          <w:color w:val="000000" w:themeColor="text1"/>
          <w:sz w:val="24"/>
          <w:szCs w:val="24"/>
        </w:rPr>
        <w:t>atender una solicitud de información, deberán elaborar una versión pública.</w:t>
      </w:r>
    </w:p>
    <w:p w14:paraId="283F2541" w14:textId="77777777" w:rsidR="000E7D70" w:rsidRDefault="002428AC" w:rsidP="000E7D7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Empero, el propio artículo 122 también prev</w:t>
      </w:r>
      <w:r w:rsidR="000E7D70">
        <w:rPr>
          <w:rFonts w:ascii="AvantGarde Bk BT" w:hAnsi="AvantGarde Bk BT" w:cs="Arial"/>
          <w:color w:val="000000" w:themeColor="text1"/>
          <w:sz w:val="24"/>
          <w:szCs w:val="24"/>
        </w:rPr>
        <w:t>é que</w:t>
      </w:r>
      <w:r>
        <w:rPr>
          <w:rFonts w:ascii="AvantGarde Bk BT" w:hAnsi="AvantGarde Bk BT" w:cs="Arial"/>
          <w:color w:val="000000" w:themeColor="text1"/>
          <w:sz w:val="24"/>
          <w:szCs w:val="24"/>
        </w:rPr>
        <w:t xml:space="preserve"> la clasificación podrá establecerse de manera </w:t>
      </w:r>
      <w:r w:rsidRPr="0058762E">
        <w:rPr>
          <w:rFonts w:ascii="AvantGarde Bk BT" w:hAnsi="AvantGarde Bk BT" w:cs="Arial"/>
          <w:b/>
          <w:color w:val="000000" w:themeColor="text1"/>
          <w:sz w:val="24"/>
          <w:szCs w:val="24"/>
          <w:u w:val="single"/>
        </w:rPr>
        <w:t>parcial o total</w:t>
      </w:r>
      <w:r w:rsidRPr="0058762E">
        <w:rPr>
          <w:rFonts w:ascii="AvantGarde Bk BT" w:hAnsi="AvantGarde Bk BT" w:cs="Arial"/>
          <w:color w:val="000000" w:themeColor="text1"/>
          <w:sz w:val="24"/>
          <w:szCs w:val="24"/>
          <w:u w:val="single"/>
        </w:rPr>
        <w:t xml:space="preserve">, </w:t>
      </w:r>
      <w:r w:rsidRPr="0058762E">
        <w:rPr>
          <w:rFonts w:ascii="AvantGarde Bk BT" w:hAnsi="AvantGarde Bk BT" w:cs="Arial"/>
          <w:b/>
          <w:color w:val="000000" w:themeColor="text1"/>
          <w:sz w:val="24"/>
          <w:szCs w:val="24"/>
          <w:u w:val="single"/>
        </w:rPr>
        <w:t xml:space="preserve">de acuerdo </w:t>
      </w:r>
      <w:r w:rsidR="000E7D70" w:rsidRPr="0058762E">
        <w:rPr>
          <w:rFonts w:ascii="AvantGarde Bk BT" w:hAnsi="AvantGarde Bk BT" w:cs="Arial"/>
          <w:b/>
          <w:color w:val="000000" w:themeColor="text1"/>
          <w:sz w:val="24"/>
          <w:szCs w:val="24"/>
          <w:u w:val="single"/>
        </w:rPr>
        <w:t>a</w:t>
      </w:r>
      <w:r w:rsidRPr="0058762E">
        <w:rPr>
          <w:rFonts w:ascii="AvantGarde Bk BT" w:hAnsi="AvantGarde Bk BT" w:cs="Arial"/>
          <w:b/>
          <w:color w:val="000000" w:themeColor="text1"/>
          <w:sz w:val="24"/>
          <w:szCs w:val="24"/>
          <w:u w:val="single"/>
        </w:rPr>
        <w:t>l contenido</w:t>
      </w:r>
      <w:r w:rsidR="000E7D70" w:rsidRPr="0058762E">
        <w:rPr>
          <w:rFonts w:ascii="AvantGarde Bk BT" w:hAnsi="AvantGarde Bk BT" w:cs="Arial"/>
          <w:b/>
          <w:color w:val="000000" w:themeColor="text1"/>
          <w:sz w:val="24"/>
          <w:szCs w:val="24"/>
          <w:u w:val="single"/>
        </w:rPr>
        <w:t xml:space="preserve"> de la información del documento</w:t>
      </w:r>
      <w:r w:rsidR="000E7D70">
        <w:rPr>
          <w:rFonts w:ascii="AvantGarde Bk BT" w:hAnsi="AvantGarde Bk BT" w:cs="Arial"/>
          <w:color w:val="000000" w:themeColor="text1"/>
          <w:sz w:val="24"/>
          <w:szCs w:val="24"/>
        </w:rPr>
        <w:t>.</w:t>
      </w:r>
    </w:p>
    <w:p w14:paraId="5E71B475" w14:textId="19699D00" w:rsidR="000E7D70" w:rsidRDefault="000E7D70" w:rsidP="000E7D7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Por tanto, d</w:t>
      </w:r>
      <w:r w:rsidR="009D22EF">
        <w:rPr>
          <w:rFonts w:ascii="AvantGarde Bk BT" w:hAnsi="AvantGarde Bk BT" w:cs="Arial"/>
          <w:color w:val="000000" w:themeColor="text1"/>
          <w:sz w:val="24"/>
          <w:szCs w:val="24"/>
        </w:rPr>
        <w:t xml:space="preserve">el análisis particular de las disposiciones en comento es dable concluir fundadamente que la prohibición de realizar reservas generales </w:t>
      </w:r>
      <w:r w:rsidR="009D22EF" w:rsidRPr="0058762E">
        <w:rPr>
          <w:rFonts w:ascii="AvantGarde Bk BT" w:hAnsi="AvantGarde Bk BT" w:cs="Arial"/>
          <w:b/>
          <w:color w:val="000000" w:themeColor="text1"/>
          <w:sz w:val="24"/>
          <w:szCs w:val="24"/>
          <w:u w:val="single"/>
        </w:rPr>
        <w:t>se refiere a l</w:t>
      </w:r>
      <w:r w:rsidRPr="0058762E">
        <w:rPr>
          <w:rFonts w:ascii="AvantGarde Bk BT" w:hAnsi="AvantGarde Bk BT" w:cs="Arial"/>
          <w:b/>
          <w:color w:val="000000" w:themeColor="text1"/>
          <w:sz w:val="24"/>
          <w:szCs w:val="24"/>
          <w:u w:val="single"/>
        </w:rPr>
        <w:t>a falta de identificación de la información contenida</w:t>
      </w:r>
      <w:r w:rsidR="009D22EF" w:rsidRPr="0058762E">
        <w:rPr>
          <w:rFonts w:ascii="AvantGarde Bk BT" w:hAnsi="AvantGarde Bk BT" w:cs="Arial"/>
          <w:b/>
          <w:color w:val="000000" w:themeColor="text1"/>
          <w:sz w:val="24"/>
          <w:szCs w:val="24"/>
          <w:u w:val="single"/>
        </w:rPr>
        <w:t xml:space="preserve"> </w:t>
      </w:r>
      <w:r w:rsidR="00DF2478">
        <w:rPr>
          <w:rFonts w:ascii="AvantGarde Bk BT" w:hAnsi="AvantGarde Bk BT" w:cs="Arial"/>
          <w:b/>
          <w:color w:val="000000" w:themeColor="text1"/>
          <w:sz w:val="24"/>
          <w:szCs w:val="24"/>
          <w:u w:val="single"/>
        </w:rPr>
        <w:t xml:space="preserve">en los </w:t>
      </w:r>
      <w:r w:rsidR="009D22EF" w:rsidRPr="0058762E">
        <w:rPr>
          <w:rFonts w:ascii="AvantGarde Bk BT" w:hAnsi="AvantGarde Bk BT" w:cs="Arial"/>
          <w:b/>
          <w:color w:val="000000" w:themeColor="text1"/>
          <w:sz w:val="24"/>
          <w:szCs w:val="24"/>
          <w:u w:val="single"/>
        </w:rPr>
        <w:t>doc</w:t>
      </w:r>
      <w:r w:rsidRPr="0058762E">
        <w:rPr>
          <w:rFonts w:ascii="AvantGarde Bk BT" w:hAnsi="AvantGarde Bk BT" w:cs="Arial"/>
          <w:b/>
          <w:color w:val="000000" w:themeColor="text1"/>
          <w:sz w:val="24"/>
          <w:szCs w:val="24"/>
          <w:u w:val="single"/>
        </w:rPr>
        <w:t>umentos que se reservan, no así</w:t>
      </w:r>
      <w:r w:rsidR="009D22EF" w:rsidRPr="0058762E">
        <w:rPr>
          <w:rFonts w:ascii="AvantGarde Bk BT" w:hAnsi="AvantGarde Bk BT" w:cs="Arial"/>
          <w:b/>
          <w:color w:val="000000" w:themeColor="text1"/>
          <w:sz w:val="24"/>
          <w:szCs w:val="24"/>
          <w:u w:val="single"/>
        </w:rPr>
        <w:t xml:space="preserve"> a </w:t>
      </w:r>
      <w:r w:rsidRPr="0058762E">
        <w:rPr>
          <w:rFonts w:ascii="AvantGarde Bk BT" w:hAnsi="AvantGarde Bk BT" w:cs="Arial"/>
          <w:b/>
          <w:color w:val="000000" w:themeColor="text1"/>
          <w:sz w:val="24"/>
          <w:szCs w:val="24"/>
          <w:u w:val="single"/>
        </w:rPr>
        <w:t>si se trata de una parte, sección o la totalidad del documento</w:t>
      </w:r>
      <w:r>
        <w:rPr>
          <w:rFonts w:ascii="AvantGarde Bk BT" w:hAnsi="AvantGarde Bk BT" w:cs="Arial"/>
          <w:color w:val="000000" w:themeColor="text1"/>
          <w:sz w:val="24"/>
          <w:szCs w:val="24"/>
        </w:rPr>
        <w:t>.</w:t>
      </w:r>
    </w:p>
    <w:p w14:paraId="6F1FEBC5" w14:textId="704C1130" w:rsidR="0026388C" w:rsidRPr="008A58D1" w:rsidRDefault="0058256B" w:rsidP="0026388C">
      <w:pPr>
        <w:tabs>
          <w:tab w:val="left" w:pos="567"/>
        </w:tabs>
        <w:spacing w:after="240" w:line="360" w:lineRule="auto"/>
        <w:ind w:firstLine="680"/>
        <w:jc w:val="both"/>
        <w:rPr>
          <w:rFonts w:ascii="AvantGarde Bk BT" w:hAnsi="AvantGarde Bk BT" w:cs="Arial"/>
          <w:bCs/>
          <w:sz w:val="24"/>
          <w:szCs w:val="24"/>
        </w:rPr>
      </w:pPr>
      <w:r>
        <w:rPr>
          <w:rFonts w:ascii="AvantGarde Bk BT" w:hAnsi="AvantGarde Bk BT" w:cs="Arial"/>
          <w:color w:val="000000" w:themeColor="text1"/>
          <w:sz w:val="24"/>
          <w:szCs w:val="24"/>
        </w:rPr>
        <w:t xml:space="preserve">En este </w:t>
      </w:r>
      <w:r w:rsidR="00595FF7">
        <w:rPr>
          <w:rFonts w:ascii="AvantGarde Bk BT" w:hAnsi="AvantGarde Bk BT" w:cs="Arial"/>
          <w:color w:val="000000" w:themeColor="text1"/>
          <w:sz w:val="24"/>
          <w:szCs w:val="24"/>
        </w:rPr>
        <w:t>tenor</w:t>
      </w:r>
      <w:r>
        <w:rPr>
          <w:rFonts w:ascii="AvantGarde Bk BT" w:hAnsi="AvantGarde Bk BT" w:cs="Arial"/>
          <w:color w:val="000000" w:themeColor="text1"/>
          <w:sz w:val="24"/>
          <w:szCs w:val="24"/>
        </w:rPr>
        <w:t xml:space="preserve">, el </w:t>
      </w:r>
      <w:r w:rsidRPr="00345D66">
        <w:rPr>
          <w:rFonts w:ascii="AvantGarde Bk BT" w:hAnsi="AvantGarde Bk BT" w:cs="Arial"/>
          <w:color w:val="000000" w:themeColor="text1"/>
          <w:sz w:val="24"/>
          <w:szCs w:val="24"/>
        </w:rPr>
        <w:t>Pleno de esta Comisión considera que el agravio vertido por el recurrente resulta fundado y suficiente p</w:t>
      </w:r>
      <w:r w:rsidR="008A60F2">
        <w:rPr>
          <w:rFonts w:ascii="AvantGarde Bk BT" w:hAnsi="AvantGarde Bk BT" w:cs="Arial"/>
          <w:color w:val="000000" w:themeColor="text1"/>
          <w:sz w:val="24"/>
          <w:szCs w:val="24"/>
        </w:rPr>
        <w:t xml:space="preserve">ara </w:t>
      </w:r>
      <w:r w:rsidR="002E26FC">
        <w:rPr>
          <w:rFonts w:ascii="AvantGarde Bk BT" w:hAnsi="AvantGarde Bk BT" w:cs="Arial"/>
          <w:b/>
          <w:color w:val="000000" w:themeColor="text1"/>
          <w:sz w:val="24"/>
          <w:szCs w:val="24"/>
        </w:rPr>
        <w:t>REVOCAR</w:t>
      </w:r>
      <w:r w:rsidR="0026388C" w:rsidRPr="0026388C">
        <w:rPr>
          <w:rFonts w:ascii="AvantGarde Bk BT" w:hAnsi="AvantGarde Bk BT" w:cs="Arial"/>
          <w:b/>
          <w:color w:val="000000" w:themeColor="text1"/>
          <w:sz w:val="24"/>
          <w:szCs w:val="24"/>
        </w:rPr>
        <w:t xml:space="preserve"> </w:t>
      </w:r>
      <w:r w:rsidR="00DF0E07" w:rsidRPr="00CD0D70">
        <w:rPr>
          <w:rFonts w:ascii="AvantGarde Bk BT" w:hAnsi="AvantGarde Bk BT" w:cs="Arial"/>
          <w:color w:val="000000" w:themeColor="text1"/>
          <w:sz w:val="24"/>
          <w:szCs w:val="24"/>
        </w:rPr>
        <w:t xml:space="preserve">la respuesta del sujeto obligado, para que deje sin efectos </w:t>
      </w:r>
      <w:r w:rsidR="0026388C" w:rsidRPr="00CD0D70">
        <w:rPr>
          <w:rFonts w:ascii="AvantGarde Bk BT" w:hAnsi="AvantGarde Bk BT" w:cs="Arial"/>
          <w:color w:val="000000" w:themeColor="text1"/>
          <w:sz w:val="24"/>
          <w:szCs w:val="24"/>
        </w:rPr>
        <w:t>el acuerdo de reserva C.T.-A.R. 006/2025</w:t>
      </w:r>
      <w:r w:rsidR="008A60F2">
        <w:rPr>
          <w:rFonts w:ascii="AvantGarde Bk BT" w:hAnsi="AvantGarde Bk BT" w:cs="Arial"/>
          <w:color w:val="000000" w:themeColor="text1"/>
          <w:sz w:val="24"/>
          <w:szCs w:val="24"/>
        </w:rPr>
        <w:t xml:space="preserve">, </w:t>
      </w:r>
      <w:r w:rsidR="001E5B97">
        <w:rPr>
          <w:rFonts w:ascii="AvantGarde Bk BT" w:hAnsi="AvantGarde Bk BT" w:cs="Arial"/>
          <w:color w:val="000000" w:themeColor="text1"/>
          <w:sz w:val="24"/>
          <w:szCs w:val="24"/>
        </w:rPr>
        <w:t>analice nuevamente</w:t>
      </w:r>
      <w:r w:rsidR="008A60F2">
        <w:rPr>
          <w:rFonts w:ascii="AvantGarde Bk BT" w:hAnsi="AvantGarde Bk BT" w:cs="Arial"/>
          <w:color w:val="000000" w:themeColor="text1"/>
          <w:sz w:val="24"/>
          <w:szCs w:val="24"/>
        </w:rPr>
        <w:t xml:space="preserve"> la información requerida, realice su búsqueda, la localice e identifique</w:t>
      </w:r>
      <w:r w:rsidR="008A58D1">
        <w:rPr>
          <w:rFonts w:ascii="AvantGarde Bk BT" w:hAnsi="AvantGarde Bk BT" w:cs="Arial"/>
          <w:color w:val="000000" w:themeColor="text1"/>
          <w:sz w:val="24"/>
          <w:szCs w:val="24"/>
        </w:rPr>
        <w:t xml:space="preserve">, de tal manera que determine su clasificación únicamente si acredita las razones objetivas </w:t>
      </w:r>
      <w:r w:rsidR="008A58D1" w:rsidRPr="00F42F73">
        <w:rPr>
          <w:rFonts w:ascii="AvantGarde Bk BT" w:hAnsi="AvantGarde Bk BT" w:cs="Arial"/>
          <w:bCs/>
          <w:sz w:val="24"/>
          <w:szCs w:val="24"/>
        </w:rPr>
        <w:t>por las que la apertura de la información generaría una afectación, re</w:t>
      </w:r>
      <w:r w:rsidR="008A58D1">
        <w:rPr>
          <w:rFonts w:ascii="AvantGarde Bk BT" w:hAnsi="AvantGarde Bk BT" w:cs="Arial"/>
          <w:bCs/>
          <w:sz w:val="24"/>
          <w:szCs w:val="24"/>
        </w:rPr>
        <w:t xml:space="preserve">al, demostrable e identificable, que supera el interés público general de que se difunda. </w:t>
      </w:r>
    </w:p>
    <w:p w14:paraId="4FAF8AF3" w14:textId="5DFFF7E5" w:rsidR="003A6C5C" w:rsidRPr="00F87B25" w:rsidRDefault="00345D66"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.1. Sentido y efectos de esta resolución.</w:t>
      </w:r>
    </w:p>
    <w:p w14:paraId="1C726598" w14:textId="293B0D8C"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lastRenderedPageBreak/>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D11052">
        <w:rPr>
          <w:rFonts w:ascii="AvantGarde Bk BT" w:hAnsi="AvantGarde Bk BT" w:cs="Arial"/>
          <w:b/>
          <w:bCs/>
          <w:color w:val="000000" w:themeColor="text1"/>
          <w:sz w:val="24"/>
          <w:szCs w:val="24"/>
        </w:rPr>
        <w:t>REVOCA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524DF30C" w14:textId="41FE3919" w:rsidR="00DF0E07" w:rsidRPr="00DF0E07" w:rsidRDefault="00345D66" w:rsidP="00DF0E07">
      <w:pPr>
        <w:tabs>
          <w:tab w:val="left" w:pos="567"/>
        </w:tabs>
        <w:spacing w:after="240" w:line="360" w:lineRule="auto"/>
        <w:ind w:left="680"/>
        <w:jc w:val="both"/>
        <w:rPr>
          <w:rFonts w:ascii="AvantGarde Bk BT" w:hAnsi="AvantGarde Bk BT" w:cs="Arial"/>
          <w:color w:val="000000" w:themeColor="text1"/>
          <w:sz w:val="24"/>
          <w:szCs w:val="24"/>
        </w:rPr>
      </w:pPr>
      <w:r w:rsidRPr="003B70F0">
        <w:rPr>
          <w:rFonts w:ascii="AvantGarde Bk BT" w:hAnsi="AvantGarde Bk BT" w:cs="Arial"/>
          <w:b/>
          <w:color w:val="000000" w:themeColor="text1"/>
          <w:sz w:val="24"/>
          <w:szCs w:val="24"/>
        </w:rPr>
        <w:t>6.1.1.</w:t>
      </w:r>
      <w:r w:rsidR="00DF0E07">
        <w:rPr>
          <w:rFonts w:ascii="AvantGarde Bk BT" w:hAnsi="AvantGarde Bk BT" w:cs="Arial"/>
          <w:b/>
          <w:color w:val="000000" w:themeColor="text1"/>
          <w:sz w:val="24"/>
          <w:szCs w:val="24"/>
        </w:rPr>
        <w:t xml:space="preserve"> </w:t>
      </w:r>
      <w:r w:rsidR="00DF0E07" w:rsidRPr="00DF0E07">
        <w:rPr>
          <w:rFonts w:ascii="AvantGarde Bk BT" w:hAnsi="AvantGarde Bk BT" w:cs="Arial"/>
          <w:color w:val="000000" w:themeColor="text1"/>
          <w:sz w:val="24"/>
          <w:szCs w:val="24"/>
        </w:rPr>
        <w:t>El Comité</w:t>
      </w:r>
      <w:r w:rsidR="00DF0E07">
        <w:rPr>
          <w:rFonts w:ascii="AvantGarde Bk BT" w:hAnsi="AvantGarde Bk BT" w:cs="Arial"/>
          <w:b/>
          <w:color w:val="000000" w:themeColor="text1"/>
          <w:sz w:val="24"/>
          <w:szCs w:val="24"/>
        </w:rPr>
        <w:t xml:space="preserve"> </w:t>
      </w:r>
      <w:r w:rsidR="00DF0E07" w:rsidRPr="00DF0E07">
        <w:rPr>
          <w:rFonts w:ascii="AvantGarde Bk BT" w:hAnsi="AvantGarde Bk BT" w:cs="Arial"/>
          <w:color w:val="000000" w:themeColor="text1"/>
          <w:sz w:val="24"/>
          <w:szCs w:val="24"/>
        </w:rPr>
        <w:t xml:space="preserve">de Transparencia </w:t>
      </w:r>
      <w:r w:rsidR="00DF0E07">
        <w:rPr>
          <w:rFonts w:ascii="AvantGarde Bk BT" w:hAnsi="AvantGarde Bk BT" w:cs="Arial"/>
          <w:color w:val="000000" w:themeColor="text1"/>
          <w:sz w:val="24"/>
          <w:szCs w:val="24"/>
        </w:rPr>
        <w:t xml:space="preserve">deje sin efecto el acuerdo de reserva </w:t>
      </w:r>
      <w:r w:rsidR="00D11052" w:rsidRPr="00CD0D70">
        <w:rPr>
          <w:rFonts w:ascii="AvantGarde Bk BT" w:hAnsi="AvantGarde Bk BT" w:cs="Arial"/>
          <w:color w:val="000000" w:themeColor="text1"/>
          <w:sz w:val="24"/>
          <w:szCs w:val="24"/>
        </w:rPr>
        <w:t>C.T.-A.R. 006/2025</w:t>
      </w:r>
      <w:r w:rsidR="00D11052">
        <w:rPr>
          <w:rFonts w:ascii="AvantGarde Bk BT" w:hAnsi="AvantGarde Bk BT" w:cs="Arial"/>
          <w:color w:val="000000" w:themeColor="text1"/>
          <w:sz w:val="24"/>
          <w:szCs w:val="24"/>
        </w:rPr>
        <w:t xml:space="preserve"> y realice un nuevo análisis de</w:t>
      </w:r>
      <w:r w:rsidR="00DF0E07" w:rsidRPr="00DF0E07">
        <w:rPr>
          <w:rFonts w:ascii="AvantGarde Bk BT" w:hAnsi="AvantGarde Bk BT" w:cs="Arial"/>
          <w:color w:val="000000" w:themeColor="text1"/>
          <w:sz w:val="24"/>
          <w:szCs w:val="24"/>
        </w:rPr>
        <w:t xml:space="preserve"> la información requerida, de tal manera que </w:t>
      </w:r>
      <w:r w:rsidR="00DF0E07">
        <w:rPr>
          <w:rFonts w:ascii="AvantGarde Bk BT" w:hAnsi="AvantGarde Bk BT" w:cs="Arial"/>
          <w:color w:val="000000" w:themeColor="text1"/>
          <w:sz w:val="24"/>
          <w:szCs w:val="24"/>
        </w:rPr>
        <w:t>si determina</w:t>
      </w:r>
      <w:r w:rsidR="00DF0E07" w:rsidRPr="00DF0E07">
        <w:rPr>
          <w:rFonts w:ascii="AvantGarde Bk BT" w:hAnsi="AvantGarde Bk BT" w:cs="Arial"/>
          <w:color w:val="000000" w:themeColor="text1"/>
          <w:sz w:val="24"/>
          <w:szCs w:val="24"/>
        </w:rPr>
        <w:t xml:space="preserve"> su clasificación </w:t>
      </w:r>
      <w:r w:rsidR="00DF0E07">
        <w:rPr>
          <w:rFonts w:ascii="AvantGarde Bk BT" w:hAnsi="AvantGarde Bk BT" w:cs="Arial"/>
          <w:color w:val="000000" w:themeColor="text1"/>
          <w:sz w:val="24"/>
          <w:szCs w:val="24"/>
        </w:rPr>
        <w:t>por acreditarse</w:t>
      </w:r>
      <w:r w:rsidR="00DF0E07" w:rsidRPr="00DF0E07">
        <w:rPr>
          <w:rFonts w:ascii="AvantGarde Bk BT" w:hAnsi="AvantGarde Bk BT" w:cs="Arial"/>
          <w:color w:val="000000" w:themeColor="text1"/>
          <w:sz w:val="24"/>
          <w:szCs w:val="24"/>
        </w:rPr>
        <w:t xml:space="preserve"> las razones objetivas por las que </w:t>
      </w:r>
      <w:r w:rsidR="00DF0E07">
        <w:rPr>
          <w:rFonts w:ascii="AvantGarde Bk BT" w:hAnsi="AvantGarde Bk BT" w:cs="Arial"/>
          <w:color w:val="000000" w:themeColor="text1"/>
          <w:sz w:val="24"/>
          <w:szCs w:val="24"/>
        </w:rPr>
        <w:t>su divulgación</w:t>
      </w:r>
      <w:r w:rsidR="00DF0E07" w:rsidRPr="00DF0E07">
        <w:rPr>
          <w:rFonts w:ascii="AvantGarde Bk BT" w:hAnsi="AvantGarde Bk BT" w:cs="Arial"/>
          <w:color w:val="000000" w:themeColor="text1"/>
          <w:sz w:val="24"/>
          <w:szCs w:val="24"/>
        </w:rPr>
        <w:t xml:space="preserve"> generaría una afectación, rea</w:t>
      </w:r>
      <w:r w:rsidR="00DF0E07">
        <w:rPr>
          <w:rFonts w:ascii="AvantGarde Bk BT" w:hAnsi="AvantGarde Bk BT" w:cs="Arial"/>
          <w:color w:val="000000" w:themeColor="text1"/>
          <w:sz w:val="24"/>
          <w:szCs w:val="24"/>
        </w:rPr>
        <w:t xml:space="preserve">l, demostrable e identificable, </w:t>
      </w:r>
      <w:r w:rsidR="00557FBA">
        <w:rPr>
          <w:rFonts w:ascii="AvantGarde Bk BT" w:hAnsi="AvantGarde Bk BT" w:cs="Arial"/>
          <w:color w:val="000000" w:themeColor="text1"/>
          <w:sz w:val="24"/>
          <w:szCs w:val="24"/>
        </w:rPr>
        <w:t>emita un nuevo</w:t>
      </w:r>
      <w:r w:rsidR="00DF0E07">
        <w:rPr>
          <w:rFonts w:ascii="AvantGarde Bk BT" w:hAnsi="AvantGarde Bk BT" w:cs="Arial"/>
          <w:color w:val="000000" w:themeColor="text1"/>
          <w:sz w:val="24"/>
          <w:szCs w:val="24"/>
        </w:rPr>
        <w:t xml:space="preserve"> acuerdo de reserva </w:t>
      </w:r>
      <w:r w:rsidR="00557FBA">
        <w:rPr>
          <w:rFonts w:ascii="AvantGarde Bk BT" w:hAnsi="AvantGarde Bk BT" w:cs="Arial"/>
          <w:color w:val="000000" w:themeColor="text1"/>
          <w:sz w:val="24"/>
          <w:szCs w:val="24"/>
        </w:rPr>
        <w:t>con apego a las consideraciones anotadas en esta resolución.</w:t>
      </w:r>
    </w:p>
    <w:p w14:paraId="570E387E" w14:textId="2D6BF0FF" w:rsidR="00DF0E07" w:rsidRDefault="00F25780" w:rsidP="00455CB1">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contrario, deberá hacer entrega de la información.</w:t>
      </w:r>
    </w:p>
    <w:p w14:paraId="637FFB31" w14:textId="5454FA3E" w:rsidR="003A6C5C" w:rsidRPr="00DF0E07" w:rsidRDefault="00345D66" w:rsidP="00DF0E07">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 xml:space="preserve">.2. </w:t>
      </w:r>
      <w:r w:rsidR="003A6C5C">
        <w:rPr>
          <w:rFonts w:ascii="AvantGarde Bk BT" w:hAnsi="AvantGarde Bk BT" w:cs="Arial"/>
          <w:b/>
          <w:sz w:val="24"/>
          <w:szCs w:val="24"/>
        </w:rPr>
        <w:t xml:space="preserve">Precisiones para el cumplimiento de la resolución. </w:t>
      </w: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0FA96BE9" w:rsidR="003A6C5C" w:rsidRPr="00C12794" w:rsidRDefault="00345D66"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sidRPr="00BB5524">
        <w:rPr>
          <w:rFonts w:ascii="AvantGarde Bk BT" w:hAnsi="AvantGarde Bk BT" w:cs="Arial"/>
          <w:b/>
          <w:color w:val="000000" w:themeColor="text1"/>
          <w:sz w:val="24"/>
          <w:szCs w:val="24"/>
        </w:rPr>
        <w:t>.3. Plazo para el cumplimento de esta resolución e informe sobre el cumplimento a la misma.</w:t>
      </w:r>
      <w:r w:rsidR="003A6C5C"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donde justificará con los documentos necesarios el cumplimento a lo aquí ordenado.</w:t>
      </w:r>
    </w:p>
    <w:p w14:paraId="60D68A85" w14:textId="118DD0A0" w:rsidR="003A6C5C" w:rsidRPr="004C15C0" w:rsidRDefault="00345D66"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.4</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34752875" w:rsidR="003A6C5C" w:rsidRPr="00684218" w:rsidRDefault="00345D66"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sidRPr="00831D47">
        <w:rPr>
          <w:rFonts w:ascii="AvantGarde Bk BT" w:hAnsi="AvantGarde Bk BT" w:cs="Arial"/>
          <w:b/>
          <w:color w:val="000000" w:themeColor="text1"/>
          <w:sz w:val="24"/>
          <w:szCs w:val="24"/>
        </w:rPr>
        <w:t>.</w:t>
      </w:r>
      <w:r w:rsidR="003A6C5C">
        <w:rPr>
          <w:rFonts w:ascii="AvantGarde Bk BT" w:hAnsi="AvantGarde Bk BT" w:cs="Arial"/>
          <w:b/>
          <w:color w:val="000000" w:themeColor="text1"/>
          <w:sz w:val="24"/>
          <w:szCs w:val="24"/>
        </w:rPr>
        <w:t>5</w:t>
      </w:r>
      <w:r w:rsidR="003A6C5C" w:rsidRPr="00831D47">
        <w:rPr>
          <w:rFonts w:ascii="AvantGarde Bk BT" w:hAnsi="AvantGarde Bk BT" w:cs="Arial"/>
          <w:b/>
          <w:color w:val="000000" w:themeColor="text1"/>
          <w:sz w:val="24"/>
          <w:szCs w:val="24"/>
        </w:rPr>
        <w:t xml:space="preserve">. </w:t>
      </w:r>
      <w:r w:rsidR="003A6C5C" w:rsidRPr="008E469A">
        <w:rPr>
          <w:rFonts w:ascii="AvantGarde Bk BT" w:hAnsi="AvantGarde Bk BT" w:cs="Arial"/>
          <w:b/>
          <w:color w:val="000000" w:themeColor="text1"/>
          <w:sz w:val="24"/>
          <w:szCs w:val="24"/>
        </w:rPr>
        <w:t>Medio de impugnación.</w:t>
      </w:r>
    </w:p>
    <w:p w14:paraId="0EBCC211" w14:textId="3F1FFCF9" w:rsidR="003A6C5C"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4938B027" w14:textId="77777777" w:rsidR="0068215D" w:rsidRPr="003358EE" w:rsidRDefault="0068215D" w:rsidP="003A6C5C">
      <w:pPr>
        <w:pStyle w:val="corte4fondo"/>
        <w:tabs>
          <w:tab w:val="left" w:pos="567"/>
        </w:tabs>
        <w:rPr>
          <w:rFonts w:ascii="AvantGarde Bk BT" w:hAnsi="AvantGarde Bk BT" w:cs="Arial"/>
          <w:color w:val="000000" w:themeColor="text1"/>
          <w:sz w:val="24"/>
          <w:szCs w:val="24"/>
        </w:rPr>
      </w:pP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64E2BB93"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2871FD">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0CA83BA4" w14:textId="08A235A3" w:rsidR="00D71927" w:rsidRDefault="00D71927" w:rsidP="00D71927">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CF015A" w:rsidRPr="00CF015A">
        <w:rPr>
          <w:rFonts w:ascii="AvantGarde Bk BT" w:hAnsi="AvantGarde Bk BT"/>
          <w:sz w:val="24"/>
          <w:szCs w:val="24"/>
        </w:rPr>
        <w:t>cinco de febrero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lastRenderedPageBreak/>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7767BA8E" w14:textId="77777777" w:rsidR="00D71927" w:rsidRPr="006809EF" w:rsidRDefault="00D71927" w:rsidP="00D71927">
      <w:pPr>
        <w:pStyle w:val="corte4fondo"/>
        <w:tabs>
          <w:tab w:val="left" w:pos="567"/>
        </w:tabs>
        <w:spacing w:after="240"/>
        <w:rPr>
          <w:rFonts w:ascii="AvantGarde Bk BT" w:hAnsi="AvantGarde Bk BT" w:cs="Arial"/>
          <w:color w:val="000000" w:themeColor="text1"/>
          <w:sz w:val="24"/>
          <w:szCs w:val="24"/>
        </w:rPr>
      </w:pPr>
    </w:p>
    <w:p w14:paraId="2D04CB2F" w14:textId="77777777"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7A56E23E" w14:textId="7CB2157B" w:rsidR="00D71927" w:rsidRPr="00FE6442" w:rsidRDefault="00D71927" w:rsidP="002B05F6">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5D0AE61B" w:rsidR="00D71927" w:rsidRPr="0068215D" w:rsidRDefault="0068215D" w:rsidP="00D71927">
      <w:pPr>
        <w:pStyle w:val="corte4fondo"/>
        <w:tabs>
          <w:tab w:val="left" w:pos="567"/>
        </w:tabs>
        <w:spacing w:line="240" w:lineRule="auto"/>
        <w:ind w:firstLine="0"/>
        <w:rPr>
          <w:rFonts w:ascii="AvantGarde Bk BT" w:hAnsi="AvantGarde Bk BT" w:cs="Arial"/>
          <w:color w:val="000000" w:themeColor="text1"/>
          <w:sz w:val="18"/>
          <w:szCs w:val="14"/>
          <w:vertAlign w:val="superscript"/>
        </w:rPr>
      </w:pPr>
      <w:r w:rsidRPr="0068215D">
        <w:rPr>
          <w:rFonts w:ascii="AvantGarde Bk BT" w:hAnsi="AvantGarde Bk BT" w:cs="Arial"/>
          <w:color w:val="000000" w:themeColor="text1"/>
          <w:sz w:val="18"/>
          <w:szCs w:val="14"/>
          <w:vertAlign w:val="superscript"/>
        </w:rPr>
        <w:t>MAI</w:t>
      </w:r>
      <w:r w:rsidR="00D71927" w:rsidRPr="0068215D">
        <w:rPr>
          <w:rFonts w:ascii="AvantGarde Bk BT" w:hAnsi="AvantGarde Bk BT" w:cs="Arial"/>
          <w:color w:val="000000" w:themeColor="text1"/>
          <w:sz w:val="18"/>
          <w:szCs w:val="14"/>
          <w:vertAlign w:val="superscript"/>
        </w:rPr>
        <w:t>.</w:t>
      </w:r>
    </w:p>
    <w:p w14:paraId="73C5EADE" w14:textId="17E7B5D1"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6A5086" w:rsidRPr="006A5086">
        <w:rPr>
          <w:rFonts w:ascii="AvantGarde Bk BT" w:hAnsi="AvantGarde Bk BT" w:cs="Arial"/>
          <w:color w:val="000000" w:themeColor="text1"/>
          <w:sz w:val="14"/>
          <w:szCs w:val="14"/>
        </w:rPr>
        <w:t>cinco de febrero de dos mil veintiséis</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w:t>
      </w:r>
      <w:r w:rsidR="006A5086">
        <w:rPr>
          <w:rFonts w:ascii="AvantGarde Bk BT" w:hAnsi="AvantGarde Bk BT" w:cs="Arial"/>
          <w:color w:val="000000" w:themeColor="text1"/>
          <w:sz w:val="14"/>
          <w:szCs w:val="14"/>
        </w:rPr>
        <w:t>1038</w:t>
      </w:r>
      <w:r>
        <w:rPr>
          <w:rFonts w:ascii="AvantGarde Bk BT" w:hAnsi="AvantGarde Bk BT" w:cs="Arial"/>
          <w:color w:val="000000" w:themeColor="text1"/>
          <w:sz w:val="14"/>
          <w:szCs w:val="14"/>
        </w:rPr>
        <w:t>/2025-1.)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BD8E8F" w14:textId="77777777" w:rsidR="00EF20DE" w:rsidRDefault="00EF20DE" w:rsidP="003864ED">
      <w:pPr>
        <w:spacing w:after="0" w:line="240" w:lineRule="auto"/>
      </w:pPr>
      <w:r>
        <w:separator/>
      </w:r>
    </w:p>
  </w:endnote>
  <w:endnote w:type="continuationSeparator" w:id="0">
    <w:p w14:paraId="7E8DE0A0" w14:textId="77777777" w:rsidR="00EF20DE" w:rsidRDefault="00EF20D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8256B" w:rsidRDefault="0058256B">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C69AFB" w14:textId="77777777" w:rsidR="00EF20DE" w:rsidRDefault="00EF20DE" w:rsidP="003864ED">
      <w:pPr>
        <w:spacing w:after="0" w:line="240" w:lineRule="auto"/>
      </w:pPr>
      <w:r>
        <w:separator/>
      </w:r>
    </w:p>
  </w:footnote>
  <w:footnote w:type="continuationSeparator" w:id="0">
    <w:p w14:paraId="4B3B0D89" w14:textId="77777777" w:rsidR="00EF20DE" w:rsidRDefault="00EF20DE" w:rsidP="003864ED">
      <w:pPr>
        <w:spacing w:after="0" w:line="240" w:lineRule="auto"/>
      </w:pPr>
      <w:r>
        <w:continuationSeparator/>
      </w:r>
    </w:p>
  </w:footnote>
  <w:footnote w:id="1">
    <w:p w14:paraId="36B8D02B" w14:textId="77777777" w:rsidR="0058256B" w:rsidRPr="0064753E" w:rsidRDefault="0058256B" w:rsidP="00F5073D">
      <w:pPr>
        <w:pStyle w:val="Textonotapie"/>
        <w:rPr>
          <w:sz w:val="16"/>
          <w:szCs w:val="16"/>
        </w:rPr>
      </w:pPr>
      <w:r w:rsidRPr="0064753E">
        <w:rPr>
          <w:rStyle w:val="Refdenotaalpie"/>
          <w:sz w:val="16"/>
          <w:szCs w:val="16"/>
        </w:rPr>
        <w:footnoteRef/>
      </w:r>
      <w:r w:rsidRPr="0064753E">
        <w:rPr>
          <w:sz w:val="16"/>
          <w:szCs w:val="16"/>
        </w:rPr>
        <w:t xml:space="preserve"> ARTÍCULO 180. El recurso será sobreseído, en todo o en parte, cuando, una vez admitido, se actualicen alguno de los siguientes supuestos:</w:t>
      </w:r>
    </w:p>
    <w:p w14:paraId="6B16C581" w14:textId="77777777" w:rsidR="0058256B" w:rsidRPr="0064753E" w:rsidRDefault="0058256B" w:rsidP="00F5073D">
      <w:pPr>
        <w:pStyle w:val="Textonotapie"/>
        <w:rPr>
          <w:sz w:val="16"/>
          <w:szCs w:val="16"/>
        </w:rPr>
      </w:pPr>
      <w:r w:rsidRPr="0064753E">
        <w:rPr>
          <w:sz w:val="16"/>
          <w:szCs w:val="16"/>
        </w:rPr>
        <w:t>I. El recurrente se desista;</w:t>
      </w:r>
    </w:p>
    <w:p w14:paraId="63A3D56E" w14:textId="77777777" w:rsidR="0058256B" w:rsidRPr="0064753E" w:rsidRDefault="0058256B" w:rsidP="00F5073D">
      <w:pPr>
        <w:pStyle w:val="Textonotapie"/>
        <w:rPr>
          <w:sz w:val="16"/>
          <w:szCs w:val="16"/>
        </w:rPr>
      </w:pPr>
      <w:r w:rsidRPr="0064753E">
        <w:rPr>
          <w:sz w:val="16"/>
          <w:szCs w:val="16"/>
        </w:rPr>
        <w:t>II. El recurrente fallezca;</w:t>
      </w:r>
    </w:p>
    <w:p w14:paraId="1F3FC8A3" w14:textId="77777777" w:rsidR="0058256B" w:rsidRPr="0064753E" w:rsidRDefault="0058256B" w:rsidP="00F5073D">
      <w:pPr>
        <w:pStyle w:val="Textonotapie"/>
        <w:rPr>
          <w:sz w:val="16"/>
          <w:szCs w:val="16"/>
        </w:rPr>
      </w:pPr>
      <w:r w:rsidRPr="0064753E">
        <w:rPr>
          <w:sz w:val="16"/>
          <w:szCs w:val="16"/>
        </w:rPr>
        <w:t>III. El sujeto obligado responsable del acto lo modifique o revoque de tal manera que el recurso de revisión quede sin materia, o</w:t>
      </w:r>
    </w:p>
    <w:p w14:paraId="685A22B0" w14:textId="6D00C95D" w:rsidR="0058256B" w:rsidRPr="0064753E" w:rsidRDefault="0058256B" w:rsidP="00F5073D">
      <w:pPr>
        <w:pStyle w:val="Textonotapie"/>
        <w:rPr>
          <w:sz w:val="16"/>
          <w:szCs w:val="16"/>
        </w:rPr>
      </w:pPr>
      <w:r w:rsidRPr="0064753E">
        <w:rPr>
          <w:sz w:val="16"/>
          <w:szCs w:val="16"/>
        </w:rPr>
        <w:t>IV. Admitido el recurso de revisión, aparezca alguna causal de improcedencia en los términos del presente Capítulo.</w:t>
      </w:r>
    </w:p>
  </w:footnote>
  <w:footnote w:id="2">
    <w:p w14:paraId="00361E8C" w14:textId="77777777" w:rsidR="0058256B" w:rsidRDefault="0058256B" w:rsidP="00FB3B33">
      <w:pPr>
        <w:tabs>
          <w:tab w:val="left" w:pos="567"/>
        </w:tabs>
        <w:spacing w:after="240" w:line="240" w:lineRule="auto"/>
        <w:contextualSpacing/>
        <w:jc w:val="both"/>
        <w:rPr>
          <w:rFonts w:cstheme="minorHAnsi"/>
          <w:color w:val="000000" w:themeColor="text1"/>
          <w:sz w:val="16"/>
          <w:szCs w:val="16"/>
        </w:rPr>
      </w:pPr>
      <w:r>
        <w:rPr>
          <w:rStyle w:val="Refdenotaalpie"/>
        </w:rPr>
        <w:footnoteRef/>
      </w:r>
      <w:r>
        <w:t xml:space="preserve"> </w:t>
      </w:r>
      <w:r w:rsidRPr="00FB3B33">
        <w:rPr>
          <w:rFonts w:cstheme="minorHAnsi"/>
          <w:color w:val="000000" w:themeColor="text1"/>
          <w:sz w:val="16"/>
          <w:szCs w:val="16"/>
        </w:rPr>
        <w:t>ARTÍCULO 45. Es obligación de la Dirección de Fraccionamientos, en coordinación con la Dirección de Construcción y la Unidad de Proyectos, ejercer las siguientes funciones:</w:t>
      </w:r>
    </w:p>
    <w:p w14:paraId="121F1302" w14:textId="0A65D8AD" w:rsidR="0058256B" w:rsidRPr="00FB3B33" w:rsidRDefault="0058256B" w:rsidP="00FB3B33">
      <w:pPr>
        <w:tabs>
          <w:tab w:val="left" w:pos="567"/>
        </w:tabs>
        <w:spacing w:after="240" w:line="240" w:lineRule="auto"/>
        <w:contextualSpacing/>
        <w:jc w:val="both"/>
        <w:rPr>
          <w:rFonts w:cstheme="minorHAnsi"/>
          <w:color w:val="000000" w:themeColor="text1"/>
          <w:sz w:val="16"/>
          <w:szCs w:val="16"/>
        </w:rPr>
      </w:pPr>
      <w:r w:rsidRPr="00FB3B33">
        <w:rPr>
          <w:rFonts w:cstheme="minorHAnsi"/>
          <w:color w:val="000000" w:themeColor="text1"/>
          <w:sz w:val="16"/>
          <w:szCs w:val="16"/>
        </w:rPr>
        <w:t>[…]</w:t>
      </w:r>
    </w:p>
    <w:p w14:paraId="4D28EDCC" w14:textId="77777777" w:rsidR="0058256B" w:rsidRPr="00FB3B33" w:rsidRDefault="0058256B" w:rsidP="00FB3B33">
      <w:pPr>
        <w:tabs>
          <w:tab w:val="left" w:pos="567"/>
        </w:tabs>
        <w:spacing w:after="240" w:line="240" w:lineRule="auto"/>
        <w:contextualSpacing/>
        <w:jc w:val="both"/>
        <w:rPr>
          <w:rFonts w:cstheme="minorHAnsi"/>
          <w:color w:val="000000" w:themeColor="text1"/>
          <w:sz w:val="16"/>
          <w:szCs w:val="16"/>
        </w:rPr>
      </w:pPr>
      <w:r w:rsidRPr="00FB3B33">
        <w:rPr>
          <w:rFonts w:cstheme="minorHAnsi"/>
          <w:color w:val="000000" w:themeColor="text1"/>
          <w:sz w:val="16"/>
          <w:szCs w:val="16"/>
        </w:rPr>
        <w:t>IV.- Tramitar para su aprobación por parte del Director General, las solicitudes de incorporación de nuevos fraccionamientos o desarrollos urbanos, a los sistemas de agua potable, alcantarillado, tratamiento, reúso y disposición de aguas residuales;</w:t>
      </w:r>
    </w:p>
    <w:p w14:paraId="36377C2F" w14:textId="77777777" w:rsidR="0058256B" w:rsidRPr="00FB3B33" w:rsidRDefault="0058256B" w:rsidP="00FB3B33">
      <w:pPr>
        <w:tabs>
          <w:tab w:val="left" w:pos="567"/>
        </w:tabs>
        <w:spacing w:after="240" w:line="240" w:lineRule="auto"/>
        <w:contextualSpacing/>
        <w:jc w:val="both"/>
        <w:rPr>
          <w:rFonts w:cstheme="minorHAnsi"/>
          <w:color w:val="000000" w:themeColor="text1"/>
          <w:sz w:val="16"/>
          <w:szCs w:val="16"/>
        </w:rPr>
      </w:pPr>
      <w:r w:rsidRPr="00FB3B33">
        <w:rPr>
          <w:rFonts w:cstheme="minorHAnsi"/>
          <w:color w:val="000000" w:themeColor="text1"/>
          <w:sz w:val="16"/>
          <w:szCs w:val="16"/>
        </w:rPr>
        <w:t>[…]</w:t>
      </w:r>
    </w:p>
    <w:p w14:paraId="09A3DF15" w14:textId="2B926BF3" w:rsidR="0058256B" w:rsidRPr="00FB3B33" w:rsidRDefault="0058256B" w:rsidP="00FB3B33">
      <w:pPr>
        <w:tabs>
          <w:tab w:val="left" w:pos="567"/>
        </w:tabs>
        <w:spacing w:after="240" w:line="240" w:lineRule="auto"/>
        <w:contextualSpacing/>
        <w:jc w:val="both"/>
        <w:rPr>
          <w:rFonts w:cstheme="minorHAnsi"/>
          <w:color w:val="000000" w:themeColor="text1"/>
          <w:sz w:val="16"/>
          <w:szCs w:val="16"/>
        </w:rPr>
      </w:pPr>
      <w:r w:rsidRPr="00FB3B33">
        <w:rPr>
          <w:rFonts w:cstheme="minorHAnsi"/>
          <w:color w:val="000000" w:themeColor="text1"/>
          <w:sz w:val="16"/>
          <w:szCs w:val="16"/>
        </w:rPr>
        <w:t>VII.- Elaborar, revisar e integrar el total de los expedientes técnicos relativos a la creación de nuevos desarrollos urbanos o fraccionamientos;</w:t>
      </w:r>
    </w:p>
    <w:p w14:paraId="0895B5C4" w14:textId="0616D998" w:rsidR="0058256B" w:rsidRDefault="0058256B">
      <w:pPr>
        <w:pStyle w:val="Textonotapie"/>
      </w:pPr>
    </w:p>
  </w:footnote>
  <w:footnote w:id="3">
    <w:p w14:paraId="12F2DA26" w14:textId="77777777" w:rsidR="0058256B" w:rsidRPr="009E3945" w:rsidRDefault="0058256B" w:rsidP="00847C98">
      <w:pPr>
        <w:pStyle w:val="Textonotapie"/>
        <w:jc w:val="both"/>
        <w:rPr>
          <w:sz w:val="16"/>
          <w:szCs w:val="16"/>
        </w:rPr>
      </w:pPr>
      <w:r w:rsidRPr="009E3945">
        <w:rPr>
          <w:rStyle w:val="Refdenotaalpie"/>
          <w:sz w:val="16"/>
          <w:szCs w:val="16"/>
        </w:rPr>
        <w:footnoteRef/>
      </w:r>
      <w:r w:rsidRPr="009E3945">
        <w:rPr>
          <w:sz w:val="16"/>
          <w:szCs w:val="16"/>
        </w:rPr>
        <w:t xml:space="preserve"> Suprema Corte de Justicia de la Nación, Registro digital: 164618, Instancia: Segunda Sala, Novena Época, Materias(s): Común, Tesis: 2a./J. 58/2010, Fuente: Semanario Judicial de la Federación y su Gaceta. Tomo XXXI, </w:t>
      </w:r>
      <w:proofErr w:type="gramStart"/>
      <w:r w:rsidRPr="009E3945">
        <w:rPr>
          <w:sz w:val="16"/>
          <w:szCs w:val="16"/>
        </w:rPr>
        <w:t>Mayo</w:t>
      </w:r>
      <w:proofErr w:type="gramEnd"/>
      <w:r w:rsidRPr="009E3945">
        <w:rPr>
          <w:sz w:val="16"/>
          <w:szCs w:val="16"/>
        </w:rPr>
        <w:t xml:space="preserve"> de 2010, página 830, Tipo: Jurisprudencia.</w:t>
      </w:r>
    </w:p>
  </w:footnote>
  <w:footnote w:id="4">
    <w:p w14:paraId="6A37C53D" w14:textId="77777777" w:rsidR="0058256B" w:rsidRPr="00E94238" w:rsidRDefault="0058256B" w:rsidP="00E94238">
      <w:pPr>
        <w:pStyle w:val="Textonotapie"/>
        <w:jc w:val="both"/>
        <w:rPr>
          <w:sz w:val="16"/>
          <w:szCs w:val="16"/>
        </w:rPr>
      </w:pPr>
      <w:r w:rsidRPr="00E94238">
        <w:rPr>
          <w:rStyle w:val="Refdenotaalpie"/>
          <w:sz w:val="16"/>
          <w:szCs w:val="16"/>
        </w:rPr>
        <w:footnoteRef/>
      </w:r>
      <w:r>
        <w:t xml:space="preserve"> </w:t>
      </w:r>
      <w:r w:rsidRPr="00E94238">
        <w:rPr>
          <w:sz w:val="16"/>
          <w:szCs w:val="16"/>
        </w:rPr>
        <w:t>ARTÍCULO 4°. El derecho humano de acceso a la información comprende solicitar, investigar, difundir, buscar y recibir información.</w:t>
      </w:r>
    </w:p>
    <w:p w14:paraId="7F8C41AB" w14:textId="7896A626" w:rsidR="0058256B" w:rsidRPr="00E94238" w:rsidRDefault="0058256B" w:rsidP="00E94238">
      <w:pPr>
        <w:pStyle w:val="Textonotapie"/>
        <w:jc w:val="both"/>
        <w:rPr>
          <w:sz w:val="16"/>
          <w:szCs w:val="16"/>
        </w:rPr>
      </w:pPr>
      <w:r w:rsidRPr="00E94238">
        <w:rPr>
          <w:sz w:val="16"/>
          <w:szCs w:val="16"/>
        </w:rPr>
        <w:t>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footnote>
  <w:footnote w:id="5">
    <w:p w14:paraId="785D26A7" w14:textId="41DD1280" w:rsidR="0058256B" w:rsidRPr="0038013D" w:rsidRDefault="0058256B">
      <w:pPr>
        <w:pStyle w:val="Textonotapie"/>
        <w:rPr>
          <w:sz w:val="16"/>
          <w:szCs w:val="16"/>
        </w:rPr>
      </w:pPr>
      <w:r w:rsidRPr="0038013D">
        <w:rPr>
          <w:rStyle w:val="Refdenotaalpie"/>
          <w:sz w:val="16"/>
          <w:szCs w:val="16"/>
        </w:rPr>
        <w:footnoteRef/>
      </w:r>
      <w:r w:rsidRPr="0038013D">
        <w:rPr>
          <w:sz w:val="16"/>
          <w:szCs w:val="16"/>
        </w:rPr>
        <w:t xml:space="preserve"> ARTÍCULO 113. Las figuras jurídicas de excepción al derecho de acceso a la información pública, son las de información reservada, e información confidencial.</w:t>
      </w:r>
    </w:p>
  </w:footnote>
  <w:footnote w:id="6">
    <w:p w14:paraId="38EFBA71" w14:textId="77777777" w:rsidR="0058256B" w:rsidRPr="00977162" w:rsidRDefault="0058256B" w:rsidP="00977162">
      <w:pPr>
        <w:pStyle w:val="Textonotapie"/>
        <w:contextualSpacing/>
        <w:jc w:val="both"/>
        <w:rPr>
          <w:sz w:val="16"/>
          <w:szCs w:val="16"/>
        </w:rPr>
      </w:pPr>
      <w:r w:rsidRPr="00977162">
        <w:rPr>
          <w:rStyle w:val="Refdenotaalpie"/>
          <w:sz w:val="16"/>
          <w:szCs w:val="16"/>
        </w:rPr>
        <w:footnoteRef/>
      </w:r>
      <w:r w:rsidRPr="00977162">
        <w:rPr>
          <w:sz w:val="16"/>
          <w:szCs w:val="16"/>
        </w:rPr>
        <w:t xml:space="preserve"> ARTÍCULO 117. En los casos en que se niegue el acceso a la información, por actualizarse alguno de los supuestos de clasificación, el Comité de Transparencia deberá confirmar, modificar o revocar la decisión.</w:t>
      </w:r>
    </w:p>
    <w:p w14:paraId="571EEFCB" w14:textId="1F07AD72" w:rsidR="0058256B" w:rsidRPr="00977162" w:rsidRDefault="0058256B" w:rsidP="00977162">
      <w:pPr>
        <w:pStyle w:val="Textonotapie"/>
        <w:contextualSpacing/>
        <w:jc w:val="both"/>
        <w:rPr>
          <w:sz w:val="16"/>
          <w:szCs w:val="16"/>
        </w:rPr>
      </w:pPr>
      <w:r w:rsidRPr="00977162">
        <w:rPr>
          <w:sz w:val="16"/>
          <w:szCs w:val="16"/>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w:t>
      </w:r>
    </w:p>
    <w:p w14:paraId="7D25A19A" w14:textId="7E9E61DA" w:rsidR="0058256B" w:rsidRDefault="0058256B" w:rsidP="00977162">
      <w:pPr>
        <w:pStyle w:val="Textonotapie"/>
        <w:contextualSpacing/>
        <w:jc w:val="both"/>
      </w:pPr>
      <w:r w:rsidRPr="00977162">
        <w:rPr>
          <w:sz w:val="16"/>
          <w:szCs w:val="16"/>
        </w:rPr>
        <w:t>Tratándose de aquella información que actualice los supuestos de clasificación, deberá señalarse el plazo al que estará sujeto la reserva.</w:t>
      </w:r>
    </w:p>
  </w:footnote>
  <w:footnote w:id="7">
    <w:p w14:paraId="633C637C" w14:textId="77777777" w:rsidR="0058256B" w:rsidRPr="00977162" w:rsidRDefault="0058256B" w:rsidP="00977162">
      <w:pPr>
        <w:pStyle w:val="Textonotapie"/>
        <w:jc w:val="both"/>
        <w:rPr>
          <w:sz w:val="16"/>
          <w:szCs w:val="16"/>
        </w:rPr>
      </w:pPr>
      <w:r w:rsidRPr="00977162">
        <w:rPr>
          <w:rStyle w:val="Refdenotaalpie"/>
          <w:sz w:val="16"/>
          <w:szCs w:val="16"/>
        </w:rPr>
        <w:footnoteRef/>
      </w:r>
      <w:r w:rsidRPr="00977162">
        <w:rPr>
          <w:sz w:val="16"/>
          <w:szCs w:val="16"/>
        </w:rPr>
        <w:t xml:space="preserve"> ARTÍCULO 159. En caso de que los sujetos obligados consideren que los documentos o la información deba ser clasificada, se sujetará a lo siguiente:</w:t>
      </w:r>
    </w:p>
    <w:p w14:paraId="1EC1710D" w14:textId="77777777" w:rsidR="0058256B" w:rsidRPr="00977162" w:rsidRDefault="0058256B" w:rsidP="00977162">
      <w:pPr>
        <w:pStyle w:val="Textonotapie"/>
        <w:jc w:val="both"/>
        <w:rPr>
          <w:sz w:val="16"/>
          <w:szCs w:val="16"/>
        </w:rPr>
      </w:pPr>
      <w:r w:rsidRPr="00977162">
        <w:rPr>
          <w:sz w:val="16"/>
          <w:szCs w:val="16"/>
        </w:rPr>
        <w:t>El Área deberá remitir la solicitud, así como un escrito en el que funde y motive la clasificación al Comité de Transparencia, mismo que deberá resolver para:</w:t>
      </w:r>
    </w:p>
    <w:p w14:paraId="7E1AD3DD" w14:textId="77777777" w:rsidR="0058256B" w:rsidRPr="00977162" w:rsidRDefault="0058256B" w:rsidP="00977162">
      <w:pPr>
        <w:pStyle w:val="Textonotapie"/>
        <w:jc w:val="both"/>
        <w:rPr>
          <w:sz w:val="16"/>
          <w:szCs w:val="16"/>
        </w:rPr>
      </w:pPr>
      <w:r w:rsidRPr="00977162">
        <w:rPr>
          <w:sz w:val="16"/>
          <w:szCs w:val="16"/>
        </w:rPr>
        <w:t>I. Confirmar la clasificación;</w:t>
      </w:r>
    </w:p>
    <w:p w14:paraId="663EC4D0" w14:textId="77777777" w:rsidR="0058256B" w:rsidRPr="00977162" w:rsidRDefault="0058256B" w:rsidP="00977162">
      <w:pPr>
        <w:pStyle w:val="Textonotapie"/>
        <w:jc w:val="both"/>
        <w:rPr>
          <w:sz w:val="16"/>
          <w:szCs w:val="16"/>
        </w:rPr>
      </w:pPr>
      <w:r w:rsidRPr="00977162">
        <w:rPr>
          <w:sz w:val="16"/>
          <w:szCs w:val="16"/>
        </w:rPr>
        <w:t>II. Modificar la clasificación y otorgar total o parcialmente el acceso a la información, y</w:t>
      </w:r>
    </w:p>
    <w:p w14:paraId="11113F66" w14:textId="77777777" w:rsidR="0058256B" w:rsidRPr="00977162" w:rsidRDefault="0058256B" w:rsidP="00977162">
      <w:pPr>
        <w:pStyle w:val="Textonotapie"/>
        <w:jc w:val="both"/>
        <w:rPr>
          <w:sz w:val="16"/>
          <w:szCs w:val="16"/>
        </w:rPr>
      </w:pPr>
      <w:r w:rsidRPr="00977162">
        <w:rPr>
          <w:sz w:val="16"/>
          <w:szCs w:val="16"/>
        </w:rPr>
        <w:t>III. Revocar la clasificación y conceder el acceso a la información.</w:t>
      </w:r>
    </w:p>
    <w:p w14:paraId="5DB9EBBE" w14:textId="77777777" w:rsidR="0058256B" w:rsidRPr="00977162" w:rsidRDefault="0058256B" w:rsidP="00977162">
      <w:pPr>
        <w:pStyle w:val="Textonotapie"/>
        <w:jc w:val="both"/>
        <w:rPr>
          <w:sz w:val="16"/>
          <w:szCs w:val="16"/>
        </w:rPr>
      </w:pPr>
      <w:r w:rsidRPr="00977162">
        <w:rPr>
          <w:sz w:val="16"/>
          <w:szCs w:val="16"/>
        </w:rPr>
        <w:t>El Comité de Transparencia podrá tener acceso a la información que esté en poder del Área correspondiente, de la cual se haya solicitado su clasificación.</w:t>
      </w:r>
    </w:p>
    <w:p w14:paraId="1C2DFCD0" w14:textId="4095C100" w:rsidR="0058256B" w:rsidRPr="00977162" w:rsidRDefault="0058256B" w:rsidP="00977162">
      <w:pPr>
        <w:pStyle w:val="Textonotapie"/>
        <w:jc w:val="both"/>
        <w:rPr>
          <w:sz w:val="16"/>
          <w:szCs w:val="16"/>
        </w:rPr>
      </w:pPr>
      <w:r w:rsidRPr="00977162">
        <w:rPr>
          <w:sz w:val="16"/>
          <w:szCs w:val="16"/>
        </w:rPr>
        <w:t>La resolución del Comité de Transparencia será notificada al interesado en el plazo de respuesta a la solicitud que establece el artículo 154 de la presente Ley.</w:t>
      </w:r>
    </w:p>
  </w:footnote>
  <w:footnote w:id="8">
    <w:p w14:paraId="24188DF1" w14:textId="77777777" w:rsidR="0058256B" w:rsidRPr="004F62E7" w:rsidRDefault="0058256B" w:rsidP="004F62E7">
      <w:pPr>
        <w:pStyle w:val="Textonotapie"/>
        <w:jc w:val="both"/>
        <w:rPr>
          <w:sz w:val="16"/>
          <w:szCs w:val="16"/>
        </w:rPr>
      </w:pPr>
      <w:r w:rsidRPr="004F62E7">
        <w:rPr>
          <w:rStyle w:val="Refdenotaalpie"/>
          <w:sz w:val="16"/>
          <w:szCs w:val="16"/>
        </w:rPr>
        <w:footnoteRef/>
      </w:r>
      <w:r w:rsidRPr="004F62E7">
        <w:rPr>
          <w:sz w:val="16"/>
          <w:szCs w:val="16"/>
        </w:rPr>
        <w:t xml:space="preserve"> ARTÍCULO 119. Los sujetos obligados deberán aplicar, de manera restrictiva y limitada, las excepciones al derecho de acceso a la información prevista en el presente Título y deberán acreditar su procedencia.</w:t>
      </w:r>
    </w:p>
    <w:p w14:paraId="4D3321EC" w14:textId="5D0A1869" w:rsidR="0058256B" w:rsidRDefault="0058256B" w:rsidP="004F62E7">
      <w:pPr>
        <w:pStyle w:val="Textonotapie"/>
        <w:jc w:val="both"/>
      </w:pPr>
      <w:r w:rsidRPr="004F62E7">
        <w:rPr>
          <w:sz w:val="16"/>
          <w:szCs w:val="16"/>
        </w:rPr>
        <w:t>La carga de la prueba para justificar toda negativa de acceso a la información, por actualizarse cualquiera de los supuestos de reserva previstos, corresponderá a los sujetos obligados.</w:t>
      </w:r>
    </w:p>
  </w:footnote>
  <w:footnote w:id="9">
    <w:p w14:paraId="0DB7A7B2" w14:textId="4BC3FCD3" w:rsidR="0058256B" w:rsidRDefault="0058256B">
      <w:pPr>
        <w:pStyle w:val="Textonotapie"/>
      </w:pPr>
      <w:r>
        <w:rPr>
          <w:rStyle w:val="Refdenotaalpie"/>
        </w:rPr>
        <w:footnoteRef/>
      </w:r>
      <w:r w:rsidRPr="0038013D">
        <w:rPr>
          <w:rFonts w:cstheme="minorHAnsi"/>
          <w:sz w:val="16"/>
          <w:szCs w:val="16"/>
        </w:rPr>
        <w:t xml:space="preserve">ARTÍCULO 129. Como información reservada </w:t>
      </w:r>
      <w:r>
        <w:rPr>
          <w:rFonts w:cstheme="minorHAnsi"/>
          <w:sz w:val="16"/>
          <w:szCs w:val="16"/>
        </w:rPr>
        <w:t>podrá clasificarse aquella cuya publicación…</w:t>
      </w:r>
    </w:p>
  </w:footnote>
  <w:footnote w:id="10">
    <w:p w14:paraId="1739CB2B" w14:textId="77777777" w:rsidR="0058256B" w:rsidRPr="00C77DFB" w:rsidRDefault="0058256B" w:rsidP="00580C30">
      <w:pPr>
        <w:pStyle w:val="Textonotapie"/>
        <w:jc w:val="both"/>
        <w:rPr>
          <w:sz w:val="16"/>
          <w:szCs w:val="16"/>
        </w:rPr>
      </w:pPr>
      <w:r w:rsidRPr="00C77DFB">
        <w:rPr>
          <w:rStyle w:val="Refdenotaalpie"/>
          <w:sz w:val="16"/>
          <w:szCs w:val="16"/>
        </w:rPr>
        <w:footnoteRef/>
      </w:r>
      <w:r w:rsidRPr="00C77DFB">
        <w:rPr>
          <w:sz w:val="16"/>
          <w:szCs w:val="16"/>
        </w:rPr>
        <w:t xml:space="preserve"> ARTÍCULO 118. En la aplicación de la prueba de daño, el sujeto obligado deberá justificar que:</w:t>
      </w:r>
    </w:p>
    <w:p w14:paraId="1F33EAEB" w14:textId="77777777" w:rsidR="0058256B" w:rsidRPr="00C77DFB" w:rsidRDefault="0058256B" w:rsidP="00580C30">
      <w:pPr>
        <w:pStyle w:val="Textonotapie"/>
        <w:jc w:val="both"/>
        <w:rPr>
          <w:sz w:val="16"/>
          <w:szCs w:val="16"/>
        </w:rPr>
      </w:pPr>
      <w:r w:rsidRPr="00C77DFB">
        <w:rPr>
          <w:sz w:val="16"/>
          <w:szCs w:val="16"/>
        </w:rPr>
        <w:t>I. La divulgación de la información representa un riesgo real, demostrable e identificable de perjuicio significativo al interés público;</w:t>
      </w:r>
    </w:p>
    <w:p w14:paraId="25C7F8FD" w14:textId="77777777" w:rsidR="0058256B" w:rsidRPr="00C77DFB" w:rsidRDefault="0058256B" w:rsidP="00580C30">
      <w:pPr>
        <w:pStyle w:val="Textonotapie"/>
        <w:jc w:val="both"/>
        <w:rPr>
          <w:sz w:val="16"/>
          <w:szCs w:val="16"/>
        </w:rPr>
      </w:pPr>
      <w:r w:rsidRPr="00C77DFB">
        <w:rPr>
          <w:sz w:val="16"/>
          <w:szCs w:val="16"/>
        </w:rPr>
        <w:t>II. El riesgo de perjuicio que supondría la divulgación supera el interés público general de que se difunda, y</w:t>
      </w:r>
    </w:p>
    <w:p w14:paraId="03A7BD8F" w14:textId="77777777" w:rsidR="0058256B" w:rsidRDefault="0058256B" w:rsidP="00580C30">
      <w:pPr>
        <w:pStyle w:val="Textonotapie"/>
        <w:jc w:val="both"/>
      </w:pPr>
      <w:r w:rsidRPr="00C77DFB">
        <w:rPr>
          <w:sz w:val="16"/>
          <w:szCs w:val="16"/>
        </w:rPr>
        <w:t>III. La limitación se adecua al principio de proporcionalidad y representa el medio menos restrictivo disponible para evitar el perjuicio.</w:t>
      </w:r>
    </w:p>
  </w:footnote>
  <w:footnote w:id="11">
    <w:p w14:paraId="48AA309A" w14:textId="341112BC" w:rsidR="0058256B" w:rsidRPr="003F44F4" w:rsidRDefault="0058256B" w:rsidP="003F44F4">
      <w:pPr>
        <w:pStyle w:val="Textonotapie"/>
        <w:jc w:val="both"/>
        <w:rPr>
          <w:sz w:val="16"/>
          <w:szCs w:val="16"/>
        </w:rPr>
      </w:pPr>
      <w:r>
        <w:rPr>
          <w:rStyle w:val="Refdenotaalpie"/>
        </w:rPr>
        <w:footnoteRef/>
      </w:r>
      <w:r>
        <w:t xml:space="preserve"> </w:t>
      </w:r>
      <w:r w:rsidRPr="003F44F4">
        <w:rPr>
          <w:sz w:val="16"/>
          <w:szCs w:val="16"/>
        </w:rPr>
        <w:t>VIGÉSIMO TERCERO. Para clasificar la información como reservada, de conformidad con el artículo 113, fracción V de la Ley General, será necesario acreditar un vínculo, entre la persona física y la información que pueda poner en riesgo su vida, seguridad o salud.</w:t>
      </w:r>
    </w:p>
  </w:footnote>
  <w:footnote w:id="12">
    <w:p w14:paraId="577662CE" w14:textId="77777777" w:rsidR="0058256B" w:rsidRPr="00A86043" w:rsidRDefault="0058256B" w:rsidP="00A86043">
      <w:pPr>
        <w:pStyle w:val="Textonotapie"/>
        <w:jc w:val="both"/>
        <w:rPr>
          <w:sz w:val="16"/>
          <w:szCs w:val="16"/>
        </w:rPr>
      </w:pPr>
      <w:r w:rsidRPr="00A86043">
        <w:rPr>
          <w:rStyle w:val="Refdenotaalpie"/>
          <w:sz w:val="16"/>
          <w:szCs w:val="16"/>
        </w:rPr>
        <w:footnoteRef/>
      </w:r>
      <w:r w:rsidRPr="00A86043">
        <w:rPr>
          <w:sz w:val="16"/>
          <w:szCs w:val="16"/>
        </w:rPr>
        <w:t xml:space="preserve"> VIGÉSIMO NOVENO. De conformidad con el artículo 113, fracción X de la Ley General, podrá considerarse como información reservada, aquella que de divulgarse afecte el debido proceso al actualizarse los siguientes elementos:</w:t>
      </w:r>
    </w:p>
    <w:p w14:paraId="73B95B37" w14:textId="77777777" w:rsidR="0058256B" w:rsidRPr="00A86043" w:rsidRDefault="0058256B" w:rsidP="00A86043">
      <w:pPr>
        <w:pStyle w:val="Textonotapie"/>
        <w:jc w:val="both"/>
        <w:rPr>
          <w:sz w:val="16"/>
          <w:szCs w:val="16"/>
        </w:rPr>
      </w:pPr>
      <w:r w:rsidRPr="00A86043">
        <w:rPr>
          <w:sz w:val="16"/>
          <w:szCs w:val="16"/>
        </w:rPr>
        <w:t>I. La existencia de un procedimiento judicial, administrativo o arbitral en trámite;</w:t>
      </w:r>
    </w:p>
    <w:p w14:paraId="28ED39C7" w14:textId="77777777" w:rsidR="0058256B" w:rsidRPr="00A86043" w:rsidRDefault="0058256B" w:rsidP="00A86043">
      <w:pPr>
        <w:pStyle w:val="Textonotapie"/>
        <w:jc w:val="both"/>
        <w:rPr>
          <w:sz w:val="16"/>
          <w:szCs w:val="16"/>
        </w:rPr>
      </w:pPr>
      <w:r w:rsidRPr="00A86043">
        <w:rPr>
          <w:sz w:val="16"/>
          <w:szCs w:val="16"/>
        </w:rPr>
        <w:t>II. Que el sujeto obligado sea parte en ese procedimiento;</w:t>
      </w:r>
    </w:p>
    <w:p w14:paraId="2FCE573E" w14:textId="77777777" w:rsidR="0058256B" w:rsidRPr="00A86043" w:rsidRDefault="0058256B" w:rsidP="00A86043">
      <w:pPr>
        <w:pStyle w:val="Textonotapie"/>
        <w:jc w:val="both"/>
        <w:rPr>
          <w:sz w:val="16"/>
          <w:szCs w:val="16"/>
        </w:rPr>
      </w:pPr>
      <w:r w:rsidRPr="00A86043">
        <w:rPr>
          <w:sz w:val="16"/>
          <w:szCs w:val="16"/>
        </w:rPr>
        <w:t>III. Que la información no sea conocida por la contraparte antes de la presentación de la misma en el proceso, y</w:t>
      </w:r>
    </w:p>
    <w:p w14:paraId="4C2A726C" w14:textId="19F5B819" w:rsidR="0058256B" w:rsidRDefault="0058256B" w:rsidP="00A86043">
      <w:pPr>
        <w:pStyle w:val="Textonotapie"/>
      </w:pPr>
      <w:r w:rsidRPr="00A86043">
        <w:rPr>
          <w:sz w:val="16"/>
          <w:szCs w:val="16"/>
        </w:rPr>
        <w:t>IV. Que con su divulgación se afecte la oportunidad de llevar a cabo alguna de las garantías del debido proceso.</w:t>
      </w:r>
    </w:p>
  </w:footnote>
  <w:footnote w:id="13">
    <w:p w14:paraId="46FED580" w14:textId="77777777" w:rsidR="0058256B" w:rsidRPr="00C15D65" w:rsidRDefault="0058256B" w:rsidP="00C15D65">
      <w:pPr>
        <w:pStyle w:val="Textonotapie"/>
        <w:contextualSpacing/>
        <w:jc w:val="both"/>
        <w:rPr>
          <w:sz w:val="16"/>
          <w:szCs w:val="16"/>
        </w:rPr>
      </w:pPr>
      <w:r w:rsidRPr="00C15D65">
        <w:rPr>
          <w:rStyle w:val="Refdenotaalpie"/>
          <w:sz w:val="16"/>
          <w:szCs w:val="16"/>
        </w:rPr>
        <w:footnoteRef/>
      </w:r>
      <w:r w:rsidRPr="00C15D65">
        <w:rPr>
          <w:sz w:val="16"/>
          <w:szCs w:val="16"/>
        </w:rPr>
        <w:t xml:space="preserve"> TRIGÉSIMO. De conformidad con el artículo 113, fracción XI de la Ley General, podrá considerarse como información reservada, aquella que vulnere la conducción de los expedientes judiciales o de los procedimientos administrativos seguidos en forma de juicio, siempre y cuando se acrediten los siguientes elementos:</w:t>
      </w:r>
    </w:p>
    <w:p w14:paraId="39516D50" w14:textId="77777777" w:rsidR="0058256B" w:rsidRPr="00C15D65" w:rsidRDefault="0058256B" w:rsidP="00C15D65">
      <w:pPr>
        <w:pStyle w:val="Textonotapie"/>
        <w:contextualSpacing/>
        <w:jc w:val="both"/>
        <w:rPr>
          <w:sz w:val="16"/>
          <w:szCs w:val="16"/>
        </w:rPr>
      </w:pPr>
      <w:r w:rsidRPr="00C15D65">
        <w:rPr>
          <w:sz w:val="16"/>
          <w:szCs w:val="16"/>
        </w:rPr>
        <w:t>I. La existencia de un juicio o procedimiento administrativo materialmente jurisdiccional, que se encuentre en trámite, y</w:t>
      </w:r>
    </w:p>
    <w:p w14:paraId="2C7F80BF" w14:textId="7B004999" w:rsidR="0058256B" w:rsidRPr="00C15D65" w:rsidRDefault="0058256B" w:rsidP="00C15D65">
      <w:pPr>
        <w:pStyle w:val="Textonotapie"/>
        <w:jc w:val="both"/>
        <w:rPr>
          <w:sz w:val="16"/>
          <w:szCs w:val="16"/>
        </w:rPr>
      </w:pPr>
      <w:r w:rsidRPr="00C15D65">
        <w:rPr>
          <w:sz w:val="16"/>
          <w:szCs w:val="16"/>
        </w:rPr>
        <w:t>II. Que la información solicitada se refiera a actuaciones, diligencias o constancias propias del procedimiento.</w:t>
      </w:r>
    </w:p>
    <w:p w14:paraId="13E0910C" w14:textId="77777777" w:rsidR="0058256B" w:rsidRPr="00C15D65" w:rsidRDefault="0058256B" w:rsidP="00C15D65">
      <w:pPr>
        <w:pStyle w:val="Textonotapie"/>
        <w:jc w:val="both"/>
        <w:rPr>
          <w:sz w:val="16"/>
          <w:szCs w:val="16"/>
        </w:rPr>
      </w:pPr>
      <w:r w:rsidRPr="00C15D65">
        <w:rPr>
          <w:sz w:val="16"/>
          <w:szCs w:val="16"/>
        </w:rPr>
        <w:t>Para los efectos del primer párrafo de este numeral, se considera procedimiento seguido en forma de juicio a aquel formalmente administrativo, pero materialmente jurisdiccional; esto es, en el que concurran los siguientes elementos:</w:t>
      </w:r>
    </w:p>
    <w:p w14:paraId="29293587" w14:textId="597E995C" w:rsidR="0058256B" w:rsidRPr="00C15D65" w:rsidRDefault="0058256B" w:rsidP="00C15D65">
      <w:pPr>
        <w:pStyle w:val="Textonotapie"/>
        <w:jc w:val="both"/>
        <w:rPr>
          <w:sz w:val="16"/>
          <w:szCs w:val="16"/>
        </w:rPr>
      </w:pPr>
      <w:r w:rsidRPr="00C15D65">
        <w:rPr>
          <w:sz w:val="16"/>
          <w:szCs w:val="16"/>
        </w:rPr>
        <w:t>1. Que se trate de un procedimiento en el que la autoridad dirima una controversia entre partes contendientes, así co</w:t>
      </w:r>
      <w:r>
        <w:rPr>
          <w:sz w:val="16"/>
          <w:szCs w:val="16"/>
        </w:rPr>
        <w:t xml:space="preserve">mo los procedimientos en que la </w:t>
      </w:r>
      <w:r w:rsidRPr="00C15D65">
        <w:rPr>
          <w:sz w:val="16"/>
          <w:szCs w:val="16"/>
        </w:rPr>
        <w:t>autoridad, frente al particular, prepare su resolución definitiva, aunque sólo sea un trámite para cumplir con la garantía de audiencia, y</w:t>
      </w:r>
    </w:p>
    <w:p w14:paraId="2CF7506A" w14:textId="77777777" w:rsidR="0058256B" w:rsidRPr="00C15D65" w:rsidRDefault="0058256B" w:rsidP="00C15D65">
      <w:pPr>
        <w:pStyle w:val="Textonotapie"/>
        <w:jc w:val="both"/>
        <w:rPr>
          <w:sz w:val="16"/>
          <w:szCs w:val="16"/>
        </w:rPr>
      </w:pPr>
      <w:r w:rsidRPr="00C15D65">
        <w:rPr>
          <w:sz w:val="16"/>
          <w:szCs w:val="16"/>
        </w:rPr>
        <w:t>2. Que se cumplan las formalidades esenciales del procedimiento.</w:t>
      </w:r>
    </w:p>
    <w:p w14:paraId="55146466" w14:textId="26D4BA37" w:rsidR="0058256B" w:rsidRDefault="0058256B" w:rsidP="00C15D65">
      <w:pPr>
        <w:pStyle w:val="Textonotapie"/>
        <w:jc w:val="both"/>
      </w:pPr>
      <w:r w:rsidRPr="00C15D65">
        <w:rPr>
          <w:sz w:val="16"/>
          <w:szCs w:val="16"/>
        </w:rPr>
        <w:t>No serán objeto de reserva las resoluciones interlocutorias o definitivas que se dicten dentro de los procedimientos o con las que se concluya el mismo. En estos casos deberá otorgarse acceso a la resolución en versión pública, testando la información clasificada.</w:t>
      </w:r>
    </w:p>
  </w:footnote>
  <w:footnote w:id="14">
    <w:p w14:paraId="647A9A66" w14:textId="5A00F6E0" w:rsidR="00A37CE0" w:rsidRPr="001F3372" w:rsidRDefault="00A37CE0" w:rsidP="00A37CE0">
      <w:pPr>
        <w:pStyle w:val="Textonotapie"/>
        <w:rPr>
          <w:sz w:val="16"/>
          <w:szCs w:val="16"/>
        </w:rPr>
      </w:pPr>
      <w:r w:rsidRPr="001F3372">
        <w:rPr>
          <w:rStyle w:val="Refdenotaalpie"/>
          <w:sz w:val="16"/>
          <w:szCs w:val="16"/>
        </w:rPr>
        <w:footnoteRef/>
      </w:r>
      <w:r w:rsidRPr="001F3372">
        <w:rPr>
          <w:sz w:val="16"/>
          <w:szCs w:val="16"/>
        </w:rPr>
        <w:t xml:space="preserve"> </w:t>
      </w:r>
      <w:r w:rsidR="001F3372" w:rsidRPr="001F3372">
        <w:rPr>
          <w:sz w:val="16"/>
          <w:szCs w:val="16"/>
        </w:rPr>
        <w:t>Instituto de Transparencia, Información Pública y Protección de Datos Personales del Estado de Jalisco, La Debida Clasificación de la Información Pública. Teoría y práctica, (Primera edición, Noviembre 2022), Pag.</w:t>
      </w:r>
      <w:r w:rsidRPr="001F3372">
        <w:rPr>
          <w:sz w:val="16"/>
          <w:szCs w:val="16"/>
        </w:rPr>
        <w:t>239</w:t>
      </w:r>
      <w:r w:rsidR="001F3372" w:rsidRPr="001F3372">
        <w:rPr>
          <w:sz w:val="16"/>
          <w:szCs w:val="16"/>
        </w:rPr>
        <w:t xml:space="preserve"> </w:t>
      </w:r>
      <w:hyperlink r:id="rId1" w:history="1">
        <w:r w:rsidRPr="001F3372">
          <w:rPr>
            <w:rStyle w:val="Hipervnculo"/>
            <w:sz w:val="16"/>
            <w:szCs w:val="16"/>
          </w:rPr>
          <w:t>https://www.itei.org.mx/v3/documentos/estudios/debida_clasificacion_de_informacion_digital.pdf</w:t>
        </w:r>
      </w:hyperlink>
    </w:p>
  </w:footnote>
  <w:footnote w:id="15">
    <w:p w14:paraId="7D6C0971" w14:textId="77777777" w:rsidR="0013577B" w:rsidRPr="0013577B" w:rsidRDefault="0013577B" w:rsidP="0013577B">
      <w:pPr>
        <w:pStyle w:val="Textonotapie"/>
        <w:jc w:val="both"/>
        <w:rPr>
          <w:sz w:val="16"/>
          <w:szCs w:val="16"/>
        </w:rPr>
      </w:pPr>
      <w:r w:rsidRPr="0013577B">
        <w:rPr>
          <w:rStyle w:val="Refdenotaalpie"/>
          <w:sz w:val="16"/>
          <w:szCs w:val="16"/>
        </w:rPr>
        <w:footnoteRef/>
      </w:r>
      <w:r w:rsidRPr="0013577B">
        <w:rPr>
          <w:sz w:val="16"/>
          <w:szCs w:val="16"/>
        </w:rPr>
        <w:t xml:space="preserve"> ARTÍCULO 45. Es obligación de la Dirección de Fraccionamientos, en coordinación con la Dirección de Construcción y la Unidad de Proyectos, ejercer las siguientes funciones:</w:t>
      </w:r>
    </w:p>
    <w:p w14:paraId="34B32E56" w14:textId="77777777" w:rsidR="0013577B" w:rsidRPr="0013577B" w:rsidRDefault="0013577B" w:rsidP="0013577B">
      <w:pPr>
        <w:pStyle w:val="Textonotapie"/>
        <w:jc w:val="both"/>
        <w:rPr>
          <w:sz w:val="16"/>
          <w:szCs w:val="16"/>
        </w:rPr>
      </w:pPr>
      <w:r w:rsidRPr="0013577B">
        <w:rPr>
          <w:sz w:val="16"/>
          <w:szCs w:val="16"/>
        </w:rPr>
        <w:t>[…]</w:t>
      </w:r>
    </w:p>
    <w:p w14:paraId="59055D80" w14:textId="77777777" w:rsidR="0013577B" w:rsidRPr="0013577B" w:rsidRDefault="0013577B" w:rsidP="0013577B">
      <w:pPr>
        <w:pStyle w:val="Textonotapie"/>
        <w:jc w:val="both"/>
        <w:rPr>
          <w:sz w:val="16"/>
          <w:szCs w:val="16"/>
        </w:rPr>
      </w:pPr>
      <w:r w:rsidRPr="0013577B">
        <w:rPr>
          <w:sz w:val="16"/>
          <w:szCs w:val="16"/>
        </w:rPr>
        <w:t>XIV-. Ordenar la clausura, suspensión o cierre de las descargas a los desarrolladores, así como la colocación de sellos respecto a la línea de agua potable, a las de aguas residuales, al sistema de alcantarillado, como consecuencia de infracciones o incumplimiento a la legislación de la materia o por falta de pago de las contra-prestaciones correspondientes;</w:t>
      </w:r>
    </w:p>
    <w:p w14:paraId="3DE0E38C" w14:textId="77777777" w:rsidR="0013577B" w:rsidRPr="0013577B" w:rsidRDefault="0013577B" w:rsidP="0013577B">
      <w:pPr>
        <w:pStyle w:val="Textonotapie"/>
        <w:jc w:val="both"/>
        <w:rPr>
          <w:sz w:val="16"/>
          <w:szCs w:val="16"/>
        </w:rPr>
      </w:pPr>
      <w:r w:rsidRPr="0013577B">
        <w:rPr>
          <w:sz w:val="16"/>
          <w:szCs w:val="16"/>
        </w:rPr>
        <w:t>XV.- Vigilar en coordinación con las Direcciones y Unidades correspondientes, el cumplimiento por parte de los desarrolladores, de las medidas de prevención y/o seguridad y mitigación impuestas, además de las ordenadas en las resoluciones administrativas, así como sancionar su incumplimiento;</w:t>
      </w:r>
    </w:p>
    <w:p w14:paraId="70FFBFE5" w14:textId="778648D9" w:rsidR="0013577B" w:rsidRDefault="0013577B" w:rsidP="0013577B">
      <w:pPr>
        <w:pStyle w:val="Textonotapie"/>
        <w:jc w:val="both"/>
      </w:pPr>
      <w:r w:rsidRPr="0013577B">
        <w:rPr>
          <w:sz w:val="16"/>
          <w:szCs w:val="16"/>
        </w:rPr>
        <w:t>XVI.- Elaborar y mantener actualizado el manual para la incorporación de nuevos fraccionamientos o desarrollos urbanos, así como realizar un padrón de aquellos fraccionadores que hayan sido observados con el incumplimiento de las obligaciones contempladas en las leyes, decretos, normas, acuerdos, reglamentos y manuales aplicables por el INTERAPAS;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8256B" w:rsidRDefault="0058256B">
        <w:pPr>
          <w:pStyle w:val="Encabezado"/>
          <w:jc w:val="center"/>
        </w:pPr>
      </w:p>
      <w:p w14:paraId="5AEDE41B" w14:textId="77777777" w:rsidR="0058256B" w:rsidRDefault="0058256B">
        <w:pPr>
          <w:pStyle w:val="Encabezado"/>
          <w:jc w:val="center"/>
        </w:pPr>
      </w:p>
      <w:p w14:paraId="4FAD023F" w14:textId="5D40B454" w:rsidR="0058256B" w:rsidRDefault="0058256B">
        <w:pPr>
          <w:pStyle w:val="Encabezado"/>
          <w:jc w:val="center"/>
        </w:pPr>
        <w:r>
          <w:fldChar w:fldCharType="begin"/>
        </w:r>
        <w:r>
          <w:instrText>PAGE   \* MERGEFORMAT</w:instrText>
        </w:r>
        <w:r>
          <w:fldChar w:fldCharType="separate"/>
        </w:r>
        <w:r w:rsidR="00DF2478" w:rsidRPr="00DF2478">
          <w:rPr>
            <w:noProof/>
            <w:lang w:val="es-ES"/>
          </w:rPr>
          <w:t>26</w:t>
        </w:r>
        <w:r>
          <w:fldChar w:fldCharType="end"/>
        </w:r>
      </w:p>
    </w:sdtContent>
  </w:sdt>
  <w:p w14:paraId="3407CE7F" w14:textId="22F28DB5" w:rsidR="0058256B" w:rsidRDefault="0058256B" w:rsidP="00403C89">
    <w:pPr>
      <w:pStyle w:val="Encabezado"/>
      <w:jc w:val="right"/>
    </w:pPr>
    <w:r>
      <w:t>RECURSO DE REVISIÓN 1038/2025-1</w:t>
    </w:r>
  </w:p>
  <w:p w14:paraId="30F5D71D" w14:textId="77777777" w:rsidR="0058256B" w:rsidRDefault="0058256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6415D30D" w:rsidR="0058256B" w:rsidRDefault="0058256B"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DF2478" w:rsidRPr="00DF2478">
          <w:rPr>
            <w:noProof/>
            <w:lang w:val="es-ES"/>
          </w:rPr>
          <w:t>23</w:t>
        </w:r>
        <w:r>
          <w:fldChar w:fldCharType="end"/>
        </w:r>
        <w:r>
          <w:t xml:space="preserve">                                  </w:t>
        </w:r>
      </w:p>
      <w:p w14:paraId="4B8CFE5F" w14:textId="77777777" w:rsidR="0058256B" w:rsidRDefault="0058256B" w:rsidP="00125FB7">
        <w:pPr>
          <w:pStyle w:val="Encabezado"/>
          <w:jc w:val="right"/>
        </w:pPr>
      </w:p>
      <w:p w14:paraId="33FF87E3" w14:textId="07385144" w:rsidR="0058256B" w:rsidRDefault="0058256B" w:rsidP="00403C89">
        <w:pPr>
          <w:pStyle w:val="Encabezado"/>
          <w:jc w:val="right"/>
        </w:pPr>
        <w:r>
          <w:t>RECURSO DE REVISIÓN 1038/2025-1</w:t>
        </w:r>
      </w:p>
      <w:p w14:paraId="1F581E29" w14:textId="484A7B4B" w:rsidR="0058256B" w:rsidRDefault="00EF20DE" w:rsidP="00125FB7">
        <w:pPr>
          <w:pStyle w:val="Encabezado"/>
          <w:jc w:val="right"/>
        </w:pPr>
      </w:p>
    </w:sdtContent>
  </w:sdt>
  <w:p w14:paraId="1289C4E4" w14:textId="31ADB116" w:rsidR="0058256B" w:rsidRDefault="0058256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7EBF"/>
    <w:multiLevelType w:val="hybridMultilevel"/>
    <w:tmpl w:val="6F3A81B4"/>
    <w:lvl w:ilvl="0" w:tplc="080A0001">
      <w:start w:val="1"/>
      <w:numFmt w:val="bullet"/>
      <w:lvlText w:val=""/>
      <w:lvlJc w:val="left"/>
      <w:pPr>
        <w:ind w:left="6456" w:hanging="360"/>
      </w:pPr>
      <w:rPr>
        <w:rFonts w:ascii="Symbol" w:hAnsi="Symbol" w:hint="default"/>
      </w:rPr>
    </w:lvl>
    <w:lvl w:ilvl="1" w:tplc="080A0003" w:tentative="1">
      <w:start w:val="1"/>
      <w:numFmt w:val="bullet"/>
      <w:lvlText w:val="o"/>
      <w:lvlJc w:val="left"/>
      <w:pPr>
        <w:ind w:left="7176" w:hanging="360"/>
      </w:pPr>
      <w:rPr>
        <w:rFonts w:ascii="Courier New" w:hAnsi="Courier New" w:cs="Courier New" w:hint="default"/>
      </w:rPr>
    </w:lvl>
    <w:lvl w:ilvl="2" w:tplc="080A0005" w:tentative="1">
      <w:start w:val="1"/>
      <w:numFmt w:val="bullet"/>
      <w:lvlText w:val=""/>
      <w:lvlJc w:val="left"/>
      <w:pPr>
        <w:ind w:left="7896" w:hanging="360"/>
      </w:pPr>
      <w:rPr>
        <w:rFonts w:ascii="Wingdings" w:hAnsi="Wingdings" w:hint="default"/>
      </w:rPr>
    </w:lvl>
    <w:lvl w:ilvl="3" w:tplc="080A0001" w:tentative="1">
      <w:start w:val="1"/>
      <w:numFmt w:val="bullet"/>
      <w:lvlText w:val=""/>
      <w:lvlJc w:val="left"/>
      <w:pPr>
        <w:ind w:left="8616" w:hanging="360"/>
      </w:pPr>
      <w:rPr>
        <w:rFonts w:ascii="Symbol" w:hAnsi="Symbol" w:hint="default"/>
      </w:rPr>
    </w:lvl>
    <w:lvl w:ilvl="4" w:tplc="080A0003" w:tentative="1">
      <w:start w:val="1"/>
      <w:numFmt w:val="bullet"/>
      <w:lvlText w:val="o"/>
      <w:lvlJc w:val="left"/>
      <w:pPr>
        <w:ind w:left="9336" w:hanging="360"/>
      </w:pPr>
      <w:rPr>
        <w:rFonts w:ascii="Courier New" w:hAnsi="Courier New" w:cs="Courier New" w:hint="default"/>
      </w:rPr>
    </w:lvl>
    <w:lvl w:ilvl="5" w:tplc="080A0005" w:tentative="1">
      <w:start w:val="1"/>
      <w:numFmt w:val="bullet"/>
      <w:lvlText w:val=""/>
      <w:lvlJc w:val="left"/>
      <w:pPr>
        <w:ind w:left="10056" w:hanging="360"/>
      </w:pPr>
      <w:rPr>
        <w:rFonts w:ascii="Wingdings" w:hAnsi="Wingdings" w:hint="default"/>
      </w:rPr>
    </w:lvl>
    <w:lvl w:ilvl="6" w:tplc="080A0001" w:tentative="1">
      <w:start w:val="1"/>
      <w:numFmt w:val="bullet"/>
      <w:lvlText w:val=""/>
      <w:lvlJc w:val="left"/>
      <w:pPr>
        <w:ind w:left="10776" w:hanging="360"/>
      </w:pPr>
      <w:rPr>
        <w:rFonts w:ascii="Symbol" w:hAnsi="Symbol" w:hint="default"/>
      </w:rPr>
    </w:lvl>
    <w:lvl w:ilvl="7" w:tplc="080A0003" w:tentative="1">
      <w:start w:val="1"/>
      <w:numFmt w:val="bullet"/>
      <w:lvlText w:val="o"/>
      <w:lvlJc w:val="left"/>
      <w:pPr>
        <w:ind w:left="11496" w:hanging="360"/>
      </w:pPr>
      <w:rPr>
        <w:rFonts w:ascii="Courier New" w:hAnsi="Courier New" w:cs="Courier New" w:hint="default"/>
      </w:rPr>
    </w:lvl>
    <w:lvl w:ilvl="8" w:tplc="080A0005" w:tentative="1">
      <w:start w:val="1"/>
      <w:numFmt w:val="bullet"/>
      <w:lvlText w:val=""/>
      <w:lvlJc w:val="left"/>
      <w:pPr>
        <w:ind w:left="12216" w:hanging="360"/>
      </w:pPr>
      <w:rPr>
        <w:rFonts w:ascii="Wingdings" w:hAnsi="Wingdings" w:hint="default"/>
      </w:rPr>
    </w:lvl>
  </w:abstractNum>
  <w:abstractNum w:abstractNumId="1"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BD1FD0"/>
    <w:multiLevelType w:val="hybridMultilevel"/>
    <w:tmpl w:val="475AC95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EE651EF"/>
    <w:multiLevelType w:val="hybridMultilevel"/>
    <w:tmpl w:val="480417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1A05723"/>
    <w:multiLevelType w:val="hybridMultilevel"/>
    <w:tmpl w:val="43C8DD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21"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574D7CE1"/>
    <w:multiLevelType w:val="hybridMultilevel"/>
    <w:tmpl w:val="4EAA659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6"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2"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3"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4"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3"/>
  </w:num>
  <w:num w:numId="6">
    <w:abstractNumId w:val="22"/>
  </w:num>
  <w:num w:numId="7">
    <w:abstractNumId w:val="29"/>
  </w:num>
  <w:num w:numId="8">
    <w:abstractNumId w:val="34"/>
  </w:num>
  <w:num w:numId="9">
    <w:abstractNumId w:val="6"/>
  </w:num>
  <w:num w:numId="10">
    <w:abstractNumId w:val="40"/>
  </w:num>
  <w:num w:numId="11">
    <w:abstractNumId w:val="12"/>
  </w:num>
  <w:num w:numId="12">
    <w:abstractNumId w:val="36"/>
  </w:num>
  <w:num w:numId="13">
    <w:abstractNumId w:val="26"/>
  </w:num>
  <w:num w:numId="14">
    <w:abstractNumId w:val="13"/>
  </w:num>
  <w:num w:numId="15">
    <w:abstractNumId w:val="39"/>
  </w:num>
  <w:num w:numId="16">
    <w:abstractNumId w:val="8"/>
  </w:num>
  <w:num w:numId="17">
    <w:abstractNumId w:val="4"/>
  </w:num>
  <w:num w:numId="18">
    <w:abstractNumId w:val="20"/>
  </w:num>
  <w:num w:numId="19">
    <w:abstractNumId w:val="24"/>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31"/>
  </w:num>
  <w:num w:numId="23">
    <w:abstractNumId w:val="38"/>
  </w:num>
  <w:num w:numId="24">
    <w:abstractNumId w:val="44"/>
  </w:num>
  <w:num w:numId="25">
    <w:abstractNumId w:val="23"/>
  </w:num>
  <w:num w:numId="26">
    <w:abstractNumId w:val="41"/>
  </w:num>
  <w:num w:numId="27">
    <w:abstractNumId w:val="11"/>
  </w:num>
  <w:num w:numId="28">
    <w:abstractNumId w:val="42"/>
  </w:num>
  <w:num w:numId="29">
    <w:abstractNumId w:val="37"/>
  </w:num>
  <w:num w:numId="30">
    <w:abstractNumId w:val="28"/>
  </w:num>
  <w:num w:numId="31">
    <w:abstractNumId w:val="32"/>
  </w:num>
  <w:num w:numId="32">
    <w:abstractNumId w:val="10"/>
  </w:num>
  <w:num w:numId="33">
    <w:abstractNumId w:val="18"/>
  </w:num>
  <w:num w:numId="34">
    <w:abstractNumId w:val="19"/>
  </w:num>
  <w:num w:numId="35">
    <w:abstractNumId w:val="21"/>
  </w:num>
  <w:num w:numId="36">
    <w:abstractNumId w:val="15"/>
  </w:num>
  <w:num w:numId="37">
    <w:abstractNumId w:val="33"/>
  </w:num>
  <w:num w:numId="38">
    <w:abstractNumId w:val="17"/>
  </w:num>
  <w:num w:numId="39">
    <w:abstractNumId w:val="25"/>
  </w:num>
  <w:num w:numId="40">
    <w:abstractNumId w:val="27"/>
  </w:num>
  <w:num w:numId="41">
    <w:abstractNumId w:val="3"/>
  </w:num>
  <w:num w:numId="42">
    <w:abstractNumId w:val="9"/>
  </w:num>
  <w:num w:numId="43">
    <w:abstractNumId w:val="7"/>
  </w:num>
  <w:num w:numId="44">
    <w:abstractNumId w:val="0"/>
  </w:num>
  <w:num w:numId="45">
    <w:abstractNumId w:val="35"/>
  </w:num>
  <w:num w:numId="46">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5A9"/>
    <w:rsid w:val="000066AD"/>
    <w:rsid w:val="00006F32"/>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083"/>
    <w:rsid w:val="00017BB1"/>
    <w:rsid w:val="00020321"/>
    <w:rsid w:val="000204DB"/>
    <w:rsid w:val="000204FD"/>
    <w:rsid w:val="00020754"/>
    <w:rsid w:val="0002158C"/>
    <w:rsid w:val="00022417"/>
    <w:rsid w:val="00022854"/>
    <w:rsid w:val="00023148"/>
    <w:rsid w:val="00023196"/>
    <w:rsid w:val="00023DDC"/>
    <w:rsid w:val="00024A0D"/>
    <w:rsid w:val="000264CE"/>
    <w:rsid w:val="000268B4"/>
    <w:rsid w:val="00027437"/>
    <w:rsid w:val="00027D7D"/>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06B2"/>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47A"/>
    <w:rsid w:val="0004680C"/>
    <w:rsid w:val="000475EF"/>
    <w:rsid w:val="000476BE"/>
    <w:rsid w:val="000515EE"/>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0595"/>
    <w:rsid w:val="0007132B"/>
    <w:rsid w:val="000713A9"/>
    <w:rsid w:val="0007175D"/>
    <w:rsid w:val="00071C60"/>
    <w:rsid w:val="000728F5"/>
    <w:rsid w:val="00072F69"/>
    <w:rsid w:val="00073A45"/>
    <w:rsid w:val="00073D92"/>
    <w:rsid w:val="00073FAD"/>
    <w:rsid w:val="00074801"/>
    <w:rsid w:val="00075773"/>
    <w:rsid w:val="0007588B"/>
    <w:rsid w:val="00075AF0"/>
    <w:rsid w:val="000769EA"/>
    <w:rsid w:val="00076B14"/>
    <w:rsid w:val="00076B33"/>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5C3A"/>
    <w:rsid w:val="0009622D"/>
    <w:rsid w:val="00096AE6"/>
    <w:rsid w:val="000A069A"/>
    <w:rsid w:val="000A15C7"/>
    <w:rsid w:val="000A1695"/>
    <w:rsid w:val="000A350C"/>
    <w:rsid w:val="000A4CCE"/>
    <w:rsid w:val="000A5C54"/>
    <w:rsid w:val="000A65C3"/>
    <w:rsid w:val="000A66E6"/>
    <w:rsid w:val="000A6997"/>
    <w:rsid w:val="000A6E73"/>
    <w:rsid w:val="000A70D9"/>
    <w:rsid w:val="000A7695"/>
    <w:rsid w:val="000B0E1E"/>
    <w:rsid w:val="000B0FFC"/>
    <w:rsid w:val="000B14D7"/>
    <w:rsid w:val="000B173E"/>
    <w:rsid w:val="000B2308"/>
    <w:rsid w:val="000B245A"/>
    <w:rsid w:val="000B24FA"/>
    <w:rsid w:val="000B2854"/>
    <w:rsid w:val="000B2A56"/>
    <w:rsid w:val="000B2ACA"/>
    <w:rsid w:val="000B3669"/>
    <w:rsid w:val="000B3E87"/>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39D"/>
    <w:rsid w:val="000D4606"/>
    <w:rsid w:val="000D5187"/>
    <w:rsid w:val="000D589A"/>
    <w:rsid w:val="000D5AE4"/>
    <w:rsid w:val="000D5F96"/>
    <w:rsid w:val="000D67DB"/>
    <w:rsid w:val="000D6CBC"/>
    <w:rsid w:val="000D7909"/>
    <w:rsid w:val="000D7B1B"/>
    <w:rsid w:val="000D7B5E"/>
    <w:rsid w:val="000E1B3A"/>
    <w:rsid w:val="000E1E2C"/>
    <w:rsid w:val="000E2026"/>
    <w:rsid w:val="000E208C"/>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D70"/>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2FB0"/>
    <w:rsid w:val="0010335D"/>
    <w:rsid w:val="00103587"/>
    <w:rsid w:val="00104953"/>
    <w:rsid w:val="00104D94"/>
    <w:rsid w:val="001051FA"/>
    <w:rsid w:val="00105712"/>
    <w:rsid w:val="0010582A"/>
    <w:rsid w:val="001066AF"/>
    <w:rsid w:val="00106B48"/>
    <w:rsid w:val="00106E39"/>
    <w:rsid w:val="00107681"/>
    <w:rsid w:val="0011106A"/>
    <w:rsid w:val="00111B8C"/>
    <w:rsid w:val="001139E8"/>
    <w:rsid w:val="0011415A"/>
    <w:rsid w:val="0011417A"/>
    <w:rsid w:val="00114B4F"/>
    <w:rsid w:val="00115A2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3EB"/>
    <w:rsid w:val="00131410"/>
    <w:rsid w:val="00131414"/>
    <w:rsid w:val="00131457"/>
    <w:rsid w:val="001314EC"/>
    <w:rsid w:val="00131565"/>
    <w:rsid w:val="00131876"/>
    <w:rsid w:val="00131A56"/>
    <w:rsid w:val="00132062"/>
    <w:rsid w:val="00132B4A"/>
    <w:rsid w:val="00132E47"/>
    <w:rsid w:val="00133F96"/>
    <w:rsid w:val="00135019"/>
    <w:rsid w:val="0013577B"/>
    <w:rsid w:val="00136B1A"/>
    <w:rsid w:val="0013755E"/>
    <w:rsid w:val="00140C7C"/>
    <w:rsid w:val="00140DA7"/>
    <w:rsid w:val="00141314"/>
    <w:rsid w:val="00141ACB"/>
    <w:rsid w:val="00141F55"/>
    <w:rsid w:val="00143CF3"/>
    <w:rsid w:val="00143E86"/>
    <w:rsid w:val="001453D7"/>
    <w:rsid w:val="001458BC"/>
    <w:rsid w:val="00145CDF"/>
    <w:rsid w:val="001463BA"/>
    <w:rsid w:val="00146903"/>
    <w:rsid w:val="00146EA8"/>
    <w:rsid w:val="00147FD1"/>
    <w:rsid w:val="0015001F"/>
    <w:rsid w:val="00150455"/>
    <w:rsid w:val="001507EE"/>
    <w:rsid w:val="00150901"/>
    <w:rsid w:val="001516BA"/>
    <w:rsid w:val="0015238A"/>
    <w:rsid w:val="00152F21"/>
    <w:rsid w:val="001533C3"/>
    <w:rsid w:val="001533D7"/>
    <w:rsid w:val="00153B40"/>
    <w:rsid w:val="00154820"/>
    <w:rsid w:val="00154B3E"/>
    <w:rsid w:val="00155071"/>
    <w:rsid w:val="00155C27"/>
    <w:rsid w:val="001560E0"/>
    <w:rsid w:val="0015675B"/>
    <w:rsid w:val="001604E7"/>
    <w:rsid w:val="00160B77"/>
    <w:rsid w:val="00160C23"/>
    <w:rsid w:val="00160D7A"/>
    <w:rsid w:val="001616E5"/>
    <w:rsid w:val="0016194F"/>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A9"/>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795"/>
    <w:rsid w:val="00181FF7"/>
    <w:rsid w:val="001820C8"/>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598"/>
    <w:rsid w:val="001B6A86"/>
    <w:rsid w:val="001B6BC4"/>
    <w:rsid w:val="001B751D"/>
    <w:rsid w:val="001B7749"/>
    <w:rsid w:val="001C1864"/>
    <w:rsid w:val="001C1CFD"/>
    <w:rsid w:val="001C209E"/>
    <w:rsid w:val="001C20CD"/>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4D5C"/>
    <w:rsid w:val="001E5B97"/>
    <w:rsid w:val="001E5BCA"/>
    <w:rsid w:val="001E5D8A"/>
    <w:rsid w:val="001E6071"/>
    <w:rsid w:val="001E6629"/>
    <w:rsid w:val="001E7191"/>
    <w:rsid w:val="001E75A0"/>
    <w:rsid w:val="001E79BD"/>
    <w:rsid w:val="001F1467"/>
    <w:rsid w:val="001F3372"/>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C34"/>
    <w:rsid w:val="00224587"/>
    <w:rsid w:val="00225B18"/>
    <w:rsid w:val="00225E11"/>
    <w:rsid w:val="00226C49"/>
    <w:rsid w:val="00227666"/>
    <w:rsid w:val="002306C3"/>
    <w:rsid w:val="002308BB"/>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28AC"/>
    <w:rsid w:val="00243217"/>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388C"/>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46B7"/>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3DDA"/>
    <w:rsid w:val="002A430C"/>
    <w:rsid w:val="002A4D6F"/>
    <w:rsid w:val="002A5765"/>
    <w:rsid w:val="002A615B"/>
    <w:rsid w:val="002A783A"/>
    <w:rsid w:val="002A7A8B"/>
    <w:rsid w:val="002B05CF"/>
    <w:rsid w:val="002B05F6"/>
    <w:rsid w:val="002B06B1"/>
    <w:rsid w:val="002B0751"/>
    <w:rsid w:val="002B0B52"/>
    <w:rsid w:val="002B1005"/>
    <w:rsid w:val="002B19B6"/>
    <w:rsid w:val="002B1AFE"/>
    <w:rsid w:val="002B1DC9"/>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0023"/>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4994"/>
    <w:rsid w:val="002D506F"/>
    <w:rsid w:val="002D53ED"/>
    <w:rsid w:val="002D5CF9"/>
    <w:rsid w:val="002D5F1C"/>
    <w:rsid w:val="002D63B1"/>
    <w:rsid w:val="002D68E3"/>
    <w:rsid w:val="002D7DD9"/>
    <w:rsid w:val="002E08BD"/>
    <w:rsid w:val="002E0CE2"/>
    <w:rsid w:val="002E1369"/>
    <w:rsid w:val="002E17ED"/>
    <w:rsid w:val="002E1C06"/>
    <w:rsid w:val="002E26FC"/>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A90"/>
    <w:rsid w:val="002F2B4D"/>
    <w:rsid w:val="002F31EB"/>
    <w:rsid w:val="002F37D4"/>
    <w:rsid w:val="002F47FA"/>
    <w:rsid w:val="002F4C34"/>
    <w:rsid w:val="002F5173"/>
    <w:rsid w:val="002F63E3"/>
    <w:rsid w:val="002F6964"/>
    <w:rsid w:val="002F7A86"/>
    <w:rsid w:val="002F7D20"/>
    <w:rsid w:val="003003F9"/>
    <w:rsid w:val="00300DCC"/>
    <w:rsid w:val="0030121A"/>
    <w:rsid w:val="00301B95"/>
    <w:rsid w:val="003020C9"/>
    <w:rsid w:val="003035AD"/>
    <w:rsid w:val="00303BDF"/>
    <w:rsid w:val="00303E78"/>
    <w:rsid w:val="00304BF5"/>
    <w:rsid w:val="00305125"/>
    <w:rsid w:val="003054C7"/>
    <w:rsid w:val="00305B4D"/>
    <w:rsid w:val="003069A3"/>
    <w:rsid w:val="00306D04"/>
    <w:rsid w:val="00307DF2"/>
    <w:rsid w:val="00307EFA"/>
    <w:rsid w:val="0031085F"/>
    <w:rsid w:val="00310B53"/>
    <w:rsid w:val="00311906"/>
    <w:rsid w:val="00312052"/>
    <w:rsid w:val="003128D9"/>
    <w:rsid w:val="00312C17"/>
    <w:rsid w:val="00314293"/>
    <w:rsid w:val="00314BC8"/>
    <w:rsid w:val="00315930"/>
    <w:rsid w:val="00315D8F"/>
    <w:rsid w:val="00315F33"/>
    <w:rsid w:val="00316466"/>
    <w:rsid w:val="0031654C"/>
    <w:rsid w:val="003166F4"/>
    <w:rsid w:val="003168F3"/>
    <w:rsid w:val="00317018"/>
    <w:rsid w:val="00317125"/>
    <w:rsid w:val="003175E3"/>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36E41"/>
    <w:rsid w:val="0034089A"/>
    <w:rsid w:val="00341D49"/>
    <w:rsid w:val="00341E99"/>
    <w:rsid w:val="003422C6"/>
    <w:rsid w:val="00342582"/>
    <w:rsid w:val="00343B68"/>
    <w:rsid w:val="0034477F"/>
    <w:rsid w:val="00344A6F"/>
    <w:rsid w:val="00344D10"/>
    <w:rsid w:val="00345AAD"/>
    <w:rsid w:val="00345D66"/>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2FC"/>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13D"/>
    <w:rsid w:val="00380AFE"/>
    <w:rsid w:val="00380FCA"/>
    <w:rsid w:val="003813BD"/>
    <w:rsid w:val="003816EE"/>
    <w:rsid w:val="00383944"/>
    <w:rsid w:val="00383BB6"/>
    <w:rsid w:val="00383D2A"/>
    <w:rsid w:val="0038405A"/>
    <w:rsid w:val="003848C3"/>
    <w:rsid w:val="003854F9"/>
    <w:rsid w:val="003857F0"/>
    <w:rsid w:val="00385C09"/>
    <w:rsid w:val="00385E4D"/>
    <w:rsid w:val="003864E9"/>
    <w:rsid w:val="003864ED"/>
    <w:rsid w:val="00386C16"/>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4CF1"/>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0C1"/>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0F0"/>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7459"/>
    <w:rsid w:val="003C7A42"/>
    <w:rsid w:val="003D054C"/>
    <w:rsid w:val="003D1073"/>
    <w:rsid w:val="003D1446"/>
    <w:rsid w:val="003D18F8"/>
    <w:rsid w:val="003D19AE"/>
    <w:rsid w:val="003D257A"/>
    <w:rsid w:val="003D2911"/>
    <w:rsid w:val="003D3FEA"/>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2E0"/>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4F4"/>
    <w:rsid w:val="003F461D"/>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169DA"/>
    <w:rsid w:val="00416F5A"/>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7E"/>
    <w:rsid w:val="00432789"/>
    <w:rsid w:val="004327B3"/>
    <w:rsid w:val="00432A55"/>
    <w:rsid w:val="00432E4E"/>
    <w:rsid w:val="00432EF7"/>
    <w:rsid w:val="00433E04"/>
    <w:rsid w:val="00433F09"/>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5CB1"/>
    <w:rsid w:val="0045652E"/>
    <w:rsid w:val="00456856"/>
    <w:rsid w:val="0046095C"/>
    <w:rsid w:val="00460DFB"/>
    <w:rsid w:val="00461B02"/>
    <w:rsid w:val="00462142"/>
    <w:rsid w:val="00462AFB"/>
    <w:rsid w:val="0046484E"/>
    <w:rsid w:val="0046569E"/>
    <w:rsid w:val="00466AFD"/>
    <w:rsid w:val="00470FF1"/>
    <w:rsid w:val="004719E9"/>
    <w:rsid w:val="00472090"/>
    <w:rsid w:val="00472417"/>
    <w:rsid w:val="004742C5"/>
    <w:rsid w:val="00474EE1"/>
    <w:rsid w:val="00474F12"/>
    <w:rsid w:val="00475471"/>
    <w:rsid w:val="004763A8"/>
    <w:rsid w:val="004765CF"/>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2B7"/>
    <w:rsid w:val="004905F4"/>
    <w:rsid w:val="004908DD"/>
    <w:rsid w:val="00490AAA"/>
    <w:rsid w:val="00491EB9"/>
    <w:rsid w:val="00491F18"/>
    <w:rsid w:val="0049219E"/>
    <w:rsid w:val="004939FA"/>
    <w:rsid w:val="00493B1A"/>
    <w:rsid w:val="00493BEE"/>
    <w:rsid w:val="00493E63"/>
    <w:rsid w:val="00493FBF"/>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50F"/>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059"/>
    <w:rsid w:val="004D5555"/>
    <w:rsid w:val="004D5624"/>
    <w:rsid w:val="004D6281"/>
    <w:rsid w:val="004D6B31"/>
    <w:rsid w:val="004D7266"/>
    <w:rsid w:val="004D72F6"/>
    <w:rsid w:val="004D7692"/>
    <w:rsid w:val="004E08C0"/>
    <w:rsid w:val="004E098F"/>
    <w:rsid w:val="004E0AAF"/>
    <w:rsid w:val="004E0BCC"/>
    <w:rsid w:val="004E13A6"/>
    <w:rsid w:val="004E1411"/>
    <w:rsid w:val="004E1781"/>
    <w:rsid w:val="004E2393"/>
    <w:rsid w:val="004E26DC"/>
    <w:rsid w:val="004E2858"/>
    <w:rsid w:val="004E2C5A"/>
    <w:rsid w:val="004E317D"/>
    <w:rsid w:val="004E3226"/>
    <w:rsid w:val="004E3DC4"/>
    <w:rsid w:val="004E4165"/>
    <w:rsid w:val="004E6CF0"/>
    <w:rsid w:val="004E73EE"/>
    <w:rsid w:val="004E7C39"/>
    <w:rsid w:val="004F002D"/>
    <w:rsid w:val="004F0840"/>
    <w:rsid w:val="004F097F"/>
    <w:rsid w:val="004F0E5E"/>
    <w:rsid w:val="004F108B"/>
    <w:rsid w:val="004F279A"/>
    <w:rsid w:val="004F35CA"/>
    <w:rsid w:val="004F497E"/>
    <w:rsid w:val="004F4EDD"/>
    <w:rsid w:val="004F524B"/>
    <w:rsid w:val="004F6065"/>
    <w:rsid w:val="004F62E7"/>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CD7"/>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259C"/>
    <w:rsid w:val="005526C0"/>
    <w:rsid w:val="00553010"/>
    <w:rsid w:val="005535F1"/>
    <w:rsid w:val="00553BE4"/>
    <w:rsid w:val="005543C1"/>
    <w:rsid w:val="005545CB"/>
    <w:rsid w:val="00554F9D"/>
    <w:rsid w:val="00555255"/>
    <w:rsid w:val="00555517"/>
    <w:rsid w:val="00556765"/>
    <w:rsid w:val="00556C65"/>
    <w:rsid w:val="00556CE3"/>
    <w:rsid w:val="00556D92"/>
    <w:rsid w:val="00557FBA"/>
    <w:rsid w:val="00561A10"/>
    <w:rsid w:val="005624EA"/>
    <w:rsid w:val="00562569"/>
    <w:rsid w:val="005628F7"/>
    <w:rsid w:val="00563372"/>
    <w:rsid w:val="00563CC9"/>
    <w:rsid w:val="0056434F"/>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0C30"/>
    <w:rsid w:val="00581689"/>
    <w:rsid w:val="00581774"/>
    <w:rsid w:val="00581CB4"/>
    <w:rsid w:val="00582443"/>
    <w:rsid w:val="0058256B"/>
    <w:rsid w:val="00582D6C"/>
    <w:rsid w:val="00583B73"/>
    <w:rsid w:val="00584CD5"/>
    <w:rsid w:val="005853C7"/>
    <w:rsid w:val="00585A56"/>
    <w:rsid w:val="00585DA1"/>
    <w:rsid w:val="0058623B"/>
    <w:rsid w:val="0058631D"/>
    <w:rsid w:val="005863AD"/>
    <w:rsid w:val="00586DAE"/>
    <w:rsid w:val="005873DB"/>
    <w:rsid w:val="0058762E"/>
    <w:rsid w:val="00591BAC"/>
    <w:rsid w:val="00591E89"/>
    <w:rsid w:val="005933C1"/>
    <w:rsid w:val="00593E21"/>
    <w:rsid w:val="00594CEF"/>
    <w:rsid w:val="005957F6"/>
    <w:rsid w:val="00595D2F"/>
    <w:rsid w:val="00595D79"/>
    <w:rsid w:val="00595FF7"/>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4D9F"/>
    <w:rsid w:val="005A5AB1"/>
    <w:rsid w:val="005A5BB9"/>
    <w:rsid w:val="005A5C86"/>
    <w:rsid w:val="005A5CBE"/>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0B9A"/>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69B3"/>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0AC7"/>
    <w:rsid w:val="00630D49"/>
    <w:rsid w:val="00631629"/>
    <w:rsid w:val="006319A4"/>
    <w:rsid w:val="0063328B"/>
    <w:rsid w:val="006334B5"/>
    <w:rsid w:val="00633EE6"/>
    <w:rsid w:val="00634179"/>
    <w:rsid w:val="00634281"/>
    <w:rsid w:val="00634A36"/>
    <w:rsid w:val="00636A24"/>
    <w:rsid w:val="00636A6A"/>
    <w:rsid w:val="00636B2E"/>
    <w:rsid w:val="00637967"/>
    <w:rsid w:val="00637AC5"/>
    <w:rsid w:val="006408AE"/>
    <w:rsid w:val="00640A87"/>
    <w:rsid w:val="00641892"/>
    <w:rsid w:val="00641E08"/>
    <w:rsid w:val="00642375"/>
    <w:rsid w:val="006426A2"/>
    <w:rsid w:val="00642B1E"/>
    <w:rsid w:val="006431D6"/>
    <w:rsid w:val="00643810"/>
    <w:rsid w:val="00643BB1"/>
    <w:rsid w:val="00644083"/>
    <w:rsid w:val="006446BA"/>
    <w:rsid w:val="006446C5"/>
    <w:rsid w:val="00644CFD"/>
    <w:rsid w:val="00644F4F"/>
    <w:rsid w:val="00644FFD"/>
    <w:rsid w:val="00645D3C"/>
    <w:rsid w:val="00645E8E"/>
    <w:rsid w:val="00646143"/>
    <w:rsid w:val="006468CF"/>
    <w:rsid w:val="0064753E"/>
    <w:rsid w:val="00647759"/>
    <w:rsid w:val="00647769"/>
    <w:rsid w:val="006502E6"/>
    <w:rsid w:val="00650A93"/>
    <w:rsid w:val="0065124E"/>
    <w:rsid w:val="00651398"/>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196"/>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15D"/>
    <w:rsid w:val="00682943"/>
    <w:rsid w:val="006839D9"/>
    <w:rsid w:val="00684218"/>
    <w:rsid w:val="0068462C"/>
    <w:rsid w:val="006846F7"/>
    <w:rsid w:val="00684E2C"/>
    <w:rsid w:val="00686A44"/>
    <w:rsid w:val="00686BDB"/>
    <w:rsid w:val="00686E07"/>
    <w:rsid w:val="00687563"/>
    <w:rsid w:val="00687830"/>
    <w:rsid w:val="00687B56"/>
    <w:rsid w:val="00687D28"/>
    <w:rsid w:val="00687FEC"/>
    <w:rsid w:val="00690065"/>
    <w:rsid w:val="006906F6"/>
    <w:rsid w:val="006914F4"/>
    <w:rsid w:val="006927F9"/>
    <w:rsid w:val="00692A39"/>
    <w:rsid w:val="00694266"/>
    <w:rsid w:val="0069542C"/>
    <w:rsid w:val="006957E1"/>
    <w:rsid w:val="00695C4F"/>
    <w:rsid w:val="0069606C"/>
    <w:rsid w:val="00696773"/>
    <w:rsid w:val="00696C0C"/>
    <w:rsid w:val="00697072"/>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086"/>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60B2"/>
    <w:rsid w:val="006B7996"/>
    <w:rsid w:val="006B7E1C"/>
    <w:rsid w:val="006C0024"/>
    <w:rsid w:val="006C02C3"/>
    <w:rsid w:val="006C1939"/>
    <w:rsid w:val="006C1F08"/>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1E10"/>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0E22"/>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5C"/>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0DA"/>
    <w:rsid w:val="00716159"/>
    <w:rsid w:val="00716824"/>
    <w:rsid w:val="00716CC0"/>
    <w:rsid w:val="0071712B"/>
    <w:rsid w:val="00717216"/>
    <w:rsid w:val="007173AA"/>
    <w:rsid w:val="00717599"/>
    <w:rsid w:val="00720626"/>
    <w:rsid w:val="00720C84"/>
    <w:rsid w:val="00721352"/>
    <w:rsid w:val="00721576"/>
    <w:rsid w:val="00722BBB"/>
    <w:rsid w:val="00723B08"/>
    <w:rsid w:val="00723CF2"/>
    <w:rsid w:val="00724139"/>
    <w:rsid w:val="007241E1"/>
    <w:rsid w:val="007242F0"/>
    <w:rsid w:val="00724932"/>
    <w:rsid w:val="007255B1"/>
    <w:rsid w:val="00726332"/>
    <w:rsid w:val="00726D64"/>
    <w:rsid w:val="00726E88"/>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1D13"/>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C93"/>
    <w:rsid w:val="00786E8B"/>
    <w:rsid w:val="00787218"/>
    <w:rsid w:val="00787443"/>
    <w:rsid w:val="007875E0"/>
    <w:rsid w:val="00787F52"/>
    <w:rsid w:val="007905D4"/>
    <w:rsid w:val="0079198C"/>
    <w:rsid w:val="007929BD"/>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3A5"/>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06F"/>
    <w:rsid w:val="007B360D"/>
    <w:rsid w:val="007B39F5"/>
    <w:rsid w:val="007B3D55"/>
    <w:rsid w:val="007B3EC8"/>
    <w:rsid w:val="007B3F80"/>
    <w:rsid w:val="007B58D5"/>
    <w:rsid w:val="007B5ACB"/>
    <w:rsid w:val="007B6F61"/>
    <w:rsid w:val="007B7C25"/>
    <w:rsid w:val="007C02B3"/>
    <w:rsid w:val="007C05D8"/>
    <w:rsid w:val="007C0BA5"/>
    <w:rsid w:val="007C0F82"/>
    <w:rsid w:val="007C1E05"/>
    <w:rsid w:val="007C1EBC"/>
    <w:rsid w:val="007C2019"/>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14B0"/>
    <w:rsid w:val="007D20D0"/>
    <w:rsid w:val="007D30E4"/>
    <w:rsid w:val="007D3289"/>
    <w:rsid w:val="007D39E5"/>
    <w:rsid w:val="007D3D2A"/>
    <w:rsid w:val="007D4BD0"/>
    <w:rsid w:val="007D5E6D"/>
    <w:rsid w:val="007D5F41"/>
    <w:rsid w:val="007D5F51"/>
    <w:rsid w:val="007D7CD0"/>
    <w:rsid w:val="007E0567"/>
    <w:rsid w:val="007E0C35"/>
    <w:rsid w:val="007E1212"/>
    <w:rsid w:val="007E1EFD"/>
    <w:rsid w:val="007E21B9"/>
    <w:rsid w:val="007E22F1"/>
    <w:rsid w:val="007E2875"/>
    <w:rsid w:val="007E2976"/>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2D5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D1F"/>
    <w:rsid w:val="00843FA5"/>
    <w:rsid w:val="008442D8"/>
    <w:rsid w:val="0084484D"/>
    <w:rsid w:val="008449F4"/>
    <w:rsid w:val="00845146"/>
    <w:rsid w:val="00845225"/>
    <w:rsid w:val="00845C98"/>
    <w:rsid w:val="00846809"/>
    <w:rsid w:val="0084702A"/>
    <w:rsid w:val="0084778B"/>
    <w:rsid w:val="00847BEF"/>
    <w:rsid w:val="00847C98"/>
    <w:rsid w:val="00847E36"/>
    <w:rsid w:val="00847F87"/>
    <w:rsid w:val="00847FEA"/>
    <w:rsid w:val="00850A67"/>
    <w:rsid w:val="008511E6"/>
    <w:rsid w:val="00852332"/>
    <w:rsid w:val="00852404"/>
    <w:rsid w:val="0085255C"/>
    <w:rsid w:val="00852B70"/>
    <w:rsid w:val="00852DFE"/>
    <w:rsid w:val="00853042"/>
    <w:rsid w:val="0085384B"/>
    <w:rsid w:val="008540CA"/>
    <w:rsid w:val="00854176"/>
    <w:rsid w:val="008554F5"/>
    <w:rsid w:val="008555FC"/>
    <w:rsid w:val="00855774"/>
    <w:rsid w:val="00855F88"/>
    <w:rsid w:val="00856B00"/>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2F6F"/>
    <w:rsid w:val="0087324C"/>
    <w:rsid w:val="0087399A"/>
    <w:rsid w:val="008743C9"/>
    <w:rsid w:val="0087699A"/>
    <w:rsid w:val="00876B36"/>
    <w:rsid w:val="008772EC"/>
    <w:rsid w:val="00877878"/>
    <w:rsid w:val="008808B2"/>
    <w:rsid w:val="00880D55"/>
    <w:rsid w:val="00880ECC"/>
    <w:rsid w:val="0088176A"/>
    <w:rsid w:val="008817E2"/>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18C9"/>
    <w:rsid w:val="008A1D7C"/>
    <w:rsid w:val="008A20DC"/>
    <w:rsid w:val="008A2950"/>
    <w:rsid w:val="008A2B8A"/>
    <w:rsid w:val="008A2D48"/>
    <w:rsid w:val="008A33BD"/>
    <w:rsid w:val="008A38D0"/>
    <w:rsid w:val="008A3E34"/>
    <w:rsid w:val="008A42E0"/>
    <w:rsid w:val="008A50AF"/>
    <w:rsid w:val="008A58D1"/>
    <w:rsid w:val="008A60F2"/>
    <w:rsid w:val="008A671B"/>
    <w:rsid w:val="008A6723"/>
    <w:rsid w:val="008A7642"/>
    <w:rsid w:val="008A7F43"/>
    <w:rsid w:val="008A7FF4"/>
    <w:rsid w:val="008B008E"/>
    <w:rsid w:val="008B19C2"/>
    <w:rsid w:val="008B2DF8"/>
    <w:rsid w:val="008B3601"/>
    <w:rsid w:val="008B3DEE"/>
    <w:rsid w:val="008B45F2"/>
    <w:rsid w:val="008B59E7"/>
    <w:rsid w:val="008B6940"/>
    <w:rsid w:val="008B74F1"/>
    <w:rsid w:val="008B7848"/>
    <w:rsid w:val="008B7F5D"/>
    <w:rsid w:val="008C07DE"/>
    <w:rsid w:val="008C1351"/>
    <w:rsid w:val="008C14F6"/>
    <w:rsid w:val="008C19C4"/>
    <w:rsid w:val="008C41A8"/>
    <w:rsid w:val="008C465E"/>
    <w:rsid w:val="008C4ED5"/>
    <w:rsid w:val="008C520F"/>
    <w:rsid w:val="008C5374"/>
    <w:rsid w:val="008C55EB"/>
    <w:rsid w:val="008C5858"/>
    <w:rsid w:val="008C5873"/>
    <w:rsid w:val="008C669E"/>
    <w:rsid w:val="008C66AC"/>
    <w:rsid w:val="008C6821"/>
    <w:rsid w:val="008C6DEB"/>
    <w:rsid w:val="008C70F9"/>
    <w:rsid w:val="008C72FE"/>
    <w:rsid w:val="008C7CF2"/>
    <w:rsid w:val="008C7FBF"/>
    <w:rsid w:val="008D001D"/>
    <w:rsid w:val="008D07DE"/>
    <w:rsid w:val="008D1AF5"/>
    <w:rsid w:val="008D2C75"/>
    <w:rsid w:val="008D2D39"/>
    <w:rsid w:val="008D3A86"/>
    <w:rsid w:val="008D4048"/>
    <w:rsid w:val="008D4AA5"/>
    <w:rsid w:val="008D52B2"/>
    <w:rsid w:val="008D6E96"/>
    <w:rsid w:val="008D7F20"/>
    <w:rsid w:val="008E010A"/>
    <w:rsid w:val="008E0719"/>
    <w:rsid w:val="008E0F26"/>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0F1B"/>
    <w:rsid w:val="008F1E7E"/>
    <w:rsid w:val="008F2302"/>
    <w:rsid w:val="008F23D5"/>
    <w:rsid w:val="008F33AB"/>
    <w:rsid w:val="008F356C"/>
    <w:rsid w:val="008F44AD"/>
    <w:rsid w:val="008F4777"/>
    <w:rsid w:val="008F5721"/>
    <w:rsid w:val="008F5E00"/>
    <w:rsid w:val="008F65E9"/>
    <w:rsid w:val="008F6684"/>
    <w:rsid w:val="008F707F"/>
    <w:rsid w:val="00901077"/>
    <w:rsid w:val="00901613"/>
    <w:rsid w:val="00901B0C"/>
    <w:rsid w:val="00902038"/>
    <w:rsid w:val="00902D96"/>
    <w:rsid w:val="00902E89"/>
    <w:rsid w:val="0090408A"/>
    <w:rsid w:val="009046DF"/>
    <w:rsid w:val="00905344"/>
    <w:rsid w:val="00905AF3"/>
    <w:rsid w:val="0090619D"/>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16FB7"/>
    <w:rsid w:val="009177D1"/>
    <w:rsid w:val="0092045D"/>
    <w:rsid w:val="009212D1"/>
    <w:rsid w:val="00922915"/>
    <w:rsid w:val="00922BEC"/>
    <w:rsid w:val="00923428"/>
    <w:rsid w:val="0092495A"/>
    <w:rsid w:val="00925206"/>
    <w:rsid w:val="00925220"/>
    <w:rsid w:val="00925B73"/>
    <w:rsid w:val="00925D54"/>
    <w:rsid w:val="0092679D"/>
    <w:rsid w:val="009268ED"/>
    <w:rsid w:val="00926B27"/>
    <w:rsid w:val="00926B84"/>
    <w:rsid w:val="00926CE2"/>
    <w:rsid w:val="00927BD8"/>
    <w:rsid w:val="00927F66"/>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0DB"/>
    <w:rsid w:val="00946CC4"/>
    <w:rsid w:val="0094750B"/>
    <w:rsid w:val="00947AB0"/>
    <w:rsid w:val="00947CF3"/>
    <w:rsid w:val="009501F2"/>
    <w:rsid w:val="00950241"/>
    <w:rsid w:val="0095133F"/>
    <w:rsid w:val="009515A3"/>
    <w:rsid w:val="009515DE"/>
    <w:rsid w:val="009516E9"/>
    <w:rsid w:val="00951A5A"/>
    <w:rsid w:val="00951B38"/>
    <w:rsid w:val="00952000"/>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1EA2"/>
    <w:rsid w:val="009724FC"/>
    <w:rsid w:val="0097265D"/>
    <w:rsid w:val="0097293F"/>
    <w:rsid w:val="00972ED6"/>
    <w:rsid w:val="00973664"/>
    <w:rsid w:val="0097484C"/>
    <w:rsid w:val="00975706"/>
    <w:rsid w:val="00976379"/>
    <w:rsid w:val="00977162"/>
    <w:rsid w:val="0097782A"/>
    <w:rsid w:val="00980BD2"/>
    <w:rsid w:val="00980C06"/>
    <w:rsid w:val="00981D1E"/>
    <w:rsid w:val="00981FB1"/>
    <w:rsid w:val="0098231B"/>
    <w:rsid w:val="00982A7D"/>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2B2B"/>
    <w:rsid w:val="009A370A"/>
    <w:rsid w:val="009A45AA"/>
    <w:rsid w:val="009A5437"/>
    <w:rsid w:val="009A55FE"/>
    <w:rsid w:val="009A5CB9"/>
    <w:rsid w:val="009A66EE"/>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051"/>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C634B"/>
    <w:rsid w:val="009D14A7"/>
    <w:rsid w:val="009D162C"/>
    <w:rsid w:val="009D213E"/>
    <w:rsid w:val="009D22EF"/>
    <w:rsid w:val="009D284E"/>
    <w:rsid w:val="009D2AB5"/>
    <w:rsid w:val="009D2F04"/>
    <w:rsid w:val="009D2F94"/>
    <w:rsid w:val="009D3529"/>
    <w:rsid w:val="009D402A"/>
    <w:rsid w:val="009D4606"/>
    <w:rsid w:val="009D5529"/>
    <w:rsid w:val="009D5CEC"/>
    <w:rsid w:val="009D67C5"/>
    <w:rsid w:val="009D71D7"/>
    <w:rsid w:val="009D788E"/>
    <w:rsid w:val="009D7BCE"/>
    <w:rsid w:val="009E0092"/>
    <w:rsid w:val="009E02FD"/>
    <w:rsid w:val="009E081E"/>
    <w:rsid w:val="009E136B"/>
    <w:rsid w:val="009E165E"/>
    <w:rsid w:val="009E2819"/>
    <w:rsid w:val="009E34DA"/>
    <w:rsid w:val="009E375F"/>
    <w:rsid w:val="009E4194"/>
    <w:rsid w:val="009E4679"/>
    <w:rsid w:val="009E4DE4"/>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57D"/>
    <w:rsid w:val="009F673A"/>
    <w:rsid w:val="009F6DBC"/>
    <w:rsid w:val="009F767C"/>
    <w:rsid w:val="009F790D"/>
    <w:rsid w:val="009F7BBE"/>
    <w:rsid w:val="00A0103D"/>
    <w:rsid w:val="00A01601"/>
    <w:rsid w:val="00A01B86"/>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3F26"/>
    <w:rsid w:val="00A14344"/>
    <w:rsid w:val="00A153DB"/>
    <w:rsid w:val="00A15A17"/>
    <w:rsid w:val="00A1601E"/>
    <w:rsid w:val="00A16249"/>
    <w:rsid w:val="00A1688A"/>
    <w:rsid w:val="00A168FA"/>
    <w:rsid w:val="00A20BE4"/>
    <w:rsid w:val="00A21034"/>
    <w:rsid w:val="00A22BD9"/>
    <w:rsid w:val="00A22CAE"/>
    <w:rsid w:val="00A22FEA"/>
    <w:rsid w:val="00A232E3"/>
    <w:rsid w:val="00A23E64"/>
    <w:rsid w:val="00A2443F"/>
    <w:rsid w:val="00A245E3"/>
    <w:rsid w:val="00A24D8D"/>
    <w:rsid w:val="00A25365"/>
    <w:rsid w:val="00A2554C"/>
    <w:rsid w:val="00A26591"/>
    <w:rsid w:val="00A265FA"/>
    <w:rsid w:val="00A27BCD"/>
    <w:rsid w:val="00A30E4A"/>
    <w:rsid w:val="00A31B2D"/>
    <w:rsid w:val="00A337E5"/>
    <w:rsid w:val="00A33A5E"/>
    <w:rsid w:val="00A34222"/>
    <w:rsid w:val="00A35AC9"/>
    <w:rsid w:val="00A361EF"/>
    <w:rsid w:val="00A3655A"/>
    <w:rsid w:val="00A369D3"/>
    <w:rsid w:val="00A36F9D"/>
    <w:rsid w:val="00A37173"/>
    <w:rsid w:val="00A3791B"/>
    <w:rsid w:val="00A37CE0"/>
    <w:rsid w:val="00A405CB"/>
    <w:rsid w:val="00A40783"/>
    <w:rsid w:val="00A40ECF"/>
    <w:rsid w:val="00A410AA"/>
    <w:rsid w:val="00A416CD"/>
    <w:rsid w:val="00A429D2"/>
    <w:rsid w:val="00A42AEE"/>
    <w:rsid w:val="00A42E17"/>
    <w:rsid w:val="00A4457B"/>
    <w:rsid w:val="00A4471D"/>
    <w:rsid w:val="00A44CD7"/>
    <w:rsid w:val="00A457E5"/>
    <w:rsid w:val="00A45C19"/>
    <w:rsid w:val="00A46679"/>
    <w:rsid w:val="00A47E09"/>
    <w:rsid w:val="00A47F17"/>
    <w:rsid w:val="00A50C59"/>
    <w:rsid w:val="00A518EB"/>
    <w:rsid w:val="00A51A39"/>
    <w:rsid w:val="00A51F0B"/>
    <w:rsid w:val="00A51F9E"/>
    <w:rsid w:val="00A5291C"/>
    <w:rsid w:val="00A53953"/>
    <w:rsid w:val="00A53D13"/>
    <w:rsid w:val="00A53E5A"/>
    <w:rsid w:val="00A53FBD"/>
    <w:rsid w:val="00A54656"/>
    <w:rsid w:val="00A551F3"/>
    <w:rsid w:val="00A558E5"/>
    <w:rsid w:val="00A56171"/>
    <w:rsid w:val="00A605EA"/>
    <w:rsid w:val="00A60F7B"/>
    <w:rsid w:val="00A6118B"/>
    <w:rsid w:val="00A61539"/>
    <w:rsid w:val="00A62121"/>
    <w:rsid w:val="00A621E0"/>
    <w:rsid w:val="00A6236E"/>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9B7"/>
    <w:rsid w:val="00A73F45"/>
    <w:rsid w:val="00A753CC"/>
    <w:rsid w:val="00A75597"/>
    <w:rsid w:val="00A755E2"/>
    <w:rsid w:val="00A7601B"/>
    <w:rsid w:val="00A7676D"/>
    <w:rsid w:val="00A76B0F"/>
    <w:rsid w:val="00A76C42"/>
    <w:rsid w:val="00A77100"/>
    <w:rsid w:val="00A7719F"/>
    <w:rsid w:val="00A80891"/>
    <w:rsid w:val="00A808A7"/>
    <w:rsid w:val="00A80934"/>
    <w:rsid w:val="00A81616"/>
    <w:rsid w:val="00A81AE1"/>
    <w:rsid w:val="00A822BE"/>
    <w:rsid w:val="00A82898"/>
    <w:rsid w:val="00A82E54"/>
    <w:rsid w:val="00A8311C"/>
    <w:rsid w:val="00A831BE"/>
    <w:rsid w:val="00A83BC1"/>
    <w:rsid w:val="00A841E5"/>
    <w:rsid w:val="00A8483F"/>
    <w:rsid w:val="00A84C3B"/>
    <w:rsid w:val="00A84F86"/>
    <w:rsid w:val="00A857F2"/>
    <w:rsid w:val="00A8585B"/>
    <w:rsid w:val="00A85ABF"/>
    <w:rsid w:val="00A85F22"/>
    <w:rsid w:val="00A86043"/>
    <w:rsid w:val="00A86FA7"/>
    <w:rsid w:val="00A87882"/>
    <w:rsid w:val="00A909F9"/>
    <w:rsid w:val="00A90BAF"/>
    <w:rsid w:val="00A90D35"/>
    <w:rsid w:val="00A90D3B"/>
    <w:rsid w:val="00A91494"/>
    <w:rsid w:val="00A92D9A"/>
    <w:rsid w:val="00A95237"/>
    <w:rsid w:val="00AA036D"/>
    <w:rsid w:val="00AA20BF"/>
    <w:rsid w:val="00AA24D5"/>
    <w:rsid w:val="00AA2B12"/>
    <w:rsid w:val="00AA305C"/>
    <w:rsid w:val="00AA32D3"/>
    <w:rsid w:val="00AA33AF"/>
    <w:rsid w:val="00AA4E36"/>
    <w:rsid w:val="00AA5CCF"/>
    <w:rsid w:val="00AA5CD2"/>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1D8E"/>
    <w:rsid w:val="00AC2F18"/>
    <w:rsid w:val="00AC316C"/>
    <w:rsid w:val="00AC4A9A"/>
    <w:rsid w:val="00AC4EE1"/>
    <w:rsid w:val="00AC58D3"/>
    <w:rsid w:val="00AC6447"/>
    <w:rsid w:val="00AC6C41"/>
    <w:rsid w:val="00AC6D89"/>
    <w:rsid w:val="00AC759D"/>
    <w:rsid w:val="00AC75C3"/>
    <w:rsid w:val="00AC79E2"/>
    <w:rsid w:val="00AC7C57"/>
    <w:rsid w:val="00AD1A07"/>
    <w:rsid w:val="00AD26E7"/>
    <w:rsid w:val="00AD3B7C"/>
    <w:rsid w:val="00AD490A"/>
    <w:rsid w:val="00AD4FE0"/>
    <w:rsid w:val="00AD5172"/>
    <w:rsid w:val="00AD70C4"/>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331"/>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12F"/>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757"/>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15C"/>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4FA3"/>
    <w:rsid w:val="00B86832"/>
    <w:rsid w:val="00B86F4A"/>
    <w:rsid w:val="00B87336"/>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11FC"/>
    <w:rsid w:val="00BA12AC"/>
    <w:rsid w:val="00BA14AB"/>
    <w:rsid w:val="00BA200C"/>
    <w:rsid w:val="00BA35D9"/>
    <w:rsid w:val="00BA4129"/>
    <w:rsid w:val="00BA4F3B"/>
    <w:rsid w:val="00BA5238"/>
    <w:rsid w:val="00BA5F2C"/>
    <w:rsid w:val="00BA7070"/>
    <w:rsid w:val="00BA7079"/>
    <w:rsid w:val="00BA77B6"/>
    <w:rsid w:val="00BB0089"/>
    <w:rsid w:val="00BB066B"/>
    <w:rsid w:val="00BB09D4"/>
    <w:rsid w:val="00BB0B57"/>
    <w:rsid w:val="00BB0DF8"/>
    <w:rsid w:val="00BB11BE"/>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264A"/>
    <w:rsid w:val="00BD3DB7"/>
    <w:rsid w:val="00BD43F3"/>
    <w:rsid w:val="00BD4495"/>
    <w:rsid w:val="00BD584E"/>
    <w:rsid w:val="00BD5C8E"/>
    <w:rsid w:val="00BD5CD8"/>
    <w:rsid w:val="00BD624D"/>
    <w:rsid w:val="00BD685F"/>
    <w:rsid w:val="00BD6867"/>
    <w:rsid w:val="00BD68DE"/>
    <w:rsid w:val="00BD76B0"/>
    <w:rsid w:val="00BE07E1"/>
    <w:rsid w:val="00BE147A"/>
    <w:rsid w:val="00BE182D"/>
    <w:rsid w:val="00BE2375"/>
    <w:rsid w:val="00BE2ABF"/>
    <w:rsid w:val="00BE2D5B"/>
    <w:rsid w:val="00BE3DA0"/>
    <w:rsid w:val="00BE486C"/>
    <w:rsid w:val="00BE4AED"/>
    <w:rsid w:val="00BE4E6C"/>
    <w:rsid w:val="00BE5881"/>
    <w:rsid w:val="00BE59A5"/>
    <w:rsid w:val="00BE5E2D"/>
    <w:rsid w:val="00BE61C3"/>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E61"/>
    <w:rsid w:val="00C05653"/>
    <w:rsid w:val="00C05C4B"/>
    <w:rsid w:val="00C06890"/>
    <w:rsid w:val="00C06903"/>
    <w:rsid w:val="00C069CE"/>
    <w:rsid w:val="00C06BD4"/>
    <w:rsid w:val="00C06BE3"/>
    <w:rsid w:val="00C06CA1"/>
    <w:rsid w:val="00C0707B"/>
    <w:rsid w:val="00C07217"/>
    <w:rsid w:val="00C0761B"/>
    <w:rsid w:val="00C11128"/>
    <w:rsid w:val="00C12794"/>
    <w:rsid w:val="00C12921"/>
    <w:rsid w:val="00C12CF7"/>
    <w:rsid w:val="00C139A6"/>
    <w:rsid w:val="00C147F4"/>
    <w:rsid w:val="00C15015"/>
    <w:rsid w:val="00C1512C"/>
    <w:rsid w:val="00C15D65"/>
    <w:rsid w:val="00C15DBB"/>
    <w:rsid w:val="00C1698E"/>
    <w:rsid w:val="00C1708F"/>
    <w:rsid w:val="00C17D8B"/>
    <w:rsid w:val="00C17EAB"/>
    <w:rsid w:val="00C20A82"/>
    <w:rsid w:val="00C20C13"/>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6FCF"/>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69B"/>
    <w:rsid w:val="00C4677D"/>
    <w:rsid w:val="00C47D7A"/>
    <w:rsid w:val="00C500A0"/>
    <w:rsid w:val="00C5020F"/>
    <w:rsid w:val="00C50352"/>
    <w:rsid w:val="00C51585"/>
    <w:rsid w:val="00C51AAD"/>
    <w:rsid w:val="00C520C6"/>
    <w:rsid w:val="00C523B3"/>
    <w:rsid w:val="00C52DB3"/>
    <w:rsid w:val="00C52EAF"/>
    <w:rsid w:val="00C53225"/>
    <w:rsid w:val="00C533B8"/>
    <w:rsid w:val="00C5342B"/>
    <w:rsid w:val="00C53744"/>
    <w:rsid w:val="00C53BBE"/>
    <w:rsid w:val="00C53ED0"/>
    <w:rsid w:val="00C550D6"/>
    <w:rsid w:val="00C55B39"/>
    <w:rsid w:val="00C5613F"/>
    <w:rsid w:val="00C56685"/>
    <w:rsid w:val="00C56886"/>
    <w:rsid w:val="00C568CD"/>
    <w:rsid w:val="00C56A78"/>
    <w:rsid w:val="00C56DEF"/>
    <w:rsid w:val="00C56E66"/>
    <w:rsid w:val="00C56EA2"/>
    <w:rsid w:val="00C57701"/>
    <w:rsid w:val="00C57A9F"/>
    <w:rsid w:val="00C57C11"/>
    <w:rsid w:val="00C60600"/>
    <w:rsid w:val="00C612E5"/>
    <w:rsid w:val="00C615D8"/>
    <w:rsid w:val="00C61D6D"/>
    <w:rsid w:val="00C6226D"/>
    <w:rsid w:val="00C640AC"/>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C57"/>
    <w:rsid w:val="00C74D46"/>
    <w:rsid w:val="00C74E3E"/>
    <w:rsid w:val="00C7556F"/>
    <w:rsid w:val="00C7569A"/>
    <w:rsid w:val="00C7618E"/>
    <w:rsid w:val="00C764AC"/>
    <w:rsid w:val="00C771D0"/>
    <w:rsid w:val="00C77B0E"/>
    <w:rsid w:val="00C77DFB"/>
    <w:rsid w:val="00C77ECB"/>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4385"/>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2DA8"/>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263"/>
    <w:rsid w:val="00CC7615"/>
    <w:rsid w:val="00CD0A2E"/>
    <w:rsid w:val="00CD0B2D"/>
    <w:rsid w:val="00CD0D70"/>
    <w:rsid w:val="00CD17DA"/>
    <w:rsid w:val="00CD1943"/>
    <w:rsid w:val="00CD26C5"/>
    <w:rsid w:val="00CD2722"/>
    <w:rsid w:val="00CD33DF"/>
    <w:rsid w:val="00CD37EE"/>
    <w:rsid w:val="00CD3864"/>
    <w:rsid w:val="00CD4A0C"/>
    <w:rsid w:val="00CD54D8"/>
    <w:rsid w:val="00CD56B2"/>
    <w:rsid w:val="00CD570B"/>
    <w:rsid w:val="00CD61E4"/>
    <w:rsid w:val="00CD6603"/>
    <w:rsid w:val="00CD672E"/>
    <w:rsid w:val="00CE0C42"/>
    <w:rsid w:val="00CE110C"/>
    <w:rsid w:val="00CE1973"/>
    <w:rsid w:val="00CE1B43"/>
    <w:rsid w:val="00CE1B5E"/>
    <w:rsid w:val="00CE1E98"/>
    <w:rsid w:val="00CE2870"/>
    <w:rsid w:val="00CE2CC1"/>
    <w:rsid w:val="00CE2F90"/>
    <w:rsid w:val="00CE3790"/>
    <w:rsid w:val="00CE3A16"/>
    <w:rsid w:val="00CE3F0D"/>
    <w:rsid w:val="00CE4083"/>
    <w:rsid w:val="00CE4542"/>
    <w:rsid w:val="00CE458C"/>
    <w:rsid w:val="00CE46A7"/>
    <w:rsid w:val="00CE598C"/>
    <w:rsid w:val="00CE5A49"/>
    <w:rsid w:val="00CE5ED0"/>
    <w:rsid w:val="00CE7334"/>
    <w:rsid w:val="00CE7468"/>
    <w:rsid w:val="00CE7658"/>
    <w:rsid w:val="00CE7D21"/>
    <w:rsid w:val="00CF015A"/>
    <w:rsid w:val="00CF0EA9"/>
    <w:rsid w:val="00CF1047"/>
    <w:rsid w:val="00CF1523"/>
    <w:rsid w:val="00CF1639"/>
    <w:rsid w:val="00CF1FB5"/>
    <w:rsid w:val="00CF27C8"/>
    <w:rsid w:val="00CF3D0C"/>
    <w:rsid w:val="00CF457F"/>
    <w:rsid w:val="00CF474C"/>
    <w:rsid w:val="00CF5194"/>
    <w:rsid w:val="00CF549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A06"/>
    <w:rsid w:val="00D05D48"/>
    <w:rsid w:val="00D05D94"/>
    <w:rsid w:val="00D05EB7"/>
    <w:rsid w:val="00D0678E"/>
    <w:rsid w:val="00D06F1B"/>
    <w:rsid w:val="00D0725B"/>
    <w:rsid w:val="00D0740D"/>
    <w:rsid w:val="00D07951"/>
    <w:rsid w:val="00D07ABE"/>
    <w:rsid w:val="00D10A98"/>
    <w:rsid w:val="00D11052"/>
    <w:rsid w:val="00D11536"/>
    <w:rsid w:val="00D11990"/>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1C6"/>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2ABB"/>
    <w:rsid w:val="00D531CC"/>
    <w:rsid w:val="00D5397B"/>
    <w:rsid w:val="00D5489C"/>
    <w:rsid w:val="00D5587F"/>
    <w:rsid w:val="00D563C3"/>
    <w:rsid w:val="00D575D6"/>
    <w:rsid w:val="00D60D20"/>
    <w:rsid w:val="00D60E55"/>
    <w:rsid w:val="00D61733"/>
    <w:rsid w:val="00D6264D"/>
    <w:rsid w:val="00D63009"/>
    <w:rsid w:val="00D639D0"/>
    <w:rsid w:val="00D63AC0"/>
    <w:rsid w:val="00D644D6"/>
    <w:rsid w:val="00D6605A"/>
    <w:rsid w:val="00D66586"/>
    <w:rsid w:val="00D668E8"/>
    <w:rsid w:val="00D6699C"/>
    <w:rsid w:val="00D67102"/>
    <w:rsid w:val="00D67BBF"/>
    <w:rsid w:val="00D67BD3"/>
    <w:rsid w:val="00D67E3C"/>
    <w:rsid w:val="00D70161"/>
    <w:rsid w:val="00D70733"/>
    <w:rsid w:val="00D707CC"/>
    <w:rsid w:val="00D71833"/>
    <w:rsid w:val="00D71927"/>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60B"/>
    <w:rsid w:val="00D90988"/>
    <w:rsid w:val="00D9099F"/>
    <w:rsid w:val="00D909F7"/>
    <w:rsid w:val="00D90C7E"/>
    <w:rsid w:val="00D90E97"/>
    <w:rsid w:val="00D91013"/>
    <w:rsid w:val="00D91812"/>
    <w:rsid w:val="00D91870"/>
    <w:rsid w:val="00D927AA"/>
    <w:rsid w:val="00D930ED"/>
    <w:rsid w:val="00D9322D"/>
    <w:rsid w:val="00D935D5"/>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4C1D"/>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4F8"/>
    <w:rsid w:val="00DE3570"/>
    <w:rsid w:val="00DE4169"/>
    <w:rsid w:val="00DE49E2"/>
    <w:rsid w:val="00DE65D5"/>
    <w:rsid w:val="00DE68EE"/>
    <w:rsid w:val="00DE740A"/>
    <w:rsid w:val="00DE7AF1"/>
    <w:rsid w:val="00DE7B29"/>
    <w:rsid w:val="00DE7FBA"/>
    <w:rsid w:val="00DF0BA4"/>
    <w:rsid w:val="00DF0E07"/>
    <w:rsid w:val="00DF14AD"/>
    <w:rsid w:val="00DF2407"/>
    <w:rsid w:val="00DF2478"/>
    <w:rsid w:val="00DF2E56"/>
    <w:rsid w:val="00DF2FD6"/>
    <w:rsid w:val="00DF3389"/>
    <w:rsid w:val="00DF3CCC"/>
    <w:rsid w:val="00DF3E90"/>
    <w:rsid w:val="00DF591A"/>
    <w:rsid w:val="00DF5B89"/>
    <w:rsid w:val="00DF5FF4"/>
    <w:rsid w:val="00DF67D9"/>
    <w:rsid w:val="00DF68D7"/>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3D9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3782B"/>
    <w:rsid w:val="00E40AFD"/>
    <w:rsid w:val="00E40E02"/>
    <w:rsid w:val="00E417D9"/>
    <w:rsid w:val="00E41A5D"/>
    <w:rsid w:val="00E41F96"/>
    <w:rsid w:val="00E4495F"/>
    <w:rsid w:val="00E44F15"/>
    <w:rsid w:val="00E455A8"/>
    <w:rsid w:val="00E458B7"/>
    <w:rsid w:val="00E4656E"/>
    <w:rsid w:val="00E46F18"/>
    <w:rsid w:val="00E4761A"/>
    <w:rsid w:val="00E477EA"/>
    <w:rsid w:val="00E47DEE"/>
    <w:rsid w:val="00E506E7"/>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2868"/>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AE9"/>
    <w:rsid w:val="00E76CB6"/>
    <w:rsid w:val="00E76D6D"/>
    <w:rsid w:val="00E778DA"/>
    <w:rsid w:val="00E77F21"/>
    <w:rsid w:val="00E8034B"/>
    <w:rsid w:val="00E808F2"/>
    <w:rsid w:val="00E81BA2"/>
    <w:rsid w:val="00E830A3"/>
    <w:rsid w:val="00E831B5"/>
    <w:rsid w:val="00E831BF"/>
    <w:rsid w:val="00E832FC"/>
    <w:rsid w:val="00E84081"/>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4238"/>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8B4"/>
    <w:rsid w:val="00EA5D60"/>
    <w:rsid w:val="00EA61CF"/>
    <w:rsid w:val="00EA61EC"/>
    <w:rsid w:val="00EA6906"/>
    <w:rsid w:val="00EA6C03"/>
    <w:rsid w:val="00EA6FE0"/>
    <w:rsid w:val="00EA7057"/>
    <w:rsid w:val="00EA74F7"/>
    <w:rsid w:val="00EA764F"/>
    <w:rsid w:val="00EB046C"/>
    <w:rsid w:val="00EB07C0"/>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8F6"/>
    <w:rsid w:val="00EC0BFC"/>
    <w:rsid w:val="00EC0F5D"/>
    <w:rsid w:val="00EC1252"/>
    <w:rsid w:val="00EC1563"/>
    <w:rsid w:val="00EC1E47"/>
    <w:rsid w:val="00EC24DE"/>
    <w:rsid w:val="00EC2A5E"/>
    <w:rsid w:val="00EC2ED6"/>
    <w:rsid w:val="00EC373E"/>
    <w:rsid w:val="00EC3E3C"/>
    <w:rsid w:val="00EC45B0"/>
    <w:rsid w:val="00EC4BF1"/>
    <w:rsid w:val="00EC4D5E"/>
    <w:rsid w:val="00EC5F3F"/>
    <w:rsid w:val="00EC72D6"/>
    <w:rsid w:val="00ED08A0"/>
    <w:rsid w:val="00ED0B39"/>
    <w:rsid w:val="00ED1158"/>
    <w:rsid w:val="00ED1221"/>
    <w:rsid w:val="00ED225A"/>
    <w:rsid w:val="00ED2865"/>
    <w:rsid w:val="00ED2CD6"/>
    <w:rsid w:val="00ED31A9"/>
    <w:rsid w:val="00ED3EC2"/>
    <w:rsid w:val="00ED44B2"/>
    <w:rsid w:val="00ED676B"/>
    <w:rsid w:val="00ED6F2B"/>
    <w:rsid w:val="00ED72A4"/>
    <w:rsid w:val="00EE09F5"/>
    <w:rsid w:val="00EE0E54"/>
    <w:rsid w:val="00EE1980"/>
    <w:rsid w:val="00EE213F"/>
    <w:rsid w:val="00EE2C26"/>
    <w:rsid w:val="00EE3F98"/>
    <w:rsid w:val="00EE42BD"/>
    <w:rsid w:val="00EE43BA"/>
    <w:rsid w:val="00EE496A"/>
    <w:rsid w:val="00EE549F"/>
    <w:rsid w:val="00EE5952"/>
    <w:rsid w:val="00EE5D0F"/>
    <w:rsid w:val="00EE5F11"/>
    <w:rsid w:val="00EE6185"/>
    <w:rsid w:val="00EE687A"/>
    <w:rsid w:val="00EE6B56"/>
    <w:rsid w:val="00EE6BBE"/>
    <w:rsid w:val="00EE6C49"/>
    <w:rsid w:val="00EE6DAE"/>
    <w:rsid w:val="00EE70E1"/>
    <w:rsid w:val="00EE7569"/>
    <w:rsid w:val="00EE7A28"/>
    <w:rsid w:val="00EE7D60"/>
    <w:rsid w:val="00EF0A8B"/>
    <w:rsid w:val="00EF0C65"/>
    <w:rsid w:val="00EF10BD"/>
    <w:rsid w:val="00EF20DE"/>
    <w:rsid w:val="00EF326F"/>
    <w:rsid w:val="00EF3AE7"/>
    <w:rsid w:val="00EF3EC6"/>
    <w:rsid w:val="00EF4CC2"/>
    <w:rsid w:val="00EF4FBC"/>
    <w:rsid w:val="00EF50D0"/>
    <w:rsid w:val="00EF5615"/>
    <w:rsid w:val="00EF5D7B"/>
    <w:rsid w:val="00EF6327"/>
    <w:rsid w:val="00EF74DF"/>
    <w:rsid w:val="00EF7A9D"/>
    <w:rsid w:val="00F005F1"/>
    <w:rsid w:val="00F006B6"/>
    <w:rsid w:val="00F017E1"/>
    <w:rsid w:val="00F01A62"/>
    <w:rsid w:val="00F0233B"/>
    <w:rsid w:val="00F036FC"/>
    <w:rsid w:val="00F03AEB"/>
    <w:rsid w:val="00F03E15"/>
    <w:rsid w:val="00F04560"/>
    <w:rsid w:val="00F046F4"/>
    <w:rsid w:val="00F0545F"/>
    <w:rsid w:val="00F05D7D"/>
    <w:rsid w:val="00F06575"/>
    <w:rsid w:val="00F068AE"/>
    <w:rsid w:val="00F0722A"/>
    <w:rsid w:val="00F07337"/>
    <w:rsid w:val="00F0768E"/>
    <w:rsid w:val="00F076A1"/>
    <w:rsid w:val="00F078A9"/>
    <w:rsid w:val="00F07ED9"/>
    <w:rsid w:val="00F07F37"/>
    <w:rsid w:val="00F10213"/>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A9D"/>
    <w:rsid w:val="00F20AE4"/>
    <w:rsid w:val="00F20E32"/>
    <w:rsid w:val="00F218A4"/>
    <w:rsid w:val="00F21BC4"/>
    <w:rsid w:val="00F21E9D"/>
    <w:rsid w:val="00F21FCC"/>
    <w:rsid w:val="00F22BFC"/>
    <w:rsid w:val="00F23763"/>
    <w:rsid w:val="00F241AF"/>
    <w:rsid w:val="00F249FF"/>
    <w:rsid w:val="00F24A31"/>
    <w:rsid w:val="00F25780"/>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6D37"/>
    <w:rsid w:val="00F371B2"/>
    <w:rsid w:val="00F37472"/>
    <w:rsid w:val="00F37A3D"/>
    <w:rsid w:val="00F4121A"/>
    <w:rsid w:val="00F412B9"/>
    <w:rsid w:val="00F42CB9"/>
    <w:rsid w:val="00F42F06"/>
    <w:rsid w:val="00F42F73"/>
    <w:rsid w:val="00F43CC6"/>
    <w:rsid w:val="00F443F7"/>
    <w:rsid w:val="00F44D83"/>
    <w:rsid w:val="00F45243"/>
    <w:rsid w:val="00F4551B"/>
    <w:rsid w:val="00F45645"/>
    <w:rsid w:val="00F45BC4"/>
    <w:rsid w:val="00F4612E"/>
    <w:rsid w:val="00F47012"/>
    <w:rsid w:val="00F47AE3"/>
    <w:rsid w:val="00F47D7F"/>
    <w:rsid w:val="00F47EB8"/>
    <w:rsid w:val="00F501C2"/>
    <w:rsid w:val="00F5073D"/>
    <w:rsid w:val="00F50C48"/>
    <w:rsid w:val="00F50CE8"/>
    <w:rsid w:val="00F5102F"/>
    <w:rsid w:val="00F515B1"/>
    <w:rsid w:val="00F5182C"/>
    <w:rsid w:val="00F51945"/>
    <w:rsid w:val="00F51B24"/>
    <w:rsid w:val="00F5245E"/>
    <w:rsid w:val="00F529CA"/>
    <w:rsid w:val="00F52FFC"/>
    <w:rsid w:val="00F5311F"/>
    <w:rsid w:val="00F5479E"/>
    <w:rsid w:val="00F54CDE"/>
    <w:rsid w:val="00F54EF3"/>
    <w:rsid w:val="00F5616B"/>
    <w:rsid w:val="00F56693"/>
    <w:rsid w:val="00F56862"/>
    <w:rsid w:val="00F56E57"/>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4CC8"/>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3B33"/>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347"/>
    <w:rsid w:val="00FE3415"/>
    <w:rsid w:val="00FE3940"/>
    <w:rsid w:val="00FE3A0A"/>
    <w:rsid w:val="00FE3A1A"/>
    <w:rsid w:val="00FE3B91"/>
    <w:rsid w:val="00FE43A4"/>
    <w:rsid w:val="00FE53F2"/>
    <w:rsid w:val="00FE5614"/>
    <w:rsid w:val="00FE5A10"/>
    <w:rsid w:val="00FE6313"/>
    <w:rsid w:val="00FE6AD0"/>
    <w:rsid w:val="00FE702A"/>
    <w:rsid w:val="00FE77C2"/>
    <w:rsid w:val="00FE7B69"/>
    <w:rsid w:val="00FE7BF0"/>
    <w:rsid w:val="00FF044B"/>
    <w:rsid w:val="00FF0532"/>
    <w:rsid w:val="00FF0979"/>
    <w:rsid w:val="00FF0A4A"/>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63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7694990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559289102">
      <w:bodyDiv w:val="1"/>
      <w:marLeft w:val="0"/>
      <w:marRight w:val="0"/>
      <w:marTop w:val="0"/>
      <w:marBottom w:val="0"/>
      <w:divBdr>
        <w:top w:val="none" w:sz="0" w:space="0" w:color="auto"/>
        <w:left w:val="none" w:sz="0" w:space="0" w:color="auto"/>
        <w:bottom w:val="none" w:sz="0" w:space="0" w:color="auto"/>
        <w:right w:val="none" w:sz="0" w:space="0" w:color="auto"/>
      </w:divBdr>
    </w:div>
    <w:div w:id="602034364">
      <w:bodyDiv w:val="1"/>
      <w:marLeft w:val="0"/>
      <w:marRight w:val="0"/>
      <w:marTop w:val="0"/>
      <w:marBottom w:val="0"/>
      <w:divBdr>
        <w:top w:val="none" w:sz="0" w:space="0" w:color="auto"/>
        <w:left w:val="none" w:sz="0" w:space="0" w:color="auto"/>
        <w:bottom w:val="none" w:sz="0" w:space="0" w:color="auto"/>
        <w:right w:val="none" w:sz="0" w:space="0" w:color="auto"/>
      </w:divBdr>
      <w:divsChild>
        <w:div w:id="1821532608">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278680418">
      <w:bodyDiv w:val="1"/>
      <w:marLeft w:val="0"/>
      <w:marRight w:val="0"/>
      <w:marTop w:val="0"/>
      <w:marBottom w:val="0"/>
      <w:divBdr>
        <w:top w:val="none" w:sz="0" w:space="0" w:color="auto"/>
        <w:left w:val="none" w:sz="0" w:space="0" w:color="auto"/>
        <w:bottom w:val="none" w:sz="0" w:space="0" w:color="auto"/>
        <w:right w:val="none" w:sz="0" w:space="0" w:color="auto"/>
      </w:divBdr>
      <w:divsChild>
        <w:div w:id="2114011424">
          <w:marLeft w:val="0"/>
          <w:marRight w:val="0"/>
          <w:marTop w:val="0"/>
          <w:marBottom w:val="0"/>
          <w:divBdr>
            <w:top w:val="none" w:sz="0" w:space="0" w:color="auto"/>
            <w:left w:val="none" w:sz="0" w:space="0" w:color="auto"/>
            <w:bottom w:val="none" w:sz="0" w:space="0" w:color="auto"/>
            <w:right w:val="none" w:sz="0" w:space="0" w:color="auto"/>
          </w:divBdr>
        </w:div>
        <w:div w:id="140393617">
          <w:marLeft w:val="0"/>
          <w:marRight w:val="0"/>
          <w:marTop w:val="0"/>
          <w:marBottom w:val="0"/>
          <w:divBdr>
            <w:top w:val="none" w:sz="0" w:space="0" w:color="auto"/>
            <w:left w:val="none" w:sz="0" w:space="0" w:color="auto"/>
            <w:bottom w:val="none" w:sz="0" w:space="0" w:color="auto"/>
            <w:right w:val="none" w:sz="0" w:space="0" w:color="auto"/>
          </w:divBdr>
        </w:div>
        <w:div w:id="309285252">
          <w:marLeft w:val="0"/>
          <w:marRight w:val="0"/>
          <w:marTop w:val="0"/>
          <w:marBottom w:val="0"/>
          <w:divBdr>
            <w:top w:val="none" w:sz="0" w:space="0" w:color="auto"/>
            <w:left w:val="none" w:sz="0" w:space="0" w:color="auto"/>
            <w:bottom w:val="none" w:sz="0" w:space="0" w:color="auto"/>
            <w:right w:val="none" w:sz="0" w:space="0" w:color="auto"/>
          </w:divBdr>
        </w:div>
        <w:div w:id="1135180182">
          <w:marLeft w:val="0"/>
          <w:marRight w:val="0"/>
          <w:marTop w:val="0"/>
          <w:marBottom w:val="0"/>
          <w:divBdr>
            <w:top w:val="none" w:sz="0" w:space="0" w:color="auto"/>
            <w:left w:val="none" w:sz="0" w:space="0" w:color="auto"/>
            <w:bottom w:val="none" w:sz="0" w:space="0" w:color="auto"/>
            <w:right w:val="none" w:sz="0" w:space="0" w:color="auto"/>
          </w:divBdr>
        </w:div>
        <w:div w:id="442117593">
          <w:marLeft w:val="0"/>
          <w:marRight w:val="0"/>
          <w:marTop w:val="0"/>
          <w:marBottom w:val="0"/>
          <w:divBdr>
            <w:top w:val="none" w:sz="0" w:space="0" w:color="auto"/>
            <w:left w:val="none" w:sz="0" w:space="0" w:color="auto"/>
            <w:bottom w:val="none" w:sz="0" w:space="0" w:color="auto"/>
            <w:right w:val="none" w:sz="0" w:space="0" w:color="auto"/>
          </w:divBdr>
        </w:div>
        <w:div w:id="1793740385">
          <w:marLeft w:val="0"/>
          <w:marRight w:val="0"/>
          <w:marTop w:val="0"/>
          <w:marBottom w:val="0"/>
          <w:divBdr>
            <w:top w:val="none" w:sz="0" w:space="0" w:color="auto"/>
            <w:left w:val="none" w:sz="0" w:space="0" w:color="auto"/>
            <w:bottom w:val="none" w:sz="0" w:space="0" w:color="auto"/>
            <w:right w:val="none" w:sz="0" w:space="0" w:color="auto"/>
          </w:divBdr>
        </w:div>
        <w:div w:id="28380544">
          <w:marLeft w:val="0"/>
          <w:marRight w:val="0"/>
          <w:marTop w:val="0"/>
          <w:marBottom w:val="0"/>
          <w:divBdr>
            <w:top w:val="none" w:sz="0" w:space="0" w:color="auto"/>
            <w:left w:val="none" w:sz="0" w:space="0" w:color="auto"/>
            <w:bottom w:val="none" w:sz="0" w:space="0" w:color="auto"/>
            <w:right w:val="none" w:sz="0" w:space="0" w:color="auto"/>
          </w:divBdr>
        </w:div>
        <w:div w:id="1977955846">
          <w:marLeft w:val="0"/>
          <w:marRight w:val="0"/>
          <w:marTop w:val="0"/>
          <w:marBottom w:val="0"/>
          <w:divBdr>
            <w:top w:val="none" w:sz="0" w:space="0" w:color="auto"/>
            <w:left w:val="none" w:sz="0" w:space="0" w:color="auto"/>
            <w:bottom w:val="none" w:sz="0" w:space="0" w:color="auto"/>
            <w:right w:val="none" w:sz="0" w:space="0" w:color="auto"/>
          </w:divBdr>
        </w:div>
        <w:div w:id="461578289">
          <w:marLeft w:val="0"/>
          <w:marRight w:val="0"/>
          <w:marTop w:val="0"/>
          <w:marBottom w:val="0"/>
          <w:divBdr>
            <w:top w:val="none" w:sz="0" w:space="0" w:color="auto"/>
            <w:left w:val="none" w:sz="0" w:space="0" w:color="auto"/>
            <w:bottom w:val="none" w:sz="0" w:space="0" w:color="auto"/>
            <w:right w:val="none" w:sz="0" w:space="0" w:color="auto"/>
          </w:divBdr>
        </w:div>
        <w:div w:id="210583791">
          <w:marLeft w:val="0"/>
          <w:marRight w:val="0"/>
          <w:marTop w:val="0"/>
          <w:marBottom w:val="0"/>
          <w:divBdr>
            <w:top w:val="none" w:sz="0" w:space="0" w:color="auto"/>
            <w:left w:val="none" w:sz="0" w:space="0" w:color="auto"/>
            <w:bottom w:val="none" w:sz="0" w:space="0" w:color="auto"/>
            <w:right w:val="none" w:sz="0" w:space="0" w:color="auto"/>
          </w:divBdr>
        </w:div>
        <w:div w:id="455490728">
          <w:marLeft w:val="0"/>
          <w:marRight w:val="0"/>
          <w:marTop w:val="0"/>
          <w:marBottom w:val="0"/>
          <w:divBdr>
            <w:top w:val="none" w:sz="0" w:space="0" w:color="auto"/>
            <w:left w:val="none" w:sz="0" w:space="0" w:color="auto"/>
            <w:bottom w:val="none" w:sz="0" w:space="0" w:color="auto"/>
            <w:right w:val="none" w:sz="0" w:space="0" w:color="auto"/>
          </w:divBdr>
        </w:div>
        <w:div w:id="561526834">
          <w:marLeft w:val="0"/>
          <w:marRight w:val="0"/>
          <w:marTop w:val="0"/>
          <w:marBottom w:val="0"/>
          <w:divBdr>
            <w:top w:val="none" w:sz="0" w:space="0" w:color="auto"/>
            <w:left w:val="none" w:sz="0" w:space="0" w:color="auto"/>
            <w:bottom w:val="none" w:sz="0" w:space="0" w:color="auto"/>
            <w:right w:val="none" w:sz="0" w:space="0" w:color="auto"/>
          </w:divBdr>
        </w:div>
        <w:div w:id="2048918382">
          <w:marLeft w:val="0"/>
          <w:marRight w:val="0"/>
          <w:marTop w:val="0"/>
          <w:marBottom w:val="0"/>
          <w:divBdr>
            <w:top w:val="none" w:sz="0" w:space="0" w:color="auto"/>
            <w:left w:val="none" w:sz="0" w:space="0" w:color="auto"/>
            <w:bottom w:val="none" w:sz="0" w:space="0" w:color="auto"/>
            <w:right w:val="none" w:sz="0" w:space="0" w:color="auto"/>
          </w:divBdr>
        </w:div>
        <w:div w:id="292096528">
          <w:marLeft w:val="0"/>
          <w:marRight w:val="0"/>
          <w:marTop w:val="0"/>
          <w:marBottom w:val="0"/>
          <w:divBdr>
            <w:top w:val="none" w:sz="0" w:space="0" w:color="auto"/>
            <w:left w:val="none" w:sz="0" w:space="0" w:color="auto"/>
            <w:bottom w:val="none" w:sz="0" w:space="0" w:color="auto"/>
            <w:right w:val="none" w:sz="0" w:space="0" w:color="auto"/>
          </w:divBdr>
        </w:div>
        <w:div w:id="318852869">
          <w:marLeft w:val="0"/>
          <w:marRight w:val="0"/>
          <w:marTop w:val="0"/>
          <w:marBottom w:val="0"/>
          <w:divBdr>
            <w:top w:val="none" w:sz="0" w:space="0" w:color="auto"/>
            <w:left w:val="none" w:sz="0" w:space="0" w:color="auto"/>
            <w:bottom w:val="none" w:sz="0" w:space="0" w:color="auto"/>
            <w:right w:val="none" w:sz="0" w:space="0" w:color="auto"/>
          </w:divBdr>
        </w:div>
        <w:div w:id="18354873">
          <w:marLeft w:val="0"/>
          <w:marRight w:val="0"/>
          <w:marTop w:val="0"/>
          <w:marBottom w:val="0"/>
          <w:divBdr>
            <w:top w:val="none" w:sz="0" w:space="0" w:color="auto"/>
            <w:left w:val="none" w:sz="0" w:space="0" w:color="auto"/>
            <w:bottom w:val="none" w:sz="0" w:space="0" w:color="auto"/>
            <w:right w:val="none" w:sz="0" w:space="0" w:color="auto"/>
          </w:divBdr>
        </w:div>
      </w:divsChild>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www.itei.org.mx/v3/documentos/estudios/debida_clasificacion_de_informacion_digital.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D8FCC8-502F-4DFA-9B26-70E3CE402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2103</TotalTime>
  <Pages>26</Pages>
  <Words>8511</Words>
  <Characters>46813</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176</cp:revision>
  <cp:lastPrinted>2024-08-07T21:18:00Z</cp:lastPrinted>
  <dcterms:created xsi:type="dcterms:W3CDTF">2025-09-04T15:15:00Z</dcterms:created>
  <dcterms:modified xsi:type="dcterms:W3CDTF">2026-02-06T15:42:00Z</dcterms:modified>
</cp:coreProperties>
</file>